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FE" w:rsidRPr="00714401" w:rsidRDefault="006105FE" w:rsidP="004F4F1E">
      <w:pPr>
        <w:autoSpaceDE w:val="0"/>
        <w:autoSpaceDN w:val="0"/>
        <w:adjustRightInd w:val="0"/>
        <w:snapToGrid w:val="0"/>
        <w:spacing w:after="0" w:line="360" w:lineRule="auto"/>
        <w:jc w:val="both"/>
        <w:rPr>
          <w:rFonts w:ascii="Book Antiqua" w:hAnsi="Book Antiqua"/>
          <w:b/>
          <w:sz w:val="24"/>
          <w:szCs w:val="24"/>
          <w:lang w:val="en-US" w:eastAsia="zh-CN"/>
        </w:rPr>
      </w:pPr>
      <w:r w:rsidRPr="00714401">
        <w:rPr>
          <w:rFonts w:ascii="Book Antiqua" w:hAnsi="Book Antiqua"/>
          <w:b/>
          <w:sz w:val="24"/>
          <w:szCs w:val="24"/>
          <w:lang w:val="en-US" w:eastAsia="zh-CN"/>
        </w:rPr>
        <w:t xml:space="preserve">Name of </w:t>
      </w:r>
      <w:r w:rsidR="007A6D4C" w:rsidRPr="00714401">
        <w:rPr>
          <w:rFonts w:ascii="Book Antiqua" w:hAnsi="Book Antiqua"/>
          <w:b/>
          <w:sz w:val="24"/>
          <w:szCs w:val="24"/>
          <w:lang w:val="en-US" w:eastAsia="zh-CN"/>
        </w:rPr>
        <w:t>J</w:t>
      </w:r>
      <w:r w:rsidRPr="00714401">
        <w:rPr>
          <w:rFonts w:ascii="Book Antiqua" w:hAnsi="Book Antiqua"/>
          <w:b/>
          <w:sz w:val="24"/>
          <w:szCs w:val="24"/>
          <w:lang w:val="en-US" w:eastAsia="zh-CN"/>
        </w:rPr>
        <w:t xml:space="preserve">ournal: </w:t>
      </w:r>
      <w:r w:rsidRPr="00714401">
        <w:rPr>
          <w:rFonts w:ascii="Book Antiqua" w:hAnsi="Book Antiqua"/>
          <w:b/>
          <w:i/>
          <w:sz w:val="24"/>
          <w:szCs w:val="24"/>
          <w:lang w:val="en-US" w:eastAsia="zh-CN"/>
        </w:rPr>
        <w:t>World Journal of Hepatology</w:t>
      </w:r>
    </w:p>
    <w:p w:rsidR="006105FE" w:rsidRPr="00714401" w:rsidRDefault="006105FE" w:rsidP="004F4F1E">
      <w:pPr>
        <w:autoSpaceDE w:val="0"/>
        <w:autoSpaceDN w:val="0"/>
        <w:adjustRightInd w:val="0"/>
        <w:snapToGrid w:val="0"/>
        <w:spacing w:after="0" w:line="360" w:lineRule="auto"/>
        <w:jc w:val="both"/>
        <w:rPr>
          <w:rFonts w:ascii="Book Antiqua" w:hAnsi="Book Antiqua"/>
          <w:b/>
          <w:sz w:val="24"/>
          <w:szCs w:val="24"/>
          <w:lang w:val="en-US" w:eastAsia="zh-CN"/>
        </w:rPr>
      </w:pPr>
      <w:r w:rsidRPr="00714401">
        <w:rPr>
          <w:rFonts w:ascii="Book Antiqua" w:hAnsi="Book Antiqua"/>
          <w:b/>
          <w:sz w:val="24"/>
          <w:szCs w:val="24"/>
          <w:lang w:val="en-US" w:eastAsia="zh-CN"/>
        </w:rPr>
        <w:t>ESPS Manuscript NO: 17761</w:t>
      </w:r>
    </w:p>
    <w:p w:rsidR="006105FE" w:rsidRPr="00714401" w:rsidRDefault="006105FE" w:rsidP="004F4F1E">
      <w:pPr>
        <w:autoSpaceDE w:val="0"/>
        <w:autoSpaceDN w:val="0"/>
        <w:adjustRightInd w:val="0"/>
        <w:snapToGrid w:val="0"/>
        <w:spacing w:after="0" w:line="360" w:lineRule="auto"/>
        <w:jc w:val="both"/>
        <w:rPr>
          <w:rFonts w:ascii="Book Antiqua" w:hAnsi="Book Antiqua"/>
          <w:b/>
          <w:sz w:val="24"/>
          <w:szCs w:val="24"/>
          <w:lang w:val="en-US" w:eastAsia="zh-CN"/>
        </w:rPr>
      </w:pPr>
      <w:r w:rsidRPr="00714401">
        <w:rPr>
          <w:rFonts w:ascii="Book Antiqua" w:hAnsi="Book Antiqua"/>
          <w:b/>
          <w:sz w:val="24"/>
          <w:szCs w:val="24"/>
          <w:lang w:val="en-US" w:eastAsia="zh-CN"/>
        </w:rPr>
        <w:t xml:space="preserve">Columns: </w:t>
      </w:r>
      <w:proofErr w:type="spellStart"/>
      <w:r w:rsidRPr="00714401">
        <w:rPr>
          <w:rFonts w:ascii="Book Antiqua" w:hAnsi="Book Antiqua"/>
          <w:b/>
          <w:sz w:val="24"/>
          <w:szCs w:val="24"/>
          <w:lang w:val="en-US" w:eastAsia="zh-CN"/>
        </w:rPr>
        <w:t>M</w:t>
      </w:r>
      <w:r w:rsidR="002B4500" w:rsidRPr="00714401">
        <w:rPr>
          <w:rFonts w:ascii="Book Antiqua" w:hAnsi="Book Antiqua"/>
          <w:b/>
          <w:sz w:val="24"/>
          <w:szCs w:val="24"/>
          <w:lang w:val="en-US" w:eastAsia="zh-CN"/>
        </w:rPr>
        <w:t>inireviews</w:t>
      </w:r>
      <w:proofErr w:type="spellEnd"/>
    </w:p>
    <w:p w:rsidR="006105FE" w:rsidRPr="00714401" w:rsidRDefault="006105FE" w:rsidP="004F4F1E">
      <w:pPr>
        <w:autoSpaceDE w:val="0"/>
        <w:autoSpaceDN w:val="0"/>
        <w:adjustRightInd w:val="0"/>
        <w:snapToGrid w:val="0"/>
        <w:spacing w:after="0" w:line="360" w:lineRule="auto"/>
        <w:jc w:val="both"/>
        <w:rPr>
          <w:rFonts w:ascii="Book Antiqua" w:hAnsi="Book Antiqua"/>
          <w:sz w:val="24"/>
          <w:szCs w:val="24"/>
          <w:lang w:val="en-US" w:eastAsia="zh-CN"/>
        </w:rPr>
      </w:pPr>
    </w:p>
    <w:p w:rsidR="00753809" w:rsidRPr="00714401" w:rsidRDefault="00ED5D61" w:rsidP="004F4F1E">
      <w:pPr>
        <w:autoSpaceDE w:val="0"/>
        <w:autoSpaceDN w:val="0"/>
        <w:adjustRightInd w:val="0"/>
        <w:snapToGrid w:val="0"/>
        <w:spacing w:after="0" w:line="360" w:lineRule="auto"/>
        <w:jc w:val="both"/>
        <w:rPr>
          <w:rFonts w:ascii="Book Antiqua" w:hAnsi="Book Antiqua"/>
          <w:b/>
          <w:sz w:val="24"/>
          <w:szCs w:val="24"/>
          <w:lang w:val="en-US" w:eastAsia="zh-CN"/>
        </w:rPr>
      </w:pPr>
      <w:proofErr w:type="spellStart"/>
      <w:r w:rsidRPr="00714401">
        <w:rPr>
          <w:rFonts w:ascii="Book Antiqua" w:hAnsi="Book Antiqua"/>
          <w:b/>
          <w:sz w:val="24"/>
          <w:szCs w:val="24"/>
          <w:lang w:val="en-US"/>
        </w:rPr>
        <w:t>Indocyanine</w:t>
      </w:r>
      <w:proofErr w:type="spellEnd"/>
      <w:r w:rsidRPr="00714401">
        <w:rPr>
          <w:rFonts w:ascii="Book Antiqua" w:hAnsi="Book Antiqua"/>
          <w:b/>
          <w:sz w:val="24"/>
          <w:szCs w:val="24"/>
          <w:lang w:val="en-US"/>
        </w:rPr>
        <w:t xml:space="preserve"> green</w:t>
      </w:r>
      <w:r w:rsidR="00F0229B" w:rsidRPr="00714401">
        <w:rPr>
          <w:rFonts w:ascii="Book Antiqua" w:hAnsi="Book Antiqua"/>
          <w:b/>
          <w:sz w:val="24"/>
          <w:szCs w:val="24"/>
          <w:lang w:val="en-US"/>
        </w:rPr>
        <w:t xml:space="preserve"> </w:t>
      </w:r>
      <w:r w:rsidRPr="00714401">
        <w:rPr>
          <w:rFonts w:ascii="Book Antiqua" w:hAnsi="Book Antiqua"/>
          <w:b/>
          <w:sz w:val="24"/>
          <w:szCs w:val="24"/>
          <w:lang w:val="en-US"/>
        </w:rPr>
        <w:t xml:space="preserve">kinetics </w:t>
      </w:r>
      <w:r w:rsidR="006105FE" w:rsidRPr="00714401">
        <w:rPr>
          <w:rFonts w:ascii="Book Antiqua" w:hAnsi="Book Antiqua"/>
          <w:b/>
          <w:sz w:val="24"/>
          <w:szCs w:val="24"/>
          <w:lang w:val="en-US"/>
        </w:rPr>
        <w:t>to assess liver function</w:t>
      </w:r>
      <w:r w:rsidR="00753809" w:rsidRPr="00714401">
        <w:rPr>
          <w:rFonts w:ascii="Book Antiqua" w:hAnsi="Book Antiqua"/>
          <w:b/>
          <w:sz w:val="24"/>
          <w:szCs w:val="24"/>
          <w:lang w:val="en-US"/>
        </w:rPr>
        <w:t xml:space="preserve">: </w:t>
      </w:r>
      <w:r w:rsidR="00081D08" w:rsidRPr="00714401">
        <w:rPr>
          <w:rFonts w:ascii="Book Antiqua" w:hAnsi="Book Antiqua"/>
          <w:b/>
          <w:sz w:val="24"/>
          <w:szCs w:val="24"/>
          <w:lang w:val="en-US"/>
        </w:rPr>
        <w:t>R</w:t>
      </w:r>
      <w:r w:rsidR="00A73023" w:rsidRPr="00714401">
        <w:rPr>
          <w:rFonts w:ascii="Book Antiqua" w:hAnsi="Book Antiqua"/>
          <w:b/>
          <w:sz w:val="24"/>
          <w:szCs w:val="24"/>
          <w:lang w:val="en-US"/>
        </w:rPr>
        <w:t>eady for a clinical dynamic as</w:t>
      </w:r>
      <w:r w:rsidR="006105FE" w:rsidRPr="00714401">
        <w:rPr>
          <w:rFonts w:ascii="Book Antiqua" w:hAnsi="Book Antiqua"/>
          <w:b/>
          <w:sz w:val="24"/>
          <w:szCs w:val="24"/>
          <w:lang w:val="en-US"/>
        </w:rPr>
        <w:t>sessment in major liver surgery</w:t>
      </w:r>
      <w:r w:rsidR="00A73023" w:rsidRPr="00714401">
        <w:rPr>
          <w:rFonts w:ascii="Book Antiqua" w:hAnsi="Book Antiqua"/>
          <w:b/>
          <w:sz w:val="24"/>
          <w:szCs w:val="24"/>
          <w:lang w:val="en-US"/>
        </w:rPr>
        <w:t>?</w:t>
      </w:r>
    </w:p>
    <w:p w:rsidR="00090DAB" w:rsidRPr="00714401" w:rsidRDefault="00090DAB" w:rsidP="004F4F1E">
      <w:pPr>
        <w:autoSpaceDE w:val="0"/>
        <w:autoSpaceDN w:val="0"/>
        <w:adjustRightInd w:val="0"/>
        <w:snapToGrid w:val="0"/>
        <w:spacing w:after="0" w:line="360" w:lineRule="auto"/>
        <w:jc w:val="both"/>
        <w:rPr>
          <w:rFonts w:ascii="Book Antiqua" w:hAnsi="Book Antiqua"/>
          <w:b/>
          <w:sz w:val="24"/>
          <w:szCs w:val="24"/>
          <w:lang w:val="en-US" w:eastAsia="zh-CN"/>
        </w:rPr>
      </w:pPr>
    </w:p>
    <w:p w:rsidR="00753809" w:rsidRPr="00714401" w:rsidRDefault="00090DAB" w:rsidP="004F4F1E">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sz w:val="24"/>
          <w:szCs w:val="24"/>
        </w:rPr>
        <w:t>De Gasperi</w:t>
      </w:r>
      <w:r w:rsidRPr="00714401">
        <w:rPr>
          <w:rFonts w:ascii="Book Antiqua" w:hAnsi="Book Antiqua"/>
          <w:sz w:val="24"/>
          <w:szCs w:val="24"/>
          <w:lang w:eastAsia="zh-CN"/>
        </w:rPr>
        <w:t xml:space="preserve"> A </w:t>
      </w:r>
      <w:r w:rsidRPr="00714401">
        <w:rPr>
          <w:rFonts w:ascii="Book Antiqua" w:hAnsi="Book Antiqua"/>
          <w:i/>
          <w:sz w:val="24"/>
          <w:szCs w:val="24"/>
          <w:lang w:eastAsia="zh-CN"/>
        </w:rPr>
        <w:t>et al.</w:t>
      </w:r>
      <w:r w:rsidRPr="00714401">
        <w:rPr>
          <w:rFonts w:ascii="Book Antiqua" w:hAnsi="Book Antiqua"/>
          <w:sz w:val="24"/>
          <w:szCs w:val="24"/>
          <w:lang w:eastAsia="zh-CN"/>
        </w:rPr>
        <w:t xml:space="preserve"> </w:t>
      </w:r>
      <w:proofErr w:type="spellStart"/>
      <w:r w:rsidRPr="00714401">
        <w:rPr>
          <w:rFonts w:ascii="Book Antiqua" w:hAnsi="Book Antiqua"/>
          <w:sz w:val="24"/>
          <w:szCs w:val="24"/>
          <w:lang w:val="en-US" w:eastAsia="zh-CN"/>
        </w:rPr>
        <w:t>Indocyanine</w:t>
      </w:r>
      <w:proofErr w:type="spellEnd"/>
      <w:r w:rsidRPr="00714401">
        <w:rPr>
          <w:rFonts w:ascii="Book Antiqua" w:hAnsi="Book Antiqua"/>
          <w:sz w:val="24"/>
          <w:szCs w:val="24"/>
          <w:lang w:val="en-US" w:eastAsia="zh-CN"/>
        </w:rPr>
        <w:t xml:space="preserve"> green kinetics and liver surgery</w:t>
      </w:r>
    </w:p>
    <w:p w:rsidR="00090DAB" w:rsidRPr="00714401" w:rsidRDefault="00090DAB" w:rsidP="004F4F1E">
      <w:pPr>
        <w:autoSpaceDE w:val="0"/>
        <w:autoSpaceDN w:val="0"/>
        <w:adjustRightInd w:val="0"/>
        <w:snapToGrid w:val="0"/>
        <w:spacing w:after="0" w:line="360" w:lineRule="auto"/>
        <w:jc w:val="both"/>
        <w:rPr>
          <w:rFonts w:ascii="Book Antiqua" w:hAnsi="Book Antiqua"/>
          <w:i/>
          <w:sz w:val="24"/>
          <w:szCs w:val="24"/>
          <w:lang w:val="en-US" w:eastAsia="zh-CN"/>
        </w:rPr>
      </w:pPr>
    </w:p>
    <w:p w:rsidR="00090DAB" w:rsidRPr="00714401" w:rsidRDefault="007A6D4C" w:rsidP="004F4F1E">
      <w:pPr>
        <w:autoSpaceDE w:val="0"/>
        <w:autoSpaceDN w:val="0"/>
        <w:adjustRightInd w:val="0"/>
        <w:snapToGrid w:val="0"/>
        <w:spacing w:after="0" w:line="360" w:lineRule="auto"/>
        <w:jc w:val="both"/>
        <w:rPr>
          <w:rFonts w:ascii="Book Antiqua" w:hAnsi="Book Antiqua"/>
          <w:b/>
          <w:sz w:val="24"/>
          <w:szCs w:val="24"/>
          <w:lang w:eastAsia="zh-CN"/>
        </w:rPr>
      </w:pPr>
      <w:r w:rsidRPr="00714401">
        <w:rPr>
          <w:rFonts w:ascii="Book Antiqua" w:hAnsi="Book Antiqua"/>
          <w:b/>
          <w:sz w:val="24"/>
          <w:szCs w:val="24"/>
        </w:rPr>
        <w:t>Andrea De Gasperi, Ernestina Mazza, Manlio Prosperi</w:t>
      </w:r>
    </w:p>
    <w:p w:rsidR="00090DAB" w:rsidRPr="00714401" w:rsidRDefault="00090DAB" w:rsidP="004F4F1E">
      <w:pPr>
        <w:autoSpaceDE w:val="0"/>
        <w:autoSpaceDN w:val="0"/>
        <w:adjustRightInd w:val="0"/>
        <w:snapToGrid w:val="0"/>
        <w:spacing w:after="0" w:line="360" w:lineRule="auto"/>
        <w:jc w:val="both"/>
        <w:rPr>
          <w:rFonts w:ascii="Book Antiqua" w:hAnsi="Book Antiqua"/>
          <w:sz w:val="24"/>
          <w:szCs w:val="24"/>
          <w:lang w:eastAsia="zh-CN"/>
        </w:rPr>
      </w:pPr>
    </w:p>
    <w:p w:rsidR="00ED5D61" w:rsidRPr="00714401" w:rsidRDefault="00090DAB" w:rsidP="004F4F1E">
      <w:pPr>
        <w:autoSpaceDE w:val="0"/>
        <w:autoSpaceDN w:val="0"/>
        <w:adjustRightInd w:val="0"/>
        <w:snapToGrid w:val="0"/>
        <w:spacing w:after="0" w:line="360" w:lineRule="auto"/>
        <w:jc w:val="both"/>
        <w:rPr>
          <w:rFonts w:ascii="Book Antiqua" w:hAnsi="Book Antiqua"/>
          <w:b/>
          <w:sz w:val="24"/>
          <w:szCs w:val="24"/>
          <w:lang w:eastAsia="zh-CN"/>
        </w:rPr>
      </w:pPr>
      <w:r w:rsidRPr="00714401">
        <w:rPr>
          <w:rFonts w:ascii="Book Antiqua" w:hAnsi="Book Antiqua"/>
          <w:b/>
          <w:sz w:val="24"/>
          <w:szCs w:val="24"/>
        </w:rPr>
        <w:t>Andrea De Gasperi, Ernestina Mazza, Manlio Prosperi</w:t>
      </w:r>
      <w:r w:rsidRPr="00714401">
        <w:rPr>
          <w:rFonts w:ascii="Book Antiqua" w:hAnsi="Book Antiqua"/>
          <w:b/>
          <w:sz w:val="24"/>
          <w:szCs w:val="24"/>
          <w:lang w:eastAsia="zh-CN"/>
        </w:rPr>
        <w:t xml:space="preserve">, </w:t>
      </w:r>
      <w:r w:rsidR="00ED5D61" w:rsidRPr="00714401">
        <w:rPr>
          <w:rFonts w:ascii="Book Antiqua" w:hAnsi="Book Antiqua"/>
          <w:sz w:val="24"/>
          <w:szCs w:val="24"/>
        </w:rPr>
        <w:t>2° Servizio Anestesia e Rianimazione</w:t>
      </w:r>
      <w:r w:rsidRPr="00714401">
        <w:rPr>
          <w:rFonts w:ascii="Book Antiqua" w:hAnsi="Book Antiqua"/>
          <w:sz w:val="24"/>
          <w:szCs w:val="24"/>
          <w:lang w:eastAsia="zh-CN"/>
        </w:rPr>
        <w:t>,</w:t>
      </w:r>
      <w:r w:rsidR="00F0229B" w:rsidRPr="00714401">
        <w:rPr>
          <w:rFonts w:ascii="Book Antiqua" w:hAnsi="Book Antiqua"/>
          <w:sz w:val="24"/>
          <w:szCs w:val="24"/>
        </w:rPr>
        <w:t xml:space="preserve"> </w:t>
      </w:r>
      <w:r w:rsidR="00ED5D61" w:rsidRPr="00714401">
        <w:rPr>
          <w:rFonts w:ascii="Book Antiqua" w:hAnsi="Book Antiqua"/>
          <w:sz w:val="24"/>
          <w:szCs w:val="24"/>
        </w:rPr>
        <w:t>Ospedale Niguarda Ca</w:t>
      </w:r>
      <w:r w:rsidR="00141A8D" w:rsidRPr="00714401">
        <w:rPr>
          <w:rFonts w:ascii="Book Antiqua" w:hAnsi="Book Antiqua"/>
          <w:sz w:val="24"/>
          <w:szCs w:val="24"/>
        </w:rPr>
        <w:t>’</w:t>
      </w:r>
      <w:r w:rsidRPr="00714401">
        <w:rPr>
          <w:rFonts w:ascii="Book Antiqua" w:hAnsi="Book Antiqua"/>
          <w:sz w:val="24"/>
          <w:szCs w:val="24"/>
        </w:rPr>
        <w:t xml:space="preserve"> Granda</w:t>
      </w:r>
      <w:r w:rsidRPr="00714401">
        <w:rPr>
          <w:rFonts w:ascii="Book Antiqua" w:hAnsi="Book Antiqua"/>
          <w:sz w:val="24"/>
          <w:szCs w:val="24"/>
          <w:lang w:eastAsia="zh-CN"/>
        </w:rPr>
        <w:t>,</w:t>
      </w:r>
      <w:r w:rsidRPr="00714401">
        <w:rPr>
          <w:rFonts w:ascii="Book Antiqua" w:hAnsi="Book Antiqua"/>
          <w:b/>
          <w:sz w:val="24"/>
          <w:szCs w:val="24"/>
          <w:lang w:eastAsia="zh-CN"/>
        </w:rPr>
        <w:t xml:space="preserve"> </w:t>
      </w:r>
      <w:r w:rsidR="00F0229B" w:rsidRPr="00714401">
        <w:rPr>
          <w:rFonts w:ascii="Book Antiqua" w:hAnsi="Book Antiqua"/>
          <w:sz w:val="24"/>
          <w:szCs w:val="24"/>
        </w:rPr>
        <w:t xml:space="preserve">20162 </w:t>
      </w:r>
      <w:r w:rsidR="00ED5D61" w:rsidRPr="00714401">
        <w:rPr>
          <w:rFonts w:ascii="Book Antiqua" w:hAnsi="Book Antiqua"/>
          <w:sz w:val="24"/>
          <w:szCs w:val="24"/>
        </w:rPr>
        <w:t>Milano</w:t>
      </w:r>
      <w:r w:rsidRPr="00714401">
        <w:rPr>
          <w:rFonts w:ascii="Book Antiqua" w:hAnsi="Book Antiqua"/>
          <w:sz w:val="24"/>
          <w:szCs w:val="24"/>
          <w:lang w:eastAsia="zh-CN"/>
        </w:rPr>
        <w:t>, Italy</w:t>
      </w:r>
    </w:p>
    <w:p w:rsidR="008C0720" w:rsidRPr="00714401" w:rsidRDefault="008C0720" w:rsidP="004F4F1E">
      <w:pPr>
        <w:autoSpaceDE w:val="0"/>
        <w:autoSpaceDN w:val="0"/>
        <w:adjustRightInd w:val="0"/>
        <w:snapToGrid w:val="0"/>
        <w:spacing w:after="0" w:line="360" w:lineRule="auto"/>
        <w:jc w:val="both"/>
        <w:rPr>
          <w:rStyle w:val="Hyperlink"/>
          <w:rFonts w:ascii="Book Antiqua" w:hAnsi="Book Antiqua"/>
          <w:color w:val="auto"/>
          <w:sz w:val="24"/>
          <w:szCs w:val="24"/>
          <w:u w:val="none"/>
          <w:lang w:eastAsia="zh-CN"/>
        </w:rPr>
      </w:pPr>
    </w:p>
    <w:p w:rsidR="00090DAB" w:rsidRPr="00714401" w:rsidRDefault="00090DAB" w:rsidP="004F4F1E">
      <w:pPr>
        <w:adjustRightInd w:val="0"/>
        <w:snapToGrid w:val="0"/>
        <w:spacing w:after="0" w:line="360" w:lineRule="auto"/>
        <w:jc w:val="both"/>
        <w:rPr>
          <w:rFonts w:ascii="Book Antiqua" w:eastAsia="宋体" w:hAnsi="Book Antiqua"/>
          <w:b/>
          <w:sz w:val="24"/>
          <w:szCs w:val="24"/>
          <w:lang w:val="en-US"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714401">
        <w:rPr>
          <w:rFonts w:ascii="Book Antiqua" w:hAnsi="Book Antiqua"/>
          <w:b/>
          <w:sz w:val="24"/>
          <w:szCs w:val="24"/>
          <w:lang w:val="en-US"/>
        </w:rPr>
        <w:t>Author contributions:</w:t>
      </w:r>
      <w:r w:rsidR="006105FE" w:rsidRPr="00714401">
        <w:rPr>
          <w:rFonts w:ascii="Book Antiqua" w:eastAsia="宋体" w:hAnsi="Book Antiqua"/>
          <w:b/>
          <w:sz w:val="24"/>
          <w:szCs w:val="24"/>
          <w:lang w:val="en-US"/>
        </w:rPr>
        <w:t xml:space="preserve"> </w:t>
      </w:r>
      <w:bookmarkStart w:id="12" w:name="OLE_LINK1"/>
      <w:bookmarkStart w:id="13" w:name="OLE_LINK2"/>
      <w:r w:rsidRPr="00714401">
        <w:rPr>
          <w:rFonts w:ascii="Book Antiqua" w:hAnsi="Book Antiqua"/>
          <w:sz w:val="24"/>
          <w:szCs w:val="24"/>
          <w:lang w:val="en-US"/>
        </w:rPr>
        <w:t xml:space="preserve">De </w:t>
      </w:r>
      <w:proofErr w:type="spellStart"/>
      <w:r w:rsidRPr="00714401">
        <w:rPr>
          <w:rFonts w:ascii="Book Antiqua" w:hAnsi="Book Antiqua"/>
          <w:sz w:val="24"/>
          <w:szCs w:val="24"/>
          <w:lang w:val="en-US"/>
        </w:rPr>
        <w:t>Gasperi</w:t>
      </w:r>
      <w:proofErr w:type="spellEnd"/>
      <w:r w:rsidRPr="00714401">
        <w:rPr>
          <w:rFonts w:ascii="Book Antiqua" w:eastAsia="宋体" w:hAnsi="Book Antiqua"/>
          <w:sz w:val="24"/>
          <w:szCs w:val="24"/>
          <w:lang w:val="en-US"/>
        </w:rPr>
        <w:t xml:space="preserve"> A</w:t>
      </w:r>
      <w:r w:rsidR="00077AB9" w:rsidRPr="00714401">
        <w:rPr>
          <w:rFonts w:ascii="Book Antiqua" w:eastAsia="宋体" w:hAnsi="Book Antiqua"/>
          <w:sz w:val="24"/>
          <w:szCs w:val="24"/>
          <w:lang w:val="en-US"/>
        </w:rPr>
        <w:t xml:space="preserve">, </w:t>
      </w:r>
      <w:proofErr w:type="spellStart"/>
      <w:r w:rsidR="00077AB9" w:rsidRPr="00714401">
        <w:rPr>
          <w:rFonts w:ascii="Book Antiqua" w:eastAsia="宋体" w:hAnsi="Book Antiqua"/>
          <w:sz w:val="24"/>
          <w:szCs w:val="24"/>
          <w:lang w:val="en-US"/>
        </w:rPr>
        <w:t>M</w:t>
      </w:r>
      <w:r w:rsidRPr="00714401">
        <w:rPr>
          <w:rFonts w:ascii="Book Antiqua" w:eastAsia="宋体" w:hAnsi="Book Antiqua"/>
          <w:sz w:val="24"/>
          <w:szCs w:val="24"/>
          <w:lang w:val="en-US"/>
        </w:rPr>
        <w:t>azza</w:t>
      </w:r>
      <w:proofErr w:type="spellEnd"/>
      <w:r w:rsidR="00077AB9" w:rsidRPr="00714401">
        <w:rPr>
          <w:rFonts w:ascii="Book Antiqua" w:eastAsia="宋体" w:hAnsi="Book Antiqua"/>
          <w:sz w:val="24"/>
          <w:szCs w:val="24"/>
          <w:lang w:val="en-US"/>
        </w:rPr>
        <w:t xml:space="preserve"> E </w:t>
      </w:r>
      <w:r w:rsidRPr="00714401">
        <w:rPr>
          <w:rFonts w:ascii="Book Antiqua" w:eastAsia="宋体" w:hAnsi="Book Antiqua"/>
          <w:sz w:val="24"/>
          <w:szCs w:val="24"/>
          <w:lang w:val="en-US" w:eastAsia="zh-CN"/>
        </w:rPr>
        <w:t>and</w:t>
      </w:r>
      <w:r w:rsidR="00077AB9" w:rsidRPr="00714401">
        <w:rPr>
          <w:rFonts w:ascii="Book Antiqua" w:eastAsia="宋体" w:hAnsi="Book Antiqua"/>
          <w:sz w:val="24"/>
          <w:szCs w:val="24"/>
          <w:lang w:val="en-US"/>
        </w:rPr>
        <w:t xml:space="preserve"> </w:t>
      </w:r>
      <w:proofErr w:type="spellStart"/>
      <w:r w:rsidR="00077AB9" w:rsidRPr="00714401">
        <w:rPr>
          <w:rFonts w:ascii="Book Antiqua" w:eastAsia="宋体" w:hAnsi="Book Antiqua"/>
          <w:sz w:val="24"/>
          <w:szCs w:val="24"/>
          <w:lang w:val="en-US"/>
        </w:rPr>
        <w:t>P</w:t>
      </w:r>
      <w:r w:rsidRPr="00714401">
        <w:rPr>
          <w:rFonts w:ascii="Book Antiqua" w:eastAsia="宋体" w:hAnsi="Book Antiqua"/>
          <w:sz w:val="24"/>
          <w:szCs w:val="24"/>
          <w:lang w:val="en-US"/>
        </w:rPr>
        <w:t>rosperi</w:t>
      </w:r>
      <w:proofErr w:type="spellEnd"/>
      <w:r w:rsidR="00764986" w:rsidRPr="00714401">
        <w:rPr>
          <w:rFonts w:ascii="Book Antiqua" w:eastAsia="宋体" w:hAnsi="Book Antiqua"/>
          <w:sz w:val="24"/>
          <w:szCs w:val="24"/>
          <w:lang w:val="en-US"/>
        </w:rPr>
        <w:t xml:space="preserve"> M performed literature review and wrote the paper</w:t>
      </w:r>
      <w:r w:rsidRPr="00714401">
        <w:rPr>
          <w:rFonts w:ascii="Book Antiqua" w:eastAsia="宋体" w:hAnsi="Book Antiqua"/>
          <w:sz w:val="24"/>
          <w:szCs w:val="24"/>
          <w:lang w:val="en-US" w:eastAsia="zh-CN"/>
        </w:rPr>
        <w:t>.</w:t>
      </w:r>
    </w:p>
    <w:p w:rsidR="006105FE" w:rsidRPr="00714401" w:rsidRDefault="00764986" w:rsidP="004F4F1E">
      <w:pPr>
        <w:adjustRightInd w:val="0"/>
        <w:snapToGrid w:val="0"/>
        <w:spacing w:after="0" w:line="360" w:lineRule="auto"/>
        <w:jc w:val="both"/>
        <w:rPr>
          <w:rFonts w:ascii="Book Antiqua" w:eastAsia="宋体" w:hAnsi="Book Antiqua"/>
          <w:b/>
          <w:sz w:val="24"/>
          <w:szCs w:val="24"/>
          <w:lang w:val="en-US" w:eastAsia="zh-CN"/>
        </w:rPr>
      </w:pPr>
      <w:r w:rsidRPr="00714401">
        <w:rPr>
          <w:rFonts w:ascii="Book Antiqua" w:eastAsia="宋体" w:hAnsi="Book Antiqua"/>
          <w:b/>
          <w:sz w:val="24"/>
          <w:szCs w:val="24"/>
          <w:lang w:val="en-US" w:eastAsia="zh-CN"/>
        </w:rPr>
        <w:t xml:space="preserve"> </w:t>
      </w:r>
    </w:p>
    <w:p w:rsidR="00011C52" w:rsidRPr="00714401" w:rsidRDefault="00011C52" w:rsidP="004F4F1E">
      <w:pPr>
        <w:spacing w:after="0" w:line="360" w:lineRule="auto"/>
        <w:jc w:val="both"/>
        <w:rPr>
          <w:rFonts w:ascii="Book Antiqua" w:hAnsi="Book Antiqua" w:cs="Garamond"/>
          <w:sz w:val="24"/>
          <w:szCs w:val="24"/>
          <w:lang w:val="en-US"/>
        </w:rPr>
      </w:pPr>
      <w:bookmarkStart w:id="14" w:name="OLE_LINK127"/>
      <w:bookmarkStart w:id="15" w:name="OLE_LINK128"/>
      <w:bookmarkEnd w:id="0"/>
      <w:bookmarkEnd w:id="1"/>
      <w:bookmarkEnd w:id="2"/>
      <w:bookmarkEnd w:id="3"/>
      <w:bookmarkEnd w:id="4"/>
      <w:bookmarkEnd w:id="5"/>
      <w:bookmarkEnd w:id="6"/>
      <w:bookmarkEnd w:id="7"/>
      <w:bookmarkEnd w:id="8"/>
      <w:bookmarkEnd w:id="9"/>
      <w:bookmarkEnd w:id="10"/>
      <w:bookmarkEnd w:id="11"/>
      <w:bookmarkEnd w:id="12"/>
      <w:bookmarkEnd w:id="13"/>
      <w:r w:rsidRPr="00714401">
        <w:rPr>
          <w:rFonts w:ascii="Book Antiqua" w:hAnsi="Book Antiqua" w:cs="TimesNewRomanPS-BoldItalicMT"/>
          <w:b/>
          <w:bCs/>
          <w:iCs/>
          <w:sz w:val="24"/>
          <w:szCs w:val="24"/>
          <w:lang w:val="en-US"/>
        </w:rPr>
        <w:t>Conflict-of-interest</w:t>
      </w:r>
      <w:r w:rsidRPr="00714401">
        <w:rPr>
          <w:rFonts w:ascii="Book Antiqua" w:hAnsi="Book Antiqua"/>
          <w:sz w:val="24"/>
          <w:szCs w:val="24"/>
          <w:lang w:val="en-US"/>
        </w:rPr>
        <w:t xml:space="preserve"> </w:t>
      </w:r>
      <w:r w:rsidRPr="00714401">
        <w:rPr>
          <w:rFonts w:ascii="Book Antiqua" w:hAnsi="Book Antiqua" w:cs="TimesNewRomanPS-BoldItalicMT"/>
          <w:b/>
          <w:bCs/>
          <w:iCs/>
          <w:sz w:val="24"/>
          <w:szCs w:val="24"/>
          <w:lang w:val="en-US"/>
        </w:rPr>
        <w:t xml:space="preserve">statement: </w:t>
      </w:r>
      <w:r w:rsidRPr="00714401">
        <w:rPr>
          <w:rFonts w:ascii="Book Antiqua" w:hAnsi="Book Antiqua"/>
          <w:sz w:val="24"/>
          <w:szCs w:val="24"/>
          <w:lang w:val="en-US" w:eastAsia="zh-CN"/>
        </w:rPr>
        <w:t xml:space="preserve">De </w:t>
      </w:r>
      <w:proofErr w:type="spellStart"/>
      <w:r w:rsidRPr="00714401">
        <w:rPr>
          <w:rFonts w:ascii="Book Antiqua" w:hAnsi="Book Antiqua"/>
          <w:sz w:val="24"/>
          <w:szCs w:val="24"/>
          <w:lang w:val="en-US" w:eastAsia="zh-CN"/>
        </w:rPr>
        <w:t>Gasperi</w:t>
      </w:r>
      <w:proofErr w:type="spellEnd"/>
      <w:r w:rsidRPr="00714401">
        <w:rPr>
          <w:rFonts w:ascii="Book Antiqua" w:hAnsi="Book Antiqua"/>
          <w:sz w:val="24"/>
          <w:szCs w:val="24"/>
          <w:lang w:val="en-US" w:eastAsia="zh-CN"/>
        </w:rPr>
        <w:t xml:space="preserve"> A had fees for serving as a speaker for lectures and travel reimbursements from </w:t>
      </w:r>
      <w:proofErr w:type="spellStart"/>
      <w:r w:rsidRPr="00714401">
        <w:rPr>
          <w:rFonts w:ascii="Book Antiqua" w:hAnsi="Book Antiqua"/>
          <w:sz w:val="24"/>
          <w:szCs w:val="24"/>
          <w:lang w:val="en-US" w:eastAsia="zh-CN"/>
        </w:rPr>
        <w:t>Astellas</w:t>
      </w:r>
      <w:proofErr w:type="spellEnd"/>
      <w:r w:rsidRPr="00714401">
        <w:rPr>
          <w:rFonts w:ascii="Book Antiqua" w:hAnsi="Book Antiqua"/>
          <w:sz w:val="24"/>
          <w:szCs w:val="24"/>
          <w:lang w:val="en-US" w:eastAsia="zh-CN"/>
        </w:rPr>
        <w:t xml:space="preserve">, Pfizer, Edwards, SEDA Italia Gilead, MSD, Fresenius </w:t>
      </w:r>
      <w:proofErr w:type="spellStart"/>
      <w:r w:rsidRPr="00714401">
        <w:rPr>
          <w:rFonts w:ascii="Book Antiqua" w:hAnsi="Book Antiqua"/>
          <w:sz w:val="24"/>
          <w:szCs w:val="24"/>
          <w:lang w:val="en-US" w:eastAsia="zh-CN"/>
        </w:rPr>
        <w:t>Kabi</w:t>
      </w:r>
      <w:proofErr w:type="spellEnd"/>
      <w:r w:rsidRPr="00714401">
        <w:rPr>
          <w:rFonts w:ascii="Book Antiqua" w:hAnsi="Book Antiqua"/>
          <w:sz w:val="24"/>
          <w:szCs w:val="24"/>
          <w:lang w:val="en-US" w:eastAsia="zh-CN"/>
        </w:rPr>
        <w:t xml:space="preserve">, </w:t>
      </w:r>
      <w:proofErr w:type="spellStart"/>
      <w:r w:rsidRPr="00714401">
        <w:rPr>
          <w:rFonts w:ascii="Book Antiqua" w:hAnsi="Book Antiqua"/>
          <w:sz w:val="24"/>
          <w:szCs w:val="24"/>
          <w:lang w:val="en-US" w:eastAsia="zh-CN"/>
        </w:rPr>
        <w:t>Grifols</w:t>
      </w:r>
      <w:proofErr w:type="spellEnd"/>
      <w:r w:rsidRPr="00714401">
        <w:rPr>
          <w:rFonts w:ascii="Book Antiqua" w:hAnsi="Book Antiqua"/>
          <w:sz w:val="24"/>
          <w:szCs w:val="24"/>
          <w:lang w:val="en-US" w:eastAsia="zh-CN"/>
        </w:rPr>
        <w:t xml:space="preserve">; </w:t>
      </w:r>
      <w:proofErr w:type="spellStart"/>
      <w:r w:rsidRPr="00714401">
        <w:rPr>
          <w:rFonts w:ascii="Book Antiqua" w:hAnsi="Book Antiqua"/>
          <w:sz w:val="24"/>
          <w:szCs w:val="24"/>
          <w:lang w:val="en-US" w:eastAsia="zh-CN"/>
        </w:rPr>
        <w:t>Mazza</w:t>
      </w:r>
      <w:proofErr w:type="spellEnd"/>
      <w:r w:rsidRPr="00714401">
        <w:rPr>
          <w:rFonts w:ascii="Book Antiqua" w:hAnsi="Book Antiqua"/>
          <w:sz w:val="24"/>
          <w:szCs w:val="24"/>
          <w:lang w:val="en-US" w:eastAsia="zh-CN"/>
        </w:rPr>
        <w:t xml:space="preserve"> E and </w:t>
      </w:r>
      <w:proofErr w:type="spellStart"/>
      <w:r w:rsidRPr="00714401">
        <w:rPr>
          <w:rFonts w:ascii="Book Antiqua" w:hAnsi="Book Antiqua"/>
          <w:sz w:val="24"/>
          <w:szCs w:val="24"/>
          <w:lang w:val="en-US" w:eastAsia="zh-CN"/>
        </w:rPr>
        <w:t>Prosperi</w:t>
      </w:r>
      <w:proofErr w:type="spellEnd"/>
      <w:r w:rsidRPr="00714401">
        <w:rPr>
          <w:rFonts w:ascii="Book Antiqua" w:hAnsi="Book Antiqua"/>
          <w:sz w:val="24"/>
          <w:szCs w:val="24"/>
          <w:lang w:val="en-US" w:eastAsia="zh-CN"/>
        </w:rPr>
        <w:t xml:space="preserve"> M have no conflicts of interest.</w:t>
      </w:r>
    </w:p>
    <w:p w:rsidR="00011C52" w:rsidRPr="00714401" w:rsidRDefault="00011C52" w:rsidP="004F4F1E">
      <w:pPr>
        <w:spacing w:after="0" w:line="360" w:lineRule="auto"/>
        <w:jc w:val="both"/>
        <w:rPr>
          <w:rFonts w:ascii="Book Antiqua" w:hAnsi="Book Antiqua" w:cs="Garamond"/>
          <w:sz w:val="24"/>
          <w:szCs w:val="24"/>
          <w:lang w:val="en-US"/>
        </w:rPr>
      </w:pPr>
    </w:p>
    <w:p w:rsidR="00011C52" w:rsidRPr="00714401" w:rsidRDefault="00011C52" w:rsidP="004F4F1E">
      <w:pPr>
        <w:spacing w:after="0" w:line="360" w:lineRule="auto"/>
        <w:jc w:val="both"/>
        <w:rPr>
          <w:rFonts w:ascii="Book Antiqua" w:hAnsi="Book Antiqua"/>
          <w:sz w:val="24"/>
          <w:szCs w:val="24"/>
        </w:rPr>
      </w:pPr>
      <w:bookmarkStart w:id="16" w:name="OLE_LINK507"/>
      <w:bookmarkStart w:id="17" w:name="OLE_LINK506"/>
      <w:bookmarkStart w:id="18" w:name="OLE_LINK496"/>
      <w:bookmarkStart w:id="19" w:name="OLE_LINK479"/>
      <w:r w:rsidRPr="00714401">
        <w:rPr>
          <w:rFonts w:ascii="Book Antiqua" w:hAnsi="Book Antiqua"/>
          <w:b/>
          <w:sz w:val="24"/>
          <w:szCs w:val="24"/>
          <w:lang w:val="en-US"/>
        </w:rPr>
        <w:t xml:space="preserve">Open-Access: </w:t>
      </w:r>
      <w:r w:rsidRPr="00714401">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714401">
        <w:rPr>
          <w:rFonts w:ascii="Book Antiqua" w:hAnsi="Book Antiqua"/>
          <w:sz w:val="24"/>
          <w:szCs w:val="24"/>
        </w:rPr>
        <w:t xml:space="preserve">See: </w:t>
      </w:r>
      <w:hyperlink r:id="rId9" w:history="1">
        <w:r w:rsidRPr="00714401">
          <w:rPr>
            <w:rStyle w:val="Hyperlink"/>
            <w:rFonts w:ascii="Book Antiqua" w:hAnsi="Book Antiqua"/>
            <w:color w:val="auto"/>
            <w:sz w:val="24"/>
            <w:szCs w:val="24"/>
            <w:u w:val="none"/>
          </w:rPr>
          <w:t>http://creativecommons.org/licenses/by-nc/4.0/</w:t>
        </w:r>
      </w:hyperlink>
      <w:bookmarkEnd w:id="16"/>
      <w:bookmarkEnd w:id="17"/>
      <w:bookmarkEnd w:id="18"/>
      <w:bookmarkEnd w:id="19"/>
    </w:p>
    <w:p w:rsidR="006105FE" w:rsidRPr="00714401" w:rsidRDefault="006105FE" w:rsidP="004F4F1E">
      <w:pPr>
        <w:pStyle w:val="CommentText"/>
        <w:adjustRightInd w:val="0"/>
        <w:snapToGrid w:val="0"/>
        <w:spacing w:after="0" w:line="360" w:lineRule="auto"/>
        <w:jc w:val="both"/>
        <w:rPr>
          <w:rFonts w:ascii="Book Antiqua" w:hAnsi="Book Antiqua" w:cs="Gulim"/>
          <w:b/>
          <w:sz w:val="24"/>
          <w:szCs w:val="24"/>
          <w:lang w:eastAsia="zh-CN"/>
        </w:rPr>
      </w:pPr>
    </w:p>
    <w:bookmarkEnd w:id="14"/>
    <w:bookmarkEnd w:id="15"/>
    <w:p w:rsidR="006105FE" w:rsidRPr="00714401" w:rsidRDefault="00090DAB" w:rsidP="004F4F1E">
      <w:pPr>
        <w:autoSpaceDE w:val="0"/>
        <w:autoSpaceDN w:val="0"/>
        <w:adjustRightInd w:val="0"/>
        <w:snapToGrid w:val="0"/>
        <w:spacing w:after="0" w:line="360" w:lineRule="auto"/>
        <w:jc w:val="both"/>
        <w:rPr>
          <w:rStyle w:val="Hyperlink"/>
          <w:rFonts w:ascii="Book Antiqua" w:eastAsia="宋体" w:hAnsi="Book Antiqua"/>
          <w:b/>
          <w:color w:val="auto"/>
          <w:sz w:val="24"/>
          <w:szCs w:val="24"/>
          <w:u w:val="none"/>
          <w:lang w:eastAsia="zh-CN"/>
        </w:rPr>
      </w:pPr>
      <w:r w:rsidRPr="00714401">
        <w:rPr>
          <w:rFonts w:ascii="Book Antiqua" w:hAnsi="Book Antiqua"/>
          <w:b/>
          <w:sz w:val="24"/>
          <w:szCs w:val="24"/>
        </w:rPr>
        <w:t>Correspondence to:</w:t>
      </w:r>
      <w:r w:rsidRPr="00714401">
        <w:rPr>
          <w:rFonts w:ascii="Book Antiqua" w:hAnsi="Book Antiqua"/>
          <w:b/>
          <w:sz w:val="24"/>
          <w:szCs w:val="24"/>
          <w:lang w:eastAsia="zh-CN"/>
        </w:rPr>
        <w:t xml:space="preserve"> </w:t>
      </w:r>
      <w:r w:rsidR="00C939A4" w:rsidRPr="00714401">
        <w:rPr>
          <w:rFonts w:ascii="Book Antiqua" w:eastAsia="宋体" w:hAnsi="Book Antiqua"/>
          <w:b/>
          <w:sz w:val="24"/>
          <w:szCs w:val="24"/>
          <w:lang w:eastAsia="zh-CN"/>
        </w:rPr>
        <w:t xml:space="preserve">Andrea De Gasperi, </w:t>
      </w:r>
      <w:r w:rsidRPr="00714401">
        <w:rPr>
          <w:rFonts w:ascii="Book Antiqua" w:eastAsia="宋体" w:hAnsi="Book Antiqua"/>
          <w:b/>
          <w:sz w:val="24"/>
          <w:szCs w:val="24"/>
          <w:lang w:eastAsia="zh-CN"/>
        </w:rPr>
        <w:t>MD,</w:t>
      </w:r>
      <w:r w:rsidR="00077AB9" w:rsidRPr="00714401">
        <w:rPr>
          <w:rFonts w:ascii="Book Antiqua" w:eastAsia="宋体" w:hAnsi="Book Antiqua"/>
          <w:b/>
          <w:sz w:val="24"/>
          <w:szCs w:val="24"/>
          <w:lang w:eastAsia="zh-CN"/>
        </w:rPr>
        <w:t xml:space="preserve"> </w:t>
      </w:r>
      <w:r w:rsidR="00077AB9" w:rsidRPr="00714401">
        <w:rPr>
          <w:rFonts w:ascii="Book Antiqua" w:hAnsi="Book Antiqua"/>
          <w:sz w:val="24"/>
          <w:szCs w:val="24"/>
        </w:rPr>
        <w:t>2° Servizio Anestesia e Rianimazione</w:t>
      </w:r>
      <w:r w:rsidRPr="00714401">
        <w:rPr>
          <w:rFonts w:ascii="Book Antiqua" w:hAnsi="Book Antiqua"/>
          <w:sz w:val="24"/>
          <w:szCs w:val="24"/>
          <w:lang w:eastAsia="zh-CN"/>
        </w:rPr>
        <w:t>,</w:t>
      </w:r>
      <w:r w:rsidR="00077AB9" w:rsidRPr="00714401">
        <w:rPr>
          <w:rFonts w:ascii="Book Antiqua" w:hAnsi="Book Antiqua"/>
          <w:sz w:val="24"/>
          <w:szCs w:val="24"/>
        </w:rPr>
        <w:t xml:space="preserve"> Ospedale Niguarda Ca’ Granda</w:t>
      </w:r>
      <w:r w:rsidRPr="00714401">
        <w:rPr>
          <w:rFonts w:ascii="Book Antiqua" w:hAnsi="Book Antiqua"/>
          <w:sz w:val="24"/>
          <w:szCs w:val="24"/>
          <w:lang w:eastAsia="zh-CN"/>
        </w:rPr>
        <w:t>,</w:t>
      </w:r>
      <w:r w:rsidR="00011C52" w:rsidRPr="00714401">
        <w:rPr>
          <w:rFonts w:ascii="Book Antiqua" w:hAnsi="Book Antiqua"/>
          <w:sz w:val="24"/>
          <w:szCs w:val="24"/>
          <w:lang w:eastAsia="zh-CN"/>
        </w:rPr>
        <w:t xml:space="preserve"> </w:t>
      </w:r>
      <w:r w:rsidR="00077AB9" w:rsidRPr="00714401">
        <w:rPr>
          <w:rFonts w:ascii="Book Antiqua" w:hAnsi="Book Antiqua"/>
          <w:sz w:val="24"/>
          <w:szCs w:val="24"/>
        </w:rPr>
        <w:t>Piazza Ospedale Maggiore 3</w:t>
      </w:r>
      <w:r w:rsidRPr="00714401">
        <w:rPr>
          <w:rFonts w:ascii="Book Antiqua" w:hAnsi="Book Antiqua"/>
          <w:sz w:val="24"/>
          <w:szCs w:val="24"/>
          <w:lang w:eastAsia="zh-CN"/>
        </w:rPr>
        <w:t>,</w:t>
      </w:r>
      <w:r w:rsidRPr="00714401">
        <w:rPr>
          <w:rFonts w:ascii="Book Antiqua" w:hAnsi="Book Antiqua"/>
          <w:sz w:val="24"/>
          <w:szCs w:val="24"/>
        </w:rPr>
        <w:t xml:space="preserve"> 20162</w:t>
      </w:r>
      <w:r w:rsidR="00077AB9" w:rsidRPr="00714401">
        <w:rPr>
          <w:rFonts w:ascii="Book Antiqua" w:hAnsi="Book Antiqua"/>
          <w:sz w:val="24"/>
          <w:szCs w:val="24"/>
        </w:rPr>
        <w:t xml:space="preserve"> Milano</w:t>
      </w:r>
      <w:r w:rsidRPr="00714401">
        <w:rPr>
          <w:rFonts w:ascii="Book Antiqua" w:hAnsi="Book Antiqua"/>
          <w:sz w:val="24"/>
          <w:szCs w:val="24"/>
          <w:lang w:eastAsia="zh-CN"/>
        </w:rPr>
        <w:t>, Italy.</w:t>
      </w:r>
      <w:r w:rsidRPr="00714401">
        <w:rPr>
          <w:rFonts w:ascii="Book Antiqua" w:eastAsia="宋体" w:hAnsi="Book Antiqua"/>
          <w:b/>
          <w:sz w:val="24"/>
          <w:szCs w:val="24"/>
          <w:lang w:eastAsia="zh-CN"/>
        </w:rPr>
        <w:t xml:space="preserve"> </w:t>
      </w:r>
      <w:r w:rsidR="00077AB9" w:rsidRPr="00714401">
        <w:rPr>
          <w:rFonts w:ascii="Book Antiqua" w:hAnsi="Book Antiqua"/>
          <w:sz w:val="24"/>
          <w:szCs w:val="24"/>
        </w:rPr>
        <w:t>andrea.degasperi@ospedaleniguarda.it</w:t>
      </w:r>
    </w:p>
    <w:p w:rsidR="006105FE" w:rsidRPr="00714401" w:rsidRDefault="006105FE" w:rsidP="004F4F1E">
      <w:pPr>
        <w:spacing w:after="0" w:line="360" w:lineRule="auto"/>
        <w:jc w:val="both"/>
        <w:rPr>
          <w:rFonts w:ascii="Book Antiqua" w:eastAsia="宋体" w:hAnsi="Book Antiqua" w:cs="Times New Roman"/>
          <w:sz w:val="24"/>
          <w:szCs w:val="24"/>
          <w:lang w:val="en-US" w:eastAsia="zh-CN"/>
        </w:rPr>
      </w:pPr>
      <w:bookmarkStart w:id="20" w:name="OLE_LINK121"/>
      <w:bookmarkStart w:id="21" w:name="OLE_LINK122"/>
      <w:bookmarkStart w:id="22" w:name="OLE_LINK147"/>
      <w:bookmarkStart w:id="23" w:name="OLE_LINK148"/>
      <w:bookmarkStart w:id="24" w:name="OLE_LINK156"/>
      <w:bookmarkStart w:id="25" w:name="OLE_LINK157"/>
      <w:r w:rsidRPr="00714401">
        <w:rPr>
          <w:rFonts w:ascii="Book Antiqua" w:hAnsi="Book Antiqua" w:cs="Times New Roman"/>
          <w:b/>
          <w:sz w:val="24"/>
          <w:szCs w:val="24"/>
          <w:lang w:val="en-US"/>
        </w:rPr>
        <w:t>Telephone:</w:t>
      </w:r>
      <w:r w:rsidRPr="00714401">
        <w:rPr>
          <w:rFonts w:ascii="Book Antiqua" w:hAnsi="Book Antiqua" w:cs="Times New Roman"/>
          <w:b/>
          <w:sz w:val="24"/>
          <w:szCs w:val="24"/>
          <w:lang w:val="en-US" w:eastAsia="zh-CN"/>
        </w:rPr>
        <w:t xml:space="preserve"> </w:t>
      </w:r>
      <w:r w:rsidR="004F3C8A" w:rsidRPr="00714401">
        <w:rPr>
          <w:rFonts w:ascii="Book Antiqua" w:eastAsia="宋体" w:hAnsi="Book Antiqua" w:cs="Times New Roman"/>
          <w:sz w:val="24"/>
          <w:szCs w:val="24"/>
          <w:lang w:val="en-US" w:eastAsia="zh-CN"/>
        </w:rPr>
        <w:t>+39</w:t>
      </w:r>
      <w:r w:rsidR="00090DAB" w:rsidRPr="00714401">
        <w:rPr>
          <w:rFonts w:ascii="Book Antiqua" w:eastAsia="宋体" w:hAnsi="Book Antiqua" w:cs="Times New Roman"/>
          <w:sz w:val="24"/>
          <w:szCs w:val="24"/>
          <w:lang w:val="en-US" w:eastAsia="zh-CN"/>
        </w:rPr>
        <w:t>-</w:t>
      </w:r>
      <w:r w:rsidR="004F3C8A" w:rsidRPr="00714401">
        <w:rPr>
          <w:rFonts w:ascii="Book Antiqua" w:eastAsia="宋体" w:hAnsi="Book Antiqua" w:cs="Times New Roman"/>
          <w:sz w:val="24"/>
          <w:szCs w:val="24"/>
          <w:lang w:val="en-US" w:eastAsia="zh-CN"/>
        </w:rPr>
        <w:t>2</w:t>
      </w:r>
      <w:r w:rsidR="00090DAB" w:rsidRPr="00714401">
        <w:rPr>
          <w:rFonts w:ascii="Book Antiqua" w:eastAsia="宋体" w:hAnsi="Book Antiqua" w:cs="Times New Roman"/>
          <w:sz w:val="24"/>
          <w:szCs w:val="24"/>
          <w:lang w:val="en-US" w:eastAsia="zh-CN"/>
        </w:rPr>
        <w:t>-</w:t>
      </w:r>
      <w:r w:rsidR="004F3C8A" w:rsidRPr="00714401">
        <w:rPr>
          <w:rFonts w:ascii="Book Antiqua" w:eastAsia="宋体" w:hAnsi="Book Antiqua" w:cs="Times New Roman"/>
          <w:sz w:val="24"/>
          <w:szCs w:val="24"/>
          <w:lang w:val="en-US" w:eastAsia="zh-CN"/>
        </w:rPr>
        <w:t>64444617</w:t>
      </w:r>
    </w:p>
    <w:p w:rsidR="006105FE" w:rsidRPr="00714401" w:rsidRDefault="006105FE" w:rsidP="004F4F1E">
      <w:pPr>
        <w:spacing w:after="0" w:line="360" w:lineRule="auto"/>
        <w:jc w:val="both"/>
        <w:rPr>
          <w:rFonts w:ascii="Book Antiqua" w:eastAsia="宋体" w:hAnsi="Book Antiqua" w:cs="Times New Roman"/>
          <w:sz w:val="24"/>
          <w:szCs w:val="24"/>
          <w:lang w:val="en-US" w:eastAsia="zh-CN"/>
        </w:rPr>
      </w:pPr>
      <w:r w:rsidRPr="00714401">
        <w:rPr>
          <w:rFonts w:ascii="Book Antiqua" w:hAnsi="Book Antiqua" w:cs="Times New Roman"/>
          <w:b/>
          <w:sz w:val="24"/>
          <w:szCs w:val="24"/>
          <w:lang w:val="en-US"/>
        </w:rPr>
        <w:lastRenderedPageBreak/>
        <w:t>Fax:</w:t>
      </w:r>
      <w:r w:rsidRPr="00714401">
        <w:rPr>
          <w:rFonts w:ascii="Book Antiqua" w:hAnsi="Book Antiqua" w:cs="Times New Roman"/>
          <w:sz w:val="24"/>
          <w:szCs w:val="24"/>
          <w:lang w:val="en-US"/>
        </w:rPr>
        <w:t xml:space="preserve"> </w:t>
      </w:r>
      <w:r w:rsidR="00762B86" w:rsidRPr="00714401">
        <w:rPr>
          <w:rFonts w:ascii="Book Antiqua" w:hAnsi="Book Antiqua" w:cs="Times New Roman"/>
          <w:sz w:val="24"/>
          <w:szCs w:val="24"/>
          <w:lang w:val="en-US" w:eastAsia="zh-CN"/>
        </w:rPr>
        <w:t>+</w:t>
      </w:r>
      <w:r w:rsidR="004F3C8A" w:rsidRPr="00714401">
        <w:rPr>
          <w:rFonts w:ascii="Book Antiqua" w:hAnsi="Book Antiqua" w:cs="Times New Roman"/>
          <w:sz w:val="24"/>
          <w:szCs w:val="24"/>
          <w:lang w:val="en-US" w:eastAsia="zh-CN"/>
        </w:rPr>
        <w:t>39</w:t>
      </w:r>
      <w:r w:rsidR="00090DAB" w:rsidRPr="00714401">
        <w:rPr>
          <w:rFonts w:ascii="Book Antiqua" w:hAnsi="Book Antiqua" w:cs="Times New Roman"/>
          <w:sz w:val="24"/>
          <w:szCs w:val="24"/>
          <w:lang w:val="en-US" w:eastAsia="zh-CN"/>
        </w:rPr>
        <w:t>-2-6444</w:t>
      </w:r>
      <w:r w:rsidR="00C939A4" w:rsidRPr="00714401">
        <w:rPr>
          <w:rFonts w:ascii="Book Antiqua" w:hAnsi="Book Antiqua" w:cs="Times New Roman"/>
          <w:sz w:val="24"/>
          <w:szCs w:val="24"/>
          <w:lang w:val="en-US" w:eastAsia="zh-CN"/>
        </w:rPr>
        <w:t>4891</w:t>
      </w:r>
    </w:p>
    <w:p w:rsidR="00090DAB" w:rsidRPr="00714401" w:rsidRDefault="00090DAB" w:rsidP="004F4F1E">
      <w:pPr>
        <w:spacing w:after="0" w:line="360" w:lineRule="auto"/>
        <w:jc w:val="both"/>
        <w:rPr>
          <w:rFonts w:ascii="Book Antiqua" w:hAnsi="Book Antiqua"/>
          <w:b/>
          <w:sz w:val="24"/>
          <w:szCs w:val="24"/>
          <w:lang w:val="en-US" w:eastAsia="zh-CN"/>
        </w:rPr>
      </w:pPr>
    </w:p>
    <w:p w:rsidR="006105FE" w:rsidRPr="00714401" w:rsidRDefault="006105FE" w:rsidP="004F4F1E">
      <w:pPr>
        <w:spacing w:after="0" w:line="360" w:lineRule="auto"/>
        <w:jc w:val="both"/>
        <w:rPr>
          <w:rFonts w:ascii="Book Antiqua" w:hAnsi="Book Antiqua"/>
          <w:b/>
          <w:sz w:val="24"/>
          <w:szCs w:val="24"/>
          <w:lang w:val="en-US"/>
        </w:rPr>
      </w:pPr>
      <w:r w:rsidRPr="00714401">
        <w:rPr>
          <w:rFonts w:ascii="Book Antiqua" w:hAnsi="Book Antiqua"/>
          <w:b/>
          <w:sz w:val="24"/>
          <w:szCs w:val="24"/>
          <w:lang w:val="en-US"/>
        </w:rPr>
        <w:t>Received:</w:t>
      </w:r>
      <w:r w:rsidR="0076063F" w:rsidRPr="00714401">
        <w:rPr>
          <w:rFonts w:ascii="Book Antiqua" w:hAnsi="Book Antiqua"/>
          <w:b/>
          <w:sz w:val="24"/>
          <w:szCs w:val="24"/>
          <w:lang w:val="en-US"/>
        </w:rPr>
        <w:t xml:space="preserve"> </w:t>
      </w:r>
      <w:r w:rsidR="008429EF" w:rsidRPr="00714401">
        <w:rPr>
          <w:rFonts w:ascii="Book Antiqua" w:hAnsi="Book Antiqua"/>
          <w:sz w:val="24"/>
          <w:szCs w:val="24"/>
          <w:lang w:val="en-US" w:eastAsia="zh-CN"/>
        </w:rPr>
        <w:t>March 23, 2015</w:t>
      </w:r>
      <w:r w:rsidRPr="00714401">
        <w:rPr>
          <w:rFonts w:ascii="Book Antiqua" w:hAnsi="Book Antiqua"/>
          <w:sz w:val="24"/>
          <w:szCs w:val="24"/>
          <w:lang w:val="en-US"/>
        </w:rPr>
        <w:t xml:space="preserve"> </w:t>
      </w:r>
    </w:p>
    <w:p w:rsidR="006105FE" w:rsidRPr="00714401" w:rsidRDefault="006105FE" w:rsidP="004F4F1E">
      <w:pPr>
        <w:spacing w:after="0" w:line="360" w:lineRule="auto"/>
        <w:jc w:val="both"/>
        <w:rPr>
          <w:rFonts w:ascii="Book Antiqua" w:hAnsi="Book Antiqua"/>
          <w:b/>
          <w:sz w:val="24"/>
          <w:szCs w:val="24"/>
          <w:lang w:val="en-US"/>
        </w:rPr>
      </w:pPr>
      <w:r w:rsidRPr="00714401">
        <w:rPr>
          <w:rFonts w:ascii="Book Antiqua" w:hAnsi="Book Antiqua"/>
          <w:b/>
          <w:sz w:val="24"/>
          <w:szCs w:val="24"/>
          <w:lang w:val="en-US"/>
        </w:rPr>
        <w:t>Peer-review started:</w:t>
      </w:r>
      <w:r w:rsidR="008429EF" w:rsidRPr="00714401">
        <w:rPr>
          <w:rFonts w:ascii="Book Antiqua" w:hAnsi="Book Antiqua"/>
          <w:sz w:val="24"/>
          <w:szCs w:val="24"/>
          <w:lang w:val="en-US" w:eastAsia="zh-CN"/>
        </w:rPr>
        <w:t xml:space="preserve"> March 25, 2015</w:t>
      </w:r>
    </w:p>
    <w:p w:rsidR="006105FE" w:rsidRPr="00714401" w:rsidRDefault="006105FE" w:rsidP="004F4F1E">
      <w:pPr>
        <w:spacing w:after="0" w:line="360" w:lineRule="auto"/>
        <w:jc w:val="both"/>
        <w:rPr>
          <w:rFonts w:ascii="Book Antiqua" w:hAnsi="Book Antiqua"/>
          <w:b/>
          <w:sz w:val="24"/>
          <w:szCs w:val="24"/>
          <w:lang w:val="en-US" w:eastAsia="zh-CN"/>
        </w:rPr>
      </w:pPr>
      <w:bookmarkStart w:id="26" w:name="OLE_LINK21"/>
      <w:bookmarkStart w:id="27" w:name="OLE_LINK22"/>
      <w:r w:rsidRPr="00714401">
        <w:rPr>
          <w:rFonts w:ascii="Book Antiqua" w:hAnsi="Book Antiqua"/>
          <w:b/>
          <w:sz w:val="24"/>
          <w:szCs w:val="24"/>
          <w:lang w:val="en-US"/>
        </w:rPr>
        <w:t>First decision:</w:t>
      </w:r>
      <w:r w:rsidR="008429EF" w:rsidRPr="00714401">
        <w:rPr>
          <w:rFonts w:ascii="Book Antiqua" w:hAnsi="Book Antiqua"/>
          <w:sz w:val="24"/>
          <w:szCs w:val="24"/>
          <w:lang w:val="en-US" w:eastAsia="zh-CN"/>
        </w:rPr>
        <w:t xml:space="preserve"> May 18, 2015</w:t>
      </w:r>
    </w:p>
    <w:bookmarkEnd w:id="26"/>
    <w:bookmarkEnd w:id="27"/>
    <w:p w:rsidR="006105FE" w:rsidRPr="00714401" w:rsidRDefault="006105FE" w:rsidP="004F4F1E">
      <w:pPr>
        <w:spacing w:after="0" w:line="360" w:lineRule="auto"/>
        <w:jc w:val="both"/>
        <w:rPr>
          <w:rFonts w:ascii="Book Antiqua" w:hAnsi="Book Antiqua"/>
          <w:b/>
          <w:sz w:val="24"/>
          <w:szCs w:val="24"/>
          <w:lang w:val="en-US"/>
        </w:rPr>
      </w:pPr>
      <w:r w:rsidRPr="00714401">
        <w:rPr>
          <w:rFonts w:ascii="Book Antiqua" w:hAnsi="Book Antiqua"/>
          <w:b/>
          <w:sz w:val="24"/>
          <w:szCs w:val="24"/>
          <w:lang w:val="en-US"/>
        </w:rPr>
        <w:t xml:space="preserve">Revised: </w:t>
      </w:r>
      <w:r w:rsidR="002D1C39" w:rsidRPr="00714401">
        <w:rPr>
          <w:rFonts w:ascii="Book Antiqua" w:hAnsi="Book Antiqua"/>
          <w:sz w:val="24"/>
          <w:szCs w:val="24"/>
          <w:lang w:val="en-US" w:eastAsia="zh-CN"/>
        </w:rPr>
        <w:t>February 1</w:t>
      </w:r>
      <w:r w:rsidR="008429EF" w:rsidRPr="00714401">
        <w:rPr>
          <w:rFonts w:ascii="Book Antiqua" w:hAnsi="Book Antiqua"/>
          <w:sz w:val="24"/>
          <w:szCs w:val="24"/>
          <w:lang w:val="en-US" w:eastAsia="zh-CN"/>
        </w:rPr>
        <w:t>, 201</w:t>
      </w:r>
      <w:r w:rsidR="002D1C39" w:rsidRPr="00714401">
        <w:rPr>
          <w:rFonts w:ascii="Book Antiqua" w:hAnsi="Book Antiqua"/>
          <w:sz w:val="24"/>
          <w:szCs w:val="24"/>
          <w:lang w:val="en-US" w:eastAsia="zh-CN"/>
        </w:rPr>
        <w:t>6</w:t>
      </w:r>
    </w:p>
    <w:p w:rsidR="006105FE" w:rsidRPr="0064411C" w:rsidRDefault="006105FE" w:rsidP="0064411C">
      <w:pPr>
        <w:rPr>
          <w:rFonts w:ascii="Book Antiqua" w:hAnsi="Book Antiqua"/>
          <w:iCs/>
          <w:sz w:val="24"/>
        </w:rPr>
      </w:pPr>
      <w:r w:rsidRPr="00714401">
        <w:rPr>
          <w:rFonts w:ascii="Book Antiqua" w:hAnsi="Book Antiqua"/>
          <w:b/>
          <w:sz w:val="24"/>
          <w:szCs w:val="24"/>
          <w:lang w:val="en-US"/>
        </w:rPr>
        <w:t>Accepted:</w:t>
      </w:r>
      <w:r w:rsidR="0076063F" w:rsidRPr="00714401">
        <w:rPr>
          <w:rFonts w:ascii="Book Antiqua" w:hAnsi="Book Antiqua"/>
          <w:b/>
          <w:sz w:val="24"/>
          <w:szCs w:val="24"/>
          <w:lang w:val="en-US"/>
        </w:rPr>
        <w:t xml:space="preserve"> </w:t>
      </w:r>
      <w:proofErr w:type="spellStart"/>
      <w:r w:rsidR="0064411C">
        <w:rPr>
          <w:rStyle w:val="Emphasis"/>
        </w:rPr>
        <w:t>February</w:t>
      </w:r>
      <w:proofErr w:type="spellEnd"/>
      <w:r w:rsidR="0064411C">
        <w:rPr>
          <w:rStyle w:val="Emphasis"/>
        </w:rPr>
        <w:t xml:space="preserve"> </w:t>
      </w:r>
      <w:r w:rsidR="0064411C">
        <w:rPr>
          <w:rStyle w:val="Emphasis"/>
          <w:rFonts w:ascii="宋体" w:hAnsi="宋体" w:cs="宋体" w:hint="eastAsia"/>
        </w:rPr>
        <w:t>23</w:t>
      </w:r>
      <w:r w:rsidR="0064411C" w:rsidRPr="00235CD4">
        <w:rPr>
          <w:rStyle w:val="Emphasis"/>
        </w:rPr>
        <w:t>,</w:t>
      </w:r>
      <w:r w:rsidR="0064411C">
        <w:rPr>
          <w:rStyle w:val="Emphasis"/>
        </w:rPr>
        <w:t xml:space="preserve"> 2016</w:t>
      </w:r>
      <w:bookmarkStart w:id="28" w:name="_GoBack"/>
      <w:bookmarkEnd w:id="28"/>
    </w:p>
    <w:p w:rsidR="006105FE" w:rsidRPr="00714401" w:rsidRDefault="006105FE" w:rsidP="004F4F1E">
      <w:pPr>
        <w:spacing w:after="0" w:line="360" w:lineRule="auto"/>
        <w:jc w:val="both"/>
        <w:rPr>
          <w:rFonts w:ascii="Book Antiqua" w:hAnsi="Book Antiqua"/>
          <w:b/>
          <w:sz w:val="24"/>
          <w:szCs w:val="24"/>
          <w:lang w:val="en-US"/>
        </w:rPr>
      </w:pPr>
      <w:r w:rsidRPr="00714401">
        <w:rPr>
          <w:rFonts w:ascii="Book Antiqua" w:hAnsi="Book Antiqua"/>
          <w:b/>
          <w:sz w:val="24"/>
          <w:szCs w:val="24"/>
          <w:lang w:val="en-US"/>
        </w:rPr>
        <w:t>Article in press:</w:t>
      </w:r>
    </w:p>
    <w:p w:rsidR="006105FE" w:rsidRPr="00714401" w:rsidRDefault="006105FE" w:rsidP="004F4F1E">
      <w:pPr>
        <w:spacing w:after="0" w:line="360" w:lineRule="auto"/>
        <w:jc w:val="both"/>
        <w:rPr>
          <w:rFonts w:ascii="Book Antiqua" w:hAnsi="Book Antiqua"/>
          <w:b/>
          <w:sz w:val="24"/>
          <w:szCs w:val="24"/>
          <w:lang w:val="en-US"/>
        </w:rPr>
      </w:pPr>
      <w:r w:rsidRPr="00714401">
        <w:rPr>
          <w:rFonts w:ascii="Book Antiqua" w:hAnsi="Book Antiqua"/>
          <w:b/>
          <w:sz w:val="24"/>
          <w:szCs w:val="24"/>
          <w:lang w:val="en-US"/>
        </w:rPr>
        <w:t xml:space="preserve">Published online: </w:t>
      </w:r>
    </w:p>
    <w:bookmarkEnd w:id="20"/>
    <w:bookmarkEnd w:id="21"/>
    <w:bookmarkEnd w:id="22"/>
    <w:bookmarkEnd w:id="23"/>
    <w:p w:rsidR="006105FE" w:rsidRPr="00714401" w:rsidRDefault="006105FE" w:rsidP="004F4F1E">
      <w:pPr>
        <w:spacing w:after="0" w:line="360" w:lineRule="auto"/>
        <w:jc w:val="both"/>
        <w:rPr>
          <w:rFonts w:ascii="Book Antiqua" w:hAnsi="Book Antiqua"/>
          <w:b/>
          <w:sz w:val="24"/>
          <w:szCs w:val="24"/>
          <w:lang w:val="en-US" w:eastAsia="zh-CN"/>
        </w:rPr>
      </w:pPr>
    </w:p>
    <w:p w:rsidR="008429EF" w:rsidRPr="00714401" w:rsidRDefault="008429EF" w:rsidP="004F4F1E">
      <w:pPr>
        <w:spacing w:after="0" w:line="360" w:lineRule="auto"/>
        <w:jc w:val="both"/>
        <w:rPr>
          <w:rFonts w:ascii="Book Antiqua" w:hAnsi="Book Antiqua" w:cs="Times New Roman"/>
          <w:b/>
          <w:sz w:val="24"/>
          <w:szCs w:val="24"/>
          <w:lang w:val="en-US"/>
        </w:rPr>
      </w:pPr>
      <w:r w:rsidRPr="00714401">
        <w:rPr>
          <w:rFonts w:ascii="Book Antiqua" w:hAnsi="Book Antiqua" w:cs="Times New Roman"/>
          <w:b/>
          <w:sz w:val="24"/>
          <w:szCs w:val="24"/>
          <w:lang w:val="en-US"/>
        </w:rPr>
        <w:br w:type="page"/>
      </w:r>
    </w:p>
    <w:p w:rsidR="008C0720" w:rsidRPr="00714401" w:rsidRDefault="006105FE" w:rsidP="004F4F1E">
      <w:pPr>
        <w:spacing w:after="0" w:line="360" w:lineRule="auto"/>
        <w:jc w:val="both"/>
        <w:rPr>
          <w:rFonts w:ascii="Book Antiqua" w:hAnsi="Book Antiqua" w:cs="Times New Roman"/>
          <w:b/>
          <w:sz w:val="24"/>
          <w:szCs w:val="24"/>
          <w:lang w:val="en-US" w:eastAsia="zh-CN"/>
        </w:rPr>
      </w:pPr>
      <w:r w:rsidRPr="00714401">
        <w:rPr>
          <w:rFonts w:ascii="Book Antiqua" w:hAnsi="Book Antiqua" w:cs="Times New Roman"/>
          <w:b/>
          <w:sz w:val="24"/>
          <w:szCs w:val="24"/>
          <w:lang w:val="en-US"/>
        </w:rPr>
        <w:lastRenderedPageBreak/>
        <w:t>Abstract</w:t>
      </w:r>
      <w:bookmarkEnd w:id="24"/>
      <w:bookmarkEnd w:id="25"/>
    </w:p>
    <w:p w:rsidR="008C0720" w:rsidRPr="00714401" w:rsidRDefault="0002523A" w:rsidP="004F4F1E">
      <w:pPr>
        <w:autoSpaceDE w:val="0"/>
        <w:autoSpaceDN w:val="0"/>
        <w:adjustRightInd w:val="0"/>
        <w:snapToGrid w:val="0"/>
        <w:spacing w:after="0" w:line="360" w:lineRule="auto"/>
        <w:jc w:val="both"/>
        <w:rPr>
          <w:rFonts w:ascii="Book Antiqua" w:hAnsi="Book Antiqua"/>
          <w:sz w:val="24"/>
          <w:szCs w:val="24"/>
          <w:lang w:val="en-US" w:eastAsia="zh-CN"/>
        </w:rPr>
      </w:pPr>
      <w:proofErr w:type="spellStart"/>
      <w:r w:rsidRPr="00714401">
        <w:rPr>
          <w:rFonts w:ascii="Book Antiqua" w:hAnsi="Book Antiqua"/>
          <w:sz w:val="24"/>
          <w:szCs w:val="24"/>
          <w:lang w:val="en-US"/>
        </w:rPr>
        <w:t>Indocy</w:t>
      </w:r>
      <w:r w:rsidR="002D1C39" w:rsidRPr="00714401">
        <w:rPr>
          <w:rFonts w:ascii="Book Antiqua" w:hAnsi="Book Antiqua"/>
          <w:sz w:val="24"/>
          <w:szCs w:val="24"/>
          <w:lang w:val="en-US"/>
        </w:rPr>
        <w:t>anine</w:t>
      </w:r>
      <w:proofErr w:type="spellEnd"/>
      <w:r w:rsidR="002D1C39" w:rsidRPr="00714401">
        <w:rPr>
          <w:rFonts w:ascii="Book Antiqua" w:hAnsi="Book Antiqua"/>
          <w:sz w:val="24"/>
          <w:szCs w:val="24"/>
          <w:lang w:val="en-US"/>
        </w:rPr>
        <w:t xml:space="preserve"> green (ICG) </w:t>
      </w:r>
      <w:r w:rsidRPr="00714401">
        <w:rPr>
          <w:rFonts w:ascii="Book Antiqua" w:hAnsi="Book Antiqua"/>
          <w:sz w:val="24"/>
          <w:szCs w:val="24"/>
          <w:lang w:val="en-US"/>
        </w:rPr>
        <w:t>kinetics (PDR/R</w:t>
      </w:r>
      <w:r w:rsidRPr="00714401">
        <w:rPr>
          <w:rFonts w:ascii="Book Antiqua" w:hAnsi="Book Antiqua"/>
          <w:sz w:val="24"/>
          <w:szCs w:val="24"/>
          <w:vertAlign w:val="subscript"/>
          <w:lang w:val="en-US"/>
        </w:rPr>
        <w:t>15</w:t>
      </w:r>
      <w:r w:rsidRPr="00714401">
        <w:rPr>
          <w:rFonts w:ascii="Book Antiqua" w:hAnsi="Book Antiqua"/>
          <w:sz w:val="24"/>
          <w:szCs w:val="24"/>
          <w:lang w:val="en-US"/>
        </w:rPr>
        <w:t xml:space="preserve">) used to quantitatively assess hepatic function in the perioperative period of major </w:t>
      </w:r>
      <w:proofErr w:type="spellStart"/>
      <w:r w:rsidRPr="00714401">
        <w:rPr>
          <w:rFonts w:ascii="Book Antiqua" w:hAnsi="Book Antiqua"/>
          <w:sz w:val="24"/>
          <w:szCs w:val="24"/>
          <w:lang w:val="en-US"/>
        </w:rPr>
        <w:t>resective</w:t>
      </w:r>
      <w:proofErr w:type="spellEnd"/>
      <w:r w:rsidRPr="00714401">
        <w:rPr>
          <w:rFonts w:ascii="Book Antiqua" w:hAnsi="Book Antiqua"/>
          <w:sz w:val="24"/>
          <w:szCs w:val="24"/>
          <w:lang w:val="en-US"/>
        </w:rPr>
        <w:t xml:space="preserve"> surgery and liver transplantation have been</w:t>
      </w:r>
      <w:r w:rsidR="0076063F" w:rsidRPr="00714401">
        <w:rPr>
          <w:rFonts w:ascii="Book Antiqua" w:hAnsi="Book Antiqua"/>
          <w:sz w:val="24"/>
          <w:szCs w:val="24"/>
          <w:lang w:val="en-US"/>
        </w:rPr>
        <w:t xml:space="preserve"> </w:t>
      </w:r>
      <w:r w:rsidRPr="00714401">
        <w:rPr>
          <w:rFonts w:ascii="Book Antiqua" w:hAnsi="Book Antiqua"/>
          <w:sz w:val="24"/>
          <w:szCs w:val="24"/>
          <w:lang w:val="en-US"/>
        </w:rPr>
        <w:t xml:space="preserve">the object of an extensive, updated and critical review. </w:t>
      </w:r>
      <w:r w:rsidR="008C0720" w:rsidRPr="00714401">
        <w:rPr>
          <w:rFonts w:ascii="Book Antiqua" w:hAnsi="Book Antiqua"/>
          <w:sz w:val="24"/>
          <w:szCs w:val="24"/>
          <w:lang w:val="en-US"/>
        </w:rPr>
        <w:t>New</w:t>
      </w:r>
      <w:r w:rsidR="0042345B" w:rsidRPr="00714401">
        <w:rPr>
          <w:rFonts w:ascii="Book Antiqua" w:hAnsi="Book Antiqua"/>
          <w:sz w:val="24"/>
          <w:szCs w:val="24"/>
          <w:lang w:val="en-US"/>
        </w:rPr>
        <w:t xml:space="preserve">, </w:t>
      </w:r>
      <w:r w:rsidR="008C0720" w:rsidRPr="00714401">
        <w:rPr>
          <w:rFonts w:ascii="Book Antiqua" w:hAnsi="Book Antiqua"/>
          <w:sz w:val="24"/>
          <w:szCs w:val="24"/>
          <w:lang w:val="en-US"/>
        </w:rPr>
        <w:t xml:space="preserve">non invasive bedside monitors (PDD technology) make this opportunity widely available in clinical practice. After having reviewed basic concepts of hepatic clearance, we </w:t>
      </w:r>
      <w:proofErr w:type="spellStart"/>
      <w:r w:rsidR="008C0720" w:rsidRPr="00714401">
        <w:rPr>
          <w:rFonts w:ascii="Book Antiqua" w:hAnsi="Book Antiqua"/>
          <w:sz w:val="24"/>
          <w:szCs w:val="24"/>
          <w:lang w:val="en-US"/>
        </w:rPr>
        <w:t>analysed</w:t>
      </w:r>
      <w:proofErr w:type="spellEnd"/>
      <w:r w:rsidR="008C0720" w:rsidRPr="00714401">
        <w:rPr>
          <w:rFonts w:ascii="Book Antiqua" w:hAnsi="Book Antiqua"/>
          <w:sz w:val="24"/>
          <w:szCs w:val="24"/>
          <w:lang w:val="en-US"/>
        </w:rPr>
        <w:t xml:space="preserve"> the most common indications ICG kinetic parameters have nowadays in clinical practice, focusing in particular on</w:t>
      </w:r>
      <w:r w:rsidR="0076063F" w:rsidRPr="00714401">
        <w:rPr>
          <w:rFonts w:ascii="Book Antiqua" w:hAnsi="Book Antiqua"/>
          <w:sz w:val="24"/>
          <w:szCs w:val="24"/>
          <w:lang w:val="en-US"/>
        </w:rPr>
        <w:t xml:space="preserve"> </w:t>
      </w:r>
      <w:r w:rsidR="008C0720" w:rsidRPr="00714401">
        <w:rPr>
          <w:rFonts w:ascii="Book Antiqua" w:hAnsi="Book Antiqua"/>
          <w:sz w:val="24"/>
          <w:szCs w:val="24"/>
          <w:lang w:val="en-US"/>
        </w:rPr>
        <w:t>the diagnostic and prognostic role of PDR and R</w:t>
      </w:r>
      <w:r w:rsidR="008C0720" w:rsidRPr="00714401">
        <w:rPr>
          <w:rFonts w:ascii="Book Antiqua" w:hAnsi="Book Antiqua"/>
          <w:sz w:val="24"/>
          <w:szCs w:val="24"/>
          <w:vertAlign w:val="subscript"/>
          <w:lang w:val="en-US"/>
        </w:rPr>
        <w:t>15</w:t>
      </w:r>
      <w:r w:rsidR="008C0720" w:rsidRPr="00714401">
        <w:rPr>
          <w:rFonts w:ascii="Book Antiqua" w:hAnsi="Book Antiqua"/>
          <w:sz w:val="24"/>
          <w:szCs w:val="24"/>
          <w:lang w:val="en-US"/>
        </w:rPr>
        <w:t xml:space="preserve"> in the</w:t>
      </w:r>
      <w:r w:rsidR="0076063F" w:rsidRPr="00714401">
        <w:rPr>
          <w:rFonts w:ascii="Book Antiqua" w:hAnsi="Book Antiqua"/>
          <w:sz w:val="24"/>
          <w:szCs w:val="24"/>
          <w:lang w:val="en-US"/>
        </w:rPr>
        <w:t xml:space="preserve"> </w:t>
      </w:r>
      <w:r w:rsidR="008C0720" w:rsidRPr="00714401">
        <w:rPr>
          <w:rFonts w:ascii="Book Antiqua" w:hAnsi="Book Antiqua"/>
          <w:sz w:val="24"/>
          <w:szCs w:val="24"/>
          <w:lang w:val="en-US"/>
        </w:rPr>
        <w:t>perioperative period of</w:t>
      </w:r>
      <w:r w:rsidR="0076063F" w:rsidRPr="00714401">
        <w:rPr>
          <w:rFonts w:ascii="Book Antiqua" w:hAnsi="Book Antiqua"/>
          <w:sz w:val="24"/>
          <w:szCs w:val="24"/>
          <w:lang w:val="en-US"/>
        </w:rPr>
        <w:t xml:space="preserve"> </w:t>
      </w:r>
      <w:r w:rsidR="008C0720" w:rsidRPr="00714401">
        <w:rPr>
          <w:rFonts w:ascii="Book Antiqua" w:hAnsi="Book Antiqua"/>
          <w:sz w:val="24"/>
          <w:szCs w:val="24"/>
          <w:lang w:val="en-US"/>
        </w:rPr>
        <w:t>major liver surgery and liver transplantation. As recently pointed out, even if of extreme interest, ICG clearance parameters ha</w:t>
      </w:r>
      <w:r w:rsidR="00647103" w:rsidRPr="00714401">
        <w:rPr>
          <w:rFonts w:ascii="Book Antiqua" w:hAnsi="Book Antiqua" w:hint="eastAsia"/>
          <w:sz w:val="24"/>
          <w:szCs w:val="24"/>
          <w:lang w:val="en-US" w:eastAsia="zh-CN"/>
        </w:rPr>
        <w:t>ve</w:t>
      </w:r>
      <w:r w:rsidR="008C0720" w:rsidRPr="00714401">
        <w:rPr>
          <w:rFonts w:ascii="Book Antiqua" w:hAnsi="Book Antiqua"/>
          <w:sz w:val="24"/>
          <w:szCs w:val="24"/>
          <w:lang w:val="en-US"/>
        </w:rPr>
        <w:t xml:space="preserve"> still some limitations</w:t>
      </w:r>
      <w:r w:rsidR="0042345B" w:rsidRPr="00714401">
        <w:rPr>
          <w:rFonts w:ascii="Book Antiqua" w:hAnsi="Book Antiqua"/>
          <w:sz w:val="24"/>
          <w:szCs w:val="24"/>
          <w:lang w:val="en-US"/>
        </w:rPr>
        <w:t>, to</w:t>
      </w:r>
      <w:r w:rsidR="008C0720" w:rsidRPr="00714401">
        <w:rPr>
          <w:rFonts w:ascii="Book Antiqua" w:hAnsi="Book Antiqua"/>
          <w:sz w:val="24"/>
          <w:szCs w:val="24"/>
          <w:lang w:val="en-US"/>
        </w:rPr>
        <w:t xml:space="preserve"> be considered when using these tests</w:t>
      </w:r>
      <w:r w:rsidR="006105FE" w:rsidRPr="00714401">
        <w:rPr>
          <w:rFonts w:ascii="Book Antiqua" w:hAnsi="Book Antiqua"/>
          <w:sz w:val="24"/>
          <w:szCs w:val="24"/>
          <w:lang w:val="en-US" w:eastAsia="zh-CN"/>
        </w:rPr>
        <w:t>.</w:t>
      </w:r>
    </w:p>
    <w:p w:rsidR="00617F4E" w:rsidRPr="00714401" w:rsidRDefault="00617F4E" w:rsidP="004F4F1E">
      <w:pPr>
        <w:autoSpaceDE w:val="0"/>
        <w:autoSpaceDN w:val="0"/>
        <w:adjustRightInd w:val="0"/>
        <w:snapToGrid w:val="0"/>
        <w:spacing w:after="0" w:line="360" w:lineRule="auto"/>
        <w:jc w:val="both"/>
        <w:rPr>
          <w:rFonts w:ascii="Book Antiqua" w:hAnsi="Book Antiqua"/>
          <w:b/>
          <w:sz w:val="24"/>
          <w:szCs w:val="24"/>
          <w:lang w:val="en-US" w:eastAsia="zh-CN"/>
        </w:rPr>
      </w:pPr>
    </w:p>
    <w:p w:rsidR="0038733C" w:rsidRPr="00714401" w:rsidRDefault="006105FE" w:rsidP="004F4F1E">
      <w:pPr>
        <w:snapToGrid w:val="0"/>
        <w:spacing w:after="0" w:line="360" w:lineRule="auto"/>
        <w:jc w:val="both"/>
        <w:rPr>
          <w:rFonts w:ascii="Book Antiqua" w:hAnsi="Book Antiqua"/>
          <w:b/>
          <w:sz w:val="24"/>
          <w:szCs w:val="24"/>
          <w:lang w:val="en-US" w:eastAsia="zh-CN"/>
        </w:rPr>
      </w:pPr>
      <w:r w:rsidRPr="00714401">
        <w:rPr>
          <w:rFonts w:ascii="Book Antiqua" w:hAnsi="Book Antiqua"/>
          <w:b/>
          <w:sz w:val="24"/>
          <w:szCs w:val="24"/>
          <w:lang w:val="en-US" w:eastAsia="zh-CN"/>
        </w:rPr>
        <w:t xml:space="preserve">Key words: </w:t>
      </w:r>
      <w:r w:rsidR="00485923" w:rsidRPr="00714401">
        <w:rPr>
          <w:rFonts w:ascii="Book Antiqua" w:hAnsi="Book Antiqua"/>
          <w:sz w:val="24"/>
          <w:szCs w:val="24"/>
          <w:lang w:val="en-US" w:eastAsia="zh-CN"/>
        </w:rPr>
        <w:t>L</w:t>
      </w:r>
      <w:r w:rsidR="00673050" w:rsidRPr="00714401">
        <w:rPr>
          <w:rFonts w:ascii="Book Antiqua" w:hAnsi="Book Antiqua"/>
          <w:sz w:val="24"/>
          <w:szCs w:val="24"/>
          <w:lang w:val="en-US" w:eastAsia="zh-CN"/>
        </w:rPr>
        <w:t xml:space="preserve">iver function tests; </w:t>
      </w:r>
      <w:proofErr w:type="spellStart"/>
      <w:r w:rsidR="00485923" w:rsidRPr="00714401">
        <w:rPr>
          <w:rFonts w:ascii="Book Antiqua" w:hAnsi="Book Antiqua"/>
          <w:sz w:val="24"/>
          <w:szCs w:val="24"/>
          <w:lang w:val="en-US" w:eastAsia="zh-CN"/>
        </w:rPr>
        <w:t>I</w:t>
      </w:r>
      <w:r w:rsidR="00673050" w:rsidRPr="00714401">
        <w:rPr>
          <w:rFonts w:ascii="Book Antiqua" w:hAnsi="Book Antiqua"/>
          <w:sz w:val="24"/>
          <w:szCs w:val="24"/>
          <w:lang w:val="en-US" w:eastAsia="zh-CN"/>
        </w:rPr>
        <w:t>ndocyanine</w:t>
      </w:r>
      <w:proofErr w:type="spellEnd"/>
      <w:r w:rsidR="00673050" w:rsidRPr="00714401">
        <w:rPr>
          <w:rFonts w:ascii="Book Antiqua" w:hAnsi="Book Antiqua"/>
          <w:sz w:val="24"/>
          <w:szCs w:val="24"/>
          <w:lang w:val="en-US" w:eastAsia="zh-CN"/>
        </w:rPr>
        <w:t xml:space="preserve"> green; </w:t>
      </w:r>
      <w:r w:rsidR="00485923" w:rsidRPr="00714401">
        <w:rPr>
          <w:rFonts w:ascii="Book Antiqua" w:hAnsi="Book Antiqua"/>
          <w:sz w:val="24"/>
          <w:szCs w:val="24"/>
          <w:lang w:val="en-US" w:eastAsia="zh-CN"/>
        </w:rPr>
        <w:t>Hepatic clearance</w:t>
      </w:r>
      <w:r w:rsidR="00990A73" w:rsidRPr="00714401">
        <w:rPr>
          <w:rFonts w:ascii="Book Antiqua" w:hAnsi="Book Antiqua"/>
          <w:sz w:val="24"/>
          <w:szCs w:val="24"/>
          <w:lang w:val="en-US" w:eastAsia="zh-CN"/>
        </w:rPr>
        <w:t xml:space="preserve">; </w:t>
      </w:r>
      <w:r w:rsidR="00485923" w:rsidRPr="00714401">
        <w:rPr>
          <w:rFonts w:ascii="Book Antiqua" w:hAnsi="Book Antiqua"/>
          <w:sz w:val="24"/>
          <w:szCs w:val="24"/>
          <w:lang w:val="en-US" w:eastAsia="zh-CN"/>
        </w:rPr>
        <w:t>L</w:t>
      </w:r>
      <w:r w:rsidR="00673050" w:rsidRPr="00714401">
        <w:rPr>
          <w:rFonts w:ascii="Book Antiqua" w:hAnsi="Book Antiqua"/>
          <w:sz w:val="24"/>
          <w:szCs w:val="24"/>
          <w:lang w:val="en-US" w:eastAsia="zh-CN"/>
        </w:rPr>
        <w:t xml:space="preserve">iver surgery; </w:t>
      </w:r>
      <w:r w:rsidR="00485923" w:rsidRPr="00714401">
        <w:rPr>
          <w:rFonts w:ascii="Book Antiqua" w:hAnsi="Book Antiqua"/>
          <w:sz w:val="24"/>
          <w:szCs w:val="24"/>
          <w:lang w:val="en-US" w:eastAsia="zh-CN"/>
        </w:rPr>
        <w:t>L</w:t>
      </w:r>
      <w:r w:rsidR="00673050" w:rsidRPr="00714401">
        <w:rPr>
          <w:rFonts w:ascii="Book Antiqua" w:hAnsi="Book Antiqua"/>
          <w:sz w:val="24"/>
          <w:szCs w:val="24"/>
          <w:lang w:val="en-US" w:eastAsia="zh-CN"/>
        </w:rPr>
        <w:t xml:space="preserve">iver transplantation; </w:t>
      </w:r>
      <w:r w:rsidR="00485923" w:rsidRPr="00714401">
        <w:rPr>
          <w:rFonts w:ascii="Book Antiqua" w:hAnsi="Book Antiqua"/>
          <w:sz w:val="24"/>
          <w:szCs w:val="24"/>
          <w:lang w:val="en-US" w:eastAsia="zh-CN"/>
        </w:rPr>
        <w:t>I</w:t>
      </w:r>
      <w:r w:rsidR="00673050" w:rsidRPr="00714401">
        <w:rPr>
          <w:rFonts w:ascii="Book Antiqua" w:hAnsi="Book Antiqua"/>
          <w:sz w:val="24"/>
          <w:szCs w:val="24"/>
          <w:lang w:val="en-US" w:eastAsia="zh-CN"/>
        </w:rPr>
        <w:t xml:space="preserve">ntraabdominal hypertension; </w:t>
      </w:r>
      <w:r w:rsidR="00485923" w:rsidRPr="00714401">
        <w:rPr>
          <w:rFonts w:ascii="Book Antiqua" w:hAnsi="Book Antiqua"/>
          <w:sz w:val="24"/>
          <w:szCs w:val="24"/>
          <w:lang w:val="en-US" w:eastAsia="zh-CN"/>
        </w:rPr>
        <w:t>P</w:t>
      </w:r>
      <w:r w:rsidR="00673050" w:rsidRPr="00714401">
        <w:rPr>
          <w:rFonts w:ascii="Book Antiqua" w:hAnsi="Book Antiqua"/>
          <w:sz w:val="24"/>
          <w:szCs w:val="24"/>
          <w:lang w:val="en-US" w:eastAsia="zh-CN"/>
        </w:rPr>
        <w:t xml:space="preserve">ortal hypertension </w:t>
      </w:r>
    </w:p>
    <w:p w:rsidR="006105FE" w:rsidRPr="00714401" w:rsidRDefault="006105FE" w:rsidP="004F4F1E">
      <w:pPr>
        <w:snapToGrid w:val="0"/>
        <w:spacing w:after="0" w:line="360" w:lineRule="auto"/>
        <w:jc w:val="both"/>
        <w:rPr>
          <w:rFonts w:ascii="Book Antiqua" w:hAnsi="Book Antiqua"/>
          <w:b/>
          <w:sz w:val="24"/>
          <w:szCs w:val="24"/>
          <w:lang w:val="en-US" w:eastAsia="zh-CN"/>
        </w:rPr>
      </w:pPr>
    </w:p>
    <w:p w:rsidR="00485923" w:rsidRPr="00714401" w:rsidRDefault="00485923" w:rsidP="004F4F1E">
      <w:pPr>
        <w:spacing w:after="0" w:line="360" w:lineRule="auto"/>
        <w:jc w:val="both"/>
        <w:rPr>
          <w:rFonts w:ascii="Book Antiqua" w:hAnsi="Book Antiqua" w:cs="Arial"/>
          <w:sz w:val="24"/>
          <w:szCs w:val="24"/>
        </w:rPr>
      </w:pPr>
      <w:r w:rsidRPr="00714401">
        <w:rPr>
          <w:rFonts w:ascii="Book Antiqua" w:hAnsi="Book Antiqua"/>
          <w:b/>
          <w:sz w:val="24"/>
          <w:szCs w:val="24"/>
        </w:rPr>
        <w:t xml:space="preserve">© </w:t>
      </w:r>
      <w:r w:rsidRPr="00714401">
        <w:rPr>
          <w:rFonts w:ascii="Book Antiqua" w:hAnsi="Book Antiqua" w:cs="Arial"/>
          <w:b/>
          <w:sz w:val="24"/>
          <w:szCs w:val="24"/>
        </w:rPr>
        <w:t>The Author(s) 2016.</w:t>
      </w:r>
      <w:r w:rsidRPr="00714401">
        <w:rPr>
          <w:rFonts w:ascii="Book Antiqua" w:hAnsi="Book Antiqua" w:cs="Arial"/>
          <w:sz w:val="24"/>
          <w:szCs w:val="24"/>
        </w:rPr>
        <w:t xml:space="preserve"> Published by Baishideng Publishing Group Inc. All rights reserved.</w:t>
      </w:r>
    </w:p>
    <w:p w:rsidR="00485923" w:rsidRPr="00714401" w:rsidRDefault="00485923" w:rsidP="004F4F1E">
      <w:pPr>
        <w:snapToGrid w:val="0"/>
        <w:spacing w:after="0" w:line="360" w:lineRule="auto"/>
        <w:jc w:val="both"/>
        <w:rPr>
          <w:rFonts w:ascii="Book Antiqua" w:hAnsi="Book Antiqua"/>
          <w:b/>
          <w:sz w:val="24"/>
          <w:szCs w:val="24"/>
          <w:lang w:val="en-US" w:eastAsia="zh-CN"/>
        </w:rPr>
      </w:pPr>
    </w:p>
    <w:p w:rsidR="006105FE" w:rsidRPr="00714401" w:rsidRDefault="006105FE" w:rsidP="004F4F1E">
      <w:pPr>
        <w:snapToGrid w:val="0"/>
        <w:spacing w:after="0" w:line="360" w:lineRule="auto"/>
        <w:jc w:val="both"/>
        <w:rPr>
          <w:rFonts w:ascii="Book Antiqua" w:hAnsi="Book Antiqua"/>
          <w:sz w:val="24"/>
          <w:szCs w:val="24"/>
          <w:lang w:val="en-US" w:eastAsia="zh-CN"/>
        </w:rPr>
      </w:pPr>
      <w:r w:rsidRPr="00714401">
        <w:rPr>
          <w:rFonts w:ascii="Book Antiqua" w:hAnsi="Book Antiqua"/>
          <w:b/>
          <w:sz w:val="24"/>
          <w:szCs w:val="24"/>
          <w:lang w:val="en-US" w:eastAsia="zh-CN"/>
        </w:rPr>
        <w:t xml:space="preserve">Core tip: </w:t>
      </w:r>
      <w:r w:rsidR="00C3396C" w:rsidRPr="00714401">
        <w:rPr>
          <w:rFonts w:ascii="Book Antiqua" w:hAnsi="Book Antiqua"/>
          <w:sz w:val="24"/>
          <w:szCs w:val="24"/>
          <w:lang w:val="en-US"/>
        </w:rPr>
        <w:t>N</w:t>
      </w:r>
      <w:r w:rsidR="00C3396C" w:rsidRPr="00714401">
        <w:rPr>
          <w:rFonts w:ascii="Book Antiqua" w:hAnsi="Book Antiqua"/>
          <w:sz w:val="24"/>
          <w:szCs w:val="24"/>
          <w:lang w:val="en-US" w:eastAsia="zh-CN"/>
        </w:rPr>
        <w:t>on</w:t>
      </w:r>
      <w:r w:rsidR="00990A73" w:rsidRPr="00714401">
        <w:rPr>
          <w:rFonts w:ascii="Book Antiqua" w:hAnsi="Book Antiqua"/>
          <w:sz w:val="24"/>
          <w:szCs w:val="24"/>
          <w:lang w:val="en-US" w:eastAsia="zh-CN"/>
        </w:rPr>
        <w:t xml:space="preserve"> </w:t>
      </w:r>
      <w:r w:rsidR="00C3396C" w:rsidRPr="00714401">
        <w:rPr>
          <w:rFonts w:ascii="Book Antiqua" w:hAnsi="Book Antiqua"/>
          <w:sz w:val="24"/>
          <w:szCs w:val="24"/>
          <w:lang w:val="en-US" w:eastAsia="zh-CN"/>
        </w:rPr>
        <w:t xml:space="preserve">invasive monitors </w:t>
      </w:r>
      <w:r w:rsidR="006F2D36" w:rsidRPr="00714401">
        <w:rPr>
          <w:rFonts w:ascii="Book Antiqua" w:hAnsi="Book Antiqua"/>
          <w:sz w:val="24"/>
          <w:szCs w:val="24"/>
          <w:lang w:val="en-US" w:eastAsia="zh-CN"/>
        </w:rPr>
        <w:t>for</w:t>
      </w:r>
      <w:r w:rsidR="006D6E85" w:rsidRPr="00714401">
        <w:rPr>
          <w:rFonts w:ascii="Book Antiqua" w:hAnsi="Book Antiqua"/>
          <w:sz w:val="24"/>
          <w:szCs w:val="24"/>
          <w:lang w:val="en-US" w:eastAsia="zh-CN"/>
        </w:rPr>
        <w:t xml:space="preserve"> </w:t>
      </w:r>
      <w:proofErr w:type="spellStart"/>
      <w:r w:rsidR="006D6E85" w:rsidRPr="00714401">
        <w:rPr>
          <w:rFonts w:ascii="Book Antiqua" w:hAnsi="Book Antiqua"/>
          <w:sz w:val="24"/>
          <w:szCs w:val="24"/>
          <w:lang w:val="en-US"/>
        </w:rPr>
        <w:t>indocyanine</w:t>
      </w:r>
      <w:proofErr w:type="spellEnd"/>
      <w:r w:rsidR="006D6E85" w:rsidRPr="00714401">
        <w:rPr>
          <w:rFonts w:ascii="Book Antiqua" w:hAnsi="Book Antiqua"/>
          <w:sz w:val="24"/>
          <w:szCs w:val="24"/>
          <w:lang w:val="en-US"/>
        </w:rPr>
        <w:t xml:space="preserve"> green (ICG)</w:t>
      </w:r>
      <w:r w:rsidR="006F2D36" w:rsidRPr="00714401">
        <w:rPr>
          <w:rFonts w:ascii="Book Antiqua" w:hAnsi="Book Antiqua"/>
          <w:sz w:val="24"/>
          <w:szCs w:val="24"/>
          <w:lang w:val="en-US" w:eastAsia="zh-CN"/>
        </w:rPr>
        <w:t xml:space="preserve"> clearance (PDR and R</w:t>
      </w:r>
      <w:r w:rsidR="006F2D36" w:rsidRPr="00714401">
        <w:rPr>
          <w:rFonts w:ascii="Book Antiqua" w:hAnsi="Book Antiqua"/>
          <w:sz w:val="24"/>
          <w:szCs w:val="24"/>
          <w:vertAlign w:val="subscript"/>
          <w:lang w:val="en-US" w:eastAsia="zh-CN"/>
        </w:rPr>
        <w:t>15</w:t>
      </w:r>
      <w:r w:rsidR="006F2D36" w:rsidRPr="00714401">
        <w:rPr>
          <w:rFonts w:ascii="Book Antiqua" w:hAnsi="Book Antiqua"/>
          <w:sz w:val="24"/>
          <w:szCs w:val="24"/>
          <w:lang w:val="en-US" w:eastAsia="zh-CN"/>
        </w:rPr>
        <w:t xml:space="preserve">) </w:t>
      </w:r>
      <w:r w:rsidR="00C3396C" w:rsidRPr="00714401">
        <w:rPr>
          <w:rFonts w:ascii="Book Antiqua" w:hAnsi="Book Antiqua"/>
          <w:sz w:val="24"/>
          <w:szCs w:val="24"/>
          <w:lang w:val="en-US" w:eastAsia="zh-CN"/>
        </w:rPr>
        <w:t>are now available</w:t>
      </w:r>
      <w:r w:rsidR="00D14DFF" w:rsidRPr="00714401">
        <w:rPr>
          <w:rFonts w:ascii="Book Antiqua" w:hAnsi="Book Antiqua"/>
          <w:sz w:val="24"/>
          <w:szCs w:val="24"/>
          <w:lang w:val="en-US" w:eastAsia="zh-CN"/>
        </w:rPr>
        <w:t xml:space="preserve"> f</w:t>
      </w:r>
      <w:r w:rsidR="00C3396C" w:rsidRPr="00714401">
        <w:rPr>
          <w:rFonts w:ascii="Book Antiqua" w:hAnsi="Book Antiqua"/>
          <w:sz w:val="24"/>
          <w:szCs w:val="24"/>
          <w:lang w:val="en-US" w:eastAsia="zh-CN"/>
        </w:rPr>
        <w:t xml:space="preserve">or </w:t>
      </w:r>
      <w:r w:rsidR="00D14DFF" w:rsidRPr="00714401">
        <w:rPr>
          <w:rFonts w:ascii="Book Antiqua" w:hAnsi="Book Antiqua"/>
          <w:sz w:val="24"/>
          <w:szCs w:val="24"/>
          <w:lang w:val="en-US" w:eastAsia="zh-CN"/>
        </w:rPr>
        <w:t xml:space="preserve">a </w:t>
      </w:r>
      <w:r w:rsidR="00C3396C" w:rsidRPr="00714401">
        <w:rPr>
          <w:rFonts w:ascii="Book Antiqua" w:hAnsi="Book Antiqua"/>
          <w:sz w:val="24"/>
          <w:szCs w:val="24"/>
          <w:lang w:val="en-US" w:eastAsia="zh-CN"/>
        </w:rPr>
        <w:t>r</w:t>
      </w:r>
      <w:r w:rsidR="009B3836" w:rsidRPr="00714401">
        <w:rPr>
          <w:rFonts w:ascii="Book Antiqua" w:hAnsi="Book Antiqua"/>
          <w:sz w:val="24"/>
          <w:szCs w:val="24"/>
          <w:lang w:val="en-US"/>
        </w:rPr>
        <w:t xml:space="preserve">apid </w:t>
      </w:r>
      <w:r w:rsidR="00673050" w:rsidRPr="00714401">
        <w:rPr>
          <w:rFonts w:ascii="Book Antiqua" w:hAnsi="Book Antiqua"/>
          <w:sz w:val="24"/>
          <w:szCs w:val="24"/>
          <w:lang w:val="en-US"/>
        </w:rPr>
        <w:t>assessment</w:t>
      </w:r>
      <w:r w:rsidR="00485923" w:rsidRPr="00714401">
        <w:rPr>
          <w:rFonts w:ascii="Book Antiqua" w:hAnsi="Book Antiqua"/>
          <w:sz w:val="24"/>
          <w:szCs w:val="24"/>
          <w:lang w:val="en-US"/>
        </w:rPr>
        <w:t xml:space="preserve"> of</w:t>
      </w:r>
      <w:r w:rsidR="006D6E85" w:rsidRPr="00714401">
        <w:rPr>
          <w:rFonts w:ascii="Book Antiqua" w:hAnsi="Book Antiqua"/>
          <w:sz w:val="24"/>
          <w:szCs w:val="24"/>
          <w:lang w:val="en-US"/>
        </w:rPr>
        <w:t xml:space="preserve"> liver</w:t>
      </w:r>
      <w:r w:rsidR="00673050" w:rsidRPr="00714401">
        <w:rPr>
          <w:rFonts w:ascii="Book Antiqua" w:hAnsi="Book Antiqua"/>
          <w:sz w:val="24"/>
          <w:szCs w:val="24"/>
          <w:lang w:val="en-US"/>
        </w:rPr>
        <w:t xml:space="preserve"> </w:t>
      </w:r>
      <w:r w:rsidR="008507F6" w:rsidRPr="00714401">
        <w:rPr>
          <w:rFonts w:ascii="Book Antiqua" w:hAnsi="Book Antiqua"/>
          <w:sz w:val="24"/>
          <w:szCs w:val="24"/>
          <w:lang w:val="en-US"/>
        </w:rPr>
        <w:t xml:space="preserve">function </w:t>
      </w:r>
      <w:r w:rsidR="009B3836" w:rsidRPr="00714401">
        <w:rPr>
          <w:rFonts w:ascii="Book Antiqua" w:hAnsi="Book Antiqua"/>
          <w:sz w:val="24"/>
          <w:szCs w:val="24"/>
          <w:lang w:val="en-US"/>
        </w:rPr>
        <w:t xml:space="preserve">both in the </w:t>
      </w:r>
      <w:r w:rsidR="00840606" w:rsidRPr="00714401">
        <w:rPr>
          <w:rFonts w:ascii="Book Antiqua" w:hAnsi="Book Antiqua"/>
          <w:sz w:val="24"/>
          <w:szCs w:val="24"/>
          <w:lang w:val="en-US"/>
        </w:rPr>
        <w:t xml:space="preserve">ICU </w:t>
      </w:r>
      <w:r w:rsidR="009B3836" w:rsidRPr="00714401">
        <w:rPr>
          <w:rFonts w:ascii="Book Antiqua" w:hAnsi="Book Antiqua"/>
          <w:sz w:val="24"/>
          <w:szCs w:val="24"/>
          <w:lang w:val="en-US"/>
        </w:rPr>
        <w:t xml:space="preserve">and in major liver surgery. </w:t>
      </w:r>
      <w:r w:rsidR="00395DDD" w:rsidRPr="00714401">
        <w:rPr>
          <w:rFonts w:ascii="Book Antiqua" w:hAnsi="Book Antiqua"/>
          <w:sz w:val="24"/>
          <w:szCs w:val="24"/>
          <w:lang w:val="en-US" w:eastAsia="zh-CN"/>
        </w:rPr>
        <w:t xml:space="preserve">After </w:t>
      </w:r>
      <w:r w:rsidR="006F2D36" w:rsidRPr="00714401">
        <w:rPr>
          <w:rFonts w:ascii="Book Antiqua" w:hAnsi="Book Antiqua"/>
          <w:sz w:val="24"/>
          <w:szCs w:val="24"/>
          <w:lang w:val="en-US" w:eastAsia="zh-CN"/>
        </w:rPr>
        <w:t xml:space="preserve">having reviewed the </w:t>
      </w:r>
      <w:r w:rsidR="00395DDD" w:rsidRPr="00714401">
        <w:rPr>
          <w:rFonts w:ascii="Book Antiqua" w:hAnsi="Book Antiqua"/>
          <w:sz w:val="24"/>
          <w:szCs w:val="24"/>
          <w:lang w:val="en-US" w:eastAsia="zh-CN"/>
        </w:rPr>
        <w:t>b</w:t>
      </w:r>
      <w:r w:rsidR="00673050" w:rsidRPr="00714401">
        <w:rPr>
          <w:rFonts w:ascii="Book Antiqua" w:hAnsi="Book Antiqua"/>
          <w:sz w:val="24"/>
          <w:szCs w:val="24"/>
          <w:lang w:val="en-US" w:eastAsia="zh-CN"/>
        </w:rPr>
        <w:t>asic concepts of hepati</w:t>
      </w:r>
      <w:r w:rsidR="00395DDD" w:rsidRPr="00714401">
        <w:rPr>
          <w:rFonts w:ascii="Book Antiqua" w:hAnsi="Book Antiqua"/>
          <w:sz w:val="24"/>
          <w:szCs w:val="24"/>
          <w:lang w:val="en-US" w:eastAsia="zh-CN"/>
        </w:rPr>
        <w:t>c clearance</w:t>
      </w:r>
      <w:r w:rsidR="009B3836" w:rsidRPr="00714401">
        <w:rPr>
          <w:rFonts w:ascii="Book Antiqua" w:hAnsi="Book Antiqua"/>
          <w:sz w:val="24"/>
          <w:szCs w:val="24"/>
          <w:lang w:val="en-US" w:eastAsia="zh-CN"/>
        </w:rPr>
        <w:t xml:space="preserve">, </w:t>
      </w:r>
      <w:r w:rsidR="00990A73" w:rsidRPr="00714401">
        <w:rPr>
          <w:rFonts w:ascii="Book Antiqua" w:hAnsi="Book Antiqua"/>
          <w:sz w:val="24"/>
          <w:szCs w:val="24"/>
          <w:lang w:val="en-US" w:eastAsia="zh-CN"/>
        </w:rPr>
        <w:t xml:space="preserve">we </w:t>
      </w:r>
      <w:r w:rsidR="00CA5274" w:rsidRPr="00714401">
        <w:rPr>
          <w:rFonts w:ascii="Book Antiqua" w:hAnsi="Book Antiqua"/>
          <w:sz w:val="24"/>
          <w:szCs w:val="24"/>
          <w:lang w:val="en-US" w:eastAsia="zh-CN"/>
        </w:rPr>
        <w:t xml:space="preserve">have </w:t>
      </w:r>
      <w:proofErr w:type="spellStart"/>
      <w:r w:rsidR="00990A73" w:rsidRPr="00714401">
        <w:rPr>
          <w:rFonts w:ascii="Book Antiqua" w:hAnsi="Book Antiqua"/>
          <w:sz w:val="24"/>
          <w:szCs w:val="24"/>
          <w:lang w:val="en-US" w:eastAsia="zh-CN"/>
        </w:rPr>
        <w:t>analyse</w:t>
      </w:r>
      <w:r w:rsidR="00CA5274" w:rsidRPr="00714401">
        <w:rPr>
          <w:rFonts w:ascii="Book Antiqua" w:hAnsi="Book Antiqua"/>
          <w:sz w:val="24"/>
          <w:szCs w:val="24"/>
          <w:lang w:val="en-US" w:eastAsia="zh-CN"/>
        </w:rPr>
        <w:t>d</w:t>
      </w:r>
      <w:proofErr w:type="spellEnd"/>
      <w:r w:rsidR="00673050" w:rsidRPr="00714401">
        <w:rPr>
          <w:rFonts w:ascii="Book Antiqua" w:hAnsi="Book Antiqua"/>
          <w:sz w:val="24"/>
          <w:szCs w:val="24"/>
          <w:lang w:val="en-US" w:eastAsia="zh-CN"/>
        </w:rPr>
        <w:t xml:space="preserve"> the most common indications </w:t>
      </w:r>
      <w:r w:rsidR="00990A73" w:rsidRPr="00714401">
        <w:rPr>
          <w:rFonts w:ascii="Book Antiqua" w:hAnsi="Book Antiqua"/>
          <w:sz w:val="24"/>
          <w:szCs w:val="24"/>
          <w:lang w:val="en-US" w:eastAsia="zh-CN"/>
        </w:rPr>
        <w:t xml:space="preserve">of </w:t>
      </w:r>
      <w:r w:rsidR="00673050" w:rsidRPr="00714401">
        <w:rPr>
          <w:rFonts w:ascii="Book Antiqua" w:hAnsi="Book Antiqua"/>
          <w:sz w:val="24"/>
          <w:szCs w:val="24"/>
          <w:lang w:val="en-US" w:eastAsia="zh-CN"/>
        </w:rPr>
        <w:t>ICG kinetic parameters in</w:t>
      </w:r>
      <w:r w:rsidR="006D6E85" w:rsidRPr="00714401">
        <w:rPr>
          <w:rFonts w:ascii="Book Antiqua" w:hAnsi="Book Antiqua"/>
          <w:sz w:val="24"/>
          <w:szCs w:val="24"/>
          <w:lang w:val="en-US" w:eastAsia="zh-CN"/>
        </w:rPr>
        <w:t xml:space="preserve"> clinical practice, focusing on</w:t>
      </w:r>
      <w:r w:rsidR="00673050" w:rsidRPr="00714401">
        <w:rPr>
          <w:rFonts w:ascii="Book Antiqua" w:hAnsi="Book Antiqua"/>
          <w:sz w:val="24"/>
          <w:szCs w:val="24"/>
          <w:lang w:val="en-US" w:eastAsia="zh-CN"/>
        </w:rPr>
        <w:t xml:space="preserve"> the diagnostic and prognostic role of PDR and R</w:t>
      </w:r>
      <w:r w:rsidR="00673050" w:rsidRPr="00714401">
        <w:rPr>
          <w:rFonts w:ascii="Book Antiqua" w:hAnsi="Book Antiqua"/>
          <w:sz w:val="24"/>
          <w:szCs w:val="24"/>
          <w:vertAlign w:val="subscript"/>
          <w:lang w:val="en-US" w:eastAsia="zh-CN"/>
        </w:rPr>
        <w:t>15</w:t>
      </w:r>
      <w:r w:rsidR="006D6E85" w:rsidRPr="00714401">
        <w:rPr>
          <w:rFonts w:ascii="Book Antiqua" w:hAnsi="Book Antiqua"/>
          <w:sz w:val="24"/>
          <w:szCs w:val="24"/>
          <w:lang w:val="en-US" w:eastAsia="zh-CN"/>
        </w:rPr>
        <w:t xml:space="preserve"> in the </w:t>
      </w:r>
      <w:r w:rsidR="00673050" w:rsidRPr="00714401">
        <w:rPr>
          <w:rFonts w:ascii="Book Antiqua" w:hAnsi="Book Antiqua"/>
          <w:sz w:val="24"/>
          <w:szCs w:val="24"/>
          <w:lang w:val="en-US" w:eastAsia="zh-CN"/>
        </w:rPr>
        <w:t>perioperative period of</w:t>
      </w:r>
      <w:r w:rsidR="0076063F" w:rsidRPr="00714401">
        <w:rPr>
          <w:rFonts w:ascii="Book Antiqua" w:hAnsi="Book Antiqua"/>
          <w:sz w:val="24"/>
          <w:szCs w:val="24"/>
          <w:lang w:val="en-US" w:eastAsia="zh-CN"/>
        </w:rPr>
        <w:t xml:space="preserve"> </w:t>
      </w:r>
      <w:r w:rsidR="00673050" w:rsidRPr="00714401">
        <w:rPr>
          <w:rFonts w:ascii="Book Antiqua" w:hAnsi="Book Antiqua"/>
          <w:sz w:val="24"/>
          <w:szCs w:val="24"/>
          <w:lang w:val="en-US" w:eastAsia="zh-CN"/>
        </w:rPr>
        <w:t xml:space="preserve">major </w:t>
      </w:r>
      <w:proofErr w:type="spellStart"/>
      <w:r w:rsidR="00990A73" w:rsidRPr="00714401">
        <w:rPr>
          <w:rFonts w:ascii="Book Antiqua" w:hAnsi="Book Antiqua"/>
          <w:sz w:val="24"/>
          <w:szCs w:val="24"/>
          <w:lang w:val="en-US" w:eastAsia="zh-CN"/>
        </w:rPr>
        <w:t>resective</w:t>
      </w:r>
      <w:proofErr w:type="spellEnd"/>
      <w:r w:rsidR="00990A73" w:rsidRPr="00714401">
        <w:rPr>
          <w:rFonts w:ascii="Book Antiqua" w:hAnsi="Book Antiqua"/>
          <w:sz w:val="24"/>
          <w:szCs w:val="24"/>
          <w:lang w:val="en-US" w:eastAsia="zh-CN"/>
        </w:rPr>
        <w:t xml:space="preserve"> </w:t>
      </w:r>
      <w:r w:rsidR="00673050" w:rsidRPr="00714401">
        <w:rPr>
          <w:rFonts w:ascii="Book Antiqua" w:hAnsi="Book Antiqua"/>
          <w:sz w:val="24"/>
          <w:szCs w:val="24"/>
          <w:lang w:val="en-US" w:eastAsia="zh-CN"/>
        </w:rPr>
        <w:t>liver surgery and liver transplantation.</w:t>
      </w:r>
      <w:r w:rsidR="00472599" w:rsidRPr="00714401">
        <w:rPr>
          <w:rFonts w:ascii="Book Antiqua" w:hAnsi="Book Antiqua"/>
          <w:sz w:val="24"/>
          <w:szCs w:val="24"/>
          <w:lang w:val="en-US" w:eastAsia="zh-CN"/>
        </w:rPr>
        <w:t xml:space="preserve"> Since </w:t>
      </w:r>
      <w:r w:rsidR="00673050" w:rsidRPr="00714401">
        <w:rPr>
          <w:rFonts w:ascii="Book Antiqua" w:hAnsi="Book Antiqua"/>
          <w:sz w:val="24"/>
          <w:szCs w:val="24"/>
          <w:lang w:val="en-US" w:eastAsia="zh-CN"/>
        </w:rPr>
        <w:t>ICG parameters ha</w:t>
      </w:r>
      <w:r w:rsidR="00C1277A" w:rsidRPr="00714401">
        <w:rPr>
          <w:rFonts w:ascii="Book Antiqua" w:hAnsi="Book Antiqua"/>
          <w:sz w:val="24"/>
          <w:szCs w:val="24"/>
          <w:lang w:val="en-US" w:eastAsia="zh-CN"/>
        </w:rPr>
        <w:t>ve</w:t>
      </w:r>
      <w:r w:rsidR="00673050" w:rsidRPr="00714401">
        <w:rPr>
          <w:rFonts w:ascii="Book Antiqua" w:hAnsi="Book Antiqua"/>
          <w:sz w:val="24"/>
          <w:szCs w:val="24"/>
          <w:lang w:val="en-US" w:eastAsia="zh-CN"/>
        </w:rPr>
        <w:t xml:space="preserve"> still some limitations, </w:t>
      </w:r>
      <w:r w:rsidR="00472599" w:rsidRPr="00714401">
        <w:rPr>
          <w:rFonts w:ascii="Book Antiqua" w:hAnsi="Book Antiqua"/>
          <w:sz w:val="24"/>
          <w:szCs w:val="24"/>
          <w:lang w:val="en-US" w:eastAsia="zh-CN"/>
        </w:rPr>
        <w:t xml:space="preserve">we </w:t>
      </w:r>
      <w:r w:rsidR="00990A73" w:rsidRPr="00714401">
        <w:rPr>
          <w:rFonts w:ascii="Book Antiqua" w:hAnsi="Book Antiqua"/>
          <w:sz w:val="24"/>
          <w:szCs w:val="24"/>
          <w:lang w:val="en-US" w:eastAsia="zh-CN"/>
        </w:rPr>
        <w:t>will underline</w:t>
      </w:r>
      <w:r w:rsidR="00472599" w:rsidRPr="00714401">
        <w:rPr>
          <w:rFonts w:ascii="Book Antiqua" w:hAnsi="Book Antiqua"/>
          <w:sz w:val="24"/>
          <w:szCs w:val="24"/>
          <w:lang w:val="en-US" w:eastAsia="zh-CN"/>
        </w:rPr>
        <w:t xml:space="preserve"> the conditions </w:t>
      </w:r>
      <w:r w:rsidR="008507F6" w:rsidRPr="00714401">
        <w:rPr>
          <w:rFonts w:ascii="Book Antiqua" w:hAnsi="Book Antiqua"/>
          <w:sz w:val="24"/>
          <w:szCs w:val="24"/>
          <w:lang w:val="en-US" w:eastAsia="zh-CN"/>
        </w:rPr>
        <w:t>(</w:t>
      </w:r>
      <w:r w:rsidR="00990A73" w:rsidRPr="00714401">
        <w:rPr>
          <w:rFonts w:ascii="Book Antiqua" w:hAnsi="Book Antiqua"/>
          <w:sz w:val="24"/>
          <w:szCs w:val="24"/>
          <w:lang w:val="en-US" w:eastAsia="zh-CN"/>
        </w:rPr>
        <w:t xml:space="preserve">mainly </w:t>
      </w:r>
      <w:r w:rsidR="008507F6" w:rsidRPr="00714401">
        <w:rPr>
          <w:rFonts w:ascii="Book Antiqua" w:hAnsi="Book Antiqua"/>
          <w:sz w:val="24"/>
          <w:szCs w:val="24"/>
          <w:lang w:val="en-US" w:eastAsia="zh-CN"/>
        </w:rPr>
        <w:t>hyperbilirubinemia and severe peripheral</w:t>
      </w:r>
      <w:r w:rsidR="0076063F" w:rsidRPr="00714401">
        <w:rPr>
          <w:rFonts w:ascii="Book Antiqua" w:hAnsi="Book Antiqua"/>
          <w:sz w:val="24"/>
          <w:szCs w:val="24"/>
          <w:lang w:val="en-US" w:eastAsia="zh-CN"/>
        </w:rPr>
        <w:t xml:space="preserve"> </w:t>
      </w:r>
      <w:proofErr w:type="spellStart"/>
      <w:r w:rsidR="008507F6" w:rsidRPr="00714401">
        <w:rPr>
          <w:rFonts w:ascii="Book Antiqua" w:hAnsi="Book Antiqua"/>
          <w:sz w:val="24"/>
          <w:szCs w:val="24"/>
          <w:lang w:val="en-US" w:eastAsia="zh-CN"/>
        </w:rPr>
        <w:t>hypoperfusion</w:t>
      </w:r>
      <w:proofErr w:type="spellEnd"/>
      <w:r w:rsidR="008507F6" w:rsidRPr="00714401">
        <w:rPr>
          <w:rFonts w:ascii="Book Antiqua" w:hAnsi="Book Antiqua"/>
          <w:sz w:val="24"/>
          <w:szCs w:val="24"/>
          <w:lang w:val="en-US" w:eastAsia="zh-CN"/>
        </w:rPr>
        <w:t xml:space="preserve">) </w:t>
      </w:r>
      <w:r w:rsidR="00472599" w:rsidRPr="00714401">
        <w:rPr>
          <w:rFonts w:ascii="Book Antiqua" w:hAnsi="Book Antiqua"/>
          <w:sz w:val="24"/>
          <w:szCs w:val="24"/>
          <w:lang w:val="en-US" w:eastAsia="zh-CN"/>
        </w:rPr>
        <w:t>able to</w:t>
      </w:r>
      <w:r w:rsidR="008507F6" w:rsidRPr="00714401">
        <w:rPr>
          <w:rFonts w:ascii="Book Antiqua" w:hAnsi="Book Antiqua"/>
          <w:sz w:val="24"/>
          <w:szCs w:val="24"/>
          <w:lang w:val="en-US" w:eastAsia="zh-CN"/>
        </w:rPr>
        <w:t xml:space="preserve"> alter</w:t>
      </w:r>
      <w:r w:rsidR="0076063F" w:rsidRPr="00714401">
        <w:rPr>
          <w:rFonts w:ascii="Book Antiqua" w:hAnsi="Book Antiqua"/>
          <w:sz w:val="24"/>
          <w:szCs w:val="24"/>
          <w:lang w:val="en-US" w:eastAsia="zh-CN"/>
        </w:rPr>
        <w:t xml:space="preserve"> </w:t>
      </w:r>
      <w:r w:rsidR="003443EF" w:rsidRPr="00714401">
        <w:rPr>
          <w:rFonts w:ascii="Book Antiqua" w:hAnsi="Book Antiqua"/>
          <w:sz w:val="24"/>
          <w:szCs w:val="24"/>
          <w:lang w:val="en-US" w:eastAsia="zh-CN"/>
        </w:rPr>
        <w:t xml:space="preserve">the reliability of </w:t>
      </w:r>
      <w:r w:rsidR="008507F6" w:rsidRPr="00714401">
        <w:rPr>
          <w:rFonts w:ascii="Book Antiqua" w:hAnsi="Book Antiqua"/>
          <w:sz w:val="24"/>
          <w:szCs w:val="24"/>
          <w:lang w:val="en-US" w:eastAsia="zh-CN"/>
        </w:rPr>
        <w:t>the</w:t>
      </w:r>
      <w:r w:rsidR="006F2D36" w:rsidRPr="00714401">
        <w:rPr>
          <w:rFonts w:ascii="Book Antiqua" w:hAnsi="Book Antiqua"/>
          <w:sz w:val="24"/>
          <w:szCs w:val="24"/>
          <w:lang w:val="en-US" w:eastAsia="zh-CN"/>
        </w:rPr>
        <w:t>se</w:t>
      </w:r>
      <w:r w:rsidR="008507F6" w:rsidRPr="00714401">
        <w:rPr>
          <w:rFonts w:ascii="Book Antiqua" w:hAnsi="Book Antiqua"/>
          <w:sz w:val="24"/>
          <w:szCs w:val="24"/>
          <w:lang w:val="en-US" w:eastAsia="zh-CN"/>
        </w:rPr>
        <w:t xml:space="preserve"> test</w:t>
      </w:r>
      <w:r w:rsidR="00990A73" w:rsidRPr="00714401">
        <w:rPr>
          <w:rFonts w:ascii="Book Antiqua" w:hAnsi="Book Antiqua"/>
          <w:sz w:val="24"/>
          <w:szCs w:val="24"/>
          <w:lang w:val="en-US" w:eastAsia="zh-CN"/>
        </w:rPr>
        <w:t>s</w:t>
      </w:r>
      <w:r w:rsidR="00673050" w:rsidRPr="00714401">
        <w:rPr>
          <w:rFonts w:ascii="Book Antiqua" w:hAnsi="Book Antiqua"/>
          <w:sz w:val="24"/>
          <w:szCs w:val="24"/>
          <w:lang w:val="en-US" w:eastAsia="zh-CN"/>
        </w:rPr>
        <w:t>.</w:t>
      </w:r>
    </w:p>
    <w:p w:rsidR="00484B22" w:rsidRPr="00714401" w:rsidRDefault="00484B22" w:rsidP="004F4F1E">
      <w:pPr>
        <w:snapToGrid w:val="0"/>
        <w:spacing w:after="0" w:line="360" w:lineRule="auto"/>
        <w:jc w:val="both"/>
        <w:rPr>
          <w:rFonts w:ascii="Book Antiqua" w:hAnsi="Book Antiqua"/>
          <w:sz w:val="24"/>
          <w:szCs w:val="24"/>
          <w:lang w:val="en-US" w:eastAsia="zh-CN"/>
        </w:rPr>
      </w:pPr>
    </w:p>
    <w:p w:rsidR="009B70C0" w:rsidRPr="00714401" w:rsidRDefault="00485923" w:rsidP="004F4F1E">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sz w:val="24"/>
          <w:szCs w:val="24"/>
          <w:lang w:val="en-US"/>
        </w:rPr>
        <w:t xml:space="preserve">De </w:t>
      </w:r>
      <w:proofErr w:type="spellStart"/>
      <w:r w:rsidRPr="00714401">
        <w:rPr>
          <w:rFonts w:ascii="Book Antiqua" w:hAnsi="Book Antiqua"/>
          <w:sz w:val="24"/>
          <w:szCs w:val="24"/>
          <w:lang w:val="en-US"/>
        </w:rPr>
        <w:t>Gasperi</w:t>
      </w:r>
      <w:proofErr w:type="spellEnd"/>
      <w:r w:rsidRPr="00714401">
        <w:rPr>
          <w:rFonts w:ascii="Book Antiqua" w:hAnsi="Book Antiqua"/>
          <w:sz w:val="24"/>
          <w:szCs w:val="24"/>
          <w:lang w:val="en-US"/>
        </w:rPr>
        <w:t xml:space="preserve"> A, </w:t>
      </w:r>
      <w:proofErr w:type="spellStart"/>
      <w:r w:rsidRPr="00714401">
        <w:rPr>
          <w:rFonts w:ascii="Book Antiqua" w:hAnsi="Book Antiqua"/>
          <w:sz w:val="24"/>
          <w:szCs w:val="24"/>
          <w:lang w:val="en-US"/>
        </w:rPr>
        <w:t>Mazza</w:t>
      </w:r>
      <w:proofErr w:type="spellEnd"/>
      <w:r w:rsidRPr="00714401">
        <w:rPr>
          <w:rFonts w:ascii="Book Antiqua" w:hAnsi="Book Antiqua"/>
          <w:sz w:val="24"/>
          <w:szCs w:val="24"/>
          <w:lang w:val="en-US"/>
        </w:rPr>
        <w:t xml:space="preserve"> E, </w:t>
      </w:r>
      <w:proofErr w:type="spellStart"/>
      <w:r w:rsidRPr="00714401">
        <w:rPr>
          <w:rFonts w:ascii="Book Antiqua" w:hAnsi="Book Antiqua"/>
          <w:sz w:val="24"/>
          <w:szCs w:val="24"/>
          <w:lang w:val="en-US"/>
        </w:rPr>
        <w:t>Prosperi</w:t>
      </w:r>
      <w:proofErr w:type="spellEnd"/>
      <w:r w:rsidRPr="00714401">
        <w:rPr>
          <w:rFonts w:ascii="Book Antiqua" w:hAnsi="Book Antiqua"/>
          <w:sz w:val="24"/>
          <w:szCs w:val="24"/>
          <w:lang w:val="en-US"/>
        </w:rPr>
        <w:t xml:space="preserve"> M. </w:t>
      </w:r>
      <w:proofErr w:type="spellStart"/>
      <w:r w:rsidR="009B70C0" w:rsidRPr="00714401">
        <w:rPr>
          <w:rFonts w:ascii="Book Antiqua" w:hAnsi="Book Antiqua"/>
          <w:sz w:val="24"/>
          <w:szCs w:val="24"/>
          <w:lang w:val="en-US"/>
        </w:rPr>
        <w:t>Indocyanine</w:t>
      </w:r>
      <w:proofErr w:type="spellEnd"/>
      <w:r w:rsidR="009B70C0" w:rsidRPr="00714401">
        <w:rPr>
          <w:rFonts w:ascii="Book Antiqua" w:hAnsi="Book Antiqua"/>
          <w:sz w:val="24"/>
          <w:szCs w:val="24"/>
          <w:lang w:val="en-US"/>
        </w:rPr>
        <w:t xml:space="preserve"> green kinetics to assess liver function: Ready for a clinical dynamic assessment in major liver surgery?</w:t>
      </w:r>
      <w:r w:rsidR="009B70C0" w:rsidRPr="00714401">
        <w:rPr>
          <w:rFonts w:ascii="Book Antiqua" w:hAnsi="Book Antiqua"/>
          <w:sz w:val="24"/>
          <w:szCs w:val="24"/>
          <w:lang w:val="en-US" w:eastAsia="zh-CN"/>
        </w:rPr>
        <w:t xml:space="preserve"> </w:t>
      </w:r>
      <w:r w:rsidR="009B70C0" w:rsidRPr="00714401">
        <w:rPr>
          <w:rFonts w:ascii="Book Antiqua" w:hAnsi="Book Antiqua"/>
          <w:i/>
          <w:iCs/>
          <w:sz w:val="24"/>
          <w:szCs w:val="24"/>
        </w:rPr>
        <w:t>World J Hepatol</w:t>
      </w:r>
      <w:r w:rsidR="009B70C0" w:rsidRPr="00714401">
        <w:rPr>
          <w:rFonts w:ascii="Book Antiqua" w:hAnsi="Book Antiqua"/>
          <w:i/>
          <w:iCs/>
          <w:sz w:val="24"/>
          <w:szCs w:val="24"/>
          <w:lang w:eastAsia="zh-CN"/>
        </w:rPr>
        <w:t xml:space="preserve"> </w:t>
      </w:r>
      <w:r w:rsidR="009B70C0" w:rsidRPr="00714401">
        <w:rPr>
          <w:rFonts w:ascii="Book Antiqua" w:hAnsi="Book Antiqua"/>
          <w:iCs/>
          <w:sz w:val="24"/>
          <w:szCs w:val="24"/>
          <w:lang w:eastAsia="zh-CN"/>
        </w:rPr>
        <w:t>2016; In press</w:t>
      </w:r>
    </w:p>
    <w:p w:rsidR="00BB621E" w:rsidRPr="00714401" w:rsidRDefault="00BB621E" w:rsidP="004F4F1E">
      <w:pPr>
        <w:autoSpaceDE w:val="0"/>
        <w:autoSpaceDN w:val="0"/>
        <w:adjustRightInd w:val="0"/>
        <w:snapToGrid w:val="0"/>
        <w:spacing w:after="0" w:line="360" w:lineRule="auto"/>
        <w:jc w:val="both"/>
        <w:rPr>
          <w:rFonts w:ascii="Book Antiqua" w:hAnsi="Book Antiqua"/>
          <w:sz w:val="24"/>
          <w:szCs w:val="24"/>
          <w:lang w:val="en-US" w:eastAsia="zh-CN"/>
        </w:rPr>
      </w:pPr>
    </w:p>
    <w:p w:rsidR="00CB3C29" w:rsidRPr="00714401" w:rsidRDefault="00CB3C29">
      <w:pPr>
        <w:rPr>
          <w:rFonts w:ascii="Book Antiqua" w:hAnsi="Book Antiqua"/>
          <w:b/>
          <w:sz w:val="24"/>
          <w:szCs w:val="24"/>
          <w:lang w:val="en-US"/>
        </w:rPr>
      </w:pPr>
      <w:r w:rsidRPr="00714401">
        <w:rPr>
          <w:rFonts w:ascii="Book Antiqua" w:hAnsi="Book Antiqua"/>
          <w:b/>
          <w:sz w:val="24"/>
          <w:szCs w:val="24"/>
          <w:lang w:val="en-US"/>
        </w:rPr>
        <w:br w:type="page"/>
      </w:r>
    </w:p>
    <w:p w:rsidR="00A62FB5" w:rsidRPr="00714401" w:rsidRDefault="009B70C0" w:rsidP="004F4F1E">
      <w:pPr>
        <w:autoSpaceDE w:val="0"/>
        <w:autoSpaceDN w:val="0"/>
        <w:adjustRightInd w:val="0"/>
        <w:snapToGrid w:val="0"/>
        <w:spacing w:after="0" w:line="360" w:lineRule="auto"/>
        <w:jc w:val="both"/>
        <w:rPr>
          <w:rFonts w:ascii="Book Antiqua" w:hAnsi="Book Antiqua"/>
          <w:b/>
          <w:sz w:val="24"/>
          <w:szCs w:val="24"/>
          <w:lang w:val="en-US"/>
        </w:rPr>
      </w:pPr>
      <w:r w:rsidRPr="00714401">
        <w:rPr>
          <w:rFonts w:ascii="Book Antiqua" w:hAnsi="Book Antiqua"/>
          <w:b/>
          <w:sz w:val="24"/>
          <w:szCs w:val="24"/>
          <w:lang w:val="en-US"/>
        </w:rPr>
        <w:lastRenderedPageBreak/>
        <w:t xml:space="preserve">INTRODUCTION </w:t>
      </w:r>
    </w:p>
    <w:p w:rsidR="00ED7672" w:rsidRPr="00714401" w:rsidRDefault="00484B22" w:rsidP="004F4F1E">
      <w:pPr>
        <w:autoSpaceDE w:val="0"/>
        <w:autoSpaceDN w:val="0"/>
        <w:adjustRightInd w:val="0"/>
        <w:snapToGrid w:val="0"/>
        <w:spacing w:after="0" w:line="360" w:lineRule="auto"/>
        <w:jc w:val="both"/>
        <w:rPr>
          <w:rFonts w:ascii="Book Antiqua" w:hAnsi="Book Antiqua"/>
          <w:sz w:val="24"/>
          <w:szCs w:val="24"/>
          <w:lang w:val="en-US"/>
        </w:rPr>
      </w:pPr>
      <w:proofErr w:type="gramStart"/>
      <w:r w:rsidRPr="00714401">
        <w:rPr>
          <w:rFonts w:ascii="Book Antiqua" w:hAnsi="Book Antiqua"/>
          <w:sz w:val="24"/>
          <w:szCs w:val="24"/>
          <w:lang w:val="en-US"/>
        </w:rPr>
        <w:t>ln</w:t>
      </w:r>
      <w:proofErr w:type="gramEnd"/>
      <w:r w:rsidRPr="00714401">
        <w:rPr>
          <w:rFonts w:ascii="Book Antiqua" w:hAnsi="Book Antiqua"/>
          <w:sz w:val="24"/>
          <w:szCs w:val="24"/>
          <w:lang w:val="en-US"/>
        </w:rPr>
        <w:t xml:space="preserve"> modern </w:t>
      </w:r>
      <w:r w:rsidR="00CB3F91" w:rsidRPr="00714401">
        <w:rPr>
          <w:rFonts w:ascii="Book Antiqua" w:hAnsi="Book Antiqua"/>
          <w:sz w:val="24"/>
          <w:szCs w:val="24"/>
          <w:lang w:val="en-US"/>
        </w:rPr>
        <w:t xml:space="preserve">critical care </w:t>
      </w:r>
      <w:r w:rsidRPr="00714401">
        <w:rPr>
          <w:rFonts w:ascii="Book Antiqua" w:hAnsi="Book Antiqua"/>
          <w:sz w:val="24"/>
          <w:szCs w:val="24"/>
          <w:lang w:val="en-US"/>
        </w:rPr>
        <w:t xml:space="preserve">medicine, extensive and accurate liver function assessment </w:t>
      </w:r>
      <w:r w:rsidR="00F7231B" w:rsidRPr="00714401">
        <w:rPr>
          <w:rFonts w:ascii="Book Antiqua" w:hAnsi="Book Antiqua"/>
          <w:sz w:val="24"/>
          <w:szCs w:val="24"/>
          <w:lang w:val="en-US"/>
        </w:rPr>
        <w:t xml:space="preserve">has a relevant place while </w:t>
      </w:r>
      <w:r w:rsidRPr="00714401">
        <w:rPr>
          <w:rFonts w:ascii="Book Antiqua" w:hAnsi="Book Antiqua"/>
          <w:sz w:val="24"/>
          <w:szCs w:val="24"/>
          <w:lang w:val="en-US"/>
        </w:rPr>
        <w:t xml:space="preserve">caring for </w:t>
      </w:r>
      <w:r w:rsidR="00CB3F91" w:rsidRPr="00714401">
        <w:rPr>
          <w:rFonts w:ascii="Book Antiqua" w:hAnsi="Book Antiqua"/>
          <w:sz w:val="24"/>
          <w:szCs w:val="24"/>
          <w:lang w:val="en-US"/>
        </w:rPr>
        <w:t xml:space="preserve">high risk </w:t>
      </w:r>
      <w:r w:rsidR="00F7231B" w:rsidRPr="00714401">
        <w:rPr>
          <w:rFonts w:ascii="Book Antiqua" w:hAnsi="Book Antiqua"/>
          <w:sz w:val="24"/>
          <w:szCs w:val="24"/>
          <w:lang w:val="en-US"/>
        </w:rPr>
        <w:t xml:space="preserve">medical </w:t>
      </w:r>
      <w:r w:rsidRPr="00714401">
        <w:rPr>
          <w:rFonts w:ascii="Book Antiqua" w:hAnsi="Book Antiqua"/>
          <w:sz w:val="24"/>
          <w:szCs w:val="24"/>
          <w:lang w:val="en-US"/>
        </w:rPr>
        <w:t>patients or</w:t>
      </w:r>
      <w:r w:rsidR="0076063F" w:rsidRPr="00714401">
        <w:rPr>
          <w:rFonts w:ascii="Book Antiqua" w:hAnsi="Book Antiqua"/>
          <w:sz w:val="24"/>
          <w:szCs w:val="24"/>
          <w:lang w:val="en-US"/>
        </w:rPr>
        <w:t xml:space="preserve"> </w:t>
      </w:r>
      <w:r w:rsidR="0042345B" w:rsidRPr="00714401">
        <w:rPr>
          <w:rFonts w:ascii="Book Antiqua" w:hAnsi="Book Antiqua"/>
          <w:sz w:val="24"/>
          <w:szCs w:val="24"/>
          <w:lang w:val="en-US"/>
        </w:rPr>
        <w:t xml:space="preserve">candidates </w:t>
      </w:r>
      <w:r w:rsidR="00F7231B" w:rsidRPr="00714401">
        <w:rPr>
          <w:rFonts w:ascii="Book Antiqua" w:hAnsi="Book Antiqua"/>
          <w:sz w:val="24"/>
          <w:szCs w:val="24"/>
          <w:lang w:val="en-US"/>
        </w:rPr>
        <w:t xml:space="preserve">to </w:t>
      </w:r>
      <w:r w:rsidR="00F27669" w:rsidRPr="00714401">
        <w:rPr>
          <w:rFonts w:ascii="Book Antiqua" w:hAnsi="Book Antiqua"/>
          <w:sz w:val="24"/>
          <w:szCs w:val="24"/>
          <w:lang w:val="en-US"/>
        </w:rPr>
        <w:t>major liver surgery</w:t>
      </w:r>
      <w:r w:rsidR="006423C7" w:rsidRPr="00714401">
        <w:rPr>
          <w:rFonts w:ascii="Book Antiqua" w:hAnsi="Book Antiqua"/>
          <w:sz w:val="24"/>
          <w:szCs w:val="24"/>
          <w:lang w:val="en-US"/>
        </w:rPr>
        <w:t xml:space="preserve">: </w:t>
      </w:r>
      <w:r w:rsidR="00CB3F91" w:rsidRPr="00714401">
        <w:rPr>
          <w:rFonts w:ascii="Book Antiqua" w:hAnsi="Book Antiqua"/>
          <w:sz w:val="24"/>
          <w:szCs w:val="24"/>
          <w:lang w:val="en-US"/>
        </w:rPr>
        <w:t>at the moment</w:t>
      </w:r>
      <w:r w:rsidR="00F7231B"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6423C7" w:rsidRPr="00714401">
        <w:rPr>
          <w:rFonts w:ascii="Book Antiqua" w:hAnsi="Book Antiqua"/>
          <w:sz w:val="24"/>
          <w:szCs w:val="24"/>
          <w:lang w:val="en-US"/>
        </w:rPr>
        <w:t>s</w:t>
      </w:r>
      <w:r w:rsidR="00F90597" w:rsidRPr="00714401">
        <w:rPr>
          <w:rFonts w:ascii="Book Antiqua" w:hAnsi="Book Antiqua"/>
          <w:sz w:val="24"/>
          <w:szCs w:val="24"/>
          <w:lang w:val="en-US"/>
        </w:rPr>
        <w:t xml:space="preserve">tatic and dynamic </w:t>
      </w:r>
      <w:r w:rsidRPr="00714401">
        <w:rPr>
          <w:rFonts w:ascii="Book Antiqua" w:hAnsi="Book Antiqua"/>
          <w:sz w:val="24"/>
          <w:szCs w:val="24"/>
          <w:lang w:val="en-US"/>
        </w:rPr>
        <w:t xml:space="preserve">tests </w:t>
      </w:r>
      <w:r w:rsidR="006423C7" w:rsidRPr="00714401">
        <w:rPr>
          <w:rFonts w:ascii="Book Antiqua" w:hAnsi="Book Antiqua"/>
          <w:sz w:val="24"/>
          <w:szCs w:val="24"/>
          <w:lang w:val="en-US"/>
        </w:rPr>
        <w:t xml:space="preserve">are </w:t>
      </w:r>
      <w:r w:rsidR="006105FE" w:rsidRPr="00714401">
        <w:rPr>
          <w:rFonts w:ascii="Book Antiqua" w:hAnsi="Book Antiqua"/>
          <w:sz w:val="24"/>
          <w:szCs w:val="24"/>
          <w:lang w:val="en-US"/>
        </w:rPr>
        <w:t>available</w:t>
      </w:r>
      <w:r w:rsidR="006105FE" w:rsidRPr="00714401">
        <w:rPr>
          <w:rFonts w:ascii="Book Antiqua" w:hAnsi="Book Antiqua"/>
          <w:sz w:val="24"/>
          <w:szCs w:val="24"/>
          <w:vertAlign w:val="superscript"/>
          <w:lang w:val="en-US" w:eastAsia="zh-CN"/>
        </w:rPr>
        <w:t>[</w:t>
      </w:r>
      <w:r w:rsidR="00C16FDA" w:rsidRPr="00714401">
        <w:rPr>
          <w:rFonts w:ascii="Book Antiqua" w:hAnsi="Book Antiqua"/>
          <w:sz w:val="24"/>
          <w:szCs w:val="24"/>
          <w:vertAlign w:val="superscript"/>
          <w:lang w:val="en-US"/>
        </w:rPr>
        <w:t>1-</w:t>
      </w:r>
      <w:r w:rsidR="00AC3A2B" w:rsidRPr="00714401">
        <w:rPr>
          <w:rFonts w:ascii="Book Antiqua" w:hAnsi="Book Antiqua"/>
          <w:sz w:val="24"/>
          <w:szCs w:val="24"/>
          <w:vertAlign w:val="superscript"/>
          <w:lang w:val="en-US"/>
        </w:rPr>
        <w:t>7</w:t>
      </w:r>
      <w:r w:rsidR="006105FE" w:rsidRPr="00714401">
        <w:rPr>
          <w:rFonts w:ascii="Book Antiqua" w:hAnsi="Book Antiqua"/>
          <w:sz w:val="24"/>
          <w:szCs w:val="24"/>
          <w:vertAlign w:val="superscript"/>
          <w:lang w:val="en-US" w:eastAsia="zh-CN"/>
        </w:rPr>
        <w:t>]</w:t>
      </w:r>
      <w:r w:rsidR="00052AB8" w:rsidRPr="00714401">
        <w:rPr>
          <w:rFonts w:ascii="Book Antiqua" w:hAnsi="Book Antiqua"/>
          <w:sz w:val="24"/>
          <w:szCs w:val="24"/>
          <w:lang w:val="en-US"/>
        </w:rPr>
        <w:t xml:space="preserve">. </w:t>
      </w:r>
      <w:r w:rsidR="00654507" w:rsidRPr="00714401">
        <w:rPr>
          <w:rFonts w:ascii="Book Antiqua" w:hAnsi="Book Antiqua"/>
          <w:sz w:val="24"/>
          <w:szCs w:val="24"/>
          <w:lang w:val="en-US"/>
        </w:rPr>
        <w:t>S</w:t>
      </w:r>
      <w:r w:rsidR="00DE3C03" w:rsidRPr="00714401">
        <w:rPr>
          <w:rFonts w:ascii="Book Antiqua" w:hAnsi="Book Antiqua"/>
          <w:sz w:val="24"/>
          <w:szCs w:val="24"/>
          <w:lang w:val="en-US"/>
        </w:rPr>
        <w:t>tatic tests</w:t>
      </w:r>
      <w:r w:rsidR="00654507" w:rsidRPr="00714401">
        <w:rPr>
          <w:rFonts w:ascii="Book Antiqua" w:hAnsi="Book Antiqua"/>
          <w:sz w:val="24"/>
          <w:szCs w:val="24"/>
          <w:lang w:val="en-US"/>
        </w:rPr>
        <w:t xml:space="preserve">, since long included in scores able to </w:t>
      </w:r>
      <w:r w:rsidR="003B2AB0" w:rsidRPr="00714401">
        <w:rPr>
          <w:rFonts w:ascii="Book Antiqua" w:hAnsi="Book Antiqua"/>
          <w:sz w:val="24"/>
          <w:szCs w:val="24"/>
          <w:lang w:val="en-US"/>
        </w:rPr>
        <w:t xml:space="preserve">quantify </w:t>
      </w:r>
      <w:r w:rsidR="00654507" w:rsidRPr="00714401">
        <w:rPr>
          <w:rFonts w:ascii="Book Antiqua" w:hAnsi="Book Antiqua"/>
          <w:sz w:val="24"/>
          <w:szCs w:val="24"/>
          <w:lang w:val="en-US"/>
        </w:rPr>
        <w:t xml:space="preserve">acute (SOFA) and chronic (CHILD PUGH, MELD) hepatic dysfunction, </w:t>
      </w:r>
      <w:r w:rsidR="00753809" w:rsidRPr="00714401">
        <w:rPr>
          <w:rFonts w:ascii="Book Antiqua" w:hAnsi="Book Antiqua"/>
          <w:sz w:val="24"/>
          <w:szCs w:val="24"/>
          <w:lang w:val="en-US"/>
        </w:rPr>
        <w:t xml:space="preserve">assess </w:t>
      </w:r>
      <w:r w:rsidR="001F5077" w:rsidRPr="00714401">
        <w:rPr>
          <w:rFonts w:ascii="Book Antiqua" w:hAnsi="Book Antiqua"/>
          <w:sz w:val="24"/>
          <w:szCs w:val="24"/>
          <w:lang w:val="en-US"/>
        </w:rPr>
        <w:t xml:space="preserve">separately </w:t>
      </w:r>
      <w:r w:rsidR="00F90597" w:rsidRPr="00714401">
        <w:rPr>
          <w:rFonts w:ascii="Book Antiqua" w:hAnsi="Book Antiqua"/>
          <w:sz w:val="24"/>
          <w:szCs w:val="24"/>
          <w:lang w:val="en-US"/>
        </w:rPr>
        <w:t>the different functions</w:t>
      </w:r>
      <w:r w:rsidR="00FB07D7" w:rsidRPr="00714401">
        <w:rPr>
          <w:rFonts w:ascii="Book Antiqua" w:hAnsi="Book Antiqua"/>
          <w:sz w:val="24"/>
          <w:szCs w:val="24"/>
          <w:lang w:val="en-US"/>
        </w:rPr>
        <w:t xml:space="preserve"> </w:t>
      </w:r>
      <w:r w:rsidR="00753809" w:rsidRPr="00714401">
        <w:rPr>
          <w:rFonts w:ascii="Book Antiqua" w:hAnsi="Book Antiqua"/>
          <w:sz w:val="24"/>
          <w:szCs w:val="24"/>
          <w:lang w:val="en-US"/>
        </w:rPr>
        <w:t>of the liver</w:t>
      </w:r>
      <w:r w:rsidR="001E4B02" w:rsidRPr="00714401">
        <w:rPr>
          <w:rFonts w:ascii="Book Antiqua" w:hAnsi="Book Antiqua"/>
          <w:sz w:val="24"/>
          <w:szCs w:val="24"/>
          <w:lang w:val="en-US"/>
        </w:rPr>
        <w:t xml:space="preserve"> and describe</w:t>
      </w:r>
      <w:r w:rsidR="003B2AB0" w:rsidRPr="00714401">
        <w:rPr>
          <w:rFonts w:ascii="Book Antiqua" w:hAnsi="Book Antiqua"/>
          <w:sz w:val="24"/>
          <w:szCs w:val="24"/>
          <w:lang w:val="en-US"/>
        </w:rPr>
        <w:t xml:space="preserve"> </w:t>
      </w:r>
      <w:r w:rsidR="00753809" w:rsidRPr="00714401">
        <w:rPr>
          <w:rFonts w:ascii="Book Antiqua" w:hAnsi="Book Antiqua"/>
          <w:sz w:val="24"/>
          <w:szCs w:val="24"/>
          <w:lang w:val="en-US"/>
        </w:rPr>
        <w:t xml:space="preserve">the size of the </w:t>
      </w:r>
      <w:r w:rsidR="00654507" w:rsidRPr="00714401">
        <w:rPr>
          <w:rFonts w:ascii="Book Antiqua" w:hAnsi="Book Antiqua"/>
          <w:sz w:val="24"/>
          <w:szCs w:val="24"/>
          <w:lang w:val="en-US"/>
        </w:rPr>
        <w:t xml:space="preserve">hepatic </w:t>
      </w:r>
      <w:proofErr w:type="gramStart"/>
      <w:r w:rsidR="00753809" w:rsidRPr="00714401">
        <w:rPr>
          <w:rFonts w:ascii="Book Antiqua" w:hAnsi="Book Antiqua"/>
          <w:sz w:val="24"/>
          <w:szCs w:val="24"/>
          <w:lang w:val="en-US"/>
        </w:rPr>
        <w:t>injury</w:t>
      </w:r>
      <w:r w:rsidR="00AC3A2B" w:rsidRPr="00714401">
        <w:rPr>
          <w:rFonts w:ascii="Book Antiqua" w:hAnsi="Book Antiqua"/>
          <w:sz w:val="24"/>
          <w:szCs w:val="24"/>
          <w:vertAlign w:val="superscript"/>
          <w:lang w:val="en-US"/>
        </w:rPr>
        <w:t>[</w:t>
      </w:r>
      <w:proofErr w:type="gramEnd"/>
      <w:r w:rsidR="00AC3A2B" w:rsidRPr="00714401">
        <w:rPr>
          <w:rFonts w:ascii="Book Antiqua" w:hAnsi="Book Antiqua"/>
          <w:sz w:val="24"/>
          <w:szCs w:val="24"/>
          <w:vertAlign w:val="superscript"/>
          <w:lang w:val="en-US"/>
        </w:rPr>
        <w:t>1-4]</w:t>
      </w:r>
      <w:r w:rsidR="001E4B02" w:rsidRPr="00714401">
        <w:rPr>
          <w:rFonts w:ascii="Book Antiqua" w:hAnsi="Book Antiqua"/>
          <w:sz w:val="24"/>
          <w:szCs w:val="24"/>
          <w:lang w:val="en-US"/>
        </w:rPr>
        <w:t xml:space="preserve">. </w:t>
      </w:r>
      <w:r w:rsidR="0034290D" w:rsidRPr="00714401">
        <w:rPr>
          <w:rFonts w:ascii="Book Antiqua" w:hAnsi="Book Antiqua"/>
          <w:sz w:val="24"/>
          <w:szCs w:val="24"/>
          <w:lang w:val="en-US"/>
        </w:rPr>
        <w:t>O</w:t>
      </w:r>
      <w:r w:rsidR="001E4B02" w:rsidRPr="00714401">
        <w:rPr>
          <w:rFonts w:ascii="Book Antiqua" w:hAnsi="Book Antiqua"/>
          <w:sz w:val="24"/>
          <w:szCs w:val="24"/>
          <w:lang w:val="en-US"/>
        </w:rPr>
        <w:t xml:space="preserve">n the contrary, </w:t>
      </w:r>
      <w:r w:rsidR="00654507" w:rsidRPr="00714401">
        <w:rPr>
          <w:rFonts w:ascii="Book Antiqua" w:hAnsi="Book Antiqua"/>
          <w:sz w:val="24"/>
          <w:szCs w:val="24"/>
          <w:lang w:val="en-US"/>
        </w:rPr>
        <w:t xml:space="preserve">information </w:t>
      </w:r>
      <w:r w:rsidR="001E4B02" w:rsidRPr="00714401">
        <w:rPr>
          <w:rFonts w:ascii="Book Antiqua" w:hAnsi="Book Antiqua"/>
          <w:sz w:val="24"/>
          <w:szCs w:val="24"/>
          <w:lang w:val="en-US"/>
        </w:rPr>
        <w:t>o</w:t>
      </w:r>
      <w:r w:rsidR="006423C7" w:rsidRPr="00714401">
        <w:rPr>
          <w:rFonts w:ascii="Book Antiqua" w:hAnsi="Book Antiqua"/>
          <w:sz w:val="24"/>
          <w:szCs w:val="24"/>
          <w:lang w:val="en-US"/>
        </w:rPr>
        <w:t>n</w:t>
      </w:r>
      <w:r w:rsidR="001E4B02" w:rsidRPr="00714401">
        <w:rPr>
          <w:rFonts w:ascii="Book Antiqua" w:hAnsi="Book Antiqua"/>
          <w:sz w:val="24"/>
          <w:szCs w:val="24"/>
          <w:lang w:val="en-US"/>
        </w:rPr>
        <w:t xml:space="preserve"> the functional </w:t>
      </w:r>
      <w:r w:rsidR="006423C7" w:rsidRPr="00714401">
        <w:rPr>
          <w:rFonts w:ascii="Book Antiqua" w:hAnsi="Book Antiqua"/>
          <w:sz w:val="24"/>
          <w:szCs w:val="24"/>
          <w:lang w:val="en-US"/>
        </w:rPr>
        <w:t xml:space="preserve">aspects </w:t>
      </w:r>
      <w:r w:rsidR="001E4B02" w:rsidRPr="00714401">
        <w:rPr>
          <w:rFonts w:ascii="Book Antiqua" w:hAnsi="Book Antiqua"/>
          <w:sz w:val="24"/>
          <w:szCs w:val="24"/>
          <w:lang w:val="en-US"/>
        </w:rPr>
        <w:t xml:space="preserve">of </w:t>
      </w:r>
      <w:r w:rsidR="003B2AB0" w:rsidRPr="00714401">
        <w:rPr>
          <w:rFonts w:ascii="Book Antiqua" w:hAnsi="Book Antiqua"/>
          <w:sz w:val="24"/>
          <w:szCs w:val="24"/>
          <w:lang w:val="en-US"/>
        </w:rPr>
        <w:t xml:space="preserve">the </w:t>
      </w:r>
      <w:r w:rsidR="001E4B02" w:rsidRPr="00714401">
        <w:rPr>
          <w:rFonts w:ascii="Book Antiqua" w:hAnsi="Book Antiqua"/>
          <w:sz w:val="24"/>
          <w:szCs w:val="24"/>
          <w:lang w:val="en-US"/>
        </w:rPr>
        <w:t xml:space="preserve">remnant liver </w:t>
      </w:r>
      <w:r w:rsidR="00190078" w:rsidRPr="00714401">
        <w:rPr>
          <w:rFonts w:ascii="Book Antiqua" w:hAnsi="Book Antiqua"/>
          <w:sz w:val="24"/>
          <w:szCs w:val="24"/>
          <w:lang w:val="en-US"/>
        </w:rPr>
        <w:t xml:space="preserve">after </w:t>
      </w:r>
      <w:proofErr w:type="spellStart"/>
      <w:r w:rsidR="006423C7" w:rsidRPr="00714401">
        <w:rPr>
          <w:rFonts w:ascii="Book Antiqua" w:hAnsi="Book Antiqua"/>
          <w:sz w:val="24"/>
          <w:szCs w:val="24"/>
          <w:lang w:val="en-US"/>
        </w:rPr>
        <w:t>resective</w:t>
      </w:r>
      <w:proofErr w:type="spellEnd"/>
      <w:r w:rsidR="006423C7" w:rsidRPr="00714401">
        <w:rPr>
          <w:rFonts w:ascii="Book Antiqua" w:hAnsi="Book Antiqua"/>
          <w:sz w:val="24"/>
          <w:szCs w:val="24"/>
          <w:lang w:val="en-US"/>
        </w:rPr>
        <w:t xml:space="preserve"> </w:t>
      </w:r>
      <w:r w:rsidR="00190078" w:rsidRPr="00714401">
        <w:rPr>
          <w:rFonts w:ascii="Book Antiqua" w:hAnsi="Book Antiqua"/>
          <w:sz w:val="24"/>
          <w:szCs w:val="24"/>
          <w:lang w:val="en-US"/>
        </w:rPr>
        <w:t xml:space="preserve">surgery </w:t>
      </w:r>
      <w:r w:rsidR="00654507" w:rsidRPr="00714401">
        <w:rPr>
          <w:rFonts w:ascii="Book Antiqua" w:hAnsi="Book Antiqua"/>
          <w:sz w:val="24"/>
          <w:szCs w:val="24"/>
          <w:lang w:val="en-US"/>
        </w:rPr>
        <w:t xml:space="preserve">or </w:t>
      </w:r>
      <w:r w:rsidR="006423C7" w:rsidRPr="00714401">
        <w:rPr>
          <w:rFonts w:ascii="Book Antiqua" w:hAnsi="Book Antiqua"/>
          <w:sz w:val="24"/>
          <w:szCs w:val="24"/>
          <w:lang w:val="en-US"/>
        </w:rPr>
        <w:t xml:space="preserve">of the quality of the </w:t>
      </w:r>
      <w:r w:rsidR="0042345B" w:rsidRPr="00714401">
        <w:rPr>
          <w:rFonts w:ascii="Book Antiqua" w:hAnsi="Book Antiqua"/>
          <w:sz w:val="24"/>
          <w:szCs w:val="24"/>
          <w:lang w:val="en-US"/>
        </w:rPr>
        <w:t xml:space="preserve">liver </w:t>
      </w:r>
      <w:r w:rsidR="006423C7" w:rsidRPr="00714401">
        <w:rPr>
          <w:rFonts w:ascii="Book Antiqua" w:hAnsi="Book Antiqua"/>
          <w:sz w:val="24"/>
          <w:szCs w:val="24"/>
          <w:lang w:val="en-US"/>
        </w:rPr>
        <w:t>graft recovery a</w:t>
      </w:r>
      <w:r w:rsidR="001F5077" w:rsidRPr="00714401">
        <w:rPr>
          <w:rFonts w:ascii="Book Antiqua" w:hAnsi="Book Antiqua"/>
          <w:sz w:val="24"/>
          <w:szCs w:val="24"/>
          <w:lang w:val="en-US"/>
        </w:rPr>
        <w:t>fter transplantation</w:t>
      </w:r>
      <w:r w:rsidR="006423C7" w:rsidRPr="00714401">
        <w:rPr>
          <w:rFonts w:ascii="Book Antiqua" w:hAnsi="Book Antiqua"/>
          <w:sz w:val="24"/>
          <w:szCs w:val="24"/>
          <w:lang w:val="en-US"/>
        </w:rPr>
        <w:t xml:space="preserve"> </w:t>
      </w:r>
      <w:proofErr w:type="gramStart"/>
      <w:r w:rsidR="003B2AB0" w:rsidRPr="00714401">
        <w:rPr>
          <w:rFonts w:ascii="Book Antiqua" w:hAnsi="Book Antiqua"/>
          <w:sz w:val="24"/>
          <w:szCs w:val="24"/>
          <w:lang w:val="en-US"/>
        </w:rPr>
        <w:t>remain</w:t>
      </w:r>
      <w:proofErr w:type="gramEnd"/>
      <w:r w:rsidR="003B2AB0" w:rsidRPr="00714401">
        <w:rPr>
          <w:rFonts w:ascii="Book Antiqua" w:hAnsi="Book Antiqua"/>
          <w:sz w:val="24"/>
          <w:szCs w:val="24"/>
          <w:lang w:val="en-US"/>
        </w:rPr>
        <w:t xml:space="preserve"> elusive. </w:t>
      </w:r>
      <w:r w:rsidR="006423C7" w:rsidRPr="00714401">
        <w:rPr>
          <w:rFonts w:ascii="Book Antiqua" w:hAnsi="Book Antiqua"/>
          <w:sz w:val="24"/>
          <w:szCs w:val="24"/>
          <w:lang w:val="en-US"/>
        </w:rPr>
        <w:t>In other words</w:t>
      </w:r>
      <w:r w:rsidR="00353E12" w:rsidRPr="00714401">
        <w:rPr>
          <w:rFonts w:ascii="Book Antiqua" w:hAnsi="Book Antiqua"/>
          <w:sz w:val="24"/>
          <w:szCs w:val="24"/>
          <w:lang w:val="en-US"/>
        </w:rPr>
        <w:t xml:space="preserve">, </w:t>
      </w:r>
      <w:r w:rsidR="006423C7" w:rsidRPr="00714401">
        <w:rPr>
          <w:rFonts w:ascii="Book Antiqua" w:hAnsi="Book Antiqua"/>
          <w:sz w:val="24"/>
          <w:szCs w:val="24"/>
          <w:lang w:val="en-US"/>
        </w:rPr>
        <w:t>available</w:t>
      </w:r>
      <w:r w:rsidR="003B2AB0" w:rsidRPr="00714401">
        <w:rPr>
          <w:rFonts w:ascii="Book Antiqua" w:hAnsi="Book Antiqua"/>
          <w:sz w:val="24"/>
          <w:szCs w:val="24"/>
          <w:lang w:val="en-US"/>
        </w:rPr>
        <w:t xml:space="preserve"> to the clinicians </w:t>
      </w:r>
      <w:r w:rsidR="006423C7" w:rsidRPr="00714401">
        <w:rPr>
          <w:rFonts w:ascii="Book Antiqua" w:hAnsi="Book Antiqua"/>
          <w:sz w:val="24"/>
          <w:szCs w:val="24"/>
          <w:lang w:val="en-US"/>
        </w:rPr>
        <w:t xml:space="preserve">is a </w:t>
      </w:r>
      <w:r w:rsidR="00DE3C03" w:rsidRPr="00714401">
        <w:rPr>
          <w:rFonts w:ascii="Book Antiqua" w:hAnsi="Book Antiqua"/>
          <w:sz w:val="24"/>
          <w:szCs w:val="24"/>
          <w:lang w:val="en-US"/>
        </w:rPr>
        <w:t xml:space="preserve">“frozen” </w:t>
      </w:r>
      <w:r w:rsidR="00FC5513" w:rsidRPr="00714401">
        <w:rPr>
          <w:rFonts w:ascii="Book Antiqua" w:hAnsi="Book Antiqua"/>
          <w:sz w:val="24"/>
          <w:szCs w:val="24"/>
          <w:lang w:val="en-US"/>
        </w:rPr>
        <w:t xml:space="preserve">representation </w:t>
      </w:r>
      <w:r w:rsidR="00DE3C03" w:rsidRPr="00714401">
        <w:rPr>
          <w:rFonts w:ascii="Book Antiqua" w:hAnsi="Book Antiqua"/>
          <w:sz w:val="24"/>
          <w:szCs w:val="24"/>
          <w:lang w:val="en-US"/>
        </w:rPr>
        <w:t xml:space="preserve">of </w:t>
      </w:r>
      <w:r w:rsidR="00C24904" w:rsidRPr="00714401">
        <w:rPr>
          <w:rFonts w:ascii="Book Antiqua" w:hAnsi="Book Antiqua"/>
          <w:sz w:val="24"/>
          <w:szCs w:val="24"/>
          <w:lang w:val="en-US"/>
        </w:rPr>
        <w:t xml:space="preserve">the </w:t>
      </w:r>
      <w:r w:rsidR="003B2AB0" w:rsidRPr="00714401">
        <w:rPr>
          <w:rFonts w:ascii="Book Antiqua" w:hAnsi="Book Antiqua"/>
          <w:sz w:val="24"/>
          <w:szCs w:val="24"/>
          <w:lang w:val="en-US"/>
        </w:rPr>
        <w:t xml:space="preserve">hepatocytes </w:t>
      </w:r>
      <w:r w:rsidR="00085F14" w:rsidRPr="00714401">
        <w:rPr>
          <w:rFonts w:ascii="Book Antiqua" w:hAnsi="Book Antiqua"/>
          <w:sz w:val="24"/>
          <w:szCs w:val="24"/>
          <w:lang w:val="en-US"/>
        </w:rPr>
        <w:t>integrity</w:t>
      </w:r>
      <w:r w:rsidR="0076063F" w:rsidRPr="00714401">
        <w:rPr>
          <w:rFonts w:ascii="Book Antiqua" w:hAnsi="Book Antiqua"/>
          <w:sz w:val="24"/>
          <w:szCs w:val="24"/>
          <w:lang w:val="en-US"/>
        </w:rPr>
        <w:t xml:space="preserve"> </w:t>
      </w:r>
      <w:r w:rsidR="00085F14" w:rsidRPr="00714401">
        <w:rPr>
          <w:rFonts w:ascii="Book Antiqua" w:hAnsi="Book Antiqua"/>
          <w:sz w:val="24"/>
          <w:szCs w:val="24"/>
          <w:lang w:val="en-US"/>
        </w:rPr>
        <w:t>and</w:t>
      </w:r>
      <w:r w:rsidR="0076063F" w:rsidRPr="00714401">
        <w:rPr>
          <w:rFonts w:ascii="Book Antiqua" w:hAnsi="Book Antiqua"/>
          <w:sz w:val="24"/>
          <w:szCs w:val="24"/>
          <w:lang w:val="en-US"/>
        </w:rPr>
        <w:t xml:space="preserve"> </w:t>
      </w:r>
      <w:r w:rsidR="00085F14" w:rsidRPr="00714401">
        <w:rPr>
          <w:rFonts w:ascii="Book Antiqua" w:hAnsi="Book Antiqua"/>
          <w:sz w:val="24"/>
          <w:szCs w:val="24"/>
          <w:lang w:val="en-US"/>
        </w:rPr>
        <w:t>of</w:t>
      </w:r>
      <w:r w:rsidR="0076063F" w:rsidRPr="00714401">
        <w:rPr>
          <w:rFonts w:ascii="Book Antiqua" w:hAnsi="Book Antiqua"/>
          <w:sz w:val="24"/>
          <w:szCs w:val="24"/>
          <w:lang w:val="en-US"/>
        </w:rPr>
        <w:t xml:space="preserve"> </w:t>
      </w:r>
      <w:r w:rsidR="003B2AB0" w:rsidRPr="00714401">
        <w:rPr>
          <w:rFonts w:ascii="Book Antiqua" w:hAnsi="Book Antiqua"/>
          <w:sz w:val="24"/>
          <w:szCs w:val="24"/>
          <w:lang w:val="en-US"/>
        </w:rPr>
        <w:t xml:space="preserve">the (residual) </w:t>
      </w:r>
      <w:r w:rsidR="00DE3C03" w:rsidRPr="00714401">
        <w:rPr>
          <w:rFonts w:ascii="Book Antiqua" w:hAnsi="Book Antiqua"/>
          <w:sz w:val="24"/>
          <w:szCs w:val="24"/>
          <w:lang w:val="en-US"/>
        </w:rPr>
        <w:t>met</w:t>
      </w:r>
      <w:r w:rsidR="00F90597" w:rsidRPr="00714401">
        <w:rPr>
          <w:rFonts w:ascii="Book Antiqua" w:hAnsi="Book Antiqua"/>
          <w:sz w:val="24"/>
          <w:szCs w:val="24"/>
          <w:lang w:val="en-US"/>
        </w:rPr>
        <w:t>abolic an</w:t>
      </w:r>
      <w:r w:rsidR="007A1A02" w:rsidRPr="00714401">
        <w:rPr>
          <w:rFonts w:ascii="Book Antiqua" w:hAnsi="Book Antiqua"/>
          <w:sz w:val="24"/>
          <w:szCs w:val="24"/>
          <w:lang w:val="en-US"/>
        </w:rPr>
        <w:t xml:space="preserve">d synthetic </w:t>
      </w:r>
      <w:r w:rsidR="003B2AB0" w:rsidRPr="00714401">
        <w:rPr>
          <w:rFonts w:ascii="Book Antiqua" w:hAnsi="Book Antiqua"/>
          <w:sz w:val="24"/>
          <w:szCs w:val="24"/>
          <w:lang w:val="en-US"/>
        </w:rPr>
        <w:t>capacities</w:t>
      </w:r>
      <w:r w:rsidR="0076063F" w:rsidRPr="00714401">
        <w:rPr>
          <w:rFonts w:ascii="Book Antiqua" w:hAnsi="Book Antiqua"/>
          <w:sz w:val="24"/>
          <w:szCs w:val="24"/>
          <w:lang w:val="en-US"/>
        </w:rPr>
        <w:t xml:space="preserve"> </w:t>
      </w:r>
      <w:r w:rsidR="007A1A02" w:rsidRPr="00714401">
        <w:rPr>
          <w:rFonts w:ascii="Book Antiqua" w:hAnsi="Book Antiqua"/>
          <w:sz w:val="24"/>
          <w:szCs w:val="24"/>
          <w:lang w:val="en-US"/>
        </w:rPr>
        <w:t xml:space="preserve">(Figure </w:t>
      </w:r>
      <w:r w:rsidR="009D353D" w:rsidRPr="00714401">
        <w:rPr>
          <w:rFonts w:ascii="Book Antiqua" w:hAnsi="Book Antiqua"/>
          <w:sz w:val="24"/>
          <w:szCs w:val="24"/>
          <w:lang w:val="en-US"/>
        </w:rPr>
        <w:t>1</w:t>
      </w:r>
      <w:r w:rsidR="007A1A02" w:rsidRPr="00714401">
        <w:rPr>
          <w:rFonts w:ascii="Book Antiqua" w:hAnsi="Book Antiqua"/>
          <w:sz w:val="24"/>
          <w:szCs w:val="24"/>
          <w:lang w:val="en-US"/>
        </w:rPr>
        <w:t xml:space="preserve">). </w:t>
      </w:r>
    </w:p>
    <w:p w:rsidR="00ED7672" w:rsidRPr="00714401" w:rsidRDefault="00ED7672" w:rsidP="004F4F1E">
      <w:pPr>
        <w:autoSpaceDE w:val="0"/>
        <w:autoSpaceDN w:val="0"/>
        <w:adjustRightInd w:val="0"/>
        <w:snapToGrid w:val="0"/>
        <w:spacing w:after="0" w:line="360" w:lineRule="auto"/>
        <w:jc w:val="both"/>
        <w:rPr>
          <w:rFonts w:ascii="Book Antiqua" w:hAnsi="Book Antiqua"/>
          <w:sz w:val="24"/>
          <w:szCs w:val="24"/>
          <w:lang w:val="en-US"/>
        </w:rPr>
      </w:pPr>
    </w:p>
    <w:p w:rsidR="00A62FB5" w:rsidRPr="00714401" w:rsidRDefault="00AC2BA5" w:rsidP="004F4F1E">
      <w:pPr>
        <w:autoSpaceDE w:val="0"/>
        <w:autoSpaceDN w:val="0"/>
        <w:adjustRightInd w:val="0"/>
        <w:snapToGrid w:val="0"/>
        <w:spacing w:after="0" w:line="360" w:lineRule="auto"/>
        <w:jc w:val="both"/>
        <w:rPr>
          <w:rFonts w:ascii="Book Antiqua" w:hAnsi="Book Antiqua"/>
          <w:b/>
          <w:sz w:val="24"/>
          <w:szCs w:val="24"/>
          <w:lang w:val="en-US"/>
        </w:rPr>
      </w:pPr>
      <w:r w:rsidRPr="00714401">
        <w:rPr>
          <w:rFonts w:ascii="Book Antiqua" w:hAnsi="Book Antiqua"/>
          <w:b/>
          <w:sz w:val="24"/>
          <w:szCs w:val="24"/>
          <w:lang w:val="en-US"/>
        </w:rPr>
        <w:t xml:space="preserve">STATIC ASSESSMENT OF LIVER FUNCTION </w:t>
      </w:r>
    </w:p>
    <w:p w:rsidR="00D56D3F" w:rsidRPr="00714401" w:rsidRDefault="00AC7B8A" w:rsidP="004F4F1E">
      <w:pPr>
        <w:autoSpaceDE w:val="0"/>
        <w:autoSpaceDN w:val="0"/>
        <w:adjustRightInd w:val="0"/>
        <w:snapToGrid w:val="0"/>
        <w:spacing w:after="0" w:line="360" w:lineRule="auto"/>
        <w:jc w:val="both"/>
        <w:rPr>
          <w:rFonts w:ascii="Book Antiqua" w:hAnsi="Book Antiqua"/>
          <w:sz w:val="24"/>
          <w:szCs w:val="24"/>
          <w:lang w:val="en-US"/>
        </w:rPr>
      </w:pPr>
      <w:r w:rsidRPr="00714401">
        <w:rPr>
          <w:rFonts w:ascii="Book Antiqua" w:hAnsi="Book Antiqua"/>
          <w:sz w:val="24"/>
          <w:szCs w:val="24"/>
          <w:lang w:val="en-US"/>
        </w:rPr>
        <w:t xml:space="preserve">A pivotal role </w:t>
      </w:r>
      <w:r w:rsidR="00F05E84" w:rsidRPr="00714401">
        <w:rPr>
          <w:rFonts w:ascii="Book Antiqua" w:hAnsi="Book Antiqua"/>
          <w:sz w:val="24"/>
          <w:szCs w:val="24"/>
          <w:lang w:val="en-US"/>
        </w:rPr>
        <w:t xml:space="preserve">in </w:t>
      </w:r>
      <w:r w:rsidRPr="00714401">
        <w:rPr>
          <w:rFonts w:ascii="Book Antiqua" w:hAnsi="Book Antiqua"/>
          <w:sz w:val="24"/>
          <w:szCs w:val="24"/>
          <w:lang w:val="en-US"/>
        </w:rPr>
        <w:t xml:space="preserve">the amino acids metabolism is played by </w:t>
      </w:r>
      <w:r w:rsidR="00AC2BA5" w:rsidRPr="00714401">
        <w:rPr>
          <w:rFonts w:ascii="Book Antiqua" w:hAnsi="Book Antiqua"/>
          <w:sz w:val="24"/>
          <w:szCs w:val="24"/>
          <w:lang w:val="en-US"/>
        </w:rPr>
        <w:t>a</w:t>
      </w:r>
      <w:r w:rsidR="00C24904" w:rsidRPr="00714401">
        <w:rPr>
          <w:rFonts w:ascii="Book Antiqua" w:hAnsi="Book Antiqua"/>
          <w:sz w:val="24"/>
          <w:szCs w:val="24"/>
          <w:lang w:val="en-US"/>
        </w:rPr>
        <w:t>spartate aminotransferase (A</w:t>
      </w:r>
      <w:r w:rsidR="008C10D7" w:rsidRPr="00714401">
        <w:rPr>
          <w:rFonts w:ascii="Book Antiqua" w:hAnsi="Book Antiqua"/>
          <w:sz w:val="24"/>
          <w:szCs w:val="24"/>
          <w:lang w:val="en-US"/>
        </w:rPr>
        <w:t>ST</w:t>
      </w:r>
      <w:r w:rsidR="00C24904" w:rsidRPr="00714401">
        <w:rPr>
          <w:rFonts w:ascii="Book Antiqua" w:hAnsi="Book Antiqua"/>
          <w:sz w:val="24"/>
          <w:szCs w:val="24"/>
          <w:lang w:val="en-US"/>
        </w:rPr>
        <w:t xml:space="preserve">) and </w:t>
      </w:r>
      <w:r w:rsidR="00AC2BA5" w:rsidRPr="00714401">
        <w:rPr>
          <w:rFonts w:ascii="Book Antiqua" w:hAnsi="Book Antiqua"/>
          <w:sz w:val="24"/>
          <w:szCs w:val="24"/>
          <w:lang w:val="en-US"/>
        </w:rPr>
        <w:t>a</w:t>
      </w:r>
      <w:r w:rsidR="008C10D7" w:rsidRPr="00714401">
        <w:rPr>
          <w:rFonts w:ascii="Book Antiqua" w:hAnsi="Book Antiqua"/>
          <w:sz w:val="24"/>
          <w:szCs w:val="24"/>
          <w:lang w:val="en-US"/>
        </w:rPr>
        <w:t>lanine aminotransferase</w:t>
      </w:r>
      <w:r w:rsidR="00C24904" w:rsidRPr="00714401">
        <w:rPr>
          <w:rFonts w:ascii="Book Antiqua" w:hAnsi="Book Antiqua"/>
          <w:sz w:val="24"/>
          <w:szCs w:val="24"/>
          <w:lang w:val="en-US"/>
        </w:rPr>
        <w:t xml:space="preserve"> (ALT)</w:t>
      </w:r>
      <w:r w:rsidR="00F05E84" w:rsidRPr="00714401">
        <w:rPr>
          <w:rFonts w:ascii="Book Antiqua" w:hAnsi="Book Antiqua"/>
          <w:sz w:val="24"/>
          <w:szCs w:val="24"/>
          <w:lang w:val="en-US"/>
        </w:rPr>
        <w:t xml:space="preserve">. </w:t>
      </w:r>
      <w:r w:rsidR="00484B22" w:rsidRPr="00714401">
        <w:rPr>
          <w:rFonts w:ascii="Book Antiqua" w:hAnsi="Book Antiqua"/>
          <w:sz w:val="24"/>
          <w:szCs w:val="24"/>
          <w:lang w:val="en-US"/>
        </w:rPr>
        <w:t>AST</w:t>
      </w:r>
      <w:r w:rsidR="00F05E84" w:rsidRPr="00714401">
        <w:rPr>
          <w:rFonts w:ascii="Book Antiqua" w:hAnsi="Book Antiqua"/>
          <w:sz w:val="24"/>
          <w:szCs w:val="24"/>
          <w:lang w:val="en-US"/>
        </w:rPr>
        <w:t xml:space="preserve">, </w:t>
      </w:r>
      <w:r w:rsidR="00C24904" w:rsidRPr="00714401">
        <w:rPr>
          <w:rFonts w:ascii="Book Antiqua" w:hAnsi="Book Antiqua"/>
          <w:sz w:val="24"/>
          <w:szCs w:val="24"/>
          <w:lang w:val="en-US"/>
        </w:rPr>
        <w:t>represented at various levels (</w:t>
      </w:r>
      <w:r w:rsidR="00F05E84" w:rsidRPr="00714401">
        <w:rPr>
          <w:rFonts w:ascii="Book Antiqua" w:hAnsi="Book Antiqua"/>
          <w:sz w:val="24"/>
          <w:szCs w:val="24"/>
          <w:lang w:val="en-US"/>
        </w:rPr>
        <w:t xml:space="preserve">mainly </w:t>
      </w:r>
      <w:r w:rsidR="005C17BA" w:rsidRPr="00714401">
        <w:rPr>
          <w:rFonts w:ascii="Book Antiqua" w:hAnsi="Book Antiqua"/>
          <w:sz w:val="24"/>
          <w:szCs w:val="24"/>
          <w:lang w:val="en-US"/>
        </w:rPr>
        <w:t>muscular and cardiac</w:t>
      </w:r>
      <w:r w:rsidR="00F05E84" w:rsidRPr="00714401">
        <w:rPr>
          <w:rFonts w:ascii="Book Antiqua" w:hAnsi="Book Antiqua"/>
          <w:sz w:val="24"/>
          <w:szCs w:val="24"/>
          <w:lang w:val="en-US"/>
        </w:rPr>
        <w:t>, but not only</w:t>
      </w:r>
      <w:r w:rsidR="00C2490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5C17BA" w:rsidRPr="00714401">
        <w:rPr>
          <w:rFonts w:ascii="Book Antiqua" w:hAnsi="Book Antiqua"/>
          <w:sz w:val="24"/>
          <w:szCs w:val="24"/>
          <w:lang w:val="en-US"/>
        </w:rPr>
        <w:t xml:space="preserve">are </w:t>
      </w:r>
      <w:r w:rsidR="0003719C" w:rsidRPr="00714401">
        <w:rPr>
          <w:rFonts w:ascii="Book Antiqua" w:hAnsi="Book Antiqua"/>
          <w:sz w:val="24"/>
          <w:szCs w:val="24"/>
          <w:lang w:val="en-US"/>
        </w:rPr>
        <w:t>not</w:t>
      </w:r>
      <w:r w:rsidR="0076063F" w:rsidRPr="00714401">
        <w:rPr>
          <w:rFonts w:ascii="Book Antiqua" w:hAnsi="Book Antiqua"/>
          <w:sz w:val="24"/>
          <w:szCs w:val="24"/>
          <w:lang w:val="en-US"/>
        </w:rPr>
        <w:t xml:space="preserve"> </w:t>
      </w:r>
      <w:r w:rsidR="0003719C" w:rsidRPr="00714401">
        <w:rPr>
          <w:rFonts w:ascii="Book Antiqua" w:hAnsi="Book Antiqua"/>
          <w:sz w:val="24"/>
          <w:szCs w:val="24"/>
          <w:lang w:val="en-US"/>
        </w:rPr>
        <w:t>liver specific</w:t>
      </w:r>
      <w:r w:rsidR="00382E1E" w:rsidRPr="00714401">
        <w:rPr>
          <w:rFonts w:ascii="Book Antiqua" w:hAnsi="Book Antiqua"/>
          <w:sz w:val="24"/>
          <w:szCs w:val="24"/>
          <w:lang w:val="en-US"/>
        </w:rPr>
        <w:t xml:space="preserve"> and ha</w:t>
      </w:r>
      <w:r w:rsidR="00EB19BE" w:rsidRPr="00714401">
        <w:rPr>
          <w:rFonts w:ascii="Book Antiqua" w:hAnsi="Book Antiqua"/>
          <w:sz w:val="24"/>
          <w:szCs w:val="24"/>
          <w:lang w:val="en-US"/>
        </w:rPr>
        <w:t>ve</w:t>
      </w:r>
      <w:r w:rsidR="0076063F" w:rsidRPr="00714401">
        <w:rPr>
          <w:rFonts w:ascii="Book Antiqua" w:hAnsi="Book Antiqua"/>
          <w:sz w:val="24"/>
          <w:szCs w:val="24"/>
          <w:lang w:val="en-US"/>
        </w:rPr>
        <w:t xml:space="preserve"> </w:t>
      </w:r>
      <w:r w:rsidR="00647103" w:rsidRPr="00714401">
        <w:rPr>
          <w:rFonts w:ascii="Book Antiqua" w:hAnsi="Book Antiqua"/>
          <w:sz w:val="24"/>
          <w:szCs w:val="24"/>
          <w:lang w:val="en-US"/>
        </w:rPr>
        <w:t xml:space="preserve">shorter half life </w:t>
      </w:r>
      <w:r w:rsidR="00382E1E" w:rsidRPr="00714401">
        <w:rPr>
          <w:rFonts w:ascii="Book Antiqua" w:hAnsi="Book Antiqua"/>
          <w:sz w:val="24"/>
          <w:szCs w:val="24"/>
          <w:lang w:val="en-US"/>
        </w:rPr>
        <w:t>(12</w:t>
      </w:r>
      <w:r w:rsidR="004B6579" w:rsidRPr="00714401">
        <w:rPr>
          <w:rFonts w:ascii="Book Antiqua" w:hAnsi="Book Antiqua" w:hint="eastAsia"/>
          <w:sz w:val="24"/>
          <w:szCs w:val="24"/>
          <w:lang w:val="en-US" w:eastAsia="zh-CN"/>
        </w:rPr>
        <w:t>-</w:t>
      </w:r>
      <w:r w:rsidR="00382E1E" w:rsidRPr="00714401">
        <w:rPr>
          <w:rFonts w:ascii="Book Antiqua" w:hAnsi="Book Antiqua"/>
          <w:sz w:val="24"/>
          <w:szCs w:val="24"/>
          <w:lang w:val="en-US"/>
        </w:rPr>
        <w:t>22 h)</w:t>
      </w:r>
      <w:r w:rsidR="00C2490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484B22" w:rsidRPr="00714401">
        <w:rPr>
          <w:rFonts w:ascii="Book Antiqua" w:hAnsi="Book Antiqua"/>
          <w:sz w:val="24"/>
          <w:szCs w:val="24"/>
          <w:lang w:val="en-US"/>
        </w:rPr>
        <w:t xml:space="preserve">On the contrary, </w:t>
      </w:r>
      <w:r w:rsidR="00384B4F" w:rsidRPr="00714401">
        <w:rPr>
          <w:rFonts w:ascii="Book Antiqua" w:hAnsi="Book Antiqua"/>
          <w:sz w:val="24"/>
          <w:szCs w:val="24"/>
          <w:lang w:val="en-US"/>
        </w:rPr>
        <w:t xml:space="preserve">ALT </w:t>
      </w:r>
      <w:r w:rsidR="00BF6C4F" w:rsidRPr="00714401">
        <w:rPr>
          <w:rFonts w:ascii="Book Antiqua" w:hAnsi="Book Antiqua"/>
          <w:sz w:val="24"/>
          <w:szCs w:val="24"/>
          <w:lang w:val="en-US"/>
        </w:rPr>
        <w:t>are</w:t>
      </w:r>
      <w:r w:rsidR="0076063F" w:rsidRPr="00714401">
        <w:rPr>
          <w:rFonts w:ascii="Book Antiqua" w:hAnsi="Book Antiqua"/>
          <w:sz w:val="24"/>
          <w:szCs w:val="24"/>
          <w:lang w:val="en-US"/>
        </w:rPr>
        <w:t xml:space="preserve"> </w:t>
      </w:r>
      <w:r w:rsidR="005C17BA" w:rsidRPr="00714401">
        <w:rPr>
          <w:rFonts w:ascii="Book Antiqua" w:hAnsi="Book Antiqua"/>
          <w:sz w:val="24"/>
          <w:szCs w:val="24"/>
          <w:lang w:val="en-US"/>
        </w:rPr>
        <w:t xml:space="preserve">liver </w:t>
      </w:r>
      <w:r w:rsidR="004B6579" w:rsidRPr="00714401">
        <w:rPr>
          <w:rFonts w:ascii="Book Antiqua" w:hAnsi="Book Antiqua" w:hint="eastAsia"/>
          <w:sz w:val="24"/>
          <w:szCs w:val="24"/>
          <w:lang w:val="en-US" w:eastAsia="zh-CN"/>
        </w:rPr>
        <w:t>-</w:t>
      </w:r>
      <w:r w:rsidR="005C17BA" w:rsidRPr="00714401">
        <w:rPr>
          <w:rFonts w:ascii="Book Antiqua" w:hAnsi="Book Antiqua"/>
          <w:sz w:val="24"/>
          <w:szCs w:val="24"/>
          <w:lang w:val="en-US"/>
        </w:rPr>
        <w:t xml:space="preserve"> specific,</w:t>
      </w:r>
      <w:r w:rsidR="0076063F" w:rsidRPr="00714401">
        <w:rPr>
          <w:rFonts w:ascii="Book Antiqua" w:hAnsi="Book Antiqua"/>
          <w:sz w:val="24"/>
          <w:szCs w:val="24"/>
          <w:lang w:val="en-US"/>
        </w:rPr>
        <w:t xml:space="preserve"> </w:t>
      </w:r>
      <w:r w:rsidR="00382E1E" w:rsidRPr="00714401">
        <w:rPr>
          <w:rFonts w:ascii="Book Antiqua" w:hAnsi="Book Antiqua"/>
          <w:sz w:val="24"/>
          <w:szCs w:val="24"/>
          <w:lang w:val="en-US"/>
        </w:rPr>
        <w:t>ha</w:t>
      </w:r>
      <w:r w:rsidR="00EB19BE" w:rsidRPr="00714401">
        <w:rPr>
          <w:rFonts w:ascii="Book Antiqua" w:hAnsi="Book Antiqua"/>
          <w:sz w:val="24"/>
          <w:szCs w:val="24"/>
          <w:lang w:val="en-US"/>
        </w:rPr>
        <w:t>ve</w:t>
      </w:r>
      <w:r w:rsidR="0076063F" w:rsidRPr="00714401">
        <w:rPr>
          <w:rFonts w:ascii="Book Antiqua" w:hAnsi="Book Antiqua"/>
          <w:sz w:val="24"/>
          <w:szCs w:val="24"/>
          <w:lang w:val="en-US"/>
        </w:rPr>
        <w:t xml:space="preserve"> </w:t>
      </w:r>
      <w:r w:rsidR="00382E1E" w:rsidRPr="00714401">
        <w:rPr>
          <w:rFonts w:ascii="Book Antiqua" w:hAnsi="Book Antiqua"/>
          <w:sz w:val="24"/>
          <w:szCs w:val="24"/>
          <w:lang w:val="en-US"/>
        </w:rPr>
        <w:t>longer half life (30</w:t>
      </w:r>
      <w:r w:rsidR="004B6579" w:rsidRPr="00714401">
        <w:rPr>
          <w:rFonts w:ascii="Book Antiqua" w:hAnsi="Book Antiqua" w:hint="eastAsia"/>
          <w:sz w:val="24"/>
          <w:szCs w:val="24"/>
          <w:lang w:val="en-US" w:eastAsia="zh-CN"/>
        </w:rPr>
        <w:t>-</w:t>
      </w:r>
      <w:r w:rsidR="00382E1E" w:rsidRPr="00714401">
        <w:rPr>
          <w:rFonts w:ascii="Book Antiqua" w:hAnsi="Book Antiqua"/>
          <w:sz w:val="24"/>
          <w:szCs w:val="24"/>
          <w:lang w:val="en-US"/>
        </w:rPr>
        <w:t xml:space="preserve">40 h), are </w:t>
      </w:r>
      <w:r w:rsidR="005C17BA" w:rsidRPr="00714401">
        <w:rPr>
          <w:rFonts w:ascii="Book Antiqua" w:hAnsi="Book Antiqua"/>
          <w:sz w:val="24"/>
          <w:szCs w:val="24"/>
          <w:lang w:val="en-US"/>
        </w:rPr>
        <w:t xml:space="preserve">highly </w:t>
      </w:r>
      <w:r w:rsidR="00BF6C4F" w:rsidRPr="00714401">
        <w:rPr>
          <w:rFonts w:ascii="Book Antiqua" w:hAnsi="Book Antiqua"/>
          <w:sz w:val="24"/>
          <w:szCs w:val="24"/>
          <w:lang w:val="en-US"/>
        </w:rPr>
        <w:t xml:space="preserve">expressed in the </w:t>
      </w:r>
      <w:r w:rsidR="005C17BA" w:rsidRPr="00714401">
        <w:rPr>
          <w:rFonts w:ascii="Book Antiqua" w:hAnsi="Book Antiqua"/>
          <w:sz w:val="24"/>
          <w:szCs w:val="24"/>
          <w:lang w:val="en-US"/>
        </w:rPr>
        <w:t xml:space="preserve">hepatocytes </w:t>
      </w:r>
      <w:r w:rsidR="00BF6C4F" w:rsidRPr="00714401">
        <w:rPr>
          <w:rFonts w:ascii="Book Antiqua" w:hAnsi="Book Antiqua"/>
          <w:sz w:val="24"/>
          <w:szCs w:val="24"/>
          <w:lang w:val="en-US"/>
        </w:rPr>
        <w:t xml:space="preserve">and </w:t>
      </w:r>
      <w:r w:rsidR="00DE6994" w:rsidRPr="00714401">
        <w:rPr>
          <w:rFonts w:ascii="Book Antiqua" w:hAnsi="Book Antiqua"/>
          <w:sz w:val="24"/>
          <w:szCs w:val="24"/>
          <w:lang w:val="en-US"/>
        </w:rPr>
        <w:t xml:space="preserve">largely present </w:t>
      </w:r>
      <w:r w:rsidR="00384B4F" w:rsidRPr="00714401">
        <w:rPr>
          <w:rFonts w:ascii="Book Antiqua" w:hAnsi="Book Antiqua"/>
          <w:sz w:val="24"/>
          <w:szCs w:val="24"/>
          <w:lang w:val="en-US"/>
        </w:rPr>
        <w:t xml:space="preserve">in </w:t>
      </w:r>
      <w:proofErr w:type="spellStart"/>
      <w:r w:rsidR="00384B4F" w:rsidRPr="00714401">
        <w:rPr>
          <w:rFonts w:ascii="Book Antiqua" w:hAnsi="Book Antiqua"/>
          <w:sz w:val="24"/>
          <w:szCs w:val="24"/>
          <w:lang w:val="en-US"/>
        </w:rPr>
        <w:t>periportal</w:t>
      </w:r>
      <w:proofErr w:type="spellEnd"/>
      <w:r w:rsidR="00384B4F" w:rsidRPr="00714401">
        <w:rPr>
          <w:rFonts w:ascii="Book Antiqua" w:hAnsi="Book Antiqua"/>
          <w:sz w:val="24"/>
          <w:szCs w:val="24"/>
          <w:lang w:val="en-US"/>
        </w:rPr>
        <w:t xml:space="preserve"> areas</w:t>
      </w:r>
      <w:r w:rsidR="00BF6C4F" w:rsidRPr="00714401">
        <w:rPr>
          <w:rFonts w:ascii="Book Antiqua" w:hAnsi="Book Antiqua"/>
          <w:sz w:val="24"/>
          <w:szCs w:val="24"/>
          <w:lang w:val="en-US"/>
        </w:rPr>
        <w:t xml:space="preserve">. </w:t>
      </w:r>
      <w:r w:rsidR="00112317" w:rsidRPr="00714401">
        <w:rPr>
          <w:rFonts w:ascii="Book Antiqua" w:hAnsi="Book Antiqua"/>
          <w:sz w:val="24"/>
          <w:szCs w:val="24"/>
          <w:lang w:val="en-US"/>
        </w:rPr>
        <w:t xml:space="preserve">In case of </w:t>
      </w:r>
      <w:proofErr w:type="spellStart"/>
      <w:r w:rsidR="00112317" w:rsidRPr="00714401">
        <w:rPr>
          <w:rFonts w:ascii="Book Antiqua" w:hAnsi="Book Antiqua"/>
          <w:sz w:val="24"/>
          <w:szCs w:val="24"/>
          <w:lang w:val="en-US"/>
        </w:rPr>
        <w:t>centrilobular</w:t>
      </w:r>
      <w:proofErr w:type="spellEnd"/>
      <w:r w:rsidR="00112317" w:rsidRPr="00714401">
        <w:rPr>
          <w:rFonts w:ascii="Book Antiqua" w:hAnsi="Book Antiqua"/>
          <w:sz w:val="24"/>
          <w:szCs w:val="24"/>
          <w:lang w:val="en-US"/>
        </w:rPr>
        <w:t xml:space="preserve"> hypoxia</w:t>
      </w:r>
      <w:r w:rsidR="00DE6994" w:rsidRPr="00714401">
        <w:rPr>
          <w:rFonts w:ascii="Book Antiqua" w:hAnsi="Book Antiqua"/>
          <w:sz w:val="24"/>
          <w:szCs w:val="24"/>
          <w:lang w:val="en-US"/>
        </w:rPr>
        <w:t xml:space="preserve">, ALT </w:t>
      </w:r>
      <w:r w:rsidR="00112317" w:rsidRPr="00714401">
        <w:rPr>
          <w:rFonts w:ascii="Book Antiqua" w:hAnsi="Book Antiqua"/>
          <w:sz w:val="24"/>
          <w:szCs w:val="24"/>
          <w:lang w:val="en-US"/>
        </w:rPr>
        <w:t>show a</w:t>
      </w:r>
      <w:r w:rsidR="0076063F" w:rsidRPr="00714401">
        <w:rPr>
          <w:rFonts w:ascii="Book Antiqua" w:hAnsi="Book Antiqua"/>
          <w:sz w:val="24"/>
          <w:szCs w:val="24"/>
          <w:lang w:val="en-US"/>
        </w:rPr>
        <w:t xml:space="preserve"> </w:t>
      </w:r>
      <w:r w:rsidR="00BF6C4F" w:rsidRPr="00714401">
        <w:rPr>
          <w:rFonts w:ascii="Book Antiqua" w:hAnsi="Book Antiqua"/>
          <w:sz w:val="24"/>
          <w:szCs w:val="24"/>
          <w:lang w:val="en-US"/>
        </w:rPr>
        <w:t>moderate increase</w:t>
      </w:r>
      <w:r w:rsidR="00112317" w:rsidRPr="00714401">
        <w:rPr>
          <w:rFonts w:ascii="Book Antiqua" w:hAnsi="Book Antiqua"/>
          <w:sz w:val="24"/>
          <w:szCs w:val="24"/>
          <w:lang w:val="en-US"/>
        </w:rPr>
        <w:t xml:space="preserve">, while </w:t>
      </w:r>
      <w:r w:rsidR="00F05E84" w:rsidRPr="00714401">
        <w:rPr>
          <w:rFonts w:ascii="Book Antiqua" w:hAnsi="Book Antiqua"/>
          <w:sz w:val="24"/>
          <w:szCs w:val="24"/>
          <w:lang w:val="en-US"/>
        </w:rPr>
        <w:t xml:space="preserve">in case of </w:t>
      </w:r>
      <w:r w:rsidR="00BF6C4F" w:rsidRPr="00714401">
        <w:rPr>
          <w:rFonts w:ascii="Book Antiqua" w:hAnsi="Book Antiqua"/>
          <w:sz w:val="24"/>
          <w:szCs w:val="24"/>
          <w:lang w:val="en-US"/>
        </w:rPr>
        <w:t>a</w:t>
      </w:r>
      <w:r w:rsidR="008C10D7" w:rsidRPr="00714401">
        <w:rPr>
          <w:rFonts w:ascii="Book Antiqua" w:hAnsi="Book Antiqua"/>
          <w:sz w:val="24"/>
          <w:szCs w:val="24"/>
          <w:lang w:val="en-US"/>
        </w:rPr>
        <w:t>cute h</w:t>
      </w:r>
      <w:r w:rsidR="00BF6C4F" w:rsidRPr="00714401">
        <w:rPr>
          <w:rFonts w:ascii="Book Antiqua" w:hAnsi="Book Antiqua"/>
          <w:sz w:val="24"/>
          <w:szCs w:val="24"/>
          <w:lang w:val="en-US"/>
        </w:rPr>
        <w:t>epatic injury (acute hepatitis)</w:t>
      </w:r>
      <w:r w:rsidR="00112317" w:rsidRPr="00714401">
        <w:rPr>
          <w:rFonts w:ascii="Book Antiqua" w:hAnsi="Book Antiqua"/>
          <w:sz w:val="24"/>
          <w:szCs w:val="24"/>
          <w:lang w:val="en-US"/>
        </w:rPr>
        <w:t xml:space="preserve"> </w:t>
      </w:r>
      <w:r w:rsidR="00F05E84" w:rsidRPr="00714401">
        <w:rPr>
          <w:rFonts w:ascii="Book Antiqua" w:hAnsi="Book Antiqua"/>
          <w:sz w:val="24"/>
          <w:szCs w:val="24"/>
          <w:lang w:val="en-US"/>
        </w:rPr>
        <w:t xml:space="preserve">a significant increase in ALT serum concentration </w:t>
      </w:r>
      <w:r w:rsidR="00BF6C4F" w:rsidRPr="00714401">
        <w:rPr>
          <w:rFonts w:ascii="Book Antiqua" w:hAnsi="Book Antiqua"/>
          <w:sz w:val="24"/>
          <w:szCs w:val="24"/>
          <w:lang w:val="en-US"/>
        </w:rPr>
        <w:t xml:space="preserve">is almost always </w:t>
      </w:r>
      <w:r w:rsidR="00F05E84" w:rsidRPr="00714401">
        <w:rPr>
          <w:rFonts w:ascii="Book Antiqua" w:hAnsi="Book Antiqua"/>
          <w:sz w:val="24"/>
          <w:szCs w:val="24"/>
          <w:lang w:val="en-US"/>
        </w:rPr>
        <w:t xml:space="preserve">demonstrated: </w:t>
      </w:r>
      <w:r w:rsidR="004B6579" w:rsidRPr="00714401">
        <w:rPr>
          <w:rFonts w:ascii="Book Antiqua" w:hAnsi="Book Antiqua"/>
          <w:sz w:val="24"/>
          <w:szCs w:val="24"/>
          <w:lang w:val="en-US"/>
        </w:rPr>
        <w:t>I</w:t>
      </w:r>
      <w:r w:rsidR="00F05E84" w:rsidRPr="00714401">
        <w:rPr>
          <w:rFonts w:ascii="Book Antiqua" w:hAnsi="Book Antiqua"/>
          <w:sz w:val="24"/>
          <w:szCs w:val="24"/>
          <w:lang w:val="en-US"/>
        </w:rPr>
        <w:t>t is</w:t>
      </w:r>
      <w:r w:rsidR="0076063F" w:rsidRPr="00714401">
        <w:rPr>
          <w:rFonts w:ascii="Book Antiqua" w:hAnsi="Book Antiqua"/>
          <w:sz w:val="24"/>
          <w:szCs w:val="24"/>
          <w:lang w:val="en-US"/>
        </w:rPr>
        <w:t xml:space="preserve"> </w:t>
      </w:r>
      <w:r w:rsidR="00F05E84" w:rsidRPr="00714401">
        <w:rPr>
          <w:rFonts w:ascii="Book Antiqua" w:hAnsi="Book Antiqua"/>
          <w:sz w:val="24"/>
          <w:szCs w:val="24"/>
          <w:lang w:val="en-US"/>
        </w:rPr>
        <w:t xml:space="preserve">considered </w:t>
      </w:r>
      <w:r w:rsidR="00BF6C4F" w:rsidRPr="00714401">
        <w:rPr>
          <w:rFonts w:ascii="Book Antiqua" w:hAnsi="Book Antiqua"/>
          <w:sz w:val="24"/>
          <w:szCs w:val="24"/>
          <w:lang w:val="en-US"/>
        </w:rPr>
        <w:t xml:space="preserve">a </w:t>
      </w:r>
      <w:r w:rsidR="008C10D7" w:rsidRPr="00714401">
        <w:rPr>
          <w:rFonts w:ascii="Book Antiqua" w:hAnsi="Book Antiqua"/>
          <w:sz w:val="24"/>
          <w:szCs w:val="24"/>
          <w:lang w:val="en-US"/>
        </w:rPr>
        <w:t xml:space="preserve">consequence of </w:t>
      </w:r>
      <w:r w:rsidR="00D8292A" w:rsidRPr="00714401">
        <w:rPr>
          <w:rFonts w:ascii="Book Antiqua" w:hAnsi="Book Antiqua"/>
          <w:sz w:val="24"/>
          <w:szCs w:val="24"/>
          <w:lang w:val="en-US"/>
        </w:rPr>
        <w:t xml:space="preserve">necrosis or </w:t>
      </w:r>
      <w:r w:rsidR="00EB19BE" w:rsidRPr="00714401">
        <w:rPr>
          <w:rFonts w:ascii="Book Antiqua" w:hAnsi="Book Antiqua"/>
          <w:sz w:val="24"/>
          <w:szCs w:val="24"/>
          <w:lang w:val="en-US"/>
        </w:rPr>
        <w:t xml:space="preserve">it should be </w:t>
      </w:r>
      <w:r w:rsidR="00F05E84" w:rsidRPr="00714401">
        <w:rPr>
          <w:rFonts w:ascii="Book Antiqua" w:hAnsi="Book Antiqua"/>
          <w:sz w:val="24"/>
          <w:szCs w:val="24"/>
          <w:lang w:val="en-US"/>
        </w:rPr>
        <w:t xml:space="preserve">secondary to the </w:t>
      </w:r>
      <w:r w:rsidR="008C10D7" w:rsidRPr="00714401">
        <w:rPr>
          <w:rFonts w:ascii="Book Antiqua" w:hAnsi="Book Antiqua"/>
          <w:sz w:val="24"/>
          <w:szCs w:val="24"/>
          <w:lang w:val="en-US"/>
        </w:rPr>
        <w:t>increased perme</w:t>
      </w:r>
      <w:r w:rsidR="00D8292A" w:rsidRPr="00714401">
        <w:rPr>
          <w:rFonts w:ascii="Book Antiqua" w:hAnsi="Book Antiqua"/>
          <w:sz w:val="24"/>
          <w:szCs w:val="24"/>
          <w:lang w:val="en-US"/>
        </w:rPr>
        <w:t xml:space="preserve">ability </w:t>
      </w:r>
      <w:r w:rsidR="00EB19BE" w:rsidRPr="00714401">
        <w:rPr>
          <w:rFonts w:ascii="Book Antiqua" w:hAnsi="Book Antiqua"/>
          <w:sz w:val="24"/>
          <w:szCs w:val="24"/>
          <w:lang w:val="en-US"/>
        </w:rPr>
        <w:t>after</w:t>
      </w:r>
      <w:r w:rsidR="0076063F" w:rsidRPr="00714401">
        <w:rPr>
          <w:rFonts w:ascii="Book Antiqua" w:hAnsi="Book Antiqua"/>
          <w:sz w:val="24"/>
          <w:szCs w:val="24"/>
          <w:lang w:val="en-US"/>
        </w:rPr>
        <w:t xml:space="preserve"> </w:t>
      </w:r>
      <w:r w:rsidR="00DE6994" w:rsidRPr="00714401">
        <w:rPr>
          <w:rFonts w:ascii="Book Antiqua" w:hAnsi="Book Antiqua"/>
          <w:sz w:val="24"/>
          <w:szCs w:val="24"/>
          <w:lang w:val="en-US"/>
        </w:rPr>
        <w:t xml:space="preserve">a cell </w:t>
      </w:r>
      <w:r w:rsidR="00D8292A" w:rsidRPr="00714401">
        <w:rPr>
          <w:rFonts w:ascii="Book Antiqua" w:hAnsi="Book Antiqua"/>
          <w:sz w:val="24"/>
          <w:szCs w:val="24"/>
          <w:lang w:val="en-US"/>
        </w:rPr>
        <w:t>membrane</w:t>
      </w:r>
      <w:r w:rsidR="00DE6994" w:rsidRPr="00714401">
        <w:rPr>
          <w:rFonts w:ascii="Book Antiqua" w:hAnsi="Book Antiqua"/>
          <w:sz w:val="24"/>
          <w:szCs w:val="24"/>
          <w:lang w:val="en-US"/>
        </w:rPr>
        <w:t xml:space="preserve"> damage</w:t>
      </w:r>
      <w:r w:rsidR="00382E1E" w:rsidRPr="00714401">
        <w:rPr>
          <w:rFonts w:ascii="Book Antiqua" w:hAnsi="Book Antiqua"/>
          <w:sz w:val="24"/>
          <w:szCs w:val="24"/>
          <w:vertAlign w:val="superscript"/>
          <w:lang w:val="en-US"/>
        </w:rPr>
        <w:t>[2,3]</w:t>
      </w:r>
      <w:r w:rsidR="00382E1E"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DE6994" w:rsidRPr="00714401">
        <w:rPr>
          <w:rFonts w:ascii="Book Antiqua" w:hAnsi="Book Antiqua"/>
          <w:sz w:val="24"/>
          <w:szCs w:val="24"/>
          <w:lang w:val="en-US"/>
        </w:rPr>
        <w:t xml:space="preserve">In case of ischemic injury, the </w:t>
      </w:r>
      <w:r w:rsidR="0027538A" w:rsidRPr="00714401">
        <w:rPr>
          <w:rFonts w:ascii="Book Antiqua" w:hAnsi="Book Antiqua"/>
          <w:sz w:val="24"/>
          <w:szCs w:val="24"/>
          <w:lang w:val="en-US"/>
        </w:rPr>
        <w:t>AST</w:t>
      </w:r>
      <w:r w:rsidR="00DE6994" w:rsidRPr="00714401">
        <w:rPr>
          <w:rFonts w:ascii="Book Antiqua" w:hAnsi="Book Antiqua"/>
          <w:sz w:val="24"/>
          <w:szCs w:val="24"/>
          <w:lang w:val="en-US"/>
        </w:rPr>
        <w:t xml:space="preserve"> and </w:t>
      </w:r>
      <w:r w:rsidR="0027538A" w:rsidRPr="00714401">
        <w:rPr>
          <w:rFonts w:ascii="Book Antiqua" w:hAnsi="Book Antiqua"/>
          <w:sz w:val="24"/>
          <w:szCs w:val="24"/>
          <w:lang w:val="en-US"/>
        </w:rPr>
        <w:t xml:space="preserve">ALT </w:t>
      </w:r>
      <w:r w:rsidR="00DE6994" w:rsidRPr="00714401">
        <w:rPr>
          <w:rFonts w:ascii="Book Antiqua" w:hAnsi="Book Antiqua"/>
          <w:sz w:val="24"/>
          <w:szCs w:val="24"/>
          <w:lang w:val="en-US"/>
        </w:rPr>
        <w:t xml:space="preserve">peak </w:t>
      </w:r>
      <w:r w:rsidR="00D14B31" w:rsidRPr="00714401">
        <w:rPr>
          <w:rFonts w:ascii="Book Antiqua" w:hAnsi="Book Antiqua"/>
          <w:sz w:val="24"/>
          <w:szCs w:val="24"/>
          <w:lang w:val="en-US"/>
        </w:rPr>
        <w:t xml:space="preserve">may reflect </w:t>
      </w:r>
      <w:r w:rsidR="00D206C2" w:rsidRPr="00714401">
        <w:rPr>
          <w:rFonts w:ascii="Book Antiqua" w:hAnsi="Book Antiqua"/>
          <w:sz w:val="24"/>
          <w:szCs w:val="24"/>
          <w:lang w:val="en-US"/>
        </w:rPr>
        <w:t>the</w:t>
      </w:r>
      <w:r w:rsidR="0076063F" w:rsidRPr="00714401">
        <w:rPr>
          <w:rFonts w:ascii="Book Antiqua" w:hAnsi="Book Antiqua"/>
          <w:sz w:val="24"/>
          <w:szCs w:val="24"/>
          <w:lang w:val="en-US"/>
        </w:rPr>
        <w:t xml:space="preserve"> </w:t>
      </w:r>
      <w:r w:rsidR="00D206C2" w:rsidRPr="00714401">
        <w:rPr>
          <w:rFonts w:ascii="Book Antiqua" w:hAnsi="Book Antiqua"/>
          <w:sz w:val="24"/>
          <w:szCs w:val="24"/>
          <w:lang w:val="en-US"/>
        </w:rPr>
        <w:t>size of liver damage</w:t>
      </w:r>
      <w:r w:rsidR="00D56D3F" w:rsidRPr="00714401">
        <w:rPr>
          <w:rFonts w:ascii="Book Antiqua" w:hAnsi="Book Antiqua"/>
          <w:sz w:val="24"/>
          <w:szCs w:val="24"/>
          <w:lang w:val="en-US"/>
        </w:rPr>
        <w:t xml:space="preserve">. </w:t>
      </w:r>
      <w:r w:rsidR="00D14B31" w:rsidRPr="00714401">
        <w:rPr>
          <w:rFonts w:ascii="Book Antiqua" w:hAnsi="Book Antiqua"/>
          <w:sz w:val="24"/>
          <w:szCs w:val="24"/>
          <w:lang w:val="en-US"/>
        </w:rPr>
        <w:t>As</w:t>
      </w:r>
      <w:r w:rsidR="0027538A" w:rsidRPr="00714401">
        <w:rPr>
          <w:rFonts w:ascii="Book Antiqua" w:hAnsi="Book Antiqua"/>
          <w:sz w:val="24"/>
          <w:szCs w:val="24"/>
          <w:lang w:val="en-US"/>
        </w:rPr>
        <w:t xml:space="preserve"> </w:t>
      </w:r>
      <w:r w:rsidR="00D14B31" w:rsidRPr="00714401">
        <w:rPr>
          <w:rFonts w:ascii="Book Antiqua" w:hAnsi="Book Antiqua"/>
          <w:sz w:val="24"/>
          <w:szCs w:val="24"/>
          <w:lang w:val="en-US"/>
        </w:rPr>
        <w:t>above mentioned, AST/ALT</w:t>
      </w:r>
      <w:r w:rsidR="0076063F" w:rsidRPr="00714401">
        <w:rPr>
          <w:rFonts w:ascii="Book Antiqua" w:hAnsi="Book Antiqua"/>
          <w:sz w:val="24"/>
          <w:szCs w:val="24"/>
          <w:lang w:val="en-US"/>
        </w:rPr>
        <w:t xml:space="preserve"> </w:t>
      </w:r>
      <w:r w:rsidR="00D56D3F" w:rsidRPr="00714401">
        <w:rPr>
          <w:rFonts w:ascii="Book Antiqua" w:hAnsi="Book Antiqua"/>
          <w:sz w:val="24"/>
          <w:szCs w:val="24"/>
          <w:lang w:val="en-US"/>
        </w:rPr>
        <w:t xml:space="preserve">increase </w:t>
      </w:r>
      <w:r w:rsidR="00382E1E" w:rsidRPr="00714401">
        <w:rPr>
          <w:rFonts w:ascii="Book Antiqua" w:hAnsi="Book Antiqua"/>
          <w:sz w:val="24"/>
          <w:szCs w:val="24"/>
          <w:lang w:val="en-US"/>
        </w:rPr>
        <w:t xml:space="preserve">(longer for ALT, shorter for AST due to the different half life) </w:t>
      </w:r>
      <w:r w:rsidR="00D8292A" w:rsidRPr="00714401">
        <w:rPr>
          <w:rFonts w:ascii="Book Antiqua" w:hAnsi="Book Antiqua"/>
          <w:sz w:val="24"/>
          <w:szCs w:val="24"/>
          <w:lang w:val="en-US"/>
        </w:rPr>
        <w:t>does not provide</w:t>
      </w:r>
      <w:r w:rsidR="0076063F" w:rsidRPr="00714401">
        <w:rPr>
          <w:rFonts w:ascii="Book Antiqua" w:hAnsi="Book Antiqua"/>
          <w:sz w:val="24"/>
          <w:szCs w:val="24"/>
          <w:lang w:val="en-US"/>
        </w:rPr>
        <w:t xml:space="preserve"> </w:t>
      </w:r>
      <w:r w:rsidR="00D8292A" w:rsidRPr="00714401">
        <w:rPr>
          <w:rFonts w:ascii="Book Antiqua" w:hAnsi="Book Antiqua"/>
          <w:sz w:val="24"/>
          <w:szCs w:val="24"/>
          <w:lang w:val="en-US"/>
        </w:rPr>
        <w:t xml:space="preserve">information on </w:t>
      </w:r>
      <w:r w:rsidR="00D14B31" w:rsidRPr="00714401">
        <w:rPr>
          <w:rFonts w:ascii="Book Antiqua" w:hAnsi="Book Antiqua"/>
          <w:sz w:val="24"/>
          <w:szCs w:val="24"/>
          <w:lang w:val="en-US"/>
        </w:rPr>
        <w:t>the</w:t>
      </w:r>
      <w:r w:rsidR="0076063F" w:rsidRPr="00714401">
        <w:rPr>
          <w:rFonts w:ascii="Book Antiqua" w:hAnsi="Book Antiqua"/>
          <w:sz w:val="24"/>
          <w:szCs w:val="24"/>
          <w:lang w:val="en-US"/>
        </w:rPr>
        <w:t xml:space="preserve"> </w:t>
      </w:r>
      <w:r w:rsidR="00D14B31" w:rsidRPr="00714401">
        <w:rPr>
          <w:rFonts w:ascii="Book Antiqua" w:hAnsi="Book Antiqua"/>
          <w:sz w:val="24"/>
          <w:szCs w:val="24"/>
          <w:lang w:val="en-US"/>
        </w:rPr>
        <w:t>functional</w:t>
      </w:r>
      <w:r w:rsidR="00D8292A" w:rsidRPr="00714401">
        <w:rPr>
          <w:rFonts w:ascii="Book Antiqua" w:hAnsi="Book Antiqua"/>
          <w:sz w:val="24"/>
          <w:szCs w:val="24"/>
          <w:lang w:val="en-US"/>
        </w:rPr>
        <w:t xml:space="preserve"> impairment</w:t>
      </w:r>
      <w:r w:rsidR="00D206C2" w:rsidRPr="00714401">
        <w:rPr>
          <w:rFonts w:ascii="Book Antiqua" w:hAnsi="Book Antiqua"/>
          <w:sz w:val="24"/>
          <w:szCs w:val="24"/>
          <w:lang w:val="en-US"/>
        </w:rPr>
        <w:t xml:space="preserve"> of the liver nor,</w:t>
      </w:r>
      <w:r w:rsidR="00D14B31" w:rsidRPr="00714401">
        <w:rPr>
          <w:rFonts w:ascii="Book Antiqua" w:hAnsi="Book Antiqua"/>
          <w:sz w:val="24"/>
          <w:szCs w:val="24"/>
          <w:lang w:val="en-US"/>
        </w:rPr>
        <w:t xml:space="preserve"> by force,</w:t>
      </w:r>
      <w:r w:rsidR="00D206C2" w:rsidRPr="00714401">
        <w:rPr>
          <w:rFonts w:ascii="Book Antiqua" w:hAnsi="Book Antiqua"/>
          <w:sz w:val="24"/>
          <w:szCs w:val="24"/>
          <w:lang w:val="en-US"/>
        </w:rPr>
        <w:t xml:space="preserve"> </w:t>
      </w:r>
      <w:r w:rsidR="00D14B31" w:rsidRPr="00714401">
        <w:rPr>
          <w:rFonts w:ascii="Book Antiqua" w:hAnsi="Book Antiqua"/>
          <w:sz w:val="24"/>
          <w:szCs w:val="24"/>
          <w:lang w:val="en-US"/>
        </w:rPr>
        <w:t xml:space="preserve">of the </w:t>
      </w:r>
      <w:r w:rsidR="00D206C2" w:rsidRPr="00714401">
        <w:rPr>
          <w:rFonts w:ascii="Book Antiqua" w:hAnsi="Book Antiqua"/>
          <w:sz w:val="24"/>
          <w:szCs w:val="24"/>
          <w:lang w:val="en-US"/>
        </w:rPr>
        <w:t>(</w:t>
      </w:r>
      <w:r w:rsidR="00D14B31" w:rsidRPr="00714401">
        <w:rPr>
          <w:rFonts w:ascii="Book Antiqua" w:hAnsi="Book Antiqua"/>
          <w:sz w:val="24"/>
          <w:szCs w:val="24"/>
          <w:lang w:val="en-US"/>
        </w:rPr>
        <w:t>residual</w:t>
      </w:r>
      <w:r w:rsidR="00D206C2" w:rsidRPr="00714401">
        <w:rPr>
          <w:rFonts w:ascii="Book Antiqua" w:hAnsi="Book Antiqua"/>
          <w:sz w:val="24"/>
          <w:szCs w:val="24"/>
          <w:lang w:val="en-US"/>
        </w:rPr>
        <w:t>)</w:t>
      </w:r>
      <w:r w:rsidR="00D14B31" w:rsidRPr="00714401">
        <w:rPr>
          <w:rFonts w:ascii="Book Antiqua" w:hAnsi="Book Antiqua"/>
          <w:sz w:val="24"/>
          <w:szCs w:val="24"/>
          <w:lang w:val="en-US"/>
        </w:rPr>
        <w:t xml:space="preserve"> </w:t>
      </w:r>
      <w:r w:rsidR="004B6579" w:rsidRPr="00714401">
        <w:rPr>
          <w:rFonts w:ascii="Book Antiqua" w:hAnsi="Book Antiqua"/>
          <w:sz w:val="24"/>
          <w:szCs w:val="24"/>
          <w:lang w:val="en-US"/>
        </w:rPr>
        <w:t>hepatic functional reserve</w:t>
      </w:r>
      <w:r w:rsidR="00FD65C5" w:rsidRPr="00714401">
        <w:rPr>
          <w:rFonts w:ascii="Book Antiqua" w:hAnsi="Book Antiqua"/>
          <w:sz w:val="24"/>
          <w:szCs w:val="24"/>
          <w:vertAlign w:val="superscript"/>
          <w:lang w:val="en-US"/>
        </w:rPr>
        <w:t>[</w:t>
      </w:r>
      <w:r w:rsidR="00D56D3F" w:rsidRPr="00714401">
        <w:rPr>
          <w:rFonts w:ascii="Book Antiqua" w:hAnsi="Book Antiqua"/>
          <w:sz w:val="24"/>
          <w:szCs w:val="24"/>
          <w:vertAlign w:val="superscript"/>
          <w:lang w:val="en-US"/>
        </w:rPr>
        <w:t>2,3]</w:t>
      </w:r>
      <w:r w:rsidR="00D206C2" w:rsidRPr="00714401">
        <w:rPr>
          <w:rFonts w:ascii="Book Antiqua" w:hAnsi="Book Antiqua"/>
          <w:sz w:val="24"/>
          <w:szCs w:val="24"/>
          <w:lang w:val="en-US"/>
        </w:rPr>
        <w:t xml:space="preserve">. </w:t>
      </w:r>
      <w:r w:rsidR="00D14B31" w:rsidRPr="00714401">
        <w:rPr>
          <w:rFonts w:ascii="Book Antiqua" w:hAnsi="Book Antiqua"/>
          <w:sz w:val="24"/>
          <w:szCs w:val="24"/>
          <w:lang w:val="en-US"/>
        </w:rPr>
        <w:t>A rather non-specific marker of ischemic da</w:t>
      </w:r>
      <w:r w:rsidR="004B6579" w:rsidRPr="00714401">
        <w:rPr>
          <w:rFonts w:ascii="Book Antiqua" w:hAnsi="Book Antiqua"/>
          <w:sz w:val="24"/>
          <w:szCs w:val="24"/>
          <w:lang w:val="en-US"/>
        </w:rPr>
        <w:t>mage to the liver (but not only</w:t>
      </w:r>
      <w:r w:rsidR="00D14B31" w:rsidRPr="00714401">
        <w:rPr>
          <w:rFonts w:ascii="Book Antiqua" w:hAnsi="Book Antiqua"/>
          <w:sz w:val="24"/>
          <w:szCs w:val="24"/>
          <w:lang w:val="en-US"/>
        </w:rPr>
        <w:t>!) is</w:t>
      </w:r>
      <w:r w:rsidR="004B6579" w:rsidRPr="00714401">
        <w:rPr>
          <w:rFonts w:ascii="Book Antiqua" w:hAnsi="Book Antiqua"/>
          <w:sz w:val="24"/>
          <w:szCs w:val="24"/>
          <w:lang w:val="en-US"/>
        </w:rPr>
        <w:t xml:space="preserve"> lactate deh</w:t>
      </w:r>
      <w:r w:rsidR="00D56D3F" w:rsidRPr="00714401">
        <w:rPr>
          <w:rFonts w:ascii="Book Antiqua" w:hAnsi="Book Antiqua"/>
          <w:sz w:val="24"/>
          <w:szCs w:val="24"/>
          <w:lang w:val="en-US"/>
        </w:rPr>
        <w:t>ydrogenase</w:t>
      </w:r>
      <w:r w:rsidR="00FD65C5" w:rsidRPr="00714401">
        <w:rPr>
          <w:rFonts w:ascii="Book Antiqua" w:hAnsi="Book Antiqua"/>
          <w:sz w:val="24"/>
          <w:szCs w:val="24"/>
          <w:lang w:val="en-US"/>
        </w:rPr>
        <w:t xml:space="preserve"> </w:t>
      </w:r>
      <w:r w:rsidR="004B6579" w:rsidRPr="00714401">
        <w:rPr>
          <w:rFonts w:ascii="Book Antiqua" w:hAnsi="Book Antiqua"/>
          <w:sz w:val="24"/>
          <w:szCs w:val="24"/>
          <w:lang w:val="en-US"/>
        </w:rPr>
        <w:t>(</w:t>
      </w:r>
      <w:r w:rsidR="00FD65C5" w:rsidRPr="00714401">
        <w:rPr>
          <w:rFonts w:ascii="Book Antiqua" w:hAnsi="Book Antiqua"/>
          <w:sz w:val="24"/>
          <w:szCs w:val="24"/>
          <w:lang w:val="en-US"/>
        </w:rPr>
        <w:t xml:space="preserve">LDH, mainly fraction </w:t>
      </w:r>
      <w:r w:rsidR="00D56D3F" w:rsidRPr="00714401">
        <w:rPr>
          <w:rFonts w:ascii="Book Antiqua" w:hAnsi="Book Antiqua"/>
          <w:sz w:val="24"/>
          <w:szCs w:val="24"/>
          <w:lang w:val="en-US"/>
        </w:rPr>
        <w:t>5)</w:t>
      </w:r>
      <w:r w:rsidR="00D14B31" w:rsidRPr="00714401">
        <w:rPr>
          <w:rFonts w:ascii="Book Antiqua" w:hAnsi="Book Antiqua"/>
          <w:sz w:val="24"/>
          <w:szCs w:val="24"/>
          <w:lang w:val="en-US"/>
        </w:rPr>
        <w:t>.</w:t>
      </w:r>
      <w:r w:rsidR="0003719C" w:rsidRPr="00714401">
        <w:rPr>
          <w:rFonts w:ascii="Book Antiqua" w:hAnsi="Book Antiqua"/>
          <w:sz w:val="24"/>
          <w:szCs w:val="24"/>
          <w:lang w:val="en-US"/>
        </w:rPr>
        <w:t xml:space="preserve"> </w:t>
      </w:r>
      <w:proofErr w:type="spellStart"/>
      <w:r w:rsidR="00D206C2" w:rsidRPr="00714401">
        <w:rPr>
          <w:rFonts w:ascii="Book Antiqua" w:hAnsi="Book Antiqua"/>
          <w:sz w:val="24"/>
          <w:szCs w:val="24"/>
          <w:lang w:val="en-US"/>
        </w:rPr>
        <w:t>C</w:t>
      </w:r>
      <w:r w:rsidR="0003719C" w:rsidRPr="00714401">
        <w:rPr>
          <w:rFonts w:ascii="Book Antiqua" w:hAnsi="Book Antiqua"/>
          <w:sz w:val="24"/>
          <w:szCs w:val="24"/>
          <w:lang w:val="en-US"/>
        </w:rPr>
        <w:t>holestatic</w:t>
      </w:r>
      <w:proofErr w:type="spellEnd"/>
      <w:r w:rsidR="0003719C" w:rsidRPr="00714401">
        <w:rPr>
          <w:rFonts w:ascii="Book Antiqua" w:hAnsi="Book Antiqua"/>
          <w:sz w:val="24"/>
          <w:szCs w:val="24"/>
          <w:lang w:val="en-US"/>
        </w:rPr>
        <w:t xml:space="preserve"> alterations</w:t>
      </w:r>
      <w:r w:rsidR="0076063F" w:rsidRPr="00714401">
        <w:rPr>
          <w:rFonts w:ascii="Book Antiqua" w:hAnsi="Book Antiqua"/>
          <w:sz w:val="24"/>
          <w:szCs w:val="24"/>
          <w:lang w:val="en-US"/>
        </w:rPr>
        <w:t xml:space="preserve"> </w:t>
      </w:r>
      <w:r w:rsidR="00D206C2" w:rsidRPr="00714401">
        <w:rPr>
          <w:rFonts w:ascii="Book Antiqua" w:hAnsi="Book Antiqua"/>
          <w:sz w:val="24"/>
          <w:szCs w:val="24"/>
          <w:lang w:val="en-US"/>
        </w:rPr>
        <w:t>are usually described using</w:t>
      </w:r>
      <w:r w:rsidR="00D206C2" w:rsidRPr="00714401">
        <w:rPr>
          <w:rFonts w:ascii="Book Antiqua" w:hAnsi="Book Antiqua"/>
          <w:i/>
          <w:sz w:val="24"/>
          <w:szCs w:val="24"/>
          <w:lang w:val="en-US"/>
        </w:rPr>
        <w:t xml:space="preserve"> </w:t>
      </w:r>
      <w:r w:rsidR="004B6579" w:rsidRPr="00714401">
        <w:rPr>
          <w:rFonts w:ascii="Book Antiqua" w:hAnsi="Book Antiqua"/>
          <w:sz w:val="24"/>
          <w:szCs w:val="24"/>
          <w:lang w:val="en-US"/>
        </w:rPr>
        <w:t xml:space="preserve">gamma </w:t>
      </w:r>
      <w:proofErr w:type="spellStart"/>
      <w:r w:rsidR="004B6579" w:rsidRPr="00714401">
        <w:rPr>
          <w:rFonts w:ascii="Book Antiqua" w:hAnsi="Book Antiqua"/>
          <w:sz w:val="24"/>
          <w:szCs w:val="24"/>
          <w:lang w:val="en-US"/>
        </w:rPr>
        <w:t>glutamyl</w:t>
      </w:r>
      <w:proofErr w:type="spellEnd"/>
      <w:r w:rsidR="004B6579" w:rsidRPr="00714401">
        <w:rPr>
          <w:rFonts w:ascii="Book Antiqua" w:hAnsi="Book Antiqua"/>
          <w:sz w:val="24"/>
          <w:szCs w:val="24"/>
          <w:lang w:val="en-US"/>
        </w:rPr>
        <w:t xml:space="preserve"> trans</w:t>
      </w:r>
      <w:r w:rsidR="0003719C" w:rsidRPr="00714401">
        <w:rPr>
          <w:rFonts w:ascii="Book Antiqua" w:hAnsi="Book Antiqua"/>
          <w:sz w:val="24"/>
          <w:szCs w:val="24"/>
          <w:lang w:val="en-US"/>
        </w:rPr>
        <w:t>ferase</w:t>
      </w:r>
      <w:r w:rsidR="0076063F" w:rsidRPr="00714401">
        <w:rPr>
          <w:rFonts w:ascii="Book Antiqua" w:hAnsi="Book Antiqua"/>
          <w:sz w:val="24"/>
          <w:szCs w:val="24"/>
          <w:lang w:val="en-US"/>
        </w:rPr>
        <w:t xml:space="preserve"> </w:t>
      </w:r>
      <w:r w:rsidR="0003719C" w:rsidRPr="00714401">
        <w:rPr>
          <w:rFonts w:ascii="Book Antiqua" w:hAnsi="Book Antiqua"/>
          <w:sz w:val="24"/>
          <w:szCs w:val="24"/>
          <w:lang w:val="en-US"/>
        </w:rPr>
        <w:t xml:space="preserve">(GGT) </w:t>
      </w:r>
      <w:r w:rsidR="00D206C2" w:rsidRPr="00714401">
        <w:rPr>
          <w:rFonts w:ascii="Book Antiqua" w:hAnsi="Book Antiqua"/>
          <w:sz w:val="24"/>
          <w:szCs w:val="24"/>
          <w:lang w:val="en-US"/>
        </w:rPr>
        <w:t xml:space="preserve">and </w:t>
      </w:r>
      <w:r w:rsidR="004B6579" w:rsidRPr="00714401">
        <w:rPr>
          <w:rFonts w:ascii="Book Antiqua" w:hAnsi="Book Antiqua"/>
          <w:sz w:val="24"/>
          <w:szCs w:val="24"/>
          <w:lang w:val="en-US"/>
        </w:rPr>
        <w:t>a</w:t>
      </w:r>
      <w:r w:rsidR="00D56D3F" w:rsidRPr="00714401">
        <w:rPr>
          <w:rFonts w:ascii="Book Antiqua" w:hAnsi="Book Antiqua"/>
          <w:sz w:val="24"/>
          <w:szCs w:val="24"/>
          <w:lang w:val="en-US"/>
        </w:rPr>
        <w:t>lkaline phosphatase</w:t>
      </w:r>
      <w:r w:rsidR="004B6579" w:rsidRPr="00714401">
        <w:rPr>
          <w:rFonts w:ascii="Book Antiqua" w:hAnsi="Book Antiqua"/>
          <w:sz w:val="24"/>
          <w:szCs w:val="24"/>
          <w:lang w:val="en-US"/>
        </w:rPr>
        <w:t xml:space="preserve"> (ALK)</w:t>
      </w:r>
      <w:r w:rsidR="00D56D3F" w:rsidRPr="00714401">
        <w:rPr>
          <w:rFonts w:ascii="Book Antiqua" w:hAnsi="Book Antiqua"/>
          <w:sz w:val="24"/>
          <w:szCs w:val="24"/>
          <w:lang w:val="en-US"/>
        </w:rPr>
        <w:t>.</w:t>
      </w:r>
    </w:p>
    <w:p w:rsidR="008C10D7" w:rsidRPr="00714401" w:rsidRDefault="00D206C2" w:rsidP="004B6579">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Plasma Bilirubin concentration reflects</w:t>
      </w:r>
      <w:r w:rsidR="00D56D3F" w:rsidRPr="00714401">
        <w:rPr>
          <w:rFonts w:ascii="Book Antiqua" w:hAnsi="Book Antiqua"/>
          <w:sz w:val="24"/>
          <w:szCs w:val="24"/>
          <w:lang w:val="en-US"/>
        </w:rPr>
        <w:t xml:space="preserve"> phase II</w:t>
      </w:r>
      <w:r w:rsidR="00AC3A2B" w:rsidRPr="00714401">
        <w:rPr>
          <w:rFonts w:ascii="Book Antiqua" w:hAnsi="Book Antiqua"/>
          <w:sz w:val="24"/>
          <w:szCs w:val="24"/>
          <w:lang w:val="en-US"/>
        </w:rPr>
        <w:t xml:space="preserve"> metabolism and</w:t>
      </w:r>
      <w:r w:rsidR="0076063F" w:rsidRPr="00714401">
        <w:rPr>
          <w:rFonts w:ascii="Book Antiqua" w:hAnsi="Book Antiqua"/>
          <w:sz w:val="24"/>
          <w:szCs w:val="24"/>
          <w:lang w:val="en-US"/>
        </w:rPr>
        <w:t xml:space="preserve"> </w:t>
      </w:r>
      <w:r w:rsidR="00D56D3F" w:rsidRPr="00714401">
        <w:rPr>
          <w:rFonts w:ascii="Book Antiqua" w:hAnsi="Book Antiqua"/>
          <w:sz w:val="24"/>
          <w:szCs w:val="24"/>
          <w:lang w:val="en-US"/>
        </w:rPr>
        <w:t>is the indirect expression of</w:t>
      </w:r>
      <w:r w:rsidR="0076063F" w:rsidRPr="00714401">
        <w:rPr>
          <w:rFonts w:ascii="Book Antiqua" w:hAnsi="Book Antiqua"/>
          <w:sz w:val="24"/>
          <w:szCs w:val="24"/>
          <w:lang w:val="en-US"/>
        </w:rPr>
        <w:t xml:space="preserve"> </w:t>
      </w:r>
      <w:r w:rsidR="00D56D3F" w:rsidRPr="00714401">
        <w:rPr>
          <w:rFonts w:ascii="Book Antiqua" w:hAnsi="Book Antiqua"/>
          <w:sz w:val="24"/>
          <w:szCs w:val="24"/>
          <w:lang w:val="en-US"/>
        </w:rPr>
        <w:t xml:space="preserve">uptake, conjugation and excretion functions of the liver. </w:t>
      </w:r>
      <w:r w:rsidR="00AC3A2B" w:rsidRPr="00714401">
        <w:rPr>
          <w:rFonts w:ascii="Book Antiqua" w:hAnsi="Book Antiqua"/>
          <w:sz w:val="24"/>
          <w:szCs w:val="24"/>
          <w:lang w:val="en-US"/>
        </w:rPr>
        <w:t>Early (</w:t>
      </w:r>
      <w:r w:rsidR="00966784" w:rsidRPr="00714401">
        <w:rPr>
          <w:rFonts w:ascii="Book Antiqua" w:hAnsi="Book Antiqua"/>
          <w:sz w:val="24"/>
          <w:szCs w:val="24"/>
          <w:lang w:val="en-US"/>
        </w:rPr>
        <w:t xml:space="preserve">and perhaps </w:t>
      </w:r>
      <w:r w:rsidR="00AC3A2B" w:rsidRPr="00714401">
        <w:rPr>
          <w:rFonts w:ascii="Book Antiqua" w:hAnsi="Book Antiqua"/>
          <w:sz w:val="24"/>
          <w:szCs w:val="24"/>
          <w:lang w:val="en-US"/>
        </w:rPr>
        <w:t>self limiting) phases of i</w:t>
      </w:r>
      <w:r w:rsidR="00D56D3F" w:rsidRPr="00714401">
        <w:rPr>
          <w:rFonts w:ascii="Book Antiqua" w:hAnsi="Book Antiqua"/>
          <w:sz w:val="24"/>
          <w:szCs w:val="24"/>
          <w:lang w:val="en-US"/>
        </w:rPr>
        <w:t>schemic i</w:t>
      </w:r>
      <w:r w:rsidR="00AC3A2B" w:rsidRPr="00714401">
        <w:rPr>
          <w:rFonts w:ascii="Book Antiqua" w:hAnsi="Book Antiqua"/>
          <w:sz w:val="24"/>
          <w:szCs w:val="24"/>
          <w:lang w:val="en-US"/>
        </w:rPr>
        <w:t>njuries have</w:t>
      </w:r>
      <w:r w:rsidR="00D56D3F" w:rsidRPr="00714401">
        <w:rPr>
          <w:rFonts w:ascii="Book Antiqua" w:hAnsi="Book Antiqua"/>
          <w:sz w:val="24"/>
          <w:szCs w:val="24"/>
          <w:lang w:val="en-US"/>
        </w:rPr>
        <w:t xml:space="preserve"> a moderate impact on the phase II processes, defined </w:t>
      </w:r>
      <w:r w:rsidR="00966784" w:rsidRPr="00714401">
        <w:rPr>
          <w:rFonts w:ascii="Book Antiqua" w:hAnsi="Book Antiqua"/>
          <w:sz w:val="24"/>
          <w:szCs w:val="24"/>
          <w:lang w:val="en-US"/>
        </w:rPr>
        <w:t xml:space="preserve">as </w:t>
      </w:r>
      <w:r w:rsidR="00D56D3F" w:rsidRPr="00714401">
        <w:rPr>
          <w:rFonts w:ascii="Book Antiqua" w:hAnsi="Book Antiqua"/>
          <w:sz w:val="24"/>
          <w:szCs w:val="24"/>
          <w:lang w:val="en-US"/>
        </w:rPr>
        <w:t>“relatively robust”</w:t>
      </w:r>
      <w:r w:rsidR="00D56D3F" w:rsidRPr="00714401">
        <w:rPr>
          <w:rFonts w:ascii="Book Antiqua" w:hAnsi="Book Antiqua"/>
          <w:sz w:val="24"/>
          <w:szCs w:val="24"/>
          <w:vertAlign w:val="superscript"/>
          <w:lang w:val="en-US"/>
        </w:rPr>
        <w:t>[7]</w:t>
      </w:r>
      <w:r w:rsidR="00D56D3F" w:rsidRPr="00714401">
        <w:rPr>
          <w:rFonts w:ascii="Book Antiqua" w:hAnsi="Book Antiqua"/>
          <w:sz w:val="24"/>
          <w:szCs w:val="24"/>
          <w:lang w:val="en-US"/>
        </w:rPr>
        <w:t xml:space="preserve">. </w:t>
      </w:r>
      <w:r w:rsidR="000A7BC6" w:rsidRPr="00714401">
        <w:rPr>
          <w:rFonts w:ascii="Book Antiqua" w:hAnsi="Book Antiqua"/>
          <w:sz w:val="24"/>
          <w:szCs w:val="24"/>
          <w:lang w:val="en-US"/>
        </w:rPr>
        <w:t xml:space="preserve">Among </w:t>
      </w:r>
      <w:r w:rsidR="00DE6994" w:rsidRPr="00714401">
        <w:rPr>
          <w:rFonts w:ascii="Book Antiqua" w:hAnsi="Book Antiqua"/>
          <w:sz w:val="24"/>
          <w:szCs w:val="24"/>
          <w:lang w:val="en-US"/>
        </w:rPr>
        <w:t xml:space="preserve">the </w:t>
      </w:r>
      <w:r w:rsidR="000A7BC6" w:rsidRPr="00714401">
        <w:rPr>
          <w:rFonts w:ascii="Book Antiqua" w:hAnsi="Book Antiqua"/>
          <w:sz w:val="24"/>
          <w:szCs w:val="24"/>
          <w:lang w:val="en-US"/>
        </w:rPr>
        <w:t>causes of hyperbilirubinemia</w:t>
      </w:r>
      <w:r w:rsidR="006D66E5" w:rsidRPr="00714401">
        <w:rPr>
          <w:rFonts w:ascii="Book Antiqua" w:hAnsi="Book Antiqua"/>
          <w:sz w:val="24"/>
          <w:szCs w:val="24"/>
          <w:lang w:val="en-US"/>
        </w:rPr>
        <w:t xml:space="preserve"> (</w:t>
      </w:r>
      <w:r w:rsidR="00EB19BE" w:rsidRPr="00714401">
        <w:rPr>
          <w:rFonts w:ascii="Book Antiqua" w:hAnsi="Book Antiqua"/>
          <w:sz w:val="24"/>
          <w:szCs w:val="24"/>
          <w:lang w:val="en-US"/>
        </w:rPr>
        <w:t xml:space="preserve">generally </w:t>
      </w:r>
      <w:r w:rsidR="00EB19BE" w:rsidRPr="00714401">
        <w:rPr>
          <w:rFonts w:ascii="Book Antiqua" w:hAnsi="Book Antiqua"/>
          <w:sz w:val="24"/>
          <w:szCs w:val="24"/>
          <w:lang w:val="en-US"/>
        </w:rPr>
        <w:lastRenderedPageBreak/>
        <w:t xml:space="preserve">speaking </w:t>
      </w:r>
      <w:r w:rsidR="006D66E5" w:rsidRPr="00714401">
        <w:rPr>
          <w:rFonts w:ascii="Book Antiqua" w:hAnsi="Book Antiqua"/>
          <w:sz w:val="24"/>
          <w:szCs w:val="24"/>
          <w:lang w:val="en-US"/>
        </w:rPr>
        <w:t xml:space="preserve">due to </w:t>
      </w:r>
      <w:r w:rsidR="00966784" w:rsidRPr="00714401">
        <w:rPr>
          <w:rFonts w:ascii="Book Antiqua" w:hAnsi="Book Antiqua"/>
          <w:sz w:val="24"/>
          <w:szCs w:val="24"/>
          <w:lang w:val="en-US"/>
        </w:rPr>
        <w:t xml:space="preserve">an </w:t>
      </w:r>
      <w:r w:rsidR="006D66E5" w:rsidRPr="00714401">
        <w:rPr>
          <w:rFonts w:ascii="Book Antiqua" w:hAnsi="Book Antiqua"/>
          <w:sz w:val="24"/>
          <w:szCs w:val="24"/>
          <w:lang w:val="en-US"/>
        </w:rPr>
        <w:t xml:space="preserve">increased production or </w:t>
      </w:r>
      <w:r w:rsidR="00966784" w:rsidRPr="00714401">
        <w:rPr>
          <w:rFonts w:ascii="Book Antiqua" w:hAnsi="Book Antiqua"/>
          <w:sz w:val="24"/>
          <w:szCs w:val="24"/>
          <w:lang w:val="en-US"/>
        </w:rPr>
        <w:t xml:space="preserve">a </w:t>
      </w:r>
      <w:r w:rsidR="006D66E5" w:rsidRPr="00714401">
        <w:rPr>
          <w:rFonts w:ascii="Book Antiqua" w:hAnsi="Book Antiqua"/>
          <w:sz w:val="24"/>
          <w:szCs w:val="24"/>
          <w:lang w:val="en-US"/>
        </w:rPr>
        <w:t xml:space="preserve">reduced clearance) </w:t>
      </w:r>
      <w:r w:rsidR="000A7BC6" w:rsidRPr="00714401">
        <w:rPr>
          <w:rFonts w:ascii="Book Antiqua" w:hAnsi="Book Antiqua"/>
          <w:sz w:val="24"/>
          <w:szCs w:val="24"/>
          <w:lang w:val="en-US"/>
        </w:rPr>
        <w:t>relevant are h</w:t>
      </w:r>
      <w:r w:rsidR="00D56D3F" w:rsidRPr="00714401">
        <w:rPr>
          <w:rFonts w:ascii="Book Antiqua" w:hAnsi="Book Antiqua"/>
          <w:sz w:val="24"/>
          <w:szCs w:val="24"/>
          <w:lang w:val="en-US"/>
        </w:rPr>
        <w:t>emolysis</w:t>
      </w:r>
      <w:r w:rsidR="000A7BC6" w:rsidRPr="00714401">
        <w:rPr>
          <w:rFonts w:ascii="Book Antiqua" w:hAnsi="Book Antiqua"/>
          <w:sz w:val="24"/>
          <w:szCs w:val="24"/>
          <w:lang w:val="en-US"/>
        </w:rPr>
        <w:t xml:space="preserve">, </w:t>
      </w:r>
      <w:r w:rsidR="00A42C2A" w:rsidRPr="00714401">
        <w:rPr>
          <w:rFonts w:ascii="Book Antiqua" w:hAnsi="Book Antiqua"/>
          <w:sz w:val="24"/>
          <w:szCs w:val="24"/>
          <w:lang w:val="en-US"/>
        </w:rPr>
        <w:t xml:space="preserve">damage of </w:t>
      </w:r>
      <w:r w:rsidR="000A7BC6" w:rsidRPr="00714401">
        <w:rPr>
          <w:rFonts w:ascii="Book Antiqua" w:hAnsi="Book Antiqua"/>
          <w:sz w:val="24"/>
          <w:szCs w:val="24"/>
          <w:lang w:val="en-US"/>
        </w:rPr>
        <w:t>cell</w:t>
      </w:r>
      <w:r w:rsidR="00A42C2A" w:rsidRPr="00714401">
        <w:rPr>
          <w:rFonts w:ascii="Book Antiqua" w:hAnsi="Book Antiqua"/>
          <w:sz w:val="24"/>
          <w:szCs w:val="24"/>
          <w:lang w:val="en-US"/>
        </w:rPr>
        <w:t>ular</w:t>
      </w:r>
      <w:r w:rsidR="0076063F" w:rsidRPr="00714401">
        <w:rPr>
          <w:rFonts w:ascii="Book Antiqua" w:hAnsi="Book Antiqua"/>
          <w:sz w:val="24"/>
          <w:szCs w:val="24"/>
          <w:lang w:val="en-US"/>
        </w:rPr>
        <w:t xml:space="preserve"> </w:t>
      </w:r>
      <w:r w:rsidR="00A42C2A" w:rsidRPr="00714401">
        <w:rPr>
          <w:rFonts w:ascii="Book Antiqua" w:hAnsi="Book Antiqua"/>
          <w:sz w:val="24"/>
          <w:szCs w:val="24"/>
          <w:lang w:val="en-US"/>
        </w:rPr>
        <w:t xml:space="preserve">components </w:t>
      </w:r>
      <w:r w:rsidR="000A7BC6" w:rsidRPr="00714401">
        <w:rPr>
          <w:rFonts w:ascii="Book Antiqua" w:hAnsi="Book Antiqua"/>
          <w:sz w:val="24"/>
          <w:szCs w:val="24"/>
          <w:lang w:val="en-US"/>
        </w:rPr>
        <w:t xml:space="preserve">and </w:t>
      </w:r>
      <w:r w:rsidR="00D56D3F" w:rsidRPr="00714401">
        <w:rPr>
          <w:rFonts w:ascii="Book Antiqua" w:hAnsi="Book Antiqua"/>
          <w:sz w:val="24"/>
          <w:szCs w:val="24"/>
          <w:lang w:val="en-US"/>
        </w:rPr>
        <w:t>reduced intrahepatic bile excretion</w:t>
      </w:r>
      <w:r w:rsidR="007A7F0E"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6D66E5" w:rsidRPr="00714401">
        <w:rPr>
          <w:rFonts w:ascii="Book Antiqua" w:hAnsi="Book Antiqua"/>
          <w:sz w:val="24"/>
          <w:szCs w:val="24"/>
          <w:lang w:val="en-US"/>
        </w:rPr>
        <w:t>One of the main function</w:t>
      </w:r>
      <w:r w:rsidR="00966784" w:rsidRPr="00714401">
        <w:rPr>
          <w:rFonts w:ascii="Book Antiqua" w:hAnsi="Book Antiqua"/>
          <w:sz w:val="24"/>
          <w:szCs w:val="24"/>
          <w:lang w:val="en-US"/>
        </w:rPr>
        <w:t>s</w:t>
      </w:r>
      <w:r w:rsidR="006D66E5" w:rsidRPr="00714401">
        <w:rPr>
          <w:rFonts w:ascii="Book Antiqua" w:hAnsi="Book Antiqua"/>
          <w:sz w:val="24"/>
          <w:szCs w:val="24"/>
          <w:lang w:val="en-US"/>
        </w:rPr>
        <w:t xml:space="preserve"> of the hepatocytes is p</w:t>
      </w:r>
      <w:r w:rsidR="007B4E39" w:rsidRPr="00714401">
        <w:rPr>
          <w:rFonts w:ascii="Book Antiqua" w:hAnsi="Book Antiqua"/>
          <w:sz w:val="24"/>
          <w:szCs w:val="24"/>
          <w:lang w:val="en-US"/>
        </w:rPr>
        <w:t>rotein synthesis</w:t>
      </w:r>
      <w:r w:rsidR="00966784" w:rsidRPr="00714401">
        <w:rPr>
          <w:rFonts w:ascii="Book Antiqua" w:hAnsi="Book Antiqua"/>
          <w:sz w:val="24"/>
          <w:szCs w:val="24"/>
          <w:lang w:val="en-US"/>
        </w:rPr>
        <w:t xml:space="preserve">. </w:t>
      </w:r>
      <w:r w:rsidR="006D66E5" w:rsidRPr="00714401">
        <w:rPr>
          <w:rFonts w:ascii="Book Antiqua" w:hAnsi="Book Antiqua"/>
          <w:sz w:val="24"/>
          <w:szCs w:val="24"/>
          <w:lang w:val="en-US"/>
        </w:rPr>
        <w:t xml:space="preserve">Among </w:t>
      </w:r>
      <w:r w:rsidR="00A42C2A" w:rsidRPr="00714401">
        <w:rPr>
          <w:rFonts w:ascii="Book Antiqua" w:hAnsi="Book Antiqua"/>
          <w:sz w:val="24"/>
          <w:szCs w:val="24"/>
          <w:lang w:val="en-US"/>
        </w:rPr>
        <w:t xml:space="preserve">synthesized </w:t>
      </w:r>
      <w:r w:rsidR="00966784" w:rsidRPr="00714401">
        <w:rPr>
          <w:rFonts w:ascii="Book Antiqua" w:hAnsi="Book Antiqua"/>
          <w:sz w:val="24"/>
          <w:szCs w:val="24"/>
          <w:lang w:val="en-US"/>
        </w:rPr>
        <w:t xml:space="preserve">proteins </w:t>
      </w:r>
      <w:r w:rsidR="006D66E5" w:rsidRPr="00714401">
        <w:rPr>
          <w:rFonts w:ascii="Book Antiqua" w:hAnsi="Book Antiqua"/>
          <w:sz w:val="24"/>
          <w:szCs w:val="24"/>
          <w:lang w:val="en-US"/>
        </w:rPr>
        <w:t xml:space="preserve">are large part of acute phase proteins, </w:t>
      </w:r>
      <w:r w:rsidR="007B4E39" w:rsidRPr="00714401">
        <w:rPr>
          <w:rFonts w:ascii="Book Antiqua" w:hAnsi="Book Antiqua"/>
          <w:sz w:val="24"/>
          <w:szCs w:val="24"/>
          <w:lang w:val="en-US"/>
        </w:rPr>
        <w:t>albumin, transport proteins, a</w:t>
      </w:r>
      <w:r w:rsidR="004F60A6" w:rsidRPr="00714401">
        <w:rPr>
          <w:rFonts w:ascii="Book Antiqua" w:hAnsi="Book Antiqua"/>
          <w:sz w:val="24"/>
          <w:szCs w:val="24"/>
          <w:lang w:val="en-US"/>
        </w:rPr>
        <w:t xml:space="preserve">ll the coagulation factors apart from Factor VIII and Von </w:t>
      </w:r>
      <w:proofErr w:type="spellStart"/>
      <w:r w:rsidR="004F60A6" w:rsidRPr="00714401">
        <w:rPr>
          <w:rFonts w:ascii="Book Antiqua" w:hAnsi="Book Antiqua"/>
          <w:sz w:val="24"/>
          <w:szCs w:val="24"/>
          <w:lang w:val="en-US"/>
        </w:rPr>
        <w:t>Wi</w:t>
      </w:r>
      <w:r w:rsidR="006D66E5" w:rsidRPr="00714401">
        <w:rPr>
          <w:rFonts w:ascii="Book Antiqua" w:hAnsi="Book Antiqua"/>
          <w:sz w:val="24"/>
          <w:szCs w:val="24"/>
          <w:lang w:val="en-US"/>
        </w:rPr>
        <w:t>llebrand</w:t>
      </w:r>
      <w:proofErr w:type="spellEnd"/>
      <w:r w:rsidR="006D66E5" w:rsidRPr="00714401">
        <w:rPr>
          <w:rFonts w:ascii="Book Antiqua" w:hAnsi="Book Antiqua"/>
          <w:sz w:val="24"/>
          <w:szCs w:val="24"/>
          <w:lang w:val="en-US"/>
        </w:rPr>
        <w:t xml:space="preserve"> protein,</w:t>
      </w:r>
      <w:r w:rsidR="0076063F" w:rsidRPr="00714401">
        <w:rPr>
          <w:rFonts w:ascii="Book Antiqua" w:hAnsi="Book Antiqua"/>
          <w:sz w:val="24"/>
          <w:szCs w:val="24"/>
          <w:lang w:val="en-US"/>
        </w:rPr>
        <w:t xml:space="preserve"> </w:t>
      </w:r>
      <w:proofErr w:type="spellStart"/>
      <w:r w:rsidR="006D66E5" w:rsidRPr="00714401">
        <w:rPr>
          <w:rFonts w:ascii="Book Antiqua" w:hAnsi="Book Antiqua"/>
          <w:sz w:val="24"/>
          <w:szCs w:val="24"/>
          <w:lang w:val="en-US"/>
        </w:rPr>
        <w:t>Antithrombin</w:t>
      </w:r>
      <w:proofErr w:type="spellEnd"/>
      <w:r w:rsidR="006D66E5" w:rsidRPr="00714401">
        <w:rPr>
          <w:rFonts w:ascii="Book Antiqua" w:hAnsi="Book Antiqua"/>
          <w:sz w:val="24"/>
          <w:szCs w:val="24"/>
          <w:lang w:val="en-US"/>
        </w:rPr>
        <w:t xml:space="preserve">, </w:t>
      </w:r>
      <w:r w:rsidR="00DE6994" w:rsidRPr="00714401">
        <w:rPr>
          <w:rFonts w:ascii="Book Antiqua" w:hAnsi="Book Antiqua"/>
          <w:sz w:val="24"/>
          <w:szCs w:val="24"/>
          <w:lang w:val="en-US"/>
        </w:rPr>
        <w:t xml:space="preserve">anticoagulant proteins </w:t>
      </w:r>
      <w:r w:rsidR="00D56D3F" w:rsidRPr="00714401">
        <w:rPr>
          <w:rFonts w:ascii="Book Antiqua" w:hAnsi="Book Antiqua"/>
          <w:sz w:val="24"/>
          <w:szCs w:val="24"/>
          <w:lang w:val="en-US"/>
        </w:rPr>
        <w:t>(prote</w:t>
      </w:r>
      <w:r w:rsidR="007A7F0E" w:rsidRPr="00714401">
        <w:rPr>
          <w:rFonts w:ascii="Book Antiqua" w:hAnsi="Book Antiqua"/>
          <w:sz w:val="24"/>
          <w:szCs w:val="24"/>
          <w:lang w:val="en-US"/>
        </w:rPr>
        <w:t>in C, protein S and protein Z)</w:t>
      </w:r>
      <w:r w:rsidR="00D56D3F" w:rsidRPr="00714401">
        <w:rPr>
          <w:rFonts w:ascii="Book Antiqua" w:hAnsi="Book Antiqua"/>
          <w:sz w:val="24"/>
          <w:szCs w:val="24"/>
          <w:lang w:val="en-US"/>
        </w:rPr>
        <w:t xml:space="preserve">, </w:t>
      </w:r>
      <w:r w:rsidR="00DE6994" w:rsidRPr="00714401">
        <w:rPr>
          <w:rFonts w:ascii="Book Antiqua" w:hAnsi="Book Antiqua"/>
          <w:sz w:val="24"/>
          <w:szCs w:val="24"/>
          <w:lang w:val="en-US"/>
        </w:rPr>
        <w:t xml:space="preserve">Plasminogen, </w:t>
      </w:r>
      <w:r w:rsidR="00966784" w:rsidRPr="00714401">
        <w:rPr>
          <w:rFonts w:ascii="Book Antiqua" w:hAnsi="Book Antiqua"/>
          <w:sz w:val="24"/>
          <w:szCs w:val="24"/>
          <w:lang w:val="en-US"/>
        </w:rPr>
        <w:t xml:space="preserve">alpha 2 plasmin inhibitor, </w:t>
      </w:r>
      <w:r w:rsidR="006D66E5" w:rsidRPr="00714401">
        <w:rPr>
          <w:rFonts w:ascii="Book Antiqua" w:hAnsi="Book Antiqua"/>
          <w:sz w:val="24"/>
          <w:szCs w:val="24"/>
          <w:lang w:val="en-US"/>
        </w:rPr>
        <w:t>Complement, lipoproteins</w:t>
      </w:r>
      <w:r w:rsidR="007B4E39" w:rsidRPr="00714401">
        <w:rPr>
          <w:rFonts w:ascii="Book Antiqua" w:hAnsi="Book Antiqua"/>
          <w:sz w:val="24"/>
          <w:szCs w:val="24"/>
          <w:vertAlign w:val="superscript"/>
          <w:lang w:val="en-US"/>
        </w:rPr>
        <w:t>[2]</w:t>
      </w:r>
      <w:r w:rsidR="006D66E5" w:rsidRPr="00714401">
        <w:rPr>
          <w:rFonts w:ascii="Book Antiqua" w:hAnsi="Book Antiqua"/>
          <w:sz w:val="24"/>
          <w:szCs w:val="24"/>
          <w:lang w:val="en-US"/>
        </w:rPr>
        <w:t>. Among coagulation factors,</w:t>
      </w:r>
      <w:r w:rsidR="0076063F" w:rsidRPr="00714401">
        <w:rPr>
          <w:rFonts w:ascii="Book Antiqua" w:hAnsi="Book Antiqua"/>
          <w:sz w:val="24"/>
          <w:szCs w:val="24"/>
          <w:lang w:val="en-US"/>
        </w:rPr>
        <w:t xml:space="preserve"> </w:t>
      </w:r>
      <w:r w:rsidR="00D56D3F" w:rsidRPr="00714401">
        <w:rPr>
          <w:rFonts w:ascii="Book Antiqua" w:hAnsi="Book Antiqua"/>
          <w:sz w:val="24"/>
          <w:szCs w:val="24"/>
          <w:lang w:val="en-US"/>
        </w:rPr>
        <w:t>F</w:t>
      </w:r>
      <w:r w:rsidR="00DE6994" w:rsidRPr="00714401">
        <w:rPr>
          <w:rFonts w:ascii="Book Antiqua" w:hAnsi="Book Antiqua"/>
          <w:sz w:val="24"/>
          <w:szCs w:val="24"/>
          <w:lang w:val="en-US"/>
        </w:rPr>
        <w:t xml:space="preserve"> </w:t>
      </w:r>
      <w:r w:rsidR="00D56D3F" w:rsidRPr="00714401">
        <w:rPr>
          <w:rFonts w:ascii="Book Antiqua" w:hAnsi="Book Antiqua"/>
          <w:sz w:val="24"/>
          <w:szCs w:val="24"/>
          <w:lang w:val="en-US"/>
        </w:rPr>
        <w:t>V</w:t>
      </w:r>
      <w:r w:rsidR="00966784" w:rsidRPr="00714401">
        <w:rPr>
          <w:rFonts w:ascii="Book Antiqua" w:hAnsi="Book Antiqua"/>
          <w:sz w:val="24"/>
          <w:szCs w:val="24"/>
          <w:lang w:val="en-US"/>
        </w:rPr>
        <w:t xml:space="preserve"> </w:t>
      </w:r>
      <w:r w:rsidR="00D56D3F" w:rsidRPr="00714401">
        <w:rPr>
          <w:rFonts w:ascii="Book Antiqua" w:hAnsi="Book Antiqua"/>
          <w:sz w:val="24"/>
          <w:szCs w:val="24"/>
          <w:lang w:val="en-US"/>
        </w:rPr>
        <w:t>and F</w:t>
      </w:r>
      <w:r w:rsidR="00DE6994" w:rsidRPr="00714401">
        <w:rPr>
          <w:rFonts w:ascii="Book Antiqua" w:hAnsi="Book Antiqua"/>
          <w:sz w:val="24"/>
          <w:szCs w:val="24"/>
          <w:lang w:val="en-US"/>
        </w:rPr>
        <w:t xml:space="preserve"> </w:t>
      </w:r>
      <w:r w:rsidR="00D56D3F" w:rsidRPr="00714401">
        <w:rPr>
          <w:rFonts w:ascii="Book Antiqua" w:hAnsi="Book Antiqua"/>
          <w:sz w:val="24"/>
          <w:szCs w:val="24"/>
          <w:lang w:val="en-US"/>
        </w:rPr>
        <w:t>VII</w:t>
      </w:r>
      <w:r w:rsidR="0096678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152576" w:rsidRPr="00714401">
        <w:rPr>
          <w:rFonts w:ascii="Book Antiqua" w:hAnsi="Book Antiqua"/>
          <w:sz w:val="24"/>
          <w:szCs w:val="24"/>
          <w:lang w:val="en-US"/>
        </w:rPr>
        <w:t xml:space="preserve">due to a </w:t>
      </w:r>
      <w:r w:rsidR="006D66E5" w:rsidRPr="00714401">
        <w:rPr>
          <w:rFonts w:ascii="Book Antiqua" w:hAnsi="Book Antiqua"/>
          <w:sz w:val="24"/>
          <w:szCs w:val="24"/>
          <w:lang w:val="en-US"/>
        </w:rPr>
        <w:t>very</w:t>
      </w:r>
      <w:r w:rsidR="0076063F" w:rsidRPr="00714401">
        <w:rPr>
          <w:rFonts w:ascii="Book Antiqua" w:hAnsi="Book Antiqua"/>
          <w:sz w:val="24"/>
          <w:szCs w:val="24"/>
          <w:lang w:val="en-US"/>
        </w:rPr>
        <w:t xml:space="preserve"> </w:t>
      </w:r>
      <w:r w:rsidR="006D66E5" w:rsidRPr="00714401">
        <w:rPr>
          <w:rFonts w:ascii="Book Antiqua" w:hAnsi="Book Antiqua"/>
          <w:sz w:val="24"/>
          <w:szCs w:val="24"/>
          <w:lang w:val="en-US"/>
        </w:rPr>
        <w:t xml:space="preserve">short half-life </w:t>
      </w:r>
      <w:r w:rsidR="00966784" w:rsidRPr="00714401">
        <w:rPr>
          <w:rFonts w:ascii="Book Antiqua" w:hAnsi="Book Antiqua"/>
          <w:sz w:val="24"/>
          <w:szCs w:val="24"/>
          <w:lang w:val="en-US"/>
        </w:rPr>
        <w:t>(four to six hours),</w:t>
      </w:r>
      <w:r w:rsidR="0076063F" w:rsidRPr="00714401">
        <w:rPr>
          <w:rFonts w:ascii="Book Antiqua" w:hAnsi="Book Antiqua"/>
          <w:sz w:val="24"/>
          <w:szCs w:val="24"/>
          <w:lang w:val="en-US"/>
        </w:rPr>
        <w:t xml:space="preserve"> </w:t>
      </w:r>
      <w:r w:rsidR="007A7F0E" w:rsidRPr="00714401">
        <w:rPr>
          <w:rFonts w:ascii="Book Antiqua" w:hAnsi="Book Antiqua"/>
          <w:sz w:val="24"/>
          <w:szCs w:val="24"/>
          <w:lang w:val="en-US"/>
        </w:rPr>
        <w:t>are included in the Clichy criteria</w:t>
      </w:r>
      <w:r w:rsidR="006D66E5" w:rsidRPr="00714401">
        <w:rPr>
          <w:rFonts w:ascii="Book Antiqua" w:hAnsi="Book Antiqua"/>
          <w:sz w:val="24"/>
          <w:szCs w:val="24"/>
          <w:lang w:val="en-US"/>
        </w:rPr>
        <w:t xml:space="preserve"> </w:t>
      </w:r>
      <w:r w:rsidR="007A7F0E" w:rsidRPr="00714401">
        <w:rPr>
          <w:rFonts w:ascii="Book Antiqua" w:hAnsi="Book Antiqua"/>
          <w:sz w:val="24"/>
          <w:szCs w:val="24"/>
          <w:lang w:val="en-US"/>
        </w:rPr>
        <w:t xml:space="preserve">to </w:t>
      </w:r>
      <w:r w:rsidR="008333AF" w:rsidRPr="00714401">
        <w:rPr>
          <w:rFonts w:ascii="Book Antiqua" w:hAnsi="Book Antiqua"/>
          <w:sz w:val="24"/>
          <w:szCs w:val="24"/>
          <w:lang w:val="en-US"/>
        </w:rPr>
        <w:t>quantify the synthetic damage of the liver in case of acute liver failure</w:t>
      </w:r>
      <w:r w:rsidR="006317CE" w:rsidRPr="00714401">
        <w:rPr>
          <w:rFonts w:ascii="Book Antiqua" w:hAnsi="Book Antiqua"/>
          <w:sz w:val="24"/>
          <w:szCs w:val="24"/>
          <w:lang w:val="en-US"/>
        </w:rPr>
        <w:t>.</w:t>
      </w:r>
      <w:r w:rsidR="008333AF" w:rsidRPr="00714401">
        <w:rPr>
          <w:rFonts w:ascii="Book Antiqua" w:hAnsi="Book Antiqua"/>
          <w:sz w:val="24"/>
          <w:szCs w:val="24"/>
          <w:lang w:val="en-US"/>
        </w:rPr>
        <w:t xml:space="preserve"> </w:t>
      </w:r>
      <w:r w:rsidR="00112317" w:rsidRPr="00714401">
        <w:rPr>
          <w:rFonts w:ascii="Book Antiqua" w:hAnsi="Book Antiqua"/>
          <w:sz w:val="24"/>
          <w:szCs w:val="24"/>
          <w:lang w:val="en-US"/>
        </w:rPr>
        <w:t xml:space="preserve">According to </w:t>
      </w:r>
      <w:r w:rsidR="006D66E5" w:rsidRPr="00714401">
        <w:rPr>
          <w:rFonts w:ascii="Book Antiqua" w:hAnsi="Book Antiqua"/>
          <w:sz w:val="24"/>
          <w:szCs w:val="24"/>
          <w:lang w:val="en-US"/>
        </w:rPr>
        <w:t xml:space="preserve">Clichy criteria, </w:t>
      </w:r>
      <w:r w:rsidR="00966784" w:rsidRPr="00714401">
        <w:rPr>
          <w:rFonts w:ascii="Book Antiqua" w:hAnsi="Book Antiqua"/>
          <w:sz w:val="24"/>
          <w:szCs w:val="24"/>
          <w:lang w:val="en-US"/>
        </w:rPr>
        <w:t>in case of</w:t>
      </w:r>
      <w:r w:rsidR="0076063F" w:rsidRPr="00714401">
        <w:rPr>
          <w:rFonts w:ascii="Book Antiqua" w:hAnsi="Book Antiqua"/>
          <w:sz w:val="24"/>
          <w:szCs w:val="24"/>
          <w:lang w:val="en-US"/>
        </w:rPr>
        <w:t xml:space="preserve"> </w:t>
      </w:r>
      <w:r w:rsidR="00EB19BE" w:rsidRPr="00714401">
        <w:rPr>
          <w:rFonts w:ascii="Book Antiqua" w:hAnsi="Book Antiqua"/>
          <w:sz w:val="24"/>
          <w:szCs w:val="24"/>
          <w:lang w:val="en-US"/>
        </w:rPr>
        <w:t>Acute Hepatic Failure (so called “fulminant hepatitis”),</w:t>
      </w:r>
      <w:r w:rsidR="0076063F" w:rsidRPr="00714401">
        <w:rPr>
          <w:rFonts w:ascii="Book Antiqua" w:hAnsi="Book Antiqua"/>
          <w:sz w:val="24"/>
          <w:szCs w:val="24"/>
          <w:lang w:val="en-US"/>
        </w:rPr>
        <w:t xml:space="preserve"> </w:t>
      </w:r>
      <w:r w:rsidR="006D66E5" w:rsidRPr="00714401">
        <w:rPr>
          <w:rFonts w:ascii="Book Antiqua" w:hAnsi="Book Antiqua"/>
          <w:sz w:val="24"/>
          <w:szCs w:val="24"/>
          <w:lang w:val="en-US"/>
        </w:rPr>
        <w:t>hepatic encephalopathy grade 3</w:t>
      </w:r>
      <w:r w:rsidR="00E52450" w:rsidRPr="00714401">
        <w:rPr>
          <w:rFonts w:ascii="Book Antiqua" w:hAnsi="Book Antiqua" w:hint="eastAsia"/>
          <w:sz w:val="24"/>
          <w:szCs w:val="24"/>
          <w:lang w:val="en-US" w:eastAsia="zh-CN"/>
        </w:rPr>
        <w:t>-</w:t>
      </w:r>
      <w:r w:rsidR="006D66E5" w:rsidRPr="00714401">
        <w:rPr>
          <w:rFonts w:ascii="Book Antiqua" w:hAnsi="Book Antiqua"/>
          <w:sz w:val="24"/>
          <w:szCs w:val="24"/>
          <w:lang w:val="en-US"/>
        </w:rPr>
        <w:t>4</w:t>
      </w:r>
      <w:r w:rsidR="0076063F" w:rsidRPr="00714401">
        <w:rPr>
          <w:rFonts w:ascii="Book Antiqua" w:hAnsi="Book Antiqua"/>
          <w:sz w:val="24"/>
          <w:szCs w:val="24"/>
          <w:lang w:val="en-US"/>
        </w:rPr>
        <w:t xml:space="preserve"> </w:t>
      </w:r>
      <w:r w:rsidR="006D66E5" w:rsidRPr="00714401">
        <w:rPr>
          <w:rFonts w:ascii="Book Antiqua" w:hAnsi="Book Antiqua"/>
          <w:sz w:val="24"/>
          <w:szCs w:val="24"/>
          <w:lang w:val="en-US"/>
        </w:rPr>
        <w:t xml:space="preserve">and </w:t>
      </w:r>
      <w:r w:rsidR="008333AF" w:rsidRPr="00714401">
        <w:rPr>
          <w:rFonts w:ascii="Book Antiqua" w:hAnsi="Book Antiqua"/>
          <w:sz w:val="24"/>
          <w:szCs w:val="24"/>
          <w:lang w:val="en-US"/>
        </w:rPr>
        <w:t>F</w:t>
      </w:r>
      <w:r w:rsidR="00DE6994" w:rsidRPr="00714401">
        <w:rPr>
          <w:rFonts w:ascii="Book Antiqua" w:hAnsi="Book Antiqua"/>
          <w:sz w:val="24"/>
          <w:szCs w:val="24"/>
          <w:lang w:val="en-US"/>
        </w:rPr>
        <w:t xml:space="preserve"> </w:t>
      </w:r>
      <w:r w:rsidR="008333AF" w:rsidRPr="00714401">
        <w:rPr>
          <w:rFonts w:ascii="Book Antiqua" w:hAnsi="Book Antiqua"/>
          <w:sz w:val="24"/>
          <w:szCs w:val="24"/>
          <w:lang w:val="en-US"/>
        </w:rPr>
        <w:t xml:space="preserve">V </w:t>
      </w:r>
      <w:r w:rsidR="00EB19BE" w:rsidRPr="00714401">
        <w:rPr>
          <w:rFonts w:ascii="Book Antiqua" w:hAnsi="Book Antiqua"/>
          <w:sz w:val="24"/>
          <w:szCs w:val="24"/>
          <w:lang w:val="en-US"/>
        </w:rPr>
        <w:t>activity</w:t>
      </w:r>
      <w:r w:rsidR="0076063F" w:rsidRPr="00714401">
        <w:rPr>
          <w:rFonts w:ascii="Book Antiqua" w:hAnsi="Book Antiqua"/>
          <w:sz w:val="24"/>
          <w:szCs w:val="24"/>
          <w:lang w:val="en-US"/>
        </w:rPr>
        <w:t xml:space="preserve"> </w:t>
      </w:r>
      <w:r w:rsidR="00EB19BE" w:rsidRPr="00714401">
        <w:rPr>
          <w:rFonts w:ascii="Book Antiqua" w:hAnsi="Book Antiqua"/>
          <w:sz w:val="24"/>
          <w:szCs w:val="24"/>
          <w:lang w:val="en-US"/>
        </w:rPr>
        <w:t>below</w:t>
      </w:r>
      <w:r w:rsidR="0076063F" w:rsidRPr="00714401">
        <w:rPr>
          <w:rFonts w:ascii="Book Antiqua" w:hAnsi="Book Antiqua"/>
          <w:sz w:val="24"/>
          <w:szCs w:val="24"/>
          <w:lang w:val="en-US"/>
        </w:rPr>
        <w:t xml:space="preserve"> </w:t>
      </w:r>
      <w:r w:rsidR="009D392E" w:rsidRPr="00714401">
        <w:rPr>
          <w:rFonts w:ascii="Book Antiqua" w:hAnsi="Book Antiqua"/>
          <w:sz w:val="24"/>
          <w:szCs w:val="24"/>
          <w:lang w:val="en-US"/>
        </w:rPr>
        <w:t>2</w:t>
      </w:r>
      <w:r w:rsidR="008333AF" w:rsidRPr="00714401">
        <w:rPr>
          <w:rFonts w:ascii="Book Antiqua" w:hAnsi="Book Antiqua"/>
          <w:sz w:val="24"/>
          <w:szCs w:val="24"/>
          <w:lang w:val="en-US"/>
        </w:rPr>
        <w:t xml:space="preserve">0% </w:t>
      </w:r>
      <w:r w:rsidR="009D392E" w:rsidRPr="00714401">
        <w:rPr>
          <w:rFonts w:ascii="Book Antiqua" w:hAnsi="Book Antiqua"/>
          <w:sz w:val="24"/>
          <w:szCs w:val="24"/>
          <w:lang w:val="en-US"/>
        </w:rPr>
        <w:t xml:space="preserve">in patients </w:t>
      </w:r>
      <w:r w:rsidR="00EB19BE" w:rsidRPr="00714401">
        <w:rPr>
          <w:rFonts w:ascii="Book Antiqua" w:hAnsi="Book Antiqua"/>
          <w:sz w:val="24"/>
          <w:szCs w:val="24"/>
          <w:lang w:val="en-US"/>
        </w:rPr>
        <w:t xml:space="preserve">&lt; </w:t>
      </w:r>
      <w:r w:rsidR="009D392E" w:rsidRPr="00714401">
        <w:rPr>
          <w:rFonts w:ascii="Book Antiqua" w:hAnsi="Book Antiqua"/>
          <w:sz w:val="24"/>
          <w:szCs w:val="24"/>
          <w:lang w:val="en-US"/>
        </w:rPr>
        <w:t xml:space="preserve">30 years </w:t>
      </w:r>
      <w:r w:rsidR="00966784" w:rsidRPr="00714401">
        <w:rPr>
          <w:rFonts w:ascii="Book Antiqua" w:hAnsi="Book Antiqua"/>
          <w:sz w:val="24"/>
          <w:szCs w:val="24"/>
          <w:lang w:val="en-US"/>
        </w:rPr>
        <w:t>(</w:t>
      </w:r>
      <w:r w:rsidR="009D392E" w:rsidRPr="00714401">
        <w:rPr>
          <w:rFonts w:ascii="Book Antiqua" w:hAnsi="Book Antiqua"/>
          <w:sz w:val="24"/>
          <w:szCs w:val="24"/>
          <w:lang w:val="en-US"/>
        </w:rPr>
        <w:t xml:space="preserve">&lt; 30% in patients </w:t>
      </w:r>
      <w:r w:rsidR="00EB19BE" w:rsidRPr="00714401">
        <w:rPr>
          <w:rFonts w:ascii="Book Antiqua" w:hAnsi="Book Antiqua"/>
          <w:sz w:val="24"/>
          <w:szCs w:val="24"/>
          <w:lang w:val="en-US"/>
        </w:rPr>
        <w:t xml:space="preserve">&gt; </w:t>
      </w:r>
      <w:r w:rsidR="009D392E" w:rsidRPr="00714401">
        <w:rPr>
          <w:rFonts w:ascii="Book Antiqua" w:hAnsi="Book Antiqua"/>
          <w:sz w:val="24"/>
          <w:szCs w:val="24"/>
          <w:lang w:val="en-US"/>
        </w:rPr>
        <w:t>30 years</w:t>
      </w:r>
      <w:r w:rsidR="00966784" w:rsidRPr="00714401">
        <w:rPr>
          <w:rFonts w:ascii="Book Antiqua" w:hAnsi="Book Antiqua"/>
          <w:sz w:val="24"/>
          <w:szCs w:val="24"/>
          <w:lang w:val="en-US"/>
        </w:rPr>
        <w:t xml:space="preserve">) </w:t>
      </w:r>
      <w:r w:rsidR="009D392E" w:rsidRPr="00714401">
        <w:rPr>
          <w:rFonts w:ascii="Book Antiqua" w:hAnsi="Book Antiqua"/>
          <w:sz w:val="24"/>
          <w:szCs w:val="24"/>
          <w:lang w:val="en-US"/>
        </w:rPr>
        <w:t xml:space="preserve">are </w:t>
      </w:r>
      <w:r w:rsidR="00112317" w:rsidRPr="00714401">
        <w:rPr>
          <w:rFonts w:ascii="Book Antiqua" w:hAnsi="Book Antiqua"/>
          <w:sz w:val="24"/>
          <w:szCs w:val="24"/>
          <w:lang w:val="en-US"/>
        </w:rPr>
        <w:t>the indications for urgent</w:t>
      </w:r>
      <w:r w:rsidR="0076063F" w:rsidRPr="00714401">
        <w:rPr>
          <w:rFonts w:ascii="Book Antiqua" w:hAnsi="Book Antiqua"/>
          <w:sz w:val="24"/>
          <w:szCs w:val="24"/>
          <w:lang w:val="en-US"/>
        </w:rPr>
        <w:t xml:space="preserve"> </w:t>
      </w:r>
      <w:r w:rsidR="00E52450" w:rsidRPr="00714401">
        <w:rPr>
          <w:rFonts w:ascii="Book Antiqua" w:hAnsi="Book Antiqua"/>
          <w:sz w:val="24"/>
          <w:szCs w:val="24"/>
          <w:lang w:val="en-US"/>
        </w:rPr>
        <w:t>liver transplantation (OLT)</w:t>
      </w:r>
      <w:r w:rsidR="007A7F0E" w:rsidRPr="00714401">
        <w:rPr>
          <w:rFonts w:ascii="Book Antiqua" w:hAnsi="Book Antiqua"/>
          <w:sz w:val="24"/>
          <w:szCs w:val="24"/>
          <w:vertAlign w:val="superscript"/>
          <w:lang w:val="en-US"/>
        </w:rPr>
        <w:t>[4]</w:t>
      </w:r>
      <w:r w:rsidR="007A7F0E" w:rsidRPr="00714401">
        <w:rPr>
          <w:rFonts w:ascii="Book Antiqua" w:hAnsi="Book Antiqua"/>
          <w:sz w:val="24"/>
          <w:szCs w:val="24"/>
          <w:lang w:val="en-US"/>
        </w:rPr>
        <w:t>.</w:t>
      </w:r>
      <w:r w:rsidR="00D56D3F" w:rsidRPr="00714401">
        <w:rPr>
          <w:rFonts w:ascii="Book Antiqua" w:hAnsi="Book Antiqua"/>
          <w:sz w:val="24"/>
          <w:szCs w:val="24"/>
          <w:lang w:val="en-US"/>
        </w:rPr>
        <w:t xml:space="preserve"> </w:t>
      </w:r>
    </w:p>
    <w:p w:rsidR="00C16FDA" w:rsidRPr="00714401" w:rsidRDefault="00C16FDA" w:rsidP="004F4F1E">
      <w:pPr>
        <w:autoSpaceDE w:val="0"/>
        <w:autoSpaceDN w:val="0"/>
        <w:adjustRightInd w:val="0"/>
        <w:snapToGrid w:val="0"/>
        <w:spacing w:after="0" w:line="360" w:lineRule="auto"/>
        <w:jc w:val="both"/>
        <w:rPr>
          <w:rFonts w:ascii="Book Antiqua" w:hAnsi="Book Antiqua"/>
          <w:i/>
          <w:sz w:val="24"/>
          <w:szCs w:val="24"/>
          <w:lang w:val="en-US"/>
        </w:rPr>
      </w:pPr>
    </w:p>
    <w:p w:rsidR="00ED7672" w:rsidRPr="00714401" w:rsidRDefault="00E52450" w:rsidP="004F4F1E">
      <w:pPr>
        <w:autoSpaceDE w:val="0"/>
        <w:autoSpaceDN w:val="0"/>
        <w:adjustRightInd w:val="0"/>
        <w:snapToGrid w:val="0"/>
        <w:spacing w:after="0" w:line="360" w:lineRule="auto"/>
        <w:jc w:val="both"/>
        <w:rPr>
          <w:rFonts w:ascii="Book Antiqua" w:hAnsi="Book Antiqua"/>
          <w:b/>
          <w:sz w:val="24"/>
          <w:szCs w:val="24"/>
          <w:lang w:val="en-US"/>
        </w:rPr>
      </w:pPr>
      <w:r w:rsidRPr="00714401">
        <w:rPr>
          <w:rFonts w:ascii="Book Antiqua" w:hAnsi="Book Antiqua"/>
          <w:b/>
          <w:sz w:val="24"/>
          <w:szCs w:val="24"/>
          <w:lang w:val="en-US"/>
        </w:rPr>
        <w:t>DYNAMIC ASSESSMENT OF LIVER FUNCTION</w:t>
      </w:r>
    </w:p>
    <w:p w:rsidR="00314243" w:rsidRPr="00714401" w:rsidRDefault="005F4B5B" w:rsidP="004F4F1E">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sz w:val="24"/>
          <w:szCs w:val="24"/>
          <w:lang w:val="en-US"/>
        </w:rPr>
        <w:t xml:space="preserve"> Since long, dynamic liver function </w:t>
      </w:r>
      <w:proofErr w:type="gramStart"/>
      <w:r w:rsidRPr="00714401">
        <w:rPr>
          <w:rFonts w:ascii="Book Antiqua" w:hAnsi="Book Antiqua"/>
          <w:sz w:val="24"/>
          <w:szCs w:val="24"/>
          <w:lang w:val="en-US"/>
        </w:rPr>
        <w:t>tests</w:t>
      </w:r>
      <w:r w:rsidRPr="00714401">
        <w:rPr>
          <w:rFonts w:ascii="Book Antiqua" w:hAnsi="Book Antiqua"/>
          <w:sz w:val="24"/>
          <w:szCs w:val="24"/>
          <w:vertAlign w:val="superscript"/>
          <w:lang w:val="en-US"/>
        </w:rPr>
        <w:t>[</w:t>
      </w:r>
      <w:proofErr w:type="gramEnd"/>
      <w:r w:rsidRPr="00714401">
        <w:rPr>
          <w:rFonts w:ascii="Book Antiqua" w:hAnsi="Book Antiqua"/>
          <w:sz w:val="24"/>
          <w:szCs w:val="24"/>
          <w:vertAlign w:val="superscript"/>
          <w:lang w:val="en-US"/>
        </w:rPr>
        <w:t>2,3]</w:t>
      </w:r>
      <w:r w:rsidRPr="00714401">
        <w:rPr>
          <w:rFonts w:ascii="Book Antiqua" w:hAnsi="Book Antiqua"/>
          <w:sz w:val="24"/>
          <w:szCs w:val="24"/>
          <w:lang w:val="en-US"/>
        </w:rPr>
        <w:t xml:space="preserve"> are considered </w:t>
      </w:r>
      <w:r w:rsidR="009D392E" w:rsidRPr="00714401">
        <w:rPr>
          <w:rFonts w:ascii="Book Antiqua" w:hAnsi="Book Antiqua"/>
          <w:sz w:val="24"/>
          <w:szCs w:val="24"/>
          <w:lang w:val="en-US"/>
        </w:rPr>
        <w:t xml:space="preserve">and used </w:t>
      </w:r>
      <w:r w:rsidRPr="00714401">
        <w:rPr>
          <w:rFonts w:ascii="Book Antiqua" w:hAnsi="Book Antiqua"/>
          <w:sz w:val="24"/>
          <w:szCs w:val="24"/>
          <w:lang w:val="en-US"/>
        </w:rPr>
        <w:t xml:space="preserve">to assess “over time” </w:t>
      </w:r>
      <w:r w:rsidR="009D392E" w:rsidRPr="00714401">
        <w:rPr>
          <w:rFonts w:ascii="Book Antiqua" w:hAnsi="Book Antiqua"/>
          <w:sz w:val="24"/>
          <w:szCs w:val="24"/>
          <w:lang w:val="en-US"/>
        </w:rPr>
        <w:t>t</w:t>
      </w:r>
      <w:r w:rsidRPr="00714401">
        <w:rPr>
          <w:rFonts w:ascii="Book Antiqua" w:hAnsi="Book Antiqua"/>
          <w:sz w:val="24"/>
          <w:szCs w:val="24"/>
          <w:lang w:val="en-US"/>
        </w:rPr>
        <w:t xml:space="preserve">he liver capacity to metabolize or </w:t>
      </w:r>
      <w:r w:rsidR="00A42C2A" w:rsidRPr="00714401">
        <w:rPr>
          <w:rFonts w:ascii="Book Antiqua" w:hAnsi="Book Antiqua"/>
          <w:sz w:val="24"/>
          <w:szCs w:val="24"/>
          <w:lang w:val="en-US"/>
        </w:rPr>
        <w:t xml:space="preserve">to </w:t>
      </w:r>
      <w:r w:rsidRPr="00714401">
        <w:rPr>
          <w:rFonts w:ascii="Book Antiqua" w:hAnsi="Book Antiqua"/>
          <w:sz w:val="24"/>
          <w:szCs w:val="24"/>
          <w:lang w:val="en-US"/>
        </w:rPr>
        <w:t>eliminate drugs or comp</w:t>
      </w:r>
      <w:r w:rsidR="009D392E" w:rsidRPr="00714401">
        <w:rPr>
          <w:rFonts w:ascii="Book Antiqua" w:hAnsi="Book Antiqua"/>
          <w:sz w:val="24"/>
          <w:szCs w:val="24"/>
          <w:lang w:val="en-US"/>
        </w:rPr>
        <w:t>ounds</w:t>
      </w:r>
      <w:r w:rsidRPr="00714401">
        <w:rPr>
          <w:rFonts w:ascii="Book Antiqua" w:hAnsi="Book Antiqua"/>
          <w:sz w:val="24"/>
          <w:szCs w:val="24"/>
          <w:lang w:val="en-US"/>
        </w:rPr>
        <w:t>.</w:t>
      </w:r>
      <w:r w:rsidR="007558FD" w:rsidRPr="00714401">
        <w:rPr>
          <w:rFonts w:ascii="Book Antiqua" w:hAnsi="Book Antiqua"/>
          <w:sz w:val="24"/>
          <w:szCs w:val="24"/>
          <w:lang w:val="en-US"/>
        </w:rPr>
        <w:t xml:space="preserve"> Dynamic </w:t>
      </w:r>
      <w:r w:rsidR="006317CE" w:rsidRPr="00714401">
        <w:rPr>
          <w:rFonts w:ascii="Book Antiqua" w:hAnsi="Book Antiqua"/>
          <w:sz w:val="24"/>
          <w:szCs w:val="24"/>
          <w:lang w:val="en-US"/>
        </w:rPr>
        <w:t xml:space="preserve">quantitative </w:t>
      </w:r>
      <w:r w:rsidR="007558FD" w:rsidRPr="00714401">
        <w:rPr>
          <w:rFonts w:ascii="Book Antiqua" w:hAnsi="Book Antiqua"/>
          <w:sz w:val="24"/>
          <w:szCs w:val="24"/>
          <w:lang w:val="en-US"/>
        </w:rPr>
        <w:t xml:space="preserve">liver function tests, unlike conventional (static) tests, rely upon </w:t>
      </w:r>
      <w:r w:rsidR="00B321FE" w:rsidRPr="00714401">
        <w:rPr>
          <w:rFonts w:ascii="Book Antiqua" w:hAnsi="Book Antiqua"/>
          <w:sz w:val="24"/>
          <w:szCs w:val="24"/>
          <w:lang w:val="en-US"/>
        </w:rPr>
        <w:t xml:space="preserve">a </w:t>
      </w:r>
      <w:r w:rsidR="006317CE" w:rsidRPr="00714401">
        <w:rPr>
          <w:rFonts w:ascii="Book Antiqua" w:hAnsi="Book Antiqua"/>
          <w:sz w:val="24"/>
          <w:szCs w:val="24"/>
          <w:lang w:val="en-US"/>
        </w:rPr>
        <w:t xml:space="preserve">“quasi” exclusive clearance or </w:t>
      </w:r>
      <w:proofErr w:type="spellStart"/>
      <w:r w:rsidR="006317CE" w:rsidRPr="00714401">
        <w:rPr>
          <w:rFonts w:ascii="Book Antiqua" w:hAnsi="Book Antiqua"/>
          <w:sz w:val="24"/>
          <w:szCs w:val="24"/>
          <w:lang w:val="en-US"/>
        </w:rPr>
        <w:t>metabolization</w:t>
      </w:r>
      <w:proofErr w:type="spellEnd"/>
      <w:r w:rsidR="006317CE" w:rsidRPr="00714401">
        <w:rPr>
          <w:rFonts w:ascii="Book Antiqua" w:hAnsi="Book Antiqua"/>
          <w:sz w:val="24"/>
          <w:szCs w:val="24"/>
          <w:lang w:val="en-US"/>
        </w:rPr>
        <w:t xml:space="preserve"> of substances</w:t>
      </w:r>
      <w:r w:rsidR="0076063F" w:rsidRPr="00714401">
        <w:rPr>
          <w:rFonts w:ascii="Book Antiqua" w:hAnsi="Book Antiqua"/>
          <w:sz w:val="24"/>
          <w:szCs w:val="24"/>
          <w:lang w:val="en-US"/>
        </w:rPr>
        <w:t xml:space="preserve"> </w:t>
      </w:r>
      <w:r w:rsidR="006317CE" w:rsidRPr="00714401">
        <w:rPr>
          <w:rFonts w:ascii="Book Antiqua" w:hAnsi="Book Antiqua"/>
          <w:sz w:val="24"/>
          <w:szCs w:val="24"/>
          <w:lang w:val="en-US"/>
        </w:rPr>
        <w:t xml:space="preserve">performed </w:t>
      </w:r>
      <w:r w:rsidR="00B321FE" w:rsidRPr="00714401">
        <w:rPr>
          <w:rFonts w:ascii="Book Antiqua" w:hAnsi="Book Antiqua"/>
          <w:sz w:val="24"/>
          <w:szCs w:val="24"/>
          <w:lang w:val="en-US"/>
        </w:rPr>
        <w:t xml:space="preserve">by the liver. Being </w:t>
      </w:r>
      <w:proofErr w:type="spellStart"/>
      <w:r w:rsidR="00B321FE" w:rsidRPr="00714401">
        <w:rPr>
          <w:rFonts w:ascii="Book Antiqua" w:hAnsi="Book Antiqua"/>
          <w:sz w:val="24"/>
          <w:szCs w:val="24"/>
          <w:lang w:val="en-US"/>
        </w:rPr>
        <w:t>r</w:t>
      </w:r>
      <w:r w:rsidR="00590F0B" w:rsidRPr="00714401">
        <w:rPr>
          <w:rFonts w:ascii="Book Antiqua" w:hAnsi="Book Antiqua"/>
          <w:sz w:val="24"/>
          <w:szCs w:val="24"/>
          <w:lang w:val="en-US"/>
        </w:rPr>
        <w:t>e</w:t>
      </w:r>
      <w:r w:rsidR="00B321FE" w:rsidRPr="00714401">
        <w:rPr>
          <w:rFonts w:ascii="Book Antiqua" w:hAnsi="Book Antiqua"/>
          <w:sz w:val="24"/>
          <w:szCs w:val="24"/>
          <w:lang w:val="en-US"/>
        </w:rPr>
        <w:t>petible</w:t>
      </w:r>
      <w:proofErr w:type="spellEnd"/>
      <w:r w:rsidR="00B321FE" w:rsidRPr="00714401">
        <w:rPr>
          <w:rFonts w:ascii="Book Antiqua" w:hAnsi="Book Antiqua"/>
          <w:sz w:val="24"/>
          <w:szCs w:val="24"/>
          <w:lang w:val="en-US"/>
        </w:rPr>
        <w:t xml:space="preserve"> in </w:t>
      </w:r>
      <w:r w:rsidR="00590F0B" w:rsidRPr="00714401">
        <w:rPr>
          <w:rFonts w:ascii="Book Antiqua" w:hAnsi="Book Antiqua"/>
          <w:sz w:val="24"/>
          <w:szCs w:val="24"/>
          <w:lang w:val="en-US"/>
        </w:rPr>
        <w:t xml:space="preserve">a </w:t>
      </w:r>
      <w:r w:rsidR="007558FD" w:rsidRPr="00714401">
        <w:rPr>
          <w:rFonts w:ascii="Book Antiqua" w:hAnsi="Book Antiqua"/>
          <w:sz w:val="24"/>
          <w:szCs w:val="24"/>
          <w:lang w:val="en-US"/>
        </w:rPr>
        <w:t>short time span</w:t>
      </w:r>
      <w:r w:rsidR="00B321FE" w:rsidRPr="00714401">
        <w:rPr>
          <w:rFonts w:ascii="Book Antiqua" w:hAnsi="Book Antiqua"/>
          <w:sz w:val="24"/>
          <w:szCs w:val="24"/>
          <w:lang w:val="en-US"/>
        </w:rPr>
        <w:t xml:space="preserve">, dynamic tests are able to </w:t>
      </w:r>
      <w:r w:rsidR="007558FD" w:rsidRPr="00714401">
        <w:rPr>
          <w:rFonts w:ascii="Book Antiqua" w:hAnsi="Book Antiqua"/>
          <w:sz w:val="24"/>
          <w:szCs w:val="24"/>
          <w:lang w:val="en-US"/>
        </w:rPr>
        <w:t>provide</w:t>
      </w:r>
      <w:r w:rsidR="00B321FE" w:rsidRPr="00714401">
        <w:rPr>
          <w:rFonts w:ascii="Book Antiqua" w:hAnsi="Book Antiqua"/>
          <w:sz w:val="24"/>
          <w:szCs w:val="24"/>
          <w:lang w:val="en-US"/>
        </w:rPr>
        <w:t xml:space="preserve"> </w:t>
      </w:r>
      <w:r w:rsidR="007558FD" w:rsidRPr="00714401">
        <w:rPr>
          <w:rFonts w:ascii="Book Antiqua" w:hAnsi="Book Antiqua"/>
          <w:sz w:val="24"/>
          <w:szCs w:val="24"/>
          <w:lang w:val="en-US"/>
        </w:rPr>
        <w:t xml:space="preserve">a </w:t>
      </w:r>
      <w:r w:rsidR="00590F0B" w:rsidRPr="00714401">
        <w:rPr>
          <w:rFonts w:ascii="Book Antiqua" w:hAnsi="Book Antiqua"/>
          <w:sz w:val="24"/>
          <w:szCs w:val="24"/>
          <w:lang w:val="en-US"/>
        </w:rPr>
        <w:t xml:space="preserve">fast </w:t>
      </w:r>
      <w:r w:rsidR="00B321FE" w:rsidRPr="00714401">
        <w:rPr>
          <w:rFonts w:ascii="Book Antiqua" w:hAnsi="Book Antiqua"/>
          <w:sz w:val="24"/>
          <w:szCs w:val="24"/>
          <w:lang w:val="en-US"/>
        </w:rPr>
        <w:t xml:space="preserve">and </w:t>
      </w:r>
      <w:r w:rsidR="007558FD" w:rsidRPr="00714401">
        <w:rPr>
          <w:rFonts w:ascii="Book Antiqua" w:hAnsi="Book Antiqua"/>
          <w:sz w:val="24"/>
          <w:szCs w:val="24"/>
          <w:lang w:val="en-US"/>
        </w:rPr>
        <w:t>reliable liver function</w:t>
      </w:r>
      <w:r w:rsidR="00B321FE" w:rsidRPr="00714401">
        <w:rPr>
          <w:rFonts w:ascii="Book Antiqua" w:hAnsi="Book Antiqua"/>
          <w:sz w:val="24"/>
          <w:szCs w:val="24"/>
          <w:lang w:val="en-US"/>
        </w:rPr>
        <w:t>al evaluation</w:t>
      </w:r>
      <w:r w:rsidR="00590F0B" w:rsidRPr="00714401">
        <w:rPr>
          <w:rFonts w:ascii="Book Antiqua" w:hAnsi="Book Antiqua"/>
          <w:sz w:val="24"/>
          <w:szCs w:val="24"/>
          <w:lang w:val="en-US"/>
        </w:rPr>
        <w:t>,</w:t>
      </w:r>
      <w:r w:rsidR="00B321FE" w:rsidRPr="00714401">
        <w:rPr>
          <w:rFonts w:ascii="Book Antiqua" w:hAnsi="Book Antiqua"/>
          <w:sz w:val="24"/>
          <w:szCs w:val="24"/>
          <w:lang w:val="en-US"/>
        </w:rPr>
        <w:t xml:space="preserve"> </w:t>
      </w:r>
      <w:r w:rsidR="007558FD" w:rsidRPr="00714401">
        <w:rPr>
          <w:rFonts w:ascii="Book Antiqua" w:hAnsi="Book Antiqua"/>
          <w:sz w:val="24"/>
          <w:szCs w:val="24"/>
          <w:lang w:val="en-US"/>
        </w:rPr>
        <w:t xml:space="preserve">together with a </w:t>
      </w:r>
      <w:r w:rsidR="00B321FE" w:rsidRPr="00714401">
        <w:rPr>
          <w:rFonts w:ascii="Book Antiqua" w:hAnsi="Book Antiqua"/>
          <w:sz w:val="24"/>
          <w:szCs w:val="24"/>
          <w:lang w:val="en-US"/>
        </w:rPr>
        <w:t xml:space="preserve">general </w:t>
      </w:r>
      <w:r w:rsidR="007558FD" w:rsidRPr="00714401">
        <w:rPr>
          <w:rFonts w:ascii="Book Antiqua" w:hAnsi="Book Antiqua"/>
          <w:sz w:val="24"/>
          <w:szCs w:val="24"/>
          <w:lang w:val="en-US"/>
        </w:rPr>
        <w:t xml:space="preserve">prognostic </w:t>
      </w:r>
      <w:r w:rsidR="00B321FE" w:rsidRPr="00714401">
        <w:rPr>
          <w:rFonts w:ascii="Book Antiqua" w:hAnsi="Book Antiqua"/>
          <w:sz w:val="24"/>
          <w:szCs w:val="24"/>
          <w:lang w:val="en-US"/>
        </w:rPr>
        <w:t xml:space="preserve">assessment </w:t>
      </w:r>
      <w:r w:rsidR="007558FD" w:rsidRPr="00714401">
        <w:rPr>
          <w:rFonts w:ascii="Book Antiqua" w:hAnsi="Book Antiqua"/>
          <w:sz w:val="24"/>
          <w:szCs w:val="24"/>
          <w:lang w:val="en-US"/>
        </w:rPr>
        <w:t>(Figure 1).</w:t>
      </w:r>
      <w:r w:rsidR="0076063F" w:rsidRPr="00714401">
        <w:rPr>
          <w:rFonts w:ascii="Book Antiqua" w:hAnsi="Book Antiqua"/>
          <w:sz w:val="24"/>
          <w:szCs w:val="24"/>
          <w:lang w:val="en-US"/>
        </w:rPr>
        <w:t xml:space="preserve"> </w:t>
      </w:r>
      <w:r w:rsidR="004126BC" w:rsidRPr="00714401">
        <w:rPr>
          <w:rFonts w:ascii="Book Antiqua" w:hAnsi="Book Antiqua"/>
          <w:sz w:val="24"/>
          <w:szCs w:val="24"/>
          <w:lang w:val="en-US"/>
        </w:rPr>
        <w:t xml:space="preserve">ICG clearance </w:t>
      </w:r>
      <w:r w:rsidR="00590F0B" w:rsidRPr="00714401">
        <w:rPr>
          <w:rFonts w:ascii="Book Antiqua" w:hAnsi="Book Antiqua"/>
          <w:sz w:val="24"/>
          <w:szCs w:val="24"/>
          <w:lang w:val="en-US"/>
        </w:rPr>
        <w:t xml:space="preserve">parameters </w:t>
      </w:r>
      <w:r w:rsidR="004126BC" w:rsidRPr="00714401">
        <w:rPr>
          <w:rFonts w:ascii="Book Antiqua" w:hAnsi="Book Antiqua"/>
          <w:sz w:val="24"/>
          <w:szCs w:val="24"/>
          <w:lang w:val="en-US"/>
        </w:rPr>
        <w:t>will be described and discussed in this paper</w:t>
      </w:r>
      <w:r w:rsidR="00A42C2A" w:rsidRPr="00714401">
        <w:rPr>
          <w:rFonts w:ascii="Book Antiqua" w:hAnsi="Book Antiqua"/>
          <w:sz w:val="24"/>
          <w:szCs w:val="24"/>
          <w:lang w:val="en-US"/>
        </w:rPr>
        <w:t xml:space="preserve">, </w:t>
      </w:r>
      <w:r w:rsidR="00590F0B" w:rsidRPr="00714401">
        <w:rPr>
          <w:rFonts w:ascii="Book Antiqua" w:hAnsi="Book Antiqua"/>
          <w:sz w:val="24"/>
          <w:szCs w:val="24"/>
          <w:lang w:val="en-US"/>
        </w:rPr>
        <w:t xml:space="preserve">while </w:t>
      </w:r>
      <w:r w:rsidR="004126BC" w:rsidRPr="00714401">
        <w:rPr>
          <w:rFonts w:ascii="Book Antiqua" w:hAnsi="Book Antiqua"/>
          <w:sz w:val="24"/>
          <w:szCs w:val="24"/>
          <w:lang w:val="en-US"/>
        </w:rPr>
        <w:t>C</w:t>
      </w:r>
      <w:r w:rsidR="007558FD" w:rsidRPr="00714401">
        <w:rPr>
          <w:rFonts w:ascii="Book Antiqua" w:hAnsi="Book Antiqua"/>
          <w:sz w:val="24"/>
          <w:szCs w:val="24"/>
          <w:lang w:val="en-US"/>
        </w:rPr>
        <w:t xml:space="preserve">affeine test, </w:t>
      </w:r>
      <w:proofErr w:type="spellStart"/>
      <w:r w:rsidR="007558FD" w:rsidRPr="00714401">
        <w:rPr>
          <w:rFonts w:ascii="Book Antiqua" w:hAnsi="Book Antiqua"/>
          <w:sz w:val="24"/>
          <w:szCs w:val="24"/>
          <w:lang w:val="en-US"/>
        </w:rPr>
        <w:t>B</w:t>
      </w:r>
      <w:r w:rsidR="004126BC" w:rsidRPr="00714401">
        <w:rPr>
          <w:rFonts w:ascii="Book Antiqua" w:hAnsi="Book Antiqua"/>
          <w:sz w:val="24"/>
          <w:szCs w:val="24"/>
          <w:lang w:val="en-US"/>
        </w:rPr>
        <w:t>romosulphtalein</w:t>
      </w:r>
      <w:proofErr w:type="spellEnd"/>
      <w:r w:rsidR="004126BC" w:rsidRPr="00714401">
        <w:rPr>
          <w:rFonts w:ascii="Book Antiqua" w:hAnsi="Book Antiqua"/>
          <w:sz w:val="24"/>
          <w:szCs w:val="24"/>
          <w:lang w:val="en-US"/>
        </w:rPr>
        <w:t xml:space="preserve"> </w:t>
      </w:r>
      <w:r w:rsidR="007558FD" w:rsidRPr="00714401">
        <w:rPr>
          <w:rFonts w:ascii="Book Antiqua" w:hAnsi="Book Antiqua"/>
          <w:sz w:val="24"/>
          <w:szCs w:val="24"/>
          <w:lang w:val="en-US"/>
        </w:rPr>
        <w:t xml:space="preserve">clearance, </w:t>
      </w:r>
      <w:proofErr w:type="spellStart"/>
      <w:r w:rsidR="004126BC" w:rsidRPr="00714401">
        <w:rPr>
          <w:rFonts w:ascii="Book Antiqua" w:hAnsi="Book Antiqua"/>
          <w:sz w:val="24"/>
          <w:szCs w:val="24"/>
          <w:lang w:val="en-US"/>
        </w:rPr>
        <w:t>A</w:t>
      </w:r>
      <w:r w:rsidR="007558FD" w:rsidRPr="00714401">
        <w:rPr>
          <w:rFonts w:ascii="Book Antiqua" w:hAnsi="Book Antiqua"/>
          <w:sz w:val="24"/>
          <w:szCs w:val="24"/>
          <w:lang w:val="en-US"/>
        </w:rPr>
        <w:t>minoacid</w:t>
      </w:r>
      <w:proofErr w:type="spellEnd"/>
      <w:r w:rsidR="007558FD" w:rsidRPr="00714401">
        <w:rPr>
          <w:rFonts w:ascii="Book Antiqua" w:hAnsi="Book Antiqua"/>
          <w:sz w:val="24"/>
          <w:szCs w:val="24"/>
          <w:lang w:val="en-US"/>
        </w:rPr>
        <w:t xml:space="preserve"> clearance, </w:t>
      </w:r>
      <w:r w:rsidR="004126BC" w:rsidRPr="00714401">
        <w:rPr>
          <w:rFonts w:ascii="Book Antiqua" w:hAnsi="Book Antiqua"/>
          <w:sz w:val="24"/>
          <w:szCs w:val="24"/>
          <w:lang w:val="en-US"/>
        </w:rPr>
        <w:t>G</w:t>
      </w:r>
      <w:r w:rsidR="007558FD" w:rsidRPr="00714401">
        <w:rPr>
          <w:rFonts w:ascii="Book Antiqua" w:hAnsi="Book Antiqua"/>
          <w:sz w:val="24"/>
          <w:szCs w:val="24"/>
          <w:lang w:val="en-US"/>
        </w:rPr>
        <w:t xml:space="preserve">alactose elimination capacity, </w:t>
      </w:r>
      <w:proofErr w:type="spellStart"/>
      <w:r w:rsidR="004126BC" w:rsidRPr="00714401">
        <w:rPr>
          <w:rFonts w:ascii="Book Antiqua" w:hAnsi="Book Antiqua"/>
          <w:sz w:val="24"/>
          <w:szCs w:val="24"/>
          <w:lang w:val="en-US"/>
        </w:rPr>
        <w:t>Aminopyridine</w:t>
      </w:r>
      <w:proofErr w:type="spellEnd"/>
      <w:r w:rsidR="004126BC" w:rsidRPr="00714401">
        <w:rPr>
          <w:rFonts w:ascii="Book Antiqua" w:hAnsi="Book Antiqua"/>
          <w:sz w:val="24"/>
          <w:szCs w:val="24"/>
          <w:lang w:val="en-US"/>
        </w:rPr>
        <w:t xml:space="preserve"> breath test</w:t>
      </w:r>
      <w:r w:rsidR="0076063F" w:rsidRPr="00714401">
        <w:rPr>
          <w:rFonts w:ascii="Book Antiqua" w:hAnsi="Book Antiqua"/>
          <w:sz w:val="24"/>
          <w:szCs w:val="24"/>
          <w:lang w:val="en-US"/>
        </w:rPr>
        <w:t xml:space="preserve"> </w:t>
      </w:r>
      <w:r w:rsidR="004126BC" w:rsidRPr="00714401">
        <w:rPr>
          <w:rFonts w:ascii="Book Antiqua" w:hAnsi="Book Antiqua"/>
          <w:sz w:val="24"/>
          <w:szCs w:val="24"/>
          <w:lang w:val="en-US"/>
        </w:rPr>
        <w:t xml:space="preserve">and </w:t>
      </w:r>
      <w:proofErr w:type="spellStart"/>
      <w:r w:rsidR="007558FD" w:rsidRPr="00714401">
        <w:rPr>
          <w:rFonts w:ascii="Book Antiqua" w:hAnsi="Book Antiqua"/>
          <w:sz w:val="24"/>
          <w:szCs w:val="24"/>
          <w:lang w:val="en-US"/>
        </w:rPr>
        <w:t>Monoethylglycinexylidide</w:t>
      </w:r>
      <w:proofErr w:type="spellEnd"/>
      <w:r w:rsidR="007558FD" w:rsidRPr="00714401">
        <w:rPr>
          <w:rFonts w:ascii="Book Antiqua" w:hAnsi="Book Antiqua"/>
          <w:sz w:val="24"/>
          <w:szCs w:val="24"/>
          <w:lang w:val="en-US"/>
        </w:rPr>
        <w:t xml:space="preserve"> f</w:t>
      </w:r>
      <w:r w:rsidR="004126BC" w:rsidRPr="00714401">
        <w:rPr>
          <w:rFonts w:ascii="Book Antiqua" w:hAnsi="Book Antiqua"/>
          <w:sz w:val="24"/>
          <w:szCs w:val="24"/>
          <w:lang w:val="en-US"/>
        </w:rPr>
        <w:t>ormation f</w:t>
      </w:r>
      <w:r w:rsidR="007558FD" w:rsidRPr="00714401">
        <w:rPr>
          <w:rFonts w:ascii="Book Antiqua" w:hAnsi="Book Antiqua"/>
          <w:sz w:val="24"/>
          <w:szCs w:val="24"/>
          <w:lang w:val="en-US"/>
        </w:rPr>
        <w:t>rom lignocaine (</w:t>
      </w:r>
      <w:r w:rsidR="004126BC" w:rsidRPr="00714401">
        <w:rPr>
          <w:rFonts w:ascii="Book Antiqua" w:hAnsi="Book Antiqua"/>
          <w:sz w:val="24"/>
          <w:szCs w:val="24"/>
          <w:lang w:val="en-US"/>
        </w:rPr>
        <w:t>MEGX test)</w:t>
      </w:r>
      <w:r w:rsidR="0076063F" w:rsidRPr="00714401">
        <w:rPr>
          <w:rFonts w:ascii="Book Antiqua" w:hAnsi="Book Antiqua"/>
          <w:sz w:val="24"/>
          <w:szCs w:val="24"/>
          <w:lang w:val="en-US"/>
        </w:rPr>
        <w:t xml:space="preserve"> </w:t>
      </w:r>
      <w:r w:rsidR="004126BC" w:rsidRPr="00714401">
        <w:rPr>
          <w:rFonts w:ascii="Book Antiqua" w:hAnsi="Book Antiqua"/>
          <w:sz w:val="24"/>
          <w:szCs w:val="24"/>
          <w:lang w:val="en-US"/>
        </w:rPr>
        <w:t>are beyond the scope of this review</w:t>
      </w:r>
      <w:r w:rsidR="00E52450" w:rsidRPr="00714401">
        <w:rPr>
          <w:rFonts w:ascii="Book Antiqua" w:hAnsi="Book Antiqua" w:hint="eastAsia"/>
          <w:sz w:val="24"/>
          <w:szCs w:val="24"/>
          <w:lang w:val="en-US" w:eastAsia="zh-CN"/>
        </w:rPr>
        <w:t xml:space="preserve"> (Figure 1)</w:t>
      </w:r>
      <w:r w:rsidR="007558FD" w:rsidRPr="00714401">
        <w:rPr>
          <w:rFonts w:ascii="Book Antiqua" w:hAnsi="Book Antiqua"/>
          <w:sz w:val="24"/>
          <w:szCs w:val="24"/>
          <w:lang w:val="en-US"/>
        </w:rPr>
        <w:t xml:space="preserve">. </w:t>
      </w:r>
    </w:p>
    <w:p w:rsidR="00762B86" w:rsidRPr="00714401" w:rsidRDefault="00762B86" w:rsidP="004F4F1E">
      <w:pPr>
        <w:autoSpaceDE w:val="0"/>
        <w:autoSpaceDN w:val="0"/>
        <w:adjustRightInd w:val="0"/>
        <w:snapToGrid w:val="0"/>
        <w:spacing w:after="0" w:line="360" w:lineRule="auto"/>
        <w:jc w:val="both"/>
        <w:rPr>
          <w:rFonts w:ascii="Book Antiqua" w:hAnsi="Book Antiqua"/>
          <w:sz w:val="24"/>
          <w:szCs w:val="24"/>
          <w:lang w:val="en-US" w:eastAsia="zh-CN"/>
        </w:rPr>
      </w:pPr>
    </w:p>
    <w:p w:rsidR="00B371FC" w:rsidRPr="00714401" w:rsidRDefault="00E52450" w:rsidP="00E52450">
      <w:pPr>
        <w:tabs>
          <w:tab w:val="left" w:pos="7635"/>
        </w:tabs>
        <w:autoSpaceDE w:val="0"/>
        <w:autoSpaceDN w:val="0"/>
        <w:adjustRightInd w:val="0"/>
        <w:snapToGrid w:val="0"/>
        <w:spacing w:after="0" w:line="360" w:lineRule="auto"/>
        <w:jc w:val="both"/>
        <w:rPr>
          <w:rFonts w:ascii="Book Antiqua" w:eastAsia="Arial Unicode MS" w:hAnsi="Book Antiqua" w:cs="Arial Unicode MS"/>
          <w:b/>
          <w:sz w:val="24"/>
          <w:szCs w:val="24"/>
          <w:lang w:val="en-US"/>
        </w:rPr>
      </w:pPr>
      <w:r w:rsidRPr="00714401">
        <w:rPr>
          <w:rFonts w:ascii="Book Antiqua" w:hAnsi="Book Antiqua"/>
          <w:b/>
          <w:i/>
          <w:sz w:val="24"/>
          <w:szCs w:val="24"/>
          <w:lang w:val="en-US"/>
        </w:rPr>
        <w:t>The hepatic clearance</w:t>
      </w:r>
      <w:r w:rsidR="0060504F" w:rsidRPr="00714401">
        <w:rPr>
          <w:rFonts w:ascii="Book Antiqua" w:hAnsi="Book Antiqua"/>
          <w:b/>
          <w:i/>
          <w:sz w:val="24"/>
          <w:szCs w:val="24"/>
          <w:lang w:val="en-US"/>
        </w:rPr>
        <w:t xml:space="preserve">: </w:t>
      </w:r>
      <w:r w:rsidRPr="00714401">
        <w:rPr>
          <w:rFonts w:ascii="Book Antiqua" w:hAnsi="Book Antiqua"/>
          <w:b/>
          <w:i/>
          <w:sz w:val="24"/>
          <w:szCs w:val="24"/>
          <w:lang w:val="en-US"/>
        </w:rPr>
        <w:t>M</w:t>
      </w:r>
      <w:r w:rsidR="0060504F" w:rsidRPr="00714401">
        <w:rPr>
          <w:rFonts w:ascii="Book Antiqua" w:hAnsi="Book Antiqua"/>
          <w:b/>
          <w:i/>
          <w:sz w:val="24"/>
          <w:szCs w:val="24"/>
          <w:lang w:val="en-US"/>
        </w:rPr>
        <w:t xml:space="preserve">atching hepatic perfusion and liver </w:t>
      </w:r>
      <w:proofErr w:type="gramStart"/>
      <w:r w:rsidR="0060504F" w:rsidRPr="00714401">
        <w:rPr>
          <w:rFonts w:ascii="Book Antiqua" w:hAnsi="Book Antiqua"/>
          <w:b/>
          <w:i/>
          <w:sz w:val="24"/>
          <w:szCs w:val="24"/>
          <w:lang w:val="en-US"/>
        </w:rPr>
        <w:t>function</w:t>
      </w:r>
      <w:r w:rsidRPr="00714401">
        <w:rPr>
          <w:rFonts w:ascii="Book Antiqua" w:hAnsi="Book Antiqua" w:hint="eastAsia"/>
          <w:b/>
          <w:i/>
          <w:sz w:val="24"/>
          <w:szCs w:val="24"/>
          <w:vertAlign w:val="superscript"/>
          <w:lang w:val="en-US" w:eastAsia="zh-CN"/>
        </w:rPr>
        <w:t>[</w:t>
      </w:r>
      <w:proofErr w:type="gramEnd"/>
      <w:r w:rsidRPr="00714401">
        <w:rPr>
          <w:rFonts w:ascii="Book Antiqua" w:hAnsi="Book Antiqua"/>
          <w:b/>
          <w:i/>
          <w:sz w:val="24"/>
          <w:szCs w:val="24"/>
          <w:vertAlign w:val="superscript"/>
          <w:lang w:val="en-US"/>
        </w:rPr>
        <w:t>5</w:t>
      </w:r>
      <w:r w:rsidRPr="00714401">
        <w:rPr>
          <w:rFonts w:ascii="Book Antiqua" w:hAnsi="Book Antiqua" w:hint="eastAsia"/>
          <w:b/>
          <w:i/>
          <w:sz w:val="24"/>
          <w:szCs w:val="24"/>
          <w:vertAlign w:val="superscript"/>
          <w:lang w:val="en-US" w:eastAsia="zh-CN"/>
        </w:rPr>
        <w:t>]</w:t>
      </w:r>
      <w:r w:rsidR="007558FD" w:rsidRPr="00714401">
        <w:rPr>
          <w:rFonts w:ascii="Book Antiqua" w:hAnsi="Book Antiqua"/>
          <w:b/>
          <w:i/>
          <w:sz w:val="24"/>
          <w:szCs w:val="24"/>
          <w:lang w:val="en-US"/>
        </w:rPr>
        <w:t xml:space="preserve"> </w:t>
      </w:r>
    </w:p>
    <w:p w:rsidR="00C16FDA" w:rsidRPr="00714401" w:rsidRDefault="007558FD" w:rsidP="004F4F1E">
      <w:pPr>
        <w:snapToGrid w:val="0"/>
        <w:spacing w:after="0" w:line="360" w:lineRule="auto"/>
        <w:jc w:val="both"/>
        <w:rPr>
          <w:rFonts w:ascii="Book Antiqua" w:hAnsi="Book Antiqua"/>
          <w:sz w:val="24"/>
          <w:szCs w:val="24"/>
          <w:lang w:val="en-US"/>
        </w:rPr>
      </w:pPr>
      <w:r w:rsidRPr="00714401">
        <w:rPr>
          <w:rFonts w:ascii="Book Antiqua" w:hAnsi="Book Antiqua"/>
          <w:sz w:val="24"/>
          <w:szCs w:val="24"/>
          <w:lang w:val="en-US"/>
        </w:rPr>
        <w:t xml:space="preserve">According to the clearance </w:t>
      </w:r>
      <w:proofErr w:type="gramStart"/>
      <w:r w:rsidRPr="00714401">
        <w:rPr>
          <w:rFonts w:ascii="Book Antiqua" w:hAnsi="Book Antiqua"/>
          <w:sz w:val="24"/>
          <w:szCs w:val="24"/>
          <w:lang w:val="en-US"/>
        </w:rPr>
        <w:t>principle</w:t>
      </w:r>
      <w:r w:rsidR="00E52450" w:rsidRPr="00714401">
        <w:rPr>
          <w:rFonts w:ascii="Book Antiqua" w:hAnsi="Book Antiqua"/>
          <w:sz w:val="24"/>
          <w:szCs w:val="24"/>
          <w:vertAlign w:val="superscript"/>
          <w:lang w:val="en-US"/>
        </w:rPr>
        <w:t>[</w:t>
      </w:r>
      <w:proofErr w:type="gramEnd"/>
      <w:r w:rsidR="00E52450" w:rsidRPr="00714401">
        <w:rPr>
          <w:rFonts w:ascii="Book Antiqua" w:hAnsi="Book Antiqua"/>
          <w:sz w:val="24"/>
          <w:szCs w:val="24"/>
          <w:vertAlign w:val="superscript"/>
          <w:lang w:val="en-US"/>
        </w:rPr>
        <w:t>5]</w:t>
      </w:r>
      <w:r w:rsidRPr="00714401">
        <w:rPr>
          <w:rFonts w:ascii="Book Antiqua" w:hAnsi="Book Antiqua"/>
          <w:sz w:val="24"/>
          <w:szCs w:val="24"/>
          <w:lang w:val="en-US"/>
        </w:rPr>
        <w:t xml:space="preserve">, </w:t>
      </w:r>
      <w:r w:rsidR="00E15A13" w:rsidRPr="00714401">
        <w:rPr>
          <w:rFonts w:ascii="Book Antiqua" w:hAnsi="Book Antiqua"/>
          <w:sz w:val="24"/>
          <w:szCs w:val="24"/>
          <w:lang w:val="en-US"/>
        </w:rPr>
        <w:t xml:space="preserve">hepatic clearance (Cl) is the </w:t>
      </w:r>
      <w:r w:rsidRPr="00714401">
        <w:rPr>
          <w:rFonts w:ascii="Book Antiqua" w:hAnsi="Book Antiqua"/>
          <w:sz w:val="24"/>
          <w:szCs w:val="24"/>
          <w:lang w:val="en-US"/>
        </w:rPr>
        <w:t xml:space="preserve">product of </w:t>
      </w:r>
      <w:r w:rsidR="006D513A" w:rsidRPr="00714401">
        <w:rPr>
          <w:rFonts w:ascii="Book Antiqua" w:hAnsi="Book Antiqua"/>
          <w:sz w:val="24"/>
          <w:szCs w:val="24"/>
          <w:lang w:val="en-US"/>
        </w:rPr>
        <w:t xml:space="preserve">liver </w:t>
      </w:r>
      <w:r w:rsidR="00E15A13" w:rsidRPr="00714401">
        <w:rPr>
          <w:rFonts w:ascii="Book Antiqua" w:hAnsi="Book Antiqua"/>
          <w:sz w:val="24"/>
          <w:szCs w:val="24"/>
          <w:lang w:val="en-US"/>
        </w:rPr>
        <w:t xml:space="preserve">extraction </w:t>
      </w:r>
      <w:r w:rsidR="006D513A" w:rsidRPr="00714401">
        <w:rPr>
          <w:rFonts w:ascii="Book Antiqua" w:hAnsi="Book Antiqua"/>
          <w:sz w:val="24"/>
          <w:szCs w:val="24"/>
          <w:lang w:val="en-US"/>
        </w:rPr>
        <w:t xml:space="preserve">capacity </w:t>
      </w:r>
      <w:r w:rsidR="00E15A13" w:rsidRPr="00714401">
        <w:rPr>
          <w:rFonts w:ascii="Book Antiqua" w:hAnsi="Book Antiqua"/>
          <w:sz w:val="24"/>
          <w:szCs w:val="24"/>
          <w:lang w:val="en-US"/>
        </w:rPr>
        <w:t>(Ex) and</w:t>
      </w:r>
      <w:r w:rsidR="0076063F" w:rsidRPr="00714401">
        <w:rPr>
          <w:rFonts w:ascii="Book Antiqua" w:hAnsi="Book Antiqua"/>
          <w:sz w:val="24"/>
          <w:szCs w:val="24"/>
          <w:lang w:val="en-US"/>
        </w:rPr>
        <w:t xml:space="preserve"> </w:t>
      </w:r>
      <w:r w:rsidR="0060504F" w:rsidRPr="00714401">
        <w:rPr>
          <w:rFonts w:ascii="Book Antiqua" w:hAnsi="Book Antiqua"/>
          <w:sz w:val="24"/>
          <w:szCs w:val="24"/>
          <w:lang w:val="en-US"/>
        </w:rPr>
        <w:t xml:space="preserve">liver </w:t>
      </w:r>
      <w:r w:rsidR="00536C19" w:rsidRPr="00714401">
        <w:rPr>
          <w:rFonts w:ascii="Book Antiqua" w:hAnsi="Book Antiqua"/>
          <w:sz w:val="24"/>
          <w:szCs w:val="24"/>
          <w:lang w:val="en-US"/>
        </w:rPr>
        <w:t xml:space="preserve">blood </w:t>
      </w:r>
      <w:r w:rsidR="00E52450" w:rsidRPr="00714401">
        <w:rPr>
          <w:rFonts w:ascii="Book Antiqua" w:hAnsi="Book Antiqua"/>
          <w:sz w:val="24"/>
          <w:szCs w:val="24"/>
          <w:lang w:val="en-US"/>
        </w:rPr>
        <w:t>flow (Q)</w:t>
      </w:r>
      <w:r w:rsidR="00E15A13" w:rsidRPr="00714401">
        <w:rPr>
          <w:rFonts w:ascii="Book Antiqua" w:hAnsi="Book Antiqua"/>
          <w:sz w:val="24"/>
          <w:szCs w:val="24"/>
          <w:lang w:val="en-US"/>
        </w:rPr>
        <w:t xml:space="preserve">: </w:t>
      </w:r>
      <w:r w:rsidRPr="00714401">
        <w:rPr>
          <w:rFonts w:ascii="Book Antiqua" w:hAnsi="Book Antiqua"/>
          <w:sz w:val="24"/>
          <w:szCs w:val="24"/>
          <w:lang w:val="en-US"/>
        </w:rPr>
        <w:t xml:space="preserve">Cl </w:t>
      </w:r>
      <w:r w:rsidRPr="00714401">
        <w:rPr>
          <w:rFonts w:ascii="Book Antiqua" w:hAnsi="Book Antiqua"/>
          <w:sz w:val="24"/>
          <w:szCs w:val="24"/>
        </w:rPr>
        <w:sym w:font="Symbol" w:char="F03D"/>
      </w:r>
      <w:r w:rsidRPr="00714401">
        <w:rPr>
          <w:rFonts w:ascii="Book Antiqua" w:hAnsi="Book Antiqua"/>
          <w:sz w:val="24"/>
          <w:szCs w:val="24"/>
          <w:lang w:val="en-US"/>
        </w:rPr>
        <w:t xml:space="preserve"> Q </w:t>
      </w:r>
      <w:r w:rsidRPr="00714401">
        <w:rPr>
          <w:rFonts w:ascii="Book Antiqua" w:hAnsi="Book Antiqua"/>
          <w:sz w:val="24"/>
          <w:szCs w:val="24"/>
        </w:rPr>
        <w:sym w:font="Symbol" w:char="F0B4"/>
      </w:r>
      <w:r w:rsidR="00E15A13" w:rsidRPr="00714401">
        <w:rPr>
          <w:rFonts w:ascii="Book Antiqua" w:hAnsi="Book Antiqua"/>
          <w:sz w:val="24"/>
          <w:szCs w:val="24"/>
          <w:lang w:val="en-US"/>
        </w:rPr>
        <w:t xml:space="preserve"> Ex.</w:t>
      </w:r>
      <w:r w:rsidR="0076063F" w:rsidRPr="00714401">
        <w:rPr>
          <w:rFonts w:ascii="Book Antiqua" w:hAnsi="Book Antiqua"/>
          <w:sz w:val="24"/>
          <w:szCs w:val="24"/>
          <w:lang w:val="en-US"/>
        </w:rPr>
        <w:t xml:space="preserve"> </w:t>
      </w:r>
      <w:r w:rsidR="00BF1B17" w:rsidRPr="00714401">
        <w:rPr>
          <w:rFonts w:ascii="Book Antiqua" w:hAnsi="Book Antiqua"/>
          <w:sz w:val="24"/>
          <w:szCs w:val="24"/>
          <w:lang w:val="en-US"/>
        </w:rPr>
        <w:t xml:space="preserve">In general, </w:t>
      </w:r>
      <w:r w:rsidR="009D392E" w:rsidRPr="00714401">
        <w:rPr>
          <w:rFonts w:ascii="Book Antiqua" w:hAnsi="Book Antiqua"/>
          <w:sz w:val="24"/>
          <w:szCs w:val="24"/>
          <w:lang w:val="en-US"/>
        </w:rPr>
        <w:t xml:space="preserve">the dynamic assessment of </w:t>
      </w:r>
      <w:r w:rsidR="00590F0B" w:rsidRPr="00714401">
        <w:rPr>
          <w:rFonts w:ascii="Book Antiqua" w:hAnsi="Book Antiqua"/>
          <w:sz w:val="24"/>
          <w:szCs w:val="24"/>
          <w:lang w:val="en-US"/>
        </w:rPr>
        <w:t xml:space="preserve">liver function relies </w:t>
      </w:r>
      <w:r w:rsidR="0060504F" w:rsidRPr="00714401">
        <w:rPr>
          <w:rFonts w:ascii="Book Antiqua" w:hAnsi="Book Antiqua"/>
          <w:sz w:val="24"/>
          <w:szCs w:val="24"/>
          <w:lang w:val="en-US"/>
        </w:rPr>
        <w:t>upon this e</w:t>
      </w:r>
      <w:r w:rsidR="00F022B3" w:rsidRPr="00714401">
        <w:rPr>
          <w:rFonts w:ascii="Book Antiqua" w:hAnsi="Book Antiqua"/>
          <w:sz w:val="24"/>
          <w:szCs w:val="24"/>
          <w:lang w:val="en-US"/>
        </w:rPr>
        <w:t xml:space="preserve">quation: according to the hepatic extraction </w:t>
      </w:r>
      <w:r w:rsidR="00BF1B17" w:rsidRPr="00714401">
        <w:rPr>
          <w:rFonts w:ascii="Book Antiqua" w:hAnsi="Book Antiqua"/>
          <w:sz w:val="24"/>
          <w:szCs w:val="24"/>
          <w:lang w:val="en-US"/>
        </w:rPr>
        <w:t>capacity</w:t>
      </w:r>
      <w:r w:rsidR="00F022B3" w:rsidRPr="00714401">
        <w:rPr>
          <w:rFonts w:ascii="Book Antiqua" w:hAnsi="Book Antiqua"/>
          <w:sz w:val="24"/>
          <w:szCs w:val="24"/>
          <w:lang w:val="en-US"/>
        </w:rPr>
        <w:t xml:space="preserve">, </w:t>
      </w:r>
      <w:r w:rsidR="00BF1B17" w:rsidRPr="00714401">
        <w:rPr>
          <w:rFonts w:ascii="Book Antiqua" w:hAnsi="Book Antiqua"/>
          <w:sz w:val="24"/>
          <w:szCs w:val="24"/>
          <w:lang w:val="en-US"/>
        </w:rPr>
        <w:t xml:space="preserve">the various </w:t>
      </w:r>
      <w:r w:rsidR="00F022B3" w:rsidRPr="00714401">
        <w:rPr>
          <w:rFonts w:ascii="Book Antiqua" w:hAnsi="Book Antiqua"/>
          <w:sz w:val="24"/>
          <w:szCs w:val="24"/>
          <w:lang w:val="en-US"/>
        </w:rPr>
        <w:t xml:space="preserve">drugs and </w:t>
      </w:r>
      <w:r w:rsidR="009D392E" w:rsidRPr="00714401">
        <w:rPr>
          <w:rFonts w:ascii="Book Antiqua" w:hAnsi="Book Antiqua"/>
          <w:sz w:val="24"/>
          <w:szCs w:val="24"/>
          <w:lang w:val="en-US"/>
        </w:rPr>
        <w:t xml:space="preserve">compounds </w:t>
      </w:r>
      <w:r w:rsidR="00F022B3" w:rsidRPr="00714401">
        <w:rPr>
          <w:rFonts w:ascii="Book Antiqua" w:hAnsi="Book Antiqua"/>
          <w:sz w:val="24"/>
          <w:szCs w:val="24"/>
          <w:lang w:val="en-US"/>
        </w:rPr>
        <w:t xml:space="preserve">are </w:t>
      </w:r>
      <w:r w:rsidR="006D513A" w:rsidRPr="00714401">
        <w:rPr>
          <w:rFonts w:ascii="Book Antiqua" w:hAnsi="Book Antiqua"/>
          <w:sz w:val="24"/>
          <w:szCs w:val="24"/>
          <w:lang w:val="en-US"/>
        </w:rPr>
        <w:t xml:space="preserve">considered </w:t>
      </w:r>
      <w:r w:rsidR="000B1BC7" w:rsidRPr="00714401">
        <w:rPr>
          <w:rFonts w:ascii="Book Antiqua" w:hAnsi="Book Antiqua"/>
          <w:sz w:val="24"/>
          <w:szCs w:val="24"/>
          <w:lang w:val="en-US"/>
        </w:rPr>
        <w:t xml:space="preserve">at </w:t>
      </w:r>
      <w:r w:rsidR="006D513A" w:rsidRPr="00714401">
        <w:rPr>
          <w:rFonts w:ascii="Book Antiqua" w:hAnsi="Book Antiqua"/>
          <w:sz w:val="24"/>
          <w:szCs w:val="24"/>
          <w:lang w:val="en-US"/>
        </w:rPr>
        <w:t>“</w:t>
      </w:r>
      <w:r w:rsidR="00F022B3" w:rsidRPr="00714401">
        <w:rPr>
          <w:rFonts w:ascii="Book Antiqua" w:hAnsi="Book Antiqua"/>
          <w:sz w:val="24"/>
          <w:szCs w:val="24"/>
          <w:lang w:val="en-US"/>
        </w:rPr>
        <w:t>low</w:t>
      </w:r>
      <w:r w:rsidR="006D513A" w:rsidRPr="00714401">
        <w:rPr>
          <w:rFonts w:ascii="Book Antiqua" w:hAnsi="Book Antiqua"/>
          <w:sz w:val="24"/>
          <w:szCs w:val="24"/>
          <w:lang w:val="en-US"/>
        </w:rPr>
        <w:t>”</w:t>
      </w:r>
      <w:r w:rsidR="00F022B3" w:rsidRPr="00714401">
        <w:rPr>
          <w:rFonts w:ascii="Book Antiqua" w:hAnsi="Book Antiqua"/>
          <w:sz w:val="24"/>
          <w:szCs w:val="24"/>
          <w:lang w:val="en-US"/>
        </w:rPr>
        <w:t xml:space="preserve"> </w:t>
      </w:r>
      <w:r w:rsidR="0057399E" w:rsidRPr="00714401">
        <w:rPr>
          <w:rFonts w:ascii="Book Antiqua" w:hAnsi="Book Antiqua"/>
          <w:sz w:val="24"/>
          <w:szCs w:val="24"/>
          <w:lang w:val="en-US"/>
        </w:rPr>
        <w:t>or</w:t>
      </w:r>
      <w:r w:rsidR="0076063F" w:rsidRPr="00714401">
        <w:rPr>
          <w:rFonts w:ascii="Book Antiqua" w:hAnsi="Book Antiqua"/>
          <w:sz w:val="24"/>
          <w:szCs w:val="24"/>
          <w:lang w:val="en-US"/>
        </w:rPr>
        <w:t xml:space="preserve"> </w:t>
      </w:r>
      <w:r w:rsidR="006D513A" w:rsidRPr="00714401">
        <w:rPr>
          <w:rFonts w:ascii="Book Antiqua" w:hAnsi="Book Antiqua"/>
          <w:sz w:val="24"/>
          <w:szCs w:val="24"/>
          <w:lang w:val="en-US"/>
        </w:rPr>
        <w:t>“</w:t>
      </w:r>
      <w:r w:rsidR="00F022B3" w:rsidRPr="00714401">
        <w:rPr>
          <w:rFonts w:ascii="Book Antiqua" w:hAnsi="Book Antiqua"/>
          <w:sz w:val="24"/>
          <w:szCs w:val="24"/>
          <w:lang w:val="en-US"/>
        </w:rPr>
        <w:t>high</w:t>
      </w:r>
      <w:r w:rsidR="006D513A" w:rsidRPr="00714401">
        <w:rPr>
          <w:rFonts w:ascii="Book Antiqua" w:hAnsi="Book Antiqua"/>
          <w:sz w:val="24"/>
          <w:szCs w:val="24"/>
          <w:lang w:val="en-US"/>
        </w:rPr>
        <w:t>”</w:t>
      </w:r>
      <w:r w:rsidR="00F022B3" w:rsidRPr="00714401">
        <w:rPr>
          <w:rFonts w:ascii="Book Antiqua" w:hAnsi="Book Antiqua"/>
          <w:sz w:val="24"/>
          <w:szCs w:val="24"/>
          <w:lang w:val="en-US"/>
        </w:rPr>
        <w:t xml:space="preserve"> </w:t>
      </w:r>
      <w:r w:rsidR="00140214" w:rsidRPr="00714401">
        <w:rPr>
          <w:rFonts w:ascii="Book Antiqua" w:hAnsi="Book Antiqua"/>
          <w:sz w:val="24"/>
          <w:szCs w:val="24"/>
          <w:lang w:val="en-US"/>
        </w:rPr>
        <w:t>extraction</w:t>
      </w:r>
      <w:r w:rsidR="0060504F" w:rsidRPr="00714401">
        <w:rPr>
          <w:rFonts w:ascii="Book Antiqua" w:hAnsi="Book Antiqua"/>
          <w:sz w:val="24"/>
          <w:szCs w:val="24"/>
          <w:lang w:val="en-US"/>
        </w:rPr>
        <w:t>. Clearance of</w:t>
      </w:r>
      <w:r w:rsidR="00F022B3" w:rsidRPr="00714401">
        <w:rPr>
          <w:rFonts w:ascii="Book Antiqua" w:hAnsi="Book Antiqua"/>
          <w:sz w:val="24"/>
          <w:szCs w:val="24"/>
          <w:lang w:val="en-US"/>
        </w:rPr>
        <w:t xml:space="preserve"> </w:t>
      </w:r>
      <w:r w:rsidR="0057399E" w:rsidRPr="00714401">
        <w:rPr>
          <w:rFonts w:ascii="Book Antiqua" w:hAnsi="Book Antiqua"/>
          <w:sz w:val="24"/>
          <w:szCs w:val="24"/>
          <w:lang w:val="en-US"/>
        </w:rPr>
        <w:t xml:space="preserve">highly extracted </w:t>
      </w:r>
      <w:r w:rsidR="00F022B3" w:rsidRPr="00714401">
        <w:rPr>
          <w:rFonts w:ascii="Book Antiqua" w:hAnsi="Book Antiqua"/>
          <w:sz w:val="24"/>
          <w:szCs w:val="24"/>
          <w:lang w:val="en-US"/>
        </w:rPr>
        <w:t xml:space="preserve">substances </w:t>
      </w:r>
      <w:r w:rsidR="00BF1B17" w:rsidRPr="00714401">
        <w:rPr>
          <w:rFonts w:ascii="Book Antiqua" w:hAnsi="Book Antiqua"/>
          <w:sz w:val="24"/>
          <w:szCs w:val="24"/>
          <w:lang w:val="en-US"/>
        </w:rPr>
        <w:t>approach</w:t>
      </w:r>
      <w:r w:rsidR="00E15A13" w:rsidRPr="00714401">
        <w:rPr>
          <w:rFonts w:ascii="Book Antiqua" w:hAnsi="Book Antiqua"/>
          <w:sz w:val="24"/>
          <w:szCs w:val="24"/>
          <w:lang w:val="en-US"/>
        </w:rPr>
        <w:t>es</w:t>
      </w:r>
      <w:r w:rsidR="00BF1B17" w:rsidRPr="00714401">
        <w:rPr>
          <w:rFonts w:ascii="Book Antiqua" w:hAnsi="Book Antiqua"/>
          <w:sz w:val="24"/>
          <w:szCs w:val="24"/>
          <w:lang w:val="en-US"/>
        </w:rPr>
        <w:t xml:space="preserve"> </w:t>
      </w:r>
      <w:r w:rsidR="009D392E" w:rsidRPr="00714401">
        <w:rPr>
          <w:rFonts w:ascii="Book Antiqua" w:hAnsi="Book Antiqua"/>
          <w:sz w:val="24"/>
          <w:szCs w:val="24"/>
          <w:lang w:val="en-US"/>
        </w:rPr>
        <w:t xml:space="preserve">hepatic </w:t>
      </w:r>
      <w:r w:rsidR="0060504F" w:rsidRPr="00714401">
        <w:rPr>
          <w:rFonts w:ascii="Book Antiqua" w:hAnsi="Book Antiqua"/>
          <w:sz w:val="24"/>
          <w:szCs w:val="24"/>
          <w:lang w:val="en-US"/>
        </w:rPr>
        <w:t>blood flow</w:t>
      </w:r>
      <w:r w:rsidR="00781122" w:rsidRPr="00714401">
        <w:rPr>
          <w:rFonts w:ascii="Book Antiqua" w:hAnsi="Book Antiqua"/>
          <w:sz w:val="24"/>
          <w:szCs w:val="24"/>
          <w:lang w:val="en-US"/>
        </w:rPr>
        <w:t xml:space="preserve"> </w:t>
      </w:r>
      <w:r w:rsidR="00F66F34" w:rsidRPr="00714401">
        <w:rPr>
          <w:rFonts w:ascii="Book Antiqua" w:hAnsi="Book Antiqua"/>
          <w:sz w:val="24"/>
          <w:szCs w:val="24"/>
          <w:lang w:val="en-US"/>
        </w:rPr>
        <w:t xml:space="preserve">and </w:t>
      </w:r>
      <w:r w:rsidR="00A42C2A" w:rsidRPr="00714401">
        <w:rPr>
          <w:rFonts w:ascii="Book Antiqua" w:hAnsi="Book Antiqua"/>
          <w:sz w:val="24"/>
          <w:szCs w:val="24"/>
          <w:lang w:val="en-US"/>
        </w:rPr>
        <w:t>is</w:t>
      </w:r>
      <w:r w:rsidR="0076063F" w:rsidRPr="00714401">
        <w:rPr>
          <w:rFonts w:ascii="Book Antiqua" w:hAnsi="Book Antiqua"/>
          <w:sz w:val="24"/>
          <w:szCs w:val="24"/>
          <w:lang w:val="en-US"/>
        </w:rPr>
        <w:t xml:space="preserve"> </w:t>
      </w:r>
      <w:r w:rsidR="00F022B3" w:rsidRPr="00714401">
        <w:rPr>
          <w:rFonts w:ascii="Book Antiqua" w:hAnsi="Book Antiqua"/>
          <w:sz w:val="24"/>
          <w:szCs w:val="24"/>
          <w:lang w:val="en-US"/>
        </w:rPr>
        <w:t>considered</w:t>
      </w:r>
      <w:r w:rsidR="0076063F" w:rsidRPr="00714401">
        <w:rPr>
          <w:rFonts w:ascii="Book Antiqua" w:hAnsi="Book Antiqua"/>
          <w:sz w:val="24"/>
          <w:szCs w:val="24"/>
          <w:lang w:val="en-US"/>
        </w:rPr>
        <w:t xml:space="preserve"> </w:t>
      </w:r>
      <w:r w:rsidR="00A42C2A" w:rsidRPr="00714401">
        <w:rPr>
          <w:rFonts w:ascii="Book Antiqua" w:hAnsi="Book Antiqua"/>
          <w:sz w:val="24"/>
          <w:szCs w:val="24"/>
          <w:lang w:val="en-US"/>
        </w:rPr>
        <w:t xml:space="preserve">an indicator of </w:t>
      </w:r>
      <w:r w:rsidR="00536C19" w:rsidRPr="00714401">
        <w:rPr>
          <w:rFonts w:ascii="Book Antiqua" w:hAnsi="Book Antiqua"/>
          <w:sz w:val="24"/>
          <w:szCs w:val="24"/>
          <w:lang w:val="en-US"/>
        </w:rPr>
        <w:t>l</w:t>
      </w:r>
      <w:r w:rsidR="00F04FEA" w:rsidRPr="00714401">
        <w:rPr>
          <w:rFonts w:ascii="Book Antiqua" w:hAnsi="Book Antiqua"/>
          <w:sz w:val="24"/>
          <w:szCs w:val="24"/>
          <w:lang w:val="en-US"/>
        </w:rPr>
        <w:t>iver blood flow,</w:t>
      </w:r>
      <w:r w:rsidR="0076063F" w:rsidRPr="00714401">
        <w:rPr>
          <w:rFonts w:ascii="Book Antiqua" w:hAnsi="Book Antiqua"/>
          <w:sz w:val="24"/>
          <w:szCs w:val="24"/>
          <w:lang w:val="en-US"/>
        </w:rPr>
        <w:t xml:space="preserve"> </w:t>
      </w:r>
      <w:r w:rsidR="0060504F" w:rsidRPr="00714401">
        <w:rPr>
          <w:rFonts w:ascii="Book Antiqua" w:hAnsi="Book Antiqua"/>
          <w:sz w:val="24"/>
          <w:szCs w:val="24"/>
          <w:lang w:val="en-US"/>
        </w:rPr>
        <w:t xml:space="preserve">extraction </w:t>
      </w:r>
      <w:r w:rsidR="00BF1B17" w:rsidRPr="00714401">
        <w:rPr>
          <w:rFonts w:ascii="Book Antiqua" w:hAnsi="Book Antiqua"/>
          <w:sz w:val="24"/>
          <w:szCs w:val="24"/>
          <w:lang w:val="en-US"/>
        </w:rPr>
        <w:t xml:space="preserve">rate </w:t>
      </w:r>
      <w:r w:rsidR="00F04FEA" w:rsidRPr="00714401">
        <w:rPr>
          <w:rFonts w:ascii="Book Antiqua" w:hAnsi="Book Antiqua"/>
          <w:sz w:val="24"/>
          <w:szCs w:val="24"/>
          <w:lang w:val="en-US"/>
        </w:rPr>
        <w:t xml:space="preserve">being </w:t>
      </w:r>
      <w:r w:rsidR="002E6221" w:rsidRPr="00714401">
        <w:rPr>
          <w:rFonts w:ascii="Book Antiqua" w:hAnsi="Book Antiqua"/>
          <w:sz w:val="24"/>
          <w:szCs w:val="24"/>
          <w:lang w:val="en-US"/>
        </w:rPr>
        <w:t xml:space="preserve">limited </w:t>
      </w:r>
      <w:r w:rsidR="00641579" w:rsidRPr="00714401">
        <w:rPr>
          <w:rFonts w:ascii="Book Antiqua" w:hAnsi="Book Antiqua"/>
          <w:sz w:val="24"/>
          <w:szCs w:val="24"/>
          <w:lang w:val="en-US"/>
        </w:rPr>
        <w:t xml:space="preserve">in case of </w:t>
      </w:r>
      <w:r w:rsidR="0060504F" w:rsidRPr="00714401">
        <w:rPr>
          <w:rFonts w:ascii="Book Antiqua" w:hAnsi="Book Antiqua"/>
          <w:sz w:val="24"/>
          <w:szCs w:val="24"/>
          <w:lang w:val="en-US"/>
        </w:rPr>
        <w:t xml:space="preserve">reduced </w:t>
      </w:r>
      <w:r w:rsidR="00140214" w:rsidRPr="00714401">
        <w:rPr>
          <w:rFonts w:ascii="Book Antiqua" w:hAnsi="Book Antiqua"/>
          <w:sz w:val="24"/>
          <w:szCs w:val="24"/>
          <w:lang w:val="en-US"/>
        </w:rPr>
        <w:t>liver blood flow</w:t>
      </w:r>
      <w:r w:rsidR="00A117B1" w:rsidRPr="00714401">
        <w:rPr>
          <w:rFonts w:ascii="Book Antiqua" w:hAnsi="Book Antiqua"/>
          <w:sz w:val="24"/>
          <w:szCs w:val="24"/>
          <w:lang w:val="en-US"/>
        </w:rPr>
        <w:t xml:space="preserve">. Opposite is the case of </w:t>
      </w:r>
      <w:r w:rsidR="002E6221" w:rsidRPr="00714401">
        <w:rPr>
          <w:rFonts w:ascii="Book Antiqua" w:hAnsi="Book Antiqua"/>
          <w:sz w:val="24"/>
          <w:szCs w:val="24"/>
          <w:lang w:val="en-US"/>
        </w:rPr>
        <w:t xml:space="preserve">the </w:t>
      </w:r>
      <w:r w:rsidR="00A117B1" w:rsidRPr="00714401">
        <w:rPr>
          <w:rFonts w:ascii="Book Antiqua" w:hAnsi="Book Antiqua"/>
          <w:sz w:val="24"/>
          <w:szCs w:val="24"/>
          <w:lang w:val="en-US"/>
        </w:rPr>
        <w:t>clearance of substances at low extraction rate</w:t>
      </w:r>
      <w:r w:rsidR="001D63B0" w:rsidRPr="00714401">
        <w:rPr>
          <w:rFonts w:ascii="Book Antiqua" w:hAnsi="Book Antiqua"/>
          <w:sz w:val="24"/>
          <w:szCs w:val="24"/>
          <w:lang w:val="en-US"/>
        </w:rPr>
        <w:t xml:space="preserve">: </w:t>
      </w:r>
      <w:r w:rsidR="00E52450" w:rsidRPr="00714401">
        <w:rPr>
          <w:rFonts w:ascii="Book Antiqua" w:hAnsi="Book Antiqua"/>
          <w:sz w:val="24"/>
          <w:szCs w:val="24"/>
          <w:lang w:val="en-US"/>
        </w:rPr>
        <w:t>T</w:t>
      </w:r>
      <w:r w:rsidR="001D63B0" w:rsidRPr="00714401">
        <w:rPr>
          <w:rFonts w:ascii="Book Antiqua" w:hAnsi="Book Antiqua"/>
          <w:sz w:val="24"/>
          <w:szCs w:val="24"/>
          <w:lang w:val="en-US"/>
        </w:rPr>
        <w:t xml:space="preserve">he </w:t>
      </w:r>
      <w:r w:rsidR="001D63B0" w:rsidRPr="00714401">
        <w:rPr>
          <w:rFonts w:ascii="Book Antiqua" w:hAnsi="Book Antiqua"/>
          <w:sz w:val="24"/>
          <w:szCs w:val="24"/>
          <w:lang w:val="en-US"/>
        </w:rPr>
        <w:lastRenderedPageBreak/>
        <w:t xml:space="preserve">clearance of these compounds, not dependent </w:t>
      </w:r>
      <w:r w:rsidR="00641579" w:rsidRPr="00714401">
        <w:rPr>
          <w:rFonts w:ascii="Book Antiqua" w:hAnsi="Book Antiqua"/>
          <w:sz w:val="24"/>
          <w:szCs w:val="24"/>
          <w:lang w:val="en-US"/>
        </w:rPr>
        <w:t xml:space="preserve">from the </w:t>
      </w:r>
      <w:r w:rsidR="00A117B1" w:rsidRPr="00714401">
        <w:rPr>
          <w:rFonts w:ascii="Book Antiqua" w:hAnsi="Book Antiqua"/>
          <w:sz w:val="24"/>
          <w:szCs w:val="24"/>
          <w:lang w:val="en-US"/>
        </w:rPr>
        <w:t>hepatic blood flow</w:t>
      </w:r>
      <w:r w:rsidR="001D63B0"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536C19" w:rsidRPr="00714401">
        <w:rPr>
          <w:rFonts w:ascii="Book Antiqua" w:hAnsi="Book Antiqua"/>
          <w:sz w:val="24"/>
          <w:szCs w:val="24"/>
          <w:lang w:val="en-US"/>
        </w:rPr>
        <w:t>becomes a</w:t>
      </w:r>
      <w:r w:rsidR="0076063F" w:rsidRPr="00714401">
        <w:rPr>
          <w:rFonts w:ascii="Book Antiqua" w:hAnsi="Book Antiqua"/>
          <w:sz w:val="24"/>
          <w:szCs w:val="24"/>
          <w:lang w:val="en-US"/>
        </w:rPr>
        <w:t xml:space="preserve"> </w:t>
      </w:r>
      <w:r w:rsidR="000B1BC7" w:rsidRPr="00714401">
        <w:rPr>
          <w:rFonts w:ascii="Book Antiqua" w:hAnsi="Book Antiqua"/>
          <w:sz w:val="24"/>
          <w:szCs w:val="24"/>
          <w:lang w:val="en-US"/>
        </w:rPr>
        <w:t>measure of metabolism or elimination process</w:t>
      </w:r>
      <w:r w:rsidR="00B44019" w:rsidRPr="00714401">
        <w:rPr>
          <w:rFonts w:ascii="Book Antiqua" w:hAnsi="Book Antiqua"/>
          <w:sz w:val="24"/>
          <w:szCs w:val="24"/>
          <w:lang w:val="en-US"/>
        </w:rPr>
        <w:t>es</w:t>
      </w:r>
      <w:r w:rsidR="00451A73" w:rsidRPr="00714401">
        <w:rPr>
          <w:rFonts w:ascii="Book Antiqua" w:hAnsi="Book Antiqua"/>
          <w:sz w:val="24"/>
          <w:szCs w:val="24"/>
          <w:lang w:val="en-US"/>
        </w:rPr>
        <w:t xml:space="preserve">. A </w:t>
      </w:r>
      <w:r w:rsidR="00641579" w:rsidRPr="00714401">
        <w:rPr>
          <w:rFonts w:ascii="Book Antiqua" w:hAnsi="Book Antiqua"/>
          <w:sz w:val="24"/>
          <w:szCs w:val="24"/>
          <w:lang w:val="en-US"/>
        </w:rPr>
        <w:t xml:space="preserve">key </w:t>
      </w:r>
      <w:r w:rsidR="00E15A13" w:rsidRPr="00714401">
        <w:rPr>
          <w:rFonts w:ascii="Book Antiqua" w:hAnsi="Book Antiqua"/>
          <w:sz w:val="24"/>
          <w:szCs w:val="24"/>
          <w:lang w:val="en-US"/>
        </w:rPr>
        <w:t xml:space="preserve">point of this principle </w:t>
      </w:r>
      <w:r w:rsidR="00451A73" w:rsidRPr="00714401">
        <w:rPr>
          <w:rFonts w:ascii="Book Antiqua" w:hAnsi="Book Antiqua"/>
          <w:sz w:val="24"/>
          <w:szCs w:val="24"/>
          <w:lang w:val="en-US"/>
        </w:rPr>
        <w:t>is that</w:t>
      </w:r>
      <w:r w:rsidR="0076063F" w:rsidRPr="00714401">
        <w:rPr>
          <w:rFonts w:ascii="Book Antiqua" w:hAnsi="Book Antiqua"/>
          <w:sz w:val="24"/>
          <w:szCs w:val="24"/>
          <w:lang w:val="en-US"/>
        </w:rPr>
        <w:t xml:space="preserve"> </w:t>
      </w:r>
      <w:r w:rsidR="00451A73" w:rsidRPr="00714401">
        <w:rPr>
          <w:rFonts w:ascii="Book Antiqua" w:hAnsi="Book Antiqua"/>
          <w:sz w:val="24"/>
          <w:szCs w:val="24"/>
          <w:lang w:val="en-US"/>
        </w:rPr>
        <w:t xml:space="preserve">the </w:t>
      </w:r>
      <w:r w:rsidR="00017FA3" w:rsidRPr="00714401">
        <w:rPr>
          <w:rFonts w:ascii="Book Antiqua" w:hAnsi="Book Antiqua"/>
          <w:sz w:val="24"/>
          <w:szCs w:val="24"/>
          <w:lang w:val="en-US"/>
        </w:rPr>
        <w:t>i</w:t>
      </w:r>
      <w:r w:rsidR="00140214" w:rsidRPr="00714401">
        <w:rPr>
          <w:rFonts w:ascii="Book Antiqua" w:hAnsi="Book Antiqua"/>
          <w:sz w:val="24"/>
          <w:szCs w:val="24"/>
          <w:lang w:val="en-US"/>
        </w:rPr>
        <w:t>ntrinsic hepatic clearance</w:t>
      </w:r>
      <w:r w:rsidR="00B92984" w:rsidRPr="00714401">
        <w:rPr>
          <w:rFonts w:ascii="Book Antiqua" w:hAnsi="Book Antiqua"/>
          <w:sz w:val="24"/>
          <w:szCs w:val="24"/>
          <w:lang w:val="en-US"/>
        </w:rPr>
        <w:t xml:space="preserve"> (Cl</w:t>
      </w:r>
      <w:r w:rsidR="00B92984" w:rsidRPr="00714401">
        <w:rPr>
          <w:rFonts w:ascii="Book Antiqua" w:hAnsi="Book Antiqua"/>
          <w:sz w:val="24"/>
          <w:szCs w:val="24"/>
          <w:vertAlign w:val="subscript"/>
          <w:lang w:val="en-US"/>
        </w:rPr>
        <w:t>int</w:t>
      </w:r>
      <w:r w:rsidR="00B92984" w:rsidRPr="00714401">
        <w:rPr>
          <w:rFonts w:ascii="Book Antiqua" w:hAnsi="Book Antiqua"/>
          <w:sz w:val="24"/>
          <w:szCs w:val="24"/>
          <w:lang w:val="en-US"/>
        </w:rPr>
        <w:t xml:space="preserve">) </w:t>
      </w:r>
      <w:r w:rsidR="00451A73" w:rsidRPr="00714401">
        <w:rPr>
          <w:rFonts w:ascii="Book Antiqua" w:hAnsi="Book Antiqua"/>
          <w:sz w:val="24"/>
          <w:szCs w:val="24"/>
          <w:lang w:val="en-US"/>
        </w:rPr>
        <w:t>becomes</w:t>
      </w:r>
      <w:r w:rsidR="0076063F" w:rsidRPr="00714401">
        <w:rPr>
          <w:rFonts w:ascii="Book Antiqua" w:hAnsi="Book Antiqua"/>
          <w:sz w:val="24"/>
          <w:szCs w:val="24"/>
          <w:lang w:val="en-US"/>
        </w:rPr>
        <w:t xml:space="preserve"> </w:t>
      </w:r>
      <w:r w:rsidR="00A117B1" w:rsidRPr="00714401">
        <w:rPr>
          <w:rFonts w:ascii="Book Antiqua" w:hAnsi="Book Antiqua"/>
          <w:sz w:val="24"/>
          <w:szCs w:val="24"/>
          <w:lang w:val="en-US"/>
        </w:rPr>
        <w:t xml:space="preserve">a measure of </w:t>
      </w:r>
      <w:r w:rsidR="00140214" w:rsidRPr="00714401">
        <w:rPr>
          <w:rFonts w:ascii="Book Antiqua" w:hAnsi="Book Antiqua"/>
          <w:sz w:val="24"/>
          <w:szCs w:val="24"/>
          <w:lang w:val="en-US"/>
        </w:rPr>
        <w:t xml:space="preserve">the </w:t>
      </w:r>
      <w:r w:rsidR="008A1CE2" w:rsidRPr="00714401">
        <w:rPr>
          <w:rFonts w:ascii="Book Antiqua" w:hAnsi="Book Antiqua"/>
          <w:sz w:val="24"/>
          <w:szCs w:val="24"/>
          <w:lang w:val="en-US"/>
        </w:rPr>
        <w:t xml:space="preserve">capacity of </w:t>
      </w:r>
      <w:r w:rsidR="00140214" w:rsidRPr="00714401">
        <w:rPr>
          <w:rFonts w:ascii="Book Antiqua" w:hAnsi="Book Antiqua"/>
          <w:sz w:val="24"/>
          <w:szCs w:val="24"/>
          <w:lang w:val="en-US"/>
        </w:rPr>
        <w:t>the liver to remove subs</w:t>
      </w:r>
      <w:r w:rsidR="008A1CE2" w:rsidRPr="00714401">
        <w:rPr>
          <w:rFonts w:ascii="Book Antiqua" w:hAnsi="Book Antiqua"/>
          <w:sz w:val="24"/>
          <w:szCs w:val="24"/>
          <w:lang w:val="en-US"/>
        </w:rPr>
        <w:t xml:space="preserve">tances </w:t>
      </w:r>
      <w:r w:rsidR="00F04FEA" w:rsidRPr="00714401">
        <w:rPr>
          <w:rFonts w:ascii="Book Antiqua" w:hAnsi="Book Antiqua"/>
          <w:sz w:val="24"/>
          <w:szCs w:val="24"/>
          <w:lang w:val="en-US"/>
        </w:rPr>
        <w:t xml:space="preserve">when blood flow is not </w:t>
      </w:r>
      <w:proofErr w:type="gramStart"/>
      <w:r w:rsidR="00F04FEA" w:rsidRPr="00714401">
        <w:rPr>
          <w:rFonts w:ascii="Book Antiqua" w:hAnsi="Book Antiqua"/>
          <w:sz w:val="24"/>
          <w:szCs w:val="24"/>
          <w:lang w:val="en-US"/>
        </w:rPr>
        <w:t>limited</w:t>
      </w:r>
      <w:r w:rsidR="00C16FDA" w:rsidRPr="00714401">
        <w:rPr>
          <w:rFonts w:ascii="Book Antiqua" w:hAnsi="Book Antiqua"/>
          <w:sz w:val="24"/>
          <w:szCs w:val="24"/>
          <w:vertAlign w:val="superscript"/>
          <w:lang w:val="fr-FR"/>
        </w:rPr>
        <w:t>[</w:t>
      </w:r>
      <w:proofErr w:type="gramEnd"/>
      <w:r w:rsidR="00C16FDA" w:rsidRPr="00714401">
        <w:rPr>
          <w:rFonts w:ascii="Book Antiqua" w:hAnsi="Book Antiqua"/>
          <w:sz w:val="24"/>
          <w:szCs w:val="24"/>
          <w:vertAlign w:val="superscript"/>
          <w:lang w:val="fr-FR"/>
        </w:rPr>
        <w:t>5</w:t>
      </w:r>
      <w:r w:rsidR="00100961" w:rsidRPr="00714401">
        <w:rPr>
          <w:rFonts w:ascii="Book Antiqua" w:hAnsi="Book Antiqua"/>
          <w:sz w:val="24"/>
          <w:szCs w:val="24"/>
          <w:vertAlign w:val="superscript"/>
          <w:lang w:val="fr-FR"/>
        </w:rPr>
        <w:t>]</w:t>
      </w:r>
      <w:r w:rsidR="00A5312D" w:rsidRPr="00714401">
        <w:rPr>
          <w:rFonts w:ascii="Book Antiqua" w:hAnsi="Book Antiqua"/>
          <w:sz w:val="24"/>
          <w:szCs w:val="24"/>
          <w:lang w:val="fr-FR"/>
        </w:rPr>
        <w:t>.</w:t>
      </w:r>
      <w:r w:rsidR="0076063F" w:rsidRPr="00714401">
        <w:rPr>
          <w:rFonts w:ascii="Book Antiqua" w:hAnsi="Book Antiqua"/>
          <w:sz w:val="24"/>
          <w:szCs w:val="24"/>
          <w:lang w:val="fr-FR"/>
        </w:rPr>
        <w:t xml:space="preserve"> </w:t>
      </w:r>
    </w:p>
    <w:p w:rsidR="00B44019" w:rsidRPr="00714401" w:rsidRDefault="00B44019" w:rsidP="004F4F1E">
      <w:pPr>
        <w:snapToGrid w:val="0"/>
        <w:spacing w:after="0" w:line="360" w:lineRule="auto"/>
        <w:jc w:val="both"/>
        <w:rPr>
          <w:rFonts w:ascii="Book Antiqua" w:hAnsi="Book Antiqua"/>
          <w:sz w:val="24"/>
          <w:szCs w:val="24"/>
          <w:lang w:val="en-US"/>
        </w:rPr>
      </w:pPr>
    </w:p>
    <w:p w:rsidR="00451A73" w:rsidRPr="00714401" w:rsidRDefault="00E52450" w:rsidP="004F4F1E">
      <w:pPr>
        <w:autoSpaceDE w:val="0"/>
        <w:autoSpaceDN w:val="0"/>
        <w:adjustRightInd w:val="0"/>
        <w:snapToGrid w:val="0"/>
        <w:spacing w:after="0" w:line="360" w:lineRule="auto"/>
        <w:jc w:val="both"/>
        <w:rPr>
          <w:rFonts w:ascii="Book Antiqua" w:hAnsi="Book Antiqua"/>
          <w:b/>
          <w:sz w:val="24"/>
          <w:szCs w:val="24"/>
          <w:lang w:val="en-US" w:eastAsia="zh-CN"/>
        </w:rPr>
      </w:pPr>
      <w:r w:rsidRPr="00714401">
        <w:rPr>
          <w:rFonts w:ascii="Book Antiqua" w:hAnsi="Book Antiqua"/>
          <w:b/>
          <w:sz w:val="24"/>
          <w:szCs w:val="24"/>
          <w:lang w:val="en-US"/>
        </w:rPr>
        <w:t xml:space="preserve">INDOCYANINE GREEN CLEARANCE FOR A DYNAMIC ASSESSMENT OF LIVER FUNCTION </w:t>
      </w:r>
    </w:p>
    <w:p w:rsidR="0038733C" w:rsidRPr="00714401" w:rsidRDefault="00322A1B" w:rsidP="00516EA0">
      <w:pPr>
        <w:snapToGrid w:val="0"/>
        <w:spacing w:after="0" w:line="360" w:lineRule="auto"/>
        <w:jc w:val="both"/>
        <w:rPr>
          <w:rFonts w:ascii="Book Antiqua" w:hAnsi="Book Antiqua"/>
          <w:sz w:val="24"/>
          <w:szCs w:val="24"/>
          <w:lang w:val="en-US" w:eastAsia="zh-CN"/>
        </w:rPr>
      </w:pPr>
      <w:r w:rsidRPr="00714401">
        <w:rPr>
          <w:rFonts w:ascii="Book Antiqua" w:hAnsi="Book Antiqua"/>
          <w:sz w:val="24"/>
          <w:szCs w:val="24"/>
          <w:lang w:val="en-US"/>
        </w:rPr>
        <w:t>Worldwide</w:t>
      </w:r>
      <w:r w:rsidR="00A62FB5" w:rsidRPr="00714401">
        <w:rPr>
          <w:rFonts w:ascii="Book Antiqua" w:hAnsi="Book Antiqua"/>
          <w:sz w:val="24"/>
          <w:szCs w:val="24"/>
          <w:lang w:val="en-US"/>
        </w:rPr>
        <w:t>,</w:t>
      </w:r>
      <w:r w:rsidR="0076063F" w:rsidRPr="00714401">
        <w:rPr>
          <w:rFonts w:ascii="Book Antiqua" w:hAnsi="Book Antiqua"/>
          <w:sz w:val="24"/>
          <w:szCs w:val="24"/>
          <w:lang w:val="en-US"/>
        </w:rPr>
        <w:t xml:space="preserve"> </w:t>
      </w:r>
      <w:proofErr w:type="spellStart"/>
      <w:r w:rsidR="00E52450" w:rsidRPr="00714401">
        <w:rPr>
          <w:rFonts w:ascii="Book Antiqua" w:hAnsi="Book Antiqua"/>
          <w:sz w:val="24"/>
          <w:szCs w:val="24"/>
          <w:lang w:val="en-US"/>
        </w:rPr>
        <w:t>indocyanine</w:t>
      </w:r>
      <w:proofErr w:type="spellEnd"/>
      <w:r w:rsidR="00E52450" w:rsidRPr="00714401">
        <w:rPr>
          <w:rFonts w:ascii="Book Antiqua" w:hAnsi="Book Antiqua"/>
          <w:sz w:val="24"/>
          <w:szCs w:val="24"/>
          <w:lang w:val="en-US"/>
        </w:rPr>
        <w:t xml:space="preserve"> green (ICG)</w:t>
      </w:r>
      <w:r w:rsidR="0057399E" w:rsidRPr="00714401">
        <w:rPr>
          <w:rFonts w:ascii="Book Antiqua" w:hAnsi="Book Antiqua"/>
          <w:sz w:val="24"/>
          <w:szCs w:val="24"/>
          <w:lang w:val="en-US"/>
        </w:rPr>
        <w:t xml:space="preserve"> </w:t>
      </w:r>
      <w:r w:rsidR="006D513A" w:rsidRPr="00714401">
        <w:rPr>
          <w:rFonts w:ascii="Book Antiqua" w:hAnsi="Book Antiqua"/>
          <w:sz w:val="24"/>
          <w:szCs w:val="24"/>
          <w:lang w:val="en-US"/>
        </w:rPr>
        <w:t>c</w:t>
      </w:r>
      <w:r w:rsidR="00E15A13" w:rsidRPr="00714401">
        <w:rPr>
          <w:rFonts w:ascii="Book Antiqua" w:hAnsi="Book Antiqua"/>
          <w:sz w:val="24"/>
          <w:szCs w:val="24"/>
          <w:lang w:val="en-US"/>
        </w:rPr>
        <w:t>learance</w:t>
      </w:r>
      <w:r w:rsidR="0076063F" w:rsidRPr="00714401">
        <w:rPr>
          <w:rFonts w:ascii="Book Antiqua" w:hAnsi="Book Antiqua"/>
          <w:i/>
          <w:sz w:val="24"/>
          <w:szCs w:val="24"/>
          <w:lang w:val="en-US"/>
        </w:rPr>
        <w:t xml:space="preserve"> </w:t>
      </w:r>
      <w:r w:rsidR="001B4B7A" w:rsidRPr="00714401">
        <w:rPr>
          <w:rFonts w:ascii="Book Antiqua" w:hAnsi="Book Antiqua"/>
          <w:sz w:val="24"/>
          <w:szCs w:val="24"/>
          <w:lang w:val="en-US"/>
        </w:rPr>
        <w:t>is</w:t>
      </w:r>
      <w:r w:rsidR="007D33F6" w:rsidRPr="00714401">
        <w:rPr>
          <w:rFonts w:ascii="Book Antiqua" w:hAnsi="Book Antiqua"/>
          <w:sz w:val="24"/>
          <w:szCs w:val="24"/>
          <w:lang w:val="en-US"/>
        </w:rPr>
        <w:t xml:space="preserve"> </w:t>
      </w:r>
      <w:r w:rsidR="008B4DDC" w:rsidRPr="00714401">
        <w:rPr>
          <w:rFonts w:ascii="Book Antiqua" w:hAnsi="Book Antiqua"/>
          <w:sz w:val="24"/>
          <w:szCs w:val="24"/>
          <w:lang w:val="en-US"/>
        </w:rPr>
        <w:t xml:space="preserve">the </w:t>
      </w:r>
      <w:r w:rsidR="00B371FC" w:rsidRPr="00714401">
        <w:rPr>
          <w:rFonts w:ascii="Book Antiqua" w:hAnsi="Book Antiqua"/>
          <w:sz w:val="24"/>
          <w:szCs w:val="24"/>
          <w:lang w:val="en-US"/>
        </w:rPr>
        <w:t xml:space="preserve">most </w:t>
      </w:r>
      <w:r w:rsidRPr="00714401">
        <w:rPr>
          <w:rFonts w:ascii="Book Antiqua" w:hAnsi="Book Antiqua"/>
          <w:sz w:val="24"/>
          <w:szCs w:val="24"/>
          <w:lang w:val="en-US"/>
        </w:rPr>
        <w:t>common and easy</w:t>
      </w:r>
      <w:r w:rsidR="00A62FB5" w:rsidRPr="00714401">
        <w:rPr>
          <w:rFonts w:ascii="Book Antiqua" w:hAnsi="Book Antiqua"/>
          <w:sz w:val="24"/>
          <w:szCs w:val="24"/>
          <w:lang w:val="en-US"/>
        </w:rPr>
        <w:t xml:space="preserve"> </w:t>
      </w:r>
      <w:r w:rsidR="00647103" w:rsidRPr="00714401">
        <w:rPr>
          <w:rFonts w:ascii="Book Antiqua" w:hAnsi="Book Antiqua" w:hint="eastAsia"/>
          <w:sz w:val="24"/>
          <w:szCs w:val="24"/>
          <w:lang w:val="en-US" w:eastAsia="zh-CN"/>
        </w:rPr>
        <w:t>-</w:t>
      </w:r>
      <w:r w:rsidRPr="00714401">
        <w:rPr>
          <w:rFonts w:ascii="Book Antiqua" w:hAnsi="Book Antiqua"/>
          <w:sz w:val="24"/>
          <w:szCs w:val="24"/>
          <w:lang w:val="en-US"/>
        </w:rPr>
        <w:t xml:space="preserve"> to</w:t>
      </w:r>
      <w:r w:rsidR="00647103" w:rsidRPr="00714401">
        <w:rPr>
          <w:rFonts w:ascii="Book Antiqua" w:hAnsi="Book Antiqua" w:hint="eastAsia"/>
          <w:sz w:val="24"/>
          <w:szCs w:val="24"/>
          <w:lang w:val="en-US" w:eastAsia="zh-CN"/>
        </w:rPr>
        <w:t xml:space="preserve"> </w:t>
      </w:r>
      <w:r w:rsidRPr="00714401">
        <w:rPr>
          <w:rFonts w:ascii="Book Antiqua" w:hAnsi="Book Antiqua"/>
          <w:sz w:val="24"/>
          <w:szCs w:val="24"/>
          <w:lang w:val="en-US"/>
        </w:rPr>
        <w:t xml:space="preserve">- use </w:t>
      </w:r>
      <w:r w:rsidR="006706CC" w:rsidRPr="00714401">
        <w:rPr>
          <w:rFonts w:ascii="Book Antiqua" w:hAnsi="Book Antiqua"/>
          <w:sz w:val="24"/>
          <w:szCs w:val="24"/>
          <w:lang w:val="en-US"/>
        </w:rPr>
        <w:t xml:space="preserve">test </w:t>
      </w:r>
      <w:r w:rsidR="008B4DDC" w:rsidRPr="00714401">
        <w:rPr>
          <w:rFonts w:ascii="Book Antiqua" w:hAnsi="Book Antiqua"/>
          <w:sz w:val="24"/>
          <w:szCs w:val="24"/>
          <w:lang w:val="en-US"/>
        </w:rPr>
        <w:t xml:space="preserve">for </w:t>
      </w:r>
      <w:r w:rsidRPr="00714401">
        <w:rPr>
          <w:rFonts w:ascii="Book Antiqua" w:hAnsi="Book Antiqua"/>
          <w:sz w:val="24"/>
          <w:szCs w:val="24"/>
          <w:lang w:val="en-US"/>
        </w:rPr>
        <w:t xml:space="preserve">the </w:t>
      </w:r>
      <w:r w:rsidR="00A62FB5" w:rsidRPr="00714401">
        <w:rPr>
          <w:rFonts w:ascii="Book Antiqua" w:hAnsi="Book Antiqua"/>
          <w:sz w:val="24"/>
          <w:szCs w:val="24"/>
          <w:lang w:val="en-US"/>
        </w:rPr>
        <w:t xml:space="preserve">perioperative </w:t>
      </w:r>
      <w:r w:rsidRPr="00714401">
        <w:rPr>
          <w:rFonts w:ascii="Book Antiqua" w:hAnsi="Book Antiqua"/>
          <w:sz w:val="24"/>
          <w:szCs w:val="24"/>
          <w:lang w:val="en-US"/>
        </w:rPr>
        <w:t xml:space="preserve">dynamic assessment of </w:t>
      </w:r>
      <w:r w:rsidR="008B4DDC" w:rsidRPr="00714401">
        <w:rPr>
          <w:rFonts w:ascii="Book Antiqua" w:hAnsi="Book Antiqua"/>
          <w:sz w:val="24"/>
          <w:szCs w:val="24"/>
          <w:lang w:val="en-US"/>
        </w:rPr>
        <w:t>liver function</w:t>
      </w:r>
      <w:r w:rsidR="00F022B3" w:rsidRPr="00714401">
        <w:rPr>
          <w:rFonts w:ascii="Book Antiqua" w:hAnsi="Book Antiqua"/>
          <w:sz w:val="24"/>
          <w:szCs w:val="24"/>
          <w:lang w:val="en-US"/>
        </w:rPr>
        <w:t xml:space="preserve"> </w:t>
      </w:r>
      <w:r w:rsidR="00A62FB5" w:rsidRPr="00714401">
        <w:rPr>
          <w:rFonts w:ascii="Book Antiqua" w:hAnsi="Book Antiqua"/>
          <w:sz w:val="24"/>
          <w:szCs w:val="24"/>
          <w:lang w:val="en-US"/>
        </w:rPr>
        <w:t xml:space="preserve">in case of </w:t>
      </w:r>
      <w:r w:rsidR="00641579" w:rsidRPr="00714401">
        <w:rPr>
          <w:rFonts w:ascii="Book Antiqua" w:hAnsi="Book Antiqua"/>
          <w:sz w:val="24"/>
          <w:szCs w:val="24"/>
          <w:lang w:val="en-US"/>
        </w:rPr>
        <w:t xml:space="preserve">major liver surgery </w:t>
      </w:r>
      <w:r w:rsidR="00B613BD" w:rsidRPr="00714401">
        <w:rPr>
          <w:rFonts w:ascii="Book Antiqua" w:hAnsi="Book Antiqua"/>
          <w:sz w:val="24"/>
          <w:szCs w:val="24"/>
          <w:lang w:val="en-US"/>
        </w:rPr>
        <w:t>(</w:t>
      </w:r>
      <w:proofErr w:type="spellStart"/>
      <w:r w:rsidR="00B613BD" w:rsidRPr="00714401">
        <w:rPr>
          <w:rFonts w:ascii="Book Antiqua" w:hAnsi="Book Antiqua"/>
          <w:sz w:val="24"/>
          <w:szCs w:val="24"/>
          <w:lang w:val="en-US"/>
        </w:rPr>
        <w:t>resective</w:t>
      </w:r>
      <w:proofErr w:type="spellEnd"/>
      <w:r w:rsidR="00B613BD" w:rsidRPr="00714401">
        <w:rPr>
          <w:rFonts w:ascii="Book Antiqua" w:hAnsi="Book Antiqua"/>
          <w:sz w:val="24"/>
          <w:szCs w:val="24"/>
          <w:lang w:val="en-US"/>
        </w:rPr>
        <w:t xml:space="preserve"> surgery and liver transplantation) </w:t>
      </w:r>
      <w:r w:rsidR="00C85880" w:rsidRPr="00714401">
        <w:rPr>
          <w:rFonts w:ascii="Book Antiqua" w:hAnsi="Book Antiqua"/>
          <w:sz w:val="24"/>
          <w:szCs w:val="24"/>
          <w:lang w:val="en-US"/>
        </w:rPr>
        <w:t>and in the ICU</w:t>
      </w:r>
      <w:r w:rsidR="00C16FDA" w:rsidRPr="00714401">
        <w:rPr>
          <w:rFonts w:ascii="Book Antiqua" w:hAnsi="Book Antiqua"/>
          <w:sz w:val="24"/>
          <w:szCs w:val="24"/>
          <w:vertAlign w:val="superscript"/>
          <w:lang w:val="en-US"/>
        </w:rPr>
        <w:t>[2,6-8</w:t>
      </w:r>
      <w:r w:rsidR="004254E9" w:rsidRPr="00714401">
        <w:rPr>
          <w:rFonts w:ascii="Book Antiqua" w:hAnsi="Book Antiqua"/>
          <w:sz w:val="24"/>
          <w:szCs w:val="24"/>
          <w:vertAlign w:val="superscript"/>
          <w:lang w:val="en-US"/>
        </w:rPr>
        <w:t>]</w:t>
      </w:r>
      <w:r w:rsidR="00F022B3" w:rsidRPr="00714401">
        <w:rPr>
          <w:rFonts w:ascii="Book Antiqua" w:hAnsi="Book Antiqua"/>
          <w:sz w:val="24"/>
          <w:szCs w:val="24"/>
          <w:lang w:val="en-US"/>
        </w:rPr>
        <w:t xml:space="preserve">. </w:t>
      </w:r>
      <w:r w:rsidR="002A010D" w:rsidRPr="00714401">
        <w:rPr>
          <w:rFonts w:ascii="Book Antiqua" w:hAnsi="Book Antiqua"/>
          <w:sz w:val="24"/>
          <w:szCs w:val="24"/>
          <w:lang w:val="en-US"/>
        </w:rPr>
        <w:t xml:space="preserve">ICG is an inert, water-soluble, fluorescent </w:t>
      </w:r>
      <w:proofErr w:type="spellStart"/>
      <w:r w:rsidR="002A010D" w:rsidRPr="00714401">
        <w:rPr>
          <w:rFonts w:ascii="Book Antiqua" w:hAnsi="Book Antiqua"/>
          <w:sz w:val="24"/>
          <w:szCs w:val="24"/>
          <w:lang w:val="en-US"/>
        </w:rPr>
        <w:t>tricarbocyanine</w:t>
      </w:r>
      <w:proofErr w:type="spellEnd"/>
      <w:r w:rsidR="00A62FB5" w:rsidRPr="00714401">
        <w:rPr>
          <w:rFonts w:ascii="Book Antiqua" w:hAnsi="Book Antiqua"/>
          <w:sz w:val="24"/>
          <w:szCs w:val="24"/>
          <w:lang w:val="en-US"/>
        </w:rPr>
        <w:t xml:space="preserve">, </w:t>
      </w:r>
      <w:r w:rsidR="002A010D" w:rsidRPr="00714401">
        <w:rPr>
          <w:rFonts w:ascii="Book Antiqua" w:hAnsi="Book Antiqua"/>
          <w:sz w:val="24"/>
          <w:szCs w:val="24"/>
          <w:lang w:val="en-US"/>
        </w:rPr>
        <w:t xml:space="preserve">with a protein binding </w:t>
      </w:r>
      <w:r w:rsidR="00D335C3" w:rsidRPr="00714401">
        <w:rPr>
          <w:rFonts w:ascii="Book Antiqua" w:hAnsi="Book Antiqua"/>
          <w:sz w:val="24"/>
          <w:szCs w:val="24"/>
          <w:lang w:val="en-US"/>
        </w:rPr>
        <w:t xml:space="preserve">close to 95% </w:t>
      </w:r>
      <w:r w:rsidR="000B601B" w:rsidRPr="00714401">
        <w:rPr>
          <w:rFonts w:ascii="Book Antiqua" w:hAnsi="Book Antiqua"/>
          <w:sz w:val="24"/>
          <w:szCs w:val="24"/>
          <w:lang w:val="en-US"/>
        </w:rPr>
        <w:t>(mainly, alpha1- and beta-lipoproteins</w:t>
      </w:r>
      <w:r w:rsidR="00A62FB5" w:rsidRPr="00714401">
        <w:rPr>
          <w:rFonts w:ascii="Book Antiqua" w:hAnsi="Book Antiqua"/>
          <w:sz w:val="24"/>
          <w:szCs w:val="24"/>
          <w:lang w:val="en-US"/>
        </w:rPr>
        <w:t xml:space="preserve"> and albumin</w:t>
      </w:r>
      <w:r w:rsidR="000B601B" w:rsidRPr="00714401">
        <w:rPr>
          <w:rFonts w:ascii="Book Antiqua" w:hAnsi="Book Antiqua"/>
          <w:sz w:val="24"/>
          <w:szCs w:val="24"/>
          <w:lang w:val="en-US"/>
        </w:rPr>
        <w:t>)</w:t>
      </w:r>
      <w:r w:rsidR="00D335C3"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F022B3" w:rsidRPr="00714401">
        <w:rPr>
          <w:rFonts w:ascii="Book Antiqua" w:hAnsi="Book Antiqua"/>
          <w:sz w:val="24"/>
          <w:szCs w:val="24"/>
          <w:lang w:val="en-US"/>
        </w:rPr>
        <w:t>In healthy individuals,</w:t>
      </w:r>
      <w:r w:rsidR="0076063F" w:rsidRPr="00714401">
        <w:rPr>
          <w:rFonts w:ascii="Book Antiqua" w:hAnsi="Book Antiqua"/>
          <w:sz w:val="24"/>
          <w:szCs w:val="24"/>
          <w:vertAlign w:val="superscript"/>
          <w:lang w:val="en-US"/>
        </w:rPr>
        <w:t xml:space="preserve"> </w:t>
      </w:r>
      <w:r w:rsidR="00947150" w:rsidRPr="00714401">
        <w:rPr>
          <w:rFonts w:ascii="Book Antiqua" w:hAnsi="Book Antiqua"/>
          <w:sz w:val="24"/>
          <w:szCs w:val="24"/>
          <w:lang w:val="en-US"/>
        </w:rPr>
        <w:t>ICG</w:t>
      </w:r>
      <w:r w:rsidR="002A010D" w:rsidRPr="00714401">
        <w:rPr>
          <w:rFonts w:ascii="Book Antiqua" w:hAnsi="Book Antiqua"/>
          <w:sz w:val="24"/>
          <w:szCs w:val="24"/>
          <w:lang w:val="en-US"/>
        </w:rPr>
        <w:t xml:space="preserve"> </w:t>
      </w:r>
      <w:r w:rsidR="00641579" w:rsidRPr="00714401">
        <w:rPr>
          <w:rFonts w:ascii="Book Antiqua" w:hAnsi="Book Antiqua"/>
          <w:sz w:val="24"/>
          <w:szCs w:val="24"/>
          <w:lang w:val="en-US"/>
        </w:rPr>
        <w:t xml:space="preserve">shows </w:t>
      </w:r>
      <w:r w:rsidR="00F022B3" w:rsidRPr="00714401">
        <w:rPr>
          <w:rFonts w:ascii="Book Antiqua" w:hAnsi="Book Antiqua"/>
          <w:sz w:val="24"/>
          <w:szCs w:val="24"/>
          <w:lang w:val="en-US"/>
        </w:rPr>
        <w:t xml:space="preserve">a </w:t>
      </w:r>
      <w:r w:rsidR="00451A73" w:rsidRPr="00714401">
        <w:rPr>
          <w:rFonts w:ascii="Book Antiqua" w:hAnsi="Book Antiqua"/>
          <w:sz w:val="24"/>
          <w:szCs w:val="24"/>
          <w:lang w:val="en-US"/>
        </w:rPr>
        <w:t xml:space="preserve">high </w:t>
      </w:r>
      <w:r w:rsidR="005D056F" w:rsidRPr="00714401">
        <w:rPr>
          <w:rFonts w:ascii="Book Antiqua" w:hAnsi="Book Antiqua"/>
          <w:sz w:val="24"/>
          <w:szCs w:val="24"/>
          <w:lang w:val="en-US"/>
        </w:rPr>
        <w:t>hepatic extraction rate</w:t>
      </w:r>
      <w:r w:rsidR="002A010D" w:rsidRPr="00714401">
        <w:rPr>
          <w:rFonts w:ascii="Book Antiqua" w:hAnsi="Book Antiqua"/>
          <w:sz w:val="24"/>
          <w:szCs w:val="24"/>
          <w:lang w:val="en-US"/>
        </w:rPr>
        <w:t xml:space="preserve">, usually </w:t>
      </w:r>
      <w:r w:rsidR="00C85880" w:rsidRPr="00714401">
        <w:rPr>
          <w:rFonts w:ascii="Book Antiqua" w:hAnsi="Book Antiqua"/>
          <w:sz w:val="24"/>
          <w:szCs w:val="24"/>
          <w:lang w:val="en-US"/>
        </w:rPr>
        <w:t xml:space="preserve">above </w:t>
      </w:r>
      <w:r w:rsidR="00F022B3" w:rsidRPr="00714401">
        <w:rPr>
          <w:rFonts w:ascii="Book Antiqua" w:hAnsi="Book Antiqua"/>
          <w:sz w:val="24"/>
          <w:szCs w:val="24"/>
          <w:lang w:val="en-US"/>
        </w:rPr>
        <w:t>70%</w:t>
      </w:r>
      <w:r w:rsidR="005D056F" w:rsidRPr="00714401">
        <w:rPr>
          <w:rFonts w:ascii="Book Antiqua" w:hAnsi="Book Antiqua"/>
          <w:sz w:val="24"/>
          <w:szCs w:val="24"/>
          <w:lang w:val="en-US"/>
        </w:rPr>
        <w:t xml:space="preserve">. Toxicity is very low, and very rare are </w:t>
      </w:r>
      <w:r w:rsidR="00451A73" w:rsidRPr="00714401">
        <w:rPr>
          <w:rFonts w:ascii="Book Antiqua" w:hAnsi="Book Antiqua"/>
          <w:sz w:val="24"/>
          <w:szCs w:val="24"/>
          <w:lang w:val="en-US"/>
        </w:rPr>
        <w:t xml:space="preserve">the </w:t>
      </w:r>
      <w:r w:rsidR="00C85880" w:rsidRPr="00714401">
        <w:rPr>
          <w:rFonts w:ascii="Book Antiqua" w:hAnsi="Book Antiqua"/>
          <w:sz w:val="24"/>
          <w:szCs w:val="24"/>
          <w:lang w:val="en-US"/>
        </w:rPr>
        <w:t xml:space="preserve">adverse </w:t>
      </w:r>
      <w:r w:rsidR="00547B7F" w:rsidRPr="00714401">
        <w:rPr>
          <w:rFonts w:ascii="Book Antiqua" w:hAnsi="Book Antiqua"/>
          <w:sz w:val="24"/>
          <w:szCs w:val="24"/>
          <w:lang w:val="en-US"/>
        </w:rPr>
        <w:t>effects</w:t>
      </w:r>
      <w:r w:rsidR="005D056F" w:rsidRPr="00714401">
        <w:rPr>
          <w:rFonts w:ascii="Book Antiqua" w:hAnsi="Book Antiqua"/>
          <w:sz w:val="24"/>
          <w:szCs w:val="24"/>
          <w:lang w:val="en-US"/>
        </w:rPr>
        <w:t xml:space="preserve">, reported </w:t>
      </w:r>
      <w:r w:rsidR="00C85880" w:rsidRPr="00714401">
        <w:rPr>
          <w:rFonts w:ascii="Book Antiqua" w:hAnsi="Book Antiqua"/>
          <w:sz w:val="24"/>
          <w:szCs w:val="24"/>
          <w:lang w:val="en-US"/>
        </w:rPr>
        <w:t xml:space="preserve">in </w:t>
      </w:r>
      <w:r w:rsidR="00516EA0" w:rsidRPr="00714401">
        <w:rPr>
          <w:rFonts w:ascii="Book Antiqua" w:hAnsi="Book Antiqua"/>
          <w:sz w:val="24"/>
          <w:szCs w:val="24"/>
          <w:lang w:val="en-US"/>
        </w:rPr>
        <w:t>1/40</w:t>
      </w:r>
      <w:r w:rsidR="00547B7F" w:rsidRPr="00714401">
        <w:rPr>
          <w:rFonts w:ascii="Book Antiqua" w:hAnsi="Book Antiqua"/>
          <w:sz w:val="24"/>
          <w:szCs w:val="24"/>
          <w:lang w:val="en-US"/>
        </w:rPr>
        <w:t>000</w:t>
      </w:r>
      <w:r w:rsidR="00C85880" w:rsidRPr="00714401">
        <w:rPr>
          <w:rFonts w:ascii="Book Antiqua" w:hAnsi="Book Antiqua"/>
          <w:sz w:val="24"/>
          <w:szCs w:val="24"/>
          <w:lang w:val="en-US"/>
        </w:rPr>
        <w:t xml:space="preserve"> cases</w:t>
      </w:r>
      <w:r w:rsidR="005D056F" w:rsidRPr="00714401">
        <w:rPr>
          <w:rFonts w:ascii="Book Antiqua" w:hAnsi="Book Antiqua"/>
          <w:sz w:val="24"/>
          <w:szCs w:val="24"/>
          <w:lang w:val="en-US"/>
        </w:rPr>
        <w:t xml:space="preserve">. </w:t>
      </w:r>
      <w:r w:rsidR="000B601B" w:rsidRPr="00714401">
        <w:rPr>
          <w:rFonts w:ascii="Book Antiqua" w:hAnsi="Book Antiqua"/>
          <w:sz w:val="24"/>
          <w:szCs w:val="24"/>
          <w:lang w:val="en-US"/>
        </w:rPr>
        <w:t>T</w:t>
      </w:r>
      <w:r w:rsidR="00641579" w:rsidRPr="00714401">
        <w:rPr>
          <w:rFonts w:ascii="Book Antiqua" w:hAnsi="Book Antiqua"/>
          <w:sz w:val="24"/>
          <w:szCs w:val="24"/>
          <w:lang w:val="en-US"/>
        </w:rPr>
        <w:t>he presence of I</w:t>
      </w:r>
      <w:r w:rsidR="00C85880" w:rsidRPr="00714401">
        <w:rPr>
          <w:rFonts w:ascii="Book Antiqua" w:hAnsi="Book Antiqua"/>
          <w:sz w:val="24"/>
          <w:szCs w:val="24"/>
          <w:lang w:val="en-US"/>
        </w:rPr>
        <w:t xml:space="preserve">odine </w:t>
      </w:r>
      <w:r w:rsidR="00641579" w:rsidRPr="00714401">
        <w:rPr>
          <w:rFonts w:ascii="Book Antiqua" w:hAnsi="Book Antiqua"/>
          <w:sz w:val="24"/>
          <w:szCs w:val="24"/>
          <w:lang w:val="en-US"/>
        </w:rPr>
        <w:t>in t</w:t>
      </w:r>
      <w:r w:rsidR="00C85880" w:rsidRPr="00714401">
        <w:rPr>
          <w:rFonts w:ascii="Book Antiqua" w:hAnsi="Book Antiqua"/>
          <w:sz w:val="24"/>
          <w:szCs w:val="24"/>
          <w:lang w:val="en-US"/>
        </w:rPr>
        <w:t xml:space="preserve">he ICG molecule </w:t>
      </w:r>
      <w:r w:rsidR="000B601B" w:rsidRPr="00714401">
        <w:rPr>
          <w:rFonts w:ascii="Book Antiqua" w:hAnsi="Book Antiqua"/>
          <w:sz w:val="24"/>
          <w:szCs w:val="24"/>
          <w:lang w:val="en-US"/>
        </w:rPr>
        <w:t xml:space="preserve">constitutes a contraindication to its use in case of </w:t>
      </w:r>
      <w:r w:rsidR="000F4151" w:rsidRPr="00714401">
        <w:rPr>
          <w:rFonts w:ascii="Book Antiqua" w:hAnsi="Book Antiqua"/>
          <w:sz w:val="24"/>
          <w:szCs w:val="24"/>
          <w:lang w:val="en-US"/>
        </w:rPr>
        <w:t xml:space="preserve">thyrotoxicosis and </w:t>
      </w:r>
      <w:r w:rsidR="00451A73" w:rsidRPr="00714401">
        <w:rPr>
          <w:rFonts w:ascii="Book Antiqua" w:hAnsi="Book Antiqua"/>
          <w:sz w:val="24"/>
          <w:szCs w:val="24"/>
          <w:lang w:val="en-US"/>
        </w:rPr>
        <w:t>i</w:t>
      </w:r>
      <w:r w:rsidR="00547B7F" w:rsidRPr="00714401">
        <w:rPr>
          <w:rFonts w:ascii="Book Antiqua" w:hAnsi="Book Antiqua"/>
          <w:sz w:val="24"/>
          <w:szCs w:val="24"/>
          <w:lang w:val="en-US"/>
        </w:rPr>
        <w:t xml:space="preserve">odine </w:t>
      </w:r>
      <w:r w:rsidR="00250325" w:rsidRPr="00714401">
        <w:rPr>
          <w:rFonts w:ascii="Book Antiqua" w:hAnsi="Book Antiqua"/>
          <w:sz w:val="24"/>
          <w:szCs w:val="24"/>
          <w:lang w:val="en-US"/>
        </w:rPr>
        <w:t xml:space="preserve">allergy </w:t>
      </w:r>
      <w:r w:rsidR="00451A73" w:rsidRPr="00714401">
        <w:rPr>
          <w:rFonts w:ascii="Book Antiqua" w:hAnsi="Book Antiqua"/>
          <w:sz w:val="24"/>
          <w:szCs w:val="24"/>
          <w:lang w:val="en-US"/>
        </w:rPr>
        <w:t>(</w:t>
      </w:r>
      <w:r w:rsidR="000F4151" w:rsidRPr="00714401">
        <w:rPr>
          <w:rFonts w:ascii="Book Antiqua" w:hAnsi="Book Antiqua"/>
          <w:sz w:val="24"/>
          <w:szCs w:val="24"/>
          <w:lang w:val="en-US"/>
        </w:rPr>
        <w:t xml:space="preserve">a reaction </w:t>
      </w:r>
      <w:r w:rsidR="00451A73" w:rsidRPr="00714401">
        <w:rPr>
          <w:rFonts w:ascii="Book Antiqua" w:hAnsi="Book Antiqua"/>
          <w:sz w:val="24"/>
          <w:szCs w:val="24"/>
          <w:lang w:val="en-US"/>
        </w:rPr>
        <w:t xml:space="preserve">due to </w:t>
      </w:r>
      <w:r w:rsidR="000C1929" w:rsidRPr="00714401">
        <w:rPr>
          <w:rFonts w:ascii="Book Antiqua" w:hAnsi="Book Antiqua"/>
          <w:sz w:val="24"/>
          <w:szCs w:val="24"/>
          <w:lang w:val="en-US"/>
        </w:rPr>
        <w:t xml:space="preserve">non–immunological </w:t>
      </w:r>
      <w:proofErr w:type="spellStart"/>
      <w:r w:rsidR="000C1929" w:rsidRPr="00714401">
        <w:rPr>
          <w:rFonts w:ascii="Book Antiqua" w:hAnsi="Book Antiqua"/>
          <w:sz w:val="24"/>
          <w:szCs w:val="24"/>
          <w:lang w:val="en-US"/>
        </w:rPr>
        <w:t>h</w:t>
      </w:r>
      <w:r w:rsidR="00547B7F" w:rsidRPr="00714401">
        <w:rPr>
          <w:rFonts w:ascii="Book Antiqua" w:hAnsi="Book Antiqua"/>
          <w:sz w:val="24"/>
          <w:szCs w:val="24"/>
          <w:lang w:val="en-US"/>
        </w:rPr>
        <w:t>ystamine</w:t>
      </w:r>
      <w:proofErr w:type="spellEnd"/>
      <w:r w:rsidR="00547B7F" w:rsidRPr="00714401">
        <w:rPr>
          <w:rFonts w:ascii="Book Antiqua" w:hAnsi="Book Antiqua"/>
          <w:sz w:val="24"/>
          <w:szCs w:val="24"/>
          <w:lang w:val="en-US"/>
        </w:rPr>
        <w:t xml:space="preserve"> release</w:t>
      </w:r>
      <w:r w:rsidR="000F4151" w:rsidRPr="00714401">
        <w:rPr>
          <w:rFonts w:ascii="Book Antiqua" w:hAnsi="Book Antiqua"/>
          <w:sz w:val="24"/>
          <w:szCs w:val="24"/>
          <w:lang w:val="en-US"/>
        </w:rPr>
        <w:t>)</w:t>
      </w:r>
      <w:r w:rsidR="00F04FEA" w:rsidRPr="00714401">
        <w:rPr>
          <w:rFonts w:ascii="Book Antiqua" w:hAnsi="Book Antiqua"/>
          <w:sz w:val="24"/>
          <w:szCs w:val="24"/>
          <w:vertAlign w:val="superscript"/>
          <w:lang w:val="en-US"/>
        </w:rPr>
        <w:t>[6-8]</w:t>
      </w:r>
      <w:r w:rsidR="000F4151" w:rsidRPr="00714401">
        <w:rPr>
          <w:rFonts w:ascii="Book Antiqua" w:hAnsi="Book Antiqua"/>
          <w:sz w:val="24"/>
          <w:szCs w:val="24"/>
          <w:lang w:val="en-US"/>
        </w:rPr>
        <w:t xml:space="preserve">. </w:t>
      </w:r>
      <w:r w:rsidR="00C85880" w:rsidRPr="00714401">
        <w:rPr>
          <w:rFonts w:ascii="Book Antiqua" w:hAnsi="Book Antiqua"/>
          <w:sz w:val="24"/>
          <w:szCs w:val="24"/>
          <w:lang w:val="en-US"/>
        </w:rPr>
        <w:t xml:space="preserve">Since the early sixties, </w:t>
      </w:r>
      <w:r w:rsidR="006706CC" w:rsidRPr="00714401">
        <w:rPr>
          <w:rFonts w:ascii="Book Antiqua" w:hAnsi="Book Antiqua"/>
          <w:sz w:val="24"/>
          <w:szCs w:val="24"/>
          <w:lang w:val="en-US"/>
        </w:rPr>
        <w:t xml:space="preserve">ICG </w:t>
      </w:r>
      <w:r w:rsidR="006E3031" w:rsidRPr="00714401">
        <w:rPr>
          <w:rFonts w:ascii="Book Antiqua" w:hAnsi="Book Antiqua"/>
          <w:sz w:val="24"/>
          <w:szCs w:val="24"/>
          <w:lang w:val="en-US"/>
        </w:rPr>
        <w:t xml:space="preserve">elimination </w:t>
      </w:r>
      <w:r w:rsidR="00B613BD" w:rsidRPr="00714401">
        <w:rPr>
          <w:rFonts w:ascii="Book Antiqua" w:hAnsi="Book Antiqua"/>
          <w:sz w:val="24"/>
          <w:szCs w:val="24"/>
          <w:lang w:val="en-US"/>
        </w:rPr>
        <w:t xml:space="preserve">kinetics </w:t>
      </w:r>
      <w:r w:rsidR="00D335C3" w:rsidRPr="00714401">
        <w:rPr>
          <w:rFonts w:ascii="Book Antiqua" w:hAnsi="Book Antiqua"/>
          <w:sz w:val="24"/>
          <w:szCs w:val="24"/>
          <w:lang w:val="en-US"/>
        </w:rPr>
        <w:t xml:space="preserve">were used to measure </w:t>
      </w:r>
      <w:r w:rsidR="009C44F6" w:rsidRPr="00714401">
        <w:rPr>
          <w:rFonts w:ascii="Book Antiqua" w:hAnsi="Book Antiqua"/>
          <w:sz w:val="24"/>
          <w:szCs w:val="24"/>
          <w:lang w:val="en-US"/>
        </w:rPr>
        <w:t>blood volume</w:t>
      </w:r>
      <w:r w:rsidR="0076063F" w:rsidRPr="00714401">
        <w:rPr>
          <w:rFonts w:ascii="Book Antiqua" w:hAnsi="Book Antiqua"/>
          <w:sz w:val="24"/>
          <w:szCs w:val="24"/>
          <w:lang w:val="en-US"/>
        </w:rPr>
        <w:t xml:space="preserve"> </w:t>
      </w:r>
      <w:r w:rsidR="009C44F6" w:rsidRPr="00714401">
        <w:rPr>
          <w:rFonts w:ascii="Book Antiqua" w:hAnsi="Book Antiqua"/>
          <w:sz w:val="24"/>
          <w:szCs w:val="24"/>
          <w:lang w:val="en-US"/>
        </w:rPr>
        <w:t>and cardiac output</w:t>
      </w:r>
      <w:r w:rsidR="00B613BD" w:rsidRPr="00714401">
        <w:rPr>
          <w:rFonts w:ascii="Book Antiqua" w:hAnsi="Book Antiqua"/>
          <w:sz w:val="24"/>
          <w:szCs w:val="24"/>
          <w:lang w:val="en-US"/>
        </w:rPr>
        <w:t xml:space="preserve">, </w:t>
      </w:r>
      <w:r w:rsidR="006F7141" w:rsidRPr="00714401">
        <w:rPr>
          <w:rFonts w:ascii="Book Antiqua" w:hAnsi="Book Antiqua"/>
          <w:sz w:val="24"/>
          <w:szCs w:val="24"/>
          <w:lang w:val="en-US"/>
        </w:rPr>
        <w:t xml:space="preserve">while in recent years </w:t>
      </w:r>
      <w:r w:rsidR="008E6A89" w:rsidRPr="00714401">
        <w:rPr>
          <w:rFonts w:ascii="Book Antiqua" w:hAnsi="Book Antiqua"/>
          <w:sz w:val="24"/>
          <w:szCs w:val="24"/>
          <w:lang w:val="en-US"/>
        </w:rPr>
        <w:t xml:space="preserve">an increased interest exists in using ICG clearance </w:t>
      </w:r>
      <w:r w:rsidR="00B613BD" w:rsidRPr="00714401">
        <w:rPr>
          <w:rFonts w:ascii="Book Antiqua" w:hAnsi="Book Antiqua"/>
          <w:sz w:val="24"/>
          <w:szCs w:val="24"/>
          <w:lang w:val="en-US"/>
        </w:rPr>
        <w:t xml:space="preserve">parameters </w:t>
      </w:r>
      <w:r w:rsidR="008E6A89" w:rsidRPr="00714401">
        <w:rPr>
          <w:rFonts w:ascii="Book Antiqua" w:hAnsi="Book Antiqua"/>
          <w:sz w:val="24"/>
          <w:szCs w:val="24"/>
          <w:lang w:val="en-US"/>
        </w:rPr>
        <w:t>for a dynamic a</w:t>
      </w:r>
      <w:r w:rsidR="00B613BD" w:rsidRPr="00714401">
        <w:rPr>
          <w:rFonts w:ascii="Book Antiqua" w:hAnsi="Book Antiqua"/>
          <w:sz w:val="24"/>
          <w:szCs w:val="24"/>
          <w:lang w:val="en-US"/>
        </w:rPr>
        <w:t xml:space="preserve">ssessment of liver function both </w:t>
      </w:r>
      <w:r w:rsidR="008E6A89" w:rsidRPr="00714401">
        <w:rPr>
          <w:rFonts w:ascii="Book Antiqua" w:hAnsi="Book Antiqua"/>
          <w:sz w:val="24"/>
          <w:szCs w:val="24"/>
          <w:lang w:val="en-US"/>
        </w:rPr>
        <w:t xml:space="preserve">in </w:t>
      </w:r>
      <w:r w:rsidR="000B601B" w:rsidRPr="00714401">
        <w:rPr>
          <w:rFonts w:ascii="Book Antiqua" w:hAnsi="Book Antiqua"/>
          <w:sz w:val="24"/>
          <w:szCs w:val="24"/>
          <w:lang w:val="en-US"/>
        </w:rPr>
        <w:t xml:space="preserve">medical and </w:t>
      </w:r>
      <w:r w:rsidR="008E6A89" w:rsidRPr="00714401">
        <w:rPr>
          <w:rFonts w:ascii="Book Antiqua" w:hAnsi="Book Antiqua"/>
          <w:sz w:val="24"/>
          <w:szCs w:val="24"/>
          <w:lang w:val="en-US"/>
        </w:rPr>
        <w:t xml:space="preserve">surgical </w:t>
      </w:r>
      <w:r w:rsidR="000B601B" w:rsidRPr="00714401">
        <w:rPr>
          <w:rFonts w:ascii="Book Antiqua" w:hAnsi="Book Antiqua"/>
          <w:sz w:val="24"/>
          <w:szCs w:val="24"/>
          <w:lang w:val="en-US"/>
        </w:rPr>
        <w:t>setting</w:t>
      </w:r>
      <w:r w:rsidR="00F8427F" w:rsidRPr="00714401">
        <w:rPr>
          <w:rFonts w:ascii="Book Antiqua" w:hAnsi="Book Antiqua"/>
          <w:sz w:val="24"/>
          <w:szCs w:val="24"/>
          <w:lang w:val="en-US"/>
        </w:rPr>
        <w:t>s</w:t>
      </w:r>
      <w:r w:rsidR="000B601B" w:rsidRPr="00714401">
        <w:rPr>
          <w:rFonts w:ascii="Book Antiqua" w:hAnsi="Book Antiqua"/>
          <w:sz w:val="24"/>
          <w:szCs w:val="24"/>
          <w:vertAlign w:val="superscript"/>
          <w:lang w:val="en-US"/>
        </w:rPr>
        <w:t>[</w:t>
      </w:r>
      <w:r w:rsidR="00516EA0" w:rsidRPr="00714401">
        <w:rPr>
          <w:rFonts w:ascii="Book Antiqua" w:hAnsi="Book Antiqua"/>
          <w:sz w:val="24"/>
          <w:szCs w:val="24"/>
          <w:vertAlign w:val="superscript"/>
          <w:lang w:val="en-US"/>
        </w:rPr>
        <w:t>6,</w:t>
      </w:r>
      <w:r w:rsidR="008E6A89" w:rsidRPr="00714401">
        <w:rPr>
          <w:rFonts w:ascii="Book Antiqua" w:hAnsi="Book Antiqua"/>
          <w:sz w:val="24"/>
          <w:szCs w:val="24"/>
          <w:vertAlign w:val="superscript"/>
          <w:lang w:val="en-US"/>
        </w:rPr>
        <w:t>9-11]</w:t>
      </w:r>
      <w:r w:rsidR="008E6A89" w:rsidRPr="00714401">
        <w:rPr>
          <w:rFonts w:ascii="Book Antiqua" w:hAnsi="Book Antiqua"/>
          <w:sz w:val="24"/>
          <w:szCs w:val="24"/>
          <w:lang w:val="en-US"/>
        </w:rPr>
        <w:t xml:space="preserve">. </w:t>
      </w:r>
      <w:r w:rsidR="00540830" w:rsidRPr="00714401">
        <w:rPr>
          <w:rFonts w:ascii="Book Antiqua" w:hAnsi="Book Antiqua"/>
          <w:sz w:val="24"/>
          <w:szCs w:val="24"/>
          <w:lang w:val="en-US"/>
        </w:rPr>
        <w:t xml:space="preserve">The </w:t>
      </w:r>
      <w:r w:rsidR="00F51116" w:rsidRPr="00714401">
        <w:rPr>
          <w:rFonts w:ascii="Book Antiqua" w:hAnsi="Book Antiqua"/>
          <w:sz w:val="24"/>
          <w:szCs w:val="24"/>
          <w:lang w:val="en-US"/>
        </w:rPr>
        <w:t xml:space="preserve">“standard” </w:t>
      </w:r>
      <w:r w:rsidR="00D335C3" w:rsidRPr="00714401">
        <w:rPr>
          <w:rFonts w:ascii="Book Antiqua" w:hAnsi="Book Antiqua"/>
          <w:sz w:val="24"/>
          <w:szCs w:val="24"/>
          <w:lang w:val="en-US"/>
        </w:rPr>
        <w:t xml:space="preserve">determination </w:t>
      </w:r>
      <w:r w:rsidR="00540830" w:rsidRPr="00714401">
        <w:rPr>
          <w:rFonts w:ascii="Book Antiqua" w:hAnsi="Book Antiqua"/>
          <w:sz w:val="24"/>
          <w:szCs w:val="24"/>
          <w:lang w:val="en-US"/>
        </w:rPr>
        <w:t>of ICG Clearance (</w:t>
      </w:r>
      <w:proofErr w:type="spellStart"/>
      <w:r w:rsidR="00540830" w:rsidRPr="00714401">
        <w:rPr>
          <w:rFonts w:ascii="Book Antiqua" w:hAnsi="Book Antiqua"/>
          <w:sz w:val="24"/>
          <w:szCs w:val="24"/>
          <w:lang w:val="en-US"/>
        </w:rPr>
        <w:t>ICG</w:t>
      </w:r>
      <w:r w:rsidR="00540830" w:rsidRPr="00714401">
        <w:rPr>
          <w:rFonts w:ascii="Book Antiqua" w:hAnsi="Book Antiqua"/>
          <w:sz w:val="24"/>
          <w:szCs w:val="24"/>
          <w:vertAlign w:val="subscript"/>
          <w:lang w:val="en-US"/>
        </w:rPr>
        <w:t>Cl</w:t>
      </w:r>
      <w:proofErr w:type="spellEnd"/>
      <w:r w:rsidR="00540830" w:rsidRPr="00714401">
        <w:rPr>
          <w:rFonts w:ascii="Book Antiqua" w:hAnsi="Book Antiqua"/>
          <w:sz w:val="24"/>
          <w:szCs w:val="24"/>
          <w:lang w:val="en-US"/>
        </w:rPr>
        <w:t>)</w:t>
      </w:r>
      <w:r w:rsidR="0076063F" w:rsidRPr="00714401">
        <w:rPr>
          <w:rFonts w:ascii="Book Antiqua" w:hAnsi="Book Antiqua"/>
          <w:sz w:val="24"/>
          <w:szCs w:val="24"/>
          <w:vertAlign w:val="subscript"/>
          <w:lang w:val="en-US"/>
        </w:rPr>
        <w:t xml:space="preserve"> </w:t>
      </w:r>
      <w:r w:rsidR="00540830" w:rsidRPr="00714401">
        <w:rPr>
          <w:rFonts w:ascii="Book Antiqua" w:hAnsi="Book Antiqua"/>
          <w:sz w:val="24"/>
          <w:szCs w:val="24"/>
          <w:lang w:val="en-US"/>
        </w:rPr>
        <w:t xml:space="preserve">relies upon a </w:t>
      </w:r>
      <w:r w:rsidR="00F8427F" w:rsidRPr="00714401">
        <w:rPr>
          <w:rFonts w:ascii="Book Antiqua" w:hAnsi="Book Antiqua"/>
          <w:sz w:val="24"/>
          <w:szCs w:val="24"/>
          <w:lang w:val="en-US"/>
        </w:rPr>
        <w:t xml:space="preserve">rather complex </w:t>
      </w:r>
      <w:r w:rsidR="00540830" w:rsidRPr="00714401">
        <w:rPr>
          <w:rFonts w:ascii="Book Antiqua" w:hAnsi="Book Antiqua"/>
          <w:i/>
          <w:sz w:val="24"/>
          <w:szCs w:val="24"/>
          <w:lang w:val="en-US"/>
        </w:rPr>
        <w:t xml:space="preserve">ex vivo </w:t>
      </w:r>
      <w:r w:rsidR="00540830" w:rsidRPr="00714401">
        <w:rPr>
          <w:rFonts w:ascii="Book Antiqua" w:hAnsi="Book Antiqua"/>
          <w:sz w:val="24"/>
          <w:szCs w:val="24"/>
          <w:lang w:val="en-US"/>
        </w:rPr>
        <w:t xml:space="preserve">photometric analysis of </w:t>
      </w:r>
      <w:r w:rsidR="00B613BD" w:rsidRPr="00714401">
        <w:rPr>
          <w:rFonts w:ascii="Book Antiqua" w:hAnsi="Book Antiqua"/>
          <w:sz w:val="24"/>
          <w:szCs w:val="24"/>
          <w:lang w:val="en-US"/>
        </w:rPr>
        <w:t xml:space="preserve">multiple </w:t>
      </w:r>
      <w:r w:rsidR="00540830" w:rsidRPr="00714401">
        <w:rPr>
          <w:rFonts w:ascii="Book Antiqua" w:hAnsi="Book Antiqua"/>
          <w:sz w:val="24"/>
          <w:szCs w:val="24"/>
          <w:lang w:val="en-US"/>
        </w:rPr>
        <w:t>arterial blood samples obtained in a short time frame (15 min)</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after the intravenous administration: in spite of</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being so far the gold standard, it is now used for research purposes</w:t>
      </w:r>
      <w:r w:rsidR="00F51116" w:rsidRPr="00714401">
        <w:rPr>
          <w:rFonts w:ascii="Book Antiqua" w:hAnsi="Book Antiqua"/>
          <w:sz w:val="24"/>
          <w:szCs w:val="24"/>
          <w:lang w:val="en-US"/>
        </w:rPr>
        <w:t xml:space="preserve"> only</w:t>
      </w:r>
      <w:r w:rsidR="00540830"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New bedside, easy to use transcutaneous - non-invasive pulse dye densitometry (PDD)</w:t>
      </w:r>
      <w:r w:rsidR="008E6A89" w:rsidRPr="00714401">
        <w:rPr>
          <w:rFonts w:ascii="Book Antiqua" w:hAnsi="Book Antiqua"/>
          <w:sz w:val="24"/>
          <w:szCs w:val="24"/>
          <w:lang w:val="en-US"/>
        </w:rPr>
        <w:t xml:space="preserve"> devices </w:t>
      </w:r>
      <w:r w:rsidR="00085481" w:rsidRPr="00714401">
        <w:rPr>
          <w:rFonts w:ascii="Book Antiqua" w:hAnsi="Book Antiqua"/>
          <w:sz w:val="24"/>
          <w:szCs w:val="24"/>
          <w:lang w:val="en-US"/>
        </w:rPr>
        <w:t xml:space="preserve">able to measure ICG concentrations </w:t>
      </w:r>
      <w:r w:rsidR="008E6A89" w:rsidRPr="00714401">
        <w:rPr>
          <w:rFonts w:ascii="Book Antiqua" w:hAnsi="Book Antiqua"/>
          <w:sz w:val="24"/>
          <w:szCs w:val="24"/>
          <w:lang w:val="en-US"/>
        </w:rPr>
        <w:t>are</w:t>
      </w:r>
      <w:r w:rsidR="006F7141" w:rsidRPr="00714401">
        <w:rPr>
          <w:rFonts w:ascii="Book Antiqua" w:hAnsi="Book Antiqua"/>
          <w:sz w:val="24"/>
          <w:szCs w:val="24"/>
          <w:lang w:val="en-US"/>
        </w:rPr>
        <w:t xml:space="preserve"> </w:t>
      </w:r>
      <w:r w:rsidR="00540830" w:rsidRPr="00714401">
        <w:rPr>
          <w:rFonts w:ascii="Book Antiqua" w:hAnsi="Book Antiqua"/>
          <w:sz w:val="24"/>
          <w:szCs w:val="24"/>
          <w:lang w:val="en-US"/>
        </w:rPr>
        <w:t xml:space="preserve">on the rise </w:t>
      </w:r>
      <w:r w:rsidR="008E6A89" w:rsidRPr="00714401">
        <w:rPr>
          <w:rFonts w:ascii="Book Antiqua" w:hAnsi="Book Antiqua"/>
          <w:sz w:val="24"/>
          <w:szCs w:val="24"/>
          <w:lang w:val="en-US"/>
        </w:rPr>
        <w:t xml:space="preserve">for the use in clinical </w:t>
      </w:r>
      <w:proofErr w:type="gramStart"/>
      <w:r w:rsidR="008E6A89" w:rsidRPr="00714401">
        <w:rPr>
          <w:rFonts w:ascii="Book Antiqua" w:hAnsi="Book Antiqua"/>
          <w:sz w:val="24"/>
          <w:szCs w:val="24"/>
          <w:lang w:val="en-US"/>
        </w:rPr>
        <w:t>practice</w:t>
      </w:r>
      <w:r w:rsidR="00540830" w:rsidRPr="00714401">
        <w:rPr>
          <w:rFonts w:ascii="Book Antiqua" w:hAnsi="Book Antiqua"/>
          <w:sz w:val="24"/>
          <w:szCs w:val="24"/>
          <w:vertAlign w:val="superscript"/>
          <w:lang w:val="en-US"/>
        </w:rPr>
        <w:t>[</w:t>
      </w:r>
      <w:proofErr w:type="gramEnd"/>
      <w:r w:rsidR="00540830" w:rsidRPr="00714401">
        <w:rPr>
          <w:rFonts w:ascii="Book Antiqua" w:hAnsi="Book Antiqua"/>
          <w:sz w:val="24"/>
          <w:szCs w:val="24"/>
          <w:vertAlign w:val="superscript"/>
          <w:lang w:val="en-US"/>
        </w:rPr>
        <w:t>1,6,7]</w:t>
      </w:r>
      <w:r w:rsidR="00540830" w:rsidRPr="00714401">
        <w:rPr>
          <w:rFonts w:ascii="Book Antiqua" w:hAnsi="Book Antiqua"/>
          <w:sz w:val="24"/>
          <w:szCs w:val="24"/>
          <w:lang w:val="en-US"/>
        </w:rPr>
        <w:t xml:space="preserve">. </w:t>
      </w:r>
      <w:r w:rsidR="008E6A89" w:rsidRPr="00714401">
        <w:rPr>
          <w:rFonts w:ascii="Book Antiqua" w:hAnsi="Book Antiqua"/>
          <w:sz w:val="24"/>
          <w:szCs w:val="24"/>
          <w:lang w:val="en-US"/>
        </w:rPr>
        <w:t>Among them are</w:t>
      </w:r>
      <w:r w:rsidR="0076063F" w:rsidRPr="00714401">
        <w:rPr>
          <w:rFonts w:ascii="Book Antiqua" w:hAnsi="Book Antiqua"/>
          <w:sz w:val="24"/>
          <w:szCs w:val="24"/>
          <w:lang w:val="en-US"/>
        </w:rPr>
        <w:t xml:space="preserve"> </w:t>
      </w:r>
      <w:proofErr w:type="spellStart"/>
      <w:r w:rsidR="00540830" w:rsidRPr="00714401">
        <w:rPr>
          <w:rFonts w:ascii="Book Antiqua" w:hAnsi="Book Antiqua"/>
          <w:sz w:val="24"/>
          <w:szCs w:val="24"/>
          <w:lang w:val="en-US"/>
        </w:rPr>
        <w:t>LiMon</w:t>
      </w:r>
      <w:proofErr w:type="spellEnd"/>
      <w:r w:rsidR="00540830" w:rsidRPr="00714401">
        <w:rPr>
          <w:rFonts w:ascii="Book Antiqua" w:hAnsi="Book Antiqua"/>
          <w:sz w:val="24"/>
          <w:szCs w:val="24"/>
          <w:lang w:val="en-US"/>
        </w:rPr>
        <w:t>, (</w:t>
      </w:r>
      <w:proofErr w:type="spellStart"/>
      <w:r w:rsidR="00540830" w:rsidRPr="00714401">
        <w:rPr>
          <w:rFonts w:ascii="Book Antiqua" w:hAnsi="Book Antiqua"/>
          <w:sz w:val="24"/>
          <w:szCs w:val="24"/>
          <w:lang w:val="en-US"/>
        </w:rPr>
        <w:t>Pulsion</w:t>
      </w:r>
      <w:proofErr w:type="spellEnd"/>
      <w:r w:rsidR="00F04FEA" w:rsidRPr="00714401">
        <w:rPr>
          <w:rFonts w:ascii="Book Antiqua" w:hAnsi="Book Antiqua"/>
          <w:sz w:val="24"/>
          <w:szCs w:val="24"/>
          <w:lang w:val="en-US"/>
        </w:rPr>
        <w:t xml:space="preserve"> Medical System</w:t>
      </w:r>
      <w:r w:rsidR="00540830" w:rsidRPr="00714401">
        <w:rPr>
          <w:rFonts w:ascii="Book Antiqua" w:hAnsi="Book Antiqua"/>
          <w:sz w:val="24"/>
          <w:szCs w:val="24"/>
          <w:lang w:val="en-US"/>
        </w:rPr>
        <w:t xml:space="preserve">, Germany) and DDG 2001 (Nihon </w:t>
      </w:r>
      <w:proofErr w:type="spellStart"/>
      <w:r w:rsidR="00540830" w:rsidRPr="00714401">
        <w:rPr>
          <w:rFonts w:ascii="Book Antiqua" w:hAnsi="Book Antiqua"/>
          <w:sz w:val="24"/>
          <w:szCs w:val="24"/>
          <w:lang w:val="en-US"/>
        </w:rPr>
        <w:t>Kohden</w:t>
      </w:r>
      <w:proofErr w:type="spellEnd"/>
      <w:r w:rsidR="00540830" w:rsidRPr="00714401">
        <w:rPr>
          <w:rFonts w:ascii="Book Antiqua" w:hAnsi="Book Antiqua"/>
          <w:sz w:val="24"/>
          <w:szCs w:val="24"/>
          <w:lang w:val="en-US"/>
        </w:rPr>
        <w:t>, Japan): ICG elimination is expressed as ICG Plasma</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Disappearance Rate (ICG</w:t>
      </w:r>
      <w:r w:rsidR="00540830" w:rsidRPr="00714401">
        <w:rPr>
          <w:rFonts w:ascii="Book Antiqua" w:hAnsi="Book Antiqua"/>
          <w:sz w:val="24"/>
          <w:szCs w:val="24"/>
          <w:vertAlign w:val="subscript"/>
          <w:lang w:val="en-US"/>
        </w:rPr>
        <w:t>PDR)</w:t>
      </w:r>
      <w:r w:rsidR="00540830" w:rsidRPr="00714401">
        <w:rPr>
          <w:rFonts w:ascii="Book Antiqua" w:hAnsi="Book Antiqua"/>
          <w:sz w:val="24"/>
          <w:szCs w:val="24"/>
          <w:lang w:val="en-US"/>
        </w:rPr>
        <w:t xml:space="preserve"> or Retention Rate at </w:t>
      </w:r>
      <w:r w:rsidR="0047787C" w:rsidRPr="00714401">
        <w:rPr>
          <w:rFonts w:ascii="Book Antiqua" w:hAnsi="Book Antiqua"/>
          <w:sz w:val="24"/>
          <w:szCs w:val="24"/>
          <w:lang w:val="en-US"/>
        </w:rPr>
        <w:t>fifteen</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min</w:t>
      </w:r>
      <w:r w:rsidR="00313DE1" w:rsidRPr="00714401">
        <w:rPr>
          <w:rFonts w:ascii="Book Antiqua" w:hAnsi="Book Antiqua"/>
          <w:sz w:val="24"/>
          <w:szCs w:val="24"/>
          <w:lang w:val="en-US"/>
        </w:rPr>
        <w:t>utes</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(ICG</w:t>
      </w:r>
      <w:r w:rsidR="00540830" w:rsidRPr="00714401">
        <w:rPr>
          <w:rFonts w:ascii="Book Antiqua" w:hAnsi="Book Antiqua"/>
          <w:sz w:val="24"/>
          <w:szCs w:val="24"/>
          <w:vertAlign w:val="subscript"/>
          <w:lang w:val="en-US"/>
        </w:rPr>
        <w:t>R15</w:t>
      </w:r>
      <w:r w:rsidR="00540830" w:rsidRPr="00714401">
        <w:rPr>
          <w:rFonts w:ascii="Book Antiqua" w:hAnsi="Book Antiqua"/>
          <w:sz w:val="24"/>
          <w:szCs w:val="24"/>
          <w:lang w:val="en-US"/>
        </w:rPr>
        <w:t>), assessing</w:t>
      </w:r>
      <w:r w:rsidR="0076063F" w:rsidRPr="00714401">
        <w:rPr>
          <w:rFonts w:ascii="Book Antiqua" w:hAnsi="Book Antiqua"/>
          <w:sz w:val="24"/>
          <w:szCs w:val="24"/>
          <w:lang w:val="en-US"/>
        </w:rPr>
        <w:t xml:space="preserve"> </w:t>
      </w:r>
      <w:r w:rsidR="00540830" w:rsidRPr="00714401">
        <w:rPr>
          <w:rFonts w:ascii="Book Antiqua" w:hAnsi="Book Antiqua"/>
          <w:sz w:val="24"/>
          <w:szCs w:val="24"/>
          <w:lang w:val="en-US"/>
        </w:rPr>
        <w:t>rela</w:t>
      </w:r>
      <w:r w:rsidR="008E6A89" w:rsidRPr="00714401">
        <w:rPr>
          <w:rFonts w:ascii="Book Antiqua" w:hAnsi="Book Antiqua"/>
          <w:sz w:val="24"/>
          <w:szCs w:val="24"/>
          <w:lang w:val="en-US"/>
        </w:rPr>
        <w:t>tive ICG concentration changes</w:t>
      </w:r>
      <w:r w:rsidR="00651CC6" w:rsidRPr="00714401">
        <w:rPr>
          <w:rFonts w:ascii="Book Antiqua" w:hAnsi="Book Antiqua" w:hint="eastAsia"/>
          <w:sz w:val="24"/>
          <w:szCs w:val="24"/>
          <w:lang w:val="en-US" w:eastAsia="zh-CN"/>
        </w:rPr>
        <w:t xml:space="preserve"> (</w:t>
      </w:r>
      <w:r w:rsidR="00651CC6" w:rsidRPr="00714401">
        <w:rPr>
          <w:rFonts w:ascii="Book Antiqua" w:hAnsi="Book Antiqua"/>
          <w:sz w:val="24"/>
          <w:szCs w:val="24"/>
          <w:lang w:val="en-US" w:eastAsia="zh-CN"/>
        </w:rPr>
        <w:t>F</w:t>
      </w:r>
      <w:r w:rsidR="00651CC6" w:rsidRPr="00714401">
        <w:rPr>
          <w:rFonts w:ascii="Book Antiqua" w:hAnsi="Book Antiqua" w:hint="eastAsia"/>
          <w:sz w:val="24"/>
          <w:szCs w:val="24"/>
          <w:lang w:val="en-US" w:eastAsia="zh-CN"/>
        </w:rPr>
        <w:t>igure 2)</w:t>
      </w:r>
      <w:r w:rsidR="00516EA0" w:rsidRPr="00714401">
        <w:rPr>
          <w:rFonts w:ascii="Book Antiqua" w:hAnsi="Book Antiqua" w:hint="eastAsia"/>
          <w:sz w:val="24"/>
          <w:szCs w:val="24"/>
          <w:lang w:val="en-US" w:eastAsia="zh-CN"/>
        </w:rPr>
        <w:t>.</w:t>
      </w:r>
      <w:r w:rsidR="008E6A89" w:rsidRPr="00714401">
        <w:rPr>
          <w:rFonts w:ascii="Book Antiqua" w:hAnsi="Book Antiqua"/>
          <w:sz w:val="24"/>
          <w:szCs w:val="24"/>
          <w:lang w:val="en-US"/>
        </w:rPr>
        <w:t xml:space="preserve"> </w:t>
      </w:r>
    </w:p>
    <w:p w:rsidR="00357EB8" w:rsidRPr="00714401" w:rsidRDefault="00B613BD" w:rsidP="00516EA0">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 xml:space="preserve">In </w:t>
      </w:r>
      <w:r w:rsidR="00D335C3" w:rsidRPr="00714401">
        <w:rPr>
          <w:rFonts w:ascii="Book Antiqua" w:hAnsi="Book Antiqua"/>
          <w:sz w:val="24"/>
          <w:szCs w:val="24"/>
          <w:lang w:val="en-US"/>
        </w:rPr>
        <w:t xml:space="preserve">hemodynamically stable or unstable ICU patients, </w:t>
      </w:r>
      <w:r w:rsidRPr="00714401">
        <w:rPr>
          <w:rFonts w:ascii="Book Antiqua" w:hAnsi="Book Antiqua"/>
          <w:sz w:val="24"/>
          <w:szCs w:val="24"/>
          <w:lang w:val="en-US"/>
        </w:rPr>
        <w:t>in</w:t>
      </w:r>
      <w:r w:rsidR="00F8427F" w:rsidRPr="00714401">
        <w:rPr>
          <w:rFonts w:ascii="Book Antiqua" w:hAnsi="Book Antiqua"/>
          <w:sz w:val="24"/>
          <w:szCs w:val="24"/>
          <w:lang w:val="en-US"/>
        </w:rPr>
        <w:t xml:space="preserve"> </w:t>
      </w:r>
      <w:r w:rsidR="00D335C3" w:rsidRPr="00714401">
        <w:rPr>
          <w:rFonts w:ascii="Book Antiqua" w:hAnsi="Book Antiqua"/>
          <w:sz w:val="24"/>
          <w:szCs w:val="24"/>
          <w:lang w:val="en-US"/>
        </w:rPr>
        <w:t>l</w:t>
      </w:r>
      <w:r w:rsidRPr="00714401">
        <w:rPr>
          <w:rFonts w:ascii="Book Antiqua" w:hAnsi="Book Antiqua"/>
          <w:sz w:val="24"/>
          <w:szCs w:val="24"/>
          <w:lang w:val="en-US"/>
        </w:rPr>
        <w:t xml:space="preserve">iver transplanted </w:t>
      </w:r>
      <w:r w:rsidR="007E6FEE" w:rsidRPr="00714401">
        <w:rPr>
          <w:rFonts w:ascii="Book Antiqua" w:hAnsi="Book Antiqua"/>
          <w:sz w:val="24"/>
          <w:szCs w:val="24"/>
          <w:lang w:val="en-US"/>
        </w:rPr>
        <w:t xml:space="preserve">patients </w:t>
      </w:r>
      <w:r w:rsidRPr="00714401">
        <w:rPr>
          <w:rFonts w:ascii="Book Antiqua" w:hAnsi="Book Antiqua"/>
          <w:sz w:val="24"/>
          <w:szCs w:val="24"/>
          <w:lang w:val="en-US"/>
        </w:rPr>
        <w:t xml:space="preserve">and in </w:t>
      </w:r>
      <w:r w:rsidR="0057399E" w:rsidRPr="00714401">
        <w:rPr>
          <w:rFonts w:ascii="Book Antiqua" w:hAnsi="Book Antiqua"/>
          <w:sz w:val="24"/>
          <w:szCs w:val="24"/>
          <w:lang w:val="en-US"/>
        </w:rPr>
        <w:t xml:space="preserve">subjects </w:t>
      </w:r>
      <w:r w:rsidRPr="00714401">
        <w:rPr>
          <w:rFonts w:ascii="Book Antiqua" w:hAnsi="Book Antiqua"/>
          <w:sz w:val="24"/>
          <w:szCs w:val="24"/>
          <w:lang w:val="en-US"/>
        </w:rPr>
        <w:t>involved in major liver surgery, g</w:t>
      </w:r>
      <w:r w:rsidR="00CC6745" w:rsidRPr="00714401">
        <w:rPr>
          <w:rFonts w:ascii="Book Antiqua" w:hAnsi="Book Antiqua"/>
          <w:sz w:val="24"/>
          <w:szCs w:val="24"/>
          <w:lang w:val="en-US"/>
        </w:rPr>
        <w:t xml:space="preserve">ood correlation </w:t>
      </w:r>
      <w:r w:rsidR="00F51116" w:rsidRPr="00714401">
        <w:rPr>
          <w:rFonts w:ascii="Book Antiqua" w:hAnsi="Book Antiqua"/>
          <w:sz w:val="24"/>
          <w:szCs w:val="24"/>
          <w:lang w:val="en-US"/>
        </w:rPr>
        <w:t xml:space="preserve">exists </w:t>
      </w:r>
      <w:r w:rsidR="008E6A89" w:rsidRPr="00714401">
        <w:rPr>
          <w:rFonts w:ascii="Book Antiqua" w:hAnsi="Book Antiqua"/>
          <w:sz w:val="24"/>
          <w:szCs w:val="24"/>
          <w:lang w:val="en-US"/>
        </w:rPr>
        <w:t>b</w:t>
      </w:r>
      <w:r w:rsidR="00CC6745" w:rsidRPr="00714401">
        <w:rPr>
          <w:rFonts w:ascii="Book Antiqua" w:hAnsi="Book Antiqua"/>
          <w:sz w:val="24"/>
          <w:szCs w:val="24"/>
          <w:lang w:val="en-US"/>
        </w:rPr>
        <w:t xml:space="preserve">etween ICG elimination measurements performed with the standard </w:t>
      </w:r>
      <w:r w:rsidR="008E6A89" w:rsidRPr="00714401">
        <w:rPr>
          <w:rFonts w:ascii="Book Antiqua" w:hAnsi="Book Antiqua"/>
          <w:sz w:val="24"/>
          <w:szCs w:val="24"/>
          <w:lang w:val="en-US"/>
        </w:rPr>
        <w:t>“</w:t>
      </w:r>
      <w:r w:rsidR="00CC6745" w:rsidRPr="00714401">
        <w:rPr>
          <w:rFonts w:ascii="Book Antiqua" w:hAnsi="Book Antiqua"/>
          <w:sz w:val="24"/>
          <w:szCs w:val="24"/>
          <w:lang w:val="en-US"/>
        </w:rPr>
        <w:t>invasive</w:t>
      </w:r>
      <w:r w:rsidR="008E6A89" w:rsidRPr="00714401">
        <w:rPr>
          <w:rFonts w:ascii="Book Antiqua" w:hAnsi="Book Antiqua"/>
          <w:sz w:val="24"/>
          <w:szCs w:val="24"/>
          <w:lang w:val="en-US"/>
        </w:rPr>
        <w:t>”</w:t>
      </w:r>
      <w:r w:rsidR="00CC6745" w:rsidRPr="00714401">
        <w:rPr>
          <w:rFonts w:ascii="Book Antiqua" w:hAnsi="Book Antiqua"/>
          <w:sz w:val="24"/>
          <w:szCs w:val="24"/>
          <w:lang w:val="en-US"/>
        </w:rPr>
        <w:t xml:space="preserve"> method and the</w:t>
      </w:r>
      <w:r w:rsidR="0076063F" w:rsidRPr="00714401">
        <w:rPr>
          <w:rFonts w:ascii="Book Antiqua" w:hAnsi="Book Antiqua"/>
          <w:sz w:val="24"/>
          <w:szCs w:val="24"/>
          <w:lang w:val="en-US"/>
        </w:rPr>
        <w:t xml:space="preserve"> </w:t>
      </w:r>
      <w:r w:rsidR="00CC6745" w:rsidRPr="00714401">
        <w:rPr>
          <w:rFonts w:ascii="Book Antiqua" w:hAnsi="Book Antiqua"/>
          <w:sz w:val="24"/>
          <w:szCs w:val="24"/>
          <w:lang w:val="en-US"/>
        </w:rPr>
        <w:t>PDD technology</w:t>
      </w:r>
      <w:r w:rsidR="00E465B1"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2A347D" w:rsidRPr="00714401">
        <w:rPr>
          <w:rFonts w:ascii="Book Antiqua" w:hAnsi="Book Antiqua"/>
          <w:sz w:val="24"/>
          <w:szCs w:val="24"/>
          <w:lang w:val="en-US"/>
        </w:rPr>
        <w:t xml:space="preserve">In </w:t>
      </w:r>
      <w:r w:rsidR="00CC6745" w:rsidRPr="00714401">
        <w:rPr>
          <w:rFonts w:ascii="Book Antiqua" w:hAnsi="Book Antiqua"/>
          <w:sz w:val="24"/>
          <w:szCs w:val="24"/>
          <w:lang w:val="en-US"/>
        </w:rPr>
        <w:t xml:space="preserve">healthy </w:t>
      </w:r>
      <w:r w:rsidR="002A347D" w:rsidRPr="00714401">
        <w:rPr>
          <w:rFonts w:ascii="Book Antiqua" w:hAnsi="Book Antiqua"/>
          <w:sz w:val="24"/>
          <w:szCs w:val="24"/>
          <w:lang w:val="en-US"/>
        </w:rPr>
        <w:t>subject</w:t>
      </w:r>
      <w:r w:rsidR="00CC6745" w:rsidRPr="00714401">
        <w:rPr>
          <w:rFonts w:ascii="Book Antiqua" w:hAnsi="Book Antiqua"/>
          <w:sz w:val="24"/>
          <w:szCs w:val="24"/>
          <w:lang w:val="en-US"/>
        </w:rPr>
        <w:t>s</w:t>
      </w:r>
      <w:r w:rsidR="002A010D" w:rsidRPr="00714401">
        <w:rPr>
          <w:rFonts w:ascii="Book Antiqua" w:hAnsi="Book Antiqua"/>
          <w:sz w:val="24"/>
          <w:szCs w:val="24"/>
          <w:lang w:val="en-US"/>
        </w:rPr>
        <w:t xml:space="preserve">, </w:t>
      </w:r>
      <w:r w:rsidR="0044672B" w:rsidRPr="00714401">
        <w:rPr>
          <w:rFonts w:ascii="Book Antiqua" w:hAnsi="Book Antiqua"/>
          <w:sz w:val="24"/>
          <w:szCs w:val="24"/>
          <w:lang w:val="en-US"/>
        </w:rPr>
        <w:t>the intr</w:t>
      </w:r>
      <w:r w:rsidR="00E0766D" w:rsidRPr="00714401">
        <w:rPr>
          <w:rFonts w:ascii="Book Antiqua" w:hAnsi="Book Antiqua"/>
          <w:sz w:val="24"/>
          <w:szCs w:val="24"/>
          <w:lang w:val="en-US"/>
        </w:rPr>
        <w:t xml:space="preserve">avenous </w:t>
      </w:r>
      <w:r w:rsidR="0044672B" w:rsidRPr="00714401">
        <w:rPr>
          <w:rFonts w:ascii="Book Antiqua" w:hAnsi="Book Antiqua"/>
          <w:sz w:val="24"/>
          <w:szCs w:val="24"/>
          <w:lang w:val="en-US"/>
        </w:rPr>
        <w:t xml:space="preserve">injection </w:t>
      </w:r>
      <w:r w:rsidR="00313DE1" w:rsidRPr="00714401">
        <w:rPr>
          <w:rFonts w:ascii="Book Antiqua" w:hAnsi="Book Antiqua"/>
          <w:sz w:val="24"/>
          <w:szCs w:val="24"/>
          <w:lang w:val="en-US"/>
        </w:rPr>
        <w:t>of ICG at the dosage of</w:t>
      </w:r>
      <w:r w:rsidR="0076063F" w:rsidRPr="00714401">
        <w:rPr>
          <w:rFonts w:ascii="Book Antiqua" w:hAnsi="Book Antiqua"/>
          <w:sz w:val="24"/>
          <w:szCs w:val="24"/>
          <w:lang w:val="en-US"/>
        </w:rPr>
        <w:t xml:space="preserve"> </w:t>
      </w:r>
      <w:r w:rsidR="00E465B1" w:rsidRPr="00714401">
        <w:rPr>
          <w:rFonts w:ascii="Book Antiqua" w:hAnsi="Book Antiqua"/>
          <w:sz w:val="24"/>
          <w:szCs w:val="24"/>
          <w:lang w:val="en-US"/>
        </w:rPr>
        <w:t>0.5 mg</w:t>
      </w:r>
      <w:r w:rsidR="00651CC6" w:rsidRPr="00714401">
        <w:rPr>
          <w:rFonts w:ascii="Book Antiqua" w:hAnsi="Book Antiqua" w:hint="eastAsia"/>
          <w:sz w:val="24"/>
          <w:szCs w:val="24"/>
          <w:lang w:val="en-US" w:eastAsia="zh-CN"/>
        </w:rPr>
        <w:t>/</w:t>
      </w:r>
      <w:r w:rsidR="0091796C" w:rsidRPr="00714401">
        <w:rPr>
          <w:rFonts w:ascii="Book Antiqua" w:hAnsi="Book Antiqua"/>
          <w:sz w:val="24"/>
          <w:szCs w:val="24"/>
          <w:lang w:val="en-US"/>
        </w:rPr>
        <w:t>kg body we</w:t>
      </w:r>
      <w:r w:rsidR="00E0766D" w:rsidRPr="00714401">
        <w:rPr>
          <w:rFonts w:ascii="Book Antiqua" w:hAnsi="Book Antiqua"/>
          <w:sz w:val="24"/>
          <w:szCs w:val="24"/>
          <w:lang w:val="en-US"/>
        </w:rPr>
        <w:t>i</w:t>
      </w:r>
      <w:r w:rsidR="0091796C" w:rsidRPr="00714401">
        <w:rPr>
          <w:rFonts w:ascii="Book Antiqua" w:hAnsi="Book Antiqua"/>
          <w:sz w:val="24"/>
          <w:szCs w:val="24"/>
          <w:lang w:val="en-US"/>
        </w:rPr>
        <w:t>ght</w:t>
      </w:r>
      <w:r w:rsidR="0064081F" w:rsidRPr="00714401">
        <w:rPr>
          <w:rFonts w:ascii="Book Antiqua" w:hAnsi="Book Antiqua"/>
          <w:sz w:val="24"/>
          <w:szCs w:val="24"/>
          <w:lang w:val="en-US"/>
        </w:rPr>
        <w:t xml:space="preserve"> (BW)</w:t>
      </w:r>
      <w:r w:rsidR="0091796C" w:rsidRPr="00714401">
        <w:rPr>
          <w:rFonts w:ascii="Book Antiqua" w:hAnsi="Book Antiqua"/>
          <w:sz w:val="24"/>
          <w:szCs w:val="24"/>
          <w:lang w:val="en-US"/>
        </w:rPr>
        <w:t xml:space="preserve"> </w:t>
      </w:r>
      <w:r w:rsidR="00E465B1" w:rsidRPr="00714401">
        <w:rPr>
          <w:rFonts w:ascii="Book Antiqua" w:hAnsi="Book Antiqua"/>
          <w:sz w:val="24"/>
          <w:szCs w:val="24"/>
          <w:lang w:val="en-US"/>
        </w:rPr>
        <w:t>generates</w:t>
      </w:r>
      <w:r w:rsidR="0076063F" w:rsidRPr="00714401">
        <w:rPr>
          <w:rFonts w:ascii="Book Antiqua" w:hAnsi="Book Antiqua"/>
          <w:sz w:val="24"/>
          <w:szCs w:val="24"/>
          <w:lang w:val="en-US"/>
        </w:rPr>
        <w:t xml:space="preserve"> </w:t>
      </w:r>
      <w:r w:rsidR="0044672B" w:rsidRPr="00714401">
        <w:rPr>
          <w:rFonts w:ascii="Book Antiqua" w:hAnsi="Book Antiqua"/>
          <w:sz w:val="24"/>
          <w:szCs w:val="24"/>
          <w:lang w:val="en-US"/>
        </w:rPr>
        <w:t xml:space="preserve">a plasmatic </w:t>
      </w:r>
      <w:r w:rsidR="00E465B1" w:rsidRPr="00714401">
        <w:rPr>
          <w:rFonts w:ascii="Book Antiqua" w:hAnsi="Book Antiqua"/>
          <w:sz w:val="24"/>
          <w:szCs w:val="24"/>
          <w:lang w:val="en-US"/>
        </w:rPr>
        <w:t>concentration of 100</w:t>
      </w:r>
      <w:r w:rsidR="00971BFC" w:rsidRPr="00714401">
        <w:rPr>
          <w:rFonts w:ascii="Book Antiqua" w:hAnsi="Book Antiqua"/>
          <w:sz w:val="24"/>
          <w:szCs w:val="24"/>
          <w:lang w:val="en-US"/>
        </w:rPr>
        <w:t xml:space="preserve"> </w:t>
      </w:r>
      <w:r w:rsidR="00E465B1" w:rsidRPr="00714401">
        <w:rPr>
          <w:rFonts w:ascii="Book Antiqua" w:hAnsi="Book Antiqua"/>
          <w:sz w:val="24"/>
          <w:szCs w:val="24"/>
          <w:lang w:val="en-US"/>
        </w:rPr>
        <w:t>mg</w:t>
      </w:r>
      <w:r w:rsidR="00651CC6" w:rsidRPr="00714401">
        <w:rPr>
          <w:rFonts w:ascii="Book Antiqua" w:hAnsi="Book Antiqua" w:hint="eastAsia"/>
          <w:sz w:val="24"/>
          <w:szCs w:val="24"/>
          <w:lang w:val="en-US" w:eastAsia="zh-CN"/>
        </w:rPr>
        <w:t>/</w:t>
      </w:r>
      <w:r w:rsidR="00E465B1" w:rsidRPr="00714401">
        <w:rPr>
          <w:rFonts w:ascii="Book Antiqua" w:hAnsi="Book Antiqua"/>
          <w:sz w:val="24"/>
          <w:szCs w:val="24"/>
          <w:lang w:val="en-US"/>
        </w:rPr>
        <w:t>m</w:t>
      </w:r>
      <w:r w:rsidR="00651CC6" w:rsidRPr="00714401">
        <w:rPr>
          <w:rFonts w:ascii="Book Antiqua" w:hAnsi="Book Antiqua"/>
          <w:sz w:val="24"/>
          <w:szCs w:val="24"/>
          <w:lang w:val="en-US"/>
        </w:rPr>
        <w:t>L</w:t>
      </w:r>
      <w:r w:rsidR="00E465B1" w:rsidRPr="00714401">
        <w:rPr>
          <w:rFonts w:ascii="Book Antiqua" w:hAnsi="Book Antiqua"/>
          <w:sz w:val="24"/>
          <w:szCs w:val="24"/>
          <w:lang w:val="en-US"/>
        </w:rPr>
        <w:t xml:space="preserve">: </w:t>
      </w:r>
      <w:r w:rsidR="00651CC6" w:rsidRPr="00714401">
        <w:rPr>
          <w:rFonts w:ascii="Book Antiqua" w:hAnsi="Book Antiqua"/>
          <w:sz w:val="24"/>
          <w:szCs w:val="24"/>
          <w:lang w:val="en-US"/>
        </w:rPr>
        <w:t>I</w:t>
      </w:r>
      <w:r w:rsidR="00D335C3" w:rsidRPr="00714401">
        <w:rPr>
          <w:rFonts w:ascii="Book Antiqua" w:hAnsi="Book Antiqua"/>
          <w:sz w:val="24"/>
          <w:szCs w:val="24"/>
          <w:lang w:val="en-US"/>
        </w:rPr>
        <w:t>n recent</w:t>
      </w:r>
      <w:r w:rsidR="0076063F" w:rsidRPr="00714401">
        <w:rPr>
          <w:rFonts w:ascii="Book Antiqua" w:hAnsi="Book Antiqua"/>
          <w:sz w:val="24"/>
          <w:szCs w:val="24"/>
          <w:lang w:val="en-US"/>
        </w:rPr>
        <w:t xml:space="preserve"> </w:t>
      </w:r>
      <w:r w:rsidR="00516EA0" w:rsidRPr="00714401">
        <w:rPr>
          <w:rFonts w:ascii="Book Antiqua" w:hAnsi="Book Antiqua"/>
          <w:sz w:val="24"/>
          <w:szCs w:val="24"/>
          <w:lang w:val="en-US"/>
        </w:rPr>
        <w:lastRenderedPageBreak/>
        <w:t>experiences</w:t>
      </w:r>
      <w:r w:rsidR="00E0766D" w:rsidRPr="00714401">
        <w:rPr>
          <w:rFonts w:ascii="Book Antiqua" w:hAnsi="Book Antiqua"/>
          <w:sz w:val="24"/>
          <w:szCs w:val="24"/>
          <w:lang w:val="en-US"/>
        </w:rPr>
        <w:t xml:space="preserve">, </w:t>
      </w:r>
      <w:r w:rsidR="00E465B1" w:rsidRPr="00714401">
        <w:rPr>
          <w:rFonts w:ascii="Book Antiqua" w:hAnsi="Book Antiqua"/>
          <w:sz w:val="24"/>
          <w:szCs w:val="24"/>
          <w:lang w:val="en-US"/>
        </w:rPr>
        <w:t>reliable results are</w:t>
      </w:r>
      <w:r w:rsidR="00085481" w:rsidRPr="00714401">
        <w:rPr>
          <w:rFonts w:ascii="Book Antiqua" w:hAnsi="Book Antiqua"/>
          <w:sz w:val="24"/>
          <w:szCs w:val="24"/>
          <w:lang w:val="en-US"/>
        </w:rPr>
        <w:t xml:space="preserve"> also </w:t>
      </w:r>
      <w:r w:rsidR="00E0766D" w:rsidRPr="00714401">
        <w:rPr>
          <w:rFonts w:ascii="Book Antiqua" w:hAnsi="Book Antiqua"/>
          <w:sz w:val="24"/>
          <w:szCs w:val="24"/>
          <w:lang w:val="en-US"/>
        </w:rPr>
        <w:t>reported</w:t>
      </w:r>
      <w:r w:rsidR="0076063F" w:rsidRPr="00714401">
        <w:rPr>
          <w:rFonts w:ascii="Book Antiqua" w:hAnsi="Book Antiqua"/>
          <w:sz w:val="24"/>
          <w:szCs w:val="24"/>
          <w:lang w:val="en-US"/>
        </w:rPr>
        <w:t xml:space="preserve"> </w:t>
      </w:r>
      <w:r w:rsidR="00081CCC" w:rsidRPr="00714401">
        <w:rPr>
          <w:rFonts w:ascii="Book Antiqua" w:hAnsi="Book Antiqua"/>
          <w:sz w:val="24"/>
          <w:szCs w:val="24"/>
          <w:lang w:val="en-US"/>
        </w:rPr>
        <w:t>with</w:t>
      </w:r>
      <w:r w:rsidR="0076063F" w:rsidRPr="00714401">
        <w:rPr>
          <w:rFonts w:ascii="Book Antiqua" w:hAnsi="Book Antiqua"/>
          <w:sz w:val="24"/>
          <w:szCs w:val="24"/>
          <w:lang w:val="en-US"/>
        </w:rPr>
        <w:t xml:space="preserve"> </w:t>
      </w:r>
      <w:r w:rsidR="00E465B1" w:rsidRPr="00714401">
        <w:rPr>
          <w:rFonts w:ascii="Book Antiqua" w:hAnsi="Book Antiqua"/>
          <w:sz w:val="24"/>
          <w:szCs w:val="24"/>
          <w:lang w:val="en-US"/>
        </w:rPr>
        <w:t>0.25</w:t>
      </w:r>
      <w:r w:rsidR="00F84BE4" w:rsidRPr="00714401">
        <w:rPr>
          <w:rFonts w:ascii="Book Antiqua" w:hAnsi="Book Antiqua"/>
          <w:sz w:val="24"/>
          <w:szCs w:val="24"/>
          <w:lang w:val="en-US"/>
        </w:rPr>
        <w:t xml:space="preserve"> </w:t>
      </w:r>
      <w:r w:rsidR="00E465B1" w:rsidRPr="00714401">
        <w:rPr>
          <w:rFonts w:ascii="Book Antiqua" w:hAnsi="Book Antiqua"/>
          <w:sz w:val="24"/>
          <w:szCs w:val="24"/>
          <w:lang w:val="en-US"/>
        </w:rPr>
        <w:t>mg</w:t>
      </w:r>
      <w:r w:rsidR="00651CC6" w:rsidRPr="00714401">
        <w:rPr>
          <w:rFonts w:ascii="Book Antiqua" w:hAnsi="Book Antiqua" w:hint="eastAsia"/>
          <w:sz w:val="24"/>
          <w:szCs w:val="24"/>
          <w:lang w:val="en-US" w:eastAsia="zh-CN"/>
        </w:rPr>
        <w:t>/</w:t>
      </w:r>
      <w:r w:rsidR="00081CCC" w:rsidRPr="00714401">
        <w:rPr>
          <w:rFonts w:ascii="Book Antiqua" w:hAnsi="Book Antiqua"/>
          <w:sz w:val="24"/>
          <w:szCs w:val="24"/>
          <w:lang w:val="en-US"/>
        </w:rPr>
        <w:t>k</w:t>
      </w:r>
      <w:r w:rsidR="00E465B1" w:rsidRPr="00714401">
        <w:rPr>
          <w:rFonts w:ascii="Book Antiqua" w:hAnsi="Book Antiqua"/>
          <w:sz w:val="24"/>
          <w:szCs w:val="24"/>
          <w:lang w:val="en-US"/>
        </w:rPr>
        <w:t>g</w:t>
      </w:r>
      <w:r w:rsidR="00081CCC" w:rsidRPr="00714401">
        <w:rPr>
          <w:rFonts w:ascii="Book Antiqua" w:hAnsi="Book Antiqua"/>
          <w:sz w:val="24"/>
          <w:szCs w:val="24"/>
          <w:lang w:val="en-US"/>
        </w:rPr>
        <w:t xml:space="preserve"> </w:t>
      </w:r>
      <w:proofErr w:type="gramStart"/>
      <w:r w:rsidR="0064081F" w:rsidRPr="00714401">
        <w:rPr>
          <w:rFonts w:ascii="Book Antiqua" w:hAnsi="Book Antiqua"/>
          <w:sz w:val="24"/>
          <w:szCs w:val="24"/>
          <w:lang w:val="en-US"/>
        </w:rPr>
        <w:t>BW</w:t>
      </w:r>
      <w:r w:rsidR="004254E9" w:rsidRPr="00714401">
        <w:rPr>
          <w:rFonts w:ascii="Book Antiqua" w:hAnsi="Book Antiqua"/>
          <w:sz w:val="24"/>
          <w:szCs w:val="24"/>
          <w:vertAlign w:val="superscript"/>
          <w:lang w:val="en-US"/>
        </w:rPr>
        <w:t>[</w:t>
      </w:r>
      <w:proofErr w:type="gramEnd"/>
      <w:r w:rsidR="002A347D" w:rsidRPr="00714401">
        <w:rPr>
          <w:rFonts w:ascii="Book Antiqua" w:hAnsi="Book Antiqua"/>
          <w:sz w:val="24"/>
          <w:szCs w:val="24"/>
          <w:vertAlign w:val="superscript"/>
          <w:lang w:val="en-US"/>
        </w:rPr>
        <w:t>3</w:t>
      </w:r>
      <w:r w:rsidR="004254E9" w:rsidRPr="00714401">
        <w:rPr>
          <w:rFonts w:ascii="Book Antiqua" w:hAnsi="Book Antiqua"/>
          <w:sz w:val="24"/>
          <w:szCs w:val="24"/>
          <w:vertAlign w:val="superscript"/>
          <w:lang w:val="en-US"/>
        </w:rPr>
        <w:t>]</w:t>
      </w:r>
      <w:r w:rsidR="004254E9" w:rsidRPr="00714401">
        <w:rPr>
          <w:rFonts w:ascii="Book Antiqua" w:hAnsi="Book Antiqua"/>
          <w:sz w:val="24"/>
          <w:szCs w:val="24"/>
          <w:lang w:val="en-US"/>
        </w:rPr>
        <w:t>.</w:t>
      </w:r>
      <w:r w:rsidR="00F6104F" w:rsidRPr="00714401">
        <w:rPr>
          <w:rFonts w:ascii="Book Antiqua" w:hAnsi="Book Antiqua"/>
          <w:sz w:val="24"/>
          <w:szCs w:val="24"/>
          <w:lang w:val="en-US"/>
        </w:rPr>
        <w:t xml:space="preserve"> </w:t>
      </w:r>
      <w:r w:rsidR="0044672B" w:rsidRPr="00714401">
        <w:rPr>
          <w:rFonts w:ascii="Book Antiqua" w:hAnsi="Book Antiqua"/>
          <w:sz w:val="24"/>
          <w:szCs w:val="24"/>
          <w:lang w:val="en-US"/>
        </w:rPr>
        <w:t xml:space="preserve">The </w:t>
      </w:r>
      <w:r w:rsidR="00313DE1" w:rsidRPr="00714401">
        <w:rPr>
          <w:rFonts w:ascii="Book Antiqua" w:hAnsi="Book Antiqua"/>
          <w:sz w:val="24"/>
          <w:szCs w:val="24"/>
          <w:lang w:val="en-US"/>
        </w:rPr>
        <w:t>K value (</w:t>
      </w:r>
      <w:r w:rsidR="0044672B" w:rsidRPr="00714401">
        <w:rPr>
          <w:rFonts w:ascii="Book Antiqua" w:hAnsi="Book Antiqua"/>
          <w:sz w:val="24"/>
          <w:szCs w:val="24"/>
          <w:lang w:val="en-US"/>
        </w:rPr>
        <w:t>rate constant</w:t>
      </w:r>
      <w:r w:rsidR="00313DE1" w:rsidRPr="00714401">
        <w:rPr>
          <w:rFonts w:ascii="Book Antiqua" w:hAnsi="Book Antiqua"/>
          <w:sz w:val="24"/>
          <w:szCs w:val="24"/>
          <w:lang w:val="en-US"/>
        </w:rPr>
        <w:t xml:space="preserve">) </w:t>
      </w:r>
      <w:r w:rsidR="0044672B" w:rsidRPr="00714401">
        <w:rPr>
          <w:rFonts w:ascii="Book Antiqua" w:hAnsi="Book Antiqua"/>
          <w:sz w:val="24"/>
          <w:szCs w:val="24"/>
          <w:lang w:val="en-US"/>
        </w:rPr>
        <w:t xml:space="preserve">of the ICG indicator-dilution curve is calculated by </w:t>
      </w:r>
      <w:r w:rsidR="00033321" w:rsidRPr="00714401">
        <w:rPr>
          <w:rFonts w:ascii="Book Antiqua" w:hAnsi="Book Antiqua"/>
          <w:sz w:val="24"/>
          <w:szCs w:val="24"/>
          <w:lang w:val="en-US"/>
        </w:rPr>
        <w:t>both devices</w:t>
      </w:r>
      <w:r w:rsidR="007E6FEE" w:rsidRPr="00714401">
        <w:rPr>
          <w:rFonts w:ascii="Book Antiqua" w:hAnsi="Book Antiqua"/>
          <w:sz w:val="24"/>
          <w:szCs w:val="24"/>
          <w:lang w:val="en-US"/>
        </w:rPr>
        <w:t xml:space="preserve"> applying</w:t>
      </w:r>
      <w:r w:rsidR="0076063F" w:rsidRPr="00714401">
        <w:rPr>
          <w:rFonts w:ascii="Book Antiqua" w:hAnsi="Book Antiqua"/>
          <w:sz w:val="24"/>
          <w:szCs w:val="24"/>
          <w:lang w:val="en-US"/>
        </w:rPr>
        <w:t xml:space="preserve"> </w:t>
      </w:r>
      <w:proofErr w:type="spellStart"/>
      <w:r w:rsidR="007E6FEE" w:rsidRPr="00714401">
        <w:rPr>
          <w:rFonts w:ascii="Book Antiqua" w:hAnsi="Book Antiqua"/>
          <w:sz w:val="24"/>
          <w:szCs w:val="24"/>
          <w:lang w:val="en-US"/>
        </w:rPr>
        <w:t>monoexponential</w:t>
      </w:r>
      <w:proofErr w:type="spellEnd"/>
      <w:r w:rsidR="007E6FEE" w:rsidRPr="00714401">
        <w:rPr>
          <w:rFonts w:ascii="Book Antiqua" w:hAnsi="Book Antiqua"/>
          <w:sz w:val="24"/>
          <w:szCs w:val="24"/>
          <w:lang w:val="en-US"/>
        </w:rPr>
        <w:t xml:space="preserve"> transformation of the ICG concentration</w:t>
      </w:r>
      <w:r w:rsidR="0076063F" w:rsidRPr="00714401">
        <w:rPr>
          <w:rFonts w:ascii="Book Antiqua" w:hAnsi="Book Antiqua"/>
          <w:sz w:val="24"/>
          <w:szCs w:val="24"/>
          <w:lang w:val="en-US"/>
        </w:rPr>
        <w:t xml:space="preserve"> </w:t>
      </w:r>
      <w:r w:rsidR="007E6FEE" w:rsidRPr="00714401">
        <w:rPr>
          <w:rFonts w:ascii="Book Antiqua" w:hAnsi="Book Antiqua"/>
          <w:sz w:val="24"/>
          <w:szCs w:val="24"/>
          <w:lang w:val="en-US"/>
        </w:rPr>
        <w:t xml:space="preserve">and </w:t>
      </w:r>
      <w:r w:rsidR="00F6104F" w:rsidRPr="00714401">
        <w:rPr>
          <w:rFonts w:ascii="Book Antiqua" w:hAnsi="Book Antiqua"/>
          <w:sz w:val="24"/>
          <w:szCs w:val="24"/>
          <w:lang w:val="en-US"/>
        </w:rPr>
        <w:t xml:space="preserve">backward dynamic extrapolation of the </w:t>
      </w:r>
      <w:r w:rsidR="00313DE1" w:rsidRPr="00714401">
        <w:rPr>
          <w:rFonts w:ascii="Book Antiqua" w:hAnsi="Book Antiqua"/>
          <w:sz w:val="24"/>
          <w:szCs w:val="24"/>
          <w:lang w:val="en-US"/>
        </w:rPr>
        <w:t xml:space="preserve">curve of the </w:t>
      </w:r>
      <w:r w:rsidR="00F6104F" w:rsidRPr="00714401">
        <w:rPr>
          <w:rFonts w:ascii="Book Antiqua" w:hAnsi="Book Antiqua"/>
          <w:sz w:val="24"/>
          <w:szCs w:val="24"/>
          <w:lang w:val="en-US"/>
        </w:rPr>
        <w:t xml:space="preserve">elimination </w:t>
      </w:r>
      <w:proofErr w:type="gramStart"/>
      <w:r w:rsidR="00F6104F" w:rsidRPr="00714401">
        <w:rPr>
          <w:rFonts w:ascii="Book Antiqua" w:hAnsi="Book Antiqua"/>
          <w:sz w:val="24"/>
          <w:szCs w:val="24"/>
          <w:lang w:val="en-US"/>
        </w:rPr>
        <w:t>phase</w:t>
      </w:r>
      <w:r w:rsidR="004254E9" w:rsidRPr="00714401">
        <w:rPr>
          <w:rFonts w:ascii="Book Antiqua" w:hAnsi="Book Antiqua"/>
          <w:sz w:val="24"/>
          <w:szCs w:val="24"/>
          <w:vertAlign w:val="superscript"/>
          <w:lang w:val="en-US"/>
        </w:rPr>
        <w:t>[</w:t>
      </w:r>
      <w:proofErr w:type="gramEnd"/>
      <w:r w:rsidR="00BE1138" w:rsidRPr="00714401">
        <w:rPr>
          <w:rFonts w:ascii="Book Antiqua" w:hAnsi="Book Antiqua"/>
          <w:sz w:val="24"/>
          <w:szCs w:val="24"/>
          <w:vertAlign w:val="superscript"/>
          <w:lang w:val="en-US"/>
        </w:rPr>
        <w:t>6</w:t>
      </w:r>
      <w:r w:rsidR="004254E9" w:rsidRPr="00714401">
        <w:rPr>
          <w:rFonts w:ascii="Book Antiqua" w:hAnsi="Book Antiqua"/>
          <w:sz w:val="24"/>
          <w:szCs w:val="24"/>
          <w:vertAlign w:val="superscript"/>
          <w:lang w:val="en-US"/>
        </w:rPr>
        <w:t>]</w:t>
      </w:r>
      <w:r w:rsidR="007E6FEE" w:rsidRPr="00714401">
        <w:rPr>
          <w:rFonts w:ascii="Book Antiqua" w:hAnsi="Book Antiqua"/>
          <w:sz w:val="24"/>
          <w:szCs w:val="24"/>
          <w:lang w:val="en-US"/>
        </w:rPr>
        <w:t>. W</w:t>
      </w:r>
      <w:r w:rsidR="00033321" w:rsidRPr="00714401">
        <w:rPr>
          <w:rFonts w:ascii="Book Antiqua" w:hAnsi="Book Antiqua"/>
          <w:sz w:val="24"/>
          <w:szCs w:val="24"/>
          <w:lang w:val="en-US"/>
        </w:rPr>
        <w:t>ith appropriate calculation</w:t>
      </w:r>
      <w:r w:rsidR="007E6FEE" w:rsidRPr="00714401">
        <w:rPr>
          <w:rFonts w:ascii="Book Antiqua" w:hAnsi="Book Antiqua"/>
          <w:sz w:val="24"/>
          <w:szCs w:val="24"/>
          <w:lang w:val="en-US"/>
        </w:rPr>
        <w:t>s</w:t>
      </w:r>
      <w:r w:rsidR="00033321"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411815" w:rsidRPr="00714401">
        <w:rPr>
          <w:rFonts w:ascii="Book Antiqua" w:hAnsi="Book Antiqua"/>
          <w:sz w:val="24"/>
          <w:szCs w:val="24"/>
          <w:lang w:val="en-US"/>
        </w:rPr>
        <w:t>f</w:t>
      </w:r>
      <w:r w:rsidR="00F6104F" w:rsidRPr="00714401">
        <w:rPr>
          <w:rFonts w:ascii="Book Antiqua" w:hAnsi="Book Antiqua"/>
          <w:sz w:val="24"/>
          <w:szCs w:val="24"/>
          <w:lang w:val="en-US"/>
        </w:rPr>
        <w:t xml:space="preserve">unctional </w:t>
      </w:r>
      <w:r w:rsidR="00411815" w:rsidRPr="00714401">
        <w:rPr>
          <w:rFonts w:ascii="Book Antiqua" w:hAnsi="Book Antiqua"/>
          <w:sz w:val="24"/>
          <w:szCs w:val="24"/>
          <w:lang w:val="en-US"/>
        </w:rPr>
        <w:t>parameters</w:t>
      </w:r>
      <w:r w:rsidR="00386201" w:rsidRPr="00714401">
        <w:rPr>
          <w:rFonts w:ascii="Book Antiqua" w:hAnsi="Book Antiqua"/>
          <w:sz w:val="24"/>
          <w:szCs w:val="24"/>
          <w:lang w:val="en-US"/>
        </w:rPr>
        <w:t xml:space="preserve"> of extreme interest </w:t>
      </w:r>
      <w:r w:rsidR="006F7141" w:rsidRPr="00714401">
        <w:rPr>
          <w:rFonts w:ascii="Book Antiqua" w:hAnsi="Book Antiqua"/>
          <w:sz w:val="24"/>
          <w:szCs w:val="24"/>
          <w:lang w:val="en-US"/>
        </w:rPr>
        <w:t>for the dynamic</w:t>
      </w:r>
      <w:r w:rsidR="0076063F" w:rsidRPr="00714401">
        <w:rPr>
          <w:rFonts w:ascii="Book Antiqua" w:hAnsi="Book Antiqua"/>
          <w:sz w:val="24"/>
          <w:szCs w:val="24"/>
          <w:lang w:val="en-US"/>
        </w:rPr>
        <w:t xml:space="preserve"> </w:t>
      </w:r>
      <w:r w:rsidR="006F7141" w:rsidRPr="00714401">
        <w:rPr>
          <w:rFonts w:ascii="Book Antiqua" w:hAnsi="Book Antiqua"/>
          <w:sz w:val="24"/>
          <w:szCs w:val="24"/>
          <w:lang w:val="en-US"/>
        </w:rPr>
        <w:t>assessment of</w:t>
      </w:r>
      <w:r w:rsidR="0076063F" w:rsidRPr="00714401">
        <w:rPr>
          <w:rFonts w:ascii="Book Antiqua" w:hAnsi="Book Antiqua"/>
          <w:sz w:val="24"/>
          <w:szCs w:val="24"/>
          <w:lang w:val="en-US"/>
        </w:rPr>
        <w:t xml:space="preserve"> </w:t>
      </w:r>
      <w:r w:rsidR="00411815" w:rsidRPr="00714401">
        <w:rPr>
          <w:rFonts w:ascii="Book Antiqua" w:hAnsi="Book Antiqua"/>
          <w:sz w:val="24"/>
          <w:szCs w:val="24"/>
          <w:lang w:val="en-US"/>
        </w:rPr>
        <w:t xml:space="preserve">liver function </w:t>
      </w:r>
      <w:r w:rsidR="007E6FEE" w:rsidRPr="00714401">
        <w:rPr>
          <w:rFonts w:ascii="Book Antiqua" w:hAnsi="Book Antiqua"/>
          <w:sz w:val="24"/>
          <w:szCs w:val="24"/>
          <w:lang w:val="en-US"/>
        </w:rPr>
        <w:t xml:space="preserve">are thus available </w:t>
      </w:r>
    </w:p>
    <w:p w:rsidR="000A014E" w:rsidRPr="00714401" w:rsidRDefault="00591A1C" w:rsidP="00651CC6">
      <w:pPr>
        <w:autoSpaceDE w:val="0"/>
        <w:autoSpaceDN w:val="0"/>
        <w:adjustRightInd w:val="0"/>
        <w:snapToGrid w:val="0"/>
        <w:spacing w:after="0" w:line="360" w:lineRule="auto"/>
        <w:ind w:firstLineChars="100" w:firstLine="240"/>
        <w:jc w:val="both"/>
        <w:rPr>
          <w:rFonts w:ascii="Book Antiqua" w:hAnsi="Book Antiqua"/>
          <w:sz w:val="24"/>
          <w:szCs w:val="24"/>
          <w:lang w:val="en-US" w:eastAsia="zh-CN"/>
        </w:rPr>
      </w:pPr>
      <w:r w:rsidRPr="00714401">
        <w:rPr>
          <w:rFonts w:ascii="Book Antiqua" w:hAnsi="Book Antiqua"/>
          <w:sz w:val="24"/>
          <w:szCs w:val="24"/>
          <w:lang w:val="en-US"/>
        </w:rPr>
        <w:t>A</w:t>
      </w:r>
      <w:r w:rsidR="00F6104F" w:rsidRPr="00714401">
        <w:rPr>
          <w:rFonts w:ascii="Book Antiqua" w:hAnsi="Book Antiqua"/>
          <w:sz w:val="24"/>
          <w:szCs w:val="24"/>
          <w:lang w:val="en-US"/>
        </w:rPr>
        <w:t xml:space="preserve">fter intravenous injection, </w:t>
      </w:r>
      <w:r w:rsidR="00512647" w:rsidRPr="00714401">
        <w:rPr>
          <w:rFonts w:ascii="Book Antiqua" w:hAnsi="Book Antiqua"/>
          <w:sz w:val="24"/>
          <w:szCs w:val="24"/>
          <w:lang w:val="en-US"/>
        </w:rPr>
        <w:t>ICG</w:t>
      </w:r>
      <w:r w:rsidR="002A43BD" w:rsidRPr="00714401">
        <w:rPr>
          <w:rFonts w:ascii="Book Antiqua" w:hAnsi="Book Antiqua"/>
          <w:sz w:val="24"/>
          <w:szCs w:val="24"/>
          <w:lang w:val="en-US"/>
        </w:rPr>
        <w:t>, almost completely bound to proteins,</w:t>
      </w:r>
      <w:r w:rsidR="0076063F" w:rsidRPr="00714401">
        <w:rPr>
          <w:rFonts w:ascii="Book Antiqua" w:hAnsi="Book Antiqua"/>
          <w:sz w:val="24"/>
          <w:szCs w:val="24"/>
          <w:lang w:val="en-US"/>
        </w:rPr>
        <w:t xml:space="preserve"> </w:t>
      </w:r>
      <w:r w:rsidR="001B5D98" w:rsidRPr="00714401">
        <w:rPr>
          <w:rFonts w:ascii="Book Antiqua" w:hAnsi="Book Antiqua"/>
          <w:sz w:val="24"/>
          <w:szCs w:val="24"/>
          <w:lang w:val="en-US"/>
        </w:rPr>
        <w:t>is distributed in the blood</w:t>
      </w:r>
      <w:r w:rsidR="00F8427F" w:rsidRPr="00714401">
        <w:rPr>
          <w:rFonts w:ascii="Book Antiqua" w:hAnsi="Book Antiqua"/>
          <w:sz w:val="24"/>
          <w:szCs w:val="24"/>
          <w:lang w:val="en-US"/>
        </w:rPr>
        <w:t xml:space="preserve"> </w:t>
      </w:r>
      <w:r w:rsidR="00EC3E18" w:rsidRPr="00714401">
        <w:rPr>
          <w:rFonts w:ascii="Book Antiqua" w:hAnsi="Book Antiqua"/>
          <w:sz w:val="24"/>
          <w:szCs w:val="24"/>
          <w:lang w:val="en-US"/>
        </w:rPr>
        <w:t xml:space="preserve">within </w:t>
      </w:r>
      <w:r w:rsidR="00F8427F" w:rsidRPr="00714401">
        <w:rPr>
          <w:rFonts w:ascii="Book Antiqua" w:hAnsi="Book Antiqua"/>
          <w:sz w:val="24"/>
          <w:szCs w:val="24"/>
          <w:lang w:val="en-US"/>
        </w:rPr>
        <w:t xml:space="preserve">2 </w:t>
      </w:r>
      <w:r w:rsidR="00081CCC" w:rsidRPr="00714401">
        <w:rPr>
          <w:rFonts w:ascii="Book Antiqua" w:hAnsi="Book Antiqua"/>
          <w:sz w:val="24"/>
          <w:szCs w:val="24"/>
          <w:lang w:val="en-US"/>
        </w:rPr>
        <w:t>to</w:t>
      </w:r>
      <w:r w:rsidR="00F8427F" w:rsidRPr="00714401">
        <w:rPr>
          <w:rFonts w:ascii="Book Antiqua" w:hAnsi="Book Antiqua"/>
          <w:sz w:val="24"/>
          <w:szCs w:val="24"/>
          <w:lang w:val="en-US"/>
        </w:rPr>
        <w:t xml:space="preserve"> 3 min</w:t>
      </w:r>
      <w:r w:rsidR="002A43BD"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651CC6" w:rsidRPr="00714401">
        <w:rPr>
          <w:rFonts w:ascii="Book Antiqua" w:hAnsi="Book Antiqua"/>
          <w:sz w:val="24"/>
          <w:szCs w:val="24"/>
          <w:lang w:val="en-US"/>
        </w:rPr>
        <w:t>V</w:t>
      </w:r>
      <w:r w:rsidR="00085481" w:rsidRPr="00714401">
        <w:rPr>
          <w:rFonts w:ascii="Book Antiqua" w:hAnsi="Book Antiqua"/>
          <w:sz w:val="24"/>
          <w:szCs w:val="24"/>
          <w:lang w:val="en-US"/>
        </w:rPr>
        <w:t>olume of distribution</w:t>
      </w:r>
      <w:r w:rsidR="0076063F" w:rsidRPr="00714401">
        <w:rPr>
          <w:rFonts w:ascii="Book Antiqua" w:hAnsi="Book Antiqua"/>
          <w:sz w:val="24"/>
          <w:szCs w:val="24"/>
          <w:lang w:val="en-US"/>
        </w:rPr>
        <w:t xml:space="preserve"> </w:t>
      </w:r>
      <w:r w:rsidR="007E6FEE" w:rsidRPr="00714401">
        <w:rPr>
          <w:rFonts w:ascii="Book Antiqua" w:hAnsi="Book Antiqua"/>
          <w:sz w:val="24"/>
          <w:szCs w:val="24"/>
          <w:lang w:val="en-US"/>
        </w:rPr>
        <w:t xml:space="preserve">is </w:t>
      </w:r>
      <w:r w:rsidR="00085481" w:rsidRPr="00714401">
        <w:rPr>
          <w:rFonts w:ascii="Book Antiqua" w:hAnsi="Book Antiqua"/>
          <w:sz w:val="24"/>
          <w:szCs w:val="24"/>
          <w:lang w:val="en-US"/>
        </w:rPr>
        <w:t xml:space="preserve">very close to plasma volume and </w:t>
      </w:r>
      <w:r w:rsidR="002A43BD" w:rsidRPr="00714401">
        <w:rPr>
          <w:rFonts w:ascii="Book Antiqua" w:hAnsi="Book Antiqua"/>
          <w:sz w:val="24"/>
          <w:szCs w:val="24"/>
          <w:lang w:val="en-US"/>
        </w:rPr>
        <w:t xml:space="preserve">half-life is </w:t>
      </w:r>
      <w:r w:rsidR="00085481" w:rsidRPr="00714401">
        <w:rPr>
          <w:rFonts w:ascii="Book Antiqua" w:hAnsi="Book Antiqua"/>
          <w:sz w:val="24"/>
          <w:szCs w:val="24"/>
          <w:lang w:val="en-US"/>
        </w:rPr>
        <w:t xml:space="preserve">very short (3 to 5 </w:t>
      </w:r>
      <w:proofErr w:type="gramStart"/>
      <w:r w:rsidR="00085481" w:rsidRPr="00714401">
        <w:rPr>
          <w:rFonts w:ascii="Book Antiqua" w:hAnsi="Book Antiqua"/>
          <w:sz w:val="24"/>
          <w:szCs w:val="24"/>
          <w:lang w:val="en-US"/>
        </w:rPr>
        <w:t>min</w:t>
      </w:r>
      <w:r w:rsidR="00651CC6" w:rsidRPr="00714401">
        <w:rPr>
          <w:rFonts w:ascii="Book Antiqua" w:hAnsi="Book Antiqua" w:hint="eastAsia"/>
          <w:sz w:val="24"/>
          <w:szCs w:val="24"/>
          <w:vertAlign w:val="superscript"/>
          <w:lang w:val="en-US" w:eastAsia="zh-CN"/>
        </w:rPr>
        <w:t>[</w:t>
      </w:r>
      <w:proofErr w:type="gramEnd"/>
      <w:r w:rsidR="00651CC6" w:rsidRPr="00714401">
        <w:rPr>
          <w:rFonts w:ascii="Book Antiqua" w:hAnsi="Book Antiqua"/>
          <w:sz w:val="24"/>
          <w:szCs w:val="24"/>
          <w:vertAlign w:val="superscript"/>
          <w:lang w:val="en-US"/>
        </w:rPr>
        <w:t>1,3,6</w:t>
      </w:r>
      <w:r w:rsidR="00651CC6" w:rsidRPr="00714401">
        <w:rPr>
          <w:rFonts w:ascii="Book Antiqua" w:hAnsi="Book Antiqua" w:hint="eastAsia"/>
          <w:sz w:val="24"/>
          <w:szCs w:val="24"/>
          <w:vertAlign w:val="superscript"/>
          <w:lang w:val="en-US" w:eastAsia="zh-CN"/>
        </w:rPr>
        <w:t>]</w:t>
      </w:r>
      <w:r w:rsidR="00D1445F" w:rsidRPr="00714401">
        <w:rPr>
          <w:rFonts w:ascii="Book Antiqua" w:hAnsi="Book Antiqua"/>
          <w:sz w:val="24"/>
          <w:szCs w:val="24"/>
          <w:lang w:val="en-US"/>
        </w:rPr>
        <w:t>, longer in case of hepatic dysfunction)</w:t>
      </w:r>
      <w:r w:rsidR="00E85362" w:rsidRPr="00714401">
        <w:rPr>
          <w:rFonts w:ascii="Book Antiqua" w:hAnsi="Book Antiqua" w:hint="eastAsia"/>
          <w:sz w:val="24"/>
          <w:szCs w:val="24"/>
          <w:lang w:val="en-US" w:eastAsia="zh-CN"/>
        </w:rPr>
        <w:t xml:space="preserve">. </w:t>
      </w:r>
      <w:r w:rsidR="00085481" w:rsidRPr="00714401">
        <w:rPr>
          <w:rFonts w:ascii="Book Antiqua" w:hAnsi="Book Antiqua"/>
          <w:sz w:val="24"/>
          <w:szCs w:val="24"/>
          <w:lang w:val="en-US"/>
        </w:rPr>
        <w:t xml:space="preserve">Extraction </w:t>
      </w:r>
      <w:r w:rsidR="004D5352" w:rsidRPr="00714401">
        <w:rPr>
          <w:rFonts w:ascii="Book Antiqua" w:hAnsi="Book Antiqua"/>
          <w:sz w:val="24"/>
          <w:szCs w:val="24"/>
          <w:lang w:val="en-US"/>
        </w:rPr>
        <w:t xml:space="preserve">from the blood </w:t>
      </w:r>
      <w:r w:rsidR="00085481" w:rsidRPr="00714401">
        <w:rPr>
          <w:rFonts w:ascii="Book Antiqua" w:hAnsi="Book Antiqua"/>
          <w:sz w:val="24"/>
          <w:szCs w:val="24"/>
          <w:lang w:val="en-US"/>
        </w:rPr>
        <w:t xml:space="preserve">occurs almost exclusively by the liver, with </w:t>
      </w:r>
      <w:r w:rsidR="004D5352" w:rsidRPr="00714401">
        <w:rPr>
          <w:rFonts w:ascii="Book Antiqua" w:hAnsi="Book Antiqua"/>
          <w:sz w:val="24"/>
          <w:szCs w:val="24"/>
          <w:lang w:val="en-US"/>
        </w:rPr>
        <w:t>selective uptake</w:t>
      </w:r>
      <w:r w:rsidR="0076063F" w:rsidRPr="00714401">
        <w:rPr>
          <w:rFonts w:ascii="Book Antiqua" w:hAnsi="Book Antiqua"/>
          <w:sz w:val="24"/>
          <w:szCs w:val="24"/>
          <w:lang w:val="en-US"/>
        </w:rPr>
        <w:t xml:space="preserve"> </w:t>
      </w:r>
      <w:r w:rsidR="005C7B33" w:rsidRPr="00714401">
        <w:rPr>
          <w:rFonts w:ascii="Book Antiqua" w:hAnsi="Book Antiqua"/>
          <w:sz w:val="24"/>
          <w:szCs w:val="24"/>
          <w:lang w:val="en-US"/>
        </w:rPr>
        <w:t>across the sinusoidal plasma membrane by 1 B3 and Na-taurocholate co-transporting polypeptides</w:t>
      </w:r>
      <w:r w:rsidR="006021EF"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4D5352" w:rsidRPr="00714401">
        <w:rPr>
          <w:rFonts w:ascii="Book Antiqua" w:hAnsi="Book Antiqua"/>
          <w:sz w:val="24"/>
          <w:szCs w:val="24"/>
          <w:lang w:val="en-US"/>
        </w:rPr>
        <w:t>IGC is excreted</w:t>
      </w:r>
      <w:r w:rsidR="0076063F" w:rsidRPr="00714401">
        <w:rPr>
          <w:rFonts w:ascii="Book Antiqua" w:hAnsi="Book Antiqua"/>
          <w:sz w:val="24"/>
          <w:szCs w:val="24"/>
          <w:lang w:val="en-US"/>
        </w:rPr>
        <w:t xml:space="preserve"> </w:t>
      </w:r>
      <w:r w:rsidR="004D5352" w:rsidRPr="00714401">
        <w:rPr>
          <w:rFonts w:ascii="Book Antiqua" w:hAnsi="Book Antiqua"/>
          <w:sz w:val="24"/>
          <w:szCs w:val="24"/>
          <w:lang w:val="en-US"/>
        </w:rPr>
        <w:t>unchanged and</w:t>
      </w:r>
      <w:r w:rsidR="0076063F" w:rsidRPr="00714401">
        <w:rPr>
          <w:rFonts w:ascii="Book Antiqua" w:hAnsi="Book Antiqua"/>
          <w:sz w:val="24"/>
          <w:szCs w:val="24"/>
          <w:lang w:val="en-US"/>
        </w:rPr>
        <w:t xml:space="preserve"> </w:t>
      </w:r>
      <w:r w:rsidR="004D5352" w:rsidRPr="00714401">
        <w:rPr>
          <w:rFonts w:ascii="Book Antiqua" w:hAnsi="Book Antiqua"/>
          <w:sz w:val="24"/>
          <w:szCs w:val="24"/>
          <w:lang w:val="en-US"/>
        </w:rPr>
        <w:t xml:space="preserve">almost </w:t>
      </w:r>
      <w:r w:rsidR="008335DF" w:rsidRPr="00714401">
        <w:rPr>
          <w:rFonts w:ascii="Book Antiqua" w:hAnsi="Book Antiqua"/>
          <w:sz w:val="24"/>
          <w:szCs w:val="24"/>
          <w:lang w:val="en-US"/>
        </w:rPr>
        <w:t>completely (97%)</w:t>
      </w:r>
      <w:r w:rsidR="0076063F" w:rsidRPr="00714401">
        <w:rPr>
          <w:rFonts w:ascii="Book Antiqua" w:hAnsi="Book Antiqua"/>
          <w:sz w:val="24"/>
          <w:szCs w:val="24"/>
          <w:lang w:val="en-US"/>
        </w:rPr>
        <w:t xml:space="preserve"> </w:t>
      </w:r>
      <w:r w:rsidR="001B5D98" w:rsidRPr="00714401">
        <w:rPr>
          <w:rFonts w:ascii="Book Antiqua" w:hAnsi="Book Antiqua"/>
          <w:sz w:val="24"/>
          <w:szCs w:val="24"/>
          <w:lang w:val="en-US"/>
        </w:rPr>
        <w:t xml:space="preserve">into the bile </w:t>
      </w:r>
      <w:r w:rsidR="00EB44D9" w:rsidRPr="00714401">
        <w:rPr>
          <w:rFonts w:ascii="Book Antiqua" w:hAnsi="Book Antiqua"/>
          <w:sz w:val="24"/>
          <w:szCs w:val="24"/>
          <w:lang w:val="en-US"/>
        </w:rPr>
        <w:t xml:space="preserve">in </w:t>
      </w:r>
      <w:r w:rsidR="00386201" w:rsidRPr="00714401">
        <w:rPr>
          <w:rFonts w:ascii="Book Antiqua" w:hAnsi="Book Antiqua"/>
          <w:sz w:val="24"/>
          <w:szCs w:val="24"/>
          <w:lang w:val="en-US"/>
        </w:rPr>
        <w:t xml:space="preserve">a </w:t>
      </w:r>
      <w:r w:rsidR="00EB44D9" w:rsidRPr="00714401">
        <w:rPr>
          <w:rFonts w:ascii="Book Antiqua" w:hAnsi="Book Antiqua"/>
          <w:sz w:val="24"/>
          <w:szCs w:val="24"/>
          <w:lang w:val="en-US"/>
        </w:rPr>
        <w:t>non-conjugated form</w:t>
      </w:r>
      <w:r w:rsidR="00570EAA" w:rsidRPr="00714401">
        <w:rPr>
          <w:rFonts w:ascii="Book Antiqua" w:hAnsi="Book Antiqua"/>
          <w:sz w:val="24"/>
          <w:szCs w:val="24"/>
          <w:lang w:val="en-US"/>
        </w:rPr>
        <w:t xml:space="preserve">, </w:t>
      </w:r>
      <w:r w:rsidR="004D57C9" w:rsidRPr="00714401">
        <w:rPr>
          <w:rFonts w:ascii="Book Antiqua" w:hAnsi="Book Antiqua"/>
          <w:sz w:val="24"/>
          <w:szCs w:val="24"/>
          <w:lang w:val="en-US"/>
        </w:rPr>
        <w:t xml:space="preserve">following a </w:t>
      </w:r>
      <w:r w:rsidR="001B5D98" w:rsidRPr="00714401">
        <w:rPr>
          <w:rFonts w:ascii="Book Antiqua" w:hAnsi="Book Antiqua"/>
          <w:sz w:val="24"/>
          <w:szCs w:val="24"/>
          <w:lang w:val="en-US"/>
        </w:rPr>
        <w:t>two</w:t>
      </w:r>
      <w:r w:rsidR="00BF61A6" w:rsidRPr="00714401">
        <w:rPr>
          <w:rFonts w:ascii="Book Antiqua" w:hAnsi="Book Antiqua"/>
          <w:sz w:val="24"/>
          <w:szCs w:val="24"/>
          <w:lang w:val="en-US"/>
        </w:rPr>
        <w:t>-</w:t>
      </w:r>
      <w:r w:rsidR="001B5D98" w:rsidRPr="00714401">
        <w:rPr>
          <w:rFonts w:ascii="Book Antiqua" w:hAnsi="Book Antiqua"/>
          <w:sz w:val="24"/>
          <w:szCs w:val="24"/>
          <w:lang w:val="en-US"/>
        </w:rPr>
        <w:t>compartmental model</w:t>
      </w:r>
      <w:r w:rsidR="004D5352" w:rsidRPr="00714401">
        <w:rPr>
          <w:rFonts w:ascii="Book Antiqua" w:hAnsi="Book Antiqua"/>
          <w:sz w:val="24"/>
          <w:szCs w:val="24"/>
          <w:lang w:val="en-US"/>
        </w:rPr>
        <w:t xml:space="preserve"> (</w:t>
      </w:r>
      <w:r w:rsidR="001B5D98" w:rsidRPr="00714401">
        <w:rPr>
          <w:rFonts w:ascii="Book Antiqua" w:hAnsi="Book Antiqua"/>
          <w:sz w:val="24"/>
          <w:szCs w:val="24"/>
          <w:lang w:val="en-US"/>
        </w:rPr>
        <w:t>excretion f</w:t>
      </w:r>
      <w:r w:rsidR="00E05E23" w:rsidRPr="00714401">
        <w:rPr>
          <w:rFonts w:ascii="Book Antiqua" w:hAnsi="Book Antiqua"/>
          <w:sz w:val="24"/>
          <w:szCs w:val="24"/>
          <w:lang w:val="en-US"/>
        </w:rPr>
        <w:t>rom t</w:t>
      </w:r>
      <w:r w:rsidR="00570EAA" w:rsidRPr="00714401">
        <w:rPr>
          <w:rFonts w:ascii="Book Antiqua" w:hAnsi="Book Antiqua"/>
          <w:sz w:val="24"/>
          <w:szCs w:val="24"/>
          <w:lang w:val="en-US"/>
        </w:rPr>
        <w:t xml:space="preserve">he peripheral </w:t>
      </w:r>
      <w:r w:rsidR="004D5352" w:rsidRPr="00714401">
        <w:rPr>
          <w:rFonts w:ascii="Book Antiqua" w:hAnsi="Book Antiqua"/>
          <w:sz w:val="24"/>
          <w:szCs w:val="24"/>
          <w:lang w:val="en-US"/>
        </w:rPr>
        <w:t xml:space="preserve">and not from the central </w:t>
      </w:r>
      <w:r w:rsidR="00570EAA" w:rsidRPr="00714401">
        <w:rPr>
          <w:rFonts w:ascii="Book Antiqua" w:hAnsi="Book Antiqua"/>
          <w:sz w:val="24"/>
          <w:szCs w:val="24"/>
          <w:lang w:val="en-US"/>
        </w:rPr>
        <w:t>compartment</w:t>
      </w:r>
      <w:r w:rsidR="004D5352" w:rsidRPr="00714401">
        <w:rPr>
          <w:rFonts w:ascii="Book Antiqua" w:hAnsi="Book Antiqua"/>
          <w:sz w:val="24"/>
          <w:szCs w:val="24"/>
          <w:lang w:val="en-US"/>
        </w:rPr>
        <w:t>)</w:t>
      </w:r>
      <w:r w:rsidR="00570EAA" w:rsidRPr="00714401">
        <w:rPr>
          <w:rFonts w:ascii="Book Antiqua" w:hAnsi="Book Antiqua"/>
          <w:sz w:val="24"/>
          <w:szCs w:val="24"/>
          <w:lang w:val="en-US"/>
        </w:rPr>
        <w:t>.</w:t>
      </w:r>
      <w:r w:rsidR="004D5352" w:rsidRPr="00714401">
        <w:rPr>
          <w:rFonts w:ascii="Book Antiqua" w:hAnsi="Book Antiqua"/>
          <w:sz w:val="24"/>
          <w:szCs w:val="24"/>
          <w:lang w:val="en-US"/>
        </w:rPr>
        <w:t xml:space="preserve"> </w:t>
      </w:r>
      <w:r w:rsidR="006021EF" w:rsidRPr="00714401">
        <w:rPr>
          <w:rFonts w:ascii="Book Antiqua" w:hAnsi="Book Antiqua"/>
          <w:sz w:val="24"/>
          <w:szCs w:val="24"/>
          <w:lang w:val="en-US"/>
        </w:rPr>
        <w:t xml:space="preserve">The </w:t>
      </w:r>
      <w:r w:rsidR="004D5352" w:rsidRPr="00714401">
        <w:rPr>
          <w:rFonts w:ascii="Book Antiqua" w:hAnsi="Book Antiqua"/>
          <w:sz w:val="24"/>
          <w:szCs w:val="24"/>
          <w:lang w:val="en-US"/>
        </w:rPr>
        <w:t xml:space="preserve">absence of metabolism </w:t>
      </w:r>
      <w:r w:rsidR="006021EF" w:rsidRPr="00714401">
        <w:rPr>
          <w:rFonts w:ascii="Book Antiqua" w:hAnsi="Book Antiqua"/>
          <w:sz w:val="24"/>
          <w:szCs w:val="24"/>
          <w:lang w:val="en-US"/>
        </w:rPr>
        <w:t>and</w:t>
      </w:r>
      <w:r w:rsidR="0076063F" w:rsidRPr="00714401">
        <w:rPr>
          <w:rFonts w:ascii="Book Antiqua" w:hAnsi="Book Antiqua"/>
          <w:sz w:val="24"/>
          <w:szCs w:val="24"/>
          <w:lang w:val="en-US"/>
        </w:rPr>
        <w:t xml:space="preserve"> </w:t>
      </w:r>
      <w:r w:rsidR="00BF61A6" w:rsidRPr="00714401">
        <w:rPr>
          <w:rFonts w:ascii="Book Antiqua" w:hAnsi="Book Antiqua"/>
          <w:sz w:val="24"/>
          <w:szCs w:val="24"/>
          <w:lang w:val="en-US"/>
        </w:rPr>
        <w:t xml:space="preserve">of </w:t>
      </w:r>
      <w:r w:rsidR="006021EF" w:rsidRPr="00714401">
        <w:rPr>
          <w:rFonts w:ascii="Book Antiqua" w:hAnsi="Book Antiqua"/>
          <w:sz w:val="24"/>
          <w:szCs w:val="24"/>
          <w:lang w:val="en-US"/>
        </w:rPr>
        <w:t>enterohepatic recirculation support</w:t>
      </w:r>
      <w:r w:rsidR="00651CC6" w:rsidRPr="00714401">
        <w:rPr>
          <w:rFonts w:ascii="Book Antiqua" w:hAnsi="Book Antiqua" w:hint="eastAsia"/>
          <w:sz w:val="24"/>
          <w:szCs w:val="24"/>
          <w:lang w:val="en-US" w:eastAsia="zh-CN"/>
        </w:rPr>
        <w:t>s</w:t>
      </w:r>
      <w:r w:rsidR="006021EF" w:rsidRPr="00714401">
        <w:rPr>
          <w:rFonts w:ascii="Book Antiqua" w:hAnsi="Book Antiqua"/>
          <w:sz w:val="24"/>
          <w:szCs w:val="24"/>
          <w:lang w:val="en-US"/>
        </w:rPr>
        <w:t xml:space="preserve"> the correlation between ICG elimination kinetics and liver function.</w:t>
      </w:r>
      <w:r w:rsidR="0076063F" w:rsidRPr="00714401">
        <w:rPr>
          <w:rFonts w:ascii="Book Antiqua" w:hAnsi="Book Antiqua"/>
          <w:sz w:val="24"/>
          <w:szCs w:val="24"/>
          <w:lang w:val="en-US"/>
        </w:rPr>
        <w:t xml:space="preserve"> </w:t>
      </w:r>
      <w:r w:rsidR="009158D8" w:rsidRPr="00714401">
        <w:rPr>
          <w:rFonts w:ascii="Book Antiqua" w:hAnsi="Book Antiqua"/>
          <w:sz w:val="24"/>
          <w:szCs w:val="24"/>
          <w:lang w:val="en-US"/>
        </w:rPr>
        <w:t>Sinusoidal uptake</w:t>
      </w:r>
      <w:r w:rsidR="00386201" w:rsidRPr="00714401">
        <w:rPr>
          <w:rFonts w:ascii="Book Antiqua" w:hAnsi="Book Antiqua"/>
          <w:sz w:val="24"/>
          <w:szCs w:val="24"/>
          <w:lang w:val="en-US"/>
        </w:rPr>
        <w:t xml:space="preserve"> (</w:t>
      </w:r>
      <w:r w:rsidR="004D5352" w:rsidRPr="00714401">
        <w:rPr>
          <w:rFonts w:ascii="Book Antiqua" w:hAnsi="Book Antiqua"/>
          <w:sz w:val="24"/>
          <w:szCs w:val="24"/>
          <w:lang w:val="en-US"/>
        </w:rPr>
        <w:t>relevant i</w:t>
      </w:r>
      <w:r w:rsidR="004D57C9" w:rsidRPr="00714401">
        <w:rPr>
          <w:rFonts w:ascii="Book Antiqua" w:hAnsi="Book Antiqua"/>
          <w:sz w:val="24"/>
          <w:szCs w:val="24"/>
          <w:lang w:val="en-US"/>
        </w:rPr>
        <w:t>n humans</w:t>
      </w:r>
      <w:r w:rsidR="00386201"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9158D8" w:rsidRPr="00714401">
        <w:rPr>
          <w:rFonts w:ascii="Book Antiqua" w:hAnsi="Book Antiqua"/>
          <w:sz w:val="24"/>
          <w:szCs w:val="24"/>
          <w:lang w:val="en-US"/>
        </w:rPr>
        <w:t xml:space="preserve">and </w:t>
      </w:r>
      <w:proofErr w:type="spellStart"/>
      <w:r w:rsidR="009158D8" w:rsidRPr="00714401">
        <w:rPr>
          <w:rFonts w:ascii="Book Antiqua" w:hAnsi="Book Antiqua"/>
          <w:sz w:val="24"/>
          <w:szCs w:val="24"/>
          <w:lang w:val="en-US"/>
        </w:rPr>
        <w:t>canalicular</w:t>
      </w:r>
      <w:proofErr w:type="spellEnd"/>
      <w:r w:rsidR="009158D8" w:rsidRPr="00714401">
        <w:rPr>
          <w:rFonts w:ascii="Book Antiqua" w:hAnsi="Book Antiqua"/>
          <w:sz w:val="24"/>
          <w:szCs w:val="24"/>
          <w:lang w:val="en-US"/>
        </w:rPr>
        <w:t xml:space="preserve"> excretion</w:t>
      </w:r>
      <w:r w:rsidR="0076063F" w:rsidRPr="00714401">
        <w:rPr>
          <w:rFonts w:ascii="Book Antiqua" w:hAnsi="Book Antiqua"/>
          <w:sz w:val="24"/>
          <w:szCs w:val="24"/>
          <w:lang w:val="en-US"/>
        </w:rPr>
        <w:t xml:space="preserve"> </w:t>
      </w:r>
      <w:r w:rsidR="009158D8" w:rsidRPr="00714401">
        <w:rPr>
          <w:rFonts w:ascii="Book Antiqua" w:hAnsi="Book Antiqua"/>
          <w:sz w:val="24"/>
          <w:szCs w:val="24"/>
          <w:lang w:val="en-US"/>
        </w:rPr>
        <w:t xml:space="preserve">are the two main processes involved in </w:t>
      </w:r>
      <w:r w:rsidR="00570EAA" w:rsidRPr="00714401">
        <w:rPr>
          <w:rFonts w:ascii="Book Antiqua" w:hAnsi="Book Antiqua"/>
          <w:sz w:val="24"/>
          <w:szCs w:val="24"/>
          <w:lang w:val="en-US"/>
        </w:rPr>
        <w:t xml:space="preserve">ICG </w:t>
      </w:r>
      <w:r w:rsidR="009158D8" w:rsidRPr="00714401">
        <w:rPr>
          <w:rFonts w:ascii="Book Antiqua" w:hAnsi="Book Antiqua"/>
          <w:sz w:val="24"/>
          <w:szCs w:val="24"/>
          <w:lang w:val="en-US"/>
        </w:rPr>
        <w:t>hepatic clearance</w:t>
      </w:r>
      <w:r w:rsidR="0064081F" w:rsidRPr="00714401">
        <w:rPr>
          <w:rFonts w:ascii="Book Antiqua" w:hAnsi="Book Antiqua"/>
          <w:sz w:val="24"/>
          <w:szCs w:val="24"/>
          <w:lang w:val="en-US"/>
        </w:rPr>
        <w:t>.</w:t>
      </w:r>
      <w:r w:rsidR="009158D8" w:rsidRPr="00714401">
        <w:rPr>
          <w:rFonts w:ascii="Book Antiqua" w:hAnsi="Book Antiqua"/>
          <w:sz w:val="24"/>
          <w:szCs w:val="24"/>
          <w:lang w:val="en-US"/>
        </w:rPr>
        <w:t xml:space="preserve"> </w:t>
      </w:r>
      <w:r w:rsidR="008335DF" w:rsidRPr="00714401">
        <w:rPr>
          <w:rFonts w:ascii="Book Antiqua" w:hAnsi="Book Antiqua"/>
          <w:sz w:val="24"/>
          <w:szCs w:val="24"/>
          <w:lang w:val="en-US"/>
        </w:rPr>
        <w:t>The ATP-dependent–export pump multidrug resistance associated protein 2 (MDR-P2) and the multi-drug resistance P-glycoprotein (</w:t>
      </w:r>
      <w:r w:rsidR="00F8427F" w:rsidRPr="00714401">
        <w:rPr>
          <w:rFonts w:ascii="Book Antiqua" w:hAnsi="Book Antiqua"/>
          <w:sz w:val="24"/>
          <w:szCs w:val="24"/>
          <w:lang w:val="en-US"/>
        </w:rPr>
        <w:t>MDR3) are the specific carriers</w:t>
      </w:r>
      <w:r w:rsidR="00386201" w:rsidRPr="00714401">
        <w:rPr>
          <w:rFonts w:ascii="Book Antiqua" w:hAnsi="Book Antiqua"/>
          <w:sz w:val="24"/>
          <w:szCs w:val="24"/>
          <w:lang w:val="en-US"/>
        </w:rPr>
        <w:t xml:space="preserve"> involved in this process</w:t>
      </w:r>
      <w:r w:rsidR="00081CCC" w:rsidRPr="00714401">
        <w:rPr>
          <w:rFonts w:ascii="Book Antiqua" w:hAnsi="Book Antiqua"/>
          <w:sz w:val="24"/>
          <w:szCs w:val="24"/>
          <w:lang w:val="en-US"/>
        </w:rPr>
        <w:t xml:space="preserve">, </w:t>
      </w:r>
      <w:r w:rsidR="008335DF" w:rsidRPr="00714401">
        <w:rPr>
          <w:rFonts w:ascii="Book Antiqua" w:hAnsi="Book Antiqua"/>
          <w:sz w:val="24"/>
          <w:szCs w:val="24"/>
          <w:lang w:val="en-US"/>
        </w:rPr>
        <w:t xml:space="preserve">expression </w:t>
      </w:r>
      <w:r w:rsidR="00081CCC" w:rsidRPr="00714401">
        <w:rPr>
          <w:rFonts w:ascii="Book Antiqua" w:hAnsi="Book Antiqua"/>
          <w:sz w:val="24"/>
          <w:szCs w:val="24"/>
          <w:lang w:val="en-US"/>
        </w:rPr>
        <w:t>of</w:t>
      </w:r>
      <w:r w:rsidR="0076063F" w:rsidRPr="00714401">
        <w:rPr>
          <w:rFonts w:ascii="Book Antiqua" w:hAnsi="Book Antiqua"/>
          <w:sz w:val="24"/>
          <w:szCs w:val="24"/>
          <w:lang w:val="en-US"/>
        </w:rPr>
        <w:t xml:space="preserve"> </w:t>
      </w:r>
      <w:r w:rsidR="00081CCC" w:rsidRPr="00714401">
        <w:rPr>
          <w:rFonts w:ascii="Book Antiqua" w:hAnsi="Book Antiqua"/>
          <w:sz w:val="24"/>
          <w:szCs w:val="24"/>
          <w:lang w:val="en-US"/>
        </w:rPr>
        <w:t>the</w:t>
      </w:r>
      <w:r w:rsidR="0076063F" w:rsidRPr="00714401">
        <w:rPr>
          <w:rFonts w:ascii="Book Antiqua" w:hAnsi="Book Antiqua"/>
          <w:sz w:val="24"/>
          <w:szCs w:val="24"/>
          <w:lang w:val="en-US"/>
        </w:rPr>
        <w:t xml:space="preserve"> </w:t>
      </w:r>
      <w:r w:rsidR="00081CCC" w:rsidRPr="00714401">
        <w:rPr>
          <w:rFonts w:ascii="Book Antiqua" w:hAnsi="Book Antiqua" w:cs="Times New Roman"/>
          <w:sz w:val="24"/>
          <w:szCs w:val="24"/>
          <w:lang w:val="en-US"/>
        </w:rPr>
        <w:t>liver e</w:t>
      </w:r>
      <w:r w:rsidR="00081CCC" w:rsidRPr="00714401">
        <w:rPr>
          <w:rFonts w:ascii="Book Antiqua" w:hAnsi="Book Antiqua"/>
          <w:sz w:val="24"/>
          <w:szCs w:val="24"/>
          <w:lang w:val="en-US"/>
        </w:rPr>
        <w:t>nergy</w:t>
      </w:r>
      <w:r w:rsidR="00081CCC" w:rsidRPr="00714401">
        <w:rPr>
          <w:rFonts w:ascii="Book Antiqua" w:hAnsi="Book Antiqua" w:cs="Times New Roman"/>
          <w:sz w:val="24"/>
          <w:szCs w:val="24"/>
          <w:lang w:val="en-US"/>
        </w:rPr>
        <w:t xml:space="preserve"> </w:t>
      </w:r>
      <w:r w:rsidR="00081CCC" w:rsidRPr="00714401">
        <w:rPr>
          <w:rFonts w:ascii="Book Antiqua" w:hAnsi="Book Antiqua"/>
          <w:sz w:val="24"/>
          <w:szCs w:val="24"/>
          <w:lang w:val="en-US"/>
        </w:rPr>
        <w:t>status</w:t>
      </w:r>
      <w:r w:rsidR="0076063F" w:rsidRPr="00714401">
        <w:rPr>
          <w:rFonts w:ascii="Book Antiqua" w:hAnsi="Book Antiqua"/>
          <w:sz w:val="24"/>
          <w:szCs w:val="24"/>
          <w:lang w:val="en-US"/>
        </w:rPr>
        <w:t xml:space="preserve"> </w:t>
      </w:r>
      <w:r w:rsidR="00081CCC" w:rsidRPr="00714401">
        <w:rPr>
          <w:rFonts w:ascii="Book Antiqua" w:hAnsi="Book Antiqua"/>
          <w:sz w:val="24"/>
          <w:szCs w:val="24"/>
          <w:lang w:val="en-US"/>
        </w:rPr>
        <w:t xml:space="preserve">and </w:t>
      </w:r>
      <w:r w:rsidR="008335DF" w:rsidRPr="00714401">
        <w:rPr>
          <w:rFonts w:ascii="Book Antiqua" w:hAnsi="Book Antiqua"/>
          <w:sz w:val="24"/>
          <w:szCs w:val="24"/>
          <w:lang w:val="en-US"/>
        </w:rPr>
        <w:t>of</w:t>
      </w:r>
      <w:r w:rsidR="0076063F" w:rsidRPr="00714401">
        <w:rPr>
          <w:rFonts w:ascii="Book Antiqua" w:hAnsi="Book Antiqua"/>
          <w:sz w:val="24"/>
          <w:szCs w:val="24"/>
          <w:lang w:val="en-US"/>
        </w:rPr>
        <w:t xml:space="preserve"> </w:t>
      </w:r>
      <w:r w:rsidR="00F8427F" w:rsidRPr="00714401">
        <w:rPr>
          <w:rFonts w:ascii="Book Antiqua" w:hAnsi="Book Antiqua"/>
          <w:sz w:val="24"/>
          <w:szCs w:val="24"/>
          <w:lang w:val="en-US"/>
        </w:rPr>
        <w:t xml:space="preserve">the </w:t>
      </w:r>
      <w:r w:rsidR="00EB44D9" w:rsidRPr="00714401">
        <w:rPr>
          <w:rFonts w:ascii="Book Antiqua" w:hAnsi="Book Antiqua"/>
          <w:sz w:val="24"/>
          <w:szCs w:val="24"/>
          <w:lang w:val="en-US"/>
        </w:rPr>
        <w:t xml:space="preserve">excretory </w:t>
      </w:r>
      <w:proofErr w:type="gramStart"/>
      <w:r w:rsidR="00EB44D9" w:rsidRPr="00714401">
        <w:rPr>
          <w:rFonts w:ascii="Book Antiqua" w:hAnsi="Book Antiqua"/>
          <w:sz w:val="24"/>
          <w:szCs w:val="24"/>
          <w:lang w:val="en-US"/>
        </w:rPr>
        <w:t>function</w:t>
      </w:r>
      <w:r w:rsidR="00E86C5F" w:rsidRPr="00714401">
        <w:rPr>
          <w:rFonts w:ascii="Book Antiqua" w:hAnsi="Book Antiqua"/>
          <w:sz w:val="24"/>
          <w:szCs w:val="24"/>
          <w:vertAlign w:val="superscript"/>
          <w:lang w:val="en-US"/>
        </w:rPr>
        <w:t>[</w:t>
      </w:r>
      <w:proofErr w:type="gramEnd"/>
      <w:r w:rsidR="00BE1138" w:rsidRPr="00714401">
        <w:rPr>
          <w:rFonts w:ascii="Book Antiqua" w:hAnsi="Book Antiqua"/>
          <w:sz w:val="24"/>
          <w:szCs w:val="24"/>
          <w:vertAlign w:val="superscript"/>
          <w:lang w:val="en-US"/>
        </w:rPr>
        <w:t>1,3,6,7</w:t>
      </w:r>
      <w:r w:rsidR="00E86C5F" w:rsidRPr="00714401">
        <w:rPr>
          <w:rFonts w:ascii="Book Antiqua" w:hAnsi="Book Antiqua"/>
          <w:sz w:val="24"/>
          <w:szCs w:val="24"/>
          <w:vertAlign w:val="superscript"/>
          <w:lang w:val="en-US"/>
        </w:rPr>
        <w:t>]</w:t>
      </w:r>
      <w:r w:rsidR="00E85362" w:rsidRPr="00714401">
        <w:rPr>
          <w:rFonts w:ascii="Book Antiqua" w:hAnsi="Book Antiqua" w:hint="eastAsia"/>
          <w:sz w:val="24"/>
          <w:szCs w:val="24"/>
          <w:lang w:val="en-US" w:eastAsia="zh-CN"/>
        </w:rPr>
        <w:t>.</w:t>
      </w:r>
    </w:p>
    <w:p w:rsidR="005B5B05" w:rsidRPr="00714401" w:rsidRDefault="00D1445F" w:rsidP="00651CC6">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Two peaks and one slope (the latter representing the</w:t>
      </w:r>
      <w:r w:rsidR="0076063F" w:rsidRPr="00714401">
        <w:rPr>
          <w:rFonts w:ascii="Book Antiqua" w:hAnsi="Book Antiqua"/>
          <w:sz w:val="24"/>
          <w:szCs w:val="24"/>
          <w:lang w:val="en-US"/>
        </w:rPr>
        <w:t xml:space="preserve"> </w:t>
      </w:r>
      <w:r w:rsidRPr="00714401">
        <w:rPr>
          <w:rFonts w:ascii="Book Antiqua" w:hAnsi="Book Antiqua"/>
          <w:sz w:val="24"/>
          <w:szCs w:val="24"/>
          <w:lang w:val="en-US"/>
        </w:rPr>
        <w:t>elimination phase,</w:t>
      </w:r>
      <w:r w:rsidR="0076063F" w:rsidRPr="00714401">
        <w:rPr>
          <w:rFonts w:ascii="Book Antiqua" w:hAnsi="Book Antiqua"/>
          <w:sz w:val="24"/>
          <w:szCs w:val="24"/>
          <w:lang w:val="en-US"/>
        </w:rPr>
        <w:t xml:space="preserve"> </w:t>
      </w:r>
      <w:r w:rsidRPr="00714401">
        <w:rPr>
          <w:rFonts w:ascii="Book Antiqua" w:hAnsi="Book Antiqua"/>
          <w:sz w:val="24"/>
          <w:szCs w:val="24"/>
          <w:lang w:val="en-US"/>
        </w:rPr>
        <w:t>usually lasting</w:t>
      </w:r>
      <w:r w:rsidR="0076063F" w:rsidRPr="00714401">
        <w:rPr>
          <w:rFonts w:ascii="Book Antiqua" w:hAnsi="Book Antiqua"/>
          <w:sz w:val="24"/>
          <w:szCs w:val="24"/>
          <w:lang w:val="en-US"/>
        </w:rPr>
        <w:t xml:space="preserve"> </w:t>
      </w:r>
      <w:r w:rsidRPr="00714401">
        <w:rPr>
          <w:rFonts w:ascii="Book Antiqua" w:hAnsi="Book Antiqua"/>
          <w:sz w:val="24"/>
          <w:szCs w:val="24"/>
          <w:lang w:val="en-US"/>
        </w:rPr>
        <w:t>10</w:t>
      </w:r>
      <w:r w:rsidR="00651CC6" w:rsidRPr="00714401">
        <w:rPr>
          <w:rFonts w:ascii="Book Antiqua" w:hAnsi="Book Antiqua" w:hint="eastAsia"/>
          <w:sz w:val="24"/>
          <w:szCs w:val="24"/>
          <w:lang w:val="en-US" w:eastAsia="zh-CN"/>
        </w:rPr>
        <w:t>-</w:t>
      </w:r>
      <w:r w:rsidR="00651CC6" w:rsidRPr="00714401">
        <w:rPr>
          <w:rFonts w:ascii="Book Antiqua" w:hAnsi="Book Antiqua"/>
          <w:sz w:val="24"/>
          <w:szCs w:val="24"/>
          <w:lang w:val="en-US"/>
        </w:rPr>
        <w:t>20 min</w:t>
      </w:r>
      <w:r w:rsidRPr="00714401">
        <w:rPr>
          <w:rFonts w:ascii="Book Antiqua" w:hAnsi="Book Antiqua"/>
          <w:sz w:val="24"/>
          <w:szCs w:val="24"/>
          <w:lang w:val="en-US"/>
        </w:rPr>
        <w:t>) are easy recognizable</w:t>
      </w:r>
      <w:r w:rsidR="0076063F" w:rsidRPr="00714401">
        <w:rPr>
          <w:rFonts w:ascii="Book Antiqua" w:hAnsi="Book Antiqua"/>
          <w:sz w:val="24"/>
          <w:szCs w:val="24"/>
          <w:lang w:val="en-US"/>
        </w:rPr>
        <w:t xml:space="preserve"> </w:t>
      </w:r>
      <w:r w:rsidRPr="00714401">
        <w:rPr>
          <w:rFonts w:ascii="Book Antiqua" w:hAnsi="Book Antiqua"/>
          <w:sz w:val="24"/>
          <w:szCs w:val="24"/>
          <w:lang w:val="en-US"/>
        </w:rPr>
        <w:t xml:space="preserve">in the dye </w:t>
      </w:r>
      <w:r w:rsidR="006B6112" w:rsidRPr="00714401">
        <w:rPr>
          <w:rFonts w:ascii="Book Antiqua" w:hAnsi="Book Antiqua"/>
          <w:sz w:val="24"/>
          <w:szCs w:val="24"/>
          <w:lang w:val="en-US"/>
        </w:rPr>
        <w:t xml:space="preserve">disappearance </w:t>
      </w:r>
      <w:proofErr w:type="gramStart"/>
      <w:r w:rsidR="002403B7" w:rsidRPr="00714401">
        <w:rPr>
          <w:rFonts w:ascii="Book Antiqua" w:hAnsi="Book Antiqua"/>
          <w:sz w:val="24"/>
          <w:szCs w:val="24"/>
          <w:lang w:val="en-US"/>
        </w:rPr>
        <w:t>curve</w:t>
      </w:r>
      <w:r w:rsidRPr="00714401">
        <w:rPr>
          <w:rFonts w:ascii="Book Antiqua" w:hAnsi="Book Antiqua"/>
          <w:sz w:val="24"/>
          <w:szCs w:val="24"/>
          <w:vertAlign w:val="superscript"/>
          <w:lang w:val="en-US"/>
        </w:rPr>
        <w:t>[</w:t>
      </w:r>
      <w:proofErr w:type="gramEnd"/>
      <w:r w:rsidRPr="00714401">
        <w:rPr>
          <w:rFonts w:ascii="Book Antiqua" w:hAnsi="Book Antiqua"/>
          <w:sz w:val="24"/>
          <w:szCs w:val="24"/>
          <w:vertAlign w:val="superscript"/>
          <w:lang w:val="en-US"/>
        </w:rPr>
        <w:t>5]</w:t>
      </w:r>
      <w:r w:rsidR="00A435E4" w:rsidRPr="00714401">
        <w:rPr>
          <w:rFonts w:ascii="Book Antiqua" w:hAnsi="Book Antiqua"/>
          <w:sz w:val="24"/>
          <w:szCs w:val="24"/>
          <w:lang w:val="en-US"/>
        </w:rPr>
        <w:t>. Of the two peaks</w:t>
      </w:r>
      <w:r w:rsidR="00E538CE" w:rsidRPr="00714401">
        <w:rPr>
          <w:rFonts w:ascii="Book Antiqua" w:hAnsi="Book Antiqua"/>
          <w:sz w:val="24"/>
          <w:szCs w:val="24"/>
          <w:lang w:val="en-US"/>
        </w:rPr>
        <w:t>,</w:t>
      </w:r>
      <w:r w:rsidR="00A435E4" w:rsidRPr="00714401">
        <w:rPr>
          <w:rFonts w:ascii="Book Antiqua" w:hAnsi="Book Antiqua"/>
          <w:sz w:val="24"/>
          <w:szCs w:val="24"/>
          <w:lang w:val="en-US"/>
        </w:rPr>
        <w:t xml:space="preserve"> </w:t>
      </w:r>
      <w:r w:rsidR="00C7427F" w:rsidRPr="00714401">
        <w:rPr>
          <w:rFonts w:ascii="Book Antiqua" w:hAnsi="Book Antiqua"/>
          <w:sz w:val="24"/>
          <w:szCs w:val="24"/>
          <w:lang w:val="en-US"/>
        </w:rPr>
        <w:t>the</w:t>
      </w:r>
      <w:r w:rsidR="0076063F" w:rsidRPr="00714401">
        <w:rPr>
          <w:rFonts w:ascii="Book Antiqua" w:hAnsi="Book Antiqua"/>
          <w:sz w:val="24"/>
          <w:szCs w:val="24"/>
          <w:lang w:val="en-US"/>
        </w:rPr>
        <w:t xml:space="preserve"> </w:t>
      </w:r>
      <w:r w:rsidR="00E316FE" w:rsidRPr="00714401">
        <w:rPr>
          <w:rFonts w:ascii="Book Antiqua" w:hAnsi="Book Antiqua"/>
          <w:sz w:val="24"/>
          <w:szCs w:val="24"/>
          <w:lang w:val="en-US"/>
        </w:rPr>
        <w:t>first</w:t>
      </w:r>
      <w:r w:rsidR="0076063F" w:rsidRPr="00714401">
        <w:rPr>
          <w:rFonts w:ascii="Book Antiqua" w:hAnsi="Book Antiqua"/>
          <w:sz w:val="24"/>
          <w:szCs w:val="24"/>
          <w:lang w:val="en-US"/>
        </w:rPr>
        <w:t xml:space="preserve"> </w:t>
      </w:r>
      <w:r w:rsidR="00A435E4" w:rsidRPr="00714401">
        <w:rPr>
          <w:rFonts w:ascii="Book Antiqua" w:hAnsi="Book Antiqua"/>
          <w:sz w:val="24"/>
          <w:szCs w:val="24"/>
          <w:lang w:val="en-US"/>
        </w:rPr>
        <w:t>is</w:t>
      </w:r>
      <w:r w:rsidR="0076063F" w:rsidRPr="00714401">
        <w:rPr>
          <w:rFonts w:ascii="Book Antiqua" w:hAnsi="Book Antiqua"/>
          <w:sz w:val="24"/>
          <w:szCs w:val="24"/>
          <w:lang w:val="en-US"/>
        </w:rPr>
        <w:t xml:space="preserve"> </w:t>
      </w:r>
      <w:r w:rsidR="005B5219" w:rsidRPr="00714401">
        <w:rPr>
          <w:rFonts w:ascii="Book Antiqua" w:hAnsi="Book Antiqua"/>
          <w:sz w:val="24"/>
          <w:szCs w:val="24"/>
          <w:lang w:val="en-US"/>
        </w:rPr>
        <w:t>use</w:t>
      </w:r>
      <w:r w:rsidR="00B117B8" w:rsidRPr="00714401">
        <w:rPr>
          <w:rFonts w:ascii="Book Antiqua" w:hAnsi="Book Antiqua"/>
          <w:sz w:val="24"/>
          <w:szCs w:val="24"/>
          <w:lang w:val="en-US"/>
        </w:rPr>
        <w:t>d</w:t>
      </w:r>
      <w:r w:rsidR="0076063F" w:rsidRPr="00714401">
        <w:rPr>
          <w:rFonts w:ascii="Book Antiqua" w:hAnsi="Book Antiqua"/>
          <w:sz w:val="24"/>
          <w:szCs w:val="24"/>
          <w:lang w:val="en-US"/>
        </w:rPr>
        <w:t xml:space="preserve"> </w:t>
      </w:r>
      <w:r w:rsidR="00081CCC" w:rsidRPr="00714401">
        <w:rPr>
          <w:rFonts w:ascii="Book Antiqua" w:hAnsi="Book Antiqua"/>
          <w:sz w:val="24"/>
          <w:szCs w:val="24"/>
          <w:lang w:val="en-US"/>
        </w:rPr>
        <w:t>for the cardiac output determination,</w:t>
      </w:r>
      <w:r w:rsidR="0076063F" w:rsidRPr="00714401">
        <w:rPr>
          <w:rFonts w:ascii="Book Antiqua" w:hAnsi="Book Antiqua"/>
          <w:sz w:val="24"/>
          <w:szCs w:val="24"/>
          <w:lang w:val="en-US"/>
        </w:rPr>
        <w:t xml:space="preserve"> </w:t>
      </w:r>
      <w:r w:rsidR="00C6403C" w:rsidRPr="00714401">
        <w:rPr>
          <w:rFonts w:ascii="Book Antiqua" w:hAnsi="Book Antiqua"/>
          <w:sz w:val="24"/>
          <w:szCs w:val="24"/>
          <w:lang w:val="en-US"/>
        </w:rPr>
        <w:t xml:space="preserve">while </w:t>
      </w:r>
      <w:r w:rsidR="00307845" w:rsidRPr="00714401">
        <w:rPr>
          <w:rFonts w:ascii="Book Antiqua" w:hAnsi="Book Antiqua"/>
          <w:sz w:val="24"/>
          <w:szCs w:val="24"/>
          <w:lang w:val="en-US"/>
        </w:rPr>
        <w:t>the second</w:t>
      </w:r>
      <w:r w:rsidR="0076063F" w:rsidRPr="00714401">
        <w:rPr>
          <w:rFonts w:ascii="Book Antiqua" w:hAnsi="Book Antiqua"/>
          <w:sz w:val="24"/>
          <w:szCs w:val="24"/>
          <w:lang w:val="en-US"/>
        </w:rPr>
        <w:t xml:space="preserve"> </w:t>
      </w:r>
      <w:r w:rsidR="00A435E4" w:rsidRPr="00714401">
        <w:rPr>
          <w:rFonts w:ascii="Book Antiqua" w:hAnsi="Book Antiqua"/>
          <w:sz w:val="24"/>
          <w:szCs w:val="24"/>
          <w:lang w:val="en-US"/>
        </w:rPr>
        <w:t xml:space="preserve">is </w:t>
      </w:r>
      <w:r w:rsidR="00C7427F" w:rsidRPr="00714401">
        <w:rPr>
          <w:rFonts w:ascii="Book Antiqua" w:hAnsi="Book Antiqua"/>
          <w:sz w:val="24"/>
          <w:szCs w:val="24"/>
          <w:lang w:val="en-US"/>
        </w:rPr>
        <w:t xml:space="preserve">associated with the </w:t>
      </w:r>
      <w:r w:rsidR="005B5219" w:rsidRPr="00714401">
        <w:rPr>
          <w:rFonts w:ascii="Book Antiqua" w:hAnsi="Book Antiqua"/>
          <w:sz w:val="24"/>
          <w:szCs w:val="24"/>
          <w:lang w:val="en-US"/>
        </w:rPr>
        <w:t>recirculation phase</w:t>
      </w:r>
      <w:r w:rsidR="00651CC6" w:rsidRPr="00714401">
        <w:rPr>
          <w:rFonts w:ascii="Book Antiqua" w:hAnsi="Book Antiqua"/>
          <w:sz w:val="24"/>
          <w:szCs w:val="24"/>
          <w:lang w:val="en-US"/>
        </w:rPr>
        <w:t xml:space="preserve"> (elimination peak)</w:t>
      </w:r>
      <w:r w:rsidR="00C7427F" w:rsidRPr="00714401">
        <w:rPr>
          <w:rFonts w:ascii="Book Antiqua" w:hAnsi="Book Antiqua"/>
          <w:sz w:val="24"/>
          <w:szCs w:val="24"/>
          <w:lang w:val="en-US"/>
        </w:rPr>
        <w:t xml:space="preserve">. Smaller peaks may follow the first two and are </w:t>
      </w:r>
      <w:r w:rsidR="009158D8" w:rsidRPr="00714401">
        <w:rPr>
          <w:rFonts w:ascii="Book Antiqua" w:hAnsi="Book Antiqua"/>
          <w:sz w:val="24"/>
          <w:szCs w:val="24"/>
          <w:lang w:val="en-US"/>
        </w:rPr>
        <w:t xml:space="preserve">used </w:t>
      </w:r>
      <w:r w:rsidR="00C7427F" w:rsidRPr="00714401">
        <w:rPr>
          <w:rFonts w:ascii="Book Antiqua" w:hAnsi="Book Antiqua"/>
          <w:sz w:val="24"/>
          <w:szCs w:val="24"/>
          <w:lang w:val="en-US"/>
        </w:rPr>
        <w:t xml:space="preserve">for the estimation of circulating blood </w:t>
      </w:r>
      <w:proofErr w:type="gramStart"/>
      <w:r w:rsidR="00C7427F" w:rsidRPr="00714401">
        <w:rPr>
          <w:rFonts w:ascii="Book Antiqua" w:hAnsi="Book Antiqua"/>
          <w:sz w:val="24"/>
          <w:szCs w:val="24"/>
          <w:lang w:val="en-US"/>
        </w:rPr>
        <w:t>volume</w:t>
      </w:r>
      <w:r w:rsidR="00E86C5F" w:rsidRPr="00714401">
        <w:rPr>
          <w:rFonts w:ascii="Book Antiqua" w:hAnsi="Book Antiqua"/>
          <w:sz w:val="24"/>
          <w:szCs w:val="24"/>
          <w:vertAlign w:val="superscript"/>
          <w:lang w:val="en-US"/>
        </w:rPr>
        <w:t>[</w:t>
      </w:r>
      <w:proofErr w:type="gramEnd"/>
      <w:r w:rsidR="00BE1138" w:rsidRPr="00714401">
        <w:rPr>
          <w:rFonts w:ascii="Book Antiqua" w:hAnsi="Book Antiqua"/>
          <w:sz w:val="24"/>
          <w:szCs w:val="24"/>
          <w:vertAlign w:val="superscript"/>
          <w:lang w:val="en-US"/>
        </w:rPr>
        <w:t>6</w:t>
      </w:r>
      <w:r w:rsidR="00E86C5F" w:rsidRPr="00714401">
        <w:rPr>
          <w:rFonts w:ascii="Book Antiqua" w:hAnsi="Book Antiqua"/>
          <w:sz w:val="24"/>
          <w:szCs w:val="24"/>
          <w:vertAlign w:val="superscript"/>
          <w:lang w:val="en-US"/>
        </w:rPr>
        <w:t>]</w:t>
      </w:r>
      <w:r w:rsidR="008335DF" w:rsidRPr="00714401">
        <w:rPr>
          <w:rFonts w:ascii="Book Antiqua" w:hAnsi="Book Antiqua"/>
          <w:sz w:val="24"/>
          <w:szCs w:val="24"/>
          <w:lang w:val="en-US"/>
        </w:rPr>
        <w:t xml:space="preserve">. </w:t>
      </w:r>
      <w:r w:rsidR="0064081F" w:rsidRPr="00714401">
        <w:rPr>
          <w:rFonts w:ascii="Book Antiqua" w:hAnsi="Book Antiqua"/>
          <w:sz w:val="24"/>
          <w:szCs w:val="24"/>
          <w:lang w:val="en-US"/>
        </w:rPr>
        <w:t xml:space="preserve">According to Imamura </w:t>
      </w:r>
      <w:r w:rsidR="0064081F" w:rsidRPr="00714401">
        <w:rPr>
          <w:rFonts w:ascii="Book Antiqua" w:hAnsi="Book Antiqua"/>
          <w:i/>
          <w:sz w:val="24"/>
          <w:szCs w:val="24"/>
          <w:lang w:val="en-US"/>
        </w:rPr>
        <w:t>et al</w:t>
      </w:r>
      <w:r w:rsidR="00386201" w:rsidRPr="00714401">
        <w:rPr>
          <w:rFonts w:ascii="Book Antiqua" w:hAnsi="Book Antiqua"/>
          <w:sz w:val="24"/>
          <w:szCs w:val="24"/>
          <w:vertAlign w:val="superscript"/>
          <w:lang w:val="en-US"/>
        </w:rPr>
        <w:t>[5]</w:t>
      </w:r>
      <w:r w:rsidR="0064081F" w:rsidRPr="00714401">
        <w:rPr>
          <w:rFonts w:ascii="Book Antiqua" w:hAnsi="Book Antiqua"/>
          <w:sz w:val="24"/>
          <w:szCs w:val="24"/>
          <w:lang w:val="en-US"/>
        </w:rPr>
        <w:t xml:space="preserve">, </w:t>
      </w:r>
      <w:r w:rsidR="002A43BD" w:rsidRPr="00714401">
        <w:rPr>
          <w:rFonts w:ascii="Book Antiqua" w:hAnsi="Book Antiqua"/>
          <w:sz w:val="24"/>
          <w:szCs w:val="24"/>
          <w:lang w:val="en-US"/>
        </w:rPr>
        <w:t xml:space="preserve">in </w:t>
      </w:r>
      <w:r w:rsidR="00A87437" w:rsidRPr="00714401">
        <w:rPr>
          <w:rFonts w:ascii="Book Antiqua" w:hAnsi="Book Antiqua"/>
          <w:sz w:val="24"/>
          <w:szCs w:val="24"/>
          <w:lang w:val="en-US"/>
        </w:rPr>
        <w:t xml:space="preserve">the </w:t>
      </w:r>
      <w:r w:rsidR="00CE1FA7" w:rsidRPr="00714401">
        <w:rPr>
          <w:rFonts w:ascii="Book Antiqua" w:hAnsi="Book Antiqua"/>
          <w:sz w:val="24"/>
          <w:szCs w:val="24"/>
          <w:lang w:val="en-US"/>
        </w:rPr>
        <w:t xml:space="preserve">ICG </w:t>
      </w:r>
      <w:r w:rsidR="002A43BD" w:rsidRPr="00714401">
        <w:rPr>
          <w:rFonts w:ascii="Book Antiqua" w:hAnsi="Book Antiqua"/>
          <w:sz w:val="24"/>
          <w:szCs w:val="24"/>
          <w:lang w:val="en-US"/>
        </w:rPr>
        <w:t xml:space="preserve">plasma disappearance </w:t>
      </w:r>
      <w:r w:rsidR="00CE1FA7" w:rsidRPr="00714401">
        <w:rPr>
          <w:rFonts w:ascii="Book Antiqua" w:hAnsi="Book Antiqua"/>
          <w:sz w:val="24"/>
          <w:szCs w:val="24"/>
          <w:lang w:val="en-US"/>
        </w:rPr>
        <w:t xml:space="preserve">curve </w:t>
      </w:r>
      <w:r w:rsidR="00B117B8" w:rsidRPr="00714401">
        <w:rPr>
          <w:rFonts w:ascii="Book Antiqua" w:hAnsi="Book Antiqua"/>
          <w:sz w:val="24"/>
          <w:szCs w:val="24"/>
          <w:lang w:val="en-US"/>
        </w:rPr>
        <w:t>(Figure 3</w:t>
      </w:r>
      <w:r w:rsidR="00A87437" w:rsidRPr="00714401">
        <w:rPr>
          <w:rFonts w:ascii="Book Antiqua" w:hAnsi="Book Antiqua"/>
          <w:sz w:val="24"/>
          <w:szCs w:val="24"/>
          <w:lang w:val="en-US"/>
        </w:rPr>
        <w:t xml:space="preserve">) </w:t>
      </w:r>
      <w:r w:rsidR="00CE1FA7" w:rsidRPr="00714401">
        <w:rPr>
          <w:rFonts w:ascii="Book Antiqua" w:hAnsi="Book Antiqua"/>
          <w:sz w:val="24"/>
          <w:szCs w:val="24"/>
          <w:lang w:val="en-US"/>
        </w:rPr>
        <w:t>the initial sharp fall in concentration, (</w:t>
      </w:r>
      <w:r w:rsidR="005B5219" w:rsidRPr="00714401">
        <w:rPr>
          <w:rFonts w:ascii="Book Antiqua" w:hAnsi="Book Antiqua"/>
          <w:sz w:val="24"/>
          <w:szCs w:val="24"/>
          <w:lang w:val="en-US"/>
        </w:rPr>
        <w:t>distribution phase</w:t>
      </w:r>
      <w:r w:rsidR="00CE1FA7" w:rsidRPr="00714401">
        <w:rPr>
          <w:rFonts w:ascii="Book Antiqua" w:hAnsi="Book Antiqua"/>
          <w:sz w:val="24"/>
          <w:szCs w:val="24"/>
          <w:lang w:val="en-US"/>
        </w:rPr>
        <w:t xml:space="preserve">, due to the </w:t>
      </w:r>
      <w:r w:rsidR="00E05E23" w:rsidRPr="00714401">
        <w:rPr>
          <w:rFonts w:ascii="Book Antiqua" w:hAnsi="Book Antiqua"/>
          <w:sz w:val="24"/>
          <w:szCs w:val="24"/>
          <w:lang w:val="en-US"/>
        </w:rPr>
        <w:t xml:space="preserve">rapid </w:t>
      </w:r>
      <w:r w:rsidRPr="00714401">
        <w:rPr>
          <w:rFonts w:ascii="Book Antiqua" w:hAnsi="Book Antiqua"/>
          <w:sz w:val="24"/>
          <w:szCs w:val="24"/>
          <w:lang w:val="en-US"/>
        </w:rPr>
        <w:t xml:space="preserve">hepatic </w:t>
      </w:r>
      <w:r w:rsidR="00A87437" w:rsidRPr="00714401">
        <w:rPr>
          <w:rFonts w:ascii="Book Antiqua" w:hAnsi="Book Antiqua"/>
          <w:sz w:val="24"/>
          <w:szCs w:val="24"/>
          <w:lang w:val="en-US"/>
        </w:rPr>
        <w:t>uptake of ICG</w:t>
      </w:r>
      <w:r w:rsidR="00CE1FA7" w:rsidRPr="00714401">
        <w:rPr>
          <w:rFonts w:ascii="Book Antiqua" w:hAnsi="Book Antiqua"/>
          <w:sz w:val="24"/>
          <w:szCs w:val="24"/>
          <w:lang w:val="en-US"/>
        </w:rPr>
        <w:t xml:space="preserve"> from the plasma) is followed by</w:t>
      </w:r>
      <w:r w:rsidR="0076063F" w:rsidRPr="00714401">
        <w:rPr>
          <w:rFonts w:ascii="Book Antiqua" w:hAnsi="Book Antiqua"/>
          <w:sz w:val="24"/>
          <w:szCs w:val="24"/>
          <w:lang w:val="en-US"/>
        </w:rPr>
        <w:t xml:space="preserve"> </w:t>
      </w:r>
      <w:r w:rsidR="00CE1FA7" w:rsidRPr="00714401">
        <w:rPr>
          <w:rFonts w:ascii="Book Antiqua" w:hAnsi="Book Antiqua"/>
          <w:sz w:val="24"/>
          <w:szCs w:val="24"/>
          <w:lang w:val="en-US"/>
        </w:rPr>
        <w:t xml:space="preserve">a </w:t>
      </w:r>
      <w:r w:rsidR="00BF61A6" w:rsidRPr="00714401">
        <w:rPr>
          <w:rFonts w:ascii="Book Antiqua" w:hAnsi="Book Antiqua"/>
          <w:sz w:val="24"/>
          <w:szCs w:val="24"/>
          <w:lang w:val="en-US"/>
        </w:rPr>
        <w:t xml:space="preserve">less steep </w:t>
      </w:r>
      <w:r w:rsidR="00CE1FA7" w:rsidRPr="00714401">
        <w:rPr>
          <w:rFonts w:ascii="Book Antiqua" w:hAnsi="Book Antiqua"/>
          <w:sz w:val="24"/>
          <w:szCs w:val="24"/>
          <w:lang w:val="en-US"/>
        </w:rPr>
        <w:t>fall</w:t>
      </w:r>
      <w:r w:rsidR="0076063F" w:rsidRPr="00714401">
        <w:rPr>
          <w:rFonts w:ascii="Book Antiqua" w:hAnsi="Book Antiqua"/>
          <w:b/>
          <w:sz w:val="24"/>
          <w:szCs w:val="24"/>
          <w:lang w:val="en-US"/>
        </w:rPr>
        <w:t xml:space="preserve"> </w:t>
      </w:r>
      <w:r w:rsidR="00CE1FA7" w:rsidRPr="00714401">
        <w:rPr>
          <w:rFonts w:ascii="Book Antiqua" w:hAnsi="Book Antiqua"/>
          <w:sz w:val="24"/>
          <w:szCs w:val="24"/>
          <w:lang w:val="en-US"/>
        </w:rPr>
        <w:t>(</w:t>
      </w:r>
      <w:r w:rsidR="005B5219" w:rsidRPr="00714401">
        <w:rPr>
          <w:rFonts w:ascii="Book Antiqua" w:hAnsi="Book Antiqua"/>
          <w:sz w:val="24"/>
          <w:szCs w:val="24"/>
          <w:lang w:val="en-US"/>
        </w:rPr>
        <w:t>elimination phase</w:t>
      </w:r>
      <w:r w:rsidR="00CE1FA7" w:rsidRPr="00714401">
        <w:rPr>
          <w:rFonts w:ascii="Book Antiqua" w:hAnsi="Book Antiqua"/>
          <w:sz w:val="24"/>
          <w:szCs w:val="24"/>
          <w:lang w:val="en-US"/>
        </w:rPr>
        <w:t xml:space="preserve">, due to </w:t>
      </w:r>
      <w:r w:rsidR="00386201" w:rsidRPr="00714401">
        <w:rPr>
          <w:rFonts w:ascii="Book Antiqua" w:hAnsi="Book Antiqua"/>
          <w:sz w:val="24"/>
          <w:szCs w:val="24"/>
          <w:lang w:val="en-US"/>
        </w:rPr>
        <w:t xml:space="preserve">the passage </w:t>
      </w:r>
      <w:r w:rsidR="00E05E23" w:rsidRPr="00714401">
        <w:rPr>
          <w:rFonts w:ascii="Book Antiqua" w:hAnsi="Book Antiqua"/>
          <w:sz w:val="24"/>
          <w:szCs w:val="24"/>
          <w:lang w:val="en-US"/>
        </w:rPr>
        <w:t xml:space="preserve">from the liver </w:t>
      </w:r>
      <w:r w:rsidR="005B5219" w:rsidRPr="00714401">
        <w:rPr>
          <w:rFonts w:ascii="Book Antiqua" w:hAnsi="Book Antiqua"/>
          <w:sz w:val="24"/>
          <w:szCs w:val="24"/>
          <w:lang w:val="en-US"/>
        </w:rPr>
        <w:t>in</w:t>
      </w:r>
      <w:r w:rsidR="009158D8" w:rsidRPr="00714401">
        <w:rPr>
          <w:rFonts w:ascii="Book Antiqua" w:hAnsi="Book Antiqua"/>
          <w:sz w:val="24"/>
          <w:szCs w:val="24"/>
          <w:lang w:val="en-US"/>
        </w:rPr>
        <w:t>to</w:t>
      </w:r>
      <w:r w:rsidR="005B5219" w:rsidRPr="00714401">
        <w:rPr>
          <w:rFonts w:ascii="Book Antiqua" w:hAnsi="Book Antiqua"/>
          <w:sz w:val="24"/>
          <w:szCs w:val="24"/>
          <w:lang w:val="en-US"/>
        </w:rPr>
        <w:t xml:space="preserve"> the bile</w:t>
      </w:r>
      <w:r w:rsidR="00651CC6" w:rsidRPr="00714401">
        <w:rPr>
          <w:rFonts w:ascii="Book Antiqua" w:hAnsi="Book Antiqua"/>
          <w:sz w:val="24"/>
          <w:szCs w:val="24"/>
          <w:lang w:val="en-US"/>
        </w:rPr>
        <w:t>)</w:t>
      </w:r>
      <w:r w:rsidR="00D032C4" w:rsidRPr="00714401">
        <w:rPr>
          <w:rFonts w:ascii="Book Antiqua" w:hAnsi="Book Antiqua"/>
          <w:sz w:val="24"/>
          <w:szCs w:val="24"/>
          <w:lang w:val="en-US"/>
        </w:rPr>
        <w:t xml:space="preserve">. </w:t>
      </w:r>
      <w:r w:rsidR="00CE1FA7" w:rsidRPr="00714401">
        <w:rPr>
          <w:rFonts w:ascii="Book Antiqua" w:hAnsi="Book Antiqua"/>
          <w:sz w:val="24"/>
          <w:szCs w:val="24"/>
          <w:lang w:val="en-US"/>
        </w:rPr>
        <w:t xml:space="preserve">Twenty </w:t>
      </w:r>
      <w:r w:rsidR="006B6112" w:rsidRPr="00714401">
        <w:rPr>
          <w:rFonts w:ascii="Book Antiqua" w:hAnsi="Book Antiqua"/>
          <w:sz w:val="24"/>
          <w:szCs w:val="24"/>
          <w:lang w:val="en-US"/>
        </w:rPr>
        <w:t xml:space="preserve">to 30 min are usually needed for the </w:t>
      </w:r>
      <w:r w:rsidR="00E05E23" w:rsidRPr="00714401">
        <w:rPr>
          <w:rFonts w:ascii="Book Antiqua" w:hAnsi="Book Antiqua"/>
          <w:sz w:val="24"/>
          <w:szCs w:val="24"/>
          <w:lang w:val="en-US"/>
        </w:rPr>
        <w:t>transition from the distribution to the elimination</w:t>
      </w:r>
      <w:r w:rsidR="0076063F" w:rsidRPr="00714401">
        <w:rPr>
          <w:rFonts w:ascii="Book Antiqua" w:hAnsi="Book Antiqua"/>
          <w:sz w:val="24"/>
          <w:szCs w:val="24"/>
          <w:lang w:val="en-US"/>
        </w:rPr>
        <w:t xml:space="preserve"> </w:t>
      </w:r>
      <w:r w:rsidR="00E05E23" w:rsidRPr="00714401">
        <w:rPr>
          <w:rFonts w:ascii="Book Antiqua" w:hAnsi="Book Antiqua"/>
          <w:sz w:val="24"/>
          <w:szCs w:val="24"/>
          <w:lang w:val="en-US"/>
        </w:rPr>
        <w:t>phase</w:t>
      </w:r>
      <w:r w:rsidR="00D032C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6B6112" w:rsidRPr="00714401">
        <w:rPr>
          <w:rFonts w:ascii="Book Antiqua" w:hAnsi="Book Antiqua"/>
          <w:sz w:val="24"/>
          <w:szCs w:val="24"/>
          <w:lang w:val="en-US"/>
        </w:rPr>
        <w:t xml:space="preserve">K </w:t>
      </w:r>
      <w:r w:rsidR="00D032C4" w:rsidRPr="00714401">
        <w:rPr>
          <w:rFonts w:ascii="Book Antiqua" w:hAnsi="Book Antiqua"/>
          <w:sz w:val="24"/>
          <w:szCs w:val="24"/>
          <w:lang w:val="en-US"/>
        </w:rPr>
        <w:t xml:space="preserve">value </w:t>
      </w:r>
      <w:r w:rsidR="00E05E23" w:rsidRPr="00714401">
        <w:rPr>
          <w:rFonts w:ascii="Book Antiqua" w:hAnsi="Book Antiqua"/>
          <w:sz w:val="24"/>
          <w:szCs w:val="24"/>
          <w:lang w:val="en-US"/>
        </w:rPr>
        <w:t>(</w:t>
      </w:r>
      <w:r w:rsidR="00651CC6" w:rsidRPr="00714401">
        <w:rPr>
          <w:rFonts w:ascii="Book Antiqua" w:hAnsi="Book Antiqua" w:hint="eastAsia"/>
          <w:sz w:val="24"/>
          <w:szCs w:val="24"/>
          <w:lang w:val="en-US" w:eastAsia="zh-CN"/>
        </w:rPr>
        <w:t>/</w:t>
      </w:r>
      <w:r w:rsidR="00E05E23" w:rsidRPr="00714401">
        <w:rPr>
          <w:rFonts w:ascii="Book Antiqua" w:hAnsi="Book Antiqua"/>
          <w:sz w:val="24"/>
          <w:szCs w:val="24"/>
          <w:lang w:val="en-US"/>
        </w:rPr>
        <w:t xml:space="preserve">min) is </w:t>
      </w:r>
      <w:r w:rsidR="006B6112" w:rsidRPr="00714401">
        <w:rPr>
          <w:rFonts w:ascii="Book Antiqua" w:hAnsi="Book Antiqua"/>
          <w:sz w:val="24"/>
          <w:szCs w:val="24"/>
          <w:lang w:val="en-US"/>
        </w:rPr>
        <w:t xml:space="preserve">derived </w:t>
      </w:r>
      <w:r w:rsidR="00E05E23" w:rsidRPr="00714401">
        <w:rPr>
          <w:rFonts w:ascii="Book Antiqua" w:hAnsi="Book Antiqua"/>
          <w:sz w:val="24"/>
          <w:szCs w:val="24"/>
          <w:lang w:val="en-US"/>
        </w:rPr>
        <w:t xml:space="preserve">from the first </w:t>
      </w:r>
      <w:r w:rsidR="006B6112" w:rsidRPr="00714401">
        <w:rPr>
          <w:rFonts w:ascii="Book Antiqua" w:hAnsi="Book Antiqua"/>
          <w:sz w:val="24"/>
          <w:szCs w:val="24"/>
          <w:lang w:val="en-US"/>
        </w:rPr>
        <w:t xml:space="preserve">fifteen minutes </w:t>
      </w:r>
      <w:r w:rsidR="00E05E23" w:rsidRPr="00714401">
        <w:rPr>
          <w:rFonts w:ascii="Book Antiqua" w:hAnsi="Book Antiqua"/>
          <w:sz w:val="24"/>
          <w:szCs w:val="24"/>
          <w:lang w:val="en-US"/>
        </w:rPr>
        <w:t>component of the disappearance curve.</w:t>
      </w:r>
    </w:p>
    <w:p w:rsidR="00472E75" w:rsidRPr="00714401" w:rsidRDefault="00651CC6" w:rsidP="00651CC6">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In case of liver dysfunction/</w:t>
      </w:r>
      <w:r w:rsidR="00002F91" w:rsidRPr="00714401">
        <w:rPr>
          <w:rFonts w:ascii="Book Antiqua" w:hAnsi="Book Antiqua"/>
          <w:sz w:val="24"/>
          <w:szCs w:val="24"/>
          <w:lang w:val="en-US"/>
        </w:rPr>
        <w:t xml:space="preserve">disease, </w:t>
      </w:r>
      <w:r w:rsidR="00570EAA" w:rsidRPr="00714401">
        <w:rPr>
          <w:rFonts w:ascii="Book Antiqua" w:hAnsi="Book Antiqua"/>
          <w:sz w:val="24"/>
          <w:szCs w:val="24"/>
          <w:lang w:val="en-US"/>
        </w:rPr>
        <w:t xml:space="preserve">a consistent prolongation of IGC </w:t>
      </w:r>
      <w:r w:rsidR="002E188F" w:rsidRPr="00714401">
        <w:rPr>
          <w:rFonts w:ascii="Book Antiqua" w:hAnsi="Book Antiqua"/>
          <w:sz w:val="24"/>
          <w:szCs w:val="24"/>
          <w:lang w:val="en-US"/>
        </w:rPr>
        <w:t>h</w:t>
      </w:r>
      <w:r w:rsidR="00803642" w:rsidRPr="00714401">
        <w:rPr>
          <w:rFonts w:ascii="Book Antiqua" w:hAnsi="Book Antiqua"/>
          <w:sz w:val="24"/>
          <w:szCs w:val="24"/>
          <w:lang w:val="en-US"/>
        </w:rPr>
        <w:t xml:space="preserve">alf </w:t>
      </w:r>
      <w:r w:rsidR="00570EAA" w:rsidRPr="00714401">
        <w:rPr>
          <w:rFonts w:ascii="Book Antiqua" w:hAnsi="Book Antiqua"/>
          <w:sz w:val="24"/>
          <w:szCs w:val="24"/>
          <w:lang w:val="en-US"/>
        </w:rPr>
        <w:t>-</w:t>
      </w:r>
      <w:r w:rsidR="00803642" w:rsidRPr="00714401">
        <w:rPr>
          <w:rFonts w:ascii="Book Antiqua" w:hAnsi="Book Antiqua"/>
          <w:sz w:val="24"/>
          <w:szCs w:val="24"/>
          <w:lang w:val="en-US"/>
        </w:rPr>
        <w:t>life</w:t>
      </w:r>
      <w:r w:rsidR="0076063F" w:rsidRPr="00714401">
        <w:rPr>
          <w:rFonts w:ascii="Book Antiqua" w:hAnsi="Book Antiqua"/>
          <w:sz w:val="24"/>
          <w:szCs w:val="24"/>
          <w:lang w:val="en-US"/>
        </w:rPr>
        <w:t xml:space="preserve"> </w:t>
      </w:r>
      <w:r w:rsidR="00803642" w:rsidRPr="00714401">
        <w:rPr>
          <w:rFonts w:ascii="Book Antiqua" w:hAnsi="Book Antiqua"/>
          <w:sz w:val="24"/>
          <w:szCs w:val="24"/>
          <w:lang w:val="en-US"/>
        </w:rPr>
        <w:t>is</w:t>
      </w:r>
      <w:r w:rsidR="00570EAA" w:rsidRPr="00714401">
        <w:rPr>
          <w:rFonts w:ascii="Book Antiqua" w:hAnsi="Book Antiqua"/>
          <w:sz w:val="24"/>
          <w:szCs w:val="24"/>
          <w:lang w:val="en-US"/>
        </w:rPr>
        <w:t xml:space="preserve"> usually recorded</w:t>
      </w:r>
      <w:r w:rsidR="007F52CD" w:rsidRPr="00714401">
        <w:rPr>
          <w:rFonts w:ascii="Book Antiqua" w:hAnsi="Book Antiqua"/>
          <w:sz w:val="24"/>
          <w:szCs w:val="24"/>
          <w:lang w:val="en-US"/>
        </w:rPr>
        <w:t xml:space="preserve">, as </w:t>
      </w:r>
      <w:r w:rsidR="00002F91" w:rsidRPr="00714401">
        <w:rPr>
          <w:rFonts w:ascii="Book Antiqua" w:hAnsi="Book Antiqua"/>
          <w:sz w:val="24"/>
          <w:szCs w:val="24"/>
          <w:lang w:val="en-US"/>
        </w:rPr>
        <w:t xml:space="preserve">ICG hepatic clearance </w:t>
      </w:r>
      <w:r w:rsidR="007F52CD" w:rsidRPr="00714401">
        <w:rPr>
          <w:rFonts w:ascii="Book Antiqua" w:hAnsi="Book Antiqua"/>
          <w:sz w:val="24"/>
          <w:szCs w:val="24"/>
          <w:lang w:val="en-US"/>
        </w:rPr>
        <w:t xml:space="preserve">depends </w:t>
      </w:r>
      <w:r w:rsidR="00002F91" w:rsidRPr="00714401">
        <w:rPr>
          <w:rFonts w:ascii="Book Antiqua" w:hAnsi="Book Antiqua"/>
          <w:sz w:val="24"/>
          <w:szCs w:val="24"/>
          <w:lang w:val="en-US"/>
        </w:rPr>
        <w:t xml:space="preserve">from both </w:t>
      </w:r>
      <w:proofErr w:type="gramStart"/>
      <w:r w:rsidR="00A24196" w:rsidRPr="00714401">
        <w:rPr>
          <w:rFonts w:ascii="Book Antiqua" w:hAnsi="Book Antiqua"/>
          <w:sz w:val="24"/>
          <w:szCs w:val="24"/>
          <w:lang w:val="en-US"/>
        </w:rPr>
        <w:t>carriers</w:t>
      </w:r>
      <w:proofErr w:type="gramEnd"/>
      <w:r w:rsidR="00A24196" w:rsidRPr="00714401">
        <w:rPr>
          <w:rFonts w:ascii="Book Antiqua" w:hAnsi="Book Antiqua"/>
          <w:sz w:val="24"/>
          <w:szCs w:val="24"/>
          <w:lang w:val="en-US"/>
        </w:rPr>
        <w:t xml:space="preserve"> capacity and</w:t>
      </w:r>
      <w:r w:rsidR="0076063F" w:rsidRPr="00714401">
        <w:rPr>
          <w:rFonts w:ascii="Book Antiqua" w:hAnsi="Book Antiqua"/>
          <w:sz w:val="24"/>
          <w:szCs w:val="24"/>
          <w:lang w:val="en-US"/>
        </w:rPr>
        <w:t xml:space="preserve"> </w:t>
      </w:r>
      <w:r w:rsidR="006C4063" w:rsidRPr="00714401">
        <w:rPr>
          <w:rFonts w:ascii="Book Antiqua" w:hAnsi="Book Antiqua"/>
          <w:sz w:val="24"/>
          <w:szCs w:val="24"/>
          <w:lang w:val="en-US"/>
        </w:rPr>
        <w:t xml:space="preserve">liver </w:t>
      </w:r>
      <w:r w:rsidR="00A24196" w:rsidRPr="00714401">
        <w:rPr>
          <w:rFonts w:ascii="Book Antiqua" w:hAnsi="Book Antiqua"/>
          <w:sz w:val="24"/>
          <w:szCs w:val="24"/>
          <w:lang w:val="en-US"/>
        </w:rPr>
        <w:t xml:space="preserve">blood </w:t>
      </w:r>
      <w:r w:rsidR="00A24196" w:rsidRPr="00714401">
        <w:rPr>
          <w:rFonts w:ascii="Book Antiqua" w:hAnsi="Book Antiqua"/>
          <w:sz w:val="24"/>
          <w:szCs w:val="24"/>
          <w:lang w:val="en-US"/>
        </w:rPr>
        <w:lastRenderedPageBreak/>
        <w:t>flow</w:t>
      </w:r>
      <w:r w:rsidR="009158D8" w:rsidRPr="00714401">
        <w:rPr>
          <w:rFonts w:ascii="Book Antiqua" w:hAnsi="Book Antiqua"/>
          <w:sz w:val="24"/>
          <w:szCs w:val="24"/>
          <w:lang w:val="en-US"/>
        </w:rPr>
        <w:t>.</w:t>
      </w:r>
      <w:r w:rsidR="00A80352" w:rsidRPr="00714401">
        <w:rPr>
          <w:rFonts w:ascii="Book Antiqua" w:hAnsi="Book Antiqua"/>
          <w:sz w:val="24"/>
          <w:szCs w:val="24"/>
          <w:lang w:val="en-US"/>
        </w:rPr>
        <w:t xml:space="preserve"> In</w:t>
      </w:r>
      <w:r w:rsidR="0076063F" w:rsidRPr="00714401">
        <w:rPr>
          <w:rFonts w:ascii="Book Antiqua" w:hAnsi="Book Antiqua"/>
          <w:sz w:val="24"/>
          <w:szCs w:val="24"/>
          <w:lang w:val="en-US"/>
        </w:rPr>
        <w:t xml:space="preserve"> </w:t>
      </w:r>
      <w:r w:rsidR="00E706EB" w:rsidRPr="00714401">
        <w:rPr>
          <w:rFonts w:ascii="Book Antiqua" w:hAnsi="Book Antiqua"/>
          <w:sz w:val="24"/>
          <w:szCs w:val="24"/>
          <w:lang w:val="en-US"/>
        </w:rPr>
        <w:t xml:space="preserve">individuals suffering for </w:t>
      </w:r>
      <w:r w:rsidR="00A80352" w:rsidRPr="00714401">
        <w:rPr>
          <w:rFonts w:ascii="Book Antiqua" w:hAnsi="Book Antiqua"/>
          <w:sz w:val="24"/>
          <w:szCs w:val="24"/>
          <w:lang w:val="en-US"/>
        </w:rPr>
        <w:t xml:space="preserve">acute </w:t>
      </w:r>
      <w:r w:rsidR="00E706EB" w:rsidRPr="00714401">
        <w:rPr>
          <w:rFonts w:ascii="Book Antiqua" w:hAnsi="Book Antiqua"/>
          <w:sz w:val="24"/>
          <w:szCs w:val="24"/>
          <w:lang w:val="en-US"/>
        </w:rPr>
        <w:t>liver injury</w:t>
      </w:r>
      <w:r w:rsidR="0076063F" w:rsidRPr="00714401">
        <w:rPr>
          <w:rFonts w:ascii="Book Antiqua" w:hAnsi="Book Antiqua"/>
          <w:sz w:val="24"/>
          <w:szCs w:val="24"/>
          <w:lang w:val="en-US"/>
        </w:rPr>
        <w:t xml:space="preserve"> </w:t>
      </w:r>
      <w:r w:rsidR="00A80352" w:rsidRPr="00714401">
        <w:rPr>
          <w:rFonts w:ascii="Book Antiqua" w:hAnsi="Book Antiqua"/>
          <w:sz w:val="24"/>
          <w:szCs w:val="24"/>
          <w:lang w:val="en-US"/>
        </w:rPr>
        <w:t xml:space="preserve">or </w:t>
      </w:r>
      <w:r w:rsidR="00BC5742" w:rsidRPr="00714401">
        <w:rPr>
          <w:rFonts w:ascii="Book Antiqua" w:hAnsi="Book Antiqua"/>
          <w:sz w:val="24"/>
          <w:szCs w:val="24"/>
          <w:lang w:val="en-US"/>
        </w:rPr>
        <w:t>stea</w:t>
      </w:r>
      <w:r w:rsidR="00E706EB" w:rsidRPr="00714401">
        <w:rPr>
          <w:rFonts w:ascii="Book Antiqua" w:hAnsi="Book Antiqua"/>
          <w:sz w:val="24"/>
          <w:szCs w:val="24"/>
          <w:lang w:val="en-US"/>
        </w:rPr>
        <w:t>tohepa</w:t>
      </w:r>
      <w:r w:rsidR="005C4367" w:rsidRPr="00714401">
        <w:rPr>
          <w:rFonts w:ascii="Book Antiqua" w:hAnsi="Book Antiqua"/>
          <w:sz w:val="24"/>
          <w:szCs w:val="24"/>
          <w:lang w:val="en-US"/>
        </w:rPr>
        <w:t>ti</w:t>
      </w:r>
      <w:r w:rsidRPr="00714401">
        <w:rPr>
          <w:rFonts w:ascii="Book Antiqua" w:hAnsi="Book Antiqua"/>
          <w:sz w:val="24"/>
          <w:szCs w:val="24"/>
          <w:lang w:val="en-US"/>
        </w:rPr>
        <w:t>tis</w:t>
      </w:r>
      <w:r w:rsidR="00A80352" w:rsidRPr="00714401">
        <w:rPr>
          <w:rFonts w:ascii="Book Antiqua" w:hAnsi="Book Antiqua"/>
          <w:sz w:val="24"/>
          <w:szCs w:val="24"/>
          <w:lang w:val="en-US"/>
        </w:rPr>
        <w:t xml:space="preserve">, release of </w:t>
      </w:r>
      <w:r w:rsidR="00C26F48" w:rsidRPr="00714401">
        <w:rPr>
          <w:rFonts w:ascii="Book Antiqua" w:hAnsi="Book Antiqua"/>
          <w:sz w:val="24"/>
          <w:szCs w:val="24"/>
          <w:lang w:val="en-US"/>
        </w:rPr>
        <w:t xml:space="preserve">cytokines (mainly </w:t>
      </w:r>
      <w:r w:rsidRPr="00714401">
        <w:rPr>
          <w:rFonts w:ascii="Book Antiqua" w:hAnsi="Book Antiqua"/>
          <w:sz w:val="24"/>
          <w:szCs w:val="24"/>
          <w:lang w:val="en-US"/>
        </w:rPr>
        <w:t>tumor necrosis factor al</w:t>
      </w:r>
      <w:r w:rsidRPr="00714401">
        <w:rPr>
          <w:rFonts w:ascii="Book Antiqua" w:hAnsi="Book Antiqua" w:cs="Times New Roman"/>
          <w:sz w:val="24"/>
          <w:szCs w:val="24"/>
          <w:lang w:val="en-US"/>
        </w:rPr>
        <w:t xml:space="preserve">pha and </w:t>
      </w:r>
      <w:proofErr w:type="spellStart"/>
      <w:r w:rsidRPr="00714401">
        <w:rPr>
          <w:rFonts w:ascii="Book Antiqua" w:hAnsi="Book Antiqua" w:cs="Times New Roman"/>
          <w:sz w:val="24"/>
          <w:szCs w:val="24"/>
          <w:lang w:val="en-US"/>
        </w:rPr>
        <w:t>interl</w:t>
      </w:r>
      <w:r w:rsidR="00A24196" w:rsidRPr="00714401">
        <w:rPr>
          <w:rFonts w:ascii="Book Antiqua" w:hAnsi="Book Antiqua" w:cs="Times New Roman"/>
          <w:sz w:val="24"/>
          <w:szCs w:val="24"/>
          <w:lang w:val="en-US"/>
        </w:rPr>
        <w:t>eukine</w:t>
      </w:r>
      <w:proofErr w:type="spellEnd"/>
      <w:r w:rsidR="00A24196" w:rsidRPr="00714401">
        <w:rPr>
          <w:rFonts w:ascii="Book Antiqua" w:hAnsi="Book Antiqua" w:cs="Times New Roman"/>
          <w:sz w:val="24"/>
          <w:szCs w:val="24"/>
          <w:lang w:val="en-US"/>
        </w:rPr>
        <w:t xml:space="preserve"> </w:t>
      </w:r>
      <w:r w:rsidR="00A80352" w:rsidRPr="00714401">
        <w:rPr>
          <w:rFonts w:ascii="Book Antiqua" w:hAnsi="Book Antiqua"/>
          <w:sz w:val="24"/>
          <w:szCs w:val="24"/>
          <w:lang w:val="en-US"/>
        </w:rPr>
        <w:t>6)</w:t>
      </w:r>
      <w:r w:rsidR="0076063F" w:rsidRPr="00714401">
        <w:rPr>
          <w:rFonts w:ascii="Book Antiqua" w:hAnsi="Book Antiqua"/>
          <w:i/>
          <w:sz w:val="24"/>
          <w:szCs w:val="24"/>
          <w:lang w:val="en-US"/>
        </w:rPr>
        <w:t xml:space="preserve"> </w:t>
      </w:r>
      <w:r w:rsidR="00A80352" w:rsidRPr="00714401">
        <w:rPr>
          <w:rFonts w:ascii="Book Antiqua" w:hAnsi="Book Antiqua"/>
          <w:sz w:val="24"/>
          <w:szCs w:val="24"/>
          <w:lang w:val="en-US"/>
        </w:rPr>
        <w:t xml:space="preserve">by </w:t>
      </w:r>
      <w:r w:rsidR="00C26F48" w:rsidRPr="00714401">
        <w:rPr>
          <w:rFonts w:ascii="Book Antiqua" w:hAnsi="Book Antiqua"/>
          <w:sz w:val="24"/>
          <w:szCs w:val="24"/>
          <w:lang w:val="en-US"/>
        </w:rPr>
        <w:t xml:space="preserve">the </w:t>
      </w:r>
      <w:proofErr w:type="spellStart"/>
      <w:r w:rsidR="00C26F48" w:rsidRPr="00714401">
        <w:rPr>
          <w:rFonts w:ascii="Book Antiqua" w:hAnsi="Book Antiqua"/>
          <w:sz w:val="24"/>
          <w:szCs w:val="24"/>
          <w:lang w:val="en-US"/>
        </w:rPr>
        <w:t>reticulonendothelial</w:t>
      </w:r>
      <w:proofErr w:type="spellEnd"/>
      <w:r w:rsidR="00C26F48" w:rsidRPr="00714401">
        <w:rPr>
          <w:rFonts w:ascii="Book Antiqua" w:hAnsi="Book Antiqua"/>
          <w:sz w:val="24"/>
          <w:szCs w:val="24"/>
          <w:lang w:val="en-US"/>
        </w:rPr>
        <w:t xml:space="preserve"> cell</w:t>
      </w:r>
      <w:r w:rsidR="00A24196" w:rsidRPr="00714401">
        <w:rPr>
          <w:rFonts w:ascii="Book Antiqua" w:hAnsi="Book Antiqua"/>
          <w:sz w:val="24"/>
          <w:szCs w:val="24"/>
          <w:lang w:val="en-US"/>
        </w:rPr>
        <w:t xml:space="preserve">s (mainly </w:t>
      </w:r>
      <w:proofErr w:type="spellStart"/>
      <w:r w:rsidR="00A24196" w:rsidRPr="00714401">
        <w:rPr>
          <w:rFonts w:ascii="Book Antiqua" w:hAnsi="Book Antiqua"/>
          <w:sz w:val="24"/>
          <w:szCs w:val="24"/>
          <w:lang w:val="en-US"/>
        </w:rPr>
        <w:t>Kuppfer</w:t>
      </w:r>
      <w:proofErr w:type="spellEnd"/>
      <w:r w:rsidR="00A24196" w:rsidRPr="00714401">
        <w:rPr>
          <w:rFonts w:ascii="Book Antiqua" w:hAnsi="Book Antiqua"/>
          <w:sz w:val="24"/>
          <w:szCs w:val="24"/>
          <w:lang w:val="en-US"/>
        </w:rPr>
        <w:t xml:space="preserve"> cells) </w:t>
      </w:r>
      <w:r w:rsidR="00A80352" w:rsidRPr="00714401">
        <w:rPr>
          <w:rFonts w:ascii="Book Antiqua" w:hAnsi="Book Antiqua"/>
          <w:sz w:val="24"/>
          <w:szCs w:val="24"/>
          <w:lang w:val="en-US"/>
        </w:rPr>
        <w:t xml:space="preserve">is able </w:t>
      </w:r>
      <w:r w:rsidR="005C4367" w:rsidRPr="00714401">
        <w:rPr>
          <w:rFonts w:ascii="Book Antiqua" w:hAnsi="Book Antiqua"/>
          <w:sz w:val="24"/>
          <w:szCs w:val="24"/>
          <w:lang w:val="en-US"/>
        </w:rPr>
        <w:t xml:space="preserve">to </w:t>
      </w:r>
      <w:r w:rsidR="00802558" w:rsidRPr="00714401">
        <w:rPr>
          <w:rFonts w:ascii="Book Antiqua" w:hAnsi="Book Antiqua"/>
          <w:sz w:val="24"/>
          <w:szCs w:val="24"/>
          <w:lang w:val="en-US"/>
        </w:rPr>
        <w:t xml:space="preserve">downregulate </w:t>
      </w:r>
      <w:r w:rsidR="00A80352" w:rsidRPr="00714401">
        <w:rPr>
          <w:rFonts w:ascii="Book Antiqua" w:hAnsi="Book Antiqua"/>
          <w:sz w:val="24"/>
          <w:szCs w:val="24"/>
          <w:lang w:val="en-US"/>
        </w:rPr>
        <w:t xml:space="preserve">the expression of organic anion transporting polypeptide isoforms and sodium-taurocholate co-transporting polypeptide, </w:t>
      </w:r>
      <w:r w:rsidR="00E706EB" w:rsidRPr="00714401">
        <w:rPr>
          <w:rFonts w:ascii="Book Antiqua" w:hAnsi="Book Antiqua"/>
          <w:sz w:val="24"/>
          <w:szCs w:val="24"/>
          <w:lang w:val="en-US"/>
        </w:rPr>
        <w:t xml:space="preserve">reducing the </w:t>
      </w:r>
      <w:r w:rsidR="00A24196" w:rsidRPr="00714401">
        <w:rPr>
          <w:rFonts w:ascii="Book Antiqua" w:hAnsi="Book Antiqua"/>
          <w:sz w:val="24"/>
          <w:szCs w:val="24"/>
          <w:lang w:val="en-US"/>
        </w:rPr>
        <w:t xml:space="preserve">hepatic </w:t>
      </w:r>
      <w:r w:rsidR="00C26F48" w:rsidRPr="00714401">
        <w:rPr>
          <w:rFonts w:ascii="Book Antiqua" w:hAnsi="Book Antiqua"/>
          <w:sz w:val="24"/>
          <w:szCs w:val="24"/>
          <w:lang w:val="en-US"/>
        </w:rPr>
        <w:t>uptake</w:t>
      </w:r>
      <w:r w:rsidR="00A24196" w:rsidRPr="00714401">
        <w:rPr>
          <w:rFonts w:ascii="Book Antiqua" w:hAnsi="Book Antiqua"/>
          <w:sz w:val="24"/>
          <w:szCs w:val="24"/>
          <w:lang w:val="en-US"/>
        </w:rPr>
        <w:t xml:space="preserve"> capacity</w:t>
      </w:r>
      <w:r w:rsidR="00A80352" w:rsidRPr="00714401">
        <w:rPr>
          <w:rFonts w:ascii="Book Antiqua" w:hAnsi="Book Antiqua"/>
          <w:sz w:val="24"/>
          <w:szCs w:val="24"/>
          <w:lang w:val="en-US"/>
        </w:rPr>
        <w:t xml:space="preserve">. </w:t>
      </w:r>
      <w:r w:rsidR="00C26F48" w:rsidRPr="00714401">
        <w:rPr>
          <w:rFonts w:ascii="Book Antiqua" w:hAnsi="Book Antiqua"/>
          <w:sz w:val="24"/>
          <w:szCs w:val="24"/>
          <w:lang w:val="en-US"/>
        </w:rPr>
        <w:t xml:space="preserve">In contrast, </w:t>
      </w:r>
      <w:r w:rsidR="00802558" w:rsidRPr="00714401">
        <w:rPr>
          <w:rFonts w:ascii="Book Antiqua" w:hAnsi="Book Antiqua"/>
          <w:sz w:val="24"/>
          <w:szCs w:val="24"/>
          <w:lang w:val="en-US"/>
        </w:rPr>
        <w:t xml:space="preserve">ICG transport capacity is competitively inhibited </w:t>
      </w:r>
      <w:r w:rsidR="00A80352" w:rsidRPr="00714401">
        <w:rPr>
          <w:rFonts w:ascii="Book Antiqua" w:hAnsi="Book Antiqua"/>
          <w:sz w:val="24"/>
          <w:szCs w:val="24"/>
          <w:lang w:val="en-US"/>
        </w:rPr>
        <w:t>i</w:t>
      </w:r>
      <w:r w:rsidR="007F52CD" w:rsidRPr="00714401">
        <w:rPr>
          <w:rFonts w:ascii="Book Antiqua" w:hAnsi="Book Antiqua"/>
          <w:sz w:val="24"/>
          <w:szCs w:val="24"/>
          <w:lang w:val="en-US"/>
        </w:rPr>
        <w:t xml:space="preserve">n case of </w:t>
      </w:r>
      <w:r w:rsidRPr="00714401">
        <w:rPr>
          <w:rFonts w:ascii="Book Antiqua" w:hAnsi="Book Antiqua"/>
          <w:sz w:val="24"/>
          <w:szCs w:val="24"/>
          <w:lang w:val="en-US"/>
        </w:rPr>
        <w:t>hyperbilirubinemia</w:t>
      </w:r>
      <w:r w:rsidR="00EA6344" w:rsidRPr="00714401">
        <w:rPr>
          <w:rFonts w:ascii="Book Antiqua" w:hAnsi="Book Antiqua"/>
          <w:sz w:val="24"/>
          <w:szCs w:val="24"/>
          <w:vertAlign w:val="superscript"/>
          <w:lang w:val="en-US"/>
        </w:rPr>
        <w:t>[6</w:t>
      </w:r>
      <w:r w:rsidR="00A84EFE" w:rsidRPr="00714401">
        <w:rPr>
          <w:rFonts w:ascii="Book Antiqua" w:hAnsi="Book Antiqua"/>
          <w:sz w:val="24"/>
          <w:szCs w:val="24"/>
          <w:vertAlign w:val="superscript"/>
          <w:lang w:val="en-US"/>
        </w:rPr>
        <w:t>-8,10</w:t>
      </w:r>
      <w:r w:rsidR="005A7B69" w:rsidRPr="00714401">
        <w:rPr>
          <w:rFonts w:ascii="Book Antiqua" w:hAnsi="Book Antiqua"/>
          <w:sz w:val="24"/>
          <w:szCs w:val="24"/>
          <w:vertAlign w:val="superscript"/>
          <w:lang w:val="en-US" w:eastAsia="zh-CN"/>
        </w:rPr>
        <w:t>-</w:t>
      </w:r>
      <w:r w:rsidR="00EA6344" w:rsidRPr="00714401">
        <w:rPr>
          <w:rFonts w:ascii="Book Antiqua" w:hAnsi="Book Antiqua"/>
          <w:sz w:val="24"/>
          <w:szCs w:val="24"/>
          <w:vertAlign w:val="superscript"/>
          <w:lang w:val="en-US"/>
        </w:rPr>
        <w:t>13]</w:t>
      </w:r>
      <w:r w:rsidR="00BC5742" w:rsidRPr="00714401">
        <w:rPr>
          <w:rFonts w:ascii="Book Antiqua" w:hAnsi="Book Antiqua"/>
          <w:sz w:val="24"/>
          <w:szCs w:val="24"/>
          <w:lang w:val="en-US"/>
        </w:rPr>
        <w:t xml:space="preserve">, </w:t>
      </w:r>
      <w:r w:rsidR="00C26F48" w:rsidRPr="00714401">
        <w:rPr>
          <w:rFonts w:ascii="Book Antiqua" w:hAnsi="Book Antiqua"/>
          <w:sz w:val="24"/>
          <w:szCs w:val="24"/>
          <w:lang w:val="en-US"/>
        </w:rPr>
        <w:t xml:space="preserve">due to the </w:t>
      </w:r>
      <w:r w:rsidR="00802558" w:rsidRPr="00714401">
        <w:rPr>
          <w:rFonts w:ascii="Book Antiqua" w:hAnsi="Book Antiqua"/>
          <w:sz w:val="24"/>
          <w:szCs w:val="24"/>
          <w:lang w:val="en-US"/>
        </w:rPr>
        <w:t xml:space="preserve">same </w:t>
      </w:r>
      <w:r w:rsidR="005977A3" w:rsidRPr="00714401">
        <w:rPr>
          <w:rFonts w:ascii="Book Antiqua" w:hAnsi="Book Antiqua"/>
          <w:sz w:val="24"/>
          <w:szCs w:val="24"/>
          <w:lang w:val="en-US"/>
        </w:rPr>
        <w:t xml:space="preserve">carrier </w:t>
      </w:r>
      <w:r w:rsidR="00802558" w:rsidRPr="00714401">
        <w:rPr>
          <w:rFonts w:ascii="Book Antiqua" w:hAnsi="Book Antiqua"/>
          <w:sz w:val="24"/>
          <w:szCs w:val="24"/>
          <w:lang w:val="en-US"/>
        </w:rPr>
        <w:t>system (</w:t>
      </w:r>
      <w:r w:rsidR="00A80352" w:rsidRPr="00714401">
        <w:rPr>
          <w:rFonts w:ascii="Book Antiqua" w:hAnsi="Book Antiqua"/>
          <w:sz w:val="24"/>
          <w:szCs w:val="24"/>
          <w:lang w:val="en-US"/>
        </w:rPr>
        <w:t>ATP - export pump - MDRP2</w:t>
      </w:r>
      <w:r w:rsidR="00802558" w:rsidRPr="00714401">
        <w:rPr>
          <w:rFonts w:ascii="Book Antiqua" w:hAnsi="Book Antiqua"/>
          <w:sz w:val="24"/>
          <w:szCs w:val="24"/>
          <w:lang w:val="en-US"/>
        </w:rPr>
        <w:t>)</w:t>
      </w:r>
      <w:r w:rsidR="00C26F48" w:rsidRPr="00714401">
        <w:rPr>
          <w:rFonts w:ascii="Book Antiqua" w:hAnsi="Book Antiqua"/>
          <w:sz w:val="24"/>
          <w:szCs w:val="24"/>
          <w:lang w:val="en-US"/>
        </w:rPr>
        <w:t xml:space="preserve"> shared by ICG and bilirubin</w:t>
      </w:r>
      <w:r w:rsidR="00E706EB" w:rsidRPr="00714401">
        <w:rPr>
          <w:rFonts w:ascii="Book Antiqua" w:hAnsi="Book Antiqua"/>
          <w:sz w:val="24"/>
          <w:szCs w:val="24"/>
          <w:lang w:val="en-US"/>
        </w:rPr>
        <w:t>:</w:t>
      </w:r>
      <w:r w:rsidR="00CE7735" w:rsidRPr="00714401">
        <w:rPr>
          <w:rFonts w:ascii="Book Antiqua" w:hAnsi="Book Antiqua"/>
          <w:sz w:val="24"/>
          <w:szCs w:val="24"/>
          <w:lang w:val="en-US"/>
        </w:rPr>
        <w:t xml:space="preserve"> I</w:t>
      </w:r>
      <w:r w:rsidR="00C26F48" w:rsidRPr="00714401">
        <w:rPr>
          <w:rFonts w:ascii="Book Antiqua" w:hAnsi="Book Antiqua"/>
          <w:sz w:val="24"/>
          <w:szCs w:val="24"/>
          <w:lang w:val="en-US"/>
        </w:rPr>
        <w:t xml:space="preserve">n case </w:t>
      </w:r>
      <w:r w:rsidR="00D47FC9" w:rsidRPr="00714401">
        <w:rPr>
          <w:rFonts w:ascii="Book Antiqua" w:hAnsi="Book Antiqua"/>
          <w:sz w:val="24"/>
          <w:szCs w:val="24"/>
          <w:lang w:val="en-US"/>
        </w:rPr>
        <w:t>of hyperbilirubinemia</w:t>
      </w:r>
      <w:r w:rsidR="005977A3" w:rsidRPr="00714401">
        <w:rPr>
          <w:rFonts w:ascii="Book Antiqua" w:hAnsi="Book Antiqua"/>
          <w:sz w:val="24"/>
          <w:szCs w:val="24"/>
          <w:lang w:val="en-US"/>
        </w:rPr>
        <w:t xml:space="preserve"> (serum bilirubin &gt; 3 mg</w:t>
      </w:r>
      <w:r w:rsidRPr="00714401">
        <w:rPr>
          <w:rFonts w:ascii="Book Antiqua" w:hAnsi="Book Antiqua" w:hint="eastAsia"/>
          <w:sz w:val="24"/>
          <w:szCs w:val="24"/>
          <w:lang w:val="en-US" w:eastAsia="zh-CN"/>
        </w:rPr>
        <w:t>/</w:t>
      </w:r>
      <w:r w:rsidR="005977A3" w:rsidRPr="00714401">
        <w:rPr>
          <w:rFonts w:ascii="Book Antiqua" w:hAnsi="Book Antiqua"/>
          <w:sz w:val="24"/>
          <w:szCs w:val="24"/>
          <w:lang w:val="en-US"/>
        </w:rPr>
        <w:t>m</w:t>
      </w:r>
      <w:r w:rsidRPr="00714401">
        <w:rPr>
          <w:rFonts w:ascii="Book Antiqua" w:hAnsi="Book Antiqua"/>
          <w:sz w:val="24"/>
          <w:szCs w:val="24"/>
          <w:lang w:val="en-US"/>
        </w:rPr>
        <w:t>L</w:t>
      </w:r>
      <w:r w:rsidR="005977A3" w:rsidRPr="00714401">
        <w:rPr>
          <w:rFonts w:ascii="Book Antiqua" w:hAnsi="Book Antiqua"/>
          <w:sz w:val="24"/>
          <w:szCs w:val="24"/>
          <w:lang w:val="en-US"/>
        </w:rPr>
        <w:t>), “</w:t>
      </w:r>
      <w:r w:rsidR="00DE75B4" w:rsidRPr="00714401">
        <w:rPr>
          <w:rFonts w:ascii="Book Antiqua" w:hAnsi="Book Antiqua"/>
          <w:sz w:val="24"/>
          <w:szCs w:val="24"/>
          <w:lang w:val="en-US"/>
        </w:rPr>
        <w:t xml:space="preserve"> </w:t>
      </w:r>
      <w:r w:rsidR="00C26F48" w:rsidRPr="00714401">
        <w:rPr>
          <w:rFonts w:ascii="Book Antiqua" w:hAnsi="Book Antiqua"/>
          <w:sz w:val="24"/>
          <w:szCs w:val="24"/>
          <w:lang w:val="en-US"/>
        </w:rPr>
        <w:t>falsely</w:t>
      </w:r>
      <w:r w:rsidR="005977A3" w:rsidRPr="00714401">
        <w:rPr>
          <w:rFonts w:ascii="Book Antiqua" w:hAnsi="Book Antiqua"/>
          <w:sz w:val="24"/>
          <w:szCs w:val="24"/>
          <w:lang w:val="en-US"/>
        </w:rPr>
        <w:t xml:space="preserve">” </w:t>
      </w:r>
      <w:r w:rsidR="00C26F48" w:rsidRPr="00714401">
        <w:rPr>
          <w:rFonts w:ascii="Book Antiqua" w:hAnsi="Book Antiqua"/>
          <w:sz w:val="24"/>
          <w:szCs w:val="24"/>
          <w:lang w:val="en-US"/>
        </w:rPr>
        <w:t xml:space="preserve">reduced </w:t>
      </w:r>
      <w:r w:rsidR="00BC5742" w:rsidRPr="00714401">
        <w:rPr>
          <w:rFonts w:ascii="Book Antiqua" w:hAnsi="Book Antiqua"/>
          <w:sz w:val="24"/>
          <w:szCs w:val="24"/>
          <w:lang w:val="en-US"/>
        </w:rPr>
        <w:t xml:space="preserve">ICG clearance </w:t>
      </w:r>
      <w:r w:rsidR="007F52CD" w:rsidRPr="00714401">
        <w:rPr>
          <w:rFonts w:ascii="Book Antiqua" w:hAnsi="Book Antiqua"/>
          <w:sz w:val="24"/>
          <w:szCs w:val="24"/>
          <w:lang w:val="en-US"/>
        </w:rPr>
        <w:t>values</w:t>
      </w:r>
      <w:r w:rsidR="0076063F" w:rsidRPr="00714401">
        <w:rPr>
          <w:rFonts w:ascii="Book Antiqua" w:hAnsi="Book Antiqua"/>
          <w:sz w:val="24"/>
          <w:szCs w:val="24"/>
          <w:lang w:val="en-US"/>
        </w:rPr>
        <w:t xml:space="preserve"> </w:t>
      </w:r>
      <w:r w:rsidR="007F52CD" w:rsidRPr="00714401">
        <w:rPr>
          <w:rFonts w:ascii="Book Antiqua" w:hAnsi="Book Antiqua"/>
          <w:sz w:val="24"/>
          <w:szCs w:val="24"/>
          <w:lang w:val="en-US"/>
        </w:rPr>
        <w:t>may be recorded</w:t>
      </w:r>
      <w:r w:rsidR="00BC5742" w:rsidRPr="00714401">
        <w:rPr>
          <w:rFonts w:ascii="Book Antiqua" w:hAnsi="Book Antiqua"/>
          <w:sz w:val="24"/>
          <w:szCs w:val="24"/>
          <w:lang w:val="en-US"/>
        </w:rPr>
        <w:t xml:space="preserve"> due to th</w:t>
      </w:r>
      <w:r w:rsidR="005977A3" w:rsidRPr="00714401">
        <w:rPr>
          <w:rFonts w:ascii="Book Antiqua" w:hAnsi="Book Antiqua"/>
          <w:sz w:val="24"/>
          <w:szCs w:val="24"/>
          <w:lang w:val="en-US"/>
        </w:rPr>
        <w:t xml:space="preserve">e carrier </w:t>
      </w:r>
      <w:r w:rsidR="00BC5742" w:rsidRPr="00714401">
        <w:rPr>
          <w:rFonts w:ascii="Book Antiqua" w:hAnsi="Book Antiqua"/>
          <w:sz w:val="24"/>
          <w:szCs w:val="24"/>
          <w:lang w:val="en-US"/>
        </w:rPr>
        <w:t xml:space="preserve">competition </w:t>
      </w:r>
      <w:r w:rsidR="005107BB" w:rsidRPr="00714401">
        <w:rPr>
          <w:rFonts w:ascii="Book Antiqua" w:hAnsi="Book Antiqua"/>
          <w:sz w:val="24"/>
          <w:szCs w:val="24"/>
          <w:lang w:val="en-US"/>
        </w:rPr>
        <w:t>(</w:t>
      </w:r>
      <w:r w:rsidR="00F90597" w:rsidRPr="00714401">
        <w:rPr>
          <w:rFonts w:ascii="Book Antiqua" w:hAnsi="Book Antiqua"/>
          <w:sz w:val="24"/>
          <w:szCs w:val="24"/>
          <w:lang w:val="en-US"/>
        </w:rPr>
        <w:t>vide infra</w:t>
      </w:r>
      <w:r w:rsidRPr="00714401">
        <w:rPr>
          <w:rFonts w:ascii="Book Antiqua" w:hAnsi="Book Antiqua"/>
          <w:sz w:val="24"/>
          <w:szCs w:val="24"/>
          <w:lang w:val="en-US"/>
        </w:rPr>
        <w:t>)</w:t>
      </w:r>
      <w:r w:rsidR="009C6C3D" w:rsidRPr="00714401">
        <w:rPr>
          <w:rFonts w:ascii="Book Antiqua" w:hAnsi="Book Antiqua"/>
          <w:sz w:val="24"/>
          <w:szCs w:val="24"/>
          <w:vertAlign w:val="superscript"/>
          <w:lang w:val="en-US"/>
        </w:rPr>
        <w:t>[</w:t>
      </w:r>
      <w:r w:rsidR="00BE1138" w:rsidRPr="00714401">
        <w:rPr>
          <w:rFonts w:ascii="Book Antiqua" w:hAnsi="Book Antiqua"/>
          <w:sz w:val="24"/>
          <w:szCs w:val="24"/>
          <w:vertAlign w:val="superscript"/>
          <w:lang w:val="en-US"/>
        </w:rPr>
        <w:t>6,12,13</w:t>
      </w:r>
      <w:r w:rsidR="009C6C3D" w:rsidRPr="00714401">
        <w:rPr>
          <w:rFonts w:ascii="Book Antiqua" w:hAnsi="Book Antiqua"/>
          <w:sz w:val="24"/>
          <w:szCs w:val="24"/>
          <w:vertAlign w:val="superscript"/>
          <w:lang w:val="en-US"/>
        </w:rPr>
        <w:t>]</w:t>
      </w:r>
      <w:r w:rsidR="00B42C39" w:rsidRPr="00714401">
        <w:rPr>
          <w:rFonts w:ascii="Book Antiqua" w:hAnsi="Book Antiqua"/>
          <w:sz w:val="24"/>
          <w:szCs w:val="24"/>
          <w:lang w:val="en-US"/>
        </w:rPr>
        <w:t>.</w:t>
      </w:r>
      <w:r w:rsidR="00A56D43" w:rsidRPr="00714401">
        <w:rPr>
          <w:rFonts w:ascii="Book Antiqua" w:hAnsi="Book Antiqua"/>
          <w:sz w:val="24"/>
          <w:szCs w:val="24"/>
          <w:lang w:val="en-US"/>
        </w:rPr>
        <w:t xml:space="preserve"> </w:t>
      </w:r>
      <w:r w:rsidR="00364FCB" w:rsidRPr="00714401">
        <w:rPr>
          <w:rFonts w:ascii="Book Antiqua" w:hAnsi="Book Antiqua"/>
          <w:sz w:val="24"/>
          <w:szCs w:val="24"/>
          <w:lang w:val="en-US"/>
        </w:rPr>
        <w:t xml:space="preserve">This could be the case of </w:t>
      </w:r>
      <w:r w:rsidR="00802558" w:rsidRPr="00714401">
        <w:rPr>
          <w:rFonts w:ascii="Book Antiqua" w:hAnsi="Book Antiqua"/>
          <w:sz w:val="24"/>
          <w:szCs w:val="24"/>
          <w:lang w:val="en-US"/>
        </w:rPr>
        <w:t xml:space="preserve">OLT </w:t>
      </w:r>
      <w:r w:rsidR="00B8182C" w:rsidRPr="00714401">
        <w:rPr>
          <w:rFonts w:ascii="Book Antiqua" w:hAnsi="Book Antiqua"/>
          <w:sz w:val="24"/>
          <w:szCs w:val="24"/>
          <w:lang w:val="en-US"/>
        </w:rPr>
        <w:t xml:space="preserve">candidates </w:t>
      </w:r>
      <w:r w:rsidR="00802558" w:rsidRPr="00714401">
        <w:rPr>
          <w:rFonts w:ascii="Book Antiqua" w:hAnsi="Book Antiqua"/>
          <w:sz w:val="24"/>
          <w:szCs w:val="24"/>
          <w:lang w:val="en-US"/>
        </w:rPr>
        <w:t xml:space="preserve">with </w:t>
      </w:r>
      <w:r w:rsidR="00BC5742" w:rsidRPr="00714401">
        <w:rPr>
          <w:rFonts w:ascii="Book Antiqua" w:hAnsi="Book Antiqua"/>
          <w:sz w:val="24"/>
          <w:szCs w:val="24"/>
          <w:lang w:val="en-US"/>
        </w:rPr>
        <w:t xml:space="preserve">preoperative </w:t>
      </w:r>
      <w:r w:rsidR="00802558" w:rsidRPr="00714401">
        <w:rPr>
          <w:rFonts w:ascii="Book Antiqua" w:hAnsi="Book Antiqua"/>
          <w:sz w:val="24"/>
          <w:szCs w:val="24"/>
          <w:lang w:val="en-US"/>
        </w:rPr>
        <w:t>hyperbilirubinemia</w:t>
      </w:r>
      <w:r w:rsidR="00BC5742" w:rsidRPr="00714401">
        <w:rPr>
          <w:rFonts w:ascii="Book Antiqua" w:hAnsi="Book Antiqua"/>
          <w:sz w:val="24"/>
          <w:szCs w:val="24"/>
          <w:lang w:val="en-US"/>
        </w:rPr>
        <w:t xml:space="preserve">, </w:t>
      </w:r>
      <w:r w:rsidR="00364FCB" w:rsidRPr="00714401">
        <w:rPr>
          <w:rFonts w:ascii="Book Antiqua" w:hAnsi="Book Antiqua"/>
          <w:sz w:val="24"/>
          <w:szCs w:val="24"/>
          <w:lang w:val="en-US"/>
        </w:rPr>
        <w:t>in which functional recovery of the</w:t>
      </w:r>
      <w:r w:rsidR="0076063F" w:rsidRPr="00714401">
        <w:rPr>
          <w:rFonts w:ascii="Book Antiqua" w:hAnsi="Book Antiqua"/>
          <w:sz w:val="24"/>
          <w:szCs w:val="24"/>
          <w:lang w:val="en-US"/>
        </w:rPr>
        <w:t xml:space="preserve"> </w:t>
      </w:r>
      <w:r w:rsidR="00B8182C" w:rsidRPr="00714401">
        <w:rPr>
          <w:rFonts w:ascii="Book Antiqua" w:hAnsi="Book Antiqua"/>
          <w:sz w:val="24"/>
          <w:szCs w:val="24"/>
          <w:lang w:val="en-US"/>
        </w:rPr>
        <w:t xml:space="preserve">newly grafted liver </w:t>
      </w:r>
      <w:r w:rsidR="00364FCB" w:rsidRPr="00714401">
        <w:rPr>
          <w:rFonts w:ascii="Book Antiqua" w:hAnsi="Book Antiqua"/>
          <w:sz w:val="24"/>
          <w:szCs w:val="24"/>
          <w:lang w:val="en-US"/>
        </w:rPr>
        <w:t xml:space="preserve">is assessed early after transplant: </w:t>
      </w:r>
      <w:r w:rsidR="00802558" w:rsidRPr="00714401">
        <w:rPr>
          <w:rFonts w:ascii="Book Antiqua" w:hAnsi="Book Antiqua"/>
          <w:sz w:val="24"/>
          <w:szCs w:val="24"/>
          <w:lang w:val="en-US"/>
        </w:rPr>
        <w:t xml:space="preserve">in this </w:t>
      </w:r>
      <w:r w:rsidR="00BC5742" w:rsidRPr="00714401">
        <w:rPr>
          <w:rFonts w:ascii="Book Antiqua" w:hAnsi="Book Antiqua"/>
          <w:sz w:val="24"/>
          <w:szCs w:val="24"/>
          <w:lang w:val="en-US"/>
        </w:rPr>
        <w:t xml:space="preserve">specific </w:t>
      </w:r>
      <w:r w:rsidR="00802558" w:rsidRPr="00714401">
        <w:rPr>
          <w:rFonts w:ascii="Book Antiqua" w:hAnsi="Book Antiqua"/>
          <w:sz w:val="24"/>
          <w:szCs w:val="24"/>
          <w:lang w:val="en-US"/>
        </w:rPr>
        <w:t>context,</w:t>
      </w:r>
      <w:r w:rsidR="0076063F" w:rsidRPr="00714401">
        <w:rPr>
          <w:rFonts w:ascii="Book Antiqua" w:hAnsi="Book Antiqua"/>
          <w:sz w:val="24"/>
          <w:szCs w:val="24"/>
          <w:lang w:val="en-US"/>
        </w:rPr>
        <w:t xml:space="preserve"> </w:t>
      </w:r>
      <w:r w:rsidR="00BC5742" w:rsidRPr="00714401">
        <w:rPr>
          <w:rFonts w:ascii="Book Antiqua" w:hAnsi="Book Antiqua"/>
          <w:sz w:val="24"/>
          <w:szCs w:val="24"/>
          <w:lang w:val="en-US"/>
        </w:rPr>
        <w:t xml:space="preserve">“falsely” </w:t>
      </w:r>
      <w:r w:rsidR="007F52CD" w:rsidRPr="00714401">
        <w:rPr>
          <w:rFonts w:ascii="Book Antiqua" w:hAnsi="Book Antiqua"/>
          <w:sz w:val="24"/>
          <w:szCs w:val="24"/>
          <w:lang w:val="en-US"/>
        </w:rPr>
        <w:t xml:space="preserve">poor </w:t>
      </w:r>
      <w:r w:rsidR="00364FCB" w:rsidRPr="00714401">
        <w:rPr>
          <w:rFonts w:ascii="Book Antiqua" w:hAnsi="Book Antiqua"/>
          <w:sz w:val="24"/>
          <w:szCs w:val="24"/>
          <w:lang w:val="en-US"/>
        </w:rPr>
        <w:t>results</w:t>
      </w:r>
      <w:r w:rsidR="00EA6344" w:rsidRPr="00714401">
        <w:rPr>
          <w:rFonts w:ascii="Book Antiqua" w:hAnsi="Book Antiqua"/>
          <w:sz w:val="24"/>
          <w:szCs w:val="24"/>
          <w:lang w:val="en-US"/>
        </w:rPr>
        <w:t xml:space="preserve"> </w:t>
      </w:r>
      <w:r w:rsidR="00364FCB" w:rsidRPr="00714401">
        <w:rPr>
          <w:rFonts w:ascii="Book Antiqua" w:hAnsi="Book Antiqua"/>
          <w:sz w:val="24"/>
          <w:szCs w:val="24"/>
          <w:lang w:val="en-US"/>
        </w:rPr>
        <w:t xml:space="preserve">may be </w:t>
      </w:r>
      <w:r w:rsidR="00BC5742" w:rsidRPr="00714401">
        <w:rPr>
          <w:rFonts w:ascii="Book Antiqua" w:hAnsi="Book Antiqua"/>
          <w:sz w:val="24"/>
          <w:szCs w:val="24"/>
          <w:lang w:val="en-US"/>
        </w:rPr>
        <w:t xml:space="preserve">found, </w:t>
      </w:r>
      <w:r w:rsidR="00364FCB" w:rsidRPr="00714401">
        <w:rPr>
          <w:rFonts w:ascii="Book Antiqua" w:hAnsi="Book Antiqua"/>
          <w:sz w:val="24"/>
          <w:szCs w:val="24"/>
          <w:lang w:val="en-US"/>
        </w:rPr>
        <w:t xml:space="preserve">making </w:t>
      </w:r>
      <w:r w:rsidR="00A56D43" w:rsidRPr="00714401">
        <w:rPr>
          <w:rFonts w:ascii="Book Antiqua" w:hAnsi="Book Antiqua"/>
          <w:sz w:val="24"/>
          <w:szCs w:val="24"/>
          <w:lang w:val="en-US"/>
        </w:rPr>
        <w:t xml:space="preserve">the </w:t>
      </w:r>
      <w:r w:rsidR="00364FCB" w:rsidRPr="00714401">
        <w:rPr>
          <w:rFonts w:ascii="Book Antiqua" w:hAnsi="Book Antiqua"/>
          <w:sz w:val="24"/>
          <w:szCs w:val="24"/>
          <w:lang w:val="en-US"/>
        </w:rPr>
        <w:t xml:space="preserve">ICG test useless and </w:t>
      </w:r>
      <w:r w:rsidR="00B8182C" w:rsidRPr="00714401">
        <w:rPr>
          <w:rFonts w:ascii="Book Antiqua" w:hAnsi="Book Antiqua"/>
          <w:sz w:val="24"/>
          <w:szCs w:val="24"/>
          <w:lang w:val="en-US"/>
        </w:rPr>
        <w:t xml:space="preserve">possibly </w:t>
      </w:r>
      <w:r w:rsidR="00364FCB" w:rsidRPr="00714401">
        <w:rPr>
          <w:rFonts w:ascii="Book Antiqua" w:hAnsi="Book Antiqua"/>
          <w:sz w:val="24"/>
          <w:szCs w:val="24"/>
          <w:lang w:val="en-US"/>
        </w:rPr>
        <w:t xml:space="preserve">misleading </w:t>
      </w:r>
      <w:r w:rsidR="00CE7735" w:rsidRPr="00714401">
        <w:rPr>
          <w:rFonts w:ascii="Book Antiqua" w:hAnsi="Book Antiqua"/>
          <w:sz w:val="24"/>
          <w:szCs w:val="24"/>
          <w:lang w:val="en-US"/>
        </w:rPr>
        <w:t>(vide infra)</w:t>
      </w:r>
      <w:r w:rsidR="009C6C3D" w:rsidRPr="00714401">
        <w:rPr>
          <w:rFonts w:ascii="Book Antiqua" w:hAnsi="Book Antiqua"/>
          <w:sz w:val="24"/>
          <w:szCs w:val="24"/>
          <w:vertAlign w:val="superscript"/>
          <w:lang w:val="en-US"/>
        </w:rPr>
        <w:t>[</w:t>
      </w:r>
      <w:r w:rsidR="00BE1138" w:rsidRPr="00714401">
        <w:rPr>
          <w:rFonts w:ascii="Book Antiqua" w:hAnsi="Book Antiqua"/>
          <w:sz w:val="24"/>
          <w:szCs w:val="24"/>
          <w:vertAlign w:val="superscript"/>
          <w:lang w:val="en-US"/>
        </w:rPr>
        <w:t>6,7</w:t>
      </w:r>
      <w:r w:rsidR="009C6C3D" w:rsidRPr="00714401">
        <w:rPr>
          <w:rFonts w:ascii="Book Antiqua" w:hAnsi="Book Antiqua"/>
          <w:sz w:val="24"/>
          <w:szCs w:val="24"/>
          <w:vertAlign w:val="superscript"/>
          <w:lang w:val="en-US"/>
        </w:rPr>
        <w:t>]</w:t>
      </w:r>
      <w:r w:rsidR="00BA0F60" w:rsidRPr="00714401">
        <w:rPr>
          <w:rFonts w:ascii="Book Antiqua" w:hAnsi="Book Antiqua"/>
          <w:sz w:val="24"/>
          <w:szCs w:val="24"/>
          <w:lang w:val="en-US"/>
        </w:rPr>
        <w:t>.</w:t>
      </w:r>
      <w:r w:rsidR="00DF25C7" w:rsidRPr="00714401">
        <w:rPr>
          <w:rFonts w:ascii="Book Antiqua" w:hAnsi="Book Antiqua"/>
          <w:sz w:val="24"/>
          <w:szCs w:val="24"/>
          <w:lang w:val="en-US"/>
        </w:rPr>
        <w:t xml:space="preserve"> </w:t>
      </w:r>
      <w:r w:rsidR="007528CF" w:rsidRPr="00714401">
        <w:rPr>
          <w:rFonts w:ascii="Book Antiqua" w:hAnsi="Book Antiqua"/>
          <w:sz w:val="24"/>
          <w:szCs w:val="24"/>
          <w:lang w:val="en-US"/>
        </w:rPr>
        <w:t>Less common, but</w:t>
      </w:r>
      <w:r w:rsidR="00E706EB" w:rsidRPr="00714401">
        <w:rPr>
          <w:rFonts w:ascii="Book Antiqua" w:hAnsi="Book Antiqua"/>
          <w:sz w:val="24"/>
          <w:szCs w:val="24"/>
          <w:lang w:val="en-US"/>
        </w:rPr>
        <w:t xml:space="preserve"> indeed </w:t>
      </w:r>
      <w:r w:rsidR="00BC5742" w:rsidRPr="00714401">
        <w:rPr>
          <w:rFonts w:ascii="Book Antiqua" w:hAnsi="Book Antiqua"/>
          <w:sz w:val="24"/>
          <w:szCs w:val="24"/>
          <w:lang w:val="en-US"/>
        </w:rPr>
        <w:t xml:space="preserve">not infrequent </w:t>
      </w:r>
      <w:r w:rsidR="00E706EB" w:rsidRPr="00714401">
        <w:rPr>
          <w:rFonts w:ascii="Book Antiqua" w:hAnsi="Book Antiqua"/>
          <w:sz w:val="24"/>
          <w:szCs w:val="24"/>
          <w:lang w:val="en-US"/>
        </w:rPr>
        <w:t xml:space="preserve">in the critically ill, </w:t>
      </w:r>
      <w:r w:rsidR="007528CF" w:rsidRPr="00714401">
        <w:rPr>
          <w:rFonts w:ascii="Book Antiqua" w:hAnsi="Book Antiqua"/>
          <w:sz w:val="24"/>
          <w:szCs w:val="24"/>
          <w:lang w:val="en-US"/>
        </w:rPr>
        <w:t xml:space="preserve">is the </w:t>
      </w:r>
      <w:r w:rsidR="004256E5" w:rsidRPr="00714401">
        <w:rPr>
          <w:rFonts w:ascii="Book Antiqua" w:hAnsi="Book Antiqua"/>
          <w:sz w:val="24"/>
          <w:szCs w:val="24"/>
          <w:lang w:val="en-US"/>
        </w:rPr>
        <w:t>case of</w:t>
      </w:r>
      <w:r w:rsidR="00E706EB" w:rsidRPr="00714401">
        <w:rPr>
          <w:rFonts w:ascii="Book Antiqua" w:hAnsi="Book Antiqua"/>
          <w:sz w:val="24"/>
          <w:szCs w:val="24"/>
          <w:lang w:val="en-US"/>
        </w:rPr>
        <w:t xml:space="preserve"> </w:t>
      </w:r>
      <w:r w:rsidR="00B42C39" w:rsidRPr="00714401">
        <w:rPr>
          <w:rFonts w:ascii="Book Antiqua" w:hAnsi="Book Antiqua"/>
          <w:sz w:val="24"/>
          <w:szCs w:val="24"/>
          <w:lang w:val="en-US"/>
        </w:rPr>
        <w:t>h</w:t>
      </w:r>
      <w:r w:rsidR="00454012" w:rsidRPr="00714401">
        <w:rPr>
          <w:rFonts w:ascii="Book Antiqua" w:hAnsi="Book Antiqua"/>
          <w:sz w:val="24"/>
          <w:szCs w:val="24"/>
          <w:lang w:val="en-US"/>
        </w:rPr>
        <w:t>igh flow state</w:t>
      </w:r>
      <w:r w:rsidR="00A87051" w:rsidRPr="00714401">
        <w:rPr>
          <w:rFonts w:ascii="Book Antiqua" w:hAnsi="Book Antiqua"/>
          <w:sz w:val="24"/>
          <w:szCs w:val="24"/>
          <w:lang w:val="en-US"/>
        </w:rPr>
        <w:t>s</w:t>
      </w:r>
      <w:r w:rsidR="00C57F41" w:rsidRPr="00714401">
        <w:rPr>
          <w:rFonts w:ascii="Book Antiqua" w:hAnsi="Book Antiqua"/>
          <w:sz w:val="24"/>
          <w:szCs w:val="24"/>
          <w:lang w:val="en-US"/>
        </w:rPr>
        <w:t xml:space="preserve">: </w:t>
      </w:r>
      <w:r w:rsidR="00E706EB" w:rsidRPr="00714401">
        <w:rPr>
          <w:rFonts w:ascii="Book Antiqua" w:hAnsi="Book Antiqua"/>
          <w:sz w:val="24"/>
          <w:szCs w:val="24"/>
          <w:lang w:val="en-US"/>
        </w:rPr>
        <w:t>false r</w:t>
      </w:r>
      <w:r w:rsidR="004256E5" w:rsidRPr="00714401">
        <w:rPr>
          <w:rFonts w:ascii="Book Antiqua" w:hAnsi="Book Antiqua"/>
          <w:sz w:val="24"/>
          <w:szCs w:val="24"/>
          <w:lang w:val="en-US"/>
        </w:rPr>
        <w:t xml:space="preserve">eassuring </w:t>
      </w:r>
      <w:r w:rsidR="00E706EB" w:rsidRPr="00714401">
        <w:rPr>
          <w:rFonts w:ascii="Book Antiqua" w:hAnsi="Book Antiqua"/>
          <w:sz w:val="24"/>
          <w:szCs w:val="24"/>
          <w:lang w:val="en-US"/>
        </w:rPr>
        <w:t xml:space="preserve">findings </w:t>
      </w:r>
      <w:r w:rsidR="004256E5" w:rsidRPr="00714401">
        <w:rPr>
          <w:rFonts w:ascii="Book Antiqua" w:hAnsi="Book Antiqua"/>
          <w:sz w:val="24"/>
          <w:szCs w:val="24"/>
          <w:lang w:val="en-US"/>
        </w:rPr>
        <w:t>(better than expected</w:t>
      </w:r>
      <w:r w:rsidR="009A6321" w:rsidRPr="00714401">
        <w:rPr>
          <w:rFonts w:ascii="Book Antiqua" w:hAnsi="Book Antiqua"/>
          <w:sz w:val="24"/>
          <w:szCs w:val="24"/>
          <w:lang w:val="en-US"/>
        </w:rPr>
        <w:t>)</w:t>
      </w:r>
      <w:r w:rsidR="004256E5" w:rsidRPr="00714401">
        <w:rPr>
          <w:rFonts w:ascii="Book Antiqua" w:hAnsi="Book Antiqua"/>
          <w:sz w:val="24"/>
          <w:szCs w:val="24"/>
          <w:lang w:val="en-US"/>
        </w:rPr>
        <w:t xml:space="preserve"> </w:t>
      </w:r>
      <w:r w:rsidR="007528CF" w:rsidRPr="00714401">
        <w:rPr>
          <w:rFonts w:ascii="Book Antiqua" w:hAnsi="Book Antiqua"/>
          <w:sz w:val="24"/>
          <w:szCs w:val="24"/>
          <w:lang w:val="en-US"/>
        </w:rPr>
        <w:t xml:space="preserve">due to “normal or near normal” </w:t>
      </w:r>
      <w:r w:rsidR="00E706EB" w:rsidRPr="00714401">
        <w:rPr>
          <w:rFonts w:ascii="Book Antiqua" w:hAnsi="Book Antiqua"/>
          <w:sz w:val="24"/>
          <w:szCs w:val="24"/>
          <w:lang w:val="en-US"/>
        </w:rPr>
        <w:t>re</w:t>
      </w:r>
      <w:r w:rsidR="005C4367" w:rsidRPr="00714401">
        <w:rPr>
          <w:rFonts w:ascii="Book Antiqua" w:hAnsi="Book Antiqua"/>
          <w:sz w:val="24"/>
          <w:szCs w:val="24"/>
          <w:lang w:val="en-US"/>
        </w:rPr>
        <w:t xml:space="preserve">sults </w:t>
      </w:r>
      <w:r w:rsidR="00E706EB" w:rsidRPr="00714401">
        <w:rPr>
          <w:rFonts w:ascii="Book Antiqua" w:hAnsi="Book Antiqua"/>
          <w:sz w:val="24"/>
          <w:szCs w:val="24"/>
          <w:lang w:val="en-US"/>
        </w:rPr>
        <w:t xml:space="preserve">might </w:t>
      </w:r>
      <w:r w:rsidR="007528CF" w:rsidRPr="00714401">
        <w:rPr>
          <w:rFonts w:ascii="Book Antiqua" w:hAnsi="Book Antiqua"/>
          <w:sz w:val="24"/>
          <w:szCs w:val="24"/>
          <w:lang w:val="en-US"/>
        </w:rPr>
        <w:t xml:space="preserve">be </w:t>
      </w:r>
      <w:r w:rsidR="00A306A4" w:rsidRPr="00714401">
        <w:rPr>
          <w:rFonts w:ascii="Book Antiqua" w:hAnsi="Book Antiqua"/>
          <w:sz w:val="24"/>
          <w:szCs w:val="24"/>
          <w:lang w:val="en-US"/>
        </w:rPr>
        <w:t>recorded</w:t>
      </w:r>
      <w:r w:rsidR="007528CF" w:rsidRPr="00714401">
        <w:rPr>
          <w:rFonts w:ascii="Book Antiqua" w:hAnsi="Book Antiqua"/>
          <w:sz w:val="24"/>
          <w:szCs w:val="24"/>
          <w:lang w:val="en-US"/>
        </w:rPr>
        <w:t xml:space="preserve">, </w:t>
      </w:r>
      <w:r w:rsidR="00454012" w:rsidRPr="00714401">
        <w:rPr>
          <w:rFonts w:ascii="Book Antiqua" w:hAnsi="Book Antiqua"/>
          <w:sz w:val="24"/>
          <w:szCs w:val="24"/>
          <w:lang w:val="en-US"/>
        </w:rPr>
        <w:t>mask</w:t>
      </w:r>
      <w:r w:rsidR="00D47FC9" w:rsidRPr="00714401">
        <w:rPr>
          <w:rFonts w:ascii="Book Antiqua" w:hAnsi="Book Antiqua"/>
          <w:sz w:val="24"/>
          <w:szCs w:val="24"/>
          <w:lang w:val="en-US"/>
        </w:rPr>
        <w:t xml:space="preserve">ing </w:t>
      </w:r>
      <w:r w:rsidR="00454012" w:rsidRPr="00714401">
        <w:rPr>
          <w:rFonts w:ascii="Book Antiqua" w:hAnsi="Book Antiqua"/>
          <w:sz w:val="24"/>
          <w:szCs w:val="24"/>
          <w:lang w:val="en-US"/>
        </w:rPr>
        <w:t xml:space="preserve">an altered </w:t>
      </w:r>
      <w:r w:rsidR="00BC5742" w:rsidRPr="00714401">
        <w:rPr>
          <w:rFonts w:ascii="Book Antiqua" w:hAnsi="Book Antiqua"/>
          <w:sz w:val="24"/>
          <w:szCs w:val="24"/>
          <w:lang w:val="en-US"/>
        </w:rPr>
        <w:t xml:space="preserve">liver </w:t>
      </w:r>
      <w:r w:rsidR="004F6103" w:rsidRPr="00714401">
        <w:rPr>
          <w:rFonts w:ascii="Book Antiqua" w:hAnsi="Book Antiqua"/>
          <w:sz w:val="24"/>
          <w:szCs w:val="24"/>
          <w:lang w:val="en-US"/>
        </w:rPr>
        <w:t xml:space="preserve">excretory </w:t>
      </w:r>
      <w:proofErr w:type="gramStart"/>
      <w:r w:rsidR="004256E5" w:rsidRPr="00714401">
        <w:rPr>
          <w:rFonts w:ascii="Book Antiqua" w:hAnsi="Book Antiqua"/>
          <w:sz w:val="24"/>
          <w:szCs w:val="24"/>
          <w:lang w:val="en-US"/>
        </w:rPr>
        <w:t>function</w:t>
      </w:r>
      <w:r w:rsidR="009C6C3D" w:rsidRPr="00714401">
        <w:rPr>
          <w:rFonts w:ascii="Book Antiqua" w:hAnsi="Book Antiqua"/>
          <w:sz w:val="24"/>
          <w:szCs w:val="24"/>
          <w:vertAlign w:val="superscript"/>
          <w:lang w:val="en-US"/>
        </w:rPr>
        <w:t>[</w:t>
      </w:r>
      <w:proofErr w:type="gramEnd"/>
      <w:r w:rsidR="00BE1138" w:rsidRPr="00714401">
        <w:rPr>
          <w:rFonts w:ascii="Book Antiqua" w:hAnsi="Book Antiqua"/>
          <w:sz w:val="24"/>
          <w:szCs w:val="24"/>
          <w:vertAlign w:val="superscript"/>
          <w:lang w:val="en-US"/>
        </w:rPr>
        <w:t>7</w:t>
      </w:r>
      <w:r w:rsidR="009C6C3D" w:rsidRPr="00714401">
        <w:rPr>
          <w:rFonts w:ascii="Book Antiqua" w:hAnsi="Book Antiqua"/>
          <w:sz w:val="24"/>
          <w:szCs w:val="24"/>
          <w:vertAlign w:val="superscript"/>
          <w:lang w:val="en-US"/>
        </w:rPr>
        <w:t>]</w:t>
      </w:r>
      <w:r w:rsidR="00A306A4" w:rsidRPr="00714401">
        <w:rPr>
          <w:rFonts w:ascii="Book Antiqua" w:hAnsi="Book Antiqua"/>
          <w:sz w:val="24"/>
          <w:szCs w:val="24"/>
          <w:lang w:val="en-US"/>
        </w:rPr>
        <w:t>.</w:t>
      </w:r>
      <w:r w:rsidR="00133B37" w:rsidRPr="00714401">
        <w:rPr>
          <w:rFonts w:ascii="Book Antiqua" w:hAnsi="Book Antiqua"/>
          <w:sz w:val="24"/>
          <w:szCs w:val="24"/>
          <w:lang w:val="en-US"/>
        </w:rPr>
        <w:t xml:space="preserve"> </w:t>
      </w:r>
      <w:r w:rsidR="00E538CE" w:rsidRPr="00714401">
        <w:rPr>
          <w:rFonts w:ascii="Book Antiqua" w:hAnsi="Book Antiqua"/>
          <w:sz w:val="24"/>
          <w:szCs w:val="24"/>
          <w:lang w:val="en-US"/>
        </w:rPr>
        <w:t xml:space="preserve">In </w:t>
      </w:r>
      <w:r w:rsidR="00A306A4" w:rsidRPr="00714401">
        <w:rPr>
          <w:rFonts w:ascii="Book Antiqua" w:hAnsi="Book Antiqua"/>
          <w:sz w:val="24"/>
          <w:szCs w:val="24"/>
          <w:lang w:val="en-US"/>
        </w:rPr>
        <w:t xml:space="preserve">the </w:t>
      </w:r>
      <w:r w:rsidR="00E538CE" w:rsidRPr="00714401">
        <w:rPr>
          <w:rFonts w:ascii="Book Antiqua" w:hAnsi="Book Antiqua"/>
          <w:sz w:val="24"/>
          <w:szCs w:val="24"/>
          <w:lang w:val="en-US"/>
        </w:rPr>
        <w:t>cirrhotic p</w:t>
      </w:r>
      <w:r w:rsidR="00A306A4" w:rsidRPr="00714401">
        <w:rPr>
          <w:rFonts w:ascii="Book Antiqua" w:hAnsi="Book Antiqua"/>
          <w:sz w:val="24"/>
          <w:szCs w:val="24"/>
          <w:lang w:val="en-US"/>
        </w:rPr>
        <w:t>opulation,</w:t>
      </w:r>
      <w:r w:rsidR="0076063F" w:rsidRPr="00714401">
        <w:rPr>
          <w:rFonts w:ascii="Book Antiqua" w:hAnsi="Book Antiqua"/>
          <w:sz w:val="24"/>
          <w:szCs w:val="24"/>
          <w:lang w:val="en-US"/>
        </w:rPr>
        <w:t xml:space="preserve"> </w:t>
      </w:r>
      <w:r w:rsidR="00E538CE" w:rsidRPr="00714401">
        <w:rPr>
          <w:rFonts w:ascii="Book Antiqua" w:hAnsi="Book Antiqua"/>
          <w:sz w:val="24"/>
          <w:szCs w:val="24"/>
          <w:lang w:val="en-US"/>
        </w:rPr>
        <w:t>m</w:t>
      </w:r>
      <w:r w:rsidR="007528CF" w:rsidRPr="00714401">
        <w:rPr>
          <w:rFonts w:ascii="Book Antiqua" w:hAnsi="Book Antiqua"/>
          <w:sz w:val="24"/>
          <w:szCs w:val="24"/>
          <w:lang w:val="en-US"/>
        </w:rPr>
        <w:t xml:space="preserve">easurements of liver blood flow </w:t>
      </w:r>
      <w:r w:rsidR="00A306A4" w:rsidRPr="00714401">
        <w:rPr>
          <w:rFonts w:ascii="Book Antiqua" w:hAnsi="Book Antiqua"/>
          <w:sz w:val="24"/>
          <w:szCs w:val="24"/>
          <w:lang w:val="en-US"/>
        </w:rPr>
        <w:t xml:space="preserve">using </w:t>
      </w:r>
      <w:proofErr w:type="spellStart"/>
      <w:r w:rsidR="00A306A4" w:rsidRPr="00714401">
        <w:rPr>
          <w:rFonts w:ascii="Book Antiqua" w:hAnsi="Book Antiqua"/>
          <w:sz w:val="24"/>
          <w:szCs w:val="24"/>
          <w:lang w:val="en-US"/>
        </w:rPr>
        <w:t>ICG</w:t>
      </w:r>
      <w:r w:rsidR="00A306A4" w:rsidRPr="00714401">
        <w:rPr>
          <w:rFonts w:ascii="Book Antiqua" w:hAnsi="Book Antiqua"/>
          <w:sz w:val="24"/>
          <w:szCs w:val="24"/>
          <w:vertAlign w:val="subscript"/>
          <w:lang w:val="en-US"/>
        </w:rPr>
        <w:t>Cl</w:t>
      </w:r>
      <w:proofErr w:type="spellEnd"/>
      <w:r w:rsidR="00A306A4" w:rsidRPr="00714401">
        <w:rPr>
          <w:rFonts w:ascii="Book Antiqua" w:hAnsi="Book Antiqua"/>
          <w:sz w:val="24"/>
          <w:szCs w:val="24"/>
          <w:lang w:val="en-US"/>
        </w:rPr>
        <w:t xml:space="preserve"> </w:t>
      </w:r>
      <w:r w:rsidR="007528CF" w:rsidRPr="00714401">
        <w:rPr>
          <w:rFonts w:ascii="Book Antiqua" w:hAnsi="Book Antiqua"/>
          <w:sz w:val="24"/>
          <w:szCs w:val="24"/>
          <w:lang w:val="en-US"/>
        </w:rPr>
        <w:t xml:space="preserve">are </w:t>
      </w:r>
      <w:r w:rsidR="005C4367" w:rsidRPr="00714401">
        <w:rPr>
          <w:rFonts w:ascii="Book Antiqua" w:hAnsi="Book Antiqua"/>
          <w:sz w:val="24"/>
          <w:szCs w:val="24"/>
          <w:lang w:val="en-US"/>
        </w:rPr>
        <w:t xml:space="preserve">not </w:t>
      </w:r>
      <w:r w:rsidR="007528CF" w:rsidRPr="00714401">
        <w:rPr>
          <w:rFonts w:ascii="Book Antiqua" w:hAnsi="Book Antiqua"/>
          <w:sz w:val="24"/>
          <w:szCs w:val="24"/>
          <w:lang w:val="en-US"/>
        </w:rPr>
        <w:t>to be considered</w:t>
      </w:r>
      <w:r w:rsidR="005C4367" w:rsidRPr="00714401">
        <w:rPr>
          <w:rFonts w:ascii="Book Antiqua" w:hAnsi="Book Antiqua"/>
          <w:sz w:val="24"/>
          <w:szCs w:val="24"/>
          <w:lang w:val="en-US"/>
        </w:rPr>
        <w:t xml:space="preserve"> completely </w:t>
      </w:r>
      <w:proofErr w:type="gramStart"/>
      <w:r w:rsidR="00CE7735" w:rsidRPr="00714401">
        <w:rPr>
          <w:rFonts w:ascii="Book Antiqua" w:hAnsi="Book Antiqua"/>
          <w:sz w:val="24"/>
          <w:szCs w:val="24"/>
          <w:lang w:val="en-US"/>
        </w:rPr>
        <w:t>reliable</w:t>
      </w:r>
      <w:r w:rsidR="007528CF" w:rsidRPr="00714401">
        <w:rPr>
          <w:rFonts w:ascii="Book Antiqua" w:hAnsi="Book Antiqua"/>
          <w:sz w:val="24"/>
          <w:szCs w:val="24"/>
          <w:vertAlign w:val="superscript"/>
          <w:lang w:val="en-US"/>
        </w:rPr>
        <w:t>[</w:t>
      </w:r>
      <w:proofErr w:type="gramEnd"/>
      <w:r w:rsidR="007528CF" w:rsidRPr="00714401">
        <w:rPr>
          <w:rFonts w:ascii="Book Antiqua" w:hAnsi="Book Antiqua"/>
          <w:sz w:val="24"/>
          <w:szCs w:val="24"/>
          <w:vertAlign w:val="superscript"/>
          <w:lang w:val="en-US"/>
        </w:rPr>
        <w:t>14]</w:t>
      </w:r>
      <w:r w:rsidR="007528CF" w:rsidRPr="00714401">
        <w:rPr>
          <w:rFonts w:ascii="Book Antiqua" w:hAnsi="Book Antiqua"/>
          <w:sz w:val="24"/>
          <w:szCs w:val="24"/>
          <w:lang w:val="en-US"/>
        </w:rPr>
        <w:t xml:space="preserve">: </w:t>
      </w:r>
      <w:r w:rsidR="00CE7735" w:rsidRPr="00714401">
        <w:rPr>
          <w:rFonts w:ascii="Book Antiqua" w:hAnsi="Book Antiqua"/>
          <w:sz w:val="24"/>
          <w:szCs w:val="24"/>
          <w:lang w:val="en-US"/>
        </w:rPr>
        <w:t>T</w:t>
      </w:r>
      <w:r w:rsidR="00A306A4" w:rsidRPr="00714401">
        <w:rPr>
          <w:rFonts w:ascii="Book Antiqua" w:hAnsi="Book Antiqua"/>
          <w:sz w:val="24"/>
          <w:szCs w:val="24"/>
          <w:lang w:val="en-US"/>
        </w:rPr>
        <w:t xml:space="preserve">he hepatic extraction rate in this context is </w:t>
      </w:r>
      <w:r w:rsidR="007528CF" w:rsidRPr="00714401">
        <w:rPr>
          <w:rFonts w:ascii="Book Antiqua" w:hAnsi="Book Antiqua"/>
          <w:sz w:val="24"/>
          <w:szCs w:val="24"/>
          <w:lang w:val="en-US"/>
        </w:rPr>
        <w:t xml:space="preserve">extremely reduced </w:t>
      </w:r>
      <w:r w:rsidR="0010214B" w:rsidRPr="00714401">
        <w:rPr>
          <w:rFonts w:ascii="Book Antiqua" w:hAnsi="Book Antiqua"/>
          <w:sz w:val="24"/>
          <w:szCs w:val="24"/>
          <w:lang w:val="en-US"/>
        </w:rPr>
        <w:t>(</w:t>
      </w:r>
      <w:r w:rsidR="00A306A4" w:rsidRPr="00714401">
        <w:rPr>
          <w:rFonts w:ascii="Book Antiqua" w:hAnsi="Book Antiqua"/>
          <w:sz w:val="24"/>
          <w:szCs w:val="24"/>
          <w:lang w:val="en-US"/>
        </w:rPr>
        <w:t xml:space="preserve">close to </w:t>
      </w:r>
      <w:r w:rsidR="00133B37" w:rsidRPr="00714401">
        <w:rPr>
          <w:rFonts w:ascii="Book Antiqua" w:hAnsi="Book Antiqua"/>
          <w:sz w:val="24"/>
          <w:szCs w:val="24"/>
          <w:lang w:val="en-US"/>
        </w:rPr>
        <w:t>20</w:t>
      </w:r>
      <w:r w:rsidR="00CE7735" w:rsidRPr="00714401">
        <w:rPr>
          <w:rFonts w:ascii="Book Antiqua" w:hAnsi="Book Antiqua" w:hint="eastAsia"/>
          <w:sz w:val="24"/>
          <w:szCs w:val="24"/>
          <w:lang w:val="en-US" w:eastAsia="zh-CN"/>
        </w:rPr>
        <w:t>%</w:t>
      </w:r>
      <w:r w:rsidR="00133B37" w:rsidRPr="00714401">
        <w:rPr>
          <w:rFonts w:ascii="Book Antiqua" w:hAnsi="Book Antiqua"/>
          <w:sz w:val="24"/>
          <w:szCs w:val="24"/>
          <w:lang w:val="en-US"/>
        </w:rPr>
        <w:t>-30%)</w:t>
      </w:r>
      <w:r w:rsidR="00A306A4" w:rsidRPr="00714401">
        <w:rPr>
          <w:rFonts w:ascii="Book Antiqua" w:hAnsi="Book Antiqua"/>
          <w:sz w:val="24"/>
          <w:szCs w:val="24"/>
          <w:lang w:val="en-US"/>
        </w:rPr>
        <w:t xml:space="preserve"> and </w:t>
      </w:r>
      <w:proofErr w:type="spellStart"/>
      <w:r w:rsidR="00133B37" w:rsidRPr="00714401">
        <w:rPr>
          <w:rFonts w:ascii="Book Antiqua" w:hAnsi="Book Antiqua"/>
          <w:sz w:val="24"/>
          <w:szCs w:val="24"/>
          <w:lang w:val="en-US"/>
        </w:rPr>
        <w:t>ICG</w:t>
      </w:r>
      <w:r w:rsidR="00BA77E3" w:rsidRPr="00714401">
        <w:rPr>
          <w:rFonts w:ascii="Book Antiqua" w:hAnsi="Book Antiqua"/>
          <w:sz w:val="24"/>
          <w:szCs w:val="24"/>
          <w:vertAlign w:val="subscript"/>
          <w:lang w:val="en-US"/>
        </w:rPr>
        <w:t>Cl</w:t>
      </w:r>
      <w:proofErr w:type="spellEnd"/>
      <w:r w:rsidR="00133B37" w:rsidRPr="00714401">
        <w:rPr>
          <w:rFonts w:ascii="Book Antiqua" w:hAnsi="Book Antiqua"/>
          <w:sz w:val="24"/>
          <w:szCs w:val="24"/>
          <w:lang w:val="en-US"/>
        </w:rPr>
        <w:t xml:space="preserve"> </w:t>
      </w:r>
      <w:r w:rsidR="009B386A" w:rsidRPr="00714401">
        <w:rPr>
          <w:rFonts w:ascii="Book Antiqua" w:hAnsi="Book Antiqua"/>
          <w:sz w:val="24"/>
          <w:szCs w:val="24"/>
          <w:lang w:val="en-US"/>
        </w:rPr>
        <w:t>becomes</w:t>
      </w:r>
      <w:r w:rsidR="0076063F" w:rsidRPr="00714401">
        <w:rPr>
          <w:rFonts w:ascii="Book Antiqua" w:hAnsi="Book Antiqua"/>
          <w:sz w:val="24"/>
          <w:szCs w:val="24"/>
          <w:lang w:val="en-US"/>
        </w:rPr>
        <w:t xml:space="preserve"> </w:t>
      </w:r>
      <w:r w:rsidR="00A306A4" w:rsidRPr="00714401">
        <w:rPr>
          <w:rFonts w:ascii="Book Antiqua" w:hAnsi="Book Antiqua"/>
          <w:sz w:val="24"/>
          <w:szCs w:val="24"/>
          <w:lang w:val="en-US"/>
        </w:rPr>
        <w:t xml:space="preserve">a measure of </w:t>
      </w:r>
      <w:r w:rsidR="0010214B" w:rsidRPr="00714401">
        <w:rPr>
          <w:rFonts w:ascii="Book Antiqua" w:hAnsi="Book Antiqua"/>
          <w:sz w:val="24"/>
          <w:szCs w:val="24"/>
          <w:lang w:val="en-US"/>
        </w:rPr>
        <w:t>the uptake clearance (</w:t>
      </w:r>
      <w:proofErr w:type="spellStart"/>
      <w:r w:rsidR="00133B37" w:rsidRPr="00714401">
        <w:rPr>
          <w:rFonts w:ascii="Book Antiqua" w:hAnsi="Book Antiqua"/>
          <w:sz w:val="24"/>
          <w:szCs w:val="24"/>
          <w:lang w:val="en-US"/>
        </w:rPr>
        <w:t>C</w:t>
      </w:r>
      <w:r w:rsidR="00133B37" w:rsidRPr="00714401">
        <w:rPr>
          <w:rFonts w:ascii="Book Antiqua" w:hAnsi="Book Antiqua"/>
          <w:sz w:val="24"/>
          <w:szCs w:val="24"/>
          <w:vertAlign w:val="subscript"/>
          <w:lang w:val="en-US"/>
        </w:rPr>
        <w:t>int</w:t>
      </w:r>
      <w:proofErr w:type="spellEnd"/>
      <w:r w:rsidR="00EF3BB6" w:rsidRPr="00714401">
        <w:rPr>
          <w:rFonts w:ascii="Book Antiqua" w:hAnsi="Book Antiqua"/>
          <w:sz w:val="24"/>
          <w:szCs w:val="24"/>
          <w:lang w:val="en-US"/>
        </w:rPr>
        <w:t>, as demons</w:t>
      </w:r>
      <w:r w:rsidR="0010214B" w:rsidRPr="00714401">
        <w:rPr>
          <w:rFonts w:ascii="Book Antiqua" w:hAnsi="Book Antiqua"/>
          <w:sz w:val="24"/>
          <w:szCs w:val="24"/>
          <w:lang w:val="en-US"/>
        </w:rPr>
        <w:t>t</w:t>
      </w:r>
      <w:r w:rsidR="005C4367" w:rsidRPr="00714401">
        <w:rPr>
          <w:rFonts w:ascii="Book Antiqua" w:hAnsi="Book Antiqua"/>
          <w:sz w:val="24"/>
          <w:szCs w:val="24"/>
          <w:lang w:val="en-US"/>
        </w:rPr>
        <w:t>r</w:t>
      </w:r>
      <w:r w:rsidR="00CE7735" w:rsidRPr="00714401">
        <w:rPr>
          <w:rFonts w:ascii="Book Antiqua" w:hAnsi="Book Antiqua"/>
          <w:sz w:val="24"/>
          <w:szCs w:val="24"/>
          <w:lang w:val="en-US"/>
        </w:rPr>
        <w:t>ated by Imamura</w:t>
      </w:r>
      <w:r w:rsidR="00CE7735" w:rsidRPr="00714401">
        <w:rPr>
          <w:rFonts w:ascii="Book Antiqua" w:hAnsi="Book Antiqua"/>
          <w:i/>
          <w:sz w:val="24"/>
          <w:szCs w:val="24"/>
          <w:lang w:val="en-US"/>
        </w:rPr>
        <w:t xml:space="preserve"> et al</w:t>
      </w:r>
      <w:r w:rsidR="00CE7735" w:rsidRPr="00714401">
        <w:rPr>
          <w:rFonts w:ascii="Book Antiqua" w:hAnsi="Book Antiqua" w:hint="eastAsia"/>
          <w:sz w:val="24"/>
          <w:szCs w:val="24"/>
          <w:vertAlign w:val="superscript"/>
          <w:lang w:val="en-US" w:eastAsia="zh-CN"/>
        </w:rPr>
        <w:t>[5]</w:t>
      </w:r>
      <w:r w:rsidR="00CE7735" w:rsidRPr="00714401">
        <w:rPr>
          <w:rFonts w:ascii="Book Antiqua" w:hAnsi="Book Antiqua"/>
          <w:sz w:val="24"/>
          <w:szCs w:val="24"/>
          <w:lang w:val="en-US"/>
        </w:rPr>
        <w:t>)</w:t>
      </w:r>
      <w:r w:rsidR="00BD160C" w:rsidRPr="00714401">
        <w:rPr>
          <w:rFonts w:ascii="Book Antiqua" w:hAnsi="Book Antiqua"/>
          <w:sz w:val="24"/>
          <w:szCs w:val="24"/>
          <w:vertAlign w:val="superscript"/>
          <w:lang w:val="en-US"/>
        </w:rPr>
        <w:t>[</w:t>
      </w:r>
      <w:r w:rsidR="00CC44D9" w:rsidRPr="00714401">
        <w:rPr>
          <w:rFonts w:ascii="Book Antiqua" w:hAnsi="Book Antiqua"/>
          <w:sz w:val="24"/>
          <w:szCs w:val="24"/>
          <w:vertAlign w:val="superscript"/>
          <w:lang w:val="en-US"/>
        </w:rPr>
        <w:t>14</w:t>
      </w:r>
      <w:r w:rsidR="00BE1138" w:rsidRPr="00714401">
        <w:rPr>
          <w:rFonts w:ascii="Book Antiqua" w:hAnsi="Book Antiqua"/>
          <w:sz w:val="24"/>
          <w:szCs w:val="24"/>
          <w:vertAlign w:val="superscript"/>
          <w:lang w:val="en-US"/>
        </w:rPr>
        <w:t>]</w:t>
      </w:r>
      <w:r w:rsidR="00E46B67"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A306A4" w:rsidRPr="00714401">
        <w:rPr>
          <w:rFonts w:ascii="Book Antiqua" w:hAnsi="Book Antiqua"/>
          <w:sz w:val="24"/>
          <w:szCs w:val="24"/>
          <w:lang w:val="en-US"/>
        </w:rPr>
        <w:t>Interestingly enough,</w:t>
      </w:r>
      <w:r w:rsidR="0010214B" w:rsidRPr="00714401">
        <w:rPr>
          <w:rFonts w:ascii="Book Antiqua" w:hAnsi="Book Antiqua"/>
          <w:sz w:val="24"/>
          <w:szCs w:val="24"/>
          <w:lang w:val="en-US"/>
        </w:rPr>
        <w:t xml:space="preserve"> </w:t>
      </w:r>
      <w:r w:rsidR="00A306A4" w:rsidRPr="00714401">
        <w:rPr>
          <w:rFonts w:ascii="Book Antiqua" w:hAnsi="Book Antiqua"/>
          <w:sz w:val="24"/>
          <w:szCs w:val="24"/>
          <w:lang w:val="en-US"/>
        </w:rPr>
        <w:t xml:space="preserve">bile elimination constant </w:t>
      </w:r>
      <w:r w:rsidR="006202EA" w:rsidRPr="00714401">
        <w:rPr>
          <w:rFonts w:ascii="Book Antiqua" w:hAnsi="Book Antiqua"/>
          <w:sz w:val="24"/>
          <w:szCs w:val="24"/>
          <w:lang w:val="en-US"/>
        </w:rPr>
        <w:t>was not altered</w:t>
      </w:r>
      <w:r w:rsidR="005C4367" w:rsidRPr="00714401">
        <w:rPr>
          <w:rFonts w:ascii="Book Antiqua" w:hAnsi="Book Antiqua"/>
          <w:sz w:val="24"/>
          <w:szCs w:val="24"/>
          <w:lang w:val="en-US"/>
        </w:rPr>
        <w:t xml:space="preserve">, </w:t>
      </w:r>
      <w:r w:rsidR="00CE7735" w:rsidRPr="00714401">
        <w:rPr>
          <w:rFonts w:ascii="Book Antiqua" w:hAnsi="Book Antiqua"/>
          <w:sz w:val="24"/>
          <w:szCs w:val="24"/>
          <w:lang w:val="en-US"/>
        </w:rPr>
        <w:t xml:space="preserve">as reported by Kawasaki </w:t>
      </w:r>
      <w:r w:rsidR="00CE7735" w:rsidRPr="00714401">
        <w:rPr>
          <w:rFonts w:ascii="Book Antiqua" w:hAnsi="Book Antiqua"/>
          <w:i/>
          <w:sz w:val="24"/>
          <w:szCs w:val="24"/>
          <w:lang w:val="en-US"/>
        </w:rPr>
        <w:t xml:space="preserve">et </w:t>
      </w:r>
      <w:proofErr w:type="gramStart"/>
      <w:r w:rsidR="00CE7735" w:rsidRPr="00714401">
        <w:rPr>
          <w:rFonts w:ascii="Book Antiqua" w:hAnsi="Book Antiqua"/>
          <w:i/>
          <w:sz w:val="24"/>
          <w:szCs w:val="24"/>
          <w:lang w:val="en-US"/>
        </w:rPr>
        <w:t>al</w:t>
      </w:r>
      <w:r w:rsidR="00BE1138" w:rsidRPr="00714401">
        <w:rPr>
          <w:rFonts w:ascii="Book Antiqua" w:hAnsi="Book Antiqua"/>
          <w:sz w:val="24"/>
          <w:szCs w:val="24"/>
          <w:vertAlign w:val="superscript"/>
          <w:lang w:val="en-US"/>
        </w:rPr>
        <w:t>[</w:t>
      </w:r>
      <w:proofErr w:type="gramEnd"/>
      <w:r w:rsidR="00BE1138" w:rsidRPr="00714401">
        <w:rPr>
          <w:rFonts w:ascii="Book Antiqua" w:hAnsi="Book Antiqua"/>
          <w:sz w:val="24"/>
          <w:szCs w:val="24"/>
          <w:vertAlign w:val="superscript"/>
          <w:lang w:val="en-US"/>
        </w:rPr>
        <w:t>15]</w:t>
      </w:r>
      <w:r w:rsidR="00EF3BB6" w:rsidRPr="00714401">
        <w:rPr>
          <w:rFonts w:ascii="Book Antiqua" w:hAnsi="Book Antiqua"/>
          <w:sz w:val="24"/>
          <w:szCs w:val="24"/>
          <w:lang w:val="en-US"/>
        </w:rPr>
        <w:t xml:space="preserve">. </w:t>
      </w:r>
      <w:r w:rsidR="0010214B" w:rsidRPr="00714401">
        <w:rPr>
          <w:rFonts w:ascii="Book Antiqua" w:hAnsi="Book Antiqua"/>
          <w:sz w:val="24"/>
          <w:szCs w:val="24"/>
          <w:lang w:val="en-US"/>
        </w:rPr>
        <w:t xml:space="preserve">Using the galactose clearance test to measure liver </w:t>
      </w:r>
      <w:r w:rsidR="00F90597" w:rsidRPr="00714401">
        <w:rPr>
          <w:rFonts w:ascii="Book Antiqua" w:hAnsi="Book Antiqua"/>
          <w:sz w:val="24"/>
          <w:szCs w:val="24"/>
          <w:lang w:val="en-US"/>
        </w:rPr>
        <w:t>blood flow</w:t>
      </w:r>
      <w:r w:rsidR="0010214B" w:rsidRPr="00714401">
        <w:rPr>
          <w:rFonts w:ascii="Book Antiqua" w:hAnsi="Book Antiqua"/>
          <w:sz w:val="24"/>
          <w:szCs w:val="24"/>
          <w:lang w:val="en-US"/>
        </w:rPr>
        <w:t xml:space="preserve">, </w:t>
      </w:r>
      <w:r w:rsidR="00E46B67" w:rsidRPr="00714401">
        <w:rPr>
          <w:rFonts w:ascii="Book Antiqua" w:hAnsi="Book Antiqua"/>
          <w:sz w:val="24"/>
          <w:szCs w:val="24"/>
          <w:lang w:val="en-US"/>
        </w:rPr>
        <w:t>the same AA</w:t>
      </w:r>
      <w:r w:rsidR="00BD160C" w:rsidRPr="00714401">
        <w:rPr>
          <w:rFonts w:ascii="Book Antiqua" w:hAnsi="Book Antiqua"/>
          <w:sz w:val="24"/>
          <w:szCs w:val="24"/>
          <w:lang w:val="en-US"/>
        </w:rPr>
        <w:t>s were able to demonstrat</w:t>
      </w:r>
      <w:r w:rsidR="00E46B67" w:rsidRPr="00714401">
        <w:rPr>
          <w:rFonts w:ascii="Book Antiqua" w:hAnsi="Book Antiqua"/>
          <w:sz w:val="24"/>
          <w:szCs w:val="24"/>
          <w:lang w:val="en-US"/>
        </w:rPr>
        <w:t>e</w:t>
      </w:r>
      <w:r w:rsidR="00F90597" w:rsidRPr="00714401">
        <w:rPr>
          <w:rFonts w:ascii="Book Antiqua" w:hAnsi="Book Antiqua"/>
          <w:sz w:val="24"/>
          <w:szCs w:val="24"/>
          <w:lang w:val="en-US"/>
        </w:rPr>
        <w:t xml:space="preserve"> that </w:t>
      </w:r>
      <w:r w:rsidR="00FD2213" w:rsidRPr="00714401">
        <w:rPr>
          <w:rFonts w:ascii="Book Antiqua" w:hAnsi="Book Antiqua"/>
          <w:sz w:val="24"/>
          <w:szCs w:val="24"/>
          <w:lang w:val="en-US"/>
        </w:rPr>
        <w:t xml:space="preserve">in </w:t>
      </w:r>
      <w:r w:rsidR="006202EA" w:rsidRPr="00714401">
        <w:rPr>
          <w:rFonts w:ascii="Book Antiqua" w:hAnsi="Book Antiqua"/>
          <w:sz w:val="24"/>
          <w:szCs w:val="24"/>
          <w:lang w:val="en-US"/>
        </w:rPr>
        <w:t xml:space="preserve">liver cirrhosis </w:t>
      </w:r>
      <w:r w:rsidR="005C4367" w:rsidRPr="00714401">
        <w:rPr>
          <w:rFonts w:ascii="Book Antiqua" w:hAnsi="Book Antiqua"/>
          <w:sz w:val="24"/>
          <w:szCs w:val="24"/>
          <w:lang w:val="en-US"/>
        </w:rPr>
        <w:t xml:space="preserve">a </w:t>
      </w:r>
      <w:r w:rsidR="00BC5742" w:rsidRPr="00714401">
        <w:rPr>
          <w:rFonts w:ascii="Book Antiqua" w:hAnsi="Book Antiqua"/>
          <w:sz w:val="24"/>
          <w:szCs w:val="24"/>
          <w:lang w:val="en-US"/>
        </w:rPr>
        <w:t xml:space="preserve">reduced </w:t>
      </w:r>
      <w:proofErr w:type="spellStart"/>
      <w:r w:rsidR="00F90597" w:rsidRPr="00714401">
        <w:rPr>
          <w:rFonts w:ascii="Book Antiqua" w:hAnsi="Book Antiqua"/>
          <w:sz w:val="24"/>
          <w:szCs w:val="24"/>
          <w:lang w:val="en-US"/>
        </w:rPr>
        <w:t>ICG</w:t>
      </w:r>
      <w:r w:rsidR="00BA77E3" w:rsidRPr="00714401">
        <w:rPr>
          <w:rFonts w:ascii="Book Antiqua" w:hAnsi="Book Antiqua"/>
          <w:sz w:val="24"/>
          <w:szCs w:val="24"/>
          <w:vertAlign w:val="subscript"/>
          <w:lang w:val="en-US"/>
        </w:rPr>
        <w:t>C</w:t>
      </w:r>
      <w:r w:rsidR="00F90597" w:rsidRPr="00714401">
        <w:rPr>
          <w:rFonts w:ascii="Book Antiqua" w:hAnsi="Book Antiqua"/>
          <w:sz w:val="24"/>
          <w:szCs w:val="24"/>
          <w:vertAlign w:val="subscript"/>
          <w:lang w:val="en-US"/>
        </w:rPr>
        <w:t>l</w:t>
      </w:r>
      <w:proofErr w:type="spellEnd"/>
      <w:r w:rsidR="00F90597" w:rsidRPr="00714401">
        <w:rPr>
          <w:rFonts w:ascii="Book Antiqua" w:hAnsi="Book Antiqua"/>
          <w:sz w:val="24"/>
          <w:szCs w:val="24"/>
          <w:lang w:val="en-US"/>
        </w:rPr>
        <w:t xml:space="preserve">, </w:t>
      </w:r>
      <w:r w:rsidR="00BD160C" w:rsidRPr="00714401">
        <w:rPr>
          <w:rFonts w:ascii="Book Antiqua" w:hAnsi="Book Antiqua"/>
          <w:sz w:val="24"/>
          <w:szCs w:val="24"/>
          <w:lang w:val="en-US"/>
        </w:rPr>
        <w:t>(</w:t>
      </w:r>
      <w:r w:rsidR="006202EA" w:rsidRPr="00714401">
        <w:rPr>
          <w:rFonts w:ascii="Book Antiqua" w:hAnsi="Book Antiqua"/>
          <w:sz w:val="24"/>
          <w:szCs w:val="24"/>
          <w:lang w:val="en-US"/>
        </w:rPr>
        <w:t xml:space="preserve">reported </w:t>
      </w:r>
      <w:r w:rsidR="001076BB" w:rsidRPr="00714401">
        <w:rPr>
          <w:rFonts w:ascii="Book Antiqua" w:hAnsi="Book Antiqua"/>
          <w:sz w:val="24"/>
          <w:szCs w:val="24"/>
          <w:lang w:val="en-US"/>
        </w:rPr>
        <w:t>as ICG</w:t>
      </w:r>
      <w:r w:rsidR="001076BB" w:rsidRPr="00714401">
        <w:rPr>
          <w:rFonts w:ascii="Book Antiqua" w:hAnsi="Book Antiqua"/>
          <w:sz w:val="24"/>
          <w:szCs w:val="24"/>
          <w:vertAlign w:val="subscript"/>
          <w:lang w:val="en-US"/>
        </w:rPr>
        <w:t>R15</w:t>
      </w:r>
      <w:r w:rsidR="00E06554" w:rsidRPr="00714401">
        <w:rPr>
          <w:rFonts w:ascii="Book Antiqua" w:hAnsi="Book Antiqua"/>
          <w:sz w:val="24"/>
          <w:szCs w:val="24"/>
          <w:lang w:val="en-US"/>
        </w:rPr>
        <w:t xml:space="preserve">) </w:t>
      </w:r>
      <w:r w:rsidR="007644EB" w:rsidRPr="00714401">
        <w:rPr>
          <w:rFonts w:ascii="Book Antiqua" w:hAnsi="Book Antiqua"/>
          <w:sz w:val="24"/>
          <w:szCs w:val="24"/>
          <w:lang w:val="en-US"/>
        </w:rPr>
        <w:t xml:space="preserve">was </w:t>
      </w:r>
      <w:r w:rsidR="00F90597" w:rsidRPr="00714401">
        <w:rPr>
          <w:rFonts w:ascii="Book Antiqua" w:hAnsi="Book Antiqua"/>
          <w:sz w:val="24"/>
          <w:szCs w:val="24"/>
          <w:lang w:val="en-US"/>
        </w:rPr>
        <w:t>depend</w:t>
      </w:r>
      <w:r w:rsidR="007644EB" w:rsidRPr="00714401">
        <w:rPr>
          <w:rFonts w:ascii="Book Antiqua" w:hAnsi="Book Antiqua"/>
          <w:sz w:val="24"/>
          <w:szCs w:val="24"/>
          <w:lang w:val="en-US"/>
        </w:rPr>
        <w:t xml:space="preserve">ent </w:t>
      </w:r>
      <w:r w:rsidR="00BD160C" w:rsidRPr="00714401">
        <w:rPr>
          <w:rFonts w:ascii="Book Antiqua" w:hAnsi="Book Antiqua"/>
          <w:sz w:val="24"/>
          <w:szCs w:val="24"/>
          <w:lang w:val="en-US"/>
        </w:rPr>
        <w:t>from a reduction of both hepatic extraction and hepatic blood</w:t>
      </w:r>
      <w:r w:rsidR="00E06554" w:rsidRPr="00714401">
        <w:rPr>
          <w:rFonts w:ascii="Book Antiqua" w:hAnsi="Book Antiqua"/>
          <w:sz w:val="24"/>
          <w:szCs w:val="24"/>
          <w:lang w:val="en-US"/>
        </w:rPr>
        <w:t xml:space="preserve"> flow</w:t>
      </w:r>
      <w:r w:rsidR="00BD160C"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1E0CC4" w:rsidRPr="00714401">
        <w:rPr>
          <w:rFonts w:ascii="Book Antiqua" w:hAnsi="Book Antiqua"/>
          <w:sz w:val="24"/>
          <w:szCs w:val="24"/>
          <w:lang w:val="en-US"/>
        </w:rPr>
        <w:t xml:space="preserve">Sinusoidal </w:t>
      </w:r>
      <w:proofErr w:type="spellStart"/>
      <w:r w:rsidR="001E0CC4" w:rsidRPr="00714401">
        <w:rPr>
          <w:rFonts w:ascii="Book Antiqua" w:hAnsi="Book Antiqua"/>
          <w:sz w:val="24"/>
          <w:szCs w:val="24"/>
          <w:lang w:val="en-US"/>
        </w:rPr>
        <w:t>capillarization</w:t>
      </w:r>
      <w:proofErr w:type="spellEnd"/>
      <w:r w:rsidR="001E0CC4" w:rsidRPr="00714401">
        <w:rPr>
          <w:rFonts w:ascii="Book Antiqua" w:hAnsi="Book Antiqua"/>
          <w:sz w:val="24"/>
          <w:szCs w:val="24"/>
          <w:lang w:val="en-US"/>
        </w:rPr>
        <w:t xml:space="preserve"> and intrahepatic shunts, largely represented in </w:t>
      </w:r>
      <w:r w:rsidR="00084FD3" w:rsidRPr="00714401">
        <w:rPr>
          <w:rFonts w:ascii="Book Antiqua" w:hAnsi="Book Antiqua"/>
          <w:sz w:val="24"/>
          <w:szCs w:val="24"/>
          <w:lang w:val="en-US"/>
        </w:rPr>
        <w:t>cirrhotic patients</w:t>
      </w:r>
      <w:r w:rsidR="001E0CC4" w:rsidRPr="00714401">
        <w:rPr>
          <w:rFonts w:ascii="Book Antiqua" w:hAnsi="Book Antiqua"/>
          <w:sz w:val="24"/>
          <w:szCs w:val="24"/>
          <w:lang w:val="en-US"/>
        </w:rPr>
        <w:t xml:space="preserve">, </w:t>
      </w:r>
      <w:r w:rsidR="00A47054" w:rsidRPr="00714401">
        <w:rPr>
          <w:rFonts w:ascii="Book Antiqua" w:hAnsi="Book Antiqua"/>
          <w:sz w:val="24"/>
          <w:szCs w:val="24"/>
          <w:lang w:val="en-US"/>
        </w:rPr>
        <w:t xml:space="preserve">are proposed as a </w:t>
      </w:r>
      <w:r w:rsidR="009C3C27" w:rsidRPr="00714401">
        <w:rPr>
          <w:rFonts w:ascii="Book Antiqua" w:hAnsi="Book Antiqua"/>
          <w:sz w:val="24"/>
          <w:szCs w:val="24"/>
          <w:lang w:val="en-US"/>
        </w:rPr>
        <w:t xml:space="preserve">possible </w:t>
      </w:r>
      <w:proofErr w:type="gramStart"/>
      <w:r w:rsidR="009C3C27" w:rsidRPr="00714401">
        <w:rPr>
          <w:rFonts w:ascii="Book Antiqua" w:hAnsi="Book Antiqua"/>
          <w:sz w:val="24"/>
          <w:szCs w:val="24"/>
          <w:lang w:val="en-US"/>
        </w:rPr>
        <w:t>explanation</w:t>
      </w:r>
      <w:r w:rsidR="007B2CE9"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6,15,16</w:t>
      </w:r>
      <w:r w:rsidR="009C6C3D" w:rsidRPr="00714401">
        <w:rPr>
          <w:rFonts w:ascii="Book Antiqua" w:hAnsi="Book Antiqua"/>
          <w:sz w:val="24"/>
          <w:szCs w:val="24"/>
          <w:vertAlign w:val="superscript"/>
          <w:lang w:val="en-US"/>
        </w:rPr>
        <w:t>]</w:t>
      </w:r>
      <w:r w:rsidR="00EF3BB6" w:rsidRPr="00714401">
        <w:rPr>
          <w:rFonts w:ascii="Book Antiqua" w:hAnsi="Book Antiqua"/>
          <w:sz w:val="24"/>
          <w:szCs w:val="24"/>
          <w:lang w:val="en-US"/>
        </w:rPr>
        <w:t>.</w:t>
      </w:r>
      <w:r w:rsidR="00BA77E3" w:rsidRPr="00714401">
        <w:rPr>
          <w:rFonts w:ascii="Book Antiqua" w:hAnsi="Book Antiqua"/>
          <w:sz w:val="24"/>
          <w:szCs w:val="24"/>
          <w:lang w:val="en-US"/>
        </w:rPr>
        <w:t xml:space="preserve"> </w:t>
      </w:r>
      <w:r w:rsidR="009B386A" w:rsidRPr="00714401">
        <w:rPr>
          <w:rFonts w:ascii="Book Antiqua" w:hAnsi="Book Antiqua"/>
          <w:sz w:val="24"/>
          <w:szCs w:val="24"/>
          <w:lang w:val="en-US"/>
        </w:rPr>
        <w:t>In normal conditions, t</w:t>
      </w:r>
      <w:r w:rsidR="00CD35CF" w:rsidRPr="00714401">
        <w:rPr>
          <w:rFonts w:ascii="Book Antiqua" w:hAnsi="Book Antiqua"/>
          <w:sz w:val="24"/>
          <w:szCs w:val="24"/>
          <w:lang w:val="en-US"/>
        </w:rPr>
        <w:t>he di</w:t>
      </w:r>
      <w:r w:rsidR="00E06554" w:rsidRPr="00714401">
        <w:rPr>
          <w:rFonts w:ascii="Book Antiqua" w:hAnsi="Book Antiqua"/>
          <w:sz w:val="24"/>
          <w:szCs w:val="24"/>
          <w:lang w:val="en-US"/>
        </w:rPr>
        <w:t>ffusion of drugs and substances (</w:t>
      </w:r>
      <w:r w:rsidR="00CD35CF" w:rsidRPr="00714401">
        <w:rPr>
          <w:rFonts w:ascii="Book Antiqua" w:hAnsi="Book Antiqua"/>
          <w:sz w:val="24"/>
          <w:szCs w:val="24"/>
          <w:lang w:val="en-US"/>
        </w:rPr>
        <w:t>including proteins</w:t>
      </w:r>
      <w:r w:rsidR="009B386A" w:rsidRPr="00714401">
        <w:rPr>
          <w:rFonts w:ascii="Book Antiqua" w:hAnsi="Book Antiqua"/>
          <w:sz w:val="24"/>
          <w:szCs w:val="24"/>
          <w:lang w:val="en-US"/>
        </w:rPr>
        <w:t xml:space="preserve">) is </w:t>
      </w:r>
      <w:r w:rsidR="00CD35CF" w:rsidRPr="00714401">
        <w:rPr>
          <w:rFonts w:ascii="Book Antiqua" w:hAnsi="Book Antiqua"/>
          <w:sz w:val="24"/>
          <w:szCs w:val="24"/>
          <w:lang w:val="en-US"/>
        </w:rPr>
        <w:t xml:space="preserve">free </w:t>
      </w:r>
      <w:r w:rsidR="004D24EF" w:rsidRPr="00714401">
        <w:rPr>
          <w:rFonts w:ascii="Book Antiqua" w:hAnsi="Book Antiqua"/>
          <w:sz w:val="24"/>
          <w:szCs w:val="24"/>
          <w:lang w:val="en-US"/>
        </w:rPr>
        <w:t xml:space="preserve">between the sinusoids and </w:t>
      </w:r>
      <w:r w:rsidR="00CD35CF" w:rsidRPr="00714401">
        <w:rPr>
          <w:rFonts w:ascii="Book Antiqua" w:hAnsi="Book Antiqua"/>
          <w:sz w:val="24"/>
          <w:szCs w:val="24"/>
          <w:lang w:val="en-US"/>
        </w:rPr>
        <w:t>the</w:t>
      </w:r>
      <w:r w:rsidR="0076063F" w:rsidRPr="00714401">
        <w:rPr>
          <w:rFonts w:ascii="Book Antiqua" w:hAnsi="Book Antiqua"/>
          <w:sz w:val="24"/>
          <w:szCs w:val="24"/>
          <w:lang w:val="en-US"/>
        </w:rPr>
        <w:t xml:space="preserve"> </w:t>
      </w:r>
      <w:r w:rsidR="004D24EF" w:rsidRPr="00714401">
        <w:rPr>
          <w:rFonts w:ascii="Book Antiqua" w:hAnsi="Book Antiqua"/>
          <w:sz w:val="24"/>
          <w:szCs w:val="24"/>
          <w:lang w:val="en-US"/>
        </w:rPr>
        <w:t>hepatocytes</w:t>
      </w:r>
      <w:r w:rsidR="009B386A" w:rsidRPr="00714401">
        <w:rPr>
          <w:rFonts w:ascii="Book Antiqua" w:hAnsi="Book Antiqua"/>
          <w:sz w:val="24"/>
          <w:szCs w:val="24"/>
          <w:lang w:val="en-US"/>
        </w:rPr>
        <w:t xml:space="preserve">: </w:t>
      </w:r>
      <w:r w:rsidR="009C3C27" w:rsidRPr="00714401">
        <w:rPr>
          <w:rFonts w:ascii="Book Antiqua" w:hAnsi="Book Antiqua"/>
          <w:sz w:val="24"/>
          <w:szCs w:val="24"/>
          <w:lang w:val="en-US"/>
        </w:rPr>
        <w:t>I</w:t>
      </w:r>
      <w:r w:rsidR="009B386A" w:rsidRPr="00714401">
        <w:rPr>
          <w:rFonts w:ascii="Book Antiqua" w:hAnsi="Book Antiqua"/>
          <w:sz w:val="24"/>
          <w:szCs w:val="24"/>
          <w:lang w:val="en-US"/>
        </w:rPr>
        <w:t xml:space="preserve">n presence of sinusoid </w:t>
      </w:r>
      <w:proofErr w:type="spellStart"/>
      <w:r w:rsidR="009B386A" w:rsidRPr="00714401">
        <w:rPr>
          <w:rFonts w:ascii="Book Antiqua" w:hAnsi="Book Antiqua"/>
          <w:sz w:val="24"/>
          <w:szCs w:val="24"/>
          <w:lang w:val="en-US"/>
        </w:rPr>
        <w:t>capillarization</w:t>
      </w:r>
      <w:proofErr w:type="spellEnd"/>
      <w:r w:rsidR="009B386A" w:rsidRPr="00714401">
        <w:rPr>
          <w:rFonts w:ascii="Book Antiqua" w:hAnsi="Book Antiqua"/>
          <w:sz w:val="24"/>
          <w:szCs w:val="24"/>
          <w:lang w:val="en-US"/>
        </w:rPr>
        <w:t xml:space="preserve"> due to a barrier–limiting factor,</w:t>
      </w:r>
      <w:r w:rsidR="0076063F" w:rsidRPr="00714401">
        <w:rPr>
          <w:rFonts w:ascii="Book Antiqua" w:hAnsi="Book Antiqua"/>
          <w:sz w:val="24"/>
          <w:szCs w:val="24"/>
          <w:lang w:val="en-US"/>
        </w:rPr>
        <w:t xml:space="preserve"> </w:t>
      </w:r>
      <w:r w:rsidR="009B386A" w:rsidRPr="00714401">
        <w:rPr>
          <w:rFonts w:ascii="Book Antiqua" w:hAnsi="Book Antiqua"/>
          <w:sz w:val="24"/>
          <w:szCs w:val="24"/>
          <w:lang w:val="en-US"/>
        </w:rPr>
        <w:t>it</w:t>
      </w:r>
      <w:r w:rsidR="00A47054" w:rsidRPr="00714401">
        <w:rPr>
          <w:rFonts w:ascii="Book Antiqua" w:hAnsi="Book Antiqua"/>
          <w:sz w:val="24"/>
          <w:szCs w:val="24"/>
          <w:lang w:val="en-US"/>
        </w:rPr>
        <w:t xml:space="preserve"> </w:t>
      </w:r>
      <w:r w:rsidR="0010214B" w:rsidRPr="00714401">
        <w:rPr>
          <w:rFonts w:ascii="Book Antiqua" w:hAnsi="Book Antiqua"/>
          <w:sz w:val="24"/>
          <w:szCs w:val="24"/>
          <w:lang w:val="en-US"/>
        </w:rPr>
        <w:t>is impaired</w:t>
      </w:r>
      <w:r w:rsidR="007E6FC1"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EF3BB6" w:rsidRPr="00714401">
        <w:rPr>
          <w:rFonts w:ascii="Book Antiqua" w:hAnsi="Book Antiqua"/>
          <w:sz w:val="24"/>
          <w:szCs w:val="24"/>
          <w:lang w:val="en-US"/>
        </w:rPr>
        <w:t xml:space="preserve">ICG, </w:t>
      </w:r>
      <w:r w:rsidR="00BC5742" w:rsidRPr="00714401">
        <w:rPr>
          <w:rFonts w:ascii="Book Antiqua" w:hAnsi="Book Antiqua"/>
          <w:sz w:val="24"/>
          <w:szCs w:val="24"/>
          <w:lang w:val="en-US"/>
        </w:rPr>
        <w:t xml:space="preserve">which is </w:t>
      </w:r>
      <w:r w:rsidR="00EF3BB6" w:rsidRPr="00714401">
        <w:rPr>
          <w:rFonts w:ascii="Book Antiqua" w:hAnsi="Book Antiqua"/>
          <w:sz w:val="24"/>
          <w:szCs w:val="24"/>
          <w:lang w:val="en-US"/>
        </w:rPr>
        <w:t>high</w:t>
      </w:r>
      <w:r w:rsidR="00885C4D" w:rsidRPr="00714401">
        <w:rPr>
          <w:rFonts w:ascii="Book Antiqua" w:hAnsi="Book Antiqua"/>
          <w:sz w:val="24"/>
          <w:szCs w:val="24"/>
          <w:lang w:val="en-US"/>
        </w:rPr>
        <w:t>ly</w:t>
      </w:r>
      <w:r w:rsidR="0076063F" w:rsidRPr="00714401">
        <w:rPr>
          <w:rFonts w:ascii="Book Antiqua" w:hAnsi="Book Antiqua"/>
          <w:sz w:val="24"/>
          <w:szCs w:val="24"/>
          <w:lang w:val="en-US"/>
        </w:rPr>
        <w:t xml:space="preserve"> </w:t>
      </w:r>
      <w:r w:rsidR="00885C4D" w:rsidRPr="00714401">
        <w:rPr>
          <w:rFonts w:ascii="Book Antiqua" w:hAnsi="Book Antiqua"/>
          <w:sz w:val="24"/>
          <w:szCs w:val="24"/>
          <w:lang w:val="en-US"/>
        </w:rPr>
        <w:t xml:space="preserve">protein </w:t>
      </w:r>
      <w:r w:rsidR="009C3C27" w:rsidRPr="00714401">
        <w:rPr>
          <w:rFonts w:ascii="Book Antiqua" w:hAnsi="Book Antiqua" w:hint="eastAsia"/>
          <w:sz w:val="24"/>
          <w:szCs w:val="24"/>
          <w:lang w:val="en-US" w:eastAsia="zh-CN"/>
        </w:rPr>
        <w:t>-</w:t>
      </w:r>
      <w:r w:rsidR="00885C4D" w:rsidRPr="00714401">
        <w:rPr>
          <w:rFonts w:ascii="Book Antiqua" w:hAnsi="Book Antiqua"/>
          <w:sz w:val="24"/>
          <w:szCs w:val="24"/>
          <w:lang w:val="en-US"/>
        </w:rPr>
        <w:t xml:space="preserve"> bound, </w:t>
      </w:r>
      <w:r w:rsidR="00EF3BB6" w:rsidRPr="00714401">
        <w:rPr>
          <w:rFonts w:ascii="Book Antiqua" w:hAnsi="Book Antiqua"/>
          <w:sz w:val="24"/>
          <w:szCs w:val="24"/>
          <w:lang w:val="en-US"/>
        </w:rPr>
        <w:t xml:space="preserve">is particularly </w:t>
      </w:r>
      <w:r w:rsidR="00885C4D" w:rsidRPr="00714401">
        <w:rPr>
          <w:rFonts w:ascii="Book Antiqua" w:hAnsi="Book Antiqua"/>
          <w:sz w:val="24"/>
          <w:szCs w:val="24"/>
          <w:lang w:val="en-US"/>
        </w:rPr>
        <w:t xml:space="preserve">prone </w:t>
      </w:r>
      <w:r w:rsidR="00EF3BB6" w:rsidRPr="00714401">
        <w:rPr>
          <w:rFonts w:ascii="Book Antiqua" w:hAnsi="Book Antiqua"/>
          <w:sz w:val="24"/>
          <w:szCs w:val="24"/>
          <w:lang w:val="en-US"/>
        </w:rPr>
        <w:t>to this phenomenon. Then, i</w:t>
      </w:r>
      <w:r w:rsidR="005B7568" w:rsidRPr="00714401">
        <w:rPr>
          <w:rFonts w:ascii="Book Antiqua" w:hAnsi="Book Antiqua"/>
          <w:sz w:val="24"/>
          <w:szCs w:val="24"/>
          <w:lang w:val="en-US"/>
        </w:rPr>
        <w:t>n cirrhotic patients ICG</w:t>
      </w:r>
      <w:r w:rsidR="005B7568" w:rsidRPr="00714401">
        <w:rPr>
          <w:rFonts w:ascii="Book Antiqua" w:hAnsi="Book Antiqua"/>
          <w:sz w:val="24"/>
          <w:szCs w:val="24"/>
          <w:vertAlign w:val="subscript"/>
          <w:lang w:val="en-US"/>
        </w:rPr>
        <w:t>K</w:t>
      </w:r>
      <w:r w:rsidR="005B7568" w:rsidRPr="00714401">
        <w:rPr>
          <w:rFonts w:ascii="Book Antiqua" w:hAnsi="Book Antiqua"/>
          <w:sz w:val="24"/>
          <w:szCs w:val="24"/>
          <w:lang w:val="en-US"/>
        </w:rPr>
        <w:t xml:space="preserve"> and ICG</w:t>
      </w:r>
      <w:r w:rsidR="005B7568" w:rsidRPr="00714401">
        <w:rPr>
          <w:rFonts w:ascii="Book Antiqua" w:hAnsi="Book Antiqua"/>
          <w:sz w:val="24"/>
          <w:szCs w:val="24"/>
          <w:vertAlign w:val="subscript"/>
          <w:lang w:val="en-US"/>
        </w:rPr>
        <w:t>R15</w:t>
      </w:r>
      <w:r w:rsidR="005B7568" w:rsidRPr="00714401">
        <w:rPr>
          <w:rFonts w:ascii="Book Antiqua" w:hAnsi="Book Antiqua"/>
          <w:sz w:val="24"/>
          <w:szCs w:val="24"/>
          <w:lang w:val="en-US"/>
        </w:rPr>
        <w:t xml:space="preserve"> </w:t>
      </w:r>
      <w:r w:rsidR="00E06554" w:rsidRPr="00714401">
        <w:rPr>
          <w:rFonts w:ascii="Book Antiqua" w:hAnsi="Book Antiqua"/>
          <w:sz w:val="24"/>
          <w:szCs w:val="24"/>
          <w:lang w:val="en-US"/>
        </w:rPr>
        <w:t xml:space="preserve">(vide infra) </w:t>
      </w:r>
      <w:r w:rsidR="00EF3BB6" w:rsidRPr="00714401">
        <w:rPr>
          <w:rFonts w:ascii="Book Antiqua" w:hAnsi="Book Antiqua"/>
          <w:sz w:val="24"/>
          <w:szCs w:val="24"/>
          <w:lang w:val="en-US"/>
        </w:rPr>
        <w:t xml:space="preserve">might </w:t>
      </w:r>
      <w:r w:rsidR="005B7568" w:rsidRPr="00714401">
        <w:rPr>
          <w:rFonts w:ascii="Book Antiqua" w:hAnsi="Book Antiqua"/>
          <w:sz w:val="24"/>
          <w:szCs w:val="24"/>
          <w:lang w:val="en-US"/>
        </w:rPr>
        <w:t xml:space="preserve">reflect </w:t>
      </w:r>
      <w:r w:rsidR="00127569" w:rsidRPr="00714401">
        <w:rPr>
          <w:rFonts w:ascii="Book Antiqua" w:hAnsi="Book Antiqua"/>
          <w:sz w:val="24"/>
          <w:szCs w:val="24"/>
          <w:lang w:val="en-US"/>
        </w:rPr>
        <w:t xml:space="preserve">not only </w:t>
      </w:r>
      <w:r w:rsidR="005B7568" w:rsidRPr="00714401">
        <w:rPr>
          <w:rFonts w:ascii="Book Antiqua" w:hAnsi="Book Antiqua"/>
          <w:sz w:val="24"/>
          <w:szCs w:val="24"/>
          <w:lang w:val="en-US"/>
        </w:rPr>
        <w:t>the degree of sinusoidal</w:t>
      </w:r>
      <w:r w:rsidR="0076063F" w:rsidRPr="00714401">
        <w:rPr>
          <w:rFonts w:ascii="Book Antiqua" w:hAnsi="Book Antiqua"/>
          <w:sz w:val="24"/>
          <w:szCs w:val="24"/>
          <w:lang w:val="en-US"/>
        </w:rPr>
        <w:t xml:space="preserve"> </w:t>
      </w:r>
      <w:proofErr w:type="spellStart"/>
      <w:r w:rsidR="005B7568" w:rsidRPr="00714401">
        <w:rPr>
          <w:rFonts w:ascii="Book Antiqua" w:hAnsi="Book Antiqua"/>
          <w:sz w:val="24"/>
          <w:szCs w:val="24"/>
          <w:lang w:val="en-US"/>
        </w:rPr>
        <w:t>capillarization</w:t>
      </w:r>
      <w:proofErr w:type="spellEnd"/>
      <w:r w:rsidR="00EF3BB6" w:rsidRPr="00714401">
        <w:rPr>
          <w:rFonts w:ascii="Book Antiqua" w:hAnsi="Book Antiqua"/>
          <w:sz w:val="24"/>
          <w:szCs w:val="24"/>
          <w:lang w:val="en-US"/>
        </w:rPr>
        <w:t xml:space="preserve"> and </w:t>
      </w:r>
      <w:r w:rsidR="005B7568" w:rsidRPr="00714401">
        <w:rPr>
          <w:rFonts w:ascii="Book Antiqua" w:hAnsi="Book Antiqua"/>
          <w:sz w:val="24"/>
          <w:szCs w:val="24"/>
          <w:lang w:val="en-US"/>
        </w:rPr>
        <w:t xml:space="preserve">intrahepatic shunts </w:t>
      </w:r>
      <w:r w:rsidR="00EA7E5D" w:rsidRPr="00714401">
        <w:rPr>
          <w:rFonts w:ascii="Book Antiqua" w:hAnsi="Book Antiqua"/>
          <w:sz w:val="24"/>
          <w:szCs w:val="24"/>
          <w:lang w:val="en-US"/>
        </w:rPr>
        <w:t>but</w:t>
      </w:r>
      <w:r w:rsidR="00127569" w:rsidRPr="00714401">
        <w:rPr>
          <w:rFonts w:ascii="Book Antiqua" w:hAnsi="Book Antiqua"/>
          <w:sz w:val="24"/>
          <w:szCs w:val="24"/>
          <w:lang w:val="en-US"/>
        </w:rPr>
        <w:t>,</w:t>
      </w:r>
      <w:r w:rsidR="005B7568" w:rsidRPr="00714401">
        <w:rPr>
          <w:rFonts w:ascii="Book Antiqua" w:hAnsi="Book Antiqua"/>
          <w:sz w:val="24"/>
          <w:szCs w:val="24"/>
          <w:lang w:val="en-US"/>
        </w:rPr>
        <w:t xml:space="preserve"> </w:t>
      </w:r>
      <w:r w:rsidR="00D76289" w:rsidRPr="00714401">
        <w:rPr>
          <w:rFonts w:ascii="Book Antiqua" w:hAnsi="Book Antiqua"/>
          <w:sz w:val="24"/>
          <w:szCs w:val="24"/>
          <w:lang w:val="en-US"/>
        </w:rPr>
        <w:t xml:space="preserve">at least in part, </w:t>
      </w:r>
      <w:r w:rsidR="00885C4D" w:rsidRPr="00714401">
        <w:rPr>
          <w:rFonts w:ascii="Book Antiqua" w:hAnsi="Book Antiqua"/>
          <w:sz w:val="24"/>
          <w:szCs w:val="24"/>
          <w:lang w:val="en-US"/>
        </w:rPr>
        <w:t xml:space="preserve">also </w:t>
      </w:r>
      <w:r w:rsidR="00127569" w:rsidRPr="00714401">
        <w:rPr>
          <w:rFonts w:ascii="Book Antiqua" w:hAnsi="Book Antiqua"/>
          <w:sz w:val="24"/>
          <w:szCs w:val="24"/>
          <w:lang w:val="en-US"/>
        </w:rPr>
        <w:t xml:space="preserve">the </w:t>
      </w:r>
      <w:r w:rsidR="009C3C27" w:rsidRPr="00714401">
        <w:rPr>
          <w:rFonts w:ascii="Book Antiqua" w:hAnsi="Book Antiqua"/>
          <w:sz w:val="24"/>
          <w:szCs w:val="24"/>
          <w:lang w:val="en-US"/>
        </w:rPr>
        <w:t xml:space="preserve">reduction of hepatic blood </w:t>
      </w:r>
      <w:proofErr w:type="gramStart"/>
      <w:r w:rsidR="009C3C27" w:rsidRPr="00714401">
        <w:rPr>
          <w:rFonts w:ascii="Book Antiqua" w:hAnsi="Book Antiqua"/>
          <w:sz w:val="24"/>
          <w:szCs w:val="24"/>
          <w:lang w:val="en-US"/>
        </w:rPr>
        <w:t>flow</w:t>
      </w:r>
      <w:r w:rsidR="009C6C3D"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15</w:t>
      </w:r>
      <w:r w:rsidR="009C6C3D" w:rsidRPr="00714401">
        <w:rPr>
          <w:rFonts w:ascii="Book Antiqua" w:hAnsi="Book Antiqua"/>
          <w:sz w:val="24"/>
          <w:szCs w:val="24"/>
          <w:vertAlign w:val="superscript"/>
          <w:lang w:val="en-US"/>
        </w:rPr>
        <w:t>]</w:t>
      </w:r>
      <w:r w:rsidR="005B7568"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9B386A" w:rsidRPr="00714401">
        <w:rPr>
          <w:rFonts w:ascii="Book Antiqua" w:hAnsi="Book Antiqua"/>
          <w:sz w:val="24"/>
          <w:szCs w:val="24"/>
          <w:lang w:val="en-US"/>
        </w:rPr>
        <w:t>The logarithmic transformation of the distribution phase of the dye dilution curve is the k</w:t>
      </w:r>
      <w:r w:rsidR="00D76289" w:rsidRPr="00714401">
        <w:rPr>
          <w:rFonts w:ascii="Book Antiqua" w:hAnsi="Book Antiqua"/>
          <w:sz w:val="24"/>
          <w:szCs w:val="24"/>
          <w:lang w:val="en-US"/>
        </w:rPr>
        <w:t>ey passage for the</w:t>
      </w:r>
      <w:r w:rsidR="0076063F" w:rsidRPr="00714401">
        <w:rPr>
          <w:rFonts w:ascii="Book Antiqua" w:hAnsi="Book Antiqua"/>
          <w:sz w:val="24"/>
          <w:szCs w:val="24"/>
          <w:lang w:val="en-US"/>
        </w:rPr>
        <w:t xml:space="preserve"> </w:t>
      </w:r>
      <w:r w:rsidR="00D76289" w:rsidRPr="00714401">
        <w:rPr>
          <w:rFonts w:ascii="Book Antiqua" w:hAnsi="Book Antiqua"/>
          <w:sz w:val="24"/>
          <w:szCs w:val="24"/>
          <w:lang w:val="en-US"/>
        </w:rPr>
        <w:t>quantitative</w:t>
      </w:r>
      <w:r w:rsidR="0076063F" w:rsidRPr="00714401">
        <w:rPr>
          <w:rFonts w:ascii="Book Antiqua" w:hAnsi="Book Antiqua"/>
          <w:sz w:val="24"/>
          <w:szCs w:val="24"/>
          <w:lang w:val="en-US"/>
        </w:rPr>
        <w:t xml:space="preserve"> </w:t>
      </w:r>
      <w:r w:rsidR="00D76289" w:rsidRPr="00714401">
        <w:rPr>
          <w:rFonts w:ascii="Book Antiqua" w:hAnsi="Book Antiqua"/>
          <w:sz w:val="24"/>
          <w:szCs w:val="24"/>
          <w:lang w:val="en-US"/>
        </w:rPr>
        <w:t>assessment of</w:t>
      </w:r>
      <w:r w:rsidR="0076063F" w:rsidRPr="00714401">
        <w:rPr>
          <w:rFonts w:ascii="Book Antiqua" w:hAnsi="Book Antiqua"/>
          <w:sz w:val="24"/>
          <w:szCs w:val="24"/>
          <w:lang w:val="en-US"/>
        </w:rPr>
        <w:t xml:space="preserve"> </w:t>
      </w:r>
      <w:r w:rsidR="00D76289" w:rsidRPr="00714401">
        <w:rPr>
          <w:rFonts w:ascii="Book Antiqua" w:hAnsi="Book Antiqua"/>
          <w:sz w:val="24"/>
          <w:szCs w:val="24"/>
          <w:lang w:val="en-US"/>
        </w:rPr>
        <w:t xml:space="preserve">ICG removal by the liver cells </w:t>
      </w:r>
    </w:p>
    <w:p w:rsidR="000667B4" w:rsidRPr="00714401" w:rsidRDefault="00D76289" w:rsidP="009C3C27">
      <w:pPr>
        <w:autoSpaceDE w:val="0"/>
        <w:autoSpaceDN w:val="0"/>
        <w:adjustRightInd w:val="0"/>
        <w:snapToGrid w:val="0"/>
        <w:spacing w:after="0" w:line="360" w:lineRule="auto"/>
        <w:ind w:firstLineChars="100" w:firstLine="240"/>
        <w:jc w:val="both"/>
        <w:rPr>
          <w:rFonts w:ascii="Book Antiqua" w:eastAsia="Arial Unicode MS" w:hAnsi="Book Antiqua" w:cs="Arial Unicode MS"/>
          <w:sz w:val="24"/>
          <w:szCs w:val="24"/>
          <w:lang w:val="en-US" w:eastAsia="zh-CN"/>
        </w:rPr>
      </w:pPr>
      <w:r w:rsidRPr="00714401">
        <w:rPr>
          <w:rFonts w:ascii="Book Antiqua" w:hAnsi="Book Antiqua"/>
          <w:sz w:val="24"/>
          <w:szCs w:val="24"/>
          <w:lang w:val="en-US"/>
        </w:rPr>
        <w:lastRenderedPageBreak/>
        <w:t>ICG clearance p</w:t>
      </w:r>
      <w:r w:rsidR="00472E75" w:rsidRPr="00714401">
        <w:rPr>
          <w:rFonts w:ascii="Book Antiqua" w:hAnsi="Book Antiqua"/>
          <w:sz w:val="24"/>
          <w:szCs w:val="24"/>
          <w:lang w:val="en-US"/>
        </w:rPr>
        <w:t xml:space="preserve">arameters </w:t>
      </w:r>
      <w:r w:rsidR="00127569" w:rsidRPr="00714401">
        <w:rPr>
          <w:rFonts w:ascii="Book Antiqua" w:hAnsi="Book Antiqua"/>
          <w:sz w:val="24"/>
          <w:szCs w:val="24"/>
          <w:lang w:val="en-US"/>
        </w:rPr>
        <w:t xml:space="preserve">most commonly </w:t>
      </w:r>
      <w:r w:rsidR="00B21154" w:rsidRPr="00714401">
        <w:rPr>
          <w:rFonts w:ascii="Book Antiqua" w:hAnsi="Book Antiqua"/>
          <w:sz w:val="24"/>
          <w:szCs w:val="24"/>
          <w:lang w:val="en-US"/>
        </w:rPr>
        <w:t xml:space="preserve">reported </w:t>
      </w:r>
      <w:r w:rsidR="00127569" w:rsidRPr="00714401">
        <w:rPr>
          <w:rFonts w:ascii="Book Antiqua" w:hAnsi="Book Antiqua"/>
          <w:sz w:val="24"/>
          <w:szCs w:val="24"/>
          <w:lang w:val="en-US"/>
        </w:rPr>
        <w:t>in the literature</w:t>
      </w:r>
      <w:r w:rsidR="0076063F" w:rsidRPr="00714401">
        <w:rPr>
          <w:rFonts w:ascii="Book Antiqua" w:hAnsi="Book Antiqua"/>
          <w:sz w:val="24"/>
          <w:szCs w:val="24"/>
          <w:lang w:val="en-US"/>
        </w:rPr>
        <w:t xml:space="preserve"> </w:t>
      </w:r>
      <w:proofErr w:type="gramStart"/>
      <w:r w:rsidR="00472E75" w:rsidRPr="00714401">
        <w:rPr>
          <w:rFonts w:ascii="Book Antiqua" w:hAnsi="Book Antiqua"/>
          <w:sz w:val="24"/>
          <w:szCs w:val="24"/>
          <w:lang w:val="en-US"/>
        </w:rPr>
        <w:t>are</w:t>
      </w:r>
      <w:r w:rsidR="009C6C3D"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6,7</w:t>
      </w:r>
      <w:r w:rsidR="009C6C3D" w:rsidRPr="00714401">
        <w:rPr>
          <w:rFonts w:ascii="Book Antiqua" w:hAnsi="Book Antiqua"/>
          <w:sz w:val="24"/>
          <w:szCs w:val="24"/>
          <w:vertAlign w:val="superscript"/>
          <w:lang w:val="en-US"/>
        </w:rPr>
        <w:t>]</w:t>
      </w:r>
      <w:r w:rsidR="009C3C27" w:rsidRPr="00714401">
        <w:rPr>
          <w:rFonts w:ascii="Book Antiqua" w:hAnsi="Book Antiqua" w:hint="eastAsia"/>
          <w:sz w:val="24"/>
          <w:szCs w:val="24"/>
          <w:lang w:val="en-US" w:eastAsia="zh-CN"/>
        </w:rPr>
        <w:t>:</w:t>
      </w:r>
      <w:r w:rsidR="00BA0F60" w:rsidRPr="00714401">
        <w:rPr>
          <w:rFonts w:ascii="Book Antiqua" w:hAnsi="Book Antiqua"/>
          <w:sz w:val="24"/>
          <w:szCs w:val="24"/>
          <w:lang w:val="en-US"/>
        </w:rPr>
        <w:t xml:space="preserve"> </w:t>
      </w:r>
      <w:r w:rsidR="009C3C27" w:rsidRPr="00714401">
        <w:rPr>
          <w:rFonts w:ascii="Book Antiqua" w:hAnsi="Book Antiqua" w:hint="eastAsia"/>
          <w:sz w:val="24"/>
          <w:szCs w:val="24"/>
          <w:lang w:val="en-US" w:eastAsia="zh-CN"/>
        </w:rPr>
        <w:t>(1)</w:t>
      </w:r>
      <w:r w:rsidR="00442CD8" w:rsidRPr="00714401">
        <w:rPr>
          <w:rFonts w:ascii="Book Antiqua" w:hAnsi="Book Antiqua"/>
          <w:sz w:val="24"/>
          <w:szCs w:val="24"/>
          <w:lang w:val="en-US"/>
        </w:rPr>
        <w:t xml:space="preserve"> </w:t>
      </w:r>
      <w:r w:rsidR="00F90597" w:rsidRPr="00714401">
        <w:rPr>
          <w:rFonts w:ascii="Book Antiqua" w:hAnsi="Book Antiqua"/>
          <w:sz w:val="24"/>
          <w:szCs w:val="24"/>
          <w:lang w:val="en-US"/>
        </w:rPr>
        <w:t>Plasma Disappearance Rate</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ICG</w:t>
      </w:r>
      <w:r w:rsidR="000667B4" w:rsidRPr="00714401">
        <w:rPr>
          <w:rFonts w:ascii="Book Antiqua" w:hAnsi="Book Antiqua"/>
          <w:sz w:val="24"/>
          <w:szCs w:val="24"/>
          <w:vertAlign w:val="subscript"/>
          <w:lang w:val="en-US"/>
        </w:rPr>
        <w:t>PDR</w:t>
      </w:r>
      <w:r w:rsidR="009C3C27" w:rsidRPr="00714401">
        <w:rPr>
          <w:rFonts w:ascii="Book Antiqua" w:hAnsi="Book Antiqua" w:hint="eastAsia"/>
          <w:sz w:val="24"/>
          <w:szCs w:val="24"/>
          <w:lang w:val="en-US" w:eastAsia="zh-CN"/>
        </w:rPr>
        <w:t>; (2)</w:t>
      </w:r>
      <w:r w:rsidR="00442CD8" w:rsidRPr="00714401">
        <w:rPr>
          <w:rFonts w:ascii="Book Antiqua" w:hAnsi="Book Antiqua"/>
          <w:sz w:val="24"/>
          <w:szCs w:val="24"/>
          <w:lang w:val="en-US"/>
        </w:rPr>
        <w:t xml:space="preserve"> </w:t>
      </w:r>
      <w:r w:rsidR="00F90597" w:rsidRPr="00714401">
        <w:rPr>
          <w:rFonts w:ascii="Book Antiqua" w:hAnsi="Book Antiqua"/>
          <w:sz w:val="24"/>
          <w:szCs w:val="24"/>
          <w:lang w:val="en-US"/>
        </w:rPr>
        <w:t>Retention rate at 15 min</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ICG</w:t>
      </w:r>
      <w:r w:rsidR="000667B4" w:rsidRPr="00714401">
        <w:rPr>
          <w:rFonts w:ascii="Book Antiqua" w:hAnsi="Book Antiqua"/>
          <w:sz w:val="24"/>
          <w:szCs w:val="24"/>
          <w:vertAlign w:val="subscript"/>
          <w:lang w:val="en-US"/>
        </w:rPr>
        <w:t>R15</w:t>
      </w:r>
      <w:r w:rsidR="009C3C27" w:rsidRPr="00714401">
        <w:rPr>
          <w:rFonts w:ascii="Book Antiqua" w:hAnsi="Book Antiqua" w:hint="eastAsia"/>
          <w:sz w:val="24"/>
          <w:szCs w:val="24"/>
          <w:lang w:val="en-US" w:eastAsia="zh-CN"/>
        </w:rPr>
        <w:t xml:space="preserve">; (3) </w:t>
      </w:r>
      <w:r w:rsidR="000667B4" w:rsidRPr="00714401">
        <w:rPr>
          <w:rFonts w:ascii="Book Antiqua" w:hAnsi="Book Antiqua"/>
          <w:sz w:val="24"/>
          <w:szCs w:val="24"/>
          <w:lang w:val="en-US"/>
        </w:rPr>
        <w:t xml:space="preserve">Disappearance rate constant </w:t>
      </w:r>
      <w:r w:rsidR="005C4367" w:rsidRPr="00714401">
        <w:rPr>
          <w:rFonts w:ascii="Book Antiqua" w:hAnsi="Book Antiqua"/>
          <w:sz w:val="24"/>
          <w:szCs w:val="24"/>
          <w:lang w:val="en-US"/>
        </w:rPr>
        <w:t>(or</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elimination rate constant ) (K Constant )</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ICG</w:t>
      </w:r>
      <w:r w:rsidR="000667B4" w:rsidRPr="00714401">
        <w:rPr>
          <w:rFonts w:ascii="Book Antiqua" w:hAnsi="Book Antiqua"/>
          <w:sz w:val="24"/>
          <w:szCs w:val="24"/>
          <w:vertAlign w:val="subscript"/>
          <w:lang w:val="en-US"/>
        </w:rPr>
        <w:t>K</w:t>
      </w:r>
      <w:r w:rsidR="009C3C27" w:rsidRPr="00714401">
        <w:rPr>
          <w:rFonts w:ascii="Book Antiqua" w:hAnsi="Book Antiqua" w:hint="eastAsia"/>
          <w:sz w:val="24"/>
          <w:szCs w:val="24"/>
          <w:lang w:val="en-US" w:eastAsia="zh-CN"/>
        </w:rPr>
        <w:t>; and (4)</w:t>
      </w:r>
      <w:r w:rsidR="0076063F" w:rsidRPr="00714401">
        <w:rPr>
          <w:rFonts w:ascii="Book Antiqua" w:hAnsi="Book Antiqua"/>
          <w:sz w:val="24"/>
          <w:szCs w:val="24"/>
          <w:lang w:val="en-US"/>
        </w:rPr>
        <w:t xml:space="preserve"> </w:t>
      </w:r>
      <w:proofErr w:type="spellStart"/>
      <w:r w:rsidR="000667B4" w:rsidRPr="00714401">
        <w:rPr>
          <w:rFonts w:ascii="Book Antiqua" w:hAnsi="Book Antiqua"/>
          <w:sz w:val="24"/>
          <w:szCs w:val="24"/>
          <w:lang w:val="en-US"/>
        </w:rPr>
        <w:t>ICG</w:t>
      </w:r>
      <w:r w:rsidR="000667B4" w:rsidRPr="00714401">
        <w:rPr>
          <w:rFonts w:ascii="Book Antiqua" w:hAnsi="Book Antiqua"/>
          <w:sz w:val="24"/>
          <w:szCs w:val="24"/>
          <w:vertAlign w:val="subscript"/>
          <w:lang w:val="en-US"/>
        </w:rPr>
        <w:t>Cl</w:t>
      </w:r>
      <w:proofErr w:type="spellEnd"/>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ICG Clearance</w:t>
      </w:r>
      <w:r w:rsidR="009C3C27" w:rsidRPr="00714401">
        <w:rPr>
          <w:rFonts w:ascii="Book Antiqua" w:hAnsi="Book Antiqua" w:hint="eastAsia"/>
          <w:sz w:val="24"/>
          <w:szCs w:val="24"/>
          <w:lang w:val="en-US" w:eastAsia="zh-CN"/>
        </w:rPr>
        <w:t>.</w:t>
      </w:r>
    </w:p>
    <w:p w:rsidR="00F90597" w:rsidRPr="00714401" w:rsidRDefault="00127569" w:rsidP="009C3C27">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ICG</w:t>
      </w:r>
      <w:r w:rsidRPr="00714401">
        <w:rPr>
          <w:rFonts w:ascii="Book Antiqua" w:hAnsi="Book Antiqua"/>
          <w:sz w:val="24"/>
          <w:szCs w:val="24"/>
          <w:vertAlign w:val="subscript"/>
          <w:lang w:val="en-US"/>
        </w:rPr>
        <w:t>PDR</w:t>
      </w:r>
      <w:r w:rsidRPr="00714401">
        <w:rPr>
          <w:rFonts w:ascii="Book Antiqua" w:hAnsi="Book Antiqua"/>
          <w:sz w:val="24"/>
          <w:szCs w:val="24"/>
          <w:lang w:val="en-US"/>
        </w:rPr>
        <w:t xml:space="preserve"> and ICG</w:t>
      </w:r>
      <w:r w:rsidRPr="00714401">
        <w:rPr>
          <w:rFonts w:ascii="Book Antiqua" w:hAnsi="Book Antiqua"/>
          <w:sz w:val="24"/>
          <w:szCs w:val="24"/>
          <w:vertAlign w:val="subscript"/>
          <w:lang w:val="en-US"/>
        </w:rPr>
        <w:t>R15</w:t>
      </w:r>
      <w:r w:rsidRPr="00714401">
        <w:rPr>
          <w:rFonts w:ascii="Book Antiqua" w:hAnsi="Book Antiqua"/>
          <w:sz w:val="24"/>
          <w:szCs w:val="24"/>
          <w:lang w:val="en-US"/>
        </w:rPr>
        <w:t xml:space="preserve"> are the</w:t>
      </w:r>
      <w:r w:rsidR="00442CD8" w:rsidRPr="00714401">
        <w:rPr>
          <w:rFonts w:ascii="Book Antiqua" w:hAnsi="Book Antiqua"/>
          <w:sz w:val="24"/>
          <w:szCs w:val="24"/>
          <w:lang w:val="en-US"/>
        </w:rPr>
        <w:t xml:space="preserve"> two </w:t>
      </w:r>
      <w:r w:rsidRPr="00714401">
        <w:rPr>
          <w:rFonts w:ascii="Book Antiqua" w:hAnsi="Book Antiqua"/>
          <w:sz w:val="24"/>
          <w:szCs w:val="24"/>
          <w:lang w:val="en-US"/>
        </w:rPr>
        <w:t>kinetic parameters most frequently used i</w:t>
      </w:r>
      <w:r w:rsidR="00067BAC" w:rsidRPr="00714401">
        <w:rPr>
          <w:rFonts w:ascii="Book Antiqua" w:hAnsi="Book Antiqua"/>
          <w:sz w:val="24"/>
          <w:szCs w:val="24"/>
          <w:lang w:val="en-US"/>
        </w:rPr>
        <w:t>n clinical practice</w:t>
      </w:r>
      <w:r w:rsidR="00442CD8" w:rsidRPr="00714401">
        <w:rPr>
          <w:rFonts w:ascii="Book Antiqua" w:hAnsi="Book Antiqua"/>
          <w:sz w:val="24"/>
          <w:szCs w:val="24"/>
          <w:lang w:val="en-US"/>
        </w:rPr>
        <w:t xml:space="preserve"> </w:t>
      </w:r>
      <w:r w:rsidRPr="00714401">
        <w:rPr>
          <w:rFonts w:ascii="Book Antiqua" w:hAnsi="Book Antiqua"/>
          <w:sz w:val="24"/>
          <w:szCs w:val="24"/>
          <w:lang w:val="en-US"/>
        </w:rPr>
        <w:t xml:space="preserve">for the dynamic assessment of liver </w:t>
      </w:r>
      <w:proofErr w:type="gramStart"/>
      <w:r w:rsidRPr="00714401">
        <w:rPr>
          <w:rFonts w:ascii="Book Antiqua" w:hAnsi="Book Antiqua"/>
          <w:sz w:val="24"/>
          <w:szCs w:val="24"/>
          <w:lang w:val="en-US"/>
        </w:rPr>
        <w:t>function</w:t>
      </w:r>
      <w:r w:rsidR="009C6C3D"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6-8,17</w:t>
      </w:r>
      <w:r w:rsidR="009C6C3D" w:rsidRPr="00714401">
        <w:rPr>
          <w:rFonts w:ascii="Book Antiqua" w:hAnsi="Book Antiqua"/>
          <w:sz w:val="24"/>
          <w:szCs w:val="24"/>
          <w:vertAlign w:val="superscript"/>
          <w:lang w:val="en-US"/>
        </w:rPr>
        <w:t>]</w:t>
      </w:r>
      <w:r w:rsidR="0076063F" w:rsidRPr="00714401">
        <w:rPr>
          <w:rFonts w:ascii="Book Antiqua" w:hAnsi="Book Antiqua"/>
          <w:sz w:val="24"/>
          <w:szCs w:val="24"/>
          <w:lang w:val="en-US"/>
        </w:rPr>
        <w:t xml:space="preserve"> </w:t>
      </w:r>
      <w:r w:rsidR="004A3EDF" w:rsidRPr="00714401">
        <w:rPr>
          <w:rFonts w:ascii="Book Antiqua" w:hAnsi="Book Antiqua"/>
          <w:sz w:val="24"/>
          <w:szCs w:val="24"/>
          <w:lang w:val="en-US"/>
        </w:rPr>
        <w:t>(</w:t>
      </w:r>
      <w:r w:rsidR="00F53214" w:rsidRPr="00714401">
        <w:rPr>
          <w:rFonts w:ascii="Book Antiqua" w:hAnsi="Book Antiqua" w:hint="eastAsia"/>
          <w:sz w:val="24"/>
          <w:szCs w:val="24"/>
          <w:lang w:val="en-US" w:eastAsia="zh-CN"/>
        </w:rPr>
        <w:t>Table 1</w:t>
      </w:r>
      <w:r w:rsidR="004A3EDF" w:rsidRPr="00714401">
        <w:rPr>
          <w:rFonts w:ascii="Book Antiqua" w:hAnsi="Book Antiqua"/>
          <w:sz w:val="24"/>
          <w:szCs w:val="24"/>
          <w:lang w:val="en-US"/>
        </w:rPr>
        <w:t xml:space="preserve">, from </w:t>
      </w:r>
      <w:proofErr w:type="spellStart"/>
      <w:r w:rsidR="004A3EDF" w:rsidRPr="00714401">
        <w:rPr>
          <w:rFonts w:ascii="Book Antiqua" w:hAnsi="Book Antiqua"/>
          <w:sz w:val="24"/>
          <w:szCs w:val="24"/>
          <w:lang w:val="en-US"/>
        </w:rPr>
        <w:t>Vos</w:t>
      </w:r>
      <w:proofErr w:type="spellEnd"/>
      <w:r w:rsidR="004A3EDF" w:rsidRPr="00714401">
        <w:rPr>
          <w:rFonts w:ascii="Book Antiqua" w:hAnsi="Book Antiqua"/>
          <w:i/>
          <w:sz w:val="24"/>
          <w:szCs w:val="24"/>
          <w:lang w:val="en-US"/>
        </w:rPr>
        <w:t xml:space="preserve"> et al</w:t>
      </w:r>
      <w:r w:rsidR="009C3C27" w:rsidRPr="00714401">
        <w:rPr>
          <w:rFonts w:ascii="Book Antiqua" w:hAnsi="Book Antiqua" w:hint="eastAsia"/>
          <w:sz w:val="24"/>
          <w:szCs w:val="24"/>
          <w:vertAlign w:val="superscript"/>
          <w:lang w:val="en-US" w:eastAsia="zh-CN"/>
        </w:rPr>
        <w:t>[6]</w:t>
      </w:r>
      <w:r w:rsidR="004A3EDF" w:rsidRPr="00714401">
        <w:rPr>
          <w:rFonts w:ascii="Book Antiqua" w:hAnsi="Book Antiqua"/>
          <w:sz w:val="24"/>
          <w:szCs w:val="24"/>
          <w:lang w:val="en-US"/>
        </w:rPr>
        <w:t>, 2014)</w:t>
      </w:r>
      <w:r w:rsidR="009C3C27" w:rsidRPr="00714401">
        <w:rPr>
          <w:rFonts w:ascii="Book Antiqua" w:hAnsi="Book Antiqua" w:hint="eastAsia"/>
          <w:sz w:val="24"/>
          <w:szCs w:val="24"/>
          <w:lang w:val="en-US" w:eastAsia="zh-CN"/>
        </w:rPr>
        <w:t>.</w:t>
      </w:r>
      <w:r w:rsidR="006536C9" w:rsidRPr="00714401">
        <w:rPr>
          <w:rFonts w:ascii="Book Antiqua" w:hAnsi="Book Antiqua"/>
          <w:sz w:val="24"/>
          <w:szCs w:val="24"/>
          <w:lang w:val="en-US"/>
        </w:rPr>
        <w:t xml:space="preserve"> </w:t>
      </w:r>
    </w:p>
    <w:p w:rsidR="00474B95" w:rsidRPr="00714401" w:rsidRDefault="00474B95" w:rsidP="004F4F1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p>
    <w:p w:rsidR="00F90597" w:rsidRPr="00714401" w:rsidRDefault="00F90597" w:rsidP="004F4F1E">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b/>
          <w:sz w:val="24"/>
          <w:szCs w:val="24"/>
          <w:lang w:val="en-US"/>
        </w:rPr>
        <w:t xml:space="preserve">IGC </w:t>
      </w:r>
      <w:r w:rsidRPr="00714401">
        <w:rPr>
          <w:rFonts w:ascii="Book Antiqua" w:hAnsi="Book Antiqua"/>
          <w:b/>
          <w:sz w:val="24"/>
          <w:szCs w:val="24"/>
          <w:vertAlign w:val="subscript"/>
          <w:lang w:val="en-US"/>
        </w:rPr>
        <w:t>PDR</w:t>
      </w:r>
      <w:r w:rsidR="0076063F" w:rsidRPr="00714401">
        <w:rPr>
          <w:rFonts w:ascii="Book Antiqua" w:hAnsi="Book Antiqua"/>
          <w:b/>
          <w:sz w:val="24"/>
          <w:szCs w:val="24"/>
          <w:lang w:val="en-US"/>
        </w:rPr>
        <w:t xml:space="preserve"> </w:t>
      </w:r>
      <w:r w:rsidR="00D454E7" w:rsidRPr="00714401">
        <w:rPr>
          <w:rFonts w:ascii="Book Antiqua" w:hAnsi="Book Antiqua"/>
          <w:b/>
          <w:sz w:val="24"/>
          <w:szCs w:val="24"/>
          <w:lang w:val="en-US"/>
        </w:rPr>
        <w:t xml:space="preserve">- </w:t>
      </w:r>
      <w:r w:rsidR="009C3C27" w:rsidRPr="00714401">
        <w:rPr>
          <w:rFonts w:ascii="Book Antiqua" w:hAnsi="Book Antiqua"/>
          <w:b/>
          <w:sz w:val="24"/>
          <w:szCs w:val="24"/>
          <w:lang w:val="en-US"/>
        </w:rPr>
        <w:t>plasma disappearance rate</w:t>
      </w:r>
      <w:r w:rsidR="009C3C27" w:rsidRPr="00714401">
        <w:rPr>
          <w:rFonts w:ascii="Book Antiqua" w:hAnsi="Book Antiqua" w:hint="eastAsia"/>
          <w:b/>
          <w:sz w:val="24"/>
          <w:szCs w:val="24"/>
          <w:lang w:val="en-US" w:eastAsia="zh-CN"/>
        </w:rPr>
        <w:t>:</w:t>
      </w:r>
      <w:r w:rsidR="009C3C27" w:rsidRPr="00714401">
        <w:rPr>
          <w:rFonts w:ascii="Book Antiqua" w:hAnsi="Book Antiqua"/>
          <w:b/>
          <w:sz w:val="24"/>
          <w:szCs w:val="24"/>
          <w:lang w:val="en-US"/>
        </w:rPr>
        <w:t xml:space="preserve"> </w:t>
      </w:r>
      <w:r w:rsidR="009C3C27" w:rsidRPr="00714401">
        <w:rPr>
          <w:rFonts w:ascii="Book Antiqua" w:hAnsi="Book Antiqua"/>
          <w:sz w:val="24"/>
          <w:szCs w:val="24"/>
          <w:lang w:val="en-US"/>
        </w:rPr>
        <w:t>P</w:t>
      </w:r>
      <w:r w:rsidR="000667B4" w:rsidRPr="00714401">
        <w:rPr>
          <w:rFonts w:ascii="Book Antiqua" w:hAnsi="Book Antiqua"/>
          <w:sz w:val="24"/>
          <w:szCs w:val="24"/>
          <w:lang w:val="en-US"/>
        </w:rPr>
        <w:t xml:space="preserve">ercentage change </w:t>
      </w:r>
      <w:r w:rsidR="0038716E" w:rsidRPr="00714401">
        <w:rPr>
          <w:rFonts w:ascii="Book Antiqua" w:hAnsi="Book Antiqua"/>
          <w:sz w:val="24"/>
          <w:szCs w:val="24"/>
          <w:lang w:val="en-US"/>
        </w:rPr>
        <w:t xml:space="preserve">over time </w:t>
      </w:r>
      <w:r w:rsidR="00A731CA" w:rsidRPr="00714401">
        <w:rPr>
          <w:rFonts w:ascii="Book Antiqua" w:hAnsi="Book Antiqua"/>
          <w:sz w:val="24"/>
          <w:szCs w:val="24"/>
          <w:lang w:val="en-US"/>
        </w:rPr>
        <w:t xml:space="preserve">of the reduction of ICG blood concentration </w:t>
      </w:r>
      <w:r w:rsidR="000667B4" w:rsidRPr="00714401">
        <w:rPr>
          <w:rFonts w:ascii="Book Antiqua" w:hAnsi="Book Antiqua"/>
          <w:sz w:val="24"/>
          <w:szCs w:val="24"/>
          <w:lang w:val="en-US"/>
        </w:rPr>
        <w:t>starting from a concentration of</w:t>
      </w:r>
      <w:r w:rsidR="0076063F" w:rsidRPr="00714401">
        <w:rPr>
          <w:rFonts w:ascii="Book Antiqua" w:hAnsi="Book Antiqua"/>
          <w:sz w:val="24"/>
          <w:szCs w:val="24"/>
          <w:lang w:val="en-US"/>
        </w:rPr>
        <w:t xml:space="preserve"> </w:t>
      </w:r>
      <w:r w:rsidR="000667B4" w:rsidRPr="00714401">
        <w:rPr>
          <w:rFonts w:ascii="Book Antiqua" w:hAnsi="Book Antiqua"/>
          <w:sz w:val="24"/>
          <w:szCs w:val="24"/>
          <w:lang w:val="en-US"/>
        </w:rPr>
        <w:t xml:space="preserve">100% </w:t>
      </w:r>
      <w:r w:rsidRPr="00714401">
        <w:rPr>
          <w:rFonts w:ascii="Book Antiqua" w:hAnsi="Book Antiqua"/>
          <w:sz w:val="24"/>
          <w:szCs w:val="24"/>
          <w:lang w:val="en-US"/>
        </w:rPr>
        <w:t>(&gt; 1</w:t>
      </w:r>
      <w:r w:rsidR="0038716E" w:rsidRPr="00714401">
        <w:rPr>
          <w:rFonts w:ascii="Book Antiqua" w:hAnsi="Book Antiqua"/>
          <w:sz w:val="24"/>
          <w:szCs w:val="24"/>
          <w:lang w:val="en-US"/>
        </w:rPr>
        <w:t>8%</w:t>
      </w:r>
      <w:r w:rsidR="00181BA4" w:rsidRPr="00714401">
        <w:rPr>
          <w:rFonts w:ascii="Book Antiqua" w:hAnsi="Book Antiqua" w:hint="eastAsia"/>
          <w:sz w:val="24"/>
          <w:szCs w:val="24"/>
          <w:lang w:val="en-US" w:eastAsia="zh-CN"/>
        </w:rPr>
        <w:t xml:space="preserve"> per </w:t>
      </w:r>
      <w:r w:rsidR="00442CD8" w:rsidRPr="00714401">
        <w:rPr>
          <w:rFonts w:ascii="Book Antiqua" w:hAnsi="Book Antiqua"/>
          <w:sz w:val="24"/>
          <w:szCs w:val="24"/>
          <w:lang w:val="en-US"/>
        </w:rPr>
        <w:t>min</w:t>
      </w:r>
      <w:r w:rsidR="00181BA4" w:rsidRPr="00714401">
        <w:rPr>
          <w:rFonts w:ascii="Book Antiqua" w:hAnsi="Book Antiqua" w:hint="eastAsia"/>
          <w:sz w:val="24"/>
          <w:szCs w:val="24"/>
          <w:lang w:val="en-US" w:eastAsia="zh-CN"/>
        </w:rPr>
        <w:t>ute</w:t>
      </w:r>
      <w:r w:rsidR="0038716E" w:rsidRPr="00714401">
        <w:rPr>
          <w:rFonts w:ascii="Book Antiqua" w:hAnsi="Book Antiqua"/>
          <w:sz w:val="24"/>
          <w:szCs w:val="24"/>
          <w:lang w:val="en-US"/>
        </w:rPr>
        <w:t xml:space="preserve">). </w:t>
      </w:r>
      <w:r w:rsidR="002C09BC" w:rsidRPr="00714401">
        <w:rPr>
          <w:rFonts w:ascii="Book Antiqua" w:hAnsi="Book Antiqua"/>
          <w:sz w:val="24"/>
          <w:szCs w:val="24"/>
          <w:lang w:val="en-US"/>
        </w:rPr>
        <w:t xml:space="preserve">PDR is automatically calculated according to the time course of the ICG blood concentration using </w:t>
      </w:r>
      <w:proofErr w:type="spellStart"/>
      <w:r w:rsidR="002C09BC" w:rsidRPr="00714401">
        <w:rPr>
          <w:rFonts w:ascii="Book Antiqua" w:hAnsi="Book Antiqua"/>
          <w:sz w:val="24"/>
          <w:szCs w:val="24"/>
          <w:lang w:val="en-US"/>
        </w:rPr>
        <w:t>monoexponential</w:t>
      </w:r>
      <w:proofErr w:type="spellEnd"/>
      <w:r w:rsidR="002C09BC" w:rsidRPr="00714401">
        <w:rPr>
          <w:rFonts w:ascii="Book Antiqua" w:hAnsi="Book Antiqua"/>
          <w:sz w:val="24"/>
          <w:szCs w:val="24"/>
          <w:lang w:val="en-US"/>
        </w:rPr>
        <w:t xml:space="preserve"> transformation of the original ICG concentration curve and backward e</w:t>
      </w:r>
      <w:r w:rsidR="000667B4" w:rsidRPr="00714401">
        <w:rPr>
          <w:rFonts w:ascii="Book Antiqua" w:hAnsi="Book Antiqua"/>
          <w:sz w:val="24"/>
          <w:szCs w:val="24"/>
          <w:lang w:val="en-US"/>
        </w:rPr>
        <w:t xml:space="preserve">xtrapolation to time point zero. In the critically ill, </w:t>
      </w:r>
      <w:r w:rsidR="00F63D92" w:rsidRPr="00714401">
        <w:rPr>
          <w:rFonts w:ascii="Book Antiqua" w:hAnsi="Book Antiqua"/>
          <w:sz w:val="24"/>
          <w:szCs w:val="24"/>
          <w:lang w:val="en-US"/>
        </w:rPr>
        <w:t>PDR is an accepted surrogate for clearance,</w:t>
      </w:r>
      <w:r w:rsidR="0076063F" w:rsidRPr="00714401">
        <w:rPr>
          <w:rFonts w:ascii="Book Antiqua" w:hAnsi="Book Antiqua"/>
          <w:sz w:val="24"/>
          <w:szCs w:val="24"/>
          <w:lang w:val="en-US"/>
        </w:rPr>
        <w:t xml:space="preserve"> </w:t>
      </w:r>
      <w:r w:rsidR="00F63D92" w:rsidRPr="00714401">
        <w:rPr>
          <w:rFonts w:ascii="Book Antiqua" w:hAnsi="Book Antiqua"/>
          <w:sz w:val="24"/>
          <w:szCs w:val="24"/>
          <w:lang w:val="en-US"/>
        </w:rPr>
        <w:t xml:space="preserve">due to </w:t>
      </w:r>
      <w:r w:rsidR="000667B4" w:rsidRPr="00714401">
        <w:rPr>
          <w:rFonts w:ascii="Book Antiqua" w:hAnsi="Book Antiqua"/>
          <w:sz w:val="24"/>
          <w:szCs w:val="24"/>
          <w:lang w:val="en-US"/>
        </w:rPr>
        <w:t>t</w:t>
      </w:r>
      <w:r w:rsidR="0038716E" w:rsidRPr="00714401">
        <w:rPr>
          <w:rFonts w:ascii="Book Antiqua" w:hAnsi="Book Antiqua"/>
          <w:sz w:val="24"/>
          <w:szCs w:val="24"/>
          <w:lang w:val="en-US"/>
        </w:rPr>
        <w:t>he good</w:t>
      </w:r>
      <w:r w:rsidR="0076063F" w:rsidRPr="00714401">
        <w:rPr>
          <w:rFonts w:ascii="Book Antiqua" w:hAnsi="Book Antiqua"/>
          <w:sz w:val="24"/>
          <w:szCs w:val="24"/>
          <w:lang w:val="en-US"/>
        </w:rPr>
        <w:t xml:space="preserve"> </w:t>
      </w:r>
      <w:r w:rsidRPr="00714401">
        <w:rPr>
          <w:rFonts w:ascii="Book Antiqua" w:hAnsi="Book Antiqua"/>
          <w:sz w:val="24"/>
          <w:szCs w:val="24"/>
          <w:lang w:val="en-US"/>
        </w:rPr>
        <w:t xml:space="preserve">correlation with </w:t>
      </w:r>
      <w:proofErr w:type="spellStart"/>
      <w:r w:rsidRPr="00714401">
        <w:rPr>
          <w:rFonts w:ascii="Book Antiqua" w:hAnsi="Book Antiqua"/>
          <w:sz w:val="24"/>
          <w:szCs w:val="24"/>
          <w:lang w:val="en-US"/>
        </w:rPr>
        <w:t>ICG</w:t>
      </w:r>
      <w:r w:rsidRPr="00714401">
        <w:rPr>
          <w:rFonts w:ascii="Book Antiqua" w:hAnsi="Book Antiqua"/>
          <w:sz w:val="24"/>
          <w:szCs w:val="24"/>
          <w:vertAlign w:val="subscript"/>
          <w:lang w:val="en-US"/>
        </w:rPr>
        <w:t>Cl</w:t>
      </w:r>
      <w:proofErr w:type="spellEnd"/>
      <w:r w:rsidR="00442CD8" w:rsidRPr="00714401">
        <w:rPr>
          <w:rFonts w:ascii="Book Antiqua" w:hAnsi="Book Antiqua"/>
          <w:sz w:val="24"/>
          <w:szCs w:val="24"/>
          <w:lang w:val="en-US"/>
        </w:rPr>
        <w:t xml:space="preserve"> </w:t>
      </w:r>
      <w:r w:rsidR="000667B4" w:rsidRPr="00714401">
        <w:rPr>
          <w:rFonts w:ascii="Book Antiqua" w:hAnsi="Book Antiqua"/>
          <w:sz w:val="24"/>
          <w:szCs w:val="24"/>
          <w:lang w:val="en-US"/>
        </w:rPr>
        <w:t>(r</w:t>
      </w:r>
      <w:r w:rsidR="000667B4" w:rsidRPr="00714401">
        <w:rPr>
          <w:rFonts w:ascii="Book Antiqua" w:hAnsi="Book Antiqua"/>
          <w:sz w:val="24"/>
          <w:szCs w:val="24"/>
          <w:vertAlign w:val="superscript"/>
          <w:lang w:val="en-US"/>
        </w:rPr>
        <w:t>2</w:t>
      </w:r>
      <w:r w:rsidR="009C3C27" w:rsidRPr="00714401">
        <w:rPr>
          <w:rFonts w:ascii="Book Antiqua" w:hAnsi="Book Antiqua"/>
          <w:sz w:val="24"/>
          <w:szCs w:val="24"/>
          <w:lang w:val="en-US"/>
        </w:rPr>
        <w:t xml:space="preserve"> = 0.77)</w:t>
      </w:r>
      <w:r w:rsidR="009C6C3D" w:rsidRPr="00714401">
        <w:rPr>
          <w:rFonts w:ascii="Book Antiqua" w:hAnsi="Book Antiqua"/>
          <w:sz w:val="24"/>
          <w:szCs w:val="24"/>
          <w:vertAlign w:val="superscript"/>
          <w:lang w:val="en-US"/>
        </w:rPr>
        <w:t>[</w:t>
      </w:r>
      <w:r w:rsidR="007B2CE9" w:rsidRPr="00714401">
        <w:rPr>
          <w:rFonts w:ascii="Book Antiqua" w:hAnsi="Book Antiqua"/>
          <w:sz w:val="24"/>
          <w:szCs w:val="24"/>
          <w:vertAlign w:val="superscript"/>
          <w:lang w:val="en-US"/>
        </w:rPr>
        <w:t>2</w:t>
      </w:r>
      <w:r w:rsidR="009C6C3D" w:rsidRPr="00714401">
        <w:rPr>
          <w:rFonts w:ascii="Book Antiqua" w:hAnsi="Book Antiqua"/>
          <w:sz w:val="24"/>
          <w:szCs w:val="24"/>
          <w:vertAlign w:val="superscript"/>
          <w:lang w:val="en-US"/>
        </w:rPr>
        <w:t>]</w:t>
      </w:r>
      <w:r w:rsidR="00EA7E5D" w:rsidRPr="00714401">
        <w:rPr>
          <w:rFonts w:ascii="Book Antiqua" w:hAnsi="Book Antiqua" w:hint="eastAsia"/>
          <w:sz w:val="24"/>
          <w:szCs w:val="24"/>
          <w:lang w:val="en-US" w:eastAsia="zh-CN"/>
        </w:rPr>
        <w:t>.</w:t>
      </w:r>
    </w:p>
    <w:p w:rsidR="009C3C27" w:rsidRPr="00714401" w:rsidRDefault="009C3C27" w:rsidP="004F4F1E">
      <w:pPr>
        <w:autoSpaceDE w:val="0"/>
        <w:autoSpaceDN w:val="0"/>
        <w:adjustRightInd w:val="0"/>
        <w:snapToGrid w:val="0"/>
        <w:spacing w:after="0" w:line="360" w:lineRule="auto"/>
        <w:jc w:val="both"/>
        <w:rPr>
          <w:rFonts w:ascii="Book Antiqua" w:eastAsia="Arial Unicode MS" w:hAnsi="Book Antiqua" w:cs="Arial Unicode MS"/>
          <w:b/>
          <w:sz w:val="24"/>
          <w:szCs w:val="24"/>
          <w:lang w:val="en-US" w:eastAsia="zh-CN"/>
        </w:rPr>
      </w:pPr>
    </w:p>
    <w:p w:rsidR="00592472" w:rsidRPr="00F24625" w:rsidRDefault="00F90597" w:rsidP="004F4F1E">
      <w:pPr>
        <w:autoSpaceDE w:val="0"/>
        <w:autoSpaceDN w:val="0"/>
        <w:adjustRightInd w:val="0"/>
        <w:snapToGrid w:val="0"/>
        <w:spacing w:after="0" w:line="360" w:lineRule="auto"/>
        <w:jc w:val="both"/>
        <w:rPr>
          <w:rFonts w:ascii="Book Antiqua" w:hAnsi="Book Antiqua"/>
          <w:sz w:val="24"/>
          <w:szCs w:val="24"/>
          <w:lang w:val="sv-SE"/>
        </w:rPr>
      </w:pPr>
      <w:r w:rsidRPr="00F24625">
        <w:rPr>
          <w:rFonts w:ascii="Book Antiqua" w:hAnsi="Book Antiqua"/>
          <w:i/>
          <w:sz w:val="24"/>
          <w:szCs w:val="24"/>
          <w:lang w:val="sv-SE"/>
        </w:rPr>
        <w:t xml:space="preserve"> </w:t>
      </w:r>
      <w:r w:rsidRPr="00F24625">
        <w:rPr>
          <w:rFonts w:ascii="Book Antiqua" w:hAnsi="Book Antiqua"/>
          <w:sz w:val="24"/>
          <w:szCs w:val="24"/>
          <w:lang w:val="sv-SE"/>
        </w:rPr>
        <w:t>PD</w:t>
      </w:r>
      <w:r w:rsidR="00442CD8" w:rsidRPr="00F24625">
        <w:rPr>
          <w:rFonts w:ascii="Book Antiqua" w:hAnsi="Book Antiqua"/>
          <w:sz w:val="24"/>
          <w:szCs w:val="24"/>
          <w:lang w:val="sv-SE"/>
        </w:rPr>
        <w:t xml:space="preserve">R (% </w:t>
      </w:r>
      <w:r w:rsidR="00EA7E5D" w:rsidRPr="00F24625">
        <w:rPr>
          <w:rFonts w:ascii="Book Antiqua" w:hAnsi="Book Antiqua" w:hint="eastAsia"/>
          <w:sz w:val="24"/>
          <w:szCs w:val="24"/>
          <w:lang w:val="sv-SE" w:eastAsia="zh-CN"/>
        </w:rPr>
        <w:t>per minute</w:t>
      </w:r>
      <w:r w:rsidR="00F24625">
        <w:rPr>
          <w:rFonts w:ascii="Book Antiqua" w:hAnsi="Book Antiqua"/>
          <w:sz w:val="24"/>
          <w:szCs w:val="24"/>
          <w:lang w:val="sv-SE"/>
        </w:rPr>
        <w:t>) = ln 2/</w:t>
      </w:r>
      <w:r w:rsidRPr="00F24625">
        <w:rPr>
          <w:rFonts w:ascii="Book Antiqua" w:hAnsi="Book Antiqua"/>
          <w:sz w:val="24"/>
          <w:szCs w:val="24"/>
          <w:lang w:val="sv-SE"/>
        </w:rPr>
        <w:t xml:space="preserve">t </w:t>
      </w:r>
      <w:r w:rsidRPr="00F24625">
        <w:rPr>
          <w:rFonts w:ascii="Book Antiqua" w:hAnsi="Book Antiqua"/>
          <w:sz w:val="24"/>
          <w:szCs w:val="24"/>
          <w:vertAlign w:val="subscript"/>
          <w:lang w:val="sv-SE"/>
        </w:rPr>
        <w:t>½</w:t>
      </w:r>
      <w:r w:rsidRPr="00F24625">
        <w:rPr>
          <w:rFonts w:ascii="Book Antiqua" w:hAnsi="Book Antiqua"/>
          <w:sz w:val="24"/>
          <w:szCs w:val="24"/>
          <w:lang w:val="sv-SE"/>
        </w:rPr>
        <w:t xml:space="preserve"> </w:t>
      </w:r>
      <w:r w:rsidR="009C3C27" w:rsidRPr="00F24625">
        <w:rPr>
          <w:rFonts w:ascii="Book Antiqua" w:hAnsi="Book Antiqua" w:cs="Times New Roman"/>
          <w:sz w:val="24"/>
          <w:szCs w:val="24"/>
        </w:rPr>
        <w:t>×</w:t>
      </w:r>
      <w:r w:rsidR="00442CD8" w:rsidRPr="00F24625">
        <w:rPr>
          <w:rFonts w:ascii="Book Antiqua" w:hAnsi="Book Antiqua"/>
          <w:sz w:val="24"/>
          <w:szCs w:val="24"/>
          <w:lang w:val="sv-SE"/>
        </w:rPr>
        <w:t xml:space="preserve"> </w:t>
      </w:r>
      <w:r w:rsidRPr="00F24625">
        <w:rPr>
          <w:rFonts w:ascii="Book Antiqua" w:hAnsi="Book Antiqua"/>
          <w:sz w:val="24"/>
          <w:szCs w:val="24"/>
          <w:lang w:val="sv-SE"/>
        </w:rPr>
        <w:t>100</w:t>
      </w:r>
      <w:r w:rsidR="0076063F" w:rsidRPr="00F24625">
        <w:rPr>
          <w:rFonts w:ascii="Book Antiqua" w:hAnsi="Book Antiqua"/>
          <w:sz w:val="24"/>
          <w:szCs w:val="24"/>
          <w:lang w:val="sv-SE"/>
        </w:rPr>
        <w:t xml:space="preserve"> </w:t>
      </w:r>
      <w:r w:rsidR="00592472" w:rsidRPr="00F24625">
        <w:rPr>
          <w:rFonts w:ascii="Book Antiqua" w:hAnsi="Book Antiqua"/>
          <w:sz w:val="24"/>
          <w:szCs w:val="24"/>
          <w:lang w:val="sv-SE"/>
        </w:rPr>
        <w:t>or</w:t>
      </w:r>
      <w:r w:rsidR="0076063F" w:rsidRPr="00F24625">
        <w:rPr>
          <w:rFonts w:ascii="Book Antiqua" w:hAnsi="Book Antiqua"/>
          <w:sz w:val="24"/>
          <w:szCs w:val="24"/>
          <w:lang w:val="sv-SE"/>
        </w:rPr>
        <w:t xml:space="preserve"> </w:t>
      </w:r>
      <w:r w:rsidR="00592472" w:rsidRPr="00F24625">
        <w:rPr>
          <w:rFonts w:ascii="Book Antiqua" w:hAnsi="Book Antiqua"/>
          <w:sz w:val="24"/>
          <w:szCs w:val="24"/>
          <w:lang w:val="sv-SE"/>
        </w:rPr>
        <w:t xml:space="preserve">C </w:t>
      </w:r>
      <w:r w:rsidR="00592472" w:rsidRPr="00F24625">
        <w:rPr>
          <w:rFonts w:ascii="Book Antiqua" w:hAnsi="Book Antiqua"/>
          <w:sz w:val="24"/>
          <w:szCs w:val="24"/>
          <w:vertAlign w:val="subscript"/>
          <w:lang w:val="sv-SE"/>
        </w:rPr>
        <w:t>ICG</w:t>
      </w:r>
      <w:r w:rsidR="00592472" w:rsidRPr="00F24625">
        <w:rPr>
          <w:rFonts w:ascii="Book Antiqua" w:hAnsi="Book Antiqua"/>
          <w:sz w:val="24"/>
          <w:szCs w:val="24"/>
          <w:lang w:val="sv-SE"/>
        </w:rPr>
        <w:t xml:space="preserve"> (t) = C 0 </w:t>
      </w:r>
      <w:r w:rsidR="009C3C27" w:rsidRPr="00F24625">
        <w:rPr>
          <w:rFonts w:ascii="Book Antiqua" w:hAnsi="Book Antiqua" w:cs="Times New Roman"/>
          <w:sz w:val="24"/>
          <w:szCs w:val="24"/>
        </w:rPr>
        <w:t>×</w:t>
      </w:r>
      <w:r w:rsidR="00592472" w:rsidRPr="00F24625">
        <w:rPr>
          <w:rFonts w:ascii="Book Antiqua" w:hAnsi="Book Antiqua"/>
          <w:sz w:val="24"/>
          <w:szCs w:val="24"/>
          <w:lang w:val="sv-SE"/>
        </w:rPr>
        <w:t xml:space="preserve"> e</w:t>
      </w:r>
      <w:r w:rsidR="00592472" w:rsidRPr="00F24625">
        <w:rPr>
          <w:rFonts w:ascii="Book Antiqua" w:hAnsi="Book Antiqua"/>
          <w:sz w:val="24"/>
          <w:szCs w:val="24"/>
          <w:vertAlign w:val="superscript"/>
          <w:lang w:val="sv-SE"/>
        </w:rPr>
        <w:t>-kxt</w:t>
      </w:r>
    </w:p>
    <w:p w:rsidR="00F63D92" w:rsidRPr="00714401" w:rsidRDefault="00F63D92" w:rsidP="004F4F1E">
      <w:pPr>
        <w:autoSpaceDE w:val="0"/>
        <w:autoSpaceDN w:val="0"/>
        <w:adjustRightInd w:val="0"/>
        <w:snapToGrid w:val="0"/>
        <w:spacing w:after="0" w:line="360" w:lineRule="auto"/>
        <w:jc w:val="both"/>
        <w:rPr>
          <w:rFonts w:ascii="Book Antiqua" w:hAnsi="Book Antiqua"/>
          <w:b/>
          <w:sz w:val="24"/>
          <w:szCs w:val="24"/>
          <w:lang w:val="sv-SE"/>
        </w:rPr>
      </w:pPr>
    </w:p>
    <w:p w:rsidR="00F90597" w:rsidRPr="00714401" w:rsidRDefault="00F90597" w:rsidP="004F4F1E">
      <w:pPr>
        <w:autoSpaceDE w:val="0"/>
        <w:autoSpaceDN w:val="0"/>
        <w:adjustRightInd w:val="0"/>
        <w:snapToGrid w:val="0"/>
        <w:spacing w:after="0" w:line="360" w:lineRule="auto"/>
        <w:jc w:val="both"/>
        <w:rPr>
          <w:rFonts w:ascii="Book Antiqua" w:eastAsia="Arial Unicode MS" w:hAnsi="Book Antiqua" w:cs="Arial Unicode MS"/>
          <w:b/>
          <w:sz w:val="24"/>
          <w:szCs w:val="24"/>
          <w:lang w:val="en-US"/>
        </w:rPr>
      </w:pPr>
      <w:r w:rsidRPr="00714401">
        <w:rPr>
          <w:rFonts w:ascii="Book Antiqua" w:hAnsi="Book Antiqua"/>
          <w:b/>
          <w:sz w:val="24"/>
          <w:szCs w:val="24"/>
          <w:lang w:val="en-US"/>
        </w:rPr>
        <w:t xml:space="preserve">ICG </w:t>
      </w:r>
      <w:r w:rsidRPr="00714401">
        <w:rPr>
          <w:rFonts w:ascii="Book Antiqua" w:hAnsi="Book Antiqua"/>
          <w:b/>
          <w:sz w:val="24"/>
          <w:szCs w:val="24"/>
          <w:vertAlign w:val="subscript"/>
          <w:lang w:val="en-US"/>
        </w:rPr>
        <w:t>R15</w:t>
      </w:r>
      <w:r w:rsidR="0076063F" w:rsidRPr="00714401">
        <w:rPr>
          <w:rFonts w:ascii="Book Antiqua" w:hAnsi="Book Antiqua"/>
          <w:b/>
          <w:sz w:val="24"/>
          <w:szCs w:val="24"/>
          <w:lang w:val="en-US"/>
        </w:rPr>
        <w:t xml:space="preserve"> </w:t>
      </w:r>
      <w:r w:rsidR="00D454E7" w:rsidRPr="00714401">
        <w:rPr>
          <w:rFonts w:ascii="Book Antiqua" w:hAnsi="Book Antiqua"/>
          <w:b/>
          <w:sz w:val="24"/>
          <w:szCs w:val="24"/>
          <w:lang w:val="en-US"/>
        </w:rPr>
        <w:t xml:space="preserve">- </w:t>
      </w:r>
      <w:r w:rsidR="009C3C27" w:rsidRPr="00714401">
        <w:rPr>
          <w:rFonts w:ascii="Book Antiqua" w:hAnsi="Book Antiqua"/>
          <w:b/>
          <w:sz w:val="24"/>
          <w:szCs w:val="24"/>
          <w:lang w:val="en-US"/>
        </w:rPr>
        <w:t>r</w:t>
      </w:r>
      <w:r w:rsidR="00D454E7" w:rsidRPr="00714401">
        <w:rPr>
          <w:rFonts w:ascii="Book Antiqua" w:hAnsi="Book Antiqua"/>
          <w:b/>
          <w:sz w:val="24"/>
          <w:szCs w:val="24"/>
          <w:lang w:val="en-US"/>
        </w:rPr>
        <w:t>etention ratio</w:t>
      </w:r>
      <w:r w:rsidR="0076063F" w:rsidRPr="00714401">
        <w:rPr>
          <w:rFonts w:ascii="Book Antiqua" w:hAnsi="Book Antiqua"/>
          <w:b/>
          <w:sz w:val="24"/>
          <w:szCs w:val="24"/>
          <w:lang w:val="en-US"/>
        </w:rPr>
        <w:t xml:space="preserve"> </w:t>
      </w:r>
      <w:r w:rsidRPr="00714401">
        <w:rPr>
          <w:rFonts w:ascii="Book Antiqua" w:hAnsi="Book Antiqua"/>
          <w:b/>
          <w:sz w:val="24"/>
          <w:szCs w:val="24"/>
          <w:lang w:val="en-US"/>
        </w:rPr>
        <w:t>a</w:t>
      </w:r>
      <w:r w:rsidR="00133B37" w:rsidRPr="00714401">
        <w:rPr>
          <w:rFonts w:ascii="Book Antiqua" w:hAnsi="Book Antiqua"/>
          <w:b/>
          <w:sz w:val="24"/>
          <w:szCs w:val="24"/>
          <w:lang w:val="en-US"/>
        </w:rPr>
        <w:t>fter</w:t>
      </w:r>
      <w:r w:rsidR="0076063F" w:rsidRPr="00714401">
        <w:rPr>
          <w:rFonts w:ascii="Book Antiqua" w:hAnsi="Book Antiqua"/>
          <w:b/>
          <w:sz w:val="24"/>
          <w:szCs w:val="24"/>
          <w:lang w:val="en-US"/>
        </w:rPr>
        <w:t xml:space="preserve"> </w:t>
      </w:r>
      <w:r w:rsidRPr="00714401">
        <w:rPr>
          <w:rFonts w:ascii="Book Antiqua" w:hAnsi="Book Antiqua"/>
          <w:b/>
          <w:sz w:val="24"/>
          <w:szCs w:val="24"/>
          <w:lang w:val="en-US"/>
        </w:rPr>
        <w:t>15 min</w:t>
      </w:r>
      <w:r w:rsidR="009C3C27" w:rsidRPr="00714401">
        <w:rPr>
          <w:rFonts w:ascii="Book Antiqua" w:hAnsi="Book Antiqua" w:hint="eastAsia"/>
          <w:b/>
          <w:sz w:val="24"/>
          <w:szCs w:val="24"/>
          <w:lang w:val="en-US" w:eastAsia="zh-CN"/>
        </w:rPr>
        <w:t>:</w:t>
      </w:r>
      <w:r w:rsidRPr="00714401">
        <w:rPr>
          <w:rFonts w:ascii="Book Antiqua" w:hAnsi="Book Antiqua"/>
          <w:b/>
          <w:sz w:val="24"/>
          <w:szCs w:val="24"/>
          <w:lang w:val="en-US"/>
        </w:rPr>
        <w:t xml:space="preserve"> </w:t>
      </w:r>
      <w:r w:rsidR="009C3C27" w:rsidRPr="00714401">
        <w:rPr>
          <w:rFonts w:ascii="Book Antiqua" w:hAnsi="Book Antiqua"/>
          <w:sz w:val="24"/>
          <w:szCs w:val="24"/>
          <w:lang w:val="en-US"/>
        </w:rPr>
        <w:t>T</w:t>
      </w:r>
      <w:r w:rsidRPr="00714401">
        <w:rPr>
          <w:rFonts w:ascii="Book Antiqua" w:hAnsi="Book Antiqua"/>
          <w:sz w:val="24"/>
          <w:szCs w:val="24"/>
          <w:lang w:val="en-US"/>
        </w:rPr>
        <w:t>he r</w:t>
      </w:r>
      <w:r w:rsidR="00885342" w:rsidRPr="00714401">
        <w:rPr>
          <w:rFonts w:ascii="Book Antiqua" w:hAnsi="Book Antiqua"/>
          <w:sz w:val="24"/>
          <w:szCs w:val="24"/>
          <w:lang w:val="en-US"/>
        </w:rPr>
        <w:t xml:space="preserve">atio </w:t>
      </w:r>
      <w:r w:rsidRPr="00714401">
        <w:rPr>
          <w:rFonts w:ascii="Book Antiqua" w:hAnsi="Book Antiqua"/>
          <w:sz w:val="24"/>
          <w:szCs w:val="24"/>
          <w:lang w:val="en-US"/>
        </w:rPr>
        <w:t xml:space="preserve">between </w:t>
      </w:r>
      <w:r w:rsidR="006E1182" w:rsidRPr="00714401">
        <w:rPr>
          <w:rFonts w:ascii="Book Antiqua" w:hAnsi="Book Antiqua"/>
          <w:sz w:val="24"/>
          <w:szCs w:val="24"/>
          <w:lang w:val="en-US"/>
        </w:rPr>
        <w:t xml:space="preserve">ICG </w:t>
      </w:r>
      <w:r w:rsidRPr="00714401">
        <w:rPr>
          <w:rFonts w:ascii="Book Antiqua" w:hAnsi="Book Antiqua"/>
          <w:sz w:val="24"/>
          <w:szCs w:val="24"/>
          <w:lang w:val="en-US"/>
        </w:rPr>
        <w:t xml:space="preserve">concentration 15 min </w:t>
      </w:r>
      <w:r w:rsidR="0038716E" w:rsidRPr="00714401">
        <w:rPr>
          <w:rFonts w:ascii="Book Antiqua" w:hAnsi="Book Antiqua"/>
          <w:sz w:val="24"/>
          <w:szCs w:val="24"/>
          <w:lang w:val="en-US"/>
        </w:rPr>
        <w:t xml:space="preserve">after injection </w:t>
      </w:r>
      <w:r w:rsidRPr="00714401">
        <w:rPr>
          <w:rFonts w:ascii="Book Antiqua" w:hAnsi="Book Antiqua"/>
          <w:sz w:val="24"/>
          <w:szCs w:val="24"/>
          <w:lang w:val="en-US"/>
        </w:rPr>
        <w:t>and initial concentration</w:t>
      </w:r>
      <w:r w:rsidR="0076063F" w:rsidRPr="00714401">
        <w:rPr>
          <w:rFonts w:ascii="Book Antiqua" w:hAnsi="Book Antiqua"/>
          <w:sz w:val="24"/>
          <w:szCs w:val="24"/>
          <w:lang w:val="en-US"/>
        </w:rPr>
        <w:t xml:space="preserve"> </w:t>
      </w:r>
      <w:r w:rsidRPr="00714401">
        <w:rPr>
          <w:rFonts w:ascii="Book Antiqua" w:hAnsi="Book Antiqua"/>
          <w:sz w:val="24"/>
          <w:szCs w:val="24"/>
          <w:lang w:val="en-US"/>
        </w:rPr>
        <w:t>(normal</w:t>
      </w:r>
      <w:r w:rsidR="0076063F" w:rsidRPr="00714401">
        <w:rPr>
          <w:rFonts w:ascii="Book Antiqua" w:hAnsi="Book Antiqua"/>
          <w:sz w:val="24"/>
          <w:szCs w:val="24"/>
          <w:lang w:val="en-US"/>
        </w:rPr>
        <w:t xml:space="preserve"> </w:t>
      </w:r>
      <w:r w:rsidR="00885342" w:rsidRPr="00714401">
        <w:rPr>
          <w:rFonts w:ascii="Book Antiqua" w:hAnsi="Book Antiqua"/>
          <w:sz w:val="24"/>
          <w:szCs w:val="24"/>
          <w:lang w:val="en-US"/>
        </w:rPr>
        <w:t>0</w:t>
      </w:r>
      <w:r w:rsidR="009C3C27" w:rsidRPr="00714401">
        <w:rPr>
          <w:rFonts w:ascii="Book Antiqua" w:hAnsi="Book Antiqua" w:hint="eastAsia"/>
          <w:sz w:val="24"/>
          <w:szCs w:val="24"/>
          <w:lang w:val="en-US" w:eastAsia="zh-CN"/>
        </w:rPr>
        <w:t>%-</w:t>
      </w:r>
      <w:r w:rsidRPr="00714401">
        <w:rPr>
          <w:rFonts w:ascii="Book Antiqua" w:hAnsi="Book Antiqua"/>
          <w:sz w:val="24"/>
          <w:szCs w:val="24"/>
          <w:lang w:val="en-US"/>
        </w:rPr>
        <w:t xml:space="preserve">10%) </w:t>
      </w:r>
    </w:p>
    <w:p w:rsidR="00FE3A32" w:rsidRPr="00F24625" w:rsidRDefault="00F90597" w:rsidP="004F4F1E">
      <w:pPr>
        <w:tabs>
          <w:tab w:val="center" w:pos="5173"/>
        </w:tabs>
        <w:autoSpaceDE w:val="0"/>
        <w:autoSpaceDN w:val="0"/>
        <w:adjustRightInd w:val="0"/>
        <w:snapToGrid w:val="0"/>
        <w:spacing w:after="0" w:line="360" w:lineRule="auto"/>
        <w:jc w:val="both"/>
        <w:rPr>
          <w:rFonts w:ascii="Book Antiqua" w:hAnsi="Book Antiqua"/>
          <w:sz w:val="24"/>
          <w:szCs w:val="24"/>
          <w:lang w:val="sv-SE"/>
        </w:rPr>
      </w:pPr>
      <w:r w:rsidRPr="00F24625">
        <w:rPr>
          <w:rFonts w:ascii="Book Antiqua" w:hAnsi="Book Antiqua"/>
          <w:i/>
          <w:sz w:val="24"/>
          <w:szCs w:val="24"/>
          <w:lang w:val="sv-SE"/>
        </w:rPr>
        <w:t xml:space="preserve"> </w:t>
      </w:r>
      <w:r w:rsidRPr="00F24625">
        <w:rPr>
          <w:rFonts w:ascii="Book Antiqua" w:hAnsi="Book Antiqua"/>
          <w:sz w:val="24"/>
          <w:szCs w:val="24"/>
          <w:lang w:val="sv-SE"/>
        </w:rPr>
        <w:t xml:space="preserve">R15 (%) = C </w:t>
      </w:r>
      <w:r w:rsidRPr="00F24625">
        <w:rPr>
          <w:rFonts w:ascii="Book Antiqua" w:hAnsi="Book Antiqua"/>
          <w:sz w:val="24"/>
          <w:szCs w:val="24"/>
          <w:vertAlign w:val="subscript"/>
          <w:lang w:val="sv-SE"/>
        </w:rPr>
        <w:t>ICG15</w:t>
      </w:r>
      <w:r w:rsidR="00F24625">
        <w:rPr>
          <w:rFonts w:ascii="Book Antiqua" w:hAnsi="Book Antiqua"/>
          <w:sz w:val="24"/>
          <w:szCs w:val="24"/>
          <w:lang w:val="sv-SE"/>
        </w:rPr>
        <w:t>/</w:t>
      </w:r>
      <w:r w:rsidRPr="00F24625">
        <w:rPr>
          <w:rFonts w:ascii="Book Antiqua" w:hAnsi="Book Antiqua"/>
          <w:sz w:val="24"/>
          <w:szCs w:val="24"/>
          <w:lang w:val="sv-SE"/>
        </w:rPr>
        <w:t xml:space="preserve">C </w:t>
      </w:r>
      <w:r w:rsidRPr="00F24625">
        <w:rPr>
          <w:rFonts w:ascii="Book Antiqua" w:hAnsi="Book Antiqua"/>
          <w:sz w:val="24"/>
          <w:szCs w:val="24"/>
          <w:vertAlign w:val="subscript"/>
          <w:lang w:val="sv-SE"/>
        </w:rPr>
        <w:t>ICG T0</w:t>
      </w:r>
      <w:r w:rsidRPr="00F24625">
        <w:rPr>
          <w:rFonts w:ascii="Book Antiqua" w:hAnsi="Book Antiqua"/>
          <w:sz w:val="24"/>
          <w:szCs w:val="24"/>
          <w:lang w:val="sv-SE"/>
        </w:rPr>
        <w:t xml:space="preserve"> </w:t>
      </w:r>
      <w:r w:rsidR="009C3C27" w:rsidRPr="00F24625">
        <w:rPr>
          <w:rFonts w:ascii="Book Antiqua" w:hAnsi="Book Antiqua" w:cs="Times New Roman"/>
          <w:sz w:val="24"/>
          <w:szCs w:val="24"/>
        </w:rPr>
        <w:t>×</w:t>
      </w:r>
      <w:r w:rsidRPr="00F24625">
        <w:rPr>
          <w:rFonts w:ascii="Book Antiqua" w:hAnsi="Book Antiqua"/>
          <w:sz w:val="24"/>
          <w:szCs w:val="24"/>
          <w:lang w:val="sv-SE"/>
        </w:rPr>
        <w:t xml:space="preserve"> 100</w:t>
      </w:r>
      <w:r w:rsidR="0076063F" w:rsidRPr="00F24625">
        <w:rPr>
          <w:rFonts w:ascii="Book Antiqua" w:hAnsi="Book Antiqua"/>
          <w:sz w:val="24"/>
          <w:szCs w:val="24"/>
          <w:lang w:val="sv-SE"/>
        </w:rPr>
        <w:t xml:space="preserve"> </w:t>
      </w:r>
    </w:p>
    <w:p w:rsidR="00E7384D" w:rsidRPr="00714401" w:rsidRDefault="00E21711" w:rsidP="009C3C27">
      <w:pPr>
        <w:autoSpaceDE w:val="0"/>
        <w:autoSpaceDN w:val="0"/>
        <w:adjustRightInd w:val="0"/>
        <w:snapToGrid w:val="0"/>
        <w:spacing w:after="0" w:line="360" w:lineRule="auto"/>
        <w:ind w:firstLineChars="100" w:firstLine="240"/>
        <w:jc w:val="both"/>
        <w:rPr>
          <w:rFonts w:ascii="Book Antiqua" w:hAnsi="Book Antiqua"/>
          <w:sz w:val="24"/>
          <w:szCs w:val="24"/>
          <w:lang w:val="sv-SE" w:eastAsia="zh-CN"/>
        </w:rPr>
      </w:pPr>
      <w:r w:rsidRPr="00714401">
        <w:rPr>
          <w:rFonts w:ascii="Book Antiqua" w:hAnsi="Book Antiqua"/>
          <w:sz w:val="24"/>
          <w:szCs w:val="24"/>
          <w:lang w:val="sv-SE"/>
        </w:rPr>
        <w:t>An initial ICG plasma concentration of 100 m</w:t>
      </w:r>
      <w:r w:rsidR="009C3C27" w:rsidRPr="00714401">
        <w:rPr>
          <w:rFonts w:ascii="Book Antiqua" w:hAnsi="Book Antiqua" w:hint="eastAsia"/>
          <w:sz w:val="24"/>
          <w:szCs w:val="24"/>
          <w:lang w:val="sv-SE" w:eastAsia="zh-CN"/>
        </w:rPr>
        <w:t>g/</w:t>
      </w:r>
      <w:r w:rsidRPr="00714401">
        <w:rPr>
          <w:rFonts w:ascii="Book Antiqua" w:hAnsi="Book Antiqua"/>
          <w:sz w:val="24"/>
          <w:szCs w:val="24"/>
          <w:lang w:val="sv-SE"/>
        </w:rPr>
        <w:t>m</w:t>
      </w:r>
      <w:r w:rsidR="009C3C27" w:rsidRPr="00714401">
        <w:rPr>
          <w:rFonts w:ascii="Book Antiqua" w:hAnsi="Book Antiqua"/>
          <w:sz w:val="24"/>
          <w:szCs w:val="24"/>
          <w:lang w:val="sv-SE"/>
        </w:rPr>
        <w:t>L</w:t>
      </w:r>
      <w:r w:rsidRPr="00714401">
        <w:rPr>
          <w:rFonts w:ascii="Book Antiqua" w:hAnsi="Book Antiqua"/>
          <w:sz w:val="24"/>
          <w:szCs w:val="24"/>
          <w:lang w:val="sv-SE"/>
        </w:rPr>
        <w:t xml:space="preserve"> is usually achieved after the</w:t>
      </w:r>
      <w:r w:rsidR="0076063F" w:rsidRPr="00714401">
        <w:rPr>
          <w:rFonts w:ascii="Book Antiqua" w:hAnsi="Book Antiqua"/>
          <w:sz w:val="24"/>
          <w:szCs w:val="24"/>
          <w:lang w:val="sv-SE"/>
        </w:rPr>
        <w:t xml:space="preserve"> </w:t>
      </w:r>
      <w:r w:rsidRPr="00714401">
        <w:rPr>
          <w:rFonts w:ascii="Book Antiqua" w:hAnsi="Book Antiqua"/>
          <w:sz w:val="24"/>
          <w:szCs w:val="24"/>
          <w:lang w:val="sv-SE"/>
        </w:rPr>
        <w:t>intravenous administration of 0.5 mg</w:t>
      </w:r>
      <w:r w:rsidR="009C3C27" w:rsidRPr="00714401">
        <w:rPr>
          <w:rFonts w:ascii="Book Antiqua" w:hAnsi="Book Antiqua" w:hint="eastAsia"/>
          <w:sz w:val="24"/>
          <w:szCs w:val="24"/>
          <w:lang w:val="sv-SE" w:eastAsia="zh-CN"/>
        </w:rPr>
        <w:t>/</w:t>
      </w:r>
      <w:r w:rsidRPr="00714401">
        <w:rPr>
          <w:rFonts w:ascii="Book Antiqua" w:hAnsi="Book Antiqua"/>
          <w:sz w:val="24"/>
          <w:szCs w:val="24"/>
          <w:lang w:val="sv-SE"/>
        </w:rPr>
        <w:t xml:space="preserve">kg BW (considering an average plasma volume of </w:t>
      </w:r>
      <w:r w:rsidR="00885342" w:rsidRPr="00714401">
        <w:rPr>
          <w:rFonts w:ascii="Book Antiqua" w:hAnsi="Book Antiqua"/>
          <w:sz w:val="24"/>
          <w:szCs w:val="24"/>
          <w:lang w:val="sv-SE"/>
        </w:rPr>
        <w:t>50 m</w:t>
      </w:r>
      <w:r w:rsidR="009C3C27" w:rsidRPr="00714401">
        <w:rPr>
          <w:rFonts w:ascii="Book Antiqua" w:hAnsi="Book Antiqua"/>
          <w:sz w:val="24"/>
          <w:szCs w:val="24"/>
          <w:lang w:val="sv-SE"/>
        </w:rPr>
        <w:t>L</w:t>
      </w:r>
      <w:r w:rsidR="009C3C27" w:rsidRPr="00714401">
        <w:rPr>
          <w:rFonts w:ascii="Book Antiqua" w:hAnsi="Book Antiqua" w:hint="eastAsia"/>
          <w:sz w:val="24"/>
          <w:szCs w:val="24"/>
          <w:lang w:val="sv-SE" w:eastAsia="zh-CN"/>
        </w:rPr>
        <w:t>/</w:t>
      </w:r>
      <w:r w:rsidR="00885342" w:rsidRPr="00714401">
        <w:rPr>
          <w:rFonts w:ascii="Book Antiqua" w:hAnsi="Book Antiqua"/>
          <w:sz w:val="24"/>
          <w:szCs w:val="24"/>
          <w:lang w:val="sv-SE"/>
        </w:rPr>
        <w:t>kg</w:t>
      </w:r>
      <w:r w:rsidRPr="00714401">
        <w:rPr>
          <w:rFonts w:ascii="Book Antiqua" w:hAnsi="Book Antiqua"/>
          <w:sz w:val="24"/>
          <w:szCs w:val="24"/>
          <w:lang w:val="sv-SE"/>
        </w:rPr>
        <w:t>).</w:t>
      </w:r>
      <w:r w:rsidR="0076063F" w:rsidRPr="00714401">
        <w:rPr>
          <w:rFonts w:ascii="Book Antiqua" w:hAnsi="Book Antiqua"/>
          <w:sz w:val="24"/>
          <w:szCs w:val="24"/>
          <w:lang w:val="sv-SE"/>
        </w:rPr>
        <w:t xml:space="preserve"> </w:t>
      </w:r>
      <w:r w:rsidR="006C50DA" w:rsidRPr="00714401">
        <w:rPr>
          <w:rFonts w:ascii="Book Antiqua" w:hAnsi="Book Antiqua"/>
          <w:sz w:val="24"/>
          <w:szCs w:val="24"/>
          <w:lang w:val="sv-SE"/>
        </w:rPr>
        <w:t>ICG</w:t>
      </w:r>
      <w:r w:rsidR="00BA4C7B" w:rsidRPr="00714401">
        <w:rPr>
          <w:rFonts w:ascii="Book Antiqua" w:hAnsi="Book Antiqua"/>
          <w:sz w:val="24"/>
          <w:szCs w:val="24"/>
          <w:lang w:val="sv-SE"/>
        </w:rPr>
        <w:t xml:space="preserve">R15 </w:t>
      </w:r>
      <w:r w:rsidRPr="00714401">
        <w:rPr>
          <w:rFonts w:ascii="Book Antiqua" w:hAnsi="Book Antiqua"/>
          <w:sz w:val="24"/>
          <w:szCs w:val="24"/>
          <w:lang w:val="sv-SE"/>
        </w:rPr>
        <w:t xml:space="preserve">is calculated </w:t>
      </w:r>
      <w:r w:rsidR="00E7384D" w:rsidRPr="00714401">
        <w:rPr>
          <w:rFonts w:ascii="Book Antiqua" w:hAnsi="Book Antiqua"/>
          <w:sz w:val="24"/>
          <w:szCs w:val="24"/>
          <w:lang w:val="sv-SE"/>
        </w:rPr>
        <w:t xml:space="preserve">transforming the ICG concentration curve to a </w:t>
      </w:r>
      <w:r w:rsidR="009C3C27" w:rsidRPr="00714401">
        <w:rPr>
          <w:rFonts w:ascii="Book Antiqua" w:hAnsi="Book Antiqua"/>
          <w:sz w:val="24"/>
          <w:szCs w:val="24"/>
          <w:lang w:val="sv-SE" w:eastAsia="zh-CN"/>
        </w:rPr>
        <w:t>”</w:t>
      </w:r>
      <w:r w:rsidR="00E7384D" w:rsidRPr="00714401">
        <w:rPr>
          <w:rFonts w:ascii="Book Antiqua" w:hAnsi="Book Antiqua"/>
          <w:sz w:val="24"/>
          <w:szCs w:val="24"/>
          <w:lang w:val="sv-SE"/>
        </w:rPr>
        <w:t>point zero</w:t>
      </w:r>
      <w:r w:rsidR="009C3C27" w:rsidRPr="00714401">
        <w:rPr>
          <w:rFonts w:ascii="Book Antiqua" w:hAnsi="Book Antiqua"/>
          <w:sz w:val="24"/>
          <w:szCs w:val="24"/>
          <w:lang w:val="sv-SE" w:eastAsia="zh-CN"/>
        </w:rPr>
        <w:t>”</w:t>
      </w:r>
      <w:r w:rsidR="00E7384D" w:rsidRPr="00714401">
        <w:rPr>
          <w:rFonts w:ascii="Book Antiqua" w:hAnsi="Book Antiqua"/>
          <w:sz w:val="24"/>
          <w:szCs w:val="24"/>
          <w:lang w:val="sv-SE"/>
        </w:rPr>
        <w:t xml:space="preserve"> (100%) and then describing the decay</w:t>
      </w:r>
      <w:r w:rsidR="006C50DA" w:rsidRPr="00714401">
        <w:rPr>
          <w:rFonts w:ascii="Book Antiqua" w:hAnsi="Book Antiqua"/>
          <w:sz w:val="24"/>
          <w:szCs w:val="24"/>
          <w:lang w:val="sv-SE"/>
        </w:rPr>
        <w:t xml:space="preserve"> </w:t>
      </w:r>
      <w:r w:rsidR="00731D5F" w:rsidRPr="00714401">
        <w:rPr>
          <w:rFonts w:ascii="Book Antiqua" w:hAnsi="Book Antiqua"/>
          <w:sz w:val="24"/>
          <w:szCs w:val="24"/>
          <w:lang w:val="sv-SE"/>
        </w:rPr>
        <w:t>(at min</w:t>
      </w:r>
      <w:r w:rsidRPr="00714401">
        <w:rPr>
          <w:rFonts w:ascii="Book Antiqua" w:hAnsi="Book Antiqua"/>
          <w:sz w:val="24"/>
          <w:szCs w:val="24"/>
          <w:lang w:val="sv-SE"/>
        </w:rPr>
        <w:t>ute</w:t>
      </w:r>
      <w:r w:rsidR="0076063F" w:rsidRPr="00714401">
        <w:rPr>
          <w:rFonts w:ascii="Book Antiqua" w:hAnsi="Book Antiqua"/>
          <w:sz w:val="24"/>
          <w:szCs w:val="24"/>
          <w:lang w:val="sv-SE"/>
        </w:rPr>
        <w:t xml:space="preserve"> </w:t>
      </w:r>
      <w:r w:rsidRPr="00714401">
        <w:rPr>
          <w:rFonts w:ascii="Book Antiqua" w:hAnsi="Book Antiqua"/>
          <w:sz w:val="24"/>
          <w:szCs w:val="24"/>
          <w:lang w:val="sv-SE"/>
        </w:rPr>
        <w:t xml:space="preserve">fifteen </w:t>
      </w:r>
      <w:r w:rsidR="00731D5F" w:rsidRPr="00714401">
        <w:rPr>
          <w:rFonts w:ascii="Book Antiqua" w:hAnsi="Book Antiqua"/>
          <w:sz w:val="24"/>
          <w:szCs w:val="24"/>
          <w:lang w:val="sv-SE"/>
        </w:rPr>
        <w:t xml:space="preserve">) </w:t>
      </w:r>
      <w:r w:rsidR="00E7384D" w:rsidRPr="00714401">
        <w:rPr>
          <w:rFonts w:ascii="Book Antiqua" w:hAnsi="Book Antiqua"/>
          <w:sz w:val="24"/>
          <w:szCs w:val="24"/>
          <w:lang w:val="sv-SE"/>
        </w:rPr>
        <w:t xml:space="preserve">as </w:t>
      </w:r>
      <w:r w:rsidR="00E06554" w:rsidRPr="00714401">
        <w:rPr>
          <w:rFonts w:ascii="Book Antiqua" w:hAnsi="Book Antiqua"/>
          <w:sz w:val="24"/>
          <w:szCs w:val="24"/>
          <w:lang w:val="sv-SE"/>
        </w:rPr>
        <w:t xml:space="preserve">a </w:t>
      </w:r>
      <w:r w:rsidR="00E7384D" w:rsidRPr="00714401">
        <w:rPr>
          <w:rFonts w:ascii="Book Antiqua" w:hAnsi="Book Antiqua"/>
          <w:sz w:val="24"/>
          <w:szCs w:val="24"/>
          <w:lang w:val="sv-SE"/>
        </w:rPr>
        <w:t>percentage change per time</w:t>
      </w:r>
      <w:r w:rsidR="004D1499" w:rsidRPr="00714401">
        <w:rPr>
          <w:rFonts w:ascii="Book Antiqua" w:hAnsi="Book Antiqua"/>
          <w:sz w:val="24"/>
          <w:szCs w:val="24"/>
          <w:lang w:val="sv-SE"/>
        </w:rPr>
        <w:t xml:space="preserve"> (% per </w:t>
      </w:r>
      <w:r w:rsidR="00885342" w:rsidRPr="00714401">
        <w:rPr>
          <w:rFonts w:ascii="Book Antiqua" w:hAnsi="Book Antiqua"/>
          <w:sz w:val="24"/>
          <w:szCs w:val="24"/>
          <w:lang w:val="sv-SE"/>
        </w:rPr>
        <w:t xml:space="preserve">min) in a logarithmic graph. </w:t>
      </w:r>
      <w:r w:rsidR="00BA4C7B" w:rsidRPr="00714401">
        <w:rPr>
          <w:rFonts w:ascii="Book Antiqua" w:hAnsi="Book Antiqua"/>
          <w:sz w:val="24"/>
          <w:szCs w:val="24"/>
          <w:lang w:val="sv-SE"/>
        </w:rPr>
        <w:t>ICG</w:t>
      </w:r>
      <w:r w:rsidR="00BA4C7B" w:rsidRPr="00714401">
        <w:rPr>
          <w:rFonts w:ascii="Book Antiqua" w:hAnsi="Book Antiqua"/>
          <w:sz w:val="24"/>
          <w:szCs w:val="24"/>
          <w:vertAlign w:val="subscript"/>
          <w:lang w:val="sv-SE"/>
        </w:rPr>
        <w:t>R15</w:t>
      </w:r>
      <w:r w:rsidR="00123847" w:rsidRPr="00714401">
        <w:rPr>
          <w:rFonts w:ascii="Book Antiqua" w:hAnsi="Book Antiqua"/>
          <w:sz w:val="24"/>
          <w:szCs w:val="24"/>
          <w:lang w:val="sv-SE"/>
        </w:rPr>
        <w:t xml:space="preserve"> has been widely used as an alternative to ICG</w:t>
      </w:r>
      <w:r w:rsidR="00123847" w:rsidRPr="00714401">
        <w:rPr>
          <w:rFonts w:ascii="Book Antiqua" w:hAnsi="Book Antiqua"/>
          <w:sz w:val="24"/>
          <w:szCs w:val="24"/>
          <w:vertAlign w:val="subscript"/>
          <w:lang w:val="sv-SE"/>
        </w:rPr>
        <w:t>K</w:t>
      </w:r>
      <w:r w:rsidR="00E85362" w:rsidRPr="00714401">
        <w:rPr>
          <w:rFonts w:ascii="Book Antiqua" w:hAnsi="Book Antiqua" w:hint="eastAsia"/>
          <w:sz w:val="24"/>
          <w:szCs w:val="24"/>
          <w:lang w:val="sv-SE" w:eastAsia="zh-CN"/>
        </w:rPr>
        <w:t>,</w:t>
      </w:r>
      <w:r w:rsidR="00123847" w:rsidRPr="00714401">
        <w:rPr>
          <w:rFonts w:ascii="Book Antiqua" w:hAnsi="Book Antiqua"/>
          <w:sz w:val="24"/>
          <w:szCs w:val="24"/>
          <w:lang w:val="sv-SE"/>
        </w:rPr>
        <w:t xml:space="preserve"> </w:t>
      </w:r>
      <w:r w:rsidR="00885342" w:rsidRPr="00714401">
        <w:rPr>
          <w:rFonts w:ascii="Book Antiqua" w:hAnsi="Book Antiqua"/>
          <w:sz w:val="24"/>
          <w:szCs w:val="24"/>
          <w:lang w:val="sv-SE"/>
        </w:rPr>
        <w:t xml:space="preserve">being </w:t>
      </w:r>
      <w:r w:rsidR="00123847" w:rsidRPr="00714401">
        <w:rPr>
          <w:rFonts w:ascii="Book Antiqua" w:hAnsi="Book Antiqua"/>
          <w:sz w:val="24"/>
          <w:szCs w:val="24"/>
          <w:lang w:val="sv-SE"/>
        </w:rPr>
        <w:t xml:space="preserve">pharmacologically </w:t>
      </w:r>
      <w:r w:rsidR="00885342" w:rsidRPr="00714401">
        <w:rPr>
          <w:rFonts w:ascii="Book Antiqua" w:hAnsi="Book Antiqua"/>
          <w:sz w:val="24"/>
          <w:szCs w:val="24"/>
          <w:lang w:val="sv-SE"/>
        </w:rPr>
        <w:t>equivalent</w:t>
      </w:r>
      <w:r w:rsidR="00B21154" w:rsidRPr="00714401">
        <w:rPr>
          <w:rFonts w:ascii="Book Antiqua" w:hAnsi="Book Antiqua"/>
          <w:sz w:val="24"/>
          <w:szCs w:val="24"/>
          <w:vertAlign w:val="superscript"/>
          <w:lang w:val="sv-SE"/>
        </w:rPr>
        <w:t>[5]</w:t>
      </w:r>
      <w:r w:rsidR="00D76289" w:rsidRPr="00714401">
        <w:rPr>
          <w:rFonts w:ascii="Book Antiqua" w:hAnsi="Book Antiqua"/>
          <w:sz w:val="24"/>
          <w:szCs w:val="24"/>
          <w:lang w:val="sv-SE"/>
        </w:rPr>
        <w:t xml:space="preserve">: </w:t>
      </w:r>
      <w:r w:rsidR="009C3C27" w:rsidRPr="00714401">
        <w:rPr>
          <w:rFonts w:ascii="Book Antiqua" w:hAnsi="Book Antiqua"/>
          <w:sz w:val="24"/>
          <w:szCs w:val="24"/>
          <w:lang w:val="sv-SE"/>
        </w:rPr>
        <w:t>I</w:t>
      </w:r>
      <w:r w:rsidR="004B7BAF" w:rsidRPr="00714401">
        <w:rPr>
          <w:rFonts w:ascii="Book Antiqua" w:hAnsi="Book Antiqua"/>
          <w:sz w:val="24"/>
          <w:szCs w:val="24"/>
          <w:lang w:val="sv-SE"/>
        </w:rPr>
        <w:t xml:space="preserve">t </w:t>
      </w:r>
      <w:r w:rsidR="00123847" w:rsidRPr="00714401">
        <w:rPr>
          <w:rFonts w:ascii="Book Antiqua" w:hAnsi="Book Antiqua"/>
          <w:sz w:val="24"/>
          <w:szCs w:val="24"/>
          <w:lang w:val="sv-SE"/>
        </w:rPr>
        <w:t>could be considered a surrogate</w:t>
      </w:r>
      <w:r w:rsidR="0076063F" w:rsidRPr="00714401">
        <w:rPr>
          <w:rFonts w:ascii="Book Antiqua" w:hAnsi="Book Antiqua"/>
          <w:sz w:val="24"/>
          <w:szCs w:val="24"/>
          <w:lang w:val="sv-SE"/>
        </w:rPr>
        <w:t xml:space="preserve"> </w:t>
      </w:r>
      <w:r w:rsidR="00B21154" w:rsidRPr="00714401">
        <w:rPr>
          <w:rFonts w:ascii="Book Antiqua" w:hAnsi="Book Antiqua"/>
          <w:sz w:val="24"/>
          <w:szCs w:val="24"/>
          <w:lang w:val="sv-SE"/>
        </w:rPr>
        <w:t xml:space="preserve">of </w:t>
      </w:r>
      <w:r w:rsidR="00885342" w:rsidRPr="00714401">
        <w:rPr>
          <w:rFonts w:ascii="Book Antiqua" w:hAnsi="Book Antiqua"/>
          <w:sz w:val="24"/>
          <w:szCs w:val="24"/>
          <w:lang w:val="sv-SE"/>
        </w:rPr>
        <w:t xml:space="preserve">liver </w:t>
      </w:r>
      <w:r w:rsidR="00B21154" w:rsidRPr="00714401">
        <w:rPr>
          <w:rFonts w:ascii="Book Antiqua" w:hAnsi="Book Antiqua"/>
          <w:sz w:val="24"/>
          <w:szCs w:val="24"/>
          <w:lang w:val="sv-SE"/>
        </w:rPr>
        <w:t>blood flow</w:t>
      </w:r>
    </w:p>
    <w:p w:rsidR="009C3C27" w:rsidRPr="00714401" w:rsidRDefault="009C3C27" w:rsidP="009C3C27">
      <w:pPr>
        <w:autoSpaceDE w:val="0"/>
        <w:autoSpaceDN w:val="0"/>
        <w:adjustRightInd w:val="0"/>
        <w:snapToGrid w:val="0"/>
        <w:spacing w:after="0" w:line="360" w:lineRule="auto"/>
        <w:ind w:firstLineChars="100" w:firstLine="240"/>
        <w:jc w:val="both"/>
        <w:rPr>
          <w:rFonts w:ascii="Book Antiqua" w:hAnsi="Book Antiqua"/>
          <w:sz w:val="24"/>
          <w:szCs w:val="24"/>
          <w:lang w:val="sv-SE" w:eastAsia="zh-CN"/>
        </w:rPr>
      </w:pPr>
    </w:p>
    <w:p w:rsidR="00F90597" w:rsidRPr="00714401" w:rsidRDefault="00133B37" w:rsidP="004F4F1E">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b/>
          <w:sz w:val="24"/>
          <w:szCs w:val="24"/>
          <w:lang w:val="en-US"/>
        </w:rPr>
        <w:t xml:space="preserve">ICG </w:t>
      </w:r>
      <w:r w:rsidR="009C3C27" w:rsidRPr="00714401">
        <w:rPr>
          <w:rFonts w:ascii="Book Antiqua" w:hAnsi="Book Antiqua"/>
          <w:b/>
          <w:sz w:val="24"/>
          <w:szCs w:val="24"/>
          <w:lang w:val="en-US"/>
        </w:rPr>
        <w:t>plasma cle</w:t>
      </w:r>
      <w:r w:rsidR="00F90597" w:rsidRPr="00714401">
        <w:rPr>
          <w:rFonts w:ascii="Book Antiqua" w:hAnsi="Book Antiqua"/>
          <w:b/>
          <w:sz w:val="24"/>
          <w:szCs w:val="24"/>
          <w:lang w:val="en-US"/>
        </w:rPr>
        <w:t>arance</w:t>
      </w:r>
      <w:r w:rsidR="0076063F" w:rsidRPr="00714401">
        <w:rPr>
          <w:rFonts w:ascii="Book Antiqua" w:hAnsi="Book Antiqua"/>
          <w:b/>
          <w:sz w:val="24"/>
          <w:szCs w:val="24"/>
          <w:lang w:val="en-US"/>
        </w:rPr>
        <w:t xml:space="preserve"> </w:t>
      </w:r>
      <w:r w:rsidR="007953C2" w:rsidRPr="00714401">
        <w:rPr>
          <w:rFonts w:ascii="Book Antiqua" w:hAnsi="Book Antiqua"/>
          <w:b/>
          <w:sz w:val="24"/>
          <w:szCs w:val="24"/>
          <w:lang w:val="en-US"/>
        </w:rPr>
        <w:t>(</w:t>
      </w:r>
      <w:r w:rsidR="0069622D" w:rsidRPr="00714401">
        <w:rPr>
          <w:rFonts w:ascii="Book Antiqua" w:hAnsi="Book Antiqua"/>
          <w:b/>
          <w:sz w:val="24"/>
          <w:szCs w:val="24"/>
          <w:lang w:val="en-US"/>
        </w:rPr>
        <w:t>500-700 m</w:t>
      </w:r>
      <w:r w:rsidR="009C3C27" w:rsidRPr="00714401">
        <w:rPr>
          <w:rFonts w:ascii="Book Antiqua" w:hAnsi="Book Antiqua"/>
          <w:b/>
          <w:sz w:val="24"/>
          <w:szCs w:val="24"/>
          <w:lang w:val="en-US"/>
        </w:rPr>
        <w:t>L</w:t>
      </w:r>
      <w:r w:rsidR="009C3C27" w:rsidRPr="00714401">
        <w:rPr>
          <w:rFonts w:ascii="Book Antiqua" w:hAnsi="Book Antiqua" w:hint="eastAsia"/>
          <w:b/>
          <w:sz w:val="24"/>
          <w:szCs w:val="24"/>
          <w:lang w:val="en-US" w:eastAsia="zh-CN"/>
        </w:rPr>
        <w:t>/</w:t>
      </w:r>
      <w:r w:rsidR="00F90597" w:rsidRPr="00714401">
        <w:rPr>
          <w:rFonts w:ascii="Book Antiqua" w:hAnsi="Book Antiqua"/>
          <w:b/>
          <w:sz w:val="24"/>
          <w:szCs w:val="24"/>
          <w:lang w:val="en-US"/>
        </w:rPr>
        <w:t>min</w:t>
      </w:r>
      <w:r w:rsidR="0076063F" w:rsidRPr="00714401">
        <w:rPr>
          <w:rFonts w:ascii="Book Antiqua" w:hAnsi="Book Antiqua"/>
          <w:b/>
          <w:sz w:val="24"/>
          <w:szCs w:val="24"/>
          <w:lang w:val="en-US"/>
        </w:rPr>
        <w:t xml:space="preserve"> </w:t>
      </w:r>
      <w:r w:rsidR="009C3C27" w:rsidRPr="00714401">
        <w:rPr>
          <w:rFonts w:ascii="Book Antiqua" w:hAnsi="Book Antiqua" w:hint="eastAsia"/>
          <w:b/>
          <w:sz w:val="24"/>
          <w:szCs w:val="24"/>
          <w:lang w:val="en-US" w:eastAsia="zh-CN"/>
        </w:rPr>
        <w:t>per square</w:t>
      </w:r>
      <w:r w:rsidR="007953C2" w:rsidRPr="00714401">
        <w:rPr>
          <w:rFonts w:ascii="Book Antiqua" w:hAnsi="Book Antiqua"/>
          <w:b/>
          <w:sz w:val="24"/>
          <w:szCs w:val="24"/>
          <w:lang w:val="en-US"/>
        </w:rPr>
        <w:t>)</w:t>
      </w:r>
      <w:r w:rsidR="009C3C27" w:rsidRPr="00714401">
        <w:rPr>
          <w:rFonts w:ascii="Book Antiqua" w:hAnsi="Book Antiqua" w:hint="eastAsia"/>
          <w:b/>
          <w:sz w:val="24"/>
          <w:szCs w:val="24"/>
          <w:lang w:val="en-US" w:eastAsia="zh-CN"/>
        </w:rPr>
        <w:t>:</w:t>
      </w:r>
      <w:r w:rsidR="009C3C27" w:rsidRPr="00714401">
        <w:rPr>
          <w:rFonts w:ascii="Book Antiqua" w:eastAsia="Arial Unicode MS" w:hAnsi="Book Antiqua" w:cs="Arial Unicode MS" w:hint="eastAsia"/>
          <w:b/>
          <w:sz w:val="24"/>
          <w:szCs w:val="24"/>
          <w:lang w:val="en-US" w:eastAsia="zh-CN"/>
        </w:rPr>
        <w:t xml:space="preserve"> </w:t>
      </w:r>
      <w:r w:rsidR="009C3C27" w:rsidRPr="00714401">
        <w:rPr>
          <w:rFonts w:ascii="Book Antiqua" w:hAnsi="Book Antiqua"/>
          <w:sz w:val="24"/>
          <w:szCs w:val="24"/>
          <w:lang w:val="en-US"/>
        </w:rPr>
        <w:t>V</w:t>
      </w:r>
      <w:r w:rsidR="00DD4577" w:rsidRPr="00714401">
        <w:rPr>
          <w:rFonts w:ascii="Book Antiqua" w:hAnsi="Book Antiqua"/>
          <w:sz w:val="24"/>
          <w:szCs w:val="24"/>
          <w:lang w:val="en-US"/>
        </w:rPr>
        <w:t xml:space="preserve">olume of </w:t>
      </w:r>
      <w:r w:rsidR="00E21711" w:rsidRPr="00714401">
        <w:rPr>
          <w:rFonts w:ascii="Book Antiqua" w:hAnsi="Book Antiqua"/>
          <w:sz w:val="24"/>
          <w:szCs w:val="24"/>
          <w:lang w:val="en-US"/>
        </w:rPr>
        <w:t xml:space="preserve">plasma </w:t>
      </w:r>
      <w:r w:rsidR="00DD4577" w:rsidRPr="00714401">
        <w:rPr>
          <w:rFonts w:ascii="Book Antiqua" w:hAnsi="Book Antiqua"/>
          <w:sz w:val="24"/>
          <w:szCs w:val="24"/>
          <w:lang w:val="en-US"/>
        </w:rPr>
        <w:t>entirely cleared</w:t>
      </w:r>
      <w:r w:rsidR="0076063F" w:rsidRPr="00714401">
        <w:rPr>
          <w:rFonts w:ascii="Book Antiqua" w:hAnsi="Book Antiqua"/>
          <w:sz w:val="24"/>
          <w:szCs w:val="24"/>
          <w:lang w:val="en-US"/>
        </w:rPr>
        <w:t xml:space="preserve"> </w:t>
      </w:r>
      <w:r w:rsidR="00D96BB9" w:rsidRPr="00714401">
        <w:rPr>
          <w:rFonts w:ascii="Book Antiqua" w:hAnsi="Book Antiqua"/>
          <w:sz w:val="24"/>
          <w:szCs w:val="24"/>
          <w:lang w:val="en-US"/>
        </w:rPr>
        <w:t>off of</w:t>
      </w:r>
      <w:r w:rsidR="0076063F" w:rsidRPr="00714401">
        <w:rPr>
          <w:rFonts w:ascii="Book Antiqua" w:hAnsi="Book Antiqua"/>
          <w:sz w:val="24"/>
          <w:szCs w:val="24"/>
          <w:lang w:val="en-US"/>
        </w:rPr>
        <w:t xml:space="preserve"> </w:t>
      </w:r>
      <w:r w:rsidR="00DD4577" w:rsidRPr="00714401">
        <w:rPr>
          <w:rFonts w:ascii="Book Antiqua" w:hAnsi="Book Antiqua"/>
          <w:sz w:val="24"/>
          <w:szCs w:val="24"/>
          <w:lang w:val="en-US"/>
        </w:rPr>
        <w:t xml:space="preserve">ICG </w:t>
      </w:r>
      <w:r w:rsidR="00D96BB9" w:rsidRPr="00714401">
        <w:rPr>
          <w:rFonts w:ascii="Book Antiqua" w:hAnsi="Book Antiqua"/>
          <w:sz w:val="24"/>
          <w:szCs w:val="24"/>
          <w:lang w:val="en-US"/>
        </w:rPr>
        <w:t>per unit time</w:t>
      </w:r>
      <w:r w:rsidR="0069622D" w:rsidRPr="00714401">
        <w:rPr>
          <w:rFonts w:ascii="Book Antiqua" w:hAnsi="Book Antiqua"/>
          <w:sz w:val="24"/>
          <w:szCs w:val="24"/>
          <w:lang w:val="en-US"/>
        </w:rPr>
        <w:t xml:space="preserve">; </w:t>
      </w:r>
      <w:r w:rsidR="00123847" w:rsidRPr="00714401">
        <w:rPr>
          <w:rFonts w:ascii="Book Antiqua" w:hAnsi="Book Antiqua"/>
          <w:sz w:val="24"/>
          <w:szCs w:val="24"/>
          <w:lang w:val="en-US"/>
        </w:rPr>
        <w:t xml:space="preserve">plasma clearance is </w:t>
      </w:r>
      <w:r w:rsidR="00DD4577" w:rsidRPr="00714401">
        <w:rPr>
          <w:rFonts w:ascii="Book Antiqua" w:hAnsi="Book Antiqua"/>
          <w:sz w:val="24"/>
          <w:szCs w:val="24"/>
          <w:lang w:val="en-US"/>
        </w:rPr>
        <w:t>dependent</w:t>
      </w:r>
      <w:r w:rsidR="0076063F" w:rsidRPr="00714401">
        <w:rPr>
          <w:rFonts w:ascii="Book Antiqua" w:hAnsi="Book Antiqua"/>
          <w:sz w:val="24"/>
          <w:szCs w:val="24"/>
          <w:lang w:val="en-US"/>
        </w:rPr>
        <w:t xml:space="preserve"> </w:t>
      </w:r>
      <w:r w:rsidR="00123847" w:rsidRPr="00714401">
        <w:rPr>
          <w:rFonts w:ascii="Book Antiqua" w:hAnsi="Book Antiqua"/>
          <w:sz w:val="24"/>
          <w:szCs w:val="24"/>
          <w:lang w:val="en-US"/>
        </w:rPr>
        <w:t>on liver</w:t>
      </w:r>
      <w:r w:rsidR="0076063F" w:rsidRPr="00714401">
        <w:rPr>
          <w:rFonts w:ascii="Book Antiqua" w:hAnsi="Book Antiqua"/>
          <w:sz w:val="24"/>
          <w:szCs w:val="24"/>
          <w:lang w:val="en-US"/>
        </w:rPr>
        <w:t xml:space="preserve"> </w:t>
      </w:r>
      <w:r w:rsidR="0069622D" w:rsidRPr="00714401">
        <w:rPr>
          <w:rFonts w:ascii="Book Antiqua" w:hAnsi="Book Antiqua"/>
          <w:sz w:val="24"/>
          <w:szCs w:val="24"/>
          <w:lang w:val="en-US"/>
        </w:rPr>
        <w:t xml:space="preserve">function, hepatic </w:t>
      </w:r>
      <w:r w:rsidR="00123847" w:rsidRPr="00714401">
        <w:rPr>
          <w:rFonts w:ascii="Book Antiqua" w:hAnsi="Book Antiqua"/>
          <w:sz w:val="24"/>
          <w:szCs w:val="24"/>
          <w:lang w:val="en-US"/>
        </w:rPr>
        <w:t xml:space="preserve">blood flow, </w:t>
      </w:r>
      <w:proofErr w:type="gramStart"/>
      <w:r w:rsidR="00DD4577" w:rsidRPr="00714401">
        <w:rPr>
          <w:rFonts w:ascii="Book Antiqua" w:hAnsi="Book Antiqua"/>
          <w:sz w:val="24"/>
          <w:szCs w:val="24"/>
          <w:lang w:val="en-US"/>
        </w:rPr>
        <w:t>bile flow</w:t>
      </w:r>
      <w:proofErr w:type="gramEnd"/>
      <w:r w:rsidR="009C3C27" w:rsidRPr="00714401">
        <w:rPr>
          <w:rFonts w:ascii="Book Antiqua" w:hAnsi="Book Antiqua" w:hint="eastAsia"/>
          <w:sz w:val="24"/>
          <w:szCs w:val="24"/>
          <w:lang w:val="en-US" w:eastAsia="zh-CN"/>
        </w:rPr>
        <w:t xml:space="preserve"> (</w:t>
      </w:r>
      <w:r w:rsidR="009C3C27" w:rsidRPr="00714401">
        <w:rPr>
          <w:rFonts w:ascii="Book Antiqua" w:hAnsi="Book Antiqua"/>
          <w:sz w:val="24"/>
          <w:szCs w:val="24"/>
          <w:lang w:val="en-US"/>
        </w:rPr>
        <w:t>Table 1</w:t>
      </w:r>
      <w:r w:rsidR="009C3C27" w:rsidRPr="00714401">
        <w:rPr>
          <w:rFonts w:ascii="Book Antiqua" w:hAnsi="Book Antiqua" w:hint="eastAsia"/>
          <w:sz w:val="24"/>
          <w:szCs w:val="24"/>
          <w:lang w:val="en-US" w:eastAsia="zh-CN"/>
        </w:rPr>
        <w:t>).</w:t>
      </w:r>
    </w:p>
    <w:p w:rsidR="00F90597" w:rsidRPr="00714401" w:rsidRDefault="006C50DA" w:rsidP="009C3C27">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and </w:t>
      </w:r>
      <w:r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R15</w:t>
      </w:r>
      <w:r w:rsidR="00F90597" w:rsidRPr="00714401">
        <w:rPr>
          <w:rFonts w:ascii="Book Antiqua" w:hAnsi="Book Antiqua"/>
          <w:sz w:val="24"/>
          <w:szCs w:val="24"/>
          <w:lang w:val="en-US"/>
        </w:rPr>
        <w:t xml:space="preserve"> </w:t>
      </w:r>
      <w:r w:rsidR="006E1182" w:rsidRPr="00714401">
        <w:rPr>
          <w:rFonts w:ascii="Book Antiqua" w:hAnsi="Book Antiqua"/>
          <w:sz w:val="24"/>
          <w:szCs w:val="24"/>
          <w:lang w:val="en-US"/>
        </w:rPr>
        <w:t xml:space="preserve">might be considered </w:t>
      </w:r>
      <w:r w:rsidR="00E21806" w:rsidRPr="00714401">
        <w:rPr>
          <w:rFonts w:ascii="Book Antiqua" w:hAnsi="Book Antiqua"/>
          <w:sz w:val="24"/>
          <w:szCs w:val="24"/>
          <w:lang w:val="en-US"/>
        </w:rPr>
        <w:t xml:space="preserve">the two </w:t>
      </w:r>
      <w:r w:rsidR="00885342" w:rsidRPr="00714401">
        <w:rPr>
          <w:rFonts w:ascii="Book Antiqua" w:hAnsi="Book Antiqua"/>
          <w:sz w:val="24"/>
          <w:szCs w:val="24"/>
          <w:lang w:val="en-US"/>
        </w:rPr>
        <w:t xml:space="preserve">faces </w:t>
      </w:r>
      <w:r w:rsidR="00E21806" w:rsidRPr="00714401">
        <w:rPr>
          <w:rFonts w:ascii="Book Antiqua" w:hAnsi="Book Antiqua"/>
          <w:sz w:val="24"/>
          <w:szCs w:val="24"/>
          <w:lang w:val="en-US"/>
        </w:rPr>
        <w:t xml:space="preserve">of the </w:t>
      </w:r>
      <w:r w:rsidR="00885342" w:rsidRPr="00714401">
        <w:rPr>
          <w:rFonts w:ascii="Book Antiqua" w:hAnsi="Book Antiqua"/>
          <w:sz w:val="24"/>
          <w:szCs w:val="24"/>
          <w:lang w:val="en-US"/>
        </w:rPr>
        <w:t xml:space="preserve">same </w:t>
      </w:r>
      <w:r w:rsidR="00E21806" w:rsidRPr="00714401">
        <w:rPr>
          <w:rFonts w:ascii="Book Antiqua" w:hAnsi="Book Antiqua"/>
          <w:sz w:val="24"/>
          <w:szCs w:val="24"/>
          <w:lang w:val="en-US"/>
        </w:rPr>
        <w:t>phenomenon</w:t>
      </w:r>
      <w:r w:rsidR="00123847"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3E3A29"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PDR</w:t>
      </w:r>
      <w:r w:rsidR="00857C4B" w:rsidRPr="00714401">
        <w:rPr>
          <w:rFonts w:ascii="Book Antiqua" w:hAnsi="Book Antiqua"/>
          <w:sz w:val="24"/>
          <w:szCs w:val="24"/>
          <w:lang w:val="en-US"/>
        </w:rPr>
        <w:t xml:space="preserve"> </w:t>
      </w:r>
      <w:r w:rsidR="00123847" w:rsidRPr="00714401">
        <w:rPr>
          <w:rFonts w:ascii="Book Antiqua" w:hAnsi="Book Antiqua"/>
          <w:sz w:val="24"/>
          <w:szCs w:val="24"/>
          <w:lang w:val="en-US"/>
        </w:rPr>
        <w:t xml:space="preserve">quantifies ICG </w:t>
      </w:r>
      <w:r w:rsidR="00885342" w:rsidRPr="00714401">
        <w:rPr>
          <w:rFonts w:ascii="Book Antiqua" w:hAnsi="Book Antiqua"/>
          <w:sz w:val="24"/>
          <w:szCs w:val="24"/>
          <w:lang w:val="en-US"/>
        </w:rPr>
        <w:t xml:space="preserve">disappearance </w:t>
      </w:r>
      <w:r w:rsidR="00F90597" w:rsidRPr="00714401">
        <w:rPr>
          <w:rFonts w:ascii="Book Antiqua" w:hAnsi="Book Antiqua"/>
          <w:sz w:val="24"/>
          <w:szCs w:val="24"/>
          <w:lang w:val="en-US"/>
        </w:rPr>
        <w:t xml:space="preserve">from </w:t>
      </w:r>
      <w:r w:rsidR="00123847" w:rsidRPr="00714401">
        <w:rPr>
          <w:rFonts w:ascii="Book Antiqua" w:hAnsi="Book Antiqua"/>
          <w:sz w:val="24"/>
          <w:szCs w:val="24"/>
          <w:lang w:val="en-US"/>
        </w:rPr>
        <w:t xml:space="preserve">the </w:t>
      </w:r>
      <w:r w:rsidR="00F90597" w:rsidRPr="00714401">
        <w:rPr>
          <w:rFonts w:ascii="Book Antiqua" w:hAnsi="Book Antiqua"/>
          <w:sz w:val="24"/>
          <w:szCs w:val="24"/>
          <w:lang w:val="en-US"/>
        </w:rPr>
        <w:t>plasm</w:t>
      </w:r>
      <w:r w:rsidR="00133B37" w:rsidRPr="00714401">
        <w:rPr>
          <w:rFonts w:ascii="Book Antiqua" w:hAnsi="Book Antiqua"/>
          <w:sz w:val="24"/>
          <w:szCs w:val="24"/>
          <w:lang w:val="en-US"/>
        </w:rPr>
        <w:t>a</w:t>
      </w:r>
      <w:r w:rsidR="00E21806" w:rsidRPr="00714401">
        <w:rPr>
          <w:rFonts w:ascii="Book Antiqua" w:hAnsi="Book Antiqua"/>
          <w:sz w:val="24"/>
          <w:szCs w:val="24"/>
          <w:lang w:val="en-US"/>
        </w:rPr>
        <w:t xml:space="preserve"> </w:t>
      </w:r>
      <w:r w:rsidR="00885342" w:rsidRPr="00714401">
        <w:rPr>
          <w:rFonts w:ascii="Book Antiqua" w:hAnsi="Book Antiqua"/>
          <w:sz w:val="24"/>
          <w:szCs w:val="24"/>
          <w:lang w:val="en-US"/>
        </w:rPr>
        <w:t xml:space="preserve">over time </w:t>
      </w:r>
      <w:r w:rsidR="00E21806" w:rsidRPr="00714401">
        <w:rPr>
          <w:rFonts w:ascii="Book Antiqua" w:hAnsi="Book Antiqua"/>
          <w:sz w:val="24"/>
          <w:szCs w:val="24"/>
          <w:lang w:val="en-US"/>
        </w:rPr>
        <w:t>(%</w:t>
      </w:r>
      <w:r w:rsidR="00181BA4" w:rsidRPr="00714401">
        <w:rPr>
          <w:rFonts w:ascii="Book Antiqua" w:hAnsi="Book Antiqua" w:hint="eastAsia"/>
          <w:sz w:val="24"/>
          <w:szCs w:val="24"/>
          <w:lang w:val="en-US" w:eastAsia="zh-CN"/>
        </w:rPr>
        <w:t xml:space="preserve"> per </w:t>
      </w:r>
      <w:r w:rsidR="00181BA4" w:rsidRPr="00714401">
        <w:rPr>
          <w:rFonts w:ascii="Book Antiqua" w:hAnsi="Book Antiqua"/>
          <w:sz w:val="24"/>
          <w:szCs w:val="24"/>
          <w:lang w:val="en-US"/>
        </w:rPr>
        <w:t>min</w:t>
      </w:r>
      <w:r w:rsidR="00181BA4" w:rsidRPr="00714401">
        <w:rPr>
          <w:rFonts w:ascii="Book Antiqua" w:hAnsi="Book Antiqua" w:hint="eastAsia"/>
          <w:sz w:val="24"/>
          <w:szCs w:val="24"/>
          <w:lang w:val="en-US" w:eastAsia="zh-CN"/>
        </w:rPr>
        <w:t>ute</w:t>
      </w:r>
      <w:r w:rsidR="00E21806" w:rsidRPr="00714401">
        <w:rPr>
          <w:rFonts w:ascii="Book Antiqua" w:hAnsi="Book Antiqua"/>
          <w:sz w:val="24"/>
          <w:szCs w:val="24"/>
          <w:lang w:val="en-US"/>
        </w:rPr>
        <w:t>)</w:t>
      </w:r>
      <w:r w:rsidR="00123847" w:rsidRPr="00714401">
        <w:rPr>
          <w:rFonts w:ascii="Book Antiqua" w:hAnsi="Book Antiqua"/>
          <w:sz w:val="24"/>
          <w:szCs w:val="24"/>
          <w:lang w:val="en-US"/>
        </w:rPr>
        <w:t xml:space="preserve">; </w:t>
      </w:r>
      <w:r w:rsidR="003E3A29" w:rsidRPr="00714401">
        <w:rPr>
          <w:rFonts w:ascii="Book Antiqua" w:hAnsi="Book Antiqua"/>
          <w:sz w:val="24"/>
          <w:szCs w:val="24"/>
          <w:lang w:val="en-US"/>
        </w:rPr>
        <w:t>ICG</w:t>
      </w:r>
      <w:r w:rsidR="00133B37" w:rsidRPr="00714401">
        <w:rPr>
          <w:rFonts w:ascii="Book Antiqua" w:hAnsi="Book Antiqua"/>
          <w:sz w:val="24"/>
          <w:szCs w:val="24"/>
          <w:vertAlign w:val="subscript"/>
          <w:lang w:val="en-US"/>
        </w:rPr>
        <w:t>R15</w:t>
      </w:r>
      <w:r w:rsidR="00133B37" w:rsidRPr="00714401">
        <w:rPr>
          <w:rFonts w:ascii="Book Antiqua" w:hAnsi="Book Antiqua"/>
          <w:sz w:val="24"/>
          <w:szCs w:val="24"/>
          <w:lang w:val="en-US"/>
        </w:rPr>
        <w:t xml:space="preserve"> </w:t>
      </w:r>
      <w:r w:rsidR="00123847" w:rsidRPr="00714401">
        <w:rPr>
          <w:rFonts w:ascii="Book Antiqua" w:hAnsi="Book Antiqua"/>
          <w:sz w:val="24"/>
          <w:szCs w:val="24"/>
          <w:lang w:val="en-US"/>
        </w:rPr>
        <w:t>is</w:t>
      </w:r>
      <w:r w:rsidR="0076063F" w:rsidRPr="00714401">
        <w:rPr>
          <w:rFonts w:ascii="Book Antiqua" w:hAnsi="Book Antiqua"/>
          <w:sz w:val="24"/>
          <w:szCs w:val="24"/>
          <w:lang w:val="en-US"/>
        </w:rPr>
        <w:t xml:space="preserve"> </w:t>
      </w:r>
      <w:r w:rsidR="00133B37" w:rsidRPr="00714401">
        <w:rPr>
          <w:rFonts w:ascii="Book Antiqua" w:hAnsi="Book Antiqua"/>
          <w:sz w:val="24"/>
          <w:szCs w:val="24"/>
          <w:lang w:val="en-US"/>
        </w:rPr>
        <w:t xml:space="preserve">the amount of </w:t>
      </w:r>
      <w:r w:rsidR="00FB756C" w:rsidRPr="00714401">
        <w:rPr>
          <w:rFonts w:ascii="Book Antiqua" w:hAnsi="Book Antiqua"/>
          <w:sz w:val="24"/>
          <w:szCs w:val="24"/>
          <w:lang w:val="en-US"/>
        </w:rPr>
        <w:t xml:space="preserve">the </w:t>
      </w:r>
      <w:r w:rsidR="00857C4B" w:rsidRPr="00714401">
        <w:rPr>
          <w:rFonts w:ascii="Book Antiqua" w:hAnsi="Book Antiqua"/>
          <w:sz w:val="24"/>
          <w:szCs w:val="24"/>
          <w:lang w:val="en-US"/>
        </w:rPr>
        <w:t xml:space="preserve">circulating </w:t>
      </w:r>
      <w:r w:rsidR="00133B37" w:rsidRPr="00714401">
        <w:rPr>
          <w:rFonts w:ascii="Book Antiqua" w:hAnsi="Book Antiqua"/>
          <w:sz w:val="24"/>
          <w:szCs w:val="24"/>
          <w:lang w:val="en-US"/>
        </w:rPr>
        <w:t>ICG</w:t>
      </w:r>
      <w:r w:rsidR="0076063F" w:rsidRPr="00714401">
        <w:rPr>
          <w:rFonts w:ascii="Book Antiqua" w:hAnsi="Book Antiqua"/>
          <w:sz w:val="24"/>
          <w:szCs w:val="24"/>
          <w:lang w:val="en-US"/>
        </w:rPr>
        <w:t xml:space="preserve"> </w:t>
      </w:r>
      <w:r w:rsidR="00762369" w:rsidRPr="00714401">
        <w:rPr>
          <w:rFonts w:ascii="Book Antiqua" w:hAnsi="Book Antiqua"/>
          <w:sz w:val="24"/>
          <w:szCs w:val="24"/>
          <w:lang w:val="en-US"/>
        </w:rPr>
        <w:t xml:space="preserve">fifteen </w:t>
      </w:r>
      <w:r w:rsidR="00F90597" w:rsidRPr="00714401">
        <w:rPr>
          <w:rFonts w:ascii="Book Antiqua" w:hAnsi="Book Antiqua"/>
          <w:sz w:val="24"/>
          <w:szCs w:val="24"/>
          <w:lang w:val="en-US"/>
        </w:rPr>
        <w:t>min</w:t>
      </w:r>
      <w:r w:rsidR="00762369" w:rsidRPr="00714401">
        <w:rPr>
          <w:rFonts w:ascii="Book Antiqua" w:hAnsi="Book Antiqua"/>
          <w:sz w:val="24"/>
          <w:szCs w:val="24"/>
          <w:lang w:val="en-US"/>
        </w:rPr>
        <w:t>utes</w:t>
      </w:r>
      <w:r w:rsidR="0076063F" w:rsidRPr="00714401">
        <w:rPr>
          <w:rFonts w:ascii="Book Antiqua" w:hAnsi="Book Antiqua"/>
          <w:sz w:val="24"/>
          <w:szCs w:val="24"/>
          <w:lang w:val="en-US"/>
        </w:rPr>
        <w:t xml:space="preserve"> </w:t>
      </w:r>
      <w:r w:rsidR="00731D5F" w:rsidRPr="00714401">
        <w:rPr>
          <w:rFonts w:ascii="Book Antiqua" w:hAnsi="Book Antiqua"/>
          <w:sz w:val="24"/>
          <w:szCs w:val="24"/>
          <w:lang w:val="en-US"/>
        </w:rPr>
        <w:t xml:space="preserve">after </w:t>
      </w:r>
      <w:r w:rsidRPr="00714401">
        <w:rPr>
          <w:rFonts w:ascii="Book Antiqua" w:hAnsi="Book Antiqua"/>
          <w:sz w:val="24"/>
          <w:szCs w:val="24"/>
          <w:lang w:val="en-US"/>
        </w:rPr>
        <w:t>the</w:t>
      </w:r>
      <w:r w:rsidR="003E3A29" w:rsidRPr="00714401">
        <w:rPr>
          <w:rFonts w:ascii="Book Antiqua" w:hAnsi="Book Antiqua"/>
          <w:sz w:val="24"/>
          <w:szCs w:val="24"/>
          <w:lang w:val="en-US"/>
        </w:rPr>
        <w:t xml:space="preserve"> administration</w:t>
      </w:r>
      <w:r w:rsidR="009C3C27" w:rsidRPr="00714401">
        <w:rPr>
          <w:rFonts w:ascii="Book Antiqua" w:hAnsi="Book Antiqua"/>
          <w:sz w:val="24"/>
          <w:szCs w:val="24"/>
          <w:lang w:val="en-US"/>
        </w:rPr>
        <w:t xml:space="preserve"> (%)</w:t>
      </w:r>
      <w:r w:rsidR="00731D5F" w:rsidRPr="00714401">
        <w:rPr>
          <w:rFonts w:ascii="Book Antiqua" w:hAnsi="Book Antiqua"/>
          <w:sz w:val="24"/>
          <w:szCs w:val="24"/>
          <w:lang w:val="en-US"/>
        </w:rPr>
        <w:t xml:space="preserve">. </w:t>
      </w:r>
      <w:r w:rsidR="005044AB" w:rsidRPr="00714401">
        <w:rPr>
          <w:rFonts w:ascii="Book Antiqua" w:hAnsi="Book Antiqua"/>
          <w:sz w:val="24"/>
          <w:szCs w:val="24"/>
          <w:lang w:val="en-US"/>
        </w:rPr>
        <w:t>However, a</w:t>
      </w:r>
      <w:r w:rsidR="005044AB" w:rsidRPr="00714401">
        <w:rPr>
          <w:rFonts w:ascii="Book Antiqua" w:hAnsi="Book Antiqua"/>
          <w:sz w:val="24"/>
          <w:szCs w:val="24"/>
          <w:lang w:val="sv-SE"/>
        </w:rPr>
        <w:t>t</w:t>
      </w:r>
      <w:r w:rsidR="0076063F" w:rsidRPr="00714401">
        <w:rPr>
          <w:rFonts w:ascii="Book Antiqua" w:hAnsi="Book Antiqua"/>
          <w:sz w:val="24"/>
          <w:szCs w:val="24"/>
          <w:lang w:val="sv-SE"/>
        </w:rPr>
        <w:t xml:space="preserve"> </w:t>
      </w:r>
      <w:r w:rsidR="005044AB" w:rsidRPr="00714401">
        <w:rPr>
          <w:rFonts w:ascii="Book Antiqua" w:hAnsi="Book Antiqua"/>
          <w:sz w:val="24"/>
          <w:szCs w:val="24"/>
          <w:lang w:val="sv-SE"/>
        </w:rPr>
        <w:t>variance of ICG</w:t>
      </w:r>
      <w:r w:rsidR="005044AB" w:rsidRPr="00714401">
        <w:rPr>
          <w:rFonts w:ascii="Book Antiqua" w:hAnsi="Book Antiqua"/>
          <w:sz w:val="24"/>
          <w:szCs w:val="24"/>
          <w:vertAlign w:val="subscript"/>
          <w:lang w:val="sv-SE"/>
        </w:rPr>
        <w:t>R15,</w:t>
      </w:r>
      <w:r w:rsidR="0076063F" w:rsidRPr="00714401">
        <w:rPr>
          <w:rFonts w:ascii="Book Antiqua" w:hAnsi="Book Antiqua"/>
          <w:sz w:val="24"/>
          <w:szCs w:val="24"/>
          <w:vertAlign w:val="subscript"/>
          <w:lang w:val="sv-SE"/>
        </w:rPr>
        <w:t xml:space="preserve"> </w:t>
      </w:r>
      <w:r w:rsidR="005044AB" w:rsidRPr="00714401">
        <w:rPr>
          <w:rFonts w:ascii="Book Antiqua" w:hAnsi="Book Antiqua"/>
          <w:sz w:val="24"/>
          <w:szCs w:val="24"/>
          <w:lang w:val="sv-SE"/>
        </w:rPr>
        <w:t>ICG</w:t>
      </w:r>
      <w:r w:rsidR="005044AB" w:rsidRPr="00714401">
        <w:rPr>
          <w:rFonts w:ascii="Book Antiqua" w:hAnsi="Book Antiqua"/>
          <w:sz w:val="24"/>
          <w:szCs w:val="24"/>
          <w:vertAlign w:val="subscript"/>
          <w:lang w:val="sv-SE"/>
        </w:rPr>
        <w:t>PDR</w:t>
      </w:r>
      <w:r w:rsidR="005044AB" w:rsidRPr="00714401">
        <w:rPr>
          <w:rFonts w:ascii="Book Antiqua" w:hAnsi="Book Antiqua"/>
          <w:sz w:val="24"/>
          <w:szCs w:val="24"/>
          <w:lang w:val="sv-SE"/>
        </w:rPr>
        <w:t xml:space="preserve"> should be associated with ICG uptake</w:t>
      </w:r>
      <w:r w:rsidR="00E47BEE" w:rsidRPr="00714401">
        <w:rPr>
          <w:rFonts w:ascii="Book Antiqua" w:hAnsi="Book Antiqua"/>
          <w:sz w:val="24"/>
          <w:szCs w:val="24"/>
          <w:lang w:val="sv-SE"/>
        </w:rPr>
        <w:t xml:space="preserve"> by the hepatocytes mass, </w:t>
      </w:r>
      <w:r w:rsidR="005044AB" w:rsidRPr="00714401">
        <w:rPr>
          <w:rFonts w:ascii="Book Antiqua" w:hAnsi="Book Antiqua"/>
          <w:sz w:val="24"/>
          <w:szCs w:val="24"/>
          <w:lang w:val="sv-SE"/>
        </w:rPr>
        <w:lastRenderedPageBreak/>
        <w:t xml:space="preserve">bile </w:t>
      </w:r>
      <w:r w:rsidR="005044AB" w:rsidRPr="00714401">
        <w:rPr>
          <w:rFonts w:ascii="Book Antiqua" w:hAnsi="Book Antiqua"/>
          <w:sz w:val="24"/>
          <w:szCs w:val="24"/>
          <w:lang w:val="en-GB"/>
        </w:rPr>
        <w:t>excretion</w:t>
      </w:r>
      <w:r w:rsidR="005044AB" w:rsidRPr="00714401">
        <w:rPr>
          <w:rFonts w:ascii="Book Antiqua" w:hAnsi="Book Antiqua"/>
          <w:sz w:val="24"/>
          <w:szCs w:val="24"/>
          <w:lang w:val="sv-SE"/>
        </w:rPr>
        <w:t>, blood flow - dependent liver m</w:t>
      </w:r>
      <w:r w:rsidR="009C3C27" w:rsidRPr="00714401">
        <w:rPr>
          <w:rFonts w:ascii="Book Antiqua" w:hAnsi="Book Antiqua"/>
          <w:sz w:val="24"/>
          <w:szCs w:val="24"/>
          <w:lang w:val="sv-SE"/>
        </w:rPr>
        <w:t xml:space="preserve">etabolism and the energy </w:t>
      </w:r>
      <w:proofErr w:type="gramStart"/>
      <w:r w:rsidR="009C3C27" w:rsidRPr="00714401">
        <w:rPr>
          <w:rFonts w:ascii="Book Antiqua" w:hAnsi="Book Antiqua"/>
          <w:sz w:val="24"/>
          <w:szCs w:val="24"/>
          <w:lang w:val="sv-SE"/>
        </w:rPr>
        <w:t>status</w:t>
      </w:r>
      <w:r w:rsidR="005044AB" w:rsidRPr="00714401">
        <w:rPr>
          <w:rFonts w:ascii="Book Antiqua" w:hAnsi="Book Antiqua"/>
          <w:sz w:val="24"/>
          <w:szCs w:val="24"/>
          <w:vertAlign w:val="superscript"/>
          <w:lang w:val="sv-SE"/>
        </w:rPr>
        <w:t>[</w:t>
      </w:r>
      <w:proofErr w:type="gramEnd"/>
      <w:r w:rsidR="005044AB" w:rsidRPr="00714401">
        <w:rPr>
          <w:rFonts w:ascii="Book Antiqua" w:hAnsi="Book Antiqua"/>
          <w:sz w:val="24"/>
          <w:szCs w:val="24"/>
          <w:vertAlign w:val="superscript"/>
          <w:lang w:val="sv-SE"/>
        </w:rPr>
        <w:t>17]</w:t>
      </w:r>
      <w:r w:rsidR="005044AB" w:rsidRPr="00714401">
        <w:rPr>
          <w:rFonts w:ascii="Book Antiqua" w:hAnsi="Book Antiqua"/>
          <w:sz w:val="24"/>
          <w:szCs w:val="24"/>
          <w:lang w:val="sv-SE"/>
        </w:rPr>
        <w:t xml:space="preserve">. </w:t>
      </w:r>
      <w:r w:rsidR="00FB756C" w:rsidRPr="00714401">
        <w:rPr>
          <w:rFonts w:ascii="Book Antiqua" w:hAnsi="Book Antiqua"/>
          <w:sz w:val="24"/>
          <w:szCs w:val="24"/>
          <w:lang w:val="en-US"/>
        </w:rPr>
        <w:t>Unf</w:t>
      </w:r>
      <w:r w:rsidR="00762369" w:rsidRPr="00714401">
        <w:rPr>
          <w:rFonts w:ascii="Book Antiqua" w:hAnsi="Book Antiqua"/>
          <w:sz w:val="24"/>
          <w:szCs w:val="24"/>
          <w:lang w:val="en-US"/>
        </w:rPr>
        <w:t>o</w:t>
      </w:r>
      <w:r w:rsidR="00FB756C" w:rsidRPr="00714401">
        <w:rPr>
          <w:rFonts w:ascii="Book Antiqua" w:hAnsi="Book Antiqua"/>
          <w:sz w:val="24"/>
          <w:szCs w:val="24"/>
          <w:lang w:val="en-US"/>
        </w:rPr>
        <w:t>rtunately</w:t>
      </w:r>
      <w:r w:rsidR="00FB756C" w:rsidRPr="00714401">
        <w:rPr>
          <w:rFonts w:ascii="Book Antiqua" w:hAnsi="Book Antiqua"/>
          <w:sz w:val="24"/>
          <w:szCs w:val="24"/>
          <w:lang w:val="sv-SE"/>
        </w:rPr>
        <w:t xml:space="preserve">, </w:t>
      </w:r>
      <w:r w:rsidR="00FB756C" w:rsidRPr="00714401">
        <w:rPr>
          <w:rFonts w:ascii="Book Antiqua" w:hAnsi="Book Antiqua"/>
          <w:sz w:val="24"/>
          <w:szCs w:val="24"/>
          <w:lang w:val="en-US"/>
        </w:rPr>
        <w:t>across the various studies t</w:t>
      </w:r>
      <w:r w:rsidR="00F90597" w:rsidRPr="00714401">
        <w:rPr>
          <w:rFonts w:ascii="Book Antiqua" w:hAnsi="Book Antiqua"/>
          <w:sz w:val="24"/>
          <w:szCs w:val="24"/>
          <w:lang w:val="en-US"/>
        </w:rPr>
        <w:t>he</w:t>
      </w:r>
      <w:r w:rsidR="003E3A29" w:rsidRPr="00714401">
        <w:rPr>
          <w:rFonts w:ascii="Book Antiqua" w:hAnsi="Book Antiqua"/>
          <w:sz w:val="24"/>
          <w:szCs w:val="24"/>
          <w:lang w:val="en-US"/>
        </w:rPr>
        <w:t xml:space="preserve"> </w:t>
      </w:r>
      <w:r w:rsidR="00E47BEE" w:rsidRPr="00714401">
        <w:rPr>
          <w:rFonts w:ascii="Book Antiqua" w:hAnsi="Book Antiqua"/>
          <w:sz w:val="24"/>
          <w:szCs w:val="24"/>
          <w:lang w:val="en-US"/>
        </w:rPr>
        <w:t xml:space="preserve">two </w:t>
      </w:r>
      <w:r w:rsidR="00D96BB9" w:rsidRPr="00714401">
        <w:rPr>
          <w:rFonts w:ascii="Book Antiqua" w:hAnsi="Book Antiqua"/>
          <w:sz w:val="24"/>
          <w:szCs w:val="24"/>
          <w:lang w:val="en-US"/>
        </w:rPr>
        <w:t xml:space="preserve">parameters </w:t>
      </w:r>
      <w:r w:rsidR="00F90597" w:rsidRPr="00714401">
        <w:rPr>
          <w:rFonts w:ascii="Book Antiqua" w:hAnsi="Book Antiqua"/>
          <w:sz w:val="24"/>
          <w:szCs w:val="24"/>
          <w:lang w:val="en-US"/>
        </w:rPr>
        <w:t xml:space="preserve">are used in a different </w:t>
      </w:r>
      <w:r w:rsidR="00885342" w:rsidRPr="00714401">
        <w:rPr>
          <w:rFonts w:ascii="Book Antiqua" w:hAnsi="Book Antiqua"/>
          <w:sz w:val="24"/>
          <w:szCs w:val="24"/>
          <w:lang w:val="en-US"/>
        </w:rPr>
        <w:t>and possibly co</w:t>
      </w:r>
      <w:r w:rsidR="00731D5F" w:rsidRPr="00714401">
        <w:rPr>
          <w:rFonts w:ascii="Book Antiqua" w:hAnsi="Book Antiqua"/>
          <w:sz w:val="24"/>
          <w:szCs w:val="24"/>
          <w:lang w:val="en-US"/>
        </w:rPr>
        <w:t>nfounding</w:t>
      </w:r>
      <w:r w:rsidR="00E21806" w:rsidRPr="00714401">
        <w:rPr>
          <w:rFonts w:ascii="Book Antiqua" w:hAnsi="Book Antiqua"/>
          <w:sz w:val="24"/>
          <w:szCs w:val="24"/>
          <w:lang w:val="en-US"/>
        </w:rPr>
        <w:t xml:space="preserve"> </w:t>
      </w:r>
      <w:r w:rsidR="00F90597" w:rsidRPr="00714401">
        <w:rPr>
          <w:rFonts w:ascii="Book Antiqua" w:hAnsi="Book Antiqua"/>
          <w:sz w:val="24"/>
          <w:szCs w:val="24"/>
          <w:lang w:val="en-US"/>
        </w:rPr>
        <w:t>manner</w:t>
      </w:r>
      <w:r w:rsidR="005B7568" w:rsidRPr="00714401">
        <w:rPr>
          <w:rFonts w:ascii="Book Antiqua" w:hAnsi="Book Antiqua"/>
          <w:sz w:val="24"/>
          <w:szCs w:val="24"/>
          <w:lang w:val="en-US"/>
        </w:rPr>
        <w:t xml:space="preserve">. </w:t>
      </w:r>
      <w:r w:rsidR="00731D5F"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R15</w:t>
      </w:r>
      <w:r w:rsidR="00731D5F" w:rsidRPr="00714401">
        <w:rPr>
          <w:rFonts w:ascii="Book Antiqua" w:hAnsi="Book Antiqua"/>
          <w:sz w:val="24"/>
          <w:szCs w:val="24"/>
          <w:vertAlign w:val="subscript"/>
          <w:lang w:val="en-US"/>
        </w:rPr>
        <w:t xml:space="preserve"> </w:t>
      </w:r>
      <w:r w:rsidR="00F90597" w:rsidRPr="00714401">
        <w:rPr>
          <w:rFonts w:ascii="Book Antiqua" w:hAnsi="Book Antiqua"/>
          <w:sz w:val="24"/>
          <w:szCs w:val="24"/>
          <w:lang w:val="en-US"/>
        </w:rPr>
        <w:t xml:space="preserve">is </w:t>
      </w:r>
      <w:r w:rsidR="00E47BEE" w:rsidRPr="00714401">
        <w:rPr>
          <w:rFonts w:ascii="Book Antiqua" w:hAnsi="Book Antiqua"/>
          <w:sz w:val="24"/>
          <w:szCs w:val="24"/>
          <w:lang w:val="en-US"/>
        </w:rPr>
        <w:t xml:space="preserve">almost always </w:t>
      </w:r>
      <w:r w:rsidR="007D7C3D" w:rsidRPr="00714401">
        <w:rPr>
          <w:rFonts w:ascii="Book Antiqua" w:hAnsi="Book Antiqua"/>
          <w:sz w:val="24"/>
          <w:szCs w:val="24"/>
          <w:lang w:val="en-US"/>
        </w:rPr>
        <w:t xml:space="preserve">considered </w:t>
      </w:r>
      <w:r w:rsidR="00762369" w:rsidRPr="00714401">
        <w:rPr>
          <w:rFonts w:ascii="Book Antiqua" w:hAnsi="Book Antiqua"/>
          <w:sz w:val="24"/>
          <w:szCs w:val="24"/>
          <w:lang w:val="en-US"/>
        </w:rPr>
        <w:t xml:space="preserve">for </w:t>
      </w:r>
      <w:r w:rsidR="00D96BB9" w:rsidRPr="00714401">
        <w:rPr>
          <w:rFonts w:ascii="Book Antiqua" w:hAnsi="Book Antiqua"/>
          <w:sz w:val="24"/>
          <w:szCs w:val="24"/>
          <w:lang w:val="en-US"/>
        </w:rPr>
        <w:t xml:space="preserve">the </w:t>
      </w:r>
      <w:r w:rsidR="00762369" w:rsidRPr="00714401">
        <w:rPr>
          <w:rFonts w:ascii="Book Antiqua" w:hAnsi="Book Antiqua"/>
          <w:sz w:val="24"/>
          <w:szCs w:val="24"/>
          <w:lang w:val="en-US"/>
        </w:rPr>
        <w:t xml:space="preserve">dynamic assessment of </w:t>
      </w:r>
      <w:r w:rsidR="00D96BB9" w:rsidRPr="00714401">
        <w:rPr>
          <w:rFonts w:ascii="Book Antiqua" w:hAnsi="Book Antiqua"/>
          <w:sz w:val="24"/>
          <w:szCs w:val="24"/>
          <w:lang w:val="en-US"/>
        </w:rPr>
        <w:t xml:space="preserve">hepatic </w:t>
      </w:r>
      <w:r w:rsidR="00762369" w:rsidRPr="00714401">
        <w:rPr>
          <w:rFonts w:ascii="Book Antiqua" w:hAnsi="Book Antiqua"/>
          <w:sz w:val="24"/>
          <w:szCs w:val="24"/>
          <w:lang w:val="en-US"/>
        </w:rPr>
        <w:t xml:space="preserve">functional reserve </w:t>
      </w:r>
      <w:r w:rsidR="00F90597" w:rsidRPr="00714401">
        <w:rPr>
          <w:rFonts w:ascii="Book Antiqua" w:hAnsi="Book Antiqua"/>
          <w:sz w:val="24"/>
          <w:szCs w:val="24"/>
          <w:lang w:val="en-US"/>
        </w:rPr>
        <w:t xml:space="preserve">in case of </w:t>
      </w:r>
      <w:r w:rsidR="00D96BB9" w:rsidRPr="00714401">
        <w:rPr>
          <w:rFonts w:ascii="Book Antiqua" w:hAnsi="Book Antiqua"/>
          <w:sz w:val="24"/>
          <w:szCs w:val="24"/>
          <w:lang w:val="en-US"/>
        </w:rPr>
        <w:t>liver resection for hepatocellular carcinoma on cirrhosis (HCC)</w:t>
      </w:r>
      <w:r w:rsidR="00BC5DA5" w:rsidRPr="00714401">
        <w:rPr>
          <w:rFonts w:ascii="Book Antiqua" w:hAnsi="Book Antiqua"/>
          <w:sz w:val="24"/>
          <w:szCs w:val="24"/>
          <w:vertAlign w:val="superscript"/>
          <w:lang w:val="en-US"/>
        </w:rPr>
        <w:t>[</w:t>
      </w:r>
      <w:r w:rsidR="007B2CE9" w:rsidRPr="00714401">
        <w:rPr>
          <w:rFonts w:ascii="Book Antiqua" w:hAnsi="Book Antiqua"/>
          <w:sz w:val="24"/>
          <w:szCs w:val="24"/>
          <w:vertAlign w:val="superscript"/>
          <w:lang w:val="en-US"/>
        </w:rPr>
        <w:t>5,8</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731D5F"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and </w:t>
      </w:r>
      <w:r w:rsidR="00731D5F" w:rsidRPr="00714401">
        <w:rPr>
          <w:rFonts w:ascii="Book Antiqua" w:hAnsi="Book Antiqua"/>
          <w:sz w:val="24"/>
          <w:szCs w:val="24"/>
          <w:lang w:val="en-US"/>
        </w:rPr>
        <w:t xml:space="preserve">ICG </w:t>
      </w:r>
      <w:r w:rsidR="00F90597" w:rsidRPr="00714401">
        <w:rPr>
          <w:rFonts w:ascii="Book Antiqua" w:hAnsi="Book Antiqua"/>
          <w:sz w:val="24"/>
          <w:szCs w:val="24"/>
          <w:vertAlign w:val="subscript"/>
          <w:lang w:val="en-US"/>
        </w:rPr>
        <w:t>R15</w:t>
      </w:r>
      <w:r w:rsidR="00F90597" w:rsidRPr="00714401">
        <w:rPr>
          <w:rFonts w:ascii="Book Antiqua" w:hAnsi="Book Antiqua"/>
          <w:sz w:val="24"/>
          <w:szCs w:val="24"/>
          <w:lang w:val="en-US"/>
        </w:rPr>
        <w:t xml:space="preserve"> </w:t>
      </w:r>
      <w:r w:rsidR="005044AB" w:rsidRPr="00714401">
        <w:rPr>
          <w:rFonts w:ascii="Book Antiqua" w:hAnsi="Book Antiqua"/>
          <w:sz w:val="24"/>
          <w:szCs w:val="24"/>
          <w:lang w:val="en-US"/>
        </w:rPr>
        <w:t>to assess</w:t>
      </w:r>
      <w:r w:rsidR="0076063F" w:rsidRPr="00714401">
        <w:rPr>
          <w:rFonts w:ascii="Book Antiqua" w:hAnsi="Book Antiqua"/>
          <w:sz w:val="24"/>
          <w:szCs w:val="24"/>
          <w:lang w:val="en-US"/>
        </w:rPr>
        <w:t xml:space="preserve"> </w:t>
      </w:r>
      <w:r w:rsidR="00F90597" w:rsidRPr="00714401">
        <w:rPr>
          <w:rFonts w:ascii="Book Antiqua" w:hAnsi="Book Antiqua"/>
          <w:sz w:val="24"/>
          <w:szCs w:val="24"/>
          <w:lang w:val="en-US"/>
        </w:rPr>
        <w:t>liver graft function</w:t>
      </w:r>
      <w:r w:rsidR="005044AB" w:rsidRPr="00714401">
        <w:rPr>
          <w:rFonts w:ascii="Book Antiqua" w:hAnsi="Book Antiqua"/>
          <w:sz w:val="24"/>
          <w:szCs w:val="24"/>
          <w:lang w:val="en-US"/>
        </w:rPr>
        <w:t xml:space="preserve"> after liver transplantation</w:t>
      </w:r>
      <w:r w:rsidR="00BC5DA5" w:rsidRPr="00714401">
        <w:rPr>
          <w:rFonts w:ascii="Book Antiqua" w:hAnsi="Book Antiqua"/>
          <w:sz w:val="24"/>
          <w:szCs w:val="24"/>
          <w:vertAlign w:val="superscript"/>
          <w:lang w:val="en-US"/>
        </w:rPr>
        <w:t>[</w:t>
      </w:r>
      <w:r w:rsidR="002252FB" w:rsidRPr="00714401">
        <w:rPr>
          <w:rFonts w:ascii="Book Antiqua" w:hAnsi="Book Antiqua"/>
          <w:sz w:val="24"/>
          <w:szCs w:val="24"/>
          <w:vertAlign w:val="superscript"/>
          <w:lang w:val="en-US"/>
        </w:rPr>
        <w:t>18</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r w:rsidR="00E537FF"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in </w:t>
      </w:r>
      <w:r w:rsidR="00B653A8" w:rsidRPr="00714401">
        <w:rPr>
          <w:rFonts w:ascii="Book Antiqua" w:hAnsi="Book Antiqua"/>
          <w:sz w:val="24"/>
          <w:szCs w:val="24"/>
          <w:lang w:val="en-US"/>
        </w:rPr>
        <w:t>the critical care setting</w:t>
      </w:r>
      <w:r w:rsidR="00BC5DA5" w:rsidRPr="00714401">
        <w:rPr>
          <w:rFonts w:ascii="Book Antiqua" w:hAnsi="Book Antiqua"/>
          <w:sz w:val="24"/>
          <w:szCs w:val="24"/>
          <w:vertAlign w:val="superscript"/>
          <w:lang w:val="en-US"/>
        </w:rPr>
        <w:t>[</w:t>
      </w:r>
      <w:r w:rsidR="007B2CE9" w:rsidRPr="00714401">
        <w:rPr>
          <w:rFonts w:ascii="Book Antiqua" w:hAnsi="Book Antiqua"/>
          <w:sz w:val="24"/>
          <w:szCs w:val="24"/>
          <w:vertAlign w:val="superscript"/>
          <w:lang w:val="en-US"/>
        </w:rPr>
        <w:t>2,17</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p>
    <w:p w:rsidR="003A7F64" w:rsidRPr="00714401" w:rsidRDefault="00731D5F" w:rsidP="009C3C27">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and </w:t>
      </w:r>
      <w:r w:rsidR="007D7C3D" w:rsidRPr="00714401">
        <w:rPr>
          <w:rFonts w:ascii="Book Antiqua" w:hAnsi="Book Antiqua"/>
          <w:sz w:val="24"/>
          <w:szCs w:val="24"/>
          <w:lang w:val="en-US"/>
        </w:rPr>
        <w:t>I</w:t>
      </w:r>
      <w:r w:rsidRPr="00714401">
        <w:rPr>
          <w:rFonts w:ascii="Book Antiqua" w:hAnsi="Book Antiqua"/>
          <w:sz w:val="24"/>
          <w:szCs w:val="24"/>
          <w:lang w:val="en-US"/>
        </w:rPr>
        <w:t>CG</w:t>
      </w:r>
      <w:r w:rsidR="00F90597" w:rsidRPr="00714401">
        <w:rPr>
          <w:rFonts w:ascii="Book Antiqua" w:hAnsi="Book Antiqua"/>
          <w:sz w:val="24"/>
          <w:szCs w:val="24"/>
          <w:vertAlign w:val="subscript"/>
          <w:lang w:val="en-US"/>
        </w:rPr>
        <w:t>R15</w:t>
      </w:r>
      <w:r w:rsidR="00F90597" w:rsidRPr="00714401">
        <w:rPr>
          <w:rFonts w:ascii="Book Antiqua" w:hAnsi="Book Antiqua"/>
          <w:sz w:val="24"/>
          <w:szCs w:val="24"/>
          <w:lang w:val="en-US"/>
        </w:rPr>
        <w:t xml:space="preserve"> are </w:t>
      </w:r>
      <w:r w:rsidR="007D7C3D" w:rsidRPr="00714401">
        <w:rPr>
          <w:rFonts w:ascii="Book Antiqua" w:hAnsi="Book Antiqua"/>
          <w:sz w:val="24"/>
          <w:szCs w:val="24"/>
          <w:lang w:val="en-US"/>
        </w:rPr>
        <w:t xml:space="preserve">determined </w:t>
      </w:r>
      <w:r w:rsidR="00F90597" w:rsidRPr="00714401">
        <w:rPr>
          <w:rFonts w:ascii="Book Antiqua" w:hAnsi="Book Antiqua"/>
          <w:sz w:val="24"/>
          <w:szCs w:val="24"/>
          <w:lang w:val="en-US"/>
        </w:rPr>
        <w:t xml:space="preserve">using </w:t>
      </w:r>
      <w:r w:rsidR="00683A6E" w:rsidRPr="00714401">
        <w:rPr>
          <w:rFonts w:ascii="Book Antiqua" w:hAnsi="Book Antiqua"/>
          <w:sz w:val="24"/>
          <w:szCs w:val="24"/>
          <w:lang w:val="en-US"/>
        </w:rPr>
        <w:t>either</w:t>
      </w:r>
      <w:r w:rsidR="00F90597" w:rsidRPr="00714401">
        <w:rPr>
          <w:rFonts w:ascii="Book Antiqua" w:hAnsi="Book Antiqua"/>
          <w:sz w:val="24"/>
          <w:szCs w:val="24"/>
          <w:lang w:val="en-US"/>
        </w:rPr>
        <w:t xml:space="preserve"> the </w:t>
      </w:r>
      <w:r w:rsidR="007D7C3D" w:rsidRPr="00714401">
        <w:rPr>
          <w:rFonts w:ascii="Book Antiqua" w:hAnsi="Book Antiqua"/>
          <w:sz w:val="24"/>
          <w:szCs w:val="24"/>
          <w:lang w:val="en-US"/>
        </w:rPr>
        <w:t>high performance liquid chromatography with ultraviolet and fluorescence detection (cumbersome and time consuming</w:t>
      </w:r>
      <w:r w:rsidR="00DD54AF" w:rsidRPr="00714401">
        <w:rPr>
          <w:rFonts w:ascii="Book Antiqua" w:hAnsi="Book Antiqua"/>
          <w:sz w:val="24"/>
          <w:szCs w:val="24"/>
          <w:lang w:val="en-US"/>
        </w:rPr>
        <w:t xml:space="preserve"> methodology</w:t>
      </w:r>
      <w:r w:rsidR="007D7C3D" w:rsidRPr="00714401">
        <w:rPr>
          <w:rFonts w:ascii="Book Antiqua" w:hAnsi="Book Antiqua"/>
          <w:sz w:val="24"/>
          <w:szCs w:val="24"/>
          <w:lang w:val="en-US"/>
        </w:rPr>
        <w:t xml:space="preserve">) </w:t>
      </w:r>
      <w:r w:rsidR="006579C2" w:rsidRPr="00714401">
        <w:rPr>
          <w:rFonts w:ascii="Book Antiqua" w:hAnsi="Book Antiqua"/>
          <w:sz w:val="24"/>
          <w:szCs w:val="24"/>
          <w:lang w:val="en-US"/>
        </w:rPr>
        <w:t>or,</w:t>
      </w:r>
      <w:r w:rsidR="00F90597" w:rsidRPr="00714401">
        <w:rPr>
          <w:rFonts w:ascii="Book Antiqua" w:hAnsi="Book Antiqua"/>
          <w:sz w:val="24"/>
          <w:szCs w:val="24"/>
          <w:lang w:val="en-US"/>
        </w:rPr>
        <w:t xml:space="preserve"> </w:t>
      </w:r>
      <w:r w:rsidR="005044AB" w:rsidRPr="00714401">
        <w:rPr>
          <w:rFonts w:ascii="Book Antiqua" w:hAnsi="Book Antiqua"/>
          <w:sz w:val="24"/>
          <w:szCs w:val="24"/>
          <w:lang w:val="en-US"/>
        </w:rPr>
        <w:t>as almost always reported</w:t>
      </w:r>
      <w:r w:rsidR="00DD54AF" w:rsidRPr="00714401">
        <w:rPr>
          <w:rFonts w:ascii="Book Antiqua" w:hAnsi="Book Antiqua"/>
          <w:sz w:val="24"/>
          <w:szCs w:val="24"/>
          <w:lang w:val="en-US"/>
        </w:rPr>
        <w:t xml:space="preserve"> nowadays</w:t>
      </w:r>
      <w:r w:rsidR="00240528" w:rsidRPr="00714401">
        <w:rPr>
          <w:rFonts w:ascii="Book Antiqua" w:hAnsi="Book Antiqua"/>
          <w:sz w:val="24"/>
          <w:szCs w:val="24"/>
          <w:lang w:val="en-US"/>
        </w:rPr>
        <w:t xml:space="preserve">, the modern, </w:t>
      </w:r>
      <w:r w:rsidR="00F90597" w:rsidRPr="00714401">
        <w:rPr>
          <w:rFonts w:ascii="Book Antiqua" w:hAnsi="Book Antiqua"/>
          <w:sz w:val="24"/>
          <w:szCs w:val="24"/>
          <w:lang w:val="en-US"/>
        </w:rPr>
        <w:t xml:space="preserve">non-invasive </w:t>
      </w:r>
      <w:r w:rsidR="007D7C3D" w:rsidRPr="00714401">
        <w:rPr>
          <w:rFonts w:ascii="Book Antiqua" w:hAnsi="Book Antiqua"/>
          <w:sz w:val="24"/>
          <w:szCs w:val="24"/>
          <w:lang w:val="en-US"/>
        </w:rPr>
        <w:t>P</w:t>
      </w:r>
      <w:r w:rsidR="00E36D7C" w:rsidRPr="00714401">
        <w:rPr>
          <w:rFonts w:ascii="Book Antiqua" w:hAnsi="Book Antiqua"/>
          <w:sz w:val="24"/>
          <w:szCs w:val="24"/>
          <w:lang w:val="en-US"/>
        </w:rPr>
        <w:t>D</w:t>
      </w:r>
      <w:r w:rsidR="007D7C3D" w:rsidRPr="00714401">
        <w:rPr>
          <w:rFonts w:ascii="Book Antiqua" w:hAnsi="Book Antiqua"/>
          <w:sz w:val="24"/>
          <w:szCs w:val="24"/>
          <w:lang w:val="en-US"/>
        </w:rPr>
        <w:t>D method (</w:t>
      </w:r>
      <w:r w:rsidR="00E21806" w:rsidRPr="00714401">
        <w:rPr>
          <w:rFonts w:ascii="Book Antiqua" w:hAnsi="Book Antiqua"/>
          <w:sz w:val="24"/>
          <w:szCs w:val="24"/>
          <w:lang w:val="en-US"/>
        </w:rPr>
        <w:t xml:space="preserve">pulse </w:t>
      </w:r>
      <w:r w:rsidR="006579C2" w:rsidRPr="00714401">
        <w:rPr>
          <w:rFonts w:ascii="Book Antiqua" w:hAnsi="Book Antiqua"/>
          <w:sz w:val="24"/>
          <w:szCs w:val="24"/>
          <w:lang w:val="en-US"/>
        </w:rPr>
        <w:t xml:space="preserve">dye </w:t>
      </w:r>
      <w:r w:rsidR="00F90597" w:rsidRPr="00714401">
        <w:rPr>
          <w:rFonts w:ascii="Book Antiqua" w:hAnsi="Book Antiqua"/>
          <w:sz w:val="24"/>
          <w:szCs w:val="24"/>
          <w:lang w:val="en-US"/>
        </w:rPr>
        <w:t>densitome</w:t>
      </w:r>
      <w:r w:rsidR="00CF0B97" w:rsidRPr="00714401">
        <w:rPr>
          <w:rFonts w:ascii="Book Antiqua" w:hAnsi="Book Antiqua"/>
          <w:sz w:val="24"/>
          <w:szCs w:val="24"/>
          <w:lang w:val="en-US"/>
        </w:rPr>
        <w:t>try</w:t>
      </w:r>
      <w:r w:rsidR="00240528" w:rsidRPr="00714401">
        <w:rPr>
          <w:rFonts w:ascii="Book Antiqua" w:hAnsi="Book Antiqua"/>
          <w:sz w:val="24"/>
          <w:szCs w:val="24"/>
          <w:lang w:val="en-US"/>
        </w:rPr>
        <w:t xml:space="preserve"> method </w:t>
      </w:r>
      <w:r w:rsidR="00CF0B97" w:rsidRPr="00714401">
        <w:rPr>
          <w:rFonts w:ascii="Book Antiqua" w:hAnsi="Book Antiqua"/>
          <w:sz w:val="24"/>
          <w:szCs w:val="24"/>
          <w:lang w:val="en-US"/>
        </w:rPr>
        <w:t>and spectrophotometry</w:t>
      </w:r>
      <w:r w:rsidRPr="00714401">
        <w:rPr>
          <w:rFonts w:ascii="Book Antiqua" w:hAnsi="Book Antiqua"/>
          <w:sz w:val="24"/>
          <w:szCs w:val="24"/>
          <w:lang w:val="en-US"/>
        </w:rPr>
        <w:t>)</w:t>
      </w:r>
      <w:r w:rsidR="007B2CE9" w:rsidRPr="00714401">
        <w:rPr>
          <w:rFonts w:ascii="Book Antiqua" w:hAnsi="Book Antiqua"/>
          <w:sz w:val="24"/>
          <w:szCs w:val="24"/>
          <w:vertAlign w:val="superscript"/>
          <w:lang w:val="en-US"/>
        </w:rPr>
        <w:t>[6-8</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r w:rsidR="00B653A8" w:rsidRPr="00714401">
        <w:rPr>
          <w:rFonts w:ascii="Book Antiqua" w:hAnsi="Book Antiqua"/>
          <w:sz w:val="24"/>
          <w:szCs w:val="24"/>
          <w:lang w:val="en-US"/>
        </w:rPr>
        <w:t xml:space="preserve">A first </w:t>
      </w:r>
      <w:r w:rsidR="00C25FB6" w:rsidRPr="00714401">
        <w:rPr>
          <w:rFonts w:ascii="Book Antiqua" w:hAnsi="Book Antiqua"/>
          <w:sz w:val="24"/>
          <w:szCs w:val="24"/>
          <w:lang w:val="en-US"/>
        </w:rPr>
        <w:t>“invasive”</w:t>
      </w:r>
      <w:r w:rsidR="00762369" w:rsidRPr="00714401">
        <w:rPr>
          <w:rFonts w:ascii="Book Antiqua" w:hAnsi="Book Antiqua"/>
          <w:sz w:val="24"/>
          <w:szCs w:val="24"/>
          <w:lang w:val="en-US"/>
        </w:rPr>
        <w:t xml:space="preserve"> </w:t>
      </w:r>
      <w:r w:rsidR="00C25FB6" w:rsidRPr="00714401">
        <w:rPr>
          <w:rFonts w:ascii="Book Antiqua" w:hAnsi="Book Antiqua"/>
          <w:sz w:val="24"/>
          <w:szCs w:val="24"/>
          <w:lang w:val="en-US"/>
        </w:rPr>
        <w:t>tool</w:t>
      </w:r>
      <w:r w:rsidR="0076063F" w:rsidRPr="00714401">
        <w:rPr>
          <w:rFonts w:ascii="Book Antiqua" w:hAnsi="Book Antiqua"/>
          <w:sz w:val="24"/>
          <w:szCs w:val="24"/>
          <w:lang w:val="en-US"/>
        </w:rPr>
        <w:t xml:space="preserve"> </w:t>
      </w:r>
      <w:r w:rsidR="00B653A8" w:rsidRPr="00714401">
        <w:rPr>
          <w:rFonts w:ascii="Book Antiqua" w:hAnsi="Book Antiqua"/>
          <w:sz w:val="24"/>
          <w:szCs w:val="24"/>
          <w:lang w:val="en-US"/>
        </w:rPr>
        <w:t>was available i</w:t>
      </w:r>
      <w:r w:rsidR="00F90597" w:rsidRPr="00714401">
        <w:rPr>
          <w:rFonts w:ascii="Book Antiqua" w:hAnsi="Book Antiqua"/>
          <w:sz w:val="24"/>
          <w:szCs w:val="24"/>
          <w:lang w:val="en-US"/>
        </w:rPr>
        <w:t xml:space="preserve">n the </w:t>
      </w:r>
      <w:r w:rsidR="00240528" w:rsidRPr="00714401">
        <w:rPr>
          <w:rFonts w:ascii="Book Antiqua" w:hAnsi="Book Antiqua"/>
          <w:sz w:val="24"/>
          <w:szCs w:val="24"/>
          <w:lang w:val="en-US"/>
        </w:rPr>
        <w:t xml:space="preserve">early </w:t>
      </w:r>
      <w:r w:rsidR="00857C4B" w:rsidRPr="00714401">
        <w:rPr>
          <w:rFonts w:ascii="Book Antiqua" w:hAnsi="Book Antiqua"/>
          <w:sz w:val="24"/>
          <w:szCs w:val="24"/>
          <w:lang w:val="en-US"/>
        </w:rPr>
        <w:t xml:space="preserve">nineties </w:t>
      </w:r>
      <w:r w:rsidR="00B653A8" w:rsidRPr="00714401">
        <w:rPr>
          <w:rFonts w:ascii="Book Antiqua" w:hAnsi="Book Antiqua"/>
          <w:sz w:val="24"/>
          <w:szCs w:val="24"/>
          <w:lang w:val="en-US"/>
        </w:rPr>
        <w:t xml:space="preserve">with </w:t>
      </w:r>
      <w:r w:rsidR="00240528" w:rsidRPr="00714401">
        <w:rPr>
          <w:rFonts w:ascii="Book Antiqua" w:hAnsi="Book Antiqua"/>
          <w:sz w:val="24"/>
          <w:szCs w:val="24"/>
          <w:lang w:val="en-US"/>
        </w:rPr>
        <w:t>the COLD System</w:t>
      </w:r>
      <w:r w:rsidR="00E06554" w:rsidRPr="00714401">
        <w:rPr>
          <w:rFonts w:ascii="Book Antiqua" w:hAnsi="Book Antiqua"/>
          <w:sz w:val="24"/>
          <w:szCs w:val="24"/>
          <w:lang w:val="en-US"/>
        </w:rPr>
        <w:t xml:space="preserve"> </w:t>
      </w:r>
      <w:r w:rsidR="00240528" w:rsidRPr="00714401">
        <w:rPr>
          <w:rFonts w:ascii="Book Antiqua" w:hAnsi="Book Antiqua"/>
          <w:sz w:val="24"/>
          <w:szCs w:val="24"/>
          <w:lang w:val="en-US"/>
        </w:rPr>
        <w:t>(</w:t>
      </w:r>
      <w:proofErr w:type="spellStart"/>
      <w:r w:rsidR="00240528" w:rsidRPr="00714401">
        <w:rPr>
          <w:rFonts w:ascii="Book Antiqua" w:hAnsi="Book Antiqua"/>
          <w:sz w:val="24"/>
          <w:szCs w:val="24"/>
          <w:lang w:val="en-US"/>
        </w:rPr>
        <w:t>Pulsion</w:t>
      </w:r>
      <w:proofErr w:type="spellEnd"/>
      <w:r w:rsidR="00631842" w:rsidRPr="00714401">
        <w:rPr>
          <w:rFonts w:ascii="Book Antiqua" w:hAnsi="Book Antiqua"/>
          <w:sz w:val="24"/>
          <w:szCs w:val="24"/>
          <w:lang w:val="en-US"/>
        </w:rPr>
        <w:t xml:space="preserve"> Medical System</w:t>
      </w:r>
      <w:r w:rsidR="00240528" w:rsidRPr="00714401">
        <w:rPr>
          <w:rFonts w:ascii="Book Antiqua" w:hAnsi="Book Antiqua"/>
          <w:sz w:val="24"/>
          <w:szCs w:val="24"/>
          <w:lang w:val="en-US"/>
        </w:rPr>
        <w:t>, Germany):</w:t>
      </w:r>
      <w:r w:rsidR="0076063F" w:rsidRPr="00714401">
        <w:rPr>
          <w:rFonts w:ascii="Book Antiqua" w:hAnsi="Book Antiqua"/>
          <w:sz w:val="24"/>
          <w:szCs w:val="24"/>
          <w:lang w:val="en-US"/>
        </w:rPr>
        <w:t xml:space="preserve"> </w:t>
      </w:r>
      <w:r w:rsidR="00E537FF" w:rsidRPr="00714401">
        <w:rPr>
          <w:rFonts w:ascii="Book Antiqua" w:hAnsi="Book Antiqua"/>
          <w:sz w:val="24"/>
          <w:szCs w:val="24"/>
          <w:lang w:val="en-US"/>
        </w:rPr>
        <w:t>ICG</w:t>
      </w:r>
      <w:r w:rsidR="002B1B6C" w:rsidRPr="00714401">
        <w:rPr>
          <w:rFonts w:ascii="Book Antiqua" w:hAnsi="Book Antiqua"/>
          <w:sz w:val="24"/>
          <w:szCs w:val="24"/>
          <w:vertAlign w:val="subscript"/>
          <w:lang w:val="en-US"/>
        </w:rPr>
        <w:t>PDR</w:t>
      </w:r>
      <w:r w:rsidR="002B1B6C" w:rsidRPr="00714401">
        <w:rPr>
          <w:rFonts w:ascii="Book Antiqua" w:hAnsi="Book Antiqua"/>
          <w:sz w:val="24"/>
          <w:szCs w:val="24"/>
          <w:lang w:val="en-US"/>
        </w:rPr>
        <w:t xml:space="preserve"> </w:t>
      </w:r>
      <w:r w:rsidR="00240528" w:rsidRPr="00714401">
        <w:rPr>
          <w:rFonts w:ascii="Book Antiqua" w:hAnsi="Book Antiqua"/>
          <w:sz w:val="24"/>
          <w:szCs w:val="24"/>
          <w:lang w:val="en-US"/>
        </w:rPr>
        <w:t xml:space="preserve">was measured </w:t>
      </w:r>
      <w:r w:rsidR="00C25FB6" w:rsidRPr="00714401">
        <w:rPr>
          <w:rFonts w:ascii="Book Antiqua" w:hAnsi="Book Antiqua"/>
          <w:sz w:val="24"/>
          <w:szCs w:val="24"/>
          <w:lang w:val="en-US"/>
        </w:rPr>
        <w:t xml:space="preserve">using </w:t>
      </w:r>
      <w:r w:rsidR="002B1B6C" w:rsidRPr="00714401">
        <w:rPr>
          <w:rFonts w:ascii="Book Antiqua" w:hAnsi="Book Antiqua"/>
          <w:sz w:val="24"/>
          <w:szCs w:val="24"/>
          <w:lang w:val="en-US"/>
        </w:rPr>
        <w:t>a</w:t>
      </w:r>
      <w:r w:rsidR="00C25FB6" w:rsidRPr="00714401">
        <w:rPr>
          <w:rFonts w:ascii="Book Antiqua" w:hAnsi="Book Antiqua"/>
          <w:sz w:val="24"/>
          <w:szCs w:val="24"/>
          <w:lang w:val="en-US"/>
        </w:rPr>
        <w:t xml:space="preserve">n arterial </w:t>
      </w:r>
      <w:proofErr w:type="spellStart"/>
      <w:r w:rsidR="006579C2" w:rsidRPr="00714401">
        <w:rPr>
          <w:rFonts w:ascii="Book Antiqua" w:hAnsi="Book Antiqua"/>
          <w:sz w:val="24"/>
          <w:szCs w:val="24"/>
          <w:lang w:val="en-US"/>
        </w:rPr>
        <w:t>fiberoptic</w:t>
      </w:r>
      <w:proofErr w:type="spellEnd"/>
      <w:r w:rsidR="006579C2" w:rsidRPr="00714401">
        <w:rPr>
          <w:rFonts w:ascii="Book Antiqua" w:hAnsi="Book Antiqua"/>
          <w:sz w:val="24"/>
          <w:szCs w:val="24"/>
          <w:lang w:val="en-US"/>
        </w:rPr>
        <w:t xml:space="preserve"> </w:t>
      </w:r>
      <w:r w:rsidR="00C01B8C" w:rsidRPr="00714401">
        <w:rPr>
          <w:rFonts w:ascii="Book Antiqua" w:hAnsi="Book Antiqua"/>
          <w:sz w:val="24"/>
          <w:szCs w:val="24"/>
          <w:lang w:val="en-US"/>
        </w:rPr>
        <w:t>catheter</w:t>
      </w:r>
      <w:r w:rsidR="00C25FB6" w:rsidRPr="00714401">
        <w:rPr>
          <w:rFonts w:ascii="Book Antiqua" w:hAnsi="Book Antiqua"/>
          <w:sz w:val="24"/>
          <w:szCs w:val="24"/>
          <w:lang w:val="en-US"/>
        </w:rPr>
        <w:t xml:space="preserve"> inse</w:t>
      </w:r>
      <w:r w:rsidR="00D90BBA" w:rsidRPr="00714401">
        <w:rPr>
          <w:rFonts w:ascii="Book Antiqua" w:hAnsi="Book Antiqua"/>
          <w:sz w:val="24"/>
          <w:szCs w:val="24"/>
          <w:lang w:val="en-US"/>
        </w:rPr>
        <w:t xml:space="preserve">rted </w:t>
      </w:r>
      <w:r w:rsidR="00C25FB6" w:rsidRPr="00714401">
        <w:rPr>
          <w:rFonts w:ascii="Book Antiqua" w:hAnsi="Book Antiqua"/>
          <w:sz w:val="24"/>
          <w:szCs w:val="24"/>
          <w:lang w:val="en-US"/>
        </w:rPr>
        <w:t xml:space="preserve">in the femoral artery and </w:t>
      </w:r>
      <w:r w:rsidR="00FA5718" w:rsidRPr="00714401">
        <w:rPr>
          <w:rFonts w:ascii="Book Antiqua" w:hAnsi="Book Antiqua"/>
          <w:sz w:val="24"/>
          <w:szCs w:val="24"/>
          <w:lang w:val="en-US"/>
        </w:rPr>
        <w:t xml:space="preserve">connected to </w:t>
      </w:r>
      <w:r w:rsidR="00E537FF" w:rsidRPr="00714401">
        <w:rPr>
          <w:rFonts w:ascii="Book Antiqua" w:hAnsi="Book Antiqua"/>
          <w:sz w:val="24"/>
          <w:szCs w:val="24"/>
          <w:lang w:val="en-US"/>
        </w:rPr>
        <w:t xml:space="preserve">the </w:t>
      </w:r>
      <w:r w:rsidR="00E47BEE" w:rsidRPr="00714401">
        <w:rPr>
          <w:rFonts w:ascii="Book Antiqua" w:hAnsi="Book Antiqua"/>
          <w:sz w:val="24"/>
          <w:szCs w:val="24"/>
          <w:lang w:val="en-US"/>
        </w:rPr>
        <w:t xml:space="preserve">COLD </w:t>
      </w:r>
      <w:r w:rsidR="00240528" w:rsidRPr="00714401">
        <w:rPr>
          <w:rFonts w:ascii="Book Antiqua" w:hAnsi="Book Antiqua"/>
          <w:sz w:val="24"/>
          <w:szCs w:val="24"/>
          <w:lang w:val="en-US"/>
        </w:rPr>
        <w:t>s</w:t>
      </w:r>
      <w:r w:rsidR="002B1B6C" w:rsidRPr="00714401">
        <w:rPr>
          <w:rFonts w:ascii="Book Antiqua" w:hAnsi="Book Antiqua"/>
          <w:sz w:val="24"/>
          <w:szCs w:val="24"/>
          <w:lang w:val="en-US"/>
        </w:rPr>
        <w:t>ystem</w:t>
      </w:r>
      <w:r w:rsidR="00240528" w:rsidRPr="00714401">
        <w:rPr>
          <w:rFonts w:ascii="Book Antiqua" w:hAnsi="Book Antiqua"/>
          <w:sz w:val="24"/>
          <w:szCs w:val="24"/>
          <w:lang w:val="en-US"/>
        </w:rPr>
        <w:t>.</w:t>
      </w:r>
      <w:r w:rsidR="00DD54AF" w:rsidRPr="00714401">
        <w:rPr>
          <w:rFonts w:ascii="Book Antiqua" w:hAnsi="Book Antiqua"/>
          <w:sz w:val="24"/>
          <w:szCs w:val="24"/>
          <w:lang w:val="en-US"/>
        </w:rPr>
        <w:t xml:space="preserve"> </w:t>
      </w:r>
      <w:r w:rsidR="00FA5718" w:rsidRPr="00714401">
        <w:rPr>
          <w:rFonts w:ascii="Book Antiqua" w:hAnsi="Book Antiqua"/>
          <w:sz w:val="24"/>
          <w:szCs w:val="24"/>
          <w:lang w:val="en-US"/>
        </w:rPr>
        <w:t>T</w:t>
      </w:r>
      <w:r w:rsidR="00B0388F" w:rsidRPr="00714401">
        <w:rPr>
          <w:rFonts w:ascii="Book Antiqua" w:hAnsi="Book Antiqua"/>
          <w:sz w:val="24"/>
          <w:szCs w:val="24"/>
          <w:lang w:val="en-US"/>
        </w:rPr>
        <w:t xml:space="preserve">he system </w:t>
      </w:r>
      <w:r w:rsidR="00FA5718" w:rsidRPr="00714401">
        <w:rPr>
          <w:rFonts w:ascii="Book Antiqua" w:hAnsi="Book Antiqua"/>
          <w:sz w:val="24"/>
          <w:szCs w:val="24"/>
          <w:lang w:val="en-US"/>
        </w:rPr>
        <w:t>provide</w:t>
      </w:r>
      <w:r w:rsidR="00C25FB6" w:rsidRPr="00714401">
        <w:rPr>
          <w:rFonts w:ascii="Book Antiqua" w:hAnsi="Book Antiqua"/>
          <w:sz w:val="24"/>
          <w:szCs w:val="24"/>
          <w:lang w:val="en-US"/>
        </w:rPr>
        <w:t>d</w:t>
      </w:r>
      <w:r w:rsidR="00FA5718" w:rsidRPr="00714401">
        <w:rPr>
          <w:rFonts w:ascii="Book Antiqua" w:hAnsi="Book Antiqua"/>
          <w:sz w:val="24"/>
          <w:szCs w:val="24"/>
          <w:lang w:val="en-US"/>
        </w:rPr>
        <w:t xml:space="preserve"> a</w:t>
      </w:r>
      <w:r w:rsidR="00B0388F" w:rsidRPr="00714401">
        <w:rPr>
          <w:rFonts w:ascii="Book Antiqua" w:hAnsi="Book Antiqua"/>
          <w:sz w:val="24"/>
          <w:szCs w:val="24"/>
          <w:lang w:val="en-US"/>
        </w:rPr>
        <w:t xml:space="preserve"> complete and advanced </w:t>
      </w:r>
      <w:r w:rsidR="00F90597" w:rsidRPr="00714401">
        <w:rPr>
          <w:rFonts w:ascii="Book Antiqua" w:hAnsi="Book Antiqua"/>
          <w:sz w:val="24"/>
          <w:szCs w:val="24"/>
          <w:lang w:val="en-US"/>
        </w:rPr>
        <w:t xml:space="preserve">volumetric </w:t>
      </w:r>
      <w:r w:rsidR="00BC27D4" w:rsidRPr="00714401">
        <w:rPr>
          <w:rFonts w:ascii="Book Antiqua" w:hAnsi="Book Antiqua"/>
          <w:sz w:val="24"/>
          <w:szCs w:val="24"/>
          <w:lang w:val="en-US"/>
        </w:rPr>
        <w:t>h</w:t>
      </w:r>
      <w:r w:rsidR="00F7235A" w:rsidRPr="00714401">
        <w:rPr>
          <w:rFonts w:ascii="Book Antiqua" w:hAnsi="Book Antiqua"/>
          <w:sz w:val="24"/>
          <w:szCs w:val="24"/>
          <w:lang w:val="en-US"/>
        </w:rPr>
        <w:t>emo</w:t>
      </w:r>
      <w:r w:rsidR="00683A6E" w:rsidRPr="00714401">
        <w:rPr>
          <w:rFonts w:ascii="Book Antiqua" w:hAnsi="Book Antiqua"/>
          <w:sz w:val="24"/>
          <w:szCs w:val="24"/>
          <w:lang w:val="en-US"/>
        </w:rPr>
        <w:t>dynamic</w:t>
      </w:r>
      <w:r w:rsidR="00B0388F" w:rsidRPr="00714401">
        <w:rPr>
          <w:rFonts w:ascii="Book Antiqua" w:hAnsi="Book Antiqua"/>
          <w:sz w:val="24"/>
          <w:szCs w:val="24"/>
          <w:lang w:val="en-US"/>
        </w:rPr>
        <w:t xml:space="preserve"> profile</w:t>
      </w:r>
      <w:r w:rsidR="00E754EC" w:rsidRPr="00714401">
        <w:rPr>
          <w:rFonts w:ascii="Book Antiqua" w:hAnsi="Book Antiqua"/>
          <w:sz w:val="24"/>
          <w:szCs w:val="24"/>
          <w:lang w:val="en-US"/>
        </w:rPr>
        <w:t xml:space="preserve"> </w:t>
      </w:r>
      <w:r w:rsidR="00FA5718" w:rsidRPr="00714401">
        <w:rPr>
          <w:rFonts w:ascii="Book Antiqua" w:hAnsi="Book Antiqua"/>
          <w:sz w:val="24"/>
          <w:szCs w:val="24"/>
          <w:lang w:val="en-US"/>
        </w:rPr>
        <w:t xml:space="preserve">and the </w:t>
      </w:r>
      <w:proofErr w:type="gramStart"/>
      <w:r w:rsidR="00FA5718" w:rsidRPr="00714401">
        <w:rPr>
          <w:rFonts w:ascii="Book Antiqua" w:hAnsi="Book Antiqua"/>
          <w:sz w:val="24"/>
          <w:szCs w:val="24"/>
          <w:lang w:val="en-US"/>
        </w:rPr>
        <w:t>ICG</w:t>
      </w:r>
      <w:r w:rsidR="00FA5718" w:rsidRPr="00714401">
        <w:rPr>
          <w:rFonts w:ascii="Book Antiqua" w:hAnsi="Book Antiqua"/>
          <w:sz w:val="24"/>
          <w:szCs w:val="24"/>
          <w:vertAlign w:val="subscript"/>
          <w:lang w:val="en-US"/>
        </w:rPr>
        <w:t>PDR</w:t>
      </w:r>
      <w:r w:rsidR="00BC5DA5"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19</w:t>
      </w:r>
      <w:r w:rsidR="00BC5DA5" w:rsidRPr="00714401">
        <w:rPr>
          <w:rFonts w:ascii="Book Antiqua" w:hAnsi="Book Antiqua"/>
          <w:sz w:val="24"/>
          <w:szCs w:val="24"/>
          <w:vertAlign w:val="superscript"/>
          <w:lang w:val="en-US"/>
        </w:rPr>
        <w:t>]</w:t>
      </w:r>
      <w:r w:rsidR="009A7009" w:rsidRPr="00714401">
        <w:rPr>
          <w:rFonts w:ascii="Book Antiqua" w:hAnsi="Book Antiqua"/>
          <w:sz w:val="24"/>
          <w:szCs w:val="24"/>
          <w:lang w:val="en-US"/>
        </w:rPr>
        <w:t>.</w:t>
      </w:r>
      <w:r w:rsidR="00DA30DC" w:rsidRPr="00714401">
        <w:rPr>
          <w:rFonts w:ascii="Book Antiqua" w:hAnsi="Book Antiqua"/>
          <w:sz w:val="24"/>
          <w:szCs w:val="24"/>
          <w:lang w:val="en-US"/>
        </w:rPr>
        <w:t xml:space="preserve"> </w:t>
      </w:r>
      <w:r w:rsidR="00DD54AF" w:rsidRPr="00714401">
        <w:rPr>
          <w:rFonts w:ascii="Book Antiqua" w:hAnsi="Book Antiqua"/>
          <w:sz w:val="24"/>
          <w:szCs w:val="24"/>
          <w:lang w:val="en-US"/>
        </w:rPr>
        <w:t>A non invasive, optical transcutaneous pulse spectrophotometric sensor (</w:t>
      </w:r>
      <w:r w:rsidR="00FA5718" w:rsidRPr="00714401">
        <w:rPr>
          <w:rFonts w:ascii="Book Antiqua" w:hAnsi="Book Antiqua"/>
          <w:sz w:val="24"/>
          <w:szCs w:val="24"/>
          <w:lang w:val="en-US"/>
        </w:rPr>
        <w:t>P</w:t>
      </w:r>
      <w:r w:rsidR="00E36D7C" w:rsidRPr="00714401">
        <w:rPr>
          <w:rFonts w:ascii="Book Antiqua" w:hAnsi="Book Antiqua"/>
          <w:sz w:val="24"/>
          <w:szCs w:val="24"/>
          <w:lang w:val="en-US"/>
        </w:rPr>
        <w:t>D</w:t>
      </w:r>
      <w:r w:rsidR="00FA5718" w:rsidRPr="00714401">
        <w:rPr>
          <w:rFonts w:ascii="Book Antiqua" w:hAnsi="Book Antiqua"/>
          <w:sz w:val="24"/>
          <w:szCs w:val="24"/>
          <w:lang w:val="en-US"/>
        </w:rPr>
        <w:t xml:space="preserve">D </w:t>
      </w:r>
      <w:r w:rsidR="00DD54AF" w:rsidRPr="00714401">
        <w:rPr>
          <w:rFonts w:ascii="Book Antiqua" w:hAnsi="Book Antiqua"/>
          <w:sz w:val="24"/>
          <w:szCs w:val="24"/>
          <w:lang w:val="en-US"/>
        </w:rPr>
        <w:t xml:space="preserve">technology) is </w:t>
      </w:r>
      <w:r w:rsidR="00C25FB6" w:rsidRPr="00714401">
        <w:rPr>
          <w:rFonts w:ascii="Book Antiqua" w:hAnsi="Book Antiqua"/>
          <w:sz w:val="24"/>
          <w:szCs w:val="24"/>
          <w:lang w:val="en-US"/>
        </w:rPr>
        <w:t xml:space="preserve">instead used </w:t>
      </w:r>
      <w:r w:rsidR="006A5239" w:rsidRPr="00714401">
        <w:rPr>
          <w:rFonts w:ascii="Book Antiqua" w:hAnsi="Book Antiqua"/>
          <w:sz w:val="24"/>
          <w:szCs w:val="24"/>
          <w:lang w:val="en-US"/>
        </w:rPr>
        <w:t>by</w:t>
      </w:r>
      <w:r w:rsidR="0076063F" w:rsidRPr="00714401">
        <w:rPr>
          <w:rFonts w:ascii="Book Antiqua" w:hAnsi="Book Antiqua"/>
          <w:sz w:val="24"/>
          <w:szCs w:val="24"/>
          <w:lang w:val="en-US"/>
        </w:rPr>
        <w:t xml:space="preserve"> </w:t>
      </w:r>
      <w:proofErr w:type="spellStart"/>
      <w:r w:rsidR="00A820C5" w:rsidRPr="00714401">
        <w:rPr>
          <w:rFonts w:ascii="Book Antiqua" w:hAnsi="Book Antiqua"/>
          <w:sz w:val="24"/>
          <w:szCs w:val="24"/>
          <w:lang w:val="en-US"/>
        </w:rPr>
        <w:t>LiMON</w:t>
      </w:r>
      <w:proofErr w:type="spellEnd"/>
      <w:r w:rsidR="00A820C5" w:rsidRPr="00714401">
        <w:rPr>
          <w:rFonts w:ascii="Book Antiqua" w:hAnsi="Book Antiqua"/>
          <w:sz w:val="24"/>
          <w:szCs w:val="24"/>
          <w:lang w:val="en-US"/>
        </w:rPr>
        <w:t xml:space="preserve">, </w:t>
      </w:r>
      <w:r w:rsidR="00DD54AF" w:rsidRPr="00714401">
        <w:rPr>
          <w:rFonts w:ascii="Book Antiqua" w:hAnsi="Book Antiqua"/>
          <w:sz w:val="24"/>
          <w:szCs w:val="24"/>
          <w:lang w:val="en-US"/>
        </w:rPr>
        <w:t>(</w:t>
      </w:r>
      <w:proofErr w:type="spellStart"/>
      <w:r w:rsidR="00631842" w:rsidRPr="00714401">
        <w:rPr>
          <w:rFonts w:ascii="Book Antiqua" w:hAnsi="Book Antiqua"/>
          <w:sz w:val="24"/>
          <w:szCs w:val="24"/>
          <w:lang w:val="en-US"/>
        </w:rPr>
        <w:t>Pulsion</w:t>
      </w:r>
      <w:proofErr w:type="spellEnd"/>
      <w:r w:rsidR="00631842" w:rsidRPr="00714401">
        <w:rPr>
          <w:rFonts w:ascii="Book Antiqua" w:hAnsi="Book Antiqua"/>
          <w:sz w:val="24"/>
          <w:szCs w:val="24"/>
          <w:lang w:val="en-US"/>
        </w:rPr>
        <w:t xml:space="preserve"> Medical System,</w:t>
      </w:r>
      <w:r w:rsidR="0076063F" w:rsidRPr="00714401">
        <w:rPr>
          <w:rFonts w:ascii="Book Antiqua" w:hAnsi="Book Antiqua"/>
          <w:sz w:val="24"/>
          <w:szCs w:val="24"/>
          <w:lang w:val="en-US"/>
        </w:rPr>
        <w:t xml:space="preserve"> </w:t>
      </w:r>
      <w:r w:rsidR="00A820C5" w:rsidRPr="00714401">
        <w:rPr>
          <w:rFonts w:ascii="Book Antiqua" w:hAnsi="Book Antiqua"/>
          <w:sz w:val="24"/>
          <w:szCs w:val="24"/>
          <w:lang w:val="en-US"/>
        </w:rPr>
        <w:t>Germany</w:t>
      </w:r>
      <w:r w:rsidR="00DD54AF" w:rsidRPr="00714401">
        <w:rPr>
          <w:rFonts w:ascii="Book Antiqua" w:hAnsi="Book Antiqua"/>
          <w:sz w:val="24"/>
          <w:szCs w:val="24"/>
          <w:lang w:val="en-US"/>
        </w:rPr>
        <w:t xml:space="preserve">) and </w:t>
      </w:r>
      <w:r w:rsidR="00E537FF" w:rsidRPr="00714401">
        <w:rPr>
          <w:rFonts w:ascii="Book Antiqua" w:hAnsi="Book Antiqua"/>
          <w:sz w:val="24"/>
          <w:szCs w:val="24"/>
          <w:lang w:val="en-US"/>
        </w:rPr>
        <w:t>DDG</w:t>
      </w:r>
      <w:r w:rsidR="00DD54AF" w:rsidRPr="00714401">
        <w:rPr>
          <w:rFonts w:ascii="Book Antiqua" w:hAnsi="Book Antiqua"/>
          <w:sz w:val="24"/>
          <w:szCs w:val="24"/>
          <w:lang w:val="en-US"/>
        </w:rPr>
        <w:t xml:space="preserve"> 2001</w:t>
      </w:r>
      <w:r w:rsidR="00BC27D4" w:rsidRPr="00714401">
        <w:rPr>
          <w:rFonts w:ascii="Book Antiqua" w:hAnsi="Book Antiqua"/>
          <w:sz w:val="24"/>
          <w:szCs w:val="24"/>
          <w:lang w:val="en-US"/>
        </w:rPr>
        <w:t>,</w:t>
      </w:r>
      <w:r w:rsidR="00E537FF" w:rsidRPr="00714401">
        <w:rPr>
          <w:rFonts w:ascii="Book Antiqua" w:hAnsi="Book Antiqua"/>
          <w:sz w:val="24"/>
          <w:szCs w:val="24"/>
          <w:lang w:val="en-US"/>
        </w:rPr>
        <w:t xml:space="preserve"> </w:t>
      </w:r>
      <w:r w:rsidR="00DD54AF" w:rsidRPr="00714401">
        <w:rPr>
          <w:rFonts w:ascii="Book Antiqua" w:hAnsi="Book Antiqua"/>
          <w:sz w:val="24"/>
          <w:szCs w:val="24"/>
          <w:lang w:val="en-US"/>
        </w:rPr>
        <w:t>(</w:t>
      </w:r>
      <w:r w:rsidR="00E537FF" w:rsidRPr="00714401">
        <w:rPr>
          <w:rFonts w:ascii="Book Antiqua" w:hAnsi="Book Antiqua"/>
          <w:sz w:val="24"/>
          <w:szCs w:val="24"/>
          <w:lang w:val="en-US"/>
        </w:rPr>
        <w:t xml:space="preserve">Nihon </w:t>
      </w:r>
      <w:proofErr w:type="spellStart"/>
      <w:r w:rsidR="00E537FF" w:rsidRPr="00714401">
        <w:rPr>
          <w:rFonts w:ascii="Book Antiqua" w:hAnsi="Book Antiqua"/>
          <w:sz w:val="24"/>
          <w:szCs w:val="24"/>
          <w:lang w:val="en-US"/>
        </w:rPr>
        <w:t>Kohden</w:t>
      </w:r>
      <w:proofErr w:type="spellEnd"/>
      <w:r w:rsidR="00A820C5" w:rsidRPr="00714401">
        <w:rPr>
          <w:rFonts w:ascii="Book Antiqua" w:hAnsi="Book Antiqua"/>
          <w:sz w:val="24"/>
          <w:szCs w:val="24"/>
          <w:lang w:val="en-US"/>
        </w:rPr>
        <w:t>, Japan</w:t>
      </w:r>
      <w:r w:rsidR="006579C2" w:rsidRPr="00714401">
        <w:rPr>
          <w:rFonts w:ascii="Book Antiqua" w:hAnsi="Book Antiqua"/>
          <w:sz w:val="24"/>
          <w:szCs w:val="24"/>
          <w:lang w:val="en-US"/>
        </w:rPr>
        <w:t>)</w:t>
      </w:r>
      <w:r w:rsidR="00DD54AF" w:rsidRPr="00714401">
        <w:rPr>
          <w:rFonts w:ascii="Book Antiqua" w:hAnsi="Book Antiqua"/>
          <w:sz w:val="24"/>
          <w:szCs w:val="24"/>
          <w:lang w:val="en-US"/>
        </w:rPr>
        <w:t xml:space="preserve"> </w:t>
      </w:r>
      <w:proofErr w:type="spellStart"/>
      <w:proofErr w:type="gramStart"/>
      <w:r w:rsidR="006A5239" w:rsidRPr="00714401">
        <w:rPr>
          <w:rFonts w:ascii="Book Antiqua" w:hAnsi="Book Antiqua"/>
          <w:sz w:val="24"/>
          <w:szCs w:val="24"/>
          <w:lang w:val="en-US"/>
        </w:rPr>
        <w:t>analysers</w:t>
      </w:r>
      <w:proofErr w:type="spellEnd"/>
      <w:r w:rsidR="00BC5DA5"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20-23</w:t>
      </w:r>
      <w:r w:rsidR="00BC5DA5" w:rsidRPr="00714401">
        <w:rPr>
          <w:rFonts w:ascii="Book Antiqua" w:hAnsi="Book Antiqua"/>
          <w:sz w:val="24"/>
          <w:szCs w:val="24"/>
          <w:vertAlign w:val="superscript"/>
          <w:lang w:val="en-US"/>
        </w:rPr>
        <w:t>]</w:t>
      </w:r>
      <w:r w:rsidR="00D90BBA"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CB7006" w:rsidRPr="00714401">
        <w:rPr>
          <w:rFonts w:ascii="Book Antiqua" w:hAnsi="Book Antiqua"/>
          <w:sz w:val="24"/>
          <w:szCs w:val="24"/>
          <w:lang w:val="en-US"/>
        </w:rPr>
        <w:t>The system measures</w:t>
      </w:r>
      <w:r w:rsidR="0076063F" w:rsidRPr="00714401">
        <w:rPr>
          <w:rFonts w:ascii="Book Antiqua" w:hAnsi="Book Antiqua"/>
          <w:sz w:val="24"/>
          <w:szCs w:val="24"/>
          <w:lang w:val="en-US"/>
        </w:rPr>
        <w:t xml:space="preserve"> </w:t>
      </w:r>
      <w:r w:rsidR="00CB7006" w:rsidRPr="00714401">
        <w:rPr>
          <w:rFonts w:ascii="Book Antiqua" w:hAnsi="Book Antiqua"/>
          <w:sz w:val="24"/>
          <w:szCs w:val="24"/>
          <w:lang w:val="en-US"/>
        </w:rPr>
        <w:t xml:space="preserve">ICG concentration determining the </w:t>
      </w:r>
      <w:r w:rsidR="005C3723" w:rsidRPr="00714401">
        <w:rPr>
          <w:rFonts w:ascii="Book Antiqua" w:hAnsi="Book Antiqua"/>
          <w:sz w:val="24"/>
          <w:szCs w:val="24"/>
          <w:lang w:val="en-US"/>
        </w:rPr>
        <w:t xml:space="preserve">relative </w:t>
      </w:r>
      <w:r w:rsidR="00CB7006" w:rsidRPr="00714401">
        <w:rPr>
          <w:rFonts w:ascii="Book Antiqua" w:hAnsi="Book Antiqua"/>
          <w:sz w:val="24"/>
          <w:szCs w:val="24"/>
          <w:lang w:val="en-US"/>
        </w:rPr>
        <w:t xml:space="preserve">changes in light </w:t>
      </w:r>
      <w:proofErr w:type="spellStart"/>
      <w:r w:rsidR="00CB7006" w:rsidRPr="00714401">
        <w:rPr>
          <w:rFonts w:ascii="Book Antiqua" w:hAnsi="Book Antiqua"/>
          <w:sz w:val="24"/>
          <w:szCs w:val="24"/>
          <w:lang w:val="en-US"/>
        </w:rPr>
        <w:t>absorbtion</w:t>
      </w:r>
      <w:proofErr w:type="spellEnd"/>
      <w:r w:rsidR="00CB7006" w:rsidRPr="00714401">
        <w:rPr>
          <w:rFonts w:ascii="Book Antiqua" w:hAnsi="Book Antiqua"/>
          <w:sz w:val="24"/>
          <w:szCs w:val="24"/>
          <w:lang w:val="en-US"/>
        </w:rPr>
        <w:t xml:space="preserve"> by the arterial ICG</w:t>
      </w:r>
      <w:r w:rsidR="0076063F" w:rsidRPr="00714401">
        <w:rPr>
          <w:rFonts w:ascii="Book Antiqua" w:hAnsi="Book Antiqua"/>
          <w:sz w:val="24"/>
          <w:szCs w:val="24"/>
          <w:lang w:val="en-US"/>
        </w:rPr>
        <w:t xml:space="preserve"> </w:t>
      </w:r>
      <w:r w:rsidR="005C3723" w:rsidRPr="00714401">
        <w:rPr>
          <w:rFonts w:ascii="Book Antiqua" w:hAnsi="Book Antiqua"/>
          <w:sz w:val="24"/>
          <w:szCs w:val="24"/>
          <w:lang w:val="en-US"/>
        </w:rPr>
        <w:t xml:space="preserve">at </w:t>
      </w:r>
      <w:r w:rsidR="00240528" w:rsidRPr="00714401">
        <w:rPr>
          <w:rFonts w:ascii="Book Antiqua" w:hAnsi="Book Antiqua"/>
          <w:sz w:val="24"/>
          <w:szCs w:val="24"/>
          <w:lang w:val="en-US"/>
        </w:rPr>
        <w:t xml:space="preserve">two different </w:t>
      </w:r>
      <w:r w:rsidR="00CB7006" w:rsidRPr="00714401">
        <w:rPr>
          <w:rFonts w:ascii="Book Antiqua" w:hAnsi="Book Antiqua"/>
          <w:sz w:val="24"/>
          <w:szCs w:val="24"/>
          <w:lang w:val="en-US"/>
        </w:rPr>
        <w:t xml:space="preserve">wave lengths, </w:t>
      </w:r>
      <w:r w:rsidR="00240528" w:rsidRPr="00714401">
        <w:rPr>
          <w:rFonts w:ascii="Book Antiqua" w:hAnsi="Book Antiqua"/>
          <w:sz w:val="24"/>
          <w:szCs w:val="24"/>
          <w:lang w:val="en-US"/>
        </w:rPr>
        <w:t xml:space="preserve">805 nm (frequency of the </w:t>
      </w:r>
      <w:r w:rsidR="00A820C5" w:rsidRPr="00714401">
        <w:rPr>
          <w:rFonts w:ascii="Book Antiqua" w:hAnsi="Book Antiqua"/>
          <w:sz w:val="24"/>
          <w:szCs w:val="24"/>
          <w:lang w:val="en-US"/>
        </w:rPr>
        <w:t xml:space="preserve">ICG </w:t>
      </w:r>
      <w:r w:rsidR="00240528" w:rsidRPr="00714401">
        <w:rPr>
          <w:rFonts w:ascii="Book Antiqua" w:hAnsi="Book Antiqua"/>
          <w:sz w:val="24"/>
          <w:szCs w:val="24"/>
          <w:lang w:val="en-US"/>
        </w:rPr>
        <w:t>peak</w:t>
      </w:r>
      <w:r w:rsidR="00CB7006" w:rsidRPr="00714401">
        <w:rPr>
          <w:rFonts w:ascii="Book Antiqua" w:hAnsi="Book Antiqua"/>
          <w:sz w:val="24"/>
          <w:szCs w:val="24"/>
          <w:lang w:val="en-US"/>
        </w:rPr>
        <w:t xml:space="preserve"> </w:t>
      </w:r>
      <w:proofErr w:type="spellStart"/>
      <w:r w:rsidR="00CB7006" w:rsidRPr="00714401">
        <w:rPr>
          <w:rFonts w:ascii="Book Antiqua" w:hAnsi="Book Antiqua"/>
          <w:sz w:val="24"/>
          <w:szCs w:val="24"/>
          <w:lang w:val="en-US"/>
        </w:rPr>
        <w:t>absorbtion</w:t>
      </w:r>
      <w:proofErr w:type="spellEnd"/>
      <w:r w:rsidR="00240528" w:rsidRPr="00714401">
        <w:rPr>
          <w:rFonts w:ascii="Book Antiqua" w:hAnsi="Book Antiqua"/>
          <w:sz w:val="24"/>
          <w:szCs w:val="24"/>
          <w:lang w:val="en-US"/>
        </w:rPr>
        <w:t>) and 905 nm (</w:t>
      </w:r>
      <w:r w:rsidR="005C3723" w:rsidRPr="00714401">
        <w:rPr>
          <w:rFonts w:ascii="Book Antiqua" w:hAnsi="Book Antiqua"/>
          <w:sz w:val="24"/>
          <w:szCs w:val="24"/>
          <w:lang w:val="en-US"/>
        </w:rPr>
        <w:t xml:space="preserve">frequency with </w:t>
      </w:r>
      <w:r w:rsidR="00E47BEE" w:rsidRPr="00714401">
        <w:rPr>
          <w:rFonts w:ascii="Book Antiqua" w:hAnsi="Book Antiqua"/>
          <w:sz w:val="24"/>
          <w:szCs w:val="24"/>
          <w:lang w:val="en-US"/>
        </w:rPr>
        <w:t xml:space="preserve">no </w:t>
      </w:r>
      <w:r w:rsidR="005C3723" w:rsidRPr="00714401">
        <w:rPr>
          <w:rFonts w:ascii="Book Antiqua" w:hAnsi="Book Antiqua"/>
          <w:sz w:val="24"/>
          <w:szCs w:val="24"/>
          <w:lang w:val="en-US"/>
        </w:rPr>
        <w:t xml:space="preserve">ICG </w:t>
      </w:r>
      <w:r w:rsidR="00E47BEE" w:rsidRPr="00714401">
        <w:rPr>
          <w:rFonts w:ascii="Book Antiqua" w:hAnsi="Book Antiqua"/>
          <w:sz w:val="24"/>
          <w:szCs w:val="24"/>
          <w:lang w:val="en-US"/>
        </w:rPr>
        <w:t>absorption</w:t>
      </w:r>
      <w:r w:rsidR="005C3723" w:rsidRPr="00714401">
        <w:rPr>
          <w:rFonts w:ascii="Book Antiqua" w:hAnsi="Book Antiqua"/>
          <w:sz w:val="24"/>
          <w:szCs w:val="24"/>
          <w:lang w:val="en-US"/>
        </w:rPr>
        <w:t>)</w:t>
      </w:r>
      <w:r w:rsidR="00E47BEE" w:rsidRPr="00714401">
        <w:rPr>
          <w:rFonts w:ascii="Book Antiqua" w:hAnsi="Book Antiqua"/>
          <w:sz w:val="24"/>
          <w:szCs w:val="24"/>
          <w:lang w:val="en-US"/>
        </w:rPr>
        <w:t xml:space="preserve">: </w:t>
      </w:r>
      <w:r w:rsidR="009C3C27" w:rsidRPr="00714401">
        <w:rPr>
          <w:rFonts w:ascii="Book Antiqua" w:hAnsi="Book Antiqua"/>
          <w:sz w:val="24"/>
          <w:szCs w:val="24"/>
          <w:lang w:val="en-US"/>
        </w:rPr>
        <w:t>N</w:t>
      </w:r>
      <w:r w:rsidR="00857C4B" w:rsidRPr="00714401">
        <w:rPr>
          <w:rFonts w:ascii="Book Antiqua" w:hAnsi="Book Antiqua"/>
          <w:sz w:val="24"/>
          <w:szCs w:val="24"/>
          <w:lang w:val="en-US"/>
        </w:rPr>
        <w:t xml:space="preserve">o interference </w:t>
      </w:r>
      <w:r w:rsidR="005C3723" w:rsidRPr="00714401">
        <w:rPr>
          <w:rFonts w:ascii="Book Antiqua" w:hAnsi="Book Antiqua"/>
          <w:sz w:val="24"/>
          <w:szCs w:val="24"/>
          <w:lang w:val="en-US"/>
        </w:rPr>
        <w:t>comes</w:t>
      </w:r>
      <w:r w:rsidR="0076063F" w:rsidRPr="00714401">
        <w:rPr>
          <w:rFonts w:ascii="Book Antiqua" w:hAnsi="Book Antiqua"/>
          <w:sz w:val="24"/>
          <w:szCs w:val="24"/>
          <w:lang w:val="en-US"/>
        </w:rPr>
        <w:t xml:space="preserve"> </w:t>
      </w:r>
      <w:r w:rsidR="00B0388F" w:rsidRPr="00714401">
        <w:rPr>
          <w:rFonts w:ascii="Book Antiqua" w:hAnsi="Book Antiqua"/>
          <w:sz w:val="24"/>
          <w:szCs w:val="24"/>
          <w:lang w:val="en-US"/>
        </w:rPr>
        <w:t xml:space="preserve">from </w:t>
      </w:r>
      <w:r w:rsidR="007B72CE" w:rsidRPr="00714401">
        <w:rPr>
          <w:rFonts w:ascii="Book Antiqua" w:hAnsi="Book Antiqua"/>
          <w:sz w:val="24"/>
          <w:szCs w:val="24"/>
          <w:lang w:val="en-US"/>
        </w:rPr>
        <w:t>oxidized or reduced h</w:t>
      </w:r>
      <w:r w:rsidR="002D2FAF" w:rsidRPr="00714401">
        <w:rPr>
          <w:rFonts w:ascii="Book Antiqua" w:hAnsi="Book Antiqua"/>
          <w:sz w:val="24"/>
          <w:szCs w:val="24"/>
          <w:lang w:val="en-US"/>
        </w:rPr>
        <w:t xml:space="preserve">emoglobin </w:t>
      </w:r>
      <w:r w:rsidR="00857C4B" w:rsidRPr="00714401">
        <w:rPr>
          <w:rFonts w:ascii="Book Antiqua" w:hAnsi="Book Antiqua"/>
          <w:sz w:val="24"/>
          <w:szCs w:val="24"/>
          <w:lang w:val="en-US"/>
        </w:rPr>
        <w:t xml:space="preserve">and </w:t>
      </w:r>
      <w:r w:rsidR="00B0388F" w:rsidRPr="00714401">
        <w:rPr>
          <w:rFonts w:ascii="Book Antiqua" w:hAnsi="Book Antiqua"/>
          <w:sz w:val="24"/>
          <w:szCs w:val="24"/>
          <w:lang w:val="en-US"/>
        </w:rPr>
        <w:t xml:space="preserve">from </w:t>
      </w:r>
      <w:r w:rsidR="00F90597" w:rsidRPr="00714401">
        <w:rPr>
          <w:rFonts w:ascii="Book Antiqua" w:hAnsi="Book Antiqua"/>
          <w:sz w:val="24"/>
          <w:szCs w:val="24"/>
          <w:lang w:val="en-US"/>
        </w:rPr>
        <w:t>bilirubin (</w:t>
      </w:r>
      <w:r w:rsidR="00631842" w:rsidRPr="00714401">
        <w:rPr>
          <w:rFonts w:ascii="Book Antiqua" w:hAnsi="Book Antiqua"/>
          <w:sz w:val="24"/>
          <w:szCs w:val="24"/>
          <w:lang w:val="en-US"/>
        </w:rPr>
        <w:t xml:space="preserve">peak </w:t>
      </w:r>
      <w:r w:rsidR="00F90597" w:rsidRPr="00714401">
        <w:rPr>
          <w:rFonts w:ascii="Book Antiqua" w:hAnsi="Book Antiqua"/>
          <w:sz w:val="24"/>
          <w:szCs w:val="24"/>
          <w:lang w:val="en-US"/>
        </w:rPr>
        <w:t>absorption</w:t>
      </w:r>
      <w:r w:rsidR="0076063F" w:rsidRPr="00714401">
        <w:rPr>
          <w:rFonts w:ascii="Book Antiqua" w:hAnsi="Book Antiqua"/>
          <w:sz w:val="24"/>
          <w:szCs w:val="24"/>
          <w:lang w:val="en-US"/>
        </w:rPr>
        <w:t xml:space="preserve"> </w:t>
      </w:r>
      <w:r w:rsidR="00F90597" w:rsidRPr="00714401">
        <w:rPr>
          <w:rFonts w:ascii="Book Antiqua" w:hAnsi="Book Antiqua"/>
          <w:sz w:val="24"/>
          <w:szCs w:val="24"/>
          <w:lang w:val="en-US"/>
        </w:rPr>
        <w:t>at 470 nm</w:t>
      </w:r>
      <w:r w:rsidR="008B0A85" w:rsidRPr="00714401">
        <w:rPr>
          <w:rFonts w:ascii="Book Antiqua" w:hAnsi="Book Antiqua"/>
          <w:sz w:val="24"/>
          <w:szCs w:val="24"/>
          <w:lang w:val="en-US"/>
        </w:rPr>
        <w:t>)</w:t>
      </w:r>
      <w:r w:rsidR="00BC5DA5" w:rsidRPr="00714401">
        <w:rPr>
          <w:rFonts w:ascii="Book Antiqua" w:hAnsi="Book Antiqua"/>
          <w:sz w:val="24"/>
          <w:szCs w:val="24"/>
          <w:vertAlign w:val="superscript"/>
          <w:lang w:val="en-US"/>
        </w:rPr>
        <w:t>[</w:t>
      </w:r>
      <w:r w:rsidR="007B2CE9" w:rsidRPr="00714401">
        <w:rPr>
          <w:rFonts w:ascii="Book Antiqua" w:hAnsi="Book Antiqua"/>
          <w:sz w:val="24"/>
          <w:szCs w:val="24"/>
          <w:vertAlign w:val="superscript"/>
          <w:lang w:val="en-US"/>
        </w:rPr>
        <w:t>6,7</w:t>
      </w:r>
      <w:r w:rsidR="00BC5DA5" w:rsidRPr="00714401">
        <w:rPr>
          <w:rFonts w:ascii="Book Antiqua" w:hAnsi="Book Antiqua"/>
          <w:sz w:val="24"/>
          <w:szCs w:val="24"/>
          <w:vertAlign w:val="superscript"/>
          <w:lang w:val="en-US"/>
        </w:rPr>
        <w:t>]</w:t>
      </w:r>
      <w:r w:rsidR="0048702F" w:rsidRPr="00714401">
        <w:rPr>
          <w:rFonts w:ascii="Book Antiqua" w:hAnsi="Book Antiqua"/>
          <w:sz w:val="24"/>
          <w:szCs w:val="24"/>
          <w:lang w:val="en-US"/>
        </w:rPr>
        <w:t xml:space="preserve">. </w:t>
      </w:r>
      <w:r w:rsidR="005C3723" w:rsidRPr="00714401">
        <w:rPr>
          <w:rFonts w:ascii="Book Antiqua" w:hAnsi="Book Antiqua"/>
          <w:sz w:val="24"/>
          <w:szCs w:val="24"/>
          <w:lang w:val="en-US"/>
        </w:rPr>
        <w:t xml:space="preserve">PDD </w:t>
      </w:r>
      <w:r w:rsidR="00D90BBA" w:rsidRPr="00714401">
        <w:rPr>
          <w:rFonts w:ascii="Book Antiqua" w:hAnsi="Book Antiqua" w:cs="Arial"/>
          <w:sz w:val="24"/>
          <w:szCs w:val="24"/>
          <w:lang w:val="en-US"/>
        </w:rPr>
        <w:t xml:space="preserve">has been </w:t>
      </w:r>
      <w:r w:rsidR="006A5239" w:rsidRPr="00714401">
        <w:rPr>
          <w:rFonts w:ascii="Book Antiqua" w:hAnsi="Book Antiqua" w:cs="Arial"/>
          <w:sz w:val="24"/>
          <w:szCs w:val="24"/>
          <w:lang w:val="en-US"/>
        </w:rPr>
        <w:t>validated</w:t>
      </w:r>
      <w:r w:rsidR="0076063F" w:rsidRPr="00714401">
        <w:rPr>
          <w:rFonts w:ascii="Book Antiqua" w:hAnsi="Book Antiqua" w:cs="Arial"/>
          <w:sz w:val="24"/>
          <w:szCs w:val="24"/>
          <w:lang w:val="en-US"/>
        </w:rPr>
        <w:t xml:space="preserve"> </w:t>
      </w:r>
      <w:r w:rsidR="001401B6" w:rsidRPr="00714401">
        <w:rPr>
          <w:rFonts w:ascii="Book Antiqua" w:hAnsi="Book Antiqua" w:cs="Arial"/>
          <w:sz w:val="24"/>
          <w:szCs w:val="24"/>
          <w:lang w:val="en-US"/>
        </w:rPr>
        <w:t xml:space="preserve">both in stable and </w:t>
      </w:r>
      <w:r w:rsidR="0048702F" w:rsidRPr="00714401">
        <w:rPr>
          <w:rFonts w:ascii="Book Antiqua" w:hAnsi="Book Antiqua" w:cs="Arial"/>
          <w:sz w:val="24"/>
          <w:szCs w:val="24"/>
          <w:lang w:val="en-US"/>
        </w:rPr>
        <w:t xml:space="preserve">unstable </w:t>
      </w:r>
      <w:r w:rsidR="008B0A85" w:rsidRPr="00714401">
        <w:rPr>
          <w:rFonts w:ascii="Book Antiqua" w:hAnsi="Book Antiqua" w:cs="Arial"/>
          <w:sz w:val="24"/>
          <w:szCs w:val="24"/>
          <w:lang w:val="en-US"/>
        </w:rPr>
        <w:t xml:space="preserve">hemodynamic </w:t>
      </w:r>
      <w:proofErr w:type="gramStart"/>
      <w:r w:rsidR="008B0A85" w:rsidRPr="00714401">
        <w:rPr>
          <w:rFonts w:ascii="Book Antiqua" w:hAnsi="Book Antiqua" w:cs="Arial"/>
          <w:sz w:val="24"/>
          <w:szCs w:val="24"/>
          <w:lang w:val="en-US"/>
        </w:rPr>
        <w:t>settings</w:t>
      </w:r>
      <w:r w:rsidR="00BC5DA5"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18-21</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r w:rsidR="00FB3307" w:rsidRPr="00714401">
        <w:rPr>
          <w:rFonts w:ascii="Book Antiqua" w:hAnsi="Book Antiqua"/>
          <w:sz w:val="24"/>
          <w:szCs w:val="24"/>
          <w:lang w:val="en-US"/>
        </w:rPr>
        <w:t xml:space="preserve">Purcell </w:t>
      </w:r>
      <w:r w:rsidR="00FB3307" w:rsidRPr="00714401">
        <w:rPr>
          <w:rFonts w:ascii="Book Antiqua" w:hAnsi="Book Antiqua"/>
          <w:i/>
          <w:sz w:val="24"/>
          <w:szCs w:val="24"/>
          <w:lang w:val="en-US"/>
        </w:rPr>
        <w:t xml:space="preserve">et </w:t>
      </w:r>
      <w:proofErr w:type="gramStart"/>
      <w:r w:rsidR="00FB3307" w:rsidRPr="00714401">
        <w:rPr>
          <w:rFonts w:ascii="Book Antiqua" w:hAnsi="Book Antiqua"/>
          <w:i/>
          <w:sz w:val="24"/>
          <w:szCs w:val="24"/>
          <w:lang w:val="en-US"/>
        </w:rPr>
        <w:t>al</w:t>
      </w:r>
      <w:r w:rsidR="00F00255" w:rsidRPr="00714401">
        <w:rPr>
          <w:rFonts w:ascii="Book Antiqua" w:hAnsi="Book Antiqua"/>
          <w:sz w:val="24"/>
          <w:szCs w:val="24"/>
          <w:vertAlign w:val="superscript"/>
          <w:lang w:val="en-US"/>
        </w:rPr>
        <w:t>[</w:t>
      </w:r>
      <w:proofErr w:type="gramEnd"/>
      <w:r w:rsidR="00F00255" w:rsidRPr="00714401">
        <w:rPr>
          <w:rFonts w:ascii="Book Antiqua" w:hAnsi="Book Antiqua"/>
          <w:sz w:val="24"/>
          <w:szCs w:val="24"/>
          <w:vertAlign w:val="superscript"/>
          <w:lang w:val="en-US"/>
        </w:rPr>
        <w:t>22]</w:t>
      </w:r>
      <w:r w:rsidR="00FB3307" w:rsidRPr="00714401">
        <w:rPr>
          <w:rFonts w:ascii="Book Antiqua" w:hAnsi="Book Antiqua"/>
          <w:sz w:val="24"/>
          <w:szCs w:val="24"/>
          <w:lang w:val="en-US"/>
        </w:rPr>
        <w:t xml:space="preserve"> validate</w:t>
      </w:r>
      <w:r w:rsidR="00A820C5" w:rsidRPr="00714401">
        <w:rPr>
          <w:rFonts w:ascii="Book Antiqua" w:hAnsi="Book Antiqua"/>
          <w:sz w:val="24"/>
          <w:szCs w:val="24"/>
          <w:lang w:val="en-US"/>
        </w:rPr>
        <w:t>d</w:t>
      </w:r>
      <w:r w:rsidR="00FB3307" w:rsidRPr="00714401">
        <w:rPr>
          <w:rFonts w:ascii="Book Antiqua" w:hAnsi="Book Antiqua"/>
          <w:sz w:val="24"/>
          <w:szCs w:val="24"/>
          <w:lang w:val="en-US"/>
        </w:rPr>
        <w:t xml:space="preserve"> t</w:t>
      </w:r>
      <w:r w:rsidR="00F05B2C" w:rsidRPr="00714401">
        <w:rPr>
          <w:rFonts w:ascii="Book Antiqua" w:hAnsi="Book Antiqua"/>
          <w:sz w:val="24"/>
          <w:szCs w:val="24"/>
          <w:lang w:val="en-US"/>
        </w:rPr>
        <w:t xml:space="preserve">he </w:t>
      </w:r>
      <w:r w:rsidR="00857C4B" w:rsidRPr="00714401">
        <w:rPr>
          <w:rFonts w:ascii="Book Antiqua" w:hAnsi="Book Antiqua"/>
          <w:sz w:val="24"/>
          <w:szCs w:val="24"/>
          <w:lang w:val="en-US"/>
        </w:rPr>
        <w:t xml:space="preserve">PDD </w:t>
      </w:r>
      <w:r w:rsidR="00F05B2C" w:rsidRPr="00714401">
        <w:rPr>
          <w:rFonts w:ascii="Book Antiqua" w:hAnsi="Book Antiqua"/>
          <w:sz w:val="24"/>
          <w:szCs w:val="24"/>
          <w:lang w:val="en-US"/>
        </w:rPr>
        <w:t xml:space="preserve">algorithm </w:t>
      </w:r>
      <w:r w:rsidR="001401B6" w:rsidRPr="00714401">
        <w:rPr>
          <w:rFonts w:ascii="Book Antiqua" w:hAnsi="Book Antiqua"/>
          <w:sz w:val="24"/>
          <w:szCs w:val="24"/>
          <w:lang w:val="en-US"/>
        </w:rPr>
        <w:t>comparing ICG</w:t>
      </w:r>
      <w:r w:rsidR="001401B6" w:rsidRPr="00714401">
        <w:rPr>
          <w:rFonts w:ascii="Book Antiqua" w:hAnsi="Book Antiqua"/>
          <w:sz w:val="24"/>
          <w:szCs w:val="24"/>
          <w:vertAlign w:val="subscript"/>
          <w:lang w:val="en-US"/>
        </w:rPr>
        <w:t xml:space="preserve">R15 </w:t>
      </w:r>
      <w:r w:rsidR="001401B6" w:rsidRPr="00714401">
        <w:rPr>
          <w:rFonts w:ascii="Book Antiqua" w:hAnsi="Book Antiqua"/>
          <w:sz w:val="24"/>
          <w:szCs w:val="24"/>
          <w:lang w:val="en-US"/>
        </w:rPr>
        <w:t xml:space="preserve">values </w:t>
      </w:r>
      <w:r w:rsidR="00FB3307" w:rsidRPr="00714401">
        <w:rPr>
          <w:rFonts w:ascii="Book Antiqua" w:hAnsi="Book Antiqua"/>
          <w:sz w:val="24"/>
          <w:szCs w:val="24"/>
          <w:lang w:val="en-US"/>
        </w:rPr>
        <w:t xml:space="preserve">obtained from direct measurement of blood samples and </w:t>
      </w:r>
      <w:r w:rsidR="001401B6" w:rsidRPr="00714401">
        <w:rPr>
          <w:rFonts w:ascii="Book Antiqua" w:hAnsi="Book Antiqua"/>
          <w:sz w:val="24"/>
          <w:szCs w:val="24"/>
          <w:lang w:val="en-US"/>
        </w:rPr>
        <w:t>from</w:t>
      </w:r>
      <w:r w:rsidR="001401B6" w:rsidRPr="00714401">
        <w:rPr>
          <w:rFonts w:ascii="Book Antiqua" w:hAnsi="Book Antiqua"/>
          <w:sz w:val="24"/>
          <w:szCs w:val="24"/>
          <w:vertAlign w:val="subscript"/>
          <w:lang w:val="en-US"/>
        </w:rPr>
        <w:t xml:space="preserve"> </w:t>
      </w:r>
      <w:proofErr w:type="spellStart"/>
      <w:r w:rsidR="001401B6" w:rsidRPr="00714401">
        <w:rPr>
          <w:rFonts w:ascii="Book Antiqua" w:hAnsi="Book Antiqua"/>
          <w:sz w:val="24"/>
          <w:szCs w:val="24"/>
          <w:lang w:val="en-US"/>
        </w:rPr>
        <w:t>L</w:t>
      </w:r>
      <w:r w:rsidR="008B0A85" w:rsidRPr="00714401">
        <w:rPr>
          <w:rFonts w:ascii="Book Antiqua" w:hAnsi="Book Antiqua"/>
          <w:sz w:val="24"/>
          <w:szCs w:val="24"/>
          <w:lang w:val="en-US"/>
        </w:rPr>
        <w:t>iMON</w:t>
      </w:r>
      <w:proofErr w:type="spellEnd"/>
      <w:r w:rsidR="00FB3307"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FB3307" w:rsidRPr="00714401">
        <w:rPr>
          <w:rFonts w:ascii="Book Antiqua" w:hAnsi="Book Antiqua"/>
          <w:sz w:val="24"/>
          <w:szCs w:val="24"/>
          <w:lang w:val="en-US"/>
        </w:rPr>
        <w:t>S</w:t>
      </w:r>
      <w:r w:rsidR="00BC27D4" w:rsidRPr="00714401">
        <w:rPr>
          <w:rFonts w:ascii="Book Antiqua" w:hAnsi="Book Antiqua"/>
          <w:sz w:val="24"/>
          <w:szCs w:val="24"/>
          <w:lang w:val="en-US"/>
        </w:rPr>
        <w:t>table h</w:t>
      </w:r>
      <w:r w:rsidR="001401B6" w:rsidRPr="00714401">
        <w:rPr>
          <w:rFonts w:ascii="Book Antiqua" w:hAnsi="Book Antiqua"/>
          <w:sz w:val="24"/>
          <w:szCs w:val="24"/>
          <w:lang w:val="en-US"/>
        </w:rPr>
        <w:t>emo</w:t>
      </w:r>
      <w:r w:rsidR="00631842" w:rsidRPr="00714401">
        <w:rPr>
          <w:rFonts w:ascii="Book Antiqua" w:hAnsi="Book Antiqua"/>
          <w:sz w:val="24"/>
          <w:szCs w:val="24"/>
          <w:lang w:val="en-US"/>
        </w:rPr>
        <w:t xml:space="preserve">dynamic conditions are imperative for </w:t>
      </w:r>
      <w:r w:rsidR="001401B6" w:rsidRPr="00714401">
        <w:rPr>
          <w:rFonts w:ascii="Book Antiqua" w:hAnsi="Book Antiqua"/>
          <w:sz w:val="24"/>
          <w:szCs w:val="24"/>
          <w:lang w:val="en-US"/>
        </w:rPr>
        <w:t xml:space="preserve">reliable data on liver </w:t>
      </w:r>
      <w:proofErr w:type="gramStart"/>
      <w:r w:rsidR="001401B6" w:rsidRPr="00714401">
        <w:rPr>
          <w:rFonts w:ascii="Book Antiqua" w:hAnsi="Book Antiqua"/>
          <w:sz w:val="24"/>
          <w:szCs w:val="24"/>
          <w:lang w:val="en-US"/>
        </w:rPr>
        <w:t>function</w:t>
      </w:r>
      <w:r w:rsidR="00BC5DA5" w:rsidRPr="00714401">
        <w:rPr>
          <w:rFonts w:ascii="Book Antiqua" w:hAnsi="Book Antiqua"/>
          <w:sz w:val="24"/>
          <w:szCs w:val="24"/>
          <w:vertAlign w:val="superscript"/>
          <w:lang w:val="en-US"/>
        </w:rPr>
        <w:t>[</w:t>
      </w:r>
      <w:proofErr w:type="gramEnd"/>
      <w:r w:rsidR="007B2CE9" w:rsidRPr="00714401">
        <w:rPr>
          <w:rFonts w:ascii="Book Antiqua" w:hAnsi="Book Antiqua"/>
          <w:sz w:val="24"/>
          <w:szCs w:val="24"/>
          <w:vertAlign w:val="superscript"/>
          <w:lang w:val="en-US"/>
        </w:rPr>
        <w:t>6,8</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r w:rsidR="00B0388F" w:rsidRPr="00714401">
        <w:rPr>
          <w:rFonts w:ascii="Book Antiqua" w:hAnsi="Book Antiqua"/>
          <w:sz w:val="24"/>
          <w:szCs w:val="24"/>
          <w:lang w:val="en-US"/>
        </w:rPr>
        <w:t>Systemic</w:t>
      </w:r>
      <w:r w:rsidR="0076063F" w:rsidRPr="00714401">
        <w:rPr>
          <w:rFonts w:ascii="Book Antiqua" w:hAnsi="Book Antiqua"/>
          <w:sz w:val="24"/>
          <w:szCs w:val="24"/>
          <w:lang w:val="en-US"/>
        </w:rPr>
        <w:t xml:space="preserve"> </w:t>
      </w:r>
      <w:r w:rsidR="008C204D" w:rsidRPr="00714401">
        <w:rPr>
          <w:rFonts w:ascii="Book Antiqua" w:hAnsi="Book Antiqua"/>
          <w:sz w:val="24"/>
          <w:szCs w:val="24"/>
          <w:lang w:val="en-US"/>
        </w:rPr>
        <w:t xml:space="preserve">or local </w:t>
      </w:r>
      <w:r w:rsidR="00D90BBA" w:rsidRPr="00714401">
        <w:rPr>
          <w:rFonts w:ascii="Book Antiqua" w:hAnsi="Book Antiqua"/>
          <w:sz w:val="24"/>
          <w:szCs w:val="24"/>
          <w:lang w:val="en-US"/>
        </w:rPr>
        <w:t>conditions able to reduce</w:t>
      </w:r>
      <w:r w:rsidR="0076063F" w:rsidRPr="00714401">
        <w:rPr>
          <w:rFonts w:ascii="Book Antiqua" w:hAnsi="Book Antiqua"/>
          <w:sz w:val="24"/>
          <w:szCs w:val="24"/>
          <w:lang w:val="en-US"/>
        </w:rPr>
        <w:t xml:space="preserve"> </w:t>
      </w:r>
      <w:r w:rsidR="00D90BBA" w:rsidRPr="00714401">
        <w:rPr>
          <w:rFonts w:ascii="Book Antiqua" w:hAnsi="Book Antiqua"/>
          <w:sz w:val="24"/>
          <w:szCs w:val="24"/>
          <w:lang w:val="en-US"/>
        </w:rPr>
        <w:t xml:space="preserve">hepatic blood flow </w:t>
      </w:r>
      <w:r w:rsidR="008C204D" w:rsidRPr="00714401">
        <w:rPr>
          <w:rFonts w:ascii="Book Antiqua" w:hAnsi="Book Antiqua"/>
          <w:sz w:val="24"/>
          <w:szCs w:val="24"/>
          <w:lang w:val="en-US"/>
        </w:rPr>
        <w:t>(</w:t>
      </w:r>
      <w:r w:rsidR="00D90BBA" w:rsidRPr="00714401">
        <w:rPr>
          <w:rFonts w:ascii="Book Antiqua" w:hAnsi="Book Antiqua"/>
          <w:sz w:val="24"/>
          <w:szCs w:val="24"/>
          <w:lang w:val="en-US"/>
        </w:rPr>
        <w:t xml:space="preserve">low cardiac output inducing </w:t>
      </w:r>
      <w:proofErr w:type="spellStart"/>
      <w:r w:rsidR="00D90BBA" w:rsidRPr="00714401">
        <w:rPr>
          <w:rFonts w:ascii="Book Antiqua" w:hAnsi="Book Antiqua"/>
          <w:sz w:val="24"/>
          <w:szCs w:val="24"/>
          <w:lang w:val="en-US"/>
        </w:rPr>
        <w:t>hepatosplanchnic</w:t>
      </w:r>
      <w:proofErr w:type="spellEnd"/>
      <w:r w:rsidR="00D90BBA" w:rsidRPr="00714401">
        <w:rPr>
          <w:rFonts w:ascii="Book Antiqua" w:hAnsi="Book Antiqua"/>
          <w:sz w:val="24"/>
          <w:szCs w:val="24"/>
          <w:lang w:val="en-US"/>
        </w:rPr>
        <w:t xml:space="preserve"> </w:t>
      </w:r>
      <w:proofErr w:type="spellStart"/>
      <w:r w:rsidR="00D90BBA" w:rsidRPr="00714401">
        <w:rPr>
          <w:rFonts w:ascii="Book Antiqua" w:hAnsi="Book Antiqua"/>
          <w:sz w:val="24"/>
          <w:szCs w:val="24"/>
          <w:lang w:val="en-US"/>
        </w:rPr>
        <w:t>hypoperfusion</w:t>
      </w:r>
      <w:proofErr w:type="spellEnd"/>
      <w:r w:rsidR="00D90BBA" w:rsidRPr="00714401">
        <w:rPr>
          <w:rFonts w:ascii="Book Antiqua" w:hAnsi="Book Antiqua"/>
          <w:sz w:val="24"/>
          <w:szCs w:val="24"/>
          <w:lang w:val="en-US"/>
        </w:rPr>
        <w:t xml:space="preserve"> or </w:t>
      </w:r>
      <w:r w:rsidR="008C204D" w:rsidRPr="00714401">
        <w:rPr>
          <w:rFonts w:ascii="Book Antiqua" w:hAnsi="Book Antiqua"/>
          <w:sz w:val="24"/>
          <w:szCs w:val="24"/>
          <w:lang w:val="en-US"/>
        </w:rPr>
        <w:t xml:space="preserve">hepatic artery thrombosis </w:t>
      </w:r>
      <w:r w:rsidR="00D90BBA" w:rsidRPr="00714401">
        <w:rPr>
          <w:rFonts w:ascii="Book Antiqua" w:hAnsi="Book Antiqua"/>
          <w:sz w:val="24"/>
          <w:szCs w:val="24"/>
          <w:lang w:val="en-US"/>
        </w:rPr>
        <w:t>and</w:t>
      </w:r>
      <w:r w:rsidR="0076063F" w:rsidRPr="00714401">
        <w:rPr>
          <w:rFonts w:ascii="Book Antiqua" w:hAnsi="Book Antiqua"/>
          <w:sz w:val="24"/>
          <w:szCs w:val="24"/>
          <w:lang w:val="en-US"/>
        </w:rPr>
        <w:t xml:space="preserve"> </w:t>
      </w:r>
      <w:r w:rsidR="008C204D" w:rsidRPr="00714401">
        <w:rPr>
          <w:rFonts w:ascii="Book Antiqua" w:hAnsi="Book Antiqua"/>
          <w:sz w:val="24"/>
          <w:szCs w:val="24"/>
          <w:lang w:val="en-US"/>
        </w:rPr>
        <w:t>abdominal hypertension</w:t>
      </w:r>
      <w:r w:rsidR="00D90BBA" w:rsidRPr="00714401">
        <w:rPr>
          <w:rFonts w:ascii="Book Antiqua" w:hAnsi="Book Antiqua"/>
          <w:sz w:val="24"/>
          <w:szCs w:val="24"/>
          <w:lang w:val="en-US"/>
        </w:rPr>
        <w:t>, respectively</w:t>
      </w:r>
      <w:r w:rsidR="00593FCD"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6A5239" w:rsidRPr="00714401">
        <w:rPr>
          <w:rFonts w:ascii="Book Antiqua" w:hAnsi="Book Antiqua"/>
          <w:sz w:val="24"/>
          <w:szCs w:val="24"/>
          <w:lang w:val="en-US"/>
        </w:rPr>
        <w:t xml:space="preserve">have significant impact </w:t>
      </w:r>
      <w:r w:rsidR="00593FCD" w:rsidRPr="00714401">
        <w:rPr>
          <w:rFonts w:ascii="Book Antiqua" w:hAnsi="Book Antiqua"/>
          <w:sz w:val="24"/>
          <w:szCs w:val="24"/>
          <w:lang w:val="en-US"/>
        </w:rPr>
        <w:t>on I</w:t>
      </w:r>
      <w:r w:rsidR="00745DE8" w:rsidRPr="00714401">
        <w:rPr>
          <w:rFonts w:ascii="Book Antiqua" w:hAnsi="Book Antiqua"/>
          <w:sz w:val="24"/>
          <w:szCs w:val="24"/>
          <w:lang w:val="en-US"/>
        </w:rPr>
        <w:t xml:space="preserve">GC </w:t>
      </w:r>
      <w:r w:rsidR="00F90597" w:rsidRPr="00714401">
        <w:rPr>
          <w:rFonts w:ascii="Book Antiqua" w:hAnsi="Book Antiqua"/>
          <w:sz w:val="24"/>
          <w:szCs w:val="24"/>
          <w:lang w:val="en-US"/>
        </w:rPr>
        <w:t>elimination</w:t>
      </w:r>
      <w:r w:rsidR="00593FCD" w:rsidRPr="00714401">
        <w:rPr>
          <w:rFonts w:ascii="Book Antiqua" w:hAnsi="Book Antiqua"/>
          <w:sz w:val="24"/>
          <w:szCs w:val="24"/>
          <w:lang w:val="en-US"/>
        </w:rPr>
        <w:t xml:space="preserve">, which is </w:t>
      </w:r>
      <w:r w:rsidR="006A5239" w:rsidRPr="00714401">
        <w:rPr>
          <w:rFonts w:ascii="Book Antiqua" w:hAnsi="Book Antiqua"/>
          <w:sz w:val="24"/>
          <w:szCs w:val="24"/>
          <w:lang w:val="en-US"/>
        </w:rPr>
        <w:t xml:space="preserve">reduced in </w:t>
      </w:r>
      <w:r w:rsidR="00D90BBA" w:rsidRPr="00714401">
        <w:rPr>
          <w:rFonts w:ascii="Book Antiqua" w:hAnsi="Book Antiqua"/>
          <w:sz w:val="24"/>
          <w:szCs w:val="24"/>
          <w:lang w:val="en-US"/>
        </w:rPr>
        <w:t xml:space="preserve">the </w:t>
      </w:r>
      <w:r w:rsidR="00631842" w:rsidRPr="00714401">
        <w:rPr>
          <w:rFonts w:ascii="Book Antiqua" w:hAnsi="Book Antiqua"/>
          <w:sz w:val="24"/>
          <w:szCs w:val="24"/>
          <w:lang w:val="en-US"/>
        </w:rPr>
        <w:t xml:space="preserve">above mentioned </w:t>
      </w:r>
      <w:r w:rsidR="006A5239" w:rsidRPr="00714401">
        <w:rPr>
          <w:rFonts w:ascii="Book Antiqua" w:hAnsi="Book Antiqua"/>
          <w:sz w:val="24"/>
          <w:szCs w:val="24"/>
          <w:lang w:val="en-US"/>
        </w:rPr>
        <w:t>settings</w:t>
      </w:r>
      <w:r w:rsidR="00B15ED1" w:rsidRPr="00714401">
        <w:rPr>
          <w:rFonts w:ascii="Book Antiqua" w:hAnsi="Book Antiqua"/>
          <w:sz w:val="24"/>
          <w:szCs w:val="24"/>
          <w:lang w:val="en-US"/>
        </w:rPr>
        <w:t xml:space="preserve">. </w:t>
      </w:r>
      <w:r w:rsidR="008C204D" w:rsidRPr="00714401">
        <w:rPr>
          <w:rFonts w:ascii="Book Antiqua" w:hAnsi="Book Antiqua"/>
          <w:sz w:val="24"/>
          <w:szCs w:val="24"/>
          <w:lang w:val="en-US"/>
        </w:rPr>
        <w:t xml:space="preserve">On the contrary, </w:t>
      </w:r>
      <w:r w:rsidR="00F90597" w:rsidRPr="00714401">
        <w:rPr>
          <w:rFonts w:ascii="Book Antiqua" w:hAnsi="Book Antiqua"/>
          <w:sz w:val="24"/>
          <w:szCs w:val="24"/>
          <w:lang w:val="en-US"/>
        </w:rPr>
        <w:t xml:space="preserve">splanchnic </w:t>
      </w:r>
      <w:proofErr w:type="spellStart"/>
      <w:r w:rsidR="00683A6E" w:rsidRPr="00714401">
        <w:rPr>
          <w:rFonts w:ascii="Book Antiqua" w:hAnsi="Book Antiqua"/>
          <w:sz w:val="24"/>
          <w:szCs w:val="24"/>
          <w:lang w:val="en-US"/>
        </w:rPr>
        <w:t>hyperperfusion</w:t>
      </w:r>
      <w:proofErr w:type="spellEnd"/>
      <w:r w:rsidR="008C204D" w:rsidRPr="00714401">
        <w:rPr>
          <w:rFonts w:ascii="Book Antiqua" w:hAnsi="Book Antiqua"/>
          <w:sz w:val="24"/>
          <w:szCs w:val="24"/>
          <w:lang w:val="en-US"/>
        </w:rPr>
        <w:t xml:space="preserve">, increasing </w:t>
      </w:r>
      <w:r w:rsidR="00857C4B" w:rsidRPr="00714401">
        <w:rPr>
          <w:rFonts w:ascii="Book Antiqua" w:hAnsi="Book Antiqua"/>
          <w:sz w:val="24"/>
          <w:szCs w:val="24"/>
          <w:lang w:val="en-US"/>
        </w:rPr>
        <w:t xml:space="preserve">ICG </w:t>
      </w:r>
      <w:r w:rsidR="00F06088" w:rsidRPr="00714401">
        <w:rPr>
          <w:rFonts w:ascii="Book Antiqua" w:hAnsi="Book Antiqua"/>
          <w:sz w:val="24"/>
          <w:szCs w:val="24"/>
          <w:lang w:val="en-US"/>
        </w:rPr>
        <w:t>extraction</w:t>
      </w:r>
      <w:r w:rsidR="008C204D" w:rsidRPr="00714401">
        <w:rPr>
          <w:rFonts w:ascii="Book Antiqua" w:hAnsi="Book Antiqua"/>
          <w:sz w:val="24"/>
          <w:szCs w:val="24"/>
          <w:lang w:val="en-US"/>
        </w:rPr>
        <w:t>, might produce</w:t>
      </w:r>
      <w:r w:rsidR="0076063F" w:rsidRPr="00714401">
        <w:rPr>
          <w:rFonts w:ascii="Book Antiqua" w:hAnsi="Book Antiqua"/>
          <w:sz w:val="24"/>
          <w:szCs w:val="24"/>
          <w:lang w:val="en-US"/>
        </w:rPr>
        <w:t xml:space="preserve"> </w:t>
      </w:r>
      <w:r w:rsidR="00745DE8" w:rsidRPr="00714401">
        <w:rPr>
          <w:rFonts w:ascii="Book Antiqua" w:hAnsi="Book Antiqua"/>
          <w:sz w:val="24"/>
          <w:szCs w:val="24"/>
          <w:lang w:val="en-US"/>
        </w:rPr>
        <w:t>(false</w:t>
      </w:r>
      <w:r w:rsidR="00EA0998" w:rsidRPr="00714401">
        <w:rPr>
          <w:rFonts w:ascii="Book Antiqua" w:hAnsi="Book Antiqua"/>
          <w:sz w:val="24"/>
          <w:szCs w:val="24"/>
          <w:lang w:val="en-US"/>
        </w:rPr>
        <w:t>ly</w:t>
      </w:r>
      <w:r w:rsidR="00745DE8" w:rsidRPr="00714401">
        <w:rPr>
          <w:rFonts w:ascii="Book Antiqua" w:hAnsi="Book Antiqua"/>
          <w:sz w:val="24"/>
          <w:szCs w:val="24"/>
          <w:lang w:val="en-US"/>
        </w:rPr>
        <w:t xml:space="preserve">) </w:t>
      </w:r>
      <w:r w:rsidR="008C204D" w:rsidRPr="00714401">
        <w:rPr>
          <w:rFonts w:ascii="Book Antiqua" w:hAnsi="Book Antiqua"/>
          <w:sz w:val="24"/>
          <w:szCs w:val="24"/>
          <w:lang w:val="en-US"/>
        </w:rPr>
        <w:t xml:space="preserve">high </w:t>
      </w:r>
      <w:r w:rsidR="007E589D" w:rsidRPr="00714401">
        <w:rPr>
          <w:rFonts w:ascii="Book Antiqua" w:hAnsi="Book Antiqua"/>
          <w:sz w:val="24"/>
          <w:szCs w:val="24"/>
          <w:lang w:val="en-US"/>
        </w:rPr>
        <w:t>ICG</w:t>
      </w:r>
      <w:r w:rsidR="00F06088" w:rsidRPr="00714401">
        <w:rPr>
          <w:rFonts w:ascii="Book Antiqua" w:hAnsi="Book Antiqua"/>
          <w:sz w:val="24"/>
          <w:szCs w:val="24"/>
          <w:vertAlign w:val="subscript"/>
          <w:lang w:val="en-US"/>
        </w:rPr>
        <w:t>PDR</w:t>
      </w:r>
      <w:r w:rsidR="008C204D" w:rsidRPr="00714401">
        <w:rPr>
          <w:rFonts w:ascii="Book Antiqua" w:hAnsi="Book Antiqua"/>
          <w:sz w:val="24"/>
          <w:szCs w:val="24"/>
          <w:vertAlign w:val="subscript"/>
          <w:lang w:val="en-US"/>
        </w:rPr>
        <w:t xml:space="preserve"> </w:t>
      </w:r>
      <w:r w:rsidR="006A5239" w:rsidRPr="00714401">
        <w:rPr>
          <w:rFonts w:ascii="Book Antiqua" w:hAnsi="Book Antiqua"/>
          <w:sz w:val="24"/>
          <w:szCs w:val="24"/>
          <w:lang w:val="en-US"/>
        </w:rPr>
        <w:t>readings</w:t>
      </w:r>
      <w:r w:rsidR="006A5239" w:rsidRPr="00714401">
        <w:rPr>
          <w:rFonts w:ascii="Book Antiqua" w:hAnsi="Book Antiqua"/>
          <w:sz w:val="24"/>
          <w:szCs w:val="24"/>
          <w:vertAlign w:val="subscript"/>
          <w:lang w:val="en-US"/>
        </w:rPr>
        <w:t>.</w:t>
      </w:r>
      <w:r w:rsidR="0076063F" w:rsidRPr="00714401">
        <w:rPr>
          <w:rFonts w:ascii="Book Antiqua" w:hAnsi="Book Antiqua"/>
          <w:sz w:val="24"/>
          <w:szCs w:val="24"/>
          <w:vertAlign w:val="subscript"/>
          <w:lang w:val="en-US"/>
        </w:rPr>
        <w:t xml:space="preserve"> </w:t>
      </w:r>
      <w:r w:rsidR="00A820C5" w:rsidRPr="00714401">
        <w:rPr>
          <w:rFonts w:ascii="Book Antiqua" w:hAnsi="Book Antiqua"/>
          <w:sz w:val="24"/>
          <w:szCs w:val="24"/>
          <w:lang w:val="en-US"/>
        </w:rPr>
        <w:t>In case of liver dysfunction, t</w:t>
      </w:r>
      <w:r w:rsidR="00B15ED1" w:rsidRPr="00714401">
        <w:rPr>
          <w:rFonts w:ascii="Book Antiqua" w:hAnsi="Book Antiqua"/>
          <w:sz w:val="24"/>
          <w:szCs w:val="24"/>
          <w:lang w:val="en-US"/>
        </w:rPr>
        <w:t>rue p</w:t>
      </w:r>
      <w:r w:rsidR="00D9214E" w:rsidRPr="00714401">
        <w:rPr>
          <w:rFonts w:ascii="Book Antiqua" w:hAnsi="Book Antiqua"/>
          <w:sz w:val="24"/>
          <w:szCs w:val="24"/>
          <w:lang w:val="en-US"/>
        </w:rPr>
        <w:t xml:space="preserve">athological </w:t>
      </w:r>
      <w:r w:rsidR="00B15ED1" w:rsidRPr="00714401">
        <w:rPr>
          <w:rFonts w:ascii="Book Antiqua" w:hAnsi="Book Antiqua"/>
          <w:sz w:val="24"/>
          <w:szCs w:val="24"/>
          <w:lang w:val="en-US"/>
        </w:rPr>
        <w:t>IGC</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or </w:t>
      </w:r>
      <w:r w:rsidR="00B15ED1"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R15</w:t>
      </w:r>
      <w:r w:rsidR="00F90597" w:rsidRPr="00714401">
        <w:rPr>
          <w:rFonts w:ascii="Book Antiqua" w:hAnsi="Book Antiqua"/>
          <w:sz w:val="24"/>
          <w:szCs w:val="24"/>
          <w:lang w:val="en-US"/>
        </w:rPr>
        <w:t xml:space="preserve"> </w:t>
      </w:r>
      <w:r w:rsidR="00FF2D6C" w:rsidRPr="00714401">
        <w:rPr>
          <w:rFonts w:ascii="Book Antiqua" w:hAnsi="Book Antiqua"/>
          <w:sz w:val="24"/>
          <w:szCs w:val="24"/>
          <w:lang w:val="en-US"/>
        </w:rPr>
        <w:t xml:space="preserve">values </w:t>
      </w:r>
      <w:r w:rsidR="00745DE8" w:rsidRPr="00714401">
        <w:rPr>
          <w:rFonts w:ascii="Book Antiqua" w:hAnsi="Book Antiqua"/>
          <w:sz w:val="24"/>
          <w:szCs w:val="24"/>
          <w:lang w:val="en-US"/>
        </w:rPr>
        <w:t xml:space="preserve">are </w:t>
      </w:r>
      <w:r w:rsidR="00A820C5" w:rsidRPr="00714401">
        <w:rPr>
          <w:rFonts w:ascii="Book Antiqua" w:hAnsi="Book Antiqua"/>
          <w:sz w:val="24"/>
          <w:szCs w:val="24"/>
          <w:lang w:val="en-US"/>
        </w:rPr>
        <w:t>present because of a</w:t>
      </w:r>
      <w:r w:rsidR="00FF2D6C" w:rsidRPr="00714401">
        <w:rPr>
          <w:rFonts w:ascii="Book Antiqua" w:hAnsi="Book Antiqua"/>
          <w:sz w:val="24"/>
          <w:szCs w:val="24"/>
          <w:lang w:val="en-US"/>
        </w:rPr>
        <w:t xml:space="preserve"> decreased transport from the systemic circulation to the</w:t>
      </w:r>
      <w:r w:rsidR="0076063F" w:rsidRPr="00714401">
        <w:rPr>
          <w:rFonts w:ascii="Book Antiqua" w:hAnsi="Book Antiqua"/>
          <w:sz w:val="24"/>
          <w:szCs w:val="24"/>
          <w:lang w:val="en-US"/>
        </w:rPr>
        <w:t xml:space="preserve"> </w:t>
      </w:r>
      <w:r w:rsidR="00FF2D6C" w:rsidRPr="00714401">
        <w:rPr>
          <w:rFonts w:ascii="Book Antiqua" w:hAnsi="Book Antiqua"/>
          <w:sz w:val="24"/>
          <w:szCs w:val="24"/>
          <w:lang w:val="en-US"/>
        </w:rPr>
        <w:t>l</w:t>
      </w:r>
      <w:r w:rsidR="008B0A85" w:rsidRPr="00714401">
        <w:rPr>
          <w:rFonts w:ascii="Book Antiqua" w:hAnsi="Book Antiqua"/>
          <w:sz w:val="24"/>
          <w:szCs w:val="24"/>
          <w:lang w:val="en-US"/>
        </w:rPr>
        <w:t>iver (reduced blood flow) and/</w:t>
      </w:r>
      <w:r w:rsidR="00FF2D6C" w:rsidRPr="00714401">
        <w:rPr>
          <w:rFonts w:ascii="Book Antiqua" w:hAnsi="Book Antiqua"/>
          <w:sz w:val="24"/>
          <w:szCs w:val="24"/>
          <w:lang w:val="en-US"/>
        </w:rPr>
        <w:t xml:space="preserve">or </w:t>
      </w:r>
      <w:r w:rsidR="00593FCD" w:rsidRPr="00714401">
        <w:rPr>
          <w:rFonts w:ascii="Book Antiqua" w:hAnsi="Book Antiqua"/>
          <w:sz w:val="24"/>
          <w:szCs w:val="24"/>
          <w:lang w:val="en-US"/>
        </w:rPr>
        <w:t xml:space="preserve">a </w:t>
      </w:r>
      <w:r w:rsidR="00FF2D6C" w:rsidRPr="00714401">
        <w:rPr>
          <w:rFonts w:ascii="Book Antiqua" w:hAnsi="Book Antiqua"/>
          <w:sz w:val="24"/>
          <w:szCs w:val="24"/>
          <w:lang w:val="en-US"/>
        </w:rPr>
        <w:t xml:space="preserve">decreased uptake </w:t>
      </w:r>
      <w:r w:rsidR="00593FCD" w:rsidRPr="00714401">
        <w:rPr>
          <w:rFonts w:ascii="Book Antiqua" w:hAnsi="Book Antiqua"/>
          <w:sz w:val="24"/>
          <w:szCs w:val="24"/>
          <w:lang w:val="en-US"/>
        </w:rPr>
        <w:t>by the hepatocytes from the</w:t>
      </w:r>
      <w:r w:rsidR="0076063F" w:rsidRPr="00714401">
        <w:rPr>
          <w:rFonts w:ascii="Book Antiqua" w:hAnsi="Book Antiqua"/>
          <w:sz w:val="24"/>
          <w:szCs w:val="24"/>
          <w:lang w:val="en-US"/>
        </w:rPr>
        <w:t xml:space="preserve"> </w:t>
      </w:r>
      <w:r w:rsidR="00FF2D6C" w:rsidRPr="00714401">
        <w:rPr>
          <w:rFonts w:ascii="Book Antiqua" w:hAnsi="Book Antiqua"/>
          <w:sz w:val="24"/>
          <w:szCs w:val="24"/>
          <w:lang w:val="en-US"/>
        </w:rPr>
        <w:t>sinusoids</w:t>
      </w:r>
      <w:r w:rsidR="00593FCD" w:rsidRPr="00714401">
        <w:rPr>
          <w:rFonts w:ascii="Book Antiqua" w:hAnsi="Book Antiqua"/>
          <w:sz w:val="24"/>
          <w:szCs w:val="24"/>
          <w:lang w:val="en-US"/>
        </w:rPr>
        <w:t>. In the liver transplant setting,</w:t>
      </w:r>
      <w:r w:rsidR="00492582" w:rsidRPr="00714401">
        <w:rPr>
          <w:rFonts w:ascii="Book Antiqua" w:hAnsi="Book Antiqua"/>
          <w:sz w:val="24"/>
          <w:szCs w:val="24"/>
          <w:lang w:val="en-US"/>
        </w:rPr>
        <w:t xml:space="preserve"> </w:t>
      </w:r>
      <w:r w:rsidR="00BC27D4" w:rsidRPr="00714401">
        <w:rPr>
          <w:rFonts w:ascii="Book Antiqua" w:hAnsi="Book Antiqua"/>
          <w:sz w:val="24"/>
          <w:szCs w:val="24"/>
          <w:lang w:val="en-US"/>
        </w:rPr>
        <w:t xml:space="preserve">for example, </w:t>
      </w:r>
      <w:r w:rsidR="00FF2D6C" w:rsidRPr="00714401">
        <w:rPr>
          <w:rFonts w:ascii="Book Antiqua" w:hAnsi="Book Antiqua"/>
          <w:sz w:val="24"/>
          <w:szCs w:val="24"/>
          <w:lang w:val="en-US"/>
        </w:rPr>
        <w:t xml:space="preserve">conditions able to negatively impact </w:t>
      </w:r>
      <w:r w:rsidR="00FF2D6C" w:rsidRPr="00714401">
        <w:rPr>
          <w:rFonts w:ascii="Book Antiqua" w:hAnsi="Book Antiqua"/>
          <w:sz w:val="24"/>
          <w:szCs w:val="24"/>
          <w:lang w:val="en-US"/>
        </w:rPr>
        <w:lastRenderedPageBreak/>
        <w:t>on</w:t>
      </w:r>
      <w:r w:rsidR="0076063F" w:rsidRPr="00714401">
        <w:rPr>
          <w:rFonts w:ascii="Book Antiqua" w:hAnsi="Book Antiqua"/>
          <w:sz w:val="24"/>
          <w:szCs w:val="24"/>
          <w:lang w:val="en-US"/>
        </w:rPr>
        <w:t xml:space="preserve"> </w:t>
      </w:r>
      <w:r w:rsidR="00FF2D6C" w:rsidRPr="00714401">
        <w:rPr>
          <w:rFonts w:ascii="Book Antiqua" w:hAnsi="Book Antiqua"/>
          <w:sz w:val="24"/>
          <w:szCs w:val="24"/>
          <w:lang w:val="en-US"/>
        </w:rPr>
        <w:t xml:space="preserve">liver blood flow </w:t>
      </w:r>
      <w:r w:rsidR="008B0A85" w:rsidRPr="00714401">
        <w:rPr>
          <w:rFonts w:ascii="Book Antiqua" w:hAnsi="Book Antiqua"/>
          <w:sz w:val="24"/>
          <w:szCs w:val="24"/>
          <w:lang w:val="en-US"/>
        </w:rPr>
        <w:t>and/</w:t>
      </w:r>
      <w:r w:rsidR="00593FCD" w:rsidRPr="00714401">
        <w:rPr>
          <w:rFonts w:ascii="Book Antiqua" w:hAnsi="Book Antiqua"/>
          <w:sz w:val="24"/>
          <w:szCs w:val="24"/>
          <w:lang w:val="en-US"/>
        </w:rPr>
        <w:t xml:space="preserve">or extraction capacities </w:t>
      </w:r>
      <w:r w:rsidR="00FF2D6C" w:rsidRPr="00714401">
        <w:rPr>
          <w:rFonts w:ascii="Book Antiqua" w:hAnsi="Book Antiqua"/>
          <w:sz w:val="24"/>
          <w:szCs w:val="24"/>
          <w:lang w:val="en-US"/>
        </w:rPr>
        <w:t>are hepatic artery thrombosis</w:t>
      </w:r>
      <w:r w:rsidR="008B0A85" w:rsidRPr="00714401">
        <w:rPr>
          <w:rFonts w:ascii="Book Antiqua" w:hAnsi="Book Antiqua"/>
          <w:sz w:val="24"/>
          <w:szCs w:val="24"/>
          <w:lang w:val="en-US"/>
        </w:rPr>
        <w:t xml:space="preserve"> (HAT)</w:t>
      </w:r>
      <w:r w:rsidR="00FF2D6C" w:rsidRPr="00714401">
        <w:rPr>
          <w:rFonts w:ascii="Book Antiqua" w:hAnsi="Book Antiqua"/>
          <w:sz w:val="24"/>
          <w:szCs w:val="24"/>
          <w:lang w:val="en-US"/>
        </w:rPr>
        <w:t xml:space="preserve">, </w:t>
      </w:r>
      <w:r w:rsidR="00593FCD" w:rsidRPr="00714401">
        <w:rPr>
          <w:rFonts w:ascii="Book Antiqua" w:hAnsi="Book Antiqua"/>
          <w:sz w:val="24"/>
          <w:szCs w:val="24"/>
          <w:lang w:val="en-US"/>
        </w:rPr>
        <w:t>primary graft non function</w:t>
      </w:r>
      <w:r w:rsidR="00D90BBA" w:rsidRPr="00714401">
        <w:rPr>
          <w:rFonts w:ascii="Book Antiqua" w:hAnsi="Book Antiqua"/>
          <w:sz w:val="24"/>
          <w:szCs w:val="24"/>
          <w:lang w:val="en-US"/>
        </w:rPr>
        <w:t xml:space="preserve"> (PGNF),</w:t>
      </w:r>
      <w:r w:rsidR="0076063F" w:rsidRPr="00714401">
        <w:rPr>
          <w:rFonts w:ascii="Book Antiqua" w:hAnsi="Book Antiqua"/>
          <w:sz w:val="24"/>
          <w:szCs w:val="24"/>
          <w:lang w:val="en-US"/>
        </w:rPr>
        <w:t xml:space="preserve"> </w:t>
      </w:r>
      <w:r w:rsidR="00EA0998" w:rsidRPr="00714401">
        <w:rPr>
          <w:rFonts w:ascii="Book Antiqua" w:hAnsi="Book Antiqua"/>
          <w:sz w:val="24"/>
          <w:szCs w:val="24"/>
          <w:lang w:val="en-US"/>
        </w:rPr>
        <w:t xml:space="preserve">severe </w:t>
      </w:r>
      <w:r w:rsidR="00FF2D6C" w:rsidRPr="00714401">
        <w:rPr>
          <w:rFonts w:ascii="Book Antiqua" w:hAnsi="Book Antiqua"/>
          <w:sz w:val="24"/>
          <w:szCs w:val="24"/>
          <w:lang w:val="en-US"/>
        </w:rPr>
        <w:t xml:space="preserve">early </w:t>
      </w:r>
      <w:r w:rsidR="00EA0998" w:rsidRPr="00714401">
        <w:rPr>
          <w:rFonts w:ascii="Book Antiqua" w:hAnsi="Book Antiqua"/>
          <w:sz w:val="24"/>
          <w:szCs w:val="24"/>
          <w:lang w:val="en-US"/>
        </w:rPr>
        <w:t>graft dysfunction</w:t>
      </w:r>
      <w:r w:rsidR="00593FCD" w:rsidRPr="00714401">
        <w:rPr>
          <w:rFonts w:ascii="Book Antiqua" w:hAnsi="Book Antiqua"/>
          <w:sz w:val="24"/>
          <w:szCs w:val="24"/>
          <w:lang w:val="en-US"/>
        </w:rPr>
        <w:t>,</w:t>
      </w:r>
      <w:r w:rsidR="00FF2D6C" w:rsidRPr="00714401">
        <w:rPr>
          <w:rFonts w:ascii="Book Antiqua" w:hAnsi="Book Antiqua"/>
          <w:sz w:val="24"/>
          <w:szCs w:val="24"/>
          <w:lang w:val="en-US"/>
        </w:rPr>
        <w:t xml:space="preserve"> </w:t>
      </w:r>
      <w:r w:rsidR="00412CEE" w:rsidRPr="00714401">
        <w:rPr>
          <w:rFonts w:ascii="Book Antiqua" w:hAnsi="Book Antiqua"/>
          <w:sz w:val="24"/>
          <w:szCs w:val="24"/>
          <w:lang w:val="en-US"/>
        </w:rPr>
        <w:t xml:space="preserve">severe </w:t>
      </w:r>
      <w:r w:rsidR="00745DE8" w:rsidRPr="00714401">
        <w:rPr>
          <w:rFonts w:ascii="Book Antiqua" w:hAnsi="Book Antiqua"/>
          <w:sz w:val="24"/>
          <w:szCs w:val="24"/>
          <w:lang w:val="en-US"/>
        </w:rPr>
        <w:t>rejecti</w:t>
      </w:r>
      <w:r w:rsidR="008B0A85" w:rsidRPr="00714401">
        <w:rPr>
          <w:rFonts w:ascii="Book Antiqua" w:hAnsi="Book Antiqua"/>
          <w:sz w:val="24"/>
          <w:szCs w:val="24"/>
          <w:lang w:val="en-US"/>
        </w:rPr>
        <w:t>on</w:t>
      </w:r>
      <w:r w:rsidR="00BC5DA5" w:rsidRPr="00714401">
        <w:rPr>
          <w:rFonts w:ascii="Book Antiqua" w:hAnsi="Book Antiqua"/>
          <w:sz w:val="24"/>
          <w:szCs w:val="24"/>
          <w:vertAlign w:val="superscript"/>
          <w:lang w:val="en-US"/>
        </w:rPr>
        <w:t>[</w:t>
      </w:r>
      <w:r w:rsidR="003A7F64" w:rsidRPr="00714401">
        <w:rPr>
          <w:rFonts w:ascii="Book Antiqua" w:hAnsi="Book Antiqua"/>
          <w:sz w:val="24"/>
          <w:szCs w:val="24"/>
          <w:vertAlign w:val="superscript"/>
          <w:lang w:val="en-US"/>
        </w:rPr>
        <w:t>9,10</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w:t>
      </w:r>
      <w:r w:rsidR="0076063F" w:rsidRPr="00714401">
        <w:rPr>
          <w:rFonts w:ascii="Book Antiqua" w:hAnsi="Book Antiqua"/>
          <w:sz w:val="24"/>
          <w:szCs w:val="24"/>
          <w:lang w:val="en-US"/>
        </w:rPr>
        <w:t xml:space="preserve"> </w:t>
      </w:r>
    </w:p>
    <w:p w:rsidR="00F90597" w:rsidRPr="00714401" w:rsidRDefault="00BC27D4" w:rsidP="008B0A85">
      <w:pPr>
        <w:autoSpaceDE w:val="0"/>
        <w:autoSpaceDN w:val="0"/>
        <w:adjustRightInd w:val="0"/>
        <w:snapToGrid w:val="0"/>
        <w:spacing w:after="0" w:line="360" w:lineRule="auto"/>
        <w:ind w:firstLineChars="100" w:firstLine="240"/>
        <w:jc w:val="both"/>
        <w:rPr>
          <w:rFonts w:ascii="Book Antiqua" w:eastAsia="Arial Unicode MS" w:hAnsi="Book Antiqua" w:cs="Arial Unicode MS"/>
          <w:sz w:val="24"/>
          <w:szCs w:val="24"/>
          <w:lang w:val="en-US" w:eastAsia="zh-CN"/>
        </w:rPr>
      </w:pPr>
      <w:r w:rsidRPr="00714401">
        <w:rPr>
          <w:rFonts w:ascii="Book Antiqua" w:hAnsi="Book Antiqua"/>
          <w:sz w:val="24"/>
          <w:szCs w:val="24"/>
          <w:lang w:val="en-US"/>
        </w:rPr>
        <w:t>Altered IGC</w:t>
      </w:r>
      <w:r w:rsidRPr="00714401">
        <w:rPr>
          <w:rFonts w:ascii="Book Antiqua" w:hAnsi="Book Antiqua"/>
          <w:sz w:val="24"/>
          <w:szCs w:val="24"/>
          <w:vertAlign w:val="subscript"/>
          <w:lang w:val="en-US"/>
        </w:rPr>
        <w:t>PDR</w:t>
      </w:r>
      <w:r w:rsidRPr="00714401">
        <w:rPr>
          <w:rFonts w:ascii="Book Antiqua" w:hAnsi="Book Antiqua"/>
          <w:sz w:val="24"/>
          <w:szCs w:val="24"/>
          <w:lang w:val="en-US"/>
        </w:rPr>
        <w:t xml:space="preserve"> and ICG</w:t>
      </w:r>
      <w:r w:rsidRPr="00714401">
        <w:rPr>
          <w:rFonts w:ascii="Book Antiqua" w:hAnsi="Book Antiqua"/>
          <w:sz w:val="24"/>
          <w:szCs w:val="24"/>
          <w:vertAlign w:val="subscript"/>
          <w:lang w:val="en-US"/>
        </w:rPr>
        <w:t>R15</w:t>
      </w:r>
      <w:r w:rsidRPr="00714401">
        <w:rPr>
          <w:rFonts w:ascii="Book Antiqua" w:hAnsi="Book Antiqua"/>
          <w:sz w:val="24"/>
          <w:szCs w:val="24"/>
          <w:lang w:val="en-US"/>
        </w:rPr>
        <w:t xml:space="preserve"> might </w:t>
      </w:r>
      <w:r w:rsidR="00593FCD" w:rsidRPr="00714401">
        <w:rPr>
          <w:rFonts w:ascii="Book Antiqua" w:hAnsi="Book Antiqua"/>
          <w:sz w:val="24"/>
          <w:szCs w:val="24"/>
          <w:lang w:val="en-US"/>
        </w:rPr>
        <w:t xml:space="preserve">also </w:t>
      </w:r>
      <w:r w:rsidRPr="00714401">
        <w:rPr>
          <w:rFonts w:ascii="Book Antiqua" w:hAnsi="Book Antiqua"/>
          <w:sz w:val="24"/>
          <w:szCs w:val="24"/>
          <w:lang w:val="en-US"/>
        </w:rPr>
        <w:t xml:space="preserve">be reported in case of </w:t>
      </w:r>
      <w:r w:rsidR="00196E6B" w:rsidRPr="00714401">
        <w:rPr>
          <w:rFonts w:ascii="Book Antiqua" w:hAnsi="Book Antiqua"/>
          <w:sz w:val="24"/>
          <w:szCs w:val="24"/>
          <w:lang w:val="en-US"/>
        </w:rPr>
        <w:t xml:space="preserve">elevated </w:t>
      </w:r>
      <w:r w:rsidR="00474164" w:rsidRPr="00714401">
        <w:rPr>
          <w:rFonts w:ascii="Book Antiqua" w:hAnsi="Book Antiqua"/>
          <w:sz w:val="24"/>
          <w:szCs w:val="24"/>
          <w:lang w:val="en-US"/>
        </w:rPr>
        <w:t xml:space="preserve">serum </w:t>
      </w:r>
      <w:r w:rsidR="00196E6B" w:rsidRPr="00714401">
        <w:rPr>
          <w:rFonts w:ascii="Book Antiqua" w:hAnsi="Book Antiqua"/>
          <w:sz w:val="24"/>
          <w:szCs w:val="24"/>
          <w:lang w:val="en-US"/>
        </w:rPr>
        <w:t>bilirubin levels</w:t>
      </w:r>
      <w:r w:rsidR="00D9214E" w:rsidRPr="00714401">
        <w:rPr>
          <w:rFonts w:ascii="Book Antiqua" w:hAnsi="Book Antiqua"/>
          <w:sz w:val="24"/>
          <w:szCs w:val="24"/>
          <w:lang w:val="en-US"/>
        </w:rPr>
        <w:t xml:space="preserve">: </w:t>
      </w:r>
      <w:r w:rsidR="008B0A85" w:rsidRPr="00714401">
        <w:rPr>
          <w:rFonts w:ascii="Book Antiqua" w:hAnsi="Book Antiqua"/>
          <w:sz w:val="24"/>
          <w:szCs w:val="24"/>
          <w:lang w:val="en-US"/>
        </w:rPr>
        <w:t>I</w:t>
      </w:r>
      <w:r w:rsidR="00152735" w:rsidRPr="00714401">
        <w:rPr>
          <w:rFonts w:ascii="Book Antiqua" w:hAnsi="Book Antiqua"/>
          <w:sz w:val="24"/>
          <w:szCs w:val="24"/>
          <w:lang w:val="en-US"/>
        </w:rPr>
        <w:t>n the active transport process into the hepatocytes,</w:t>
      </w:r>
      <w:r w:rsidR="0076063F" w:rsidRPr="00714401">
        <w:rPr>
          <w:rFonts w:ascii="Book Antiqua" w:hAnsi="Book Antiqua"/>
          <w:sz w:val="24"/>
          <w:szCs w:val="24"/>
          <w:lang w:val="en-US"/>
        </w:rPr>
        <w:t xml:space="preserve"> </w:t>
      </w:r>
      <w:r w:rsidR="002B0236" w:rsidRPr="00714401">
        <w:rPr>
          <w:rFonts w:ascii="Book Antiqua" w:hAnsi="Book Antiqua"/>
          <w:sz w:val="24"/>
          <w:szCs w:val="24"/>
          <w:lang w:val="en-US"/>
        </w:rPr>
        <w:t xml:space="preserve">competition </w:t>
      </w:r>
      <w:r w:rsidR="00152735" w:rsidRPr="00714401">
        <w:rPr>
          <w:rFonts w:ascii="Book Antiqua" w:hAnsi="Book Antiqua"/>
          <w:sz w:val="24"/>
          <w:szCs w:val="24"/>
          <w:lang w:val="en-US"/>
        </w:rPr>
        <w:t>between</w:t>
      </w:r>
      <w:r w:rsidR="0076063F" w:rsidRPr="00714401">
        <w:rPr>
          <w:rFonts w:ascii="Book Antiqua" w:hAnsi="Book Antiqua"/>
          <w:sz w:val="24"/>
          <w:szCs w:val="24"/>
          <w:lang w:val="en-US"/>
        </w:rPr>
        <w:t xml:space="preserve"> </w:t>
      </w:r>
      <w:r w:rsidR="002B0236" w:rsidRPr="00714401">
        <w:rPr>
          <w:rFonts w:ascii="Book Antiqua" w:hAnsi="Book Antiqua"/>
          <w:sz w:val="24"/>
          <w:szCs w:val="24"/>
          <w:lang w:val="en-US"/>
        </w:rPr>
        <w:t>bilirubin and ICG for the same carrier</w:t>
      </w:r>
      <w:r w:rsidR="00152735" w:rsidRPr="00714401">
        <w:rPr>
          <w:rFonts w:ascii="Book Antiqua" w:hAnsi="Book Antiqua"/>
          <w:sz w:val="24"/>
          <w:szCs w:val="24"/>
          <w:lang w:val="en-US"/>
        </w:rPr>
        <w:t xml:space="preserve"> “alters” ICG kinetic results</w:t>
      </w:r>
      <w:r w:rsidR="00196E6B" w:rsidRPr="00714401">
        <w:rPr>
          <w:rFonts w:ascii="Book Antiqua" w:hAnsi="Book Antiqua"/>
          <w:sz w:val="24"/>
          <w:szCs w:val="24"/>
          <w:lang w:val="en-US"/>
        </w:rPr>
        <w:t xml:space="preserve">. </w:t>
      </w:r>
      <w:r w:rsidR="000E29F1" w:rsidRPr="00714401">
        <w:rPr>
          <w:rFonts w:ascii="Book Antiqua" w:hAnsi="Book Antiqua"/>
          <w:sz w:val="24"/>
          <w:szCs w:val="24"/>
          <w:lang w:val="en-US"/>
        </w:rPr>
        <w:t>T</w:t>
      </w:r>
      <w:r w:rsidR="00196E6B" w:rsidRPr="00714401">
        <w:rPr>
          <w:rFonts w:ascii="Book Antiqua" w:hAnsi="Book Antiqua"/>
          <w:sz w:val="24"/>
          <w:szCs w:val="24"/>
          <w:lang w:val="en-US"/>
        </w:rPr>
        <w:t xml:space="preserve">his specific </w:t>
      </w:r>
      <w:r w:rsidRPr="00714401">
        <w:rPr>
          <w:rFonts w:ascii="Book Antiqua" w:hAnsi="Book Antiqua"/>
          <w:sz w:val="24"/>
          <w:szCs w:val="24"/>
          <w:lang w:val="en-US"/>
        </w:rPr>
        <w:t xml:space="preserve">condition </w:t>
      </w:r>
      <w:r w:rsidR="002B0236" w:rsidRPr="00714401">
        <w:rPr>
          <w:rFonts w:ascii="Book Antiqua" w:hAnsi="Book Antiqua"/>
          <w:sz w:val="24"/>
          <w:szCs w:val="24"/>
          <w:lang w:val="en-US"/>
        </w:rPr>
        <w:t>could</w:t>
      </w:r>
      <w:r w:rsidR="0076063F" w:rsidRPr="00714401">
        <w:rPr>
          <w:rFonts w:ascii="Book Antiqua" w:hAnsi="Book Antiqua"/>
          <w:sz w:val="24"/>
          <w:szCs w:val="24"/>
          <w:lang w:val="en-US"/>
        </w:rPr>
        <w:t xml:space="preserve"> </w:t>
      </w:r>
      <w:r w:rsidR="00196E6B" w:rsidRPr="00714401">
        <w:rPr>
          <w:rFonts w:ascii="Book Antiqua" w:hAnsi="Book Antiqua"/>
          <w:sz w:val="24"/>
          <w:szCs w:val="24"/>
          <w:lang w:val="en-US"/>
        </w:rPr>
        <w:t>be quite common in the early postoperative period of liver transplantation</w:t>
      </w:r>
      <w:r w:rsidR="000E29F1" w:rsidRPr="00714401">
        <w:rPr>
          <w:rFonts w:ascii="Book Antiqua" w:hAnsi="Book Antiqua"/>
          <w:sz w:val="24"/>
          <w:szCs w:val="24"/>
          <w:lang w:val="en-US"/>
        </w:rPr>
        <w:t xml:space="preserve"> in patients with </w:t>
      </w:r>
      <w:proofErr w:type="spellStart"/>
      <w:r w:rsidR="000E29F1" w:rsidRPr="00714401">
        <w:rPr>
          <w:rFonts w:ascii="Book Antiqua" w:hAnsi="Book Antiqua"/>
          <w:sz w:val="24"/>
          <w:szCs w:val="24"/>
          <w:lang w:val="en-US"/>
        </w:rPr>
        <w:t>pretransplant</w:t>
      </w:r>
      <w:proofErr w:type="spellEnd"/>
      <w:r w:rsidR="00D90BBA" w:rsidRPr="00714401">
        <w:rPr>
          <w:rFonts w:ascii="Book Antiqua" w:hAnsi="Book Antiqua"/>
          <w:sz w:val="24"/>
          <w:szCs w:val="24"/>
          <w:lang w:val="en-US"/>
        </w:rPr>
        <w:t xml:space="preserve"> </w:t>
      </w:r>
      <w:r w:rsidR="00196E6B" w:rsidRPr="00714401">
        <w:rPr>
          <w:rFonts w:ascii="Book Antiqua" w:hAnsi="Book Antiqua"/>
          <w:sz w:val="24"/>
          <w:szCs w:val="24"/>
          <w:lang w:val="en-US"/>
        </w:rPr>
        <w:t>hyperbilirubinemia:</w:t>
      </w:r>
      <w:r w:rsidR="00D90BBA" w:rsidRPr="00714401">
        <w:rPr>
          <w:rFonts w:ascii="Book Antiqua" w:hAnsi="Book Antiqua"/>
          <w:sz w:val="24"/>
          <w:szCs w:val="24"/>
          <w:lang w:val="en-US"/>
        </w:rPr>
        <w:t xml:space="preserve"> </w:t>
      </w:r>
      <w:r w:rsidR="008B0A85" w:rsidRPr="00714401">
        <w:rPr>
          <w:rFonts w:ascii="Book Antiqua" w:hAnsi="Book Antiqua"/>
          <w:sz w:val="24"/>
          <w:szCs w:val="24"/>
          <w:lang w:val="en-US"/>
        </w:rPr>
        <w:t>P</w:t>
      </w:r>
      <w:r w:rsidR="00196E6B" w:rsidRPr="00714401">
        <w:rPr>
          <w:rFonts w:ascii="Book Antiqua" w:hAnsi="Book Antiqua"/>
          <w:sz w:val="24"/>
          <w:szCs w:val="24"/>
          <w:lang w:val="en-US"/>
        </w:rPr>
        <w:t xml:space="preserve">athological results </w:t>
      </w:r>
      <w:r w:rsidR="00D90BBA" w:rsidRPr="00714401">
        <w:rPr>
          <w:rFonts w:ascii="Book Antiqua" w:hAnsi="Book Antiqua"/>
          <w:sz w:val="24"/>
          <w:szCs w:val="24"/>
          <w:lang w:val="en-US"/>
        </w:rPr>
        <w:t xml:space="preserve">should </w:t>
      </w:r>
      <w:r w:rsidR="000E29F1" w:rsidRPr="00714401">
        <w:rPr>
          <w:rFonts w:ascii="Book Antiqua" w:hAnsi="Book Antiqua"/>
          <w:sz w:val="24"/>
          <w:szCs w:val="24"/>
          <w:lang w:val="en-US"/>
        </w:rPr>
        <w:t xml:space="preserve">be </w:t>
      </w:r>
      <w:r w:rsidR="00196E6B" w:rsidRPr="00714401">
        <w:rPr>
          <w:rFonts w:ascii="Book Antiqua" w:hAnsi="Book Antiqua"/>
          <w:sz w:val="24"/>
          <w:szCs w:val="24"/>
          <w:lang w:val="en-US"/>
        </w:rPr>
        <w:t>attributed to ICG</w:t>
      </w:r>
      <w:r w:rsidR="002B0236" w:rsidRPr="00714401">
        <w:rPr>
          <w:rFonts w:ascii="Book Antiqua" w:hAnsi="Book Antiqua"/>
          <w:sz w:val="24"/>
          <w:szCs w:val="24"/>
          <w:lang w:val="en-US"/>
        </w:rPr>
        <w:t>/</w:t>
      </w:r>
      <w:r w:rsidR="00196E6B" w:rsidRPr="00714401">
        <w:rPr>
          <w:rFonts w:ascii="Book Antiqua" w:hAnsi="Book Antiqua"/>
          <w:sz w:val="24"/>
          <w:szCs w:val="24"/>
          <w:lang w:val="en-US"/>
        </w:rPr>
        <w:t xml:space="preserve">Bilirubin competition for the </w:t>
      </w:r>
      <w:r w:rsidR="00BA05F0" w:rsidRPr="00714401">
        <w:rPr>
          <w:rFonts w:ascii="Book Antiqua" w:hAnsi="Book Antiqua"/>
          <w:sz w:val="24"/>
          <w:szCs w:val="24"/>
          <w:lang w:val="en-US"/>
        </w:rPr>
        <w:t xml:space="preserve">same </w:t>
      </w:r>
      <w:r w:rsidR="00196E6B" w:rsidRPr="00714401">
        <w:rPr>
          <w:rFonts w:ascii="Book Antiqua" w:hAnsi="Book Antiqua"/>
          <w:sz w:val="24"/>
          <w:szCs w:val="24"/>
          <w:lang w:val="en-US"/>
        </w:rPr>
        <w:t xml:space="preserve">carrier </w:t>
      </w:r>
      <w:r w:rsidR="002B0236" w:rsidRPr="00714401">
        <w:rPr>
          <w:rFonts w:ascii="Book Antiqua" w:hAnsi="Book Antiqua"/>
          <w:sz w:val="24"/>
          <w:szCs w:val="24"/>
          <w:lang w:val="en-US"/>
        </w:rPr>
        <w:t xml:space="preserve">(Na </w:t>
      </w:r>
      <w:proofErr w:type="spellStart"/>
      <w:r w:rsidR="002B0236" w:rsidRPr="00714401">
        <w:rPr>
          <w:rFonts w:ascii="Book Antiqua" w:hAnsi="Book Antiqua"/>
          <w:sz w:val="24"/>
          <w:szCs w:val="24"/>
          <w:lang w:val="en-US"/>
        </w:rPr>
        <w:t>Taurocolate</w:t>
      </w:r>
      <w:proofErr w:type="spellEnd"/>
      <w:r w:rsidR="002B0236" w:rsidRPr="00714401">
        <w:rPr>
          <w:rFonts w:ascii="Book Antiqua" w:hAnsi="Book Antiqua"/>
          <w:sz w:val="24"/>
          <w:szCs w:val="24"/>
          <w:lang w:val="en-US"/>
        </w:rPr>
        <w:t xml:space="preserve">-co-transporting peptide) </w:t>
      </w:r>
      <w:r w:rsidR="00196E6B" w:rsidRPr="00714401">
        <w:rPr>
          <w:rFonts w:ascii="Book Antiqua" w:hAnsi="Book Antiqua"/>
          <w:sz w:val="24"/>
          <w:szCs w:val="24"/>
          <w:lang w:val="en-US"/>
        </w:rPr>
        <w:t>and not nece</w:t>
      </w:r>
      <w:r w:rsidR="00BA05F0" w:rsidRPr="00714401">
        <w:rPr>
          <w:rFonts w:ascii="Book Antiqua" w:hAnsi="Book Antiqua"/>
          <w:sz w:val="24"/>
          <w:szCs w:val="24"/>
          <w:lang w:val="en-US"/>
        </w:rPr>
        <w:t xml:space="preserve">ssarily to a graft dysfunction. </w:t>
      </w:r>
      <w:r w:rsidR="00637095" w:rsidRPr="00714401">
        <w:rPr>
          <w:rFonts w:ascii="Book Antiqua" w:hAnsi="Book Antiqua"/>
          <w:sz w:val="24"/>
          <w:szCs w:val="24"/>
          <w:lang w:val="en-US"/>
        </w:rPr>
        <w:t>Since p</w:t>
      </w:r>
      <w:r w:rsidR="007E589D" w:rsidRPr="00714401">
        <w:rPr>
          <w:rFonts w:ascii="Book Antiqua" w:hAnsi="Book Antiqua"/>
          <w:sz w:val="24"/>
          <w:szCs w:val="24"/>
          <w:lang w:val="en-US"/>
        </w:rPr>
        <w:t xml:space="preserve">athological </w:t>
      </w:r>
      <w:r w:rsidR="00D9214E" w:rsidRPr="00714401">
        <w:rPr>
          <w:rFonts w:ascii="Book Antiqua" w:hAnsi="Book Antiqua"/>
          <w:sz w:val="24"/>
          <w:szCs w:val="24"/>
          <w:lang w:val="en-US"/>
        </w:rPr>
        <w:t>ICG</w:t>
      </w:r>
      <w:r w:rsidR="00D9214E" w:rsidRPr="00714401">
        <w:rPr>
          <w:rFonts w:ascii="Book Antiqua" w:hAnsi="Book Antiqua"/>
          <w:sz w:val="24"/>
          <w:szCs w:val="24"/>
          <w:vertAlign w:val="subscript"/>
          <w:lang w:val="en-US"/>
        </w:rPr>
        <w:t xml:space="preserve">R15 </w:t>
      </w:r>
      <w:r w:rsidR="001C420A" w:rsidRPr="00714401">
        <w:rPr>
          <w:rFonts w:ascii="Book Antiqua" w:hAnsi="Book Antiqua"/>
          <w:sz w:val="24"/>
          <w:szCs w:val="24"/>
          <w:lang w:val="en-US"/>
        </w:rPr>
        <w:t>or</w:t>
      </w:r>
      <w:r w:rsidR="001C420A" w:rsidRPr="00714401">
        <w:rPr>
          <w:rFonts w:ascii="Book Antiqua" w:hAnsi="Book Antiqua"/>
          <w:sz w:val="24"/>
          <w:szCs w:val="24"/>
          <w:vertAlign w:val="subscript"/>
          <w:lang w:val="en-US"/>
        </w:rPr>
        <w:t xml:space="preserve"> </w:t>
      </w:r>
      <w:r w:rsidR="001C420A" w:rsidRPr="00714401">
        <w:rPr>
          <w:rFonts w:ascii="Book Antiqua" w:hAnsi="Book Antiqua"/>
          <w:sz w:val="24"/>
          <w:szCs w:val="24"/>
          <w:lang w:val="en-US"/>
        </w:rPr>
        <w:t>IGC</w:t>
      </w:r>
      <w:r w:rsidR="001C420A" w:rsidRPr="00714401">
        <w:rPr>
          <w:rFonts w:ascii="Book Antiqua" w:hAnsi="Book Antiqua"/>
          <w:sz w:val="24"/>
          <w:szCs w:val="24"/>
          <w:vertAlign w:val="subscript"/>
          <w:lang w:val="en-US"/>
        </w:rPr>
        <w:t>PDR</w:t>
      </w:r>
      <w:r w:rsidR="001C420A" w:rsidRPr="00714401">
        <w:rPr>
          <w:rFonts w:ascii="Book Antiqua" w:hAnsi="Book Antiqua"/>
          <w:sz w:val="24"/>
          <w:szCs w:val="24"/>
          <w:lang w:val="en-US"/>
        </w:rPr>
        <w:t xml:space="preserve"> </w:t>
      </w:r>
      <w:r w:rsidR="00637095" w:rsidRPr="00714401">
        <w:rPr>
          <w:rFonts w:ascii="Book Antiqua" w:hAnsi="Book Antiqua"/>
          <w:sz w:val="24"/>
          <w:szCs w:val="24"/>
          <w:lang w:val="en-US"/>
        </w:rPr>
        <w:t xml:space="preserve">values </w:t>
      </w:r>
      <w:r w:rsidRPr="00714401">
        <w:rPr>
          <w:rFonts w:ascii="Book Antiqua" w:hAnsi="Book Antiqua"/>
          <w:sz w:val="24"/>
          <w:szCs w:val="24"/>
          <w:lang w:val="en-US"/>
        </w:rPr>
        <w:t xml:space="preserve">might be </w:t>
      </w:r>
      <w:r w:rsidR="007E589D" w:rsidRPr="00714401">
        <w:rPr>
          <w:rFonts w:ascii="Book Antiqua" w:hAnsi="Book Antiqua"/>
          <w:sz w:val="24"/>
          <w:szCs w:val="24"/>
          <w:lang w:val="en-US"/>
        </w:rPr>
        <w:t xml:space="preserve">recorded with </w:t>
      </w:r>
      <w:r w:rsidR="00474164" w:rsidRPr="00714401">
        <w:rPr>
          <w:rFonts w:ascii="Book Antiqua" w:hAnsi="Book Antiqua"/>
          <w:sz w:val="24"/>
          <w:szCs w:val="24"/>
          <w:lang w:val="en-US"/>
        </w:rPr>
        <w:t xml:space="preserve">serum </w:t>
      </w:r>
      <w:r w:rsidR="007E589D" w:rsidRPr="00714401">
        <w:rPr>
          <w:rFonts w:ascii="Book Antiqua" w:hAnsi="Book Antiqua"/>
          <w:sz w:val="24"/>
          <w:szCs w:val="24"/>
          <w:lang w:val="en-US"/>
        </w:rPr>
        <w:t>bilir</w:t>
      </w:r>
      <w:r w:rsidR="00D9214E" w:rsidRPr="00714401">
        <w:rPr>
          <w:rFonts w:ascii="Book Antiqua" w:hAnsi="Book Antiqua"/>
          <w:sz w:val="24"/>
          <w:szCs w:val="24"/>
          <w:lang w:val="en-US"/>
        </w:rPr>
        <w:t>ubin</w:t>
      </w:r>
      <w:r w:rsidR="00474164" w:rsidRPr="00714401">
        <w:rPr>
          <w:rFonts w:ascii="Book Antiqua" w:hAnsi="Book Antiqua"/>
          <w:sz w:val="24"/>
          <w:szCs w:val="24"/>
          <w:lang w:val="en-US"/>
        </w:rPr>
        <w:t xml:space="preserve"> &gt;</w:t>
      </w:r>
      <w:r w:rsidR="0076063F" w:rsidRPr="00714401">
        <w:rPr>
          <w:rFonts w:ascii="Book Antiqua" w:hAnsi="Book Antiqua"/>
          <w:sz w:val="24"/>
          <w:szCs w:val="24"/>
          <w:lang w:val="en-US"/>
        </w:rPr>
        <w:t xml:space="preserve"> </w:t>
      </w:r>
      <w:r w:rsidR="00D9214E" w:rsidRPr="00714401">
        <w:rPr>
          <w:rFonts w:ascii="Book Antiqua" w:hAnsi="Book Antiqua"/>
          <w:sz w:val="24"/>
          <w:szCs w:val="24"/>
          <w:lang w:val="en-US"/>
        </w:rPr>
        <w:t>3 mg</w:t>
      </w:r>
      <w:r w:rsidR="008B0A85" w:rsidRPr="00714401">
        <w:rPr>
          <w:rFonts w:ascii="Book Antiqua" w:hAnsi="Book Antiqua" w:hint="eastAsia"/>
          <w:sz w:val="24"/>
          <w:szCs w:val="24"/>
          <w:lang w:val="en-US" w:eastAsia="zh-CN"/>
        </w:rPr>
        <w:t>/</w:t>
      </w:r>
      <w:proofErr w:type="spellStart"/>
      <w:r w:rsidR="00D9214E" w:rsidRPr="00714401">
        <w:rPr>
          <w:rFonts w:ascii="Book Antiqua" w:hAnsi="Book Antiqua"/>
          <w:sz w:val="24"/>
          <w:szCs w:val="24"/>
          <w:lang w:val="en-US"/>
        </w:rPr>
        <w:t>d</w:t>
      </w:r>
      <w:r w:rsidR="008B0A85" w:rsidRPr="00714401">
        <w:rPr>
          <w:rFonts w:ascii="Book Antiqua" w:hAnsi="Book Antiqua"/>
          <w:sz w:val="24"/>
          <w:szCs w:val="24"/>
          <w:lang w:val="en-US"/>
        </w:rPr>
        <w:t>L</w:t>
      </w:r>
      <w:proofErr w:type="spellEnd"/>
      <w:r w:rsidR="007B2CE9" w:rsidRPr="00714401">
        <w:rPr>
          <w:rFonts w:ascii="Book Antiqua" w:hAnsi="Book Antiqua"/>
          <w:sz w:val="24"/>
          <w:szCs w:val="24"/>
          <w:vertAlign w:val="superscript"/>
          <w:lang w:val="en-US"/>
        </w:rPr>
        <w:t>[6,7</w:t>
      </w:r>
      <w:r w:rsidR="00BC5DA5" w:rsidRPr="00714401">
        <w:rPr>
          <w:rFonts w:ascii="Book Antiqua" w:hAnsi="Book Antiqua"/>
          <w:sz w:val="24"/>
          <w:szCs w:val="24"/>
          <w:vertAlign w:val="superscript"/>
          <w:lang w:val="en-US"/>
        </w:rPr>
        <w:t>]</w:t>
      </w:r>
      <w:r w:rsidR="00637095" w:rsidRPr="00714401">
        <w:rPr>
          <w:rFonts w:ascii="Book Antiqua" w:hAnsi="Book Antiqua"/>
          <w:sz w:val="24"/>
          <w:szCs w:val="24"/>
          <w:lang w:val="en-US"/>
        </w:rPr>
        <w:t xml:space="preserve">, </w:t>
      </w:r>
      <w:r w:rsidR="003A7F64" w:rsidRPr="00714401">
        <w:rPr>
          <w:rFonts w:ascii="Book Antiqua" w:hAnsi="Book Antiqua"/>
          <w:sz w:val="24"/>
          <w:szCs w:val="24"/>
          <w:lang w:val="en-US"/>
        </w:rPr>
        <w:t>extreme</w:t>
      </w:r>
      <w:r w:rsidR="001C420A" w:rsidRPr="00714401">
        <w:rPr>
          <w:rFonts w:ascii="Book Antiqua" w:hAnsi="Book Antiqua"/>
          <w:sz w:val="24"/>
          <w:szCs w:val="24"/>
          <w:lang w:val="en-US"/>
        </w:rPr>
        <w:t xml:space="preserve"> caution </w:t>
      </w:r>
      <w:r w:rsidR="002B0236" w:rsidRPr="00714401">
        <w:rPr>
          <w:rFonts w:ascii="Book Antiqua" w:hAnsi="Book Antiqua"/>
          <w:sz w:val="24"/>
          <w:szCs w:val="24"/>
          <w:lang w:val="en-US"/>
        </w:rPr>
        <w:t xml:space="preserve">has to be </w:t>
      </w:r>
      <w:r w:rsidR="000E29F1" w:rsidRPr="00714401">
        <w:rPr>
          <w:rFonts w:ascii="Book Antiqua" w:hAnsi="Book Antiqua"/>
          <w:sz w:val="24"/>
          <w:szCs w:val="24"/>
          <w:lang w:val="en-US"/>
        </w:rPr>
        <w:t xml:space="preserve">used </w:t>
      </w:r>
      <w:r w:rsidR="00637095" w:rsidRPr="00714401">
        <w:rPr>
          <w:rFonts w:ascii="Book Antiqua" w:hAnsi="Book Antiqua"/>
          <w:sz w:val="24"/>
          <w:szCs w:val="24"/>
          <w:lang w:val="en-US"/>
        </w:rPr>
        <w:t xml:space="preserve">when </w:t>
      </w:r>
      <w:r w:rsidR="001C420A" w:rsidRPr="00714401">
        <w:rPr>
          <w:rFonts w:ascii="Book Antiqua" w:hAnsi="Book Antiqua"/>
          <w:sz w:val="24"/>
          <w:szCs w:val="24"/>
          <w:lang w:val="en-US"/>
        </w:rPr>
        <w:t>interpreting IGC</w:t>
      </w:r>
      <w:r w:rsidR="003A7F64" w:rsidRPr="00714401">
        <w:rPr>
          <w:rFonts w:ascii="Book Antiqua" w:hAnsi="Book Antiqua"/>
          <w:sz w:val="24"/>
          <w:szCs w:val="24"/>
          <w:lang w:val="en-US"/>
        </w:rPr>
        <w:t xml:space="preserve"> </w:t>
      </w:r>
      <w:r w:rsidR="002B0236" w:rsidRPr="00714401">
        <w:rPr>
          <w:rFonts w:ascii="Book Antiqua" w:hAnsi="Book Antiqua"/>
          <w:sz w:val="24"/>
          <w:szCs w:val="24"/>
          <w:lang w:val="en-US"/>
        </w:rPr>
        <w:t xml:space="preserve">clearance results </w:t>
      </w:r>
      <w:r w:rsidR="00F90597" w:rsidRPr="00714401">
        <w:rPr>
          <w:rFonts w:ascii="Book Antiqua" w:hAnsi="Book Antiqua"/>
          <w:sz w:val="24"/>
          <w:szCs w:val="24"/>
          <w:lang w:val="en-US"/>
        </w:rPr>
        <w:t xml:space="preserve">in </w:t>
      </w:r>
      <w:proofErr w:type="spellStart"/>
      <w:r w:rsidR="00FE03A0" w:rsidRPr="00714401">
        <w:rPr>
          <w:rFonts w:ascii="Book Antiqua" w:hAnsi="Book Antiqua"/>
          <w:sz w:val="24"/>
          <w:szCs w:val="24"/>
          <w:lang w:val="en-US"/>
        </w:rPr>
        <w:t>hyperbilirubinemic</w:t>
      </w:r>
      <w:proofErr w:type="spellEnd"/>
      <w:r w:rsidR="00FE03A0" w:rsidRPr="00714401">
        <w:rPr>
          <w:rFonts w:ascii="Book Antiqua" w:hAnsi="Book Antiqua"/>
          <w:sz w:val="24"/>
          <w:szCs w:val="24"/>
          <w:lang w:val="en-US"/>
        </w:rPr>
        <w:t xml:space="preserve"> patients</w:t>
      </w:r>
      <w:r w:rsidR="00F90597" w:rsidRPr="00714401">
        <w:rPr>
          <w:rFonts w:ascii="Book Antiqua" w:hAnsi="Book Antiqua"/>
          <w:sz w:val="24"/>
          <w:szCs w:val="24"/>
          <w:lang w:val="en-US"/>
        </w:rPr>
        <w:t>.</w:t>
      </w:r>
      <w:r w:rsidR="00BA05F0" w:rsidRPr="00714401">
        <w:rPr>
          <w:rFonts w:ascii="Book Antiqua" w:hAnsi="Book Antiqua"/>
          <w:sz w:val="24"/>
          <w:szCs w:val="24"/>
          <w:lang w:val="en-US"/>
        </w:rPr>
        <w:t xml:space="preserve"> According to the </w:t>
      </w:r>
      <w:r w:rsidR="00FE03A0" w:rsidRPr="00714401">
        <w:rPr>
          <w:rFonts w:ascii="Book Antiqua" w:hAnsi="Book Antiqua"/>
          <w:sz w:val="24"/>
          <w:szCs w:val="24"/>
          <w:lang w:val="en-US"/>
        </w:rPr>
        <w:t xml:space="preserve">available studies, a </w:t>
      </w:r>
      <w:r w:rsidR="00BA05F0" w:rsidRPr="00714401">
        <w:rPr>
          <w:rFonts w:ascii="Book Antiqua" w:hAnsi="Book Antiqua"/>
          <w:sz w:val="24"/>
          <w:szCs w:val="24"/>
          <w:lang w:val="en-US"/>
        </w:rPr>
        <w:t xml:space="preserve">bilirubin level </w:t>
      </w:r>
      <w:r w:rsidR="00FE03A0" w:rsidRPr="00714401">
        <w:rPr>
          <w:rFonts w:ascii="Book Antiqua" w:hAnsi="Book Antiqua"/>
          <w:sz w:val="24"/>
          <w:szCs w:val="24"/>
          <w:lang w:val="en-US"/>
        </w:rPr>
        <w:t xml:space="preserve">&gt; </w:t>
      </w:r>
      <w:r w:rsidR="00BA05F0" w:rsidRPr="00714401">
        <w:rPr>
          <w:rFonts w:ascii="Book Antiqua" w:hAnsi="Book Antiqua"/>
          <w:sz w:val="24"/>
          <w:szCs w:val="24"/>
          <w:lang w:val="en-US"/>
        </w:rPr>
        <w:t>3 mg</w:t>
      </w:r>
      <w:r w:rsidR="008B0A85" w:rsidRPr="00714401">
        <w:rPr>
          <w:rFonts w:ascii="Book Antiqua" w:hAnsi="Book Antiqua" w:hint="eastAsia"/>
          <w:sz w:val="24"/>
          <w:szCs w:val="24"/>
          <w:lang w:val="en-US" w:eastAsia="zh-CN"/>
        </w:rPr>
        <w:t>/</w:t>
      </w:r>
      <w:proofErr w:type="spellStart"/>
      <w:r w:rsidR="00BA05F0" w:rsidRPr="00714401">
        <w:rPr>
          <w:rFonts w:ascii="Book Antiqua" w:hAnsi="Book Antiqua"/>
          <w:sz w:val="24"/>
          <w:szCs w:val="24"/>
          <w:lang w:val="en-US"/>
        </w:rPr>
        <w:t>d</w:t>
      </w:r>
      <w:r w:rsidR="008B0A85" w:rsidRPr="00714401">
        <w:rPr>
          <w:rFonts w:ascii="Book Antiqua" w:hAnsi="Book Antiqua"/>
          <w:sz w:val="24"/>
          <w:szCs w:val="24"/>
          <w:lang w:val="en-US"/>
        </w:rPr>
        <w:t>L</w:t>
      </w:r>
      <w:proofErr w:type="spellEnd"/>
      <w:r w:rsidR="00BA05F0" w:rsidRPr="00714401">
        <w:rPr>
          <w:rFonts w:ascii="Book Antiqua" w:hAnsi="Book Antiqua"/>
          <w:sz w:val="24"/>
          <w:szCs w:val="24"/>
          <w:lang w:val="en-US"/>
        </w:rPr>
        <w:t xml:space="preserve"> </w:t>
      </w:r>
      <w:r w:rsidR="00FE03A0" w:rsidRPr="00714401">
        <w:rPr>
          <w:rFonts w:ascii="Book Antiqua" w:hAnsi="Book Antiqua"/>
          <w:sz w:val="24"/>
          <w:szCs w:val="24"/>
          <w:lang w:val="en-US"/>
        </w:rPr>
        <w:t>should be</w:t>
      </w:r>
      <w:r w:rsidR="000E29F1" w:rsidRPr="00714401">
        <w:rPr>
          <w:rFonts w:ascii="Book Antiqua" w:hAnsi="Book Antiqua"/>
          <w:sz w:val="24"/>
          <w:szCs w:val="24"/>
          <w:lang w:val="en-US"/>
        </w:rPr>
        <w:t xml:space="preserve"> considered the</w:t>
      </w:r>
      <w:r w:rsidR="0076063F" w:rsidRPr="00714401">
        <w:rPr>
          <w:rFonts w:ascii="Book Antiqua" w:hAnsi="Book Antiqua"/>
          <w:sz w:val="24"/>
          <w:szCs w:val="24"/>
          <w:lang w:val="en-US"/>
        </w:rPr>
        <w:t xml:space="preserve"> </w:t>
      </w:r>
      <w:r w:rsidR="00F90597" w:rsidRPr="00714401">
        <w:rPr>
          <w:rFonts w:ascii="Book Antiqua" w:hAnsi="Book Antiqua"/>
          <w:sz w:val="24"/>
          <w:szCs w:val="24"/>
          <w:lang w:val="en-US"/>
        </w:rPr>
        <w:t xml:space="preserve">cut-off </w:t>
      </w:r>
      <w:r w:rsidR="00E00F1B" w:rsidRPr="00714401">
        <w:rPr>
          <w:rFonts w:ascii="Book Antiqua" w:hAnsi="Book Antiqua"/>
          <w:sz w:val="24"/>
          <w:szCs w:val="24"/>
          <w:lang w:val="en-US"/>
        </w:rPr>
        <w:t>value</w:t>
      </w:r>
      <w:r w:rsidR="000E29F1" w:rsidRPr="00714401">
        <w:rPr>
          <w:rFonts w:ascii="Book Antiqua" w:hAnsi="Book Antiqua"/>
          <w:sz w:val="24"/>
          <w:szCs w:val="24"/>
          <w:lang w:val="en-US"/>
        </w:rPr>
        <w:t>. I</w:t>
      </w:r>
      <w:r w:rsidR="00FE03A0" w:rsidRPr="00714401">
        <w:rPr>
          <w:rFonts w:ascii="Book Antiqua" w:hAnsi="Book Antiqua"/>
          <w:sz w:val="24"/>
          <w:szCs w:val="24"/>
          <w:lang w:val="en-US"/>
        </w:rPr>
        <w:t>n a series of 76</w:t>
      </w:r>
      <w:r w:rsidR="0076063F" w:rsidRPr="00714401">
        <w:rPr>
          <w:rFonts w:ascii="Book Antiqua" w:hAnsi="Book Antiqua"/>
          <w:sz w:val="24"/>
          <w:szCs w:val="24"/>
          <w:lang w:val="en-US"/>
        </w:rPr>
        <w:t xml:space="preserve"> </w:t>
      </w:r>
      <w:r w:rsidR="00FE03A0" w:rsidRPr="00714401">
        <w:rPr>
          <w:rFonts w:ascii="Book Antiqua" w:hAnsi="Book Antiqua"/>
          <w:sz w:val="24"/>
          <w:szCs w:val="24"/>
          <w:lang w:val="en-US"/>
        </w:rPr>
        <w:t>liver transplanted patients</w:t>
      </w:r>
      <w:r w:rsidR="000E29F1" w:rsidRPr="00714401">
        <w:rPr>
          <w:rFonts w:ascii="Book Antiqua" w:hAnsi="Book Antiqua"/>
          <w:sz w:val="24"/>
          <w:szCs w:val="24"/>
          <w:lang w:val="en-US"/>
        </w:rPr>
        <w:t xml:space="preserve">, a higher bilirubin level (6 </w:t>
      </w:r>
      <w:r w:rsidR="008B0A85" w:rsidRPr="00714401">
        <w:rPr>
          <w:rFonts w:ascii="Book Antiqua" w:hAnsi="Book Antiqua"/>
          <w:sz w:val="24"/>
          <w:szCs w:val="24"/>
          <w:lang w:val="en-US"/>
        </w:rPr>
        <w:t>mg</w:t>
      </w:r>
      <w:r w:rsidR="008B0A85" w:rsidRPr="00714401">
        <w:rPr>
          <w:rFonts w:ascii="Book Antiqua" w:hAnsi="Book Antiqua" w:hint="eastAsia"/>
          <w:sz w:val="24"/>
          <w:szCs w:val="24"/>
          <w:lang w:val="en-US" w:eastAsia="zh-CN"/>
        </w:rPr>
        <w:t>/</w:t>
      </w:r>
      <w:proofErr w:type="spellStart"/>
      <w:r w:rsidR="008B0A85" w:rsidRPr="00714401">
        <w:rPr>
          <w:rFonts w:ascii="Book Antiqua" w:hAnsi="Book Antiqua"/>
          <w:sz w:val="24"/>
          <w:szCs w:val="24"/>
          <w:lang w:val="en-US"/>
        </w:rPr>
        <w:t>dL</w:t>
      </w:r>
      <w:proofErr w:type="spellEnd"/>
      <w:r w:rsidR="000E29F1" w:rsidRPr="00714401">
        <w:rPr>
          <w:rFonts w:ascii="Book Antiqua" w:hAnsi="Book Antiqua"/>
          <w:sz w:val="24"/>
          <w:szCs w:val="24"/>
          <w:lang w:val="en-US"/>
        </w:rPr>
        <w:t>) was f</w:t>
      </w:r>
      <w:r w:rsidR="00FE03A0" w:rsidRPr="00714401">
        <w:rPr>
          <w:rFonts w:ascii="Book Antiqua" w:hAnsi="Book Antiqua"/>
          <w:sz w:val="24"/>
          <w:szCs w:val="24"/>
          <w:lang w:val="en-US"/>
        </w:rPr>
        <w:t xml:space="preserve">ound </w:t>
      </w:r>
      <w:r w:rsidR="00D90BBA" w:rsidRPr="00714401">
        <w:rPr>
          <w:rFonts w:ascii="Book Antiqua" w:hAnsi="Book Antiqua"/>
          <w:sz w:val="24"/>
          <w:szCs w:val="24"/>
          <w:lang w:val="en-US"/>
        </w:rPr>
        <w:t xml:space="preserve">by our group </w:t>
      </w:r>
      <w:r w:rsidR="000E29F1" w:rsidRPr="00714401">
        <w:rPr>
          <w:rFonts w:ascii="Book Antiqua" w:hAnsi="Book Antiqua"/>
          <w:sz w:val="24"/>
          <w:szCs w:val="24"/>
          <w:lang w:val="en-US"/>
        </w:rPr>
        <w:t xml:space="preserve">to be the </w:t>
      </w:r>
      <w:r w:rsidR="00BA05F0" w:rsidRPr="00714401">
        <w:rPr>
          <w:rFonts w:ascii="Book Antiqua" w:hAnsi="Book Antiqua"/>
          <w:sz w:val="24"/>
          <w:szCs w:val="24"/>
          <w:lang w:val="en-US"/>
        </w:rPr>
        <w:t>cut-off</w:t>
      </w:r>
      <w:r w:rsidR="00FE03A0" w:rsidRPr="00714401">
        <w:rPr>
          <w:rFonts w:ascii="Book Antiqua" w:hAnsi="Book Antiqua"/>
          <w:sz w:val="24"/>
          <w:szCs w:val="24"/>
          <w:lang w:val="en-US"/>
        </w:rPr>
        <w:t xml:space="preserve"> value </w:t>
      </w:r>
      <w:r w:rsidR="000E29F1" w:rsidRPr="00714401">
        <w:rPr>
          <w:rFonts w:ascii="Book Antiqua" w:hAnsi="Book Antiqua"/>
          <w:sz w:val="24"/>
          <w:szCs w:val="24"/>
          <w:lang w:val="en-US"/>
        </w:rPr>
        <w:t>able to interfere with ICG kinetics</w:t>
      </w:r>
      <w:r w:rsidR="0076063F" w:rsidRPr="00714401">
        <w:rPr>
          <w:rFonts w:ascii="Book Antiqua" w:hAnsi="Book Antiqua"/>
          <w:sz w:val="24"/>
          <w:szCs w:val="24"/>
          <w:lang w:val="en-US"/>
        </w:rPr>
        <w:t xml:space="preserve"> </w:t>
      </w:r>
      <w:r w:rsidR="00BD4C72" w:rsidRPr="00714401">
        <w:rPr>
          <w:rFonts w:ascii="Book Antiqua" w:hAnsi="Book Antiqua"/>
          <w:sz w:val="24"/>
          <w:szCs w:val="24"/>
          <w:lang w:val="en-US"/>
        </w:rPr>
        <w:t>(published in abstract)</w:t>
      </w:r>
      <w:r w:rsidR="00BC5DA5" w:rsidRPr="00714401">
        <w:rPr>
          <w:rFonts w:ascii="Book Antiqua" w:hAnsi="Book Antiqua"/>
          <w:sz w:val="24"/>
          <w:szCs w:val="24"/>
          <w:vertAlign w:val="superscript"/>
          <w:lang w:val="en-US"/>
        </w:rPr>
        <w:t>[</w:t>
      </w:r>
      <w:r w:rsidR="007B2CE9" w:rsidRPr="00714401">
        <w:rPr>
          <w:rFonts w:ascii="Book Antiqua" w:hAnsi="Book Antiqua"/>
          <w:sz w:val="24"/>
          <w:szCs w:val="24"/>
          <w:vertAlign w:val="superscript"/>
          <w:lang w:val="en-US"/>
        </w:rPr>
        <w:t>24</w:t>
      </w:r>
      <w:r w:rsidR="00BC5DA5" w:rsidRPr="00714401">
        <w:rPr>
          <w:rFonts w:ascii="Book Antiqua" w:hAnsi="Book Antiqua"/>
          <w:sz w:val="24"/>
          <w:szCs w:val="24"/>
          <w:vertAlign w:val="superscript"/>
          <w:lang w:val="en-US"/>
        </w:rPr>
        <w:t>]</w:t>
      </w:r>
      <w:r w:rsidR="00E85362" w:rsidRPr="00714401">
        <w:rPr>
          <w:rFonts w:ascii="Book Antiqua" w:hAnsi="Book Antiqua" w:hint="eastAsia"/>
          <w:sz w:val="24"/>
          <w:szCs w:val="24"/>
          <w:lang w:val="en-US" w:eastAsia="zh-CN"/>
        </w:rPr>
        <w:t>.</w:t>
      </w:r>
    </w:p>
    <w:p w:rsidR="004B409B" w:rsidRPr="00714401" w:rsidRDefault="00E00F1B" w:rsidP="008B0A85">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401">
        <w:rPr>
          <w:rFonts w:ascii="Book Antiqua" w:hAnsi="Book Antiqua"/>
          <w:sz w:val="24"/>
          <w:szCs w:val="24"/>
          <w:lang w:val="en-US"/>
        </w:rPr>
        <w:t>IGC</w:t>
      </w:r>
      <w:r w:rsidR="00F90597" w:rsidRPr="00714401">
        <w:rPr>
          <w:rFonts w:ascii="Book Antiqua" w:hAnsi="Book Antiqua"/>
          <w:sz w:val="24"/>
          <w:szCs w:val="24"/>
          <w:vertAlign w:val="subscript"/>
          <w:lang w:val="en-US"/>
        </w:rPr>
        <w:t>PDR</w:t>
      </w:r>
      <w:r w:rsidR="00F90597" w:rsidRPr="00714401">
        <w:rPr>
          <w:rFonts w:ascii="Book Antiqua" w:hAnsi="Book Antiqua"/>
          <w:sz w:val="24"/>
          <w:szCs w:val="24"/>
          <w:lang w:val="en-US"/>
        </w:rPr>
        <w:t xml:space="preserve"> and </w:t>
      </w:r>
      <w:r w:rsidRPr="00714401">
        <w:rPr>
          <w:rFonts w:ascii="Book Antiqua" w:hAnsi="Book Antiqua"/>
          <w:sz w:val="24"/>
          <w:szCs w:val="24"/>
          <w:lang w:val="en-US"/>
        </w:rPr>
        <w:t>ICG</w:t>
      </w:r>
      <w:r w:rsidR="00F90597" w:rsidRPr="00714401">
        <w:rPr>
          <w:rFonts w:ascii="Book Antiqua" w:hAnsi="Book Antiqua"/>
          <w:sz w:val="24"/>
          <w:szCs w:val="24"/>
          <w:vertAlign w:val="subscript"/>
          <w:lang w:val="en-US"/>
        </w:rPr>
        <w:t>R15</w:t>
      </w:r>
      <w:r w:rsidR="00F90597" w:rsidRPr="00714401">
        <w:rPr>
          <w:rFonts w:ascii="Book Antiqua" w:hAnsi="Book Antiqua"/>
          <w:sz w:val="24"/>
          <w:szCs w:val="24"/>
          <w:lang w:val="en-US"/>
        </w:rPr>
        <w:t xml:space="preserve"> </w:t>
      </w:r>
      <w:r w:rsidR="00637095" w:rsidRPr="00714401">
        <w:rPr>
          <w:rFonts w:ascii="Book Antiqua" w:hAnsi="Book Antiqua"/>
          <w:sz w:val="24"/>
          <w:szCs w:val="24"/>
          <w:lang w:val="en-US"/>
        </w:rPr>
        <w:t xml:space="preserve">are now </w:t>
      </w:r>
      <w:r w:rsidR="00F90597" w:rsidRPr="00714401">
        <w:rPr>
          <w:rFonts w:ascii="Book Antiqua" w:hAnsi="Book Antiqua"/>
          <w:sz w:val="24"/>
          <w:szCs w:val="24"/>
          <w:lang w:val="en-US"/>
        </w:rPr>
        <w:t>used</w:t>
      </w:r>
      <w:r w:rsidR="00276BE0" w:rsidRPr="00714401">
        <w:rPr>
          <w:rFonts w:ascii="Book Antiqua" w:hAnsi="Book Antiqua" w:hint="eastAsia"/>
          <w:sz w:val="24"/>
          <w:szCs w:val="24"/>
          <w:lang w:val="en-US" w:eastAsia="zh-CN"/>
        </w:rPr>
        <w:t>:</w:t>
      </w:r>
      <w:r w:rsidR="00F90597" w:rsidRPr="00714401">
        <w:rPr>
          <w:rFonts w:ascii="Book Antiqua" w:hAnsi="Book Antiqua"/>
          <w:sz w:val="24"/>
          <w:szCs w:val="24"/>
          <w:lang w:val="en-US"/>
        </w:rPr>
        <w:t xml:space="preserve"> </w:t>
      </w:r>
      <w:r w:rsidR="00E754EC" w:rsidRPr="00714401">
        <w:rPr>
          <w:rFonts w:ascii="Book Antiqua" w:hAnsi="Book Antiqua"/>
          <w:sz w:val="24"/>
          <w:szCs w:val="24"/>
          <w:lang w:val="en-US"/>
        </w:rPr>
        <w:t>(</w:t>
      </w:r>
      <w:r w:rsidR="00276BE0" w:rsidRPr="00714401">
        <w:rPr>
          <w:rFonts w:ascii="Book Antiqua" w:hAnsi="Book Antiqua" w:hint="eastAsia"/>
          <w:sz w:val="24"/>
          <w:szCs w:val="24"/>
          <w:lang w:val="en-US" w:eastAsia="zh-CN"/>
        </w:rPr>
        <w:t>1</w:t>
      </w:r>
      <w:r w:rsidR="00E754EC" w:rsidRPr="00714401">
        <w:rPr>
          <w:rFonts w:ascii="Book Antiqua" w:hAnsi="Book Antiqua"/>
          <w:sz w:val="24"/>
          <w:szCs w:val="24"/>
          <w:lang w:val="en-US"/>
        </w:rPr>
        <w:t>)</w:t>
      </w:r>
      <w:r w:rsidR="00BA05F0" w:rsidRPr="00714401">
        <w:rPr>
          <w:rFonts w:ascii="Book Antiqua" w:hAnsi="Book Antiqua"/>
          <w:sz w:val="24"/>
          <w:szCs w:val="24"/>
          <w:lang w:val="en-US"/>
        </w:rPr>
        <w:t xml:space="preserve"> </w:t>
      </w:r>
      <w:r w:rsidR="00BD4C72" w:rsidRPr="00714401">
        <w:rPr>
          <w:rFonts w:ascii="Book Antiqua" w:hAnsi="Book Antiqua"/>
          <w:sz w:val="24"/>
          <w:szCs w:val="24"/>
          <w:lang w:val="en-US"/>
        </w:rPr>
        <w:t xml:space="preserve">preoperatively, </w:t>
      </w:r>
      <w:r w:rsidR="00BA05F0" w:rsidRPr="00714401">
        <w:rPr>
          <w:rFonts w:ascii="Book Antiqua" w:hAnsi="Book Antiqua"/>
          <w:sz w:val="24"/>
          <w:szCs w:val="24"/>
          <w:lang w:val="en-US"/>
        </w:rPr>
        <w:t xml:space="preserve">to assess </w:t>
      </w:r>
      <w:r w:rsidR="00A07C7A" w:rsidRPr="00714401">
        <w:rPr>
          <w:rFonts w:ascii="Book Antiqua" w:hAnsi="Book Antiqua"/>
          <w:sz w:val="24"/>
          <w:szCs w:val="24"/>
          <w:lang w:val="en-US"/>
        </w:rPr>
        <w:t xml:space="preserve">the </w:t>
      </w:r>
      <w:r w:rsidR="00637095" w:rsidRPr="00714401">
        <w:rPr>
          <w:rFonts w:ascii="Book Antiqua" w:hAnsi="Book Antiqua"/>
          <w:sz w:val="24"/>
          <w:szCs w:val="24"/>
          <w:lang w:val="en-US"/>
        </w:rPr>
        <w:t>liver function</w:t>
      </w:r>
      <w:r w:rsidR="00A07C7A" w:rsidRPr="00714401">
        <w:rPr>
          <w:rFonts w:ascii="Book Antiqua" w:hAnsi="Book Antiqua"/>
          <w:sz w:val="24"/>
          <w:szCs w:val="24"/>
          <w:lang w:val="en-US"/>
        </w:rPr>
        <w:t>al</w:t>
      </w:r>
      <w:r w:rsidR="00637095" w:rsidRPr="00714401">
        <w:rPr>
          <w:rFonts w:ascii="Book Antiqua" w:hAnsi="Book Antiqua"/>
          <w:sz w:val="24"/>
          <w:szCs w:val="24"/>
          <w:lang w:val="en-US"/>
        </w:rPr>
        <w:t xml:space="preserve"> reserve </w:t>
      </w:r>
      <w:r w:rsidR="002B0236" w:rsidRPr="00714401">
        <w:rPr>
          <w:rFonts w:ascii="Book Antiqua" w:hAnsi="Book Antiqua"/>
          <w:sz w:val="24"/>
          <w:szCs w:val="24"/>
          <w:lang w:val="en-US"/>
        </w:rPr>
        <w:t>before hepatic resection</w:t>
      </w:r>
      <w:r w:rsidR="00637095" w:rsidRPr="00714401">
        <w:rPr>
          <w:rFonts w:ascii="Book Antiqua" w:hAnsi="Book Antiqua"/>
          <w:sz w:val="24"/>
          <w:szCs w:val="24"/>
          <w:lang w:val="en-US"/>
        </w:rPr>
        <w:t>, particularly in cirrhotic patients</w:t>
      </w:r>
      <w:r w:rsidR="00276BE0" w:rsidRPr="00714401">
        <w:rPr>
          <w:rFonts w:ascii="Book Antiqua" w:hAnsi="Book Antiqua" w:hint="eastAsia"/>
          <w:sz w:val="24"/>
          <w:szCs w:val="24"/>
          <w:vertAlign w:val="superscript"/>
          <w:lang w:val="en-US" w:eastAsia="zh-CN"/>
        </w:rPr>
        <w:t>[</w:t>
      </w:r>
      <w:r w:rsidR="007B2CE9" w:rsidRPr="00714401">
        <w:rPr>
          <w:rFonts w:ascii="Book Antiqua" w:hAnsi="Book Antiqua"/>
          <w:sz w:val="24"/>
          <w:szCs w:val="24"/>
          <w:vertAlign w:val="superscript"/>
          <w:lang w:val="en-US"/>
        </w:rPr>
        <w:t>6</w:t>
      </w:r>
      <w:r w:rsidR="0054474D" w:rsidRPr="00714401">
        <w:rPr>
          <w:rFonts w:ascii="Book Antiqua" w:hAnsi="Book Antiqua"/>
          <w:sz w:val="24"/>
          <w:szCs w:val="24"/>
          <w:vertAlign w:val="superscript"/>
          <w:lang w:val="en-US"/>
        </w:rPr>
        <w:t>,2</w:t>
      </w:r>
      <w:r w:rsidR="007B2CE9" w:rsidRPr="00714401">
        <w:rPr>
          <w:rFonts w:ascii="Book Antiqua" w:hAnsi="Book Antiqua"/>
          <w:sz w:val="24"/>
          <w:szCs w:val="24"/>
          <w:vertAlign w:val="superscript"/>
          <w:lang w:val="en-US"/>
        </w:rPr>
        <w:t>3</w:t>
      </w:r>
      <w:r w:rsidR="00276BE0" w:rsidRPr="00714401">
        <w:rPr>
          <w:rFonts w:ascii="Book Antiqua" w:hAnsi="Book Antiqua" w:hint="eastAsia"/>
          <w:sz w:val="24"/>
          <w:szCs w:val="24"/>
          <w:vertAlign w:val="superscript"/>
          <w:lang w:val="en-US" w:eastAsia="zh-CN"/>
        </w:rPr>
        <w:t>]</w:t>
      </w:r>
      <w:r w:rsidR="00E754EC" w:rsidRPr="00714401">
        <w:rPr>
          <w:rFonts w:ascii="Book Antiqua" w:hAnsi="Book Antiqua"/>
          <w:sz w:val="24"/>
          <w:szCs w:val="24"/>
          <w:lang w:val="en-US"/>
        </w:rPr>
        <w:t>; (</w:t>
      </w:r>
      <w:r w:rsidR="00276BE0" w:rsidRPr="00714401">
        <w:rPr>
          <w:rFonts w:ascii="Book Antiqua" w:hAnsi="Book Antiqua" w:hint="eastAsia"/>
          <w:sz w:val="24"/>
          <w:szCs w:val="24"/>
          <w:lang w:val="en-US" w:eastAsia="zh-CN"/>
        </w:rPr>
        <w:t>2</w:t>
      </w:r>
      <w:r w:rsidR="00E754EC" w:rsidRPr="00714401">
        <w:rPr>
          <w:rFonts w:ascii="Book Antiqua" w:hAnsi="Book Antiqua"/>
          <w:sz w:val="24"/>
          <w:szCs w:val="24"/>
          <w:lang w:val="en-US"/>
        </w:rPr>
        <w:t>)</w:t>
      </w:r>
      <w:r w:rsidR="00DA77F3" w:rsidRPr="00714401">
        <w:rPr>
          <w:rFonts w:ascii="Book Antiqua" w:hAnsi="Book Antiqua"/>
          <w:sz w:val="24"/>
          <w:szCs w:val="24"/>
          <w:lang w:val="en-US"/>
        </w:rPr>
        <w:t xml:space="preserve"> </w:t>
      </w:r>
      <w:r w:rsidR="00EC77C2" w:rsidRPr="00714401">
        <w:rPr>
          <w:rFonts w:ascii="Book Antiqua" w:hAnsi="Book Antiqua"/>
          <w:sz w:val="24"/>
          <w:szCs w:val="24"/>
          <w:lang w:val="en-US"/>
        </w:rPr>
        <w:t>in the liver transp</w:t>
      </w:r>
      <w:r w:rsidR="00D90BBA" w:rsidRPr="00714401">
        <w:rPr>
          <w:rFonts w:ascii="Book Antiqua" w:hAnsi="Book Antiqua"/>
          <w:sz w:val="24"/>
          <w:szCs w:val="24"/>
          <w:lang w:val="en-US"/>
        </w:rPr>
        <w:t xml:space="preserve">lant setting, </w:t>
      </w:r>
      <w:r w:rsidR="00EC77C2" w:rsidRPr="00714401">
        <w:rPr>
          <w:rFonts w:ascii="Book Antiqua" w:hAnsi="Book Antiqua"/>
          <w:sz w:val="24"/>
          <w:szCs w:val="24"/>
          <w:lang w:val="en-US"/>
        </w:rPr>
        <w:t xml:space="preserve">either </w:t>
      </w:r>
      <w:r w:rsidR="00637095" w:rsidRPr="00714401">
        <w:rPr>
          <w:rFonts w:ascii="Book Antiqua" w:hAnsi="Book Antiqua"/>
          <w:sz w:val="24"/>
          <w:szCs w:val="24"/>
          <w:lang w:val="en-US"/>
        </w:rPr>
        <w:t xml:space="preserve">in sequential assessments </w:t>
      </w:r>
      <w:r w:rsidR="007759A4" w:rsidRPr="00714401">
        <w:rPr>
          <w:rFonts w:ascii="Book Antiqua" w:hAnsi="Book Antiqua"/>
          <w:sz w:val="24"/>
          <w:szCs w:val="24"/>
          <w:lang w:val="en-US"/>
        </w:rPr>
        <w:t xml:space="preserve">during </w:t>
      </w:r>
      <w:r w:rsidR="00637095" w:rsidRPr="00714401">
        <w:rPr>
          <w:rFonts w:ascii="Book Antiqua" w:hAnsi="Book Antiqua"/>
          <w:sz w:val="24"/>
          <w:szCs w:val="24"/>
          <w:lang w:val="en-US"/>
        </w:rPr>
        <w:t xml:space="preserve">the various phases of </w:t>
      </w:r>
      <w:r w:rsidR="009A7009" w:rsidRPr="00714401">
        <w:rPr>
          <w:rFonts w:ascii="Book Antiqua" w:hAnsi="Book Antiqua"/>
          <w:sz w:val="24"/>
          <w:szCs w:val="24"/>
          <w:lang w:val="en-US"/>
        </w:rPr>
        <w:t>liver transplantation</w:t>
      </w:r>
      <w:r w:rsidR="004B409B" w:rsidRPr="00714401">
        <w:rPr>
          <w:rFonts w:ascii="Book Antiqua" w:hAnsi="Book Antiqua"/>
          <w:sz w:val="24"/>
          <w:szCs w:val="24"/>
          <w:lang w:val="en-US"/>
        </w:rPr>
        <w:t xml:space="preserve"> </w:t>
      </w:r>
      <w:r w:rsidR="00637095" w:rsidRPr="00714401">
        <w:rPr>
          <w:rFonts w:ascii="Book Antiqua" w:hAnsi="Book Antiqua"/>
          <w:sz w:val="24"/>
          <w:szCs w:val="24"/>
          <w:lang w:val="en-US"/>
        </w:rPr>
        <w:t xml:space="preserve">(rare) </w:t>
      </w:r>
      <w:r w:rsidR="00412CEE" w:rsidRPr="00714401">
        <w:rPr>
          <w:rFonts w:ascii="Book Antiqua" w:hAnsi="Book Antiqua"/>
          <w:sz w:val="24"/>
          <w:szCs w:val="24"/>
          <w:lang w:val="en-US"/>
        </w:rPr>
        <w:t xml:space="preserve">or </w:t>
      </w:r>
      <w:r w:rsidR="00637095" w:rsidRPr="00714401">
        <w:rPr>
          <w:rFonts w:ascii="Book Antiqua" w:hAnsi="Book Antiqua"/>
          <w:sz w:val="24"/>
          <w:szCs w:val="24"/>
          <w:lang w:val="en-US"/>
        </w:rPr>
        <w:t>(</w:t>
      </w:r>
      <w:r w:rsidR="00A07C7A" w:rsidRPr="00714401">
        <w:rPr>
          <w:rFonts w:ascii="Book Antiqua" w:hAnsi="Book Antiqua"/>
          <w:sz w:val="24"/>
          <w:szCs w:val="24"/>
          <w:lang w:val="en-US"/>
        </w:rPr>
        <w:t>most often</w:t>
      </w:r>
      <w:r w:rsidR="00637095" w:rsidRPr="00714401">
        <w:rPr>
          <w:rFonts w:ascii="Book Antiqua" w:hAnsi="Book Antiqua"/>
          <w:sz w:val="24"/>
          <w:szCs w:val="24"/>
          <w:lang w:val="en-US"/>
        </w:rPr>
        <w:t xml:space="preserve">) </w:t>
      </w:r>
      <w:r w:rsidR="005C3723" w:rsidRPr="00714401">
        <w:rPr>
          <w:rFonts w:ascii="Book Antiqua" w:hAnsi="Book Antiqua"/>
          <w:sz w:val="24"/>
          <w:szCs w:val="24"/>
          <w:lang w:val="en-US"/>
        </w:rPr>
        <w:t>to dynamically assess the recovery of the graft</w:t>
      </w:r>
      <w:r w:rsidR="00276BE0" w:rsidRPr="00714401">
        <w:rPr>
          <w:rFonts w:ascii="Book Antiqua" w:hAnsi="Book Antiqua"/>
          <w:sz w:val="24"/>
          <w:szCs w:val="24"/>
          <w:lang w:val="en-US"/>
        </w:rPr>
        <w:t xml:space="preserve"> early after transplantation</w:t>
      </w:r>
      <w:r w:rsidR="00412CEE" w:rsidRPr="00714401">
        <w:rPr>
          <w:rFonts w:ascii="Book Antiqua" w:hAnsi="Book Antiqua"/>
          <w:sz w:val="24"/>
          <w:szCs w:val="24"/>
          <w:lang w:val="en-US"/>
        </w:rPr>
        <w:t xml:space="preserve">; </w:t>
      </w:r>
      <w:r w:rsidR="00276BE0" w:rsidRPr="00714401">
        <w:rPr>
          <w:rFonts w:ascii="Book Antiqua" w:hAnsi="Book Antiqua" w:hint="eastAsia"/>
          <w:sz w:val="24"/>
          <w:szCs w:val="24"/>
          <w:lang w:val="en-US" w:eastAsia="zh-CN"/>
        </w:rPr>
        <w:t xml:space="preserve">and </w:t>
      </w:r>
      <w:r w:rsidR="00E754EC" w:rsidRPr="00714401">
        <w:rPr>
          <w:rFonts w:ascii="Book Antiqua" w:hAnsi="Book Antiqua"/>
          <w:sz w:val="24"/>
          <w:szCs w:val="24"/>
          <w:lang w:val="en-US"/>
        </w:rPr>
        <w:t>(</w:t>
      </w:r>
      <w:r w:rsidR="00276BE0" w:rsidRPr="00714401">
        <w:rPr>
          <w:rFonts w:ascii="Book Antiqua" w:hAnsi="Book Antiqua" w:hint="eastAsia"/>
          <w:sz w:val="24"/>
          <w:szCs w:val="24"/>
          <w:lang w:val="en-US" w:eastAsia="zh-CN"/>
        </w:rPr>
        <w:t>3</w:t>
      </w:r>
      <w:r w:rsidR="00E754EC" w:rsidRPr="00714401">
        <w:rPr>
          <w:rFonts w:ascii="Book Antiqua" w:hAnsi="Book Antiqua"/>
          <w:sz w:val="24"/>
          <w:szCs w:val="24"/>
          <w:lang w:val="en-US"/>
        </w:rPr>
        <w:t xml:space="preserve">) </w:t>
      </w:r>
      <w:r w:rsidR="00A07C7A" w:rsidRPr="00714401">
        <w:rPr>
          <w:rFonts w:ascii="Book Antiqua" w:hAnsi="Book Antiqua"/>
          <w:sz w:val="24"/>
          <w:szCs w:val="24"/>
          <w:lang w:val="en-US"/>
        </w:rPr>
        <w:t xml:space="preserve">following </w:t>
      </w:r>
      <w:r w:rsidR="005C3723" w:rsidRPr="00714401">
        <w:rPr>
          <w:rFonts w:ascii="Book Antiqua" w:hAnsi="Book Antiqua"/>
          <w:sz w:val="24"/>
          <w:szCs w:val="24"/>
          <w:lang w:val="en-US"/>
        </w:rPr>
        <w:t xml:space="preserve">hepatic </w:t>
      </w:r>
      <w:r w:rsidR="00A07C7A" w:rsidRPr="00714401">
        <w:rPr>
          <w:rFonts w:ascii="Book Antiqua" w:hAnsi="Book Antiqua"/>
          <w:sz w:val="24"/>
          <w:szCs w:val="24"/>
          <w:lang w:val="en-US"/>
        </w:rPr>
        <w:t>resecti</w:t>
      </w:r>
      <w:r w:rsidR="00D90BBA" w:rsidRPr="00714401">
        <w:rPr>
          <w:rFonts w:ascii="Book Antiqua" w:hAnsi="Book Antiqua"/>
          <w:sz w:val="24"/>
          <w:szCs w:val="24"/>
          <w:lang w:val="en-US"/>
        </w:rPr>
        <w:t xml:space="preserve">on </w:t>
      </w:r>
      <w:r w:rsidR="00926EB4" w:rsidRPr="00714401">
        <w:rPr>
          <w:rFonts w:ascii="Book Antiqua" w:hAnsi="Book Antiqua"/>
          <w:sz w:val="24"/>
          <w:szCs w:val="24"/>
          <w:lang w:val="en-US"/>
        </w:rPr>
        <w:t xml:space="preserve">for a </w:t>
      </w:r>
      <w:r w:rsidR="007759A4" w:rsidRPr="00714401">
        <w:rPr>
          <w:rFonts w:ascii="Book Antiqua" w:hAnsi="Book Antiqua"/>
          <w:sz w:val="24"/>
          <w:szCs w:val="24"/>
          <w:lang w:val="en-US"/>
        </w:rPr>
        <w:t xml:space="preserve">functional </w:t>
      </w:r>
      <w:r w:rsidR="00A07C7A" w:rsidRPr="00714401">
        <w:rPr>
          <w:rFonts w:ascii="Book Antiqua" w:hAnsi="Book Antiqua"/>
          <w:sz w:val="24"/>
          <w:szCs w:val="24"/>
          <w:lang w:val="en-US"/>
        </w:rPr>
        <w:t xml:space="preserve">evaluation </w:t>
      </w:r>
      <w:r w:rsidR="007759A4" w:rsidRPr="00714401">
        <w:rPr>
          <w:rFonts w:ascii="Book Antiqua" w:hAnsi="Book Antiqua"/>
          <w:sz w:val="24"/>
          <w:szCs w:val="24"/>
          <w:lang w:val="en-US"/>
        </w:rPr>
        <w:t xml:space="preserve">of the remnant liver </w:t>
      </w:r>
      <w:r w:rsidR="00926EB4" w:rsidRPr="00714401">
        <w:rPr>
          <w:rFonts w:ascii="Book Antiqua" w:hAnsi="Book Antiqua"/>
          <w:sz w:val="24"/>
          <w:szCs w:val="24"/>
          <w:lang w:val="en-US"/>
        </w:rPr>
        <w:t>both in cirrhotic and non cirrhotic patients</w:t>
      </w:r>
      <w:r w:rsidR="000E514F" w:rsidRPr="00714401">
        <w:rPr>
          <w:rFonts w:ascii="Book Antiqua" w:hAnsi="Book Antiqua"/>
          <w:sz w:val="24"/>
          <w:szCs w:val="24"/>
          <w:lang w:val="en-US"/>
        </w:rPr>
        <w:t xml:space="preserve"> and after </w:t>
      </w:r>
      <w:r w:rsidR="00BD4C72" w:rsidRPr="00714401">
        <w:rPr>
          <w:rFonts w:ascii="Book Antiqua" w:hAnsi="Book Antiqua"/>
          <w:sz w:val="24"/>
          <w:szCs w:val="24"/>
          <w:lang w:val="en-US"/>
        </w:rPr>
        <w:t xml:space="preserve">partial </w:t>
      </w:r>
      <w:proofErr w:type="spellStart"/>
      <w:r w:rsidR="000E514F" w:rsidRPr="00714401">
        <w:rPr>
          <w:rFonts w:ascii="Book Antiqua" w:hAnsi="Book Antiqua"/>
          <w:sz w:val="24"/>
          <w:szCs w:val="24"/>
          <w:lang w:val="en-US"/>
        </w:rPr>
        <w:t>hepatectomy</w:t>
      </w:r>
      <w:proofErr w:type="spellEnd"/>
      <w:r w:rsidR="000E514F" w:rsidRPr="00714401">
        <w:rPr>
          <w:rFonts w:ascii="Book Antiqua" w:hAnsi="Book Antiqua"/>
          <w:sz w:val="24"/>
          <w:szCs w:val="24"/>
          <w:lang w:val="en-US"/>
        </w:rPr>
        <w:t xml:space="preserve"> (particularly the right </w:t>
      </w:r>
      <w:proofErr w:type="spellStart"/>
      <w:r w:rsidR="000E514F" w:rsidRPr="00714401">
        <w:rPr>
          <w:rFonts w:ascii="Book Antiqua" w:hAnsi="Book Antiqua"/>
          <w:sz w:val="24"/>
          <w:szCs w:val="24"/>
          <w:lang w:val="en-US"/>
        </w:rPr>
        <w:t>hepatectomy</w:t>
      </w:r>
      <w:proofErr w:type="spellEnd"/>
      <w:r w:rsidR="000E514F" w:rsidRPr="00714401">
        <w:rPr>
          <w:rFonts w:ascii="Book Antiqua" w:hAnsi="Book Antiqua"/>
          <w:sz w:val="24"/>
          <w:szCs w:val="24"/>
          <w:lang w:val="en-US"/>
        </w:rPr>
        <w:t>) in case of living related liver donation.</w:t>
      </w:r>
      <w:r w:rsidR="00EC77C2" w:rsidRPr="00714401">
        <w:rPr>
          <w:rFonts w:ascii="Book Antiqua" w:hAnsi="Book Antiqua"/>
          <w:sz w:val="24"/>
          <w:szCs w:val="24"/>
          <w:lang w:val="en-US"/>
        </w:rPr>
        <w:t xml:space="preserve"> </w:t>
      </w:r>
      <w:r w:rsidR="00926EB4" w:rsidRPr="00714401">
        <w:rPr>
          <w:rFonts w:ascii="Book Antiqua" w:hAnsi="Book Antiqua"/>
          <w:sz w:val="24"/>
          <w:szCs w:val="24"/>
          <w:lang w:val="en-US"/>
        </w:rPr>
        <w:t xml:space="preserve">As above underlined, </w:t>
      </w:r>
      <w:r w:rsidR="007759A4" w:rsidRPr="00714401">
        <w:rPr>
          <w:rFonts w:ascii="Book Antiqua" w:hAnsi="Book Antiqua"/>
          <w:sz w:val="24"/>
          <w:szCs w:val="24"/>
          <w:lang w:val="en-US"/>
        </w:rPr>
        <w:t xml:space="preserve">caution </w:t>
      </w:r>
      <w:r w:rsidR="00EC77C2" w:rsidRPr="00714401">
        <w:rPr>
          <w:rFonts w:ascii="Book Antiqua" w:hAnsi="Book Antiqua"/>
          <w:sz w:val="24"/>
          <w:szCs w:val="24"/>
          <w:lang w:val="en-US"/>
        </w:rPr>
        <w:t xml:space="preserve">must be used </w:t>
      </w:r>
      <w:r w:rsidR="004B409B" w:rsidRPr="00714401">
        <w:rPr>
          <w:rFonts w:ascii="Book Antiqua" w:hAnsi="Book Antiqua"/>
          <w:sz w:val="24"/>
          <w:szCs w:val="24"/>
          <w:lang w:val="en-US"/>
        </w:rPr>
        <w:t xml:space="preserve">while </w:t>
      </w:r>
      <w:r w:rsidR="000D2935" w:rsidRPr="00714401">
        <w:rPr>
          <w:rFonts w:ascii="Book Antiqua" w:hAnsi="Book Antiqua"/>
          <w:sz w:val="24"/>
          <w:szCs w:val="24"/>
          <w:lang w:val="en-US"/>
        </w:rPr>
        <w:t>interpreting</w:t>
      </w:r>
      <w:r w:rsidR="00BD1380" w:rsidRPr="00714401">
        <w:rPr>
          <w:rFonts w:ascii="Book Antiqua" w:hAnsi="Book Antiqua"/>
          <w:sz w:val="24"/>
          <w:szCs w:val="24"/>
          <w:lang w:val="en-US"/>
        </w:rPr>
        <w:t xml:space="preserve"> </w:t>
      </w:r>
      <w:r w:rsidR="00F90597" w:rsidRPr="00714401">
        <w:rPr>
          <w:rFonts w:ascii="Book Antiqua" w:hAnsi="Book Antiqua"/>
          <w:sz w:val="24"/>
          <w:szCs w:val="24"/>
          <w:lang w:val="en-US"/>
        </w:rPr>
        <w:t xml:space="preserve">the results in </w:t>
      </w:r>
      <w:r w:rsidR="000E514F" w:rsidRPr="00714401">
        <w:rPr>
          <w:rFonts w:ascii="Book Antiqua" w:hAnsi="Book Antiqua"/>
          <w:sz w:val="24"/>
          <w:szCs w:val="24"/>
          <w:lang w:val="en-US"/>
        </w:rPr>
        <w:t xml:space="preserve">case of </w:t>
      </w:r>
      <w:proofErr w:type="gramStart"/>
      <w:r w:rsidR="000D2935" w:rsidRPr="00714401">
        <w:rPr>
          <w:rFonts w:ascii="Book Antiqua" w:hAnsi="Book Antiqua"/>
          <w:sz w:val="24"/>
          <w:szCs w:val="24"/>
          <w:lang w:val="en-US"/>
        </w:rPr>
        <w:t>hyperbilirubinemia</w:t>
      </w:r>
      <w:r w:rsidR="00BC5DA5" w:rsidRPr="00714401">
        <w:rPr>
          <w:rFonts w:ascii="Book Antiqua" w:hAnsi="Book Antiqua"/>
          <w:sz w:val="24"/>
          <w:szCs w:val="24"/>
          <w:vertAlign w:val="superscript"/>
          <w:lang w:val="en-US"/>
        </w:rPr>
        <w:t>[</w:t>
      </w:r>
      <w:proofErr w:type="gramEnd"/>
      <w:r w:rsidR="00926EB4" w:rsidRPr="00714401">
        <w:rPr>
          <w:rFonts w:ascii="Book Antiqua" w:hAnsi="Book Antiqua"/>
          <w:sz w:val="24"/>
          <w:szCs w:val="24"/>
          <w:vertAlign w:val="superscript"/>
          <w:lang w:val="en-US"/>
        </w:rPr>
        <w:t>6,</w:t>
      </w:r>
      <w:r w:rsidR="00BC5DA5" w:rsidRPr="00714401">
        <w:rPr>
          <w:rFonts w:ascii="Book Antiqua" w:hAnsi="Book Antiqua"/>
          <w:sz w:val="24"/>
          <w:szCs w:val="24"/>
          <w:vertAlign w:val="superscript"/>
          <w:lang w:val="en-US"/>
        </w:rPr>
        <w:t>2</w:t>
      </w:r>
      <w:r w:rsidR="00567107" w:rsidRPr="00714401">
        <w:rPr>
          <w:rFonts w:ascii="Book Antiqua" w:hAnsi="Book Antiqua"/>
          <w:sz w:val="24"/>
          <w:szCs w:val="24"/>
          <w:vertAlign w:val="superscript"/>
          <w:lang w:val="en-US"/>
        </w:rPr>
        <w:t>4</w:t>
      </w:r>
      <w:r w:rsidR="00BC5DA5" w:rsidRPr="00714401">
        <w:rPr>
          <w:rFonts w:ascii="Book Antiqua" w:hAnsi="Book Antiqua"/>
          <w:sz w:val="24"/>
          <w:szCs w:val="24"/>
          <w:vertAlign w:val="superscript"/>
          <w:lang w:val="en-US"/>
        </w:rPr>
        <w:t>]</w:t>
      </w:r>
      <w:r w:rsidR="003A6E22" w:rsidRPr="00714401">
        <w:rPr>
          <w:rFonts w:ascii="Book Antiqua" w:hAnsi="Book Antiqua"/>
          <w:sz w:val="24"/>
          <w:szCs w:val="24"/>
          <w:lang w:val="en-US"/>
        </w:rPr>
        <w:t>.</w:t>
      </w:r>
      <w:r w:rsidR="003A7F64" w:rsidRPr="00714401">
        <w:rPr>
          <w:rFonts w:ascii="Book Antiqua" w:hAnsi="Book Antiqua"/>
          <w:sz w:val="24"/>
          <w:szCs w:val="24"/>
          <w:lang w:val="en-US"/>
        </w:rPr>
        <w:t xml:space="preserve"> </w:t>
      </w:r>
      <w:r w:rsidR="004B409B" w:rsidRPr="00714401">
        <w:rPr>
          <w:rFonts w:ascii="Book Antiqua" w:hAnsi="Book Antiqua"/>
          <w:sz w:val="24"/>
          <w:szCs w:val="24"/>
          <w:lang w:val="en-US"/>
        </w:rPr>
        <w:t xml:space="preserve">Last but not least, </w:t>
      </w:r>
      <w:r w:rsidR="000E514F" w:rsidRPr="00714401">
        <w:rPr>
          <w:rFonts w:ascii="Book Antiqua" w:hAnsi="Book Antiqua"/>
          <w:sz w:val="24"/>
          <w:szCs w:val="24"/>
          <w:lang w:val="en-US"/>
        </w:rPr>
        <w:t xml:space="preserve">ICG clearance parameters might be altered in case of repeated administrations if </w:t>
      </w:r>
      <w:r w:rsidR="007F2AF6" w:rsidRPr="00714401">
        <w:rPr>
          <w:rFonts w:ascii="Book Antiqua" w:hAnsi="Book Antiqua"/>
          <w:sz w:val="24"/>
          <w:szCs w:val="24"/>
          <w:lang w:val="en-US"/>
        </w:rPr>
        <w:t xml:space="preserve">intervals between </w:t>
      </w:r>
      <w:r w:rsidR="000E514F" w:rsidRPr="00714401">
        <w:rPr>
          <w:rFonts w:ascii="Book Antiqua" w:hAnsi="Book Antiqua"/>
          <w:sz w:val="24"/>
          <w:szCs w:val="24"/>
          <w:lang w:val="en-US"/>
        </w:rPr>
        <w:t xml:space="preserve">the </w:t>
      </w:r>
      <w:r w:rsidR="007F2AF6" w:rsidRPr="00714401">
        <w:rPr>
          <w:rFonts w:ascii="Book Antiqua" w:hAnsi="Book Antiqua"/>
          <w:sz w:val="24"/>
          <w:szCs w:val="24"/>
          <w:lang w:val="en-US"/>
        </w:rPr>
        <w:t xml:space="preserve">sequential IGC </w:t>
      </w:r>
      <w:r w:rsidR="000E514F" w:rsidRPr="00714401">
        <w:rPr>
          <w:rFonts w:ascii="Book Antiqua" w:hAnsi="Book Antiqua"/>
          <w:sz w:val="24"/>
          <w:szCs w:val="24"/>
          <w:lang w:val="en-US"/>
        </w:rPr>
        <w:t>injections are too short (less than</w:t>
      </w:r>
      <w:r w:rsidR="0076063F" w:rsidRPr="00714401">
        <w:rPr>
          <w:rFonts w:ascii="Book Antiqua" w:hAnsi="Book Antiqua"/>
          <w:sz w:val="24"/>
          <w:szCs w:val="24"/>
          <w:lang w:val="en-US"/>
        </w:rPr>
        <w:t xml:space="preserve"> </w:t>
      </w:r>
      <w:r w:rsidR="000D2935" w:rsidRPr="00714401">
        <w:rPr>
          <w:rFonts w:ascii="Book Antiqua" w:hAnsi="Book Antiqua"/>
          <w:sz w:val="24"/>
          <w:szCs w:val="24"/>
          <w:lang w:val="en-US"/>
        </w:rPr>
        <w:t>30 min</w:t>
      </w:r>
      <w:r w:rsidR="00BD4C72" w:rsidRPr="00714401">
        <w:rPr>
          <w:rFonts w:ascii="Book Antiqua" w:hAnsi="Book Antiqua"/>
          <w:sz w:val="24"/>
          <w:szCs w:val="24"/>
          <w:lang w:val="en-US"/>
        </w:rPr>
        <w:t>)</w:t>
      </w:r>
      <w:r w:rsidR="000E514F" w:rsidRPr="00714401">
        <w:rPr>
          <w:rFonts w:ascii="Book Antiqua" w:hAnsi="Book Antiqua"/>
          <w:sz w:val="24"/>
          <w:szCs w:val="24"/>
          <w:lang w:val="en-US"/>
        </w:rPr>
        <w:t>:</w:t>
      </w:r>
      <w:r w:rsidR="0076063F" w:rsidRPr="00714401">
        <w:rPr>
          <w:rFonts w:ascii="Book Antiqua" w:hAnsi="Book Antiqua"/>
          <w:sz w:val="24"/>
          <w:szCs w:val="24"/>
          <w:lang w:val="en-US"/>
        </w:rPr>
        <w:t xml:space="preserve"> </w:t>
      </w:r>
      <w:r w:rsidR="00276BE0" w:rsidRPr="00714401">
        <w:rPr>
          <w:rFonts w:ascii="Book Antiqua" w:hAnsi="Book Antiqua"/>
          <w:sz w:val="24"/>
          <w:szCs w:val="24"/>
          <w:lang w:val="en-US"/>
        </w:rPr>
        <w:t>R</w:t>
      </w:r>
      <w:r w:rsidR="000E514F" w:rsidRPr="00714401">
        <w:rPr>
          <w:rFonts w:ascii="Book Antiqua" w:hAnsi="Book Antiqua"/>
          <w:sz w:val="24"/>
          <w:szCs w:val="24"/>
          <w:lang w:val="en-US"/>
        </w:rPr>
        <w:t>esidual</w:t>
      </w:r>
      <w:r w:rsidR="0076063F" w:rsidRPr="00714401">
        <w:rPr>
          <w:rFonts w:ascii="Book Antiqua" w:hAnsi="Book Antiqua"/>
          <w:sz w:val="24"/>
          <w:szCs w:val="24"/>
          <w:lang w:val="en-US"/>
        </w:rPr>
        <w:t xml:space="preserve"> </w:t>
      </w:r>
      <w:r w:rsidR="000E514F" w:rsidRPr="00714401">
        <w:rPr>
          <w:rFonts w:ascii="Book Antiqua" w:hAnsi="Book Antiqua"/>
          <w:sz w:val="24"/>
          <w:szCs w:val="24"/>
          <w:lang w:val="en-US"/>
        </w:rPr>
        <w:t xml:space="preserve">ICG may change the </w:t>
      </w:r>
      <w:r w:rsidR="00276BE0" w:rsidRPr="00714401">
        <w:rPr>
          <w:rFonts w:ascii="Book Antiqua" w:hAnsi="Book Antiqua"/>
          <w:sz w:val="24"/>
          <w:szCs w:val="24"/>
          <w:lang w:val="en-US"/>
        </w:rPr>
        <w:t xml:space="preserve">baseline </w:t>
      </w:r>
      <w:proofErr w:type="gramStart"/>
      <w:r w:rsidR="00276BE0" w:rsidRPr="00714401">
        <w:rPr>
          <w:rFonts w:ascii="Book Antiqua" w:hAnsi="Book Antiqua"/>
          <w:sz w:val="24"/>
          <w:szCs w:val="24"/>
          <w:lang w:val="en-US"/>
        </w:rPr>
        <w:t>drift</w:t>
      </w:r>
      <w:r w:rsidR="00BC5DA5" w:rsidRPr="00714401">
        <w:rPr>
          <w:rFonts w:ascii="Book Antiqua" w:hAnsi="Book Antiqua"/>
          <w:sz w:val="24"/>
          <w:szCs w:val="24"/>
          <w:vertAlign w:val="superscript"/>
          <w:lang w:val="en-US"/>
        </w:rPr>
        <w:t>[</w:t>
      </w:r>
      <w:proofErr w:type="gramEnd"/>
      <w:r w:rsidR="00567107" w:rsidRPr="00714401">
        <w:rPr>
          <w:rFonts w:ascii="Book Antiqua" w:hAnsi="Book Antiqua"/>
          <w:sz w:val="24"/>
          <w:szCs w:val="24"/>
          <w:vertAlign w:val="superscript"/>
          <w:lang w:val="en-US"/>
        </w:rPr>
        <w:t>6</w:t>
      </w:r>
      <w:r w:rsidR="00BC5DA5" w:rsidRPr="00714401">
        <w:rPr>
          <w:rFonts w:ascii="Book Antiqua" w:hAnsi="Book Antiqua"/>
          <w:sz w:val="24"/>
          <w:szCs w:val="24"/>
          <w:vertAlign w:val="superscript"/>
          <w:lang w:val="en-US"/>
        </w:rPr>
        <w:t>]</w:t>
      </w:r>
      <w:r w:rsidR="00F90597" w:rsidRPr="00714401">
        <w:rPr>
          <w:rFonts w:ascii="Book Antiqua" w:hAnsi="Book Antiqua"/>
          <w:sz w:val="24"/>
          <w:szCs w:val="24"/>
          <w:lang w:val="en-US"/>
        </w:rPr>
        <w:t xml:space="preserve">. </w:t>
      </w:r>
    </w:p>
    <w:p w:rsidR="00F90597" w:rsidRPr="00714401" w:rsidRDefault="00B61E0C" w:rsidP="00276BE0">
      <w:pPr>
        <w:autoSpaceDE w:val="0"/>
        <w:autoSpaceDN w:val="0"/>
        <w:adjustRightInd w:val="0"/>
        <w:snapToGrid w:val="0"/>
        <w:spacing w:after="0" w:line="360" w:lineRule="auto"/>
        <w:ind w:firstLineChars="100" w:firstLine="240"/>
        <w:jc w:val="both"/>
        <w:rPr>
          <w:rFonts w:ascii="Book Antiqua" w:eastAsia="Arial Unicode MS" w:hAnsi="Book Antiqua" w:cs="Arial Unicode MS"/>
          <w:sz w:val="24"/>
          <w:szCs w:val="24"/>
          <w:lang w:val="en-US"/>
        </w:rPr>
      </w:pPr>
      <w:r w:rsidRPr="00714401">
        <w:rPr>
          <w:rFonts w:ascii="Book Antiqua" w:hAnsi="Book Antiqua"/>
          <w:sz w:val="24"/>
          <w:szCs w:val="24"/>
          <w:lang w:val="en-US"/>
        </w:rPr>
        <w:t>In contemporary clinical liver medicine, a</w:t>
      </w:r>
      <w:r w:rsidR="00897A4F" w:rsidRPr="00714401">
        <w:rPr>
          <w:rFonts w:ascii="Book Antiqua" w:hAnsi="Book Antiqua"/>
          <w:sz w:val="24"/>
          <w:szCs w:val="24"/>
          <w:lang w:val="en-US"/>
        </w:rPr>
        <w:t xml:space="preserve"> </w:t>
      </w:r>
      <w:proofErr w:type="spellStart"/>
      <w:r w:rsidR="00897A4F" w:rsidRPr="00714401">
        <w:rPr>
          <w:rFonts w:ascii="Book Antiqua" w:hAnsi="Book Antiqua"/>
          <w:sz w:val="24"/>
          <w:szCs w:val="24"/>
          <w:lang w:val="en-US"/>
        </w:rPr>
        <w:t>temptative</w:t>
      </w:r>
      <w:proofErr w:type="spellEnd"/>
      <w:r w:rsidR="00897A4F" w:rsidRPr="00714401">
        <w:rPr>
          <w:rFonts w:ascii="Book Antiqua" w:hAnsi="Book Antiqua"/>
          <w:sz w:val="24"/>
          <w:szCs w:val="24"/>
          <w:lang w:val="en-US"/>
        </w:rPr>
        <w:t xml:space="preserve"> list of i</w:t>
      </w:r>
      <w:r w:rsidR="004B409B" w:rsidRPr="00714401">
        <w:rPr>
          <w:rFonts w:ascii="Book Antiqua" w:hAnsi="Book Antiqua"/>
          <w:sz w:val="24"/>
          <w:szCs w:val="24"/>
          <w:lang w:val="en-US"/>
        </w:rPr>
        <w:t xml:space="preserve">ndications </w:t>
      </w:r>
      <w:r w:rsidR="000E514F" w:rsidRPr="00714401">
        <w:rPr>
          <w:rFonts w:ascii="Book Antiqua" w:hAnsi="Book Antiqua"/>
          <w:sz w:val="24"/>
          <w:szCs w:val="24"/>
          <w:lang w:val="en-US"/>
        </w:rPr>
        <w:t>of</w:t>
      </w:r>
      <w:r w:rsidR="0076063F" w:rsidRPr="00714401">
        <w:rPr>
          <w:rFonts w:ascii="Book Antiqua" w:hAnsi="Book Antiqua"/>
          <w:sz w:val="24"/>
          <w:szCs w:val="24"/>
          <w:lang w:val="en-US"/>
        </w:rPr>
        <w:t xml:space="preserve"> </w:t>
      </w:r>
      <w:r w:rsidR="00F90597" w:rsidRPr="00714401">
        <w:rPr>
          <w:rFonts w:ascii="Book Antiqua" w:hAnsi="Book Antiqua"/>
          <w:sz w:val="24"/>
          <w:szCs w:val="24"/>
          <w:lang w:val="en-US"/>
        </w:rPr>
        <w:t xml:space="preserve">ICG </w:t>
      </w:r>
      <w:r w:rsidRPr="00714401">
        <w:rPr>
          <w:rFonts w:ascii="Book Antiqua" w:hAnsi="Book Antiqua"/>
          <w:sz w:val="24"/>
          <w:szCs w:val="24"/>
          <w:lang w:val="en-US"/>
        </w:rPr>
        <w:t xml:space="preserve">kinetic parameters </w:t>
      </w:r>
      <w:r w:rsidR="004B409B" w:rsidRPr="00714401">
        <w:rPr>
          <w:rFonts w:ascii="Book Antiqua" w:hAnsi="Book Antiqua"/>
          <w:sz w:val="24"/>
          <w:szCs w:val="24"/>
          <w:lang w:val="en-US"/>
        </w:rPr>
        <w:t xml:space="preserve">could be </w:t>
      </w:r>
      <w:r w:rsidR="00276BE0" w:rsidRPr="00714401">
        <w:rPr>
          <w:rFonts w:ascii="Book Antiqua" w:hAnsi="Book Antiqua"/>
          <w:sz w:val="24"/>
          <w:szCs w:val="24"/>
          <w:lang w:val="en-US"/>
        </w:rPr>
        <w:t>the following</w:t>
      </w:r>
      <w:r w:rsidR="00BC5DA5" w:rsidRPr="00714401">
        <w:rPr>
          <w:rFonts w:ascii="Book Antiqua" w:hAnsi="Book Antiqua"/>
          <w:sz w:val="24"/>
          <w:szCs w:val="24"/>
          <w:vertAlign w:val="superscript"/>
          <w:lang w:val="en-US"/>
        </w:rPr>
        <w:t>[</w:t>
      </w:r>
      <w:r w:rsidR="00567107" w:rsidRPr="00714401">
        <w:rPr>
          <w:rFonts w:ascii="Book Antiqua" w:hAnsi="Book Antiqua"/>
          <w:sz w:val="24"/>
          <w:szCs w:val="24"/>
          <w:vertAlign w:val="superscript"/>
          <w:lang w:val="en-US"/>
        </w:rPr>
        <w:t>2,6-8</w:t>
      </w:r>
      <w:r w:rsidR="00BC5DA5" w:rsidRPr="00714401">
        <w:rPr>
          <w:rFonts w:ascii="Book Antiqua" w:hAnsi="Book Antiqua"/>
          <w:sz w:val="24"/>
          <w:szCs w:val="24"/>
          <w:vertAlign w:val="superscript"/>
          <w:lang w:val="en-US"/>
        </w:rPr>
        <w:t>]</w:t>
      </w:r>
      <w:r w:rsidR="00276BE0" w:rsidRPr="00714401">
        <w:rPr>
          <w:rFonts w:ascii="Book Antiqua" w:hAnsi="Book Antiqua" w:hint="eastAsia"/>
          <w:sz w:val="24"/>
          <w:szCs w:val="24"/>
          <w:lang w:val="en-US" w:eastAsia="zh-CN"/>
        </w:rPr>
        <w:t>: (1)</w:t>
      </w:r>
      <w:r w:rsidR="00F90597" w:rsidRPr="00714401">
        <w:rPr>
          <w:rFonts w:ascii="Book Antiqua" w:hAnsi="Book Antiqua"/>
          <w:sz w:val="24"/>
          <w:szCs w:val="24"/>
          <w:lang w:val="en-US"/>
        </w:rPr>
        <w:t xml:space="preserve"> </w:t>
      </w:r>
      <w:r w:rsidR="00474164" w:rsidRPr="00714401">
        <w:rPr>
          <w:rFonts w:ascii="Book Antiqua" w:hAnsi="Book Antiqua"/>
          <w:sz w:val="24"/>
          <w:szCs w:val="24"/>
          <w:lang w:val="en-US"/>
        </w:rPr>
        <w:t xml:space="preserve">Functional </w:t>
      </w:r>
      <w:r w:rsidR="00BD4C72" w:rsidRPr="00714401">
        <w:rPr>
          <w:rFonts w:ascii="Book Antiqua" w:hAnsi="Book Antiqua"/>
          <w:sz w:val="24"/>
          <w:szCs w:val="24"/>
          <w:lang w:val="en-US"/>
        </w:rPr>
        <w:t>d</w:t>
      </w:r>
      <w:r w:rsidR="00EC77C2" w:rsidRPr="00714401">
        <w:rPr>
          <w:rFonts w:ascii="Book Antiqua" w:hAnsi="Book Antiqua"/>
          <w:sz w:val="24"/>
          <w:szCs w:val="24"/>
          <w:lang w:val="en-US"/>
        </w:rPr>
        <w:t xml:space="preserve">efinition of </w:t>
      </w:r>
      <w:r w:rsidR="00474164" w:rsidRPr="00714401">
        <w:rPr>
          <w:rFonts w:ascii="Book Antiqua" w:hAnsi="Book Antiqua"/>
          <w:sz w:val="24"/>
          <w:szCs w:val="24"/>
          <w:lang w:val="en-US"/>
        </w:rPr>
        <w:t xml:space="preserve">the </w:t>
      </w:r>
      <w:r w:rsidR="003D1976" w:rsidRPr="00714401">
        <w:rPr>
          <w:rFonts w:ascii="Book Antiqua" w:hAnsi="Book Antiqua"/>
          <w:sz w:val="24"/>
          <w:szCs w:val="24"/>
          <w:lang w:val="en-US"/>
        </w:rPr>
        <w:t xml:space="preserve">hepatic </w:t>
      </w:r>
      <w:r w:rsidR="00F90597" w:rsidRPr="00714401">
        <w:rPr>
          <w:rFonts w:ascii="Book Antiqua" w:hAnsi="Book Antiqua"/>
          <w:sz w:val="24"/>
          <w:szCs w:val="24"/>
          <w:lang w:val="en-US"/>
        </w:rPr>
        <w:t xml:space="preserve">reserve </w:t>
      </w:r>
      <w:r w:rsidR="003D1976" w:rsidRPr="00714401">
        <w:rPr>
          <w:rFonts w:ascii="Book Antiqua" w:hAnsi="Book Antiqua"/>
          <w:sz w:val="24"/>
          <w:szCs w:val="24"/>
          <w:lang w:val="en-US"/>
        </w:rPr>
        <w:t xml:space="preserve">in </w:t>
      </w:r>
      <w:r w:rsidR="00BD4C72" w:rsidRPr="00714401">
        <w:rPr>
          <w:rFonts w:ascii="Book Antiqua" w:hAnsi="Book Antiqua"/>
          <w:sz w:val="24"/>
          <w:szCs w:val="24"/>
          <w:lang w:val="en-US"/>
        </w:rPr>
        <w:t xml:space="preserve">cirrhotic </w:t>
      </w:r>
      <w:r w:rsidR="002A2890" w:rsidRPr="00714401">
        <w:rPr>
          <w:rFonts w:ascii="Book Antiqua" w:hAnsi="Book Antiqua"/>
          <w:sz w:val="24"/>
          <w:szCs w:val="24"/>
          <w:lang w:val="en-US"/>
        </w:rPr>
        <w:t xml:space="preserve">and non cirrhotic </w:t>
      </w:r>
      <w:r w:rsidR="00BD4C72" w:rsidRPr="00714401">
        <w:rPr>
          <w:rFonts w:ascii="Book Antiqua" w:hAnsi="Book Antiqua"/>
          <w:sz w:val="24"/>
          <w:szCs w:val="24"/>
          <w:lang w:val="en-US"/>
        </w:rPr>
        <w:t xml:space="preserve">patients undergoing </w:t>
      </w:r>
      <w:proofErr w:type="spellStart"/>
      <w:r w:rsidR="00BD4C72" w:rsidRPr="00714401">
        <w:rPr>
          <w:rFonts w:ascii="Book Antiqua" w:hAnsi="Book Antiqua"/>
          <w:sz w:val="24"/>
          <w:szCs w:val="24"/>
          <w:lang w:val="en-US"/>
        </w:rPr>
        <w:t>resective</w:t>
      </w:r>
      <w:proofErr w:type="spellEnd"/>
      <w:r w:rsidR="00BD4C72" w:rsidRPr="00714401">
        <w:rPr>
          <w:rFonts w:ascii="Book Antiqua" w:hAnsi="Book Antiqua"/>
          <w:sz w:val="24"/>
          <w:szCs w:val="24"/>
          <w:lang w:val="en-US"/>
        </w:rPr>
        <w:t xml:space="preserve"> surgery</w:t>
      </w:r>
      <w:r w:rsidR="00276BE0" w:rsidRPr="00714401">
        <w:rPr>
          <w:rFonts w:ascii="Book Antiqua" w:hAnsi="Book Antiqua" w:hint="eastAsia"/>
          <w:sz w:val="24"/>
          <w:szCs w:val="24"/>
          <w:lang w:val="en-US" w:eastAsia="zh-CN"/>
        </w:rPr>
        <w:t>; (2)</w:t>
      </w:r>
      <w:r w:rsidR="002A2890" w:rsidRPr="00714401">
        <w:rPr>
          <w:rFonts w:ascii="Book Antiqua" w:hAnsi="Book Antiqua"/>
          <w:sz w:val="24"/>
          <w:szCs w:val="24"/>
          <w:lang w:val="en-US"/>
        </w:rPr>
        <w:t xml:space="preserve"> </w:t>
      </w:r>
      <w:r w:rsidR="00474164" w:rsidRPr="00714401">
        <w:rPr>
          <w:rFonts w:ascii="Book Antiqua" w:hAnsi="Book Antiqua"/>
          <w:sz w:val="24"/>
          <w:szCs w:val="24"/>
          <w:lang w:val="en-US"/>
        </w:rPr>
        <w:t>M</w:t>
      </w:r>
      <w:r w:rsidR="00276BE0" w:rsidRPr="00714401">
        <w:rPr>
          <w:rFonts w:ascii="Book Antiqua" w:hAnsi="Book Antiqua"/>
          <w:sz w:val="24"/>
          <w:szCs w:val="24"/>
          <w:lang w:val="en-US"/>
        </w:rPr>
        <w:t>orbidity/</w:t>
      </w:r>
      <w:r w:rsidR="003D1976" w:rsidRPr="00714401">
        <w:rPr>
          <w:rFonts w:ascii="Book Antiqua" w:hAnsi="Book Antiqua"/>
          <w:sz w:val="24"/>
          <w:szCs w:val="24"/>
          <w:lang w:val="en-US"/>
        </w:rPr>
        <w:t>mortality</w:t>
      </w:r>
      <w:r w:rsidR="0076063F" w:rsidRPr="00714401">
        <w:rPr>
          <w:rFonts w:ascii="Book Antiqua" w:hAnsi="Book Antiqua"/>
          <w:sz w:val="24"/>
          <w:szCs w:val="24"/>
          <w:lang w:val="en-US"/>
        </w:rPr>
        <w:t xml:space="preserve"> </w:t>
      </w:r>
      <w:r w:rsidR="002A2890" w:rsidRPr="00714401">
        <w:rPr>
          <w:rFonts w:ascii="Book Antiqua" w:hAnsi="Book Antiqua"/>
          <w:sz w:val="24"/>
          <w:szCs w:val="24"/>
          <w:lang w:val="en-US"/>
        </w:rPr>
        <w:t xml:space="preserve">prediction </w:t>
      </w:r>
      <w:r w:rsidR="00474164" w:rsidRPr="00714401">
        <w:rPr>
          <w:rFonts w:ascii="Book Antiqua" w:hAnsi="Book Antiqua"/>
          <w:sz w:val="24"/>
          <w:szCs w:val="24"/>
          <w:lang w:val="en-US"/>
        </w:rPr>
        <w:t xml:space="preserve">in the same </w:t>
      </w:r>
      <w:proofErr w:type="spellStart"/>
      <w:r w:rsidR="00474164" w:rsidRPr="00714401">
        <w:rPr>
          <w:rFonts w:ascii="Book Antiqua" w:hAnsi="Book Antiqua"/>
          <w:sz w:val="24"/>
          <w:szCs w:val="24"/>
          <w:lang w:val="en-US"/>
        </w:rPr>
        <w:t>seting</w:t>
      </w:r>
      <w:proofErr w:type="spellEnd"/>
      <w:r w:rsidR="00276BE0" w:rsidRPr="00714401">
        <w:rPr>
          <w:rFonts w:ascii="Book Antiqua" w:hAnsi="Book Antiqua" w:hint="eastAsia"/>
          <w:sz w:val="24"/>
          <w:szCs w:val="24"/>
          <w:lang w:val="en-US" w:eastAsia="zh-CN"/>
        </w:rPr>
        <w:t>; (3)</w:t>
      </w:r>
      <w:r w:rsidR="00276BE0" w:rsidRPr="00714401">
        <w:rPr>
          <w:rFonts w:ascii="Book Antiqua" w:eastAsia="Arial Unicode MS" w:hAnsi="Book Antiqua" w:cs="Arial Unicode MS" w:hint="eastAsia"/>
          <w:sz w:val="24"/>
          <w:szCs w:val="24"/>
          <w:lang w:val="en-US" w:eastAsia="zh-CN"/>
        </w:rPr>
        <w:t xml:space="preserve"> </w:t>
      </w:r>
      <w:r w:rsidR="00474164" w:rsidRPr="00714401">
        <w:rPr>
          <w:rFonts w:ascii="Book Antiqua" w:hAnsi="Book Antiqua"/>
          <w:sz w:val="24"/>
          <w:szCs w:val="24"/>
          <w:lang w:val="en-US"/>
        </w:rPr>
        <w:t xml:space="preserve">Functional </w:t>
      </w:r>
      <w:r w:rsidR="003D1976" w:rsidRPr="00714401">
        <w:rPr>
          <w:rFonts w:ascii="Book Antiqua" w:hAnsi="Book Antiqua"/>
          <w:sz w:val="24"/>
          <w:szCs w:val="24"/>
          <w:lang w:val="en-US"/>
        </w:rPr>
        <w:t xml:space="preserve">assessment </w:t>
      </w:r>
      <w:r w:rsidR="00F90597" w:rsidRPr="00714401">
        <w:rPr>
          <w:rFonts w:ascii="Book Antiqua" w:hAnsi="Book Antiqua"/>
          <w:sz w:val="24"/>
          <w:szCs w:val="24"/>
          <w:lang w:val="en-US"/>
        </w:rPr>
        <w:t xml:space="preserve">in </w:t>
      </w:r>
      <w:r w:rsidR="00897A4F" w:rsidRPr="00714401">
        <w:rPr>
          <w:rFonts w:ascii="Book Antiqua" w:hAnsi="Book Antiqua"/>
          <w:sz w:val="24"/>
          <w:szCs w:val="24"/>
          <w:lang w:val="en-US"/>
        </w:rPr>
        <w:t xml:space="preserve">cadaveric </w:t>
      </w:r>
      <w:r w:rsidR="00EC77C2" w:rsidRPr="00714401">
        <w:rPr>
          <w:rFonts w:ascii="Book Antiqua" w:hAnsi="Book Antiqua"/>
          <w:sz w:val="24"/>
          <w:szCs w:val="24"/>
          <w:lang w:val="en-US"/>
        </w:rPr>
        <w:t>donors</w:t>
      </w:r>
      <w:r w:rsidR="00474164" w:rsidRPr="00714401">
        <w:rPr>
          <w:rFonts w:ascii="Book Antiqua" w:hAnsi="Book Antiqua"/>
          <w:sz w:val="24"/>
          <w:szCs w:val="24"/>
          <w:lang w:val="en-US"/>
        </w:rPr>
        <w:t xml:space="preserve"> of liver function</w:t>
      </w:r>
      <w:r w:rsidR="00E85362" w:rsidRPr="00714401">
        <w:rPr>
          <w:rFonts w:ascii="Book Antiqua" w:hAnsi="Book Antiqua" w:hint="eastAsia"/>
          <w:sz w:val="24"/>
          <w:szCs w:val="24"/>
          <w:lang w:val="en-US" w:eastAsia="zh-CN"/>
        </w:rPr>
        <w:t>,</w:t>
      </w:r>
      <w:r w:rsidR="00EC77C2" w:rsidRPr="00714401">
        <w:rPr>
          <w:rFonts w:ascii="Book Antiqua" w:hAnsi="Book Antiqua"/>
          <w:sz w:val="24"/>
          <w:szCs w:val="24"/>
          <w:lang w:val="en-US"/>
        </w:rPr>
        <w:t xml:space="preserve"> particularly </w:t>
      </w:r>
      <w:r w:rsidR="00897A4F" w:rsidRPr="00714401">
        <w:rPr>
          <w:rFonts w:ascii="Book Antiqua" w:hAnsi="Book Antiqua"/>
          <w:sz w:val="24"/>
          <w:szCs w:val="24"/>
          <w:lang w:val="en-US"/>
        </w:rPr>
        <w:t xml:space="preserve">in case of </w:t>
      </w:r>
      <w:r w:rsidR="00EC77C2" w:rsidRPr="00714401">
        <w:rPr>
          <w:rFonts w:ascii="Book Antiqua" w:hAnsi="Book Antiqua"/>
          <w:sz w:val="24"/>
          <w:szCs w:val="24"/>
          <w:lang w:val="en-US"/>
        </w:rPr>
        <w:t>if extended criteria donors</w:t>
      </w:r>
      <w:r w:rsidR="00897A4F" w:rsidRPr="00714401">
        <w:rPr>
          <w:rFonts w:ascii="Book Antiqua" w:hAnsi="Book Antiqua"/>
          <w:sz w:val="24"/>
          <w:szCs w:val="24"/>
          <w:lang w:val="en-US"/>
        </w:rPr>
        <w:t xml:space="preserve">, </w:t>
      </w:r>
      <w:r w:rsidR="00B63822" w:rsidRPr="00714401">
        <w:rPr>
          <w:rFonts w:ascii="Book Antiqua" w:hAnsi="Book Antiqua"/>
          <w:sz w:val="24"/>
          <w:szCs w:val="24"/>
          <w:lang w:val="en-US"/>
        </w:rPr>
        <w:t xml:space="preserve">and in case </w:t>
      </w:r>
      <w:r w:rsidR="00EC77C2" w:rsidRPr="00714401">
        <w:rPr>
          <w:rFonts w:ascii="Book Antiqua" w:hAnsi="Book Antiqua"/>
          <w:sz w:val="24"/>
          <w:szCs w:val="24"/>
          <w:lang w:val="en-US"/>
        </w:rPr>
        <w:t>of living donation</w:t>
      </w:r>
      <w:r w:rsidR="0076063F" w:rsidRPr="00714401">
        <w:rPr>
          <w:rFonts w:ascii="Book Antiqua" w:hAnsi="Book Antiqua"/>
          <w:sz w:val="24"/>
          <w:szCs w:val="24"/>
          <w:lang w:val="en-US"/>
        </w:rPr>
        <w:t xml:space="preserve"> </w:t>
      </w:r>
      <w:r w:rsidR="000E0AE7" w:rsidRPr="00714401">
        <w:rPr>
          <w:rFonts w:ascii="Book Antiqua" w:hAnsi="Book Antiqua"/>
          <w:sz w:val="24"/>
          <w:szCs w:val="24"/>
          <w:lang w:val="en-US"/>
        </w:rPr>
        <w:t>(</w:t>
      </w:r>
      <w:r w:rsidRPr="00714401">
        <w:rPr>
          <w:rFonts w:ascii="Book Antiqua" w:hAnsi="Book Antiqua"/>
          <w:sz w:val="24"/>
          <w:szCs w:val="24"/>
          <w:lang w:val="en-US"/>
        </w:rPr>
        <w:t>beyond</w:t>
      </w:r>
      <w:r w:rsidR="0076063F" w:rsidRPr="00714401">
        <w:rPr>
          <w:rFonts w:ascii="Book Antiqua" w:hAnsi="Book Antiqua"/>
          <w:sz w:val="24"/>
          <w:szCs w:val="24"/>
          <w:lang w:val="en-US"/>
        </w:rPr>
        <w:t xml:space="preserve"> </w:t>
      </w:r>
      <w:r w:rsidRPr="00714401">
        <w:rPr>
          <w:rFonts w:ascii="Book Antiqua" w:hAnsi="Book Antiqua"/>
          <w:sz w:val="24"/>
          <w:szCs w:val="24"/>
          <w:lang w:val="en-US"/>
        </w:rPr>
        <w:t xml:space="preserve">the scope of the </w:t>
      </w:r>
      <w:r w:rsidR="000E0AE7" w:rsidRPr="00714401">
        <w:rPr>
          <w:rFonts w:ascii="Book Antiqua" w:hAnsi="Book Antiqua"/>
          <w:sz w:val="24"/>
          <w:szCs w:val="24"/>
          <w:lang w:val="en-US"/>
        </w:rPr>
        <w:t>review)</w:t>
      </w:r>
      <w:r w:rsidR="00276BE0" w:rsidRPr="00714401">
        <w:rPr>
          <w:rFonts w:ascii="Book Antiqua" w:hAnsi="Book Antiqua" w:hint="eastAsia"/>
          <w:sz w:val="24"/>
          <w:szCs w:val="24"/>
          <w:lang w:val="en-US" w:eastAsia="zh-CN"/>
        </w:rPr>
        <w:t>; (4)</w:t>
      </w:r>
      <w:r w:rsidR="00EC4728">
        <w:rPr>
          <w:rFonts w:ascii="Book Antiqua" w:hAnsi="Book Antiqua"/>
          <w:sz w:val="24"/>
          <w:szCs w:val="24"/>
          <w:lang w:val="en-US"/>
        </w:rPr>
        <w:t xml:space="preserve"> </w:t>
      </w:r>
      <w:r w:rsidR="00897A4F" w:rsidRPr="00714401">
        <w:rPr>
          <w:rFonts w:ascii="Book Antiqua" w:hAnsi="Book Antiqua"/>
          <w:sz w:val="24"/>
          <w:szCs w:val="24"/>
          <w:lang w:val="en-US"/>
        </w:rPr>
        <w:t>Non invasive assessment of</w:t>
      </w:r>
      <w:r w:rsidR="0076063F" w:rsidRPr="00714401">
        <w:rPr>
          <w:rFonts w:ascii="Book Antiqua" w:hAnsi="Book Antiqua"/>
          <w:sz w:val="24"/>
          <w:szCs w:val="24"/>
          <w:lang w:val="en-US"/>
        </w:rPr>
        <w:t xml:space="preserve"> </w:t>
      </w:r>
      <w:r w:rsidR="00897A4F" w:rsidRPr="00714401">
        <w:rPr>
          <w:rFonts w:ascii="Book Antiqua" w:hAnsi="Book Antiqua"/>
          <w:sz w:val="24"/>
          <w:szCs w:val="24"/>
          <w:lang w:val="en-US"/>
        </w:rPr>
        <w:t xml:space="preserve">portal hypertension </w:t>
      </w:r>
      <w:r w:rsidR="00181BA4" w:rsidRPr="00714401">
        <w:rPr>
          <w:rFonts w:ascii="Book Antiqua" w:hAnsi="Book Antiqua" w:hint="eastAsia"/>
          <w:sz w:val="24"/>
          <w:szCs w:val="24"/>
          <w:lang w:val="en-US" w:eastAsia="zh-CN"/>
        </w:rPr>
        <w:t>(</w:t>
      </w:r>
      <w:r w:rsidR="00181BA4" w:rsidRPr="00714401">
        <w:rPr>
          <w:rFonts w:ascii="Book Antiqua" w:hAnsi="Book Antiqua"/>
          <w:sz w:val="24"/>
          <w:szCs w:val="24"/>
          <w:lang w:val="en-US" w:eastAsia="zh-CN"/>
        </w:rPr>
        <w:t>PH</w:t>
      </w:r>
      <w:r w:rsidR="00181BA4" w:rsidRPr="00714401">
        <w:rPr>
          <w:rFonts w:ascii="Book Antiqua" w:hAnsi="Book Antiqua" w:hint="eastAsia"/>
          <w:sz w:val="24"/>
          <w:szCs w:val="24"/>
          <w:lang w:val="en-US" w:eastAsia="zh-CN"/>
        </w:rPr>
        <w:t xml:space="preserve">) </w:t>
      </w:r>
      <w:r w:rsidR="00897A4F" w:rsidRPr="00714401">
        <w:rPr>
          <w:rFonts w:ascii="Book Antiqua" w:hAnsi="Book Antiqua"/>
          <w:sz w:val="24"/>
          <w:szCs w:val="24"/>
          <w:lang w:val="en-US"/>
        </w:rPr>
        <w:t>and esophagea</w:t>
      </w:r>
      <w:r w:rsidR="00276BE0" w:rsidRPr="00714401">
        <w:rPr>
          <w:rFonts w:ascii="Book Antiqua" w:hAnsi="Book Antiqua"/>
          <w:sz w:val="24"/>
          <w:szCs w:val="24"/>
          <w:lang w:val="en-US"/>
        </w:rPr>
        <w:t>l varices</w:t>
      </w:r>
      <w:r w:rsidR="00897A4F" w:rsidRPr="00714401">
        <w:rPr>
          <w:rFonts w:ascii="Book Antiqua" w:hAnsi="Book Antiqua"/>
          <w:sz w:val="24"/>
          <w:szCs w:val="24"/>
          <w:vertAlign w:val="superscript"/>
          <w:lang w:val="en-US"/>
        </w:rPr>
        <w:t>[25]</w:t>
      </w:r>
      <w:r w:rsidR="00276BE0" w:rsidRPr="00714401">
        <w:rPr>
          <w:rFonts w:ascii="Book Antiqua" w:hAnsi="Book Antiqua" w:hint="eastAsia"/>
          <w:sz w:val="24"/>
          <w:szCs w:val="24"/>
          <w:lang w:val="en-US" w:eastAsia="zh-CN"/>
        </w:rPr>
        <w:t>;</w:t>
      </w:r>
      <w:r w:rsidR="00EC4728">
        <w:rPr>
          <w:rFonts w:ascii="Book Antiqua" w:hAnsi="Book Antiqua" w:hint="eastAsia"/>
          <w:sz w:val="24"/>
          <w:szCs w:val="24"/>
          <w:lang w:val="en-US" w:eastAsia="zh-CN"/>
        </w:rPr>
        <w:t xml:space="preserve"> </w:t>
      </w:r>
      <w:r w:rsidR="00276BE0" w:rsidRPr="00714401">
        <w:rPr>
          <w:rFonts w:ascii="Book Antiqua" w:hAnsi="Book Antiqua" w:hint="eastAsia"/>
          <w:sz w:val="24"/>
          <w:szCs w:val="24"/>
          <w:lang w:val="en-US" w:eastAsia="zh-CN"/>
        </w:rPr>
        <w:t>and (5)</w:t>
      </w:r>
      <w:r w:rsidR="00276BE0" w:rsidRPr="00714401">
        <w:rPr>
          <w:rFonts w:ascii="Book Antiqua" w:eastAsia="Arial Unicode MS" w:hAnsi="Book Antiqua" w:cs="Arial Unicode MS" w:hint="eastAsia"/>
          <w:sz w:val="24"/>
          <w:szCs w:val="24"/>
          <w:lang w:val="en-US" w:eastAsia="zh-CN"/>
        </w:rPr>
        <w:t xml:space="preserve"> </w:t>
      </w:r>
      <w:r w:rsidRPr="00714401">
        <w:rPr>
          <w:rFonts w:ascii="Book Antiqua" w:hAnsi="Book Antiqua"/>
          <w:sz w:val="24"/>
          <w:szCs w:val="24"/>
          <w:lang w:val="en-US"/>
        </w:rPr>
        <w:t xml:space="preserve">Early </w:t>
      </w:r>
      <w:r w:rsidR="001D6497" w:rsidRPr="00714401">
        <w:rPr>
          <w:rFonts w:ascii="Book Antiqua" w:hAnsi="Book Antiqua"/>
          <w:sz w:val="24"/>
          <w:szCs w:val="24"/>
          <w:lang w:val="en-US"/>
        </w:rPr>
        <w:t xml:space="preserve">functional </w:t>
      </w:r>
      <w:r w:rsidR="00D61FA6" w:rsidRPr="00714401">
        <w:rPr>
          <w:rFonts w:ascii="Book Antiqua" w:hAnsi="Book Antiqua"/>
          <w:sz w:val="24"/>
          <w:szCs w:val="24"/>
          <w:lang w:val="en-US"/>
        </w:rPr>
        <w:t>assessment</w:t>
      </w:r>
      <w:r w:rsidR="0076063F" w:rsidRPr="00714401">
        <w:rPr>
          <w:rFonts w:ascii="Book Antiqua" w:hAnsi="Book Antiqua"/>
          <w:sz w:val="24"/>
          <w:szCs w:val="24"/>
          <w:lang w:val="en-US"/>
        </w:rPr>
        <w:t xml:space="preserve"> </w:t>
      </w:r>
      <w:r w:rsidR="00F90597" w:rsidRPr="00714401">
        <w:rPr>
          <w:rFonts w:ascii="Book Antiqua" w:hAnsi="Book Antiqua"/>
          <w:sz w:val="24"/>
          <w:szCs w:val="24"/>
          <w:lang w:val="en-US"/>
        </w:rPr>
        <w:t xml:space="preserve">of </w:t>
      </w:r>
      <w:r w:rsidR="001D6497" w:rsidRPr="00714401">
        <w:rPr>
          <w:rFonts w:ascii="Book Antiqua" w:hAnsi="Book Antiqua"/>
          <w:sz w:val="24"/>
          <w:szCs w:val="24"/>
          <w:lang w:val="en-US"/>
        </w:rPr>
        <w:t>the newly grafted liver</w:t>
      </w:r>
      <w:r w:rsidR="00276BE0" w:rsidRPr="00714401">
        <w:rPr>
          <w:rFonts w:ascii="Book Antiqua" w:hAnsi="Book Antiqua" w:hint="eastAsia"/>
          <w:sz w:val="24"/>
          <w:szCs w:val="24"/>
          <w:lang w:val="en-US" w:eastAsia="zh-CN"/>
        </w:rPr>
        <w:t>.</w:t>
      </w:r>
      <w:r w:rsidR="0076063F" w:rsidRPr="00714401">
        <w:rPr>
          <w:rFonts w:ascii="Book Antiqua" w:hAnsi="Book Antiqua"/>
          <w:sz w:val="24"/>
          <w:szCs w:val="24"/>
          <w:lang w:val="en-US"/>
        </w:rPr>
        <w:t xml:space="preserve"> </w:t>
      </w:r>
    </w:p>
    <w:p w:rsidR="000C7452" w:rsidRPr="00714401" w:rsidRDefault="000C7452" w:rsidP="004F4F1E">
      <w:pPr>
        <w:autoSpaceDE w:val="0"/>
        <w:autoSpaceDN w:val="0"/>
        <w:adjustRightInd w:val="0"/>
        <w:snapToGrid w:val="0"/>
        <w:spacing w:after="0" w:line="360" w:lineRule="auto"/>
        <w:jc w:val="both"/>
        <w:rPr>
          <w:rFonts w:ascii="Book Antiqua" w:hAnsi="Book Antiqua"/>
          <w:b/>
          <w:sz w:val="24"/>
          <w:szCs w:val="24"/>
          <w:lang w:val="en-US"/>
        </w:rPr>
      </w:pPr>
    </w:p>
    <w:p w:rsidR="00F90597" w:rsidRPr="00714401" w:rsidRDefault="00276BE0" w:rsidP="004F4F1E">
      <w:pPr>
        <w:autoSpaceDE w:val="0"/>
        <w:autoSpaceDN w:val="0"/>
        <w:adjustRightInd w:val="0"/>
        <w:snapToGrid w:val="0"/>
        <w:spacing w:after="0" w:line="360" w:lineRule="auto"/>
        <w:jc w:val="both"/>
        <w:rPr>
          <w:rFonts w:ascii="Book Antiqua" w:hAnsi="Book Antiqua"/>
          <w:b/>
          <w:sz w:val="24"/>
          <w:szCs w:val="24"/>
          <w:lang w:val="en-US"/>
        </w:rPr>
      </w:pPr>
      <w:r w:rsidRPr="00714401">
        <w:rPr>
          <w:rFonts w:ascii="Book Antiqua" w:hAnsi="Book Antiqua"/>
          <w:b/>
          <w:sz w:val="24"/>
          <w:szCs w:val="24"/>
          <w:lang w:val="en-US"/>
        </w:rPr>
        <w:t xml:space="preserve">THE ROLE OF IGC CLEARANCE KINETICS IN THE PREOPERATIVE ASSESSMENT OF LIVER RESECTION IN CIRRHOTIC PATIENTS </w:t>
      </w:r>
    </w:p>
    <w:p w:rsidR="00103796" w:rsidRPr="00714401" w:rsidRDefault="0003292D" w:rsidP="004F4F1E">
      <w:pPr>
        <w:pStyle w:val="Default"/>
        <w:snapToGrid w:val="0"/>
        <w:spacing w:line="360" w:lineRule="auto"/>
        <w:jc w:val="both"/>
        <w:rPr>
          <w:rFonts w:ascii="Book Antiqua" w:hAnsi="Book Antiqua"/>
          <w:color w:val="auto"/>
          <w:lang w:val="en-US"/>
        </w:rPr>
      </w:pPr>
      <w:r w:rsidRPr="00714401">
        <w:rPr>
          <w:rFonts w:ascii="Book Antiqua" w:hAnsi="Book Antiqua"/>
          <w:color w:val="auto"/>
          <w:lang w:val="en-US"/>
        </w:rPr>
        <w:t>Nowadays, i</w:t>
      </w:r>
      <w:r w:rsidR="00C02C6C" w:rsidRPr="00714401">
        <w:rPr>
          <w:rFonts w:ascii="Book Antiqua" w:hAnsi="Book Antiqua"/>
          <w:color w:val="auto"/>
          <w:lang w:val="en-US"/>
        </w:rPr>
        <w:t>n the clinical management of</w:t>
      </w:r>
      <w:r w:rsidR="0076063F" w:rsidRPr="00714401">
        <w:rPr>
          <w:rFonts w:ascii="Book Antiqua" w:hAnsi="Book Antiqua"/>
          <w:color w:val="auto"/>
          <w:lang w:val="en-US"/>
        </w:rPr>
        <w:t xml:space="preserve"> </w:t>
      </w:r>
      <w:r w:rsidR="00AD5882" w:rsidRPr="00714401">
        <w:rPr>
          <w:rFonts w:ascii="Book Antiqua" w:hAnsi="Book Antiqua"/>
          <w:color w:val="auto"/>
          <w:lang w:val="en-US"/>
        </w:rPr>
        <w:t xml:space="preserve">HCC in </w:t>
      </w:r>
      <w:r w:rsidR="00B63822" w:rsidRPr="00714401">
        <w:rPr>
          <w:rFonts w:ascii="Book Antiqua" w:hAnsi="Book Antiqua"/>
          <w:color w:val="auto"/>
          <w:lang w:val="en-US"/>
        </w:rPr>
        <w:t xml:space="preserve">cirrhotic and non cirrhotic patients </w:t>
      </w:r>
      <w:r w:rsidR="00C02C6C" w:rsidRPr="00714401">
        <w:rPr>
          <w:rFonts w:ascii="Book Antiqua" w:hAnsi="Book Antiqua"/>
          <w:color w:val="auto"/>
          <w:lang w:val="en-US"/>
        </w:rPr>
        <w:t xml:space="preserve">relevant is the role played by </w:t>
      </w:r>
      <w:r w:rsidR="00474164" w:rsidRPr="00714401">
        <w:rPr>
          <w:rFonts w:ascii="Book Antiqua" w:hAnsi="Book Antiqua"/>
          <w:color w:val="auto"/>
          <w:lang w:val="en-US"/>
        </w:rPr>
        <w:t xml:space="preserve">the </w:t>
      </w:r>
      <w:r w:rsidRPr="00714401">
        <w:rPr>
          <w:rFonts w:ascii="Book Antiqua" w:hAnsi="Book Antiqua"/>
          <w:color w:val="auto"/>
          <w:lang w:val="en-US"/>
        </w:rPr>
        <w:t xml:space="preserve">appropriate indication of </w:t>
      </w:r>
      <w:r w:rsidR="00B750F1" w:rsidRPr="00714401">
        <w:rPr>
          <w:rFonts w:ascii="Book Antiqua" w:hAnsi="Book Antiqua"/>
          <w:color w:val="auto"/>
          <w:lang w:val="en-US"/>
        </w:rPr>
        <w:t>surgery</w:t>
      </w:r>
      <w:r w:rsidRPr="00714401">
        <w:rPr>
          <w:rFonts w:ascii="Book Antiqua" w:hAnsi="Book Antiqua"/>
          <w:color w:val="auto"/>
          <w:lang w:val="en-US"/>
        </w:rPr>
        <w:t>.</w:t>
      </w:r>
      <w:r w:rsidR="0076063F" w:rsidRPr="00714401">
        <w:rPr>
          <w:rFonts w:ascii="Book Antiqua" w:hAnsi="Book Antiqua"/>
          <w:color w:val="auto"/>
          <w:lang w:val="en-US"/>
        </w:rPr>
        <w:t xml:space="preserve"> </w:t>
      </w:r>
      <w:r w:rsidR="00B750F1" w:rsidRPr="00714401">
        <w:rPr>
          <w:rFonts w:ascii="Book Antiqua" w:hAnsi="Book Antiqua"/>
          <w:color w:val="auto"/>
          <w:lang w:val="en-US"/>
        </w:rPr>
        <w:t xml:space="preserve">Liver resection is considered for cirrhotic </w:t>
      </w:r>
      <w:r w:rsidR="00F90597" w:rsidRPr="00714401">
        <w:rPr>
          <w:rFonts w:ascii="Book Antiqua" w:hAnsi="Book Antiqua"/>
          <w:color w:val="auto"/>
          <w:lang w:val="en-US"/>
        </w:rPr>
        <w:t xml:space="preserve">patients with compensated </w:t>
      </w:r>
      <w:r w:rsidR="00B750F1" w:rsidRPr="00714401">
        <w:rPr>
          <w:rFonts w:ascii="Book Antiqua" w:hAnsi="Book Antiqua"/>
          <w:color w:val="auto"/>
          <w:lang w:val="en-US"/>
        </w:rPr>
        <w:t xml:space="preserve">hepatic </w:t>
      </w:r>
      <w:r w:rsidR="00F90597" w:rsidRPr="00714401">
        <w:rPr>
          <w:rFonts w:ascii="Book Antiqua" w:hAnsi="Book Antiqua"/>
          <w:color w:val="auto"/>
          <w:lang w:val="en-US"/>
        </w:rPr>
        <w:t>function</w:t>
      </w:r>
      <w:r w:rsidR="0004394C" w:rsidRPr="00714401">
        <w:rPr>
          <w:rFonts w:ascii="Book Antiqua" w:hAnsi="Book Antiqua"/>
          <w:color w:val="auto"/>
          <w:lang w:val="en-US"/>
        </w:rPr>
        <w:t xml:space="preserve">, </w:t>
      </w:r>
      <w:r w:rsidR="00473521" w:rsidRPr="00714401">
        <w:rPr>
          <w:rFonts w:ascii="Book Antiqua" w:hAnsi="Book Antiqua"/>
          <w:color w:val="auto"/>
          <w:lang w:val="en-US"/>
        </w:rPr>
        <w:t xml:space="preserve">as assessed by </w:t>
      </w:r>
      <w:r w:rsidR="00B750F1" w:rsidRPr="00714401">
        <w:rPr>
          <w:rFonts w:ascii="Book Antiqua" w:hAnsi="Book Antiqua"/>
          <w:color w:val="auto"/>
          <w:lang w:val="en-US"/>
        </w:rPr>
        <w:t xml:space="preserve">scores, </w:t>
      </w:r>
      <w:r w:rsidR="00473521" w:rsidRPr="00714401">
        <w:rPr>
          <w:rFonts w:ascii="Book Antiqua" w:hAnsi="Book Antiqua"/>
          <w:color w:val="auto"/>
          <w:lang w:val="en-US"/>
        </w:rPr>
        <w:t xml:space="preserve">static or dynamic </w:t>
      </w:r>
      <w:r w:rsidR="00B750F1" w:rsidRPr="00714401">
        <w:rPr>
          <w:rFonts w:ascii="Book Antiqua" w:hAnsi="Book Antiqua"/>
          <w:color w:val="auto"/>
          <w:lang w:val="en-US"/>
        </w:rPr>
        <w:t xml:space="preserve">liver function </w:t>
      </w:r>
      <w:r w:rsidR="00DB4291" w:rsidRPr="00714401">
        <w:rPr>
          <w:rFonts w:ascii="Book Antiqua" w:hAnsi="Book Antiqua"/>
          <w:color w:val="auto"/>
          <w:lang w:val="en-US"/>
        </w:rPr>
        <w:t xml:space="preserve">tests, </w:t>
      </w:r>
      <w:proofErr w:type="gramStart"/>
      <w:r w:rsidR="00DB4291" w:rsidRPr="00714401">
        <w:rPr>
          <w:rFonts w:ascii="Book Antiqua" w:hAnsi="Book Antiqua"/>
          <w:color w:val="auto"/>
          <w:lang w:val="en-US"/>
        </w:rPr>
        <w:t>imaging</w:t>
      </w:r>
      <w:r w:rsidR="00617FFD" w:rsidRPr="00714401">
        <w:rPr>
          <w:rFonts w:ascii="Book Antiqua" w:hAnsi="Book Antiqua"/>
          <w:color w:val="auto"/>
          <w:vertAlign w:val="superscript"/>
          <w:lang w:val="en-US"/>
        </w:rPr>
        <w:t>[</w:t>
      </w:r>
      <w:proofErr w:type="gramEnd"/>
      <w:r w:rsidR="00567107" w:rsidRPr="00714401">
        <w:rPr>
          <w:rFonts w:ascii="Book Antiqua" w:hAnsi="Book Antiqua"/>
          <w:color w:val="auto"/>
          <w:vertAlign w:val="superscript"/>
          <w:lang w:val="en-US"/>
        </w:rPr>
        <w:t>26</w:t>
      </w:r>
      <w:r w:rsidR="00617FFD" w:rsidRPr="00714401">
        <w:rPr>
          <w:rFonts w:ascii="Book Antiqua" w:hAnsi="Book Antiqua"/>
          <w:color w:val="auto"/>
          <w:vertAlign w:val="superscript"/>
          <w:lang w:val="en-US"/>
        </w:rPr>
        <w:t>]</w:t>
      </w:r>
      <w:r w:rsidR="00417366" w:rsidRPr="00714401">
        <w:rPr>
          <w:rFonts w:ascii="Book Antiqua" w:hAnsi="Book Antiqua"/>
          <w:color w:val="auto"/>
          <w:lang w:val="en-US"/>
        </w:rPr>
        <w:t>.</w:t>
      </w:r>
      <w:r w:rsidR="00417366" w:rsidRPr="00714401">
        <w:rPr>
          <w:rFonts w:ascii="Book Antiqua" w:hAnsi="Book Antiqua"/>
          <w:color w:val="auto"/>
          <w:vertAlign w:val="superscript"/>
          <w:lang w:val="en-US"/>
        </w:rPr>
        <w:t xml:space="preserve"> </w:t>
      </w:r>
      <w:r w:rsidR="00897A4F" w:rsidRPr="00714401">
        <w:rPr>
          <w:rFonts w:ascii="Book Antiqua" w:hAnsi="Book Antiqua"/>
          <w:color w:val="auto"/>
          <w:lang w:val="en-US"/>
        </w:rPr>
        <w:t>In 2003,</w:t>
      </w:r>
      <w:r w:rsidR="0076063F" w:rsidRPr="00714401">
        <w:rPr>
          <w:rFonts w:ascii="Book Antiqua" w:hAnsi="Book Antiqua"/>
          <w:color w:val="auto"/>
          <w:lang w:val="en-US"/>
        </w:rPr>
        <w:t xml:space="preserve"> </w:t>
      </w:r>
      <w:r w:rsidR="005C26E6" w:rsidRPr="00714401">
        <w:rPr>
          <w:rFonts w:ascii="Book Antiqua" w:hAnsi="Book Antiqua"/>
          <w:color w:val="auto"/>
          <w:lang w:val="en-US"/>
        </w:rPr>
        <w:t>Imamura</w:t>
      </w:r>
      <w:r w:rsidR="005C26E6" w:rsidRPr="00714401">
        <w:rPr>
          <w:rFonts w:ascii="Book Antiqua" w:hAnsi="Book Antiqua"/>
          <w:i/>
          <w:color w:val="auto"/>
          <w:lang w:val="en-US"/>
        </w:rPr>
        <w:t xml:space="preserve"> et </w:t>
      </w:r>
      <w:proofErr w:type="gramStart"/>
      <w:r w:rsidR="005C26E6"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27]</w:t>
      </w:r>
      <w:r w:rsidR="005C26E6" w:rsidRPr="00714401">
        <w:rPr>
          <w:rFonts w:ascii="Book Antiqua" w:hAnsi="Book Antiqua"/>
          <w:color w:val="auto"/>
          <w:lang w:val="en-US"/>
        </w:rPr>
        <w:t xml:space="preserve"> </w:t>
      </w:r>
      <w:r w:rsidR="00897A4F" w:rsidRPr="00714401">
        <w:rPr>
          <w:rFonts w:ascii="Book Antiqua" w:hAnsi="Book Antiqua"/>
          <w:color w:val="auto"/>
          <w:lang w:val="en-US"/>
        </w:rPr>
        <w:t>were able to report</w:t>
      </w:r>
      <w:r w:rsidR="005C26E6" w:rsidRPr="00714401">
        <w:rPr>
          <w:rFonts w:ascii="Book Antiqua" w:hAnsi="Book Antiqua"/>
          <w:color w:val="auto"/>
          <w:lang w:val="en-US"/>
        </w:rPr>
        <w:t xml:space="preserve"> </w:t>
      </w:r>
      <w:r w:rsidR="00BC5DAD" w:rsidRPr="00714401">
        <w:rPr>
          <w:rFonts w:ascii="Book Antiqua" w:hAnsi="Book Antiqua"/>
          <w:color w:val="auto"/>
          <w:lang w:val="en-US"/>
        </w:rPr>
        <w:t xml:space="preserve">zero </w:t>
      </w:r>
      <w:r w:rsidR="005C26E6" w:rsidRPr="00714401">
        <w:rPr>
          <w:rFonts w:ascii="Book Antiqua" w:hAnsi="Book Antiqua"/>
          <w:color w:val="auto"/>
          <w:lang w:val="en-US"/>
        </w:rPr>
        <w:t xml:space="preserve">mortality </w:t>
      </w:r>
      <w:r w:rsidR="00BC5DAD" w:rsidRPr="00714401">
        <w:rPr>
          <w:rFonts w:ascii="Book Antiqua" w:hAnsi="Book Antiqua"/>
          <w:color w:val="auto"/>
          <w:lang w:val="en-US"/>
        </w:rPr>
        <w:t xml:space="preserve">in a series </w:t>
      </w:r>
      <w:r w:rsidR="00DB4291" w:rsidRPr="00714401">
        <w:rPr>
          <w:rFonts w:ascii="Book Antiqua" w:hAnsi="Book Antiqua"/>
          <w:color w:val="auto"/>
          <w:lang w:val="en-US"/>
        </w:rPr>
        <w:t xml:space="preserve">of 1056 </w:t>
      </w:r>
      <w:proofErr w:type="spellStart"/>
      <w:r w:rsidR="00DB4291" w:rsidRPr="00714401">
        <w:rPr>
          <w:rFonts w:ascii="Book Antiqua" w:hAnsi="Book Antiqua"/>
          <w:color w:val="auto"/>
          <w:lang w:val="en-US"/>
        </w:rPr>
        <w:t>hepatectomies</w:t>
      </w:r>
      <w:proofErr w:type="spellEnd"/>
      <w:r w:rsidR="00BC5DAD" w:rsidRPr="00714401">
        <w:rPr>
          <w:rFonts w:ascii="Book Antiqua" w:hAnsi="Book Antiqua"/>
          <w:color w:val="auto"/>
          <w:lang w:val="en-US"/>
        </w:rPr>
        <w:t>: however, mortality rates ranging from 2</w:t>
      </w:r>
      <w:r w:rsidR="00DB4291" w:rsidRPr="00714401">
        <w:rPr>
          <w:rFonts w:ascii="Book Antiqua" w:hAnsi="Book Antiqua" w:hint="eastAsia"/>
          <w:color w:val="auto"/>
          <w:lang w:val="en-US" w:eastAsia="zh-CN"/>
        </w:rPr>
        <w:t>%</w:t>
      </w:r>
      <w:r w:rsidR="00700600" w:rsidRPr="00714401">
        <w:rPr>
          <w:rFonts w:ascii="Book Antiqua" w:hAnsi="Book Antiqua"/>
          <w:color w:val="auto"/>
          <w:lang w:val="en-US"/>
        </w:rPr>
        <w:t xml:space="preserve"> to 5</w:t>
      </w:r>
      <w:r w:rsidR="00BC5DAD" w:rsidRPr="00714401">
        <w:rPr>
          <w:rFonts w:ascii="Book Antiqua" w:hAnsi="Book Antiqua"/>
          <w:color w:val="auto"/>
          <w:lang w:val="en-US"/>
        </w:rPr>
        <w:t xml:space="preserve">% </w:t>
      </w:r>
      <w:r w:rsidR="00517C99" w:rsidRPr="00714401">
        <w:rPr>
          <w:rFonts w:ascii="Book Antiqua" w:hAnsi="Book Antiqua"/>
          <w:color w:val="auto"/>
          <w:lang w:val="en-US"/>
        </w:rPr>
        <w:t xml:space="preserve">(and higher) </w:t>
      </w:r>
      <w:r w:rsidR="00BC5DAD" w:rsidRPr="00714401">
        <w:rPr>
          <w:rFonts w:ascii="Book Antiqua" w:hAnsi="Book Antiqua"/>
          <w:color w:val="auto"/>
          <w:lang w:val="en-US"/>
        </w:rPr>
        <w:t xml:space="preserve">are </w:t>
      </w:r>
      <w:r w:rsidR="005C26E6" w:rsidRPr="00714401">
        <w:rPr>
          <w:rFonts w:ascii="Book Antiqua" w:hAnsi="Book Antiqua"/>
          <w:color w:val="auto"/>
          <w:lang w:val="en-US"/>
        </w:rPr>
        <w:t>still report</w:t>
      </w:r>
      <w:r w:rsidR="00BC5DAD" w:rsidRPr="00714401">
        <w:rPr>
          <w:rFonts w:ascii="Book Antiqua" w:hAnsi="Book Antiqua"/>
          <w:color w:val="auto"/>
          <w:lang w:val="en-US"/>
        </w:rPr>
        <w:t>ed by others</w:t>
      </w:r>
      <w:r w:rsidR="005C26E6" w:rsidRPr="00714401">
        <w:rPr>
          <w:rFonts w:ascii="Book Antiqua" w:hAnsi="Book Antiqua"/>
          <w:color w:val="auto"/>
          <w:vertAlign w:val="superscript"/>
          <w:lang w:val="en-US"/>
        </w:rPr>
        <w:t>[23,26,27]</w:t>
      </w:r>
      <w:r w:rsidR="005C26E6" w:rsidRPr="00714401">
        <w:rPr>
          <w:rFonts w:ascii="Book Antiqua" w:hAnsi="Book Antiqua"/>
          <w:color w:val="auto"/>
          <w:lang w:val="en-US"/>
        </w:rPr>
        <w:t xml:space="preserve">. </w:t>
      </w:r>
      <w:proofErr w:type="spellStart"/>
      <w:r w:rsidR="00B63822" w:rsidRPr="00714401">
        <w:rPr>
          <w:rFonts w:ascii="Book Antiqua" w:hAnsi="Book Antiqua"/>
          <w:color w:val="auto"/>
          <w:lang w:val="en-US"/>
        </w:rPr>
        <w:t>P</w:t>
      </w:r>
      <w:r w:rsidR="00A67C1F" w:rsidRPr="00714401">
        <w:rPr>
          <w:rFonts w:ascii="Book Antiqua" w:hAnsi="Book Antiqua"/>
          <w:color w:val="auto"/>
          <w:lang w:val="en-US"/>
        </w:rPr>
        <w:t>osthepatectomy</w:t>
      </w:r>
      <w:proofErr w:type="spellEnd"/>
      <w:r w:rsidR="00A67C1F" w:rsidRPr="00714401">
        <w:rPr>
          <w:rFonts w:ascii="Book Antiqua" w:hAnsi="Book Antiqua"/>
          <w:color w:val="auto"/>
          <w:lang w:val="en-US"/>
        </w:rPr>
        <w:t xml:space="preserve"> liver </w:t>
      </w:r>
      <w:r w:rsidR="00517C99" w:rsidRPr="00714401">
        <w:rPr>
          <w:rFonts w:ascii="Book Antiqua" w:hAnsi="Book Antiqua"/>
          <w:color w:val="auto"/>
          <w:lang w:val="en-US"/>
        </w:rPr>
        <w:t>dysfunction</w:t>
      </w:r>
      <w:r w:rsidR="0076505A" w:rsidRPr="00714401">
        <w:rPr>
          <w:rFonts w:ascii="Book Antiqua" w:hAnsi="Book Antiqua"/>
          <w:color w:val="auto"/>
          <w:lang w:val="en-US"/>
        </w:rPr>
        <w:t xml:space="preserve"> or </w:t>
      </w:r>
      <w:r w:rsidR="00517C99" w:rsidRPr="00714401">
        <w:rPr>
          <w:rFonts w:ascii="Book Antiqua" w:hAnsi="Book Antiqua"/>
          <w:color w:val="auto"/>
          <w:lang w:val="en-US"/>
        </w:rPr>
        <w:t>fai</w:t>
      </w:r>
      <w:r w:rsidR="00A67C1F" w:rsidRPr="00714401">
        <w:rPr>
          <w:rFonts w:ascii="Book Antiqua" w:hAnsi="Book Antiqua"/>
          <w:color w:val="auto"/>
          <w:lang w:val="en-US"/>
        </w:rPr>
        <w:t xml:space="preserve">lure </w:t>
      </w:r>
      <w:r w:rsidR="00B63822" w:rsidRPr="00714401">
        <w:rPr>
          <w:rFonts w:ascii="Book Antiqua" w:hAnsi="Book Antiqua"/>
          <w:color w:val="auto"/>
          <w:lang w:val="en-US"/>
        </w:rPr>
        <w:t>remains an extremely feared complication</w:t>
      </w:r>
      <w:r w:rsidR="00A67C1F" w:rsidRPr="00714401">
        <w:rPr>
          <w:rFonts w:ascii="Book Antiqua" w:hAnsi="Book Antiqua"/>
          <w:color w:val="auto"/>
          <w:lang w:val="en-US"/>
        </w:rPr>
        <w:t>,</w:t>
      </w:r>
      <w:r w:rsidR="0076063F" w:rsidRPr="00714401">
        <w:rPr>
          <w:rFonts w:ascii="Book Antiqua" w:hAnsi="Book Antiqua"/>
          <w:color w:val="auto"/>
          <w:lang w:val="en-US"/>
        </w:rPr>
        <w:t xml:space="preserve"> </w:t>
      </w:r>
      <w:r w:rsidR="00A67C1F" w:rsidRPr="00714401">
        <w:rPr>
          <w:rFonts w:ascii="Book Antiqua" w:hAnsi="Book Antiqua"/>
          <w:color w:val="auto"/>
          <w:lang w:val="en-US"/>
        </w:rPr>
        <w:t xml:space="preserve">still </w:t>
      </w:r>
      <w:r w:rsidRPr="00714401">
        <w:rPr>
          <w:rFonts w:ascii="Book Antiqua" w:hAnsi="Book Antiqua"/>
          <w:color w:val="auto"/>
          <w:lang w:val="en-US"/>
        </w:rPr>
        <w:t xml:space="preserve">reported </w:t>
      </w:r>
      <w:r w:rsidR="00A67C1F" w:rsidRPr="00714401">
        <w:rPr>
          <w:rFonts w:ascii="Book Antiqua" w:hAnsi="Book Antiqua"/>
          <w:color w:val="auto"/>
          <w:lang w:val="en-US"/>
        </w:rPr>
        <w:t>in</w:t>
      </w:r>
      <w:r w:rsidR="0076063F" w:rsidRPr="00714401">
        <w:rPr>
          <w:rFonts w:ascii="Book Antiqua" w:hAnsi="Book Antiqua"/>
          <w:color w:val="auto"/>
          <w:lang w:val="en-US"/>
        </w:rPr>
        <w:t xml:space="preserve"> </w:t>
      </w:r>
      <w:r w:rsidR="00A67C1F" w:rsidRPr="00714401">
        <w:rPr>
          <w:rFonts w:ascii="Book Antiqua" w:hAnsi="Book Antiqua"/>
          <w:color w:val="auto"/>
          <w:lang w:val="en-US"/>
        </w:rPr>
        <w:t xml:space="preserve">up to 30% of the cases: in spite of major innovations in surgical and </w:t>
      </w:r>
      <w:proofErr w:type="spellStart"/>
      <w:r w:rsidR="00A67C1F" w:rsidRPr="00714401">
        <w:rPr>
          <w:rFonts w:ascii="Book Antiqua" w:hAnsi="Book Antiqua"/>
          <w:color w:val="auto"/>
          <w:lang w:val="en-US"/>
        </w:rPr>
        <w:t>anesthesiological</w:t>
      </w:r>
      <w:proofErr w:type="spellEnd"/>
      <w:r w:rsidR="00A67C1F" w:rsidRPr="00714401">
        <w:rPr>
          <w:rFonts w:ascii="Book Antiqua" w:hAnsi="Book Antiqua"/>
          <w:color w:val="auto"/>
          <w:lang w:val="en-US"/>
        </w:rPr>
        <w:t xml:space="preserve"> techniques and in the postoperative care</w:t>
      </w:r>
      <w:r w:rsidRPr="00714401">
        <w:rPr>
          <w:rFonts w:ascii="Book Antiqua" w:hAnsi="Book Antiqua"/>
          <w:color w:val="auto"/>
          <w:lang w:val="en-US"/>
        </w:rPr>
        <w:t>,</w:t>
      </w:r>
      <w:r w:rsidR="0076063F" w:rsidRPr="00714401">
        <w:rPr>
          <w:rFonts w:ascii="Book Antiqua" w:hAnsi="Book Antiqua"/>
          <w:color w:val="auto"/>
          <w:lang w:val="en-US"/>
        </w:rPr>
        <w:t xml:space="preserve"> </w:t>
      </w:r>
      <w:r w:rsidR="00B63822" w:rsidRPr="00714401">
        <w:rPr>
          <w:rFonts w:ascii="Book Antiqua" w:hAnsi="Book Antiqua"/>
          <w:color w:val="auto"/>
          <w:lang w:val="en-US"/>
        </w:rPr>
        <w:t xml:space="preserve">mortality remains </w:t>
      </w:r>
      <w:proofErr w:type="gramStart"/>
      <w:r w:rsidR="00B63822" w:rsidRPr="00714401">
        <w:rPr>
          <w:rFonts w:ascii="Book Antiqua" w:hAnsi="Book Antiqua"/>
          <w:color w:val="auto"/>
          <w:lang w:val="en-US"/>
        </w:rPr>
        <w:t>high</w:t>
      </w:r>
      <w:r w:rsidR="00617FFD" w:rsidRPr="00714401">
        <w:rPr>
          <w:rFonts w:ascii="Book Antiqua" w:hAnsi="Book Antiqua"/>
          <w:color w:val="auto"/>
          <w:vertAlign w:val="superscript"/>
          <w:lang w:val="en-US"/>
        </w:rPr>
        <w:t>[</w:t>
      </w:r>
      <w:proofErr w:type="gramEnd"/>
      <w:r w:rsidR="00567107" w:rsidRPr="00714401">
        <w:rPr>
          <w:rFonts w:ascii="Book Antiqua" w:hAnsi="Book Antiqua"/>
          <w:color w:val="auto"/>
          <w:vertAlign w:val="superscript"/>
          <w:lang w:val="en-US"/>
        </w:rPr>
        <w:t>27-30</w:t>
      </w:r>
      <w:r w:rsidR="00617FFD" w:rsidRPr="00714401">
        <w:rPr>
          <w:rFonts w:ascii="Book Antiqua" w:hAnsi="Book Antiqua"/>
          <w:color w:val="auto"/>
          <w:vertAlign w:val="superscript"/>
          <w:lang w:val="en-US"/>
        </w:rPr>
        <w:t>]</w:t>
      </w:r>
      <w:r w:rsidR="00570484" w:rsidRPr="00714401">
        <w:rPr>
          <w:rFonts w:ascii="Book Antiqua" w:hAnsi="Book Antiqua"/>
          <w:color w:val="auto"/>
          <w:lang w:val="en-US"/>
        </w:rPr>
        <w:t>.</w:t>
      </w:r>
      <w:r w:rsidR="0076063F" w:rsidRPr="00714401">
        <w:rPr>
          <w:rFonts w:ascii="Book Antiqua" w:hAnsi="Book Antiqua"/>
          <w:color w:val="auto"/>
          <w:lang w:val="en-US"/>
        </w:rPr>
        <w:t xml:space="preserve"> </w:t>
      </w:r>
      <w:r w:rsidR="0076505A" w:rsidRPr="00714401">
        <w:rPr>
          <w:rFonts w:ascii="Book Antiqua" w:hAnsi="Book Antiqua"/>
          <w:color w:val="auto"/>
          <w:lang w:val="en-US"/>
        </w:rPr>
        <w:t>Postoperative liver dysfunction is m</w:t>
      </w:r>
      <w:r w:rsidR="00B63822" w:rsidRPr="00714401">
        <w:rPr>
          <w:rFonts w:ascii="Book Antiqua" w:hAnsi="Book Antiqua"/>
          <w:color w:val="auto"/>
          <w:lang w:val="en-US"/>
        </w:rPr>
        <w:t xml:space="preserve">ore </w:t>
      </w:r>
      <w:r w:rsidR="0076505A" w:rsidRPr="00714401">
        <w:rPr>
          <w:rFonts w:ascii="Book Antiqua" w:hAnsi="Book Antiqua"/>
          <w:color w:val="auto"/>
          <w:lang w:val="en-US"/>
        </w:rPr>
        <w:t xml:space="preserve">frequent </w:t>
      </w:r>
      <w:r w:rsidR="00B63822" w:rsidRPr="00714401">
        <w:rPr>
          <w:rFonts w:ascii="Book Antiqua" w:hAnsi="Book Antiqua"/>
          <w:color w:val="auto"/>
          <w:lang w:val="en-US"/>
        </w:rPr>
        <w:t xml:space="preserve">in cirrhotic patients </w:t>
      </w:r>
      <w:r w:rsidR="0076505A" w:rsidRPr="00714401">
        <w:rPr>
          <w:rFonts w:ascii="Book Antiqua" w:hAnsi="Book Antiqua"/>
          <w:color w:val="auto"/>
          <w:lang w:val="en-US"/>
        </w:rPr>
        <w:t>who underwent</w:t>
      </w:r>
      <w:r w:rsidRPr="00714401">
        <w:rPr>
          <w:rFonts w:ascii="Book Antiqua" w:hAnsi="Book Antiqua"/>
          <w:color w:val="auto"/>
          <w:lang w:val="en-US"/>
        </w:rPr>
        <w:t xml:space="preserve"> hepatic resection</w:t>
      </w:r>
      <w:r w:rsidR="001D6497" w:rsidRPr="00714401">
        <w:rPr>
          <w:rFonts w:ascii="Book Antiqua" w:hAnsi="Book Antiqua"/>
          <w:color w:val="auto"/>
          <w:lang w:val="en-US"/>
        </w:rPr>
        <w:t xml:space="preserve">: according to the literature, major risk factors are </w:t>
      </w:r>
      <w:r w:rsidR="00E3497C" w:rsidRPr="00714401">
        <w:rPr>
          <w:rFonts w:ascii="Book Antiqua" w:hAnsi="Book Antiqua"/>
          <w:color w:val="auto"/>
          <w:lang w:val="en-US"/>
        </w:rPr>
        <w:t xml:space="preserve">inadequate preoperative </w:t>
      </w:r>
      <w:r w:rsidR="001D6497" w:rsidRPr="00714401">
        <w:rPr>
          <w:rFonts w:ascii="Book Antiqua" w:hAnsi="Book Antiqua"/>
          <w:color w:val="auto"/>
          <w:lang w:val="en-US"/>
        </w:rPr>
        <w:t xml:space="preserve">assessment of </w:t>
      </w:r>
      <w:r w:rsidR="00B63822" w:rsidRPr="00714401">
        <w:rPr>
          <w:rFonts w:ascii="Book Antiqua" w:hAnsi="Book Antiqua"/>
          <w:color w:val="auto"/>
          <w:lang w:val="en-US"/>
        </w:rPr>
        <w:t>liver function</w:t>
      </w:r>
      <w:r w:rsidR="001D6497" w:rsidRPr="00714401">
        <w:rPr>
          <w:rFonts w:ascii="Book Antiqua" w:hAnsi="Book Antiqua"/>
          <w:color w:val="auto"/>
          <w:lang w:val="en-US"/>
        </w:rPr>
        <w:t xml:space="preserve">al </w:t>
      </w:r>
      <w:r w:rsidR="00570484" w:rsidRPr="00714401">
        <w:rPr>
          <w:rFonts w:ascii="Book Antiqua" w:hAnsi="Book Antiqua"/>
          <w:color w:val="auto"/>
          <w:lang w:val="en-US"/>
        </w:rPr>
        <w:t>reserve</w:t>
      </w:r>
      <w:r w:rsidR="00E3497C" w:rsidRPr="00714401">
        <w:rPr>
          <w:rFonts w:ascii="Book Antiqua" w:hAnsi="Book Antiqua"/>
          <w:color w:val="auto"/>
          <w:lang w:val="en-US"/>
        </w:rPr>
        <w:t>,</w:t>
      </w:r>
      <w:r w:rsidR="00474164" w:rsidRPr="00714401">
        <w:rPr>
          <w:rFonts w:ascii="Book Antiqua" w:hAnsi="Book Antiqua"/>
          <w:color w:val="auto"/>
          <w:lang w:val="en-US"/>
        </w:rPr>
        <w:t xml:space="preserve"> too “</w:t>
      </w:r>
      <w:r w:rsidR="00E3497C" w:rsidRPr="00714401">
        <w:rPr>
          <w:rFonts w:ascii="Book Antiqua" w:hAnsi="Book Antiqua"/>
          <w:color w:val="auto"/>
          <w:lang w:val="en-US"/>
        </w:rPr>
        <w:t>aggressive</w:t>
      </w:r>
      <w:r w:rsidR="00474164" w:rsidRPr="00714401">
        <w:rPr>
          <w:rFonts w:ascii="Book Antiqua" w:hAnsi="Book Antiqua"/>
          <w:color w:val="auto"/>
          <w:lang w:val="en-US"/>
        </w:rPr>
        <w:t xml:space="preserve">” </w:t>
      </w:r>
      <w:r w:rsidR="00570484" w:rsidRPr="00714401">
        <w:rPr>
          <w:rFonts w:ascii="Book Antiqua" w:hAnsi="Book Antiqua"/>
          <w:color w:val="auto"/>
          <w:lang w:val="en-US"/>
        </w:rPr>
        <w:t xml:space="preserve">resection, </w:t>
      </w:r>
      <w:r w:rsidR="00E3497C" w:rsidRPr="00714401">
        <w:rPr>
          <w:rFonts w:ascii="Book Antiqua" w:hAnsi="Book Antiqua"/>
          <w:color w:val="auto"/>
          <w:lang w:val="en-US"/>
        </w:rPr>
        <w:t>perioperative hemorrhagic</w:t>
      </w:r>
      <w:r w:rsidR="002434D7" w:rsidRPr="00714401">
        <w:rPr>
          <w:rFonts w:ascii="Book Antiqua" w:hAnsi="Book Antiqua"/>
          <w:color w:val="auto"/>
          <w:lang w:val="en-US"/>
        </w:rPr>
        <w:t xml:space="preserve"> complications</w:t>
      </w:r>
      <w:r w:rsidR="00474164" w:rsidRPr="00714401">
        <w:rPr>
          <w:rFonts w:ascii="Book Antiqua" w:hAnsi="Book Antiqua"/>
          <w:color w:val="auto"/>
          <w:lang w:val="en-US"/>
        </w:rPr>
        <w:t xml:space="preserve"> and </w:t>
      </w:r>
      <w:r w:rsidR="005B14C7" w:rsidRPr="00714401">
        <w:rPr>
          <w:rFonts w:ascii="Book Antiqua" w:hAnsi="Book Antiqua"/>
          <w:color w:val="auto"/>
          <w:lang w:val="en-US"/>
        </w:rPr>
        <w:t xml:space="preserve">transfusion </w:t>
      </w:r>
      <w:r w:rsidR="002434D7" w:rsidRPr="00714401">
        <w:rPr>
          <w:rFonts w:ascii="Book Antiqua" w:hAnsi="Book Antiqua"/>
          <w:color w:val="auto"/>
          <w:lang w:val="en-US"/>
        </w:rPr>
        <w:t>needs</w:t>
      </w:r>
      <w:r w:rsidR="00474164" w:rsidRPr="00714401">
        <w:rPr>
          <w:rFonts w:ascii="Book Antiqua" w:hAnsi="Book Antiqua"/>
          <w:color w:val="auto"/>
          <w:lang w:val="en-US"/>
        </w:rPr>
        <w:t>,</w:t>
      </w:r>
      <w:r w:rsidR="0076063F" w:rsidRPr="00714401">
        <w:rPr>
          <w:rFonts w:ascii="Book Antiqua" w:hAnsi="Book Antiqua"/>
          <w:color w:val="auto"/>
          <w:lang w:val="en-US"/>
        </w:rPr>
        <w:t xml:space="preserve"> </w:t>
      </w:r>
      <w:r w:rsidR="002434D7" w:rsidRPr="00714401">
        <w:rPr>
          <w:rFonts w:ascii="Book Antiqua" w:hAnsi="Book Antiqua"/>
          <w:color w:val="auto"/>
          <w:lang w:val="en-US"/>
        </w:rPr>
        <w:t xml:space="preserve">postoperative </w:t>
      </w:r>
      <w:r w:rsidR="001D6497" w:rsidRPr="00714401">
        <w:rPr>
          <w:rFonts w:ascii="Book Antiqua" w:hAnsi="Book Antiqua"/>
          <w:color w:val="auto"/>
          <w:lang w:val="en-US"/>
        </w:rPr>
        <w:t xml:space="preserve">infective </w:t>
      </w:r>
      <w:proofErr w:type="gramStart"/>
      <w:r w:rsidR="001D6497" w:rsidRPr="00714401">
        <w:rPr>
          <w:rFonts w:ascii="Book Antiqua" w:hAnsi="Book Antiqua"/>
          <w:color w:val="auto"/>
          <w:lang w:val="en-US"/>
        </w:rPr>
        <w:t>complications</w:t>
      </w:r>
      <w:r w:rsidR="00B25FAE" w:rsidRPr="00714401">
        <w:rPr>
          <w:rFonts w:ascii="Book Antiqua" w:hAnsi="Book Antiqua"/>
          <w:color w:val="auto"/>
          <w:vertAlign w:val="superscript"/>
          <w:lang w:val="en-US"/>
        </w:rPr>
        <w:t>[</w:t>
      </w:r>
      <w:proofErr w:type="gramEnd"/>
      <w:r w:rsidR="00A12FE6" w:rsidRPr="00714401">
        <w:rPr>
          <w:rFonts w:ascii="Book Antiqua" w:hAnsi="Book Antiqua"/>
          <w:color w:val="auto"/>
          <w:vertAlign w:val="superscript"/>
          <w:lang w:val="en-US"/>
        </w:rPr>
        <w:t>30-35</w:t>
      </w:r>
      <w:r w:rsidR="00617FFD" w:rsidRPr="00714401">
        <w:rPr>
          <w:rFonts w:ascii="Book Antiqua" w:hAnsi="Book Antiqua"/>
          <w:color w:val="auto"/>
          <w:vertAlign w:val="superscript"/>
          <w:lang w:val="en-US"/>
        </w:rPr>
        <w:t>]</w:t>
      </w:r>
      <w:r w:rsidR="00570484" w:rsidRPr="00714401">
        <w:rPr>
          <w:rFonts w:ascii="Book Antiqua" w:hAnsi="Book Antiqua"/>
          <w:color w:val="auto"/>
          <w:lang w:val="en-US"/>
        </w:rPr>
        <w:t xml:space="preserve">. </w:t>
      </w:r>
    </w:p>
    <w:p w:rsidR="00103796" w:rsidRPr="00714401" w:rsidRDefault="001D6497" w:rsidP="00DB4291">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Usually</w:t>
      </w:r>
      <w:r w:rsidR="00FD181D" w:rsidRPr="00714401">
        <w:rPr>
          <w:rFonts w:ascii="Book Antiqua" w:hAnsi="Book Antiqua"/>
          <w:color w:val="auto"/>
          <w:lang w:val="en-US"/>
        </w:rPr>
        <w:t xml:space="preserve"> (but not exclusively), </w:t>
      </w:r>
      <w:r w:rsidR="002434D7" w:rsidRPr="00714401">
        <w:rPr>
          <w:rFonts w:ascii="Book Antiqua" w:hAnsi="Book Antiqua"/>
          <w:color w:val="auto"/>
          <w:lang w:val="en-US"/>
        </w:rPr>
        <w:t xml:space="preserve">indications and extension of </w:t>
      </w:r>
      <w:proofErr w:type="spellStart"/>
      <w:r w:rsidR="002434D7" w:rsidRPr="00714401">
        <w:rPr>
          <w:rFonts w:ascii="Book Antiqua" w:hAnsi="Book Antiqua"/>
          <w:color w:val="auto"/>
          <w:lang w:val="en-US"/>
        </w:rPr>
        <w:t>r</w:t>
      </w:r>
      <w:r w:rsidR="00103796" w:rsidRPr="00714401">
        <w:rPr>
          <w:rFonts w:ascii="Book Antiqua" w:hAnsi="Book Antiqua"/>
          <w:color w:val="auto"/>
          <w:lang w:val="en-US"/>
        </w:rPr>
        <w:t>e</w:t>
      </w:r>
      <w:r w:rsidR="002434D7" w:rsidRPr="00714401">
        <w:rPr>
          <w:rFonts w:ascii="Book Antiqua" w:hAnsi="Book Antiqua"/>
          <w:color w:val="auto"/>
          <w:lang w:val="en-US"/>
        </w:rPr>
        <w:t>sective</w:t>
      </w:r>
      <w:proofErr w:type="spellEnd"/>
      <w:r w:rsidR="002434D7" w:rsidRPr="00714401">
        <w:rPr>
          <w:rFonts w:ascii="Book Antiqua" w:hAnsi="Book Antiqua"/>
          <w:color w:val="auto"/>
          <w:lang w:val="en-US"/>
        </w:rPr>
        <w:t xml:space="preserve"> surgery are tailored</w:t>
      </w:r>
      <w:r w:rsidR="0076063F" w:rsidRPr="00714401">
        <w:rPr>
          <w:rFonts w:ascii="Book Antiqua" w:hAnsi="Book Antiqua"/>
          <w:color w:val="auto"/>
          <w:lang w:val="en-US"/>
        </w:rPr>
        <w:t xml:space="preserve"> </w:t>
      </w:r>
      <w:r w:rsidR="002434D7" w:rsidRPr="00714401">
        <w:rPr>
          <w:rFonts w:ascii="Book Antiqua" w:hAnsi="Book Antiqua"/>
          <w:color w:val="auto"/>
          <w:lang w:val="en-US"/>
        </w:rPr>
        <w:t>according to</w:t>
      </w:r>
      <w:r w:rsidR="00DB4291" w:rsidRPr="00714401">
        <w:rPr>
          <w:rFonts w:ascii="Book Antiqua" w:hAnsi="Book Antiqua" w:hint="eastAsia"/>
          <w:color w:val="auto"/>
          <w:lang w:val="en-US" w:eastAsia="zh-CN"/>
        </w:rPr>
        <w:t>:</w:t>
      </w:r>
      <w:r w:rsidR="002434D7" w:rsidRPr="00714401">
        <w:rPr>
          <w:rFonts w:ascii="Book Antiqua" w:hAnsi="Book Antiqua"/>
          <w:color w:val="auto"/>
          <w:lang w:val="en-US"/>
        </w:rPr>
        <w:t xml:space="preserve"> </w:t>
      </w:r>
      <w:r w:rsidR="00103796" w:rsidRPr="00714401">
        <w:rPr>
          <w:rFonts w:ascii="Book Antiqua" w:hAnsi="Book Antiqua"/>
          <w:color w:val="auto"/>
          <w:lang w:val="en-US"/>
        </w:rPr>
        <w:t>(</w:t>
      </w:r>
      <w:r w:rsidR="00DB4291" w:rsidRPr="00714401">
        <w:rPr>
          <w:rFonts w:ascii="Book Antiqua" w:hAnsi="Book Antiqua" w:hint="eastAsia"/>
          <w:color w:val="auto"/>
          <w:lang w:val="en-US" w:eastAsia="zh-CN"/>
        </w:rPr>
        <w:t>1</w:t>
      </w:r>
      <w:r w:rsidR="00103796" w:rsidRPr="00714401">
        <w:rPr>
          <w:rFonts w:ascii="Book Antiqua" w:hAnsi="Book Antiqua"/>
          <w:color w:val="auto"/>
          <w:lang w:val="en-US"/>
        </w:rPr>
        <w:t xml:space="preserve">) </w:t>
      </w:r>
      <w:r w:rsidRPr="00714401">
        <w:rPr>
          <w:rFonts w:ascii="Book Antiqua" w:hAnsi="Book Antiqua"/>
          <w:color w:val="auto"/>
          <w:lang w:val="en-US"/>
        </w:rPr>
        <w:t xml:space="preserve">presence or absence of </w:t>
      </w:r>
      <w:r w:rsidR="00103796" w:rsidRPr="00714401">
        <w:rPr>
          <w:rFonts w:ascii="Book Antiqua" w:hAnsi="Book Antiqua"/>
          <w:color w:val="auto"/>
          <w:lang w:val="en-US"/>
        </w:rPr>
        <w:t>ascites and hepatic encephalopathy</w:t>
      </w:r>
      <w:r w:rsidRPr="00714401">
        <w:rPr>
          <w:rFonts w:ascii="Book Antiqua" w:hAnsi="Book Antiqua"/>
          <w:color w:val="auto"/>
          <w:lang w:val="en-US"/>
        </w:rPr>
        <w:t xml:space="preserve"> in the preoperative period</w:t>
      </w:r>
      <w:r w:rsidR="00103796" w:rsidRPr="00714401">
        <w:rPr>
          <w:rFonts w:ascii="Book Antiqua" w:hAnsi="Book Antiqua"/>
          <w:color w:val="auto"/>
          <w:lang w:val="en-US"/>
        </w:rPr>
        <w:t>; (</w:t>
      </w:r>
      <w:r w:rsidR="00DB4291" w:rsidRPr="00714401">
        <w:rPr>
          <w:rFonts w:ascii="Book Antiqua" w:hAnsi="Book Antiqua" w:hint="eastAsia"/>
          <w:color w:val="auto"/>
          <w:lang w:val="en-US" w:eastAsia="zh-CN"/>
        </w:rPr>
        <w:t>2</w:t>
      </w:r>
      <w:r w:rsidR="00103796" w:rsidRPr="00714401">
        <w:rPr>
          <w:rFonts w:ascii="Book Antiqua" w:hAnsi="Book Antiqua"/>
          <w:color w:val="auto"/>
          <w:lang w:val="en-US"/>
        </w:rPr>
        <w:t xml:space="preserve">) </w:t>
      </w:r>
      <w:r w:rsidR="00FD181D" w:rsidRPr="00714401">
        <w:rPr>
          <w:rFonts w:ascii="Book Antiqua" w:hAnsi="Book Antiqua"/>
          <w:color w:val="auto"/>
          <w:lang w:val="en-US"/>
        </w:rPr>
        <w:t xml:space="preserve">results of </w:t>
      </w:r>
      <w:r w:rsidR="00103796" w:rsidRPr="00714401">
        <w:rPr>
          <w:rFonts w:ascii="Book Antiqua" w:hAnsi="Book Antiqua"/>
          <w:color w:val="auto"/>
          <w:lang w:val="en-US"/>
        </w:rPr>
        <w:t xml:space="preserve">conventional </w:t>
      </w:r>
      <w:r w:rsidR="007378AD" w:rsidRPr="00714401">
        <w:rPr>
          <w:rFonts w:ascii="Book Antiqua" w:hAnsi="Book Antiqua"/>
          <w:color w:val="auto"/>
          <w:lang w:val="en-US"/>
        </w:rPr>
        <w:t xml:space="preserve">static </w:t>
      </w:r>
      <w:r w:rsidR="00103796" w:rsidRPr="00714401">
        <w:rPr>
          <w:rFonts w:ascii="Book Antiqua" w:hAnsi="Book Antiqua"/>
          <w:color w:val="auto"/>
          <w:lang w:val="en-US"/>
        </w:rPr>
        <w:t>liver func</w:t>
      </w:r>
      <w:r w:rsidR="0003292D" w:rsidRPr="00714401">
        <w:rPr>
          <w:rFonts w:ascii="Book Antiqua" w:hAnsi="Book Antiqua"/>
          <w:color w:val="auto"/>
          <w:lang w:val="en-US"/>
        </w:rPr>
        <w:t xml:space="preserve">tion tests (AST/ALT, </w:t>
      </w:r>
      <w:r w:rsidR="007737A7" w:rsidRPr="00714401">
        <w:rPr>
          <w:rFonts w:ascii="Book Antiqua" w:hAnsi="Book Antiqua"/>
          <w:color w:val="auto"/>
          <w:lang w:val="en-US"/>
        </w:rPr>
        <w:t xml:space="preserve">serum </w:t>
      </w:r>
      <w:r w:rsidR="0003292D" w:rsidRPr="00714401">
        <w:rPr>
          <w:rFonts w:ascii="Book Antiqua" w:hAnsi="Book Antiqua"/>
          <w:color w:val="auto"/>
          <w:lang w:val="en-US"/>
        </w:rPr>
        <w:t>B</w:t>
      </w:r>
      <w:r w:rsidR="0076505A" w:rsidRPr="00714401">
        <w:rPr>
          <w:rFonts w:ascii="Book Antiqua" w:hAnsi="Book Antiqua"/>
          <w:color w:val="auto"/>
          <w:lang w:val="en-US"/>
        </w:rPr>
        <w:t>ilirubin</w:t>
      </w:r>
      <w:r w:rsidR="0003292D" w:rsidRPr="00714401">
        <w:rPr>
          <w:rFonts w:ascii="Book Antiqua" w:hAnsi="Book Antiqua"/>
          <w:color w:val="auto"/>
          <w:lang w:val="en-US"/>
        </w:rPr>
        <w:t xml:space="preserve"> level</w:t>
      </w:r>
      <w:r w:rsidR="0076505A" w:rsidRPr="00714401">
        <w:rPr>
          <w:rFonts w:ascii="Book Antiqua" w:hAnsi="Book Antiqua"/>
          <w:color w:val="auto"/>
          <w:lang w:val="en-US"/>
        </w:rPr>
        <w:t>)</w:t>
      </w:r>
      <w:r w:rsidR="00103796" w:rsidRPr="00714401">
        <w:rPr>
          <w:rFonts w:ascii="Book Antiqua" w:hAnsi="Book Antiqua"/>
          <w:color w:val="auto"/>
          <w:lang w:val="en-US"/>
        </w:rPr>
        <w:t>;</w:t>
      </w:r>
      <w:r w:rsidR="0076063F" w:rsidRPr="00714401">
        <w:rPr>
          <w:rFonts w:ascii="Book Antiqua" w:hAnsi="Book Antiqua"/>
          <w:color w:val="auto"/>
          <w:lang w:val="en-US"/>
        </w:rPr>
        <w:t xml:space="preserve"> </w:t>
      </w:r>
      <w:r w:rsidR="00103796" w:rsidRPr="00714401">
        <w:rPr>
          <w:rFonts w:ascii="Book Antiqua" w:hAnsi="Book Antiqua"/>
          <w:color w:val="auto"/>
          <w:lang w:val="en-US"/>
        </w:rPr>
        <w:t>(</w:t>
      </w:r>
      <w:r w:rsidR="00DB4291" w:rsidRPr="00714401">
        <w:rPr>
          <w:rFonts w:ascii="Book Antiqua" w:hAnsi="Book Antiqua" w:hint="eastAsia"/>
          <w:color w:val="auto"/>
          <w:lang w:val="en-US" w:eastAsia="zh-CN"/>
        </w:rPr>
        <w:t>3</w:t>
      </w:r>
      <w:r w:rsidR="00103796" w:rsidRPr="00714401">
        <w:rPr>
          <w:rFonts w:ascii="Book Antiqua" w:hAnsi="Book Antiqua"/>
          <w:color w:val="auto"/>
          <w:lang w:val="en-US"/>
        </w:rPr>
        <w:t>) imaging (</w:t>
      </w:r>
      <w:r w:rsidR="00A87187" w:rsidRPr="00714401">
        <w:rPr>
          <w:rFonts w:ascii="Book Antiqua" w:hAnsi="Book Antiqua"/>
          <w:color w:val="auto"/>
          <w:lang w:val="en-US"/>
        </w:rPr>
        <w:t>MRI</w:t>
      </w:r>
      <w:r w:rsidR="00FD181D" w:rsidRPr="00714401">
        <w:rPr>
          <w:rFonts w:ascii="Book Antiqua" w:hAnsi="Book Antiqua"/>
          <w:color w:val="auto"/>
          <w:lang w:val="en-US"/>
        </w:rPr>
        <w:t>/</w:t>
      </w:r>
      <w:r w:rsidR="00A87187" w:rsidRPr="00714401">
        <w:rPr>
          <w:rFonts w:ascii="Book Antiqua" w:hAnsi="Book Antiqua"/>
          <w:color w:val="auto"/>
          <w:lang w:val="en-US"/>
        </w:rPr>
        <w:t>CT volumetric imaging</w:t>
      </w:r>
      <w:r w:rsidR="0076063F" w:rsidRPr="00714401">
        <w:rPr>
          <w:rFonts w:ascii="Book Antiqua" w:hAnsi="Book Antiqua"/>
          <w:color w:val="auto"/>
          <w:lang w:val="en-US"/>
        </w:rPr>
        <w:t xml:space="preserve"> </w:t>
      </w:r>
      <w:r w:rsidR="007737A7" w:rsidRPr="00714401">
        <w:rPr>
          <w:rFonts w:ascii="Book Antiqua" w:hAnsi="Book Antiqua"/>
          <w:color w:val="auto"/>
          <w:lang w:val="en-US"/>
        </w:rPr>
        <w:t xml:space="preserve">to predict </w:t>
      </w:r>
      <w:r w:rsidR="0076505A" w:rsidRPr="00714401">
        <w:rPr>
          <w:rFonts w:ascii="Book Antiqua" w:hAnsi="Book Antiqua"/>
          <w:color w:val="auto"/>
          <w:lang w:val="en-US"/>
        </w:rPr>
        <w:t xml:space="preserve">the </w:t>
      </w:r>
      <w:r w:rsidR="007737A7" w:rsidRPr="00714401">
        <w:rPr>
          <w:rFonts w:ascii="Book Antiqua" w:hAnsi="Book Antiqua"/>
          <w:color w:val="auto"/>
          <w:lang w:val="en-US"/>
        </w:rPr>
        <w:t>remnant</w:t>
      </w:r>
      <w:r w:rsidR="0076063F" w:rsidRPr="00714401">
        <w:rPr>
          <w:rFonts w:ascii="Book Antiqua" w:hAnsi="Book Antiqua"/>
          <w:color w:val="auto"/>
          <w:lang w:val="en-US"/>
        </w:rPr>
        <w:t xml:space="preserve"> </w:t>
      </w:r>
      <w:r w:rsidR="007737A7" w:rsidRPr="00714401">
        <w:rPr>
          <w:rFonts w:ascii="Book Antiqua" w:hAnsi="Book Antiqua"/>
          <w:color w:val="auto"/>
          <w:lang w:val="en-US"/>
        </w:rPr>
        <w:t xml:space="preserve">hepatic </w:t>
      </w:r>
      <w:r w:rsidR="00696C5B" w:rsidRPr="00714401">
        <w:rPr>
          <w:rFonts w:ascii="Book Antiqua" w:hAnsi="Book Antiqua"/>
          <w:color w:val="auto"/>
          <w:lang w:val="en-US"/>
        </w:rPr>
        <w:t>volume</w:t>
      </w:r>
      <w:r w:rsidR="00FD181D" w:rsidRPr="00714401">
        <w:rPr>
          <w:rFonts w:ascii="Book Antiqua" w:hAnsi="Book Antiqua"/>
          <w:color w:val="auto"/>
          <w:lang w:val="en-US"/>
        </w:rPr>
        <w:t>)</w:t>
      </w:r>
      <w:r w:rsidR="00010F12" w:rsidRPr="00714401">
        <w:rPr>
          <w:rFonts w:ascii="Book Antiqua" w:hAnsi="Book Antiqua" w:hint="eastAsia"/>
          <w:color w:val="auto"/>
          <w:lang w:val="en-US" w:eastAsia="zh-CN"/>
        </w:rPr>
        <w:t>;</w:t>
      </w:r>
      <w:r w:rsidR="00FD181D" w:rsidRPr="00714401">
        <w:rPr>
          <w:rFonts w:ascii="Book Antiqua" w:hAnsi="Book Antiqua"/>
          <w:color w:val="auto"/>
          <w:lang w:val="en-US"/>
        </w:rPr>
        <w:t xml:space="preserve"> </w:t>
      </w:r>
      <w:r w:rsidR="00DB4291" w:rsidRPr="00714401">
        <w:rPr>
          <w:rFonts w:ascii="Book Antiqua" w:hAnsi="Book Antiqua" w:hint="eastAsia"/>
          <w:color w:val="auto"/>
          <w:lang w:val="en-US" w:eastAsia="zh-CN"/>
        </w:rPr>
        <w:t xml:space="preserve">and </w:t>
      </w:r>
      <w:r w:rsidR="00FD181D" w:rsidRPr="00714401">
        <w:rPr>
          <w:rFonts w:ascii="Book Antiqua" w:hAnsi="Book Antiqua"/>
          <w:color w:val="auto"/>
          <w:lang w:val="en-US"/>
        </w:rPr>
        <w:t>(</w:t>
      </w:r>
      <w:r w:rsidR="00DB4291" w:rsidRPr="00714401">
        <w:rPr>
          <w:rFonts w:ascii="Book Antiqua" w:hAnsi="Book Antiqua" w:hint="eastAsia"/>
          <w:color w:val="auto"/>
          <w:lang w:val="en-US" w:eastAsia="zh-CN"/>
        </w:rPr>
        <w:t>4</w:t>
      </w:r>
      <w:r w:rsidR="00FD181D" w:rsidRPr="00714401">
        <w:rPr>
          <w:rFonts w:ascii="Book Antiqua" w:hAnsi="Book Antiqua"/>
          <w:color w:val="auto"/>
          <w:lang w:val="en-US"/>
        </w:rPr>
        <w:t>)</w:t>
      </w:r>
      <w:r w:rsidR="0076063F" w:rsidRPr="00714401">
        <w:rPr>
          <w:rFonts w:ascii="Book Antiqua" w:hAnsi="Book Antiqua"/>
          <w:color w:val="auto"/>
          <w:lang w:val="en-US"/>
        </w:rPr>
        <w:t xml:space="preserve"> </w:t>
      </w:r>
      <w:r w:rsidR="002434D7" w:rsidRPr="00714401">
        <w:rPr>
          <w:rFonts w:ascii="Book Antiqua" w:hAnsi="Book Antiqua"/>
          <w:color w:val="auto"/>
          <w:lang w:val="en-US"/>
        </w:rPr>
        <w:t>C</w:t>
      </w:r>
      <w:r w:rsidR="007737A7" w:rsidRPr="00714401">
        <w:rPr>
          <w:rFonts w:ascii="Book Antiqua" w:hAnsi="Book Antiqua"/>
          <w:color w:val="auto"/>
          <w:lang w:val="en-US"/>
        </w:rPr>
        <w:t xml:space="preserve">TP and </w:t>
      </w:r>
      <w:r w:rsidR="002434D7" w:rsidRPr="00714401">
        <w:rPr>
          <w:rFonts w:ascii="Book Antiqua" w:hAnsi="Book Antiqua"/>
          <w:color w:val="auto"/>
          <w:lang w:val="en-US"/>
        </w:rPr>
        <w:t xml:space="preserve">MELD </w:t>
      </w:r>
      <w:r w:rsidR="00A87187" w:rsidRPr="00714401">
        <w:rPr>
          <w:rFonts w:ascii="Book Antiqua" w:hAnsi="Book Antiqua"/>
          <w:color w:val="auto"/>
          <w:lang w:val="en-US"/>
        </w:rPr>
        <w:t>scoring systems</w:t>
      </w:r>
      <w:r w:rsidR="00617FFD" w:rsidRPr="00714401">
        <w:rPr>
          <w:rFonts w:ascii="Book Antiqua" w:hAnsi="Book Antiqua"/>
          <w:color w:val="auto"/>
          <w:vertAlign w:val="superscript"/>
          <w:lang w:val="en-US"/>
        </w:rPr>
        <w:t>[</w:t>
      </w:r>
      <w:r w:rsidR="00A12FE6" w:rsidRPr="00714401">
        <w:rPr>
          <w:rFonts w:ascii="Book Antiqua" w:hAnsi="Book Antiqua"/>
          <w:color w:val="auto"/>
          <w:vertAlign w:val="superscript"/>
          <w:lang w:val="en-US"/>
        </w:rPr>
        <w:t>23</w:t>
      </w:r>
      <w:r w:rsidR="00FB31C9" w:rsidRPr="00714401">
        <w:rPr>
          <w:rFonts w:ascii="Book Antiqua" w:hAnsi="Book Antiqua"/>
          <w:color w:val="auto"/>
          <w:vertAlign w:val="superscript"/>
          <w:lang w:val="en-US"/>
        </w:rPr>
        <w:t>,3</w:t>
      </w:r>
      <w:r w:rsidR="00A12FE6" w:rsidRPr="00714401">
        <w:rPr>
          <w:rFonts w:ascii="Book Antiqua" w:hAnsi="Book Antiqua"/>
          <w:color w:val="auto"/>
          <w:vertAlign w:val="superscript"/>
          <w:lang w:val="en-US"/>
        </w:rPr>
        <w:t>3-35</w:t>
      </w:r>
      <w:r w:rsidR="00617FFD" w:rsidRPr="00714401">
        <w:rPr>
          <w:rFonts w:ascii="Book Antiqua" w:hAnsi="Book Antiqua"/>
          <w:color w:val="auto"/>
          <w:vertAlign w:val="superscript"/>
          <w:lang w:val="en-US"/>
        </w:rPr>
        <w:t>]</w:t>
      </w:r>
      <w:r w:rsidR="00FB31C9" w:rsidRPr="00714401">
        <w:rPr>
          <w:rFonts w:ascii="Book Antiqua" w:hAnsi="Book Antiqua"/>
          <w:color w:val="auto"/>
          <w:lang w:val="en-US"/>
        </w:rPr>
        <w:t>.</w:t>
      </w:r>
      <w:r w:rsidR="0076063F" w:rsidRPr="00714401">
        <w:rPr>
          <w:rFonts w:ascii="Book Antiqua" w:hAnsi="Book Antiqua"/>
          <w:color w:val="auto"/>
          <w:lang w:val="en-US"/>
        </w:rPr>
        <w:t xml:space="preserve"> </w:t>
      </w:r>
    </w:p>
    <w:p w:rsidR="00000273" w:rsidRPr="00714401" w:rsidRDefault="00D121DF" w:rsidP="00DB4291">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Scores systems widely used in l</w:t>
      </w:r>
      <w:r w:rsidR="002434D7" w:rsidRPr="00714401">
        <w:rPr>
          <w:rFonts w:ascii="Book Antiqua" w:hAnsi="Book Antiqua"/>
          <w:color w:val="auto"/>
          <w:lang w:val="en-US"/>
        </w:rPr>
        <w:t>iver medicine f</w:t>
      </w:r>
      <w:r w:rsidR="00FD181D" w:rsidRPr="00714401">
        <w:rPr>
          <w:rFonts w:ascii="Book Antiqua" w:hAnsi="Book Antiqua"/>
          <w:color w:val="auto"/>
          <w:lang w:val="en-US"/>
        </w:rPr>
        <w:t>o</w:t>
      </w:r>
      <w:r w:rsidR="00103796" w:rsidRPr="00714401">
        <w:rPr>
          <w:rFonts w:ascii="Book Antiqua" w:hAnsi="Book Antiqua"/>
          <w:color w:val="auto"/>
          <w:lang w:val="en-US"/>
        </w:rPr>
        <w:t>r a</w:t>
      </w:r>
      <w:r w:rsidR="002434D7" w:rsidRPr="00714401">
        <w:rPr>
          <w:rFonts w:ascii="Book Antiqua" w:hAnsi="Book Antiqua"/>
          <w:color w:val="auto"/>
          <w:lang w:val="en-US"/>
        </w:rPr>
        <w:t xml:space="preserve"> comprehensive </w:t>
      </w:r>
      <w:r w:rsidR="00103796" w:rsidRPr="00714401">
        <w:rPr>
          <w:rFonts w:ascii="Book Antiqua" w:hAnsi="Book Antiqua"/>
          <w:color w:val="auto"/>
          <w:lang w:val="en-US"/>
        </w:rPr>
        <w:t>assessment</w:t>
      </w:r>
      <w:r w:rsidR="002434D7" w:rsidRPr="00714401">
        <w:rPr>
          <w:rFonts w:ascii="Book Antiqua" w:hAnsi="Book Antiqua"/>
          <w:color w:val="auto"/>
          <w:lang w:val="en-US"/>
        </w:rPr>
        <w:t xml:space="preserve"> of liver function </w:t>
      </w:r>
      <w:r w:rsidR="007737A7" w:rsidRPr="00714401">
        <w:rPr>
          <w:rFonts w:ascii="Book Antiqua" w:hAnsi="Book Antiqua"/>
          <w:color w:val="auto"/>
          <w:lang w:val="en-US"/>
        </w:rPr>
        <w:t xml:space="preserve">are </w:t>
      </w:r>
      <w:r w:rsidR="00A85AD8" w:rsidRPr="00714401">
        <w:rPr>
          <w:rFonts w:ascii="Book Antiqua" w:hAnsi="Book Antiqua"/>
          <w:color w:val="auto"/>
          <w:lang w:val="en-US"/>
        </w:rPr>
        <w:t>CP</w:t>
      </w:r>
      <w:r w:rsidR="007737A7" w:rsidRPr="00714401">
        <w:rPr>
          <w:rFonts w:ascii="Book Antiqua" w:hAnsi="Book Antiqua"/>
          <w:color w:val="auto"/>
          <w:lang w:val="en-US"/>
        </w:rPr>
        <w:t>T</w:t>
      </w:r>
      <w:r w:rsidR="00DB4291" w:rsidRPr="00714401">
        <w:rPr>
          <w:rFonts w:ascii="Book Antiqua" w:hAnsi="Book Antiqua"/>
          <w:color w:val="auto"/>
          <w:lang w:val="en-US"/>
        </w:rPr>
        <w:t xml:space="preserve"> and MELD</w:t>
      </w:r>
      <w:r w:rsidR="007737A7" w:rsidRPr="00714401">
        <w:rPr>
          <w:rFonts w:ascii="Book Antiqua" w:hAnsi="Book Antiqua"/>
          <w:color w:val="auto"/>
          <w:lang w:val="en-US"/>
        </w:rPr>
        <w:t xml:space="preserve">. </w:t>
      </w:r>
      <w:r w:rsidR="002434D7" w:rsidRPr="00714401">
        <w:rPr>
          <w:rFonts w:ascii="Book Antiqua" w:hAnsi="Book Antiqua"/>
          <w:color w:val="auto"/>
          <w:lang w:val="en-US"/>
        </w:rPr>
        <w:t>The CT</w:t>
      </w:r>
      <w:r w:rsidR="007737A7" w:rsidRPr="00714401">
        <w:rPr>
          <w:rFonts w:ascii="Book Antiqua" w:hAnsi="Book Antiqua"/>
          <w:color w:val="auto"/>
          <w:lang w:val="en-US"/>
        </w:rPr>
        <w:t>P</w:t>
      </w:r>
      <w:r w:rsidR="002434D7" w:rsidRPr="00714401">
        <w:rPr>
          <w:rFonts w:ascii="Book Antiqua" w:hAnsi="Book Antiqua"/>
          <w:color w:val="auto"/>
          <w:lang w:val="en-US"/>
        </w:rPr>
        <w:t xml:space="preserve"> score</w:t>
      </w:r>
      <w:r w:rsidRPr="00714401">
        <w:rPr>
          <w:rFonts w:ascii="Book Antiqua" w:hAnsi="Book Antiqua"/>
          <w:color w:val="auto"/>
          <w:lang w:val="en-US"/>
        </w:rPr>
        <w:t xml:space="preserve">, </w:t>
      </w:r>
      <w:r w:rsidR="00FD181D" w:rsidRPr="00714401">
        <w:rPr>
          <w:rFonts w:ascii="Book Antiqua" w:hAnsi="Book Antiqua"/>
          <w:color w:val="auto"/>
          <w:lang w:val="en-US"/>
        </w:rPr>
        <w:t>proposed</w:t>
      </w:r>
      <w:r w:rsidR="007D0839" w:rsidRPr="00714401">
        <w:rPr>
          <w:rFonts w:ascii="Book Antiqua" w:hAnsi="Book Antiqua"/>
          <w:color w:val="auto"/>
          <w:lang w:val="en-US"/>
        </w:rPr>
        <w:t xml:space="preserve"> in 1964 by Child and </w:t>
      </w:r>
      <w:proofErr w:type="spellStart"/>
      <w:proofErr w:type="gramStart"/>
      <w:r w:rsidR="007D0839" w:rsidRPr="00714401">
        <w:rPr>
          <w:rFonts w:ascii="Book Antiqua" w:hAnsi="Book Antiqua"/>
          <w:color w:val="auto"/>
          <w:lang w:val="en-US"/>
        </w:rPr>
        <w:t>Turcotte</w:t>
      </w:r>
      <w:proofErr w:type="spellEnd"/>
      <w:r w:rsidR="00DB4291" w:rsidRPr="00714401">
        <w:rPr>
          <w:rFonts w:ascii="Book Antiqua" w:hAnsi="Book Antiqua" w:hint="eastAsia"/>
          <w:color w:val="auto"/>
          <w:vertAlign w:val="superscript"/>
          <w:lang w:val="en-US" w:eastAsia="zh-CN"/>
        </w:rPr>
        <w:t>[</w:t>
      </w:r>
      <w:proofErr w:type="gramEnd"/>
      <w:r w:rsidR="00DB4291" w:rsidRPr="00714401">
        <w:rPr>
          <w:rFonts w:ascii="Book Antiqua" w:hAnsi="Book Antiqua" w:hint="eastAsia"/>
          <w:color w:val="auto"/>
          <w:vertAlign w:val="superscript"/>
          <w:lang w:val="en-US" w:eastAsia="zh-CN"/>
        </w:rPr>
        <w:t>36]</w:t>
      </w:r>
      <w:r w:rsidRPr="00714401">
        <w:rPr>
          <w:rFonts w:ascii="Book Antiqua" w:hAnsi="Book Antiqua"/>
          <w:color w:val="auto"/>
          <w:lang w:val="en-US"/>
        </w:rPr>
        <w:t>,</w:t>
      </w:r>
      <w:r w:rsidR="0076063F" w:rsidRPr="00714401">
        <w:rPr>
          <w:rFonts w:ascii="Book Antiqua" w:hAnsi="Book Antiqua"/>
          <w:color w:val="auto"/>
          <w:lang w:val="en-US"/>
        </w:rPr>
        <w:t xml:space="preserve"> </w:t>
      </w:r>
      <w:r w:rsidRPr="00714401">
        <w:rPr>
          <w:rFonts w:ascii="Book Antiqua" w:hAnsi="Book Antiqua"/>
          <w:color w:val="auto"/>
          <w:lang w:val="en-US"/>
        </w:rPr>
        <w:t>and</w:t>
      </w:r>
      <w:r w:rsidR="0076063F" w:rsidRPr="00714401">
        <w:rPr>
          <w:rFonts w:ascii="Book Antiqua" w:hAnsi="Book Antiqua"/>
          <w:color w:val="auto"/>
          <w:lang w:val="en-US"/>
        </w:rPr>
        <w:t xml:space="preserve"> </w:t>
      </w:r>
      <w:r w:rsidR="0076505A" w:rsidRPr="00714401">
        <w:rPr>
          <w:rFonts w:ascii="Book Antiqua" w:hAnsi="Book Antiqua"/>
          <w:color w:val="auto"/>
          <w:lang w:val="en-US"/>
        </w:rPr>
        <w:t xml:space="preserve">later </w:t>
      </w:r>
      <w:r w:rsidR="007D0839" w:rsidRPr="00714401">
        <w:rPr>
          <w:rFonts w:ascii="Book Antiqua" w:hAnsi="Book Antiqua"/>
          <w:color w:val="auto"/>
          <w:lang w:val="en-US"/>
        </w:rPr>
        <w:t>modified by Pugh (CTP)</w:t>
      </w:r>
      <w:r w:rsidRPr="00714401">
        <w:rPr>
          <w:rFonts w:ascii="Book Antiqua" w:hAnsi="Book Antiqua"/>
          <w:color w:val="auto"/>
          <w:lang w:val="en-US"/>
        </w:rPr>
        <w:t>,</w:t>
      </w:r>
      <w:r w:rsidR="0076063F" w:rsidRPr="00714401">
        <w:rPr>
          <w:rFonts w:ascii="Book Antiqua" w:hAnsi="Book Antiqua"/>
          <w:color w:val="auto"/>
          <w:lang w:val="en-US"/>
        </w:rPr>
        <w:t xml:space="preserve"> </w:t>
      </w:r>
      <w:r w:rsidRPr="00714401">
        <w:rPr>
          <w:rFonts w:ascii="Book Antiqua" w:hAnsi="Book Antiqua"/>
          <w:color w:val="auto"/>
          <w:lang w:val="en-US"/>
        </w:rPr>
        <w:t>was created</w:t>
      </w:r>
      <w:r w:rsidR="0076063F" w:rsidRPr="00714401">
        <w:rPr>
          <w:rFonts w:ascii="Book Antiqua" w:hAnsi="Book Antiqua"/>
          <w:color w:val="auto"/>
          <w:lang w:val="en-US"/>
        </w:rPr>
        <w:t xml:space="preserve"> </w:t>
      </w:r>
      <w:r w:rsidR="005C26E6" w:rsidRPr="00714401">
        <w:rPr>
          <w:rFonts w:ascii="Book Antiqua" w:hAnsi="Book Antiqua"/>
          <w:color w:val="auto"/>
          <w:lang w:val="en-US"/>
        </w:rPr>
        <w:t xml:space="preserve">to predict </w:t>
      </w:r>
      <w:r w:rsidR="00FD181D" w:rsidRPr="00714401">
        <w:rPr>
          <w:rFonts w:ascii="Book Antiqua" w:hAnsi="Book Antiqua"/>
          <w:color w:val="auto"/>
          <w:lang w:val="en-US"/>
        </w:rPr>
        <w:t xml:space="preserve">the </w:t>
      </w:r>
      <w:r w:rsidR="00DB4291" w:rsidRPr="00714401">
        <w:rPr>
          <w:rFonts w:ascii="Book Antiqua" w:hAnsi="Book Antiqua"/>
          <w:color w:val="auto"/>
          <w:lang w:val="en-US"/>
        </w:rPr>
        <w:t>morbidity/</w:t>
      </w:r>
      <w:r w:rsidRPr="00714401">
        <w:rPr>
          <w:rFonts w:ascii="Book Antiqua" w:hAnsi="Book Antiqua"/>
          <w:color w:val="auto"/>
          <w:lang w:val="en-US"/>
        </w:rPr>
        <w:t xml:space="preserve">mortality </w:t>
      </w:r>
      <w:r w:rsidR="00FD181D" w:rsidRPr="00714401">
        <w:rPr>
          <w:rFonts w:ascii="Book Antiqua" w:hAnsi="Book Antiqua"/>
          <w:color w:val="auto"/>
          <w:lang w:val="en-US"/>
        </w:rPr>
        <w:t xml:space="preserve">risk of </w:t>
      </w:r>
      <w:r w:rsidR="007D0839" w:rsidRPr="00714401">
        <w:rPr>
          <w:rFonts w:ascii="Book Antiqua" w:hAnsi="Book Antiqua"/>
          <w:color w:val="auto"/>
          <w:lang w:val="en-US"/>
        </w:rPr>
        <w:t xml:space="preserve">cirrhotic patients </w:t>
      </w:r>
      <w:r w:rsidR="007378AD" w:rsidRPr="00714401">
        <w:rPr>
          <w:rFonts w:ascii="Book Antiqua" w:hAnsi="Book Antiqua"/>
          <w:color w:val="auto"/>
          <w:lang w:val="en-US"/>
        </w:rPr>
        <w:t xml:space="preserve">with severe </w:t>
      </w:r>
      <w:r w:rsidR="00181BA4" w:rsidRPr="00714401">
        <w:rPr>
          <w:rFonts w:ascii="Book Antiqua" w:hAnsi="Book Antiqua"/>
          <w:color w:val="auto"/>
          <w:lang w:val="en-US" w:eastAsia="zh-CN"/>
        </w:rPr>
        <w:t>PH</w:t>
      </w:r>
      <w:r w:rsidR="0076063F" w:rsidRPr="00714401">
        <w:rPr>
          <w:rFonts w:ascii="Book Antiqua" w:hAnsi="Book Antiqua"/>
          <w:color w:val="auto"/>
          <w:lang w:val="en-US"/>
        </w:rPr>
        <w:t xml:space="preserve"> </w:t>
      </w:r>
      <w:r w:rsidR="007378AD" w:rsidRPr="00714401">
        <w:rPr>
          <w:rFonts w:ascii="Book Antiqua" w:hAnsi="Book Antiqua"/>
          <w:color w:val="auto"/>
          <w:lang w:val="en-US"/>
        </w:rPr>
        <w:t xml:space="preserve">admitted to </w:t>
      </w:r>
      <w:r w:rsidR="00DB4291" w:rsidRPr="00714401">
        <w:rPr>
          <w:rFonts w:ascii="Book Antiqua" w:hAnsi="Book Antiqua"/>
          <w:color w:val="auto"/>
          <w:lang w:val="en-US"/>
        </w:rPr>
        <w:t>shunt surgery</w:t>
      </w:r>
      <w:r w:rsidR="0076505A" w:rsidRPr="00714401">
        <w:rPr>
          <w:rFonts w:ascii="Book Antiqua" w:hAnsi="Book Antiqua"/>
          <w:color w:val="auto"/>
          <w:vertAlign w:val="superscript"/>
          <w:lang w:val="en-US"/>
        </w:rPr>
        <w:t>[36,37]</w:t>
      </w:r>
      <w:r w:rsidR="00000273" w:rsidRPr="00714401">
        <w:rPr>
          <w:rFonts w:ascii="Book Antiqua" w:hAnsi="Book Antiqua"/>
          <w:color w:val="auto"/>
          <w:lang w:val="en-US"/>
        </w:rPr>
        <w:t>.</w:t>
      </w:r>
      <w:r w:rsidR="00C80F9C" w:rsidRPr="00714401">
        <w:rPr>
          <w:rFonts w:ascii="Book Antiqua" w:hAnsi="Book Antiqua"/>
          <w:color w:val="auto"/>
          <w:lang w:val="en-US"/>
        </w:rPr>
        <w:t xml:space="preserve"> </w:t>
      </w:r>
    </w:p>
    <w:p w:rsidR="004E5D95" w:rsidRPr="00714401" w:rsidRDefault="00000273" w:rsidP="00DB4291">
      <w:pPr>
        <w:pStyle w:val="Default"/>
        <w:snapToGrid w:val="0"/>
        <w:spacing w:line="360" w:lineRule="auto"/>
        <w:ind w:firstLineChars="100" w:firstLine="240"/>
        <w:jc w:val="both"/>
        <w:rPr>
          <w:rFonts w:ascii="Book Antiqua" w:hAnsi="Book Antiqua"/>
          <w:color w:val="auto"/>
          <w:lang w:val="en-US"/>
        </w:rPr>
      </w:pPr>
      <w:proofErr w:type="gramStart"/>
      <w:r w:rsidRPr="00714401">
        <w:rPr>
          <w:rFonts w:ascii="Book Antiqua" w:hAnsi="Book Antiqua"/>
          <w:color w:val="auto"/>
          <w:lang w:val="en-US"/>
        </w:rPr>
        <w:t xml:space="preserve">Using </w:t>
      </w:r>
      <w:r w:rsidR="007737A7" w:rsidRPr="00714401">
        <w:rPr>
          <w:rFonts w:ascii="Book Antiqua" w:hAnsi="Book Antiqua"/>
          <w:color w:val="auto"/>
          <w:lang w:val="en-US"/>
        </w:rPr>
        <w:t xml:space="preserve">serum </w:t>
      </w:r>
      <w:r w:rsidR="00FD181D" w:rsidRPr="00714401">
        <w:rPr>
          <w:rFonts w:ascii="Book Antiqua" w:hAnsi="Book Antiqua"/>
          <w:color w:val="auto"/>
          <w:lang w:val="en-US"/>
        </w:rPr>
        <w:t>bilirubin</w:t>
      </w:r>
      <w:r w:rsidR="007378AD" w:rsidRPr="00714401">
        <w:rPr>
          <w:rFonts w:ascii="Book Antiqua" w:hAnsi="Book Antiqua"/>
          <w:color w:val="auto"/>
          <w:lang w:val="en-US"/>
        </w:rPr>
        <w:t xml:space="preserve">, </w:t>
      </w:r>
      <w:r w:rsidRPr="00714401">
        <w:rPr>
          <w:rFonts w:ascii="Book Antiqua" w:hAnsi="Book Antiqua"/>
          <w:color w:val="auto"/>
          <w:lang w:val="en-US"/>
        </w:rPr>
        <w:t>al</w:t>
      </w:r>
      <w:r w:rsidR="007378AD" w:rsidRPr="00714401">
        <w:rPr>
          <w:rFonts w:ascii="Book Antiqua" w:hAnsi="Book Antiqua"/>
          <w:color w:val="auto"/>
          <w:lang w:val="en-US"/>
        </w:rPr>
        <w:t>bumin and</w:t>
      </w:r>
      <w:r w:rsidR="0076063F" w:rsidRPr="00714401">
        <w:rPr>
          <w:rFonts w:ascii="Book Antiqua" w:hAnsi="Book Antiqua"/>
          <w:color w:val="auto"/>
          <w:lang w:val="en-US"/>
        </w:rPr>
        <w:t xml:space="preserve"> </w:t>
      </w:r>
      <w:r w:rsidRPr="00714401">
        <w:rPr>
          <w:rFonts w:ascii="Book Antiqua" w:hAnsi="Book Antiqua"/>
          <w:color w:val="auto"/>
          <w:lang w:val="en-US"/>
        </w:rPr>
        <w:t>prothrombin time</w:t>
      </w:r>
      <w:r w:rsidR="00A51F99" w:rsidRPr="00714401">
        <w:rPr>
          <w:rFonts w:ascii="Book Antiqua" w:hAnsi="Book Antiqua"/>
          <w:color w:val="auto"/>
          <w:lang w:val="en-US"/>
        </w:rPr>
        <w:t xml:space="preserve"> (PT)</w:t>
      </w:r>
      <w:r w:rsidR="007378AD" w:rsidRPr="00714401">
        <w:rPr>
          <w:rFonts w:ascii="Book Antiqua" w:hAnsi="Book Antiqua"/>
          <w:color w:val="auto"/>
          <w:lang w:val="en-US"/>
        </w:rPr>
        <w:t xml:space="preserve">, (common </w:t>
      </w:r>
      <w:r w:rsidR="00FD181D" w:rsidRPr="00714401">
        <w:rPr>
          <w:rFonts w:ascii="Book Antiqua" w:hAnsi="Book Antiqua"/>
          <w:color w:val="auto"/>
          <w:lang w:val="en-US"/>
        </w:rPr>
        <w:t>biochemical parameters</w:t>
      </w:r>
      <w:r w:rsidR="007378AD" w:rsidRPr="00714401">
        <w:rPr>
          <w:rFonts w:ascii="Book Antiqua" w:hAnsi="Book Antiqua"/>
          <w:color w:val="auto"/>
          <w:lang w:val="en-US"/>
        </w:rPr>
        <w:t xml:space="preserve">, easy to </w:t>
      </w:r>
      <w:r w:rsidR="00D121DF" w:rsidRPr="00714401">
        <w:rPr>
          <w:rFonts w:ascii="Book Antiqua" w:hAnsi="Book Antiqua"/>
          <w:color w:val="auto"/>
          <w:lang w:val="en-US"/>
        </w:rPr>
        <w:t xml:space="preserve">determine </w:t>
      </w:r>
      <w:r w:rsidR="007378AD" w:rsidRPr="00714401">
        <w:rPr>
          <w:rFonts w:ascii="Book Antiqua" w:hAnsi="Book Antiqua"/>
          <w:color w:val="auto"/>
          <w:lang w:val="en-US"/>
        </w:rPr>
        <w:t xml:space="preserve">in everyday </w:t>
      </w:r>
      <w:r w:rsidR="00D121DF" w:rsidRPr="00714401">
        <w:rPr>
          <w:rFonts w:ascii="Book Antiqua" w:hAnsi="Book Antiqua"/>
          <w:color w:val="auto"/>
          <w:lang w:val="en-US"/>
        </w:rPr>
        <w:t>clinical</w:t>
      </w:r>
      <w:r w:rsidR="007378AD" w:rsidRPr="00714401">
        <w:rPr>
          <w:rFonts w:ascii="Book Antiqua" w:hAnsi="Book Antiqua"/>
          <w:color w:val="auto"/>
          <w:lang w:val="en-US"/>
        </w:rPr>
        <w:t xml:space="preserve"> practice</w:t>
      </w:r>
      <w:r w:rsidR="00FD181D" w:rsidRPr="00714401">
        <w:rPr>
          <w:rFonts w:ascii="Book Antiqua" w:hAnsi="Book Antiqua"/>
          <w:color w:val="auto"/>
          <w:lang w:val="en-US"/>
        </w:rPr>
        <w:t>)</w:t>
      </w:r>
      <w:r w:rsidRPr="00714401">
        <w:rPr>
          <w:rFonts w:ascii="Book Antiqua" w:hAnsi="Book Antiqua"/>
          <w:color w:val="auto"/>
          <w:lang w:val="en-US"/>
        </w:rPr>
        <w:t xml:space="preserve"> </w:t>
      </w:r>
      <w:r w:rsidR="00572069" w:rsidRPr="00714401">
        <w:rPr>
          <w:rFonts w:ascii="Book Antiqua" w:hAnsi="Book Antiqua"/>
          <w:color w:val="auto"/>
          <w:lang w:val="en-US"/>
        </w:rPr>
        <w:t>and clinical findings (presence/</w:t>
      </w:r>
      <w:r w:rsidR="00D121DF" w:rsidRPr="00714401">
        <w:rPr>
          <w:rFonts w:ascii="Book Antiqua" w:hAnsi="Book Antiqua"/>
          <w:color w:val="auto"/>
          <w:lang w:val="en-US"/>
        </w:rPr>
        <w:t xml:space="preserve">absence </w:t>
      </w:r>
      <w:r w:rsidRPr="00714401">
        <w:rPr>
          <w:rFonts w:ascii="Book Antiqua" w:hAnsi="Book Antiqua"/>
          <w:color w:val="auto"/>
          <w:lang w:val="en-US"/>
        </w:rPr>
        <w:t>of ascites and encephalopathy)</w:t>
      </w:r>
      <w:r w:rsidR="0003292D" w:rsidRPr="00714401">
        <w:rPr>
          <w:rFonts w:ascii="Book Antiqua" w:hAnsi="Book Antiqua"/>
          <w:color w:val="auto"/>
          <w:lang w:val="en-US"/>
        </w:rPr>
        <w:t xml:space="preserve">, </w:t>
      </w:r>
      <w:r w:rsidR="007378AD" w:rsidRPr="00714401">
        <w:rPr>
          <w:rFonts w:ascii="Book Antiqua" w:hAnsi="Book Antiqua"/>
          <w:color w:val="auto"/>
          <w:lang w:val="en-US"/>
        </w:rPr>
        <w:t xml:space="preserve">the AAs defined </w:t>
      </w:r>
      <w:r w:rsidRPr="00714401">
        <w:rPr>
          <w:rFonts w:ascii="Book Antiqua" w:hAnsi="Book Antiqua"/>
          <w:color w:val="auto"/>
          <w:lang w:val="en-US"/>
        </w:rPr>
        <w:t>t</w:t>
      </w:r>
      <w:r w:rsidR="005C26E6" w:rsidRPr="00714401">
        <w:rPr>
          <w:rFonts w:ascii="Book Antiqua" w:hAnsi="Book Antiqua"/>
          <w:color w:val="auto"/>
          <w:lang w:val="en-US"/>
        </w:rPr>
        <w:t xml:space="preserve">hree classes </w:t>
      </w:r>
      <w:r w:rsidR="000F7495" w:rsidRPr="00714401">
        <w:rPr>
          <w:rFonts w:ascii="Book Antiqua" w:hAnsi="Book Antiqua"/>
          <w:color w:val="auto"/>
          <w:lang w:val="en-US"/>
        </w:rPr>
        <w:t>(A, B, C)</w:t>
      </w:r>
      <w:r w:rsidR="00572069" w:rsidRPr="00714401">
        <w:rPr>
          <w:rFonts w:ascii="Book Antiqua" w:hAnsi="Book Antiqua" w:hint="eastAsia"/>
          <w:color w:val="auto"/>
          <w:lang w:val="en-US" w:eastAsia="zh-CN"/>
        </w:rPr>
        <w:t xml:space="preserve"> </w:t>
      </w:r>
      <w:r w:rsidR="007378AD" w:rsidRPr="00714401">
        <w:rPr>
          <w:rFonts w:ascii="Book Antiqua" w:hAnsi="Book Antiqua"/>
          <w:color w:val="auto"/>
          <w:lang w:val="en-US"/>
        </w:rPr>
        <w:t>able to</w:t>
      </w:r>
      <w:r w:rsidRPr="00714401">
        <w:rPr>
          <w:rFonts w:ascii="Book Antiqua" w:hAnsi="Book Antiqua"/>
          <w:color w:val="auto"/>
          <w:lang w:val="en-US"/>
        </w:rPr>
        <w:t xml:space="preserve"> identify the severity of the chronic liver</w:t>
      </w:r>
      <w:r w:rsidR="0076063F" w:rsidRPr="00714401">
        <w:rPr>
          <w:rFonts w:ascii="Book Antiqua" w:hAnsi="Book Antiqua"/>
          <w:color w:val="auto"/>
          <w:lang w:val="en-US"/>
        </w:rPr>
        <w:t xml:space="preserve"> </w:t>
      </w:r>
      <w:r w:rsidRPr="00714401">
        <w:rPr>
          <w:rFonts w:ascii="Book Antiqua" w:hAnsi="Book Antiqua"/>
          <w:color w:val="auto"/>
          <w:lang w:val="en-US"/>
        </w:rPr>
        <w:t>disease</w:t>
      </w:r>
      <w:r w:rsidR="007378AD" w:rsidRPr="00714401">
        <w:rPr>
          <w:rFonts w:ascii="Book Antiqua" w:hAnsi="Book Antiqua"/>
          <w:color w:val="auto"/>
          <w:lang w:val="en-US"/>
        </w:rPr>
        <w:t>.</w:t>
      </w:r>
      <w:proofErr w:type="gramEnd"/>
      <w:r w:rsidR="0076063F" w:rsidRPr="00714401">
        <w:rPr>
          <w:rFonts w:ascii="Book Antiqua" w:hAnsi="Book Antiqua"/>
          <w:color w:val="auto"/>
          <w:lang w:val="en-US"/>
        </w:rPr>
        <w:t xml:space="preserve"> </w:t>
      </w:r>
      <w:r w:rsidR="00D121DF" w:rsidRPr="00714401">
        <w:rPr>
          <w:rFonts w:ascii="Book Antiqua" w:hAnsi="Book Antiqua"/>
          <w:color w:val="auto"/>
          <w:lang w:val="en-US"/>
        </w:rPr>
        <w:t>W</w:t>
      </w:r>
      <w:r w:rsidR="005B6C7F" w:rsidRPr="00714401">
        <w:rPr>
          <w:rFonts w:ascii="Book Antiqua" w:hAnsi="Book Antiqua"/>
          <w:color w:val="auto"/>
          <w:lang w:val="en-US"/>
        </w:rPr>
        <w:t xml:space="preserve">ithin the three classes, </w:t>
      </w:r>
      <w:r w:rsidR="00D121DF" w:rsidRPr="00714401">
        <w:rPr>
          <w:rFonts w:ascii="Book Antiqua" w:hAnsi="Book Antiqua"/>
          <w:color w:val="auto"/>
          <w:lang w:val="en-US"/>
        </w:rPr>
        <w:t>Pugh</w:t>
      </w:r>
      <w:r w:rsidR="00D121DF" w:rsidRPr="00714401">
        <w:rPr>
          <w:rFonts w:ascii="Book Antiqua" w:hAnsi="Book Antiqua"/>
          <w:i/>
          <w:color w:val="auto"/>
          <w:lang w:val="en-US"/>
        </w:rPr>
        <w:t xml:space="preserve"> et al</w:t>
      </w:r>
      <w:r w:rsidR="00F00255" w:rsidRPr="00714401">
        <w:rPr>
          <w:rFonts w:ascii="Book Antiqua" w:hAnsi="Book Antiqua"/>
          <w:color w:val="auto"/>
          <w:vertAlign w:val="superscript"/>
          <w:lang w:val="en-US"/>
        </w:rPr>
        <w:t>[23]</w:t>
      </w:r>
      <w:r w:rsidR="00D121DF" w:rsidRPr="00714401">
        <w:rPr>
          <w:rFonts w:ascii="Book Antiqua" w:hAnsi="Book Antiqua"/>
          <w:color w:val="auto"/>
          <w:lang w:val="en-US"/>
        </w:rPr>
        <w:t xml:space="preserve"> later</w:t>
      </w:r>
      <w:r w:rsidR="0076063F" w:rsidRPr="00714401">
        <w:rPr>
          <w:rFonts w:ascii="Book Antiqua" w:hAnsi="Book Antiqua"/>
          <w:color w:val="auto"/>
          <w:lang w:val="en-US"/>
        </w:rPr>
        <w:t xml:space="preserve"> </w:t>
      </w:r>
      <w:r w:rsidR="00D121DF" w:rsidRPr="00714401">
        <w:rPr>
          <w:rFonts w:ascii="Book Antiqua" w:hAnsi="Book Antiqua"/>
          <w:color w:val="auto"/>
          <w:lang w:val="en-US"/>
        </w:rPr>
        <w:t>introduced a score</w:t>
      </w:r>
      <w:r w:rsidR="007D0839" w:rsidRPr="00714401">
        <w:rPr>
          <w:rFonts w:ascii="Book Antiqua" w:hAnsi="Book Antiqua"/>
          <w:color w:val="auto"/>
          <w:lang w:val="en-US"/>
        </w:rPr>
        <w:t xml:space="preserve"> for different values </w:t>
      </w:r>
      <w:r w:rsidR="007D0839" w:rsidRPr="00714401">
        <w:rPr>
          <w:color w:val="auto"/>
          <w:lang w:val="en-US"/>
        </w:rPr>
        <w:t>​​</w:t>
      </w:r>
      <w:r w:rsidR="007D0839" w:rsidRPr="00714401">
        <w:rPr>
          <w:rFonts w:ascii="Book Antiqua" w:hAnsi="Book Antiqua"/>
          <w:color w:val="auto"/>
          <w:lang w:val="en-US"/>
        </w:rPr>
        <w:t>of the biochemical an</w:t>
      </w:r>
      <w:r w:rsidR="00A85AD8" w:rsidRPr="00714401">
        <w:rPr>
          <w:rFonts w:ascii="Book Antiqua" w:hAnsi="Book Antiqua"/>
          <w:color w:val="auto"/>
          <w:lang w:val="en-US"/>
        </w:rPr>
        <w:t>d clinical parameters</w:t>
      </w:r>
      <w:r w:rsidRPr="00714401">
        <w:rPr>
          <w:rFonts w:ascii="Book Antiqua" w:hAnsi="Book Antiqua"/>
          <w:color w:val="auto"/>
          <w:lang w:val="en-US"/>
        </w:rPr>
        <w:t xml:space="preserve"> to </w:t>
      </w:r>
      <w:r w:rsidR="00C80F9C" w:rsidRPr="00714401">
        <w:rPr>
          <w:rFonts w:ascii="Book Antiqua" w:hAnsi="Book Antiqua"/>
          <w:color w:val="auto"/>
          <w:lang w:val="en-US"/>
        </w:rPr>
        <w:t>identify</w:t>
      </w:r>
      <w:r w:rsidR="009A4E1D" w:rsidRPr="00714401">
        <w:rPr>
          <w:rFonts w:ascii="Book Antiqua" w:hAnsi="Book Antiqua"/>
          <w:color w:val="auto"/>
          <w:lang w:val="en-US"/>
        </w:rPr>
        <w:t xml:space="preserve"> with</w:t>
      </w:r>
      <w:r w:rsidR="007737A7" w:rsidRPr="00714401">
        <w:rPr>
          <w:rFonts w:ascii="Book Antiqua" w:hAnsi="Book Antiqua"/>
          <w:color w:val="auto"/>
          <w:lang w:val="en-US"/>
        </w:rPr>
        <w:t>in</w:t>
      </w:r>
      <w:r w:rsidR="0076063F" w:rsidRPr="00714401">
        <w:rPr>
          <w:rFonts w:ascii="Book Antiqua" w:hAnsi="Book Antiqua"/>
          <w:color w:val="auto"/>
          <w:lang w:val="en-US"/>
        </w:rPr>
        <w:t xml:space="preserve"> </w:t>
      </w:r>
      <w:r w:rsidR="009A4E1D" w:rsidRPr="00714401">
        <w:rPr>
          <w:rFonts w:ascii="Book Antiqua" w:hAnsi="Book Antiqua"/>
          <w:color w:val="auto"/>
          <w:lang w:val="en-US"/>
        </w:rPr>
        <w:t>the same class (A, B, C)</w:t>
      </w:r>
      <w:r w:rsidR="0076063F" w:rsidRPr="00714401">
        <w:rPr>
          <w:rFonts w:ascii="Book Antiqua" w:hAnsi="Book Antiqua"/>
          <w:color w:val="auto"/>
          <w:lang w:val="en-US"/>
        </w:rPr>
        <w:t xml:space="preserve"> </w:t>
      </w:r>
      <w:r w:rsidR="008223FB" w:rsidRPr="00714401">
        <w:rPr>
          <w:rFonts w:ascii="Book Antiqua" w:hAnsi="Book Antiqua"/>
          <w:color w:val="auto"/>
          <w:lang w:val="en-US"/>
        </w:rPr>
        <w:t xml:space="preserve">subgroups </w:t>
      </w:r>
      <w:r w:rsidR="006C2AA5" w:rsidRPr="00714401">
        <w:rPr>
          <w:rFonts w:ascii="Book Antiqua" w:hAnsi="Book Antiqua"/>
          <w:color w:val="auto"/>
          <w:lang w:val="en-US"/>
        </w:rPr>
        <w:t xml:space="preserve">of patients </w:t>
      </w:r>
      <w:r w:rsidR="0003292D" w:rsidRPr="00714401">
        <w:rPr>
          <w:rFonts w:ascii="Book Antiqua" w:hAnsi="Book Antiqua"/>
          <w:color w:val="auto"/>
          <w:lang w:val="en-US"/>
        </w:rPr>
        <w:t>(A 5-6;</w:t>
      </w:r>
      <w:r w:rsidR="0076063F" w:rsidRPr="00714401">
        <w:rPr>
          <w:rFonts w:ascii="Book Antiqua" w:hAnsi="Book Antiqua"/>
          <w:color w:val="auto"/>
          <w:lang w:val="en-US"/>
        </w:rPr>
        <w:t xml:space="preserve"> </w:t>
      </w:r>
      <w:r w:rsidR="007D0839" w:rsidRPr="00714401">
        <w:rPr>
          <w:rFonts w:ascii="Book Antiqua" w:hAnsi="Book Antiqua"/>
          <w:color w:val="auto"/>
          <w:lang w:val="en-US"/>
        </w:rPr>
        <w:t xml:space="preserve">B 7- 9; </w:t>
      </w:r>
      <w:r w:rsidR="00415ACA" w:rsidRPr="00714401">
        <w:rPr>
          <w:rFonts w:ascii="Book Antiqua" w:hAnsi="Book Antiqua"/>
          <w:color w:val="auto"/>
          <w:lang w:val="en-US"/>
        </w:rPr>
        <w:t>C</w:t>
      </w:r>
      <w:r w:rsidRPr="00714401">
        <w:rPr>
          <w:rFonts w:ascii="Book Antiqua" w:hAnsi="Book Antiqua"/>
          <w:color w:val="auto"/>
          <w:lang w:val="en-US"/>
        </w:rPr>
        <w:t xml:space="preserve"> </w:t>
      </w:r>
      <w:r w:rsidR="007D0839" w:rsidRPr="00714401">
        <w:rPr>
          <w:rFonts w:ascii="Book Antiqua" w:hAnsi="Book Antiqua"/>
          <w:color w:val="auto"/>
          <w:lang w:val="en-US"/>
        </w:rPr>
        <w:t>10-15</w:t>
      </w:r>
      <w:r w:rsidR="009A4E1D" w:rsidRPr="00714401">
        <w:rPr>
          <w:rFonts w:ascii="Book Antiqua" w:hAnsi="Book Antiqua"/>
          <w:color w:val="auto"/>
          <w:lang w:val="en-US"/>
        </w:rPr>
        <w:t>)</w:t>
      </w:r>
      <w:r w:rsidR="0076063F" w:rsidRPr="00714401">
        <w:rPr>
          <w:rFonts w:ascii="Book Antiqua" w:hAnsi="Book Antiqua"/>
          <w:color w:val="auto"/>
          <w:lang w:val="en-US"/>
        </w:rPr>
        <w:t xml:space="preserve"> </w:t>
      </w:r>
      <w:r w:rsidR="00572069" w:rsidRPr="00714401">
        <w:rPr>
          <w:rFonts w:ascii="Book Antiqua" w:hAnsi="Book Antiqua"/>
          <w:color w:val="auto"/>
          <w:lang w:val="en-US"/>
        </w:rPr>
        <w:t>at increasing severity</w:t>
      </w:r>
      <w:r w:rsidR="007D0839" w:rsidRPr="00714401">
        <w:rPr>
          <w:rFonts w:ascii="Book Antiqua" w:hAnsi="Book Antiqua"/>
          <w:color w:val="auto"/>
          <w:lang w:val="en-US"/>
        </w:rPr>
        <w:t xml:space="preserve">. The </w:t>
      </w:r>
      <w:r w:rsidR="00A51F99" w:rsidRPr="00714401">
        <w:rPr>
          <w:rFonts w:ascii="Book Antiqua" w:hAnsi="Book Antiqua"/>
          <w:color w:val="auto"/>
          <w:lang w:val="en-US"/>
        </w:rPr>
        <w:t>C</w:t>
      </w:r>
      <w:r w:rsidR="007737A7" w:rsidRPr="00714401">
        <w:rPr>
          <w:rFonts w:ascii="Book Antiqua" w:hAnsi="Book Antiqua"/>
          <w:color w:val="auto"/>
          <w:lang w:val="en-US"/>
        </w:rPr>
        <w:t>TP</w:t>
      </w:r>
      <w:r w:rsidR="00A51F99" w:rsidRPr="00714401">
        <w:rPr>
          <w:rFonts w:ascii="Book Antiqua" w:hAnsi="Book Antiqua"/>
          <w:color w:val="auto"/>
          <w:lang w:val="en-US"/>
        </w:rPr>
        <w:t xml:space="preserve"> </w:t>
      </w:r>
      <w:r w:rsidR="009A4E1D" w:rsidRPr="00714401">
        <w:rPr>
          <w:rFonts w:ascii="Book Antiqua" w:hAnsi="Book Antiqua"/>
          <w:color w:val="auto"/>
          <w:lang w:val="en-US"/>
        </w:rPr>
        <w:t xml:space="preserve">score, </w:t>
      </w:r>
      <w:r w:rsidR="001F4610" w:rsidRPr="00714401">
        <w:rPr>
          <w:rFonts w:ascii="Book Antiqua" w:hAnsi="Book Antiqua"/>
          <w:color w:val="auto"/>
          <w:lang w:val="en-US"/>
        </w:rPr>
        <w:t xml:space="preserve">still </w:t>
      </w:r>
      <w:r w:rsidR="009A4E1D" w:rsidRPr="00714401">
        <w:rPr>
          <w:rFonts w:ascii="Book Antiqua" w:hAnsi="Book Antiqua"/>
          <w:color w:val="auto"/>
          <w:lang w:val="en-US"/>
        </w:rPr>
        <w:t>quite reliable in</w:t>
      </w:r>
      <w:r w:rsidR="0076063F" w:rsidRPr="00714401">
        <w:rPr>
          <w:rFonts w:ascii="Book Antiqua" w:hAnsi="Book Antiqua"/>
          <w:color w:val="auto"/>
          <w:lang w:val="en-US"/>
        </w:rPr>
        <w:t xml:space="preserve"> </w:t>
      </w:r>
      <w:r w:rsidR="007D0839" w:rsidRPr="00714401">
        <w:rPr>
          <w:rFonts w:ascii="Book Antiqua" w:hAnsi="Book Antiqua"/>
          <w:color w:val="auto"/>
          <w:lang w:val="en-US"/>
        </w:rPr>
        <w:t>predict</w:t>
      </w:r>
      <w:r w:rsidR="009A4E1D" w:rsidRPr="00714401">
        <w:rPr>
          <w:rFonts w:ascii="Book Antiqua" w:hAnsi="Book Antiqua"/>
          <w:color w:val="auto"/>
          <w:lang w:val="en-US"/>
        </w:rPr>
        <w:t>ing</w:t>
      </w:r>
      <w:r w:rsidR="0076063F" w:rsidRPr="00714401">
        <w:rPr>
          <w:rFonts w:ascii="Book Antiqua" w:hAnsi="Book Antiqua"/>
          <w:color w:val="auto"/>
          <w:lang w:val="en-US"/>
        </w:rPr>
        <w:t xml:space="preserve"> </w:t>
      </w:r>
      <w:r w:rsidR="007D0839" w:rsidRPr="00714401">
        <w:rPr>
          <w:rFonts w:ascii="Book Antiqua" w:hAnsi="Book Antiqua"/>
          <w:color w:val="auto"/>
          <w:lang w:val="en-US"/>
        </w:rPr>
        <w:t>mortality after general surgery (</w:t>
      </w:r>
      <w:r w:rsidR="007378AD" w:rsidRPr="00714401">
        <w:rPr>
          <w:rFonts w:ascii="Book Antiqua" w:hAnsi="Book Antiqua"/>
          <w:color w:val="auto"/>
          <w:lang w:val="en-US"/>
        </w:rPr>
        <w:t xml:space="preserve">roughly, </w:t>
      </w:r>
      <w:r w:rsidR="007D0839" w:rsidRPr="00714401">
        <w:rPr>
          <w:rFonts w:ascii="Book Antiqua" w:hAnsi="Book Antiqua"/>
          <w:color w:val="auto"/>
          <w:lang w:val="en-US"/>
        </w:rPr>
        <w:t>CTP A</w:t>
      </w:r>
      <w:r w:rsidR="00A85AD8" w:rsidRPr="00714401">
        <w:rPr>
          <w:rFonts w:ascii="Book Antiqua" w:hAnsi="Book Antiqua"/>
          <w:color w:val="auto"/>
          <w:lang w:val="en-US"/>
        </w:rPr>
        <w:t>,</w:t>
      </w:r>
      <w:r w:rsidR="000C7452" w:rsidRPr="00714401">
        <w:rPr>
          <w:rFonts w:ascii="Book Antiqua" w:hAnsi="Book Antiqua"/>
          <w:color w:val="auto"/>
          <w:lang w:val="en-US"/>
        </w:rPr>
        <w:t xml:space="preserve"> </w:t>
      </w:r>
      <w:r w:rsidR="00415ACA" w:rsidRPr="00714401">
        <w:rPr>
          <w:rFonts w:ascii="Book Antiqua" w:hAnsi="Book Antiqua"/>
          <w:color w:val="auto"/>
          <w:lang w:val="en-US"/>
        </w:rPr>
        <w:t>10%; CTP B</w:t>
      </w:r>
      <w:r w:rsidR="00A85AD8" w:rsidRPr="00714401">
        <w:rPr>
          <w:rFonts w:ascii="Book Antiqua" w:hAnsi="Book Antiqua"/>
          <w:color w:val="auto"/>
          <w:lang w:val="en-US"/>
        </w:rPr>
        <w:t>,</w:t>
      </w:r>
      <w:r w:rsidR="00415ACA" w:rsidRPr="00714401">
        <w:rPr>
          <w:rFonts w:ascii="Book Antiqua" w:hAnsi="Book Antiqua"/>
          <w:color w:val="auto"/>
          <w:lang w:val="en-US"/>
        </w:rPr>
        <w:t xml:space="preserve"> up to </w:t>
      </w:r>
      <w:r w:rsidR="007D0839" w:rsidRPr="00714401">
        <w:rPr>
          <w:rFonts w:ascii="Book Antiqua" w:hAnsi="Book Antiqua"/>
          <w:color w:val="auto"/>
          <w:lang w:val="en-US"/>
        </w:rPr>
        <w:t>30%</w:t>
      </w:r>
      <w:r w:rsidR="00415ACA" w:rsidRPr="00714401">
        <w:rPr>
          <w:rFonts w:ascii="Book Antiqua" w:hAnsi="Book Antiqua"/>
          <w:color w:val="auto"/>
          <w:lang w:val="en-US"/>
        </w:rPr>
        <w:t>;</w:t>
      </w:r>
      <w:r w:rsidR="0076063F" w:rsidRPr="00714401">
        <w:rPr>
          <w:rFonts w:ascii="Book Antiqua" w:hAnsi="Book Antiqua"/>
          <w:color w:val="auto"/>
          <w:lang w:val="en-US"/>
        </w:rPr>
        <w:t xml:space="preserve"> </w:t>
      </w:r>
      <w:r w:rsidR="000C7452" w:rsidRPr="00714401">
        <w:rPr>
          <w:rFonts w:ascii="Book Antiqua" w:hAnsi="Book Antiqua"/>
          <w:color w:val="auto"/>
          <w:lang w:val="en-US"/>
        </w:rPr>
        <w:t xml:space="preserve">CTP </w:t>
      </w:r>
      <w:r w:rsidR="007D0839" w:rsidRPr="00714401">
        <w:rPr>
          <w:rFonts w:ascii="Book Antiqua" w:hAnsi="Book Antiqua"/>
          <w:color w:val="auto"/>
          <w:lang w:val="en-US"/>
        </w:rPr>
        <w:t>C</w:t>
      </w:r>
      <w:r w:rsidR="00A85AD8" w:rsidRPr="00714401">
        <w:rPr>
          <w:rFonts w:ascii="Book Antiqua" w:hAnsi="Book Antiqua"/>
          <w:color w:val="auto"/>
          <w:lang w:val="en-US"/>
        </w:rPr>
        <w:t>,</w:t>
      </w:r>
      <w:r w:rsidR="0076063F" w:rsidRPr="00714401">
        <w:rPr>
          <w:rFonts w:ascii="Book Antiqua" w:hAnsi="Book Antiqua"/>
          <w:color w:val="auto"/>
          <w:lang w:val="en-US"/>
        </w:rPr>
        <w:t xml:space="preserve"> </w:t>
      </w:r>
      <w:r w:rsidR="007378AD" w:rsidRPr="00714401">
        <w:rPr>
          <w:rFonts w:ascii="Book Antiqua" w:hAnsi="Book Antiqua"/>
          <w:color w:val="auto"/>
          <w:lang w:val="en-US"/>
        </w:rPr>
        <w:t xml:space="preserve">as high as </w:t>
      </w:r>
      <w:r w:rsidR="0003292D" w:rsidRPr="00714401">
        <w:rPr>
          <w:rFonts w:ascii="Book Antiqua" w:hAnsi="Book Antiqua"/>
          <w:color w:val="auto"/>
          <w:lang w:val="en-US"/>
        </w:rPr>
        <w:t>or above</w:t>
      </w:r>
      <w:r w:rsidR="0076063F" w:rsidRPr="00714401">
        <w:rPr>
          <w:rFonts w:ascii="Book Antiqua" w:hAnsi="Book Antiqua"/>
          <w:color w:val="auto"/>
          <w:lang w:val="en-US"/>
        </w:rPr>
        <w:t xml:space="preserve"> </w:t>
      </w:r>
      <w:r w:rsidR="00572069" w:rsidRPr="00714401">
        <w:rPr>
          <w:rFonts w:ascii="Book Antiqua" w:hAnsi="Book Antiqua"/>
          <w:color w:val="auto"/>
          <w:lang w:val="en-US"/>
        </w:rPr>
        <w:t>50</w:t>
      </w:r>
      <w:r w:rsidR="00415ACA" w:rsidRPr="00714401">
        <w:rPr>
          <w:rFonts w:ascii="Book Antiqua" w:hAnsi="Book Antiqua"/>
          <w:color w:val="auto"/>
          <w:lang w:val="en-US"/>
        </w:rPr>
        <w:t>%</w:t>
      </w:r>
      <w:r w:rsidR="00572069" w:rsidRPr="00714401">
        <w:rPr>
          <w:rFonts w:ascii="Book Antiqua" w:hAnsi="Book Antiqua"/>
          <w:color w:val="auto"/>
          <w:lang w:val="en-US"/>
        </w:rPr>
        <w:t>)</w:t>
      </w:r>
      <w:r w:rsidR="00B25FAE" w:rsidRPr="00714401">
        <w:rPr>
          <w:rFonts w:ascii="Book Antiqua" w:hAnsi="Book Antiqua"/>
          <w:color w:val="auto"/>
          <w:vertAlign w:val="superscript"/>
          <w:lang w:val="en-US"/>
        </w:rPr>
        <w:t>[</w:t>
      </w:r>
      <w:r w:rsidR="00A12FE6" w:rsidRPr="00714401">
        <w:rPr>
          <w:rFonts w:ascii="Book Antiqua" w:hAnsi="Book Antiqua"/>
          <w:color w:val="auto"/>
          <w:vertAlign w:val="superscript"/>
          <w:lang w:val="en-US"/>
        </w:rPr>
        <w:t>6</w:t>
      </w:r>
      <w:r w:rsidR="00B25FAE" w:rsidRPr="00714401">
        <w:rPr>
          <w:rFonts w:ascii="Book Antiqua" w:hAnsi="Book Antiqua"/>
          <w:color w:val="auto"/>
          <w:vertAlign w:val="superscript"/>
          <w:lang w:val="en-US"/>
        </w:rPr>
        <w:t>]</w:t>
      </w:r>
      <w:r w:rsidR="00704579" w:rsidRPr="00714401">
        <w:rPr>
          <w:rFonts w:ascii="Book Antiqua" w:hAnsi="Book Antiqua"/>
          <w:color w:val="auto"/>
          <w:lang w:val="en-US"/>
        </w:rPr>
        <w:t xml:space="preserve">, </w:t>
      </w:r>
      <w:r w:rsidR="009A4E1D" w:rsidRPr="00714401">
        <w:rPr>
          <w:rFonts w:ascii="Book Antiqua" w:hAnsi="Book Antiqua"/>
          <w:color w:val="auto"/>
          <w:lang w:val="en-US"/>
        </w:rPr>
        <w:t>has</w:t>
      </w:r>
      <w:r w:rsidR="0076063F" w:rsidRPr="00714401">
        <w:rPr>
          <w:rFonts w:ascii="Book Antiqua" w:hAnsi="Book Antiqua"/>
          <w:color w:val="auto"/>
          <w:lang w:val="en-US"/>
        </w:rPr>
        <w:t xml:space="preserve"> </w:t>
      </w:r>
      <w:r w:rsidR="0039377E" w:rsidRPr="00714401">
        <w:rPr>
          <w:rFonts w:ascii="Book Antiqua" w:hAnsi="Book Antiqua"/>
          <w:color w:val="auto"/>
          <w:lang w:val="en-US"/>
        </w:rPr>
        <w:lastRenderedPageBreak/>
        <w:t xml:space="preserve">some </w:t>
      </w:r>
      <w:r w:rsidR="00094154" w:rsidRPr="00714401">
        <w:rPr>
          <w:rFonts w:ascii="Book Antiqua" w:hAnsi="Book Antiqua"/>
          <w:color w:val="auto"/>
          <w:lang w:val="en-US"/>
        </w:rPr>
        <w:t>important</w:t>
      </w:r>
      <w:r w:rsidR="0076063F" w:rsidRPr="00714401">
        <w:rPr>
          <w:rFonts w:ascii="Book Antiqua" w:hAnsi="Book Antiqua"/>
          <w:color w:val="auto"/>
          <w:lang w:val="en-US"/>
        </w:rPr>
        <w:t xml:space="preserve"> </w:t>
      </w:r>
      <w:r w:rsidRPr="00714401">
        <w:rPr>
          <w:rFonts w:ascii="Book Antiqua" w:hAnsi="Book Antiqua"/>
          <w:color w:val="auto"/>
          <w:lang w:val="en-US"/>
        </w:rPr>
        <w:t>limitations</w:t>
      </w:r>
      <w:r w:rsidR="0039377E" w:rsidRPr="00714401">
        <w:rPr>
          <w:rFonts w:ascii="Book Antiqua" w:hAnsi="Book Antiqua"/>
          <w:color w:val="auto"/>
          <w:lang w:val="en-US"/>
        </w:rPr>
        <w:t xml:space="preserve">: </w:t>
      </w:r>
      <w:r w:rsidRPr="00714401">
        <w:rPr>
          <w:rFonts w:ascii="Book Antiqua" w:hAnsi="Book Antiqua"/>
          <w:color w:val="auto"/>
          <w:lang w:val="en-US"/>
        </w:rPr>
        <w:t xml:space="preserve">insufficient information on </w:t>
      </w:r>
      <w:r w:rsidR="003C0626" w:rsidRPr="00714401">
        <w:rPr>
          <w:rFonts w:ascii="Book Antiqua" w:hAnsi="Book Antiqua"/>
          <w:color w:val="auto"/>
          <w:lang w:val="en-US"/>
        </w:rPr>
        <w:t>regional</w:t>
      </w:r>
      <w:r w:rsidR="000C7452" w:rsidRPr="00714401">
        <w:rPr>
          <w:rFonts w:ascii="Book Antiqua" w:hAnsi="Book Antiqua"/>
          <w:color w:val="auto"/>
          <w:lang w:val="en-US"/>
        </w:rPr>
        <w:t xml:space="preserve"> </w:t>
      </w:r>
      <w:r w:rsidR="009313A4" w:rsidRPr="00714401">
        <w:rPr>
          <w:rFonts w:ascii="Book Antiqua" w:hAnsi="Book Antiqua"/>
          <w:color w:val="auto"/>
          <w:lang w:val="en-US"/>
        </w:rPr>
        <w:t>assessment</w:t>
      </w:r>
      <w:r w:rsidR="00E17E82" w:rsidRPr="00714401">
        <w:rPr>
          <w:rFonts w:ascii="Book Antiqua" w:hAnsi="Book Antiqua"/>
          <w:color w:val="auto"/>
          <w:lang w:val="en-US"/>
        </w:rPr>
        <w:t xml:space="preserve"> </w:t>
      </w:r>
      <w:r w:rsidR="003C0626" w:rsidRPr="00714401">
        <w:rPr>
          <w:rFonts w:ascii="Book Antiqua" w:hAnsi="Book Antiqua"/>
          <w:color w:val="auto"/>
          <w:lang w:val="en-US"/>
        </w:rPr>
        <w:t>of liver</w:t>
      </w:r>
      <w:r w:rsidR="000F7495" w:rsidRPr="00714401">
        <w:rPr>
          <w:rFonts w:ascii="Book Antiqua" w:hAnsi="Book Antiqua"/>
          <w:color w:val="auto"/>
          <w:lang w:val="en-US"/>
        </w:rPr>
        <w:t xml:space="preserve"> </w:t>
      </w:r>
      <w:r w:rsidR="006C2AA5" w:rsidRPr="00714401">
        <w:rPr>
          <w:rFonts w:ascii="Book Antiqua" w:hAnsi="Book Antiqua"/>
          <w:color w:val="auto"/>
          <w:lang w:val="en-US"/>
        </w:rPr>
        <w:t xml:space="preserve">function </w:t>
      </w:r>
      <w:r w:rsidRPr="00714401">
        <w:rPr>
          <w:rFonts w:ascii="Book Antiqua" w:hAnsi="Book Antiqua"/>
          <w:color w:val="auto"/>
          <w:lang w:val="en-US"/>
        </w:rPr>
        <w:t>(C</w:t>
      </w:r>
      <w:r w:rsidR="007737A7" w:rsidRPr="00714401">
        <w:rPr>
          <w:rFonts w:ascii="Book Antiqua" w:hAnsi="Book Antiqua"/>
          <w:color w:val="auto"/>
          <w:lang w:val="en-US"/>
        </w:rPr>
        <w:t>TP</w:t>
      </w:r>
      <w:r w:rsidRPr="00714401">
        <w:rPr>
          <w:rFonts w:ascii="Book Antiqua" w:hAnsi="Book Antiqua"/>
          <w:color w:val="auto"/>
          <w:lang w:val="en-US"/>
        </w:rPr>
        <w:t xml:space="preserve"> is </w:t>
      </w:r>
      <w:r w:rsidR="009313A4" w:rsidRPr="00714401">
        <w:rPr>
          <w:rFonts w:ascii="Book Antiqua" w:hAnsi="Book Antiqua"/>
          <w:color w:val="auto"/>
          <w:lang w:val="en-US"/>
        </w:rPr>
        <w:t>by definition a sort of broad classification</w:t>
      </w:r>
      <w:r w:rsidR="00C80F9C" w:rsidRPr="00714401">
        <w:rPr>
          <w:rFonts w:ascii="Book Antiqua" w:hAnsi="Book Antiqua"/>
          <w:color w:val="auto"/>
          <w:lang w:val="en-US"/>
        </w:rPr>
        <w:t xml:space="preserve"> of the severity of liver disease</w:t>
      </w:r>
      <w:r w:rsidRPr="00714401">
        <w:rPr>
          <w:rFonts w:ascii="Book Antiqua" w:hAnsi="Book Antiqua"/>
          <w:color w:val="auto"/>
          <w:lang w:val="en-US"/>
        </w:rPr>
        <w:t xml:space="preserve">) </w:t>
      </w:r>
      <w:r w:rsidR="006C2AA5" w:rsidRPr="00714401">
        <w:rPr>
          <w:rFonts w:ascii="Book Antiqua" w:hAnsi="Book Antiqua"/>
          <w:color w:val="auto"/>
          <w:lang w:val="en-US"/>
        </w:rPr>
        <w:t xml:space="preserve">and </w:t>
      </w:r>
      <w:r w:rsidR="009313A4" w:rsidRPr="00714401">
        <w:rPr>
          <w:rFonts w:ascii="Book Antiqua" w:hAnsi="Book Antiqua"/>
          <w:color w:val="auto"/>
          <w:lang w:val="en-US"/>
        </w:rPr>
        <w:t xml:space="preserve">the absence of </w:t>
      </w:r>
      <w:r w:rsidR="007737A7" w:rsidRPr="00714401">
        <w:rPr>
          <w:rFonts w:ascii="Book Antiqua" w:hAnsi="Book Antiqua"/>
          <w:color w:val="auto"/>
          <w:lang w:val="en-US"/>
        </w:rPr>
        <w:t xml:space="preserve">information </w:t>
      </w:r>
      <w:r w:rsidR="003C0626" w:rsidRPr="00714401">
        <w:rPr>
          <w:rFonts w:ascii="Book Antiqua" w:hAnsi="Book Antiqua"/>
          <w:color w:val="auto"/>
          <w:lang w:val="en-US"/>
        </w:rPr>
        <w:t>o</w:t>
      </w:r>
      <w:r w:rsidR="009313A4" w:rsidRPr="00714401">
        <w:rPr>
          <w:rFonts w:ascii="Book Antiqua" w:hAnsi="Book Antiqua"/>
          <w:color w:val="auto"/>
          <w:lang w:val="en-US"/>
        </w:rPr>
        <w:t xml:space="preserve">n the volume of </w:t>
      </w:r>
      <w:r w:rsidR="003C0626" w:rsidRPr="00714401">
        <w:rPr>
          <w:rFonts w:ascii="Book Antiqua" w:hAnsi="Book Antiqua"/>
          <w:color w:val="auto"/>
          <w:lang w:val="en-US"/>
        </w:rPr>
        <w:t>liver</w:t>
      </w:r>
      <w:r w:rsidR="000F7495" w:rsidRPr="00714401">
        <w:rPr>
          <w:rFonts w:ascii="Book Antiqua" w:hAnsi="Book Antiqua"/>
          <w:color w:val="auto"/>
          <w:lang w:val="en-US"/>
        </w:rPr>
        <w:t xml:space="preserve"> </w:t>
      </w:r>
      <w:proofErr w:type="spellStart"/>
      <w:r w:rsidR="006C2AA5" w:rsidRPr="00714401">
        <w:rPr>
          <w:rFonts w:ascii="Book Antiqua" w:hAnsi="Book Antiqua" w:cs="Cambria Math"/>
          <w:color w:val="auto"/>
          <w:lang w:val="en-US"/>
        </w:rPr>
        <w:t>parenchima</w:t>
      </w:r>
      <w:proofErr w:type="spellEnd"/>
      <w:r w:rsidR="006C2AA5" w:rsidRPr="00714401">
        <w:rPr>
          <w:rFonts w:ascii="Book Antiqua" w:hAnsi="Book Antiqua" w:cs="Cambria Math"/>
          <w:color w:val="auto"/>
          <w:lang w:val="en-US"/>
        </w:rPr>
        <w:t xml:space="preserve"> safely </w:t>
      </w:r>
      <w:proofErr w:type="spellStart"/>
      <w:r w:rsidR="006C2AA5" w:rsidRPr="00714401">
        <w:rPr>
          <w:rFonts w:ascii="Book Antiqua" w:hAnsi="Book Antiqua" w:cs="Cambria Math"/>
          <w:color w:val="auto"/>
          <w:lang w:val="en-US"/>
        </w:rPr>
        <w:t>resectable</w:t>
      </w:r>
      <w:proofErr w:type="spellEnd"/>
      <w:r w:rsidR="006C2AA5" w:rsidRPr="00714401">
        <w:rPr>
          <w:rFonts w:ascii="Book Antiqua" w:hAnsi="Book Antiqua" w:cs="Cambria Math"/>
          <w:color w:val="auto"/>
          <w:lang w:val="en-US"/>
        </w:rPr>
        <w:t xml:space="preserve"> </w:t>
      </w:r>
      <w:r w:rsidR="00705A54" w:rsidRPr="00714401">
        <w:rPr>
          <w:rFonts w:ascii="Book Antiqua" w:hAnsi="Book Antiqua" w:cs="Cambria Math"/>
          <w:color w:val="auto"/>
          <w:lang w:val="en-US"/>
        </w:rPr>
        <w:t>are indeed relevant in the surgical setting</w:t>
      </w:r>
      <w:r w:rsidR="00A12FE6" w:rsidRPr="00714401">
        <w:rPr>
          <w:rFonts w:ascii="Book Antiqua" w:hAnsi="Book Antiqua" w:cs="Cambria Math"/>
          <w:color w:val="auto"/>
          <w:vertAlign w:val="superscript"/>
          <w:lang w:val="en-US"/>
        </w:rPr>
        <w:t>[6,7</w:t>
      </w:r>
      <w:r w:rsidR="00B25FAE" w:rsidRPr="00714401">
        <w:rPr>
          <w:rFonts w:ascii="Book Antiqua" w:hAnsi="Book Antiqua" w:cs="Cambria Math"/>
          <w:color w:val="auto"/>
          <w:vertAlign w:val="superscript"/>
          <w:lang w:val="en-US"/>
        </w:rPr>
        <w:t>]</w:t>
      </w:r>
      <w:r w:rsidRPr="00714401">
        <w:rPr>
          <w:rFonts w:ascii="Book Antiqua" w:hAnsi="Book Antiqua" w:cs="Cambria Math"/>
          <w:color w:val="auto"/>
          <w:lang w:val="en-US"/>
        </w:rPr>
        <w:t xml:space="preserve">. </w:t>
      </w:r>
    </w:p>
    <w:p w:rsidR="00BD3C93" w:rsidRPr="00714401" w:rsidRDefault="000F7495" w:rsidP="00572069">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In spite of the</w:t>
      </w:r>
      <w:r w:rsidR="007737A7" w:rsidRPr="00714401">
        <w:rPr>
          <w:rFonts w:ascii="Book Antiqua" w:hAnsi="Book Antiqua"/>
          <w:color w:val="auto"/>
          <w:lang w:val="en-US"/>
        </w:rPr>
        <w:t xml:space="preserve">se </w:t>
      </w:r>
      <w:r w:rsidR="0086736E" w:rsidRPr="00714401">
        <w:rPr>
          <w:rFonts w:ascii="Book Antiqua" w:hAnsi="Book Antiqua"/>
          <w:color w:val="auto"/>
          <w:lang w:val="en-US"/>
        </w:rPr>
        <w:t>reported limitations</w:t>
      </w:r>
      <w:r w:rsidRPr="00714401">
        <w:rPr>
          <w:rFonts w:ascii="Book Antiqua" w:hAnsi="Book Antiqua"/>
          <w:color w:val="auto"/>
          <w:lang w:val="en-US"/>
        </w:rPr>
        <w:t xml:space="preserve">, </w:t>
      </w:r>
      <w:r w:rsidR="009313A4" w:rsidRPr="00714401">
        <w:rPr>
          <w:rFonts w:ascii="Book Antiqua" w:hAnsi="Book Antiqua"/>
          <w:color w:val="auto"/>
          <w:lang w:val="en-US"/>
        </w:rPr>
        <w:t>in the Wester surgical school</w:t>
      </w:r>
      <w:r w:rsidR="0076063F" w:rsidRPr="00714401">
        <w:rPr>
          <w:rFonts w:ascii="Book Antiqua" w:hAnsi="Book Antiqua"/>
          <w:color w:val="auto"/>
          <w:lang w:val="en-US"/>
        </w:rPr>
        <w:t xml:space="preserve"> </w:t>
      </w:r>
      <w:r w:rsidR="009313A4" w:rsidRPr="00714401">
        <w:rPr>
          <w:rFonts w:ascii="Book Antiqua" w:hAnsi="Book Antiqua"/>
          <w:color w:val="auto"/>
          <w:lang w:val="en-US"/>
        </w:rPr>
        <w:t>C</w:t>
      </w:r>
      <w:r w:rsidR="007737A7" w:rsidRPr="00714401">
        <w:rPr>
          <w:rFonts w:ascii="Book Antiqua" w:hAnsi="Book Antiqua"/>
          <w:color w:val="auto"/>
          <w:lang w:val="en-US"/>
        </w:rPr>
        <w:t>P</w:t>
      </w:r>
      <w:r w:rsidR="009313A4" w:rsidRPr="00714401">
        <w:rPr>
          <w:rFonts w:ascii="Book Antiqua" w:hAnsi="Book Antiqua"/>
          <w:color w:val="auto"/>
          <w:lang w:val="en-US"/>
        </w:rPr>
        <w:t xml:space="preserve">T and the degree of </w:t>
      </w:r>
      <w:r w:rsidR="00181BA4" w:rsidRPr="00714401">
        <w:rPr>
          <w:rFonts w:ascii="Book Antiqua" w:hAnsi="Book Antiqua"/>
          <w:color w:val="auto"/>
          <w:lang w:val="en-US" w:eastAsia="zh-CN"/>
        </w:rPr>
        <w:t>PH</w:t>
      </w:r>
      <w:r w:rsidR="009313A4" w:rsidRPr="00714401">
        <w:rPr>
          <w:rFonts w:ascii="Book Antiqua" w:hAnsi="Book Antiqua"/>
          <w:color w:val="auto"/>
          <w:lang w:val="en-US"/>
        </w:rPr>
        <w:t xml:space="preserve"> </w:t>
      </w:r>
      <w:r w:rsidR="00094154" w:rsidRPr="00714401">
        <w:rPr>
          <w:rFonts w:ascii="Book Antiqua" w:hAnsi="Book Antiqua"/>
          <w:color w:val="auto"/>
          <w:lang w:val="en-US"/>
        </w:rPr>
        <w:t>(often qualitatively defined)</w:t>
      </w:r>
      <w:r w:rsidR="007737A7" w:rsidRPr="00714401">
        <w:rPr>
          <w:rFonts w:ascii="Book Antiqua" w:hAnsi="Book Antiqua"/>
          <w:color w:val="auto"/>
          <w:lang w:val="en-US"/>
        </w:rPr>
        <w:t>,</w:t>
      </w:r>
      <w:r w:rsidR="0076063F" w:rsidRPr="00714401">
        <w:rPr>
          <w:rFonts w:ascii="Book Antiqua" w:hAnsi="Book Antiqua"/>
          <w:color w:val="auto"/>
          <w:lang w:val="en-US"/>
        </w:rPr>
        <w:t xml:space="preserve"> </w:t>
      </w:r>
      <w:r w:rsidR="00E17E82" w:rsidRPr="00714401">
        <w:rPr>
          <w:rFonts w:ascii="Book Antiqua" w:hAnsi="Book Antiqua"/>
          <w:color w:val="auto"/>
          <w:lang w:val="en-US"/>
        </w:rPr>
        <w:t xml:space="preserve">together with imaging </w:t>
      </w:r>
      <w:r w:rsidR="009313A4" w:rsidRPr="00714401">
        <w:rPr>
          <w:rFonts w:ascii="Book Antiqua" w:hAnsi="Book Antiqua"/>
          <w:color w:val="auto"/>
          <w:lang w:val="en-US"/>
        </w:rPr>
        <w:t xml:space="preserve">are often used </w:t>
      </w:r>
      <w:r w:rsidR="001F4610" w:rsidRPr="00714401">
        <w:rPr>
          <w:rFonts w:ascii="Book Antiqua" w:hAnsi="Book Antiqua"/>
          <w:color w:val="auto"/>
          <w:lang w:val="en-US"/>
        </w:rPr>
        <w:t xml:space="preserve">to assess </w:t>
      </w:r>
      <w:r w:rsidR="00570484" w:rsidRPr="00714401">
        <w:rPr>
          <w:rFonts w:ascii="Book Antiqua" w:hAnsi="Book Antiqua"/>
          <w:color w:val="auto"/>
          <w:lang w:val="en-US"/>
        </w:rPr>
        <w:t>liver function</w:t>
      </w:r>
      <w:r w:rsidR="001F4610" w:rsidRPr="00714401">
        <w:rPr>
          <w:rFonts w:ascii="Book Antiqua" w:hAnsi="Book Antiqua"/>
          <w:color w:val="auto"/>
          <w:lang w:val="en-US"/>
        </w:rPr>
        <w:t xml:space="preserve"> in the preoperative period</w:t>
      </w:r>
      <w:r w:rsidRPr="00714401">
        <w:rPr>
          <w:rFonts w:ascii="Book Antiqua" w:hAnsi="Book Antiqua"/>
          <w:color w:val="auto"/>
          <w:lang w:val="en-US"/>
        </w:rPr>
        <w:t>.</w:t>
      </w:r>
      <w:r w:rsidR="001F4610" w:rsidRPr="00714401">
        <w:rPr>
          <w:rFonts w:ascii="Book Antiqua" w:hAnsi="Book Antiqua"/>
          <w:color w:val="auto"/>
          <w:lang w:val="en-US"/>
        </w:rPr>
        <w:t xml:space="preserve"> Liver </w:t>
      </w:r>
      <w:proofErr w:type="spellStart"/>
      <w:r w:rsidR="001F4610" w:rsidRPr="00714401">
        <w:rPr>
          <w:rFonts w:ascii="Book Antiqua" w:hAnsi="Book Antiqua"/>
          <w:color w:val="auto"/>
          <w:lang w:val="en-US"/>
        </w:rPr>
        <w:t>resective</w:t>
      </w:r>
      <w:proofErr w:type="spellEnd"/>
      <w:r w:rsidR="001F4610" w:rsidRPr="00714401">
        <w:rPr>
          <w:rFonts w:ascii="Book Antiqua" w:hAnsi="Book Antiqua"/>
          <w:color w:val="auto"/>
          <w:lang w:val="en-US"/>
        </w:rPr>
        <w:t xml:space="preserve"> surgery </w:t>
      </w:r>
      <w:r w:rsidR="00A51F99" w:rsidRPr="00714401">
        <w:rPr>
          <w:rFonts w:ascii="Book Antiqua" w:hAnsi="Book Antiqua"/>
          <w:color w:val="auto"/>
          <w:lang w:val="en-US"/>
        </w:rPr>
        <w:t xml:space="preserve">should be considered </w:t>
      </w:r>
      <w:r w:rsidR="00570484" w:rsidRPr="00714401">
        <w:rPr>
          <w:rFonts w:ascii="Book Antiqua" w:hAnsi="Book Antiqua"/>
          <w:color w:val="auto"/>
          <w:lang w:val="en-US"/>
        </w:rPr>
        <w:t>for</w:t>
      </w:r>
      <w:r w:rsidR="00A51F99" w:rsidRPr="00714401">
        <w:rPr>
          <w:rFonts w:ascii="Book Antiqua" w:hAnsi="Book Antiqua"/>
          <w:color w:val="auto"/>
          <w:lang w:val="en-US"/>
        </w:rPr>
        <w:t xml:space="preserve"> patients in </w:t>
      </w:r>
      <w:r w:rsidR="003C0626" w:rsidRPr="00714401">
        <w:rPr>
          <w:rFonts w:ascii="Book Antiqua" w:hAnsi="Book Antiqua"/>
          <w:color w:val="auto"/>
          <w:lang w:val="en-US"/>
        </w:rPr>
        <w:t xml:space="preserve">Class A </w:t>
      </w:r>
      <w:r w:rsidR="00570484" w:rsidRPr="00714401">
        <w:rPr>
          <w:rFonts w:ascii="Book Antiqua" w:hAnsi="Book Antiqua"/>
          <w:color w:val="auto"/>
          <w:lang w:val="en-US"/>
        </w:rPr>
        <w:t>and</w:t>
      </w:r>
      <w:r w:rsidR="00415ACA" w:rsidRPr="00714401">
        <w:rPr>
          <w:rFonts w:ascii="Book Antiqua" w:hAnsi="Book Antiqua"/>
          <w:color w:val="auto"/>
          <w:lang w:val="en-US"/>
        </w:rPr>
        <w:t xml:space="preserve">, </w:t>
      </w:r>
      <w:r w:rsidR="008044F1" w:rsidRPr="00714401">
        <w:rPr>
          <w:rFonts w:ascii="Book Antiqua" w:hAnsi="Book Antiqua"/>
          <w:color w:val="auto"/>
          <w:lang w:val="en-US"/>
        </w:rPr>
        <w:t xml:space="preserve">limiting the </w:t>
      </w:r>
      <w:r w:rsidR="009313A4" w:rsidRPr="00714401">
        <w:rPr>
          <w:rFonts w:ascii="Book Antiqua" w:hAnsi="Book Antiqua"/>
          <w:color w:val="auto"/>
          <w:lang w:val="en-US"/>
        </w:rPr>
        <w:t xml:space="preserve">extent of the resection to </w:t>
      </w:r>
      <w:r w:rsidR="008044F1" w:rsidRPr="00714401">
        <w:rPr>
          <w:rFonts w:ascii="Book Antiqua" w:hAnsi="Book Antiqua"/>
          <w:color w:val="auto"/>
          <w:lang w:val="en-US"/>
        </w:rPr>
        <w:t xml:space="preserve">reduce </w:t>
      </w:r>
      <w:r w:rsidR="009313A4" w:rsidRPr="00714401">
        <w:rPr>
          <w:rFonts w:ascii="Book Antiqua" w:hAnsi="Book Antiqua"/>
          <w:color w:val="auto"/>
          <w:lang w:val="en-US"/>
        </w:rPr>
        <w:t>the risk of postoperative hepatic dysfunction,</w:t>
      </w:r>
      <w:r w:rsidR="008044F1" w:rsidRPr="00714401">
        <w:rPr>
          <w:rFonts w:ascii="Book Antiqua" w:hAnsi="Book Antiqua"/>
          <w:color w:val="auto"/>
          <w:lang w:val="en-US"/>
        </w:rPr>
        <w:t xml:space="preserve"> </w:t>
      </w:r>
      <w:r w:rsidR="00094154" w:rsidRPr="00714401">
        <w:rPr>
          <w:rFonts w:ascii="Book Antiqua" w:hAnsi="Book Antiqua"/>
          <w:color w:val="auto"/>
          <w:lang w:val="en-US"/>
        </w:rPr>
        <w:t xml:space="preserve">in well selected Class B </w:t>
      </w:r>
      <w:proofErr w:type="gramStart"/>
      <w:r w:rsidR="00094154" w:rsidRPr="00714401">
        <w:rPr>
          <w:rFonts w:ascii="Book Antiqua" w:hAnsi="Book Antiqua"/>
          <w:color w:val="auto"/>
          <w:lang w:val="en-US"/>
        </w:rPr>
        <w:t>patients</w:t>
      </w:r>
      <w:r w:rsidR="00B25FAE" w:rsidRPr="00714401">
        <w:rPr>
          <w:rFonts w:ascii="Book Antiqua" w:hAnsi="Book Antiqua"/>
          <w:color w:val="auto"/>
          <w:vertAlign w:val="superscript"/>
          <w:lang w:val="en-US"/>
        </w:rPr>
        <w:t>[</w:t>
      </w:r>
      <w:proofErr w:type="gramEnd"/>
      <w:r w:rsidR="00A12FE6" w:rsidRPr="00714401">
        <w:rPr>
          <w:rFonts w:ascii="Book Antiqua" w:hAnsi="Book Antiqua"/>
          <w:color w:val="auto"/>
          <w:vertAlign w:val="superscript"/>
          <w:lang w:val="en-US"/>
        </w:rPr>
        <w:t>5,27,30</w:t>
      </w:r>
      <w:r w:rsidR="00B25FAE" w:rsidRPr="00714401">
        <w:rPr>
          <w:rFonts w:ascii="Book Antiqua" w:hAnsi="Book Antiqua"/>
          <w:color w:val="auto"/>
          <w:vertAlign w:val="superscript"/>
          <w:lang w:val="en-US"/>
        </w:rPr>
        <w:t>]</w:t>
      </w:r>
      <w:r w:rsidR="00570484" w:rsidRPr="00714401">
        <w:rPr>
          <w:rFonts w:ascii="Book Antiqua" w:hAnsi="Book Antiqua"/>
          <w:color w:val="auto"/>
          <w:lang w:val="en-US"/>
        </w:rPr>
        <w:t>.</w:t>
      </w:r>
      <w:r w:rsidR="00A51F99" w:rsidRPr="00714401">
        <w:rPr>
          <w:rFonts w:ascii="Book Antiqua" w:hAnsi="Book Antiqua"/>
          <w:color w:val="auto"/>
          <w:lang w:val="en-US"/>
        </w:rPr>
        <w:t xml:space="preserve"> C</w:t>
      </w:r>
      <w:r w:rsidR="008044F1" w:rsidRPr="00714401">
        <w:rPr>
          <w:rFonts w:ascii="Book Antiqua" w:hAnsi="Book Antiqua"/>
          <w:color w:val="auto"/>
          <w:lang w:val="en-US"/>
        </w:rPr>
        <w:t xml:space="preserve">ontroversial </w:t>
      </w:r>
      <w:r w:rsidR="0086736E" w:rsidRPr="00714401">
        <w:rPr>
          <w:rFonts w:ascii="Book Antiqua" w:hAnsi="Book Antiqua"/>
          <w:color w:val="auto"/>
          <w:lang w:val="en-US"/>
        </w:rPr>
        <w:t xml:space="preserve">is </w:t>
      </w:r>
      <w:r w:rsidR="0012123A" w:rsidRPr="00714401">
        <w:rPr>
          <w:rFonts w:ascii="Book Antiqua" w:hAnsi="Book Antiqua"/>
          <w:color w:val="auto"/>
          <w:lang w:val="en-US"/>
        </w:rPr>
        <w:t>t</w:t>
      </w:r>
      <w:r w:rsidR="003905F4" w:rsidRPr="00714401">
        <w:rPr>
          <w:rFonts w:ascii="Book Antiqua" w:hAnsi="Book Antiqua"/>
          <w:color w:val="auto"/>
          <w:lang w:val="en-US"/>
        </w:rPr>
        <w:t xml:space="preserve">he use of </w:t>
      </w:r>
      <w:r w:rsidR="00415ACA" w:rsidRPr="00714401">
        <w:rPr>
          <w:rFonts w:ascii="Book Antiqua" w:hAnsi="Book Antiqua"/>
          <w:color w:val="auto"/>
          <w:lang w:val="en-US"/>
        </w:rPr>
        <w:t xml:space="preserve">MELD score </w:t>
      </w:r>
      <w:r w:rsidR="00A51F99" w:rsidRPr="00714401">
        <w:rPr>
          <w:rFonts w:ascii="Book Antiqua" w:hAnsi="Book Antiqua"/>
          <w:color w:val="auto"/>
          <w:lang w:val="en-US"/>
        </w:rPr>
        <w:t xml:space="preserve">or </w:t>
      </w:r>
      <w:r w:rsidR="006C2AA5" w:rsidRPr="00714401">
        <w:rPr>
          <w:rFonts w:ascii="Book Antiqua" w:hAnsi="Book Antiqua"/>
          <w:color w:val="auto"/>
          <w:lang w:val="en-US"/>
        </w:rPr>
        <w:t xml:space="preserve">its </w:t>
      </w:r>
      <w:proofErr w:type="spellStart"/>
      <w:r w:rsidR="006C2AA5" w:rsidRPr="00714401">
        <w:rPr>
          <w:rFonts w:ascii="Book Antiqua" w:hAnsi="Book Antiqua"/>
          <w:color w:val="auto"/>
          <w:lang w:val="en-US"/>
        </w:rPr>
        <w:t>derivates</w:t>
      </w:r>
      <w:proofErr w:type="spellEnd"/>
      <w:r w:rsidR="00094154" w:rsidRPr="00714401">
        <w:rPr>
          <w:rFonts w:ascii="Book Antiqua" w:hAnsi="Book Antiqua"/>
          <w:color w:val="auto"/>
          <w:lang w:val="en-US"/>
        </w:rPr>
        <w:t xml:space="preserve"> </w:t>
      </w:r>
      <w:r w:rsidR="006A2F9B" w:rsidRPr="00714401">
        <w:rPr>
          <w:rFonts w:ascii="Book Antiqua" w:hAnsi="Book Antiqua"/>
          <w:color w:val="auto"/>
          <w:lang w:val="en-US"/>
        </w:rPr>
        <w:t>(</w:t>
      </w:r>
      <w:proofErr w:type="spellStart"/>
      <w:r w:rsidR="00B2538B" w:rsidRPr="00714401">
        <w:rPr>
          <w:rFonts w:ascii="Book Antiqua" w:hAnsi="Book Antiqua"/>
          <w:color w:val="auto"/>
          <w:lang w:val="en-US"/>
        </w:rPr>
        <w:t>NaMELD</w:t>
      </w:r>
      <w:proofErr w:type="spellEnd"/>
      <w:r w:rsidR="00B2538B" w:rsidRPr="00714401">
        <w:rPr>
          <w:rFonts w:ascii="Book Antiqua" w:hAnsi="Book Antiqua"/>
          <w:color w:val="auto"/>
          <w:lang w:val="en-US"/>
        </w:rPr>
        <w:t xml:space="preserve"> and </w:t>
      </w:r>
      <w:proofErr w:type="spellStart"/>
      <w:r w:rsidR="00B2538B" w:rsidRPr="00714401">
        <w:rPr>
          <w:rFonts w:ascii="Book Antiqua" w:hAnsi="Book Antiqua"/>
          <w:color w:val="auto"/>
          <w:lang w:val="en-US"/>
        </w:rPr>
        <w:t>iMELD</w:t>
      </w:r>
      <w:proofErr w:type="spellEnd"/>
      <w:r w:rsidR="00094154" w:rsidRPr="00714401">
        <w:rPr>
          <w:rFonts w:ascii="Book Antiqua" w:hAnsi="Book Antiqua"/>
          <w:color w:val="auto"/>
          <w:lang w:val="en-US"/>
        </w:rPr>
        <w:t>)</w:t>
      </w:r>
      <w:r w:rsidR="0076063F" w:rsidRPr="00714401">
        <w:rPr>
          <w:rFonts w:ascii="Book Antiqua" w:hAnsi="Book Antiqua"/>
          <w:color w:val="auto"/>
          <w:lang w:val="en-US"/>
        </w:rPr>
        <w:t xml:space="preserve"> </w:t>
      </w:r>
      <w:r w:rsidR="00094154" w:rsidRPr="00714401">
        <w:rPr>
          <w:rFonts w:ascii="Book Antiqua" w:hAnsi="Book Antiqua"/>
          <w:color w:val="auto"/>
          <w:lang w:val="en-US"/>
        </w:rPr>
        <w:t>in the surgical context</w:t>
      </w:r>
      <w:r w:rsidR="006E3114" w:rsidRPr="00714401">
        <w:rPr>
          <w:rFonts w:ascii="Book Antiqua" w:hAnsi="Book Antiqua"/>
          <w:color w:val="auto"/>
          <w:lang w:val="en-US"/>
        </w:rPr>
        <w:t xml:space="preserve">. </w:t>
      </w:r>
      <w:r w:rsidR="00415ACA" w:rsidRPr="00714401">
        <w:rPr>
          <w:rFonts w:ascii="Book Antiqua" w:hAnsi="Book Antiqua"/>
          <w:color w:val="auto"/>
          <w:lang w:val="en-US"/>
        </w:rPr>
        <w:t>MELD score</w:t>
      </w:r>
      <w:r w:rsidR="004C2253" w:rsidRPr="00714401">
        <w:rPr>
          <w:rFonts w:ascii="Book Antiqua" w:hAnsi="Book Antiqua"/>
          <w:color w:val="auto"/>
          <w:lang w:val="en-US"/>
        </w:rPr>
        <w:t xml:space="preserve">, </w:t>
      </w:r>
      <w:r w:rsidR="00415ACA" w:rsidRPr="00714401">
        <w:rPr>
          <w:rFonts w:ascii="Book Antiqua" w:hAnsi="Book Antiqua"/>
          <w:color w:val="auto"/>
          <w:lang w:val="en-US"/>
        </w:rPr>
        <w:t xml:space="preserve">based on </w:t>
      </w:r>
      <w:r w:rsidR="00094154" w:rsidRPr="00714401">
        <w:rPr>
          <w:rFonts w:ascii="Book Antiqua" w:hAnsi="Book Antiqua"/>
          <w:color w:val="auto"/>
          <w:lang w:val="en-US"/>
        </w:rPr>
        <w:t>bilirubin</w:t>
      </w:r>
      <w:r w:rsidR="001F4610" w:rsidRPr="00714401">
        <w:rPr>
          <w:rFonts w:ascii="Book Antiqua" w:hAnsi="Book Antiqua"/>
          <w:color w:val="auto"/>
          <w:lang w:val="en-US"/>
        </w:rPr>
        <w:t>,</w:t>
      </w:r>
      <w:r w:rsidR="0076063F" w:rsidRPr="00714401">
        <w:rPr>
          <w:rFonts w:ascii="Book Antiqua" w:hAnsi="Book Antiqua"/>
          <w:color w:val="auto"/>
          <w:lang w:val="en-US"/>
        </w:rPr>
        <w:t xml:space="preserve"> </w:t>
      </w:r>
      <w:r w:rsidR="00E17E82" w:rsidRPr="00714401">
        <w:rPr>
          <w:rFonts w:ascii="Book Antiqua" w:hAnsi="Book Antiqua"/>
          <w:color w:val="auto"/>
          <w:lang w:val="en-US"/>
        </w:rPr>
        <w:t>creatinine and</w:t>
      </w:r>
      <w:r w:rsidR="0076063F" w:rsidRPr="00714401">
        <w:rPr>
          <w:rFonts w:ascii="Book Antiqua" w:hAnsi="Book Antiqua"/>
          <w:color w:val="auto"/>
          <w:lang w:val="en-US"/>
        </w:rPr>
        <w:t xml:space="preserve"> </w:t>
      </w:r>
      <w:r w:rsidR="008044F1" w:rsidRPr="00714401">
        <w:rPr>
          <w:rFonts w:ascii="Book Antiqua" w:hAnsi="Book Antiqua"/>
          <w:color w:val="auto"/>
          <w:lang w:val="en-US"/>
        </w:rPr>
        <w:t>P</w:t>
      </w:r>
      <w:r w:rsidR="00E17E82" w:rsidRPr="00714401">
        <w:rPr>
          <w:rFonts w:ascii="Book Antiqua" w:hAnsi="Book Antiqua"/>
          <w:color w:val="auto"/>
          <w:lang w:val="en-US"/>
        </w:rPr>
        <w:t xml:space="preserve">rothrombin time (PT) </w:t>
      </w:r>
      <w:r w:rsidR="008044F1" w:rsidRPr="00714401">
        <w:rPr>
          <w:rFonts w:ascii="Book Antiqua" w:hAnsi="Book Antiqua"/>
          <w:color w:val="auto"/>
          <w:lang w:val="en-US"/>
        </w:rPr>
        <w:t>as INR</w:t>
      </w:r>
      <w:r w:rsidR="004C2253" w:rsidRPr="00714401">
        <w:rPr>
          <w:rFonts w:ascii="Book Antiqua" w:hAnsi="Book Antiqua"/>
          <w:color w:val="auto"/>
          <w:lang w:val="en-US"/>
        </w:rPr>
        <w:t xml:space="preserve">, </w:t>
      </w:r>
      <w:r w:rsidR="00C80F9C" w:rsidRPr="00714401">
        <w:rPr>
          <w:rFonts w:ascii="Book Antiqua" w:hAnsi="Book Antiqua"/>
          <w:color w:val="auto"/>
          <w:lang w:val="en-US"/>
        </w:rPr>
        <w:t xml:space="preserve">was originally </w:t>
      </w:r>
      <w:r w:rsidR="006D6C3B" w:rsidRPr="00714401">
        <w:rPr>
          <w:rFonts w:ascii="Book Antiqua" w:hAnsi="Book Antiqua"/>
          <w:color w:val="auto"/>
          <w:lang w:val="en-US"/>
        </w:rPr>
        <w:t xml:space="preserve">introduced to </w:t>
      </w:r>
      <w:r w:rsidR="00094154" w:rsidRPr="00714401">
        <w:rPr>
          <w:rFonts w:ascii="Book Antiqua" w:hAnsi="Book Antiqua"/>
          <w:color w:val="auto"/>
          <w:lang w:val="en-US"/>
        </w:rPr>
        <w:t xml:space="preserve">predict </w:t>
      </w:r>
      <w:r w:rsidR="006D6C3B" w:rsidRPr="00714401">
        <w:rPr>
          <w:rFonts w:ascii="Book Antiqua" w:hAnsi="Book Antiqua"/>
          <w:color w:val="auto"/>
          <w:lang w:val="en-US"/>
        </w:rPr>
        <w:t xml:space="preserve">the outcome </w:t>
      </w:r>
      <w:r w:rsidR="001F4610" w:rsidRPr="00714401">
        <w:rPr>
          <w:rFonts w:ascii="Book Antiqua" w:hAnsi="Book Antiqua"/>
          <w:color w:val="auto"/>
          <w:lang w:val="en-US"/>
        </w:rPr>
        <w:t xml:space="preserve">of patients candidates </w:t>
      </w:r>
      <w:r w:rsidR="004C2253" w:rsidRPr="00714401">
        <w:rPr>
          <w:rFonts w:ascii="Book Antiqua" w:hAnsi="Book Antiqua"/>
          <w:color w:val="auto"/>
          <w:lang w:val="en-US"/>
        </w:rPr>
        <w:t xml:space="preserve">to </w:t>
      </w:r>
      <w:proofErr w:type="spellStart"/>
      <w:r w:rsidR="00F24625" w:rsidRPr="00714401">
        <w:rPr>
          <w:rFonts w:ascii="Book Antiqua" w:hAnsi="Book Antiqua"/>
          <w:color w:val="auto"/>
          <w:lang w:val="en-US"/>
        </w:rPr>
        <w:t>transjugular</w:t>
      </w:r>
      <w:proofErr w:type="spellEnd"/>
      <w:r w:rsidR="00F24625" w:rsidRPr="00714401">
        <w:rPr>
          <w:rFonts w:ascii="Book Antiqua" w:hAnsi="Book Antiqua"/>
          <w:color w:val="auto"/>
          <w:lang w:val="en-US"/>
        </w:rPr>
        <w:t xml:space="preserve"> intrahepatic portosystemic shunt</w:t>
      </w:r>
      <w:r w:rsidR="00094154" w:rsidRPr="00714401">
        <w:rPr>
          <w:rFonts w:ascii="Book Antiqua" w:hAnsi="Book Antiqua"/>
          <w:color w:val="auto"/>
          <w:lang w:val="en-US"/>
        </w:rPr>
        <w:t xml:space="preserve"> </w:t>
      </w:r>
      <w:r w:rsidR="001F4610" w:rsidRPr="00714401">
        <w:rPr>
          <w:rFonts w:ascii="Book Antiqua" w:hAnsi="Book Antiqua"/>
          <w:color w:val="auto"/>
          <w:lang w:val="en-US"/>
        </w:rPr>
        <w:t xml:space="preserve">(TIPS) </w:t>
      </w:r>
      <w:r w:rsidR="004C2253" w:rsidRPr="00714401">
        <w:rPr>
          <w:rFonts w:ascii="Book Antiqua" w:hAnsi="Book Antiqua"/>
          <w:color w:val="auto"/>
          <w:lang w:val="en-US"/>
        </w:rPr>
        <w:t>procedure</w:t>
      </w:r>
      <w:r w:rsidR="008044F1" w:rsidRPr="00714401">
        <w:rPr>
          <w:rFonts w:ascii="Book Antiqua" w:hAnsi="Book Antiqua"/>
          <w:color w:val="auto"/>
          <w:lang w:val="en-US"/>
        </w:rPr>
        <w:t>. Now</w:t>
      </w:r>
      <w:r w:rsidR="003E132E" w:rsidRPr="00714401">
        <w:rPr>
          <w:rFonts w:ascii="Book Antiqua" w:hAnsi="Book Antiqua"/>
          <w:color w:val="auto"/>
          <w:lang w:val="en-US"/>
        </w:rPr>
        <w:t>adays</w:t>
      </w:r>
      <w:r w:rsidR="00E17E82" w:rsidRPr="00714401">
        <w:rPr>
          <w:rFonts w:ascii="Book Antiqua" w:hAnsi="Book Antiqua"/>
          <w:color w:val="auto"/>
          <w:lang w:val="en-US"/>
        </w:rPr>
        <w:t xml:space="preserve">, </w:t>
      </w:r>
      <w:r w:rsidR="003E132E" w:rsidRPr="00714401">
        <w:rPr>
          <w:rFonts w:ascii="Book Antiqua" w:hAnsi="Book Antiqua"/>
          <w:color w:val="auto"/>
          <w:lang w:val="en-US"/>
        </w:rPr>
        <w:t>MELD</w:t>
      </w:r>
      <w:r w:rsidR="0076063F" w:rsidRPr="00714401">
        <w:rPr>
          <w:rFonts w:ascii="Book Antiqua" w:hAnsi="Book Antiqua"/>
          <w:color w:val="auto"/>
          <w:lang w:val="en-US"/>
        </w:rPr>
        <w:t xml:space="preserve"> </w:t>
      </w:r>
      <w:r w:rsidR="001F4610" w:rsidRPr="00714401">
        <w:rPr>
          <w:rFonts w:ascii="Book Antiqua" w:hAnsi="Book Antiqua"/>
          <w:color w:val="auto"/>
          <w:lang w:val="en-US"/>
        </w:rPr>
        <w:t xml:space="preserve">is mainly considered to define the </w:t>
      </w:r>
      <w:r w:rsidR="00962ADC" w:rsidRPr="00714401">
        <w:rPr>
          <w:rFonts w:ascii="Book Antiqua" w:hAnsi="Book Antiqua"/>
          <w:color w:val="auto"/>
          <w:lang w:val="en-US"/>
        </w:rPr>
        <w:t xml:space="preserve">severity of </w:t>
      </w:r>
      <w:r w:rsidR="00B2538B" w:rsidRPr="00714401">
        <w:rPr>
          <w:rFonts w:ascii="Book Antiqua" w:hAnsi="Book Antiqua"/>
          <w:color w:val="auto"/>
          <w:lang w:val="en-US"/>
        </w:rPr>
        <w:t>chronic</w:t>
      </w:r>
      <w:r w:rsidR="0012123A" w:rsidRPr="00714401">
        <w:rPr>
          <w:rFonts w:ascii="Book Antiqua" w:hAnsi="Book Antiqua"/>
          <w:color w:val="auto"/>
          <w:lang w:val="en-US"/>
        </w:rPr>
        <w:t xml:space="preserve"> </w:t>
      </w:r>
      <w:r w:rsidR="00B2538B" w:rsidRPr="00714401">
        <w:rPr>
          <w:rFonts w:ascii="Book Antiqua" w:hAnsi="Book Antiqua"/>
          <w:color w:val="auto"/>
          <w:lang w:val="en-US"/>
        </w:rPr>
        <w:t>liver</w:t>
      </w:r>
      <w:r w:rsidR="0012123A" w:rsidRPr="00714401">
        <w:rPr>
          <w:rFonts w:ascii="Book Antiqua" w:hAnsi="Book Antiqua"/>
          <w:color w:val="auto"/>
          <w:lang w:val="en-US"/>
        </w:rPr>
        <w:t xml:space="preserve"> </w:t>
      </w:r>
      <w:r w:rsidR="00B2538B" w:rsidRPr="00714401">
        <w:rPr>
          <w:rFonts w:ascii="Book Antiqua" w:hAnsi="Book Antiqua"/>
          <w:color w:val="auto"/>
          <w:lang w:val="en-US"/>
        </w:rPr>
        <w:t xml:space="preserve">disease </w:t>
      </w:r>
      <w:r w:rsidR="006D6C3B" w:rsidRPr="00714401">
        <w:rPr>
          <w:rFonts w:ascii="Book Antiqua" w:hAnsi="Book Antiqua"/>
          <w:color w:val="auto"/>
          <w:lang w:val="en-US"/>
        </w:rPr>
        <w:t>and</w:t>
      </w:r>
      <w:r w:rsidR="0012123A" w:rsidRPr="00714401">
        <w:rPr>
          <w:rFonts w:ascii="Book Antiqua" w:hAnsi="Book Antiqua"/>
          <w:color w:val="auto"/>
          <w:lang w:val="en-US"/>
        </w:rPr>
        <w:t xml:space="preserve"> </w:t>
      </w:r>
      <w:r w:rsidR="006C2AA5" w:rsidRPr="00714401">
        <w:rPr>
          <w:rFonts w:ascii="Book Antiqua" w:hAnsi="Book Antiqua" w:cs="Cambria Math"/>
          <w:color w:val="auto"/>
          <w:lang w:val="en-US"/>
        </w:rPr>
        <w:t xml:space="preserve">its </w:t>
      </w:r>
      <w:r w:rsidR="006C2AA5" w:rsidRPr="00714401">
        <w:rPr>
          <w:rFonts w:ascii="Book Antiqua" w:hAnsi="Book Antiqua"/>
          <w:color w:val="auto"/>
          <w:lang w:val="en-US"/>
        </w:rPr>
        <w:t>prognosis</w:t>
      </w:r>
      <w:r w:rsidR="006D6C3B" w:rsidRPr="00714401">
        <w:rPr>
          <w:rFonts w:ascii="Book Antiqua" w:hAnsi="Book Antiqua"/>
          <w:color w:val="auto"/>
          <w:lang w:val="en-US"/>
        </w:rPr>
        <w:t xml:space="preserve">, </w:t>
      </w:r>
      <w:r w:rsidR="003E132E" w:rsidRPr="00714401">
        <w:rPr>
          <w:rFonts w:ascii="Book Antiqua" w:hAnsi="Book Antiqua"/>
          <w:color w:val="auto"/>
          <w:lang w:val="en-US"/>
        </w:rPr>
        <w:t xml:space="preserve">to prioritize </w:t>
      </w:r>
      <w:r w:rsidR="004C2253" w:rsidRPr="00714401">
        <w:rPr>
          <w:rFonts w:ascii="Book Antiqua" w:hAnsi="Book Antiqua"/>
          <w:color w:val="auto"/>
          <w:lang w:val="en-US"/>
        </w:rPr>
        <w:t>the liver transplant procedure</w:t>
      </w:r>
      <w:r w:rsidR="003E132E" w:rsidRPr="00714401">
        <w:rPr>
          <w:rFonts w:ascii="Book Antiqua" w:hAnsi="Book Antiqua"/>
          <w:color w:val="auto"/>
          <w:lang w:val="en-US"/>
        </w:rPr>
        <w:t xml:space="preserve">, to predict </w:t>
      </w:r>
      <w:r w:rsidR="00415ACA" w:rsidRPr="00714401">
        <w:rPr>
          <w:rFonts w:ascii="Book Antiqua" w:hAnsi="Book Antiqua"/>
          <w:color w:val="auto"/>
          <w:lang w:val="en-US"/>
        </w:rPr>
        <w:t>survival in liver</w:t>
      </w:r>
      <w:r w:rsidR="00730B6B" w:rsidRPr="00714401">
        <w:rPr>
          <w:rFonts w:ascii="Book Antiqua" w:hAnsi="Book Antiqua"/>
          <w:color w:val="auto"/>
          <w:lang w:val="en-US"/>
        </w:rPr>
        <w:t xml:space="preserve"> transplant</w:t>
      </w:r>
      <w:r w:rsidR="00572069" w:rsidRPr="00714401">
        <w:rPr>
          <w:rFonts w:ascii="Book Antiqua" w:hAnsi="Book Antiqua"/>
          <w:color w:val="auto"/>
          <w:lang w:val="en-US"/>
        </w:rPr>
        <w:t xml:space="preserve"> </w:t>
      </w:r>
      <w:proofErr w:type="gramStart"/>
      <w:r w:rsidR="00572069" w:rsidRPr="00714401">
        <w:rPr>
          <w:rFonts w:ascii="Book Antiqua" w:hAnsi="Book Antiqua"/>
          <w:color w:val="auto"/>
          <w:lang w:val="en-US"/>
        </w:rPr>
        <w:t>candidates</w:t>
      </w:r>
      <w:r w:rsidR="00762B86" w:rsidRPr="00714401">
        <w:rPr>
          <w:rFonts w:ascii="Book Antiqua" w:hAnsi="Book Antiqua"/>
          <w:color w:val="auto"/>
          <w:vertAlign w:val="superscript"/>
          <w:lang w:val="en-US" w:eastAsia="zh-CN"/>
        </w:rPr>
        <w:t>[</w:t>
      </w:r>
      <w:proofErr w:type="gramEnd"/>
      <w:r w:rsidR="00A12FE6" w:rsidRPr="00714401">
        <w:rPr>
          <w:rFonts w:ascii="Book Antiqua" w:hAnsi="Book Antiqua"/>
          <w:color w:val="auto"/>
          <w:vertAlign w:val="superscript"/>
          <w:lang w:val="en-US"/>
        </w:rPr>
        <w:t>38-40</w:t>
      </w:r>
      <w:r w:rsidR="00762B86" w:rsidRPr="00714401">
        <w:rPr>
          <w:rFonts w:ascii="Book Antiqua" w:hAnsi="Book Antiqua"/>
          <w:color w:val="auto"/>
          <w:vertAlign w:val="superscript"/>
          <w:lang w:val="en-US" w:eastAsia="zh-CN"/>
        </w:rPr>
        <w:t>]</w:t>
      </w:r>
      <w:r w:rsidR="006A2F9B" w:rsidRPr="00714401">
        <w:rPr>
          <w:rFonts w:ascii="Book Antiqua" w:hAnsi="Book Antiqua"/>
          <w:color w:val="auto"/>
          <w:lang w:val="en-US"/>
        </w:rPr>
        <w:t>.</w:t>
      </w:r>
      <w:r w:rsidR="005368CF" w:rsidRPr="00714401">
        <w:rPr>
          <w:rFonts w:ascii="Book Antiqua" w:hAnsi="Book Antiqua"/>
          <w:color w:val="auto"/>
          <w:lang w:val="en-US"/>
        </w:rPr>
        <w:t xml:space="preserve"> </w:t>
      </w:r>
      <w:r w:rsidR="00052C76" w:rsidRPr="00714401">
        <w:rPr>
          <w:rFonts w:ascii="Book Antiqua" w:hAnsi="Book Antiqua"/>
          <w:color w:val="auto"/>
          <w:lang w:val="en-US"/>
        </w:rPr>
        <w:t>However, reliability of MELD to predict mortality after liver resection is still a matter of debate: major concern</w:t>
      </w:r>
      <w:r w:rsidR="00962ADC" w:rsidRPr="00714401">
        <w:rPr>
          <w:rFonts w:ascii="Book Antiqua" w:hAnsi="Book Antiqua"/>
          <w:color w:val="auto"/>
          <w:lang w:val="en-US"/>
        </w:rPr>
        <w:t>s arise</w:t>
      </w:r>
      <w:r w:rsidR="00052C76" w:rsidRPr="00714401">
        <w:rPr>
          <w:rFonts w:ascii="Book Antiqua" w:hAnsi="Book Antiqua"/>
          <w:color w:val="auto"/>
          <w:lang w:val="en-US"/>
        </w:rPr>
        <w:t xml:space="preserve"> from </w:t>
      </w:r>
      <w:r w:rsidR="00962ADC" w:rsidRPr="00714401">
        <w:rPr>
          <w:rFonts w:ascii="Book Antiqua" w:hAnsi="Book Antiqua"/>
          <w:color w:val="auto"/>
          <w:lang w:val="en-US"/>
        </w:rPr>
        <w:t xml:space="preserve">the </w:t>
      </w:r>
      <w:r w:rsidR="00052C76" w:rsidRPr="00714401">
        <w:rPr>
          <w:rFonts w:ascii="Book Antiqua" w:hAnsi="Book Antiqua"/>
          <w:color w:val="auto"/>
          <w:lang w:val="en-US"/>
        </w:rPr>
        <w:t>narrow range (9</w:t>
      </w:r>
      <w:r w:rsidR="00572069" w:rsidRPr="00714401">
        <w:rPr>
          <w:rFonts w:ascii="Book Antiqua" w:hAnsi="Book Antiqua" w:hint="eastAsia"/>
          <w:color w:val="auto"/>
          <w:lang w:val="en-US" w:eastAsia="zh-CN"/>
        </w:rPr>
        <w:t>-</w:t>
      </w:r>
      <w:r w:rsidR="00052C76" w:rsidRPr="00714401">
        <w:rPr>
          <w:rFonts w:ascii="Book Antiqua" w:hAnsi="Book Antiqua"/>
          <w:color w:val="auto"/>
          <w:lang w:val="en-US"/>
        </w:rPr>
        <w:t xml:space="preserve">14) in which the score is used. </w:t>
      </w:r>
      <w:r w:rsidR="00BD3C93" w:rsidRPr="00714401">
        <w:rPr>
          <w:rFonts w:ascii="Book Antiqua" w:hAnsi="Book Antiqua"/>
          <w:color w:val="auto"/>
          <w:lang w:val="en-US"/>
        </w:rPr>
        <w:t>In patients with MELD</w:t>
      </w:r>
      <w:r w:rsidR="00962ADC" w:rsidRPr="00714401">
        <w:rPr>
          <w:rFonts w:ascii="Book Antiqua" w:hAnsi="Book Antiqua"/>
          <w:color w:val="auto"/>
          <w:lang w:val="en-US"/>
        </w:rPr>
        <w:t xml:space="preserve"> score</w:t>
      </w:r>
      <w:r w:rsidR="0076063F" w:rsidRPr="00714401">
        <w:rPr>
          <w:rFonts w:ascii="Book Antiqua" w:hAnsi="Book Antiqua"/>
          <w:color w:val="auto"/>
          <w:lang w:val="en-US"/>
        </w:rPr>
        <w:t xml:space="preserve"> </w:t>
      </w:r>
      <w:r w:rsidR="00BD3C93" w:rsidRPr="00714401">
        <w:rPr>
          <w:rFonts w:ascii="Book Antiqua" w:hAnsi="Book Antiqua"/>
          <w:color w:val="auto"/>
          <w:lang w:val="en-US"/>
        </w:rPr>
        <w:t>&gt; 10,</w:t>
      </w:r>
      <w:r w:rsidR="0076063F" w:rsidRPr="00714401">
        <w:rPr>
          <w:rFonts w:ascii="Book Antiqua" w:hAnsi="Book Antiqua"/>
          <w:color w:val="auto"/>
          <w:lang w:val="en-US"/>
        </w:rPr>
        <w:t xml:space="preserve"> </w:t>
      </w:r>
      <w:proofErr w:type="spellStart"/>
      <w:r w:rsidR="00E03BC2" w:rsidRPr="00714401">
        <w:rPr>
          <w:rFonts w:ascii="Book Antiqua" w:hAnsi="Book Antiqua"/>
          <w:color w:val="auto"/>
          <w:lang w:val="en-US"/>
        </w:rPr>
        <w:t>Cucchetti</w:t>
      </w:r>
      <w:proofErr w:type="spellEnd"/>
      <w:r w:rsidR="00E03BC2" w:rsidRPr="00714401">
        <w:rPr>
          <w:rFonts w:ascii="Book Antiqua" w:hAnsi="Book Antiqua"/>
          <w:color w:val="auto"/>
          <w:lang w:val="en-US"/>
        </w:rPr>
        <w:t xml:space="preserve"> </w:t>
      </w:r>
      <w:r w:rsidR="00E03BC2" w:rsidRPr="00714401">
        <w:rPr>
          <w:rFonts w:ascii="Book Antiqua" w:hAnsi="Book Antiqua"/>
          <w:i/>
          <w:color w:val="auto"/>
          <w:lang w:val="en-US"/>
        </w:rPr>
        <w:t xml:space="preserve">et </w:t>
      </w:r>
      <w:proofErr w:type="gramStart"/>
      <w:r w:rsidR="00E03BC2" w:rsidRPr="00714401">
        <w:rPr>
          <w:rFonts w:ascii="Book Antiqua" w:hAnsi="Book Antiqua"/>
          <w:i/>
          <w:color w:val="auto"/>
          <w:lang w:val="en-US"/>
        </w:rPr>
        <w:t>al</w:t>
      </w:r>
      <w:r w:rsidR="00572069" w:rsidRPr="00714401">
        <w:rPr>
          <w:rFonts w:ascii="Book Antiqua" w:hAnsi="Book Antiqua"/>
          <w:color w:val="auto"/>
          <w:vertAlign w:val="superscript"/>
          <w:lang w:val="en-US"/>
        </w:rPr>
        <w:t>[</w:t>
      </w:r>
      <w:proofErr w:type="gramEnd"/>
      <w:r w:rsidR="00572069" w:rsidRPr="00714401">
        <w:rPr>
          <w:rFonts w:ascii="Book Antiqua" w:hAnsi="Book Antiqua"/>
          <w:color w:val="auto"/>
          <w:vertAlign w:val="superscript"/>
          <w:lang w:val="en-US"/>
        </w:rPr>
        <w:t>41]</w:t>
      </w:r>
      <w:r w:rsidR="0076063F" w:rsidRPr="00714401">
        <w:rPr>
          <w:rFonts w:ascii="Book Antiqua" w:hAnsi="Book Antiqua"/>
          <w:color w:val="auto"/>
          <w:lang w:val="en-US"/>
        </w:rPr>
        <w:t xml:space="preserve"> </w:t>
      </w:r>
      <w:r w:rsidR="00E03BC2" w:rsidRPr="00714401">
        <w:rPr>
          <w:rFonts w:ascii="Book Antiqua" w:hAnsi="Book Antiqua"/>
          <w:color w:val="auto"/>
          <w:lang w:val="en-US"/>
        </w:rPr>
        <w:t xml:space="preserve">found a high </w:t>
      </w:r>
      <w:r w:rsidR="00962ADC" w:rsidRPr="00714401">
        <w:rPr>
          <w:rFonts w:ascii="Book Antiqua" w:hAnsi="Book Antiqua"/>
          <w:color w:val="auto"/>
          <w:lang w:val="en-US"/>
        </w:rPr>
        <w:t xml:space="preserve">rate of </w:t>
      </w:r>
      <w:r w:rsidR="00415ACA" w:rsidRPr="00714401">
        <w:rPr>
          <w:rFonts w:ascii="Book Antiqua" w:hAnsi="Book Antiqua"/>
          <w:color w:val="auto"/>
          <w:lang w:val="en-US"/>
        </w:rPr>
        <w:t xml:space="preserve">postoperative liver </w:t>
      </w:r>
      <w:r w:rsidR="00572069" w:rsidRPr="00714401">
        <w:rPr>
          <w:rFonts w:ascii="Book Antiqua" w:hAnsi="Book Antiqua"/>
          <w:color w:val="auto"/>
          <w:lang w:val="en-US"/>
        </w:rPr>
        <w:t>dysfunction</w:t>
      </w:r>
      <w:r w:rsidR="00415ACA" w:rsidRPr="00714401">
        <w:rPr>
          <w:rFonts w:ascii="Book Antiqua" w:hAnsi="Book Antiqua"/>
          <w:color w:val="auto"/>
          <w:lang w:val="en-US"/>
        </w:rPr>
        <w:t xml:space="preserve">. </w:t>
      </w:r>
      <w:r w:rsidR="00E03BC2" w:rsidRPr="00714401">
        <w:rPr>
          <w:rFonts w:ascii="Book Antiqua" w:hAnsi="Book Antiqua"/>
          <w:color w:val="auto"/>
          <w:lang w:val="en-US"/>
        </w:rPr>
        <w:t>H</w:t>
      </w:r>
      <w:r w:rsidR="003905F4" w:rsidRPr="00714401">
        <w:rPr>
          <w:rFonts w:ascii="Book Antiqua" w:hAnsi="Book Antiqua"/>
          <w:color w:val="auto"/>
          <w:lang w:val="en-US"/>
        </w:rPr>
        <w:t xml:space="preserve">epatic resection </w:t>
      </w:r>
      <w:r w:rsidR="00021310" w:rsidRPr="00714401">
        <w:rPr>
          <w:rFonts w:ascii="Book Antiqua" w:hAnsi="Book Antiqua"/>
          <w:color w:val="auto"/>
          <w:lang w:val="en-US"/>
        </w:rPr>
        <w:t xml:space="preserve">is contraindicated </w:t>
      </w:r>
      <w:r w:rsidR="00E03BC2" w:rsidRPr="00714401">
        <w:rPr>
          <w:rFonts w:ascii="Book Antiqua" w:hAnsi="Book Antiqua"/>
          <w:color w:val="auto"/>
          <w:lang w:val="en-US"/>
        </w:rPr>
        <w:t>in C</w:t>
      </w:r>
      <w:r w:rsidR="00A95571" w:rsidRPr="00714401">
        <w:rPr>
          <w:rFonts w:ascii="Book Antiqua" w:hAnsi="Book Antiqua"/>
          <w:color w:val="auto"/>
          <w:lang w:val="en-US"/>
        </w:rPr>
        <w:t>TP</w:t>
      </w:r>
      <w:r w:rsidR="0076063F" w:rsidRPr="00714401">
        <w:rPr>
          <w:rFonts w:ascii="Book Antiqua" w:hAnsi="Book Antiqua"/>
          <w:color w:val="auto"/>
          <w:lang w:val="en-US"/>
        </w:rPr>
        <w:t xml:space="preserve"> </w:t>
      </w:r>
      <w:r w:rsidR="00E03BC2" w:rsidRPr="00714401">
        <w:rPr>
          <w:rFonts w:ascii="Book Antiqua" w:hAnsi="Book Antiqua"/>
          <w:color w:val="auto"/>
          <w:lang w:val="en-US"/>
        </w:rPr>
        <w:t>c</w:t>
      </w:r>
      <w:r w:rsidR="00BD3C93" w:rsidRPr="00714401">
        <w:rPr>
          <w:rFonts w:ascii="Book Antiqua" w:hAnsi="Book Antiqua"/>
          <w:color w:val="auto"/>
          <w:lang w:val="en-US"/>
        </w:rPr>
        <w:t xml:space="preserve">lass C </w:t>
      </w:r>
      <w:r w:rsidR="003905F4" w:rsidRPr="00714401">
        <w:rPr>
          <w:rFonts w:ascii="Book Antiqua" w:hAnsi="Book Antiqua"/>
          <w:color w:val="auto"/>
          <w:lang w:val="en-US"/>
        </w:rPr>
        <w:t xml:space="preserve">patients </w:t>
      </w:r>
      <w:r w:rsidR="00BD3C93" w:rsidRPr="00714401">
        <w:rPr>
          <w:rFonts w:ascii="Book Antiqua" w:hAnsi="Book Antiqua"/>
          <w:color w:val="auto"/>
          <w:lang w:val="en-US"/>
        </w:rPr>
        <w:t>or</w:t>
      </w:r>
      <w:r w:rsidR="0076063F" w:rsidRPr="00714401">
        <w:rPr>
          <w:rFonts w:ascii="Book Antiqua" w:hAnsi="Book Antiqua"/>
          <w:color w:val="auto"/>
          <w:lang w:val="en-US"/>
        </w:rPr>
        <w:t xml:space="preserve"> </w:t>
      </w:r>
      <w:r w:rsidR="00E03BC2" w:rsidRPr="00714401">
        <w:rPr>
          <w:rFonts w:ascii="Book Antiqua" w:hAnsi="Book Antiqua"/>
          <w:color w:val="auto"/>
          <w:lang w:val="en-US"/>
        </w:rPr>
        <w:t>in patients whose</w:t>
      </w:r>
      <w:r w:rsidR="0076063F" w:rsidRPr="00714401">
        <w:rPr>
          <w:rFonts w:ascii="Book Antiqua" w:hAnsi="Book Antiqua"/>
          <w:color w:val="auto"/>
          <w:lang w:val="en-US"/>
        </w:rPr>
        <w:t xml:space="preserve"> </w:t>
      </w:r>
      <w:r w:rsidR="00E03BC2" w:rsidRPr="00714401">
        <w:rPr>
          <w:rFonts w:ascii="Book Antiqua" w:hAnsi="Book Antiqua"/>
          <w:color w:val="auto"/>
          <w:lang w:val="en-US"/>
        </w:rPr>
        <w:t>MELD score</w:t>
      </w:r>
      <w:r w:rsidR="0076063F" w:rsidRPr="00714401">
        <w:rPr>
          <w:rFonts w:ascii="Book Antiqua" w:hAnsi="Book Antiqua"/>
          <w:color w:val="auto"/>
          <w:lang w:val="en-US"/>
        </w:rPr>
        <w:t xml:space="preserve"> </w:t>
      </w:r>
      <w:r w:rsidR="00E03BC2" w:rsidRPr="00714401">
        <w:rPr>
          <w:rFonts w:ascii="Book Antiqua" w:hAnsi="Book Antiqua"/>
          <w:color w:val="auto"/>
          <w:lang w:val="en-US"/>
        </w:rPr>
        <w:t>is above</w:t>
      </w:r>
      <w:r w:rsidR="0076063F" w:rsidRPr="00714401">
        <w:rPr>
          <w:rFonts w:ascii="Book Antiqua" w:hAnsi="Book Antiqua"/>
          <w:color w:val="auto"/>
          <w:lang w:val="en-US"/>
        </w:rPr>
        <w:t xml:space="preserve"> </w:t>
      </w:r>
      <w:r w:rsidR="00BD3C93" w:rsidRPr="00714401">
        <w:rPr>
          <w:rFonts w:ascii="Book Antiqua" w:hAnsi="Book Antiqua"/>
          <w:color w:val="auto"/>
          <w:lang w:val="en-US"/>
        </w:rPr>
        <w:t>14</w:t>
      </w:r>
      <w:r w:rsidR="00E03BC2" w:rsidRPr="00714401">
        <w:rPr>
          <w:rFonts w:ascii="Book Antiqua" w:hAnsi="Book Antiqua"/>
          <w:color w:val="auto"/>
          <w:lang w:val="en-US"/>
        </w:rPr>
        <w:t xml:space="preserve">. Instead, in </w:t>
      </w:r>
      <w:r w:rsidR="00021310" w:rsidRPr="00714401">
        <w:rPr>
          <w:rFonts w:ascii="Book Antiqua" w:hAnsi="Book Antiqua"/>
          <w:color w:val="auto"/>
          <w:lang w:val="en-US"/>
        </w:rPr>
        <w:t>w</w:t>
      </w:r>
      <w:r w:rsidR="00C80F9C" w:rsidRPr="00714401">
        <w:rPr>
          <w:rFonts w:ascii="Book Antiqua" w:hAnsi="Book Antiqua"/>
          <w:color w:val="auto"/>
          <w:lang w:val="en-US"/>
        </w:rPr>
        <w:t xml:space="preserve">ell selected </w:t>
      </w:r>
      <w:r w:rsidR="00E03BC2" w:rsidRPr="00714401">
        <w:rPr>
          <w:rFonts w:ascii="Book Antiqua" w:hAnsi="Book Antiqua"/>
          <w:color w:val="auto"/>
          <w:lang w:val="en-US"/>
        </w:rPr>
        <w:t>c</w:t>
      </w:r>
      <w:r w:rsidR="00052C76" w:rsidRPr="00714401">
        <w:rPr>
          <w:rFonts w:ascii="Book Antiqua" w:hAnsi="Book Antiqua"/>
          <w:color w:val="auto"/>
          <w:lang w:val="en-US"/>
        </w:rPr>
        <w:t>lass B</w:t>
      </w:r>
      <w:r w:rsidR="0076063F" w:rsidRPr="00714401">
        <w:rPr>
          <w:rFonts w:ascii="Book Antiqua" w:hAnsi="Book Antiqua"/>
          <w:color w:val="auto"/>
          <w:lang w:val="en-US"/>
        </w:rPr>
        <w:t xml:space="preserve"> </w:t>
      </w:r>
      <w:r w:rsidR="00C80F9C" w:rsidRPr="00714401">
        <w:rPr>
          <w:rFonts w:ascii="Book Antiqua" w:hAnsi="Book Antiqua"/>
          <w:color w:val="auto"/>
          <w:lang w:val="en-US"/>
        </w:rPr>
        <w:t xml:space="preserve">patients </w:t>
      </w:r>
      <w:r w:rsidR="003905F4" w:rsidRPr="00714401">
        <w:rPr>
          <w:rFonts w:ascii="Book Antiqua" w:hAnsi="Book Antiqua"/>
          <w:color w:val="auto"/>
          <w:lang w:val="en-US"/>
        </w:rPr>
        <w:t xml:space="preserve">or </w:t>
      </w:r>
      <w:r w:rsidR="00E03BC2" w:rsidRPr="00714401">
        <w:rPr>
          <w:rFonts w:ascii="Book Antiqua" w:hAnsi="Book Antiqua"/>
          <w:color w:val="auto"/>
          <w:lang w:val="en-US"/>
        </w:rPr>
        <w:t xml:space="preserve">in subjects whose </w:t>
      </w:r>
      <w:r w:rsidR="003905F4" w:rsidRPr="00714401">
        <w:rPr>
          <w:rFonts w:ascii="Book Antiqua" w:hAnsi="Book Antiqua"/>
          <w:color w:val="auto"/>
          <w:lang w:val="en-US"/>
        </w:rPr>
        <w:t xml:space="preserve">MELD score </w:t>
      </w:r>
      <w:r w:rsidR="00E03BC2" w:rsidRPr="00714401">
        <w:rPr>
          <w:rFonts w:ascii="Book Antiqua" w:hAnsi="Book Antiqua"/>
          <w:color w:val="auto"/>
          <w:lang w:val="en-US"/>
        </w:rPr>
        <w:t>ranges</w:t>
      </w:r>
      <w:r w:rsidR="0076063F" w:rsidRPr="00714401">
        <w:rPr>
          <w:rFonts w:ascii="Book Antiqua" w:hAnsi="Book Antiqua"/>
          <w:color w:val="auto"/>
          <w:lang w:val="en-US"/>
        </w:rPr>
        <w:t xml:space="preserve"> </w:t>
      </w:r>
      <w:r w:rsidR="00E03BC2" w:rsidRPr="00714401">
        <w:rPr>
          <w:rFonts w:ascii="Book Antiqua" w:hAnsi="Book Antiqua"/>
          <w:color w:val="auto"/>
          <w:lang w:val="en-US"/>
        </w:rPr>
        <w:t xml:space="preserve">from </w:t>
      </w:r>
      <w:r w:rsidR="000E0AE7" w:rsidRPr="00714401">
        <w:rPr>
          <w:rFonts w:ascii="Book Antiqua" w:hAnsi="Book Antiqua"/>
          <w:color w:val="auto"/>
          <w:lang w:val="en-US"/>
        </w:rPr>
        <w:t>9 to 14</w:t>
      </w:r>
      <w:r w:rsidR="00E03BC2" w:rsidRPr="00714401">
        <w:rPr>
          <w:rFonts w:ascii="Book Antiqua" w:hAnsi="Book Antiqua"/>
          <w:color w:val="auto"/>
          <w:lang w:val="en-US"/>
        </w:rPr>
        <w:t>, the surgical option might be considered</w:t>
      </w:r>
      <w:r w:rsidR="00BD3C93" w:rsidRPr="00714401">
        <w:rPr>
          <w:rFonts w:ascii="Book Antiqua" w:hAnsi="Book Antiqua"/>
          <w:color w:val="auto"/>
          <w:lang w:val="en-US"/>
        </w:rPr>
        <w:t xml:space="preserve">: </w:t>
      </w:r>
      <w:r w:rsidR="00572069" w:rsidRPr="00714401">
        <w:rPr>
          <w:rFonts w:ascii="Book Antiqua" w:hAnsi="Book Antiqua"/>
          <w:color w:val="auto"/>
          <w:lang w:val="en-US"/>
        </w:rPr>
        <w:t>E</w:t>
      </w:r>
      <w:r w:rsidR="00C80F9C" w:rsidRPr="00714401">
        <w:rPr>
          <w:rFonts w:ascii="Book Antiqua" w:hAnsi="Book Antiqua"/>
          <w:color w:val="auto"/>
          <w:lang w:val="en-US"/>
        </w:rPr>
        <w:t xml:space="preserve">ach single case </w:t>
      </w:r>
      <w:r w:rsidR="00E03BC2" w:rsidRPr="00714401">
        <w:rPr>
          <w:rFonts w:ascii="Book Antiqua" w:hAnsi="Book Antiqua"/>
          <w:color w:val="auto"/>
          <w:lang w:val="en-US"/>
        </w:rPr>
        <w:t>mandates a thorough preoperative evaluation,</w:t>
      </w:r>
      <w:r w:rsidR="0076063F" w:rsidRPr="00714401">
        <w:rPr>
          <w:rFonts w:ascii="Book Antiqua" w:hAnsi="Book Antiqua"/>
          <w:color w:val="auto"/>
          <w:lang w:val="en-US"/>
        </w:rPr>
        <w:t xml:space="preserve"> </w:t>
      </w:r>
      <w:r w:rsidR="0033436F" w:rsidRPr="00714401">
        <w:rPr>
          <w:rFonts w:ascii="Book Antiqua" w:hAnsi="Book Antiqua"/>
          <w:color w:val="auto"/>
          <w:lang w:val="en-US"/>
        </w:rPr>
        <w:t>including</w:t>
      </w:r>
      <w:r w:rsidR="0076063F" w:rsidRPr="00714401">
        <w:rPr>
          <w:rFonts w:ascii="Book Antiqua" w:hAnsi="Book Antiqua"/>
          <w:color w:val="auto"/>
          <w:lang w:val="en-US"/>
        </w:rPr>
        <w:t xml:space="preserve"> </w:t>
      </w:r>
      <w:r w:rsidR="00E93761" w:rsidRPr="00714401">
        <w:rPr>
          <w:rFonts w:ascii="Book Antiqua" w:hAnsi="Book Antiqua"/>
          <w:color w:val="auto"/>
          <w:lang w:val="en-US"/>
        </w:rPr>
        <w:t xml:space="preserve">the type </w:t>
      </w:r>
      <w:r w:rsidR="00A95571" w:rsidRPr="00714401">
        <w:rPr>
          <w:rFonts w:ascii="Book Antiqua" w:hAnsi="Book Antiqua"/>
          <w:color w:val="auto"/>
          <w:lang w:val="en-US"/>
        </w:rPr>
        <w:t xml:space="preserve">of </w:t>
      </w:r>
      <w:r w:rsidR="00E93761" w:rsidRPr="00714401">
        <w:rPr>
          <w:rFonts w:ascii="Book Antiqua" w:hAnsi="Book Antiqua"/>
          <w:color w:val="auto"/>
          <w:lang w:val="en-US"/>
        </w:rPr>
        <w:t xml:space="preserve">liver </w:t>
      </w:r>
      <w:r w:rsidR="0033436F" w:rsidRPr="00714401">
        <w:rPr>
          <w:rFonts w:ascii="Book Antiqua" w:hAnsi="Book Antiqua"/>
          <w:color w:val="auto"/>
          <w:lang w:val="en-US"/>
        </w:rPr>
        <w:t>resection and its</w:t>
      </w:r>
      <w:r w:rsidR="0076063F" w:rsidRPr="00714401">
        <w:rPr>
          <w:rFonts w:ascii="Book Antiqua" w:hAnsi="Book Antiqua"/>
          <w:color w:val="auto"/>
          <w:lang w:val="en-US"/>
        </w:rPr>
        <w:t xml:space="preserve"> </w:t>
      </w:r>
      <w:proofErr w:type="gramStart"/>
      <w:r w:rsidR="00BD3C93" w:rsidRPr="00714401">
        <w:rPr>
          <w:rFonts w:ascii="Book Antiqua" w:hAnsi="Book Antiqua"/>
          <w:color w:val="auto"/>
          <w:lang w:val="en-US"/>
        </w:rPr>
        <w:t>feasibility</w:t>
      </w:r>
      <w:r w:rsidR="00B25FAE" w:rsidRPr="00714401">
        <w:rPr>
          <w:rFonts w:ascii="Book Antiqua" w:hAnsi="Book Antiqua"/>
          <w:color w:val="auto"/>
          <w:vertAlign w:val="superscript"/>
          <w:lang w:val="en-US"/>
        </w:rPr>
        <w:t>[</w:t>
      </w:r>
      <w:proofErr w:type="gramEnd"/>
      <w:r w:rsidR="00AA33A3" w:rsidRPr="00714401">
        <w:rPr>
          <w:rFonts w:ascii="Book Antiqua" w:hAnsi="Book Antiqua"/>
          <w:color w:val="auto"/>
          <w:vertAlign w:val="superscript"/>
          <w:lang w:val="en-US"/>
        </w:rPr>
        <w:t>4</w:t>
      </w:r>
      <w:r w:rsidR="00D03DEC" w:rsidRPr="00714401">
        <w:rPr>
          <w:rFonts w:ascii="Book Antiqua" w:hAnsi="Book Antiqua"/>
          <w:color w:val="auto"/>
          <w:vertAlign w:val="superscript"/>
          <w:lang w:val="en-US"/>
        </w:rPr>
        <w:t>2,43</w:t>
      </w:r>
      <w:r w:rsidR="00B25FAE" w:rsidRPr="00714401">
        <w:rPr>
          <w:rFonts w:ascii="Book Antiqua" w:hAnsi="Book Antiqua"/>
          <w:color w:val="auto"/>
          <w:vertAlign w:val="superscript"/>
          <w:lang w:val="en-US"/>
        </w:rPr>
        <w:t>]</w:t>
      </w:r>
      <w:r w:rsidR="00AA33A3" w:rsidRPr="00714401">
        <w:rPr>
          <w:rFonts w:ascii="Book Antiqua" w:hAnsi="Book Antiqua"/>
          <w:color w:val="auto"/>
          <w:lang w:val="en-US"/>
        </w:rPr>
        <w:t>.</w:t>
      </w:r>
      <w:r w:rsidR="00BD3C93" w:rsidRPr="00714401">
        <w:rPr>
          <w:rFonts w:ascii="Book Antiqua" w:hAnsi="Book Antiqua"/>
          <w:color w:val="auto"/>
          <w:lang w:val="en-US"/>
        </w:rPr>
        <w:t xml:space="preserve"> </w:t>
      </w:r>
    </w:p>
    <w:p w:rsidR="00936CE0" w:rsidRPr="00714401" w:rsidRDefault="005A1B69" w:rsidP="00572069">
      <w:pPr>
        <w:pStyle w:val="Default"/>
        <w:snapToGrid w:val="0"/>
        <w:spacing w:line="360" w:lineRule="auto"/>
        <w:ind w:firstLineChars="100" w:firstLine="240"/>
        <w:jc w:val="both"/>
        <w:rPr>
          <w:rFonts w:ascii="Book Antiqua" w:hAnsi="Book Antiqua"/>
          <w:color w:val="auto"/>
          <w:lang w:val="en-US" w:eastAsia="zh-CN"/>
        </w:rPr>
      </w:pPr>
      <w:r w:rsidRPr="00714401">
        <w:rPr>
          <w:rFonts w:ascii="Book Antiqua" w:hAnsi="Book Antiqua"/>
          <w:color w:val="auto"/>
          <w:lang w:val="en-US"/>
        </w:rPr>
        <w:t xml:space="preserve">On the contrary, ICG clearance </w:t>
      </w:r>
      <w:r w:rsidR="00021310" w:rsidRPr="00714401">
        <w:rPr>
          <w:rFonts w:ascii="Book Antiqua" w:hAnsi="Book Antiqua"/>
          <w:color w:val="auto"/>
          <w:lang w:val="en-US"/>
        </w:rPr>
        <w:t xml:space="preserve">parameters </w:t>
      </w:r>
      <w:r w:rsidRPr="00714401">
        <w:rPr>
          <w:rFonts w:ascii="Book Antiqua" w:hAnsi="Book Antiqua"/>
          <w:color w:val="auto"/>
          <w:lang w:val="en-US"/>
        </w:rPr>
        <w:t>(mainly ICG</w:t>
      </w:r>
      <w:r w:rsidRPr="00714401">
        <w:rPr>
          <w:rFonts w:ascii="Book Antiqua" w:hAnsi="Book Antiqua"/>
          <w:color w:val="auto"/>
          <w:vertAlign w:val="subscript"/>
          <w:lang w:val="en-US"/>
        </w:rPr>
        <w:t>R15</w:t>
      </w:r>
      <w:r w:rsidRPr="00714401">
        <w:rPr>
          <w:rFonts w:ascii="Book Antiqua" w:hAnsi="Book Antiqua"/>
          <w:color w:val="auto"/>
          <w:lang w:val="en-US"/>
        </w:rPr>
        <w:t xml:space="preserve">) </w:t>
      </w:r>
      <w:r w:rsidR="00F41127" w:rsidRPr="00714401">
        <w:rPr>
          <w:rFonts w:ascii="Book Antiqua" w:hAnsi="Book Antiqua"/>
          <w:color w:val="auto"/>
          <w:lang w:val="en-US"/>
        </w:rPr>
        <w:t xml:space="preserve">are </w:t>
      </w:r>
      <w:r w:rsidR="00962ADC" w:rsidRPr="00714401">
        <w:rPr>
          <w:rFonts w:ascii="Book Antiqua" w:hAnsi="Book Antiqua"/>
          <w:color w:val="auto"/>
          <w:lang w:val="en-US"/>
        </w:rPr>
        <w:t xml:space="preserve">since the eighties </w:t>
      </w:r>
      <w:r w:rsidRPr="00714401">
        <w:rPr>
          <w:rFonts w:ascii="Book Antiqua" w:hAnsi="Book Antiqua"/>
          <w:color w:val="auto"/>
          <w:lang w:val="en-US"/>
        </w:rPr>
        <w:t>championed by the</w:t>
      </w:r>
      <w:r w:rsidR="0076063F" w:rsidRPr="00714401">
        <w:rPr>
          <w:rFonts w:ascii="Book Antiqua" w:hAnsi="Book Antiqua"/>
          <w:color w:val="auto"/>
          <w:lang w:val="en-US"/>
        </w:rPr>
        <w:t xml:space="preserve"> </w:t>
      </w:r>
      <w:r w:rsidR="003E6C47" w:rsidRPr="00714401">
        <w:rPr>
          <w:rFonts w:ascii="Book Antiqua" w:hAnsi="Book Antiqua"/>
          <w:color w:val="auto"/>
          <w:lang w:val="en-US"/>
        </w:rPr>
        <w:t xml:space="preserve">Eastern </w:t>
      </w:r>
      <w:r w:rsidR="00572069" w:rsidRPr="00714401">
        <w:rPr>
          <w:rFonts w:ascii="Book Antiqua" w:hAnsi="Book Antiqua"/>
          <w:color w:val="auto"/>
          <w:lang w:val="en-US"/>
        </w:rPr>
        <w:t>surgical schools</w:t>
      </w:r>
      <w:r w:rsidR="00B25FAE" w:rsidRPr="00714401">
        <w:rPr>
          <w:rFonts w:ascii="Book Antiqua" w:hAnsi="Book Antiqua"/>
          <w:color w:val="auto"/>
          <w:vertAlign w:val="superscript"/>
          <w:lang w:val="en-US"/>
        </w:rPr>
        <w:t>[</w:t>
      </w:r>
      <w:r w:rsidR="00E04184" w:rsidRPr="00714401">
        <w:rPr>
          <w:rFonts w:ascii="Book Antiqua" w:hAnsi="Book Antiqua"/>
          <w:color w:val="auto"/>
          <w:vertAlign w:val="superscript"/>
          <w:lang w:val="en-US"/>
        </w:rPr>
        <w:t>5,32-34</w:t>
      </w:r>
      <w:r w:rsidR="00B25FAE" w:rsidRPr="00714401">
        <w:rPr>
          <w:rFonts w:ascii="Book Antiqua" w:hAnsi="Book Antiqua"/>
          <w:color w:val="auto"/>
          <w:vertAlign w:val="superscript"/>
          <w:lang w:val="en-US"/>
        </w:rPr>
        <w:t>]</w:t>
      </w:r>
      <w:r w:rsidRPr="00714401">
        <w:rPr>
          <w:rFonts w:ascii="Book Antiqua" w:hAnsi="Book Antiqua"/>
          <w:color w:val="auto"/>
          <w:lang w:val="en-US"/>
        </w:rPr>
        <w:t xml:space="preserve">: </w:t>
      </w:r>
      <w:r w:rsidR="00572069" w:rsidRPr="00714401">
        <w:rPr>
          <w:rFonts w:ascii="Book Antiqua" w:hAnsi="Book Antiqua"/>
          <w:color w:val="auto"/>
          <w:lang w:val="en-US"/>
        </w:rPr>
        <w:t>I</w:t>
      </w:r>
      <w:r w:rsidRPr="00714401">
        <w:rPr>
          <w:rFonts w:ascii="Book Antiqua" w:hAnsi="Book Antiqua"/>
          <w:color w:val="auto"/>
          <w:lang w:val="en-US"/>
        </w:rPr>
        <w:t xml:space="preserve">n particular dynamic tests were strongly supported </w:t>
      </w:r>
      <w:r w:rsidR="000E0AE7" w:rsidRPr="00714401">
        <w:rPr>
          <w:rFonts w:ascii="Book Antiqua" w:hAnsi="Book Antiqua"/>
          <w:color w:val="auto"/>
          <w:lang w:val="en-US"/>
        </w:rPr>
        <w:t>to asses</w:t>
      </w:r>
      <w:r w:rsidR="00021310" w:rsidRPr="00714401">
        <w:rPr>
          <w:rFonts w:ascii="Book Antiqua" w:hAnsi="Book Antiqua"/>
          <w:color w:val="auto"/>
          <w:lang w:val="en-US"/>
        </w:rPr>
        <w:t>s</w:t>
      </w:r>
      <w:r w:rsidR="00F41127" w:rsidRPr="00714401">
        <w:rPr>
          <w:rFonts w:ascii="Book Antiqua" w:hAnsi="Book Antiqua"/>
          <w:color w:val="auto"/>
          <w:lang w:val="en-US"/>
        </w:rPr>
        <w:t xml:space="preserve"> in advance </w:t>
      </w:r>
      <w:r w:rsidR="000E0AE7" w:rsidRPr="00714401">
        <w:rPr>
          <w:rFonts w:ascii="Book Antiqua" w:hAnsi="Book Antiqua"/>
          <w:color w:val="auto"/>
          <w:lang w:val="en-US"/>
        </w:rPr>
        <w:t xml:space="preserve">the maximum extent of </w:t>
      </w:r>
      <w:r w:rsidRPr="00714401">
        <w:rPr>
          <w:rFonts w:ascii="Book Antiqua" w:hAnsi="Book Antiqua"/>
          <w:color w:val="auto"/>
          <w:lang w:val="en-US"/>
        </w:rPr>
        <w:t>the resection of the hepatic</w:t>
      </w:r>
      <w:r w:rsidR="0076063F" w:rsidRPr="00714401">
        <w:rPr>
          <w:rFonts w:ascii="Book Antiqua" w:hAnsi="Book Antiqua"/>
          <w:color w:val="auto"/>
          <w:lang w:val="en-US"/>
        </w:rPr>
        <w:t xml:space="preserve"> </w:t>
      </w:r>
      <w:proofErr w:type="spellStart"/>
      <w:r w:rsidRPr="00714401">
        <w:rPr>
          <w:rFonts w:ascii="Book Antiqua" w:hAnsi="Book Antiqua"/>
          <w:color w:val="auto"/>
          <w:lang w:val="en-US"/>
        </w:rPr>
        <w:t>parenchima</w:t>
      </w:r>
      <w:proofErr w:type="spellEnd"/>
      <w:r w:rsidRPr="00714401">
        <w:rPr>
          <w:rFonts w:ascii="Book Antiqua" w:hAnsi="Book Antiqua"/>
          <w:color w:val="auto"/>
          <w:lang w:val="en-US"/>
        </w:rPr>
        <w:t xml:space="preserve"> </w:t>
      </w:r>
      <w:r w:rsidR="000E0AE7" w:rsidRPr="00714401">
        <w:rPr>
          <w:rFonts w:ascii="Book Antiqua" w:hAnsi="Book Antiqua"/>
          <w:color w:val="auto"/>
          <w:lang w:val="en-US"/>
        </w:rPr>
        <w:t xml:space="preserve">associated with </w:t>
      </w:r>
      <w:r w:rsidRPr="00714401">
        <w:rPr>
          <w:rFonts w:ascii="Book Antiqua" w:hAnsi="Book Antiqua"/>
          <w:color w:val="auto"/>
          <w:lang w:val="en-US"/>
        </w:rPr>
        <w:t xml:space="preserve">a </w:t>
      </w:r>
      <w:r w:rsidR="000E0AE7" w:rsidRPr="00714401">
        <w:rPr>
          <w:rFonts w:ascii="Book Antiqua" w:hAnsi="Book Antiqua"/>
          <w:color w:val="auto"/>
          <w:lang w:val="en-US"/>
        </w:rPr>
        <w:t>good function</w:t>
      </w:r>
      <w:r w:rsidR="00021310" w:rsidRPr="00714401">
        <w:rPr>
          <w:rFonts w:ascii="Book Antiqua" w:hAnsi="Book Antiqua"/>
          <w:color w:val="auto"/>
          <w:lang w:val="en-US"/>
        </w:rPr>
        <w:t xml:space="preserve">ing </w:t>
      </w:r>
      <w:r w:rsidR="000E0AE7" w:rsidRPr="00714401">
        <w:rPr>
          <w:rFonts w:ascii="Book Antiqua" w:hAnsi="Book Antiqua"/>
          <w:color w:val="auto"/>
          <w:lang w:val="en-US"/>
        </w:rPr>
        <w:t>remnant liver</w:t>
      </w:r>
      <w:r w:rsidR="00E93761" w:rsidRPr="00714401">
        <w:rPr>
          <w:rFonts w:ascii="Book Antiqua" w:hAnsi="Book Antiqua"/>
          <w:color w:val="auto"/>
          <w:lang w:val="en-US"/>
        </w:rPr>
        <w:t>. In</w:t>
      </w:r>
      <w:r w:rsidR="0076063F" w:rsidRPr="00714401">
        <w:rPr>
          <w:rFonts w:ascii="Book Antiqua" w:hAnsi="Book Antiqua"/>
          <w:color w:val="auto"/>
          <w:lang w:val="en-US"/>
        </w:rPr>
        <w:t xml:space="preserve"> </w:t>
      </w:r>
      <w:r w:rsidR="00E93761" w:rsidRPr="00714401">
        <w:rPr>
          <w:rFonts w:ascii="Book Antiqua" w:hAnsi="Book Antiqua"/>
          <w:color w:val="auto"/>
          <w:lang w:val="en-US"/>
        </w:rPr>
        <w:t>the evidence</w:t>
      </w:r>
      <w:r w:rsidR="00A95571" w:rsidRPr="00714401">
        <w:rPr>
          <w:rFonts w:ascii="Book Antiqua" w:hAnsi="Book Antiqua"/>
          <w:color w:val="auto"/>
          <w:lang w:val="en-US"/>
        </w:rPr>
        <w:t>-</w:t>
      </w:r>
      <w:r w:rsidR="00E93761" w:rsidRPr="00714401">
        <w:rPr>
          <w:rFonts w:ascii="Book Antiqua" w:hAnsi="Book Antiqua"/>
          <w:color w:val="auto"/>
          <w:lang w:val="en-US"/>
        </w:rPr>
        <w:t xml:space="preserve"> based </w:t>
      </w:r>
      <w:r w:rsidR="00E17768" w:rsidRPr="00714401">
        <w:rPr>
          <w:rFonts w:ascii="Book Antiqua" w:hAnsi="Book Antiqua"/>
          <w:color w:val="auto"/>
          <w:lang w:val="en-US"/>
        </w:rPr>
        <w:t>guidelines for the treatment of hepatocellular carcinoma</w:t>
      </w:r>
      <w:r w:rsidR="00572069" w:rsidRPr="00714401">
        <w:rPr>
          <w:rFonts w:ascii="Book Antiqua" w:hAnsi="Book Antiqua"/>
          <w:color w:val="auto"/>
          <w:lang w:val="en-US"/>
        </w:rPr>
        <w:t xml:space="preserve"> released in Japan in 2009</w:t>
      </w:r>
      <w:r w:rsidR="00E93761" w:rsidRPr="00714401">
        <w:rPr>
          <w:rFonts w:ascii="Book Antiqua" w:hAnsi="Book Antiqua"/>
          <w:color w:val="auto"/>
          <w:lang w:val="en-US"/>
        </w:rPr>
        <w:t xml:space="preserve">, </w:t>
      </w:r>
      <w:r w:rsidR="00E17768" w:rsidRPr="00714401">
        <w:rPr>
          <w:rFonts w:ascii="Book Antiqua" w:hAnsi="Book Antiqua"/>
          <w:color w:val="auto"/>
          <w:lang w:val="en-US"/>
        </w:rPr>
        <w:t xml:space="preserve">the use of </w:t>
      </w:r>
      <w:r w:rsidRPr="00714401">
        <w:rPr>
          <w:rFonts w:ascii="Book Antiqua" w:hAnsi="Book Antiqua"/>
          <w:color w:val="auto"/>
          <w:lang w:val="en-US"/>
        </w:rPr>
        <w:t>ICG</w:t>
      </w:r>
      <w:r w:rsidRPr="00714401">
        <w:rPr>
          <w:rFonts w:ascii="Book Antiqua" w:hAnsi="Book Antiqua"/>
          <w:color w:val="auto"/>
          <w:vertAlign w:val="subscript"/>
          <w:lang w:val="en-US"/>
        </w:rPr>
        <w:t xml:space="preserve">R15 </w:t>
      </w:r>
      <w:r w:rsidRPr="00714401">
        <w:rPr>
          <w:rFonts w:ascii="Book Antiqua" w:hAnsi="Book Antiqua"/>
          <w:color w:val="auto"/>
          <w:lang w:val="en-US"/>
        </w:rPr>
        <w:t>was</w:t>
      </w:r>
      <w:r w:rsidRPr="00714401">
        <w:rPr>
          <w:rFonts w:ascii="Book Antiqua" w:hAnsi="Book Antiqua"/>
          <w:color w:val="auto"/>
          <w:vertAlign w:val="subscript"/>
          <w:lang w:val="en-US"/>
        </w:rPr>
        <w:t xml:space="preserve"> </w:t>
      </w:r>
      <w:r w:rsidRPr="00714401">
        <w:rPr>
          <w:rFonts w:ascii="Book Antiqua" w:hAnsi="Book Antiqua"/>
          <w:color w:val="auto"/>
          <w:lang w:val="en-US"/>
        </w:rPr>
        <w:t>recommended (level of evidence B</w:t>
      </w:r>
      <w:r w:rsidR="00E17768" w:rsidRPr="00714401">
        <w:rPr>
          <w:rFonts w:ascii="Book Antiqua" w:hAnsi="Book Antiqua"/>
          <w:color w:val="auto"/>
          <w:lang w:val="en-US"/>
        </w:rPr>
        <w:t xml:space="preserve">) </w:t>
      </w:r>
      <w:r w:rsidRPr="00714401">
        <w:rPr>
          <w:rFonts w:ascii="Book Antiqua" w:hAnsi="Book Antiqua"/>
          <w:color w:val="auto"/>
          <w:lang w:val="en-US"/>
        </w:rPr>
        <w:t xml:space="preserve">for the preoperative assessment of liver </w:t>
      </w:r>
      <w:proofErr w:type="gramStart"/>
      <w:r w:rsidRPr="00714401">
        <w:rPr>
          <w:rFonts w:ascii="Book Antiqua" w:hAnsi="Book Antiqua"/>
          <w:color w:val="auto"/>
          <w:lang w:val="en-US"/>
        </w:rPr>
        <w:t>functio</w:t>
      </w:r>
      <w:r w:rsidR="00572069" w:rsidRPr="00714401">
        <w:rPr>
          <w:rFonts w:ascii="Book Antiqua" w:hAnsi="Book Antiqua"/>
          <w:color w:val="auto"/>
          <w:lang w:val="en-US"/>
        </w:rPr>
        <w:t>n</w:t>
      </w:r>
      <w:r w:rsidR="00811273" w:rsidRPr="00714401">
        <w:rPr>
          <w:rFonts w:ascii="Book Antiqua" w:hAnsi="Book Antiqua"/>
          <w:color w:val="auto"/>
          <w:vertAlign w:val="superscript"/>
          <w:lang w:val="en-US"/>
        </w:rPr>
        <w:t>[</w:t>
      </w:r>
      <w:proofErr w:type="gramEnd"/>
      <w:r w:rsidR="00811273" w:rsidRPr="00714401">
        <w:rPr>
          <w:rFonts w:ascii="Book Antiqua" w:hAnsi="Book Antiqua"/>
          <w:color w:val="auto"/>
          <w:vertAlign w:val="superscript"/>
          <w:lang w:val="en-US"/>
        </w:rPr>
        <w:t>43]</w:t>
      </w:r>
      <w:r w:rsidR="00811273" w:rsidRPr="00714401">
        <w:rPr>
          <w:rFonts w:ascii="Book Antiqua" w:hAnsi="Book Antiqua"/>
          <w:color w:val="auto"/>
          <w:lang w:val="en-US"/>
        </w:rPr>
        <w:t xml:space="preserve">. </w:t>
      </w:r>
      <w:r w:rsidRPr="00714401">
        <w:rPr>
          <w:rFonts w:ascii="Book Antiqua" w:hAnsi="Book Antiqua"/>
          <w:color w:val="auto"/>
          <w:lang w:val="en-US"/>
        </w:rPr>
        <w:t xml:space="preserve">Very recently, </w:t>
      </w:r>
      <w:r w:rsidR="00E1412D" w:rsidRPr="00714401">
        <w:rPr>
          <w:rFonts w:ascii="Book Antiqua" w:hAnsi="Book Antiqua"/>
          <w:color w:val="auto"/>
          <w:lang w:val="en-US"/>
        </w:rPr>
        <w:t>ICG</w:t>
      </w:r>
      <w:r w:rsidR="00E1412D" w:rsidRPr="00714401">
        <w:rPr>
          <w:rFonts w:ascii="Book Antiqua" w:hAnsi="Book Antiqua"/>
          <w:color w:val="auto"/>
          <w:vertAlign w:val="subscript"/>
          <w:lang w:val="en-US"/>
        </w:rPr>
        <w:t>R15</w:t>
      </w:r>
      <w:r w:rsidR="00E1412D" w:rsidRPr="00714401">
        <w:rPr>
          <w:rFonts w:ascii="Book Antiqua" w:hAnsi="Book Antiqua"/>
          <w:color w:val="auto"/>
          <w:lang w:val="en-US"/>
        </w:rPr>
        <w:t xml:space="preserve"> was </w:t>
      </w:r>
      <w:r w:rsidRPr="00714401">
        <w:rPr>
          <w:rFonts w:ascii="Book Antiqua" w:hAnsi="Book Antiqua"/>
          <w:color w:val="auto"/>
          <w:lang w:val="en-US"/>
        </w:rPr>
        <w:t>incorporated in a</w:t>
      </w:r>
      <w:r w:rsidR="0076063F" w:rsidRPr="00714401">
        <w:rPr>
          <w:rFonts w:ascii="Book Antiqua" w:hAnsi="Book Antiqua"/>
          <w:color w:val="auto"/>
          <w:lang w:val="en-US"/>
        </w:rPr>
        <w:t xml:space="preserve"> </w:t>
      </w:r>
      <w:r w:rsidR="00F41127" w:rsidRPr="00714401">
        <w:rPr>
          <w:rFonts w:ascii="Book Antiqua" w:hAnsi="Book Antiqua"/>
          <w:color w:val="auto"/>
          <w:lang w:val="en-US"/>
        </w:rPr>
        <w:t xml:space="preserve">modified </w:t>
      </w:r>
      <w:r w:rsidRPr="00714401">
        <w:rPr>
          <w:rFonts w:ascii="Book Antiqua" w:hAnsi="Book Antiqua"/>
          <w:color w:val="auto"/>
          <w:lang w:val="en-US"/>
        </w:rPr>
        <w:t xml:space="preserve">functional evaluation </w:t>
      </w:r>
      <w:r w:rsidR="00E1412D" w:rsidRPr="00714401">
        <w:rPr>
          <w:rFonts w:ascii="Book Antiqua" w:hAnsi="Book Antiqua"/>
          <w:color w:val="auto"/>
          <w:lang w:val="en-US"/>
        </w:rPr>
        <w:t xml:space="preserve">score </w:t>
      </w:r>
      <w:r w:rsidR="00235C39" w:rsidRPr="00714401">
        <w:rPr>
          <w:rFonts w:ascii="Book Antiqua" w:hAnsi="Book Antiqua"/>
          <w:color w:val="auto"/>
          <w:lang w:val="en-US"/>
        </w:rPr>
        <w:t>(Liver Damage Grading System</w:t>
      </w:r>
      <w:r w:rsidR="002B08D2" w:rsidRPr="00714401">
        <w:rPr>
          <w:rFonts w:ascii="Book Antiqua" w:hAnsi="Book Antiqua"/>
          <w:color w:val="auto"/>
          <w:lang w:val="en-US"/>
        </w:rPr>
        <w:t>, LDGS</w:t>
      </w:r>
      <w:r w:rsidR="00235C39" w:rsidRPr="00714401">
        <w:rPr>
          <w:rFonts w:ascii="Book Antiqua" w:hAnsi="Book Antiqua"/>
          <w:color w:val="auto"/>
          <w:lang w:val="en-US"/>
        </w:rPr>
        <w:t xml:space="preserve">) </w:t>
      </w:r>
      <w:r w:rsidRPr="00714401">
        <w:rPr>
          <w:rFonts w:ascii="Book Antiqua" w:hAnsi="Book Antiqua"/>
          <w:color w:val="auto"/>
          <w:lang w:val="en-US"/>
        </w:rPr>
        <w:t xml:space="preserve">derived from </w:t>
      </w:r>
      <w:r w:rsidR="00E1412D" w:rsidRPr="00714401">
        <w:rPr>
          <w:rFonts w:ascii="Book Antiqua" w:hAnsi="Book Antiqua"/>
          <w:color w:val="auto"/>
          <w:lang w:val="en-US"/>
        </w:rPr>
        <w:t>the</w:t>
      </w:r>
      <w:r w:rsidR="0076063F" w:rsidRPr="00714401">
        <w:rPr>
          <w:rFonts w:ascii="Book Antiqua" w:hAnsi="Book Antiqua"/>
          <w:color w:val="auto"/>
          <w:lang w:val="en-US"/>
        </w:rPr>
        <w:t xml:space="preserve"> </w:t>
      </w:r>
      <w:r w:rsidR="006D6C3B" w:rsidRPr="00714401">
        <w:rPr>
          <w:rFonts w:ascii="Book Antiqua" w:hAnsi="Book Antiqua"/>
          <w:color w:val="auto"/>
          <w:lang w:val="en-US"/>
        </w:rPr>
        <w:t xml:space="preserve">CTP </w:t>
      </w:r>
      <w:r w:rsidR="00E1412D" w:rsidRPr="00714401">
        <w:rPr>
          <w:rFonts w:ascii="Book Antiqua" w:hAnsi="Book Antiqua"/>
          <w:color w:val="auto"/>
          <w:lang w:val="en-US"/>
        </w:rPr>
        <w:t xml:space="preserve">classification </w:t>
      </w:r>
      <w:r w:rsidR="00235C39" w:rsidRPr="00714401">
        <w:rPr>
          <w:rFonts w:ascii="Book Antiqua" w:hAnsi="Book Antiqua"/>
          <w:color w:val="auto"/>
          <w:lang w:val="en-US"/>
        </w:rPr>
        <w:t>(</w:t>
      </w:r>
      <w:r w:rsidR="00572069" w:rsidRPr="00714401">
        <w:rPr>
          <w:rFonts w:ascii="Book Antiqua" w:hAnsi="Book Antiqua" w:hint="eastAsia"/>
          <w:color w:val="auto"/>
          <w:lang w:val="en-US" w:eastAsia="zh-CN"/>
        </w:rPr>
        <w:t>Table 2</w:t>
      </w:r>
      <w:r w:rsidR="00235C39" w:rsidRPr="00714401">
        <w:rPr>
          <w:rFonts w:ascii="Book Antiqua" w:hAnsi="Book Antiqua"/>
          <w:color w:val="auto"/>
          <w:lang w:val="en-US"/>
        </w:rPr>
        <w:t xml:space="preserve">). </w:t>
      </w:r>
      <w:r w:rsidR="00DF269A" w:rsidRPr="00714401">
        <w:rPr>
          <w:rFonts w:ascii="Book Antiqua" w:hAnsi="Book Antiqua"/>
          <w:color w:val="auto"/>
          <w:lang w:val="en-US"/>
        </w:rPr>
        <w:t>The Japanese Liver Cancer Study Group of Japan proposed t</w:t>
      </w:r>
      <w:r w:rsidR="00235C39" w:rsidRPr="00714401">
        <w:rPr>
          <w:rFonts w:ascii="Book Antiqua" w:hAnsi="Book Antiqua"/>
          <w:color w:val="auto"/>
          <w:lang w:val="en-US"/>
        </w:rPr>
        <w:t xml:space="preserve">he </w:t>
      </w:r>
      <w:r w:rsidR="002B08D2" w:rsidRPr="00714401">
        <w:rPr>
          <w:rFonts w:ascii="Book Antiqua" w:hAnsi="Book Antiqua"/>
          <w:color w:val="auto"/>
          <w:lang w:val="en-US"/>
        </w:rPr>
        <w:lastRenderedPageBreak/>
        <w:t>LDGS</w:t>
      </w:r>
      <w:r w:rsidR="00A04494" w:rsidRPr="00714401">
        <w:rPr>
          <w:rFonts w:ascii="Book Antiqua" w:hAnsi="Book Antiqua"/>
          <w:color w:val="auto"/>
          <w:lang w:val="en-US"/>
        </w:rPr>
        <w:t>, instead of the C</w:t>
      </w:r>
      <w:r w:rsidR="00A95571" w:rsidRPr="00714401">
        <w:rPr>
          <w:rFonts w:ascii="Book Antiqua" w:hAnsi="Book Antiqua"/>
          <w:color w:val="auto"/>
          <w:lang w:val="en-US"/>
        </w:rPr>
        <w:t>TP</w:t>
      </w:r>
      <w:r w:rsidR="00A04494" w:rsidRPr="00714401">
        <w:rPr>
          <w:rFonts w:ascii="Book Antiqua" w:hAnsi="Book Antiqua"/>
          <w:color w:val="auto"/>
          <w:lang w:val="en-US"/>
        </w:rPr>
        <w:t xml:space="preserve"> score, </w:t>
      </w:r>
      <w:r w:rsidR="00235C39" w:rsidRPr="00714401">
        <w:rPr>
          <w:rFonts w:ascii="Book Antiqua" w:hAnsi="Book Antiqua"/>
          <w:color w:val="auto"/>
          <w:lang w:val="en-US"/>
        </w:rPr>
        <w:t>as a</w:t>
      </w:r>
      <w:r w:rsidR="00D66AA2" w:rsidRPr="00714401">
        <w:rPr>
          <w:rFonts w:ascii="Book Antiqua" w:hAnsi="Book Antiqua"/>
          <w:color w:val="auto"/>
          <w:lang w:val="en-US"/>
        </w:rPr>
        <w:t xml:space="preserve"> </w:t>
      </w:r>
      <w:r w:rsidR="002B08D2" w:rsidRPr="00714401">
        <w:rPr>
          <w:rFonts w:ascii="Book Antiqua" w:hAnsi="Book Antiqua"/>
          <w:color w:val="auto"/>
          <w:lang w:val="en-US"/>
        </w:rPr>
        <w:t>more accurate</w:t>
      </w:r>
      <w:r w:rsidR="0076063F" w:rsidRPr="00714401">
        <w:rPr>
          <w:rFonts w:ascii="Book Antiqua" w:hAnsi="Book Antiqua"/>
          <w:color w:val="auto"/>
          <w:lang w:val="en-US"/>
        </w:rPr>
        <w:t xml:space="preserve"> </w:t>
      </w:r>
      <w:r w:rsidR="002B08D2" w:rsidRPr="00714401">
        <w:rPr>
          <w:rFonts w:ascii="Book Antiqua" w:hAnsi="Book Antiqua"/>
          <w:color w:val="auto"/>
          <w:lang w:val="en-US"/>
        </w:rPr>
        <w:t xml:space="preserve">and appropriate </w:t>
      </w:r>
      <w:r w:rsidR="00D66AA2" w:rsidRPr="00714401">
        <w:rPr>
          <w:rFonts w:ascii="Book Antiqua" w:hAnsi="Book Antiqua"/>
          <w:color w:val="auto"/>
          <w:lang w:val="en-US"/>
        </w:rPr>
        <w:t xml:space="preserve">tool </w:t>
      </w:r>
      <w:r w:rsidR="00235C39" w:rsidRPr="00714401">
        <w:rPr>
          <w:rFonts w:ascii="Book Antiqua" w:hAnsi="Book Antiqua"/>
          <w:color w:val="auto"/>
          <w:lang w:val="en-US"/>
        </w:rPr>
        <w:t>for the functional assessment of</w:t>
      </w:r>
      <w:r w:rsidR="0076063F" w:rsidRPr="00714401">
        <w:rPr>
          <w:rFonts w:ascii="Book Antiqua" w:hAnsi="Book Antiqua"/>
          <w:color w:val="auto"/>
          <w:lang w:val="en-US"/>
        </w:rPr>
        <w:t xml:space="preserve"> </w:t>
      </w:r>
      <w:r w:rsidR="008753DF" w:rsidRPr="00714401">
        <w:rPr>
          <w:rFonts w:ascii="Book Antiqua" w:hAnsi="Book Antiqua"/>
          <w:color w:val="auto"/>
          <w:lang w:val="en-US"/>
        </w:rPr>
        <w:t xml:space="preserve">the </w:t>
      </w:r>
      <w:r w:rsidR="00572069" w:rsidRPr="00714401">
        <w:rPr>
          <w:rFonts w:ascii="Book Antiqua" w:hAnsi="Book Antiqua"/>
          <w:color w:val="auto"/>
          <w:lang w:val="en-US"/>
        </w:rPr>
        <w:t xml:space="preserve">hepatic </w:t>
      </w:r>
      <w:proofErr w:type="gramStart"/>
      <w:r w:rsidR="00572069" w:rsidRPr="00714401">
        <w:rPr>
          <w:rFonts w:ascii="Book Antiqua" w:hAnsi="Book Antiqua"/>
          <w:color w:val="auto"/>
          <w:lang w:val="en-US"/>
        </w:rPr>
        <w:t>reserve</w:t>
      </w:r>
      <w:r w:rsidR="00B25FAE" w:rsidRPr="00714401">
        <w:rPr>
          <w:rFonts w:ascii="Book Antiqua" w:hAnsi="Book Antiqua"/>
          <w:color w:val="auto"/>
          <w:vertAlign w:val="superscript"/>
          <w:lang w:val="en-US"/>
        </w:rPr>
        <w:t>[</w:t>
      </w:r>
      <w:proofErr w:type="gramEnd"/>
      <w:r w:rsidR="0012123A" w:rsidRPr="00714401">
        <w:rPr>
          <w:rFonts w:ascii="Book Antiqua" w:hAnsi="Book Antiqua"/>
          <w:color w:val="auto"/>
          <w:vertAlign w:val="superscript"/>
          <w:lang w:val="en-US"/>
        </w:rPr>
        <w:t>8,</w:t>
      </w:r>
      <w:r w:rsidR="00E04184" w:rsidRPr="00714401">
        <w:rPr>
          <w:rFonts w:ascii="Book Antiqua" w:hAnsi="Book Antiqua"/>
          <w:color w:val="auto"/>
          <w:vertAlign w:val="superscript"/>
          <w:lang w:val="en-US"/>
        </w:rPr>
        <w:t>23</w:t>
      </w:r>
      <w:r w:rsidR="00B25FAE" w:rsidRPr="00714401">
        <w:rPr>
          <w:rFonts w:ascii="Book Antiqua" w:hAnsi="Book Antiqua"/>
          <w:color w:val="auto"/>
          <w:vertAlign w:val="superscript"/>
          <w:lang w:val="en-US"/>
        </w:rPr>
        <w:t>]</w:t>
      </w:r>
      <w:r w:rsidR="00572069" w:rsidRPr="00714401">
        <w:rPr>
          <w:rFonts w:ascii="Book Antiqua" w:hAnsi="Book Antiqua" w:hint="eastAsia"/>
          <w:color w:val="auto"/>
          <w:lang w:val="en-US" w:eastAsia="zh-CN"/>
        </w:rPr>
        <w:t>.</w:t>
      </w:r>
    </w:p>
    <w:p w:rsidR="00F001DC" w:rsidRPr="00714401" w:rsidRDefault="00A20DB7" w:rsidP="00572069">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In cirrhotic patients, l</w:t>
      </w:r>
      <w:r w:rsidR="0019450F" w:rsidRPr="00714401">
        <w:rPr>
          <w:rFonts w:ascii="Book Antiqua" w:hAnsi="Book Antiqua"/>
          <w:color w:val="auto"/>
          <w:lang w:val="en-US"/>
        </w:rPr>
        <w:t xml:space="preserve">iver resections </w:t>
      </w:r>
      <w:r w:rsidRPr="00714401">
        <w:rPr>
          <w:rFonts w:ascii="Book Antiqua" w:hAnsi="Book Antiqua"/>
          <w:color w:val="auto"/>
          <w:lang w:val="en-US"/>
        </w:rPr>
        <w:t xml:space="preserve">should be </w:t>
      </w:r>
      <w:r w:rsidR="0019450F" w:rsidRPr="00714401">
        <w:rPr>
          <w:rFonts w:ascii="Book Antiqua" w:hAnsi="Book Antiqua"/>
          <w:color w:val="auto"/>
          <w:lang w:val="en-US"/>
        </w:rPr>
        <w:t xml:space="preserve">performed with </w:t>
      </w:r>
      <w:r w:rsidR="002A7601" w:rsidRPr="00714401">
        <w:rPr>
          <w:rFonts w:ascii="Book Antiqua" w:hAnsi="Book Antiqua"/>
          <w:color w:val="auto"/>
          <w:lang w:val="en-US"/>
        </w:rPr>
        <w:t>ICG</w:t>
      </w:r>
      <w:r w:rsidR="002A7601" w:rsidRPr="00714401">
        <w:rPr>
          <w:rFonts w:ascii="Book Antiqua" w:hAnsi="Book Antiqua"/>
          <w:color w:val="auto"/>
          <w:vertAlign w:val="subscript"/>
          <w:lang w:val="en-US"/>
        </w:rPr>
        <w:t>R15</w:t>
      </w:r>
      <w:r w:rsidR="002A7601" w:rsidRPr="00714401">
        <w:rPr>
          <w:rFonts w:ascii="Book Antiqua" w:hAnsi="Book Antiqua"/>
          <w:color w:val="auto"/>
          <w:lang w:val="en-US"/>
        </w:rPr>
        <w:t xml:space="preserve"> &lt; 15%</w:t>
      </w:r>
      <w:r w:rsidR="0019450F" w:rsidRPr="00714401">
        <w:rPr>
          <w:rFonts w:ascii="Book Antiqua" w:hAnsi="Book Antiqua"/>
          <w:color w:val="auto"/>
          <w:lang w:val="en-US"/>
        </w:rPr>
        <w:t>:</w:t>
      </w:r>
      <w:r w:rsidR="0076063F" w:rsidRPr="00714401">
        <w:rPr>
          <w:rFonts w:ascii="Book Antiqua" w:hAnsi="Book Antiqua"/>
          <w:color w:val="auto"/>
          <w:lang w:val="en-US"/>
        </w:rPr>
        <w:t xml:space="preserve"> </w:t>
      </w:r>
      <w:r w:rsidR="00ED2863" w:rsidRPr="00714401">
        <w:rPr>
          <w:rFonts w:ascii="Book Antiqua" w:hAnsi="Book Antiqua"/>
          <w:color w:val="auto"/>
          <w:lang w:val="en-US"/>
        </w:rPr>
        <w:t>A</w:t>
      </w:r>
      <w:r w:rsidR="0094255A" w:rsidRPr="00714401">
        <w:rPr>
          <w:rFonts w:ascii="Book Antiqua" w:hAnsi="Book Antiqua"/>
          <w:color w:val="auto"/>
          <w:lang w:val="en-US"/>
        </w:rPr>
        <w:t>cc</w:t>
      </w:r>
      <w:r w:rsidR="00A04494" w:rsidRPr="00714401">
        <w:rPr>
          <w:rFonts w:ascii="Book Antiqua" w:hAnsi="Book Antiqua"/>
          <w:color w:val="auto"/>
          <w:lang w:val="en-US"/>
        </w:rPr>
        <w:t>ording to authoritative reports, appropriate</w:t>
      </w:r>
      <w:r w:rsidR="0076063F" w:rsidRPr="00714401">
        <w:rPr>
          <w:rFonts w:ascii="Book Antiqua" w:hAnsi="Book Antiqua"/>
          <w:color w:val="auto"/>
          <w:lang w:val="en-US"/>
        </w:rPr>
        <w:t xml:space="preserve"> </w:t>
      </w:r>
      <w:r w:rsidR="00A04494" w:rsidRPr="00714401">
        <w:rPr>
          <w:rFonts w:ascii="Book Antiqua" w:hAnsi="Book Antiqua"/>
          <w:color w:val="auto"/>
          <w:lang w:val="en-US"/>
        </w:rPr>
        <w:t>candidates</w:t>
      </w:r>
      <w:r w:rsidR="0076063F" w:rsidRPr="00714401">
        <w:rPr>
          <w:rFonts w:ascii="Book Antiqua" w:hAnsi="Book Antiqua"/>
          <w:color w:val="auto"/>
          <w:lang w:val="en-US"/>
        </w:rPr>
        <w:t xml:space="preserve"> </w:t>
      </w:r>
      <w:r w:rsidR="00A04494" w:rsidRPr="00714401">
        <w:rPr>
          <w:rFonts w:ascii="Book Antiqua" w:hAnsi="Book Antiqua"/>
          <w:color w:val="auto"/>
          <w:lang w:val="en-US"/>
        </w:rPr>
        <w:t xml:space="preserve">for </w:t>
      </w:r>
      <w:r w:rsidR="002A7601" w:rsidRPr="00714401">
        <w:rPr>
          <w:rFonts w:ascii="Book Antiqua" w:hAnsi="Book Antiqua"/>
          <w:color w:val="auto"/>
          <w:lang w:val="en-US"/>
        </w:rPr>
        <w:t>r</w:t>
      </w:r>
      <w:r w:rsidR="006D6C3B" w:rsidRPr="00714401">
        <w:rPr>
          <w:rFonts w:ascii="Book Antiqua" w:hAnsi="Book Antiqua"/>
          <w:color w:val="auto"/>
          <w:lang w:val="en-US"/>
        </w:rPr>
        <w:t xml:space="preserve">ight </w:t>
      </w:r>
      <w:proofErr w:type="spellStart"/>
      <w:r w:rsidR="006D6C3B" w:rsidRPr="00714401">
        <w:rPr>
          <w:rFonts w:ascii="Book Antiqua" w:hAnsi="Book Antiqua"/>
          <w:color w:val="auto"/>
          <w:lang w:val="en-US"/>
        </w:rPr>
        <w:t>hepatectomies</w:t>
      </w:r>
      <w:proofErr w:type="spellEnd"/>
      <w:r w:rsidR="006D6C3B" w:rsidRPr="00714401">
        <w:rPr>
          <w:rFonts w:ascii="Book Antiqua" w:hAnsi="Book Antiqua"/>
          <w:color w:val="auto"/>
          <w:lang w:val="en-US"/>
        </w:rPr>
        <w:t xml:space="preserve"> </w:t>
      </w:r>
      <w:r w:rsidR="0094255A" w:rsidRPr="00714401">
        <w:rPr>
          <w:rFonts w:ascii="Book Antiqua" w:hAnsi="Book Antiqua"/>
          <w:color w:val="auto"/>
          <w:lang w:val="en-US"/>
        </w:rPr>
        <w:t xml:space="preserve">were </w:t>
      </w:r>
      <w:r w:rsidR="00A95571" w:rsidRPr="00714401">
        <w:rPr>
          <w:rFonts w:ascii="Book Antiqua" w:hAnsi="Book Antiqua"/>
          <w:color w:val="auto"/>
          <w:lang w:val="en-US"/>
        </w:rPr>
        <w:t>patient</w:t>
      </w:r>
      <w:r w:rsidR="00A04494" w:rsidRPr="00714401">
        <w:rPr>
          <w:rFonts w:ascii="Book Antiqua" w:hAnsi="Book Antiqua"/>
          <w:color w:val="auto"/>
          <w:lang w:val="en-US"/>
        </w:rPr>
        <w:t xml:space="preserve">s </w:t>
      </w:r>
      <w:r w:rsidR="002A7601" w:rsidRPr="00714401">
        <w:rPr>
          <w:rFonts w:ascii="Book Antiqua" w:hAnsi="Book Antiqua"/>
          <w:color w:val="auto"/>
          <w:lang w:val="en-US"/>
        </w:rPr>
        <w:t>with ICG</w:t>
      </w:r>
      <w:r w:rsidR="002A7601" w:rsidRPr="00714401">
        <w:rPr>
          <w:rFonts w:ascii="Book Antiqua" w:hAnsi="Book Antiqua"/>
          <w:color w:val="auto"/>
          <w:vertAlign w:val="subscript"/>
          <w:lang w:val="en-US"/>
        </w:rPr>
        <w:t>R15</w:t>
      </w:r>
      <w:r w:rsidR="009E50DE" w:rsidRPr="00714401">
        <w:rPr>
          <w:rFonts w:ascii="Book Antiqua" w:hAnsi="Book Antiqua"/>
          <w:color w:val="auto"/>
          <w:vertAlign w:val="subscript"/>
          <w:lang w:val="en-US"/>
        </w:rPr>
        <w:t xml:space="preserve"> </w:t>
      </w:r>
      <w:r w:rsidR="00A04494" w:rsidRPr="00714401">
        <w:rPr>
          <w:rFonts w:ascii="Book Antiqua" w:hAnsi="Book Antiqua"/>
          <w:color w:val="auto"/>
          <w:lang w:val="en-US"/>
        </w:rPr>
        <w:t xml:space="preserve">&gt; 10%, whereas </w:t>
      </w:r>
      <w:r w:rsidR="006D6C3B" w:rsidRPr="00714401">
        <w:rPr>
          <w:rFonts w:ascii="Book Antiqua" w:hAnsi="Book Antiqua"/>
          <w:color w:val="auto"/>
          <w:lang w:val="en-US"/>
        </w:rPr>
        <w:t xml:space="preserve">left </w:t>
      </w:r>
      <w:proofErr w:type="spellStart"/>
      <w:r w:rsidR="006D6C3B" w:rsidRPr="00714401">
        <w:rPr>
          <w:rFonts w:ascii="Book Antiqua" w:hAnsi="Book Antiqua"/>
          <w:color w:val="auto"/>
          <w:lang w:val="en-US"/>
        </w:rPr>
        <w:t>hepatectomies</w:t>
      </w:r>
      <w:proofErr w:type="spellEnd"/>
      <w:r w:rsidR="006D6C3B" w:rsidRPr="00714401">
        <w:rPr>
          <w:rFonts w:ascii="Book Antiqua" w:hAnsi="Book Antiqua"/>
          <w:color w:val="auto"/>
          <w:lang w:val="en-US"/>
        </w:rPr>
        <w:t xml:space="preserve"> </w:t>
      </w:r>
      <w:r w:rsidR="00C35471" w:rsidRPr="00714401">
        <w:rPr>
          <w:rFonts w:ascii="Book Antiqua" w:hAnsi="Book Antiqua"/>
          <w:color w:val="auto"/>
          <w:lang w:val="en-US"/>
        </w:rPr>
        <w:t xml:space="preserve">were </w:t>
      </w:r>
      <w:r w:rsidR="00A04494" w:rsidRPr="00714401">
        <w:rPr>
          <w:rFonts w:ascii="Book Antiqua" w:hAnsi="Book Antiqua"/>
          <w:color w:val="auto"/>
          <w:lang w:val="en-US"/>
        </w:rPr>
        <w:t xml:space="preserve">considered </w:t>
      </w:r>
      <w:r w:rsidR="00D66AA2" w:rsidRPr="00714401">
        <w:rPr>
          <w:rFonts w:ascii="Book Antiqua" w:hAnsi="Book Antiqua"/>
          <w:color w:val="auto"/>
          <w:lang w:val="en-US"/>
        </w:rPr>
        <w:t>also in</w:t>
      </w:r>
      <w:r w:rsidR="0076063F" w:rsidRPr="00714401">
        <w:rPr>
          <w:rFonts w:ascii="Book Antiqua" w:hAnsi="Book Antiqua"/>
          <w:color w:val="auto"/>
          <w:lang w:val="en-US"/>
        </w:rPr>
        <w:t xml:space="preserve"> </w:t>
      </w:r>
      <w:r w:rsidR="00A95571" w:rsidRPr="00714401">
        <w:rPr>
          <w:rFonts w:ascii="Book Antiqua" w:hAnsi="Book Antiqua"/>
          <w:color w:val="auto"/>
          <w:lang w:val="en-US"/>
        </w:rPr>
        <w:t>surgical candidates</w:t>
      </w:r>
      <w:r w:rsidR="0076063F" w:rsidRPr="00714401">
        <w:rPr>
          <w:rFonts w:ascii="Book Antiqua" w:hAnsi="Book Antiqua"/>
          <w:color w:val="auto"/>
          <w:lang w:val="en-US"/>
        </w:rPr>
        <w:t xml:space="preserve"> </w:t>
      </w:r>
      <w:r w:rsidR="0019450F" w:rsidRPr="00714401">
        <w:rPr>
          <w:rFonts w:ascii="Book Antiqua" w:hAnsi="Book Antiqua"/>
          <w:color w:val="auto"/>
          <w:lang w:val="en-US"/>
        </w:rPr>
        <w:t xml:space="preserve">with </w:t>
      </w:r>
      <w:r w:rsidR="00D66AA2" w:rsidRPr="00714401">
        <w:rPr>
          <w:rFonts w:ascii="Book Antiqua" w:hAnsi="Book Antiqua"/>
          <w:color w:val="auto"/>
          <w:lang w:val="en-US"/>
        </w:rPr>
        <w:t xml:space="preserve">slightly longer </w:t>
      </w:r>
      <w:r w:rsidR="002A7601" w:rsidRPr="00714401">
        <w:rPr>
          <w:rFonts w:ascii="Book Antiqua" w:hAnsi="Book Antiqua"/>
          <w:color w:val="auto"/>
          <w:lang w:val="en-US"/>
        </w:rPr>
        <w:t>ICG</w:t>
      </w:r>
      <w:r w:rsidR="002A7601" w:rsidRPr="00714401">
        <w:rPr>
          <w:rFonts w:ascii="Book Antiqua" w:hAnsi="Book Antiqua"/>
          <w:color w:val="auto"/>
          <w:vertAlign w:val="subscript"/>
          <w:lang w:val="en-US"/>
        </w:rPr>
        <w:t>R15</w:t>
      </w:r>
      <w:r w:rsidR="0019450F" w:rsidRPr="00714401">
        <w:rPr>
          <w:rFonts w:ascii="Book Antiqua" w:hAnsi="Book Antiqua"/>
          <w:color w:val="auto"/>
          <w:lang w:val="en-US"/>
        </w:rPr>
        <w:t xml:space="preserve"> </w:t>
      </w:r>
      <w:r w:rsidR="00D66AA2" w:rsidRPr="00714401">
        <w:rPr>
          <w:rFonts w:ascii="Book Antiqua" w:hAnsi="Book Antiqua"/>
          <w:color w:val="auto"/>
          <w:lang w:val="en-US"/>
        </w:rPr>
        <w:t xml:space="preserve">(range </w:t>
      </w:r>
      <w:r w:rsidR="002A7601" w:rsidRPr="00714401">
        <w:rPr>
          <w:rFonts w:ascii="Book Antiqua" w:hAnsi="Book Antiqua"/>
          <w:color w:val="auto"/>
          <w:lang w:val="en-US"/>
        </w:rPr>
        <w:t>10</w:t>
      </w:r>
      <w:r w:rsidR="00572069" w:rsidRPr="00714401">
        <w:rPr>
          <w:rFonts w:ascii="Book Antiqua" w:hAnsi="Book Antiqua" w:hint="eastAsia"/>
          <w:color w:val="auto"/>
          <w:lang w:val="en-US" w:eastAsia="zh-CN"/>
        </w:rPr>
        <w:t>%</w:t>
      </w:r>
      <w:r w:rsidR="00D66AA2" w:rsidRPr="00714401">
        <w:rPr>
          <w:rFonts w:ascii="Book Antiqua" w:hAnsi="Book Antiqua"/>
          <w:color w:val="auto"/>
          <w:lang w:val="en-US"/>
        </w:rPr>
        <w:t xml:space="preserve"> to </w:t>
      </w:r>
      <w:r w:rsidR="00B27554" w:rsidRPr="00714401">
        <w:rPr>
          <w:rFonts w:ascii="Book Antiqua" w:hAnsi="Book Antiqua"/>
          <w:color w:val="auto"/>
          <w:lang w:val="en-US"/>
        </w:rPr>
        <w:t>19</w:t>
      </w:r>
      <w:r w:rsidR="002A7601" w:rsidRPr="00714401">
        <w:rPr>
          <w:rFonts w:ascii="Book Antiqua" w:hAnsi="Book Antiqua"/>
          <w:color w:val="auto"/>
          <w:lang w:val="en-US"/>
        </w:rPr>
        <w:t>%</w:t>
      </w:r>
      <w:r w:rsidR="00D66AA2" w:rsidRPr="00714401">
        <w:rPr>
          <w:rFonts w:ascii="Book Antiqua" w:hAnsi="Book Antiqua"/>
          <w:color w:val="auto"/>
          <w:lang w:val="en-US"/>
        </w:rPr>
        <w:t>)</w:t>
      </w:r>
      <w:r w:rsidR="00B25FAE" w:rsidRPr="00714401">
        <w:rPr>
          <w:rFonts w:ascii="Book Antiqua" w:hAnsi="Book Antiqua"/>
          <w:color w:val="auto"/>
          <w:vertAlign w:val="superscript"/>
          <w:lang w:val="en-US"/>
        </w:rPr>
        <w:t>[</w:t>
      </w:r>
      <w:r w:rsidR="00E04184" w:rsidRPr="00714401">
        <w:rPr>
          <w:rFonts w:ascii="Book Antiqua" w:hAnsi="Book Antiqua"/>
          <w:color w:val="auto"/>
          <w:vertAlign w:val="superscript"/>
          <w:lang w:val="en-US"/>
        </w:rPr>
        <w:t>43-45</w:t>
      </w:r>
      <w:r w:rsidR="00B25FAE" w:rsidRPr="00714401">
        <w:rPr>
          <w:rFonts w:ascii="Book Antiqua" w:hAnsi="Book Antiqua"/>
          <w:color w:val="auto"/>
          <w:vertAlign w:val="superscript"/>
          <w:lang w:val="en-US"/>
        </w:rPr>
        <w:t>]</w:t>
      </w:r>
      <w:r w:rsidR="00021310" w:rsidRPr="00714401">
        <w:rPr>
          <w:rFonts w:ascii="Book Antiqua" w:hAnsi="Book Antiqua"/>
          <w:color w:val="auto"/>
          <w:lang w:val="en-US"/>
        </w:rPr>
        <w:t>.</w:t>
      </w:r>
      <w:r w:rsidR="0076063F" w:rsidRPr="00714401">
        <w:rPr>
          <w:rFonts w:ascii="Book Antiqua" w:hAnsi="Book Antiqua"/>
          <w:color w:val="auto"/>
          <w:lang w:val="en-US"/>
        </w:rPr>
        <w:t xml:space="preserve"> </w:t>
      </w:r>
      <w:r w:rsidR="00E11D3D" w:rsidRPr="00714401">
        <w:rPr>
          <w:rFonts w:ascii="Book Antiqua" w:hAnsi="Book Antiqua"/>
          <w:color w:val="auto"/>
          <w:lang w:val="en-US"/>
        </w:rPr>
        <w:t>I</w:t>
      </w:r>
      <w:r w:rsidR="0019450F" w:rsidRPr="00714401">
        <w:rPr>
          <w:rFonts w:ascii="Book Antiqua" w:hAnsi="Book Antiqua"/>
          <w:color w:val="auto"/>
          <w:lang w:val="en-US"/>
        </w:rPr>
        <w:t xml:space="preserve">n other </w:t>
      </w:r>
      <w:r w:rsidR="00E11D3D" w:rsidRPr="00714401">
        <w:rPr>
          <w:rFonts w:ascii="Book Antiqua" w:hAnsi="Book Antiqua"/>
          <w:color w:val="auto"/>
          <w:lang w:val="en-US"/>
        </w:rPr>
        <w:t xml:space="preserve">series, </w:t>
      </w:r>
      <w:r w:rsidR="0094255A" w:rsidRPr="00714401">
        <w:rPr>
          <w:rFonts w:ascii="Book Antiqua" w:hAnsi="Book Antiqua"/>
          <w:color w:val="auto"/>
          <w:lang w:val="en-US"/>
        </w:rPr>
        <w:t xml:space="preserve">major </w:t>
      </w:r>
      <w:r w:rsidR="00E11D3D" w:rsidRPr="00714401">
        <w:rPr>
          <w:rFonts w:ascii="Book Antiqua" w:hAnsi="Book Antiqua"/>
          <w:color w:val="auto"/>
          <w:lang w:val="en-US"/>
        </w:rPr>
        <w:t xml:space="preserve">liver </w:t>
      </w:r>
      <w:r w:rsidR="0094255A" w:rsidRPr="00714401">
        <w:rPr>
          <w:rFonts w:ascii="Book Antiqua" w:hAnsi="Book Antiqua"/>
          <w:color w:val="auto"/>
          <w:lang w:val="en-US"/>
        </w:rPr>
        <w:t xml:space="preserve">resections were successfully performed </w:t>
      </w:r>
      <w:r w:rsidR="00A04494" w:rsidRPr="00714401">
        <w:rPr>
          <w:rFonts w:ascii="Book Antiqua" w:hAnsi="Book Antiqua"/>
          <w:color w:val="auto"/>
          <w:lang w:val="en-US"/>
        </w:rPr>
        <w:t xml:space="preserve">with longer </w:t>
      </w:r>
      <w:r w:rsidR="0094255A" w:rsidRPr="00714401">
        <w:rPr>
          <w:rFonts w:ascii="Book Antiqua" w:hAnsi="Book Antiqua"/>
          <w:color w:val="auto"/>
          <w:lang w:val="en-US"/>
        </w:rPr>
        <w:t>ICG</w:t>
      </w:r>
      <w:r w:rsidR="0094255A" w:rsidRPr="00714401">
        <w:rPr>
          <w:rFonts w:ascii="Book Antiqua" w:hAnsi="Book Antiqua"/>
          <w:color w:val="auto"/>
          <w:vertAlign w:val="subscript"/>
          <w:lang w:val="en-US"/>
        </w:rPr>
        <w:t>R15</w:t>
      </w:r>
      <w:r w:rsidR="0094255A" w:rsidRPr="00714401">
        <w:rPr>
          <w:rFonts w:ascii="Book Antiqua" w:hAnsi="Book Antiqua"/>
          <w:color w:val="auto"/>
          <w:lang w:val="en-US"/>
        </w:rPr>
        <w:t xml:space="preserve"> </w:t>
      </w:r>
      <w:r w:rsidR="00D66AA2" w:rsidRPr="00714401">
        <w:rPr>
          <w:rFonts w:ascii="Book Antiqua" w:hAnsi="Book Antiqua"/>
          <w:color w:val="auto"/>
          <w:lang w:val="en-US"/>
        </w:rPr>
        <w:t>(range 15</w:t>
      </w:r>
      <w:r w:rsidR="004E5330">
        <w:rPr>
          <w:rFonts w:ascii="Book Antiqua" w:hAnsi="Book Antiqua" w:hint="eastAsia"/>
          <w:color w:val="auto"/>
          <w:lang w:val="en-US" w:eastAsia="zh-CN"/>
        </w:rPr>
        <w:t>%</w:t>
      </w:r>
      <w:r w:rsidR="00D66AA2" w:rsidRPr="00714401">
        <w:rPr>
          <w:rFonts w:ascii="Book Antiqua" w:hAnsi="Book Antiqua"/>
          <w:color w:val="auto"/>
          <w:lang w:val="en-US"/>
        </w:rPr>
        <w:t xml:space="preserve"> to</w:t>
      </w:r>
      <w:r w:rsidR="00E11D3D" w:rsidRPr="00714401">
        <w:rPr>
          <w:rFonts w:ascii="Book Antiqua" w:hAnsi="Book Antiqua"/>
          <w:color w:val="auto"/>
          <w:lang w:val="en-US"/>
        </w:rPr>
        <w:t xml:space="preserve"> </w:t>
      </w:r>
      <w:r w:rsidR="0094255A" w:rsidRPr="00714401">
        <w:rPr>
          <w:rFonts w:ascii="Book Antiqua" w:hAnsi="Book Antiqua"/>
          <w:color w:val="auto"/>
          <w:lang w:val="en-US"/>
        </w:rPr>
        <w:t>20%</w:t>
      </w:r>
      <w:r w:rsidR="00D66AA2" w:rsidRPr="00714401">
        <w:rPr>
          <w:rFonts w:ascii="Book Antiqua" w:hAnsi="Book Antiqua"/>
          <w:color w:val="auto"/>
          <w:lang w:val="en-US"/>
        </w:rPr>
        <w:t xml:space="preserve">), </w:t>
      </w:r>
      <w:r w:rsidR="0094255A" w:rsidRPr="00714401">
        <w:rPr>
          <w:rFonts w:ascii="Book Antiqua" w:hAnsi="Book Antiqua"/>
          <w:color w:val="auto"/>
          <w:lang w:val="en-US"/>
        </w:rPr>
        <w:t xml:space="preserve">if </w:t>
      </w:r>
      <w:r w:rsidR="00A04494" w:rsidRPr="00714401">
        <w:rPr>
          <w:rFonts w:ascii="Book Antiqua" w:hAnsi="Book Antiqua"/>
          <w:color w:val="auto"/>
          <w:lang w:val="en-US"/>
        </w:rPr>
        <w:t>the volume of the residual</w:t>
      </w:r>
      <w:r w:rsidR="0076063F" w:rsidRPr="00714401">
        <w:rPr>
          <w:rFonts w:ascii="Book Antiqua" w:hAnsi="Book Antiqua"/>
          <w:color w:val="auto"/>
          <w:lang w:val="en-US"/>
        </w:rPr>
        <w:t xml:space="preserve"> </w:t>
      </w:r>
      <w:r w:rsidR="00A04494" w:rsidRPr="00714401">
        <w:rPr>
          <w:rFonts w:ascii="Book Antiqua" w:hAnsi="Book Antiqua"/>
          <w:color w:val="auto"/>
          <w:lang w:val="en-US"/>
        </w:rPr>
        <w:t xml:space="preserve">liver </w:t>
      </w:r>
      <w:r w:rsidR="00F6289C" w:rsidRPr="00714401">
        <w:rPr>
          <w:rFonts w:ascii="Book Antiqua" w:hAnsi="Book Antiqua"/>
          <w:color w:val="auto"/>
          <w:lang w:val="en-US"/>
        </w:rPr>
        <w:t>was deemed</w:t>
      </w:r>
      <w:r w:rsidR="0076063F" w:rsidRPr="00714401">
        <w:rPr>
          <w:rFonts w:ascii="Book Antiqua" w:hAnsi="Book Antiqua"/>
          <w:color w:val="auto"/>
          <w:lang w:val="en-US"/>
        </w:rPr>
        <w:t xml:space="preserve"> </w:t>
      </w:r>
      <w:r w:rsidR="00572069" w:rsidRPr="00714401">
        <w:rPr>
          <w:rFonts w:ascii="Book Antiqua" w:hAnsi="Book Antiqua"/>
          <w:color w:val="auto"/>
          <w:lang w:val="en-US"/>
        </w:rPr>
        <w:t>“sufficient”</w:t>
      </w:r>
      <w:r w:rsidR="00B25FAE" w:rsidRPr="00714401">
        <w:rPr>
          <w:rFonts w:ascii="Book Antiqua" w:hAnsi="Book Antiqua"/>
          <w:color w:val="auto"/>
          <w:vertAlign w:val="superscript"/>
          <w:lang w:val="en-US"/>
        </w:rPr>
        <w:t>[</w:t>
      </w:r>
      <w:r w:rsidR="00D03DEC" w:rsidRPr="00714401">
        <w:rPr>
          <w:rFonts w:ascii="Book Antiqua" w:hAnsi="Book Antiqua"/>
          <w:color w:val="auto"/>
          <w:vertAlign w:val="superscript"/>
          <w:lang w:val="en-US"/>
        </w:rPr>
        <w:t>44]</w:t>
      </w:r>
      <w:r w:rsidR="002A7601" w:rsidRPr="00714401">
        <w:rPr>
          <w:rFonts w:ascii="Book Antiqua" w:hAnsi="Book Antiqua"/>
          <w:color w:val="auto"/>
          <w:lang w:val="en-US"/>
        </w:rPr>
        <w:t>.</w:t>
      </w:r>
      <w:r w:rsidR="00E46320" w:rsidRPr="00714401">
        <w:rPr>
          <w:rFonts w:ascii="Book Antiqua" w:hAnsi="Book Antiqua"/>
          <w:color w:val="auto"/>
          <w:lang w:val="en-US"/>
        </w:rPr>
        <w:t xml:space="preserve"> </w:t>
      </w:r>
      <w:r w:rsidR="00AA47FE" w:rsidRPr="00714401">
        <w:rPr>
          <w:rFonts w:ascii="Book Antiqua" w:hAnsi="Book Antiqua"/>
          <w:color w:val="auto"/>
          <w:lang w:val="en-US"/>
        </w:rPr>
        <w:t xml:space="preserve">The role of </w:t>
      </w:r>
      <w:r w:rsidR="00F001DC" w:rsidRPr="00714401">
        <w:rPr>
          <w:rFonts w:ascii="Book Antiqua" w:hAnsi="Book Antiqua"/>
          <w:color w:val="auto"/>
          <w:lang w:val="en-US"/>
        </w:rPr>
        <w:t>ICG</w:t>
      </w:r>
      <w:r w:rsidR="00F001DC" w:rsidRPr="00714401">
        <w:rPr>
          <w:rFonts w:ascii="Book Antiqua" w:hAnsi="Book Antiqua"/>
          <w:color w:val="auto"/>
          <w:vertAlign w:val="subscript"/>
          <w:lang w:val="en-US"/>
        </w:rPr>
        <w:t>R15</w:t>
      </w:r>
      <w:r w:rsidR="00F001DC" w:rsidRPr="00714401">
        <w:rPr>
          <w:rFonts w:ascii="Book Antiqua" w:hAnsi="Book Antiqua"/>
          <w:color w:val="auto"/>
          <w:lang w:val="en-US"/>
        </w:rPr>
        <w:t xml:space="preserve"> </w:t>
      </w:r>
      <w:r w:rsidR="00AA47FE" w:rsidRPr="00714401">
        <w:rPr>
          <w:rFonts w:ascii="Book Antiqua" w:hAnsi="Book Antiqua"/>
          <w:color w:val="auto"/>
          <w:lang w:val="en-US"/>
        </w:rPr>
        <w:t xml:space="preserve">in major liver resection </w:t>
      </w:r>
      <w:r w:rsidR="00037F98" w:rsidRPr="00714401">
        <w:rPr>
          <w:rFonts w:ascii="Book Antiqua" w:hAnsi="Book Antiqua"/>
          <w:color w:val="auto"/>
          <w:lang w:val="en-US"/>
        </w:rPr>
        <w:t xml:space="preserve">became </w:t>
      </w:r>
      <w:r w:rsidR="0094255A" w:rsidRPr="00714401">
        <w:rPr>
          <w:rFonts w:ascii="Book Antiqua" w:hAnsi="Book Antiqua"/>
          <w:color w:val="auto"/>
          <w:lang w:val="en-US"/>
        </w:rPr>
        <w:t xml:space="preserve">relevant and </w:t>
      </w:r>
      <w:r w:rsidR="00037F98" w:rsidRPr="00714401">
        <w:rPr>
          <w:rFonts w:ascii="Book Antiqua" w:hAnsi="Book Antiqua"/>
          <w:color w:val="auto"/>
          <w:lang w:val="en-US"/>
        </w:rPr>
        <w:t xml:space="preserve">evident </w:t>
      </w:r>
      <w:r w:rsidR="00F001DC" w:rsidRPr="00714401">
        <w:rPr>
          <w:rFonts w:ascii="Book Antiqua" w:hAnsi="Book Antiqua"/>
          <w:color w:val="auto"/>
          <w:lang w:val="en-US"/>
        </w:rPr>
        <w:t xml:space="preserve">after the publication of the </w:t>
      </w:r>
      <w:proofErr w:type="spellStart"/>
      <w:r w:rsidR="00F001DC" w:rsidRPr="00714401">
        <w:rPr>
          <w:rFonts w:ascii="Book Antiqua" w:hAnsi="Book Antiqua"/>
          <w:color w:val="auto"/>
          <w:lang w:val="en-US"/>
        </w:rPr>
        <w:t>Makuuchi</w:t>
      </w:r>
      <w:proofErr w:type="spellEnd"/>
      <w:r w:rsidR="00F001DC" w:rsidRPr="00714401">
        <w:rPr>
          <w:rFonts w:ascii="Book Antiqua" w:hAnsi="Book Antiqua"/>
          <w:color w:val="auto"/>
          <w:lang w:val="en-US"/>
        </w:rPr>
        <w:t xml:space="preserve"> group</w:t>
      </w:r>
      <w:r w:rsidR="00B74106" w:rsidRPr="00714401">
        <w:rPr>
          <w:rFonts w:ascii="Book Antiqua" w:hAnsi="Book Antiqua"/>
          <w:color w:val="auto"/>
          <w:lang w:val="en-US"/>
        </w:rPr>
        <w:t xml:space="preserve">’s </w:t>
      </w:r>
      <w:r w:rsidR="0094255A" w:rsidRPr="00714401">
        <w:rPr>
          <w:rFonts w:ascii="Book Antiqua" w:hAnsi="Book Antiqua"/>
          <w:color w:val="auto"/>
          <w:lang w:val="en-US"/>
        </w:rPr>
        <w:t>experience</w:t>
      </w:r>
      <w:r w:rsidR="00797691" w:rsidRPr="00714401">
        <w:rPr>
          <w:rFonts w:ascii="Book Antiqua" w:hAnsi="Book Antiqua"/>
          <w:color w:val="auto"/>
          <w:lang w:val="en-US"/>
        </w:rPr>
        <w:t xml:space="preserve">: </w:t>
      </w:r>
      <w:r w:rsidR="008A0B8B" w:rsidRPr="00714401">
        <w:rPr>
          <w:rFonts w:ascii="Book Antiqua" w:hAnsi="Book Antiqua"/>
          <w:color w:val="auto"/>
          <w:lang w:val="en-US"/>
        </w:rPr>
        <w:t xml:space="preserve">analyzing the results obtained </w:t>
      </w:r>
      <w:r w:rsidR="00B74106" w:rsidRPr="00714401">
        <w:rPr>
          <w:rFonts w:ascii="Book Antiqua" w:hAnsi="Book Antiqua"/>
          <w:color w:val="auto"/>
          <w:lang w:val="en-US"/>
        </w:rPr>
        <w:t xml:space="preserve">between 1994 and </w:t>
      </w:r>
      <w:r w:rsidR="002D52C9" w:rsidRPr="00714401">
        <w:rPr>
          <w:rFonts w:ascii="Book Antiqua" w:hAnsi="Book Antiqua"/>
          <w:color w:val="auto"/>
          <w:lang w:val="en-US"/>
        </w:rPr>
        <w:t>2002, the AA</w:t>
      </w:r>
      <w:r w:rsidR="00797691" w:rsidRPr="00714401">
        <w:rPr>
          <w:rFonts w:ascii="Book Antiqua" w:hAnsi="Book Antiqua"/>
          <w:color w:val="auto"/>
          <w:lang w:val="en-US"/>
        </w:rPr>
        <w:t>s</w:t>
      </w:r>
      <w:r w:rsidR="0076063F" w:rsidRPr="00714401">
        <w:rPr>
          <w:rFonts w:ascii="Book Antiqua" w:hAnsi="Book Antiqua"/>
          <w:color w:val="auto"/>
          <w:lang w:val="en-US"/>
        </w:rPr>
        <w:t xml:space="preserve"> </w:t>
      </w:r>
      <w:r w:rsidR="008A0B8B" w:rsidRPr="00714401">
        <w:rPr>
          <w:rFonts w:ascii="Book Antiqua" w:hAnsi="Book Antiqua"/>
          <w:color w:val="auto"/>
          <w:lang w:val="en-US"/>
        </w:rPr>
        <w:t>were able to report</w:t>
      </w:r>
      <w:r w:rsidR="00B27554" w:rsidRPr="00714401">
        <w:rPr>
          <w:rFonts w:ascii="Book Antiqua" w:hAnsi="Book Antiqua"/>
          <w:color w:val="auto"/>
          <w:lang w:val="en-US"/>
        </w:rPr>
        <w:t xml:space="preserve"> </w:t>
      </w:r>
      <w:r w:rsidR="00F001DC" w:rsidRPr="00714401">
        <w:rPr>
          <w:rFonts w:ascii="Book Antiqua" w:hAnsi="Book Antiqua"/>
          <w:color w:val="auto"/>
          <w:lang w:val="en-US"/>
        </w:rPr>
        <w:t xml:space="preserve">zero mortality in 1056 </w:t>
      </w:r>
      <w:proofErr w:type="spellStart"/>
      <w:proofErr w:type="gramStart"/>
      <w:r w:rsidR="00F001DC" w:rsidRPr="00714401">
        <w:rPr>
          <w:rFonts w:ascii="Book Antiqua" w:hAnsi="Book Antiqua"/>
          <w:color w:val="auto"/>
          <w:lang w:val="en-US"/>
        </w:rPr>
        <w:t>hepatectomies</w:t>
      </w:r>
      <w:proofErr w:type="spellEnd"/>
      <w:r w:rsidR="002D52C9" w:rsidRPr="00714401">
        <w:rPr>
          <w:rFonts w:ascii="Book Antiqua" w:hAnsi="Book Antiqua"/>
          <w:color w:val="auto"/>
          <w:vertAlign w:val="superscript"/>
          <w:lang w:val="en-US"/>
        </w:rPr>
        <w:t>[</w:t>
      </w:r>
      <w:proofErr w:type="gramEnd"/>
      <w:r w:rsidR="002D52C9" w:rsidRPr="00714401">
        <w:rPr>
          <w:rFonts w:ascii="Book Antiqua" w:hAnsi="Book Antiqua"/>
          <w:color w:val="auto"/>
          <w:vertAlign w:val="superscript"/>
          <w:lang w:val="en-US"/>
        </w:rPr>
        <w:t>5]</w:t>
      </w:r>
      <w:r w:rsidR="002D52C9" w:rsidRPr="00714401">
        <w:rPr>
          <w:rFonts w:ascii="Book Antiqua" w:hAnsi="Book Antiqua"/>
          <w:color w:val="auto"/>
          <w:lang w:val="en-US"/>
        </w:rPr>
        <w:t xml:space="preserve">. </w:t>
      </w:r>
      <w:r w:rsidR="0094255A" w:rsidRPr="00714401">
        <w:rPr>
          <w:rFonts w:ascii="Book Antiqua" w:hAnsi="Book Antiqua"/>
          <w:color w:val="auto"/>
          <w:lang w:val="en-US"/>
        </w:rPr>
        <w:t xml:space="preserve">Three </w:t>
      </w:r>
      <w:r w:rsidR="00F6289C" w:rsidRPr="00714401">
        <w:rPr>
          <w:rFonts w:ascii="Book Antiqua" w:hAnsi="Book Antiqua"/>
          <w:color w:val="auto"/>
          <w:lang w:val="en-US"/>
        </w:rPr>
        <w:t xml:space="preserve">were the </w:t>
      </w:r>
      <w:r w:rsidR="0094255A" w:rsidRPr="00714401">
        <w:rPr>
          <w:rFonts w:ascii="Book Antiqua" w:hAnsi="Book Antiqua"/>
          <w:color w:val="auto"/>
          <w:lang w:val="en-US"/>
        </w:rPr>
        <w:t>variables were particularly highlighted i</w:t>
      </w:r>
      <w:r w:rsidR="002D52C9" w:rsidRPr="00714401">
        <w:rPr>
          <w:rFonts w:ascii="Book Antiqua" w:hAnsi="Book Antiqua"/>
          <w:color w:val="auto"/>
          <w:lang w:val="en-US"/>
        </w:rPr>
        <w:t>n the preoperative assessment</w:t>
      </w:r>
      <w:r w:rsidR="00F001DC" w:rsidRPr="00714401">
        <w:rPr>
          <w:rFonts w:ascii="Book Antiqua" w:hAnsi="Book Antiqua"/>
          <w:color w:val="auto"/>
          <w:lang w:val="en-US"/>
        </w:rPr>
        <w:t xml:space="preserve">: </w:t>
      </w:r>
      <w:r w:rsidR="00B27554" w:rsidRPr="00714401">
        <w:rPr>
          <w:rFonts w:ascii="Book Antiqua" w:hAnsi="Book Antiqua"/>
          <w:color w:val="auto"/>
          <w:lang w:val="en-US"/>
        </w:rPr>
        <w:t>(</w:t>
      </w:r>
      <w:r w:rsidR="00572069" w:rsidRPr="00714401">
        <w:rPr>
          <w:rFonts w:ascii="Book Antiqua" w:hAnsi="Book Antiqua" w:hint="eastAsia"/>
          <w:color w:val="auto"/>
          <w:lang w:val="en-US" w:eastAsia="zh-CN"/>
        </w:rPr>
        <w:t>1</w:t>
      </w:r>
      <w:r w:rsidR="00B27554" w:rsidRPr="00714401">
        <w:rPr>
          <w:rFonts w:ascii="Book Antiqua" w:hAnsi="Book Antiqua"/>
          <w:color w:val="auto"/>
          <w:lang w:val="en-US"/>
        </w:rPr>
        <w:t xml:space="preserve">) </w:t>
      </w:r>
      <w:r w:rsidR="00E46320" w:rsidRPr="00714401">
        <w:rPr>
          <w:rFonts w:ascii="Book Antiqua" w:hAnsi="Book Antiqua"/>
          <w:color w:val="auto"/>
          <w:lang w:val="en-US"/>
        </w:rPr>
        <w:t>ascites</w:t>
      </w:r>
      <w:r w:rsidR="00F6289C" w:rsidRPr="00714401">
        <w:rPr>
          <w:rFonts w:ascii="Book Antiqua" w:hAnsi="Book Antiqua"/>
          <w:color w:val="auto"/>
          <w:lang w:val="en-US"/>
        </w:rPr>
        <w:t xml:space="preserve"> (presence or absence)</w:t>
      </w:r>
      <w:r w:rsidR="00E46320" w:rsidRPr="00714401">
        <w:rPr>
          <w:rFonts w:ascii="Book Antiqua" w:hAnsi="Book Antiqua"/>
          <w:color w:val="auto"/>
          <w:lang w:val="en-US"/>
        </w:rPr>
        <w:t>;</w:t>
      </w:r>
      <w:r w:rsidR="00F001DC" w:rsidRPr="00714401">
        <w:rPr>
          <w:rFonts w:ascii="Book Antiqua" w:hAnsi="Book Antiqua"/>
          <w:color w:val="auto"/>
          <w:lang w:val="en-US"/>
        </w:rPr>
        <w:t xml:space="preserve"> </w:t>
      </w:r>
      <w:r w:rsidR="00B27554" w:rsidRPr="00714401">
        <w:rPr>
          <w:rFonts w:ascii="Book Antiqua" w:hAnsi="Book Antiqua"/>
          <w:color w:val="auto"/>
          <w:lang w:val="en-US"/>
        </w:rPr>
        <w:t>(</w:t>
      </w:r>
      <w:r w:rsidR="00572069" w:rsidRPr="00714401">
        <w:rPr>
          <w:rFonts w:ascii="Book Antiqua" w:hAnsi="Book Antiqua" w:hint="eastAsia"/>
          <w:color w:val="auto"/>
          <w:lang w:val="en-US" w:eastAsia="zh-CN"/>
        </w:rPr>
        <w:t>2</w:t>
      </w:r>
      <w:r w:rsidR="00B27554" w:rsidRPr="00714401">
        <w:rPr>
          <w:rFonts w:ascii="Book Antiqua" w:hAnsi="Book Antiqua"/>
          <w:color w:val="auto"/>
          <w:lang w:val="en-US"/>
        </w:rPr>
        <w:t xml:space="preserve">) </w:t>
      </w:r>
      <w:r w:rsidR="00F001DC" w:rsidRPr="00714401">
        <w:rPr>
          <w:rFonts w:ascii="Book Antiqua" w:hAnsi="Book Antiqua"/>
          <w:color w:val="auto"/>
          <w:lang w:val="en-US"/>
        </w:rPr>
        <w:t>bilirubin</w:t>
      </w:r>
      <w:r w:rsidR="00F6289C" w:rsidRPr="00714401">
        <w:rPr>
          <w:rFonts w:ascii="Book Antiqua" w:hAnsi="Book Antiqua"/>
          <w:color w:val="auto"/>
          <w:lang w:val="en-US"/>
        </w:rPr>
        <w:t>emia</w:t>
      </w:r>
      <w:r w:rsidR="00E46320" w:rsidRPr="00714401">
        <w:rPr>
          <w:rFonts w:ascii="Book Antiqua" w:hAnsi="Book Antiqua" w:cs="Cambria Math"/>
          <w:color w:val="auto"/>
          <w:lang w:val="en-US"/>
        </w:rPr>
        <w:t>;</w:t>
      </w:r>
      <w:r w:rsidR="00F001DC" w:rsidRPr="00714401">
        <w:rPr>
          <w:rFonts w:ascii="Book Antiqua" w:hAnsi="Book Antiqua" w:cs="Cambria Math"/>
          <w:color w:val="auto"/>
          <w:lang w:val="en-US"/>
        </w:rPr>
        <w:t xml:space="preserve"> </w:t>
      </w:r>
      <w:r w:rsidR="00572069" w:rsidRPr="00714401">
        <w:rPr>
          <w:rFonts w:ascii="Book Antiqua" w:hAnsi="Book Antiqua" w:cs="Cambria Math" w:hint="eastAsia"/>
          <w:color w:val="auto"/>
          <w:lang w:val="en-US" w:eastAsia="zh-CN"/>
        </w:rPr>
        <w:t xml:space="preserve">and </w:t>
      </w:r>
      <w:r w:rsidR="00B27554" w:rsidRPr="00714401">
        <w:rPr>
          <w:rFonts w:ascii="Book Antiqua" w:hAnsi="Book Antiqua" w:cs="Cambria Math"/>
          <w:color w:val="auto"/>
          <w:lang w:val="en-US"/>
        </w:rPr>
        <w:t>(</w:t>
      </w:r>
      <w:r w:rsidR="00572069" w:rsidRPr="00714401">
        <w:rPr>
          <w:rFonts w:ascii="Book Antiqua" w:hAnsi="Book Antiqua" w:cs="Cambria Math" w:hint="eastAsia"/>
          <w:color w:val="auto"/>
          <w:lang w:val="en-US" w:eastAsia="zh-CN"/>
        </w:rPr>
        <w:t>3</w:t>
      </w:r>
      <w:r w:rsidR="00B27554" w:rsidRPr="00714401">
        <w:rPr>
          <w:rFonts w:ascii="Book Antiqua" w:hAnsi="Book Antiqua" w:cs="Cambria Math"/>
          <w:color w:val="auto"/>
          <w:lang w:val="en-US"/>
        </w:rPr>
        <w:t xml:space="preserve">) </w:t>
      </w:r>
      <w:proofErr w:type="gramStart"/>
      <w:r w:rsidR="00F001DC" w:rsidRPr="00714401">
        <w:rPr>
          <w:rFonts w:ascii="Book Antiqua" w:hAnsi="Book Antiqua"/>
          <w:color w:val="auto"/>
          <w:lang w:val="en-US"/>
        </w:rPr>
        <w:t>ICG</w:t>
      </w:r>
      <w:r w:rsidR="00E46320" w:rsidRPr="00714401">
        <w:rPr>
          <w:rFonts w:ascii="Book Antiqua" w:hAnsi="Book Antiqua"/>
          <w:color w:val="auto"/>
          <w:vertAlign w:val="subscript"/>
          <w:lang w:val="en-US"/>
        </w:rPr>
        <w:t>R15</w:t>
      </w:r>
      <w:r w:rsidR="00947A77" w:rsidRPr="00714401">
        <w:rPr>
          <w:rFonts w:ascii="Book Antiqua" w:hAnsi="Book Antiqua"/>
          <w:color w:val="auto"/>
          <w:vertAlign w:val="superscript"/>
          <w:lang w:val="en-US"/>
        </w:rPr>
        <w:t>[</w:t>
      </w:r>
      <w:proofErr w:type="gramEnd"/>
      <w:r w:rsidR="00E04184" w:rsidRPr="00714401">
        <w:rPr>
          <w:rFonts w:ascii="Book Antiqua" w:hAnsi="Book Antiqua"/>
          <w:color w:val="auto"/>
          <w:vertAlign w:val="superscript"/>
          <w:lang w:val="en-US"/>
        </w:rPr>
        <w:t>5</w:t>
      </w:r>
      <w:r w:rsidR="00D03DEC" w:rsidRPr="00714401">
        <w:rPr>
          <w:rFonts w:ascii="Book Antiqua" w:hAnsi="Book Antiqua"/>
          <w:color w:val="auto"/>
          <w:vertAlign w:val="superscript"/>
          <w:lang w:val="en-US"/>
        </w:rPr>
        <w:t>,</w:t>
      </w:r>
      <w:r w:rsidR="00E04184" w:rsidRPr="00714401">
        <w:rPr>
          <w:rFonts w:ascii="Book Antiqua" w:hAnsi="Book Antiqua"/>
          <w:color w:val="auto"/>
          <w:vertAlign w:val="superscript"/>
          <w:lang w:val="en-US"/>
        </w:rPr>
        <w:t>27</w:t>
      </w:r>
      <w:r w:rsidR="00947A77" w:rsidRPr="00714401">
        <w:rPr>
          <w:rFonts w:ascii="Book Antiqua" w:hAnsi="Book Antiqua"/>
          <w:color w:val="auto"/>
          <w:vertAlign w:val="superscript"/>
          <w:lang w:val="en-US"/>
        </w:rPr>
        <w:t>]</w:t>
      </w:r>
      <w:r w:rsidR="00F001DC" w:rsidRPr="00714401">
        <w:rPr>
          <w:rFonts w:ascii="Book Antiqua" w:hAnsi="Book Antiqua"/>
          <w:color w:val="auto"/>
          <w:lang w:val="en-US"/>
        </w:rPr>
        <w:t xml:space="preserve">. </w:t>
      </w:r>
    </w:p>
    <w:p w:rsidR="00947A77" w:rsidRPr="00714401" w:rsidRDefault="002D52C9" w:rsidP="008D5473">
      <w:pPr>
        <w:pStyle w:val="Default"/>
        <w:snapToGrid w:val="0"/>
        <w:spacing w:line="360" w:lineRule="auto"/>
        <w:ind w:firstLineChars="100" w:firstLine="240"/>
        <w:jc w:val="both"/>
        <w:rPr>
          <w:rFonts w:ascii="Book Antiqua" w:hAnsi="Book Antiqua"/>
          <w:color w:val="auto"/>
          <w:vertAlign w:val="superscript"/>
          <w:lang w:val="en-US" w:eastAsia="zh-CN"/>
        </w:rPr>
      </w:pPr>
      <w:r w:rsidRPr="00714401">
        <w:rPr>
          <w:rFonts w:ascii="Book Antiqua" w:hAnsi="Book Antiqua"/>
          <w:color w:val="auto"/>
          <w:lang w:val="en-US"/>
        </w:rPr>
        <w:t>According to the original decisional tree</w:t>
      </w:r>
      <w:r w:rsidR="0094255A" w:rsidRPr="00714401">
        <w:rPr>
          <w:rFonts w:ascii="Book Antiqua" w:hAnsi="Book Antiqua"/>
          <w:color w:val="auto"/>
          <w:lang w:val="en-US"/>
        </w:rPr>
        <w:t xml:space="preserve"> proposed by Imamura </w:t>
      </w:r>
      <w:r w:rsidR="0094255A" w:rsidRPr="00714401">
        <w:rPr>
          <w:rFonts w:ascii="Book Antiqua" w:hAnsi="Book Antiqua"/>
          <w:i/>
          <w:color w:val="auto"/>
          <w:lang w:val="en-US"/>
        </w:rPr>
        <w:t>et al</w:t>
      </w:r>
      <w:r w:rsidR="00572069" w:rsidRPr="00714401">
        <w:rPr>
          <w:rFonts w:ascii="Book Antiqua" w:hAnsi="Book Antiqua"/>
          <w:color w:val="auto"/>
          <w:vertAlign w:val="superscript"/>
          <w:lang w:val="en-US"/>
        </w:rPr>
        <w:t>[5]</w:t>
      </w:r>
      <w:r w:rsidRPr="00714401">
        <w:rPr>
          <w:rFonts w:ascii="Book Antiqua" w:hAnsi="Book Antiqua"/>
          <w:color w:val="auto"/>
          <w:lang w:val="en-US"/>
        </w:rPr>
        <w:t>, k</w:t>
      </w:r>
      <w:r w:rsidR="001560B9" w:rsidRPr="00714401">
        <w:rPr>
          <w:rFonts w:ascii="Book Antiqua" w:hAnsi="Book Antiqua"/>
          <w:color w:val="auto"/>
          <w:lang w:val="en-US"/>
        </w:rPr>
        <w:t>ey</w:t>
      </w:r>
      <w:r w:rsidR="0076063F" w:rsidRPr="00714401">
        <w:rPr>
          <w:rFonts w:ascii="Book Antiqua" w:hAnsi="Book Antiqua"/>
          <w:color w:val="auto"/>
          <w:lang w:val="en-US"/>
        </w:rPr>
        <w:t xml:space="preserve"> </w:t>
      </w:r>
      <w:r w:rsidR="00B27554" w:rsidRPr="00714401">
        <w:rPr>
          <w:rFonts w:ascii="Book Antiqua" w:hAnsi="Book Antiqua"/>
          <w:color w:val="auto"/>
          <w:lang w:val="en-US"/>
        </w:rPr>
        <w:t>points</w:t>
      </w:r>
      <w:r w:rsidR="0076063F" w:rsidRPr="00714401">
        <w:rPr>
          <w:rFonts w:ascii="Book Antiqua" w:hAnsi="Book Antiqua"/>
          <w:color w:val="auto"/>
          <w:lang w:val="en-US"/>
        </w:rPr>
        <w:t xml:space="preserve"> </w:t>
      </w:r>
      <w:r w:rsidR="00572069" w:rsidRPr="00714401">
        <w:rPr>
          <w:rFonts w:ascii="Book Antiqua" w:hAnsi="Book Antiqua"/>
          <w:color w:val="auto"/>
          <w:lang w:val="en-US"/>
        </w:rPr>
        <w:t>are</w:t>
      </w:r>
      <w:r w:rsidR="00572069" w:rsidRPr="00714401">
        <w:rPr>
          <w:rFonts w:ascii="Book Antiqua" w:hAnsi="Book Antiqua" w:hint="eastAsia"/>
          <w:color w:val="auto"/>
          <w:lang w:val="en-US" w:eastAsia="zh-CN"/>
        </w:rPr>
        <w:t>:</w:t>
      </w:r>
      <w:r w:rsidR="008D5473" w:rsidRPr="00714401">
        <w:rPr>
          <w:rFonts w:ascii="Book Antiqua" w:hAnsi="Book Antiqua" w:hint="eastAsia"/>
          <w:color w:val="auto"/>
          <w:lang w:val="en-US" w:eastAsia="zh-CN"/>
        </w:rPr>
        <w:t xml:space="preserve"> (1)</w:t>
      </w:r>
      <w:r w:rsidR="008D5473" w:rsidRPr="00714401">
        <w:rPr>
          <w:rFonts w:ascii="Book Antiqua" w:hAnsi="Book Antiqua" w:hint="eastAsia"/>
          <w:color w:val="auto"/>
          <w:vertAlign w:val="superscript"/>
          <w:lang w:val="en-US" w:eastAsia="zh-CN"/>
        </w:rPr>
        <w:t xml:space="preserve"> </w:t>
      </w:r>
      <w:r w:rsidR="00783557" w:rsidRPr="00714401">
        <w:rPr>
          <w:rFonts w:ascii="Book Antiqua" w:hAnsi="Book Antiqua"/>
          <w:color w:val="auto"/>
          <w:lang w:val="en-US"/>
        </w:rPr>
        <w:t xml:space="preserve">contraindication to hepatic resection </w:t>
      </w:r>
      <w:r w:rsidR="00F6289C" w:rsidRPr="00714401">
        <w:rPr>
          <w:rFonts w:ascii="Book Antiqua" w:hAnsi="Book Antiqua"/>
          <w:color w:val="auto"/>
          <w:lang w:val="en-US"/>
        </w:rPr>
        <w:t>in presence of uncontrolled ascites or serum bilirubin &gt; 1.9</w:t>
      </w:r>
      <w:r w:rsidR="0076063F" w:rsidRPr="00714401">
        <w:rPr>
          <w:rFonts w:ascii="Book Antiqua" w:hAnsi="Book Antiqua"/>
          <w:color w:val="auto"/>
          <w:lang w:val="en-US"/>
        </w:rPr>
        <w:t xml:space="preserve"> </w:t>
      </w:r>
      <w:r w:rsidR="00F6289C" w:rsidRPr="00714401">
        <w:rPr>
          <w:rFonts w:ascii="Book Antiqua" w:hAnsi="Book Antiqua"/>
          <w:color w:val="auto"/>
          <w:lang w:val="en-US"/>
        </w:rPr>
        <w:t>mg</w:t>
      </w:r>
      <w:r w:rsidR="008D5473" w:rsidRPr="00714401">
        <w:rPr>
          <w:rFonts w:ascii="Book Antiqua" w:hAnsi="Book Antiqua" w:hint="eastAsia"/>
          <w:color w:val="auto"/>
          <w:lang w:val="en-US" w:eastAsia="zh-CN"/>
        </w:rPr>
        <w:t>/</w:t>
      </w:r>
      <w:proofErr w:type="spellStart"/>
      <w:r w:rsidR="00F6289C" w:rsidRPr="00714401">
        <w:rPr>
          <w:rFonts w:ascii="Book Antiqua" w:hAnsi="Book Antiqua"/>
          <w:color w:val="auto"/>
          <w:lang w:val="en-US"/>
        </w:rPr>
        <w:t>d</w:t>
      </w:r>
      <w:r w:rsidR="008D5473" w:rsidRPr="00714401">
        <w:rPr>
          <w:rFonts w:ascii="Book Antiqua" w:hAnsi="Book Antiqua"/>
          <w:color w:val="auto"/>
          <w:lang w:val="en-US"/>
        </w:rPr>
        <w:t>L</w:t>
      </w:r>
      <w:proofErr w:type="spellEnd"/>
      <w:r w:rsidR="008D5473" w:rsidRPr="00714401">
        <w:rPr>
          <w:rFonts w:ascii="Book Antiqua" w:hAnsi="Book Antiqua" w:hint="eastAsia"/>
          <w:color w:val="auto"/>
          <w:lang w:val="en-US" w:eastAsia="zh-CN"/>
        </w:rPr>
        <w:t>; (2)</w:t>
      </w:r>
      <w:r w:rsidR="00F6289C" w:rsidRPr="00714401">
        <w:rPr>
          <w:rFonts w:ascii="Book Antiqua" w:hAnsi="Book Antiqua"/>
          <w:color w:val="auto"/>
          <w:lang w:val="en-US"/>
        </w:rPr>
        <w:t xml:space="preserve"> </w:t>
      </w:r>
      <w:r w:rsidR="00783557" w:rsidRPr="00714401">
        <w:rPr>
          <w:rFonts w:ascii="Book Antiqua" w:hAnsi="Book Antiqua"/>
          <w:color w:val="auto"/>
          <w:lang w:val="en-US"/>
        </w:rPr>
        <w:t>minor resections</w:t>
      </w:r>
      <w:r w:rsidR="0076063F" w:rsidRPr="00714401">
        <w:rPr>
          <w:rFonts w:ascii="Book Antiqua" w:hAnsi="Book Antiqua"/>
          <w:color w:val="auto"/>
          <w:lang w:val="en-US"/>
        </w:rPr>
        <w:t xml:space="preserve"> </w:t>
      </w:r>
      <w:r w:rsidR="00783557" w:rsidRPr="00714401">
        <w:rPr>
          <w:rFonts w:ascii="Book Antiqua" w:hAnsi="Book Antiqua"/>
          <w:color w:val="auto"/>
          <w:lang w:val="en-US"/>
        </w:rPr>
        <w:t xml:space="preserve">possible </w:t>
      </w:r>
      <w:r w:rsidR="00684729" w:rsidRPr="00714401">
        <w:rPr>
          <w:rFonts w:ascii="Book Antiqua" w:hAnsi="Book Antiqua"/>
          <w:color w:val="auto"/>
          <w:lang w:val="en-US"/>
        </w:rPr>
        <w:t>with</w:t>
      </w:r>
      <w:r w:rsidR="0076063F" w:rsidRPr="00714401">
        <w:rPr>
          <w:rFonts w:ascii="Book Antiqua" w:hAnsi="Book Antiqua"/>
          <w:color w:val="auto"/>
          <w:lang w:val="en-US"/>
        </w:rPr>
        <w:t xml:space="preserve"> </w:t>
      </w:r>
      <w:r w:rsidR="00F6289C" w:rsidRPr="00714401">
        <w:rPr>
          <w:rFonts w:ascii="Book Antiqua" w:hAnsi="Book Antiqua"/>
          <w:color w:val="auto"/>
          <w:lang w:val="en-US"/>
        </w:rPr>
        <w:t xml:space="preserve">serum bilirubin </w:t>
      </w:r>
      <w:r w:rsidR="00A95571" w:rsidRPr="00714401">
        <w:rPr>
          <w:rFonts w:ascii="Book Antiqua" w:hAnsi="Book Antiqua"/>
          <w:color w:val="auto"/>
          <w:lang w:val="en-US"/>
        </w:rPr>
        <w:t>ra</w:t>
      </w:r>
      <w:r w:rsidR="00684729" w:rsidRPr="00714401">
        <w:rPr>
          <w:rFonts w:ascii="Book Antiqua" w:hAnsi="Book Antiqua"/>
          <w:color w:val="auto"/>
          <w:lang w:val="en-US"/>
        </w:rPr>
        <w:t xml:space="preserve">nging </w:t>
      </w:r>
      <w:r w:rsidR="00F6289C" w:rsidRPr="00714401">
        <w:rPr>
          <w:rFonts w:ascii="Book Antiqua" w:hAnsi="Book Antiqua"/>
          <w:color w:val="auto"/>
          <w:lang w:val="en-US"/>
        </w:rPr>
        <w:t>between</w:t>
      </w:r>
      <w:r w:rsidR="0076063F" w:rsidRPr="00714401">
        <w:rPr>
          <w:rFonts w:ascii="Book Antiqua" w:hAnsi="Book Antiqua"/>
          <w:color w:val="auto"/>
          <w:lang w:val="en-US"/>
        </w:rPr>
        <w:t xml:space="preserve"> </w:t>
      </w:r>
      <w:r w:rsidR="00F6289C" w:rsidRPr="00714401">
        <w:rPr>
          <w:rFonts w:ascii="Book Antiqua" w:hAnsi="Book Antiqua"/>
          <w:color w:val="auto"/>
          <w:lang w:val="en-US"/>
        </w:rPr>
        <w:t>1 and</w:t>
      </w:r>
      <w:r w:rsidR="0076063F" w:rsidRPr="00714401">
        <w:rPr>
          <w:rFonts w:ascii="Book Antiqua" w:hAnsi="Book Antiqua"/>
          <w:color w:val="auto"/>
          <w:lang w:val="en-US"/>
        </w:rPr>
        <w:t xml:space="preserve"> </w:t>
      </w:r>
      <w:r w:rsidR="00F6289C" w:rsidRPr="00714401">
        <w:rPr>
          <w:rFonts w:ascii="Book Antiqua" w:hAnsi="Book Antiqua"/>
          <w:color w:val="auto"/>
          <w:lang w:val="en-US"/>
        </w:rPr>
        <w:t xml:space="preserve">1.9 </w:t>
      </w:r>
      <w:r w:rsidR="008D5473" w:rsidRPr="00714401">
        <w:rPr>
          <w:rFonts w:ascii="Book Antiqua" w:hAnsi="Book Antiqua"/>
          <w:color w:val="auto"/>
          <w:lang w:val="en-US"/>
        </w:rPr>
        <w:t>mg</w:t>
      </w:r>
      <w:r w:rsidR="008D5473" w:rsidRPr="00714401">
        <w:rPr>
          <w:rFonts w:ascii="Book Antiqua" w:hAnsi="Book Antiqua" w:hint="eastAsia"/>
          <w:color w:val="auto"/>
          <w:lang w:val="en-US" w:eastAsia="zh-CN"/>
        </w:rPr>
        <w:t>/</w:t>
      </w:r>
      <w:proofErr w:type="spellStart"/>
      <w:r w:rsidR="008D5473" w:rsidRPr="00714401">
        <w:rPr>
          <w:rFonts w:ascii="Book Antiqua" w:hAnsi="Book Antiqua"/>
          <w:color w:val="auto"/>
          <w:lang w:val="en-US"/>
        </w:rPr>
        <w:t>dL</w:t>
      </w:r>
      <w:proofErr w:type="spellEnd"/>
      <w:r w:rsidR="00783557" w:rsidRPr="00714401">
        <w:rPr>
          <w:rFonts w:ascii="Book Antiqua" w:hAnsi="Book Antiqua"/>
          <w:color w:val="auto"/>
          <w:lang w:val="en-US"/>
        </w:rPr>
        <w:t xml:space="preserve"> </w:t>
      </w:r>
      <w:r w:rsidR="00797310" w:rsidRPr="00714401">
        <w:rPr>
          <w:rFonts w:ascii="Book Antiqua" w:hAnsi="Book Antiqua"/>
          <w:color w:val="auto"/>
          <w:lang w:val="en-US"/>
        </w:rPr>
        <w:t>the lower</w:t>
      </w:r>
      <w:r w:rsidR="0076063F" w:rsidRPr="00714401">
        <w:rPr>
          <w:rFonts w:ascii="Book Antiqua" w:hAnsi="Book Antiqua"/>
          <w:color w:val="auto"/>
          <w:lang w:val="en-US"/>
        </w:rPr>
        <w:t xml:space="preserve"> </w:t>
      </w:r>
      <w:r w:rsidR="00797310" w:rsidRPr="00714401">
        <w:rPr>
          <w:rFonts w:ascii="Book Antiqua" w:hAnsi="Book Antiqua"/>
          <w:color w:val="auto"/>
          <w:lang w:val="en-US"/>
        </w:rPr>
        <w:t>the</w:t>
      </w:r>
      <w:r w:rsidR="0076063F" w:rsidRPr="00714401">
        <w:rPr>
          <w:rFonts w:ascii="Book Antiqua" w:hAnsi="Book Antiqua"/>
          <w:color w:val="auto"/>
          <w:lang w:val="en-US"/>
        </w:rPr>
        <w:t xml:space="preserve"> </w:t>
      </w:r>
      <w:r w:rsidR="00684729" w:rsidRPr="00714401">
        <w:rPr>
          <w:rFonts w:ascii="Book Antiqua" w:hAnsi="Book Antiqua" w:cs="Arial"/>
          <w:color w:val="auto"/>
          <w:lang w:val="en-US"/>
        </w:rPr>
        <w:t>bilirubin level</w:t>
      </w:r>
      <w:r w:rsidR="00797310" w:rsidRPr="00714401">
        <w:rPr>
          <w:rFonts w:ascii="Book Antiqua" w:hAnsi="Book Antiqua" w:cs="Arial"/>
          <w:color w:val="auto"/>
          <w:lang w:val="en-US"/>
        </w:rPr>
        <w:t xml:space="preserve">, </w:t>
      </w:r>
      <w:r w:rsidR="0094255A" w:rsidRPr="00714401">
        <w:rPr>
          <w:rFonts w:ascii="Book Antiqua" w:hAnsi="Book Antiqua"/>
          <w:color w:val="auto"/>
          <w:lang w:val="en-US"/>
        </w:rPr>
        <w:t xml:space="preserve">the </w:t>
      </w:r>
      <w:r w:rsidR="00684729" w:rsidRPr="00714401">
        <w:rPr>
          <w:rFonts w:ascii="Book Antiqua" w:hAnsi="Book Antiqua"/>
          <w:color w:val="auto"/>
          <w:lang w:val="en-US"/>
        </w:rPr>
        <w:t xml:space="preserve">larger </w:t>
      </w:r>
      <w:r w:rsidR="0094255A" w:rsidRPr="00714401">
        <w:rPr>
          <w:rFonts w:ascii="Book Antiqua" w:hAnsi="Book Antiqua"/>
          <w:color w:val="auto"/>
          <w:lang w:val="en-US"/>
        </w:rPr>
        <w:t>the resection</w:t>
      </w:r>
      <w:r w:rsidR="008D5473" w:rsidRPr="00714401">
        <w:rPr>
          <w:rFonts w:ascii="Book Antiqua" w:hAnsi="Book Antiqua" w:hint="eastAsia"/>
          <w:color w:val="auto"/>
          <w:lang w:val="en-US" w:eastAsia="zh-CN"/>
        </w:rPr>
        <w:t>; (3)</w:t>
      </w:r>
      <w:r w:rsidR="0094255A" w:rsidRPr="00714401">
        <w:rPr>
          <w:rFonts w:ascii="Book Antiqua" w:hAnsi="Book Antiqua"/>
          <w:color w:val="auto"/>
          <w:lang w:val="en-US"/>
        </w:rPr>
        <w:t xml:space="preserve"> </w:t>
      </w:r>
      <w:r w:rsidR="00783557" w:rsidRPr="00714401">
        <w:rPr>
          <w:rFonts w:ascii="Book Antiqua" w:hAnsi="Book Antiqua"/>
          <w:color w:val="auto"/>
          <w:lang w:val="en-US"/>
        </w:rPr>
        <w:t>according to ICG</w:t>
      </w:r>
      <w:r w:rsidR="00783557" w:rsidRPr="00714401">
        <w:rPr>
          <w:rFonts w:ascii="Book Antiqua" w:hAnsi="Book Antiqua"/>
          <w:color w:val="auto"/>
          <w:vertAlign w:val="subscript"/>
          <w:lang w:val="en-US"/>
        </w:rPr>
        <w:t>R15</w:t>
      </w:r>
      <w:r w:rsidR="00783557" w:rsidRPr="00714401">
        <w:rPr>
          <w:rFonts w:ascii="Book Antiqua" w:hAnsi="Book Antiqua"/>
          <w:color w:val="auto"/>
          <w:lang w:val="en-US"/>
        </w:rPr>
        <w:t xml:space="preserve"> intervals different types of hepatic resection possible</w:t>
      </w:r>
      <w:r w:rsidR="0076063F" w:rsidRPr="00714401">
        <w:rPr>
          <w:rFonts w:ascii="Book Antiqua" w:hAnsi="Book Antiqua"/>
          <w:color w:val="auto"/>
          <w:lang w:val="en-US"/>
        </w:rPr>
        <w:t xml:space="preserve"> </w:t>
      </w:r>
      <w:r w:rsidR="00F6289C" w:rsidRPr="00714401">
        <w:rPr>
          <w:rFonts w:ascii="Book Antiqua" w:hAnsi="Book Antiqua"/>
          <w:color w:val="auto"/>
          <w:lang w:val="en-US"/>
        </w:rPr>
        <w:t>in case of serum bilirubin</w:t>
      </w:r>
      <w:r w:rsidR="0076063F" w:rsidRPr="00714401">
        <w:rPr>
          <w:rFonts w:ascii="Book Antiqua" w:hAnsi="Book Antiqua"/>
          <w:color w:val="auto"/>
          <w:lang w:val="en-US"/>
        </w:rPr>
        <w:t xml:space="preserve"> </w:t>
      </w:r>
      <w:r w:rsidR="00F6289C" w:rsidRPr="00714401">
        <w:rPr>
          <w:rFonts w:ascii="Book Antiqua" w:hAnsi="Book Antiqua"/>
          <w:color w:val="auto"/>
          <w:lang w:val="en-US"/>
        </w:rPr>
        <w:t xml:space="preserve">&lt; 1.1 </w:t>
      </w:r>
      <w:r w:rsidR="008D5473" w:rsidRPr="00714401">
        <w:rPr>
          <w:rFonts w:ascii="Book Antiqua" w:hAnsi="Book Antiqua"/>
          <w:color w:val="auto"/>
          <w:lang w:val="en-US"/>
        </w:rPr>
        <w:t>mg</w:t>
      </w:r>
      <w:r w:rsidR="008D5473" w:rsidRPr="00714401">
        <w:rPr>
          <w:rFonts w:ascii="Book Antiqua" w:hAnsi="Book Antiqua" w:hint="eastAsia"/>
          <w:color w:val="auto"/>
          <w:lang w:val="en-US" w:eastAsia="zh-CN"/>
        </w:rPr>
        <w:t>/</w:t>
      </w:r>
      <w:proofErr w:type="spellStart"/>
      <w:r w:rsidR="008D5473" w:rsidRPr="00714401">
        <w:rPr>
          <w:rFonts w:ascii="Book Antiqua" w:hAnsi="Book Antiqua"/>
          <w:color w:val="auto"/>
          <w:lang w:val="en-US"/>
        </w:rPr>
        <w:t>dL</w:t>
      </w:r>
      <w:proofErr w:type="spellEnd"/>
      <w:r w:rsidR="00F6289C" w:rsidRPr="00714401">
        <w:rPr>
          <w:rFonts w:ascii="Book Antiqua" w:hAnsi="Book Antiqua"/>
          <w:color w:val="auto"/>
          <w:lang w:val="en-US"/>
        </w:rPr>
        <w:t xml:space="preserve"> and no ascites</w:t>
      </w:r>
      <w:r w:rsidR="00684729" w:rsidRPr="00714401">
        <w:rPr>
          <w:rFonts w:ascii="Book Antiqua" w:hAnsi="Book Antiqua"/>
          <w:color w:val="auto"/>
          <w:lang w:val="en-US"/>
        </w:rPr>
        <w:t xml:space="preserve"> (Figure </w:t>
      </w:r>
      <w:r w:rsidR="00F53214" w:rsidRPr="00714401">
        <w:rPr>
          <w:rFonts w:ascii="Book Antiqua" w:hAnsi="Book Antiqua" w:hint="eastAsia"/>
          <w:color w:val="auto"/>
          <w:lang w:val="en-US" w:eastAsia="zh-CN"/>
        </w:rPr>
        <w:t>4</w:t>
      </w:r>
      <w:r w:rsidR="00684729" w:rsidRPr="00714401">
        <w:rPr>
          <w:rFonts w:ascii="Book Antiqua" w:hAnsi="Book Antiqua"/>
          <w:color w:val="auto"/>
          <w:lang w:val="en-US"/>
        </w:rPr>
        <w:t>)</w:t>
      </w:r>
      <w:r w:rsidR="008D5473" w:rsidRPr="00714401">
        <w:rPr>
          <w:rFonts w:ascii="Book Antiqua" w:hAnsi="Book Antiqua" w:hint="eastAsia"/>
          <w:color w:val="auto"/>
          <w:lang w:val="en-US" w:eastAsia="zh-CN"/>
        </w:rPr>
        <w:t>.</w:t>
      </w:r>
    </w:p>
    <w:p w:rsidR="00600B69" w:rsidRPr="00714401" w:rsidRDefault="00124456" w:rsidP="008D5473">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Nowadays, preoperative selective portal vein</w:t>
      </w:r>
      <w:r w:rsidR="0076063F" w:rsidRPr="00714401">
        <w:rPr>
          <w:rFonts w:ascii="Book Antiqua" w:hAnsi="Book Antiqua"/>
          <w:color w:val="auto"/>
          <w:lang w:val="en-US"/>
        </w:rPr>
        <w:t xml:space="preserve"> </w:t>
      </w:r>
      <w:r w:rsidRPr="00714401">
        <w:rPr>
          <w:rFonts w:ascii="Book Antiqua" w:hAnsi="Book Antiqua"/>
          <w:color w:val="auto"/>
          <w:lang w:val="en-US"/>
        </w:rPr>
        <w:t>embolization (PVE) is a challenging</w:t>
      </w:r>
      <w:r w:rsidR="0076063F" w:rsidRPr="00714401">
        <w:rPr>
          <w:rFonts w:ascii="Book Antiqua" w:hAnsi="Book Antiqua"/>
          <w:color w:val="auto"/>
          <w:lang w:val="en-US"/>
        </w:rPr>
        <w:t xml:space="preserve"> </w:t>
      </w:r>
      <w:r w:rsidRPr="00714401">
        <w:rPr>
          <w:rFonts w:ascii="Book Antiqua" w:hAnsi="Book Antiqua"/>
          <w:color w:val="auto"/>
          <w:lang w:val="en-US"/>
        </w:rPr>
        <w:t>option i</w:t>
      </w:r>
      <w:r w:rsidR="001560B9" w:rsidRPr="00714401">
        <w:rPr>
          <w:rFonts w:ascii="Book Antiqua" w:hAnsi="Book Antiqua"/>
          <w:color w:val="auto"/>
          <w:lang w:val="en-US"/>
        </w:rPr>
        <w:t xml:space="preserve">n very </w:t>
      </w:r>
      <w:r w:rsidR="00684729" w:rsidRPr="00714401">
        <w:rPr>
          <w:rFonts w:ascii="Book Antiqua" w:hAnsi="Book Antiqua"/>
          <w:color w:val="auto"/>
          <w:lang w:val="en-US"/>
        </w:rPr>
        <w:t xml:space="preserve">well </w:t>
      </w:r>
      <w:r w:rsidR="001560B9" w:rsidRPr="00714401">
        <w:rPr>
          <w:rFonts w:ascii="Book Antiqua" w:hAnsi="Book Antiqua"/>
          <w:color w:val="auto"/>
          <w:lang w:val="en-US"/>
        </w:rPr>
        <w:t xml:space="preserve">selected </w:t>
      </w:r>
      <w:r w:rsidR="00B74106" w:rsidRPr="00714401">
        <w:rPr>
          <w:rFonts w:ascii="Book Antiqua" w:hAnsi="Book Antiqua"/>
          <w:color w:val="auto"/>
          <w:lang w:val="en-US"/>
        </w:rPr>
        <w:t xml:space="preserve">subjects </w:t>
      </w:r>
      <w:r w:rsidR="007878C4" w:rsidRPr="00714401">
        <w:rPr>
          <w:rFonts w:ascii="Book Antiqua" w:hAnsi="Book Antiqua"/>
          <w:color w:val="auto"/>
          <w:lang w:val="en-US"/>
        </w:rPr>
        <w:t xml:space="preserve">candidates to </w:t>
      </w:r>
      <w:r w:rsidRPr="00714401">
        <w:rPr>
          <w:rFonts w:ascii="Book Antiqua" w:hAnsi="Book Antiqua"/>
          <w:color w:val="auto"/>
          <w:lang w:val="en-US"/>
        </w:rPr>
        <w:t>liver resection: an example could be a</w:t>
      </w:r>
      <w:r w:rsidR="0076063F" w:rsidRPr="00714401">
        <w:rPr>
          <w:rFonts w:ascii="Book Antiqua" w:hAnsi="Book Antiqua"/>
          <w:color w:val="auto"/>
          <w:lang w:val="en-US"/>
        </w:rPr>
        <w:t xml:space="preserve"> </w:t>
      </w:r>
      <w:r w:rsidRPr="00714401">
        <w:rPr>
          <w:rFonts w:ascii="Book Antiqua" w:hAnsi="Book Antiqua"/>
          <w:color w:val="auto"/>
          <w:lang w:val="en-US"/>
        </w:rPr>
        <w:t>patient with ICG</w:t>
      </w:r>
      <w:r w:rsidRPr="00714401">
        <w:rPr>
          <w:rFonts w:ascii="Book Antiqua" w:hAnsi="Book Antiqua"/>
          <w:color w:val="auto"/>
          <w:vertAlign w:val="subscript"/>
          <w:lang w:val="en-US"/>
        </w:rPr>
        <w:t>R15</w:t>
      </w:r>
      <w:r w:rsidRPr="00714401">
        <w:rPr>
          <w:rFonts w:ascii="Book Antiqua" w:hAnsi="Book Antiqua"/>
          <w:color w:val="auto"/>
          <w:lang w:val="en-US"/>
        </w:rPr>
        <w:t xml:space="preserve"> 15</w:t>
      </w:r>
      <w:r w:rsidR="008D5473" w:rsidRPr="00714401">
        <w:rPr>
          <w:rFonts w:ascii="Book Antiqua" w:hAnsi="Book Antiqua" w:hint="eastAsia"/>
          <w:color w:val="auto"/>
          <w:lang w:val="en-US" w:eastAsia="zh-CN"/>
        </w:rPr>
        <w:t>%-</w:t>
      </w:r>
      <w:r w:rsidRPr="00714401">
        <w:rPr>
          <w:rFonts w:ascii="Book Antiqua" w:hAnsi="Book Antiqua"/>
          <w:color w:val="auto"/>
          <w:lang w:val="en-US"/>
        </w:rPr>
        <w:t>20%whose remnant liver volume after the planned resection is considered “not sufficient”</w:t>
      </w:r>
      <w:r w:rsidR="00AF579F" w:rsidRPr="00714401">
        <w:rPr>
          <w:rFonts w:ascii="Book Antiqua" w:hAnsi="Book Antiqua"/>
          <w:color w:val="auto"/>
          <w:lang w:val="en-US"/>
        </w:rPr>
        <w:t xml:space="preserve">. The aim </w:t>
      </w:r>
      <w:r w:rsidR="00CD6150" w:rsidRPr="00714401">
        <w:rPr>
          <w:rFonts w:ascii="Book Antiqua" w:hAnsi="Book Antiqua"/>
          <w:color w:val="auto"/>
          <w:lang w:val="en-US"/>
        </w:rPr>
        <w:t xml:space="preserve">of portal vein embolization </w:t>
      </w:r>
      <w:r w:rsidRPr="00714401">
        <w:rPr>
          <w:rFonts w:ascii="Book Antiqua" w:hAnsi="Book Antiqua"/>
          <w:color w:val="auto"/>
          <w:lang w:val="en-US"/>
        </w:rPr>
        <w:t>is to</w:t>
      </w:r>
      <w:r w:rsidR="00AF579F" w:rsidRPr="00714401">
        <w:rPr>
          <w:rFonts w:ascii="Book Antiqua" w:hAnsi="Book Antiqua"/>
          <w:color w:val="auto"/>
          <w:lang w:val="en-US"/>
        </w:rPr>
        <w:t xml:space="preserve"> </w:t>
      </w:r>
      <w:r w:rsidR="00CD6150" w:rsidRPr="00714401">
        <w:rPr>
          <w:rFonts w:ascii="Book Antiqua" w:hAnsi="Book Antiqua"/>
          <w:color w:val="auto"/>
          <w:lang w:val="en-US"/>
        </w:rPr>
        <w:t>induce hyperplasia of</w:t>
      </w:r>
      <w:r w:rsidR="0076063F" w:rsidRPr="00714401">
        <w:rPr>
          <w:rFonts w:ascii="Book Antiqua" w:hAnsi="Book Antiqua"/>
          <w:color w:val="auto"/>
          <w:lang w:val="en-US"/>
        </w:rPr>
        <w:t xml:space="preserve"> </w:t>
      </w:r>
      <w:r w:rsidR="00CD6150" w:rsidRPr="00714401">
        <w:rPr>
          <w:rFonts w:ascii="Book Antiqua" w:hAnsi="Book Antiqua"/>
          <w:color w:val="auto"/>
          <w:lang w:val="en-US"/>
        </w:rPr>
        <w:t>the</w:t>
      </w:r>
      <w:r w:rsidR="0076063F" w:rsidRPr="00714401">
        <w:rPr>
          <w:rFonts w:ascii="Book Antiqua" w:hAnsi="Book Antiqua"/>
          <w:color w:val="auto"/>
          <w:lang w:val="en-US"/>
        </w:rPr>
        <w:t xml:space="preserve"> </w:t>
      </w:r>
      <w:r w:rsidR="00CD6150" w:rsidRPr="00714401">
        <w:rPr>
          <w:rFonts w:ascii="Book Antiqua" w:hAnsi="Book Antiqua"/>
          <w:color w:val="auto"/>
          <w:lang w:val="en-US"/>
        </w:rPr>
        <w:t xml:space="preserve">hepatic lobules perfused by the contralateral portal vein to </w:t>
      </w:r>
      <w:r w:rsidR="001560B9" w:rsidRPr="00714401">
        <w:rPr>
          <w:rFonts w:ascii="Book Antiqua" w:hAnsi="Book Antiqua"/>
          <w:color w:val="auto"/>
          <w:lang w:val="en-US"/>
        </w:rPr>
        <w:t>increase</w:t>
      </w:r>
      <w:r w:rsidRPr="00714401">
        <w:rPr>
          <w:rFonts w:ascii="Book Antiqua" w:hAnsi="Book Antiqua"/>
          <w:color w:val="auto"/>
          <w:lang w:val="en-US"/>
        </w:rPr>
        <w:t xml:space="preserve"> </w:t>
      </w:r>
      <w:r w:rsidR="001560B9" w:rsidRPr="00714401">
        <w:rPr>
          <w:rFonts w:ascii="Book Antiqua" w:hAnsi="Book Antiqua"/>
          <w:color w:val="auto"/>
          <w:lang w:val="en-US"/>
        </w:rPr>
        <w:t xml:space="preserve">the </w:t>
      </w:r>
      <w:r w:rsidR="00141464" w:rsidRPr="00714401">
        <w:rPr>
          <w:rFonts w:ascii="Book Antiqua" w:hAnsi="Book Antiqua"/>
          <w:color w:val="auto"/>
          <w:lang w:val="en-US"/>
        </w:rPr>
        <w:t xml:space="preserve">volume of the </w:t>
      </w:r>
      <w:r w:rsidR="00811273" w:rsidRPr="00714401">
        <w:rPr>
          <w:rFonts w:ascii="Book Antiqua" w:hAnsi="Book Antiqua"/>
          <w:color w:val="auto"/>
          <w:lang w:val="en-US"/>
        </w:rPr>
        <w:t>“</w:t>
      </w:r>
      <w:r w:rsidR="00141464" w:rsidRPr="00714401">
        <w:rPr>
          <w:rFonts w:ascii="Book Antiqua" w:hAnsi="Book Antiqua"/>
          <w:color w:val="auto"/>
          <w:lang w:val="en-US"/>
        </w:rPr>
        <w:t xml:space="preserve">future remnant” </w:t>
      </w:r>
      <w:proofErr w:type="gramStart"/>
      <w:r w:rsidR="00141464" w:rsidRPr="00714401">
        <w:rPr>
          <w:rFonts w:ascii="Book Antiqua" w:hAnsi="Book Antiqua"/>
          <w:color w:val="auto"/>
          <w:lang w:val="en-US"/>
        </w:rPr>
        <w:t>liver</w:t>
      </w:r>
      <w:r w:rsidR="001560B9" w:rsidRPr="00714401">
        <w:rPr>
          <w:rFonts w:ascii="Book Antiqua" w:hAnsi="Book Antiqua"/>
          <w:color w:val="auto"/>
          <w:vertAlign w:val="superscript"/>
          <w:lang w:val="en-US"/>
        </w:rPr>
        <w:t>[</w:t>
      </w:r>
      <w:proofErr w:type="gramEnd"/>
      <w:r w:rsidR="001560B9" w:rsidRPr="00714401">
        <w:rPr>
          <w:rFonts w:ascii="Book Antiqua" w:hAnsi="Book Antiqua"/>
          <w:color w:val="auto"/>
          <w:vertAlign w:val="superscript"/>
          <w:lang w:val="en-US"/>
        </w:rPr>
        <w:t>6,7,46]</w:t>
      </w:r>
      <w:r w:rsidR="009C4911" w:rsidRPr="00714401">
        <w:rPr>
          <w:rFonts w:ascii="Book Antiqua" w:hAnsi="Book Antiqua"/>
          <w:color w:val="auto"/>
          <w:lang w:val="en-US"/>
        </w:rPr>
        <w:t xml:space="preserve">. </w:t>
      </w:r>
      <w:r w:rsidR="00811273" w:rsidRPr="00714401">
        <w:rPr>
          <w:rFonts w:ascii="Book Antiqua" w:hAnsi="Book Antiqua"/>
          <w:color w:val="auto"/>
          <w:lang w:val="en-US"/>
        </w:rPr>
        <w:t>ICG</w:t>
      </w:r>
      <w:r w:rsidR="00811273" w:rsidRPr="00714401">
        <w:rPr>
          <w:rFonts w:ascii="Book Antiqua" w:hAnsi="Book Antiqua"/>
          <w:color w:val="auto"/>
          <w:vertAlign w:val="subscript"/>
          <w:lang w:val="en-US"/>
        </w:rPr>
        <w:t>R15</w:t>
      </w:r>
      <w:r w:rsidR="00811273" w:rsidRPr="00714401">
        <w:rPr>
          <w:rFonts w:ascii="Book Antiqua" w:hAnsi="Book Antiqua"/>
          <w:color w:val="auto"/>
          <w:lang w:val="en-US"/>
        </w:rPr>
        <w:t xml:space="preserve"> after embolization correlates </w:t>
      </w:r>
      <w:r w:rsidR="00AF579F" w:rsidRPr="00714401">
        <w:rPr>
          <w:rFonts w:ascii="Book Antiqua" w:hAnsi="Book Antiqua"/>
          <w:color w:val="auto"/>
          <w:lang w:val="en-US"/>
        </w:rPr>
        <w:t>with</w:t>
      </w:r>
      <w:r w:rsidR="00141464" w:rsidRPr="00714401">
        <w:rPr>
          <w:rFonts w:ascii="Book Antiqua" w:hAnsi="Book Antiqua"/>
          <w:color w:val="auto"/>
          <w:lang w:val="en-US"/>
        </w:rPr>
        <w:t xml:space="preserve"> both </w:t>
      </w:r>
      <w:r w:rsidR="000D4338" w:rsidRPr="00714401">
        <w:rPr>
          <w:rFonts w:ascii="Book Antiqua" w:hAnsi="Book Antiqua"/>
          <w:color w:val="auto"/>
          <w:lang w:val="en-US"/>
        </w:rPr>
        <w:t xml:space="preserve">the </w:t>
      </w:r>
      <w:r w:rsidR="00811273" w:rsidRPr="00714401">
        <w:rPr>
          <w:rFonts w:ascii="Book Antiqua" w:hAnsi="Book Antiqua"/>
          <w:color w:val="auto"/>
          <w:lang w:val="en-US"/>
        </w:rPr>
        <w:t xml:space="preserve">volumetric </w:t>
      </w:r>
      <w:r w:rsidR="00AF579F" w:rsidRPr="00714401">
        <w:rPr>
          <w:rFonts w:ascii="Book Antiqua" w:hAnsi="Book Antiqua"/>
          <w:color w:val="auto"/>
          <w:lang w:val="en-US"/>
        </w:rPr>
        <w:t xml:space="preserve">changes and </w:t>
      </w:r>
      <w:r w:rsidR="000D4338" w:rsidRPr="00714401">
        <w:rPr>
          <w:rFonts w:ascii="Book Antiqua" w:hAnsi="Book Antiqua"/>
          <w:color w:val="auto"/>
          <w:lang w:val="en-US"/>
        </w:rPr>
        <w:t xml:space="preserve">the </w:t>
      </w:r>
      <w:r w:rsidR="00AF579F" w:rsidRPr="00714401">
        <w:rPr>
          <w:rFonts w:ascii="Book Antiqua" w:hAnsi="Book Antiqua"/>
          <w:color w:val="auto"/>
          <w:lang w:val="en-US"/>
        </w:rPr>
        <w:t xml:space="preserve">modification of the liver </w:t>
      </w:r>
      <w:r w:rsidR="00811273" w:rsidRPr="00714401">
        <w:rPr>
          <w:rFonts w:ascii="Book Antiqua" w:hAnsi="Book Antiqua"/>
          <w:color w:val="auto"/>
          <w:lang w:val="en-US"/>
        </w:rPr>
        <w:t>functional reserve</w:t>
      </w:r>
      <w:r w:rsidR="00684729" w:rsidRPr="00714401">
        <w:rPr>
          <w:rFonts w:ascii="Book Antiqua" w:hAnsi="Book Antiqua"/>
          <w:color w:val="auto"/>
          <w:lang w:val="en-US"/>
        </w:rPr>
        <w:t xml:space="preserve">: </w:t>
      </w:r>
      <w:r w:rsidR="00ED2EC3" w:rsidRPr="00714401">
        <w:rPr>
          <w:rFonts w:ascii="Book Antiqua" w:hAnsi="Book Antiqua"/>
          <w:color w:val="auto"/>
          <w:lang w:val="en-US"/>
        </w:rPr>
        <w:t>I</w:t>
      </w:r>
      <w:r w:rsidR="00684729" w:rsidRPr="00714401">
        <w:rPr>
          <w:rFonts w:ascii="Book Antiqua" w:hAnsi="Book Antiqua"/>
          <w:color w:val="auto"/>
          <w:lang w:val="en-US"/>
        </w:rPr>
        <w:t xml:space="preserve">t should allow </w:t>
      </w:r>
      <w:r w:rsidR="00141464" w:rsidRPr="00714401">
        <w:rPr>
          <w:rFonts w:ascii="Book Antiqua" w:hAnsi="Book Antiqua"/>
          <w:color w:val="auto"/>
          <w:lang w:val="en-US"/>
        </w:rPr>
        <w:t xml:space="preserve">a </w:t>
      </w:r>
      <w:r w:rsidR="00684729" w:rsidRPr="00714401">
        <w:rPr>
          <w:rFonts w:ascii="Book Antiqua" w:hAnsi="Book Antiqua"/>
          <w:color w:val="auto"/>
          <w:lang w:val="en-US"/>
        </w:rPr>
        <w:t xml:space="preserve">sort of </w:t>
      </w:r>
      <w:r w:rsidR="00141464" w:rsidRPr="00714401">
        <w:rPr>
          <w:rFonts w:ascii="Book Antiqua" w:hAnsi="Book Antiqua"/>
          <w:color w:val="auto"/>
          <w:lang w:val="en-US"/>
        </w:rPr>
        <w:t xml:space="preserve">functional prediction </w:t>
      </w:r>
      <w:r w:rsidR="000D4338" w:rsidRPr="00714401">
        <w:rPr>
          <w:rFonts w:ascii="Book Antiqua" w:hAnsi="Book Antiqua"/>
          <w:color w:val="auto"/>
          <w:lang w:val="en-US"/>
        </w:rPr>
        <w:t xml:space="preserve">of the remnant liver </w:t>
      </w:r>
      <w:r w:rsidR="00141464" w:rsidRPr="00714401">
        <w:rPr>
          <w:rFonts w:ascii="Book Antiqua" w:hAnsi="Book Antiqua"/>
          <w:color w:val="auto"/>
          <w:lang w:val="en-US"/>
        </w:rPr>
        <w:t xml:space="preserve">before </w:t>
      </w:r>
      <w:proofErr w:type="spellStart"/>
      <w:r w:rsidR="00141464" w:rsidRPr="00714401">
        <w:rPr>
          <w:rFonts w:ascii="Book Antiqua" w:hAnsi="Book Antiqua"/>
          <w:color w:val="auto"/>
          <w:lang w:val="en-US"/>
        </w:rPr>
        <w:t>resective</w:t>
      </w:r>
      <w:proofErr w:type="spellEnd"/>
      <w:r w:rsidR="00141464" w:rsidRPr="00714401">
        <w:rPr>
          <w:rFonts w:ascii="Book Antiqua" w:hAnsi="Book Antiqua"/>
          <w:color w:val="auto"/>
          <w:lang w:val="en-US"/>
        </w:rPr>
        <w:t xml:space="preserve"> </w:t>
      </w:r>
      <w:proofErr w:type="gramStart"/>
      <w:r w:rsidR="00141464" w:rsidRPr="00714401">
        <w:rPr>
          <w:rFonts w:ascii="Book Antiqua" w:hAnsi="Book Antiqua"/>
          <w:color w:val="auto"/>
          <w:lang w:val="en-US"/>
        </w:rPr>
        <w:t>surgery</w:t>
      </w:r>
      <w:r w:rsidR="00811273" w:rsidRPr="00714401">
        <w:rPr>
          <w:rFonts w:ascii="Book Antiqua" w:hAnsi="Book Antiqua"/>
          <w:color w:val="auto"/>
          <w:vertAlign w:val="superscript"/>
          <w:lang w:val="en-US"/>
        </w:rPr>
        <w:t>[</w:t>
      </w:r>
      <w:proofErr w:type="gramEnd"/>
      <w:r w:rsidR="00811273" w:rsidRPr="00714401">
        <w:rPr>
          <w:rFonts w:ascii="Book Antiqua" w:hAnsi="Book Antiqua"/>
          <w:color w:val="auto"/>
          <w:vertAlign w:val="superscript"/>
          <w:lang w:val="en-US"/>
        </w:rPr>
        <w:t>46]</w:t>
      </w:r>
      <w:r w:rsidR="00811273" w:rsidRPr="00714401">
        <w:rPr>
          <w:rFonts w:ascii="Book Antiqua" w:hAnsi="Book Antiqua"/>
          <w:color w:val="auto"/>
          <w:lang w:val="en-US"/>
        </w:rPr>
        <w:t xml:space="preserve">. </w:t>
      </w:r>
      <w:r w:rsidR="00141464" w:rsidRPr="00714401">
        <w:rPr>
          <w:rFonts w:ascii="Book Antiqua" w:hAnsi="Book Antiqua"/>
          <w:color w:val="auto"/>
          <w:lang w:val="en-US"/>
        </w:rPr>
        <w:t xml:space="preserve">In the original algorithm proposed by Poon and Fan, </w:t>
      </w:r>
      <w:r w:rsidR="00AF579F" w:rsidRPr="00714401">
        <w:rPr>
          <w:rFonts w:ascii="Book Antiqua" w:hAnsi="Book Antiqua"/>
          <w:color w:val="auto"/>
          <w:lang w:val="en-US"/>
        </w:rPr>
        <w:t xml:space="preserve">hepatic hyperplasia </w:t>
      </w:r>
      <w:r w:rsidR="002826AA" w:rsidRPr="00714401">
        <w:rPr>
          <w:rFonts w:ascii="Book Antiqua" w:hAnsi="Book Antiqua"/>
          <w:color w:val="auto"/>
          <w:lang w:val="en-US"/>
        </w:rPr>
        <w:t>and</w:t>
      </w:r>
      <w:r w:rsidR="00CD6150" w:rsidRPr="00714401">
        <w:rPr>
          <w:rFonts w:ascii="Book Antiqua" w:hAnsi="Book Antiqua"/>
          <w:color w:val="auto"/>
          <w:lang w:val="en-US"/>
        </w:rPr>
        <w:t xml:space="preserve"> preservation of</w:t>
      </w:r>
      <w:r w:rsidR="0076063F" w:rsidRPr="00714401">
        <w:rPr>
          <w:rFonts w:ascii="Book Antiqua" w:hAnsi="Book Antiqua"/>
          <w:color w:val="auto"/>
          <w:lang w:val="en-US"/>
        </w:rPr>
        <w:t xml:space="preserve"> </w:t>
      </w:r>
      <w:r w:rsidR="00CD6150" w:rsidRPr="00714401">
        <w:rPr>
          <w:rFonts w:ascii="Book Antiqua" w:hAnsi="Book Antiqua"/>
          <w:color w:val="auto"/>
          <w:lang w:val="en-US"/>
        </w:rPr>
        <w:t xml:space="preserve">“total” liver blood flow </w:t>
      </w:r>
      <w:r w:rsidR="000D4338" w:rsidRPr="00714401">
        <w:rPr>
          <w:rFonts w:ascii="Book Antiqua" w:hAnsi="Book Antiqua"/>
          <w:color w:val="auto"/>
          <w:lang w:val="en-US"/>
        </w:rPr>
        <w:t xml:space="preserve">were </w:t>
      </w:r>
      <w:r w:rsidR="002826AA" w:rsidRPr="00714401">
        <w:rPr>
          <w:rFonts w:ascii="Book Antiqua" w:hAnsi="Book Antiqua"/>
          <w:color w:val="auto"/>
          <w:lang w:val="en-US"/>
        </w:rPr>
        <w:t>th</w:t>
      </w:r>
      <w:r w:rsidR="00797691" w:rsidRPr="00714401">
        <w:rPr>
          <w:rFonts w:ascii="Book Antiqua" w:hAnsi="Book Antiqua"/>
          <w:color w:val="auto"/>
          <w:lang w:val="en-US"/>
        </w:rPr>
        <w:t xml:space="preserve">e mainstays of this surgical </w:t>
      </w:r>
      <w:proofErr w:type="gramStart"/>
      <w:r w:rsidR="00797691" w:rsidRPr="00714401">
        <w:rPr>
          <w:rFonts w:ascii="Book Antiqua" w:hAnsi="Book Antiqua"/>
          <w:color w:val="auto"/>
          <w:lang w:val="en-US"/>
        </w:rPr>
        <w:t>strategy</w:t>
      </w:r>
      <w:r w:rsidR="00AF579F" w:rsidRPr="00714401">
        <w:rPr>
          <w:rFonts w:ascii="Book Antiqua" w:hAnsi="Book Antiqua"/>
          <w:color w:val="auto"/>
          <w:vertAlign w:val="superscript"/>
          <w:lang w:val="en-US"/>
        </w:rPr>
        <w:t>[</w:t>
      </w:r>
      <w:proofErr w:type="gramEnd"/>
      <w:r w:rsidR="00AF579F" w:rsidRPr="00714401">
        <w:rPr>
          <w:rFonts w:ascii="Book Antiqua" w:hAnsi="Book Antiqua"/>
          <w:color w:val="auto"/>
          <w:vertAlign w:val="superscript"/>
          <w:lang w:val="en-US"/>
        </w:rPr>
        <w:t>33]</w:t>
      </w:r>
      <w:r w:rsidR="00AF579F" w:rsidRPr="00714401">
        <w:rPr>
          <w:rFonts w:ascii="Book Antiqua" w:hAnsi="Book Antiqua"/>
          <w:color w:val="auto"/>
          <w:lang w:val="en-US"/>
        </w:rPr>
        <w:t xml:space="preserve">. Definitive implementation of the procedure is still </w:t>
      </w:r>
      <w:r w:rsidR="00B74106" w:rsidRPr="00714401">
        <w:rPr>
          <w:rFonts w:ascii="Book Antiqua" w:hAnsi="Book Antiqua"/>
          <w:color w:val="auto"/>
          <w:lang w:val="en-US"/>
        </w:rPr>
        <w:t>ongoing</w:t>
      </w:r>
      <w:r w:rsidR="00AF579F" w:rsidRPr="00714401">
        <w:rPr>
          <w:rFonts w:ascii="Book Antiqua" w:hAnsi="Book Antiqua"/>
          <w:color w:val="auto"/>
          <w:lang w:val="en-US"/>
        </w:rPr>
        <w:t xml:space="preserve">, even if </w:t>
      </w:r>
      <w:r w:rsidR="007975C3" w:rsidRPr="00714401">
        <w:rPr>
          <w:rFonts w:ascii="Book Antiqua" w:hAnsi="Book Antiqua"/>
          <w:color w:val="auto"/>
          <w:lang w:val="en-US"/>
        </w:rPr>
        <w:t xml:space="preserve">available </w:t>
      </w:r>
      <w:r w:rsidR="00AF579F" w:rsidRPr="00714401">
        <w:rPr>
          <w:rFonts w:ascii="Book Antiqua" w:hAnsi="Book Antiqua"/>
          <w:color w:val="auto"/>
          <w:lang w:val="en-US"/>
        </w:rPr>
        <w:t>r</w:t>
      </w:r>
      <w:r w:rsidR="00811273" w:rsidRPr="00714401">
        <w:rPr>
          <w:rFonts w:ascii="Book Antiqua" w:hAnsi="Book Antiqua"/>
          <w:color w:val="auto"/>
          <w:lang w:val="en-US"/>
        </w:rPr>
        <w:t>esults</w:t>
      </w:r>
      <w:r w:rsidR="0076063F" w:rsidRPr="00714401">
        <w:rPr>
          <w:rFonts w:ascii="Book Antiqua" w:hAnsi="Book Antiqua"/>
          <w:color w:val="auto"/>
          <w:lang w:val="en-US"/>
        </w:rPr>
        <w:t xml:space="preserve"> </w:t>
      </w:r>
      <w:r w:rsidR="00A153DA" w:rsidRPr="00714401">
        <w:rPr>
          <w:rFonts w:ascii="Book Antiqua" w:hAnsi="Book Antiqua"/>
          <w:color w:val="auto"/>
          <w:lang w:val="en-US"/>
        </w:rPr>
        <w:t>seem</w:t>
      </w:r>
      <w:r w:rsidR="0076063F" w:rsidRPr="00714401">
        <w:rPr>
          <w:rFonts w:ascii="Book Antiqua" w:hAnsi="Book Antiqua"/>
          <w:color w:val="auto"/>
          <w:lang w:val="en-US"/>
        </w:rPr>
        <w:t xml:space="preserve"> </w:t>
      </w:r>
      <w:r w:rsidR="00B94239" w:rsidRPr="00714401">
        <w:rPr>
          <w:rFonts w:ascii="Book Antiqua" w:hAnsi="Book Antiqua"/>
          <w:color w:val="auto"/>
          <w:lang w:val="en-US"/>
        </w:rPr>
        <w:t>promising</w:t>
      </w:r>
      <w:r w:rsidR="00797691" w:rsidRPr="00714401">
        <w:rPr>
          <w:rFonts w:ascii="Book Antiqua" w:hAnsi="Book Antiqua"/>
          <w:color w:val="auto"/>
          <w:lang w:val="en-US"/>
        </w:rPr>
        <w:t xml:space="preserve">. </w:t>
      </w:r>
    </w:p>
    <w:p w:rsidR="00841D4A" w:rsidRPr="00714401" w:rsidRDefault="003E2851" w:rsidP="008D5473">
      <w:pPr>
        <w:pStyle w:val="Default"/>
        <w:snapToGrid w:val="0"/>
        <w:spacing w:line="360" w:lineRule="auto"/>
        <w:ind w:firstLineChars="100" w:firstLine="240"/>
        <w:jc w:val="both"/>
        <w:rPr>
          <w:rFonts w:ascii="Book Antiqua" w:hAnsi="Book Antiqua"/>
          <w:color w:val="auto"/>
          <w:lang w:val="en-US" w:eastAsia="zh-CN"/>
        </w:rPr>
      </w:pPr>
      <w:r w:rsidRPr="00714401">
        <w:rPr>
          <w:rFonts w:ascii="Book Antiqua" w:hAnsi="Book Antiqua"/>
          <w:color w:val="auto"/>
          <w:lang w:val="en-US"/>
        </w:rPr>
        <w:t>I</w:t>
      </w:r>
      <w:r w:rsidR="00141464" w:rsidRPr="00714401">
        <w:rPr>
          <w:rFonts w:ascii="Book Antiqua" w:hAnsi="Book Antiqua"/>
          <w:color w:val="auto"/>
          <w:lang w:val="en-US"/>
        </w:rPr>
        <w:t>n recent studies</w:t>
      </w:r>
      <w:r w:rsidRPr="00714401">
        <w:rPr>
          <w:rFonts w:ascii="Book Antiqua" w:hAnsi="Book Antiqua"/>
          <w:color w:val="auto"/>
          <w:lang w:val="en-US"/>
        </w:rPr>
        <w:t>,</w:t>
      </w:r>
      <w:r w:rsidR="0076063F" w:rsidRPr="00714401">
        <w:rPr>
          <w:rFonts w:ascii="Book Antiqua" w:hAnsi="Book Antiqua"/>
          <w:color w:val="auto"/>
          <w:lang w:val="en-US"/>
        </w:rPr>
        <w:t xml:space="preserve"> </w:t>
      </w:r>
      <w:r w:rsidR="00257319" w:rsidRPr="00714401">
        <w:rPr>
          <w:rFonts w:ascii="Book Antiqua" w:hAnsi="Book Antiqua"/>
          <w:color w:val="auto"/>
          <w:lang w:val="en-US"/>
        </w:rPr>
        <w:t>postoperative morbidity (mainly</w:t>
      </w:r>
      <w:r w:rsidR="00141464" w:rsidRPr="00714401">
        <w:rPr>
          <w:rFonts w:ascii="Book Antiqua" w:hAnsi="Book Antiqua"/>
          <w:color w:val="auto"/>
          <w:lang w:val="en-US"/>
        </w:rPr>
        <w:t xml:space="preserve"> represented by </w:t>
      </w:r>
      <w:r w:rsidR="008D5473" w:rsidRPr="00714401">
        <w:rPr>
          <w:rFonts w:ascii="Book Antiqua" w:hAnsi="Book Antiqua"/>
          <w:color w:val="auto"/>
          <w:lang w:val="en-US"/>
        </w:rPr>
        <w:t>post-</w:t>
      </w:r>
      <w:proofErr w:type="spellStart"/>
      <w:r w:rsidR="008D5473" w:rsidRPr="00714401">
        <w:rPr>
          <w:rFonts w:ascii="Book Antiqua" w:hAnsi="Book Antiqua"/>
          <w:color w:val="auto"/>
          <w:lang w:val="en-US"/>
        </w:rPr>
        <w:t>hepatectomy</w:t>
      </w:r>
      <w:proofErr w:type="spellEnd"/>
      <w:r w:rsidR="008D5473" w:rsidRPr="00714401">
        <w:rPr>
          <w:rFonts w:ascii="Book Antiqua" w:hAnsi="Book Antiqua"/>
          <w:color w:val="auto"/>
          <w:lang w:val="en-US"/>
        </w:rPr>
        <w:t xml:space="preserve"> liver failure</w:t>
      </w:r>
      <w:r w:rsidR="00684729" w:rsidRPr="00714401">
        <w:rPr>
          <w:rFonts w:ascii="Book Antiqua" w:hAnsi="Book Antiqua"/>
          <w:color w:val="auto"/>
          <w:lang w:val="en-US"/>
        </w:rPr>
        <w:t xml:space="preserve">, PHLF) </w:t>
      </w:r>
      <w:r w:rsidR="00257319" w:rsidRPr="00714401">
        <w:rPr>
          <w:rFonts w:ascii="Book Antiqua" w:hAnsi="Book Antiqua"/>
          <w:color w:val="auto"/>
          <w:lang w:val="en-US"/>
        </w:rPr>
        <w:t>is reliably predicted by R</w:t>
      </w:r>
      <w:r w:rsidR="00257319" w:rsidRPr="00714401">
        <w:rPr>
          <w:rFonts w:ascii="Book Antiqua" w:hAnsi="Book Antiqua"/>
          <w:color w:val="auto"/>
          <w:vertAlign w:val="subscript"/>
          <w:lang w:val="en-US"/>
        </w:rPr>
        <w:t>15</w:t>
      </w:r>
      <w:r w:rsidR="008D5473" w:rsidRPr="00714401">
        <w:rPr>
          <w:rFonts w:ascii="Book Antiqua" w:hAnsi="Book Antiqua"/>
          <w:color w:val="auto"/>
          <w:lang w:val="en-US"/>
        </w:rPr>
        <w:t xml:space="preserve"> or </w:t>
      </w:r>
      <w:proofErr w:type="gramStart"/>
      <w:r w:rsidR="008D5473" w:rsidRPr="00714401">
        <w:rPr>
          <w:rFonts w:ascii="Book Antiqua" w:hAnsi="Book Antiqua"/>
          <w:color w:val="auto"/>
          <w:lang w:val="en-US"/>
        </w:rPr>
        <w:t>PDR</w:t>
      </w:r>
      <w:r w:rsidR="00257319" w:rsidRPr="00714401">
        <w:rPr>
          <w:rFonts w:ascii="Book Antiqua" w:hAnsi="Book Antiqua"/>
          <w:color w:val="auto"/>
          <w:vertAlign w:val="superscript"/>
          <w:lang w:val="en-US"/>
        </w:rPr>
        <w:t>[</w:t>
      </w:r>
      <w:proofErr w:type="gramEnd"/>
      <w:r w:rsidR="00257319" w:rsidRPr="00714401">
        <w:rPr>
          <w:rFonts w:ascii="Book Antiqua" w:hAnsi="Book Antiqua"/>
          <w:color w:val="auto"/>
          <w:vertAlign w:val="superscript"/>
          <w:lang w:val="en-US"/>
        </w:rPr>
        <w:t>44-47]</w:t>
      </w:r>
      <w:r w:rsidRPr="00714401">
        <w:rPr>
          <w:rFonts w:ascii="Book Antiqua" w:hAnsi="Book Antiqua"/>
          <w:color w:val="auto"/>
          <w:lang w:val="en-US"/>
        </w:rPr>
        <w:t>. S</w:t>
      </w:r>
      <w:r w:rsidR="00257319" w:rsidRPr="00714401">
        <w:rPr>
          <w:rFonts w:ascii="Book Antiqua" w:hAnsi="Book Antiqua"/>
          <w:color w:val="auto"/>
          <w:lang w:val="en-US"/>
        </w:rPr>
        <w:t xml:space="preserve">till under debate is </w:t>
      </w:r>
      <w:r w:rsidRPr="00714401">
        <w:rPr>
          <w:rFonts w:ascii="Book Antiqua" w:hAnsi="Book Antiqua"/>
          <w:color w:val="auto"/>
          <w:lang w:val="en-US"/>
        </w:rPr>
        <w:t xml:space="preserve">instead </w:t>
      </w:r>
      <w:r w:rsidR="00257319" w:rsidRPr="00714401">
        <w:rPr>
          <w:rFonts w:ascii="Book Antiqua" w:hAnsi="Book Antiqua"/>
          <w:color w:val="auto"/>
          <w:lang w:val="en-US"/>
        </w:rPr>
        <w:t>the ability of ICG kinetic</w:t>
      </w:r>
      <w:r w:rsidRPr="00714401">
        <w:rPr>
          <w:rFonts w:ascii="Book Antiqua" w:hAnsi="Book Antiqua"/>
          <w:color w:val="auto"/>
          <w:lang w:val="en-US"/>
        </w:rPr>
        <w:t>s</w:t>
      </w:r>
      <w:r w:rsidR="0076063F" w:rsidRPr="00714401">
        <w:rPr>
          <w:rFonts w:ascii="Book Antiqua" w:hAnsi="Book Antiqua"/>
          <w:color w:val="auto"/>
          <w:lang w:val="en-US"/>
        </w:rPr>
        <w:t xml:space="preserve"> </w:t>
      </w:r>
      <w:r w:rsidR="00257319" w:rsidRPr="00714401">
        <w:rPr>
          <w:rFonts w:ascii="Book Antiqua" w:hAnsi="Book Antiqua"/>
          <w:color w:val="auto"/>
          <w:lang w:val="en-US"/>
        </w:rPr>
        <w:t xml:space="preserve">to </w:t>
      </w:r>
      <w:r w:rsidR="00BA055B" w:rsidRPr="00714401">
        <w:rPr>
          <w:rFonts w:ascii="Book Antiqua" w:hAnsi="Book Antiqua"/>
          <w:color w:val="auto"/>
          <w:lang w:val="en-US"/>
        </w:rPr>
        <w:t>correctly predict mortality: t</w:t>
      </w:r>
      <w:r w:rsidR="00E10869" w:rsidRPr="00714401">
        <w:rPr>
          <w:rFonts w:ascii="Book Antiqua" w:hAnsi="Book Antiqua"/>
          <w:color w:val="auto"/>
          <w:lang w:val="en-US"/>
        </w:rPr>
        <w:t xml:space="preserve">he </w:t>
      </w:r>
      <w:r w:rsidR="00141464" w:rsidRPr="00714401">
        <w:rPr>
          <w:rFonts w:ascii="Book Antiqua" w:hAnsi="Book Antiqua"/>
          <w:color w:val="auto"/>
          <w:lang w:val="en-US"/>
        </w:rPr>
        <w:t xml:space="preserve">small number of negative </w:t>
      </w:r>
      <w:r w:rsidR="00141464" w:rsidRPr="00714401">
        <w:rPr>
          <w:rFonts w:ascii="Book Antiqua" w:hAnsi="Book Antiqua"/>
          <w:color w:val="auto"/>
          <w:lang w:val="en-US"/>
        </w:rPr>
        <w:lastRenderedPageBreak/>
        <w:t>ev</w:t>
      </w:r>
      <w:r w:rsidR="00A2510A" w:rsidRPr="00714401">
        <w:rPr>
          <w:rFonts w:ascii="Book Antiqua" w:hAnsi="Book Antiqua"/>
          <w:color w:val="auto"/>
          <w:lang w:val="en-US"/>
        </w:rPr>
        <w:t xml:space="preserve">ents (death) might </w:t>
      </w:r>
      <w:r w:rsidR="00A770F1" w:rsidRPr="00714401">
        <w:rPr>
          <w:rFonts w:ascii="Book Antiqua" w:hAnsi="Book Antiqua"/>
          <w:color w:val="auto"/>
          <w:lang w:val="en-US"/>
        </w:rPr>
        <w:t xml:space="preserve">represent </w:t>
      </w:r>
      <w:r w:rsidR="00A2510A" w:rsidRPr="00714401">
        <w:rPr>
          <w:rFonts w:ascii="Book Antiqua" w:hAnsi="Book Antiqua"/>
          <w:color w:val="auto"/>
          <w:lang w:val="en-US"/>
        </w:rPr>
        <w:t xml:space="preserve">a </w:t>
      </w:r>
      <w:r w:rsidR="006937E8" w:rsidRPr="00714401">
        <w:rPr>
          <w:rFonts w:ascii="Book Antiqua" w:hAnsi="Book Antiqua"/>
          <w:color w:val="auto"/>
          <w:lang w:val="en-US"/>
        </w:rPr>
        <w:t xml:space="preserve">possible </w:t>
      </w:r>
      <w:proofErr w:type="gramStart"/>
      <w:r w:rsidR="006937E8" w:rsidRPr="00714401">
        <w:rPr>
          <w:rFonts w:ascii="Book Antiqua" w:hAnsi="Book Antiqua"/>
          <w:color w:val="auto"/>
          <w:lang w:val="en-US"/>
        </w:rPr>
        <w:t>cause</w:t>
      </w:r>
      <w:r w:rsidR="00947A77" w:rsidRPr="00714401">
        <w:rPr>
          <w:rFonts w:ascii="Book Antiqua" w:hAnsi="Book Antiqua"/>
          <w:color w:val="auto"/>
          <w:vertAlign w:val="superscript"/>
          <w:lang w:val="en-US"/>
        </w:rPr>
        <w:t>[</w:t>
      </w:r>
      <w:proofErr w:type="gramEnd"/>
      <w:r w:rsidR="00E04184" w:rsidRPr="00714401">
        <w:rPr>
          <w:rFonts w:ascii="Book Antiqua" w:hAnsi="Book Antiqua"/>
          <w:color w:val="auto"/>
          <w:vertAlign w:val="superscript"/>
          <w:lang w:val="en-US"/>
        </w:rPr>
        <w:t>44,45</w:t>
      </w:r>
      <w:r w:rsidR="00947A77" w:rsidRPr="00714401">
        <w:rPr>
          <w:rFonts w:ascii="Book Antiqua" w:hAnsi="Book Antiqua"/>
          <w:color w:val="auto"/>
          <w:vertAlign w:val="superscript"/>
          <w:lang w:val="en-US"/>
        </w:rPr>
        <w:t>]</w:t>
      </w:r>
      <w:r w:rsidR="00951D7D" w:rsidRPr="00714401">
        <w:rPr>
          <w:rFonts w:ascii="Book Antiqua" w:hAnsi="Book Antiqua"/>
          <w:color w:val="auto"/>
          <w:lang w:val="en-US"/>
        </w:rPr>
        <w:t xml:space="preserve">. </w:t>
      </w:r>
      <w:r w:rsidR="003B5A78" w:rsidRPr="00714401">
        <w:rPr>
          <w:rFonts w:ascii="Book Antiqua" w:hAnsi="Book Antiqua"/>
          <w:color w:val="auto"/>
          <w:lang w:val="en-US"/>
        </w:rPr>
        <w:t>Using intraoperative</w:t>
      </w:r>
      <w:r w:rsidR="0076063F" w:rsidRPr="00714401">
        <w:rPr>
          <w:rFonts w:ascii="Book Antiqua" w:hAnsi="Book Antiqua"/>
          <w:color w:val="auto"/>
          <w:lang w:val="en-US"/>
        </w:rPr>
        <w:t xml:space="preserve"> </w:t>
      </w:r>
      <w:r w:rsidR="003B5A78" w:rsidRPr="00714401">
        <w:rPr>
          <w:rFonts w:ascii="Book Antiqua" w:hAnsi="Book Antiqua"/>
          <w:color w:val="auto"/>
          <w:lang w:val="en-US"/>
        </w:rPr>
        <w:t>ICG</w:t>
      </w:r>
      <w:r w:rsidR="003B5A78" w:rsidRPr="00714401">
        <w:rPr>
          <w:rFonts w:ascii="Book Antiqua" w:hAnsi="Book Antiqua"/>
          <w:color w:val="auto"/>
          <w:vertAlign w:val="subscript"/>
          <w:lang w:val="en-US"/>
        </w:rPr>
        <w:t>PDR</w:t>
      </w:r>
      <w:r w:rsidR="0076063F" w:rsidRPr="00714401">
        <w:rPr>
          <w:rFonts w:ascii="Book Antiqua" w:hAnsi="Book Antiqua"/>
          <w:color w:val="auto"/>
          <w:vertAlign w:val="subscript"/>
          <w:lang w:val="en-US"/>
        </w:rPr>
        <w:t xml:space="preserve"> </w:t>
      </w:r>
      <w:r w:rsidR="003B5A78" w:rsidRPr="00714401">
        <w:rPr>
          <w:rFonts w:ascii="Book Antiqua" w:hAnsi="Book Antiqua"/>
          <w:color w:val="auto"/>
          <w:lang w:val="en-US"/>
        </w:rPr>
        <w:t>in a small series of patients</w:t>
      </w:r>
      <w:r w:rsidR="00E10869" w:rsidRPr="00714401">
        <w:rPr>
          <w:rFonts w:ascii="Book Antiqua" w:hAnsi="Book Antiqua"/>
          <w:color w:val="auto"/>
          <w:lang w:val="en-US"/>
        </w:rPr>
        <w:t>, a value of &lt;</w:t>
      </w:r>
      <w:r w:rsidR="00841D4A" w:rsidRPr="00714401">
        <w:rPr>
          <w:rFonts w:ascii="Book Antiqua" w:hAnsi="Book Antiqua"/>
          <w:color w:val="auto"/>
          <w:lang w:val="en-US"/>
        </w:rPr>
        <w:t xml:space="preserve"> </w:t>
      </w:r>
      <w:r w:rsidR="00E10869" w:rsidRPr="00714401">
        <w:rPr>
          <w:rFonts w:ascii="Book Antiqua" w:hAnsi="Book Antiqua"/>
          <w:color w:val="auto"/>
          <w:lang w:val="en-US"/>
        </w:rPr>
        <w:t>9</w:t>
      </w:r>
      <w:r w:rsidR="00181BA4" w:rsidRPr="00714401">
        <w:rPr>
          <w:rFonts w:ascii="Book Antiqua" w:hAnsi="Book Antiqua" w:hint="eastAsia"/>
          <w:color w:val="auto"/>
          <w:lang w:val="en-US" w:eastAsia="zh-CN"/>
        </w:rPr>
        <w:t xml:space="preserve"> per </w:t>
      </w:r>
      <w:r w:rsidR="00181BA4" w:rsidRPr="00714401">
        <w:rPr>
          <w:rFonts w:ascii="Book Antiqua" w:hAnsi="Book Antiqua"/>
          <w:color w:val="auto"/>
          <w:lang w:val="en-US"/>
        </w:rPr>
        <w:t>min</w:t>
      </w:r>
      <w:r w:rsidR="00181BA4" w:rsidRPr="00714401">
        <w:rPr>
          <w:rFonts w:ascii="Book Antiqua" w:hAnsi="Book Antiqua" w:hint="eastAsia"/>
          <w:color w:val="auto"/>
          <w:lang w:val="en-US" w:eastAsia="zh-CN"/>
        </w:rPr>
        <w:t>ute</w:t>
      </w:r>
      <w:r w:rsidR="00181BA4" w:rsidRPr="00714401">
        <w:rPr>
          <w:rFonts w:ascii="Book Antiqua" w:hAnsi="Book Antiqua"/>
          <w:color w:val="auto"/>
          <w:lang w:val="en-US"/>
        </w:rPr>
        <w:t xml:space="preserve"> </w:t>
      </w:r>
      <w:r w:rsidR="00E10869" w:rsidRPr="00714401">
        <w:rPr>
          <w:rFonts w:ascii="Book Antiqua" w:hAnsi="Book Antiqua"/>
          <w:color w:val="auto"/>
          <w:lang w:val="en-US"/>
        </w:rPr>
        <w:t>min</w:t>
      </w:r>
      <w:r w:rsidR="00361EA9" w:rsidRPr="00714401">
        <w:rPr>
          <w:rFonts w:ascii="Book Antiqua" w:hAnsi="Book Antiqua"/>
          <w:color w:val="auto"/>
          <w:lang w:val="en-US"/>
        </w:rPr>
        <w:t xml:space="preserve"> </w:t>
      </w:r>
      <w:r w:rsidR="00EC509C" w:rsidRPr="00714401">
        <w:rPr>
          <w:rFonts w:ascii="Book Antiqua" w:hAnsi="Book Antiqua"/>
          <w:color w:val="auto"/>
          <w:lang w:val="en-US"/>
        </w:rPr>
        <w:t>predicted</w:t>
      </w:r>
      <w:r w:rsidR="0076063F" w:rsidRPr="00714401">
        <w:rPr>
          <w:rFonts w:ascii="Book Antiqua" w:hAnsi="Book Antiqua"/>
          <w:color w:val="auto"/>
          <w:lang w:val="en-US"/>
        </w:rPr>
        <w:t xml:space="preserve"> </w:t>
      </w:r>
      <w:proofErr w:type="spellStart"/>
      <w:r w:rsidR="003B5A78" w:rsidRPr="00714401">
        <w:rPr>
          <w:rFonts w:ascii="Book Antiqua" w:hAnsi="Book Antiqua"/>
          <w:color w:val="auto"/>
          <w:lang w:val="en-US"/>
        </w:rPr>
        <w:t>post</w:t>
      </w:r>
      <w:r w:rsidR="006937E8" w:rsidRPr="00714401">
        <w:rPr>
          <w:rFonts w:ascii="Book Antiqua" w:hAnsi="Book Antiqua"/>
          <w:color w:val="auto"/>
          <w:lang w:val="en-US"/>
        </w:rPr>
        <w:t>resective</w:t>
      </w:r>
      <w:proofErr w:type="spellEnd"/>
      <w:r w:rsidR="006937E8" w:rsidRPr="00714401">
        <w:rPr>
          <w:rFonts w:ascii="Book Antiqua" w:hAnsi="Book Antiqua"/>
          <w:color w:val="auto"/>
          <w:lang w:val="en-US"/>
        </w:rPr>
        <w:t xml:space="preserve"> </w:t>
      </w:r>
      <w:r w:rsidR="00E10869" w:rsidRPr="00714401">
        <w:rPr>
          <w:rFonts w:ascii="Book Antiqua" w:hAnsi="Book Antiqua"/>
          <w:color w:val="auto"/>
          <w:lang w:val="en-US"/>
        </w:rPr>
        <w:t xml:space="preserve">liver </w:t>
      </w:r>
      <w:r w:rsidR="00683A6E" w:rsidRPr="00714401">
        <w:rPr>
          <w:rFonts w:ascii="Book Antiqua" w:hAnsi="Book Antiqua"/>
          <w:color w:val="auto"/>
          <w:lang w:val="en-US"/>
        </w:rPr>
        <w:t>failure</w:t>
      </w:r>
      <w:r w:rsidR="009C4911" w:rsidRPr="00714401">
        <w:rPr>
          <w:rFonts w:ascii="Book Antiqua" w:hAnsi="Book Antiqua"/>
          <w:color w:val="auto"/>
          <w:lang w:val="en-US"/>
        </w:rPr>
        <w:t xml:space="preserve"> with high </w:t>
      </w:r>
      <w:r w:rsidR="003B5A78" w:rsidRPr="00714401">
        <w:rPr>
          <w:rFonts w:ascii="Book Antiqua" w:hAnsi="Book Antiqua"/>
          <w:color w:val="auto"/>
          <w:lang w:val="en-US"/>
        </w:rPr>
        <w:t>sensitivity</w:t>
      </w:r>
      <w:r w:rsidR="00361EA9" w:rsidRPr="00714401">
        <w:rPr>
          <w:rFonts w:ascii="Book Antiqua" w:hAnsi="Book Antiqua"/>
          <w:color w:val="auto"/>
          <w:lang w:val="en-US"/>
        </w:rPr>
        <w:t xml:space="preserve"> </w:t>
      </w:r>
      <w:r w:rsidR="00181BA4" w:rsidRPr="00714401">
        <w:rPr>
          <w:rFonts w:ascii="Book Antiqua" w:hAnsi="Book Antiqua"/>
          <w:color w:val="auto"/>
          <w:lang w:val="en-US"/>
        </w:rPr>
        <w:t>(</w:t>
      </w:r>
      <w:r w:rsidR="009C4911" w:rsidRPr="00714401">
        <w:rPr>
          <w:rFonts w:ascii="Book Antiqua" w:hAnsi="Book Antiqua"/>
          <w:color w:val="auto"/>
          <w:lang w:val="en-US"/>
        </w:rPr>
        <w:t>88%) and</w:t>
      </w:r>
      <w:r w:rsidR="0076063F" w:rsidRPr="00714401">
        <w:rPr>
          <w:rFonts w:ascii="Book Antiqua" w:hAnsi="Book Antiqua"/>
          <w:color w:val="auto"/>
          <w:lang w:val="en-US"/>
        </w:rPr>
        <w:t xml:space="preserve"> </w:t>
      </w:r>
      <w:r w:rsidR="003B5A78" w:rsidRPr="00714401">
        <w:rPr>
          <w:rFonts w:ascii="Book Antiqua" w:hAnsi="Book Antiqua"/>
          <w:color w:val="auto"/>
          <w:lang w:val="en-US"/>
        </w:rPr>
        <w:t xml:space="preserve">specificity </w:t>
      </w:r>
      <w:r w:rsidR="009C4911" w:rsidRPr="00714401">
        <w:rPr>
          <w:rFonts w:ascii="Book Antiqua" w:hAnsi="Book Antiqua"/>
          <w:color w:val="auto"/>
          <w:lang w:val="en-US"/>
        </w:rPr>
        <w:t>(</w:t>
      </w:r>
      <w:r w:rsidR="008D5473" w:rsidRPr="00714401">
        <w:rPr>
          <w:rFonts w:ascii="Book Antiqua" w:hAnsi="Book Antiqua"/>
          <w:color w:val="auto"/>
          <w:lang w:val="en-US"/>
        </w:rPr>
        <w:t>82%)</w:t>
      </w:r>
      <w:r w:rsidR="00947A77" w:rsidRPr="00714401">
        <w:rPr>
          <w:rFonts w:ascii="Book Antiqua" w:hAnsi="Book Antiqua"/>
          <w:color w:val="auto"/>
          <w:vertAlign w:val="superscript"/>
          <w:lang w:val="en-US"/>
        </w:rPr>
        <w:t>[4</w:t>
      </w:r>
      <w:r w:rsidR="009B4066" w:rsidRPr="00714401">
        <w:rPr>
          <w:rFonts w:ascii="Book Antiqua" w:hAnsi="Book Antiqua"/>
          <w:color w:val="auto"/>
          <w:vertAlign w:val="superscript"/>
          <w:lang w:val="en-US"/>
        </w:rPr>
        <w:t>4]</w:t>
      </w:r>
      <w:r w:rsidR="00EC509C" w:rsidRPr="00714401">
        <w:rPr>
          <w:rFonts w:ascii="Book Antiqua" w:hAnsi="Book Antiqua"/>
          <w:color w:val="auto"/>
          <w:lang w:val="en-US"/>
        </w:rPr>
        <w:t>.</w:t>
      </w:r>
      <w:r w:rsidR="00841D4A" w:rsidRPr="00714401">
        <w:rPr>
          <w:rFonts w:ascii="Book Antiqua" w:hAnsi="Book Antiqua"/>
          <w:color w:val="auto"/>
          <w:lang w:val="en-US"/>
        </w:rPr>
        <w:t xml:space="preserve"> In another experience,</w:t>
      </w:r>
      <w:r w:rsidR="0076063F" w:rsidRPr="00714401">
        <w:rPr>
          <w:rFonts w:ascii="Book Antiqua" w:hAnsi="Book Antiqua"/>
          <w:color w:val="auto"/>
          <w:lang w:val="en-US"/>
        </w:rPr>
        <w:t xml:space="preserve"> </w:t>
      </w:r>
      <w:r w:rsidR="003B5A78" w:rsidRPr="00714401">
        <w:rPr>
          <w:rFonts w:ascii="Book Antiqua" w:hAnsi="Book Antiqua"/>
          <w:color w:val="auto"/>
          <w:lang w:val="en-US"/>
        </w:rPr>
        <w:t xml:space="preserve">liver failure occurring on </w:t>
      </w:r>
      <w:r w:rsidR="00A770F1" w:rsidRPr="00714401">
        <w:rPr>
          <w:rFonts w:ascii="Book Antiqua" w:hAnsi="Book Antiqua"/>
          <w:color w:val="auto"/>
          <w:lang w:val="en-US"/>
        </w:rPr>
        <w:t>postoperative day (</w:t>
      </w:r>
      <w:r w:rsidR="003B5A78" w:rsidRPr="00714401">
        <w:rPr>
          <w:rFonts w:ascii="Book Antiqua" w:hAnsi="Book Antiqua"/>
          <w:color w:val="auto"/>
          <w:lang w:val="en-US"/>
        </w:rPr>
        <w:t>POD</w:t>
      </w:r>
      <w:r w:rsidR="00A770F1" w:rsidRPr="00714401">
        <w:rPr>
          <w:rFonts w:ascii="Book Antiqua" w:hAnsi="Book Antiqua"/>
          <w:color w:val="auto"/>
          <w:lang w:val="en-US"/>
        </w:rPr>
        <w:t>)</w:t>
      </w:r>
      <w:r w:rsidR="003B5A78" w:rsidRPr="00714401">
        <w:rPr>
          <w:rFonts w:ascii="Book Antiqua" w:hAnsi="Book Antiqua"/>
          <w:color w:val="auto"/>
          <w:lang w:val="en-US"/>
        </w:rPr>
        <w:t xml:space="preserve"> 2</w:t>
      </w:r>
      <w:r w:rsidR="008D5473" w:rsidRPr="00714401">
        <w:rPr>
          <w:rFonts w:ascii="Book Antiqua" w:hAnsi="Book Antiqua" w:hint="eastAsia"/>
          <w:color w:val="auto"/>
          <w:lang w:val="en-US" w:eastAsia="zh-CN"/>
        </w:rPr>
        <w:t>-</w:t>
      </w:r>
      <w:r w:rsidR="003B5A78" w:rsidRPr="00714401">
        <w:rPr>
          <w:rFonts w:ascii="Book Antiqua" w:hAnsi="Book Antiqua"/>
          <w:color w:val="auto"/>
          <w:lang w:val="en-US"/>
        </w:rPr>
        <w:t>5 was predict</w:t>
      </w:r>
      <w:r w:rsidR="009C4911" w:rsidRPr="00714401">
        <w:rPr>
          <w:rFonts w:ascii="Book Antiqua" w:hAnsi="Book Antiqua"/>
          <w:color w:val="auto"/>
          <w:lang w:val="en-US"/>
        </w:rPr>
        <w:t>e</w:t>
      </w:r>
      <w:r w:rsidR="003B5A78" w:rsidRPr="00714401">
        <w:rPr>
          <w:rFonts w:ascii="Book Antiqua" w:hAnsi="Book Antiqua"/>
          <w:color w:val="auto"/>
          <w:lang w:val="en-US"/>
        </w:rPr>
        <w:t xml:space="preserve">d by </w:t>
      </w:r>
      <w:r w:rsidR="00841D4A" w:rsidRPr="00714401">
        <w:rPr>
          <w:rFonts w:ascii="Book Antiqua" w:hAnsi="Book Antiqua"/>
          <w:color w:val="auto"/>
          <w:lang w:val="en-US"/>
        </w:rPr>
        <w:t>ICG</w:t>
      </w:r>
      <w:r w:rsidR="00F36CD4" w:rsidRPr="00714401">
        <w:rPr>
          <w:rFonts w:ascii="Book Antiqua" w:hAnsi="Book Antiqua"/>
          <w:color w:val="auto"/>
          <w:vertAlign w:val="subscript"/>
          <w:lang w:val="en-US"/>
        </w:rPr>
        <w:t>PDR</w:t>
      </w:r>
      <w:r w:rsidR="00F36CD4" w:rsidRPr="00714401">
        <w:rPr>
          <w:rFonts w:ascii="Book Antiqua" w:hAnsi="Book Antiqua"/>
          <w:color w:val="auto"/>
          <w:lang w:val="en-US"/>
        </w:rPr>
        <w:t xml:space="preserve"> &lt;</w:t>
      </w:r>
      <w:r w:rsidR="003B5A78" w:rsidRPr="00714401">
        <w:rPr>
          <w:rFonts w:ascii="Book Antiqua" w:hAnsi="Book Antiqua"/>
          <w:color w:val="auto"/>
          <w:lang w:val="en-US"/>
        </w:rPr>
        <w:t xml:space="preserve"> </w:t>
      </w:r>
      <w:r w:rsidR="00F36CD4" w:rsidRPr="00714401">
        <w:rPr>
          <w:rFonts w:ascii="Book Antiqua" w:hAnsi="Book Antiqua"/>
          <w:color w:val="auto"/>
          <w:lang w:val="en-US"/>
        </w:rPr>
        <w:t>7%</w:t>
      </w:r>
      <w:r w:rsidR="00181BA4" w:rsidRPr="00714401">
        <w:rPr>
          <w:rFonts w:ascii="Book Antiqua" w:hAnsi="Book Antiqua" w:hint="eastAsia"/>
          <w:color w:val="auto"/>
          <w:lang w:val="en-US" w:eastAsia="zh-CN"/>
        </w:rPr>
        <w:t xml:space="preserve"> per </w:t>
      </w:r>
      <w:r w:rsidR="00181BA4" w:rsidRPr="00714401">
        <w:rPr>
          <w:rFonts w:ascii="Book Antiqua" w:hAnsi="Book Antiqua"/>
          <w:color w:val="auto"/>
          <w:lang w:val="en-US"/>
        </w:rPr>
        <w:t>min</w:t>
      </w:r>
      <w:r w:rsidR="00181BA4" w:rsidRPr="00714401">
        <w:rPr>
          <w:rFonts w:ascii="Book Antiqua" w:hAnsi="Book Antiqua" w:hint="eastAsia"/>
          <w:color w:val="auto"/>
          <w:lang w:val="en-US" w:eastAsia="zh-CN"/>
        </w:rPr>
        <w:t>ute</w:t>
      </w:r>
      <w:r w:rsidR="00F36CD4" w:rsidRPr="00714401">
        <w:rPr>
          <w:rFonts w:ascii="Book Antiqua" w:hAnsi="Book Antiqua"/>
          <w:color w:val="auto"/>
          <w:lang w:val="en-US"/>
        </w:rPr>
        <w:t xml:space="preserve"> on</w:t>
      </w:r>
      <w:r w:rsidR="00E10869" w:rsidRPr="00714401">
        <w:rPr>
          <w:rFonts w:ascii="Book Antiqua" w:hAnsi="Book Antiqua"/>
          <w:color w:val="auto"/>
          <w:lang w:val="en-US"/>
        </w:rPr>
        <w:t xml:space="preserve"> </w:t>
      </w:r>
      <w:r w:rsidR="00361EA9" w:rsidRPr="00714401">
        <w:rPr>
          <w:rFonts w:ascii="Book Antiqua" w:hAnsi="Book Antiqua"/>
          <w:color w:val="auto"/>
          <w:lang w:val="en-US"/>
        </w:rPr>
        <w:t>POD 1</w:t>
      </w:r>
      <w:r w:rsidR="00947A77" w:rsidRPr="00714401">
        <w:rPr>
          <w:rFonts w:ascii="Book Antiqua" w:hAnsi="Book Antiqua"/>
          <w:color w:val="auto"/>
          <w:vertAlign w:val="superscript"/>
          <w:lang w:val="en-US"/>
        </w:rPr>
        <w:t>[</w:t>
      </w:r>
      <w:r w:rsidR="009B4066" w:rsidRPr="00714401">
        <w:rPr>
          <w:rFonts w:ascii="Book Antiqua" w:hAnsi="Book Antiqua"/>
          <w:color w:val="auto"/>
          <w:vertAlign w:val="superscript"/>
          <w:lang w:val="en-US"/>
        </w:rPr>
        <w:t>45</w:t>
      </w:r>
      <w:r w:rsidR="00947A77" w:rsidRPr="00714401">
        <w:rPr>
          <w:rFonts w:ascii="Book Antiqua" w:hAnsi="Book Antiqua"/>
          <w:color w:val="auto"/>
          <w:vertAlign w:val="superscript"/>
          <w:lang w:val="en-US"/>
        </w:rPr>
        <w:t>]</w:t>
      </w:r>
      <w:r w:rsidR="00E10869" w:rsidRPr="00714401">
        <w:rPr>
          <w:rFonts w:ascii="Book Antiqua" w:hAnsi="Book Antiqua"/>
          <w:color w:val="auto"/>
          <w:lang w:val="en-US"/>
        </w:rPr>
        <w:t>.</w:t>
      </w:r>
      <w:r w:rsidR="00A2510A" w:rsidRPr="00714401">
        <w:rPr>
          <w:rFonts w:ascii="Book Antiqua" w:hAnsi="Book Antiqua"/>
          <w:color w:val="auto"/>
          <w:lang w:val="en-US"/>
        </w:rPr>
        <w:t xml:space="preserve"> P</w:t>
      </w:r>
      <w:r w:rsidR="006937E8" w:rsidRPr="00714401">
        <w:rPr>
          <w:rFonts w:ascii="Book Antiqua" w:hAnsi="Book Antiqua"/>
          <w:color w:val="auto"/>
          <w:lang w:val="en-US"/>
        </w:rPr>
        <w:t xml:space="preserve">rospectively studying </w:t>
      </w:r>
      <w:r w:rsidR="00A2510A" w:rsidRPr="00714401">
        <w:rPr>
          <w:rFonts w:ascii="Book Antiqua" w:hAnsi="Book Antiqua"/>
          <w:color w:val="auto"/>
          <w:lang w:val="en-US"/>
        </w:rPr>
        <w:t xml:space="preserve">postoperative complications </w:t>
      </w:r>
      <w:r w:rsidR="00A770F1" w:rsidRPr="00714401">
        <w:rPr>
          <w:rFonts w:ascii="Book Antiqua" w:hAnsi="Book Antiqua"/>
          <w:color w:val="auto"/>
          <w:lang w:val="en-US"/>
        </w:rPr>
        <w:t>in 100 cirrhotic patients admitted to different</w:t>
      </w:r>
      <w:r w:rsidR="0076063F" w:rsidRPr="00714401">
        <w:rPr>
          <w:rFonts w:ascii="Book Antiqua" w:hAnsi="Book Antiqua"/>
          <w:color w:val="auto"/>
          <w:lang w:val="en-US"/>
        </w:rPr>
        <w:t xml:space="preserve"> </w:t>
      </w:r>
      <w:r w:rsidR="00A2510A" w:rsidRPr="00714401">
        <w:rPr>
          <w:rFonts w:ascii="Book Antiqua" w:hAnsi="Book Antiqua"/>
          <w:color w:val="auto"/>
          <w:lang w:val="en-US"/>
        </w:rPr>
        <w:t>liver resections</w:t>
      </w:r>
      <w:r w:rsidR="006937E8" w:rsidRPr="00714401">
        <w:rPr>
          <w:rFonts w:ascii="Book Antiqua" w:hAnsi="Book Antiqua"/>
          <w:color w:val="auto"/>
          <w:lang w:val="en-US"/>
        </w:rPr>
        <w:t>,</w:t>
      </w:r>
      <w:r w:rsidR="00A2510A" w:rsidRPr="00714401">
        <w:rPr>
          <w:rFonts w:ascii="Book Antiqua" w:hAnsi="Book Antiqua"/>
          <w:color w:val="auto"/>
          <w:lang w:val="en-US"/>
        </w:rPr>
        <w:t xml:space="preserve"> </w:t>
      </w:r>
      <w:r w:rsidR="00674112" w:rsidRPr="00714401">
        <w:rPr>
          <w:rFonts w:ascii="Book Antiqua" w:hAnsi="Book Antiqua"/>
          <w:color w:val="auto"/>
          <w:lang w:val="en-US"/>
        </w:rPr>
        <w:t xml:space="preserve">our group was </w:t>
      </w:r>
      <w:r w:rsidR="00C535B2" w:rsidRPr="00714401">
        <w:rPr>
          <w:rFonts w:ascii="Book Antiqua" w:hAnsi="Book Antiqua"/>
          <w:color w:val="auto"/>
          <w:lang w:val="en-US"/>
        </w:rPr>
        <w:t xml:space="preserve">able to document </w:t>
      </w:r>
      <w:r w:rsidR="00A2510A" w:rsidRPr="00714401">
        <w:rPr>
          <w:rFonts w:ascii="Book Antiqua" w:hAnsi="Book Antiqua"/>
          <w:color w:val="auto"/>
          <w:lang w:val="en-US"/>
        </w:rPr>
        <w:t xml:space="preserve">a significant increase in </w:t>
      </w:r>
      <w:proofErr w:type="spellStart"/>
      <w:r w:rsidR="00A2510A" w:rsidRPr="00714401">
        <w:rPr>
          <w:rFonts w:ascii="Book Antiqua" w:hAnsi="Book Antiqua"/>
          <w:color w:val="auto"/>
          <w:lang w:val="en-US"/>
        </w:rPr>
        <w:t>postresective</w:t>
      </w:r>
      <w:proofErr w:type="spellEnd"/>
      <w:r w:rsidR="00A2510A" w:rsidRPr="00714401">
        <w:rPr>
          <w:rFonts w:ascii="Book Antiqua" w:hAnsi="Book Antiqua"/>
          <w:color w:val="auto"/>
          <w:lang w:val="en-US"/>
        </w:rPr>
        <w:t xml:space="preserve"> morbidity </w:t>
      </w:r>
      <w:r w:rsidR="00C535B2" w:rsidRPr="00714401">
        <w:rPr>
          <w:rFonts w:ascii="Book Antiqua" w:hAnsi="Book Antiqua"/>
          <w:color w:val="auto"/>
          <w:lang w:val="en-US"/>
        </w:rPr>
        <w:t xml:space="preserve">associated with </w:t>
      </w:r>
      <w:r w:rsidR="006937E8" w:rsidRPr="00714401">
        <w:rPr>
          <w:rFonts w:ascii="Book Antiqua" w:hAnsi="Book Antiqua"/>
          <w:color w:val="auto"/>
          <w:lang w:val="en-US"/>
        </w:rPr>
        <w:t>ICG</w:t>
      </w:r>
      <w:r w:rsidR="006937E8" w:rsidRPr="00714401">
        <w:rPr>
          <w:rFonts w:ascii="Book Antiqua" w:hAnsi="Book Antiqua"/>
          <w:color w:val="auto"/>
          <w:vertAlign w:val="subscript"/>
          <w:lang w:val="en-US"/>
        </w:rPr>
        <w:t>R15</w:t>
      </w:r>
      <w:r w:rsidR="0076063F" w:rsidRPr="00714401">
        <w:rPr>
          <w:rFonts w:ascii="Book Antiqua" w:hAnsi="Book Antiqua"/>
          <w:color w:val="auto"/>
          <w:vertAlign w:val="subscript"/>
          <w:lang w:val="en-US"/>
        </w:rPr>
        <w:t xml:space="preserve"> </w:t>
      </w:r>
      <w:r w:rsidR="006937E8" w:rsidRPr="00714401">
        <w:rPr>
          <w:rFonts w:ascii="Book Antiqua" w:hAnsi="Book Antiqua"/>
          <w:color w:val="auto"/>
          <w:lang w:val="en-US"/>
        </w:rPr>
        <w:t>&gt; 40%</w:t>
      </w:r>
      <w:r w:rsidR="00C535B2" w:rsidRPr="00714401">
        <w:rPr>
          <w:rFonts w:ascii="Book Antiqua" w:hAnsi="Book Antiqua"/>
          <w:color w:val="auto"/>
          <w:lang w:val="en-US"/>
        </w:rPr>
        <w:t xml:space="preserve">: </w:t>
      </w:r>
      <w:r w:rsidR="008970F3" w:rsidRPr="00714401">
        <w:rPr>
          <w:rFonts w:ascii="Book Antiqua" w:hAnsi="Book Antiqua"/>
          <w:color w:val="auto"/>
          <w:lang w:val="en-US"/>
        </w:rPr>
        <w:t>I</w:t>
      </w:r>
      <w:r w:rsidR="00C535B2" w:rsidRPr="00714401">
        <w:rPr>
          <w:rFonts w:ascii="Book Antiqua" w:hAnsi="Book Antiqua"/>
          <w:color w:val="auto"/>
          <w:lang w:val="en-US"/>
        </w:rPr>
        <w:t xml:space="preserve">nterestingly enough, </w:t>
      </w:r>
      <w:r w:rsidR="00A2510A" w:rsidRPr="00714401">
        <w:rPr>
          <w:rFonts w:ascii="Book Antiqua" w:hAnsi="Book Antiqua"/>
          <w:color w:val="auto"/>
          <w:lang w:val="en-US"/>
        </w:rPr>
        <w:t>mortality</w:t>
      </w:r>
      <w:r w:rsidR="0076063F" w:rsidRPr="00714401">
        <w:rPr>
          <w:rFonts w:ascii="Book Antiqua" w:hAnsi="Book Antiqua"/>
          <w:color w:val="auto"/>
          <w:lang w:val="en-US"/>
        </w:rPr>
        <w:t xml:space="preserve"> </w:t>
      </w:r>
      <w:r w:rsidR="00A2510A" w:rsidRPr="00714401">
        <w:rPr>
          <w:rFonts w:ascii="Book Antiqua" w:hAnsi="Book Antiqua"/>
          <w:color w:val="auto"/>
          <w:lang w:val="en-US"/>
        </w:rPr>
        <w:t>was not</w:t>
      </w:r>
      <w:r w:rsidR="009E456E" w:rsidRPr="00714401">
        <w:rPr>
          <w:rFonts w:ascii="Book Antiqua" w:hAnsi="Book Antiqua"/>
          <w:color w:val="auto"/>
          <w:lang w:val="en-US"/>
        </w:rPr>
        <w:t xml:space="preserve"> influenced by IGC</w:t>
      </w:r>
      <w:r w:rsidR="009E456E" w:rsidRPr="00714401">
        <w:rPr>
          <w:rFonts w:ascii="Book Antiqua" w:hAnsi="Book Antiqua"/>
          <w:color w:val="auto"/>
          <w:vertAlign w:val="subscript"/>
          <w:lang w:val="en-US"/>
        </w:rPr>
        <w:t xml:space="preserve"> R15</w:t>
      </w:r>
      <w:r w:rsidR="0076063F" w:rsidRPr="00714401">
        <w:rPr>
          <w:rFonts w:ascii="Book Antiqua" w:hAnsi="Book Antiqua"/>
          <w:color w:val="auto"/>
          <w:lang w:val="en-US"/>
        </w:rPr>
        <w:t xml:space="preserve"> </w:t>
      </w:r>
      <w:r w:rsidR="008D5473" w:rsidRPr="00714401">
        <w:rPr>
          <w:rFonts w:ascii="Book Antiqua" w:hAnsi="Book Antiqua"/>
          <w:color w:val="auto"/>
          <w:lang w:val="en-US"/>
        </w:rPr>
        <w:t>(published in abstract)</w:t>
      </w:r>
      <w:r w:rsidR="003B5A78" w:rsidRPr="00714401">
        <w:rPr>
          <w:rFonts w:ascii="Book Antiqua" w:hAnsi="Book Antiqua"/>
          <w:color w:val="auto"/>
          <w:vertAlign w:val="superscript"/>
          <w:lang w:val="en-US"/>
        </w:rPr>
        <w:t>[47]</w:t>
      </w:r>
      <w:r w:rsidR="008D5473" w:rsidRPr="00714401">
        <w:rPr>
          <w:rFonts w:ascii="Book Antiqua" w:hAnsi="Book Antiqua" w:hint="eastAsia"/>
          <w:color w:val="auto"/>
          <w:lang w:val="en-US" w:eastAsia="zh-CN"/>
        </w:rPr>
        <w:t>.</w:t>
      </w:r>
    </w:p>
    <w:p w:rsidR="000041D9" w:rsidRPr="00714401" w:rsidRDefault="003B5A78" w:rsidP="008D5473">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T</w:t>
      </w:r>
      <w:r w:rsidR="008842EF" w:rsidRPr="00714401">
        <w:rPr>
          <w:rFonts w:ascii="Book Antiqua" w:hAnsi="Book Antiqua"/>
          <w:color w:val="auto"/>
          <w:lang w:val="en-US"/>
        </w:rPr>
        <w:t>he most recent intraoperative application of IGC kinetics (</w:t>
      </w:r>
      <w:r w:rsidR="00F51FB7" w:rsidRPr="00714401">
        <w:rPr>
          <w:rFonts w:ascii="Book Antiqua" w:hAnsi="Book Antiqua"/>
          <w:color w:val="auto"/>
          <w:lang w:val="en-US"/>
        </w:rPr>
        <w:t>ICG</w:t>
      </w:r>
      <w:r w:rsidR="008842EF" w:rsidRPr="00714401">
        <w:rPr>
          <w:rFonts w:ascii="Book Antiqua" w:hAnsi="Book Antiqua"/>
          <w:color w:val="auto"/>
          <w:vertAlign w:val="subscript"/>
          <w:lang w:val="en-US"/>
        </w:rPr>
        <w:t>PDR</w:t>
      </w:r>
      <w:r w:rsidR="008842EF" w:rsidRPr="00714401">
        <w:rPr>
          <w:rFonts w:ascii="Book Antiqua" w:hAnsi="Book Antiqua"/>
          <w:color w:val="auto"/>
          <w:lang w:val="en-US"/>
        </w:rPr>
        <w:t>/</w:t>
      </w:r>
      <w:r w:rsidR="00F51FB7" w:rsidRPr="00714401">
        <w:rPr>
          <w:rFonts w:ascii="Book Antiqua" w:hAnsi="Book Antiqua"/>
          <w:color w:val="auto"/>
          <w:lang w:val="en-US"/>
        </w:rPr>
        <w:t>ICG</w:t>
      </w:r>
      <w:r w:rsidR="008842EF" w:rsidRPr="00714401">
        <w:rPr>
          <w:rFonts w:ascii="Book Antiqua" w:hAnsi="Book Antiqua"/>
          <w:color w:val="auto"/>
          <w:vertAlign w:val="subscript"/>
          <w:lang w:val="en-US"/>
        </w:rPr>
        <w:t>R15</w:t>
      </w:r>
      <w:r w:rsidR="008842EF" w:rsidRPr="00714401">
        <w:rPr>
          <w:rFonts w:ascii="Book Antiqua" w:hAnsi="Book Antiqua"/>
          <w:color w:val="auto"/>
          <w:lang w:val="en-US"/>
        </w:rPr>
        <w:t xml:space="preserve">) </w:t>
      </w:r>
      <w:r w:rsidRPr="00714401">
        <w:rPr>
          <w:rFonts w:ascii="Book Antiqua" w:hAnsi="Book Antiqua"/>
          <w:color w:val="auto"/>
          <w:lang w:val="en-US"/>
        </w:rPr>
        <w:t xml:space="preserve">in major </w:t>
      </w:r>
      <w:r w:rsidR="00684729" w:rsidRPr="00714401">
        <w:rPr>
          <w:rFonts w:ascii="Book Antiqua" w:hAnsi="Book Antiqua"/>
          <w:color w:val="auto"/>
          <w:lang w:val="en-US"/>
        </w:rPr>
        <w:t xml:space="preserve">liver </w:t>
      </w:r>
      <w:r w:rsidRPr="00714401">
        <w:rPr>
          <w:rFonts w:ascii="Book Antiqua" w:hAnsi="Book Antiqua"/>
          <w:color w:val="auto"/>
          <w:lang w:val="en-US"/>
        </w:rPr>
        <w:t xml:space="preserve">surgery </w:t>
      </w:r>
      <w:r w:rsidR="008842EF" w:rsidRPr="00714401">
        <w:rPr>
          <w:rFonts w:ascii="Book Antiqua" w:hAnsi="Book Antiqua"/>
          <w:color w:val="auto"/>
          <w:lang w:val="en-US"/>
        </w:rPr>
        <w:t>was proposed by</w:t>
      </w:r>
      <w:r w:rsidR="00164E50" w:rsidRPr="00714401">
        <w:rPr>
          <w:rFonts w:ascii="Book Antiqua" w:hAnsi="Book Antiqua"/>
          <w:color w:val="auto"/>
          <w:lang w:val="en-US"/>
        </w:rPr>
        <w:t xml:space="preserve"> </w:t>
      </w:r>
      <w:r w:rsidR="00805A2D" w:rsidRPr="00714401">
        <w:rPr>
          <w:rFonts w:ascii="Book Antiqua" w:hAnsi="Book Antiqua"/>
          <w:color w:val="auto"/>
          <w:lang w:val="en-US"/>
        </w:rPr>
        <w:t xml:space="preserve">Thomas </w:t>
      </w:r>
      <w:r w:rsidR="00361EA9" w:rsidRPr="00714401">
        <w:rPr>
          <w:rFonts w:ascii="Book Antiqua" w:hAnsi="Book Antiqua"/>
          <w:i/>
          <w:color w:val="auto"/>
          <w:lang w:val="en-US"/>
        </w:rPr>
        <w:t xml:space="preserve">et </w:t>
      </w:r>
      <w:proofErr w:type="gramStart"/>
      <w:r w:rsidR="00361EA9"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48]</w:t>
      </w:r>
      <w:r w:rsidR="00361EA9" w:rsidRPr="00714401">
        <w:rPr>
          <w:rFonts w:ascii="Book Antiqua" w:hAnsi="Book Antiqua"/>
          <w:color w:val="auto"/>
          <w:lang w:val="en-US"/>
        </w:rPr>
        <w:t>:</w:t>
      </w:r>
      <w:r w:rsidR="0076063F" w:rsidRPr="00714401">
        <w:rPr>
          <w:rFonts w:ascii="Book Antiqua" w:hAnsi="Book Antiqua"/>
          <w:color w:val="auto"/>
          <w:lang w:val="en-US"/>
        </w:rPr>
        <w:t xml:space="preserve"> </w:t>
      </w:r>
      <w:r w:rsidR="00F00255" w:rsidRPr="00714401">
        <w:rPr>
          <w:rFonts w:ascii="Book Antiqua" w:hAnsi="Book Antiqua"/>
          <w:color w:val="auto"/>
          <w:lang w:val="en-US"/>
        </w:rPr>
        <w:t>S</w:t>
      </w:r>
      <w:r w:rsidR="00361EA9" w:rsidRPr="00714401">
        <w:rPr>
          <w:rFonts w:ascii="Book Antiqua" w:hAnsi="Book Antiqua"/>
          <w:color w:val="auto"/>
          <w:lang w:val="en-US"/>
        </w:rPr>
        <w:t>cope of the study was the</w:t>
      </w:r>
      <w:r w:rsidR="0076063F" w:rsidRPr="00714401">
        <w:rPr>
          <w:rFonts w:ascii="Book Antiqua" w:hAnsi="Book Antiqua"/>
          <w:color w:val="auto"/>
          <w:lang w:val="en-US"/>
        </w:rPr>
        <w:t xml:space="preserve"> </w:t>
      </w:r>
      <w:r w:rsidR="00805A2D" w:rsidRPr="00714401">
        <w:rPr>
          <w:rFonts w:ascii="Book Antiqua" w:hAnsi="Book Antiqua"/>
          <w:color w:val="auto"/>
          <w:lang w:val="en-US"/>
        </w:rPr>
        <w:t xml:space="preserve">definition of </w:t>
      </w:r>
      <w:r w:rsidR="00031472" w:rsidRPr="00714401">
        <w:rPr>
          <w:rFonts w:ascii="Book Antiqua" w:hAnsi="Book Antiqua"/>
          <w:color w:val="auto"/>
          <w:lang w:val="en-US"/>
        </w:rPr>
        <w:t xml:space="preserve">reliability of an intraoperative simulation of post-resection liver function. </w:t>
      </w:r>
      <w:r w:rsidR="00361EA9" w:rsidRPr="00714401">
        <w:rPr>
          <w:rFonts w:ascii="Book Antiqua" w:hAnsi="Book Antiqua"/>
          <w:color w:val="auto"/>
          <w:lang w:val="en-US"/>
        </w:rPr>
        <w:t>I</w:t>
      </w:r>
      <w:r w:rsidR="00805A2D" w:rsidRPr="00714401">
        <w:rPr>
          <w:rFonts w:ascii="Book Antiqua" w:hAnsi="Book Antiqua"/>
          <w:color w:val="auto"/>
          <w:lang w:val="en-US"/>
        </w:rPr>
        <w:t>n 20 patients undergoing liver resection</w:t>
      </w:r>
      <w:r w:rsidR="00674112" w:rsidRPr="00714401">
        <w:rPr>
          <w:rFonts w:ascii="Book Antiqua" w:hAnsi="Book Antiqua"/>
          <w:color w:val="auto"/>
          <w:lang w:val="en-US"/>
        </w:rPr>
        <w:t>,</w:t>
      </w:r>
      <w:r w:rsidR="0076063F" w:rsidRPr="00714401">
        <w:rPr>
          <w:rFonts w:ascii="Book Antiqua" w:hAnsi="Book Antiqua"/>
          <w:color w:val="auto"/>
          <w:lang w:val="en-US"/>
        </w:rPr>
        <w:t xml:space="preserve"> </w:t>
      </w:r>
      <w:r w:rsidR="008842EF" w:rsidRPr="00714401">
        <w:rPr>
          <w:rFonts w:ascii="Book Antiqua" w:hAnsi="Book Antiqua"/>
          <w:color w:val="auto"/>
          <w:lang w:val="en-US"/>
        </w:rPr>
        <w:t>ICG</w:t>
      </w:r>
      <w:r w:rsidR="00164E50" w:rsidRPr="00714401">
        <w:rPr>
          <w:rFonts w:ascii="Book Antiqua" w:hAnsi="Book Antiqua"/>
          <w:color w:val="auto"/>
          <w:lang w:val="en-US"/>
        </w:rPr>
        <w:t xml:space="preserve"> </w:t>
      </w:r>
      <w:r w:rsidR="00805A2D" w:rsidRPr="00714401">
        <w:rPr>
          <w:rFonts w:ascii="Book Antiqua" w:hAnsi="Book Antiqua"/>
          <w:color w:val="auto"/>
          <w:lang w:val="en-US"/>
        </w:rPr>
        <w:t xml:space="preserve">kinetics </w:t>
      </w:r>
      <w:r w:rsidR="008842EF" w:rsidRPr="00714401">
        <w:rPr>
          <w:rFonts w:ascii="Book Antiqua" w:hAnsi="Book Antiqua"/>
          <w:color w:val="auto"/>
          <w:lang w:val="en-US"/>
        </w:rPr>
        <w:t>(</w:t>
      </w:r>
      <w:proofErr w:type="spellStart"/>
      <w:r w:rsidR="008842EF" w:rsidRPr="00714401">
        <w:rPr>
          <w:rFonts w:ascii="Book Antiqua" w:hAnsi="Book Antiqua"/>
          <w:color w:val="auto"/>
          <w:lang w:val="en-US"/>
        </w:rPr>
        <w:t>LiMON</w:t>
      </w:r>
      <w:proofErr w:type="spellEnd"/>
      <w:r w:rsidR="00684729" w:rsidRPr="00714401">
        <w:rPr>
          <w:rFonts w:ascii="Book Antiqua" w:hAnsi="Book Antiqua"/>
          <w:color w:val="auto"/>
          <w:lang w:val="en-US"/>
        </w:rPr>
        <w:t xml:space="preserve">, </w:t>
      </w:r>
      <w:proofErr w:type="spellStart"/>
      <w:r w:rsidR="00684729" w:rsidRPr="00714401">
        <w:rPr>
          <w:rFonts w:ascii="Book Antiqua" w:hAnsi="Book Antiqua"/>
          <w:color w:val="auto"/>
          <w:lang w:val="en-US"/>
        </w:rPr>
        <w:t>Pulsion</w:t>
      </w:r>
      <w:proofErr w:type="spellEnd"/>
      <w:r w:rsidR="00684729" w:rsidRPr="00714401">
        <w:rPr>
          <w:rFonts w:ascii="Book Antiqua" w:hAnsi="Book Antiqua"/>
          <w:color w:val="auto"/>
          <w:lang w:val="en-US"/>
        </w:rPr>
        <w:t xml:space="preserve"> Medical System, Germany</w:t>
      </w:r>
      <w:r w:rsidR="008842EF" w:rsidRPr="00714401">
        <w:rPr>
          <w:rFonts w:ascii="Book Antiqua" w:hAnsi="Book Antiqua"/>
          <w:color w:val="auto"/>
          <w:lang w:val="en-US"/>
        </w:rPr>
        <w:t xml:space="preserve">) </w:t>
      </w:r>
      <w:r w:rsidR="00361EA9" w:rsidRPr="00714401">
        <w:rPr>
          <w:rFonts w:ascii="Book Antiqua" w:hAnsi="Book Antiqua"/>
          <w:color w:val="auto"/>
          <w:lang w:val="en-US"/>
        </w:rPr>
        <w:t xml:space="preserve">was assessed </w:t>
      </w:r>
      <w:r w:rsidR="00031472" w:rsidRPr="00714401">
        <w:rPr>
          <w:rFonts w:ascii="Book Antiqua" w:hAnsi="Book Antiqua"/>
          <w:color w:val="auto"/>
          <w:lang w:val="en-US"/>
        </w:rPr>
        <w:t xml:space="preserve">before and </w:t>
      </w:r>
      <w:r w:rsidR="008842EF" w:rsidRPr="00714401">
        <w:rPr>
          <w:rFonts w:ascii="Book Antiqua" w:hAnsi="Book Antiqua"/>
          <w:color w:val="auto"/>
          <w:lang w:val="en-US"/>
        </w:rPr>
        <w:t>af</w:t>
      </w:r>
      <w:r w:rsidR="00E11D3D" w:rsidRPr="00714401">
        <w:rPr>
          <w:rFonts w:ascii="Book Antiqua" w:hAnsi="Book Antiqua"/>
          <w:color w:val="auto"/>
          <w:lang w:val="en-US"/>
        </w:rPr>
        <w:t xml:space="preserve">ter selective arterial and portal </w:t>
      </w:r>
      <w:r w:rsidR="008842EF" w:rsidRPr="00714401">
        <w:rPr>
          <w:rFonts w:ascii="Book Antiqua" w:hAnsi="Book Antiqua"/>
          <w:color w:val="auto"/>
          <w:lang w:val="en-US"/>
        </w:rPr>
        <w:t>venous inflow trial clamping (TC) of the resected liver segments</w:t>
      </w:r>
      <w:r w:rsidR="008D5473" w:rsidRPr="00714401">
        <w:rPr>
          <w:rFonts w:ascii="Book Antiqua" w:hAnsi="Book Antiqua"/>
          <w:color w:val="auto"/>
          <w:lang w:val="en-US"/>
        </w:rPr>
        <w:t xml:space="preserve">: </w:t>
      </w:r>
      <w:r w:rsidR="00E86D21" w:rsidRPr="00714401">
        <w:rPr>
          <w:rFonts w:ascii="Book Antiqua" w:hAnsi="Book Antiqua"/>
          <w:color w:val="auto"/>
          <w:lang w:val="en-US"/>
        </w:rPr>
        <w:t>T</w:t>
      </w:r>
      <w:r w:rsidR="008D5473" w:rsidRPr="00714401">
        <w:rPr>
          <w:rFonts w:ascii="Book Antiqua" w:hAnsi="Book Antiqua"/>
          <w:color w:val="auto"/>
          <w:lang w:val="en-US"/>
        </w:rPr>
        <w:t>he aim was to prevent/</w:t>
      </w:r>
      <w:r w:rsidR="00F51FB7" w:rsidRPr="00714401">
        <w:rPr>
          <w:rFonts w:ascii="Book Antiqua" w:hAnsi="Book Antiqua"/>
          <w:color w:val="auto"/>
          <w:lang w:val="en-US"/>
        </w:rPr>
        <w:t>avoid PHLF.</w:t>
      </w:r>
      <w:r w:rsidR="0076063F" w:rsidRPr="00714401">
        <w:rPr>
          <w:rFonts w:ascii="Book Antiqua" w:hAnsi="Book Antiqua"/>
          <w:color w:val="auto"/>
          <w:lang w:val="en-US"/>
        </w:rPr>
        <w:t xml:space="preserve"> </w:t>
      </w:r>
      <w:r w:rsidR="00805A2D" w:rsidRPr="00714401">
        <w:rPr>
          <w:rFonts w:ascii="Book Antiqua" w:hAnsi="Book Antiqua"/>
          <w:color w:val="auto"/>
          <w:lang w:val="en-US"/>
        </w:rPr>
        <w:t>S</w:t>
      </w:r>
      <w:r w:rsidR="00F51FB7" w:rsidRPr="00714401">
        <w:rPr>
          <w:rFonts w:ascii="Book Antiqua" w:hAnsi="Book Antiqua"/>
          <w:color w:val="auto"/>
          <w:lang w:val="en-US"/>
        </w:rPr>
        <w:t xml:space="preserve">imilar data </w:t>
      </w:r>
      <w:r w:rsidR="00805A2D" w:rsidRPr="00714401">
        <w:rPr>
          <w:rFonts w:ascii="Book Antiqua" w:hAnsi="Book Antiqua"/>
          <w:color w:val="auto"/>
          <w:lang w:val="en-US"/>
        </w:rPr>
        <w:t xml:space="preserve">were recorded </w:t>
      </w:r>
      <w:r w:rsidR="008842EF" w:rsidRPr="00714401">
        <w:rPr>
          <w:rFonts w:ascii="Book Antiqua" w:hAnsi="Book Antiqua"/>
          <w:color w:val="auto"/>
          <w:lang w:val="en-US"/>
        </w:rPr>
        <w:t xml:space="preserve">under TC </w:t>
      </w:r>
      <w:r w:rsidR="00031472" w:rsidRPr="00714401">
        <w:rPr>
          <w:rFonts w:ascii="Book Antiqua" w:hAnsi="Book Antiqua"/>
          <w:color w:val="auto"/>
          <w:lang w:val="en-US"/>
        </w:rPr>
        <w:t>(</w:t>
      </w:r>
      <w:r w:rsidR="00361EA9" w:rsidRPr="00714401">
        <w:rPr>
          <w:rFonts w:ascii="Book Antiqua" w:hAnsi="Book Antiqua"/>
          <w:color w:val="auto"/>
          <w:lang w:val="en-US"/>
        </w:rPr>
        <w:t xml:space="preserve">a significant </w:t>
      </w:r>
      <w:r w:rsidR="00684729" w:rsidRPr="00714401">
        <w:rPr>
          <w:rFonts w:ascii="Book Antiqua" w:hAnsi="Book Antiqua"/>
          <w:color w:val="auto"/>
          <w:lang w:val="en-US"/>
        </w:rPr>
        <w:t>ICG</w:t>
      </w:r>
      <w:r w:rsidR="00361EA9" w:rsidRPr="00714401">
        <w:rPr>
          <w:rFonts w:ascii="Book Antiqua" w:hAnsi="Book Antiqua"/>
          <w:color w:val="auto"/>
          <w:vertAlign w:val="subscript"/>
          <w:lang w:val="en-US"/>
        </w:rPr>
        <w:t>PDR</w:t>
      </w:r>
      <w:r w:rsidR="00361EA9" w:rsidRPr="00714401">
        <w:rPr>
          <w:rFonts w:ascii="Book Antiqua" w:hAnsi="Book Antiqua"/>
          <w:color w:val="auto"/>
          <w:lang w:val="en-US"/>
        </w:rPr>
        <w:t xml:space="preserve"> decrease from </w:t>
      </w:r>
      <w:r w:rsidR="00F51FB7" w:rsidRPr="00714401">
        <w:rPr>
          <w:rFonts w:ascii="Book Antiqua" w:hAnsi="Book Antiqua"/>
          <w:color w:val="auto"/>
          <w:lang w:val="en-US"/>
        </w:rPr>
        <w:t>16.5</w:t>
      </w:r>
      <w:r w:rsidR="00700600" w:rsidRPr="00714401">
        <w:rPr>
          <w:rFonts w:ascii="Book Antiqua" w:hAnsi="Book Antiqua" w:hint="eastAsia"/>
          <w:color w:val="auto"/>
          <w:lang w:val="en-US" w:eastAsia="zh-CN"/>
        </w:rPr>
        <w:t>%</w:t>
      </w:r>
      <w:r w:rsidR="00F51FB7" w:rsidRPr="00714401">
        <w:rPr>
          <w:rFonts w:ascii="Book Antiqua" w:hAnsi="Book Antiqua"/>
          <w:color w:val="auto"/>
          <w:lang w:val="en-US"/>
        </w:rPr>
        <w:t xml:space="preserve"> </w:t>
      </w:r>
      <w:r w:rsidR="00361EA9" w:rsidRPr="00714401">
        <w:rPr>
          <w:rFonts w:ascii="Book Antiqua" w:hAnsi="Book Antiqua"/>
          <w:color w:val="auto"/>
          <w:lang w:val="en-US"/>
        </w:rPr>
        <w:t xml:space="preserve">to 10.5% </w:t>
      </w:r>
      <w:r w:rsidR="00181BA4" w:rsidRPr="00714401">
        <w:rPr>
          <w:rFonts w:ascii="Book Antiqua" w:hAnsi="Book Antiqua" w:hint="eastAsia"/>
          <w:color w:val="auto"/>
          <w:lang w:val="en-US" w:eastAsia="zh-CN"/>
        </w:rPr>
        <w:t xml:space="preserve">per </w:t>
      </w:r>
      <w:r w:rsidR="00181BA4" w:rsidRPr="00714401">
        <w:rPr>
          <w:rFonts w:ascii="Book Antiqua" w:hAnsi="Book Antiqua"/>
          <w:color w:val="auto"/>
          <w:lang w:val="en-US"/>
        </w:rPr>
        <w:t>min</w:t>
      </w:r>
      <w:r w:rsidR="00181BA4" w:rsidRPr="00714401">
        <w:rPr>
          <w:rFonts w:ascii="Book Antiqua" w:hAnsi="Book Antiqua" w:hint="eastAsia"/>
          <w:color w:val="auto"/>
          <w:lang w:val="en-US" w:eastAsia="zh-CN"/>
        </w:rPr>
        <w:t>ute</w:t>
      </w:r>
      <w:r w:rsidR="00F51FB7" w:rsidRPr="00714401">
        <w:rPr>
          <w:rFonts w:ascii="Book Antiqua" w:hAnsi="Book Antiqua"/>
          <w:color w:val="auto"/>
          <w:lang w:val="en-US"/>
        </w:rPr>
        <w:t xml:space="preserve">) </w:t>
      </w:r>
      <w:r w:rsidR="008842EF" w:rsidRPr="00714401">
        <w:rPr>
          <w:rFonts w:ascii="Book Antiqua" w:hAnsi="Book Antiqua"/>
          <w:color w:val="auto"/>
          <w:lang w:val="en-US"/>
        </w:rPr>
        <w:t xml:space="preserve">and </w:t>
      </w:r>
      <w:r w:rsidR="00164E50" w:rsidRPr="00714401">
        <w:rPr>
          <w:rFonts w:ascii="Book Antiqua" w:hAnsi="Book Antiqua"/>
          <w:color w:val="auto"/>
          <w:lang w:val="en-US"/>
        </w:rPr>
        <w:t xml:space="preserve">after resection (median </w:t>
      </w:r>
      <w:r w:rsidR="00684729" w:rsidRPr="00714401">
        <w:rPr>
          <w:rFonts w:ascii="Book Antiqua" w:hAnsi="Book Antiqua"/>
          <w:color w:val="auto"/>
          <w:lang w:val="en-US"/>
        </w:rPr>
        <w:t>ICG</w:t>
      </w:r>
      <w:r w:rsidR="00684729" w:rsidRPr="00714401">
        <w:rPr>
          <w:rFonts w:ascii="Book Antiqua" w:hAnsi="Book Antiqua"/>
          <w:color w:val="auto"/>
          <w:vertAlign w:val="subscript"/>
          <w:lang w:val="en-US"/>
        </w:rPr>
        <w:t>PDR</w:t>
      </w:r>
      <w:r w:rsidR="00684729" w:rsidRPr="00714401">
        <w:rPr>
          <w:rFonts w:ascii="Book Antiqua" w:hAnsi="Book Antiqua"/>
          <w:color w:val="auto"/>
          <w:lang w:val="en-US"/>
        </w:rPr>
        <w:t xml:space="preserve"> </w:t>
      </w:r>
      <w:r w:rsidR="00805A2D" w:rsidRPr="00714401">
        <w:rPr>
          <w:rFonts w:ascii="Book Antiqua" w:hAnsi="Book Antiqua"/>
          <w:color w:val="auto"/>
          <w:lang w:val="en-US"/>
        </w:rPr>
        <w:t xml:space="preserve">after resection </w:t>
      </w:r>
      <w:r w:rsidR="00164E50" w:rsidRPr="00714401">
        <w:rPr>
          <w:rFonts w:ascii="Book Antiqua" w:hAnsi="Book Antiqua"/>
          <w:color w:val="auto"/>
          <w:lang w:val="en-US"/>
        </w:rPr>
        <w:t>10.5%</w:t>
      </w:r>
      <w:r w:rsidR="00361EA9" w:rsidRPr="00714401">
        <w:rPr>
          <w:rFonts w:ascii="Book Antiqua" w:hAnsi="Book Antiqua"/>
          <w:color w:val="auto"/>
          <w:lang w:val="en-US"/>
        </w:rPr>
        <w:t xml:space="preserve"> </w:t>
      </w:r>
      <w:r w:rsidR="00181BA4" w:rsidRPr="00714401">
        <w:rPr>
          <w:rFonts w:ascii="Book Antiqua" w:hAnsi="Book Antiqua" w:hint="eastAsia"/>
          <w:color w:val="auto"/>
          <w:lang w:val="en-US" w:eastAsia="zh-CN"/>
        </w:rPr>
        <w:t xml:space="preserve">per </w:t>
      </w:r>
      <w:r w:rsidR="00181BA4" w:rsidRPr="00714401">
        <w:rPr>
          <w:rFonts w:ascii="Book Antiqua" w:hAnsi="Book Antiqua"/>
          <w:color w:val="auto"/>
          <w:lang w:val="en-US"/>
        </w:rPr>
        <w:t>min</w:t>
      </w:r>
      <w:r w:rsidR="00181BA4" w:rsidRPr="00714401">
        <w:rPr>
          <w:rFonts w:ascii="Book Antiqua" w:hAnsi="Book Antiqua" w:hint="eastAsia"/>
          <w:color w:val="auto"/>
          <w:lang w:val="en-US" w:eastAsia="zh-CN"/>
        </w:rPr>
        <w:t>ute</w:t>
      </w:r>
      <w:r w:rsidR="00164E50" w:rsidRPr="00714401">
        <w:rPr>
          <w:rFonts w:ascii="Book Antiqua" w:hAnsi="Book Antiqua"/>
          <w:color w:val="auto"/>
          <w:lang w:val="en-US"/>
        </w:rPr>
        <w:t>).</w:t>
      </w:r>
      <w:r w:rsidR="00361EA9" w:rsidRPr="00714401">
        <w:rPr>
          <w:rFonts w:ascii="Book Antiqua" w:hAnsi="Book Antiqua"/>
          <w:color w:val="auto"/>
          <w:lang w:val="en-US"/>
        </w:rPr>
        <w:t xml:space="preserve"> </w:t>
      </w:r>
      <w:r w:rsidR="00805A2D" w:rsidRPr="00714401">
        <w:rPr>
          <w:rFonts w:ascii="Book Antiqua" w:hAnsi="Book Antiqua"/>
          <w:color w:val="auto"/>
          <w:lang w:val="en-US"/>
        </w:rPr>
        <w:t xml:space="preserve">Thomas </w:t>
      </w:r>
      <w:r w:rsidR="00031472" w:rsidRPr="00714401">
        <w:rPr>
          <w:rFonts w:ascii="Book Antiqua" w:hAnsi="Book Antiqua"/>
          <w:i/>
          <w:color w:val="auto"/>
          <w:lang w:val="en-US"/>
        </w:rPr>
        <w:t xml:space="preserve">et </w:t>
      </w:r>
      <w:proofErr w:type="gramStart"/>
      <w:r w:rsidR="00031472"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48]</w:t>
      </w:r>
      <w:r w:rsidR="00031472" w:rsidRPr="00714401">
        <w:rPr>
          <w:rFonts w:ascii="Book Antiqua" w:hAnsi="Book Antiqua"/>
          <w:color w:val="auto"/>
          <w:lang w:val="en-US"/>
        </w:rPr>
        <w:t xml:space="preserve"> propose</w:t>
      </w:r>
      <w:r w:rsidR="00805A2D" w:rsidRPr="00714401">
        <w:rPr>
          <w:rFonts w:ascii="Book Antiqua" w:hAnsi="Book Antiqua"/>
          <w:color w:val="auto"/>
          <w:lang w:val="en-US"/>
        </w:rPr>
        <w:t>d</w:t>
      </w:r>
      <w:r w:rsidR="00031472" w:rsidRPr="00714401">
        <w:rPr>
          <w:rFonts w:ascii="Book Antiqua" w:hAnsi="Book Antiqua"/>
          <w:color w:val="auto"/>
          <w:lang w:val="en-US"/>
        </w:rPr>
        <w:t xml:space="preserve"> </w:t>
      </w:r>
      <w:r w:rsidR="00805A2D" w:rsidRPr="00714401">
        <w:rPr>
          <w:rFonts w:ascii="Book Antiqua" w:hAnsi="Book Antiqua"/>
          <w:color w:val="auto"/>
          <w:lang w:val="en-US"/>
        </w:rPr>
        <w:t xml:space="preserve">ICG kinetics </w:t>
      </w:r>
      <w:r w:rsidRPr="00714401">
        <w:rPr>
          <w:rFonts w:ascii="Book Antiqua" w:hAnsi="Book Antiqua"/>
          <w:color w:val="auto"/>
          <w:lang w:val="en-US"/>
        </w:rPr>
        <w:t>as able to</w:t>
      </w:r>
      <w:r w:rsidR="00805A2D" w:rsidRPr="00714401">
        <w:rPr>
          <w:rFonts w:ascii="Book Antiqua" w:hAnsi="Book Antiqua"/>
          <w:color w:val="auto"/>
          <w:lang w:val="en-US"/>
        </w:rPr>
        <w:t xml:space="preserve"> reliably </w:t>
      </w:r>
      <w:r w:rsidR="00031472" w:rsidRPr="00714401">
        <w:rPr>
          <w:rFonts w:ascii="Book Antiqua" w:hAnsi="Book Antiqua"/>
          <w:color w:val="auto"/>
          <w:lang w:val="en-US"/>
        </w:rPr>
        <w:t>s</w:t>
      </w:r>
      <w:r w:rsidR="00805A2D" w:rsidRPr="00714401">
        <w:rPr>
          <w:rFonts w:ascii="Book Antiqua" w:hAnsi="Book Antiqua"/>
          <w:color w:val="auto"/>
          <w:lang w:val="en-US"/>
        </w:rPr>
        <w:t xml:space="preserve">imulate </w:t>
      </w:r>
      <w:r w:rsidR="008842EF" w:rsidRPr="00714401">
        <w:rPr>
          <w:rFonts w:ascii="Book Antiqua" w:hAnsi="Book Antiqua"/>
          <w:color w:val="auto"/>
          <w:lang w:val="en-US"/>
        </w:rPr>
        <w:t xml:space="preserve">post-resection liver function </w:t>
      </w:r>
      <w:r w:rsidR="00805A2D" w:rsidRPr="00714401">
        <w:rPr>
          <w:rFonts w:ascii="Book Antiqua" w:hAnsi="Book Antiqua"/>
          <w:color w:val="auto"/>
          <w:lang w:val="en-US"/>
        </w:rPr>
        <w:t>during TC:</w:t>
      </w:r>
      <w:r w:rsidR="00F00255" w:rsidRPr="00714401">
        <w:rPr>
          <w:rFonts w:ascii="Book Antiqua" w:hAnsi="Book Antiqua"/>
          <w:color w:val="auto"/>
          <w:lang w:val="en-US"/>
        </w:rPr>
        <w:t xml:space="preserve"> I</w:t>
      </w:r>
      <w:r w:rsidR="00805A2D" w:rsidRPr="00714401">
        <w:rPr>
          <w:rFonts w:ascii="Book Antiqua" w:hAnsi="Book Antiqua"/>
          <w:color w:val="auto"/>
          <w:lang w:val="en-US"/>
        </w:rPr>
        <w:t>n their opinion, it might become a useful tool to prevent</w:t>
      </w:r>
      <w:r w:rsidR="00181BA4" w:rsidRPr="00714401">
        <w:rPr>
          <w:rFonts w:ascii="Book Antiqua" w:hAnsi="Book Antiqua"/>
          <w:color w:val="auto"/>
          <w:lang w:val="en-US"/>
        </w:rPr>
        <w:t>/</w:t>
      </w:r>
      <w:r w:rsidR="00805A2D" w:rsidRPr="00714401">
        <w:rPr>
          <w:rFonts w:ascii="Book Antiqua" w:hAnsi="Book Antiqua"/>
          <w:color w:val="auto"/>
          <w:lang w:val="en-US"/>
        </w:rPr>
        <w:t>avoid</w:t>
      </w:r>
      <w:r w:rsidR="0076063F" w:rsidRPr="00714401">
        <w:rPr>
          <w:rFonts w:ascii="Book Antiqua" w:hAnsi="Book Antiqua"/>
          <w:color w:val="auto"/>
          <w:lang w:val="en-US"/>
        </w:rPr>
        <w:t xml:space="preserve"> </w:t>
      </w:r>
      <w:r w:rsidR="008842EF" w:rsidRPr="00714401">
        <w:rPr>
          <w:rFonts w:ascii="Book Antiqua" w:hAnsi="Book Antiqua"/>
          <w:color w:val="auto"/>
          <w:lang w:val="en-US"/>
        </w:rPr>
        <w:t>P</w:t>
      </w:r>
      <w:r w:rsidR="00164E50" w:rsidRPr="00714401">
        <w:rPr>
          <w:rFonts w:ascii="Book Antiqua" w:hAnsi="Book Antiqua"/>
          <w:color w:val="auto"/>
          <w:lang w:val="en-US"/>
        </w:rPr>
        <w:t xml:space="preserve">HLF and </w:t>
      </w:r>
      <w:r w:rsidR="00805A2D" w:rsidRPr="00714401">
        <w:rPr>
          <w:rFonts w:ascii="Book Antiqua" w:hAnsi="Book Antiqua"/>
          <w:color w:val="auto"/>
          <w:lang w:val="en-US"/>
        </w:rPr>
        <w:t>to reduce hospital length of</w:t>
      </w:r>
      <w:r w:rsidR="0076063F" w:rsidRPr="00714401">
        <w:rPr>
          <w:rFonts w:ascii="Book Antiqua" w:hAnsi="Book Antiqua"/>
          <w:color w:val="auto"/>
          <w:lang w:val="en-US"/>
        </w:rPr>
        <w:t xml:space="preserve"> </w:t>
      </w:r>
      <w:r w:rsidR="00181BA4" w:rsidRPr="00714401">
        <w:rPr>
          <w:rFonts w:ascii="Book Antiqua" w:hAnsi="Book Antiqua"/>
          <w:color w:val="auto"/>
          <w:lang w:val="en-US"/>
        </w:rPr>
        <w:t>stay</w:t>
      </w:r>
      <w:r w:rsidR="00947A77" w:rsidRPr="00714401">
        <w:rPr>
          <w:rFonts w:ascii="Book Antiqua" w:hAnsi="Book Antiqua"/>
          <w:color w:val="auto"/>
          <w:lang w:val="en-US"/>
        </w:rPr>
        <w:t>.</w:t>
      </w:r>
      <w:r w:rsidR="0076063F" w:rsidRPr="00714401">
        <w:rPr>
          <w:rFonts w:ascii="Book Antiqua" w:hAnsi="Book Antiqua"/>
          <w:color w:val="auto"/>
          <w:lang w:val="en-US"/>
        </w:rPr>
        <w:t xml:space="preserve"> </w:t>
      </w:r>
    </w:p>
    <w:p w:rsidR="008F2F96" w:rsidRPr="00714401" w:rsidRDefault="008F2F96" w:rsidP="00181BA4">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 xml:space="preserve">In a recent paper, </w:t>
      </w:r>
      <w:r w:rsidR="00416FD7" w:rsidRPr="00714401">
        <w:rPr>
          <w:rFonts w:ascii="Book Antiqua" w:hAnsi="Book Antiqua"/>
          <w:color w:val="auto"/>
          <w:lang w:val="en-US"/>
        </w:rPr>
        <w:t xml:space="preserve">combining the changes </w:t>
      </w:r>
      <w:r w:rsidR="000E706E" w:rsidRPr="00714401">
        <w:rPr>
          <w:rFonts w:ascii="Book Antiqua" w:hAnsi="Book Antiqua"/>
          <w:color w:val="auto"/>
          <w:lang w:val="en-US"/>
        </w:rPr>
        <w:t>of t</w:t>
      </w:r>
      <w:r w:rsidR="00416FD7" w:rsidRPr="00714401">
        <w:rPr>
          <w:rFonts w:ascii="Book Antiqua" w:hAnsi="Book Antiqua"/>
          <w:color w:val="auto"/>
          <w:lang w:val="en-US"/>
        </w:rPr>
        <w:t>otal Bilirubin and INR on</w:t>
      </w:r>
      <w:r w:rsidR="0076063F" w:rsidRPr="00714401">
        <w:rPr>
          <w:rFonts w:ascii="Book Antiqua" w:hAnsi="Book Antiqua"/>
          <w:color w:val="auto"/>
          <w:lang w:val="en-US"/>
        </w:rPr>
        <w:t xml:space="preserve"> </w:t>
      </w:r>
      <w:r w:rsidR="00416FD7" w:rsidRPr="00714401">
        <w:rPr>
          <w:rFonts w:ascii="Book Antiqua" w:hAnsi="Book Antiqua"/>
          <w:color w:val="auto"/>
          <w:lang w:val="en-US"/>
        </w:rPr>
        <w:t>POD</w:t>
      </w:r>
      <w:r w:rsidR="0076063F" w:rsidRPr="00714401">
        <w:rPr>
          <w:rFonts w:ascii="Book Antiqua" w:hAnsi="Book Antiqua"/>
          <w:color w:val="auto"/>
          <w:lang w:val="en-US"/>
        </w:rPr>
        <w:t xml:space="preserve"> </w:t>
      </w:r>
      <w:r w:rsidR="00416FD7" w:rsidRPr="00714401">
        <w:rPr>
          <w:rFonts w:ascii="Book Antiqua" w:hAnsi="Book Antiqua"/>
          <w:color w:val="auto"/>
          <w:lang w:val="en-US"/>
        </w:rPr>
        <w:t xml:space="preserve">1, 3, 5 and 7, </w:t>
      </w:r>
      <w:r w:rsidR="006825DD" w:rsidRPr="00714401">
        <w:rPr>
          <w:rFonts w:ascii="Book Antiqua" w:hAnsi="Book Antiqua"/>
          <w:color w:val="auto"/>
          <w:lang w:val="en-US"/>
        </w:rPr>
        <w:t>Du</w:t>
      </w:r>
      <w:r w:rsidR="006825DD" w:rsidRPr="00714401">
        <w:rPr>
          <w:rFonts w:ascii="Book Antiqua" w:hAnsi="Book Antiqua"/>
          <w:i/>
          <w:color w:val="auto"/>
          <w:lang w:val="en-US"/>
        </w:rPr>
        <w:t xml:space="preserve"> et </w:t>
      </w:r>
      <w:proofErr w:type="gramStart"/>
      <w:r w:rsidR="006825DD" w:rsidRPr="00714401">
        <w:rPr>
          <w:rFonts w:ascii="Book Antiqua" w:hAnsi="Book Antiqua"/>
          <w:i/>
          <w:color w:val="auto"/>
          <w:lang w:val="en-US"/>
        </w:rPr>
        <w:t>al</w:t>
      </w:r>
      <w:r w:rsidR="00181BA4" w:rsidRPr="00714401">
        <w:rPr>
          <w:rFonts w:ascii="Book Antiqua" w:hAnsi="Book Antiqua"/>
          <w:color w:val="auto"/>
          <w:vertAlign w:val="superscript"/>
          <w:lang w:val="en-US"/>
        </w:rPr>
        <w:t>[</w:t>
      </w:r>
      <w:proofErr w:type="gramEnd"/>
      <w:r w:rsidR="00181BA4" w:rsidRPr="00714401">
        <w:rPr>
          <w:rFonts w:ascii="Book Antiqua" w:hAnsi="Book Antiqua"/>
          <w:color w:val="auto"/>
          <w:vertAlign w:val="superscript"/>
          <w:lang w:val="en-US"/>
        </w:rPr>
        <w:t>49]</w:t>
      </w:r>
      <w:r w:rsidR="006825DD" w:rsidRPr="00714401">
        <w:rPr>
          <w:rFonts w:ascii="Book Antiqua" w:hAnsi="Book Antiqua"/>
          <w:color w:val="auto"/>
          <w:lang w:val="en-US"/>
        </w:rPr>
        <w:t xml:space="preserve"> </w:t>
      </w:r>
      <w:r w:rsidRPr="00714401">
        <w:rPr>
          <w:rFonts w:ascii="Book Antiqua" w:hAnsi="Book Antiqua"/>
          <w:color w:val="auto"/>
          <w:lang w:val="en-US"/>
        </w:rPr>
        <w:t>proposed a definition of Postoperative Liver Failure</w:t>
      </w:r>
      <w:r w:rsidR="00416FD7" w:rsidRPr="00714401">
        <w:rPr>
          <w:rFonts w:ascii="Book Antiqua" w:hAnsi="Book Antiqua"/>
          <w:color w:val="auto"/>
          <w:lang w:val="en-US"/>
        </w:rPr>
        <w:t xml:space="preserve"> (PLF).</w:t>
      </w:r>
      <w:r w:rsidR="0076063F" w:rsidRPr="00714401">
        <w:rPr>
          <w:rFonts w:ascii="Book Antiqua" w:hAnsi="Book Antiqua"/>
          <w:color w:val="auto"/>
          <w:lang w:val="en-US"/>
        </w:rPr>
        <w:t xml:space="preserve"> </w:t>
      </w:r>
      <w:proofErr w:type="gramStart"/>
      <w:r w:rsidR="003B5A78" w:rsidRPr="00714401">
        <w:rPr>
          <w:rFonts w:ascii="Book Antiqua" w:hAnsi="Book Antiqua"/>
          <w:color w:val="auto"/>
          <w:lang w:val="en-US"/>
        </w:rPr>
        <w:t>A</w:t>
      </w:r>
      <w:r w:rsidR="00D757ED" w:rsidRPr="00714401">
        <w:rPr>
          <w:rFonts w:ascii="Book Antiqua" w:hAnsi="Book Antiqua"/>
          <w:color w:val="auto"/>
          <w:lang w:val="en-US"/>
        </w:rPr>
        <w:t>n</w:t>
      </w:r>
      <w:proofErr w:type="gramEnd"/>
      <w:r w:rsidR="00D757ED" w:rsidRPr="00714401">
        <w:rPr>
          <w:rFonts w:ascii="Book Antiqua" w:hAnsi="Book Antiqua"/>
          <w:color w:val="auto"/>
          <w:lang w:val="en-US"/>
        </w:rPr>
        <w:t xml:space="preserve"> </w:t>
      </w:r>
      <w:r w:rsidR="00416FD7" w:rsidRPr="00714401">
        <w:rPr>
          <w:rFonts w:ascii="Book Antiqua" w:hAnsi="Book Antiqua"/>
          <w:color w:val="auto"/>
          <w:lang w:val="en-US"/>
        </w:rPr>
        <w:t>Hepatic Damage score</w:t>
      </w:r>
      <w:r w:rsidR="0076063F" w:rsidRPr="00714401">
        <w:rPr>
          <w:rFonts w:ascii="Book Antiqua" w:hAnsi="Book Antiqua"/>
          <w:color w:val="auto"/>
          <w:lang w:val="en-US"/>
        </w:rPr>
        <w:t xml:space="preserve"> </w:t>
      </w:r>
      <w:r w:rsidRPr="00714401">
        <w:rPr>
          <w:rFonts w:ascii="Book Antiqua" w:hAnsi="Book Antiqua"/>
          <w:color w:val="auto"/>
          <w:lang w:val="en-US"/>
        </w:rPr>
        <w:t>(HDs)</w:t>
      </w:r>
      <w:r w:rsidR="00D757ED" w:rsidRPr="00714401">
        <w:rPr>
          <w:rFonts w:ascii="Book Antiqua" w:hAnsi="Book Antiqua"/>
          <w:color w:val="auto"/>
          <w:lang w:val="en-US"/>
        </w:rPr>
        <w:t xml:space="preserve"> was </w:t>
      </w:r>
      <w:r w:rsidR="006F2D36" w:rsidRPr="00714401">
        <w:rPr>
          <w:rFonts w:ascii="Book Antiqua" w:hAnsi="Book Antiqua"/>
          <w:color w:val="auto"/>
          <w:lang w:val="en-US"/>
        </w:rPr>
        <w:t xml:space="preserve">build up and </w:t>
      </w:r>
      <w:r w:rsidR="00416FD7" w:rsidRPr="00714401">
        <w:rPr>
          <w:rFonts w:ascii="Book Antiqua" w:hAnsi="Book Antiqua"/>
          <w:color w:val="auto"/>
          <w:lang w:val="en-US"/>
        </w:rPr>
        <w:t>used after liver resection to define the</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degree of </w:t>
      </w:r>
      <w:r w:rsidR="00416FD7" w:rsidRPr="00714401">
        <w:rPr>
          <w:rFonts w:ascii="Book Antiqua" w:hAnsi="Book Antiqua"/>
          <w:color w:val="auto"/>
          <w:lang w:val="en-US"/>
        </w:rPr>
        <w:t xml:space="preserve">the liver </w:t>
      </w:r>
      <w:r w:rsidRPr="00714401">
        <w:rPr>
          <w:rFonts w:ascii="Book Antiqua" w:hAnsi="Book Antiqua"/>
          <w:color w:val="auto"/>
          <w:lang w:val="en-US"/>
        </w:rPr>
        <w:t xml:space="preserve">metabolic functional impairment </w:t>
      </w:r>
      <w:r w:rsidR="00313561" w:rsidRPr="00714401">
        <w:rPr>
          <w:rFonts w:ascii="Book Antiqua" w:hAnsi="Book Antiqua"/>
          <w:color w:val="auto"/>
          <w:lang w:val="en-US"/>
        </w:rPr>
        <w:t>(</w:t>
      </w:r>
      <w:r w:rsidR="005F1659" w:rsidRPr="00714401">
        <w:rPr>
          <w:rFonts w:ascii="Book Antiqua" w:hAnsi="Book Antiqua"/>
          <w:color w:val="auto"/>
          <w:lang w:val="en-US"/>
        </w:rPr>
        <w:t>0</w:t>
      </w:r>
      <w:r w:rsidR="00181BA4" w:rsidRPr="00714401">
        <w:rPr>
          <w:rFonts w:ascii="Book Antiqua" w:hAnsi="Book Antiqua" w:hint="eastAsia"/>
          <w:color w:val="auto"/>
          <w:lang w:val="en-US" w:eastAsia="zh-CN"/>
        </w:rPr>
        <w:t xml:space="preserve"> </w:t>
      </w:r>
      <w:r w:rsidR="005F1659" w:rsidRPr="00714401">
        <w:rPr>
          <w:rFonts w:ascii="Book Antiqua" w:hAnsi="Book Antiqua"/>
          <w:color w:val="auto"/>
          <w:lang w:val="en-US"/>
        </w:rPr>
        <w:t>=</w:t>
      </w:r>
      <w:r w:rsidR="00181BA4" w:rsidRPr="00714401">
        <w:rPr>
          <w:rFonts w:ascii="Book Antiqua" w:hAnsi="Book Antiqua" w:hint="eastAsia"/>
          <w:color w:val="auto"/>
          <w:lang w:val="en-US" w:eastAsia="zh-CN"/>
        </w:rPr>
        <w:t xml:space="preserve"> </w:t>
      </w:r>
      <w:r w:rsidRPr="00714401">
        <w:rPr>
          <w:rFonts w:ascii="Book Antiqua" w:hAnsi="Book Antiqua"/>
          <w:color w:val="auto"/>
          <w:lang w:val="en-US"/>
        </w:rPr>
        <w:t>mild</w:t>
      </w:r>
      <w:r w:rsidR="005F1659" w:rsidRPr="00714401">
        <w:rPr>
          <w:rFonts w:ascii="Book Antiqua" w:hAnsi="Book Antiqua"/>
          <w:color w:val="auto"/>
          <w:lang w:val="en-US"/>
        </w:rPr>
        <w:t>; 1</w:t>
      </w:r>
      <w:r w:rsidR="00181BA4" w:rsidRPr="00714401">
        <w:rPr>
          <w:rFonts w:ascii="Book Antiqua" w:hAnsi="Book Antiqua" w:hint="eastAsia"/>
          <w:color w:val="auto"/>
          <w:lang w:val="en-US" w:eastAsia="zh-CN"/>
        </w:rPr>
        <w:t xml:space="preserve"> </w:t>
      </w:r>
      <w:r w:rsidR="005F1659" w:rsidRPr="00714401">
        <w:rPr>
          <w:rFonts w:ascii="Book Antiqua" w:hAnsi="Book Antiqua"/>
          <w:color w:val="auto"/>
          <w:lang w:val="en-US"/>
        </w:rPr>
        <w:t>=</w:t>
      </w:r>
      <w:r w:rsidR="00181BA4" w:rsidRPr="00714401">
        <w:rPr>
          <w:rFonts w:ascii="Book Antiqua" w:hAnsi="Book Antiqua" w:hint="eastAsia"/>
          <w:color w:val="auto"/>
          <w:lang w:val="en-US" w:eastAsia="zh-CN"/>
        </w:rPr>
        <w:t xml:space="preserve"> </w:t>
      </w:r>
      <w:r w:rsidRPr="00714401">
        <w:rPr>
          <w:rFonts w:ascii="Book Antiqua" w:hAnsi="Book Antiqua"/>
          <w:color w:val="auto"/>
          <w:lang w:val="en-US"/>
        </w:rPr>
        <w:t>r</w:t>
      </w:r>
      <w:r w:rsidR="00181BA4" w:rsidRPr="00714401">
        <w:rPr>
          <w:rFonts w:ascii="Book Antiqua" w:hAnsi="Book Antiqua"/>
          <w:color w:val="auto"/>
          <w:lang w:val="en-US"/>
        </w:rPr>
        <w:t>eversible hepatic “dysfunction”</w:t>
      </w:r>
      <w:r w:rsidR="005F1659" w:rsidRPr="00714401">
        <w:rPr>
          <w:rFonts w:ascii="Book Antiqua" w:hAnsi="Book Antiqua"/>
          <w:color w:val="auto"/>
          <w:lang w:val="en-US"/>
        </w:rPr>
        <w:t>; 2</w:t>
      </w:r>
      <w:r w:rsidR="00D757ED" w:rsidRPr="00714401">
        <w:rPr>
          <w:rFonts w:ascii="Book Antiqua" w:hAnsi="Book Antiqua"/>
          <w:color w:val="auto"/>
          <w:lang w:val="en-US"/>
        </w:rPr>
        <w:t xml:space="preserve"> </w:t>
      </w:r>
      <w:r w:rsidR="005F1659" w:rsidRPr="00714401">
        <w:rPr>
          <w:rFonts w:ascii="Book Antiqua" w:hAnsi="Book Antiqua"/>
          <w:color w:val="auto"/>
          <w:lang w:val="en-US"/>
        </w:rPr>
        <w:t xml:space="preserve">= </w:t>
      </w:r>
      <w:r w:rsidRPr="00714401">
        <w:rPr>
          <w:rFonts w:ascii="Book Antiqua" w:hAnsi="Book Antiqua"/>
          <w:color w:val="auto"/>
          <w:lang w:val="en-US"/>
        </w:rPr>
        <w:t>fatal hepatic failure</w:t>
      </w:r>
      <w:r w:rsidR="00D757ED" w:rsidRPr="00714401">
        <w:rPr>
          <w:rFonts w:ascii="Book Antiqua" w:hAnsi="Book Antiqua"/>
          <w:color w:val="auto"/>
          <w:lang w:val="en-US"/>
        </w:rPr>
        <w:t>).</w:t>
      </w:r>
      <w:r w:rsidR="0076063F" w:rsidRPr="00714401">
        <w:rPr>
          <w:rFonts w:ascii="Book Antiqua" w:hAnsi="Book Antiqua"/>
          <w:color w:val="auto"/>
          <w:lang w:val="en-US"/>
        </w:rPr>
        <w:t xml:space="preserve"> </w:t>
      </w:r>
      <w:r w:rsidR="00BE579B" w:rsidRPr="00714401">
        <w:rPr>
          <w:rFonts w:ascii="Book Antiqua" w:hAnsi="Book Antiqua"/>
          <w:color w:val="auto"/>
          <w:lang w:val="en-US"/>
        </w:rPr>
        <w:t xml:space="preserve">Interestingly enough, </w:t>
      </w:r>
      <w:r w:rsidR="00416FD7" w:rsidRPr="00714401">
        <w:rPr>
          <w:rFonts w:ascii="Book Antiqua" w:hAnsi="Book Antiqua"/>
          <w:color w:val="auto"/>
          <w:lang w:val="en-US"/>
        </w:rPr>
        <w:t>in the most compromised patients (HDs = 2)</w:t>
      </w:r>
      <w:r w:rsidR="0076063F" w:rsidRPr="00714401">
        <w:rPr>
          <w:rFonts w:ascii="Book Antiqua" w:hAnsi="Book Antiqua"/>
          <w:color w:val="auto"/>
          <w:lang w:val="en-US"/>
        </w:rPr>
        <w:t xml:space="preserve"> </w:t>
      </w:r>
      <w:r w:rsidR="00BE579B" w:rsidRPr="00714401">
        <w:rPr>
          <w:rFonts w:ascii="Book Antiqua" w:hAnsi="Book Antiqua"/>
          <w:color w:val="auto"/>
          <w:lang w:val="en-US"/>
        </w:rPr>
        <w:t>a linear relationship was found between ICG</w:t>
      </w:r>
      <w:r w:rsidR="00BE579B" w:rsidRPr="00714401">
        <w:rPr>
          <w:rFonts w:ascii="Book Antiqua" w:hAnsi="Book Antiqua"/>
          <w:color w:val="auto"/>
          <w:vertAlign w:val="subscript"/>
          <w:lang w:val="en-US"/>
        </w:rPr>
        <w:t>R15</w:t>
      </w:r>
      <w:r w:rsidR="00BE579B" w:rsidRPr="00714401">
        <w:rPr>
          <w:rFonts w:ascii="Book Antiqua" w:hAnsi="Book Antiqua"/>
          <w:color w:val="auto"/>
          <w:lang w:val="en-US"/>
        </w:rPr>
        <w:t xml:space="preserve"> and the number of </w:t>
      </w:r>
      <w:r w:rsidR="00416FD7" w:rsidRPr="00714401">
        <w:rPr>
          <w:rFonts w:ascii="Book Antiqua" w:hAnsi="Book Antiqua"/>
          <w:color w:val="auto"/>
          <w:lang w:val="en-US"/>
        </w:rPr>
        <w:t xml:space="preserve">the </w:t>
      </w:r>
      <w:r w:rsidR="00BE579B" w:rsidRPr="00714401">
        <w:rPr>
          <w:rFonts w:ascii="Book Antiqua" w:hAnsi="Book Antiqua"/>
          <w:color w:val="auto"/>
          <w:lang w:val="en-US"/>
        </w:rPr>
        <w:t>rese</w:t>
      </w:r>
      <w:r w:rsidR="003B5A78" w:rsidRPr="00714401">
        <w:rPr>
          <w:rFonts w:ascii="Book Antiqua" w:hAnsi="Book Antiqua"/>
          <w:color w:val="auto"/>
          <w:lang w:val="en-US"/>
        </w:rPr>
        <w:t xml:space="preserve">cted segments, </w:t>
      </w:r>
      <w:r w:rsidR="004466E4" w:rsidRPr="00714401">
        <w:rPr>
          <w:rFonts w:ascii="Book Antiqua" w:hAnsi="Book Antiqua"/>
          <w:color w:val="auto"/>
          <w:lang w:val="en-US"/>
        </w:rPr>
        <w:t xml:space="preserve">possibly </w:t>
      </w:r>
      <w:r w:rsidR="00BE579B" w:rsidRPr="00714401">
        <w:rPr>
          <w:rFonts w:ascii="Book Antiqua" w:hAnsi="Book Antiqua"/>
          <w:color w:val="auto"/>
          <w:lang w:val="en-US"/>
        </w:rPr>
        <w:t xml:space="preserve">identifying preoperative criteria </w:t>
      </w:r>
      <w:r w:rsidR="004466E4" w:rsidRPr="00714401">
        <w:rPr>
          <w:rFonts w:ascii="Book Antiqua" w:hAnsi="Book Antiqua"/>
          <w:color w:val="auto"/>
          <w:lang w:val="en-US"/>
        </w:rPr>
        <w:t>for</w:t>
      </w:r>
      <w:r w:rsidR="0076063F" w:rsidRPr="00714401">
        <w:rPr>
          <w:rFonts w:ascii="Book Antiqua" w:hAnsi="Book Antiqua"/>
          <w:color w:val="auto"/>
          <w:lang w:val="en-US"/>
        </w:rPr>
        <w:t xml:space="preserve"> </w:t>
      </w:r>
      <w:r w:rsidR="00BE579B" w:rsidRPr="00714401">
        <w:rPr>
          <w:rFonts w:ascii="Book Antiqua" w:hAnsi="Book Antiqua"/>
          <w:color w:val="auto"/>
          <w:lang w:val="en-US"/>
        </w:rPr>
        <w:t>the most appropriate and safest selection of hepatic</w:t>
      </w:r>
      <w:r w:rsidR="0076063F" w:rsidRPr="00714401">
        <w:rPr>
          <w:rFonts w:ascii="Book Antiqua" w:hAnsi="Book Antiqua"/>
          <w:color w:val="auto"/>
          <w:lang w:val="en-US"/>
        </w:rPr>
        <w:t xml:space="preserve"> </w:t>
      </w:r>
      <w:r w:rsidR="00BE579B" w:rsidRPr="00714401">
        <w:rPr>
          <w:rFonts w:ascii="Book Antiqua" w:hAnsi="Book Antiqua"/>
          <w:color w:val="auto"/>
          <w:lang w:val="en-US"/>
        </w:rPr>
        <w:t xml:space="preserve">resection </w:t>
      </w:r>
      <w:r w:rsidR="006F2D36" w:rsidRPr="00714401">
        <w:rPr>
          <w:rFonts w:ascii="Book Antiqua" w:hAnsi="Book Antiqua"/>
          <w:color w:val="auto"/>
          <w:lang w:val="en-US"/>
        </w:rPr>
        <w:t xml:space="preserve">to reduce </w:t>
      </w:r>
      <w:proofErr w:type="gramStart"/>
      <w:r w:rsidR="006F2D36" w:rsidRPr="00714401">
        <w:rPr>
          <w:rFonts w:ascii="Book Antiqua" w:hAnsi="Book Antiqua"/>
          <w:color w:val="auto"/>
          <w:lang w:val="en-US"/>
        </w:rPr>
        <w:t>PLF</w:t>
      </w:r>
      <w:r w:rsidR="00A23A0E" w:rsidRPr="00714401">
        <w:rPr>
          <w:rFonts w:ascii="Book Antiqua" w:hAnsi="Book Antiqua"/>
          <w:color w:val="auto"/>
          <w:vertAlign w:val="superscript"/>
          <w:lang w:val="en-US"/>
        </w:rPr>
        <w:t>[</w:t>
      </w:r>
      <w:proofErr w:type="gramEnd"/>
      <w:r w:rsidR="00A23A0E" w:rsidRPr="00714401">
        <w:rPr>
          <w:rFonts w:ascii="Book Antiqua" w:hAnsi="Book Antiqua"/>
          <w:color w:val="auto"/>
          <w:vertAlign w:val="superscript"/>
          <w:lang w:val="en-US"/>
        </w:rPr>
        <w:t>49</w:t>
      </w:r>
      <w:r w:rsidR="00947A77" w:rsidRPr="00714401">
        <w:rPr>
          <w:rFonts w:ascii="Book Antiqua" w:hAnsi="Book Antiqua"/>
          <w:color w:val="auto"/>
          <w:vertAlign w:val="superscript"/>
          <w:lang w:val="en-US"/>
        </w:rPr>
        <w:t>]</w:t>
      </w:r>
      <w:r w:rsidR="00BE579B" w:rsidRPr="00714401">
        <w:rPr>
          <w:rFonts w:ascii="Book Antiqua" w:hAnsi="Book Antiqua"/>
          <w:color w:val="auto"/>
          <w:lang w:val="en-US"/>
        </w:rPr>
        <w:t>.</w:t>
      </w:r>
      <w:r w:rsidR="0076063F" w:rsidRPr="00714401">
        <w:rPr>
          <w:rFonts w:ascii="Book Antiqua" w:hAnsi="Book Antiqua"/>
          <w:color w:val="auto"/>
          <w:lang w:val="en-US"/>
        </w:rPr>
        <w:t xml:space="preserve"> </w:t>
      </w:r>
    </w:p>
    <w:p w:rsidR="00AE4B5C" w:rsidRPr="00714401" w:rsidRDefault="004466E4" w:rsidP="00181BA4">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Preoperative pathological ICG</w:t>
      </w:r>
      <w:r w:rsidRPr="00714401">
        <w:rPr>
          <w:rFonts w:ascii="Book Antiqua" w:hAnsi="Book Antiqua"/>
          <w:color w:val="auto"/>
          <w:vertAlign w:val="subscript"/>
          <w:lang w:val="en-US"/>
        </w:rPr>
        <w:t xml:space="preserve">R15 </w:t>
      </w:r>
      <w:r w:rsidR="00C535B2" w:rsidRPr="00714401">
        <w:rPr>
          <w:rFonts w:ascii="Book Antiqua" w:hAnsi="Book Antiqua"/>
          <w:color w:val="auto"/>
          <w:lang w:val="en-US"/>
        </w:rPr>
        <w:t xml:space="preserve">may be wrongly associated with </w:t>
      </w:r>
      <w:r w:rsidRPr="00714401">
        <w:rPr>
          <w:rFonts w:ascii="Book Antiqua" w:hAnsi="Book Antiqua"/>
          <w:color w:val="auto"/>
          <w:lang w:val="en-US"/>
        </w:rPr>
        <w:t xml:space="preserve">liver </w:t>
      </w:r>
      <w:r w:rsidR="00C535B2" w:rsidRPr="00714401">
        <w:rPr>
          <w:rFonts w:ascii="Book Antiqua" w:hAnsi="Book Antiqua"/>
          <w:color w:val="auto"/>
          <w:lang w:val="en-US"/>
        </w:rPr>
        <w:t>dys</w:t>
      </w:r>
      <w:r w:rsidRPr="00714401">
        <w:rPr>
          <w:rFonts w:ascii="Book Antiqua" w:hAnsi="Book Antiqua"/>
          <w:color w:val="auto"/>
          <w:lang w:val="en-US"/>
        </w:rPr>
        <w:t>function i</w:t>
      </w:r>
      <w:r w:rsidR="000041D9" w:rsidRPr="00714401">
        <w:rPr>
          <w:rFonts w:ascii="Book Antiqua" w:hAnsi="Book Antiqua"/>
          <w:color w:val="auto"/>
          <w:lang w:val="en-US"/>
        </w:rPr>
        <w:t xml:space="preserve">n </w:t>
      </w:r>
      <w:r w:rsidR="00C535B2" w:rsidRPr="00714401">
        <w:rPr>
          <w:rFonts w:ascii="Book Antiqua" w:hAnsi="Book Antiqua"/>
          <w:color w:val="auto"/>
          <w:lang w:val="en-US"/>
        </w:rPr>
        <w:t xml:space="preserve">case of </w:t>
      </w:r>
      <w:r w:rsidR="000041D9" w:rsidRPr="00714401">
        <w:rPr>
          <w:rFonts w:ascii="Book Antiqua" w:hAnsi="Book Antiqua"/>
          <w:color w:val="auto"/>
          <w:lang w:val="en-US"/>
        </w:rPr>
        <w:t>biliary obstruction</w:t>
      </w:r>
      <w:r w:rsidR="00F51FB7" w:rsidRPr="00714401">
        <w:rPr>
          <w:rFonts w:ascii="Book Antiqua" w:hAnsi="Book Antiqua"/>
          <w:color w:val="auto"/>
          <w:lang w:val="en-US"/>
        </w:rPr>
        <w:t xml:space="preserve">. </w:t>
      </w:r>
      <w:r w:rsidR="009C4911" w:rsidRPr="00714401">
        <w:rPr>
          <w:rFonts w:ascii="Book Antiqua" w:hAnsi="Book Antiqua"/>
          <w:color w:val="auto"/>
          <w:lang w:val="en-US"/>
        </w:rPr>
        <w:t xml:space="preserve">If this is the </w:t>
      </w:r>
      <w:r w:rsidR="00B33BE4" w:rsidRPr="00714401">
        <w:rPr>
          <w:rFonts w:ascii="Book Antiqua" w:hAnsi="Book Antiqua"/>
          <w:color w:val="auto"/>
          <w:lang w:val="en-US"/>
        </w:rPr>
        <w:t xml:space="preserve">case, </w:t>
      </w:r>
      <w:r w:rsidR="00416FD7" w:rsidRPr="00714401">
        <w:rPr>
          <w:rFonts w:ascii="Book Antiqua" w:hAnsi="Book Antiqua"/>
          <w:color w:val="auto"/>
          <w:lang w:val="en-US"/>
        </w:rPr>
        <w:t xml:space="preserve">caution </w:t>
      </w:r>
      <w:r w:rsidR="000E706E" w:rsidRPr="00714401">
        <w:rPr>
          <w:rFonts w:ascii="Book Antiqua" w:hAnsi="Book Antiqua"/>
          <w:color w:val="auto"/>
          <w:lang w:val="en-US"/>
        </w:rPr>
        <w:t>should</w:t>
      </w:r>
      <w:r w:rsidR="0076063F" w:rsidRPr="00714401">
        <w:rPr>
          <w:rFonts w:ascii="Book Antiqua" w:hAnsi="Book Antiqua"/>
          <w:color w:val="auto"/>
          <w:lang w:val="en-US"/>
        </w:rPr>
        <w:t xml:space="preserve"> </w:t>
      </w:r>
      <w:r w:rsidR="00416FD7" w:rsidRPr="00714401">
        <w:rPr>
          <w:rFonts w:ascii="Book Antiqua" w:hAnsi="Book Antiqua"/>
          <w:color w:val="auto"/>
          <w:lang w:val="en-US"/>
        </w:rPr>
        <w:t xml:space="preserve">be exerted </w:t>
      </w:r>
      <w:r w:rsidR="00C535B2" w:rsidRPr="00714401">
        <w:rPr>
          <w:rFonts w:ascii="Book Antiqua" w:hAnsi="Book Antiqua"/>
          <w:color w:val="auto"/>
          <w:lang w:val="en-US"/>
        </w:rPr>
        <w:t xml:space="preserve">in </w:t>
      </w:r>
      <w:r w:rsidR="00416FD7" w:rsidRPr="00714401">
        <w:rPr>
          <w:rFonts w:ascii="Book Antiqua" w:hAnsi="Book Antiqua"/>
          <w:color w:val="auto"/>
          <w:lang w:val="en-US"/>
        </w:rPr>
        <w:t>interpreting the test results</w:t>
      </w:r>
      <w:r w:rsidR="00C535B2" w:rsidRPr="00714401">
        <w:rPr>
          <w:rFonts w:ascii="Book Antiqua" w:hAnsi="Book Antiqua"/>
          <w:color w:val="auto"/>
          <w:lang w:val="en-US"/>
        </w:rPr>
        <w:t xml:space="preserve">: while the programmed </w:t>
      </w:r>
      <w:r w:rsidR="00836753" w:rsidRPr="00714401">
        <w:rPr>
          <w:rFonts w:ascii="Book Antiqua" w:hAnsi="Book Antiqua"/>
          <w:color w:val="auto"/>
          <w:lang w:val="en-US"/>
        </w:rPr>
        <w:t>surgical strategy</w:t>
      </w:r>
      <w:r w:rsidR="00C535B2" w:rsidRPr="00714401">
        <w:rPr>
          <w:rFonts w:ascii="Book Antiqua" w:hAnsi="Book Antiqua"/>
          <w:color w:val="auto"/>
          <w:lang w:val="en-US"/>
        </w:rPr>
        <w:t xml:space="preserve"> should not be withhold, </w:t>
      </w:r>
      <w:r w:rsidR="00B33BE4" w:rsidRPr="00714401">
        <w:rPr>
          <w:rFonts w:ascii="Book Antiqua" w:hAnsi="Book Antiqua"/>
          <w:color w:val="auto"/>
          <w:lang w:val="en-US"/>
        </w:rPr>
        <w:t xml:space="preserve">further and multimodal investigations </w:t>
      </w:r>
      <w:r w:rsidR="00C535B2" w:rsidRPr="00714401">
        <w:rPr>
          <w:rFonts w:ascii="Book Antiqua" w:hAnsi="Book Antiqua"/>
          <w:color w:val="auto"/>
          <w:lang w:val="en-US"/>
        </w:rPr>
        <w:t xml:space="preserve">are to be considered </w:t>
      </w:r>
      <w:r w:rsidR="00836753" w:rsidRPr="00714401">
        <w:rPr>
          <w:rFonts w:ascii="Book Antiqua" w:hAnsi="Book Antiqua"/>
          <w:color w:val="auto"/>
          <w:lang w:val="en-US"/>
        </w:rPr>
        <w:t xml:space="preserve">to </w:t>
      </w:r>
      <w:r w:rsidR="008970F3">
        <w:rPr>
          <w:rFonts w:ascii="Book Antiqua" w:hAnsi="Book Antiqua"/>
          <w:color w:val="auto"/>
          <w:lang w:val="en-US"/>
        </w:rPr>
        <w:t>adapt/</w:t>
      </w:r>
      <w:r w:rsidR="00836753" w:rsidRPr="00714401">
        <w:rPr>
          <w:rFonts w:ascii="Book Antiqua" w:hAnsi="Book Antiqua"/>
          <w:color w:val="auto"/>
          <w:lang w:val="en-US"/>
        </w:rPr>
        <w:t xml:space="preserve">optimize the </w:t>
      </w:r>
      <w:r w:rsidR="00416FD7" w:rsidRPr="00714401">
        <w:rPr>
          <w:rFonts w:ascii="Book Antiqua" w:hAnsi="Book Antiqua"/>
          <w:color w:val="auto"/>
          <w:lang w:val="en-US"/>
        </w:rPr>
        <w:t xml:space="preserve">surgical </w:t>
      </w:r>
      <w:proofErr w:type="gramStart"/>
      <w:r w:rsidR="00416FD7" w:rsidRPr="00714401">
        <w:rPr>
          <w:rFonts w:ascii="Book Antiqua" w:hAnsi="Book Antiqua"/>
          <w:color w:val="auto"/>
          <w:lang w:val="en-US"/>
        </w:rPr>
        <w:t>program</w:t>
      </w:r>
      <w:r w:rsidR="00610290" w:rsidRPr="00714401">
        <w:rPr>
          <w:rFonts w:ascii="Book Antiqua" w:hAnsi="Book Antiqua"/>
          <w:color w:val="auto"/>
          <w:vertAlign w:val="superscript"/>
          <w:lang w:val="en-US"/>
        </w:rPr>
        <w:t>[</w:t>
      </w:r>
      <w:proofErr w:type="gramEnd"/>
      <w:r w:rsidR="00D13521" w:rsidRPr="00714401">
        <w:rPr>
          <w:rFonts w:ascii="Book Antiqua" w:hAnsi="Book Antiqua"/>
          <w:color w:val="auto"/>
          <w:vertAlign w:val="superscript"/>
          <w:lang w:val="en-US"/>
        </w:rPr>
        <w:t>6</w:t>
      </w:r>
      <w:r w:rsidR="00610290" w:rsidRPr="00714401">
        <w:rPr>
          <w:rFonts w:ascii="Book Antiqua" w:hAnsi="Book Antiqua"/>
          <w:color w:val="auto"/>
          <w:vertAlign w:val="superscript"/>
          <w:lang w:val="en-US"/>
        </w:rPr>
        <w:t>]</w:t>
      </w:r>
      <w:r w:rsidR="00F6171C" w:rsidRPr="00714401">
        <w:rPr>
          <w:rFonts w:ascii="Book Antiqua" w:hAnsi="Book Antiqua"/>
          <w:color w:val="auto"/>
          <w:lang w:val="en-US"/>
        </w:rPr>
        <w:t xml:space="preserve">. </w:t>
      </w:r>
      <w:r w:rsidRPr="00714401">
        <w:rPr>
          <w:rFonts w:ascii="Book Antiqua" w:hAnsi="Book Antiqua"/>
          <w:color w:val="auto"/>
          <w:lang w:val="en-US"/>
        </w:rPr>
        <w:t>In case of</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hyperbilirubinemia, the </w:t>
      </w:r>
      <w:r w:rsidR="00181BA4" w:rsidRPr="00714401">
        <w:rPr>
          <w:rFonts w:ascii="Book Antiqua" w:hAnsi="Book Antiqua" w:hint="eastAsia"/>
          <w:color w:val="auto"/>
          <w:lang w:val="en-US" w:eastAsia="zh-CN"/>
        </w:rPr>
        <w:t xml:space="preserve">South </w:t>
      </w:r>
      <w:r w:rsidRPr="00714401">
        <w:rPr>
          <w:rFonts w:ascii="Book Antiqua" w:hAnsi="Book Antiqua"/>
          <w:color w:val="auto"/>
          <w:lang w:val="en-US"/>
        </w:rPr>
        <w:t>Korean and Japanese surgical schools suggest, a</w:t>
      </w:r>
      <w:r w:rsidR="00F51FB7" w:rsidRPr="00714401">
        <w:rPr>
          <w:rFonts w:ascii="Book Antiqua" w:hAnsi="Book Antiqua"/>
          <w:color w:val="auto"/>
          <w:lang w:val="en-US"/>
        </w:rPr>
        <w:t xml:space="preserve">s very recently reported by Ge </w:t>
      </w:r>
      <w:r w:rsidR="00F51FB7" w:rsidRPr="00714401">
        <w:rPr>
          <w:rFonts w:ascii="Book Antiqua" w:hAnsi="Book Antiqua"/>
          <w:i/>
          <w:color w:val="auto"/>
          <w:lang w:val="en-US"/>
        </w:rPr>
        <w:t xml:space="preserve">et </w:t>
      </w:r>
      <w:proofErr w:type="gramStart"/>
      <w:r w:rsidR="00F51FB7" w:rsidRPr="00714401">
        <w:rPr>
          <w:rFonts w:ascii="Book Antiqua" w:hAnsi="Book Antiqua"/>
          <w:i/>
          <w:color w:val="auto"/>
          <w:lang w:val="en-US"/>
        </w:rPr>
        <w:t>al</w:t>
      </w:r>
      <w:r w:rsidR="00181BA4" w:rsidRPr="00714401">
        <w:rPr>
          <w:rFonts w:ascii="Book Antiqua" w:hAnsi="Book Antiqua"/>
          <w:color w:val="auto"/>
          <w:vertAlign w:val="superscript"/>
          <w:lang w:val="en-US"/>
        </w:rPr>
        <w:t>[</w:t>
      </w:r>
      <w:proofErr w:type="gramEnd"/>
      <w:r w:rsidR="00181BA4" w:rsidRPr="00714401">
        <w:rPr>
          <w:rFonts w:ascii="Book Antiqua" w:hAnsi="Book Antiqua"/>
          <w:color w:val="auto"/>
          <w:vertAlign w:val="superscript"/>
          <w:lang w:val="en-US"/>
        </w:rPr>
        <w:t>17]</w:t>
      </w:r>
      <w:r w:rsidR="00F51FB7" w:rsidRPr="00714401">
        <w:rPr>
          <w:rFonts w:ascii="Book Antiqua" w:hAnsi="Book Antiqua"/>
          <w:color w:val="auto"/>
          <w:lang w:val="en-US"/>
        </w:rPr>
        <w:t xml:space="preserve">, </w:t>
      </w:r>
      <w:r w:rsidR="00AD3E5C" w:rsidRPr="00714401">
        <w:rPr>
          <w:rFonts w:ascii="Book Antiqua" w:hAnsi="Book Antiqua"/>
          <w:color w:val="auto"/>
          <w:lang w:val="en-US"/>
        </w:rPr>
        <w:t xml:space="preserve">Tc - </w:t>
      </w:r>
      <w:proofErr w:type="spellStart"/>
      <w:r w:rsidR="00AD3E5C" w:rsidRPr="00714401">
        <w:rPr>
          <w:rFonts w:ascii="Book Antiqua" w:hAnsi="Book Antiqua"/>
          <w:color w:val="auto"/>
          <w:lang w:val="en-US"/>
        </w:rPr>
        <w:t>G</w:t>
      </w:r>
      <w:r w:rsidR="00E10869" w:rsidRPr="00714401">
        <w:rPr>
          <w:rFonts w:ascii="Book Antiqua" w:hAnsi="Book Antiqua"/>
          <w:color w:val="auto"/>
          <w:lang w:val="en-US"/>
        </w:rPr>
        <w:t>alactosyl</w:t>
      </w:r>
      <w:proofErr w:type="spellEnd"/>
      <w:r w:rsidR="00E10869" w:rsidRPr="00714401">
        <w:rPr>
          <w:rFonts w:ascii="Book Antiqua" w:hAnsi="Book Antiqua"/>
          <w:color w:val="auto"/>
          <w:lang w:val="en-US"/>
        </w:rPr>
        <w:t xml:space="preserve"> Serum</w:t>
      </w:r>
      <w:r w:rsidR="00F6171C" w:rsidRPr="00714401">
        <w:rPr>
          <w:rFonts w:ascii="Book Antiqua" w:hAnsi="Book Antiqua"/>
          <w:color w:val="auto"/>
          <w:lang w:val="en-US"/>
        </w:rPr>
        <w:t xml:space="preserve"> Albumin Scintigraphy (Tc </w:t>
      </w:r>
      <w:r w:rsidR="00F6171C" w:rsidRPr="00714401">
        <w:rPr>
          <w:rFonts w:ascii="Book Antiqua" w:hAnsi="Book Antiqua"/>
          <w:color w:val="auto"/>
          <w:lang w:val="en-US"/>
        </w:rPr>
        <w:lastRenderedPageBreak/>
        <w:t xml:space="preserve">GSAS) </w:t>
      </w:r>
      <w:r w:rsidR="00416FD7" w:rsidRPr="00714401">
        <w:rPr>
          <w:rFonts w:ascii="Book Antiqua" w:hAnsi="Book Antiqua"/>
          <w:color w:val="auto"/>
          <w:lang w:val="en-US"/>
        </w:rPr>
        <w:t>for a more precise functional assessment of the liver</w:t>
      </w:r>
      <w:r w:rsidR="00F6171C" w:rsidRPr="00714401">
        <w:rPr>
          <w:rFonts w:ascii="Book Antiqua" w:hAnsi="Book Antiqua"/>
          <w:color w:val="auto"/>
          <w:lang w:val="en-US"/>
        </w:rPr>
        <w:t>.</w:t>
      </w:r>
      <w:r w:rsidR="00823314" w:rsidRPr="00714401">
        <w:rPr>
          <w:rFonts w:ascii="Book Antiqua" w:hAnsi="Book Antiqua"/>
          <w:color w:val="auto"/>
          <w:lang w:val="en-US"/>
        </w:rPr>
        <w:t xml:space="preserve"> </w:t>
      </w:r>
      <w:r w:rsidR="00416FD7" w:rsidRPr="00714401">
        <w:rPr>
          <w:rFonts w:ascii="Book Antiqua" w:hAnsi="Book Antiqua"/>
          <w:color w:val="auto"/>
          <w:lang w:val="en-US"/>
        </w:rPr>
        <w:t xml:space="preserve">According to the most </w:t>
      </w:r>
      <w:r w:rsidR="00AE4B5C" w:rsidRPr="00714401">
        <w:rPr>
          <w:rFonts w:ascii="Book Antiqua" w:hAnsi="Book Antiqua"/>
          <w:color w:val="auto"/>
          <w:lang w:val="en-US"/>
        </w:rPr>
        <w:t>updated</w:t>
      </w:r>
      <w:r w:rsidR="0076063F" w:rsidRPr="00714401">
        <w:rPr>
          <w:rFonts w:ascii="Book Antiqua" w:hAnsi="Book Antiqua"/>
          <w:color w:val="auto"/>
          <w:lang w:val="en-US"/>
        </w:rPr>
        <w:t xml:space="preserve"> </w:t>
      </w:r>
      <w:r w:rsidR="00416FD7" w:rsidRPr="00714401">
        <w:rPr>
          <w:rFonts w:ascii="Book Antiqua" w:hAnsi="Book Antiqua"/>
          <w:color w:val="auto"/>
          <w:lang w:val="en-US"/>
        </w:rPr>
        <w:t xml:space="preserve">literature, </w:t>
      </w:r>
      <w:r w:rsidR="00AD3E5C" w:rsidRPr="00714401">
        <w:rPr>
          <w:rFonts w:ascii="Book Antiqua" w:hAnsi="Book Antiqua" w:cs="Cambria Math"/>
          <w:color w:val="auto"/>
          <w:lang w:val="en-US"/>
        </w:rPr>
        <w:t>GSA</w:t>
      </w:r>
      <w:r w:rsidR="00416FD7" w:rsidRPr="00714401">
        <w:rPr>
          <w:rFonts w:ascii="Book Antiqua" w:hAnsi="Book Antiqua" w:cs="Cambria Math"/>
          <w:color w:val="auto"/>
          <w:lang w:val="en-US"/>
        </w:rPr>
        <w:t xml:space="preserve"> seems to be </w:t>
      </w:r>
      <w:r w:rsidRPr="00714401">
        <w:rPr>
          <w:rFonts w:ascii="Book Antiqua" w:hAnsi="Book Antiqua"/>
          <w:color w:val="auto"/>
          <w:lang w:val="en-US"/>
        </w:rPr>
        <w:t>t</w:t>
      </w:r>
      <w:r w:rsidR="00AD3E5C" w:rsidRPr="00714401">
        <w:rPr>
          <w:rFonts w:ascii="Book Antiqua" w:hAnsi="Book Antiqua"/>
          <w:color w:val="auto"/>
          <w:lang w:val="en-US"/>
        </w:rPr>
        <w:t>he</w:t>
      </w:r>
      <w:r w:rsidRPr="00714401">
        <w:rPr>
          <w:rFonts w:ascii="Book Antiqua" w:hAnsi="Book Antiqua"/>
          <w:color w:val="auto"/>
          <w:lang w:val="en-US"/>
        </w:rPr>
        <w:t xml:space="preserve"> </w:t>
      </w:r>
      <w:r w:rsidR="00B33BE4" w:rsidRPr="00714401">
        <w:rPr>
          <w:rFonts w:ascii="Book Antiqua" w:hAnsi="Book Antiqua"/>
          <w:color w:val="auto"/>
          <w:lang w:val="en-US"/>
        </w:rPr>
        <w:t>idea</w:t>
      </w:r>
      <w:r w:rsidRPr="00714401">
        <w:rPr>
          <w:rFonts w:ascii="Book Antiqua" w:hAnsi="Book Antiqua"/>
          <w:color w:val="auto"/>
          <w:lang w:val="en-US"/>
        </w:rPr>
        <w:t xml:space="preserve">l </w:t>
      </w:r>
      <w:r w:rsidR="00B33BE4" w:rsidRPr="00714401">
        <w:rPr>
          <w:rFonts w:ascii="Book Antiqua" w:hAnsi="Book Antiqua"/>
          <w:color w:val="auto"/>
          <w:lang w:val="en-US"/>
        </w:rPr>
        <w:t>agen</w:t>
      </w:r>
      <w:r w:rsidRPr="00714401">
        <w:rPr>
          <w:rFonts w:ascii="Book Antiqua" w:hAnsi="Book Antiqua"/>
          <w:color w:val="auto"/>
          <w:lang w:val="en-US"/>
        </w:rPr>
        <w:t>t t</w:t>
      </w:r>
      <w:r w:rsidR="00AD3E5C" w:rsidRPr="00714401">
        <w:rPr>
          <w:rFonts w:ascii="Book Antiqua" w:hAnsi="Book Antiqua"/>
          <w:color w:val="auto"/>
          <w:lang w:val="en-US"/>
        </w:rPr>
        <w:t>o predict</w:t>
      </w:r>
      <w:r w:rsidRPr="00714401">
        <w:rPr>
          <w:rFonts w:ascii="Book Antiqua" w:hAnsi="Book Antiqua"/>
          <w:color w:val="auto"/>
          <w:lang w:val="en-US"/>
        </w:rPr>
        <w:t xml:space="preserve"> the volume of </w:t>
      </w:r>
      <w:r w:rsidR="00B33BE4" w:rsidRPr="00714401">
        <w:rPr>
          <w:rFonts w:ascii="Book Antiqua" w:hAnsi="Book Antiqua"/>
          <w:color w:val="auto"/>
          <w:lang w:val="en-US"/>
        </w:rPr>
        <w:t>hepatocyte</w:t>
      </w:r>
      <w:r w:rsidRPr="00714401">
        <w:rPr>
          <w:rFonts w:ascii="Book Antiqua" w:hAnsi="Book Antiqua"/>
          <w:color w:val="auto"/>
          <w:lang w:val="en-US"/>
        </w:rPr>
        <w:t xml:space="preserve"> </w:t>
      </w:r>
      <w:r w:rsidR="00B33BE4" w:rsidRPr="00714401">
        <w:rPr>
          <w:rFonts w:ascii="Book Antiqua" w:hAnsi="Book Antiqua"/>
          <w:color w:val="auto"/>
          <w:lang w:val="en-US"/>
        </w:rPr>
        <w:t>mass</w:t>
      </w:r>
      <w:r w:rsidRPr="00714401">
        <w:rPr>
          <w:rFonts w:ascii="Book Antiqua" w:hAnsi="Book Antiqua"/>
          <w:color w:val="auto"/>
          <w:lang w:val="en-US"/>
        </w:rPr>
        <w:t xml:space="preserve"> </w:t>
      </w:r>
      <w:r w:rsidR="00B33BE4" w:rsidRPr="00714401">
        <w:rPr>
          <w:rFonts w:ascii="Book Antiqua" w:hAnsi="Book Antiqua"/>
          <w:color w:val="auto"/>
          <w:lang w:val="en-US"/>
        </w:rPr>
        <w:t>and</w:t>
      </w:r>
      <w:r w:rsidRPr="00714401">
        <w:rPr>
          <w:rFonts w:ascii="Book Antiqua" w:hAnsi="Book Antiqua"/>
          <w:color w:val="auto"/>
          <w:lang w:val="en-US"/>
        </w:rPr>
        <w:t xml:space="preserve"> its </w:t>
      </w:r>
      <w:r w:rsidR="00AE4B5C" w:rsidRPr="00714401">
        <w:rPr>
          <w:rFonts w:ascii="Book Antiqua" w:hAnsi="Book Antiqua"/>
          <w:color w:val="auto"/>
          <w:lang w:val="en-US"/>
        </w:rPr>
        <w:t>function,</w:t>
      </w:r>
      <w:r w:rsidR="0076063F" w:rsidRPr="00714401">
        <w:rPr>
          <w:rFonts w:ascii="Book Antiqua" w:hAnsi="Book Antiqua"/>
          <w:color w:val="auto"/>
          <w:lang w:val="en-US"/>
        </w:rPr>
        <w:t xml:space="preserve"> </w:t>
      </w:r>
      <w:r w:rsidR="00AE4B5C" w:rsidRPr="00714401">
        <w:rPr>
          <w:rFonts w:ascii="Book Antiqua" w:hAnsi="Book Antiqua"/>
          <w:color w:val="auto"/>
          <w:lang w:val="en-US"/>
        </w:rPr>
        <w:t>due, at least in part, to</w:t>
      </w:r>
      <w:r w:rsidR="000E706E" w:rsidRPr="00714401">
        <w:rPr>
          <w:rFonts w:ascii="Book Antiqua" w:hAnsi="Book Antiqua"/>
          <w:color w:val="auto"/>
          <w:lang w:val="en-US"/>
        </w:rPr>
        <w:t xml:space="preserve"> track</w:t>
      </w:r>
      <w:r w:rsidR="0076063F" w:rsidRPr="00714401">
        <w:rPr>
          <w:rFonts w:ascii="Book Antiqua" w:hAnsi="Book Antiqua"/>
          <w:color w:val="auto"/>
          <w:lang w:val="en-US"/>
        </w:rPr>
        <w:t xml:space="preserve"> </w:t>
      </w:r>
      <w:r w:rsidR="00AE4B5C" w:rsidRPr="00714401">
        <w:rPr>
          <w:rFonts w:ascii="Book Antiqua" w:hAnsi="Book Antiqua"/>
          <w:color w:val="auto"/>
          <w:lang w:val="en-US"/>
        </w:rPr>
        <w:t>the</w:t>
      </w:r>
      <w:r w:rsidR="0076063F" w:rsidRPr="00714401">
        <w:rPr>
          <w:rFonts w:ascii="Book Antiqua" w:hAnsi="Book Antiqua"/>
          <w:color w:val="auto"/>
          <w:lang w:val="en-US"/>
        </w:rPr>
        <w:t xml:space="preserve"> </w:t>
      </w:r>
      <w:r w:rsidR="00C200E6" w:rsidRPr="00714401">
        <w:rPr>
          <w:rFonts w:ascii="Book Antiqua" w:hAnsi="Book Antiqua"/>
          <w:color w:val="auto"/>
          <w:lang w:val="en-US"/>
        </w:rPr>
        <w:t>distribution</w:t>
      </w:r>
      <w:r w:rsidRPr="00714401">
        <w:rPr>
          <w:rFonts w:ascii="Book Antiqua" w:hAnsi="Book Antiqua"/>
          <w:color w:val="auto"/>
          <w:lang w:val="en-US"/>
        </w:rPr>
        <w:t xml:space="preserve"> of </w:t>
      </w:r>
      <w:proofErr w:type="spellStart"/>
      <w:r w:rsidR="00C200E6" w:rsidRPr="00714401">
        <w:rPr>
          <w:rFonts w:ascii="Book Antiqua" w:hAnsi="Book Antiqua"/>
          <w:color w:val="auto"/>
          <w:lang w:val="en-US"/>
        </w:rPr>
        <w:t>asialoglycoprotein</w:t>
      </w:r>
      <w:proofErr w:type="spellEnd"/>
      <w:r w:rsidRPr="00714401">
        <w:rPr>
          <w:rFonts w:ascii="Book Antiqua" w:hAnsi="Book Antiqua"/>
          <w:color w:val="auto"/>
          <w:lang w:val="en-US"/>
        </w:rPr>
        <w:t xml:space="preserve"> </w:t>
      </w:r>
      <w:proofErr w:type="gramStart"/>
      <w:r w:rsidR="00CE2E57" w:rsidRPr="00714401">
        <w:rPr>
          <w:rFonts w:ascii="Book Antiqua" w:hAnsi="Book Antiqua"/>
          <w:color w:val="auto"/>
          <w:lang w:val="en-US"/>
        </w:rPr>
        <w:t>receptor</w:t>
      </w:r>
      <w:r w:rsidR="00AE4B5C" w:rsidRPr="00714401">
        <w:rPr>
          <w:rFonts w:ascii="Book Antiqua" w:hAnsi="Book Antiqua"/>
          <w:color w:val="auto"/>
          <w:lang w:val="en-US"/>
        </w:rPr>
        <w:t>s</w:t>
      </w:r>
      <w:r w:rsidR="00D13521" w:rsidRPr="00714401">
        <w:rPr>
          <w:rFonts w:ascii="Book Antiqua" w:hAnsi="Book Antiqua"/>
          <w:color w:val="auto"/>
          <w:vertAlign w:val="superscript"/>
          <w:lang w:val="en-US"/>
        </w:rPr>
        <w:t>[</w:t>
      </w:r>
      <w:proofErr w:type="gramEnd"/>
      <w:r w:rsidR="00D13521" w:rsidRPr="00714401">
        <w:rPr>
          <w:rFonts w:ascii="Book Antiqua" w:hAnsi="Book Antiqua"/>
          <w:color w:val="auto"/>
          <w:vertAlign w:val="superscript"/>
          <w:lang w:val="en-US"/>
        </w:rPr>
        <w:t>17</w:t>
      </w:r>
      <w:r w:rsidR="00610290" w:rsidRPr="00714401">
        <w:rPr>
          <w:rFonts w:ascii="Book Antiqua" w:hAnsi="Book Antiqua"/>
          <w:color w:val="auto"/>
          <w:vertAlign w:val="superscript"/>
          <w:lang w:val="en-US"/>
        </w:rPr>
        <w:t>]</w:t>
      </w:r>
      <w:r w:rsidR="00181BA4" w:rsidRPr="00714401">
        <w:rPr>
          <w:rFonts w:ascii="Book Antiqua" w:hAnsi="Book Antiqua" w:hint="eastAsia"/>
          <w:color w:val="auto"/>
          <w:lang w:val="en-US" w:eastAsia="zh-CN"/>
        </w:rPr>
        <w:t>.</w:t>
      </w:r>
      <w:r w:rsidR="0076063F" w:rsidRPr="00714401">
        <w:rPr>
          <w:rFonts w:ascii="Book Antiqua" w:hAnsi="Book Antiqua"/>
          <w:color w:val="auto"/>
          <w:vertAlign w:val="superscript"/>
          <w:lang w:val="en-US"/>
        </w:rPr>
        <w:t xml:space="preserve"> </w:t>
      </w:r>
    </w:p>
    <w:p w:rsidR="00AE4B5C" w:rsidRPr="00714401" w:rsidRDefault="00AE4B5C" w:rsidP="004F4F1E">
      <w:pPr>
        <w:pStyle w:val="Default"/>
        <w:snapToGrid w:val="0"/>
        <w:spacing w:line="360" w:lineRule="auto"/>
        <w:jc w:val="both"/>
        <w:rPr>
          <w:rFonts w:ascii="Book Antiqua" w:hAnsi="Book Antiqua"/>
          <w:color w:val="auto"/>
          <w:lang w:val="en-US"/>
        </w:rPr>
      </w:pPr>
    </w:p>
    <w:p w:rsidR="002473CE" w:rsidRPr="00714401" w:rsidRDefault="00181BA4" w:rsidP="004F4F1E">
      <w:pPr>
        <w:pStyle w:val="Default"/>
        <w:snapToGrid w:val="0"/>
        <w:spacing w:line="360" w:lineRule="auto"/>
        <w:jc w:val="both"/>
        <w:rPr>
          <w:rFonts w:ascii="Book Antiqua" w:hAnsi="Book Antiqua"/>
          <w:b/>
          <w:color w:val="auto"/>
          <w:vertAlign w:val="superscript"/>
          <w:lang w:val="en-US"/>
        </w:rPr>
      </w:pPr>
      <w:r w:rsidRPr="00714401">
        <w:rPr>
          <w:rFonts w:ascii="Book Antiqua" w:hAnsi="Book Antiqua"/>
          <w:b/>
          <w:color w:val="auto"/>
          <w:lang w:val="en-US"/>
        </w:rPr>
        <w:t>ICG R</w:t>
      </w:r>
      <w:r w:rsidRPr="00714401">
        <w:rPr>
          <w:rFonts w:ascii="Book Antiqua" w:hAnsi="Book Antiqua"/>
          <w:b/>
          <w:color w:val="auto"/>
          <w:vertAlign w:val="subscript"/>
          <w:lang w:val="en-US"/>
        </w:rPr>
        <w:t>15</w:t>
      </w:r>
      <w:r w:rsidRPr="00714401">
        <w:rPr>
          <w:rFonts w:ascii="Book Antiqua" w:hAnsi="Book Antiqua"/>
          <w:b/>
          <w:color w:val="auto"/>
          <w:lang w:val="en-US"/>
        </w:rPr>
        <w:t xml:space="preserve"> IN </w:t>
      </w:r>
      <w:r w:rsidRPr="00714401">
        <w:rPr>
          <w:rFonts w:ascii="Book Antiqua" w:hAnsi="Book Antiqua"/>
          <w:color w:val="auto"/>
          <w:lang w:val="en-US" w:eastAsia="zh-CN"/>
        </w:rPr>
        <w:t>PH</w:t>
      </w:r>
      <w:r w:rsidRPr="00714401">
        <w:rPr>
          <w:rFonts w:ascii="Book Antiqua" w:hAnsi="Book Antiqua"/>
          <w:b/>
          <w:color w:val="auto"/>
          <w:lang w:val="en-US"/>
        </w:rPr>
        <w:t xml:space="preserve">: A ROLE AS A NON INVASIVE MARKER? </w:t>
      </w:r>
    </w:p>
    <w:p w:rsidR="00E71A40" w:rsidRPr="00714401" w:rsidRDefault="003C796F" w:rsidP="004F4F1E">
      <w:pPr>
        <w:autoSpaceDE w:val="0"/>
        <w:autoSpaceDN w:val="0"/>
        <w:adjustRightInd w:val="0"/>
        <w:snapToGrid w:val="0"/>
        <w:spacing w:after="0" w:line="360" w:lineRule="auto"/>
        <w:jc w:val="both"/>
        <w:rPr>
          <w:rFonts w:ascii="Book Antiqua" w:hAnsi="Book Antiqua"/>
          <w:sz w:val="24"/>
          <w:szCs w:val="24"/>
          <w:lang w:val="en-US"/>
        </w:rPr>
      </w:pPr>
      <w:r w:rsidRPr="00714401">
        <w:rPr>
          <w:rFonts w:ascii="Book Antiqua" w:hAnsi="Book Antiqua"/>
          <w:sz w:val="24"/>
          <w:szCs w:val="24"/>
          <w:lang w:val="en-US"/>
        </w:rPr>
        <w:t xml:space="preserve">As above discussed, total liver blood ﬂow and </w:t>
      </w:r>
      <w:r w:rsidR="00644DC5" w:rsidRPr="00714401">
        <w:rPr>
          <w:rFonts w:ascii="Book Antiqua" w:hAnsi="Book Antiqua"/>
          <w:sz w:val="24"/>
          <w:szCs w:val="24"/>
          <w:lang w:val="en-US"/>
        </w:rPr>
        <w:t>hepatic</w:t>
      </w:r>
      <w:r w:rsidR="0076063F" w:rsidRPr="00714401">
        <w:rPr>
          <w:rFonts w:ascii="Book Antiqua" w:hAnsi="Book Antiqua"/>
          <w:sz w:val="24"/>
          <w:szCs w:val="24"/>
          <w:lang w:val="en-US"/>
        </w:rPr>
        <w:t xml:space="preserve"> </w:t>
      </w:r>
      <w:r w:rsidRPr="00714401">
        <w:rPr>
          <w:rFonts w:ascii="Book Antiqua" w:hAnsi="Book Antiqua"/>
          <w:sz w:val="24"/>
          <w:szCs w:val="24"/>
          <w:lang w:val="en-US"/>
        </w:rPr>
        <w:t>functional reserve are reflected</w:t>
      </w:r>
      <w:r w:rsidR="0076063F" w:rsidRPr="00714401">
        <w:rPr>
          <w:rFonts w:ascii="Book Antiqua" w:hAnsi="Book Antiqua"/>
          <w:sz w:val="24"/>
          <w:szCs w:val="24"/>
          <w:lang w:val="en-US"/>
        </w:rPr>
        <w:t xml:space="preserve"> </w:t>
      </w:r>
      <w:r w:rsidRPr="00714401">
        <w:rPr>
          <w:rFonts w:ascii="Book Antiqua" w:hAnsi="Book Antiqua"/>
          <w:sz w:val="24"/>
          <w:szCs w:val="24"/>
          <w:lang w:val="en-US"/>
        </w:rPr>
        <w:t>by</w:t>
      </w:r>
      <w:r w:rsidR="0076063F" w:rsidRPr="00714401">
        <w:rPr>
          <w:rFonts w:ascii="Book Antiqua" w:hAnsi="Book Antiqua"/>
          <w:sz w:val="24"/>
          <w:szCs w:val="24"/>
          <w:lang w:val="en-US"/>
        </w:rPr>
        <w:t xml:space="preserve"> </w:t>
      </w:r>
      <w:r w:rsidR="00151C15" w:rsidRPr="00714401">
        <w:rPr>
          <w:rFonts w:ascii="Book Antiqua" w:hAnsi="Book Antiqua"/>
          <w:sz w:val="24"/>
          <w:szCs w:val="24"/>
          <w:lang w:val="en-US"/>
        </w:rPr>
        <w:t>ICG</w:t>
      </w:r>
      <w:r w:rsidR="00CA4B40" w:rsidRPr="00714401">
        <w:rPr>
          <w:rFonts w:ascii="Book Antiqua" w:hAnsi="Book Antiqua"/>
          <w:sz w:val="24"/>
          <w:szCs w:val="24"/>
          <w:lang w:val="en-US"/>
        </w:rPr>
        <w:t>R</w:t>
      </w:r>
      <w:r w:rsidR="00CA4B40" w:rsidRPr="00714401">
        <w:rPr>
          <w:rFonts w:ascii="Book Antiqua" w:hAnsi="Book Antiqua"/>
          <w:sz w:val="24"/>
          <w:szCs w:val="24"/>
          <w:vertAlign w:val="subscript"/>
          <w:lang w:val="en-US"/>
        </w:rPr>
        <w:t>15</w:t>
      </w:r>
      <w:r w:rsidRPr="00714401">
        <w:rPr>
          <w:rFonts w:ascii="Book Antiqua" w:hAnsi="Book Antiqua"/>
          <w:sz w:val="24"/>
          <w:szCs w:val="24"/>
          <w:vertAlign w:val="subscript"/>
          <w:lang w:val="en-US"/>
        </w:rPr>
        <w:t xml:space="preserve">, </w:t>
      </w:r>
      <w:r w:rsidR="006F2D36" w:rsidRPr="00714401">
        <w:rPr>
          <w:rFonts w:ascii="Book Antiqua" w:hAnsi="Book Antiqua"/>
          <w:sz w:val="24"/>
          <w:szCs w:val="24"/>
          <w:lang w:val="en-US"/>
        </w:rPr>
        <w:t xml:space="preserve">often used </w:t>
      </w:r>
      <w:r w:rsidR="00CA4B40" w:rsidRPr="00714401">
        <w:rPr>
          <w:rFonts w:ascii="Book Antiqua" w:hAnsi="Book Antiqua"/>
          <w:sz w:val="24"/>
          <w:szCs w:val="24"/>
          <w:lang w:val="en-US"/>
        </w:rPr>
        <w:t xml:space="preserve">as </w:t>
      </w:r>
      <w:r w:rsidR="00151C15" w:rsidRPr="00714401">
        <w:rPr>
          <w:rFonts w:ascii="Book Antiqua" w:hAnsi="Book Antiqua"/>
          <w:sz w:val="24"/>
          <w:szCs w:val="24"/>
          <w:lang w:val="en-US"/>
        </w:rPr>
        <w:t xml:space="preserve">a </w:t>
      </w:r>
      <w:r w:rsidR="00CA4B40" w:rsidRPr="00714401">
        <w:rPr>
          <w:rFonts w:ascii="Book Antiqua" w:hAnsi="Book Antiqua"/>
          <w:sz w:val="24"/>
          <w:szCs w:val="24"/>
          <w:lang w:val="en-US"/>
        </w:rPr>
        <w:t>prognostic marker in decompensated cirrhotic patients and</w:t>
      </w:r>
      <w:r w:rsidR="005E6953" w:rsidRPr="00714401">
        <w:rPr>
          <w:rFonts w:ascii="Book Antiqua" w:hAnsi="Book Antiqua"/>
          <w:sz w:val="24"/>
          <w:szCs w:val="24"/>
          <w:lang w:val="en-US"/>
        </w:rPr>
        <w:t xml:space="preserve"> </w:t>
      </w:r>
      <w:r w:rsidR="00CA4B40" w:rsidRPr="00714401">
        <w:rPr>
          <w:rFonts w:ascii="Book Antiqua" w:hAnsi="Book Antiqua"/>
          <w:sz w:val="24"/>
          <w:szCs w:val="24"/>
          <w:lang w:val="en-US"/>
        </w:rPr>
        <w:t>in</w:t>
      </w:r>
      <w:r w:rsidR="0076063F" w:rsidRPr="00714401">
        <w:rPr>
          <w:rFonts w:ascii="Book Antiqua" w:hAnsi="Book Antiqua"/>
          <w:sz w:val="24"/>
          <w:szCs w:val="24"/>
          <w:lang w:val="en-US"/>
        </w:rPr>
        <w:t xml:space="preserve"> </w:t>
      </w:r>
      <w:r w:rsidR="00AE4B5C" w:rsidRPr="00714401">
        <w:rPr>
          <w:rFonts w:ascii="Book Antiqua" w:hAnsi="Book Antiqua"/>
          <w:sz w:val="24"/>
          <w:szCs w:val="24"/>
          <w:lang w:val="en-US"/>
        </w:rPr>
        <w:t xml:space="preserve">candidates to </w:t>
      </w:r>
      <w:proofErr w:type="spellStart"/>
      <w:r w:rsidR="00E43EDB" w:rsidRPr="00714401">
        <w:rPr>
          <w:rFonts w:ascii="Book Antiqua" w:hAnsi="Book Antiqua"/>
          <w:sz w:val="24"/>
          <w:szCs w:val="24"/>
          <w:lang w:val="en-US"/>
        </w:rPr>
        <w:t>resective</w:t>
      </w:r>
      <w:proofErr w:type="spellEnd"/>
      <w:r w:rsidR="00E43EDB" w:rsidRPr="00714401">
        <w:rPr>
          <w:rFonts w:ascii="Book Antiqua" w:hAnsi="Book Antiqua"/>
          <w:sz w:val="24"/>
          <w:szCs w:val="24"/>
          <w:lang w:val="en-US"/>
        </w:rPr>
        <w:t xml:space="preserve"> liver </w:t>
      </w:r>
      <w:proofErr w:type="gramStart"/>
      <w:r w:rsidR="00CA4B40" w:rsidRPr="00714401">
        <w:rPr>
          <w:rFonts w:ascii="Book Antiqua" w:hAnsi="Book Antiqua"/>
          <w:sz w:val="24"/>
          <w:szCs w:val="24"/>
          <w:lang w:val="en-US"/>
        </w:rPr>
        <w:t>surgery</w:t>
      </w:r>
      <w:r w:rsidR="00AE4B5C" w:rsidRPr="00714401">
        <w:rPr>
          <w:rFonts w:ascii="Book Antiqua" w:hAnsi="Book Antiqua"/>
          <w:sz w:val="24"/>
          <w:szCs w:val="24"/>
          <w:vertAlign w:val="superscript"/>
          <w:lang w:val="en-US"/>
        </w:rPr>
        <w:t>[</w:t>
      </w:r>
      <w:proofErr w:type="gramEnd"/>
      <w:r w:rsidR="00D13521" w:rsidRPr="00714401">
        <w:rPr>
          <w:rFonts w:ascii="Book Antiqua" w:hAnsi="Book Antiqua"/>
          <w:sz w:val="24"/>
          <w:szCs w:val="24"/>
          <w:vertAlign w:val="superscript"/>
          <w:lang w:val="en-US"/>
        </w:rPr>
        <w:t>50</w:t>
      </w:r>
      <w:r w:rsidR="00AE4B5C" w:rsidRPr="00714401">
        <w:rPr>
          <w:rFonts w:ascii="Book Antiqua" w:hAnsi="Book Antiqua"/>
          <w:sz w:val="24"/>
          <w:szCs w:val="24"/>
          <w:vertAlign w:val="superscript"/>
          <w:lang w:val="en-US"/>
        </w:rPr>
        <w:t>]</w:t>
      </w:r>
      <w:r w:rsidR="005E6953" w:rsidRPr="00714401">
        <w:rPr>
          <w:rFonts w:ascii="Book Antiqua" w:hAnsi="Book Antiqua"/>
          <w:sz w:val="24"/>
          <w:szCs w:val="24"/>
          <w:lang w:val="en-US"/>
        </w:rPr>
        <w:t xml:space="preserve">. In cirrhotic patients admitted to </w:t>
      </w:r>
      <w:proofErr w:type="spellStart"/>
      <w:r w:rsidR="005E6953" w:rsidRPr="00714401">
        <w:rPr>
          <w:rFonts w:ascii="Book Antiqua" w:hAnsi="Book Antiqua"/>
          <w:sz w:val="24"/>
          <w:szCs w:val="24"/>
          <w:lang w:val="en-US"/>
        </w:rPr>
        <w:t>resective</w:t>
      </w:r>
      <w:proofErr w:type="spellEnd"/>
      <w:r w:rsidR="0076063F" w:rsidRPr="00714401">
        <w:rPr>
          <w:rFonts w:ascii="Book Antiqua" w:hAnsi="Book Antiqua"/>
          <w:sz w:val="24"/>
          <w:szCs w:val="24"/>
          <w:lang w:val="en-US"/>
        </w:rPr>
        <w:t xml:space="preserve"> </w:t>
      </w:r>
      <w:r w:rsidR="005E6953" w:rsidRPr="00714401">
        <w:rPr>
          <w:rFonts w:ascii="Book Antiqua" w:hAnsi="Book Antiqua"/>
          <w:sz w:val="24"/>
          <w:szCs w:val="24"/>
          <w:lang w:val="en-US"/>
        </w:rPr>
        <w:t>surgery, p</w:t>
      </w:r>
      <w:r w:rsidR="007013DF" w:rsidRPr="00714401">
        <w:rPr>
          <w:rFonts w:ascii="Book Antiqua" w:hAnsi="Book Antiqua"/>
          <w:sz w:val="24"/>
          <w:szCs w:val="24"/>
          <w:lang w:val="en-US"/>
        </w:rPr>
        <w:t xml:space="preserve">reexisting </w:t>
      </w:r>
      <w:r w:rsidR="00823314" w:rsidRPr="00714401">
        <w:rPr>
          <w:rFonts w:ascii="Book Antiqua" w:hAnsi="Book Antiqua"/>
          <w:sz w:val="24"/>
          <w:szCs w:val="24"/>
          <w:lang w:val="en-US"/>
        </w:rPr>
        <w:t>PH</w:t>
      </w:r>
      <w:r w:rsidR="0076063F" w:rsidRPr="00714401">
        <w:rPr>
          <w:rFonts w:ascii="Book Antiqua" w:hAnsi="Book Antiqua"/>
          <w:sz w:val="24"/>
          <w:szCs w:val="24"/>
          <w:lang w:val="en-US"/>
        </w:rPr>
        <w:t xml:space="preserve"> </w:t>
      </w:r>
      <w:r w:rsidR="002473CE" w:rsidRPr="00714401">
        <w:rPr>
          <w:rFonts w:ascii="Book Antiqua" w:hAnsi="Book Antiqua"/>
          <w:sz w:val="24"/>
          <w:szCs w:val="24"/>
          <w:lang w:val="en-US"/>
        </w:rPr>
        <w:t xml:space="preserve">and </w:t>
      </w:r>
      <w:r w:rsidR="007013DF" w:rsidRPr="00714401">
        <w:rPr>
          <w:rFonts w:ascii="Book Antiqua" w:hAnsi="Book Antiqua"/>
          <w:sz w:val="24"/>
          <w:szCs w:val="24"/>
          <w:lang w:val="en-US"/>
        </w:rPr>
        <w:t xml:space="preserve">postoperative parenchymal dysfunction are among the most common causes of </w:t>
      </w:r>
      <w:r w:rsidR="000E706E" w:rsidRPr="00714401">
        <w:rPr>
          <w:rFonts w:ascii="Book Antiqua" w:hAnsi="Book Antiqua"/>
          <w:sz w:val="24"/>
          <w:szCs w:val="24"/>
          <w:lang w:val="en-US"/>
        </w:rPr>
        <w:t>PHLF</w:t>
      </w:r>
      <w:r w:rsidR="007013DF" w:rsidRPr="00714401">
        <w:rPr>
          <w:rFonts w:ascii="Book Antiqua" w:hAnsi="Book Antiqua"/>
          <w:sz w:val="24"/>
          <w:szCs w:val="24"/>
          <w:lang w:val="en-US"/>
        </w:rPr>
        <w:t>.</w:t>
      </w:r>
      <w:r w:rsidR="007013DF" w:rsidRPr="00714401">
        <w:rPr>
          <w:rFonts w:ascii="Book Antiqua" w:eastAsia="Arial Unicode MS" w:hAnsi="Book Antiqua" w:cs="Arial Unicode MS"/>
          <w:sz w:val="24"/>
          <w:szCs w:val="24"/>
          <w:lang w:val="en-US"/>
        </w:rPr>
        <w:t xml:space="preserve"> </w:t>
      </w:r>
      <w:r w:rsidR="00465A6E" w:rsidRPr="00714401">
        <w:rPr>
          <w:rFonts w:ascii="Book Antiqua" w:eastAsia="Arial Unicode MS" w:hAnsi="Book Antiqua" w:cs="Arial Unicode MS"/>
          <w:sz w:val="24"/>
          <w:szCs w:val="24"/>
          <w:lang w:val="en-US"/>
        </w:rPr>
        <w:t xml:space="preserve">Recently, </w:t>
      </w:r>
      <w:proofErr w:type="spellStart"/>
      <w:r w:rsidR="00181BA4" w:rsidRPr="00714401">
        <w:rPr>
          <w:rFonts w:ascii="Book Antiqua" w:eastAsia="Arial Unicode MS" w:hAnsi="Book Antiqua" w:cs="Arial Unicode MS"/>
          <w:sz w:val="24"/>
          <w:szCs w:val="24"/>
          <w:lang w:val="en-US"/>
        </w:rPr>
        <w:t>Lisotti</w:t>
      </w:r>
      <w:proofErr w:type="spellEnd"/>
      <w:r w:rsidR="00181BA4" w:rsidRPr="00714401">
        <w:rPr>
          <w:rFonts w:ascii="Book Antiqua" w:eastAsia="Arial Unicode MS" w:hAnsi="Book Antiqua" w:cs="Arial Unicode MS"/>
          <w:sz w:val="24"/>
          <w:szCs w:val="24"/>
          <w:lang w:val="en-US"/>
        </w:rPr>
        <w:t xml:space="preserve"> </w:t>
      </w:r>
      <w:r w:rsidR="00181BA4" w:rsidRPr="00714401">
        <w:rPr>
          <w:rFonts w:ascii="Book Antiqua" w:eastAsia="Arial Unicode MS" w:hAnsi="Book Antiqua" w:cs="Arial Unicode MS"/>
          <w:i/>
          <w:sz w:val="24"/>
          <w:szCs w:val="24"/>
          <w:lang w:val="en-US"/>
        </w:rPr>
        <w:t xml:space="preserve">et </w:t>
      </w:r>
      <w:proofErr w:type="gramStart"/>
      <w:r w:rsidR="00181BA4" w:rsidRPr="00714401">
        <w:rPr>
          <w:rFonts w:ascii="Book Antiqua" w:eastAsia="Arial Unicode MS" w:hAnsi="Book Antiqua" w:cs="Arial Unicode MS"/>
          <w:i/>
          <w:sz w:val="24"/>
          <w:szCs w:val="24"/>
          <w:lang w:val="en-US"/>
        </w:rPr>
        <w:t>al</w:t>
      </w:r>
      <w:r w:rsidR="00D13521" w:rsidRPr="00714401">
        <w:rPr>
          <w:rFonts w:ascii="Book Antiqua" w:eastAsia="Arial Unicode MS" w:hAnsi="Book Antiqua" w:cs="Arial Unicode MS"/>
          <w:sz w:val="24"/>
          <w:szCs w:val="24"/>
          <w:vertAlign w:val="superscript"/>
          <w:lang w:val="en-US"/>
        </w:rPr>
        <w:t>[</w:t>
      </w:r>
      <w:proofErr w:type="gramEnd"/>
      <w:r w:rsidR="00D13521" w:rsidRPr="00714401">
        <w:rPr>
          <w:rFonts w:ascii="Book Antiqua" w:eastAsia="Arial Unicode MS" w:hAnsi="Book Antiqua" w:cs="Arial Unicode MS"/>
          <w:sz w:val="24"/>
          <w:szCs w:val="24"/>
          <w:vertAlign w:val="superscript"/>
          <w:lang w:val="en-US"/>
        </w:rPr>
        <w:t>25</w:t>
      </w:r>
      <w:r w:rsidR="00610290" w:rsidRPr="00714401">
        <w:rPr>
          <w:rFonts w:ascii="Book Antiqua" w:eastAsia="Arial Unicode MS" w:hAnsi="Book Antiqua" w:cs="Arial Unicode MS"/>
          <w:sz w:val="24"/>
          <w:szCs w:val="24"/>
          <w:vertAlign w:val="superscript"/>
          <w:lang w:val="en-US"/>
        </w:rPr>
        <w:t>]</w:t>
      </w:r>
      <w:r w:rsidR="00C4139C" w:rsidRPr="00714401">
        <w:rPr>
          <w:rFonts w:ascii="Book Antiqua" w:eastAsia="Arial Unicode MS" w:hAnsi="Book Antiqua" w:cs="Arial Unicode MS"/>
          <w:sz w:val="24"/>
          <w:szCs w:val="24"/>
          <w:lang w:val="en-US"/>
        </w:rPr>
        <w:t xml:space="preserve"> </w:t>
      </w:r>
      <w:r w:rsidR="00C4139C" w:rsidRPr="00714401">
        <w:rPr>
          <w:rFonts w:ascii="Book Antiqua" w:hAnsi="Book Antiqua"/>
          <w:sz w:val="24"/>
          <w:szCs w:val="24"/>
          <w:lang w:val="en-US"/>
        </w:rPr>
        <w:t xml:space="preserve">in a cohort of </w:t>
      </w:r>
      <w:r w:rsidR="008F215F" w:rsidRPr="00714401">
        <w:rPr>
          <w:rFonts w:ascii="Book Antiqua" w:hAnsi="Book Antiqua"/>
          <w:sz w:val="24"/>
          <w:szCs w:val="24"/>
          <w:lang w:val="en-US"/>
        </w:rPr>
        <w:t xml:space="preserve">CHILD A </w:t>
      </w:r>
      <w:r w:rsidR="00C4139C" w:rsidRPr="00714401">
        <w:rPr>
          <w:rFonts w:ascii="Book Antiqua" w:hAnsi="Book Antiqua"/>
          <w:sz w:val="24"/>
          <w:szCs w:val="24"/>
          <w:lang w:val="en-US"/>
        </w:rPr>
        <w:t xml:space="preserve">cirrhotic patients with well-preserved liver function </w:t>
      </w:r>
      <w:r w:rsidR="00151C15" w:rsidRPr="00714401">
        <w:rPr>
          <w:rFonts w:ascii="Book Antiqua" w:hAnsi="Book Antiqua"/>
          <w:sz w:val="24"/>
          <w:szCs w:val="24"/>
          <w:lang w:val="en-US"/>
        </w:rPr>
        <w:t xml:space="preserve">evaluated </w:t>
      </w:r>
      <w:r w:rsidR="00CC3A7B" w:rsidRPr="00714401">
        <w:rPr>
          <w:rFonts w:ascii="Book Antiqua" w:hAnsi="Book Antiqua"/>
          <w:sz w:val="24"/>
          <w:szCs w:val="24"/>
          <w:lang w:val="en-US"/>
        </w:rPr>
        <w:t>the accuracy of ICG</w:t>
      </w:r>
      <w:r w:rsidR="00C26D94" w:rsidRPr="00714401">
        <w:rPr>
          <w:rFonts w:ascii="Book Antiqua" w:hAnsi="Book Antiqua"/>
          <w:sz w:val="24"/>
          <w:szCs w:val="24"/>
          <w:vertAlign w:val="subscript"/>
          <w:lang w:val="en-US"/>
        </w:rPr>
        <w:t>R</w:t>
      </w:r>
      <w:r w:rsidR="00CC3A7B" w:rsidRPr="00714401">
        <w:rPr>
          <w:rFonts w:ascii="Book Antiqua" w:hAnsi="Book Antiqua"/>
          <w:sz w:val="24"/>
          <w:szCs w:val="24"/>
          <w:vertAlign w:val="subscript"/>
          <w:lang w:val="en-US"/>
        </w:rPr>
        <w:t>15</w:t>
      </w:r>
      <w:r w:rsidR="00CC3A7B" w:rsidRPr="00714401">
        <w:rPr>
          <w:rFonts w:ascii="Book Antiqua" w:hAnsi="Book Antiqua"/>
          <w:sz w:val="24"/>
          <w:szCs w:val="24"/>
          <w:lang w:val="en-US"/>
        </w:rPr>
        <w:t xml:space="preserve"> </w:t>
      </w:r>
      <w:r w:rsidR="00151C15" w:rsidRPr="00714401">
        <w:rPr>
          <w:rFonts w:ascii="Book Antiqua" w:hAnsi="Book Antiqua"/>
          <w:sz w:val="24"/>
          <w:szCs w:val="24"/>
          <w:lang w:val="en-US"/>
        </w:rPr>
        <w:t xml:space="preserve">in reflecting </w:t>
      </w:r>
      <w:r w:rsidR="00CC3A7B" w:rsidRPr="00714401">
        <w:rPr>
          <w:rFonts w:ascii="Book Antiqua" w:hAnsi="Book Antiqua"/>
          <w:sz w:val="24"/>
          <w:szCs w:val="24"/>
          <w:lang w:val="en-US"/>
        </w:rPr>
        <w:t xml:space="preserve">the alteration of </w:t>
      </w:r>
      <w:r w:rsidR="00E43EDB" w:rsidRPr="00714401">
        <w:rPr>
          <w:rFonts w:ascii="Book Antiqua" w:hAnsi="Book Antiqua"/>
          <w:sz w:val="24"/>
          <w:szCs w:val="24"/>
          <w:lang w:val="en-US"/>
        </w:rPr>
        <w:t xml:space="preserve">hepatic </w:t>
      </w:r>
      <w:r w:rsidR="00CC3A7B" w:rsidRPr="00714401">
        <w:rPr>
          <w:rFonts w:ascii="Book Antiqua" w:hAnsi="Book Antiqua"/>
          <w:sz w:val="24"/>
          <w:szCs w:val="24"/>
          <w:lang w:val="en-US"/>
        </w:rPr>
        <w:t>blood ﬂow and, indirectly, the presence and grade of PH</w:t>
      </w:r>
      <w:r w:rsidR="00151C15" w:rsidRPr="00714401">
        <w:rPr>
          <w:rFonts w:ascii="Book Antiqua" w:hAnsi="Book Antiqua"/>
          <w:sz w:val="24"/>
          <w:szCs w:val="24"/>
          <w:lang w:val="en-US"/>
        </w:rPr>
        <w:t xml:space="preserve"> and esophageal varices </w:t>
      </w:r>
      <w:r w:rsidRPr="00714401">
        <w:rPr>
          <w:rFonts w:ascii="Book Antiqua" w:hAnsi="Book Antiqua"/>
          <w:sz w:val="24"/>
          <w:szCs w:val="24"/>
          <w:lang w:val="en-US"/>
        </w:rPr>
        <w:t>(EV)</w:t>
      </w:r>
      <w:r w:rsidR="004D0443" w:rsidRPr="00714401">
        <w:rPr>
          <w:rFonts w:ascii="Book Antiqua" w:hAnsi="Book Antiqua"/>
          <w:sz w:val="24"/>
          <w:szCs w:val="24"/>
          <w:lang w:val="en-US"/>
        </w:rPr>
        <w:t xml:space="preserve">. </w:t>
      </w:r>
      <w:r w:rsidR="00465A6E" w:rsidRPr="00714401">
        <w:rPr>
          <w:rFonts w:ascii="Book Antiqua" w:hAnsi="Book Antiqua"/>
          <w:sz w:val="24"/>
          <w:szCs w:val="24"/>
          <w:lang w:val="en-US"/>
        </w:rPr>
        <w:t>As comparators</w:t>
      </w:r>
      <w:r w:rsidR="00880791" w:rsidRPr="00714401">
        <w:rPr>
          <w:rFonts w:ascii="Book Antiqua" w:hAnsi="Book Antiqua"/>
          <w:sz w:val="24"/>
          <w:szCs w:val="24"/>
          <w:lang w:val="en-US"/>
        </w:rPr>
        <w:t xml:space="preserve">, </w:t>
      </w:r>
      <w:r w:rsidR="00465A6E" w:rsidRPr="00714401">
        <w:rPr>
          <w:rFonts w:ascii="Book Antiqua" w:hAnsi="Book Antiqua"/>
          <w:sz w:val="24"/>
          <w:szCs w:val="24"/>
          <w:lang w:val="en-US"/>
        </w:rPr>
        <w:t>the AA</w:t>
      </w:r>
      <w:r w:rsidR="00880791" w:rsidRPr="00714401">
        <w:rPr>
          <w:rFonts w:ascii="Book Antiqua" w:hAnsi="Book Antiqua"/>
          <w:sz w:val="24"/>
          <w:szCs w:val="24"/>
          <w:lang w:val="en-US"/>
        </w:rPr>
        <w:t>s</w:t>
      </w:r>
      <w:r w:rsidR="00465A6E" w:rsidRPr="00714401">
        <w:rPr>
          <w:rFonts w:ascii="Book Antiqua" w:hAnsi="Book Antiqua"/>
          <w:sz w:val="24"/>
          <w:szCs w:val="24"/>
          <w:lang w:val="en-US"/>
        </w:rPr>
        <w:t xml:space="preserve"> used </w:t>
      </w:r>
      <w:r w:rsidR="00181BA4" w:rsidRPr="00714401">
        <w:rPr>
          <w:rFonts w:ascii="Book Antiqua" w:hAnsi="Book Antiqua"/>
          <w:sz w:val="24"/>
          <w:szCs w:val="24"/>
          <w:lang w:val="en-US"/>
        </w:rPr>
        <w:t>hepatic vein pressure gradient (</w:t>
      </w:r>
      <w:r w:rsidR="00BB27A5" w:rsidRPr="00714401">
        <w:rPr>
          <w:rFonts w:ascii="Book Antiqua" w:hAnsi="Book Antiqua"/>
          <w:sz w:val="24"/>
          <w:szCs w:val="24"/>
          <w:lang w:val="en-US"/>
        </w:rPr>
        <w:t xml:space="preserve">HVPG) </w:t>
      </w:r>
      <w:r w:rsidR="00CC3A7B" w:rsidRPr="00714401">
        <w:rPr>
          <w:rFonts w:ascii="Book Antiqua" w:hAnsi="Book Antiqua"/>
          <w:sz w:val="24"/>
          <w:szCs w:val="24"/>
          <w:lang w:val="en-US"/>
        </w:rPr>
        <w:t xml:space="preserve">and upper </w:t>
      </w:r>
      <w:r w:rsidR="00823314" w:rsidRPr="00714401">
        <w:rPr>
          <w:rFonts w:ascii="Book Antiqua" w:hAnsi="Book Antiqua"/>
          <w:sz w:val="24"/>
          <w:szCs w:val="24"/>
          <w:lang w:val="en-US"/>
        </w:rPr>
        <w:t xml:space="preserve">gastrointestinal </w:t>
      </w:r>
      <w:r w:rsidR="00CC3A7B" w:rsidRPr="00714401">
        <w:rPr>
          <w:rFonts w:ascii="Book Antiqua" w:hAnsi="Book Antiqua"/>
          <w:sz w:val="24"/>
          <w:szCs w:val="24"/>
          <w:lang w:val="en-US"/>
        </w:rPr>
        <w:t>endoscopy</w:t>
      </w:r>
      <w:r w:rsidR="00465A6E" w:rsidRPr="00714401">
        <w:rPr>
          <w:rFonts w:ascii="Book Antiqua" w:hAnsi="Book Antiqua"/>
          <w:sz w:val="24"/>
          <w:szCs w:val="24"/>
          <w:lang w:val="en-US"/>
        </w:rPr>
        <w:t>, actually the gold standards</w:t>
      </w:r>
      <w:r w:rsidRPr="00714401">
        <w:rPr>
          <w:rFonts w:ascii="Book Antiqua" w:hAnsi="Book Antiqua"/>
          <w:sz w:val="24"/>
          <w:szCs w:val="24"/>
          <w:lang w:val="en-US"/>
        </w:rPr>
        <w:t xml:space="preserve"> in this setting</w:t>
      </w:r>
      <w:r w:rsidR="00CC3A7B" w:rsidRPr="00714401">
        <w:rPr>
          <w:rFonts w:ascii="Book Antiqua" w:hAnsi="Book Antiqua"/>
          <w:sz w:val="24"/>
          <w:szCs w:val="24"/>
          <w:lang w:val="en-US"/>
        </w:rPr>
        <w:t>.</w:t>
      </w:r>
      <w:r w:rsidR="00BB27A5" w:rsidRPr="00714401">
        <w:rPr>
          <w:rFonts w:ascii="Book Antiqua" w:hAnsi="Book Antiqua"/>
          <w:sz w:val="24"/>
          <w:szCs w:val="24"/>
          <w:lang w:val="en-US"/>
        </w:rPr>
        <w:t xml:space="preserve"> </w:t>
      </w:r>
      <w:r w:rsidR="00465A6E" w:rsidRPr="00714401">
        <w:rPr>
          <w:rFonts w:ascii="Book Antiqua" w:hAnsi="Book Antiqua"/>
          <w:sz w:val="24"/>
          <w:szCs w:val="24"/>
          <w:lang w:val="en-US"/>
        </w:rPr>
        <w:t xml:space="preserve">Interestingly enough, </w:t>
      </w:r>
      <w:proofErr w:type="spellStart"/>
      <w:r w:rsidR="004D0443" w:rsidRPr="00714401">
        <w:rPr>
          <w:rFonts w:ascii="Book Antiqua" w:hAnsi="Book Antiqua"/>
          <w:sz w:val="24"/>
          <w:szCs w:val="24"/>
          <w:lang w:val="en-US"/>
        </w:rPr>
        <w:t>Lisotti</w:t>
      </w:r>
      <w:proofErr w:type="spellEnd"/>
      <w:r w:rsidR="004D0443" w:rsidRPr="00714401">
        <w:rPr>
          <w:rFonts w:ascii="Book Antiqua" w:hAnsi="Book Antiqua"/>
          <w:sz w:val="24"/>
          <w:szCs w:val="24"/>
          <w:lang w:val="en-US"/>
        </w:rPr>
        <w:t xml:space="preserve"> </w:t>
      </w:r>
      <w:r w:rsidR="004D0443" w:rsidRPr="00714401">
        <w:rPr>
          <w:rFonts w:ascii="Book Antiqua" w:hAnsi="Book Antiqua"/>
          <w:i/>
          <w:sz w:val="24"/>
          <w:szCs w:val="24"/>
          <w:lang w:val="en-US"/>
        </w:rPr>
        <w:t xml:space="preserve">et </w:t>
      </w:r>
      <w:proofErr w:type="gramStart"/>
      <w:r w:rsidR="004D0443" w:rsidRPr="00714401">
        <w:rPr>
          <w:rFonts w:ascii="Book Antiqua" w:hAnsi="Book Antiqua"/>
          <w:i/>
          <w:sz w:val="24"/>
          <w:szCs w:val="24"/>
          <w:lang w:val="en-US"/>
        </w:rPr>
        <w:t>al</w:t>
      </w:r>
      <w:r w:rsidR="00F00255" w:rsidRPr="00714401">
        <w:rPr>
          <w:rFonts w:ascii="Book Antiqua" w:hAnsi="Book Antiqua" w:hint="eastAsia"/>
          <w:sz w:val="24"/>
          <w:szCs w:val="24"/>
          <w:vertAlign w:val="superscript"/>
          <w:lang w:val="en-US" w:eastAsia="zh-CN"/>
        </w:rPr>
        <w:t>[</w:t>
      </w:r>
      <w:proofErr w:type="gramEnd"/>
      <w:r w:rsidR="00F00255" w:rsidRPr="00714401">
        <w:rPr>
          <w:rFonts w:ascii="Book Antiqua" w:hAnsi="Book Antiqua" w:hint="eastAsia"/>
          <w:sz w:val="24"/>
          <w:szCs w:val="24"/>
          <w:vertAlign w:val="superscript"/>
          <w:lang w:val="en-US" w:eastAsia="zh-CN"/>
        </w:rPr>
        <w:t>25]</w:t>
      </w:r>
      <w:r w:rsidR="004D0443" w:rsidRPr="00714401">
        <w:rPr>
          <w:rFonts w:ascii="Book Antiqua" w:hAnsi="Book Antiqua"/>
          <w:sz w:val="24"/>
          <w:szCs w:val="24"/>
          <w:lang w:val="en-US"/>
        </w:rPr>
        <w:t xml:space="preserve"> </w:t>
      </w:r>
      <w:r w:rsidR="00BB27A5" w:rsidRPr="00714401">
        <w:rPr>
          <w:rFonts w:ascii="Book Antiqua" w:hAnsi="Book Antiqua"/>
          <w:sz w:val="24"/>
          <w:szCs w:val="24"/>
          <w:lang w:val="en-US"/>
        </w:rPr>
        <w:t>docu</w:t>
      </w:r>
      <w:r w:rsidR="00C26D94" w:rsidRPr="00714401">
        <w:rPr>
          <w:rFonts w:ascii="Book Antiqua" w:hAnsi="Book Antiqua"/>
          <w:sz w:val="24"/>
          <w:szCs w:val="24"/>
          <w:lang w:val="en-US"/>
        </w:rPr>
        <w:t>ment</w:t>
      </w:r>
      <w:r w:rsidR="004D0443" w:rsidRPr="00714401">
        <w:rPr>
          <w:rFonts w:ascii="Book Antiqua" w:hAnsi="Book Antiqua"/>
          <w:sz w:val="24"/>
          <w:szCs w:val="24"/>
          <w:lang w:val="en-US"/>
        </w:rPr>
        <w:t xml:space="preserve">ed </w:t>
      </w:r>
      <w:r w:rsidR="00C26D94" w:rsidRPr="00714401">
        <w:rPr>
          <w:rFonts w:ascii="Book Antiqua" w:hAnsi="Book Antiqua"/>
          <w:sz w:val="24"/>
          <w:szCs w:val="24"/>
          <w:lang w:val="en-US"/>
        </w:rPr>
        <w:t>a good performance of ICG</w:t>
      </w:r>
      <w:r w:rsidR="00C26D94" w:rsidRPr="00714401">
        <w:rPr>
          <w:rFonts w:ascii="Book Antiqua" w:hAnsi="Book Antiqua"/>
          <w:sz w:val="24"/>
          <w:szCs w:val="24"/>
          <w:vertAlign w:val="subscript"/>
          <w:lang w:val="en-US"/>
        </w:rPr>
        <w:t>R</w:t>
      </w:r>
      <w:r w:rsidR="00BB27A5" w:rsidRPr="00714401">
        <w:rPr>
          <w:rFonts w:ascii="Book Antiqua" w:hAnsi="Book Antiqua"/>
          <w:sz w:val="24"/>
          <w:szCs w:val="24"/>
          <w:vertAlign w:val="subscript"/>
          <w:lang w:val="en-US"/>
        </w:rPr>
        <w:t>15</w:t>
      </w:r>
      <w:r w:rsidR="00BB27A5" w:rsidRPr="00714401">
        <w:rPr>
          <w:rFonts w:ascii="Book Antiqua" w:hAnsi="Book Antiqua"/>
          <w:sz w:val="24"/>
          <w:szCs w:val="24"/>
          <w:lang w:val="en-US"/>
        </w:rPr>
        <w:t xml:space="preserve"> for the diagnosis of both PH and EV</w:t>
      </w:r>
      <w:r w:rsidR="00DA605A" w:rsidRPr="00714401">
        <w:rPr>
          <w:rFonts w:ascii="Book Antiqua" w:hAnsi="Book Antiqua"/>
          <w:sz w:val="24"/>
          <w:szCs w:val="24"/>
          <w:lang w:val="en-US"/>
        </w:rPr>
        <w:t>.</w:t>
      </w:r>
      <w:r w:rsidR="004D0443" w:rsidRPr="00714401">
        <w:rPr>
          <w:rFonts w:ascii="Book Antiqua" w:hAnsi="Book Antiqua"/>
          <w:sz w:val="24"/>
          <w:szCs w:val="24"/>
          <w:lang w:val="en-US"/>
        </w:rPr>
        <w:t xml:space="preserve"> In patients with compensated cirrhosis, </w:t>
      </w:r>
      <w:r w:rsidR="002459CD" w:rsidRPr="00714401">
        <w:rPr>
          <w:rFonts w:ascii="Book Antiqua" w:hAnsi="Book Antiqua"/>
          <w:sz w:val="24"/>
          <w:szCs w:val="24"/>
          <w:lang w:val="en-US"/>
        </w:rPr>
        <w:t>ICG</w:t>
      </w:r>
      <w:r w:rsidR="002459CD" w:rsidRPr="00714401">
        <w:rPr>
          <w:rFonts w:ascii="Book Antiqua" w:hAnsi="Book Antiqua"/>
          <w:sz w:val="24"/>
          <w:szCs w:val="24"/>
          <w:vertAlign w:val="subscript"/>
          <w:lang w:val="en-US"/>
        </w:rPr>
        <w:t>R15</w:t>
      </w:r>
      <w:r w:rsidR="002459CD" w:rsidRPr="00714401">
        <w:rPr>
          <w:rFonts w:ascii="Book Antiqua" w:hAnsi="Book Antiqua"/>
          <w:sz w:val="24"/>
          <w:szCs w:val="24"/>
          <w:lang w:val="en-US"/>
        </w:rPr>
        <w:t xml:space="preserve"> &lt; 6.7% and &lt; 6.9</w:t>
      </w:r>
      <w:r w:rsidR="00ED2EC3" w:rsidRPr="00714401">
        <w:rPr>
          <w:rFonts w:ascii="Book Antiqua" w:hAnsi="Book Antiqua" w:hint="eastAsia"/>
          <w:sz w:val="24"/>
          <w:szCs w:val="24"/>
          <w:lang w:val="en-US" w:eastAsia="zh-CN"/>
        </w:rPr>
        <w:t>%</w:t>
      </w:r>
      <w:r w:rsidR="002459CD" w:rsidRPr="00714401">
        <w:rPr>
          <w:rFonts w:ascii="Book Antiqua" w:hAnsi="Book Antiqua"/>
          <w:sz w:val="24"/>
          <w:szCs w:val="24"/>
          <w:lang w:val="en-US"/>
        </w:rPr>
        <w:t xml:space="preserve"> ruled out</w:t>
      </w:r>
      <w:r w:rsidR="0076063F" w:rsidRPr="00714401">
        <w:rPr>
          <w:rFonts w:ascii="Book Antiqua" w:hAnsi="Book Antiqua"/>
          <w:sz w:val="24"/>
          <w:szCs w:val="24"/>
          <w:lang w:val="en-US"/>
        </w:rPr>
        <w:t xml:space="preserve"> </w:t>
      </w:r>
      <w:r w:rsidR="004D0443" w:rsidRPr="00714401">
        <w:rPr>
          <w:rFonts w:ascii="Book Antiqua" w:hAnsi="Book Antiqua"/>
          <w:sz w:val="24"/>
          <w:szCs w:val="24"/>
          <w:lang w:val="en-US"/>
        </w:rPr>
        <w:t>clinically significant PH and severe PH</w:t>
      </w:r>
      <w:r w:rsidR="00674112" w:rsidRPr="00714401">
        <w:rPr>
          <w:rFonts w:ascii="Book Antiqua" w:hAnsi="Book Antiqua"/>
          <w:sz w:val="24"/>
          <w:szCs w:val="24"/>
          <w:lang w:val="en-US"/>
        </w:rPr>
        <w:t xml:space="preserve"> respectively</w:t>
      </w:r>
      <w:r w:rsidR="004D0443" w:rsidRPr="00714401">
        <w:rPr>
          <w:rFonts w:ascii="Book Antiqua" w:hAnsi="Book Antiqua"/>
          <w:sz w:val="24"/>
          <w:szCs w:val="24"/>
          <w:lang w:val="en-US"/>
        </w:rPr>
        <w:t>, while</w:t>
      </w:r>
      <w:r w:rsidR="0076063F" w:rsidRPr="00714401">
        <w:rPr>
          <w:rFonts w:ascii="Book Antiqua" w:hAnsi="Book Antiqua"/>
          <w:sz w:val="24"/>
          <w:szCs w:val="24"/>
          <w:lang w:val="en-US"/>
        </w:rPr>
        <w:t xml:space="preserve"> </w:t>
      </w:r>
      <w:r w:rsidR="004D0443" w:rsidRPr="00714401">
        <w:rPr>
          <w:rFonts w:ascii="Book Antiqua" w:hAnsi="Book Antiqua"/>
          <w:sz w:val="24"/>
          <w:szCs w:val="24"/>
          <w:lang w:val="en-US"/>
        </w:rPr>
        <w:t>ICG</w:t>
      </w:r>
      <w:r w:rsidR="004D0443" w:rsidRPr="00714401">
        <w:rPr>
          <w:rFonts w:ascii="Book Antiqua" w:hAnsi="Book Antiqua"/>
          <w:sz w:val="24"/>
          <w:szCs w:val="24"/>
          <w:vertAlign w:val="subscript"/>
          <w:lang w:val="en-US"/>
        </w:rPr>
        <w:t>R15</w:t>
      </w:r>
      <w:r w:rsidR="004D0443" w:rsidRPr="00714401">
        <w:rPr>
          <w:rFonts w:ascii="Book Antiqua" w:hAnsi="Book Antiqua"/>
          <w:sz w:val="24"/>
          <w:szCs w:val="24"/>
          <w:lang w:val="en-US"/>
        </w:rPr>
        <w:t xml:space="preserve"> &lt;</w:t>
      </w:r>
      <w:r w:rsidR="00181BA4" w:rsidRPr="00714401">
        <w:rPr>
          <w:rFonts w:ascii="Book Antiqua" w:hAnsi="Book Antiqua" w:hint="eastAsia"/>
          <w:sz w:val="24"/>
          <w:szCs w:val="24"/>
          <w:lang w:val="en-US" w:eastAsia="zh-CN"/>
        </w:rPr>
        <w:t xml:space="preserve"> </w:t>
      </w:r>
      <w:r w:rsidR="004D0443" w:rsidRPr="00714401">
        <w:rPr>
          <w:rFonts w:ascii="Book Antiqua" w:hAnsi="Book Antiqua"/>
          <w:sz w:val="24"/>
          <w:szCs w:val="24"/>
          <w:lang w:val="en-US"/>
        </w:rPr>
        <w:t>10%</w:t>
      </w:r>
      <w:r w:rsidR="0076063F" w:rsidRPr="00714401">
        <w:rPr>
          <w:rFonts w:ascii="Book Antiqua" w:hAnsi="Book Antiqua"/>
          <w:sz w:val="24"/>
          <w:szCs w:val="24"/>
          <w:lang w:val="en-US"/>
        </w:rPr>
        <w:t xml:space="preserve"> </w:t>
      </w:r>
      <w:r w:rsidR="002459CD" w:rsidRPr="00714401">
        <w:rPr>
          <w:rFonts w:ascii="Book Antiqua" w:hAnsi="Book Antiqua"/>
          <w:sz w:val="24"/>
          <w:szCs w:val="24"/>
          <w:lang w:val="en-US"/>
        </w:rPr>
        <w:t>was able to exclude</w:t>
      </w:r>
      <w:r w:rsidR="0076063F" w:rsidRPr="00714401">
        <w:rPr>
          <w:rFonts w:ascii="Book Antiqua" w:hAnsi="Book Antiqua"/>
          <w:sz w:val="24"/>
          <w:szCs w:val="24"/>
          <w:lang w:val="en-US"/>
        </w:rPr>
        <w:t xml:space="preserve"> </w:t>
      </w:r>
      <w:r w:rsidR="00E71A40" w:rsidRPr="00714401">
        <w:rPr>
          <w:rFonts w:ascii="Book Antiqua" w:hAnsi="Book Antiqua"/>
          <w:sz w:val="24"/>
          <w:szCs w:val="24"/>
          <w:lang w:val="en-US"/>
        </w:rPr>
        <w:t>the pr</w:t>
      </w:r>
      <w:r w:rsidR="002459CD" w:rsidRPr="00714401">
        <w:rPr>
          <w:rFonts w:ascii="Book Antiqua" w:hAnsi="Book Antiqua"/>
          <w:sz w:val="24"/>
          <w:szCs w:val="24"/>
          <w:lang w:val="en-US"/>
        </w:rPr>
        <w:t>esence of EV. The AA</w:t>
      </w:r>
      <w:r w:rsidRPr="00714401">
        <w:rPr>
          <w:rFonts w:ascii="Book Antiqua" w:hAnsi="Book Antiqua"/>
          <w:sz w:val="24"/>
          <w:szCs w:val="24"/>
          <w:lang w:val="en-US"/>
        </w:rPr>
        <w:t>s</w:t>
      </w:r>
      <w:r w:rsidR="002459CD" w:rsidRPr="00714401">
        <w:rPr>
          <w:rFonts w:ascii="Book Antiqua" w:hAnsi="Book Antiqua"/>
          <w:sz w:val="24"/>
          <w:szCs w:val="24"/>
          <w:lang w:val="en-US"/>
        </w:rPr>
        <w:t xml:space="preserve"> concluded for a role of ICG</w:t>
      </w:r>
      <w:r w:rsidR="002459CD" w:rsidRPr="00714401">
        <w:rPr>
          <w:rFonts w:ascii="Book Antiqua" w:hAnsi="Book Antiqua"/>
          <w:sz w:val="24"/>
          <w:szCs w:val="24"/>
          <w:vertAlign w:val="subscript"/>
          <w:lang w:val="en-US"/>
        </w:rPr>
        <w:t>R15</w:t>
      </w:r>
      <w:r w:rsidR="002459CD" w:rsidRPr="00714401">
        <w:rPr>
          <w:rFonts w:ascii="Book Antiqua" w:hAnsi="Book Antiqua"/>
          <w:sz w:val="24"/>
          <w:szCs w:val="24"/>
          <w:lang w:val="en-US"/>
        </w:rPr>
        <w:t xml:space="preserve"> </w:t>
      </w:r>
      <w:r w:rsidR="00E43EDB" w:rsidRPr="00714401">
        <w:rPr>
          <w:rFonts w:ascii="Book Antiqua" w:hAnsi="Book Antiqua"/>
          <w:sz w:val="24"/>
          <w:szCs w:val="24"/>
          <w:lang w:val="en-US"/>
        </w:rPr>
        <w:t>in</w:t>
      </w:r>
      <w:r w:rsidR="0076063F" w:rsidRPr="00714401">
        <w:rPr>
          <w:rFonts w:ascii="Book Antiqua" w:hAnsi="Book Antiqua"/>
          <w:sz w:val="24"/>
          <w:szCs w:val="24"/>
          <w:lang w:val="en-US"/>
        </w:rPr>
        <w:t xml:space="preserve"> </w:t>
      </w:r>
      <w:r w:rsidR="00E43EDB" w:rsidRPr="00714401">
        <w:rPr>
          <w:rFonts w:ascii="Book Antiqua" w:hAnsi="Book Antiqua"/>
          <w:sz w:val="24"/>
          <w:szCs w:val="24"/>
          <w:lang w:val="en-US"/>
        </w:rPr>
        <w:t>identifying patients with advanced liver disease for whom the</w:t>
      </w:r>
      <w:r w:rsidR="0076063F" w:rsidRPr="00714401">
        <w:rPr>
          <w:rFonts w:ascii="Book Antiqua" w:hAnsi="Book Antiqua"/>
          <w:sz w:val="24"/>
          <w:szCs w:val="24"/>
          <w:lang w:val="en-US"/>
        </w:rPr>
        <w:t xml:space="preserve"> </w:t>
      </w:r>
      <w:r w:rsidR="002459CD" w:rsidRPr="00714401">
        <w:rPr>
          <w:rFonts w:ascii="Book Antiqua" w:hAnsi="Book Antiqua"/>
          <w:sz w:val="24"/>
          <w:szCs w:val="24"/>
          <w:lang w:val="en-US"/>
        </w:rPr>
        <w:t>endoscop</w:t>
      </w:r>
      <w:r w:rsidR="00E43EDB" w:rsidRPr="00714401">
        <w:rPr>
          <w:rFonts w:ascii="Book Antiqua" w:hAnsi="Book Antiqua"/>
          <w:sz w:val="24"/>
          <w:szCs w:val="24"/>
          <w:lang w:val="en-US"/>
        </w:rPr>
        <w:t>ic study is</w:t>
      </w:r>
      <w:r w:rsidR="0076063F" w:rsidRPr="00714401">
        <w:rPr>
          <w:rFonts w:ascii="Book Antiqua" w:hAnsi="Book Antiqua"/>
          <w:sz w:val="24"/>
          <w:szCs w:val="24"/>
          <w:lang w:val="en-US"/>
        </w:rPr>
        <w:t xml:space="preserve"> </w:t>
      </w:r>
      <w:r w:rsidR="00E43EDB" w:rsidRPr="00714401">
        <w:rPr>
          <w:rFonts w:ascii="Book Antiqua" w:hAnsi="Book Antiqua"/>
          <w:sz w:val="24"/>
          <w:szCs w:val="24"/>
          <w:lang w:val="en-US"/>
        </w:rPr>
        <w:t>warranted</w:t>
      </w:r>
      <w:r w:rsidR="002459CD" w:rsidRPr="00714401">
        <w:rPr>
          <w:rFonts w:ascii="Book Antiqua" w:hAnsi="Book Antiqua"/>
          <w:sz w:val="24"/>
          <w:szCs w:val="24"/>
          <w:lang w:val="en-US"/>
        </w:rPr>
        <w:t xml:space="preserve">. </w:t>
      </w:r>
    </w:p>
    <w:p w:rsidR="00FF5011" w:rsidRPr="00714401" w:rsidRDefault="00FF5011" w:rsidP="004F4F1E">
      <w:pPr>
        <w:pStyle w:val="Default"/>
        <w:snapToGrid w:val="0"/>
        <w:spacing w:line="360" w:lineRule="auto"/>
        <w:jc w:val="both"/>
        <w:rPr>
          <w:rFonts w:ascii="Book Antiqua" w:eastAsia="Arial Unicode MS" w:hAnsi="Book Antiqua" w:cs="Arial Unicode MS"/>
          <w:color w:val="auto"/>
          <w:lang w:val="en-US"/>
        </w:rPr>
      </w:pPr>
    </w:p>
    <w:p w:rsidR="00E10869" w:rsidRPr="00714401" w:rsidRDefault="00181BA4" w:rsidP="004F4F1E">
      <w:pPr>
        <w:pStyle w:val="Default"/>
        <w:snapToGrid w:val="0"/>
        <w:spacing w:line="360" w:lineRule="auto"/>
        <w:jc w:val="both"/>
        <w:rPr>
          <w:rFonts w:ascii="Book Antiqua" w:hAnsi="Book Antiqua"/>
          <w:color w:val="auto"/>
          <w:lang w:val="en-US"/>
        </w:rPr>
      </w:pPr>
      <w:r w:rsidRPr="00714401">
        <w:rPr>
          <w:rFonts w:ascii="Book Antiqua" w:hAnsi="Book Antiqua"/>
          <w:color w:val="auto"/>
          <w:lang w:val="en-US"/>
        </w:rPr>
        <w:t>ICG KINETICS IN LIVER TRANSPLANT SURGERY</w:t>
      </w:r>
    </w:p>
    <w:p w:rsidR="0011050B" w:rsidRPr="00714401" w:rsidRDefault="00836753" w:rsidP="004F4F1E">
      <w:pPr>
        <w:pStyle w:val="Default"/>
        <w:snapToGrid w:val="0"/>
        <w:spacing w:line="360" w:lineRule="auto"/>
        <w:jc w:val="both"/>
        <w:rPr>
          <w:rFonts w:ascii="Book Antiqua" w:hAnsi="Book Antiqua"/>
          <w:color w:val="auto"/>
          <w:lang w:val="en-US"/>
        </w:rPr>
      </w:pPr>
      <w:r w:rsidRPr="00714401">
        <w:rPr>
          <w:rFonts w:ascii="Book Antiqua" w:hAnsi="Book Antiqua"/>
          <w:color w:val="auto"/>
          <w:lang w:val="en-US"/>
        </w:rPr>
        <w:t>An i</w:t>
      </w:r>
      <w:r w:rsidR="008F536F" w:rsidRPr="00714401">
        <w:rPr>
          <w:rFonts w:ascii="Book Antiqua" w:hAnsi="Book Antiqua"/>
          <w:color w:val="auto"/>
          <w:lang w:val="en-US"/>
        </w:rPr>
        <w:t>ncreased demand of grafts du</w:t>
      </w:r>
      <w:r w:rsidR="00747725" w:rsidRPr="00714401">
        <w:rPr>
          <w:rFonts w:ascii="Book Antiqua" w:hAnsi="Book Antiqua"/>
          <w:color w:val="auto"/>
          <w:lang w:val="en-US"/>
        </w:rPr>
        <w:t xml:space="preserve">e </w:t>
      </w:r>
      <w:r w:rsidR="001A646C" w:rsidRPr="00714401">
        <w:rPr>
          <w:rFonts w:ascii="Book Antiqua" w:hAnsi="Book Antiqua"/>
          <w:color w:val="auto"/>
          <w:lang w:val="en-US"/>
        </w:rPr>
        <w:t xml:space="preserve">to </w:t>
      </w:r>
      <w:r w:rsidR="00747725" w:rsidRPr="00714401">
        <w:rPr>
          <w:rFonts w:ascii="Book Antiqua" w:hAnsi="Book Antiqua"/>
          <w:color w:val="auto"/>
          <w:lang w:val="en-US"/>
        </w:rPr>
        <w:t xml:space="preserve">the </w:t>
      </w:r>
      <w:r w:rsidR="003C796F" w:rsidRPr="00714401">
        <w:rPr>
          <w:rFonts w:ascii="Book Antiqua" w:hAnsi="Book Antiqua"/>
          <w:color w:val="auto"/>
          <w:lang w:val="en-US"/>
        </w:rPr>
        <w:t xml:space="preserve">expanded </w:t>
      </w:r>
      <w:r w:rsidRPr="00714401">
        <w:rPr>
          <w:rFonts w:ascii="Book Antiqua" w:hAnsi="Book Antiqua"/>
          <w:color w:val="auto"/>
          <w:lang w:val="en-US"/>
        </w:rPr>
        <w:t>liver transplant</w:t>
      </w:r>
      <w:r w:rsidR="0076063F" w:rsidRPr="00714401">
        <w:rPr>
          <w:rFonts w:ascii="Book Antiqua" w:hAnsi="Book Antiqua"/>
          <w:color w:val="auto"/>
          <w:lang w:val="en-US"/>
        </w:rPr>
        <w:t xml:space="preserve"> </w:t>
      </w:r>
      <w:r w:rsidR="00A86461" w:rsidRPr="00714401">
        <w:rPr>
          <w:rFonts w:ascii="Book Antiqua" w:hAnsi="Book Antiqua"/>
          <w:color w:val="auto"/>
          <w:lang w:val="en-US"/>
        </w:rPr>
        <w:t xml:space="preserve">(OLT) </w:t>
      </w:r>
      <w:r w:rsidRPr="00714401">
        <w:rPr>
          <w:rFonts w:ascii="Book Antiqua" w:hAnsi="Book Antiqua"/>
          <w:color w:val="auto"/>
          <w:lang w:val="en-US"/>
        </w:rPr>
        <w:t>indications has to face o</w:t>
      </w:r>
      <w:r w:rsidR="00465A6E" w:rsidRPr="00714401">
        <w:rPr>
          <w:rFonts w:ascii="Book Antiqua" w:hAnsi="Book Antiqua"/>
          <w:color w:val="auto"/>
          <w:lang w:val="en-US"/>
        </w:rPr>
        <w:t>rgan shortage</w:t>
      </w:r>
      <w:r w:rsidRPr="00714401">
        <w:rPr>
          <w:rFonts w:ascii="Book Antiqua" w:hAnsi="Book Antiqua"/>
          <w:color w:val="auto"/>
          <w:lang w:val="en-US"/>
        </w:rPr>
        <w:t xml:space="preserve">, </w:t>
      </w:r>
      <w:r w:rsidR="00A86461" w:rsidRPr="00714401">
        <w:rPr>
          <w:rFonts w:ascii="Book Antiqua" w:hAnsi="Book Antiqua"/>
          <w:color w:val="auto"/>
          <w:lang w:val="en-US"/>
        </w:rPr>
        <w:t xml:space="preserve">perhaps the most relevant </w:t>
      </w:r>
      <w:r w:rsidR="003C796F" w:rsidRPr="00714401">
        <w:rPr>
          <w:rFonts w:ascii="Book Antiqua" w:hAnsi="Book Antiqua"/>
          <w:color w:val="auto"/>
          <w:lang w:val="en-US"/>
        </w:rPr>
        <w:t>restrain</w:t>
      </w:r>
      <w:r w:rsidR="00747725" w:rsidRPr="00714401">
        <w:rPr>
          <w:rFonts w:ascii="Book Antiqua" w:hAnsi="Book Antiqua"/>
          <w:color w:val="auto"/>
          <w:lang w:val="en-US"/>
        </w:rPr>
        <w:t>t</w:t>
      </w:r>
      <w:r w:rsidR="003C796F" w:rsidRPr="00714401">
        <w:rPr>
          <w:rFonts w:ascii="Book Antiqua" w:hAnsi="Book Antiqua"/>
          <w:color w:val="auto"/>
          <w:lang w:val="en-US"/>
        </w:rPr>
        <w:t xml:space="preserve"> </w:t>
      </w:r>
      <w:r w:rsidR="002826AA" w:rsidRPr="00714401">
        <w:rPr>
          <w:rFonts w:ascii="Book Antiqua" w:hAnsi="Book Antiqua"/>
          <w:color w:val="auto"/>
          <w:lang w:val="en-US"/>
        </w:rPr>
        <w:t xml:space="preserve">when dealing with solid </w:t>
      </w:r>
      <w:r w:rsidR="00A71B5C" w:rsidRPr="00714401">
        <w:rPr>
          <w:rFonts w:ascii="Book Antiqua" w:hAnsi="Book Antiqua"/>
          <w:color w:val="auto"/>
          <w:lang w:val="en-US"/>
        </w:rPr>
        <w:t>organ transplan</w:t>
      </w:r>
      <w:r w:rsidR="002826AA" w:rsidRPr="00714401">
        <w:rPr>
          <w:rFonts w:ascii="Book Antiqua" w:hAnsi="Book Antiqua"/>
          <w:color w:val="auto"/>
          <w:lang w:val="en-US"/>
        </w:rPr>
        <w:t>t</w:t>
      </w:r>
      <w:r w:rsidR="00E43EDB" w:rsidRPr="00714401">
        <w:rPr>
          <w:rFonts w:ascii="Book Antiqua" w:hAnsi="Book Antiqua"/>
          <w:color w:val="auto"/>
          <w:lang w:val="en-US"/>
        </w:rPr>
        <w:t xml:space="preserve"> surgery</w:t>
      </w:r>
      <w:r w:rsidR="00823314" w:rsidRPr="00714401">
        <w:rPr>
          <w:rFonts w:ascii="Book Antiqua" w:hAnsi="Book Antiqua"/>
          <w:color w:val="auto"/>
          <w:lang w:val="en-US"/>
        </w:rPr>
        <w:t xml:space="preserve">. </w:t>
      </w:r>
      <w:r w:rsidR="002826AA" w:rsidRPr="00714401">
        <w:rPr>
          <w:rFonts w:ascii="Book Antiqua" w:hAnsi="Book Antiqua"/>
          <w:color w:val="auto"/>
          <w:lang w:val="en-US"/>
        </w:rPr>
        <w:t>To expand the donors pool, e</w:t>
      </w:r>
      <w:r w:rsidR="00F51FB7" w:rsidRPr="00714401">
        <w:rPr>
          <w:rFonts w:ascii="Book Antiqua" w:hAnsi="Book Antiqua"/>
          <w:color w:val="auto"/>
          <w:lang w:val="en-US"/>
        </w:rPr>
        <w:t>xtended criteria</w:t>
      </w:r>
      <w:r w:rsidR="008F536F" w:rsidRPr="00714401">
        <w:rPr>
          <w:rFonts w:ascii="Book Antiqua" w:hAnsi="Book Antiqua"/>
          <w:color w:val="auto"/>
          <w:lang w:val="en-US"/>
        </w:rPr>
        <w:t xml:space="preserve"> </w:t>
      </w:r>
      <w:r w:rsidR="00F51FB7" w:rsidRPr="00714401">
        <w:rPr>
          <w:rFonts w:ascii="Book Antiqua" w:hAnsi="Book Antiqua"/>
          <w:color w:val="auto"/>
          <w:lang w:val="en-US"/>
        </w:rPr>
        <w:t xml:space="preserve">donors </w:t>
      </w:r>
      <w:r w:rsidR="002A7AC8" w:rsidRPr="00714401">
        <w:rPr>
          <w:rFonts w:ascii="Book Antiqua" w:hAnsi="Book Antiqua"/>
          <w:color w:val="auto"/>
          <w:lang w:val="en-US"/>
        </w:rPr>
        <w:t>and/</w:t>
      </w:r>
      <w:r w:rsidR="002826AA" w:rsidRPr="00714401">
        <w:rPr>
          <w:rFonts w:ascii="Book Antiqua" w:hAnsi="Book Antiqua"/>
          <w:color w:val="auto"/>
          <w:lang w:val="en-US"/>
        </w:rPr>
        <w:t xml:space="preserve">or </w:t>
      </w:r>
      <w:r w:rsidR="008F536F" w:rsidRPr="00714401">
        <w:rPr>
          <w:rFonts w:ascii="Book Antiqua" w:hAnsi="Book Antiqua"/>
          <w:color w:val="auto"/>
          <w:lang w:val="en-US"/>
        </w:rPr>
        <w:t xml:space="preserve">suboptimal (“marginal”) grafts </w:t>
      </w:r>
      <w:r w:rsidR="00F51FB7" w:rsidRPr="00714401">
        <w:rPr>
          <w:rFonts w:ascii="Book Antiqua" w:hAnsi="Book Antiqua"/>
          <w:color w:val="auto"/>
          <w:lang w:val="en-US"/>
        </w:rPr>
        <w:t xml:space="preserve">are </w:t>
      </w:r>
      <w:r w:rsidR="002826AA" w:rsidRPr="00714401">
        <w:rPr>
          <w:rFonts w:ascii="Book Antiqua" w:hAnsi="Book Antiqua"/>
          <w:color w:val="auto"/>
          <w:lang w:val="en-US"/>
        </w:rPr>
        <w:t xml:space="preserve">ever and ever </w:t>
      </w:r>
      <w:r w:rsidR="00A71B5C" w:rsidRPr="00714401">
        <w:rPr>
          <w:rFonts w:ascii="Book Antiqua" w:hAnsi="Book Antiqua"/>
          <w:color w:val="auto"/>
          <w:lang w:val="en-US"/>
        </w:rPr>
        <w:t>harve</w:t>
      </w:r>
      <w:r w:rsidR="002826AA" w:rsidRPr="00714401">
        <w:rPr>
          <w:rFonts w:ascii="Book Antiqua" w:hAnsi="Book Antiqua"/>
          <w:color w:val="auto"/>
          <w:lang w:val="en-US"/>
        </w:rPr>
        <w:t xml:space="preserve">sted </w:t>
      </w:r>
      <w:r w:rsidR="00A71B5C" w:rsidRPr="00714401">
        <w:rPr>
          <w:rFonts w:ascii="Book Antiqua" w:hAnsi="Book Antiqua"/>
          <w:color w:val="auto"/>
          <w:lang w:val="en-US"/>
        </w:rPr>
        <w:t>t</w:t>
      </w:r>
      <w:r w:rsidR="00465A6E" w:rsidRPr="00714401">
        <w:rPr>
          <w:rFonts w:ascii="Book Antiqua" w:hAnsi="Book Antiqua"/>
          <w:color w:val="auto"/>
          <w:lang w:val="en-US"/>
        </w:rPr>
        <w:t xml:space="preserve">o </w:t>
      </w:r>
      <w:r w:rsidR="002826AA" w:rsidRPr="00714401">
        <w:rPr>
          <w:rFonts w:ascii="Book Antiqua" w:hAnsi="Book Antiqua"/>
          <w:color w:val="auto"/>
          <w:lang w:val="en-US"/>
        </w:rPr>
        <w:t>match the increasing transplant demand</w:t>
      </w:r>
      <w:r w:rsidR="00465A6E" w:rsidRPr="00714401">
        <w:rPr>
          <w:rFonts w:ascii="Book Antiqua" w:hAnsi="Book Antiqua"/>
          <w:color w:val="auto"/>
          <w:lang w:val="en-US"/>
        </w:rPr>
        <w:t>.</w:t>
      </w:r>
      <w:r w:rsidR="00A71B5C" w:rsidRPr="00714401">
        <w:rPr>
          <w:rFonts w:ascii="Book Antiqua" w:hAnsi="Book Antiqua"/>
          <w:color w:val="auto"/>
          <w:lang w:val="en-US"/>
        </w:rPr>
        <w:t xml:space="preserve"> </w:t>
      </w:r>
      <w:r w:rsidR="00A86461" w:rsidRPr="00714401">
        <w:rPr>
          <w:rFonts w:ascii="Book Antiqua" w:hAnsi="Book Antiqua"/>
          <w:color w:val="auto"/>
          <w:lang w:val="en-US"/>
        </w:rPr>
        <w:t xml:space="preserve">Early after OLT, the results of </w:t>
      </w:r>
      <w:r w:rsidR="003416B5" w:rsidRPr="00714401">
        <w:rPr>
          <w:rFonts w:ascii="Book Antiqua" w:hAnsi="Book Antiqua"/>
          <w:color w:val="auto"/>
          <w:lang w:val="en-US"/>
        </w:rPr>
        <w:t>c</w:t>
      </w:r>
      <w:r w:rsidR="00A71B5C" w:rsidRPr="00714401">
        <w:rPr>
          <w:rFonts w:ascii="Book Antiqua" w:hAnsi="Book Antiqua"/>
          <w:color w:val="auto"/>
          <w:lang w:val="en-US"/>
        </w:rPr>
        <w:t xml:space="preserve">onventional “static” liver function tests </w:t>
      </w:r>
      <w:r w:rsidR="003416B5" w:rsidRPr="00714401">
        <w:rPr>
          <w:rFonts w:ascii="Book Antiqua" w:hAnsi="Book Antiqua"/>
          <w:color w:val="auto"/>
          <w:lang w:val="en-US"/>
        </w:rPr>
        <w:t xml:space="preserve">may </w:t>
      </w:r>
      <w:r w:rsidR="00A71B5C" w:rsidRPr="00714401">
        <w:rPr>
          <w:rFonts w:ascii="Book Antiqua" w:hAnsi="Book Antiqua"/>
          <w:color w:val="auto"/>
          <w:lang w:val="en-US"/>
        </w:rPr>
        <w:t xml:space="preserve">raise doubts or uncertainties when used to assess </w:t>
      </w:r>
      <w:r w:rsidR="009D7DCE" w:rsidRPr="00714401">
        <w:rPr>
          <w:rFonts w:ascii="Book Antiqua" w:hAnsi="Book Antiqua"/>
          <w:color w:val="auto"/>
          <w:lang w:val="en-US"/>
        </w:rPr>
        <w:t>the functional recov</w:t>
      </w:r>
      <w:r w:rsidR="00E43EDB" w:rsidRPr="00714401">
        <w:rPr>
          <w:rFonts w:ascii="Book Antiqua" w:hAnsi="Book Antiqua"/>
          <w:color w:val="auto"/>
          <w:lang w:val="en-US"/>
        </w:rPr>
        <w:t xml:space="preserve">ery of the liver </w:t>
      </w:r>
      <w:proofErr w:type="gramStart"/>
      <w:r w:rsidR="00E43EDB" w:rsidRPr="00714401">
        <w:rPr>
          <w:rFonts w:ascii="Book Antiqua" w:hAnsi="Book Antiqua"/>
          <w:color w:val="auto"/>
          <w:lang w:val="en-US"/>
        </w:rPr>
        <w:t>grafts</w:t>
      </w:r>
      <w:r w:rsidR="00610290" w:rsidRPr="00714401">
        <w:rPr>
          <w:rFonts w:ascii="Book Antiqua" w:hAnsi="Book Antiqua"/>
          <w:color w:val="auto"/>
          <w:vertAlign w:val="superscript"/>
          <w:lang w:val="en-US"/>
        </w:rPr>
        <w:t>[</w:t>
      </w:r>
      <w:proofErr w:type="gramEnd"/>
      <w:r w:rsidR="00D13521" w:rsidRPr="00714401">
        <w:rPr>
          <w:rFonts w:ascii="Book Antiqua" w:hAnsi="Book Antiqua"/>
          <w:color w:val="auto"/>
          <w:vertAlign w:val="superscript"/>
          <w:lang w:val="en-US"/>
        </w:rPr>
        <w:t>6</w:t>
      </w:r>
      <w:r w:rsidR="00610290" w:rsidRPr="00714401">
        <w:rPr>
          <w:rFonts w:ascii="Book Antiqua" w:hAnsi="Book Antiqua"/>
          <w:color w:val="auto"/>
          <w:vertAlign w:val="superscript"/>
          <w:lang w:val="en-US"/>
        </w:rPr>
        <w:t>]</w:t>
      </w:r>
      <w:r w:rsidR="009D7DCE" w:rsidRPr="00714401">
        <w:rPr>
          <w:rFonts w:ascii="Book Antiqua" w:hAnsi="Book Antiqua"/>
          <w:color w:val="auto"/>
          <w:lang w:val="en-US"/>
        </w:rPr>
        <w:t>.</w:t>
      </w:r>
      <w:r w:rsidR="005C1EFD" w:rsidRPr="00714401">
        <w:rPr>
          <w:rFonts w:ascii="Book Antiqua" w:hAnsi="Book Antiqua"/>
          <w:color w:val="auto"/>
          <w:lang w:val="en-US"/>
        </w:rPr>
        <w:t xml:space="preserve"> </w:t>
      </w:r>
      <w:r w:rsidR="004B6CE2" w:rsidRPr="00714401">
        <w:rPr>
          <w:rFonts w:ascii="Book Antiqua" w:hAnsi="Book Antiqua"/>
          <w:color w:val="auto"/>
          <w:lang w:val="en-US"/>
        </w:rPr>
        <w:t xml:space="preserve">Recently, </w:t>
      </w:r>
      <w:r w:rsidR="000757F5" w:rsidRPr="00714401">
        <w:rPr>
          <w:rFonts w:ascii="Book Antiqua" w:hAnsi="Book Antiqua"/>
          <w:color w:val="auto"/>
          <w:lang w:val="en-US"/>
        </w:rPr>
        <w:t xml:space="preserve">few, small single center studies reported on </w:t>
      </w:r>
      <w:r w:rsidR="008F536F" w:rsidRPr="00714401">
        <w:rPr>
          <w:rFonts w:ascii="Book Antiqua" w:hAnsi="Book Antiqua"/>
          <w:color w:val="auto"/>
          <w:lang w:val="en-US"/>
        </w:rPr>
        <w:t>ICG</w:t>
      </w:r>
      <w:r w:rsidR="008F536F" w:rsidRPr="00714401">
        <w:rPr>
          <w:rFonts w:ascii="Book Antiqua" w:hAnsi="Book Antiqua"/>
          <w:color w:val="auto"/>
          <w:vertAlign w:val="subscript"/>
          <w:lang w:val="en-US"/>
        </w:rPr>
        <w:t>PDR</w:t>
      </w:r>
      <w:r w:rsidR="008F536F" w:rsidRPr="00714401">
        <w:rPr>
          <w:rFonts w:ascii="Book Antiqua" w:hAnsi="Book Antiqua"/>
          <w:color w:val="auto"/>
          <w:lang w:val="en-US"/>
        </w:rPr>
        <w:t xml:space="preserve"> to assist and </w:t>
      </w:r>
      <w:r w:rsidR="000757F5" w:rsidRPr="00714401">
        <w:rPr>
          <w:rFonts w:ascii="Book Antiqua" w:hAnsi="Book Antiqua"/>
          <w:color w:val="auto"/>
          <w:lang w:val="en-US"/>
        </w:rPr>
        <w:t>(</w:t>
      </w:r>
      <w:r w:rsidR="001A646C" w:rsidRPr="00714401">
        <w:rPr>
          <w:rFonts w:ascii="Book Antiqua" w:hAnsi="Book Antiqua"/>
          <w:color w:val="auto"/>
          <w:lang w:val="en-US"/>
        </w:rPr>
        <w:t xml:space="preserve">more </w:t>
      </w:r>
      <w:r w:rsidR="008F536F" w:rsidRPr="00714401">
        <w:rPr>
          <w:rFonts w:ascii="Book Antiqua" w:hAnsi="Book Antiqua"/>
          <w:color w:val="auto"/>
          <w:lang w:val="en-US"/>
        </w:rPr>
        <w:t>objectively support</w:t>
      </w:r>
      <w:r w:rsidR="000757F5" w:rsidRPr="00714401">
        <w:rPr>
          <w:rFonts w:ascii="Book Antiqua" w:hAnsi="Book Antiqua"/>
          <w:color w:val="auto"/>
          <w:lang w:val="en-US"/>
        </w:rPr>
        <w:t>)</w:t>
      </w:r>
      <w:r w:rsidR="008F536F" w:rsidRPr="00714401">
        <w:rPr>
          <w:rFonts w:ascii="Book Antiqua" w:hAnsi="Book Antiqua"/>
          <w:color w:val="auto"/>
          <w:lang w:val="en-US"/>
        </w:rPr>
        <w:t xml:space="preserve"> the decision to harvest livers from suboptimal </w:t>
      </w:r>
      <w:r w:rsidR="004B6CE2" w:rsidRPr="00714401">
        <w:rPr>
          <w:rFonts w:ascii="Book Antiqua" w:hAnsi="Book Antiqua"/>
          <w:color w:val="auto"/>
          <w:lang w:val="en-US"/>
        </w:rPr>
        <w:t>donors</w:t>
      </w:r>
      <w:r w:rsidR="00D43D62" w:rsidRPr="00714401">
        <w:rPr>
          <w:rFonts w:ascii="Book Antiqua" w:hAnsi="Book Antiqua"/>
          <w:color w:val="auto"/>
          <w:lang w:val="en-US"/>
        </w:rPr>
        <w:t xml:space="preserve">. ICG </w:t>
      </w:r>
      <w:r w:rsidR="00AF5881" w:rsidRPr="00714401">
        <w:rPr>
          <w:rFonts w:ascii="Book Antiqua" w:hAnsi="Book Antiqua"/>
          <w:color w:val="auto"/>
          <w:lang w:val="en-US"/>
        </w:rPr>
        <w:t xml:space="preserve">clearance kinetics, </w:t>
      </w:r>
      <w:r w:rsidR="004B6CE2" w:rsidRPr="00714401">
        <w:rPr>
          <w:rFonts w:ascii="Book Antiqua" w:hAnsi="Book Antiqua"/>
          <w:color w:val="auto"/>
          <w:lang w:val="en-US"/>
        </w:rPr>
        <w:t xml:space="preserve">mainly </w:t>
      </w:r>
      <w:r w:rsidR="005C1EFD" w:rsidRPr="00714401">
        <w:rPr>
          <w:rFonts w:ascii="Book Antiqua" w:hAnsi="Book Antiqua"/>
          <w:color w:val="auto"/>
          <w:lang w:val="en-US"/>
        </w:rPr>
        <w:t>expressed as ICG</w:t>
      </w:r>
      <w:r w:rsidR="005C1EFD" w:rsidRPr="00714401">
        <w:rPr>
          <w:rFonts w:ascii="Book Antiqua" w:hAnsi="Book Antiqua"/>
          <w:color w:val="auto"/>
          <w:vertAlign w:val="subscript"/>
          <w:lang w:val="en-US"/>
        </w:rPr>
        <w:t>PDR</w:t>
      </w:r>
      <w:r w:rsidR="005C1EFD" w:rsidRPr="00714401">
        <w:rPr>
          <w:rFonts w:ascii="Book Antiqua" w:hAnsi="Book Antiqua"/>
          <w:color w:val="auto"/>
          <w:lang w:val="en-US"/>
        </w:rPr>
        <w:t xml:space="preserve"> or K constant of elimi</w:t>
      </w:r>
      <w:r w:rsidR="00AF5881" w:rsidRPr="00714401">
        <w:rPr>
          <w:rFonts w:ascii="Book Antiqua" w:hAnsi="Book Antiqua"/>
          <w:color w:val="auto"/>
          <w:lang w:val="en-US"/>
        </w:rPr>
        <w:t>nation</w:t>
      </w:r>
      <w:r w:rsidR="004B6CE2" w:rsidRPr="00714401">
        <w:rPr>
          <w:rFonts w:ascii="Book Antiqua" w:hAnsi="Book Antiqua"/>
          <w:color w:val="auto"/>
          <w:lang w:val="en-US"/>
        </w:rPr>
        <w:t>,</w:t>
      </w:r>
      <w:r w:rsidR="0076063F" w:rsidRPr="00714401">
        <w:rPr>
          <w:rFonts w:ascii="Book Antiqua" w:hAnsi="Book Antiqua"/>
          <w:color w:val="auto"/>
          <w:lang w:val="en-US"/>
        </w:rPr>
        <w:t xml:space="preserve"> </w:t>
      </w:r>
      <w:r w:rsidR="00AF5881" w:rsidRPr="00714401">
        <w:rPr>
          <w:rFonts w:ascii="Book Antiqua" w:hAnsi="Book Antiqua"/>
          <w:color w:val="auto"/>
          <w:lang w:val="en-US"/>
        </w:rPr>
        <w:t>have</w:t>
      </w:r>
      <w:r w:rsidR="005C1EFD" w:rsidRPr="00714401">
        <w:rPr>
          <w:rFonts w:ascii="Book Antiqua" w:hAnsi="Book Antiqua"/>
          <w:color w:val="auto"/>
          <w:lang w:val="en-US"/>
        </w:rPr>
        <w:t xml:space="preserve"> been used </w:t>
      </w:r>
      <w:r w:rsidR="004B6CE2" w:rsidRPr="00714401">
        <w:rPr>
          <w:rFonts w:ascii="Book Antiqua" w:hAnsi="Book Antiqua"/>
          <w:color w:val="auto"/>
          <w:lang w:val="en-US"/>
        </w:rPr>
        <w:t>in cadaveric donor</w:t>
      </w:r>
      <w:r w:rsidR="00D43D62" w:rsidRPr="00714401">
        <w:rPr>
          <w:rFonts w:ascii="Book Antiqua" w:hAnsi="Book Antiqua"/>
          <w:color w:val="auto"/>
          <w:lang w:val="en-US"/>
        </w:rPr>
        <w:t>s</w:t>
      </w:r>
      <w:r w:rsidR="004B6CE2" w:rsidRPr="00714401">
        <w:rPr>
          <w:rFonts w:ascii="Book Antiqua" w:hAnsi="Book Antiqua"/>
          <w:color w:val="auto"/>
          <w:lang w:val="en-US"/>
        </w:rPr>
        <w:t xml:space="preserve"> before </w:t>
      </w:r>
      <w:r w:rsidR="00D43D62" w:rsidRPr="00714401">
        <w:rPr>
          <w:rFonts w:ascii="Book Antiqua" w:hAnsi="Book Antiqua"/>
          <w:color w:val="auto"/>
          <w:lang w:val="en-US"/>
        </w:rPr>
        <w:t xml:space="preserve">organ </w:t>
      </w:r>
      <w:r w:rsidR="004B6CE2" w:rsidRPr="00714401">
        <w:rPr>
          <w:rFonts w:ascii="Book Antiqua" w:hAnsi="Book Antiqua"/>
          <w:color w:val="auto"/>
          <w:lang w:val="en-US"/>
        </w:rPr>
        <w:t xml:space="preserve">harvesting for a </w:t>
      </w:r>
      <w:r w:rsidR="00D43D62" w:rsidRPr="00714401">
        <w:rPr>
          <w:rFonts w:ascii="Book Antiqua" w:hAnsi="Book Antiqua"/>
          <w:color w:val="auto"/>
          <w:lang w:val="en-US"/>
        </w:rPr>
        <w:t xml:space="preserve">quantitative assessment of </w:t>
      </w:r>
      <w:r w:rsidR="002A7AC8" w:rsidRPr="00714401">
        <w:rPr>
          <w:rFonts w:ascii="Book Antiqua" w:hAnsi="Book Antiqua"/>
          <w:color w:val="auto"/>
          <w:lang w:val="en-US"/>
        </w:rPr>
        <w:t xml:space="preserve">liver </w:t>
      </w:r>
      <w:proofErr w:type="gramStart"/>
      <w:r w:rsidR="002A7AC8" w:rsidRPr="00714401">
        <w:rPr>
          <w:rFonts w:ascii="Book Antiqua" w:hAnsi="Book Antiqua"/>
          <w:color w:val="auto"/>
          <w:lang w:val="en-US"/>
        </w:rPr>
        <w:t>function</w:t>
      </w:r>
      <w:r w:rsidR="00610290" w:rsidRPr="00714401">
        <w:rPr>
          <w:rFonts w:ascii="Book Antiqua" w:hAnsi="Book Antiqua"/>
          <w:color w:val="auto"/>
          <w:vertAlign w:val="superscript"/>
          <w:lang w:val="en-US"/>
        </w:rPr>
        <w:t>[</w:t>
      </w:r>
      <w:proofErr w:type="gramEnd"/>
      <w:r w:rsidR="00D13521" w:rsidRPr="00714401">
        <w:rPr>
          <w:rFonts w:ascii="Book Antiqua" w:hAnsi="Book Antiqua"/>
          <w:color w:val="auto"/>
          <w:vertAlign w:val="superscript"/>
          <w:lang w:val="en-US"/>
        </w:rPr>
        <w:t>6</w:t>
      </w:r>
      <w:r w:rsidR="00610290" w:rsidRPr="00714401">
        <w:rPr>
          <w:rFonts w:ascii="Book Antiqua" w:hAnsi="Book Antiqua"/>
          <w:color w:val="auto"/>
          <w:vertAlign w:val="superscript"/>
          <w:lang w:val="en-US"/>
        </w:rPr>
        <w:t>]</w:t>
      </w:r>
      <w:r w:rsidR="005C1EFD" w:rsidRPr="00714401">
        <w:rPr>
          <w:rFonts w:ascii="Book Antiqua" w:hAnsi="Book Antiqua"/>
          <w:color w:val="auto"/>
          <w:lang w:val="en-US"/>
        </w:rPr>
        <w:t>.</w:t>
      </w:r>
      <w:r w:rsidR="001A1937" w:rsidRPr="00714401">
        <w:rPr>
          <w:rFonts w:ascii="Book Antiqua" w:hAnsi="Book Antiqua"/>
          <w:color w:val="auto"/>
          <w:lang w:val="en-US"/>
        </w:rPr>
        <w:t xml:space="preserve"> </w:t>
      </w:r>
      <w:r w:rsidR="00ED5B3E" w:rsidRPr="00714401">
        <w:rPr>
          <w:rFonts w:ascii="Book Antiqua" w:hAnsi="Book Antiqua"/>
          <w:color w:val="auto"/>
          <w:lang w:val="en-US"/>
        </w:rPr>
        <w:t xml:space="preserve">Unfortunately, </w:t>
      </w:r>
      <w:r w:rsidR="003416B5" w:rsidRPr="00714401">
        <w:rPr>
          <w:rFonts w:ascii="Book Antiqua" w:hAnsi="Book Antiqua"/>
          <w:color w:val="auto"/>
          <w:lang w:val="en-US"/>
        </w:rPr>
        <w:t xml:space="preserve">the value of </w:t>
      </w:r>
      <w:r w:rsidR="005C1EFD" w:rsidRPr="00714401">
        <w:rPr>
          <w:rFonts w:ascii="Book Antiqua" w:hAnsi="Book Antiqua"/>
          <w:color w:val="auto"/>
          <w:lang w:val="en-US"/>
        </w:rPr>
        <w:t>ICG</w:t>
      </w:r>
      <w:r w:rsidR="005C1EFD" w:rsidRPr="00714401">
        <w:rPr>
          <w:rFonts w:ascii="Book Antiqua" w:hAnsi="Book Antiqua"/>
          <w:color w:val="auto"/>
          <w:vertAlign w:val="subscript"/>
          <w:lang w:val="en-US"/>
        </w:rPr>
        <w:t>PDR</w:t>
      </w:r>
      <w:r w:rsidR="005C1EFD" w:rsidRPr="00714401">
        <w:rPr>
          <w:rFonts w:ascii="Book Antiqua" w:hAnsi="Book Antiqua"/>
          <w:color w:val="auto"/>
          <w:lang w:val="en-US"/>
        </w:rPr>
        <w:t xml:space="preserve"> to assist graft suitability</w:t>
      </w:r>
      <w:r w:rsidR="00677763" w:rsidRPr="00714401">
        <w:rPr>
          <w:rFonts w:ascii="Book Antiqua" w:hAnsi="Book Antiqua"/>
          <w:color w:val="auto"/>
          <w:lang w:val="en-US"/>
        </w:rPr>
        <w:t xml:space="preserve"> assessment </w:t>
      </w:r>
      <w:r w:rsidR="009D7DCE" w:rsidRPr="00714401">
        <w:rPr>
          <w:rFonts w:ascii="Book Antiqua" w:hAnsi="Book Antiqua"/>
          <w:color w:val="auto"/>
          <w:lang w:val="en-US"/>
        </w:rPr>
        <w:t>before harvesting</w:t>
      </w:r>
      <w:r w:rsidR="003416B5" w:rsidRPr="00714401">
        <w:rPr>
          <w:rFonts w:ascii="Book Antiqua" w:hAnsi="Book Antiqua"/>
          <w:color w:val="auto"/>
          <w:lang w:val="en-US"/>
        </w:rPr>
        <w:t xml:space="preserve"> </w:t>
      </w:r>
      <w:r w:rsidR="003416B5" w:rsidRPr="00714401">
        <w:rPr>
          <w:rFonts w:ascii="Book Antiqua" w:hAnsi="Book Antiqua"/>
          <w:color w:val="auto"/>
          <w:lang w:val="en-US"/>
        </w:rPr>
        <w:lastRenderedPageBreak/>
        <w:t>deserves further studies</w:t>
      </w:r>
      <w:r w:rsidR="004A6C1E" w:rsidRPr="00714401">
        <w:rPr>
          <w:rFonts w:ascii="Book Antiqua" w:hAnsi="Book Antiqua"/>
          <w:color w:val="auto"/>
          <w:lang w:val="en-US"/>
        </w:rPr>
        <w:t xml:space="preserve">, as </w:t>
      </w:r>
      <w:r w:rsidR="002A7AC8" w:rsidRPr="00714401">
        <w:rPr>
          <w:rFonts w:ascii="Book Antiqua" w:hAnsi="Book Antiqua"/>
          <w:color w:val="auto"/>
          <w:lang w:val="en-US"/>
        </w:rPr>
        <w:t>values &lt; 15</w:t>
      </w:r>
      <w:r w:rsidR="005C1EFD" w:rsidRPr="00714401">
        <w:rPr>
          <w:rFonts w:ascii="Book Antiqua" w:hAnsi="Book Antiqua"/>
          <w:color w:val="auto"/>
          <w:lang w:val="en-US"/>
        </w:rPr>
        <w:t xml:space="preserve">% </w:t>
      </w:r>
      <w:r w:rsidR="002A7AC8" w:rsidRPr="00714401">
        <w:rPr>
          <w:rFonts w:ascii="Book Antiqua" w:hAnsi="Book Antiqua" w:hint="eastAsia"/>
          <w:color w:val="auto"/>
          <w:lang w:val="en-US" w:eastAsia="zh-CN"/>
        </w:rPr>
        <w:t xml:space="preserve">per </w:t>
      </w:r>
      <w:r w:rsidR="005C1EFD" w:rsidRPr="00714401">
        <w:rPr>
          <w:rFonts w:ascii="Book Antiqua" w:hAnsi="Book Antiqua"/>
          <w:color w:val="auto"/>
          <w:lang w:val="en-US"/>
        </w:rPr>
        <w:t>min</w:t>
      </w:r>
      <w:r w:rsidR="002A7AC8" w:rsidRPr="00714401">
        <w:rPr>
          <w:rFonts w:ascii="Book Antiqua" w:hAnsi="Book Antiqua"/>
          <w:color w:val="auto"/>
          <w:lang w:val="en-US" w:eastAsia="zh-CN"/>
        </w:rPr>
        <w:t>u</w:t>
      </w:r>
      <w:r w:rsidR="002A7AC8" w:rsidRPr="00714401">
        <w:rPr>
          <w:rFonts w:ascii="Book Antiqua" w:hAnsi="Book Antiqua" w:hint="eastAsia"/>
          <w:color w:val="auto"/>
          <w:lang w:val="en-US" w:eastAsia="zh-CN"/>
        </w:rPr>
        <w:t>t</w:t>
      </w:r>
      <w:r w:rsidR="002A7AC8" w:rsidRPr="00714401">
        <w:rPr>
          <w:rFonts w:ascii="Book Antiqua" w:hAnsi="Book Antiqua"/>
          <w:color w:val="auto"/>
          <w:lang w:val="en-US" w:eastAsia="zh-CN"/>
        </w:rPr>
        <w:t>e</w:t>
      </w:r>
      <w:r w:rsidR="005C1EFD" w:rsidRPr="00714401">
        <w:rPr>
          <w:rFonts w:ascii="Book Antiqua" w:hAnsi="Book Antiqua"/>
          <w:color w:val="auto"/>
          <w:lang w:val="en-US"/>
        </w:rPr>
        <w:t xml:space="preserve"> </w:t>
      </w:r>
      <w:r w:rsidR="004A6C1E" w:rsidRPr="00714401">
        <w:rPr>
          <w:rFonts w:ascii="Book Antiqua" w:hAnsi="Book Antiqua"/>
          <w:color w:val="auto"/>
          <w:lang w:val="en-US"/>
        </w:rPr>
        <w:t xml:space="preserve">during donor observation </w:t>
      </w:r>
      <w:r w:rsidR="00275D2A" w:rsidRPr="00714401">
        <w:rPr>
          <w:rFonts w:ascii="Book Antiqua" w:hAnsi="Book Antiqua"/>
          <w:color w:val="auto"/>
          <w:lang w:val="en-US"/>
        </w:rPr>
        <w:t xml:space="preserve">were </w:t>
      </w:r>
      <w:r w:rsidR="004B6CE2" w:rsidRPr="00714401">
        <w:rPr>
          <w:rFonts w:ascii="Book Antiqua" w:hAnsi="Book Antiqua"/>
          <w:color w:val="auto"/>
          <w:lang w:val="en-US"/>
        </w:rPr>
        <w:t xml:space="preserve">consistently </w:t>
      </w:r>
      <w:r w:rsidR="00275D2A" w:rsidRPr="00714401">
        <w:rPr>
          <w:rFonts w:ascii="Book Antiqua" w:hAnsi="Book Antiqua"/>
          <w:color w:val="auto"/>
          <w:lang w:val="en-US"/>
        </w:rPr>
        <w:t>ass</w:t>
      </w:r>
      <w:r w:rsidR="005C1EFD" w:rsidRPr="00714401">
        <w:rPr>
          <w:rFonts w:ascii="Book Antiqua" w:hAnsi="Book Antiqua"/>
          <w:color w:val="auto"/>
          <w:lang w:val="en-US"/>
        </w:rPr>
        <w:t xml:space="preserve">ociated with </w:t>
      </w:r>
      <w:r w:rsidR="002A7AC8" w:rsidRPr="00714401">
        <w:rPr>
          <w:rFonts w:ascii="Book Antiqua" w:hAnsi="Book Antiqua"/>
          <w:color w:val="auto"/>
          <w:lang w:val="en-US"/>
        </w:rPr>
        <w:t>a poor outcome of the graft</w:t>
      </w:r>
      <w:r w:rsidR="00D13521" w:rsidRPr="00714401">
        <w:rPr>
          <w:rFonts w:ascii="Book Antiqua" w:hAnsi="Book Antiqua"/>
          <w:color w:val="auto"/>
          <w:vertAlign w:val="superscript"/>
          <w:lang w:val="en-US"/>
        </w:rPr>
        <w:t>[6</w:t>
      </w:r>
      <w:r w:rsidR="00610290" w:rsidRPr="00714401">
        <w:rPr>
          <w:rFonts w:ascii="Book Antiqua" w:hAnsi="Book Antiqua"/>
          <w:color w:val="auto"/>
          <w:vertAlign w:val="superscript"/>
          <w:lang w:val="en-US"/>
        </w:rPr>
        <w:t>]</w:t>
      </w:r>
      <w:r w:rsidR="00747725" w:rsidRPr="00714401">
        <w:rPr>
          <w:rFonts w:ascii="Book Antiqua" w:hAnsi="Book Antiqua"/>
          <w:color w:val="auto"/>
          <w:lang w:val="en-US"/>
        </w:rPr>
        <w:t>.</w:t>
      </w:r>
      <w:r w:rsidR="005C1EFD" w:rsidRPr="00714401">
        <w:rPr>
          <w:rFonts w:ascii="Book Antiqua" w:hAnsi="Book Antiqua"/>
          <w:color w:val="auto"/>
          <w:lang w:val="en-US"/>
        </w:rPr>
        <w:t xml:space="preserve"> </w:t>
      </w:r>
    </w:p>
    <w:p w:rsidR="00A071F0" w:rsidRPr="00714401" w:rsidRDefault="009D7DCE" w:rsidP="002A7AC8">
      <w:pPr>
        <w:pStyle w:val="Default"/>
        <w:snapToGrid w:val="0"/>
        <w:spacing w:line="360" w:lineRule="auto"/>
        <w:ind w:firstLineChars="100" w:firstLine="240"/>
        <w:jc w:val="both"/>
        <w:rPr>
          <w:rFonts w:ascii="Book Antiqua" w:hAnsi="Book Antiqua" w:cs="Arial"/>
          <w:color w:val="auto"/>
          <w:lang w:val="en-US"/>
        </w:rPr>
      </w:pPr>
      <w:r w:rsidRPr="00714401">
        <w:rPr>
          <w:rFonts w:ascii="Book Antiqua" w:hAnsi="Book Antiqua"/>
          <w:color w:val="auto"/>
          <w:lang w:val="en-US"/>
        </w:rPr>
        <w:t xml:space="preserve">IGC kinetics </w:t>
      </w:r>
      <w:proofErr w:type="gramStart"/>
      <w:r w:rsidRPr="00714401">
        <w:rPr>
          <w:rFonts w:ascii="Book Antiqua" w:hAnsi="Book Antiqua"/>
          <w:color w:val="auto"/>
          <w:lang w:val="en-US"/>
        </w:rPr>
        <w:t>have</w:t>
      </w:r>
      <w:proofErr w:type="gramEnd"/>
      <w:r w:rsidRPr="00714401">
        <w:rPr>
          <w:rFonts w:ascii="Book Antiqua" w:hAnsi="Book Antiqua"/>
          <w:color w:val="auto"/>
          <w:lang w:val="en-US"/>
        </w:rPr>
        <w:t xml:space="preserve"> since long a place in the liver transplant </w:t>
      </w:r>
      <w:r w:rsidR="007045BF" w:rsidRPr="00714401">
        <w:rPr>
          <w:rFonts w:ascii="Book Antiqua" w:hAnsi="Book Antiqua"/>
          <w:color w:val="auto"/>
          <w:lang w:val="en-US"/>
        </w:rPr>
        <w:t>setting</w:t>
      </w:r>
      <w:r w:rsidR="00ED5B3E" w:rsidRPr="00714401">
        <w:rPr>
          <w:rFonts w:ascii="Book Antiqua" w:hAnsi="Book Antiqua"/>
          <w:color w:val="auto"/>
          <w:lang w:val="en-US"/>
        </w:rPr>
        <w:t>.</w:t>
      </w:r>
      <w:r w:rsidR="0076063F" w:rsidRPr="00714401">
        <w:rPr>
          <w:rFonts w:ascii="Book Antiqua" w:hAnsi="Book Antiqua"/>
          <w:color w:val="auto"/>
          <w:lang w:val="en-US"/>
        </w:rPr>
        <w:t xml:space="preserve"> </w:t>
      </w:r>
      <w:r w:rsidR="00ED5B3E" w:rsidRPr="00714401">
        <w:rPr>
          <w:rFonts w:ascii="Book Antiqua" w:hAnsi="Book Antiqua"/>
          <w:color w:val="auto"/>
          <w:lang w:val="en-US"/>
        </w:rPr>
        <w:t>ICG kinetics were recently incorporated in the MELD score for a fine tuning of survival prediction in</w:t>
      </w:r>
      <w:r w:rsidR="0076063F" w:rsidRPr="00714401">
        <w:rPr>
          <w:rFonts w:ascii="Book Antiqua" w:hAnsi="Book Antiqua"/>
          <w:color w:val="auto"/>
          <w:lang w:val="en-US"/>
        </w:rPr>
        <w:t xml:space="preserve"> </w:t>
      </w:r>
      <w:r w:rsidR="00ED5B3E" w:rsidRPr="00714401">
        <w:rPr>
          <w:rFonts w:ascii="Book Antiqua" w:hAnsi="Book Antiqua"/>
          <w:color w:val="auto"/>
          <w:lang w:val="en-US"/>
        </w:rPr>
        <w:t>transplant</w:t>
      </w:r>
      <w:r w:rsidR="0076063F" w:rsidRPr="00714401">
        <w:rPr>
          <w:rFonts w:ascii="Book Antiqua" w:hAnsi="Book Antiqua"/>
          <w:color w:val="auto"/>
          <w:lang w:val="en-US"/>
        </w:rPr>
        <w:t xml:space="preserve"> </w:t>
      </w:r>
      <w:r w:rsidR="00ED5B3E" w:rsidRPr="00714401">
        <w:rPr>
          <w:rFonts w:ascii="Book Antiqua" w:hAnsi="Book Antiqua"/>
          <w:color w:val="auto"/>
          <w:lang w:val="en-US"/>
        </w:rPr>
        <w:t xml:space="preserve">candidates: </w:t>
      </w:r>
      <w:r w:rsidR="002A7AC8" w:rsidRPr="00714401">
        <w:rPr>
          <w:rFonts w:ascii="Book Antiqua" w:hAnsi="Book Antiqua"/>
          <w:color w:val="auto"/>
          <w:lang w:val="en-US"/>
        </w:rPr>
        <w:t>A</w:t>
      </w:r>
      <w:r w:rsidR="00D35997" w:rsidRPr="00714401">
        <w:rPr>
          <w:rFonts w:ascii="Book Antiqua" w:hAnsi="Book Antiqua"/>
          <w:color w:val="auto"/>
          <w:lang w:val="en-US"/>
        </w:rPr>
        <w:t>s</w:t>
      </w:r>
      <w:r w:rsidR="0076063F" w:rsidRPr="00714401">
        <w:rPr>
          <w:rFonts w:ascii="Book Antiqua" w:hAnsi="Book Antiqua"/>
          <w:color w:val="auto"/>
          <w:lang w:val="en-US"/>
        </w:rPr>
        <w:t xml:space="preserve"> </w:t>
      </w:r>
      <w:r w:rsidR="00D35997" w:rsidRPr="00714401">
        <w:rPr>
          <w:rFonts w:ascii="Book Antiqua" w:hAnsi="Book Antiqua"/>
          <w:color w:val="auto"/>
          <w:lang w:val="en-US"/>
        </w:rPr>
        <w:t xml:space="preserve">a matter of fact, </w:t>
      </w:r>
      <w:r w:rsidR="00ED5B3E" w:rsidRPr="00714401">
        <w:rPr>
          <w:rFonts w:ascii="Book Antiqua" w:hAnsi="Book Antiqua"/>
          <w:color w:val="auto"/>
          <w:lang w:val="en-US"/>
        </w:rPr>
        <w:t xml:space="preserve">in </w:t>
      </w:r>
      <w:r w:rsidR="00D35997" w:rsidRPr="00714401">
        <w:rPr>
          <w:rFonts w:ascii="Book Antiqua" w:hAnsi="Book Antiqua"/>
          <w:color w:val="auto"/>
          <w:lang w:val="en-US"/>
        </w:rPr>
        <w:t xml:space="preserve">candidates whose </w:t>
      </w:r>
      <w:r w:rsidR="00ED5B3E" w:rsidRPr="00714401">
        <w:rPr>
          <w:rFonts w:ascii="Book Antiqua" w:hAnsi="Book Antiqua"/>
          <w:color w:val="auto"/>
          <w:lang w:val="en-US"/>
        </w:rPr>
        <w:t xml:space="preserve">MELD score </w:t>
      </w:r>
      <w:r w:rsidR="00D35997" w:rsidRPr="00714401">
        <w:rPr>
          <w:rFonts w:ascii="Book Antiqua" w:hAnsi="Book Antiqua"/>
          <w:color w:val="auto"/>
          <w:lang w:val="en-US"/>
        </w:rPr>
        <w:t>ranged f</w:t>
      </w:r>
      <w:r w:rsidR="00ED5B3E" w:rsidRPr="00714401">
        <w:rPr>
          <w:rFonts w:ascii="Book Antiqua" w:hAnsi="Book Antiqua"/>
          <w:color w:val="auto"/>
          <w:lang w:val="en-US"/>
        </w:rPr>
        <w:t>rom 10 to 30,</w:t>
      </w:r>
      <w:r w:rsidR="001A646C" w:rsidRPr="00714401">
        <w:rPr>
          <w:rFonts w:ascii="Book Antiqua" w:hAnsi="Book Antiqua"/>
          <w:color w:val="auto"/>
          <w:lang w:val="en-US"/>
        </w:rPr>
        <w:t xml:space="preserve"> </w:t>
      </w:r>
      <w:r w:rsidR="00ED5B3E" w:rsidRPr="00714401">
        <w:rPr>
          <w:rFonts w:ascii="Book Antiqua" w:hAnsi="Book Antiqua"/>
          <w:color w:val="auto"/>
          <w:lang w:val="en-US"/>
        </w:rPr>
        <w:t>the</w:t>
      </w:r>
      <w:r w:rsidR="0076063F" w:rsidRPr="00714401">
        <w:rPr>
          <w:rFonts w:ascii="Book Antiqua" w:hAnsi="Book Antiqua"/>
          <w:color w:val="auto"/>
          <w:lang w:val="en-US"/>
        </w:rPr>
        <w:t xml:space="preserve"> </w:t>
      </w:r>
      <w:r w:rsidR="00ED5B3E" w:rsidRPr="00714401">
        <w:rPr>
          <w:rFonts w:ascii="Book Antiqua" w:hAnsi="Book Antiqua"/>
          <w:color w:val="auto"/>
          <w:lang w:val="en-US"/>
        </w:rPr>
        <w:t xml:space="preserve">ICG-MELD score </w:t>
      </w:r>
      <w:r w:rsidR="00747725" w:rsidRPr="00714401">
        <w:rPr>
          <w:rFonts w:ascii="Book Antiqua" w:hAnsi="Book Antiqua"/>
          <w:color w:val="auto"/>
          <w:lang w:val="en-US"/>
        </w:rPr>
        <w:t xml:space="preserve">further </w:t>
      </w:r>
      <w:r w:rsidR="00ED5B3E" w:rsidRPr="00714401">
        <w:rPr>
          <w:rFonts w:ascii="Book Antiqua" w:hAnsi="Book Antiqua"/>
          <w:color w:val="auto"/>
          <w:lang w:val="en-US"/>
        </w:rPr>
        <w:t>impr</w:t>
      </w:r>
      <w:r w:rsidR="002A7AC8" w:rsidRPr="00714401">
        <w:rPr>
          <w:rFonts w:ascii="Book Antiqua" w:hAnsi="Book Antiqua"/>
          <w:color w:val="auto"/>
          <w:lang w:val="en-US"/>
        </w:rPr>
        <w:t>oved the prediction performance</w:t>
      </w:r>
      <w:r w:rsidR="00ED5B3E" w:rsidRPr="00714401">
        <w:rPr>
          <w:rFonts w:ascii="Book Antiqua" w:hAnsi="Book Antiqua"/>
          <w:color w:val="auto"/>
          <w:vertAlign w:val="superscript"/>
          <w:lang w:val="en-US" w:eastAsia="zh-CN"/>
        </w:rPr>
        <w:t>[</w:t>
      </w:r>
      <w:r w:rsidR="00ED5B3E" w:rsidRPr="00714401">
        <w:rPr>
          <w:rFonts w:ascii="Book Antiqua" w:hAnsi="Book Antiqua"/>
          <w:color w:val="auto"/>
          <w:vertAlign w:val="superscript"/>
          <w:lang w:val="en-US"/>
        </w:rPr>
        <w:t>50</w:t>
      </w:r>
      <w:r w:rsidR="00ED5B3E" w:rsidRPr="00714401">
        <w:rPr>
          <w:rFonts w:ascii="Book Antiqua" w:hAnsi="Book Antiqua"/>
          <w:color w:val="auto"/>
          <w:vertAlign w:val="superscript"/>
          <w:lang w:val="en-US" w:eastAsia="zh-CN"/>
        </w:rPr>
        <w:t>]</w:t>
      </w:r>
      <w:r w:rsidR="00ED5B3E" w:rsidRPr="00714401">
        <w:rPr>
          <w:rFonts w:ascii="Book Antiqua" w:hAnsi="Book Antiqua"/>
          <w:color w:val="auto"/>
          <w:lang w:val="en-US"/>
        </w:rPr>
        <w:t>. ICG kinetics into the MELD score add an estimation of liver blood ﬂow, making</w:t>
      </w:r>
      <w:r w:rsidR="0076063F" w:rsidRPr="00714401">
        <w:rPr>
          <w:rFonts w:ascii="Book Antiqua" w:hAnsi="Book Antiqua"/>
          <w:color w:val="auto"/>
          <w:lang w:val="en-US"/>
        </w:rPr>
        <w:t xml:space="preserve"> </w:t>
      </w:r>
      <w:r w:rsidR="00ED5B3E" w:rsidRPr="00714401">
        <w:rPr>
          <w:rFonts w:ascii="Book Antiqua" w:hAnsi="Book Antiqua"/>
          <w:color w:val="auto"/>
          <w:lang w:val="en-US"/>
        </w:rPr>
        <w:t xml:space="preserve">the new score more accurate than the “simple” MELD and Na MELD in predicting survival in moderate to severe cirrhosis. The role played by hyperbilirubinemia, if present, has of course to be considered. Much more extensively studied is the use of ICG kinetics </w:t>
      </w:r>
      <w:r w:rsidR="007045BF" w:rsidRPr="00714401">
        <w:rPr>
          <w:rFonts w:ascii="Book Antiqua" w:hAnsi="Book Antiqua"/>
          <w:color w:val="auto"/>
          <w:lang w:val="en-US"/>
        </w:rPr>
        <w:t xml:space="preserve">to predict early perioperative complications and graft and patient survival after </w:t>
      </w:r>
      <w:r w:rsidR="00275D2A" w:rsidRPr="00714401">
        <w:rPr>
          <w:rFonts w:ascii="Book Antiqua" w:hAnsi="Book Antiqua"/>
          <w:color w:val="auto"/>
          <w:lang w:val="en-US"/>
        </w:rPr>
        <w:t>OLT</w:t>
      </w:r>
      <w:r w:rsidR="007045BF" w:rsidRPr="00714401">
        <w:rPr>
          <w:rFonts w:ascii="Book Antiqua" w:hAnsi="Book Antiqua"/>
          <w:color w:val="auto"/>
          <w:lang w:val="en-US"/>
        </w:rPr>
        <w:t>.</w:t>
      </w:r>
      <w:r w:rsidR="0076063F" w:rsidRPr="00714401">
        <w:rPr>
          <w:rFonts w:ascii="Book Antiqua" w:hAnsi="Book Antiqua"/>
          <w:color w:val="auto"/>
          <w:lang w:val="en-US"/>
        </w:rPr>
        <w:t xml:space="preserve"> </w:t>
      </w:r>
      <w:r w:rsidR="00361ED7" w:rsidRPr="00714401">
        <w:rPr>
          <w:rFonts w:ascii="Book Antiqua" w:hAnsi="Book Antiqua"/>
          <w:color w:val="auto"/>
          <w:lang w:val="en-US"/>
        </w:rPr>
        <w:t xml:space="preserve">Among the most feared complications </w:t>
      </w:r>
      <w:r w:rsidR="00747725" w:rsidRPr="00714401">
        <w:rPr>
          <w:rFonts w:ascii="Book Antiqua" w:hAnsi="Book Antiqua"/>
          <w:color w:val="auto"/>
          <w:lang w:val="en-US"/>
        </w:rPr>
        <w:t xml:space="preserve">in the </w:t>
      </w:r>
      <w:r w:rsidR="00361ED7" w:rsidRPr="00714401">
        <w:rPr>
          <w:rFonts w:ascii="Book Antiqua" w:hAnsi="Book Antiqua"/>
          <w:color w:val="auto"/>
          <w:lang w:val="en-US"/>
        </w:rPr>
        <w:t xml:space="preserve">early </w:t>
      </w:r>
      <w:r w:rsidR="00747725" w:rsidRPr="00714401">
        <w:rPr>
          <w:rFonts w:ascii="Book Antiqua" w:hAnsi="Book Antiqua"/>
          <w:color w:val="auto"/>
          <w:lang w:val="en-US"/>
        </w:rPr>
        <w:t xml:space="preserve">postoperative period </w:t>
      </w:r>
      <w:r w:rsidR="00361ED7" w:rsidRPr="00714401">
        <w:rPr>
          <w:rFonts w:ascii="Book Antiqua" w:hAnsi="Book Antiqua"/>
          <w:color w:val="auto"/>
          <w:lang w:val="en-US"/>
        </w:rPr>
        <w:t xml:space="preserve">are </w:t>
      </w:r>
      <w:r w:rsidR="00D71B25" w:rsidRPr="00714401">
        <w:rPr>
          <w:rFonts w:ascii="Book Antiqua" w:hAnsi="Book Antiqua"/>
          <w:color w:val="auto"/>
          <w:lang w:val="en-US"/>
        </w:rPr>
        <w:t xml:space="preserve">Hepatic </w:t>
      </w:r>
      <w:r w:rsidR="004A6C1E" w:rsidRPr="00714401">
        <w:rPr>
          <w:rFonts w:ascii="Book Antiqua" w:hAnsi="Book Antiqua"/>
          <w:color w:val="auto"/>
          <w:lang w:val="en-US"/>
        </w:rPr>
        <w:t>Artery T</w:t>
      </w:r>
      <w:r w:rsidR="00D71B25" w:rsidRPr="00714401">
        <w:rPr>
          <w:rFonts w:ascii="Book Antiqua" w:hAnsi="Book Antiqua"/>
          <w:color w:val="auto"/>
          <w:lang w:val="en-US"/>
        </w:rPr>
        <w:t>hrombosis (HAT</w:t>
      </w:r>
      <w:r w:rsidR="001A646C" w:rsidRPr="00714401">
        <w:rPr>
          <w:rFonts w:ascii="Book Antiqua" w:hAnsi="Book Antiqua"/>
          <w:color w:val="auto"/>
          <w:lang w:val="en-US"/>
        </w:rPr>
        <w:t xml:space="preserve">) and </w:t>
      </w:r>
      <w:r w:rsidR="004A6C1E" w:rsidRPr="00714401">
        <w:rPr>
          <w:rFonts w:ascii="Book Antiqua" w:hAnsi="Book Antiqua"/>
          <w:color w:val="auto"/>
          <w:lang w:val="en-US"/>
        </w:rPr>
        <w:t>PGNF, conditions</w:t>
      </w:r>
      <w:r w:rsidR="0076063F" w:rsidRPr="00714401">
        <w:rPr>
          <w:rFonts w:ascii="Book Antiqua" w:hAnsi="Book Antiqua"/>
          <w:color w:val="auto"/>
          <w:lang w:val="en-US"/>
        </w:rPr>
        <w:t xml:space="preserve"> </w:t>
      </w:r>
      <w:r w:rsidR="004A6C1E" w:rsidRPr="00714401">
        <w:rPr>
          <w:rFonts w:ascii="Book Antiqua" w:hAnsi="Book Antiqua"/>
          <w:color w:val="auto"/>
          <w:lang w:val="en-US"/>
        </w:rPr>
        <w:t>which warrant e</w:t>
      </w:r>
      <w:r w:rsidR="00D71B25" w:rsidRPr="00714401">
        <w:rPr>
          <w:rFonts w:ascii="Book Antiqua" w:hAnsi="Book Antiqua"/>
          <w:color w:val="auto"/>
          <w:lang w:val="en-US"/>
        </w:rPr>
        <w:t>a</w:t>
      </w:r>
      <w:r w:rsidR="00275D2A" w:rsidRPr="00714401">
        <w:rPr>
          <w:rFonts w:ascii="Book Antiqua" w:hAnsi="Book Antiqua"/>
          <w:color w:val="auto"/>
          <w:lang w:val="en-US"/>
        </w:rPr>
        <w:t xml:space="preserve">rly </w:t>
      </w:r>
      <w:r w:rsidR="00AF5881" w:rsidRPr="00714401">
        <w:rPr>
          <w:rFonts w:ascii="Book Antiqua" w:hAnsi="Book Antiqua"/>
          <w:color w:val="auto"/>
          <w:lang w:val="en-US"/>
        </w:rPr>
        <w:t xml:space="preserve">diagnosis and </w:t>
      </w:r>
      <w:r w:rsidR="004A6C1E" w:rsidRPr="00714401">
        <w:rPr>
          <w:rFonts w:ascii="Book Antiqua" w:hAnsi="Book Antiqua"/>
          <w:color w:val="auto"/>
          <w:lang w:val="en-US"/>
        </w:rPr>
        <w:t>a timely and appropriat</w:t>
      </w:r>
      <w:r w:rsidR="00275D2A" w:rsidRPr="00714401">
        <w:rPr>
          <w:rFonts w:ascii="Book Antiqua" w:hAnsi="Book Antiqua"/>
          <w:color w:val="auto"/>
          <w:lang w:val="en-US"/>
        </w:rPr>
        <w:t xml:space="preserve">e </w:t>
      </w:r>
      <w:r w:rsidR="00D66441" w:rsidRPr="00714401">
        <w:rPr>
          <w:rFonts w:ascii="Book Antiqua" w:hAnsi="Book Antiqua"/>
          <w:color w:val="auto"/>
          <w:lang w:val="en-US"/>
        </w:rPr>
        <w:t>treatment:</w:t>
      </w:r>
      <w:r w:rsidR="00566D08" w:rsidRPr="00714401">
        <w:rPr>
          <w:rFonts w:ascii="Book Antiqua" w:hAnsi="Book Antiqua"/>
          <w:color w:val="auto"/>
          <w:lang w:val="en-US"/>
        </w:rPr>
        <w:t xml:space="preserve"> urgent </w:t>
      </w:r>
      <w:proofErr w:type="spellStart"/>
      <w:r w:rsidR="00566D08" w:rsidRPr="00714401">
        <w:rPr>
          <w:rFonts w:ascii="Book Antiqua" w:hAnsi="Book Antiqua"/>
          <w:color w:val="auto"/>
          <w:lang w:val="en-US"/>
        </w:rPr>
        <w:t>retransplantation</w:t>
      </w:r>
      <w:proofErr w:type="spellEnd"/>
      <w:r w:rsidR="00361ED7" w:rsidRPr="00714401">
        <w:rPr>
          <w:rFonts w:ascii="Book Antiqua" w:hAnsi="Book Antiqua"/>
          <w:color w:val="auto"/>
          <w:lang w:val="en-US"/>
        </w:rPr>
        <w:t xml:space="preserve"> is mandatory in case of PGNF and very often</w:t>
      </w:r>
      <w:r w:rsidR="009A6FBC" w:rsidRPr="00714401">
        <w:rPr>
          <w:rFonts w:ascii="Book Antiqua" w:hAnsi="Book Antiqua"/>
          <w:color w:val="auto"/>
          <w:lang w:val="en-US"/>
        </w:rPr>
        <w:t xml:space="preserve"> is </w:t>
      </w:r>
      <w:r w:rsidR="00C200E6" w:rsidRPr="00714401">
        <w:rPr>
          <w:rFonts w:ascii="Book Antiqua" w:hAnsi="Book Antiqua"/>
          <w:color w:val="auto"/>
          <w:lang w:val="en-US"/>
        </w:rPr>
        <w:t xml:space="preserve">the only solution </w:t>
      </w:r>
      <w:r w:rsidR="00275D2A" w:rsidRPr="00714401">
        <w:rPr>
          <w:rFonts w:ascii="Book Antiqua" w:hAnsi="Book Antiqua"/>
          <w:color w:val="auto"/>
          <w:lang w:val="en-US"/>
        </w:rPr>
        <w:t>to avoid fatalities</w:t>
      </w:r>
      <w:r w:rsidR="00361ED7" w:rsidRPr="00714401">
        <w:rPr>
          <w:rFonts w:ascii="Book Antiqua" w:hAnsi="Book Antiqua"/>
          <w:color w:val="auto"/>
          <w:lang w:val="en-US"/>
        </w:rPr>
        <w:t xml:space="preserve"> in cases of HAT.</w:t>
      </w:r>
      <w:r w:rsidR="00E10869" w:rsidRPr="00714401">
        <w:rPr>
          <w:rFonts w:ascii="Book Antiqua" w:hAnsi="Book Antiqua"/>
          <w:color w:val="auto"/>
          <w:lang w:val="en-US"/>
        </w:rPr>
        <w:t xml:space="preserve"> </w:t>
      </w:r>
      <w:r w:rsidR="00275D2A" w:rsidRPr="00714401">
        <w:rPr>
          <w:rFonts w:ascii="Book Antiqua" w:hAnsi="Book Antiqua"/>
          <w:color w:val="auto"/>
          <w:lang w:val="en-US"/>
        </w:rPr>
        <w:t xml:space="preserve">In </w:t>
      </w:r>
      <w:r w:rsidR="00D71B25" w:rsidRPr="00714401">
        <w:rPr>
          <w:rFonts w:ascii="Book Antiqua" w:hAnsi="Book Antiqua"/>
          <w:color w:val="auto"/>
          <w:lang w:val="en-US"/>
        </w:rPr>
        <w:t xml:space="preserve">the </w:t>
      </w:r>
      <w:r w:rsidR="003416B5" w:rsidRPr="00714401">
        <w:rPr>
          <w:rFonts w:ascii="Book Antiqua" w:hAnsi="Book Antiqua"/>
          <w:color w:val="auto"/>
          <w:lang w:val="en-US"/>
        </w:rPr>
        <w:t xml:space="preserve">mid </w:t>
      </w:r>
      <w:r w:rsidR="00275D2A" w:rsidRPr="00714401">
        <w:rPr>
          <w:rFonts w:ascii="Book Antiqua" w:hAnsi="Book Antiqua"/>
          <w:color w:val="auto"/>
          <w:lang w:val="en-US"/>
        </w:rPr>
        <w:t xml:space="preserve">nineties, </w:t>
      </w:r>
      <w:r w:rsidR="002A7AC8" w:rsidRPr="00714401">
        <w:rPr>
          <w:rFonts w:ascii="Book Antiqua" w:hAnsi="Book Antiqua"/>
          <w:color w:val="auto"/>
          <w:lang w:val="en-US"/>
        </w:rPr>
        <w:t xml:space="preserve">a number of relevant </w:t>
      </w:r>
      <w:proofErr w:type="gramStart"/>
      <w:r w:rsidR="002A7AC8" w:rsidRPr="00714401">
        <w:rPr>
          <w:rFonts w:ascii="Book Antiqua" w:hAnsi="Book Antiqua"/>
          <w:color w:val="auto"/>
          <w:lang w:val="en-US"/>
        </w:rPr>
        <w:t>studies</w:t>
      </w:r>
      <w:r w:rsidR="00610290" w:rsidRPr="00714401">
        <w:rPr>
          <w:rFonts w:ascii="Book Antiqua" w:hAnsi="Book Antiqua"/>
          <w:color w:val="auto"/>
          <w:vertAlign w:val="superscript"/>
          <w:lang w:val="en-US"/>
        </w:rPr>
        <w:t>[</w:t>
      </w:r>
      <w:proofErr w:type="gramEnd"/>
      <w:r w:rsidR="001C24A1" w:rsidRPr="00714401">
        <w:rPr>
          <w:rFonts w:ascii="Book Antiqua" w:hAnsi="Book Antiqua"/>
          <w:color w:val="auto"/>
          <w:vertAlign w:val="superscript"/>
          <w:lang w:val="en-US"/>
        </w:rPr>
        <w:t>5</w:t>
      </w:r>
      <w:r w:rsidR="00D13521" w:rsidRPr="00714401">
        <w:rPr>
          <w:rFonts w:ascii="Book Antiqua" w:hAnsi="Book Antiqua"/>
          <w:color w:val="auto"/>
          <w:vertAlign w:val="superscript"/>
          <w:lang w:val="en-US"/>
        </w:rPr>
        <w:t>1</w:t>
      </w:r>
      <w:r w:rsidR="002A7AC8" w:rsidRPr="00714401">
        <w:rPr>
          <w:rFonts w:ascii="Book Antiqua" w:hAnsi="Book Antiqua" w:hint="eastAsia"/>
          <w:color w:val="auto"/>
          <w:vertAlign w:val="superscript"/>
          <w:lang w:val="en-US" w:eastAsia="zh-CN"/>
        </w:rPr>
        <w:t>-</w:t>
      </w:r>
      <w:r w:rsidR="004A6C1E" w:rsidRPr="00714401">
        <w:rPr>
          <w:rFonts w:ascii="Book Antiqua" w:hAnsi="Book Antiqua"/>
          <w:color w:val="auto"/>
          <w:vertAlign w:val="superscript"/>
          <w:lang w:val="en-US"/>
        </w:rPr>
        <w:t>53</w:t>
      </w:r>
      <w:r w:rsidR="00610290" w:rsidRPr="00714401">
        <w:rPr>
          <w:rFonts w:ascii="Book Antiqua" w:hAnsi="Book Antiqua"/>
          <w:color w:val="auto"/>
          <w:vertAlign w:val="superscript"/>
          <w:lang w:val="en-US"/>
        </w:rPr>
        <w:t>]</w:t>
      </w:r>
      <w:r w:rsidR="001C24A1" w:rsidRPr="00714401">
        <w:rPr>
          <w:rFonts w:ascii="Book Antiqua" w:hAnsi="Book Antiqua"/>
          <w:color w:val="auto"/>
          <w:lang w:val="en-US"/>
        </w:rPr>
        <w:t>,</w:t>
      </w:r>
      <w:r w:rsidR="00E10869" w:rsidRPr="00714401">
        <w:rPr>
          <w:rFonts w:ascii="Book Antiqua" w:hAnsi="Book Antiqua"/>
          <w:color w:val="auto"/>
          <w:lang w:val="en-US"/>
        </w:rPr>
        <w:t xml:space="preserve"> </w:t>
      </w:r>
      <w:r w:rsidR="00C75167" w:rsidRPr="00714401">
        <w:rPr>
          <w:rFonts w:ascii="Book Antiqua" w:hAnsi="Book Antiqua"/>
          <w:color w:val="auto"/>
          <w:lang w:val="en-US"/>
        </w:rPr>
        <w:t xml:space="preserve">strongly </w:t>
      </w:r>
      <w:r w:rsidR="004A6C1E" w:rsidRPr="00714401">
        <w:rPr>
          <w:rFonts w:ascii="Book Antiqua" w:hAnsi="Book Antiqua"/>
          <w:color w:val="auto"/>
          <w:lang w:val="en-US"/>
        </w:rPr>
        <w:t>suppor</w:t>
      </w:r>
      <w:r w:rsidR="003416B5" w:rsidRPr="00714401">
        <w:rPr>
          <w:rFonts w:ascii="Book Antiqua" w:hAnsi="Book Antiqua"/>
          <w:color w:val="auto"/>
          <w:lang w:val="en-US"/>
        </w:rPr>
        <w:t xml:space="preserve">ted the </w:t>
      </w:r>
      <w:r w:rsidR="00E10869" w:rsidRPr="00714401">
        <w:rPr>
          <w:rFonts w:ascii="Book Antiqua" w:hAnsi="Book Antiqua"/>
          <w:color w:val="auto"/>
          <w:lang w:val="en-US"/>
        </w:rPr>
        <w:t xml:space="preserve">use of </w:t>
      </w:r>
      <w:r w:rsidR="00683A6E" w:rsidRPr="00714401">
        <w:rPr>
          <w:rFonts w:ascii="Book Antiqua" w:hAnsi="Book Antiqua"/>
          <w:color w:val="auto"/>
          <w:lang w:val="en-US"/>
        </w:rPr>
        <w:t>ICG</w:t>
      </w:r>
      <w:r w:rsidR="00E9659C" w:rsidRPr="00714401">
        <w:rPr>
          <w:rFonts w:ascii="Book Antiqua" w:hAnsi="Book Antiqua"/>
          <w:color w:val="auto"/>
          <w:lang w:val="en-US"/>
        </w:rPr>
        <w:t xml:space="preserve"> clearance parameters </w:t>
      </w:r>
      <w:r w:rsidR="00C75167" w:rsidRPr="00714401">
        <w:rPr>
          <w:rFonts w:ascii="Book Antiqua" w:hAnsi="Book Antiqua"/>
          <w:color w:val="auto"/>
          <w:lang w:val="en-US"/>
        </w:rPr>
        <w:t xml:space="preserve">for an early assessment of </w:t>
      </w:r>
      <w:r w:rsidR="00275D2A" w:rsidRPr="00714401">
        <w:rPr>
          <w:rFonts w:ascii="Book Antiqua" w:hAnsi="Book Antiqua"/>
          <w:color w:val="auto"/>
          <w:lang w:val="en-US"/>
        </w:rPr>
        <w:t>graft</w:t>
      </w:r>
      <w:r w:rsidR="00E10869" w:rsidRPr="00714401">
        <w:rPr>
          <w:rFonts w:ascii="Book Antiqua" w:hAnsi="Book Antiqua"/>
          <w:color w:val="auto"/>
          <w:lang w:val="en-US"/>
        </w:rPr>
        <w:t xml:space="preserve"> function</w:t>
      </w:r>
      <w:r w:rsidR="009A6FBC" w:rsidRPr="00714401">
        <w:rPr>
          <w:rFonts w:ascii="Book Antiqua" w:hAnsi="Book Antiqua"/>
          <w:color w:val="auto"/>
          <w:lang w:val="en-US"/>
        </w:rPr>
        <w:t xml:space="preserve"> and </w:t>
      </w:r>
      <w:r w:rsidR="004A6C1E" w:rsidRPr="00714401">
        <w:rPr>
          <w:rFonts w:ascii="Book Antiqua" w:hAnsi="Book Antiqua"/>
          <w:color w:val="auto"/>
          <w:lang w:val="en-US"/>
        </w:rPr>
        <w:t xml:space="preserve">to predict </w:t>
      </w:r>
      <w:r w:rsidR="00AE49E3" w:rsidRPr="00714401">
        <w:rPr>
          <w:rFonts w:ascii="Book Antiqua" w:hAnsi="Book Antiqua"/>
          <w:color w:val="auto"/>
          <w:lang w:val="en-US"/>
        </w:rPr>
        <w:t xml:space="preserve">patient </w:t>
      </w:r>
      <w:r w:rsidR="007448EC" w:rsidRPr="00714401">
        <w:rPr>
          <w:rFonts w:ascii="Book Antiqua" w:hAnsi="Book Antiqua"/>
          <w:color w:val="auto"/>
          <w:lang w:val="en-US"/>
        </w:rPr>
        <w:t xml:space="preserve">and graft </w:t>
      </w:r>
      <w:r w:rsidR="007A398B" w:rsidRPr="00714401">
        <w:rPr>
          <w:rFonts w:ascii="Book Antiqua" w:hAnsi="Book Antiqua"/>
          <w:color w:val="auto"/>
          <w:lang w:val="en-US"/>
        </w:rPr>
        <w:t>survival</w:t>
      </w:r>
      <w:r w:rsidR="00E10869" w:rsidRPr="00714401">
        <w:rPr>
          <w:rFonts w:ascii="Book Antiqua" w:hAnsi="Book Antiqua"/>
          <w:color w:val="auto"/>
          <w:lang w:val="en-US"/>
        </w:rPr>
        <w:t>.</w:t>
      </w:r>
      <w:r w:rsidR="0076063F" w:rsidRPr="00714401">
        <w:rPr>
          <w:rFonts w:ascii="Book Antiqua" w:hAnsi="Book Antiqua"/>
          <w:color w:val="auto"/>
          <w:lang w:val="en-US"/>
        </w:rPr>
        <w:t xml:space="preserve"> </w:t>
      </w:r>
      <w:proofErr w:type="spellStart"/>
      <w:r w:rsidR="002A7AC8" w:rsidRPr="00714401">
        <w:rPr>
          <w:rFonts w:ascii="Book Antiqua" w:hAnsi="Book Antiqua"/>
          <w:color w:val="auto"/>
          <w:lang w:val="en-US"/>
        </w:rPr>
        <w:t>Jalan</w:t>
      </w:r>
      <w:proofErr w:type="spellEnd"/>
      <w:r w:rsidR="002A7AC8" w:rsidRPr="00714401">
        <w:rPr>
          <w:rFonts w:ascii="Book Antiqua" w:hAnsi="Book Antiqua"/>
          <w:i/>
          <w:color w:val="auto"/>
          <w:lang w:val="en-US"/>
        </w:rPr>
        <w:t xml:space="preserve"> et al</w:t>
      </w:r>
      <w:r w:rsidR="00163CB4" w:rsidRPr="00714401">
        <w:rPr>
          <w:rFonts w:ascii="Book Antiqua" w:hAnsi="Book Antiqua"/>
          <w:color w:val="auto"/>
          <w:vertAlign w:val="superscript"/>
          <w:lang w:val="en-US"/>
        </w:rPr>
        <w:t>[51]</w:t>
      </w:r>
      <w:r w:rsidR="003416B5" w:rsidRPr="00714401">
        <w:rPr>
          <w:rFonts w:ascii="Book Antiqua" w:hAnsi="Book Antiqua"/>
          <w:color w:val="auto"/>
          <w:lang w:val="en-US"/>
        </w:rPr>
        <w:t xml:space="preserve">, using ICG clearance, </w:t>
      </w:r>
      <w:r w:rsidR="009A6FBC" w:rsidRPr="00714401">
        <w:rPr>
          <w:rFonts w:ascii="Book Antiqua" w:hAnsi="Book Antiqua"/>
          <w:color w:val="auto"/>
          <w:lang w:val="en-US"/>
        </w:rPr>
        <w:t xml:space="preserve">correctly predicted </w:t>
      </w:r>
      <w:r w:rsidR="00756D77" w:rsidRPr="00714401">
        <w:rPr>
          <w:rFonts w:ascii="Book Antiqua" w:hAnsi="Book Antiqua"/>
          <w:color w:val="auto"/>
          <w:lang w:val="en-US"/>
        </w:rPr>
        <w:t xml:space="preserve">both the </w:t>
      </w:r>
      <w:r w:rsidR="003416B5" w:rsidRPr="00714401">
        <w:rPr>
          <w:rFonts w:ascii="Book Antiqua" w:hAnsi="Book Antiqua"/>
          <w:color w:val="auto"/>
          <w:lang w:val="en-US"/>
        </w:rPr>
        <w:t xml:space="preserve">immediate </w:t>
      </w:r>
      <w:r w:rsidR="00756D77" w:rsidRPr="00714401">
        <w:rPr>
          <w:rFonts w:ascii="Book Antiqua" w:hAnsi="Book Antiqua"/>
          <w:color w:val="auto"/>
          <w:lang w:val="en-US"/>
        </w:rPr>
        <w:t xml:space="preserve">functional recovery of the new liver and the good graft </w:t>
      </w:r>
      <w:r w:rsidR="003416B5" w:rsidRPr="00714401">
        <w:rPr>
          <w:rFonts w:ascii="Book Antiqua" w:hAnsi="Book Antiqua"/>
          <w:color w:val="auto"/>
          <w:lang w:val="en-US"/>
        </w:rPr>
        <w:t>function three months after OLT</w:t>
      </w:r>
      <w:r w:rsidR="0076063F" w:rsidRPr="00714401">
        <w:rPr>
          <w:rFonts w:ascii="Book Antiqua" w:hAnsi="Book Antiqua"/>
          <w:color w:val="auto"/>
          <w:lang w:val="en-US"/>
        </w:rPr>
        <w:t xml:space="preserve"> </w:t>
      </w:r>
      <w:r w:rsidR="003416B5" w:rsidRPr="00714401">
        <w:rPr>
          <w:rFonts w:ascii="Book Antiqua" w:hAnsi="Book Antiqua"/>
          <w:color w:val="auto"/>
          <w:lang w:val="en-US"/>
        </w:rPr>
        <w:t xml:space="preserve">when </w:t>
      </w:r>
      <w:proofErr w:type="spellStart"/>
      <w:r w:rsidR="00163CB4" w:rsidRPr="00714401">
        <w:rPr>
          <w:rFonts w:ascii="Book Antiqua" w:hAnsi="Book Antiqua"/>
          <w:color w:val="auto"/>
          <w:lang w:val="en-US"/>
        </w:rPr>
        <w:t>ICG</w:t>
      </w:r>
      <w:r w:rsidR="00163CB4" w:rsidRPr="00714401">
        <w:rPr>
          <w:rFonts w:ascii="Book Antiqua" w:hAnsi="Book Antiqua"/>
          <w:color w:val="auto"/>
          <w:vertAlign w:val="subscript"/>
          <w:lang w:val="en-US"/>
        </w:rPr>
        <w:t>cl</w:t>
      </w:r>
      <w:proofErr w:type="spellEnd"/>
      <w:r w:rsidR="00163CB4" w:rsidRPr="00714401">
        <w:rPr>
          <w:rFonts w:ascii="Book Antiqua" w:hAnsi="Book Antiqua"/>
          <w:color w:val="auto"/>
          <w:lang w:val="en-US"/>
        </w:rPr>
        <w:t xml:space="preserve"> </w:t>
      </w:r>
      <w:r w:rsidR="003416B5" w:rsidRPr="00714401">
        <w:rPr>
          <w:rFonts w:ascii="Book Antiqua" w:hAnsi="Book Antiqua"/>
          <w:color w:val="auto"/>
          <w:lang w:val="en-US"/>
        </w:rPr>
        <w:t xml:space="preserve">on POD 1 </w:t>
      </w:r>
      <w:r w:rsidR="00E9659C" w:rsidRPr="00714401">
        <w:rPr>
          <w:rFonts w:ascii="Book Antiqua" w:hAnsi="Book Antiqua"/>
          <w:color w:val="auto"/>
          <w:lang w:val="en-US"/>
        </w:rPr>
        <w:t xml:space="preserve">was </w:t>
      </w:r>
      <w:r w:rsidR="00163CB4" w:rsidRPr="00714401">
        <w:rPr>
          <w:rFonts w:ascii="Book Antiqua" w:hAnsi="Book Antiqua"/>
          <w:color w:val="auto"/>
          <w:lang w:val="en-US"/>
        </w:rPr>
        <w:t>&gt; 200 m</w:t>
      </w:r>
      <w:r w:rsidR="002A7AC8" w:rsidRPr="00714401">
        <w:rPr>
          <w:rFonts w:ascii="Book Antiqua" w:hAnsi="Book Antiqua"/>
          <w:color w:val="auto"/>
          <w:lang w:val="en-US"/>
        </w:rPr>
        <w:t>L</w:t>
      </w:r>
      <w:r w:rsidR="002A7AC8" w:rsidRPr="00714401">
        <w:rPr>
          <w:rFonts w:ascii="Book Antiqua" w:hAnsi="Book Antiqua" w:hint="eastAsia"/>
          <w:color w:val="auto"/>
          <w:lang w:val="en-US" w:eastAsia="zh-CN"/>
        </w:rPr>
        <w:t>/</w:t>
      </w:r>
      <w:r w:rsidR="00163CB4" w:rsidRPr="00714401">
        <w:rPr>
          <w:rFonts w:ascii="Book Antiqua" w:hAnsi="Book Antiqua"/>
          <w:color w:val="auto"/>
          <w:lang w:val="en-US"/>
        </w:rPr>
        <w:t xml:space="preserve">min. </w:t>
      </w:r>
      <w:r w:rsidR="002738AB" w:rsidRPr="00714401">
        <w:rPr>
          <w:rFonts w:ascii="Book Antiqua" w:hAnsi="Book Antiqua"/>
          <w:color w:val="auto"/>
          <w:lang w:val="en-US"/>
        </w:rPr>
        <w:t xml:space="preserve">More recently, </w:t>
      </w:r>
      <w:r w:rsidR="00756D77" w:rsidRPr="00714401">
        <w:rPr>
          <w:rFonts w:ascii="Book Antiqua" w:hAnsi="Book Antiqua"/>
          <w:color w:val="auto"/>
          <w:lang w:val="en-US"/>
        </w:rPr>
        <w:t>“low” ICG</w:t>
      </w:r>
      <w:r w:rsidR="00756D77" w:rsidRPr="00714401">
        <w:rPr>
          <w:rFonts w:ascii="Book Antiqua" w:hAnsi="Book Antiqua"/>
          <w:color w:val="auto"/>
          <w:vertAlign w:val="subscript"/>
          <w:lang w:val="en-US"/>
        </w:rPr>
        <w:t>PDR</w:t>
      </w:r>
      <w:r w:rsidR="002A7AC8" w:rsidRPr="00714401">
        <w:rPr>
          <w:rFonts w:ascii="Book Antiqua" w:hAnsi="Book Antiqua"/>
          <w:color w:val="auto"/>
          <w:lang w:val="en-US"/>
        </w:rPr>
        <w:t xml:space="preserve"> values (5</w:t>
      </w:r>
      <w:r w:rsidR="002A7AC8" w:rsidRPr="00714401">
        <w:rPr>
          <w:rFonts w:ascii="Book Antiqua" w:hAnsi="Book Antiqua" w:hint="eastAsia"/>
          <w:color w:val="auto"/>
          <w:lang w:val="en-US" w:eastAsia="zh-CN"/>
        </w:rPr>
        <w:t>%</w:t>
      </w:r>
      <w:r w:rsidR="002A7AC8" w:rsidRPr="00714401">
        <w:rPr>
          <w:rFonts w:ascii="Book Antiqua" w:hAnsi="Book Antiqua"/>
          <w:color w:val="auto"/>
          <w:lang w:val="en-US"/>
        </w:rPr>
        <w:t xml:space="preserve"> to 12</w:t>
      </w:r>
      <w:r w:rsidR="00756D77" w:rsidRPr="00714401">
        <w:rPr>
          <w:rFonts w:ascii="Book Antiqua" w:hAnsi="Book Antiqua"/>
          <w:color w:val="auto"/>
          <w:lang w:val="en-US"/>
        </w:rPr>
        <w:t xml:space="preserve">% </w:t>
      </w:r>
      <w:r w:rsidR="002A7AC8" w:rsidRPr="00714401">
        <w:rPr>
          <w:rFonts w:ascii="Book Antiqua" w:hAnsi="Book Antiqua" w:hint="eastAsia"/>
          <w:color w:val="auto"/>
          <w:lang w:val="en-US" w:eastAsia="zh-CN"/>
        </w:rPr>
        <w:t xml:space="preserve">per </w:t>
      </w:r>
      <w:r w:rsidR="00756D77" w:rsidRPr="00714401">
        <w:rPr>
          <w:rFonts w:ascii="Book Antiqua" w:hAnsi="Book Antiqua"/>
          <w:color w:val="auto"/>
          <w:lang w:val="en-US"/>
        </w:rPr>
        <w:t>min</w:t>
      </w:r>
      <w:r w:rsidR="002A7AC8" w:rsidRPr="00714401">
        <w:rPr>
          <w:rFonts w:ascii="Book Antiqua" w:hAnsi="Book Antiqua" w:hint="eastAsia"/>
          <w:color w:val="auto"/>
          <w:lang w:val="en-US" w:eastAsia="zh-CN"/>
        </w:rPr>
        <w:t>ute</w:t>
      </w:r>
      <w:r w:rsidR="00756D77" w:rsidRPr="00714401">
        <w:rPr>
          <w:rFonts w:ascii="Book Antiqua" w:hAnsi="Book Antiqua"/>
          <w:color w:val="auto"/>
          <w:lang w:val="en-US"/>
        </w:rPr>
        <w:t xml:space="preserve">) </w:t>
      </w:r>
      <w:r w:rsidR="000C20C5" w:rsidRPr="00714401">
        <w:rPr>
          <w:rFonts w:ascii="Book Antiqua" w:hAnsi="Book Antiqua"/>
          <w:color w:val="auto"/>
          <w:lang w:val="en-US"/>
        </w:rPr>
        <w:t xml:space="preserve">early after OLT </w:t>
      </w:r>
      <w:r w:rsidR="00756D77" w:rsidRPr="00714401">
        <w:rPr>
          <w:rFonts w:ascii="Book Antiqua" w:hAnsi="Book Antiqua"/>
          <w:color w:val="auto"/>
          <w:lang w:val="en-US"/>
        </w:rPr>
        <w:t>were</w:t>
      </w:r>
      <w:r w:rsidR="0076063F" w:rsidRPr="00714401">
        <w:rPr>
          <w:rFonts w:ascii="Book Antiqua" w:hAnsi="Book Antiqua"/>
          <w:color w:val="auto"/>
          <w:lang w:val="en-US"/>
        </w:rPr>
        <w:t xml:space="preserve"> </w:t>
      </w:r>
      <w:r w:rsidR="00756D77" w:rsidRPr="00714401">
        <w:rPr>
          <w:rFonts w:ascii="Book Antiqua" w:hAnsi="Book Antiqua"/>
          <w:color w:val="auto"/>
          <w:lang w:val="en-US"/>
        </w:rPr>
        <w:t>associated</w:t>
      </w:r>
      <w:r w:rsidR="0076063F" w:rsidRPr="00714401">
        <w:rPr>
          <w:rFonts w:ascii="Book Antiqua" w:hAnsi="Book Antiqua"/>
          <w:color w:val="auto"/>
          <w:lang w:val="en-US"/>
        </w:rPr>
        <w:t xml:space="preserve"> </w:t>
      </w:r>
      <w:r w:rsidR="002A7AC8" w:rsidRPr="00714401">
        <w:rPr>
          <w:rFonts w:ascii="Book Antiqua" w:hAnsi="Book Antiqua"/>
          <w:color w:val="auto"/>
          <w:lang w:val="en-US"/>
        </w:rPr>
        <w:t>with graft malfunction/</w:t>
      </w:r>
      <w:r w:rsidR="00756D77" w:rsidRPr="00714401">
        <w:rPr>
          <w:rFonts w:ascii="Book Antiqua" w:hAnsi="Book Antiqua"/>
          <w:color w:val="auto"/>
          <w:lang w:val="en-US"/>
        </w:rPr>
        <w:t>failure</w:t>
      </w:r>
      <w:r w:rsidR="00163CB4" w:rsidRPr="00714401">
        <w:rPr>
          <w:rFonts w:ascii="Book Antiqua" w:hAnsi="Book Antiqua"/>
          <w:color w:val="auto"/>
          <w:lang w:val="en-US"/>
        </w:rPr>
        <w:t xml:space="preserve">. In </w:t>
      </w:r>
      <w:r w:rsidR="000C20C5" w:rsidRPr="00714401">
        <w:rPr>
          <w:rFonts w:ascii="Book Antiqua" w:hAnsi="Book Antiqua"/>
          <w:color w:val="auto"/>
          <w:lang w:val="en-US"/>
        </w:rPr>
        <w:t xml:space="preserve">the </w:t>
      </w:r>
      <w:r w:rsidR="00E9659C" w:rsidRPr="00714401">
        <w:rPr>
          <w:rFonts w:ascii="Book Antiqua" w:hAnsi="Book Antiqua"/>
          <w:color w:val="auto"/>
          <w:lang w:val="en-US"/>
        </w:rPr>
        <w:t xml:space="preserve">liver transplant </w:t>
      </w:r>
      <w:r w:rsidR="00163CB4" w:rsidRPr="00714401">
        <w:rPr>
          <w:rFonts w:ascii="Book Antiqua" w:hAnsi="Book Antiqua"/>
          <w:color w:val="auto"/>
          <w:lang w:val="en-US"/>
        </w:rPr>
        <w:t xml:space="preserve">setting, </w:t>
      </w:r>
      <w:r w:rsidR="00B67424" w:rsidRPr="00714401">
        <w:rPr>
          <w:rFonts w:ascii="Book Antiqua" w:hAnsi="Book Antiqua"/>
          <w:color w:val="auto"/>
          <w:lang w:val="en-US"/>
        </w:rPr>
        <w:t xml:space="preserve">the definition of </w:t>
      </w:r>
      <w:r w:rsidR="00163CB4" w:rsidRPr="00714401">
        <w:rPr>
          <w:rFonts w:ascii="Book Antiqua" w:hAnsi="Book Antiqua"/>
          <w:color w:val="auto"/>
          <w:lang w:val="en-US"/>
        </w:rPr>
        <w:t xml:space="preserve">a </w:t>
      </w:r>
      <w:r w:rsidR="00163CB4" w:rsidRPr="00714401">
        <w:rPr>
          <w:rFonts w:ascii="Book Antiqua" w:hAnsi="Book Antiqua" w:cs="Arial"/>
          <w:color w:val="auto"/>
          <w:lang w:val="en-US"/>
        </w:rPr>
        <w:t>reproducible</w:t>
      </w:r>
      <w:r w:rsidR="000C20C5" w:rsidRPr="00714401">
        <w:rPr>
          <w:rFonts w:ascii="Book Antiqua" w:hAnsi="Book Antiqua" w:cs="Arial"/>
          <w:color w:val="auto"/>
          <w:lang w:val="en-US"/>
        </w:rPr>
        <w:t xml:space="preserve"> and reliable</w:t>
      </w:r>
      <w:r w:rsidR="0076063F" w:rsidRPr="00714401">
        <w:rPr>
          <w:rFonts w:ascii="Book Antiqua" w:hAnsi="Book Antiqua" w:cs="Arial"/>
          <w:color w:val="auto"/>
          <w:lang w:val="en-US"/>
        </w:rPr>
        <w:t xml:space="preserve"> </w:t>
      </w:r>
      <w:r w:rsidR="00E9659C" w:rsidRPr="00714401">
        <w:rPr>
          <w:rFonts w:ascii="Book Antiqua" w:hAnsi="Book Antiqua"/>
          <w:color w:val="auto"/>
          <w:lang w:val="en-US"/>
        </w:rPr>
        <w:t xml:space="preserve">“low” </w:t>
      </w:r>
      <w:r w:rsidR="00163CB4" w:rsidRPr="00714401">
        <w:rPr>
          <w:rFonts w:ascii="Book Antiqua" w:hAnsi="Book Antiqua"/>
          <w:color w:val="auto"/>
          <w:lang w:val="en-US"/>
        </w:rPr>
        <w:t>cut-off value is</w:t>
      </w:r>
      <w:r w:rsidR="00667E98" w:rsidRPr="00714401">
        <w:rPr>
          <w:rFonts w:ascii="Book Antiqua" w:hAnsi="Book Antiqua"/>
          <w:color w:val="auto"/>
          <w:lang w:val="en-US"/>
        </w:rPr>
        <w:t>, even if eagerly awaited,</w:t>
      </w:r>
      <w:r w:rsidR="0076063F" w:rsidRPr="00714401">
        <w:rPr>
          <w:rFonts w:ascii="Book Antiqua" w:hAnsi="Book Antiqua"/>
          <w:color w:val="auto"/>
          <w:lang w:val="en-US"/>
        </w:rPr>
        <w:t xml:space="preserve"> </w:t>
      </w:r>
      <w:r w:rsidR="000C20C5" w:rsidRPr="00714401">
        <w:rPr>
          <w:rFonts w:ascii="Book Antiqua" w:hAnsi="Book Antiqua"/>
          <w:color w:val="auto"/>
          <w:lang w:val="en-US"/>
        </w:rPr>
        <w:t xml:space="preserve">still ill </w:t>
      </w:r>
      <w:r w:rsidR="00667E98" w:rsidRPr="00714401">
        <w:rPr>
          <w:rFonts w:ascii="Book Antiqua" w:hAnsi="Book Antiqua"/>
          <w:color w:val="auto"/>
          <w:lang w:val="en-US"/>
        </w:rPr>
        <w:t>-</w:t>
      </w:r>
      <w:r w:rsidR="000C20C5" w:rsidRPr="00714401">
        <w:rPr>
          <w:rFonts w:ascii="Book Antiqua" w:hAnsi="Book Antiqua"/>
          <w:color w:val="auto"/>
          <w:lang w:val="en-US"/>
        </w:rPr>
        <w:t>defined</w:t>
      </w:r>
      <w:r w:rsidR="00163CB4" w:rsidRPr="00714401">
        <w:rPr>
          <w:rFonts w:ascii="Book Antiqua" w:hAnsi="Book Antiqua"/>
          <w:color w:val="auto"/>
          <w:lang w:val="en-US"/>
        </w:rPr>
        <w:t>: ideally</w:t>
      </w:r>
      <w:r w:rsidR="00C75167" w:rsidRPr="00714401">
        <w:rPr>
          <w:rFonts w:ascii="Book Antiqua" w:hAnsi="Book Antiqua"/>
          <w:color w:val="auto"/>
          <w:lang w:val="en-US"/>
        </w:rPr>
        <w:t>,</w:t>
      </w:r>
      <w:r w:rsidR="00163CB4" w:rsidRPr="00714401">
        <w:rPr>
          <w:rFonts w:ascii="Book Antiqua" w:hAnsi="Book Antiqua"/>
          <w:color w:val="auto"/>
          <w:lang w:val="en-US"/>
        </w:rPr>
        <w:t xml:space="preserve"> this</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value should not be </w:t>
      </w:r>
      <w:r w:rsidR="00163CB4" w:rsidRPr="00714401">
        <w:rPr>
          <w:rFonts w:ascii="Book Antiqua" w:hAnsi="Book Antiqua" w:cs="Arial"/>
          <w:color w:val="auto"/>
          <w:lang w:val="en-US"/>
        </w:rPr>
        <w:t>affected by conditions able to create falsely pathological results.</w:t>
      </w:r>
      <w:r w:rsidR="0076063F" w:rsidRPr="00714401">
        <w:rPr>
          <w:rFonts w:ascii="Book Antiqua" w:hAnsi="Book Antiqua" w:cs="Arial"/>
          <w:color w:val="auto"/>
          <w:lang w:val="en-US"/>
        </w:rPr>
        <w:t xml:space="preserve"> </w:t>
      </w:r>
      <w:r w:rsidR="00B67424" w:rsidRPr="00714401">
        <w:rPr>
          <w:rFonts w:ascii="Book Antiqua" w:hAnsi="Book Antiqua" w:cs="Arial"/>
          <w:color w:val="auto"/>
          <w:lang w:val="en-US"/>
        </w:rPr>
        <w:t>Unfortunately, no consensus exists in the</w:t>
      </w:r>
      <w:r w:rsidR="0076063F" w:rsidRPr="00714401">
        <w:rPr>
          <w:rFonts w:ascii="Book Antiqua" w:hAnsi="Book Antiqua" w:cs="Arial"/>
          <w:color w:val="auto"/>
          <w:lang w:val="en-US"/>
        </w:rPr>
        <w:t xml:space="preserve"> </w:t>
      </w:r>
      <w:r w:rsidR="00B67424" w:rsidRPr="00714401">
        <w:rPr>
          <w:rFonts w:ascii="Book Antiqua" w:hAnsi="Book Antiqua" w:cs="Arial"/>
          <w:color w:val="auto"/>
          <w:lang w:val="en-US"/>
        </w:rPr>
        <w:t>literature on this critical point, so far.</w:t>
      </w:r>
      <w:r w:rsidR="00C75167" w:rsidRPr="00714401">
        <w:rPr>
          <w:rFonts w:ascii="Book Antiqua" w:hAnsi="Book Antiqua"/>
          <w:color w:val="auto"/>
          <w:lang w:val="en-US"/>
        </w:rPr>
        <w:t xml:space="preserve"> </w:t>
      </w:r>
      <w:proofErr w:type="spellStart"/>
      <w:r w:rsidR="00163CB4" w:rsidRPr="00714401">
        <w:rPr>
          <w:rFonts w:ascii="Book Antiqua" w:hAnsi="Book Antiqua"/>
          <w:color w:val="auto"/>
          <w:lang w:val="en-US"/>
        </w:rPr>
        <w:t>Faybik</w:t>
      </w:r>
      <w:proofErr w:type="spellEnd"/>
      <w:r w:rsidR="0076063F" w:rsidRPr="00714401">
        <w:rPr>
          <w:rFonts w:ascii="Book Antiqua" w:hAnsi="Book Antiqua"/>
          <w:color w:val="auto"/>
          <w:lang w:val="en-US"/>
        </w:rPr>
        <w:t xml:space="preserve"> </w:t>
      </w:r>
      <w:r w:rsidR="002A7AC8" w:rsidRPr="00714401">
        <w:rPr>
          <w:rFonts w:ascii="Book Antiqua" w:hAnsi="Book Antiqua"/>
          <w:i/>
          <w:color w:val="auto"/>
          <w:lang w:val="en-US"/>
        </w:rPr>
        <w:t>et al</w:t>
      </w:r>
      <w:r w:rsidR="002A7AC8" w:rsidRPr="00714401">
        <w:rPr>
          <w:rFonts w:ascii="Book Antiqua" w:hAnsi="Book Antiqua"/>
          <w:color w:val="auto"/>
          <w:vertAlign w:val="superscript"/>
          <w:lang w:val="en-US"/>
        </w:rPr>
        <w:t>[54]</w:t>
      </w:r>
      <w:r w:rsidR="00163CB4" w:rsidRPr="00714401">
        <w:rPr>
          <w:rFonts w:ascii="Book Antiqua" w:hAnsi="Book Antiqua"/>
          <w:color w:val="auto"/>
          <w:lang w:val="en-US"/>
        </w:rPr>
        <w:t>, studying</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IGC </w:t>
      </w:r>
      <w:r w:rsidR="00163CB4" w:rsidRPr="00714401">
        <w:rPr>
          <w:rFonts w:ascii="Book Antiqua" w:hAnsi="Book Antiqua"/>
          <w:color w:val="auto"/>
          <w:vertAlign w:val="subscript"/>
          <w:lang w:val="en-US"/>
        </w:rPr>
        <w:t>PDR</w:t>
      </w:r>
      <w:r w:rsidR="0076063F" w:rsidRPr="00714401">
        <w:rPr>
          <w:rFonts w:ascii="Book Antiqua" w:hAnsi="Book Antiqua"/>
          <w:color w:val="auto"/>
          <w:vertAlign w:val="subscript"/>
          <w:lang w:val="en-US"/>
        </w:rPr>
        <w:t xml:space="preserve"> </w:t>
      </w:r>
      <w:r w:rsidR="00C75167" w:rsidRPr="00714401">
        <w:rPr>
          <w:rFonts w:ascii="Book Antiqua" w:hAnsi="Book Antiqua"/>
          <w:color w:val="auto"/>
          <w:lang w:val="en-US"/>
        </w:rPr>
        <w:t>using</w:t>
      </w:r>
      <w:r w:rsidR="0076063F" w:rsidRPr="00714401">
        <w:rPr>
          <w:rFonts w:ascii="Book Antiqua" w:hAnsi="Book Antiqua"/>
          <w:color w:val="auto"/>
          <w:lang w:val="en-US"/>
        </w:rPr>
        <w:t xml:space="preserve"> </w:t>
      </w:r>
      <w:r w:rsidR="00163CB4" w:rsidRPr="00714401">
        <w:rPr>
          <w:rFonts w:ascii="Book Antiqua" w:hAnsi="Book Antiqua"/>
          <w:color w:val="auto"/>
          <w:lang w:val="en-US"/>
        </w:rPr>
        <w:t>COLD System</w:t>
      </w:r>
      <w:r w:rsidR="00C75167" w:rsidRPr="00714401">
        <w:rPr>
          <w:rFonts w:ascii="Book Antiqua" w:hAnsi="Book Antiqua"/>
          <w:color w:val="auto"/>
          <w:lang w:val="en-US"/>
        </w:rPr>
        <w:t xml:space="preserve"> (</w:t>
      </w:r>
      <w:proofErr w:type="spellStart"/>
      <w:r w:rsidR="00163CB4" w:rsidRPr="00714401">
        <w:rPr>
          <w:rFonts w:ascii="Book Antiqua" w:hAnsi="Book Antiqua"/>
          <w:color w:val="auto"/>
          <w:lang w:val="en-US"/>
        </w:rPr>
        <w:t>Pulsion</w:t>
      </w:r>
      <w:proofErr w:type="spellEnd"/>
      <w:r w:rsidR="00163CB4" w:rsidRPr="00714401">
        <w:rPr>
          <w:rFonts w:ascii="Book Antiqua" w:hAnsi="Book Antiqua"/>
          <w:color w:val="auto"/>
          <w:lang w:val="en-US"/>
        </w:rPr>
        <w:t xml:space="preserve">, Germany) and </w:t>
      </w:r>
      <w:proofErr w:type="spellStart"/>
      <w:r w:rsidR="00C75167" w:rsidRPr="00714401">
        <w:rPr>
          <w:rFonts w:ascii="Book Antiqua" w:hAnsi="Book Antiqua"/>
          <w:color w:val="auto"/>
          <w:lang w:val="en-US"/>
        </w:rPr>
        <w:t>LiMon</w:t>
      </w:r>
      <w:proofErr w:type="spellEnd"/>
      <w:r w:rsidR="00C75167" w:rsidRPr="00714401">
        <w:rPr>
          <w:rFonts w:ascii="Book Antiqua" w:hAnsi="Book Antiqua"/>
          <w:color w:val="auto"/>
          <w:lang w:val="en-US"/>
        </w:rPr>
        <w:t xml:space="preserve"> (</w:t>
      </w:r>
      <w:proofErr w:type="spellStart"/>
      <w:r w:rsidR="00163CB4" w:rsidRPr="00714401">
        <w:rPr>
          <w:rFonts w:ascii="Book Antiqua" w:hAnsi="Book Antiqua"/>
          <w:color w:val="auto"/>
          <w:lang w:val="en-US"/>
        </w:rPr>
        <w:t>Pulsion</w:t>
      </w:r>
      <w:proofErr w:type="spellEnd"/>
      <w:r w:rsidR="00163CB4" w:rsidRPr="00714401">
        <w:rPr>
          <w:rFonts w:ascii="Book Antiqua" w:hAnsi="Book Antiqua"/>
          <w:color w:val="auto"/>
          <w:lang w:val="en-US"/>
        </w:rPr>
        <w:t xml:space="preserve">, Germany) </w:t>
      </w:r>
      <w:r w:rsidR="000C20C5" w:rsidRPr="00714401">
        <w:rPr>
          <w:rFonts w:ascii="Book Antiqua" w:hAnsi="Book Antiqua"/>
          <w:color w:val="auto"/>
          <w:lang w:val="en-US"/>
        </w:rPr>
        <w:t>in a series of patients who underwent</w:t>
      </w:r>
      <w:r w:rsidR="0076063F" w:rsidRPr="00714401">
        <w:rPr>
          <w:rFonts w:ascii="Book Antiqua" w:hAnsi="Book Antiqua"/>
          <w:color w:val="auto"/>
          <w:lang w:val="en-US"/>
        </w:rPr>
        <w:t xml:space="preserve"> </w:t>
      </w:r>
      <w:r w:rsidR="000C20C5" w:rsidRPr="00714401">
        <w:rPr>
          <w:rFonts w:ascii="Book Antiqua" w:hAnsi="Book Antiqua"/>
          <w:color w:val="auto"/>
          <w:lang w:val="en-US"/>
        </w:rPr>
        <w:t xml:space="preserve">OLT </w:t>
      </w:r>
      <w:r w:rsidR="00163CB4" w:rsidRPr="00714401">
        <w:rPr>
          <w:rFonts w:ascii="Book Antiqua" w:hAnsi="Book Antiqua"/>
          <w:color w:val="auto"/>
          <w:lang w:val="en-US"/>
        </w:rPr>
        <w:t>found ICG</w:t>
      </w:r>
      <w:r w:rsidR="00163CB4" w:rsidRPr="00714401">
        <w:rPr>
          <w:rFonts w:ascii="Book Antiqua" w:hAnsi="Book Antiqua" w:cs="Arial"/>
          <w:color w:val="auto"/>
          <w:vertAlign w:val="subscript"/>
          <w:lang w:val="en-US"/>
        </w:rPr>
        <w:t>PDR</w:t>
      </w:r>
      <w:r w:rsidR="00163CB4" w:rsidRPr="00714401">
        <w:rPr>
          <w:rFonts w:ascii="Book Antiqua" w:hAnsi="Book Antiqua" w:cs="Arial"/>
          <w:color w:val="auto"/>
          <w:lang w:val="en-US"/>
        </w:rPr>
        <w:t xml:space="preserve"> &lt;</w:t>
      </w:r>
      <w:r w:rsidR="002A7AC8" w:rsidRPr="00714401">
        <w:rPr>
          <w:rFonts w:ascii="Book Antiqua" w:hAnsi="Book Antiqua" w:cs="Arial" w:hint="eastAsia"/>
          <w:color w:val="auto"/>
          <w:lang w:val="en-US" w:eastAsia="zh-CN"/>
        </w:rPr>
        <w:t xml:space="preserve"> </w:t>
      </w:r>
      <w:r w:rsidR="00163CB4" w:rsidRPr="00714401">
        <w:rPr>
          <w:rFonts w:ascii="Book Antiqua" w:hAnsi="Book Antiqua" w:cs="Arial"/>
          <w:color w:val="auto"/>
          <w:lang w:val="en-US"/>
        </w:rPr>
        <w:t xml:space="preserve">10% </w:t>
      </w:r>
      <w:r w:rsidR="002A7AC8" w:rsidRPr="00714401">
        <w:rPr>
          <w:rFonts w:ascii="Book Antiqua" w:hAnsi="Book Antiqua" w:hint="eastAsia"/>
          <w:color w:val="auto"/>
          <w:lang w:val="en-US" w:eastAsia="zh-CN"/>
        </w:rPr>
        <w:t xml:space="preserve">per </w:t>
      </w:r>
      <w:r w:rsidR="002A7AC8" w:rsidRPr="00714401">
        <w:rPr>
          <w:rFonts w:ascii="Book Antiqua" w:hAnsi="Book Antiqua"/>
          <w:color w:val="auto"/>
          <w:lang w:val="en-US"/>
        </w:rPr>
        <w:t>min</w:t>
      </w:r>
      <w:r w:rsidR="002A7AC8" w:rsidRPr="00714401">
        <w:rPr>
          <w:rFonts w:ascii="Book Antiqua" w:hAnsi="Book Antiqua" w:hint="eastAsia"/>
          <w:color w:val="auto"/>
          <w:lang w:val="en-US" w:eastAsia="zh-CN"/>
        </w:rPr>
        <w:t>ute</w:t>
      </w:r>
      <w:r w:rsidR="00163CB4" w:rsidRPr="00714401">
        <w:rPr>
          <w:rFonts w:ascii="Book Antiqua" w:hAnsi="Book Antiqua" w:cs="Arial"/>
          <w:color w:val="auto"/>
          <w:lang w:val="en-US"/>
        </w:rPr>
        <w:t xml:space="preserve"> as a predictor of postoperative complications.</w:t>
      </w:r>
      <w:r w:rsidR="00C75167" w:rsidRPr="00714401">
        <w:rPr>
          <w:rFonts w:ascii="Book Antiqua" w:hAnsi="Book Antiqua"/>
          <w:color w:val="auto"/>
          <w:vertAlign w:val="superscript"/>
          <w:lang w:val="en-US"/>
        </w:rPr>
        <w:t xml:space="preserve"> </w:t>
      </w:r>
      <w:r w:rsidR="00163CB4" w:rsidRPr="00714401">
        <w:rPr>
          <w:rFonts w:ascii="Book Antiqua" w:hAnsi="Book Antiqua"/>
          <w:color w:val="auto"/>
          <w:lang w:val="en-US"/>
        </w:rPr>
        <w:t>Hori</w:t>
      </w:r>
      <w:r w:rsidR="002A7AC8" w:rsidRPr="00714401">
        <w:rPr>
          <w:rFonts w:ascii="Book Antiqua" w:hAnsi="Book Antiqua"/>
          <w:i/>
          <w:color w:val="auto"/>
          <w:lang w:val="en-US"/>
        </w:rPr>
        <w:t xml:space="preserve"> et al</w:t>
      </w:r>
      <w:r w:rsidR="00163CB4" w:rsidRPr="00714401">
        <w:rPr>
          <w:rFonts w:ascii="Book Antiqua" w:hAnsi="Book Antiqua"/>
          <w:color w:val="auto"/>
          <w:vertAlign w:val="superscript"/>
          <w:lang w:val="en-US"/>
        </w:rPr>
        <w:t>[55]</w:t>
      </w:r>
      <w:r w:rsidR="00163CB4" w:rsidRPr="00714401">
        <w:rPr>
          <w:rFonts w:ascii="Book Antiqua" w:hAnsi="Book Antiqua"/>
          <w:color w:val="auto"/>
          <w:lang w:val="en-US"/>
        </w:rPr>
        <w:t xml:space="preserve">, </w:t>
      </w:r>
      <w:r w:rsidR="000C20C5" w:rsidRPr="00714401">
        <w:rPr>
          <w:rFonts w:ascii="Book Antiqua" w:hAnsi="Book Antiqua"/>
          <w:color w:val="auto"/>
          <w:lang w:val="en-US"/>
        </w:rPr>
        <w:t>using</w:t>
      </w:r>
      <w:r w:rsidR="0076063F" w:rsidRPr="00714401">
        <w:rPr>
          <w:rFonts w:ascii="Book Antiqua" w:hAnsi="Book Antiqua"/>
          <w:color w:val="auto"/>
          <w:lang w:val="en-US"/>
        </w:rPr>
        <w:t xml:space="preserve"> </w:t>
      </w:r>
      <w:r w:rsidR="000C20C5" w:rsidRPr="00714401">
        <w:rPr>
          <w:rFonts w:ascii="Book Antiqua" w:hAnsi="Book Antiqua"/>
          <w:color w:val="auto"/>
          <w:lang w:val="en-US"/>
        </w:rPr>
        <w:t xml:space="preserve">ICG </w:t>
      </w:r>
      <w:r w:rsidR="000C20C5" w:rsidRPr="00714401">
        <w:rPr>
          <w:rFonts w:ascii="Book Antiqua" w:hAnsi="Book Antiqua"/>
          <w:color w:val="auto"/>
          <w:vertAlign w:val="subscript"/>
          <w:lang w:val="en-US"/>
        </w:rPr>
        <w:t>K</w:t>
      </w:r>
      <w:r w:rsidR="0076063F" w:rsidRPr="00714401">
        <w:rPr>
          <w:rFonts w:ascii="Book Antiqua" w:hAnsi="Book Antiqua"/>
          <w:color w:val="auto"/>
          <w:lang w:val="en-US"/>
        </w:rPr>
        <w:t xml:space="preserve"> </w:t>
      </w:r>
      <w:r w:rsidR="000C20C5" w:rsidRPr="00714401">
        <w:rPr>
          <w:rFonts w:ascii="Book Antiqua" w:hAnsi="Book Antiqua"/>
          <w:color w:val="auto"/>
          <w:lang w:val="en-US"/>
        </w:rPr>
        <w:t xml:space="preserve">(Nihon </w:t>
      </w:r>
      <w:proofErr w:type="spellStart"/>
      <w:r w:rsidR="000C20C5" w:rsidRPr="00714401">
        <w:rPr>
          <w:rFonts w:ascii="Book Antiqua" w:hAnsi="Book Antiqua"/>
          <w:color w:val="auto"/>
          <w:lang w:val="en-US"/>
        </w:rPr>
        <w:t>Kohden</w:t>
      </w:r>
      <w:proofErr w:type="spellEnd"/>
      <w:r w:rsidR="000C20C5" w:rsidRPr="00714401">
        <w:rPr>
          <w:rFonts w:ascii="Book Antiqua" w:hAnsi="Book Antiqua"/>
          <w:color w:val="auto"/>
          <w:lang w:val="en-US"/>
        </w:rPr>
        <w:t xml:space="preserve"> DDG 2001, Japan) in a cohort of </w:t>
      </w:r>
      <w:r w:rsidR="00163CB4" w:rsidRPr="00714401">
        <w:rPr>
          <w:rFonts w:ascii="Book Antiqua" w:hAnsi="Book Antiqua"/>
          <w:color w:val="auto"/>
          <w:lang w:val="en-US"/>
        </w:rPr>
        <w:t>thirty patients</w:t>
      </w:r>
      <w:r w:rsidR="0076063F" w:rsidRPr="00714401">
        <w:rPr>
          <w:rFonts w:ascii="Book Antiqua" w:hAnsi="Book Antiqua"/>
          <w:color w:val="auto"/>
          <w:lang w:val="en-US"/>
        </w:rPr>
        <w:t xml:space="preserve"> </w:t>
      </w:r>
      <w:r w:rsidR="000C20C5" w:rsidRPr="00714401">
        <w:rPr>
          <w:rFonts w:ascii="Book Antiqua" w:hAnsi="Book Antiqua"/>
          <w:color w:val="auto"/>
          <w:lang w:val="en-US"/>
        </w:rPr>
        <w:t xml:space="preserve">admitted to living donor liver transplant, assessed </w:t>
      </w:r>
      <w:r w:rsidR="00163CB4" w:rsidRPr="00714401">
        <w:rPr>
          <w:rFonts w:ascii="Book Antiqua" w:hAnsi="Book Antiqua"/>
          <w:color w:val="auto"/>
          <w:lang w:val="en-US"/>
        </w:rPr>
        <w:t xml:space="preserve">graft </w:t>
      </w:r>
      <w:r w:rsidR="000C20C5" w:rsidRPr="00714401">
        <w:rPr>
          <w:rFonts w:ascii="Book Antiqua" w:hAnsi="Book Antiqua"/>
          <w:color w:val="auto"/>
          <w:lang w:val="en-US"/>
        </w:rPr>
        <w:t xml:space="preserve">function </w:t>
      </w:r>
      <w:r w:rsidR="00163CB4" w:rsidRPr="00714401">
        <w:rPr>
          <w:rFonts w:ascii="Book Antiqua" w:hAnsi="Book Antiqua"/>
          <w:color w:val="auto"/>
          <w:lang w:val="en-US"/>
        </w:rPr>
        <w:t>daily for the first 14 postoperative days, and then on</w:t>
      </w:r>
      <w:r w:rsidR="0076063F" w:rsidRPr="00714401">
        <w:rPr>
          <w:rFonts w:ascii="Book Antiqua" w:hAnsi="Book Antiqua"/>
          <w:color w:val="auto"/>
          <w:lang w:val="en-US"/>
        </w:rPr>
        <w:t xml:space="preserve"> </w:t>
      </w:r>
      <w:r w:rsidR="00163CB4" w:rsidRPr="00714401">
        <w:rPr>
          <w:rFonts w:ascii="Book Antiqua" w:hAnsi="Book Antiqua"/>
          <w:color w:val="auto"/>
          <w:lang w:val="en-US"/>
        </w:rPr>
        <w:t>POD</w:t>
      </w:r>
      <w:r w:rsidR="0076063F" w:rsidRPr="00714401">
        <w:rPr>
          <w:rFonts w:ascii="Book Antiqua" w:hAnsi="Book Antiqua"/>
          <w:color w:val="auto"/>
          <w:lang w:val="en-US"/>
        </w:rPr>
        <w:t xml:space="preserve"> </w:t>
      </w:r>
      <w:r w:rsidR="00163CB4" w:rsidRPr="00714401">
        <w:rPr>
          <w:rFonts w:ascii="Book Antiqua" w:hAnsi="Book Antiqua"/>
          <w:color w:val="auto"/>
          <w:lang w:val="en-US"/>
        </w:rPr>
        <w:t>21 and 28</w:t>
      </w:r>
      <w:r w:rsidR="000C20C5" w:rsidRPr="00714401">
        <w:rPr>
          <w:rFonts w:ascii="Book Antiqua" w:hAnsi="Book Antiqua"/>
          <w:color w:val="auto"/>
          <w:lang w:val="en-US"/>
        </w:rPr>
        <w:t>.</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The early outcome was defined </w:t>
      </w:r>
      <w:r w:rsidR="00B67424" w:rsidRPr="00714401">
        <w:rPr>
          <w:rFonts w:ascii="Book Antiqua" w:hAnsi="Book Antiqua"/>
          <w:color w:val="auto"/>
          <w:lang w:val="en-US"/>
        </w:rPr>
        <w:t>“</w:t>
      </w:r>
      <w:proofErr w:type="spellStart"/>
      <w:r w:rsidR="00163CB4" w:rsidRPr="00714401">
        <w:rPr>
          <w:rFonts w:ascii="Book Antiqua" w:hAnsi="Book Antiqua"/>
          <w:color w:val="auto"/>
          <w:lang w:val="en-US"/>
        </w:rPr>
        <w:t>unfavourable</w:t>
      </w:r>
      <w:proofErr w:type="spellEnd"/>
      <w:r w:rsidR="00B67424" w:rsidRPr="00714401">
        <w:rPr>
          <w:rFonts w:ascii="Book Antiqua" w:hAnsi="Book Antiqua"/>
          <w:color w:val="auto"/>
          <w:lang w:val="en-US"/>
        </w:rPr>
        <w:t>”</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in case of increased morbidity or mortality. According to this </w:t>
      </w:r>
      <w:r w:rsidR="00A071F0" w:rsidRPr="00714401">
        <w:rPr>
          <w:rFonts w:ascii="Book Antiqua" w:hAnsi="Book Antiqua"/>
          <w:color w:val="auto"/>
          <w:lang w:val="en-US"/>
        </w:rPr>
        <w:t xml:space="preserve">definition, </w:t>
      </w:r>
      <w:r w:rsidR="00163CB4" w:rsidRPr="00714401">
        <w:rPr>
          <w:rFonts w:ascii="Book Antiqua" w:hAnsi="Book Antiqua"/>
          <w:color w:val="auto"/>
          <w:lang w:val="en-US"/>
        </w:rPr>
        <w:t>the</w:t>
      </w:r>
      <w:r w:rsidR="00A071F0" w:rsidRPr="00714401">
        <w:rPr>
          <w:rFonts w:ascii="Book Antiqua" w:hAnsi="Book Antiqua"/>
          <w:color w:val="auto"/>
          <w:lang w:val="en-US"/>
        </w:rPr>
        <w:t xml:space="preserve"> AAs retrospectively allocated the transplanted </w:t>
      </w:r>
      <w:r w:rsidR="00163CB4" w:rsidRPr="00714401">
        <w:rPr>
          <w:rFonts w:ascii="Book Antiqua" w:hAnsi="Book Antiqua"/>
          <w:color w:val="auto"/>
          <w:lang w:val="en-US"/>
        </w:rPr>
        <w:t>patients to two groups</w:t>
      </w:r>
      <w:r w:rsidR="00A071F0" w:rsidRPr="00714401">
        <w:rPr>
          <w:rFonts w:ascii="Book Antiqua" w:hAnsi="Book Antiqua"/>
          <w:color w:val="auto"/>
          <w:lang w:val="en-US"/>
        </w:rPr>
        <w:t xml:space="preserve">, A </w:t>
      </w:r>
      <w:r w:rsidR="00163CB4" w:rsidRPr="00714401">
        <w:rPr>
          <w:rFonts w:ascii="Book Antiqua" w:hAnsi="Book Antiqua"/>
          <w:color w:val="auto"/>
          <w:lang w:val="en-US"/>
        </w:rPr>
        <w:t>(</w:t>
      </w:r>
      <w:proofErr w:type="spellStart"/>
      <w:r w:rsidR="00163CB4" w:rsidRPr="00714401">
        <w:rPr>
          <w:rFonts w:ascii="Book Antiqua" w:hAnsi="Book Antiqua"/>
          <w:color w:val="auto"/>
          <w:lang w:val="en-US"/>
        </w:rPr>
        <w:t>favourable</w:t>
      </w:r>
      <w:proofErr w:type="spellEnd"/>
      <w:r w:rsidR="00A071F0" w:rsidRPr="00714401">
        <w:rPr>
          <w:rFonts w:ascii="Book Antiqua" w:hAnsi="Book Antiqua"/>
          <w:color w:val="auto"/>
          <w:lang w:val="en-US"/>
        </w:rPr>
        <w:t xml:space="preserve"> outcome</w:t>
      </w:r>
      <w:r w:rsidR="00163CB4" w:rsidRPr="00714401">
        <w:rPr>
          <w:rFonts w:ascii="Book Antiqua" w:hAnsi="Book Antiqua"/>
          <w:color w:val="auto"/>
          <w:lang w:val="en-US"/>
        </w:rPr>
        <w:t xml:space="preserve">, 24 </w:t>
      </w:r>
      <w:r w:rsidR="00A071F0" w:rsidRPr="00714401">
        <w:rPr>
          <w:rFonts w:ascii="Book Antiqua" w:hAnsi="Book Antiqua"/>
          <w:color w:val="auto"/>
          <w:lang w:val="en-US"/>
        </w:rPr>
        <w:t xml:space="preserve">subjects) and </w:t>
      </w:r>
      <w:r w:rsidR="00A071F0" w:rsidRPr="00714401">
        <w:rPr>
          <w:rFonts w:ascii="Book Antiqua" w:hAnsi="Book Antiqua"/>
          <w:color w:val="auto"/>
          <w:lang w:val="en-US"/>
        </w:rPr>
        <w:lastRenderedPageBreak/>
        <w:t>B (</w:t>
      </w:r>
      <w:proofErr w:type="spellStart"/>
      <w:r w:rsidR="00A071F0" w:rsidRPr="00714401">
        <w:rPr>
          <w:rFonts w:ascii="Book Antiqua" w:hAnsi="Book Antiqua"/>
          <w:color w:val="auto"/>
          <w:lang w:val="en-US"/>
        </w:rPr>
        <w:t>u</w:t>
      </w:r>
      <w:r w:rsidR="00163CB4" w:rsidRPr="00714401">
        <w:rPr>
          <w:rFonts w:ascii="Book Antiqua" w:hAnsi="Book Antiqua"/>
          <w:color w:val="auto"/>
          <w:lang w:val="en-US"/>
        </w:rPr>
        <w:t>nfavourable</w:t>
      </w:r>
      <w:proofErr w:type="spellEnd"/>
      <w:r w:rsidR="00A071F0" w:rsidRPr="00714401">
        <w:rPr>
          <w:rFonts w:ascii="Book Antiqua" w:hAnsi="Book Antiqua"/>
          <w:color w:val="auto"/>
          <w:lang w:val="en-US"/>
        </w:rPr>
        <w:t xml:space="preserve"> outcome</w:t>
      </w:r>
      <w:r w:rsidR="00163CB4" w:rsidRPr="00714401">
        <w:rPr>
          <w:rFonts w:ascii="Book Antiqua" w:hAnsi="Book Antiqua"/>
          <w:color w:val="auto"/>
          <w:lang w:val="en-US"/>
        </w:rPr>
        <w:t xml:space="preserve">, 6 </w:t>
      </w:r>
      <w:r w:rsidR="00A071F0" w:rsidRPr="00714401">
        <w:rPr>
          <w:rFonts w:ascii="Book Antiqua" w:hAnsi="Book Antiqua"/>
          <w:color w:val="auto"/>
          <w:lang w:val="en-US"/>
        </w:rPr>
        <w:t>subjects</w:t>
      </w:r>
      <w:r w:rsidR="00163CB4" w:rsidRPr="00714401">
        <w:rPr>
          <w:rFonts w:ascii="Book Antiqua" w:hAnsi="Book Antiqua"/>
          <w:color w:val="auto"/>
          <w:lang w:val="en-US"/>
        </w:rPr>
        <w:t>). ICG</w:t>
      </w:r>
      <w:r w:rsidR="00163CB4" w:rsidRPr="00714401">
        <w:rPr>
          <w:rFonts w:ascii="Book Antiqua" w:hAnsi="Book Antiqua"/>
          <w:color w:val="auto"/>
          <w:vertAlign w:val="subscript"/>
          <w:lang w:val="en-US"/>
        </w:rPr>
        <w:t>K</w:t>
      </w:r>
      <w:r w:rsidR="00163CB4" w:rsidRPr="00714401">
        <w:rPr>
          <w:rFonts w:ascii="Book Antiqua" w:hAnsi="Book Antiqua"/>
          <w:color w:val="auto"/>
          <w:lang w:val="en-US"/>
        </w:rPr>
        <w:t xml:space="preserve"> &lt;</w:t>
      </w:r>
      <w:r w:rsidR="0076063F" w:rsidRPr="00714401">
        <w:rPr>
          <w:rFonts w:ascii="Book Antiqua" w:hAnsi="Book Antiqua"/>
          <w:color w:val="auto"/>
          <w:lang w:val="en-US"/>
        </w:rPr>
        <w:t xml:space="preserve"> </w:t>
      </w:r>
      <w:r w:rsidR="00163CB4" w:rsidRPr="00714401">
        <w:rPr>
          <w:rFonts w:ascii="Book Antiqua" w:hAnsi="Book Antiqua"/>
          <w:color w:val="auto"/>
          <w:lang w:val="en-US"/>
        </w:rPr>
        <w:t>0.180</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on POD 1 </w:t>
      </w:r>
      <w:r w:rsidR="00A071F0" w:rsidRPr="00714401">
        <w:rPr>
          <w:rFonts w:ascii="Book Antiqua" w:hAnsi="Book Antiqua"/>
          <w:color w:val="auto"/>
          <w:lang w:val="en-US"/>
        </w:rPr>
        <w:t xml:space="preserve">correctly predicted </w:t>
      </w:r>
      <w:r w:rsidR="00163CB4" w:rsidRPr="00714401">
        <w:rPr>
          <w:rFonts w:ascii="Book Antiqua" w:hAnsi="Book Antiqua"/>
          <w:color w:val="auto"/>
          <w:lang w:val="en-US"/>
        </w:rPr>
        <w:t>the poor outcome of the</w:t>
      </w:r>
      <w:r w:rsidR="0076063F" w:rsidRPr="00714401">
        <w:rPr>
          <w:rFonts w:ascii="Book Antiqua" w:hAnsi="Book Antiqua"/>
          <w:color w:val="auto"/>
          <w:lang w:val="en-US"/>
        </w:rPr>
        <w:t xml:space="preserve"> </w:t>
      </w:r>
      <w:r w:rsidR="00163CB4" w:rsidRPr="00714401">
        <w:rPr>
          <w:rFonts w:ascii="Book Antiqua" w:hAnsi="Book Antiqua"/>
          <w:color w:val="auto"/>
          <w:lang w:val="en-US"/>
        </w:rPr>
        <w:t xml:space="preserve">six patients </w:t>
      </w:r>
      <w:r w:rsidR="00A071F0" w:rsidRPr="00714401">
        <w:rPr>
          <w:rFonts w:ascii="Book Antiqua" w:hAnsi="Book Antiqua"/>
          <w:color w:val="auto"/>
          <w:lang w:val="en-US"/>
        </w:rPr>
        <w:t xml:space="preserve">of </w:t>
      </w:r>
      <w:r w:rsidR="00163CB4" w:rsidRPr="00714401">
        <w:rPr>
          <w:rFonts w:ascii="Book Antiqua" w:hAnsi="Book Antiqua"/>
          <w:color w:val="auto"/>
          <w:lang w:val="en-US"/>
        </w:rPr>
        <w:t xml:space="preserve">group </w:t>
      </w:r>
      <w:r w:rsidR="00A071F0" w:rsidRPr="00714401">
        <w:rPr>
          <w:rFonts w:ascii="Book Antiqua" w:hAnsi="Book Antiqua"/>
          <w:color w:val="auto"/>
          <w:lang w:val="en-US"/>
        </w:rPr>
        <w:t>B</w:t>
      </w:r>
      <w:r w:rsidR="00163CB4" w:rsidRPr="00714401">
        <w:rPr>
          <w:rFonts w:ascii="Book Antiqua" w:hAnsi="Book Antiqua"/>
          <w:color w:val="auto"/>
          <w:lang w:val="en-US"/>
        </w:rPr>
        <w:t>.</w:t>
      </w:r>
      <w:r w:rsidR="0076063F" w:rsidRPr="00714401">
        <w:rPr>
          <w:rFonts w:ascii="Book Antiqua" w:hAnsi="Book Antiqua"/>
          <w:color w:val="auto"/>
          <w:lang w:val="en-US"/>
        </w:rPr>
        <w:t xml:space="preserve"> </w:t>
      </w:r>
    </w:p>
    <w:p w:rsidR="00E10869" w:rsidRPr="00714401" w:rsidRDefault="006A2D5C" w:rsidP="002A7AC8">
      <w:pPr>
        <w:pStyle w:val="Default"/>
        <w:snapToGrid w:val="0"/>
        <w:spacing w:line="360" w:lineRule="auto"/>
        <w:ind w:firstLineChars="100" w:firstLine="240"/>
        <w:jc w:val="both"/>
        <w:rPr>
          <w:rFonts w:ascii="Book Antiqua" w:hAnsi="Book Antiqua"/>
          <w:vanish/>
          <w:color w:val="auto"/>
          <w:lang w:val="en-US"/>
          <w:specVanish/>
        </w:rPr>
      </w:pPr>
      <w:r w:rsidRPr="00714401">
        <w:rPr>
          <w:rFonts w:ascii="Book Antiqua" w:hAnsi="Book Antiqua"/>
          <w:color w:val="auto"/>
          <w:lang w:val="en-US"/>
        </w:rPr>
        <w:t xml:space="preserve">Levesque </w:t>
      </w:r>
      <w:r w:rsidRPr="00714401">
        <w:rPr>
          <w:rFonts w:ascii="Book Antiqua" w:hAnsi="Book Antiqua"/>
          <w:i/>
          <w:color w:val="auto"/>
          <w:lang w:val="en-US"/>
        </w:rPr>
        <w:t>et al</w:t>
      </w:r>
      <w:r w:rsidR="002A7AC8" w:rsidRPr="00714401">
        <w:rPr>
          <w:rFonts w:ascii="Book Antiqua" w:hAnsi="Book Antiqua"/>
          <w:color w:val="auto"/>
          <w:vertAlign w:val="superscript"/>
          <w:lang w:val="en-US"/>
        </w:rPr>
        <w:t>[56,57]</w:t>
      </w:r>
      <w:r w:rsidRPr="00714401">
        <w:rPr>
          <w:rFonts w:ascii="Book Antiqua" w:hAnsi="Book Antiqua"/>
          <w:color w:val="auto"/>
          <w:lang w:val="en-US"/>
        </w:rPr>
        <w:t xml:space="preserve"> </w:t>
      </w:r>
      <w:r w:rsidR="00CF628E" w:rsidRPr="00714401">
        <w:rPr>
          <w:rFonts w:ascii="Book Antiqua" w:hAnsi="Book Antiqua"/>
          <w:color w:val="auto"/>
          <w:lang w:val="en-US"/>
        </w:rPr>
        <w:t xml:space="preserve">using </w:t>
      </w:r>
      <w:proofErr w:type="spellStart"/>
      <w:r w:rsidRPr="00714401">
        <w:rPr>
          <w:rFonts w:ascii="Book Antiqua" w:hAnsi="Book Antiqua"/>
          <w:color w:val="auto"/>
          <w:lang w:val="en-US"/>
        </w:rPr>
        <w:t>LiMON</w:t>
      </w:r>
      <w:proofErr w:type="spellEnd"/>
      <w:r w:rsidRPr="00714401">
        <w:rPr>
          <w:rFonts w:ascii="Book Antiqua" w:hAnsi="Book Antiqua"/>
          <w:color w:val="auto"/>
          <w:lang w:val="en-US"/>
        </w:rPr>
        <w:t xml:space="preserve"> </w:t>
      </w:r>
      <w:r w:rsidR="00A071F0" w:rsidRPr="00714401">
        <w:rPr>
          <w:rFonts w:ascii="Book Antiqua" w:hAnsi="Book Antiqua"/>
          <w:color w:val="auto"/>
          <w:lang w:val="en-US"/>
        </w:rPr>
        <w:t>(</w:t>
      </w:r>
      <w:proofErr w:type="spellStart"/>
      <w:r w:rsidRPr="00714401">
        <w:rPr>
          <w:rFonts w:ascii="Book Antiqua" w:hAnsi="Book Antiqua"/>
          <w:color w:val="auto"/>
          <w:lang w:val="en-US"/>
        </w:rPr>
        <w:t>Pulsion</w:t>
      </w:r>
      <w:proofErr w:type="spellEnd"/>
      <w:r w:rsidR="00667E98" w:rsidRPr="00714401">
        <w:rPr>
          <w:rFonts w:ascii="Book Antiqua" w:hAnsi="Book Antiqua"/>
          <w:color w:val="auto"/>
          <w:lang w:val="en-US"/>
        </w:rPr>
        <w:t xml:space="preserve"> </w:t>
      </w:r>
      <w:proofErr w:type="spellStart"/>
      <w:r w:rsidR="00667E98" w:rsidRPr="00714401">
        <w:rPr>
          <w:rFonts w:ascii="Book Antiqua" w:hAnsi="Book Antiqua"/>
          <w:color w:val="auto"/>
          <w:lang w:val="en-US"/>
        </w:rPr>
        <w:t>Medica</w:t>
      </w:r>
      <w:proofErr w:type="spellEnd"/>
      <w:r w:rsidR="00667E98" w:rsidRPr="00714401">
        <w:rPr>
          <w:rFonts w:ascii="Book Antiqua" w:hAnsi="Book Antiqua"/>
          <w:color w:val="auto"/>
          <w:lang w:val="en-US"/>
        </w:rPr>
        <w:t xml:space="preserve"> System</w:t>
      </w:r>
      <w:r w:rsidR="00A071F0" w:rsidRPr="00714401">
        <w:rPr>
          <w:rFonts w:ascii="Book Antiqua" w:hAnsi="Book Antiqua"/>
          <w:color w:val="auto"/>
          <w:lang w:val="en-US"/>
        </w:rPr>
        <w:t>, Germany)</w:t>
      </w:r>
      <w:r w:rsidRPr="00714401">
        <w:rPr>
          <w:rFonts w:ascii="Book Antiqua" w:hAnsi="Book Antiqua"/>
          <w:color w:val="auto"/>
          <w:lang w:val="en-US"/>
        </w:rPr>
        <w:t xml:space="preserve"> </w:t>
      </w:r>
      <w:r w:rsidR="00880791" w:rsidRPr="00714401">
        <w:rPr>
          <w:rFonts w:ascii="Book Antiqua" w:hAnsi="Book Antiqua"/>
          <w:color w:val="auto"/>
          <w:lang w:val="en-US"/>
        </w:rPr>
        <w:t xml:space="preserve">from POD 1 to POD 5 </w:t>
      </w:r>
      <w:r w:rsidR="00CF628E" w:rsidRPr="00714401">
        <w:rPr>
          <w:rFonts w:ascii="Book Antiqua" w:hAnsi="Book Antiqua"/>
          <w:color w:val="auto"/>
          <w:lang w:val="en-US"/>
        </w:rPr>
        <w:t>define</w:t>
      </w:r>
      <w:r w:rsidR="001D395B" w:rsidRPr="00714401">
        <w:rPr>
          <w:rFonts w:ascii="Book Antiqua" w:hAnsi="Book Antiqua"/>
          <w:color w:val="auto"/>
          <w:lang w:val="en-US"/>
        </w:rPr>
        <w:t xml:space="preserve">d an </w:t>
      </w:r>
      <w:r w:rsidR="00E10869" w:rsidRPr="00714401">
        <w:rPr>
          <w:rFonts w:ascii="Book Antiqua" w:hAnsi="Book Antiqua"/>
          <w:color w:val="auto"/>
          <w:lang w:val="en-US"/>
        </w:rPr>
        <w:t>ICG</w:t>
      </w:r>
      <w:r w:rsidR="00677AA8" w:rsidRPr="00714401">
        <w:rPr>
          <w:rFonts w:ascii="Book Antiqua" w:hAnsi="Book Antiqua"/>
          <w:color w:val="auto"/>
          <w:vertAlign w:val="subscript"/>
          <w:lang w:val="en-US"/>
        </w:rPr>
        <w:t>PDR</w:t>
      </w:r>
      <w:r w:rsidR="00E10869" w:rsidRPr="00714401">
        <w:rPr>
          <w:rFonts w:ascii="Book Antiqua" w:hAnsi="Book Antiqua"/>
          <w:color w:val="auto"/>
          <w:lang w:val="en-US"/>
        </w:rPr>
        <w:t xml:space="preserve"> </w:t>
      </w:r>
      <w:r w:rsidR="001D395B" w:rsidRPr="00714401">
        <w:rPr>
          <w:rFonts w:ascii="Book Antiqua" w:hAnsi="Book Antiqua"/>
          <w:color w:val="auto"/>
          <w:lang w:val="en-US"/>
        </w:rPr>
        <w:t xml:space="preserve">value able to </w:t>
      </w:r>
      <w:r w:rsidR="00E10869" w:rsidRPr="00714401">
        <w:rPr>
          <w:rFonts w:ascii="Book Antiqua" w:hAnsi="Book Antiqua"/>
          <w:color w:val="auto"/>
          <w:lang w:val="en-US"/>
        </w:rPr>
        <w:t>predict early postoperative complications</w:t>
      </w:r>
      <w:r w:rsidR="00610290" w:rsidRPr="00714401">
        <w:rPr>
          <w:rFonts w:ascii="Book Antiqua" w:hAnsi="Book Antiqua"/>
          <w:color w:val="auto"/>
          <w:lang w:val="en-US"/>
        </w:rPr>
        <w:t>.</w:t>
      </w:r>
      <w:r w:rsidR="00AC4974" w:rsidRPr="00714401">
        <w:rPr>
          <w:rFonts w:ascii="Book Antiqua" w:hAnsi="Book Antiqua"/>
          <w:color w:val="auto"/>
          <w:lang w:val="en-US"/>
        </w:rPr>
        <w:t xml:space="preserve"> </w:t>
      </w:r>
      <w:r w:rsidR="00532B34" w:rsidRPr="00714401">
        <w:rPr>
          <w:rFonts w:ascii="Book Antiqua" w:hAnsi="Book Antiqua"/>
          <w:color w:val="auto"/>
          <w:lang w:val="en-US"/>
        </w:rPr>
        <w:t xml:space="preserve">In </w:t>
      </w:r>
      <w:r w:rsidR="00BC06F7" w:rsidRPr="00714401">
        <w:rPr>
          <w:rFonts w:ascii="Book Antiqua" w:hAnsi="Book Antiqua"/>
          <w:color w:val="auto"/>
          <w:lang w:val="en-US"/>
        </w:rPr>
        <w:t>a</w:t>
      </w:r>
      <w:r w:rsidR="00363EA4" w:rsidRPr="00714401">
        <w:rPr>
          <w:rFonts w:ascii="Book Antiqua" w:hAnsi="Book Antiqua"/>
          <w:color w:val="auto"/>
          <w:lang w:val="en-US"/>
        </w:rPr>
        <w:t xml:space="preserve"> first </w:t>
      </w:r>
      <w:proofErr w:type="gramStart"/>
      <w:r w:rsidR="00363EA4" w:rsidRPr="00714401">
        <w:rPr>
          <w:rFonts w:ascii="Book Antiqua" w:hAnsi="Book Antiqua"/>
          <w:color w:val="auto"/>
          <w:lang w:val="en-US"/>
        </w:rPr>
        <w:t>study</w:t>
      </w:r>
      <w:r w:rsidR="002A7AC8" w:rsidRPr="00714401">
        <w:rPr>
          <w:rFonts w:ascii="Book Antiqua" w:hAnsi="Book Antiqua"/>
          <w:color w:val="auto"/>
          <w:vertAlign w:val="superscript"/>
          <w:lang w:val="en-US"/>
        </w:rPr>
        <w:t>[</w:t>
      </w:r>
      <w:proofErr w:type="gramEnd"/>
      <w:r w:rsidR="002A7AC8" w:rsidRPr="00714401">
        <w:rPr>
          <w:rFonts w:ascii="Book Antiqua" w:hAnsi="Book Antiqua"/>
          <w:color w:val="auto"/>
          <w:vertAlign w:val="superscript"/>
          <w:lang w:val="en-US"/>
        </w:rPr>
        <w:t>56]</w:t>
      </w:r>
      <w:r w:rsidR="00D85697" w:rsidRPr="00714401">
        <w:rPr>
          <w:rFonts w:ascii="Book Antiqua" w:hAnsi="Book Antiqua"/>
          <w:color w:val="auto"/>
          <w:lang w:val="en-US"/>
        </w:rPr>
        <w:t>,</w:t>
      </w:r>
      <w:r w:rsidRPr="00714401">
        <w:rPr>
          <w:rFonts w:ascii="Book Antiqua" w:hAnsi="Book Antiqua"/>
          <w:color w:val="auto"/>
          <w:vertAlign w:val="superscript"/>
          <w:lang w:val="en-US"/>
        </w:rPr>
        <w:t xml:space="preserve"> </w:t>
      </w:r>
      <w:r w:rsidR="00A70FCB" w:rsidRPr="00714401">
        <w:rPr>
          <w:rFonts w:ascii="Book Antiqua" w:hAnsi="Book Antiqua"/>
          <w:color w:val="auto"/>
          <w:lang w:val="en-US"/>
        </w:rPr>
        <w:t xml:space="preserve">in a series of 70 consecutive procedures, </w:t>
      </w:r>
      <w:r w:rsidR="00AC05A4" w:rsidRPr="00714401">
        <w:rPr>
          <w:rFonts w:ascii="Book Antiqua" w:hAnsi="Book Antiqua"/>
          <w:color w:val="auto"/>
          <w:lang w:val="en-US"/>
        </w:rPr>
        <w:t xml:space="preserve">the </w:t>
      </w:r>
      <w:r w:rsidR="00BC06F7" w:rsidRPr="00714401">
        <w:rPr>
          <w:rFonts w:ascii="Book Antiqua" w:hAnsi="Book Antiqua"/>
          <w:color w:val="auto"/>
          <w:lang w:val="en-US"/>
        </w:rPr>
        <w:t xml:space="preserve">transplanted </w:t>
      </w:r>
      <w:r w:rsidR="00AC05A4" w:rsidRPr="00714401">
        <w:rPr>
          <w:rFonts w:ascii="Book Antiqua" w:hAnsi="Book Antiqua"/>
          <w:color w:val="auto"/>
          <w:lang w:val="en-US"/>
        </w:rPr>
        <w:t>patients</w:t>
      </w:r>
      <w:r w:rsidR="00A071F0" w:rsidRPr="00714401">
        <w:rPr>
          <w:rFonts w:ascii="Book Antiqua" w:hAnsi="Book Antiqua"/>
          <w:color w:val="auto"/>
          <w:lang w:val="en-US"/>
        </w:rPr>
        <w:t xml:space="preserve"> </w:t>
      </w:r>
      <w:r w:rsidRPr="00714401">
        <w:rPr>
          <w:rFonts w:ascii="Book Antiqua" w:hAnsi="Book Antiqua"/>
          <w:color w:val="auto"/>
          <w:lang w:val="en-US"/>
        </w:rPr>
        <w:t>were divided in two groups</w:t>
      </w:r>
      <w:r w:rsidR="0076063F" w:rsidRPr="00714401">
        <w:rPr>
          <w:rFonts w:ascii="Book Antiqua" w:hAnsi="Book Antiqua"/>
          <w:color w:val="auto"/>
          <w:lang w:val="en-US"/>
        </w:rPr>
        <w:t xml:space="preserve"> </w:t>
      </w:r>
      <w:r w:rsidR="00A70FCB" w:rsidRPr="00714401">
        <w:rPr>
          <w:rFonts w:ascii="Book Antiqua" w:hAnsi="Book Antiqua"/>
          <w:color w:val="auto"/>
          <w:lang w:val="en-US"/>
        </w:rPr>
        <w:t>according to the early outcome</w:t>
      </w:r>
      <w:r w:rsidR="00797078" w:rsidRPr="00714401">
        <w:rPr>
          <w:rFonts w:ascii="Book Antiqua" w:hAnsi="Book Antiqua"/>
          <w:color w:val="auto"/>
          <w:lang w:val="en-US"/>
        </w:rPr>
        <w:t>:</w:t>
      </w:r>
      <w:r w:rsidR="0076063F" w:rsidRPr="00714401">
        <w:rPr>
          <w:rFonts w:ascii="Book Antiqua" w:hAnsi="Book Antiqua"/>
          <w:color w:val="auto"/>
          <w:lang w:val="en-US"/>
        </w:rPr>
        <w:t xml:space="preserve"> </w:t>
      </w:r>
      <w:r w:rsidR="0088045B" w:rsidRPr="00714401">
        <w:rPr>
          <w:rFonts w:ascii="Book Antiqua" w:hAnsi="Book Antiqua"/>
          <w:color w:val="auto"/>
          <w:lang w:val="en-US"/>
        </w:rPr>
        <w:t>I</w:t>
      </w:r>
      <w:r w:rsidR="005266A0" w:rsidRPr="00714401">
        <w:rPr>
          <w:rFonts w:ascii="Book Antiqua" w:hAnsi="Book Antiqua"/>
          <w:color w:val="auto"/>
          <w:lang w:val="en-US"/>
        </w:rPr>
        <w:t>n the group of patients who did well, had</w:t>
      </w:r>
      <w:r w:rsidR="0076063F" w:rsidRPr="00714401">
        <w:rPr>
          <w:rFonts w:ascii="Book Antiqua" w:hAnsi="Book Antiqua"/>
          <w:color w:val="auto"/>
          <w:lang w:val="en-US"/>
        </w:rPr>
        <w:t xml:space="preserve"> </w:t>
      </w:r>
      <w:r w:rsidR="00CB39D0" w:rsidRPr="00714401">
        <w:rPr>
          <w:rFonts w:ascii="Book Antiqua" w:hAnsi="Book Antiqua"/>
          <w:color w:val="auto"/>
          <w:lang w:val="en-US"/>
        </w:rPr>
        <w:t>immediate good graft function</w:t>
      </w:r>
      <w:r w:rsidR="005266A0" w:rsidRPr="00714401">
        <w:rPr>
          <w:rFonts w:ascii="Book Antiqua" w:hAnsi="Book Antiqua"/>
          <w:color w:val="auto"/>
          <w:lang w:val="en-US"/>
        </w:rPr>
        <w:t xml:space="preserve">, </w:t>
      </w:r>
      <w:proofErr w:type="spellStart"/>
      <w:r w:rsidR="00CB39D0" w:rsidRPr="00714401">
        <w:rPr>
          <w:rFonts w:ascii="Book Antiqua" w:hAnsi="Book Antiqua"/>
          <w:color w:val="auto"/>
          <w:lang w:val="en-US"/>
        </w:rPr>
        <w:t>favourable</w:t>
      </w:r>
      <w:proofErr w:type="spellEnd"/>
      <w:r w:rsidR="0076063F" w:rsidRPr="00714401">
        <w:rPr>
          <w:rFonts w:ascii="Book Antiqua" w:hAnsi="Book Antiqua"/>
          <w:color w:val="auto"/>
          <w:lang w:val="en-US"/>
        </w:rPr>
        <w:t xml:space="preserve"> </w:t>
      </w:r>
      <w:r w:rsidR="005266A0" w:rsidRPr="00714401">
        <w:rPr>
          <w:rFonts w:ascii="Book Antiqua" w:hAnsi="Book Antiqua"/>
          <w:color w:val="auto"/>
          <w:lang w:val="en-US"/>
        </w:rPr>
        <w:t xml:space="preserve">postoperative course and </w:t>
      </w:r>
      <w:r w:rsidR="00CB39D0" w:rsidRPr="00714401">
        <w:rPr>
          <w:rFonts w:ascii="Book Antiqua" w:hAnsi="Book Antiqua"/>
          <w:color w:val="auto"/>
          <w:lang w:val="en-US"/>
        </w:rPr>
        <w:t xml:space="preserve">positive </w:t>
      </w:r>
      <w:r w:rsidR="005266A0" w:rsidRPr="00714401">
        <w:rPr>
          <w:rFonts w:ascii="Book Antiqua" w:hAnsi="Book Antiqua"/>
          <w:color w:val="auto"/>
          <w:lang w:val="en-US"/>
        </w:rPr>
        <w:t>outcome</w:t>
      </w:r>
      <w:r w:rsidR="00CB39D0" w:rsidRPr="00714401">
        <w:rPr>
          <w:rFonts w:ascii="Book Antiqua" w:hAnsi="Book Antiqua"/>
          <w:color w:val="auto"/>
          <w:lang w:val="en-US"/>
        </w:rPr>
        <w:t>,</w:t>
      </w:r>
      <w:r w:rsidR="0076063F" w:rsidRPr="00714401">
        <w:rPr>
          <w:rFonts w:ascii="Book Antiqua" w:hAnsi="Book Antiqua"/>
          <w:color w:val="auto"/>
          <w:lang w:val="en-US"/>
        </w:rPr>
        <w:t xml:space="preserve"> </w:t>
      </w:r>
      <w:r w:rsidRPr="00714401">
        <w:rPr>
          <w:rFonts w:ascii="Book Antiqua" w:hAnsi="Book Antiqua"/>
          <w:color w:val="auto"/>
          <w:lang w:val="en-US"/>
        </w:rPr>
        <w:t>ICG</w:t>
      </w:r>
      <w:r w:rsidRPr="00714401">
        <w:rPr>
          <w:rFonts w:ascii="Book Antiqua" w:hAnsi="Book Antiqua"/>
          <w:color w:val="auto"/>
          <w:vertAlign w:val="subscript"/>
          <w:lang w:val="en-US"/>
        </w:rPr>
        <w:t>PDR</w:t>
      </w:r>
      <w:r w:rsidRPr="00714401">
        <w:rPr>
          <w:rFonts w:ascii="Book Antiqua" w:hAnsi="Book Antiqua"/>
          <w:color w:val="auto"/>
          <w:lang w:val="en-US"/>
        </w:rPr>
        <w:t xml:space="preserve"> </w:t>
      </w:r>
      <w:r w:rsidR="005266A0" w:rsidRPr="00714401">
        <w:rPr>
          <w:rFonts w:ascii="Book Antiqua" w:hAnsi="Book Antiqua"/>
          <w:color w:val="auto"/>
          <w:lang w:val="en-US"/>
        </w:rPr>
        <w:t>was</w:t>
      </w:r>
      <w:r w:rsidR="0076063F" w:rsidRPr="00714401">
        <w:rPr>
          <w:rFonts w:ascii="Book Antiqua" w:hAnsi="Book Antiqua"/>
          <w:color w:val="auto"/>
          <w:lang w:val="en-US"/>
        </w:rPr>
        <w:t xml:space="preserve"> </w:t>
      </w:r>
      <w:r w:rsidRPr="00714401">
        <w:rPr>
          <w:rFonts w:ascii="Book Antiqua" w:hAnsi="Book Antiqua"/>
          <w:color w:val="auto"/>
          <w:lang w:val="en-US"/>
        </w:rPr>
        <w:t>24.4</w:t>
      </w:r>
      <w:r w:rsidR="002A7AC8" w:rsidRPr="00714401">
        <w:rPr>
          <w:rFonts w:ascii="Book Antiqua" w:hAnsi="Book Antiqua" w:hint="eastAsia"/>
          <w:color w:val="auto"/>
          <w:lang w:val="en-US" w:eastAsia="zh-CN"/>
        </w:rPr>
        <w:t>%</w:t>
      </w:r>
      <w:r w:rsidRPr="00714401">
        <w:rPr>
          <w:rFonts w:ascii="Book Antiqua" w:hAnsi="Book Antiqua"/>
          <w:color w:val="auto"/>
          <w:lang w:val="en-US"/>
        </w:rPr>
        <w:t xml:space="preserve"> </w:t>
      </w:r>
      <w:r w:rsidRPr="00714401">
        <w:rPr>
          <w:rFonts w:ascii="Book Antiqua" w:hAnsi="Book Antiqua" w:cs="Bell MT"/>
          <w:color w:val="auto"/>
          <w:lang w:val="en-US"/>
        </w:rPr>
        <w:t>±</w:t>
      </w:r>
      <w:r w:rsidRPr="00714401">
        <w:rPr>
          <w:rFonts w:ascii="Book Antiqua" w:hAnsi="Book Antiqua"/>
          <w:color w:val="auto"/>
          <w:lang w:val="en-US"/>
        </w:rPr>
        <w:t xml:space="preserve"> 6.8% </w:t>
      </w:r>
      <w:r w:rsidR="002A7AC8" w:rsidRPr="00714401">
        <w:rPr>
          <w:rFonts w:ascii="Book Antiqua" w:hAnsi="Book Antiqua" w:hint="eastAsia"/>
          <w:color w:val="auto"/>
          <w:lang w:val="en-US" w:eastAsia="zh-CN"/>
        </w:rPr>
        <w:t xml:space="preserve">per </w:t>
      </w:r>
      <w:r w:rsidR="002A7AC8" w:rsidRPr="00714401">
        <w:rPr>
          <w:rFonts w:ascii="Book Antiqua" w:hAnsi="Book Antiqua"/>
          <w:color w:val="auto"/>
          <w:lang w:val="en-US"/>
        </w:rPr>
        <w:t>min</w:t>
      </w:r>
      <w:r w:rsidR="002A7AC8" w:rsidRPr="00714401">
        <w:rPr>
          <w:rFonts w:ascii="Book Antiqua" w:hAnsi="Book Antiqua" w:hint="eastAsia"/>
          <w:color w:val="auto"/>
          <w:lang w:val="en-US" w:eastAsia="zh-CN"/>
        </w:rPr>
        <w:t>ute</w:t>
      </w:r>
      <w:r w:rsidRPr="00714401">
        <w:rPr>
          <w:rFonts w:ascii="Book Antiqua" w:hAnsi="Book Antiqua"/>
          <w:color w:val="auto"/>
          <w:lang w:val="en-US"/>
        </w:rPr>
        <w:t>.</w:t>
      </w:r>
      <w:r w:rsidR="005266A0" w:rsidRPr="00714401">
        <w:rPr>
          <w:rFonts w:ascii="Book Antiqua" w:hAnsi="Book Antiqua"/>
          <w:color w:val="auto"/>
          <w:lang w:val="en-US"/>
        </w:rPr>
        <w:t xml:space="preserve"> </w:t>
      </w:r>
      <w:r w:rsidR="00CB39D0" w:rsidRPr="00714401">
        <w:rPr>
          <w:rFonts w:ascii="Book Antiqua" w:hAnsi="Book Antiqua"/>
          <w:color w:val="auto"/>
          <w:lang w:val="en-US"/>
        </w:rPr>
        <w:t>Instead, t</w:t>
      </w:r>
      <w:r w:rsidRPr="00714401">
        <w:rPr>
          <w:rFonts w:ascii="Book Antiqua" w:hAnsi="Book Antiqua"/>
          <w:color w:val="auto"/>
          <w:lang w:val="en-US"/>
        </w:rPr>
        <w:t>he p</w:t>
      </w:r>
      <w:r w:rsidR="00E10869" w:rsidRPr="00714401">
        <w:rPr>
          <w:rFonts w:ascii="Book Antiqua" w:hAnsi="Book Antiqua"/>
          <w:color w:val="auto"/>
          <w:lang w:val="en-US"/>
        </w:rPr>
        <w:t xml:space="preserve">atients who </w:t>
      </w:r>
      <w:r w:rsidR="00CB39D0" w:rsidRPr="00714401">
        <w:rPr>
          <w:rFonts w:ascii="Book Antiqua" w:hAnsi="Book Antiqua"/>
          <w:color w:val="auto"/>
          <w:lang w:val="en-US"/>
        </w:rPr>
        <w:t>had postoperative c</w:t>
      </w:r>
      <w:r w:rsidR="00E10869" w:rsidRPr="00714401">
        <w:rPr>
          <w:rFonts w:ascii="Book Antiqua" w:hAnsi="Book Antiqua"/>
          <w:color w:val="auto"/>
          <w:lang w:val="en-US"/>
        </w:rPr>
        <w:t xml:space="preserve">omplications were retrospectively </w:t>
      </w:r>
      <w:r w:rsidRPr="00714401">
        <w:rPr>
          <w:rFonts w:ascii="Book Antiqua" w:hAnsi="Book Antiqua"/>
          <w:color w:val="auto"/>
          <w:lang w:val="en-US"/>
        </w:rPr>
        <w:t>sub</w:t>
      </w:r>
      <w:r w:rsidR="00E10869" w:rsidRPr="00714401">
        <w:rPr>
          <w:rFonts w:ascii="Book Antiqua" w:hAnsi="Book Antiqua"/>
          <w:color w:val="auto"/>
          <w:lang w:val="en-US"/>
        </w:rPr>
        <w:t xml:space="preserve">divided into </w:t>
      </w:r>
      <w:r w:rsidR="00A010D9" w:rsidRPr="00714401">
        <w:rPr>
          <w:rFonts w:ascii="Book Antiqua" w:hAnsi="Book Antiqua"/>
          <w:color w:val="auto"/>
          <w:lang w:val="en-US"/>
        </w:rPr>
        <w:t xml:space="preserve">two </w:t>
      </w:r>
      <w:r w:rsidR="005266A0" w:rsidRPr="00714401">
        <w:rPr>
          <w:rFonts w:ascii="Book Antiqua" w:hAnsi="Book Antiqua"/>
          <w:color w:val="auto"/>
          <w:lang w:val="en-US"/>
        </w:rPr>
        <w:t>sub</w:t>
      </w:r>
      <w:r w:rsidR="00A010D9" w:rsidRPr="00714401">
        <w:rPr>
          <w:rFonts w:ascii="Book Antiqua" w:hAnsi="Book Antiqua"/>
          <w:color w:val="auto"/>
          <w:lang w:val="en-US"/>
        </w:rPr>
        <w:t xml:space="preserve">groups: </w:t>
      </w:r>
      <w:r w:rsidR="002A7AC8" w:rsidRPr="00714401">
        <w:rPr>
          <w:rFonts w:ascii="Book Antiqua" w:hAnsi="Book Antiqua"/>
          <w:color w:val="auto"/>
          <w:lang w:val="en-US"/>
        </w:rPr>
        <w:t>T</w:t>
      </w:r>
      <w:r w:rsidR="00A010D9" w:rsidRPr="00714401">
        <w:rPr>
          <w:rFonts w:ascii="Book Antiqua" w:hAnsi="Book Antiqua"/>
          <w:color w:val="auto"/>
          <w:lang w:val="en-US"/>
        </w:rPr>
        <w:t xml:space="preserve">he first </w:t>
      </w:r>
      <w:r w:rsidR="00CB39D0" w:rsidRPr="00714401">
        <w:rPr>
          <w:rFonts w:ascii="Book Antiqua" w:hAnsi="Book Antiqua"/>
          <w:color w:val="auto"/>
          <w:lang w:val="en-US"/>
        </w:rPr>
        <w:t>group was composed by</w:t>
      </w:r>
      <w:r w:rsidR="0076063F" w:rsidRPr="00714401">
        <w:rPr>
          <w:rFonts w:ascii="Book Antiqua" w:hAnsi="Book Antiqua"/>
          <w:color w:val="auto"/>
          <w:lang w:val="en-US"/>
        </w:rPr>
        <w:t xml:space="preserve"> </w:t>
      </w:r>
      <w:r w:rsidR="005266A0" w:rsidRPr="00714401">
        <w:rPr>
          <w:rFonts w:ascii="Book Antiqua" w:hAnsi="Book Antiqua"/>
          <w:color w:val="auto"/>
          <w:lang w:val="en-US"/>
        </w:rPr>
        <w:t xml:space="preserve">subjects </w:t>
      </w:r>
      <w:r w:rsidR="00CB39D0" w:rsidRPr="00714401">
        <w:rPr>
          <w:rFonts w:ascii="Book Antiqua" w:hAnsi="Book Antiqua"/>
          <w:color w:val="auto"/>
          <w:lang w:val="en-US"/>
        </w:rPr>
        <w:t xml:space="preserve">who experienced </w:t>
      </w:r>
      <w:r w:rsidR="00E10869" w:rsidRPr="00714401">
        <w:rPr>
          <w:rFonts w:ascii="Book Antiqua" w:hAnsi="Book Antiqua"/>
          <w:color w:val="auto"/>
          <w:lang w:val="en-US"/>
        </w:rPr>
        <w:t xml:space="preserve">PGNF, HAT, </w:t>
      </w:r>
      <w:r w:rsidR="005266A0" w:rsidRPr="00714401">
        <w:rPr>
          <w:rFonts w:ascii="Book Antiqua" w:hAnsi="Book Antiqua"/>
          <w:color w:val="auto"/>
          <w:lang w:val="en-US"/>
        </w:rPr>
        <w:t xml:space="preserve">and hemorrhagic or </w:t>
      </w:r>
      <w:r w:rsidR="00E10869" w:rsidRPr="00714401">
        <w:rPr>
          <w:rFonts w:ascii="Book Antiqua" w:hAnsi="Book Antiqua"/>
          <w:color w:val="auto"/>
          <w:lang w:val="en-US"/>
        </w:rPr>
        <w:t xml:space="preserve">septic shock </w:t>
      </w:r>
      <w:r w:rsidR="005266A0" w:rsidRPr="00714401">
        <w:rPr>
          <w:rFonts w:ascii="Book Antiqua" w:hAnsi="Book Antiqua"/>
          <w:color w:val="auto"/>
          <w:lang w:val="en-US"/>
        </w:rPr>
        <w:t>(early complications);</w:t>
      </w:r>
      <w:r w:rsidR="0076063F" w:rsidRPr="00714401">
        <w:rPr>
          <w:rFonts w:ascii="Book Antiqua" w:hAnsi="Book Antiqua"/>
          <w:color w:val="auto"/>
          <w:lang w:val="en-US"/>
        </w:rPr>
        <w:t xml:space="preserve"> </w:t>
      </w:r>
      <w:r w:rsidRPr="00714401">
        <w:rPr>
          <w:rFonts w:ascii="Book Antiqua" w:hAnsi="Book Antiqua"/>
          <w:color w:val="auto"/>
          <w:lang w:val="en-US"/>
        </w:rPr>
        <w:t>t</w:t>
      </w:r>
      <w:r w:rsidR="00E10869" w:rsidRPr="00714401">
        <w:rPr>
          <w:rFonts w:ascii="Book Antiqua" w:hAnsi="Book Antiqua"/>
          <w:color w:val="auto"/>
          <w:lang w:val="en-US"/>
        </w:rPr>
        <w:t xml:space="preserve">he second </w:t>
      </w:r>
      <w:r w:rsidR="00CB39D0" w:rsidRPr="00714401">
        <w:rPr>
          <w:rFonts w:ascii="Book Antiqua" w:hAnsi="Book Antiqua"/>
          <w:color w:val="auto"/>
          <w:lang w:val="en-US"/>
        </w:rPr>
        <w:t xml:space="preserve">included </w:t>
      </w:r>
      <w:r w:rsidR="00AC05A4" w:rsidRPr="00714401">
        <w:rPr>
          <w:rFonts w:ascii="Book Antiqua" w:hAnsi="Book Antiqua"/>
          <w:color w:val="auto"/>
          <w:lang w:val="en-US"/>
        </w:rPr>
        <w:t xml:space="preserve">patients </w:t>
      </w:r>
      <w:r w:rsidR="005266A0" w:rsidRPr="00714401">
        <w:rPr>
          <w:rFonts w:ascii="Book Antiqua" w:hAnsi="Book Antiqua"/>
          <w:color w:val="auto"/>
          <w:lang w:val="en-US"/>
        </w:rPr>
        <w:t>who had rejection (</w:t>
      </w:r>
      <w:r w:rsidR="00E10869" w:rsidRPr="00714401">
        <w:rPr>
          <w:rFonts w:ascii="Book Antiqua" w:hAnsi="Book Antiqua"/>
          <w:color w:val="auto"/>
          <w:lang w:val="en-US"/>
        </w:rPr>
        <w:t>late complications</w:t>
      </w:r>
      <w:r w:rsidR="005266A0" w:rsidRPr="00714401">
        <w:rPr>
          <w:rFonts w:ascii="Book Antiqua" w:hAnsi="Book Antiqua"/>
          <w:color w:val="auto"/>
          <w:lang w:val="en-US"/>
        </w:rPr>
        <w:t>)</w:t>
      </w:r>
      <w:r w:rsidR="00E10869" w:rsidRPr="00714401">
        <w:rPr>
          <w:rFonts w:ascii="Book Antiqua" w:hAnsi="Book Antiqua"/>
          <w:color w:val="auto"/>
          <w:lang w:val="en-US"/>
        </w:rPr>
        <w:t>.</w:t>
      </w:r>
      <w:r w:rsidR="005266A0" w:rsidRPr="00714401">
        <w:rPr>
          <w:rFonts w:ascii="Book Antiqua" w:hAnsi="Book Antiqua"/>
          <w:color w:val="auto"/>
          <w:lang w:val="en-US"/>
        </w:rPr>
        <w:t xml:space="preserve"> While</w:t>
      </w:r>
      <w:r w:rsidR="0076063F" w:rsidRPr="00714401">
        <w:rPr>
          <w:rFonts w:ascii="Book Antiqua" w:hAnsi="Book Antiqua"/>
          <w:color w:val="auto"/>
          <w:lang w:val="en-US"/>
        </w:rPr>
        <w:t xml:space="preserve"> </w:t>
      </w:r>
      <w:r w:rsidR="005266A0" w:rsidRPr="00714401">
        <w:rPr>
          <w:rFonts w:ascii="Book Antiqua" w:hAnsi="Book Antiqua"/>
          <w:color w:val="auto"/>
          <w:lang w:val="en-US"/>
        </w:rPr>
        <w:t>ICG</w:t>
      </w:r>
      <w:r w:rsidR="005266A0" w:rsidRPr="00714401">
        <w:rPr>
          <w:rFonts w:ascii="Book Antiqua" w:hAnsi="Book Antiqua"/>
          <w:color w:val="auto"/>
          <w:vertAlign w:val="subscript"/>
          <w:lang w:val="en-US"/>
        </w:rPr>
        <w:t>PDR</w:t>
      </w:r>
      <w:r w:rsidR="005266A0" w:rsidRPr="00714401">
        <w:rPr>
          <w:rFonts w:ascii="Book Antiqua" w:hAnsi="Book Antiqua"/>
          <w:color w:val="auto"/>
          <w:lang w:val="en-US"/>
        </w:rPr>
        <w:t xml:space="preserve"> was low (8.8</w:t>
      </w:r>
      <w:r w:rsidR="0052102E" w:rsidRPr="00714401">
        <w:rPr>
          <w:rFonts w:ascii="Book Antiqua" w:hAnsi="Book Antiqua" w:hint="eastAsia"/>
          <w:color w:val="auto"/>
          <w:lang w:val="en-US" w:eastAsia="zh-CN"/>
        </w:rPr>
        <w:t>%</w:t>
      </w:r>
      <w:r w:rsidR="0052102E" w:rsidRPr="00714401">
        <w:rPr>
          <w:rFonts w:ascii="Book Antiqua" w:hAnsi="Book Antiqua"/>
          <w:color w:val="auto"/>
          <w:lang w:val="en-US"/>
        </w:rPr>
        <w:t xml:space="preserve"> ± 4.5</w:t>
      </w:r>
      <w:r w:rsidR="005266A0" w:rsidRPr="00714401">
        <w:rPr>
          <w:rFonts w:ascii="Book Antiqua" w:hAnsi="Book Antiqua"/>
          <w:color w:val="auto"/>
          <w:lang w:val="en-US"/>
        </w:rPr>
        <w:t xml:space="preserve">% </w:t>
      </w:r>
      <w:r w:rsidR="0052102E" w:rsidRPr="00714401">
        <w:rPr>
          <w:rFonts w:ascii="Book Antiqua" w:hAnsi="Book Antiqua" w:hint="eastAsia"/>
          <w:color w:val="auto"/>
          <w:lang w:val="en-US" w:eastAsia="zh-CN"/>
        </w:rPr>
        <w:t xml:space="preserve">per </w:t>
      </w:r>
      <w:r w:rsidR="0052102E" w:rsidRPr="00714401">
        <w:rPr>
          <w:rFonts w:ascii="Book Antiqua" w:hAnsi="Book Antiqua"/>
          <w:color w:val="auto"/>
          <w:lang w:val="en-US"/>
        </w:rPr>
        <w:t>min</w:t>
      </w:r>
      <w:r w:rsidR="0052102E" w:rsidRPr="00714401">
        <w:rPr>
          <w:rFonts w:ascii="Book Antiqua" w:hAnsi="Book Antiqua" w:hint="eastAsia"/>
          <w:color w:val="auto"/>
          <w:lang w:val="en-US" w:eastAsia="zh-CN"/>
        </w:rPr>
        <w:t>ute</w:t>
      </w:r>
      <w:r w:rsidR="005266A0" w:rsidRPr="00714401">
        <w:rPr>
          <w:rFonts w:ascii="Book Antiqua" w:hAnsi="Book Antiqua"/>
          <w:color w:val="auto"/>
          <w:lang w:val="en-US"/>
        </w:rPr>
        <w:t xml:space="preserve">) during the first 5 d in </w:t>
      </w:r>
      <w:r w:rsidR="0090744F" w:rsidRPr="00714401">
        <w:rPr>
          <w:rFonts w:ascii="Book Antiqua" w:hAnsi="Book Antiqua"/>
          <w:color w:val="auto"/>
          <w:lang w:val="en-US"/>
        </w:rPr>
        <w:t xml:space="preserve">the first </w:t>
      </w:r>
      <w:r w:rsidRPr="00714401">
        <w:rPr>
          <w:rFonts w:ascii="Book Antiqua" w:hAnsi="Book Antiqua"/>
          <w:color w:val="auto"/>
          <w:lang w:val="en-US"/>
        </w:rPr>
        <w:t>sub</w:t>
      </w:r>
      <w:r w:rsidR="0090744F" w:rsidRPr="00714401">
        <w:rPr>
          <w:rFonts w:ascii="Book Antiqua" w:hAnsi="Book Antiqua"/>
          <w:color w:val="auto"/>
          <w:lang w:val="en-US"/>
        </w:rPr>
        <w:t>group</w:t>
      </w:r>
      <w:r w:rsidR="003002FE" w:rsidRPr="00714401">
        <w:rPr>
          <w:rFonts w:ascii="Book Antiqua" w:hAnsi="Book Antiqua"/>
          <w:color w:val="auto"/>
          <w:lang w:val="en-US"/>
        </w:rPr>
        <w:t>,</w:t>
      </w:r>
      <w:r w:rsidR="0090744F" w:rsidRPr="00714401">
        <w:rPr>
          <w:rFonts w:ascii="Book Antiqua" w:hAnsi="Book Antiqua"/>
          <w:color w:val="auto"/>
          <w:lang w:val="en-US"/>
        </w:rPr>
        <w:t xml:space="preserve"> </w:t>
      </w:r>
      <w:r w:rsidR="003002FE" w:rsidRPr="00714401">
        <w:rPr>
          <w:rFonts w:ascii="Book Antiqua" w:hAnsi="Book Antiqua"/>
          <w:color w:val="auto"/>
          <w:lang w:val="en-US"/>
        </w:rPr>
        <w:t>in the second</w:t>
      </w:r>
      <w:r w:rsidR="002C342C" w:rsidRPr="00714401">
        <w:rPr>
          <w:rFonts w:ascii="Book Antiqua" w:hAnsi="Book Antiqua"/>
          <w:color w:val="auto"/>
          <w:lang w:val="en-US"/>
        </w:rPr>
        <w:t xml:space="preserve"> </w:t>
      </w:r>
      <w:r w:rsidR="00E10869" w:rsidRPr="00714401">
        <w:rPr>
          <w:rFonts w:ascii="Book Antiqua" w:hAnsi="Book Antiqua"/>
          <w:color w:val="auto"/>
          <w:lang w:val="en-US"/>
        </w:rPr>
        <w:t>the ICG</w:t>
      </w:r>
      <w:r w:rsidR="0090744F" w:rsidRPr="00714401">
        <w:rPr>
          <w:rFonts w:ascii="Book Antiqua" w:hAnsi="Book Antiqua"/>
          <w:color w:val="auto"/>
          <w:vertAlign w:val="subscript"/>
          <w:lang w:val="en-US"/>
        </w:rPr>
        <w:t>PDR</w:t>
      </w:r>
      <w:r w:rsidR="002C342C" w:rsidRPr="00714401">
        <w:rPr>
          <w:rFonts w:ascii="Book Antiqua" w:hAnsi="Book Antiqua"/>
          <w:color w:val="auto"/>
          <w:vertAlign w:val="subscript"/>
          <w:lang w:val="en-US"/>
        </w:rPr>
        <w:t>,</w:t>
      </w:r>
      <w:r w:rsidR="00683A6E" w:rsidRPr="00714401">
        <w:rPr>
          <w:rFonts w:ascii="Book Antiqua" w:hAnsi="Book Antiqua"/>
          <w:color w:val="auto"/>
          <w:lang w:val="en-US"/>
        </w:rPr>
        <w:t xml:space="preserve"> </w:t>
      </w:r>
      <w:r w:rsidR="00E10869" w:rsidRPr="00714401">
        <w:rPr>
          <w:rFonts w:ascii="Book Antiqua" w:hAnsi="Book Antiqua"/>
          <w:color w:val="auto"/>
          <w:lang w:val="en-US"/>
        </w:rPr>
        <w:t xml:space="preserve">initially normal, decreased </w:t>
      </w:r>
      <w:r w:rsidR="0090744F" w:rsidRPr="00714401">
        <w:rPr>
          <w:rFonts w:ascii="Book Antiqua" w:hAnsi="Book Antiqua"/>
          <w:color w:val="auto"/>
          <w:lang w:val="en-US"/>
        </w:rPr>
        <w:t>significantly</w:t>
      </w:r>
      <w:r w:rsidR="0076063F" w:rsidRPr="00714401">
        <w:rPr>
          <w:rFonts w:ascii="Book Antiqua" w:hAnsi="Book Antiqua"/>
          <w:color w:val="auto"/>
          <w:lang w:val="en-US"/>
        </w:rPr>
        <w:t xml:space="preserve"> </w:t>
      </w:r>
      <w:r w:rsidR="0090744F" w:rsidRPr="00714401">
        <w:rPr>
          <w:rFonts w:ascii="Book Antiqua" w:hAnsi="Book Antiqua"/>
          <w:color w:val="auto"/>
          <w:lang w:val="en-US"/>
        </w:rPr>
        <w:t>within</w:t>
      </w:r>
      <w:r w:rsidR="0076063F" w:rsidRPr="00714401">
        <w:rPr>
          <w:rFonts w:ascii="Book Antiqua" w:hAnsi="Book Antiqua"/>
          <w:color w:val="auto"/>
          <w:lang w:val="en-US"/>
        </w:rPr>
        <w:t xml:space="preserve"> </w:t>
      </w:r>
      <w:r w:rsidR="0090744F" w:rsidRPr="00714401">
        <w:rPr>
          <w:rFonts w:ascii="Book Antiqua" w:hAnsi="Book Antiqua"/>
          <w:color w:val="auto"/>
          <w:lang w:val="en-US"/>
        </w:rPr>
        <w:t xml:space="preserve">3 to </w:t>
      </w:r>
      <w:r w:rsidR="00E10869" w:rsidRPr="00714401">
        <w:rPr>
          <w:rFonts w:ascii="Book Antiqua" w:hAnsi="Book Antiqua"/>
          <w:color w:val="auto"/>
          <w:lang w:val="en-US"/>
        </w:rPr>
        <w:t>5 d (</w:t>
      </w:r>
      <w:r w:rsidR="003002FE" w:rsidRPr="00714401">
        <w:rPr>
          <w:rFonts w:ascii="Book Antiqua" w:hAnsi="Book Antiqua"/>
          <w:color w:val="auto"/>
          <w:lang w:val="en-US"/>
        </w:rPr>
        <w:t>ICG</w:t>
      </w:r>
      <w:r w:rsidR="003002FE" w:rsidRPr="00714401">
        <w:rPr>
          <w:rFonts w:ascii="Book Antiqua" w:hAnsi="Book Antiqua"/>
          <w:color w:val="auto"/>
          <w:vertAlign w:val="subscript"/>
          <w:lang w:val="en-US"/>
        </w:rPr>
        <w:t>PDR</w:t>
      </w:r>
      <w:r w:rsidR="003002FE" w:rsidRPr="00714401">
        <w:rPr>
          <w:rFonts w:ascii="Book Antiqua" w:hAnsi="Book Antiqua"/>
          <w:color w:val="auto"/>
          <w:lang w:val="en-US"/>
        </w:rPr>
        <w:t xml:space="preserve"> </w:t>
      </w:r>
      <w:r w:rsidR="00E10869" w:rsidRPr="00714401">
        <w:rPr>
          <w:rFonts w:ascii="Book Antiqua" w:hAnsi="Book Antiqua"/>
          <w:color w:val="auto"/>
          <w:lang w:val="en-US"/>
        </w:rPr>
        <w:t>10.3</w:t>
      </w:r>
      <w:r w:rsidR="0052102E" w:rsidRPr="00714401">
        <w:rPr>
          <w:rFonts w:ascii="Book Antiqua" w:hAnsi="Book Antiqua" w:hint="eastAsia"/>
          <w:color w:val="auto"/>
          <w:lang w:val="en-US" w:eastAsia="zh-CN"/>
        </w:rPr>
        <w:t>%</w:t>
      </w:r>
      <w:r w:rsidR="00E10869" w:rsidRPr="00714401">
        <w:rPr>
          <w:rFonts w:ascii="Book Antiqua" w:hAnsi="Book Antiqua"/>
          <w:color w:val="auto"/>
          <w:lang w:val="en-US"/>
        </w:rPr>
        <w:t xml:space="preserve"> ± 2.5%</w:t>
      </w:r>
      <w:r w:rsidR="003002FE" w:rsidRPr="00714401">
        <w:rPr>
          <w:rFonts w:ascii="Book Antiqua" w:hAnsi="Book Antiqua"/>
          <w:color w:val="auto"/>
          <w:lang w:val="en-US"/>
        </w:rPr>
        <w:t xml:space="preserve"> </w:t>
      </w:r>
      <w:r w:rsidR="0052102E" w:rsidRPr="00714401">
        <w:rPr>
          <w:rFonts w:ascii="Book Antiqua" w:hAnsi="Book Antiqua" w:hint="eastAsia"/>
          <w:color w:val="auto"/>
          <w:lang w:val="en-US" w:eastAsia="zh-CN"/>
        </w:rPr>
        <w:t xml:space="preserve">per </w:t>
      </w:r>
      <w:r w:rsidR="0052102E" w:rsidRPr="00714401">
        <w:rPr>
          <w:rFonts w:ascii="Book Antiqua" w:hAnsi="Book Antiqua"/>
          <w:color w:val="auto"/>
          <w:lang w:val="en-US"/>
        </w:rPr>
        <w:t>min</w:t>
      </w:r>
      <w:r w:rsidR="0052102E" w:rsidRPr="00714401">
        <w:rPr>
          <w:rFonts w:ascii="Book Antiqua" w:hAnsi="Book Antiqua" w:hint="eastAsia"/>
          <w:color w:val="auto"/>
          <w:lang w:val="en-US" w:eastAsia="zh-CN"/>
        </w:rPr>
        <w:t>ute</w:t>
      </w:r>
      <w:r w:rsidR="00E10869" w:rsidRPr="00714401">
        <w:rPr>
          <w:rFonts w:ascii="Book Antiqua" w:hAnsi="Book Antiqua"/>
          <w:color w:val="auto"/>
          <w:lang w:val="en-US"/>
        </w:rPr>
        <w:t xml:space="preserve">). </w:t>
      </w:r>
      <w:r w:rsidR="005266A0" w:rsidRPr="00714401">
        <w:rPr>
          <w:rFonts w:ascii="Book Antiqua" w:hAnsi="Book Antiqua"/>
          <w:color w:val="auto"/>
          <w:lang w:val="en-US"/>
        </w:rPr>
        <w:t xml:space="preserve">Levesque </w:t>
      </w:r>
      <w:r w:rsidR="005266A0" w:rsidRPr="00714401">
        <w:rPr>
          <w:rFonts w:ascii="Book Antiqua" w:hAnsi="Book Antiqua"/>
          <w:i/>
          <w:color w:val="auto"/>
          <w:lang w:val="en-US"/>
        </w:rPr>
        <w:t xml:space="preserve">et </w:t>
      </w:r>
      <w:proofErr w:type="gramStart"/>
      <w:r w:rsidR="005266A0" w:rsidRPr="00714401">
        <w:rPr>
          <w:rFonts w:ascii="Book Antiqua" w:hAnsi="Book Antiqua"/>
          <w:i/>
          <w:color w:val="auto"/>
          <w:lang w:val="en-US"/>
        </w:rPr>
        <w:t>al</w:t>
      </w:r>
      <w:r w:rsidR="0045081E" w:rsidRPr="00714401">
        <w:rPr>
          <w:rFonts w:ascii="Book Antiqua" w:hAnsi="Book Antiqua"/>
          <w:color w:val="auto"/>
          <w:vertAlign w:val="superscript"/>
          <w:lang w:val="en-US"/>
        </w:rPr>
        <w:t>[</w:t>
      </w:r>
      <w:proofErr w:type="gramEnd"/>
      <w:r w:rsidR="0045081E" w:rsidRPr="00714401">
        <w:rPr>
          <w:rFonts w:ascii="Book Antiqua" w:hAnsi="Book Antiqua"/>
          <w:color w:val="auto"/>
          <w:vertAlign w:val="superscript"/>
          <w:lang w:val="en-US"/>
        </w:rPr>
        <w:t>56]</w:t>
      </w:r>
      <w:r w:rsidR="0076063F" w:rsidRPr="00714401">
        <w:rPr>
          <w:rFonts w:ascii="Book Antiqua" w:hAnsi="Book Antiqua"/>
          <w:color w:val="auto"/>
          <w:lang w:val="en-US"/>
        </w:rPr>
        <w:t xml:space="preserve"> </w:t>
      </w:r>
      <w:r w:rsidR="005266A0" w:rsidRPr="00714401">
        <w:rPr>
          <w:rFonts w:ascii="Book Antiqua" w:hAnsi="Book Antiqua"/>
          <w:color w:val="auto"/>
          <w:lang w:val="en-US"/>
        </w:rPr>
        <w:t xml:space="preserve">proposed </w:t>
      </w:r>
      <w:r w:rsidR="00E10869" w:rsidRPr="00714401">
        <w:rPr>
          <w:rFonts w:ascii="Book Antiqua" w:hAnsi="Book Antiqua"/>
          <w:color w:val="auto"/>
          <w:lang w:val="en-US"/>
        </w:rPr>
        <w:t>ICG</w:t>
      </w:r>
      <w:r w:rsidR="0090744F" w:rsidRPr="00714401">
        <w:rPr>
          <w:rFonts w:ascii="Book Antiqua" w:hAnsi="Book Antiqua"/>
          <w:color w:val="auto"/>
          <w:vertAlign w:val="subscript"/>
          <w:lang w:val="en-US"/>
        </w:rPr>
        <w:t>PDR</w:t>
      </w:r>
      <w:r w:rsidR="00E10869" w:rsidRPr="00714401">
        <w:rPr>
          <w:rFonts w:ascii="Book Antiqua" w:hAnsi="Book Antiqua"/>
          <w:color w:val="auto"/>
          <w:lang w:val="en-US"/>
        </w:rPr>
        <w:t xml:space="preserve"> &lt;</w:t>
      </w:r>
      <w:r w:rsidR="002C342C" w:rsidRPr="00714401">
        <w:rPr>
          <w:rFonts w:ascii="Book Antiqua" w:hAnsi="Book Antiqua"/>
          <w:color w:val="auto"/>
          <w:lang w:val="en-US"/>
        </w:rPr>
        <w:t xml:space="preserve"> </w:t>
      </w:r>
      <w:r w:rsidR="00E10869" w:rsidRPr="00714401">
        <w:rPr>
          <w:rFonts w:ascii="Book Antiqua" w:hAnsi="Book Antiqua"/>
          <w:color w:val="auto"/>
          <w:lang w:val="en-US"/>
        </w:rPr>
        <w:t>12.85%</w:t>
      </w:r>
      <w:r w:rsidR="00F123B0" w:rsidRPr="00714401">
        <w:rPr>
          <w:rFonts w:ascii="Book Antiqua" w:hAnsi="Book Antiqua"/>
          <w:color w:val="auto"/>
          <w:lang w:val="en-US"/>
        </w:rPr>
        <w:t xml:space="preserve"> </w:t>
      </w:r>
      <w:r w:rsidR="0052102E" w:rsidRPr="00714401">
        <w:rPr>
          <w:rFonts w:ascii="Book Antiqua" w:hAnsi="Book Antiqua" w:hint="eastAsia"/>
          <w:color w:val="auto"/>
          <w:lang w:val="en-US" w:eastAsia="zh-CN"/>
        </w:rPr>
        <w:t xml:space="preserve">per </w:t>
      </w:r>
      <w:r w:rsidR="0052102E" w:rsidRPr="00714401">
        <w:rPr>
          <w:rFonts w:ascii="Book Antiqua" w:hAnsi="Book Antiqua"/>
          <w:color w:val="auto"/>
          <w:lang w:val="en-US"/>
        </w:rPr>
        <w:t>min</w:t>
      </w:r>
      <w:r w:rsidR="0052102E" w:rsidRPr="00714401">
        <w:rPr>
          <w:rFonts w:ascii="Book Antiqua" w:hAnsi="Book Antiqua" w:hint="eastAsia"/>
          <w:color w:val="auto"/>
          <w:lang w:val="en-US" w:eastAsia="zh-CN"/>
        </w:rPr>
        <w:t>ute</w:t>
      </w:r>
      <w:r w:rsidR="0052102E" w:rsidRPr="00714401">
        <w:rPr>
          <w:rFonts w:ascii="Book Antiqua" w:hAnsi="Book Antiqua"/>
          <w:color w:val="auto"/>
          <w:lang w:val="en-US"/>
        </w:rPr>
        <w:t xml:space="preserve"> </w:t>
      </w:r>
      <w:r w:rsidR="00E10869" w:rsidRPr="00714401">
        <w:rPr>
          <w:rFonts w:ascii="Book Antiqua" w:hAnsi="Book Antiqua"/>
          <w:color w:val="auto"/>
          <w:lang w:val="en-US"/>
        </w:rPr>
        <w:t xml:space="preserve">as a marker of </w:t>
      </w:r>
      <w:r w:rsidR="008D0CBF" w:rsidRPr="00714401">
        <w:rPr>
          <w:rFonts w:ascii="Book Antiqua" w:hAnsi="Book Antiqua"/>
          <w:color w:val="auto"/>
          <w:lang w:val="en-US"/>
        </w:rPr>
        <w:t xml:space="preserve">very early </w:t>
      </w:r>
      <w:r w:rsidR="0090744F" w:rsidRPr="00714401">
        <w:rPr>
          <w:rFonts w:ascii="Book Antiqua" w:hAnsi="Book Antiqua"/>
          <w:color w:val="auto"/>
          <w:lang w:val="en-US"/>
        </w:rPr>
        <w:t>post</w:t>
      </w:r>
      <w:r w:rsidR="00683A6E" w:rsidRPr="00714401">
        <w:rPr>
          <w:rFonts w:ascii="Book Antiqua" w:hAnsi="Book Antiqua"/>
          <w:color w:val="auto"/>
          <w:lang w:val="en-US"/>
        </w:rPr>
        <w:t>operative</w:t>
      </w:r>
      <w:r w:rsidR="0090744F" w:rsidRPr="00714401">
        <w:rPr>
          <w:rFonts w:ascii="Book Antiqua" w:hAnsi="Book Antiqua"/>
          <w:color w:val="auto"/>
          <w:lang w:val="en-US"/>
        </w:rPr>
        <w:t xml:space="preserve"> complications</w:t>
      </w:r>
      <w:r w:rsidR="008D0CBF" w:rsidRPr="00714401">
        <w:rPr>
          <w:rFonts w:ascii="Book Antiqua" w:hAnsi="Book Antiqua"/>
          <w:color w:val="auto"/>
          <w:lang w:val="en-US"/>
        </w:rPr>
        <w:t xml:space="preserve"> (mainly severe </w:t>
      </w:r>
      <w:r w:rsidR="00E10869" w:rsidRPr="00714401">
        <w:rPr>
          <w:rFonts w:ascii="Book Antiqua" w:hAnsi="Book Antiqua"/>
          <w:color w:val="auto"/>
          <w:lang w:val="en-US"/>
        </w:rPr>
        <w:t>hepatocellular dysfunction</w:t>
      </w:r>
      <w:r w:rsidR="008D0CBF" w:rsidRPr="00714401">
        <w:rPr>
          <w:rFonts w:ascii="Book Antiqua" w:hAnsi="Book Antiqua"/>
          <w:color w:val="auto"/>
          <w:lang w:val="en-US"/>
        </w:rPr>
        <w:t xml:space="preserve">, such as </w:t>
      </w:r>
      <w:r w:rsidR="00E10869" w:rsidRPr="00714401">
        <w:rPr>
          <w:rFonts w:ascii="Book Antiqua" w:hAnsi="Book Antiqua"/>
          <w:color w:val="auto"/>
          <w:lang w:val="en-US"/>
        </w:rPr>
        <w:t>PGNF)</w:t>
      </w:r>
      <w:r w:rsidR="00A70FCB" w:rsidRPr="00714401">
        <w:rPr>
          <w:rFonts w:ascii="Book Antiqua" w:hAnsi="Book Antiqua"/>
          <w:color w:val="auto"/>
          <w:lang w:val="en-US"/>
        </w:rPr>
        <w:t xml:space="preserve">. In a second paper, the </w:t>
      </w:r>
      <w:r w:rsidR="008D0CBF" w:rsidRPr="00714401">
        <w:rPr>
          <w:rFonts w:ascii="Book Antiqua" w:hAnsi="Book Antiqua"/>
          <w:color w:val="auto"/>
          <w:lang w:val="en-US"/>
        </w:rPr>
        <w:t xml:space="preserve">same </w:t>
      </w:r>
      <w:r w:rsidR="00A70FCB" w:rsidRPr="00714401">
        <w:rPr>
          <w:rFonts w:ascii="Book Antiqua" w:hAnsi="Book Antiqua"/>
          <w:color w:val="auto"/>
          <w:lang w:val="en-US"/>
        </w:rPr>
        <w:t>AAs retrospectively reviewing</w:t>
      </w:r>
      <w:r w:rsidR="0076063F" w:rsidRPr="00714401">
        <w:rPr>
          <w:rFonts w:ascii="Book Antiqua" w:hAnsi="Book Antiqua"/>
          <w:color w:val="auto"/>
          <w:lang w:val="en-US"/>
        </w:rPr>
        <w:t xml:space="preserve"> </w:t>
      </w:r>
      <w:r w:rsidR="00A70FCB" w:rsidRPr="00714401">
        <w:rPr>
          <w:rFonts w:ascii="Book Antiqua" w:hAnsi="Book Antiqua"/>
          <w:color w:val="auto"/>
          <w:lang w:val="en-US"/>
        </w:rPr>
        <w:t>ICG</w:t>
      </w:r>
      <w:r w:rsidR="00A70FCB" w:rsidRPr="00714401">
        <w:rPr>
          <w:rFonts w:ascii="Book Antiqua" w:hAnsi="Book Antiqua"/>
          <w:color w:val="auto"/>
          <w:vertAlign w:val="subscript"/>
          <w:lang w:val="en-US"/>
        </w:rPr>
        <w:t>PDR</w:t>
      </w:r>
      <w:r w:rsidR="00A70FCB" w:rsidRPr="00714401">
        <w:rPr>
          <w:rFonts w:ascii="Book Antiqua" w:hAnsi="Book Antiqua"/>
          <w:color w:val="auto"/>
          <w:lang w:val="en-US"/>
        </w:rPr>
        <w:t xml:space="preserve"> in patients who had HAT in the early </w:t>
      </w:r>
      <w:proofErr w:type="spellStart"/>
      <w:r w:rsidR="00A70FCB" w:rsidRPr="00714401">
        <w:rPr>
          <w:rFonts w:ascii="Book Antiqua" w:hAnsi="Book Antiqua"/>
          <w:color w:val="auto"/>
          <w:lang w:val="en-US"/>
        </w:rPr>
        <w:t>postOLT</w:t>
      </w:r>
      <w:proofErr w:type="spellEnd"/>
      <w:r w:rsidR="00A70FCB" w:rsidRPr="00714401">
        <w:rPr>
          <w:rFonts w:ascii="Book Antiqua" w:hAnsi="Book Antiqua"/>
          <w:color w:val="auto"/>
          <w:lang w:val="en-US"/>
        </w:rPr>
        <w:t xml:space="preserve"> period</w:t>
      </w:r>
      <w:r w:rsidR="0076063F" w:rsidRPr="00714401">
        <w:rPr>
          <w:rFonts w:ascii="Book Antiqua" w:hAnsi="Book Antiqua"/>
          <w:color w:val="auto"/>
          <w:lang w:val="en-US"/>
        </w:rPr>
        <w:t xml:space="preserve"> </w:t>
      </w:r>
      <w:r w:rsidR="00A70FCB" w:rsidRPr="00714401">
        <w:rPr>
          <w:rFonts w:ascii="Book Antiqua" w:hAnsi="Book Antiqua"/>
          <w:color w:val="auto"/>
          <w:lang w:val="en-US"/>
        </w:rPr>
        <w:t>found a</w:t>
      </w:r>
      <w:r w:rsidR="0076063F" w:rsidRPr="00714401">
        <w:rPr>
          <w:rFonts w:ascii="Book Antiqua" w:hAnsi="Book Antiqua"/>
          <w:color w:val="auto"/>
          <w:lang w:val="en-US"/>
        </w:rPr>
        <w:t xml:space="preserve"> </w:t>
      </w:r>
      <w:r w:rsidR="00A70FCB" w:rsidRPr="00714401">
        <w:rPr>
          <w:rFonts w:ascii="Book Antiqua" w:hAnsi="Book Antiqua"/>
          <w:color w:val="auto"/>
          <w:lang w:val="en-US"/>
        </w:rPr>
        <w:t>significantly lower ICG</w:t>
      </w:r>
      <w:r w:rsidR="00A70FCB" w:rsidRPr="00714401">
        <w:rPr>
          <w:rFonts w:ascii="Book Antiqua" w:hAnsi="Book Antiqua"/>
          <w:color w:val="auto"/>
          <w:vertAlign w:val="subscript"/>
          <w:lang w:val="en-US"/>
        </w:rPr>
        <w:t>PDR</w:t>
      </w:r>
      <w:r w:rsidR="0076063F" w:rsidRPr="00714401">
        <w:rPr>
          <w:rFonts w:ascii="Book Antiqua" w:hAnsi="Book Antiqua"/>
          <w:color w:val="auto"/>
          <w:lang w:val="en-US"/>
        </w:rPr>
        <w:t xml:space="preserve"> </w:t>
      </w:r>
      <w:r w:rsidR="007C1BEB" w:rsidRPr="00714401">
        <w:rPr>
          <w:rFonts w:ascii="Book Antiqua" w:hAnsi="Book Antiqua"/>
          <w:color w:val="auto"/>
          <w:lang w:val="en-US"/>
        </w:rPr>
        <w:t xml:space="preserve">when </w:t>
      </w:r>
      <w:r w:rsidR="00A70FCB" w:rsidRPr="00714401">
        <w:rPr>
          <w:rFonts w:ascii="Book Antiqua" w:hAnsi="Book Antiqua"/>
          <w:color w:val="auto"/>
          <w:lang w:val="en-US"/>
        </w:rPr>
        <w:t>HAT</w:t>
      </w:r>
      <w:r w:rsidR="007C1BEB" w:rsidRPr="00714401">
        <w:rPr>
          <w:rFonts w:ascii="Book Antiqua" w:hAnsi="Book Antiqua"/>
          <w:color w:val="auto"/>
          <w:lang w:val="en-US"/>
        </w:rPr>
        <w:t xml:space="preserve"> was documented</w:t>
      </w:r>
      <w:r w:rsidR="0076063F" w:rsidRPr="00714401">
        <w:rPr>
          <w:rFonts w:ascii="Book Antiqua" w:hAnsi="Book Antiqua"/>
          <w:color w:val="auto"/>
          <w:lang w:val="en-US"/>
        </w:rPr>
        <w:t xml:space="preserve"> </w:t>
      </w:r>
      <w:r w:rsidR="002137D3" w:rsidRPr="00714401">
        <w:rPr>
          <w:rFonts w:ascii="Book Antiqua" w:hAnsi="Book Antiqua"/>
          <w:color w:val="auto"/>
          <w:lang w:val="en-US"/>
        </w:rPr>
        <w:t>(range 0.4 to 9.5, mean</w:t>
      </w:r>
      <w:r w:rsidR="0076063F" w:rsidRPr="00714401">
        <w:rPr>
          <w:rFonts w:ascii="Book Antiqua" w:hAnsi="Book Antiqua"/>
          <w:color w:val="auto"/>
          <w:lang w:val="en-US"/>
        </w:rPr>
        <w:t xml:space="preserve"> </w:t>
      </w:r>
      <w:r w:rsidR="002137D3" w:rsidRPr="00714401">
        <w:rPr>
          <w:rFonts w:ascii="Book Antiqua" w:hAnsi="Book Antiqua"/>
          <w:color w:val="auto"/>
          <w:lang w:val="en-US"/>
        </w:rPr>
        <w:t>5.8</w:t>
      </w:r>
      <w:r w:rsidR="0045081E" w:rsidRPr="00714401">
        <w:rPr>
          <w:rFonts w:ascii="Book Antiqua" w:hAnsi="Book Antiqua" w:hint="eastAsia"/>
          <w:color w:val="auto"/>
          <w:lang w:val="en-US" w:eastAsia="zh-CN"/>
        </w:rPr>
        <w:t>%</w:t>
      </w:r>
      <w:r w:rsidR="002137D3" w:rsidRPr="00714401">
        <w:rPr>
          <w:rFonts w:ascii="Book Antiqua" w:hAnsi="Book Antiqua"/>
          <w:color w:val="auto"/>
          <w:lang w:val="en-US"/>
        </w:rPr>
        <w:t xml:space="preserve"> ±</w:t>
      </w:r>
      <w:r w:rsidR="0076063F" w:rsidRPr="00714401">
        <w:rPr>
          <w:rFonts w:ascii="Book Antiqua" w:hAnsi="Book Antiqua"/>
          <w:color w:val="auto"/>
          <w:lang w:val="en-US"/>
        </w:rPr>
        <w:t xml:space="preserve"> </w:t>
      </w:r>
      <w:r w:rsidR="002137D3" w:rsidRPr="00714401">
        <w:rPr>
          <w:rFonts w:ascii="Book Antiqua" w:hAnsi="Book Antiqua"/>
          <w:color w:val="auto"/>
          <w:lang w:val="en-US"/>
        </w:rPr>
        <w:t>4.3</w:t>
      </w:r>
      <w:r w:rsidR="007C1BEB" w:rsidRPr="00714401">
        <w:rPr>
          <w:rFonts w:ascii="Book Antiqua" w:hAnsi="Book Antiqua"/>
          <w:color w:val="auto"/>
          <w:lang w:val="en-US"/>
        </w:rPr>
        <w:t>%</w:t>
      </w:r>
      <w:r w:rsidR="0076063F" w:rsidRPr="00714401">
        <w:rPr>
          <w:rFonts w:ascii="Book Antiqua" w:hAnsi="Book Antiqua"/>
          <w:color w:val="auto"/>
          <w:lang w:val="en-US"/>
        </w:rPr>
        <w:t xml:space="preserve"> </w:t>
      </w:r>
      <w:r w:rsidR="007C1BEB" w:rsidRPr="00B4594B">
        <w:rPr>
          <w:rFonts w:ascii="Book Antiqua" w:hAnsi="Book Antiqua"/>
          <w:i/>
          <w:color w:val="auto"/>
          <w:lang w:val="en-US"/>
        </w:rPr>
        <w:t>vs</w:t>
      </w:r>
      <w:r w:rsidR="007C1BEB" w:rsidRPr="00714401">
        <w:rPr>
          <w:rFonts w:ascii="Book Antiqua" w:hAnsi="Book Antiqua"/>
          <w:color w:val="auto"/>
          <w:lang w:val="en-US"/>
        </w:rPr>
        <w:t xml:space="preserve"> non HAT</w:t>
      </w:r>
      <w:r w:rsidR="008D0CBF" w:rsidRPr="00714401">
        <w:rPr>
          <w:rFonts w:ascii="Book Antiqua" w:hAnsi="Book Antiqua"/>
          <w:color w:val="auto"/>
          <w:lang w:val="en-US"/>
        </w:rPr>
        <w:t>,</w:t>
      </w:r>
      <w:r w:rsidR="0076063F" w:rsidRPr="00714401">
        <w:rPr>
          <w:rFonts w:ascii="Book Antiqua" w:hAnsi="Book Antiqua"/>
          <w:color w:val="auto"/>
          <w:lang w:val="en-US"/>
        </w:rPr>
        <w:t xml:space="preserve"> </w:t>
      </w:r>
      <w:r w:rsidR="002137D3" w:rsidRPr="00714401">
        <w:rPr>
          <w:rFonts w:ascii="Book Antiqua" w:hAnsi="Book Antiqua"/>
          <w:color w:val="auto"/>
          <w:lang w:val="en-US"/>
        </w:rPr>
        <w:t>range 15.3</w:t>
      </w:r>
      <w:r w:rsidR="0045081E" w:rsidRPr="00714401">
        <w:rPr>
          <w:rFonts w:ascii="Book Antiqua" w:hAnsi="Book Antiqua" w:hint="eastAsia"/>
          <w:color w:val="auto"/>
          <w:lang w:val="en-US" w:eastAsia="zh-CN"/>
        </w:rPr>
        <w:t>%</w:t>
      </w:r>
      <w:r w:rsidR="002137D3" w:rsidRPr="00714401">
        <w:rPr>
          <w:rFonts w:ascii="Book Antiqua" w:hAnsi="Book Antiqua"/>
          <w:color w:val="auto"/>
          <w:lang w:val="en-US"/>
        </w:rPr>
        <w:t xml:space="preserve"> to 32.9</w:t>
      </w:r>
      <w:r w:rsidR="0045081E" w:rsidRPr="00714401">
        <w:rPr>
          <w:rFonts w:ascii="Book Antiqua" w:hAnsi="Book Antiqua" w:hint="eastAsia"/>
          <w:color w:val="auto"/>
          <w:lang w:val="en-US" w:eastAsia="zh-CN"/>
        </w:rPr>
        <w:t>%</w:t>
      </w:r>
      <w:r w:rsidR="002137D3" w:rsidRPr="00714401">
        <w:rPr>
          <w:rFonts w:ascii="Book Antiqua" w:hAnsi="Book Antiqua"/>
          <w:color w:val="auto"/>
          <w:lang w:val="en-US"/>
        </w:rPr>
        <w:t>, median 23.8</w:t>
      </w:r>
      <w:r w:rsidR="0045081E" w:rsidRPr="00714401">
        <w:rPr>
          <w:rFonts w:ascii="Book Antiqua" w:hAnsi="Book Antiqua" w:hint="eastAsia"/>
          <w:color w:val="auto"/>
          <w:lang w:val="en-US" w:eastAsia="zh-CN"/>
        </w:rPr>
        <w:t>%</w:t>
      </w:r>
      <w:r w:rsidR="002137D3" w:rsidRPr="00714401">
        <w:rPr>
          <w:rFonts w:ascii="Book Antiqua" w:hAnsi="Book Antiqua"/>
          <w:color w:val="auto"/>
          <w:lang w:val="en-US"/>
        </w:rPr>
        <w:t xml:space="preserve"> ± 7.4</w:t>
      </w:r>
      <w:r w:rsidR="008D0CBF" w:rsidRPr="00714401">
        <w:rPr>
          <w:rFonts w:ascii="Book Antiqua" w:hAnsi="Book Antiqua"/>
          <w:color w:val="auto"/>
          <w:lang w:val="en-US"/>
        </w:rPr>
        <w:t xml:space="preserve">% </w:t>
      </w:r>
      <w:r w:rsidR="0045081E" w:rsidRPr="00714401">
        <w:rPr>
          <w:rFonts w:ascii="Book Antiqua" w:hAnsi="Book Antiqua" w:hint="eastAsia"/>
          <w:color w:val="auto"/>
          <w:lang w:val="en-US" w:eastAsia="zh-CN"/>
        </w:rPr>
        <w:t xml:space="preserve">per </w:t>
      </w:r>
      <w:r w:rsidR="0045081E" w:rsidRPr="00714401">
        <w:rPr>
          <w:rFonts w:ascii="Book Antiqua" w:hAnsi="Book Antiqua"/>
          <w:color w:val="auto"/>
          <w:lang w:val="en-US"/>
        </w:rPr>
        <w:t>min</w:t>
      </w:r>
      <w:r w:rsidR="0045081E" w:rsidRPr="00714401">
        <w:rPr>
          <w:rFonts w:ascii="Book Antiqua" w:hAnsi="Book Antiqua" w:hint="eastAsia"/>
          <w:color w:val="auto"/>
          <w:lang w:val="en-US" w:eastAsia="zh-CN"/>
        </w:rPr>
        <w:t>ute</w:t>
      </w:r>
      <w:r w:rsidR="002137D3" w:rsidRPr="00714401">
        <w:rPr>
          <w:rFonts w:ascii="Book Antiqua" w:hAnsi="Book Antiqua"/>
          <w:color w:val="auto"/>
          <w:lang w:val="en-US"/>
        </w:rPr>
        <w:t>)</w:t>
      </w:r>
      <w:r w:rsidR="00A70FCB" w:rsidRPr="00714401">
        <w:rPr>
          <w:rFonts w:ascii="Book Antiqua" w:hAnsi="Book Antiqua"/>
          <w:color w:val="auto"/>
          <w:lang w:val="en-US"/>
        </w:rPr>
        <w:t>: ICG</w:t>
      </w:r>
      <w:r w:rsidR="00A70FCB" w:rsidRPr="00714401">
        <w:rPr>
          <w:rFonts w:ascii="Book Antiqua" w:hAnsi="Book Antiqua"/>
          <w:color w:val="auto"/>
          <w:vertAlign w:val="subscript"/>
          <w:lang w:val="en-US"/>
        </w:rPr>
        <w:t>PDR</w:t>
      </w:r>
      <w:r w:rsidR="0076063F" w:rsidRPr="00714401">
        <w:rPr>
          <w:rFonts w:ascii="Book Antiqua" w:hAnsi="Book Antiqua"/>
          <w:color w:val="auto"/>
          <w:lang w:val="en-US"/>
        </w:rPr>
        <w:t xml:space="preserve"> </w:t>
      </w:r>
      <w:r w:rsidR="00A70FCB" w:rsidRPr="00714401">
        <w:rPr>
          <w:rFonts w:ascii="Book Antiqua" w:hAnsi="Book Antiqua"/>
          <w:color w:val="auto"/>
          <w:lang w:val="en-US"/>
        </w:rPr>
        <w:t>increased significantly after the revascularization</w:t>
      </w:r>
      <w:r w:rsidR="002137D3" w:rsidRPr="00714401">
        <w:rPr>
          <w:rFonts w:ascii="Book Antiqua" w:hAnsi="Book Antiqua"/>
          <w:color w:val="auto"/>
          <w:lang w:val="en-US"/>
        </w:rPr>
        <w:t xml:space="preserve"> (mean 15.6</w:t>
      </w:r>
      <w:r w:rsidR="0045081E" w:rsidRPr="00714401">
        <w:rPr>
          <w:rFonts w:ascii="Book Antiqua" w:hAnsi="Book Antiqua" w:hint="eastAsia"/>
          <w:color w:val="auto"/>
          <w:lang w:val="en-US" w:eastAsia="zh-CN"/>
        </w:rPr>
        <w:t>%</w:t>
      </w:r>
      <w:r w:rsidR="002137D3" w:rsidRPr="00714401">
        <w:rPr>
          <w:rFonts w:ascii="Book Antiqua" w:hAnsi="Book Antiqua"/>
          <w:color w:val="auto"/>
          <w:lang w:val="en-US"/>
        </w:rPr>
        <w:t xml:space="preserve"> ± 3.5</w:t>
      </w:r>
      <w:r w:rsidR="007C1BEB" w:rsidRPr="00714401">
        <w:rPr>
          <w:rFonts w:ascii="Book Antiqua" w:hAnsi="Book Antiqua"/>
          <w:color w:val="auto"/>
          <w:lang w:val="en-US"/>
        </w:rPr>
        <w:t xml:space="preserve">% </w:t>
      </w:r>
      <w:r w:rsidR="0045081E" w:rsidRPr="00714401">
        <w:rPr>
          <w:rFonts w:ascii="Book Antiqua" w:hAnsi="Book Antiqua" w:hint="eastAsia"/>
          <w:color w:val="auto"/>
          <w:lang w:val="en-US" w:eastAsia="zh-CN"/>
        </w:rPr>
        <w:t xml:space="preserve">per </w:t>
      </w:r>
      <w:r w:rsidR="0045081E" w:rsidRPr="00714401">
        <w:rPr>
          <w:rFonts w:ascii="Book Antiqua" w:hAnsi="Book Antiqua"/>
          <w:color w:val="auto"/>
          <w:lang w:val="en-US"/>
        </w:rPr>
        <w:t>min</w:t>
      </w:r>
      <w:r w:rsidR="0045081E" w:rsidRPr="00714401">
        <w:rPr>
          <w:rFonts w:ascii="Book Antiqua" w:hAnsi="Book Antiqua" w:hint="eastAsia"/>
          <w:color w:val="auto"/>
          <w:lang w:val="en-US" w:eastAsia="zh-CN"/>
        </w:rPr>
        <w:t>ute</w:t>
      </w:r>
      <w:r w:rsidR="007C1BEB" w:rsidRPr="00714401">
        <w:rPr>
          <w:rFonts w:ascii="Book Antiqua" w:hAnsi="Book Antiqua"/>
          <w:color w:val="auto"/>
          <w:lang w:val="en-US"/>
        </w:rPr>
        <w:t xml:space="preserve">). The AAs concluded </w:t>
      </w:r>
      <w:r w:rsidR="008D0CBF" w:rsidRPr="00714401">
        <w:rPr>
          <w:rFonts w:ascii="Book Antiqua" w:hAnsi="Book Antiqua"/>
          <w:color w:val="auto"/>
          <w:lang w:val="en-US"/>
        </w:rPr>
        <w:t>defining IGC</w:t>
      </w:r>
      <w:r w:rsidR="008D0CBF" w:rsidRPr="00714401">
        <w:rPr>
          <w:rFonts w:ascii="Book Antiqua" w:hAnsi="Book Antiqua"/>
          <w:color w:val="auto"/>
          <w:vertAlign w:val="subscript"/>
          <w:lang w:val="en-US"/>
        </w:rPr>
        <w:t>PDR</w:t>
      </w:r>
      <w:r w:rsidR="008D0CBF" w:rsidRPr="00714401">
        <w:rPr>
          <w:rFonts w:ascii="Book Antiqua" w:hAnsi="Book Antiqua"/>
          <w:color w:val="auto"/>
          <w:lang w:val="en-US"/>
        </w:rPr>
        <w:t xml:space="preserve"> as</w:t>
      </w:r>
      <w:r w:rsidR="007C1BEB" w:rsidRPr="00714401">
        <w:rPr>
          <w:rFonts w:ascii="Book Antiqua" w:hAnsi="Book Antiqua"/>
          <w:color w:val="auto"/>
          <w:lang w:val="en-US"/>
        </w:rPr>
        <w:t xml:space="preserve"> an interesting diagnostic tool </w:t>
      </w:r>
      <w:r w:rsidR="008D0CBF" w:rsidRPr="00714401">
        <w:rPr>
          <w:rFonts w:ascii="Book Antiqua" w:hAnsi="Book Antiqua"/>
          <w:color w:val="auto"/>
          <w:lang w:val="en-US"/>
        </w:rPr>
        <w:t xml:space="preserve">in the early </w:t>
      </w:r>
      <w:proofErr w:type="spellStart"/>
      <w:r w:rsidR="008D0CBF" w:rsidRPr="00714401">
        <w:rPr>
          <w:rFonts w:ascii="Book Antiqua" w:hAnsi="Book Antiqua"/>
          <w:color w:val="auto"/>
          <w:lang w:val="en-US"/>
        </w:rPr>
        <w:t>posttransplant</w:t>
      </w:r>
      <w:proofErr w:type="spellEnd"/>
      <w:r w:rsidR="008D0CBF" w:rsidRPr="00714401">
        <w:rPr>
          <w:rFonts w:ascii="Book Antiqua" w:hAnsi="Book Antiqua"/>
          <w:color w:val="auto"/>
          <w:lang w:val="en-US"/>
        </w:rPr>
        <w:t xml:space="preserve"> period </w:t>
      </w:r>
      <w:r w:rsidR="007C1BEB" w:rsidRPr="00714401">
        <w:rPr>
          <w:rFonts w:ascii="Book Antiqua" w:hAnsi="Book Antiqua"/>
          <w:color w:val="auto"/>
          <w:lang w:val="en-US"/>
        </w:rPr>
        <w:t xml:space="preserve">to </w:t>
      </w:r>
      <w:r w:rsidR="008D0CBF" w:rsidRPr="00714401">
        <w:rPr>
          <w:rFonts w:ascii="Book Antiqua" w:hAnsi="Book Antiqua"/>
          <w:color w:val="auto"/>
          <w:lang w:val="en-US"/>
        </w:rPr>
        <w:t>manage</w:t>
      </w:r>
      <w:r w:rsidR="007C1BEB" w:rsidRPr="00714401">
        <w:rPr>
          <w:rFonts w:ascii="Book Antiqua" w:hAnsi="Book Antiqua"/>
          <w:color w:val="auto"/>
          <w:lang w:val="en-US"/>
        </w:rPr>
        <w:t xml:space="preserve"> patients suspected for acute </w:t>
      </w:r>
      <w:proofErr w:type="gramStart"/>
      <w:r w:rsidR="007C1BEB" w:rsidRPr="00714401">
        <w:rPr>
          <w:rFonts w:ascii="Book Antiqua" w:hAnsi="Book Antiqua"/>
          <w:color w:val="auto"/>
          <w:lang w:val="en-US"/>
        </w:rPr>
        <w:t>HAT</w:t>
      </w:r>
      <w:r w:rsidR="00561022" w:rsidRPr="00714401">
        <w:rPr>
          <w:rFonts w:ascii="Book Antiqua" w:hAnsi="Book Antiqua"/>
          <w:color w:val="auto"/>
          <w:vertAlign w:val="superscript"/>
          <w:lang w:val="en-US"/>
        </w:rPr>
        <w:t>[</w:t>
      </w:r>
      <w:proofErr w:type="gramEnd"/>
      <w:r w:rsidR="00561022" w:rsidRPr="00714401">
        <w:rPr>
          <w:rFonts w:ascii="Book Antiqua" w:hAnsi="Book Antiqua"/>
          <w:color w:val="auto"/>
          <w:vertAlign w:val="superscript"/>
          <w:lang w:val="en-US"/>
        </w:rPr>
        <w:t>57]</w:t>
      </w:r>
      <w:r w:rsidR="00532B34" w:rsidRPr="00714401">
        <w:rPr>
          <w:rFonts w:ascii="Book Antiqua" w:hAnsi="Book Antiqua"/>
          <w:color w:val="auto"/>
          <w:lang w:val="en-US"/>
        </w:rPr>
        <w:t xml:space="preserve">. </w:t>
      </w:r>
      <w:r w:rsidR="003D6F13" w:rsidRPr="00714401">
        <w:rPr>
          <w:rFonts w:ascii="Book Antiqua" w:hAnsi="Book Antiqua"/>
          <w:color w:val="auto"/>
          <w:lang w:val="en-US"/>
        </w:rPr>
        <w:t>The major concern that could be raised on this specific item is the absence of a clear cutoff value in the presence of HAT (see the wide range of ICG</w:t>
      </w:r>
      <w:r w:rsidR="003D6F13" w:rsidRPr="00714401">
        <w:rPr>
          <w:rFonts w:ascii="Book Antiqua" w:hAnsi="Book Antiqua"/>
          <w:color w:val="auto"/>
          <w:vertAlign w:val="subscript"/>
          <w:lang w:val="en-US"/>
        </w:rPr>
        <w:t>PDR</w:t>
      </w:r>
      <w:r w:rsidR="0045081E" w:rsidRPr="00714401">
        <w:rPr>
          <w:rFonts w:ascii="Book Antiqua" w:hAnsi="Book Antiqua"/>
          <w:color w:val="auto"/>
          <w:lang w:val="en-US"/>
        </w:rPr>
        <w:t xml:space="preserve"> in the HAT patients</w:t>
      </w:r>
      <w:r w:rsidR="003D6F13" w:rsidRPr="00714401">
        <w:rPr>
          <w:rFonts w:ascii="Book Antiqua" w:hAnsi="Book Antiqua"/>
          <w:color w:val="auto"/>
          <w:lang w:val="en-US"/>
        </w:rPr>
        <w:t>)</w:t>
      </w:r>
      <w:r w:rsidR="00163CB4" w:rsidRPr="00714401">
        <w:rPr>
          <w:rFonts w:ascii="Book Antiqua" w:hAnsi="Book Antiqua"/>
          <w:color w:val="auto"/>
          <w:lang w:val="en-US"/>
        </w:rPr>
        <w:t>.</w:t>
      </w:r>
      <w:r w:rsidR="00BC06F7" w:rsidRPr="00714401">
        <w:rPr>
          <w:rFonts w:ascii="Book Antiqua" w:hAnsi="Book Antiqua"/>
          <w:color w:val="auto"/>
          <w:lang w:val="en-US"/>
        </w:rPr>
        <w:t xml:space="preserve"> As a matter of fact, this</w:t>
      </w:r>
      <w:r w:rsidR="0076063F" w:rsidRPr="00714401">
        <w:rPr>
          <w:rFonts w:ascii="Book Antiqua" w:hAnsi="Book Antiqua"/>
          <w:color w:val="auto"/>
          <w:lang w:val="en-US"/>
        </w:rPr>
        <w:t xml:space="preserve"> </w:t>
      </w:r>
      <w:r w:rsidR="00BC06F7" w:rsidRPr="00714401">
        <w:rPr>
          <w:rFonts w:ascii="Book Antiqua" w:hAnsi="Book Antiqua"/>
          <w:color w:val="auto"/>
          <w:lang w:val="en-US"/>
        </w:rPr>
        <w:t>item</w:t>
      </w:r>
      <w:r w:rsidR="0076063F" w:rsidRPr="00714401">
        <w:rPr>
          <w:rFonts w:ascii="Book Antiqua" w:hAnsi="Book Antiqua"/>
          <w:color w:val="auto"/>
          <w:lang w:val="en-US"/>
        </w:rPr>
        <w:t xml:space="preserve"> </w:t>
      </w:r>
      <w:r w:rsidR="00572BC8" w:rsidRPr="00714401">
        <w:rPr>
          <w:rFonts w:ascii="Book Antiqua" w:hAnsi="Book Antiqua"/>
          <w:color w:val="auto"/>
          <w:lang w:val="en-US"/>
        </w:rPr>
        <w:t xml:space="preserve">is quite controversial in the literature. </w:t>
      </w:r>
      <w:r w:rsidR="00AC05A4" w:rsidRPr="00714401">
        <w:rPr>
          <w:rFonts w:ascii="Book Antiqua" w:hAnsi="Book Antiqua"/>
          <w:color w:val="auto"/>
          <w:lang w:val="en-US"/>
        </w:rPr>
        <w:t xml:space="preserve">ICG </w:t>
      </w:r>
      <w:r w:rsidR="005A083B" w:rsidRPr="00714401">
        <w:rPr>
          <w:rFonts w:ascii="Book Antiqua" w:hAnsi="Book Antiqua"/>
          <w:color w:val="auto"/>
          <w:lang w:val="en-US"/>
        </w:rPr>
        <w:t>kinetic</w:t>
      </w:r>
      <w:r w:rsidR="004F1B32" w:rsidRPr="00714401">
        <w:rPr>
          <w:rFonts w:ascii="Book Antiqua" w:hAnsi="Book Antiqua"/>
          <w:color w:val="auto"/>
          <w:lang w:val="en-US"/>
        </w:rPr>
        <w:t xml:space="preserve"> parameters</w:t>
      </w:r>
      <w:r w:rsidR="0076063F" w:rsidRPr="00714401">
        <w:rPr>
          <w:rFonts w:ascii="Book Antiqua" w:hAnsi="Book Antiqua"/>
          <w:color w:val="auto"/>
          <w:lang w:val="en-US"/>
        </w:rPr>
        <w:t xml:space="preserve"> </w:t>
      </w:r>
      <w:r w:rsidR="008D0CBF" w:rsidRPr="00714401">
        <w:rPr>
          <w:rFonts w:ascii="Book Antiqua" w:hAnsi="Book Antiqua"/>
          <w:color w:val="auto"/>
          <w:lang w:val="en-US"/>
        </w:rPr>
        <w:t xml:space="preserve">were used by </w:t>
      </w:r>
      <w:proofErr w:type="spellStart"/>
      <w:r w:rsidR="008D0CBF" w:rsidRPr="00714401">
        <w:rPr>
          <w:rFonts w:ascii="Book Antiqua" w:hAnsi="Book Antiqua"/>
          <w:color w:val="auto"/>
          <w:lang w:val="en-US"/>
        </w:rPr>
        <w:t>Olmedilla</w:t>
      </w:r>
      <w:proofErr w:type="spellEnd"/>
      <w:r w:rsidR="008D0CBF" w:rsidRPr="00714401">
        <w:rPr>
          <w:rFonts w:ascii="Book Antiqua" w:hAnsi="Book Antiqua"/>
          <w:color w:val="auto"/>
          <w:lang w:val="en-US"/>
        </w:rPr>
        <w:t xml:space="preserve"> </w:t>
      </w:r>
      <w:r w:rsidR="008D0CBF" w:rsidRPr="00714401">
        <w:rPr>
          <w:rFonts w:ascii="Book Antiqua" w:hAnsi="Book Antiqua"/>
          <w:i/>
          <w:color w:val="auto"/>
          <w:lang w:val="en-US"/>
        </w:rPr>
        <w:t xml:space="preserve">et </w:t>
      </w:r>
      <w:proofErr w:type="gramStart"/>
      <w:r w:rsidR="008D0CBF" w:rsidRPr="00714401">
        <w:rPr>
          <w:rFonts w:ascii="Book Antiqua" w:hAnsi="Book Antiqua"/>
          <w:i/>
          <w:color w:val="auto"/>
          <w:lang w:val="en-US"/>
        </w:rPr>
        <w:t>al</w:t>
      </w:r>
      <w:r w:rsidR="0045081E" w:rsidRPr="00714401">
        <w:rPr>
          <w:rFonts w:ascii="Book Antiqua" w:hAnsi="Book Antiqua"/>
          <w:color w:val="auto"/>
          <w:vertAlign w:val="superscript"/>
          <w:lang w:val="en-US"/>
        </w:rPr>
        <w:t>[</w:t>
      </w:r>
      <w:proofErr w:type="gramEnd"/>
      <w:r w:rsidR="0045081E" w:rsidRPr="00714401">
        <w:rPr>
          <w:rFonts w:ascii="Book Antiqua" w:hAnsi="Book Antiqua"/>
          <w:color w:val="auto"/>
          <w:vertAlign w:val="superscript"/>
          <w:lang w:val="en-US"/>
        </w:rPr>
        <w:t>58]</w:t>
      </w:r>
      <w:r w:rsidR="0076063F" w:rsidRPr="00714401">
        <w:rPr>
          <w:rFonts w:ascii="Book Antiqua" w:hAnsi="Book Antiqua"/>
          <w:color w:val="auto"/>
          <w:lang w:val="en-US"/>
        </w:rPr>
        <w:t xml:space="preserve"> </w:t>
      </w:r>
      <w:r w:rsidR="00AC05A4" w:rsidRPr="00714401">
        <w:rPr>
          <w:rFonts w:ascii="Book Antiqua" w:hAnsi="Book Antiqua"/>
          <w:color w:val="auto"/>
          <w:lang w:val="en-US"/>
        </w:rPr>
        <w:t>at the end of</w:t>
      </w:r>
      <w:r w:rsidR="0076063F" w:rsidRPr="00714401">
        <w:rPr>
          <w:rFonts w:ascii="Book Antiqua" w:hAnsi="Book Antiqua"/>
          <w:color w:val="auto"/>
          <w:lang w:val="en-US"/>
        </w:rPr>
        <w:t xml:space="preserve"> </w:t>
      </w:r>
      <w:r w:rsidR="008D0CBF" w:rsidRPr="00714401">
        <w:rPr>
          <w:rFonts w:ascii="Book Antiqua" w:hAnsi="Book Antiqua"/>
          <w:color w:val="auto"/>
          <w:lang w:val="en-US"/>
        </w:rPr>
        <w:t xml:space="preserve">OLT </w:t>
      </w:r>
      <w:r w:rsidR="00AC05A4" w:rsidRPr="00714401">
        <w:rPr>
          <w:rFonts w:ascii="Book Antiqua" w:hAnsi="Book Antiqua"/>
          <w:color w:val="auto"/>
          <w:lang w:val="en-US"/>
        </w:rPr>
        <w:t>or on POD</w:t>
      </w:r>
      <w:r w:rsidR="005A083B" w:rsidRPr="00714401">
        <w:rPr>
          <w:rFonts w:ascii="Book Antiqua" w:hAnsi="Book Antiqua"/>
          <w:color w:val="auto"/>
          <w:lang w:val="en-US"/>
        </w:rPr>
        <w:t xml:space="preserve"> </w:t>
      </w:r>
      <w:r w:rsidR="00AC05A4" w:rsidRPr="00714401">
        <w:rPr>
          <w:rFonts w:ascii="Book Antiqua" w:hAnsi="Book Antiqua"/>
          <w:color w:val="auto"/>
          <w:lang w:val="en-US"/>
        </w:rPr>
        <w:t>1</w:t>
      </w:r>
      <w:r w:rsidR="008D0CBF" w:rsidRPr="00714401">
        <w:rPr>
          <w:rFonts w:ascii="Book Antiqua" w:hAnsi="Book Antiqua"/>
          <w:color w:val="auto"/>
          <w:lang w:val="en-US"/>
        </w:rPr>
        <w:t xml:space="preserve"> to assess </w:t>
      </w:r>
      <w:r w:rsidR="004F1B32" w:rsidRPr="00714401">
        <w:rPr>
          <w:rFonts w:ascii="Book Antiqua" w:hAnsi="Book Antiqua"/>
          <w:color w:val="auto"/>
          <w:lang w:val="en-US"/>
        </w:rPr>
        <w:t xml:space="preserve">early </w:t>
      </w:r>
      <w:r w:rsidR="008D0CBF" w:rsidRPr="00714401">
        <w:rPr>
          <w:rFonts w:ascii="Book Antiqua" w:hAnsi="Book Antiqua"/>
          <w:color w:val="auto"/>
          <w:lang w:val="en-US"/>
        </w:rPr>
        <w:t>graft function. I</w:t>
      </w:r>
      <w:r w:rsidR="006758C6" w:rsidRPr="00714401">
        <w:rPr>
          <w:rFonts w:ascii="Book Antiqua" w:hAnsi="Book Antiqua"/>
          <w:color w:val="auto"/>
          <w:lang w:val="en-US"/>
        </w:rPr>
        <w:t xml:space="preserve">n patients </w:t>
      </w:r>
      <w:r w:rsidR="00572BC8" w:rsidRPr="00714401">
        <w:rPr>
          <w:rFonts w:ascii="Book Antiqua" w:hAnsi="Book Antiqua"/>
          <w:color w:val="auto"/>
          <w:lang w:val="en-US"/>
        </w:rPr>
        <w:t xml:space="preserve">who suffered </w:t>
      </w:r>
      <w:r w:rsidR="00FF658A" w:rsidRPr="00714401">
        <w:rPr>
          <w:rFonts w:ascii="Book Antiqua" w:hAnsi="Book Antiqua"/>
          <w:color w:val="auto"/>
          <w:lang w:val="en-US"/>
        </w:rPr>
        <w:t xml:space="preserve">early </w:t>
      </w:r>
      <w:r w:rsidR="00572BC8" w:rsidRPr="00714401">
        <w:rPr>
          <w:rFonts w:ascii="Book Antiqua" w:hAnsi="Book Antiqua"/>
          <w:color w:val="auto"/>
          <w:lang w:val="en-US"/>
        </w:rPr>
        <w:t xml:space="preserve">severe hepatic dysfunction and had </w:t>
      </w:r>
      <w:r w:rsidR="006758C6" w:rsidRPr="00714401">
        <w:rPr>
          <w:rFonts w:ascii="Book Antiqua" w:hAnsi="Book Antiqua"/>
          <w:color w:val="auto"/>
          <w:lang w:val="en-US"/>
        </w:rPr>
        <w:t xml:space="preserve">an </w:t>
      </w:r>
      <w:r w:rsidR="00AC05A4" w:rsidRPr="00714401">
        <w:rPr>
          <w:rFonts w:ascii="Book Antiqua" w:hAnsi="Book Antiqua"/>
          <w:color w:val="auto"/>
          <w:lang w:val="en-US"/>
        </w:rPr>
        <w:t>increased mortality</w:t>
      </w:r>
      <w:r w:rsidR="006758C6" w:rsidRPr="00714401">
        <w:rPr>
          <w:rFonts w:ascii="Book Antiqua" w:hAnsi="Book Antiqua"/>
          <w:color w:val="auto"/>
          <w:lang w:val="en-US"/>
        </w:rPr>
        <w:t xml:space="preserve"> rate</w:t>
      </w:r>
      <w:r w:rsidR="004F1B32" w:rsidRPr="00714401">
        <w:rPr>
          <w:rFonts w:ascii="Book Antiqua" w:hAnsi="Book Antiqua"/>
          <w:color w:val="auto"/>
          <w:lang w:val="en-US"/>
        </w:rPr>
        <w:t xml:space="preserve">, </w:t>
      </w:r>
      <w:r w:rsidR="008D0CBF" w:rsidRPr="00714401">
        <w:rPr>
          <w:rFonts w:ascii="Book Antiqua" w:hAnsi="Book Antiqua"/>
          <w:color w:val="auto"/>
          <w:lang w:val="en-US"/>
        </w:rPr>
        <w:t>ICG</w:t>
      </w:r>
      <w:r w:rsidR="008D0CBF" w:rsidRPr="00714401">
        <w:rPr>
          <w:rFonts w:ascii="Book Antiqua" w:hAnsi="Book Antiqua"/>
          <w:color w:val="auto"/>
          <w:vertAlign w:val="subscript"/>
          <w:lang w:val="en-US"/>
        </w:rPr>
        <w:t>PDR</w:t>
      </w:r>
      <w:r w:rsidR="008D0CBF" w:rsidRPr="00714401">
        <w:rPr>
          <w:rFonts w:ascii="Book Antiqua" w:hAnsi="Book Antiqua"/>
          <w:color w:val="auto"/>
          <w:lang w:val="en-US"/>
        </w:rPr>
        <w:t xml:space="preserve"> </w:t>
      </w:r>
      <w:r w:rsidR="004F1B32" w:rsidRPr="00714401">
        <w:rPr>
          <w:rFonts w:ascii="Book Antiqua" w:hAnsi="Book Antiqua"/>
          <w:color w:val="auto"/>
          <w:lang w:val="en-US"/>
        </w:rPr>
        <w:t xml:space="preserve">was </w:t>
      </w:r>
      <w:r w:rsidR="008D0CBF" w:rsidRPr="00714401">
        <w:rPr>
          <w:rFonts w:ascii="Book Antiqua" w:hAnsi="Book Antiqua"/>
          <w:color w:val="auto"/>
          <w:lang w:val="en-US"/>
        </w:rPr>
        <w:t xml:space="preserve">&lt; 10.8% </w:t>
      </w:r>
      <w:r w:rsidR="0045081E" w:rsidRPr="00714401">
        <w:rPr>
          <w:rFonts w:ascii="Book Antiqua" w:hAnsi="Book Antiqua" w:hint="eastAsia"/>
          <w:color w:val="auto"/>
          <w:lang w:val="en-US" w:eastAsia="zh-CN"/>
        </w:rPr>
        <w:t xml:space="preserve">per </w:t>
      </w:r>
      <w:r w:rsidR="0045081E" w:rsidRPr="00714401">
        <w:rPr>
          <w:rFonts w:ascii="Book Antiqua" w:hAnsi="Book Antiqua"/>
          <w:color w:val="auto"/>
          <w:lang w:val="en-US"/>
        </w:rPr>
        <w:t>min</w:t>
      </w:r>
      <w:r w:rsidR="0045081E" w:rsidRPr="00714401">
        <w:rPr>
          <w:rFonts w:ascii="Book Antiqua" w:hAnsi="Book Antiqua" w:hint="eastAsia"/>
          <w:color w:val="auto"/>
          <w:lang w:val="en-US" w:eastAsia="zh-CN"/>
        </w:rPr>
        <w:t>ute</w:t>
      </w:r>
      <w:r w:rsidR="00572BC8" w:rsidRPr="00714401">
        <w:rPr>
          <w:rFonts w:ascii="Book Antiqua" w:hAnsi="Book Antiqua"/>
          <w:color w:val="auto"/>
          <w:lang w:val="en-US"/>
        </w:rPr>
        <w:t>. I</w:t>
      </w:r>
      <w:r w:rsidR="005A083B" w:rsidRPr="00714401">
        <w:rPr>
          <w:rFonts w:ascii="Book Antiqua" w:hAnsi="Book Antiqua"/>
          <w:color w:val="auto"/>
          <w:lang w:val="en-US"/>
        </w:rPr>
        <w:t xml:space="preserve">nstead, </w:t>
      </w:r>
      <w:r w:rsidR="004F1B32" w:rsidRPr="00714401">
        <w:rPr>
          <w:rFonts w:ascii="Book Antiqua" w:hAnsi="Book Antiqua"/>
          <w:color w:val="auto"/>
          <w:lang w:val="en-US"/>
        </w:rPr>
        <w:t xml:space="preserve">a favorable outcome was recorded in transplanted patients who had </w:t>
      </w:r>
      <w:r w:rsidR="00973478" w:rsidRPr="00714401">
        <w:rPr>
          <w:rFonts w:ascii="Book Antiqua" w:hAnsi="Book Antiqua"/>
          <w:color w:val="auto"/>
          <w:lang w:val="en-US"/>
        </w:rPr>
        <w:t>ICG</w:t>
      </w:r>
      <w:r w:rsidR="00973478" w:rsidRPr="00714401">
        <w:rPr>
          <w:rFonts w:ascii="Book Antiqua" w:hAnsi="Book Antiqua"/>
          <w:color w:val="auto"/>
          <w:vertAlign w:val="subscript"/>
          <w:lang w:val="en-US"/>
        </w:rPr>
        <w:t>PDR</w:t>
      </w:r>
      <w:r w:rsidR="00973478" w:rsidRPr="00714401">
        <w:rPr>
          <w:rFonts w:ascii="Book Antiqua" w:hAnsi="Book Antiqua"/>
          <w:color w:val="auto"/>
          <w:lang w:val="en-US"/>
        </w:rPr>
        <w:t xml:space="preserve"> </w:t>
      </w:r>
      <w:r w:rsidR="00E10869" w:rsidRPr="00714401">
        <w:rPr>
          <w:rFonts w:ascii="Book Antiqua" w:hAnsi="Book Antiqua"/>
          <w:color w:val="auto"/>
          <w:lang w:val="en-US"/>
        </w:rPr>
        <w:t xml:space="preserve">&gt; 10.8% </w:t>
      </w:r>
      <w:r w:rsidR="0045081E" w:rsidRPr="00714401">
        <w:rPr>
          <w:rFonts w:ascii="Book Antiqua" w:hAnsi="Book Antiqua" w:hint="eastAsia"/>
          <w:color w:val="auto"/>
          <w:lang w:val="en-US" w:eastAsia="zh-CN"/>
        </w:rPr>
        <w:t xml:space="preserve">per </w:t>
      </w:r>
      <w:r w:rsidR="0045081E" w:rsidRPr="00714401">
        <w:rPr>
          <w:rFonts w:ascii="Book Antiqua" w:hAnsi="Book Antiqua"/>
          <w:color w:val="auto"/>
          <w:lang w:val="en-US"/>
        </w:rPr>
        <w:t>min</w:t>
      </w:r>
      <w:r w:rsidR="0045081E" w:rsidRPr="00714401">
        <w:rPr>
          <w:rFonts w:ascii="Book Antiqua" w:hAnsi="Book Antiqua" w:hint="eastAsia"/>
          <w:color w:val="auto"/>
          <w:lang w:val="en-US" w:eastAsia="zh-CN"/>
        </w:rPr>
        <w:t>ute</w:t>
      </w:r>
      <w:r w:rsidR="004F1B32" w:rsidRPr="00714401">
        <w:rPr>
          <w:rFonts w:ascii="Book Antiqua" w:hAnsi="Book Antiqua"/>
          <w:color w:val="auto"/>
          <w:lang w:val="en-US"/>
        </w:rPr>
        <w:t xml:space="preserve">: </w:t>
      </w:r>
      <w:r w:rsidR="0045081E" w:rsidRPr="00714401">
        <w:rPr>
          <w:rFonts w:ascii="Book Antiqua" w:hAnsi="Book Antiqua"/>
          <w:color w:val="auto"/>
          <w:lang w:val="en-US"/>
        </w:rPr>
        <w:t>I</w:t>
      </w:r>
      <w:r w:rsidR="004F1B32" w:rsidRPr="00714401">
        <w:rPr>
          <w:rFonts w:ascii="Book Antiqua" w:hAnsi="Book Antiqua"/>
          <w:color w:val="auto"/>
          <w:lang w:val="en-US"/>
        </w:rPr>
        <w:t xml:space="preserve">n the same study the AAs were also able to document a </w:t>
      </w:r>
      <w:r w:rsidR="00015A6F" w:rsidRPr="00714401">
        <w:rPr>
          <w:rFonts w:ascii="Book Antiqua" w:hAnsi="Book Antiqua"/>
          <w:color w:val="auto"/>
          <w:lang w:val="en-US"/>
        </w:rPr>
        <w:t>very h</w:t>
      </w:r>
      <w:r w:rsidR="00973478" w:rsidRPr="00714401">
        <w:rPr>
          <w:rFonts w:ascii="Book Antiqua" w:hAnsi="Book Antiqua"/>
          <w:color w:val="auto"/>
          <w:lang w:val="en-US"/>
        </w:rPr>
        <w:t xml:space="preserve">igh (99%) </w:t>
      </w:r>
      <w:r w:rsidR="00E10869" w:rsidRPr="00714401">
        <w:rPr>
          <w:rFonts w:ascii="Book Antiqua" w:hAnsi="Book Antiqua"/>
          <w:color w:val="auto"/>
          <w:lang w:val="en-US"/>
        </w:rPr>
        <w:t xml:space="preserve">negative predictive </w:t>
      </w:r>
      <w:r w:rsidR="00015A6F" w:rsidRPr="00714401">
        <w:rPr>
          <w:rFonts w:ascii="Book Antiqua" w:hAnsi="Book Antiqua"/>
          <w:color w:val="auto"/>
          <w:lang w:val="en-US"/>
        </w:rPr>
        <w:t>value</w:t>
      </w:r>
      <w:r w:rsidR="00E10869" w:rsidRPr="00714401">
        <w:rPr>
          <w:rFonts w:ascii="Book Antiqua" w:hAnsi="Book Antiqua"/>
          <w:color w:val="auto"/>
          <w:lang w:val="en-US"/>
        </w:rPr>
        <w:t xml:space="preserve">. </w:t>
      </w:r>
      <w:r w:rsidR="003D6F13" w:rsidRPr="00714401">
        <w:rPr>
          <w:rFonts w:ascii="Book Antiqua" w:hAnsi="Book Antiqua"/>
          <w:color w:val="auto"/>
          <w:lang w:val="en-US"/>
        </w:rPr>
        <w:t xml:space="preserve">In the most recent </w:t>
      </w:r>
      <w:r w:rsidR="004F1B32" w:rsidRPr="00714401">
        <w:rPr>
          <w:rFonts w:ascii="Book Antiqua" w:hAnsi="Book Antiqua"/>
          <w:color w:val="auto"/>
          <w:lang w:val="en-US"/>
        </w:rPr>
        <w:t xml:space="preserve">study </w:t>
      </w:r>
      <w:r w:rsidR="00BC06F7" w:rsidRPr="00714401">
        <w:rPr>
          <w:rFonts w:ascii="Book Antiqua" w:hAnsi="Book Antiqua"/>
          <w:color w:val="auto"/>
          <w:lang w:val="en-US"/>
        </w:rPr>
        <w:t xml:space="preserve">coming </w:t>
      </w:r>
      <w:r w:rsidR="00302D16" w:rsidRPr="00714401">
        <w:rPr>
          <w:rFonts w:ascii="Book Antiqua" w:hAnsi="Book Antiqua"/>
          <w:color w:val="auto"/>
          <w:lang w:val="en-US"/>
        </w:rPr>
        <w:t>from the same group, ICG</w:t>
      </w:r>
      <w:r w:rsidR="00302D16" w:rsidRPr="00714401">
        <w:rPr>
          <w:rFonts w:ascii="Book Antiqua" w:hAnsi="Book Antiqua"/>
          <w:color w:val="auto"/>
          <w:vertAlign w:val="subscript"/>
          <w:lang w:val="en-US"/>
        </w:rPr>
        <w:t>PDR</w:t>
      </w:r>
      <w:r w:rsidR="00302D16" w:rsidRPr="00714401">
        <w:rPr>
          <w:rFonts w:ascii="Book Antiqua" w:hAnsi="Book Antiqua"/>
          <w:color w:val="auto"/>
          <w:lang w:val="en-US"/>
        </w:rPr>
        <w:t xml:space="preserve"> </w:t>
      </w:r>
      <w:r w:rsidR="0023570F" w:rsidRPr="00714401">
        <w:rPr>
          <w:rFonts w:ascii="Book Antiqua" w:hAnsi="Book Antiqua"/>
          <w:color w:val="auto"/>
          <w:lang w:val="en-US"/>
        </w:rPr>
        <w:t xml:space="preserve">and INR were </w:t>
      </w:r>
      <w:r w:rsidR="00302D16" w:rsidRPr="00714401">
        <w:rPr>
          <w:rFonts w:ascii="Book Antiqua" w:hAnsi="Book Antiqua"/>
          <w:color w:val="auto"/>
          <w:lang w:val="en-US"/>
        </w:rPr>
        <w:t xml:space="preserve">used to build a </w:t>
      </w:r>
      <w:r w:rsidR="00D42DE9" w:rsidRPr="00714401">
        <w:rPr>
          <w:rFonts w:ascii="Book Antiqua" w:hAnsi="Book Antiqua"/>
          <w:color w:val="auto"/>
          <w:lang w:val="en-US"/>
        </w:rPr>
        <w:t xml:space="preserve">risk </w:t>
      </w:r>
      <w:r w:rsidR="00302D16" w:rsidRPr="00714401">
        <w:rPr>
          <w:rFonts w:ascii="Book Antiqua" w:hAnsi="Book Antiqua"/>
          <w:color w:val="auto"/>
          <w:lang w:val="en-US"/>
        </w:rPr>
        <w:t xml:space="preserve">score to predict short term outcome after OLT. </w:t>
      </w:r>
      <w:r w:rsidR="0023570F" w:rsidRPr="00714401">
        <w:rPr>
          <w:rFonts w:ascii="Book Antiqua" w:hAnsi="Book Antiqua"/>
          <w:color w:val="auto"/>
          <w:lang w:val="en-US"/>
        </w:rPr>
        <w:t>Cut</w:t>
      </w:r>
      <w:r w:rsidR="00572BC8" w:rsidRPr="00714401">
        <w:rPr>
          <w:rFonts w:ascii="Book Antiqua" w:hAnsi="Book Antiqua"/>
          <w:color w:val="auto"/>
          <w:lang w:val="en-US"/>
        </w:rPr>
        <w:t xml:space="preserve"> </w:t>
      </w:r>
      <w:r w:rsidR="0023570F" w:rsidRPr="00714401">
        <w:rPr>
          <w:rFonts w:ascii="Book Antiqua" w:hAnsi="Book Antiqua"/>
          <w:color w:val="auto"/>
          <w:lang w:val="en-US"/>
        </w:rPr>
        <w:t>off values were</w:t>
      </w:r>
      <w:r w:rsidR="0076063F" w:rsidRPr="00714401">
        <w:rPr>
          <w:rFonts w:ascii="Book Antiqua" w:hAnsi="Book Antiqua"/>
          <w:color w:val="auto"/>
          <w:lang w:val="en-US"/>
        </w:rPr>
        <w:t xml:space="preserve"> </w:t>
      </w:r>
      <w:r w:rsidR="00572BC8" w:rsidRPr="00714401">
        <w:rPr>
          <w:rFonts w:ascii="Book Antiqua" w:hAnsi="Book Antiqua"/>
          <w:color w:val="auto"/>
          <w:lang w:val="en-US"/>
        </w:rPr>
        <w:t>≥</w:t>
      </w:r>
      <w:r w:rsidR="00732A7C" w:rsidRPr="00714401">
        <w:rPr>
          <w:rFonts w:ascii="Book Antiqua" w:hAnsi="Book Antiqua" w:hint="eastAsia"/>
          <w:color w:val="auto"/>
          <w:lang w:val="en-US" w:eastAsia="zh-CN"/>
        </w:rPr>
        <w:t xml:space="preserve"> </w:t>
      </w:r>
      <w:r w:rsidR="0023570F" w:rsidRPr="00714401">
        <w:rPr>
          <w:rFonts w:ascii="Book Antiqua" w:hAnsi="Book Antiqua"/>
          <w:color w:val="auto"/>
          <w:lang w:val="en-US"/>
        </w:rPr>
        <w:t>2.</w:t>
      </w:r>
      <w:r w:rsidR="004F1B32" w:rsidRPr="00714401">
        <w:rPr>
          <w:rFonts w:ascii="Book Antiqua" w:hAnsi="Book Antiqua"/>
          <w:color w:val="auto"/>
          <w:lang w:val="en-US"/>
        </w:rPr>
        <w:t>2</w:t>
      </w:r>
      <w:r w:rsidR="0023570F" w:rsidRPr="00714401">
        <w:rPr>
          <w:rFonts w:ascii="Book Antiqua" w:hAnsi="Book Antiqua"/>
          <w:color w:val="auto"/>
          <w:lang w:val="en-US"/>
        </w:rPr>
        <w:t xml:space="preserve"> for INR </w:t>
      </w:r>
      <w:r w:rsidR="00D42DE9" w:rsidRPr="00714401">
        <w:rPr>
          <w:rFonts w:ascii="Book Antiqua" w:hAnsi="Book Antiqua"/>
          <w:color w:val="auto"/>
          <w:lang w:val="en-US"/>
        </w:rPr>
        <w:t>(1 point)</w:t>
      </w:r>
      <w:r w:rsidR="0076063F" w:rsidRPr="00714401">
        <w:rPr>
          <w:rFonts w:ascii="Book Antiqua" w:hAnsi="Book Antiqua"/>
          <w:color w:val="auto"/>
          <w:lang w:val="en-US"/>
        </w:rPr>
        <w:t xml:space="preserve"> </w:t>
      </w:r>
      <w:r w:rsidR="0023570F" w:rsidRPr="00714401">
        <w:rPr>
          <w:rFonts w:ascii="Book Antiqua" w:hAnsi="Book Antiqua"/>
          <w:color w:val="auto"/>
          <w:lang w:val="en-US"/>
        </w:rPr>
        <w:t xml:space="preserve">and </w:t>
      </w:r>
      <w:r w:rsidR="00572BC8" w:rsidRPr="00714401">
        <w:rPr>
          <w:rFonts w:ascii="Book Antiqua" w:hAnsi="Book Antiqua"/>
          <w:color w:val="auto"/>
          <w:lang w:val="en-US"/>
        </w:rPr>
        <w:t xml:space="preserve">&lt; 10% </w:t>
      </w:r>
      <w:r w:rsidR="00732A7C" w:rsidRPr="00714401">
        <w:rPr>
          <w:rFonts w:ascii="Book Antiqua" w:hAnsi="Book Antiqua" w:hint="eastAsia"/>
          <w:color w:val="auto"/>
          <w:lang w:val="en-US" w:eastAsia="zh-CN"/>
        </w:rPr>
        <w:t xml:space="preserve">per </w:t>
      </w:r>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76063F" w:rsidRPr="00714401">
        <w:rPr>
          <w:rFonts w:ascii="Book Antiqua" w:hAnsi="Book Antiqua"/>
          <w:color w:val="auto"/>
          <w:lang w:val="en-US"/>
        </w:rPr>
        <w:t xml:space="preserve"> </w:t>
      </w:r>
      <w:r w:rsidR="0023570F" w:rsidRPr="00714401">
        <w:rPr>
          <w:rFonts w:ascii="Book Antiqua" w:hAnsi="Book Antiqua"/>
          <w:color w:val="auto"/>
          <w:lang w:val="en-US"/>
        </w:rPr>
        <w:t>for PDR</w:t>
      </w:r>
      <w:r w:rsidR="00572BC8" w:rsidRPr="00714401">
        <w:rPr>
          <w:rFonts w:ascii="Book Antiqua" w:hAnsi="Book Antiqua"/>
          <w:color w:val="auto"/>
          <w:lang w:val="en-US"/>
        </w:rPr>
        <w:t xml:space="preserve"> </w:t>
      </w:r>
      <w:r w:rsidR="00D42DE9" w:rsidRPr="00714401">
        <w:rPr>
          <w:rFonts w:ascii="Book Antiqua" w:hAnsi="Book Antiqua"/>
          <w:color w:val="auto"/>
          <w:lang w:val="en-US"/>
        </w:rPr>
        <w:t>(</w:t>
      </w:r>
      <w:r w:rsidR="0023570F" w:rsidRPr="00714401">
        <w:rPr>
          <w:rFonts w:ascii="Book Antiqua" w:hAnsi="Book Antiqua"/>
          <w:color w:val="auto"/>
          <w:lang w:val="en-US"/>
        </w:rPr>
        <w:t xml:space="preserve">2 points). </w:t>
      </w:r>
      <w:r w:rsidR="00D42DE9" w:rsidRPr="00714401">
        <w:rPr>
          <w:rFonts w:ascii="Book Antiqua" w:hAnsi="Book Antiqua"/>
          <w:color w:val="auto"/>
          <w:lang w:val="en-US"/>
        </w:rPr>
        <w:t>T</w:t>
      </w:r>
      <w:r w:rsidR="0023570F" w:rsidRPr="00714401">
        <w:rPr>
          <w:rFonts w:ascii="Book Antiqua" w:hAnsi="Book Antiqua"/>
          <w:color w:val="auto"/>
          <w:lang w:val="en-US"/>
        </w:rPr>
        <w:t>he AAs define</w:t>
      </w:r>
      <w:r w:rsidR="00D42DE9" w:rsidRPr="00714401">
        <w:rPr>
          <w:rFonts w:ascii="Book Antiqua" w:hAnsi="Book Antiqua"/>
          <w:color w:val="auto"/>
          <w:lang w:val="en-US"/>
        </w:rPr>
        <w:t>d</w:t>
      </w:r>
      <w:r w:rsidR="0023570F" w:rsidRPr="00714401">
        <w:rPr>
          <w:rFonts w:ascii="Book Antiqua" w:hAnsi="Book Antiqua"/>
          <w:color w:val="auto"/>
          <w:lang w:val="en-US"/>
        </w:rPr>
        <w:t xml:space="preserve"> four c</w:t>
      </w:r>
      <w:r w:rsidR="00D42DE9" w:rsidRPr="00714401">
        <w:rPr>
          <w:rFonts w:ascii="Book Antiqua" w:hAnsi="Book Antiqua"/>
          <w:color w:val="auto"/>
          <w:lang w:val="en-US"/>
        </w:rPr>
        <w:t>ategories</w:t>
      </w:r>
      <w:r w:rsidR="0076063F" w:rsidRPr="00714401">
        <w:rPr>
          <w:rFonts w:ascii="Book Antiqua" w:hAnsi="Book Antiqua"/>
          <w:color w:val="auto"/>
          <w:lang w:val="en-US"/>
        </w:rPr>
        <w:t xml:space="preserve"> </w:t>
      </w:r>
      <w:r w:rsidR="00D42DE9" w:rsidRPr="00714401">
        <w:rPr>
          <w:rFonts w:ascii="Book Antiqua" w:hAnsi="Book Antiqua"/>
          <w:color w:val="auto"/>
          <w:lang w:val="en-US"/>
        </w:rPr>
        <w:t xml:space="preserve">(points 0 to 3) </w:t>
      </w:r>
      <w:r w:rsidR="0023570F" w:rsidRPr="00714401">
        <w:rPr>
          <w:rFonts w:ascii="Book Antiqua" w:hAnsi="Book Antiqua"/>
          <w:color w:val="auto"/>
          <w:lang w:val="en-US"/>
        </w:rPr>
        <w:t>in which the</w:t>
      </w:r>
      <w:r w:rsidR="0076063F" w:rsidRPr="00714401">
        <w:rPr>
          <w:rFonts w:ascii="Book Antiqua" w:hAnsi="Book Antiqua"/>
          <w:color w:val="auto"/>
          <w:lang w:val="en-US"/>
        </w:rPr>
        <w:t xml:space="preserve"> </w:t>
      </w:r>
      <w:r w:rsidR="0023570F" w:rsidRPr="00714401">
        <w:rPr>
          <w:rFonts w:ascii="Book Antiqua" w:hAnsi="Book Antiqua"/>
          <w:color w:val="auto"/>
          <w:lang w:val="en-US"/>
        </w:rPr>
        <w:t xml:space="preserve">risk of early death or </w:t>
      </w:r>
      <w:proofErr w:type="spellStart"/>
      <w:r w:rsidR="0023570F" w:rsidRPr="00714401">
        <w:rPr>
          <w:rFonts w:ascii="Book Antiqua" w:hAnsi="Book Antiqua"/>
          <w:color w:val="auto"/>
          <w:lang w:val="en-US"/>
        </w:rPr>
        <w:t>retransplantation</w:t>
      </w:r>
      <w:proofErr w:type="spellEnd"/>
      <w:r w:rsidR="0023570F" w:rsidRPr="00714401">
        <w:rPr>
          <w:rFonts w:ascii="Book Antiqua" w:hAnsi="Book Antiqua"/>
          <w:color w:val="auto"/>
          <w:lang w:val="en-US"/>
        </w:rPr>
        <w:t xml:space="preserve"> was </w:t>
      </w:r>
      <w:r w:rsidR="00BC06F7" w:rsidRPr="00714401">
        <w:rPr>
          <w:rFonts w:ascii="Book Antiqua" w:hAnsi="Book Antiqua"/>
          <w:color w:val="auto"/>
          <w:lang w:val="en-US"/>
        </w:rPr>
        <w:lastRenderedPageBreak/>
        <w:t xml:space="preserve">described by the </w:t>
      </w:r>
      <w:r w:rsidR="0023570F" w:rsidRPr="00714401">
        <w:rPr>
          <w:rFonts w:ascii="Book Antiqua" w:hAnsi="Book Antiqua"/>
          <w:color w:val="auto"/>
          <w:lang w:val="en-US"/>
        </w:rPr>
        <w:t>score</w:t>
      </w:r>
      <w:r w:rsidR="00D42DE9" w:rsidRPr="00714401">
        <w:rPr>
          <w:rFonts w:ascii="Book Antiqua" w:hAnsi="Book Antiqua"/>
          <w:color w:val="auto"/>
          <w:lang w:val="en-US"/>
        </w:rPr>
        <w:t xml:space="preserve">, </w:t>
      </w:r>
      <w:r w:rsidR="00FF658A" w:rsidRPr="00714401">
        <w:rPr>
          <w:rFonts w:ascii="Book Antiqua" w:hAnsi="Book Antiqua"/>
          <w:color w:val="auto"/>
          <w:lang w:val="en-US"/>
        </w:rPr>
        <w:t>the higher</w:t>
      </w:r>
      <w:r w:rsidR="0076063F" w:rsidRPr="00714401">
        <w:rPr>
          <w:rFonts w:ascii="Book Antiqua" w:hAnsi="Book Antiqua"/>
          <w:color w:val="auto"/>
          <w:lang w:val="en-US"/>
        </w:rPr>
        <w:t xml:space="preserve"> </w:t>
      </w:r>
      <w:r w:rsidR="00FF658A" w:rsidRPr="00714401">
        <w:rPr>
          <w:rFonts w:ascii="Book Antiqua" w:hAnsi="Book Antiqua"/>
          <w:color w:val="auto"/>
          <w:lang w:val="en-US"/>
        </w:rPr>
        <w:t xml:space="preserve">the score, the </w:t>
      </w:r>
      <w:r w:rsidR="00D42DE9" w:rsidRPr="00714401">
        <w:rPr>
          <w:rFonts w:ascii="Book Antiqua" w:hAnsi="Book Antiqua"/>
          <w:color w:val="auto"/>
          <w:lang w:val="en-US"/>
        </w:rPr>
        <w:t>higher</w:t>
      </w:r>
      <w:r w:rsidR="0076063F" w:rsidRPr="00714401">
        <w:rPr>
          <w:rFonts w:ascii="Book Antiqua" w:hAnsi="Book Antiqua"/>
          <w:color w:val="auto"/>
          <w:lang w:val="en-US"/>
        </w:rPr>
        <w:t xml:space="preserve"> </w:t>
      </w:r>
      <w:r w:rsidR="00FF658A" w:rsidRPr="00714401">
        <w:rPr>
          <w:rFonts w:ascii="Book Antiqua" w:hAnsi="Book Antiqua"/>
          <w:color w:val="auto"/>
          <w:lang w:val="en-US"/>
        </w:rPr>
        <w:t>the risk of adverse outcome (</w:t>
      </w:r>
      <w:r w:rsidR="0023570F" w:rsidRPr="00714401">
        <w:rPr>
          <w:rFonts w:ascii="Book Antiqua" w:hAnsi="Book Antiqua"/>
          <w:color w:val="auto"/>
          <w:lang w:val="en-US"/>
        </w:rPr>
        <w:t>point 0,</w:t>
      </w:r>
      <w:r w:rsidR="0076063F" w:rsidRPr="00714401">
        <w:rPr>
          <w:rFonts w:ascii="Book Antiqua" w:hAnsi="Book Antiqua"/>
          <w:color w:val="auto"/>
          <w:lang w:val="en-US"/>
        </w:rPr>
        <w:t xml:space="preserve"> </w:t>
      </w:r>
      <w:r w:rsidR="0023570F" w:rsidRPr="00714401">
        <w:rPr>
          <w:rFonts w:ascii="Book Antiqua" w:hAnsi="Book Antiqua"/>
          <w:color w:val="auto"/>
          <w:lang w:val="en-US"/>
        </w:rPr>
        <w:t>4.4%; point</w:t>
      </w:r>
      <w:r w:rsidR="0076063F" w:rsidRPr="00714401">
        <w:rPr>
          <w:rFonts w:ascii="Book Antiqua" w:hAnsi="Book Antiqua"/>
          <w:color w:val="auto"/>
          <w:lang w:val="en-US"/>
        </w:rPr>
        <w:t xml:space="preserve"> </w:t>
      </w:r>
      <w:r w:rsidR="0023570F" w:rsidRPr="00714401">
        <w:rPr>
          <w:rFonts w:ascii="Book Antiqua" w:hAnsi="Book Antiqua"/>
          <w:color w:val="auto"/>
          <w:lang w:val="en-US"/>
        </w:rPr>
        <w:t>1,</w:t>
      </w:r>
      <w:r w:rsidR="0076063F" w:rsidRPr="00714401">
        <w:rPr>
          <w:rFonts w:ascii="Book Antiqua" w:hAnsi="Book Antiqua"/>
          <w:color w:val="auto"/>
          <w:lang w:val="en-US"/>
        </w:rPr>
        <w:t xml:space="preserve"> </w:t>
      </w:r>
      <w:r w:rsidR="0023570F" w:rsidRPr="00714401">
        <w:rPr>
          <w:rFonts w:ascii="Book Antiqua" w:hAnsi="Book Antiqua"/>
          <w:color w:val="auto"/>
          <w:lang w:val="en-US"/>
        </w:rPr>
        <w:t>6.5%; points</w:t>
      </w:r>
      <w:r w:rsidR="0076063F" w:rsidRPr="00714401">
        <w:rPr>
          <w:rFonts w:ascii="Book Antiqua" w:hAnsi="Book Antiqua"/>
          <w:color w:val="auto"/>
          <w:lang w:val="en-US"/>
        </w:rPr>
        <w:t xml:space="preserve"> </w:t>
      </w:r>
      <w:r w:rsidR="00FF658A" w:rsidRPr="00714401">
        <w:rPr>
          <w:rFonts w:ascii="Book Antiqua" w:hAnsi="Book Antiqua"/>
          <w:color w:val="auto"/>
          <w:lang w:val="en-US"/>
        </w:rPr>
        <w:t>2, 12%;</w:t>
      </w:r>
      <w:r w:rsidR="0023570F" w:rsidRPr="00714401">
        <w:rPr>
          <w:rFonts w:ascii="Book Antiqua" w:hAnsi="Book Antiqua"/>
          <w:color w:val="auto"/>
          <w:lang w:val="en-US"/>
        </w:rPr>
        <w:t xml:space="preserve"> points 3, 50%</w:t>
      </w:r>
      <w:r w:rsidR="00FF658A" w:rsidRPr="00714401">
        <w:rPr>
          <w:rFonts w:ascii="Book Antiqua" w:hAnsi="Book Antiqua"/>
          <w:color w:val="auto"/>
          <w:lang w:val="en-US"/>
        </w:rPr>
        <w:t xml:space="preserve">). </w:t>
      </w:r>
      <w:r w:rsidR="00D42DE9" w:rsidRPr="00714401">
        <w:rPr>
          <w:rFonts w:ascii="Book Antiqua" w:hAnsi="Book Antiqua"/>
          <w:color w:val="auto"/>
          <w:lang w:val="en-US"/>
        </w:rPr>
        <w:t>A similar</w:t>
      </w:r>
      <w:r w:rsidR="0076063F" w:rsidRPr="00714401">
        <w:rPr>
          <w:rFonts w:ascii="Book Antiqua" w:hAnsi="Book Antiqua"/>
          <w:color w:val="auto"/>
          <w:lang w:val="en-US"/>
        </w:rPr>
        <w:t xml:space="preserve"> </w:t>
      </w:r>
      <w:r w:rsidR="00FF658A" w:rsidRPr="00714401">
        <w:rPr>
          <w:rFonts w:ascii="Book Antiqua" w:hAnsi="Book Antiqua"/>
          <w:color w:val="auto"/>
          <w:lang w:val="en-US"/>
        </w:rPr>
        <w:t xml:space="preserve">trend was reported also for ICU length of stay and </w:t>
      </w:r>
      <w:r w:rsidR="00D42DE9" w:rsidRPr="00714401">
        <w:rPr>
          <w:rFonts w:ascii="Book Antiqua" w:hAnsi="Book Antiqua"/>
          <w:color w:val="auto"/>
          <w:lang w:val="en-US"/>
        </w:rPr>
        <w:t xml:space="preserve">duration </w:t>
      </w:r>
      <w:r w:rsidR="00FF658A" w:rsidRPr="00714401">
        <w:rPr>
          <w:rFonts w:ascii="Book Antiqua" w:hAnsi="Book Antiqua"/>
          <w:color w:val="auto"/>
          <w:lang w:val="en-US"/>
        </w:rPr>
        <w:t>of mechanical ventilation.</w:t>
      </w:r>
      <w:r w:rsidR="0023570F" w:rsidRPr="00714401">
        <w:rPr>
          <w:rFonts w:ascii="Book Antiqua" w:hAnsi="Book Antiqua"/>
          <w:color w:val="auto"/>
          <w:lang w:val="en-US"/>
        </w:rPr>
        <w:t xml:space="preserve"> </w:t>
      </w:r>
      <w:r w:rsidR="00D42DE9" w:rsidRPr="00714401">
        <w:rPr>
          <w:rFonts w:ascii="Book Antiqua" w:hAnsi="Book Antiqua"/>
          <w:color w:val="auto"/>
          <w:lang w:val="en-US"/>
        </w:rPr>
        <w:t xml:space="preserve">In a validation cohort of 70 patients the </w:t>
      </w:r>
      <w:r w:rsidR="0023570F" w:rsidRPr="00714401">
        <w:rPr>
          <w:rFonts w:ascii="Book Antiqua" w:hAnsi="Book Antiqua"/>
          <w:color w:val="auto"/>
          <w:lang w:val="en-US"/>
        </w:rPr>
        <w:t xml:space="preserve">score had a good diagnostic performance </w:t>
      </w:r>
      <w:r w:rsidR="00667E98" w:rsidRPr="00714401">
        <w:rPr>
          <w:rFonts w:ascii="Book Antiqua" w:hAnsi="Book Antiqua"/>
          <w:color w:val="auto"/>
          <w:lang w:val="en-US"/>
        </w:rPr>
        <w:t>with sensitivity 60%;</w:t>
      </w:r>
      <w:r w:rsidR="0076063F" w:rsidRPr="00714401">
        <w:rPr>
          <w:rFonts w:ascii="Book Antiqua" w:hAnsi="Book Antiqua"/>
          <w:color w:val="auto"/>
          <w:lang w:val="en-US"/>
        </w:rPr>
        <w:t xml:space="preserve"> </w:t>
      </w:r>
      <w:r w:rsidR="00D42DE9" w:rsidRPr="00714401">
        <w:rPr>
          <w:rFonts w:ascii="Book Antiqua" w:hAnsi="Book Antiqua"/>
          <w:color w:val="auto"/>
          <w:lang w:val="en-US"/>
        </w:rPr>
        <w:t>spec</w:t>
      </w:r>
      <w:r w:rsidR="00667E98" w:rsidRPr="00714401">
        <w:rPr>
          <w:rFonts w:ascii="Book Antiqua" w:hAnsi="Book Antiqua"/>
          <w:color w:val="auto"/>
          <w:lang w:val="en-US"/>
        </w:rPr>
        <w:t xml:space="preserve">ificity 95.5%; </w:t>
      </w:r>
      <w:r w:rsidR="0023570F" w:rsidRPr="00714401">
        <w:rPr>
          <w:rFonts w:ascii="Book Antiqua" w:hAnsi="Book Antiqua"/>
          <w:color w:val="auto"/>
          <w:lang w:val="en-US"/>
        </w:rPr>
        <w:t>positive predictive value</w:t>
      </w:r>
      <w:r w:rsidR="00264177" w:rsidRPr="00714401">
        <w:rPr>
          <w:rFonts w:ascii="Book Antiqua" w:hAnsi="Book Antiqua"/>
          <w:color w:val="auto"/>
          <w:lang w:val="en-US"/>
        </w:rPr>
        <w:t xml:space="preserve"> (PPV)</w:t>
      </w:r>
      <w:r w:rsidR="0023570F" w:rsidRPr="00714401">
        <w:rPr>
          <w:rFonts w:ascii="Book Antiqua" w:hAnsi="Book Antiqua"/>
          <w:color w:val="auto"/>
          <w:lang w:val="en-US"/>
        </w:rPr>
        <w:t>, 66.7%; negative predictive value</w:t>
      </w:r>
      <w:r w:rsidR="00667E98" w:rsidRPr="00714401">
        <w:rPr>
          <w:rFonts w:ascii="Book Antiqua" w:hAnsi="Book Antiqua"/>
          <w:color w:val="auto"/>
          <w:lang w:val="en-US"/>
        </w:rPr>
        <w:t xml:space="preserve"> (NPV)</w:t>
      </w:r>
      <w:r w:rsidR="0023570F" w:rsidRPr="00714401">
        <w:rPr>
          <w:rFonts w:ascii="Book Antiqua" w:hAnsi="Book Antiqua"/>
          <w:color w:val="auto"/>
          <w:lang w:val="en-US"/>
        </w:rPr>
        <w:t xml:space="preserve"> 94.1%. </w:t>
      </w:r>
      <w:r w:rsidR="005E008B" w:rsidRPr="00714401">
        <w:rPr>
          <w:rFonts w:ascii="Book Antiqua" w:hAnsi="Book Antiqua"/>
          <w:color w:val="auto"/>
          <w:lang w:val="en-US"/>
        </w:rPr>
        <w:t xml:space="preserve">The AAs concluded for a simple and useful tool to be considered for the selection of diagnostic and therapeutic strategies in </w:t>
      </w:r>
      <w:r w:rsidR="00ED2EC3" w:rsidRPr="00714401">
        <w:rPr>
          <w:rFonts w:ascii="Book Antiqua" w:hAnsi="Book Antiqua"/>
          <w:color w:val="auto"/>
          <w:lang w:val="en-US"/>
        </w:rPr>
        <w:t xml:space="preserve">the early postoperative </w:t>
      </w:r>
      <w:proofErr w:type="gramStart"/>
      <w:r w:rsidR="00ED2EC3" w:rsidRPr="00714401">
        <w:rPr>
          <w:rFonts w:ascii="Book Antiqua" w:hAnsi="Book Antiqua"/>
          <w:color w:val="auto"/>
          <w:lang w:val="en-US"/>
        </w:rPr>
        <w:t>period</w:t>
      </w:r>
      <w:r w:rsidR="00302D16" w:rsidRPr="00714401">
        <w:rPr>
          <w:rFonts w:ascii="Book Antiqua" w:hAnsi="Book Antiqua"/>
          <w:color w:val="auto"/>
          <w:vertAlign w:val="superscript"/>
          <w:lang w:val="en-US"/>
        </w:rPr>
        <w:t>[</w:t>
      </w:r>
      <w:proofErr w:type="gramEnd"/>
      <w:r w:rsidR="003D6F13" w:rsidRPr="00714401">
        <w:rPr>
          <w:rFonts w:ascii="Book Antiqua" w:hAnsi="Book Antiqua"/>
          <w:color w:val="auto"/>
          <w:vertAlign w:val="superscript"/>
          <w:lang w:val="en-US"/>
        </w:rPr>
        <w:t>59</w:t>
      </w:r>
      <w:r w:rsidR="00302D16" w:rsidRPr="00714401">
        <w:rPr>
          <w:rFonts w:ascii="Book Antiqua" w:hAnsi="Book Antiqua"/>
          <w:color w:val="auto"/>
          <w:vertAlign w:val="superscript"/>
          <w:lang w:val="en-US"/>
        </w:rPr>
        <w:t>]</w:t>
      </w:r>
      <w:r w:rsidR="00163CB4" w:rsidRPr="00714401">
        <w:rPr>
          <w:rFonts w:ascii="Book Antiqua" w:hAnsi="Book Antiqua"/>
          <w:color w:val="auto"/>
          <w:lang w:val="en-US"/>
        </w:rPr>
        <w:t xml:space="preserve">. </w:t>
      </w:r>
      <w:r w:rsidR="005E008B" w:rsidRPr="00714401">
        <w:rPr>
          <w:rFonts w:ascii="Book Antiqua" w:hAnsi="Book Antiqua"/>
          <w:color w:val="auto"/>
          <w:lang w:val="en-US"/>
        </w:rPr>
        <w:t>Different result were proposed by</w:t>
      </w:r>
      <w:r w:rsidR="0076063F" w:rsidRPr="00714401">
        <w:rPr>
          <w:rFonts w:ascii="Book Antiqua" w:hAnsi="Book Antiqua"/>
          <w:color w:val="auto"/>
          <w:lang w:val="en-US"/>
        </w:rPr>
        <w:t xml:space="preserve"> </w:t>
      </w:r>
      <w:proofErr w:type="spellStart"/>
      <w:r w:rsidR="00E10869" w:rsidRPr="00714401">
        <w:rPr>
          <w:rFonts w:ascii="Book Antiqua" w:hAnsi="Book Antiqua"/>
          <w:color w:val="auto"/>
          <w:lang w:val="en-US"/>
        </w:rPr>
        <w:t>Escorsell</w:t>
      </w:r>
      <w:proofErr w:type="spellEnd"/>
      <w:r w:rsidR="00E10869" w:rsidRPr="00714401">
        <w:rPr>
          <w:rFonts w:ascii="Book Antiqua" w:hAnsi="Book Antiqua"/>
          <w:color w:val="auto"/>
          <w:lang w:val="en-US"/>
        </w:rPr>
        <w:t xml:space="preserve"> </w:t>
      </w:r>
      <w:r w:rsidR="00E10869" w:rsidRPr="00714401">
        <w:rPr>
          <w:rFonts w:ascii="Book Antiqua" w:hAnsi="Book Antiqua"/>
          <w:i/>
          <w:color w:val="auto"/>
          <w:lang w:val="en-US"/>
        </w:rPr>
        <w:t xml:space="preserve">et </w:t>
      </w:r>
      <w:proofErr w:type="gramStart"/>
      <w:r w:rsidR="00732A7C" w:rsidRPr="00714401">
        <w:rPr>
          <w:rFonts w:ascii="Book Antiqua" w:hAnsi="Book Antiqua"/>
          <w:i/>
          <w:color w:val="auto"/>
          <w:lang w:val="en-US"/>
        </w:rPr>
        <w:t>al</w:t>
      </w:r>
      <w:r w:rsidR="008B6B43" w:rsidRPr="00714401">
        <w:rPr>
          <w:rFonts w:ascii="Book Antiqua" w:hAnsi="Book Antiqua"/>
          <w:color w:val="auto"/>
          <w:vertAlign w:val="superscript"/>
          <w:lang w:val="en-US"/>
        </w:rPr>
        <w:t>[</w:t>
      </w:r>
      <w:proofErr w:type="gramEnd"/>
      <w:r w:rsidR="003D6F13" w:rsidRPr="00714401">
        <w:rPr>
          <w:rFonts w:ascii="Book Antiqua" w:hAnsi="Book Antiqua"/>
          <w:color w:val="auto"/>
          <w:vertAlign w:val="superscript"/>
          <w:lang w:val="en-US"/>
        </w:rPr>
        <w:t>60</w:t>
      </w:r>
      <w:r w:rsidR="008B6B43" w:rsidRPr="00714401">
        <w:rPr>
          <w:rFonts w:ascii="Book Antiqua" w:hAnsi="Book Antiqua"/>
          <w:color w:val="auto"/>
          <w:vertAlign w:val="superscript"/>
          <w:lang w:val="en-US"/>
        </w:rPr>
        <w:t>]</w:t>
      </w:r>
      <w:r w:rsidR="005E008B" w:rsidRPr="00714401">
        <w:rPr>
          <w:rFonts w:ascii="Book Antiqua" w:hAnsi="Book Antiqua"/>
          <w:color w:val="auto"/>
          <w:lang w:val="en-US"/>
        </w:rPr>
        <w:t>.</w:t>
      </w:r>
      <w:r w:rsidR="005E008B" w:rsidRPr="00714401">
        <w:rPr>
          <w:rFonts w:ascii="Book Antiqua" w:hAnsi="Book Antiqua"/>
          <w:color w:val="auto"/>
          <w:vertAlign w:val="superscript"/>
          <w:lang w:val="en-US"/>
        </w:rPr>
        <w:t xml:space="preserve"> </w:t>
      </w:r>
      <w:r w:rsidR="005E008B" w:rsidRPr="00714401">
        <w:rPr>
          <w:rFonts w:ascii="Book Antiqua" w:hAnsi="Book Antiqua"/>
          <w:color w:val="auto"/>
          <w:lang w:val="en-US"/>
        </w:rPr>
        <w:t xml:space="preserve">In their </w:t>
      </w:r>
      <w:r w:rsidR="00C65489" w:rsidRPr="00714401">
        <w:rPr>
          <w:rFonts w:ascii="Book Antiqua" w:hAnsi="Book Antiqua"/>
          <w:color w:val="auto"/>
          <w:lang w:val="en-US"/>
        </w:rPr>
        <w:t xml:space="preserve">experience, </w:t>
      </w:r>
      <w:r w:rsidR="006758C6" w:rsidRPr="00714401">
        <w:rPr>
          <w:rFonts w:ascii="Book Antiqua" w:hAnsi="Book Antiqua"/>
          <w:color w:val="auto"/>
          <w:lang w:val="en-US"/>
        </w:rPr>
        <w:t>ICG</w:t>
      </w:r>
      <w:r w:rsidR="006758C6" w:rsidRPr="00714401">
        <w:rPr>
          <w:rFonts w:ascii="Book Antiqua" w:hAnsi="Book Antiqua"/>
          <w:color w:val="auto"/>
          <w:vertAlign w:val="subscript"/>
          <w:lang w:val="en-US"/>
        </w:rPr>
        <w:t>PDR</w:t>
      </w:r>
      <w:r w:rsidR="006758C6" w:rsidRPr="00714401">
        <w:rPr>
          <w:rFonts w:ascii="Book Antiqua" w:hAnsi="Book Antiqua"/>
          <w:color w:val="auto"/>
          <w:lang w:val="en-US"/>
        </w:rPr>
        <w:t xml:space="preserve"> </w:t>
      </w:r>
      <w:r w:rsidR="005E008B" w:rsidRPr="00714401">
        <w:rPr>
          <w:rFonts w:ascii="Book Antiqua" w:hAnsi="Book Antiqua"/>
          <w:color w:val="auto"/>
          <w:lang w:val="en-US"/>
        </w:rPr>
        <w:t xml:space="preserve">was not a predictor of liver dysfunction and short term </w:t>
      </w:r>
      <w:r w:rsidR="00732A7C" w:rsidRPr="00714401">
        <w:rPr>
          <w:rFonts w:ascii="Book Antiqua" w:hAnsi="Book Antiqua"/>
          <w:color w:val="auto"/>
          <w:lang w:val="en-US"/>
        </w:rPr>
        <w:t>outcome. Using a cut off of 8.8</w:t>
      </w:r>
      <w:r w:rsidR="005E008B" w:rsidRPr="00714401">
        <w:rPr>
          <w:rFonts w:ascii="Book Antiqua" w:hAnsi="Book Antiqua"/>
          <w:color w:val="auto"/>
          <w:lang w:val="en-US"/>
        </w:rPr>
        <w:t xml:space="preserve">% </w:t>
      </w:r>
      <w:r w:rsidR="00732A7C" w:rsidRPr="00714401">
        <w:rPr>
          <w:rFonts w:ascii="Book Antiqua" w:hAnsi="Book Antiqua" w:hint="eastAsia"/>
          <w:color w:val="auto"/>
          <w:lang w:val="en-US" w:eastAsia="zh-CN"/>
        </w:rPr>
        <w:t xml:space="preserve">per </w:t>
      </w:r>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973478" w:rsidRPr="00714401">
        <w:rPr>
          <w:rFonts w:ascii="Book Antiqua" w:hAnsi="Book Antiqua"/>
          <w:color w:val="auto"/>
          <w:lang w:val="en-US"/>
        </w:rPr>
        <w:t xml:space="preserve"> </w:t>
      </w:r>
      <w:r w:rsidR="005E008B" w:rsidRPr="00714401">
        <w:rPr>
          <w:rFonts w:ascii="Book Antiqua" w:hAnsi="Book Antiqua"/>
          <w:color w:val="auto"/>
          <w:lang w:val="en-US"/>
        </w:rPr>
        <w:t>the AAs subdivide</w:t>
      </w:r>
      <w:r w:rsidR="00000AF4" w:rsidRPr="00714401">
        <w:rPr>
          <w:rFonts w:ascii="Book Antiqua" w:hAnsi="Book Antiqua"/>
          <w:color w:val="auto"/>
          <w:lang w:val="en-US"/>
        </w:rPr>
        <w:t>d</w:t>
      </w:r>
      <w:r w:rsidR="005E008B" w:rsidRPr="00714401">
        <w:rPr>
          <w:rFonts w:ascii="Book Antiqua" w:hAnsi="Book Antiqua"/>
          <w:color w:val="auto"/>
          <w:lang w:val="en-US"/>
        </w:rPr>
        <w:t xml:space="preserve"> </w:t>
      </w:r>
      <w:r w:rsidR="00000AF4" w:rsidRPr="00714401">
        <w:rPr>
          <w:rFonts w:ascii="Book Antiqua" w:hAnsi="Book Antiqua"/>
          <w:color w:val="auto"/>
          <w:lang w:val="en-US"/>
        </w:rPr>
        <w:t xml:space="preserve">the transplanted </w:t>
      </w:r>
      <w:r w:rsidR="005E008B" w:rsidRPr="00714401">
        <w:rPr>
          <w:rFonts w:ascii="Book Antiqua" w:hAnsi="Book Antiqua"/>
          <w:color w:val="auto"/>
          <w:lang w:val="en-US"/>
        </w:rPr>
        <w:t>p</w:t>
      </w:r>
      <w:r w:rsidR="00E10869" w:rsidRPr="00714401">
        <w:rPr>
          <w:rFonts w:ascii="Book Antiqua" w:hAnsi="Book Antiqua"/>
          <w:color w:val="auto"/>
          <w:lang w:val="en-US"/>
        </w:rPr>
        <w:t xml:space="preserve">atients </w:t>
      </w:r>
      <w:r w:rsidR="005E008B" w:rsidRPr="00714401">
        <w:rPr>
          <w:rFonts w:ascii="Book Antiqua" w:hAnsi="Book Antiqua"/>
          <w:color w:val="auto"/>
          <w:lang w:val="en-US"/>
        </w:rPr>
        <w:t>in two groups</w:t>
      </w:r>
      <w:r w:rsidR="00ED2EC3" w:rsidRPr="00714401">
        <w:rPr>
          <w:rFonts w:ascii="Book Antiqua" w:hAnsi="Book Antiqua"/>
          <w:color w:val="auto"/>
          <w:lang w:val="en-US"/>
        </w:rPr>
        <w:t xml:space="preserve"> (A</w:t>
      </w:r>
      <w:r w:rsidR="00B07A08" w:rsidRPr="00714401">
        <w:rPr>
          <w:rFonts w:ascii="Book Antiqua" w:hAnsi="Book Antiqua"/>
          <w:color w:val="auto"/>
          <w:lang w:val="en-US"/>
        </w:rPr>
        <w:t xml:space="preserve"> &lt; 8.8% </w:t>
      </w:r>
      <w:r w:rsidR="00732A7C" w:rsidRPr="00714401">
        <w:rPr>
          <w:rFonts w:ascii="Book Antiqua" w:hAnsi="Book Antiqua" w:hint="eastAsia"/>
          <w:color w:val="auto"/>
          <w:lang w:val="en-US" w:eastAsia="zh-CN"/>
        </w:rPr>
        <w:t xml:space="preserve">per </w:t>
      </w:r>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B07A08" w:rsidRPr="00714401">
        <w:rPr>
          <w:rFonts w:ascii="Book Antiqua" w:hAnsi="Book Antiqua"/>
          <w:color w:val="auto"/>
          <w:lang w:val="en-US"/>
        </w:rPr>
        <w:t xml:space="preserve">; B &gt; 8.8% </w:t>
      </w:r>
      <w:r w:rsidR="00732A7C" w:rsidRPr="00714401">
        <w:rPr>
          <w:rFonts w:ascii="Book Antiqua" w:hAnsi="Book Antiqua" w:hint="eastAsia"/>
          <w:color w:val="auto"/>
          <w:lang w:val="en-US" w:eastAsia="zh-CN"/>
        </w:rPr>
        <w:t xml:space="preserve">per </w:t>
      </w:r>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732A7C" w:rsidRPr="00714401">
        <w:rPr>
          <w:rFonts w:ascii="Book Antiqua" w:hAnsi="Book Antiqua"/>
          <w:color w:val="auto"/>
          <w:lang w:val="en-US"/>
        </w:rPr>
        <w:t>)</w:t>
      </w:r>
      <w:r w:rsidR="008F19E7" w:rsidRPr="00714401">
        <w:rPr>
          <w:rFonts w:ascii="Book Antiqua" w:hAnsi="Book Antiqua"/>
          <w:color w:val="auto"/>
          <w:lang w:val="en-US"/>
        </w:rPr>
        <w:t xml:space="preserve">. Interestingly enough, </w:t>
      </w:r>
      <w:r w:rsidR="00B07A08" w:rsidRPr="00714401">
        <w:rPr>
          <w:rFonts w:ascii="Book Antiqua" w:hAnsi="Book Antiqua"/>
          <w:color w:val="auto"/>
          <w:lang w:val="en-US"/>
        </w:rPr>
        <w:t xml:space="preserve">outcome of </w:t>
      </w:r>
      <w:r w:rsidR="008F19E7" w:rsidRPr="00714401">
        <w:rPr>
          <w:rFonts w:ascii="Book Antiqua" w:hAnsi="Book Antiqua"/>
          <w:color w:val="auto"/>
          <w:lang w:val="en-US"/>
        </w:rPr>
        <w:t>patients in g</w:t>
      </w:r>
      <w:r w:rsidR="005E008B" w:rsidRPr="00714401">
        <w:rPr>
          <w:rFonts w:ascii="Book Antiqua" w:hAnsi="Book Antiqua"/>
          <w:color w:val="auto"/>
          <w:lang w:val="en-US"/>
        </w:rPr>
        <w:t xml:space="preserve">roup A </w:t>
      </w:r>
      <w:r w:rsidR="00316209" w:rsidRPr="00714401">
        <w:rPr>
          <w:rFonts w:ascii="Book Antiqua" w:hAnsi="Book Antiqua"/>
          <w:color w:val="auto"/>
          <w:lang w:val="en-US"/>
        </w:rPr>
        <w:t xml:space="preserve">was similar to outcome of </w:t>
      </w:r>
      <w:r w:rsidR="00B07A08" w:rsidRPr="00714401">
        <w:rPr>
          <w:rFonts w:ascii="Book Antiqua" w:hAnsi="Book Antiqua"/>
          <w:color w:val="auto"/>
          <w:lang w:val="en-US"/>
        </w:rPr>
        <w:t>patients</w:t>
      </w:r>
      <w:r w:rsidR="0076063F" w:rsidRPr="00714401">
        <w:rPr>
          <w:rFonts w:ascii="Book Antiqua" w:hAnsi="Book Antiqua"/>
          <w:color w:val="auto"/>
          <w:lang w:val="en-US"/>
        </w:rPr>
        <w:t xml:space="preserve"> </w:t>
      </w:r>
      <w:r w:rsidR="005E008B" w:rsidRPr="00714401">
        <w:rPr>
          <w:rFonts w:ascii="Book Antiqua" w:hAnsi="Book Antiqua"/>
          <w:color w:val="auto"/>
          <w:lang w:val="en-US"/>
        </w:rPr>
        <w:t>in group B</w:t>
      </w:r>
      <w:r w:rsidR="00F123B0" w:rsidRPr="00714401">
        <w:rPr>
          <w:rFonts w:ascii="Book Antiqua" w:hAnsi="Book Antiqua"/>
          <w:color w:val="auto"/>
          <w:lang w:val="en-US"/>
        </w:rPr>
        <w:t xml:space="preserve">: </w:t>
      </w:r>
      <w:r w:rsidR="00F9515F" w:rsidRPr="00714401">
        <w:rPr>
          <w:rFonts w:ascii="Book Antiqua" w:hAnsi="Book Antiqua"/>
          <w:color w:val="auto"/>
          <w:lang w:val="en-US"/>
        </w:rPr>
        <w:t>S</w:t>
      </w:r>
      <w:r w:rsidR="00AF28F2" w:rsidRPr="00714401">
        <w:rPr>
          <w:rFonts w:ascii="Book Antiqua" w:hAnsi="Book Antiqua"/>
          <w:color w:val="auto"/>
          <w:lang w:val="en-US"/>
        </w:rPr>
        <w:t xml:space="preserve">ince </w:t>
      </w:r>
      <w:r w:rsidR="008F19E7" w:rsidRPr="00714401">
        <w:rPr>
          <w:rFonts w:ascii="Book Antiqua" w:hAnsi="Book Antiqua"/>
          <w:color w:val="auto"/>
          <w:lang w:val="en-US"/>
        </w:rPr>
        <w:t xml:space="preserve">transplanted patients in </w:t>
      </w:r>
      <w:r w:rsidR="00F123B0" w:rsidRPr="00714401">
        <w:rPr>
          <w:rFonts w:ascii="Book Antiqua" w:hAnsi="Book Antiqua"/>
          <w:color w:val="auto"/>
          <w:lang w:val="en-US"/>
        </w:rPr>
        <w:t xml:space="preserve">group </w:t>
      </w:r>
      <w:r w:rsidR="00000AF4" w:rsidRPr="00714401">
        <w:rPr>
          <w:rFonts w:ascii="Book Antiqua" w:hAnsi="Book Antiqua"/>
          <w:color w:val="auto"/>
          <w:lang w:val="en-US"/>
        </w:rPr>
        <w:t xml:space="preserve">A showed </w:t>
      </w:r>
      <w:r w:rsidR="00E10869" w:rsidRPr="00714401">
        <w:rPr>
          <w:rFonts w:ascii="Book Antiqua" w:hAnsi="Book Antiqua"/>
          <w:color w:val="auto"/>
          <w:lang w:val="en-US"/>
        </w:rPr>
        <w:t>significant</w:t>
      </w:r>
      <w:r w:rsidR="00F123B0" w:rsidRPr="00714401">
        <w:rPr>
          <w:rFonts w:ascii="Book Antiqua" w:hAnsi="Book Antiqua"/>
          <w:color w:val="auto"/>
          <w:lang w:val="en-US"/>
        </w:rPr>
        <w:t>ly higher</w:t>
      </w:r>
      <w:r w:rsidR="00AF28F2" w:rsidRPr="00714401">
        <w:rPr>
          <w:rFonts w:ascii="Book Antiqua" w:hAnsi="Book Antiqua"/>
          <w:color w:val="auto"/>
          <w:lang w:val="en-US"/>
        </w:rPr>
        <w:t xml:space="preserve"> bilirubi</w:t>
      </w:r>
      <w:r w:rsidR="000F3629" w:rsidRPr="00714401">
        <w:rPr>
          <w:rFonts w:ascii="Book Antiqua" w:hAnsi="Book Antiqua"/>
          <w:color w:val="auto"/>
          <w:lang w:val="en-US"/>
        </w:rPr>
        <w:t>n levels</w:t>
      </w:r>
      <w:r w:rsidR="005222B2" w:rsidRPr="00714401">
        <w:rPr>
          <w:rFonts w:ascii="Book Antiqua" w:hAnsi="Book Antiqua"/>
          <w:color w:val="auto"/>
          <w:lang w:val="en-US"/>
        </w:rPr>
        <w:t>,</w:t>
      </w:r>
      <w:r w:rsidR="00F123B0" w:rsidRPr="00714401">
        <w:rPr>
          <w:rFonts w:ascii="Book Antiqua" w:hAnsi="Book Antiqua"/>
          <w:color w:val="auto"/>
          <w:lang w:val="en-US"/>
        </w:rPr>
        <w:t xml:space="preserve"> </w:t>
      </w:r>
      <w:r w:rsidR="00AF28F2" w:rsidRPr="00714401">
        <w:rPr>
          <w:rFonts w:ascii="Book Antiqua" w:hAnsi="Book Antiqua"/>
          <w:color w:val="auto"/>
          <w:lang w:val="en-US"/>
        </w:rPr>
        <w:t>a</w:t>
      </w:r>
      <w:r w:rsidR="00F123B0" w:rsidRPr="00714401">
        <w:rPr>
          <w:rFonts w:ascii="Book Antiqua" w:hAnsi="Book Antiqua"/>
          <w:color w:val="auto"/>
          <w:lang w:val="en-US"/>
        </w:rPr>
        <w:t xml:space="preserve"> </w:t>
      </w:r>
      <w:r w:rsidR="00E10869" w:rsidRPr="00714401">
        <w:rPr>
          <w:rFonts w:ascii="Book Antiqua" w:hAnsi="Book Antiqua"/>
          <w:color w:val="auto"/>
          <w:lang w:val="en-US"/>
        </w:rPr>
        <w:t xml:space="preserve">false </w:t>
      </w:r>
      <w:r w:rsidR="00AF28F2" w:rsidRPr="00714401">
        <w:rPr>
          <w:rFonts w:ascii="Book Antiqua" w:hAnsi="Book Antiqua"/>
          <w:color w:val="auto"/>
          <w:lang w:val="en-US"/>
        </w:rPr>
        <w:t xml:space="preserve">“low” </w:t>
      </w:r>
      <w:r w:rsidR="00E10869" w:rsidRPr="00714401">
        <w:rPr>
          <w:rFonts w:ascii="Book Antiqua" w:hAnsi="Book Antiqua"/>
          <w:color w:val="auto"/>
          <w:lang w:val="en-US"/>
        </w:rPr>
        <w:t xml:space="preserve">reading of the </w:t>
      </w:r>
      <w:r w:rsidR="00F123B0" w:rsidRPr="00714401">
        <w:rPr>
          <w:rFonts w:ascii="Book Antiqua" w:hAnsi="Book Antiqua"/>
          <w:color w:val="auto"/>
          <w:lang w:val="en-US"/>
        </w:rPr>
        <w:t>ICG</w:t>
      </w:r>
      <w:r w:rsidR="008A5595" w:rsidRPr="00714401">
        <w:rPr>
          <w:rFonts w:ascii="Book Antiqua" w:hAnsi="Book Antiqua"/>
          <w:color w:val="auto"/>
          <w:vertAlign w:val="subscript"/>
          <w:lang w:val="en-US"/>
        </w:rPr>
        <w:t>PDR</w:t>
      </w:r>
      <w:r w:rsidR="008A5595" w:rsidRPr="00714401">
        <w:rPr>
          <w:rFonts w:ascii="Book Antiqua" w:hAnsi="Book Antiqua"/>
          <w:color w:val="auto"/>
          <w:lang w:val="en-US"/>
        </w:rPr>
        <w:t xml:space="preserve"> </w:t>
      </w:r>
      <w:r w:rsidR="008F19E7" w:rsidRPr="00714401">
        <w:rPr>
          <w:rFonts w:ascii="Book Antiqua" w:hAnsi="Book Antiqua"/>
          <w:color w:val="auto"/>
          <w:lang w:val="en-US"/>
        </w:rPr>
        <w:t>might have occurred. The most pr</w:t>
      </w:r>
      <w:r w:rsidR="009449AC" w:rsidRPr="00714401">
        <w:rPr>
          <w:rFonts w:ascii="Book Antiqua" w:hAnsi="Book Antiqua"/>
          <w:color w:val="auto"/>
          <w:lang w:val="en-US"/>
        </w:rPr>
        <w:t xml:space="preserve">obable explanation should be a non proper </w:t>
      </w:r>
      <w:r w:rsidR="008F19E7" w:rsidRPr="00714401">
        <w:rPr>
          <w:rFonts w:ascii="Book Antiqua" w:hAnsi="Book Antiqua"/>
          <w:color w:val="auto"/>
          <w:lang w:val="en-US"/>
        </w:rPr>
        <w:t>categorization of</w:t>
      </w:r>
      <w:r w:rsidR="0076063F" w:rsidRPr="00714401">
        <w:rPr>
          <w:rFonts w:ascii="Book Antiqua" w:hAnsi="Book Antiqua"/>
          <w:color w:val="auto"/>
          <w:lang w:val="en-US"/>
        </w:rPr>
        <w:t xml:space="preserve"> </w:t>
      </w:r>
      <w:r w:rsidR="00AF28F2" w:rsidRPr="00714401">
        <w:rPr>
          <w:rFonts w:ascii="Book Antiqua" w:hAnsi="Book Antiqua"/>
          <w:color w:val="auto"/>
          <w:lang w:val="en-US"/>
        </w:rPr>
        <w:t>a graft as “</w:t>
      </w:r>
      <w:r w:rsidR="00847A53" w:rsidRPr="00714401">
        <w:rPr>
          <w:rFonts w:ascii="Book Antiqua" w:hAnsi="Book Antiqua"/>
          <w:color w:val="auto"/>
          <w:lang w:val="en-US"/>
        </w:rPr>
        <w:t>malfunctioning</w:t>
      </w:r>
      <w:r w:rsidR="00AC4974" w:rsidRPr="00714401">
        <w:rPr>
          <w:rFonts w:ascii="Book Antiqua" w:hAnsi="Book Antiqua"/>
          <w:color w:val="auto"/>
          <w:lang w:val="en-US"/>
        </w:rPr>
        <w:t>”</w:t>
      </w:r>
      <w:r w:rsidR="00847A53" w:rsidRPr="00714401">
        <w:rPr>
          <w:rFonts w:ascii="Book Antiqua" w:hAnsi="Book Antiqua"/>
          <w:color w:val="auto"/>
          <w:lang w:val="en-US"/>
        </w:rPr>
        <w:t xml:space="preserve"> </w:t>
      </w:r>
      <w:r w:rsidR="00AF28F2" w:rsidRPr="00714401">
        <w:rPr>
          <w:rFonts w:ascii="Book Antiqua" w:hAnsi="Book Antiqua"/>
          <w:color w:val="auto"/>
          <w:lang w:val="en-US"/>
        </w:rPr>
        <w:t xml:space="preserve">because of hyperbilirubinemia and not because </w:t>
      </w:r>
      <w:r w:rsidR="008F19E7" w:rsidRPr="00714401">
        <w:rPr>
          <w:rFonts w:ascii="Book Antiqua" w:hAnsi="Book Antiqua"/>
          <w:color w:val="auto"/>
          <w:lang w:val="en-US"/>
        </w:rPr>
        <w:t>of a real</w:t>
      </w:r>
      <w:r w:rsidR="0076063F" w:rsidRPr="00714401">
        <w:rPr>
          <w:rFonts w:ascii="Book Antiqua" w:hAnsi="Book Antiqua"/>
          <w:color w:val="auto"/>
          <w:lang w:val="en-US"/>
        </w:rPr>
        <w:t xml:space="preserve"> </w:t>
      </w:r>
      <w:r w:rsidR="00732A7C" w:rsidRPr="00714401">
        <w:rPr>
          <w:rFonts w:ascii="Book Antiqua" w:hAnsi="Book Antiqua"/>
          <w:color w:val="auto"/>
          <w:lang w:val="en-US"/>
        </w:rPr>
        <w:t>dysfunction</w:t>
      </w:r>
      <w:r w:rsidR="00AF28F2" w:rsidRPr="00714401">
        <w:rPr>
          <w:rFonts w:ascii="Book Antiqua" w:hAnsi="Book Antiqua"/>
          <w:color w:val="auto"/>
          <w:lang w:val="en-US"/>
        </w:rPr>
        <w:t xml:space="preserve">. </w:t>
      </w:r>
      <w:r w:rsidR="006662C3" w:rsidRPr="00714401">
        <w:rPr>
          <w:rFonts w:ascii="Book Antiqua" w:hAnsi="Book Antiqua"/>
          <w:color w:val="auto"/>
          <w:lang w:val="en-US"/>
        </w:rPr>
        <w:t>Confirmation of this interpretation comes</w:t>
      </w:r>
      <w:r w:rsidR="0076063F" w:rsidRPr="00714401">
        <w:rPr>
          <w:rFonts w:ascii="Book Antiqua" w:hAnsi="Book Antiqua"/>
          <w:color w:val="auto"/>
          <w:lang w:val="en-US"/>
        </w:rPr>
        <w:t xml:space="preserve"> </w:t>
      </w:r>
      <w:r w:rsidR="006662C3" w:rsidRPr="00714401">
        <w:rPr>
          <w:rFonts w:ascii="Book Antiqua" w:hAnsi="Book Antiqua"/>
          <w:color w:val="auto"/>
          <w:lang w:val="en-US"/>
        </w:rPr>
        <w:t xml:space="preserve">from the </w:t>
      </w:r>
      <w:r w:rsidR="00C65489" w:rsidRPr="00714401">
        <w:rPr>
          <w:rFonts w:ascii="Book Antiqua" w:hAnsi="Book Antiqua"/>
          <w:color w:val="auto"/>
          <w:lang w:val="en-US"/>
        </w:rPr>
        <w:t xml:space="preserve">reported </w:t>
      </w:r>
      <w:r w:rsidR="006662C3" w:rsidRPr="00714401">
        <w:rPr>
          <w:rFonts w:ascii="Book Antiqua" w:hAnsi="Book Antiqua"/>
          <w:color w:val="auto"/>
          <w:lang w:val="en-US"/>
        </w:rPr>
        <w:t xml:space="preserve">outcome. </w:t>
      </w:r>
      <w:r w:rsidR="00F123B0" w:rsidRPr="00714401">
        <w:rPr>
          <w:rFonts w:ascii="Book Antiqua" w:hAnsi="Book Antiqua"/>
          <w:color w:val="auto"/>
          <w:lang w:val="en-US"/>
        </w:rPr>
        <w:t>Very similar were</w:t>
      </w:r>
      <w:r w:rsidR="00AF28F2" w:rsidRPr="00714401">
        <w:rPr>
          <w:rFonts w:ascii="Book Antiqua" w:hAnsi="Book Antiqua"/>
          <w:color w:val="auto"/>
          <w:lang w:val="en-US"/>
        </w:rPr>
        <w:t xml:space="preserve"> the</w:t>
      </w:r>
      <w:r w:rsidR="0076063F" w:rsidRPr="00714401">
        <w:rPr>
          <w:rFonts w:ascii="Book Antiqua" w:hAnsi="Book Antiqua"/>
          <w:color w:val="auto"/>
          <w:lang w:val="en-US"/>
        </w:rPr>
        <w:t xml:space="preserve"> </w:t>
      </w:r>
      <w:r w:rsidR="00AF28F2" w:rsidRPr="00714401">
        <w:rPr>
          <w:rFonts w:ascii="Book Antiqua" w:hAnsi="Book Antiqua"/>
          <w:color w:val="auto"/>
          <w:lang w:val="en-US"/>
        </w:rPr>
        <w:t xml:space="preserve">results we </w:t>
      </w:r>
      <w:r w:rsidR="00AC4974" w:rsidRPr="00714401">
        <w:rPr>
          <w:rFonts w:ascii="Book Antiqua" w:hAnsi="Book Antiqua"/>
          <w:color w:val="auto"/>
          <w:lang w:val="en-US"/>
        </w:rPr>
        <w:t>proposed</w:t>
      </w:r>
      <w:r w:rsidR="008F19E7" w:rsidRPr="00714401">
        <w:rPr>
          <w:rFonts w:ascii="Book Antiqua" w:hAnsi="Book Antiqua"/>
          <w:color w:val="auto"/>
          <w:lang w:val="en-US"/>
        </w:rPr>
        <w:t xml:space="preserve"> (in abstract)</w:t>
      </w:r>
      <w:r w:rsidR="00AF28F2" w:rsidRPr="00714401">
        <w:rPr>
          <w:rFonts w:ascii="Book Antiqua" w:hAnsi="Book Antiqua"/>
          <w:color w:val="auto"/>
          <w:lang w:val="en-US"/>
        </w:rPr>
        <w:t xml:space="preserve"> </w:t>
      </w:r>
      <w:r w:rsidR="00316209" w:rsidRPr="00714401">
        <w:rPr>
          <w:rFonts w:ascii="Book Antiqua" w:hAnsi="Book Antiqua"/>
          <w:color w:val="auto"/>
          <w:lang w:val="en-US"/>
        </w:rPr>
        <w:t>studying a cohort of</w:t>
      </w:r>
      <w:r w:rsidR="0076063F" w:rsidRPr="00714401">
        <w:rPr>
          <w:rFonts w:ascii="Book Antiqua" w:hAnsi="Book Antiqua"/>
          <w:color w:val="auto"/>
          <w:lang w:val="en-US"/>
        </w:rPr>
        <w:t xml:space="preserve"> </w:t>
      </w:r>
      <w:r w:rsidR="00E10869" w:rsidRPr="00714401">
        <w:rPr>
          <w:rFonts w:ascii="Book Antiqua" w:hAnsi="Book Antiqua"/>
          <w:color w:val="auto"/>
          <w:lang w:val="en-US"/>
        </w:rPr>
        <w:t xml:space="preserve">76 </w:t>
      </w:r>
      <w:r w:rsidR="00F123B0" w:rsidRPr="00714401">
        <w:rPr>
          <w:rFonts w:ascii="Book Antiqua" w:hAnsi="Book Antiqua"/>
          <w:color w:val="auto"/>
          <w:lang w:val="en-US"/>
        </w:rPr>
        <w:t xml:space="preserve">consecutive </w:t>
      </w:r>
      <w:r w:rsidR="000F3629" w:rsidRPr="00714401">
        <w:rPr>
          <w:rFonts w:ascii="Book Antiqua" w:hAnsi="Book Antiqua"/>
          <w:color w:val="auto"/>
          <w:lang w:val="en-US"/>
        </w:rPr>
        <w:t xml:space="preserve">liver </w:t>
      </w:r>
      <w:proofErr w:type="gramStart"/>
      <w:r w:rsidR="000F3629" w:rsidRPr="00714401">
        <w:rPr>
          <w:rFonts w:ascii="Book Antiqua" w:hAnsi="Book Antiqua"/>
          <w:color w:val="auto"/>
          <w:lang w:val="en-US"/>
        </w:rPr>
        <w:t>transplant</w:t>
      </w:r>
      <w:r w:rsidR="00316209" w:rsidRPr="00714401">
        <w:rPr>
          <w:rFonts w:ascii="Book Antiqua" w:hAnsi="Book Antiqua"/>
          <w:color w:val="auto"/>
          <w:lang w:val="en-US"/>
        </w:rPr>
        <w:t>s</w:t>
      </w:r>
      <w:r w:rsidR="008B6B43" w:rsidRPr="00714401">
        <w:rPr>
          <w:rFonts w:ascii="Book Antiqua" w:hAnsi="Book Antiqua"/>
          <w:color w:val="auto"/>
          <w:vertAlign w:val="superscript"/>
          <w:lang w:val="en-US"/>
        </w:rPr>
        <w:t>[</w:t>
      </w:r>
      <w:proofErr w:type="gramEnd"/>
      <w:r w:rsidR="00D13521" w:rsidRPr="00714401">
        <w:rPr>
          <w:rFonts w:ascii="Book Antiqua" w:hAnsi="Book Antiqua"/>
          <w:color w:val="auto"/>
          <w:vertAlign w:val="superscript"/>
          <w:lang w:val="en-US"/>
        </w:rPr>
        <w:t>24</w:t>
      </w:r>
      <w:r w:rsidR="008B6B43" w:rsidRPr="00714401">
        <w:rPr>
          <w:rFonts w:ascii="Book Antiqua" w:hAnsi="Book Antiqua"/>
          <w:color w:val="auto"/>
          <w:vertAlign w:val="superscript"/>
          <w:lang w:val="en-US"/>
        </w:rPr>
        <w:t>]</w:t>
      </w:r>
      <w:r w:rsidR="00492582" w:rsidRPr="00714401">
        <w:rPr>
          <w:rFonts w:ascii="Book Antiqua" w:hAnsi="Book Antiqua"/>
          <w:color w:val="auto"/>
          <w:lang w:val="en-US"/>
        </w:rPr>
        <w:t>:</w:t>
      </w:r>
      <w:r w:rsidR="000F3629" w:rsidRPr="00714401">
        <w:rPr>
          <w:rFonts w:ascii="Book Antiqua" w:hAnsi="Book Antiqua"/>
          <w:color w:val="auto"/>
          <w:lang w:val="en-US"/>
        </w:rPr>
        <w:t xml:space="preserve"> </w:t>
      </w:r>
      <w:r w:rsidR="00F123B0" w:rsidRPr="00714401">
        <w:rPr>
          <w:rFonts w:ascii="Book Antiqua" w:hAnsi="Book Antiqua"/>
          <w:color w:val="auto"/>
          <w:lang w:val="en-US"/>
        </w:rPr>
        <w:t>ICG</w:t>
      </w:r>
      <w:r w:rsidR="00F123B0" w:rsidRPr="00714401">
        <w:rPr>
          <w:rFonts w:ascii="Book Antiqua" w:hAnsi="Book Antiqua"/>
          <w:color w:val="auto"/>
          <w:vertAlign w:val="subscript"/>
          <w:lang w:val="en-US"/>
        </w:rPr>
        <w:t>PDR</w:t>
      </w:r>
      <w:r w:rsidR="00F123B0" w:rsidRPr="00714401">
        <w:rPr>
          <w:rFonts w:ascii="Book Antiqua" w:hAnsi="Book Antiqua"/>
          <w:color w:val="auto"/>
          <w:lang w:val="en-US"/>
        </w:rPr>
        <w:t xml:space="preserve"> &lt;</w:t>
      </w:r>
      <w:r w:rsidR="00732A7C" w:rsidRPr="00714401">
        <w:rPr>
          <w:rFonts w:ascii="Book Antiqua" w:hAnsi="Book Antiqua" w:hint="eastAsia"/>
          <w:color w:val="auto"/>
          <w:lang w:val="en-US" w:eastAsia="zh-CN"/>
        </w:rPr>
        <w:t xml:space="preserve"> </w:t>
      </w:r>
      <w:r w:rsidR="00F123B0" w:rsidRPr="00714401">
        <w:rPr>
          <w:rFonts w:ascii="Book Antiqua" w:hAnsi="Book Antiqua"/>
          <w:color w:val="auto"/>
          <w:lang w:val="en-US"/>
        </w:rPr>
        <w:t>10%</w:t>
      </w:r>
      <w:r w:rsidR="00492582" w:rsidRPr="00714401">
        <w:rPr>
          <w:rFonts w:ascii="Book Antiqua" w:hAnsi="Book Antiqua"/>
          <w:color w:val="auto"/>
          <w:lang w:val="en-US"/>
        </w:rPr>
        <w:t xml:space="preserve"> </w:t>
      </w:r>
      <w:r w:rsidR="00732A7C" w:rsidRPr="00714401">
        <w:rPr>
          <w:rFonts w:ascii="Book Antiqua" w:hAnsi="Book Antiqua" w:hint="eastAsia"/>
          <w:color w:val="auto"/>
          <w:lang w:val="en-US" w:eastAsia="zh-CN"/>
        </w:rPr>
        <w:t xml:space="preserve">per </w:t>
      </w:r>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732A7C" w:rsidRPr="00714401">
        <w:rPr>
          <w:rFonts w:ascii="Book Antiqua" w:hAnsi="Book Antiqua"/>
          <w:color w:val="auto"/>
          <w:lang w:val="en-US"/>
        </w:rPr>
        <w:t xml:space="preserve"> </w:t>
      </w:r>
      <w:r w:rsidR="000F3629" w:rsidRPr="00714401">
        <w:rPr>
          <w:rFonts w:ascii="Book Antiqua" w:hAnsi="Book Antiqua"/>
          <w:color w:val="auto"/>
          <w:lang w:val="en-US"/>
        </w:rPr>
        <w:t>was not associated with a poor outcome of the patient and of the graft in the early postoperative period</w:t>
      </w:r>
      <w:r w:rsidR="00363EA4" w:rsidRPr="00714401">
        <w:rPr>
          <w:rFonts w:ascii="Book Antiqua" w:hAnsi="Book Antiqua"/>
          <w:color w:val="auto"/>
          <w:lang w:val="en-US"/>
        </w:rPr>
        <w:t>.</w:t>
      </w:r>
      <w:r w:rsidR="004C57B7" w:rsidRPr="00714401">
        <w:rPr>
          <w:rFonts w:ascii="Book Antiqua" w:hAnsi="Book Antiqua"/>
          <w:color w:val="auto"/>
          <w:lang w:val="en-US"/>
        </w:rPr>
        <w:t xml:space="preserve"> </w:t>
      </w:r>
      <w:r w:rsidR="00512348" w:rsidRPr="00714401">
        <w:rPr>
          <w:rFonts w:ascii="Book Antiqua" w:hAnsi="Book Antiqua"/>
          <w:color w:val="auto"/>
          <w:lang w:val="en-US"/>
        </w:rPr>
        <w:t xml:space="preserve">Interestingly enough, </w:t>
      </w:r>
      <w:r w:rsidR="00316209" w:rsidRPr="00714401">
        <w:rPr>
          <w:rFonts w:ascii="Book Antiqua" w:hAnsi="Book Antiqua"/>
          <w:color w:val="auto"/>
          <w:lang w:val="en-US"/>
        </w:rPr>
        <w:t>serum bilirubin &gt; 6 mg</w:t>
      </w:r>
      <w:r w:rsidR="001A338D" w:rsidRPr="00714401">
        <w:rPr>
          <w:rFonts w:ascii="Book Antiqua" w:hAnsi="Book Antiqua" w:hint="eastAsia"/>
          <w:color w:val="auto"/>
          <w:lang w:val="en-US" w:eastAsia="zh-CN"/>
        </w:rPr>
        <w:t>/</w:t>
      </w:r>
      <w:proofErr w:type="spellStart"/>
      <w:r w:rsidR="00316209" w:rsidRPr="00714401">
        <w:rPr>
          <w:rFonts w:ascii="Book Antiqua" w:hAnsi="Book Antiqua"/>
          <w:color w:val="auto"/>
          <w:lang w:val="en-US"/>
        </w:rPr>
        <w:t>d</w:t>
      </w:r>
      <w:r w:rsidR="001A338D" w:rsidRPr="00714401">
        <w:rPr>
          <w:rFonts w:ascii="Book Antiqua" w:hAnsi="Book Antiqua"/>
          <w:color w:val="auto"/>
          <w:lang w:val="en-US"/>
        </w:rPr>
        <w:t>L</w:t>
      </w:r>
      <w:proofErr w:type="spellEnd"/>
      <w:r w:rsidR="00316209" w:rsidRPr="00714401">
        <w:rPr>
          <w:rFonts w:ascii="Book Antiqua" w:hAnsi="Book Antiqua"/>
          <w:color w:val="auto"/>
          <w:vertAlign w:val="superscript"/>
          <w:lang w:val="en-US"/>
        </w:rPr>
        <w:t xml:space="preserve"> </w:t>
      </w:r>
      <w:r w:rsidR="00316209" w:rsidRPr="00714401">
        <w:rPr>
          <w:rFonts w:ascii="Book Antiqua" w:hAnsi="Book Antiqua"/>
          <w:color w:val="auto"/>
          <w:lang w:val="en-US"/>
        </w:rPr>
        <w:t>was always present</w:t>
      </w:r>
      <w:r w:rsidR="0076063F" w:rsidRPr="00714401">
        <w:rPr>
          <w:rFonts w:ascii="Book Antiqua" w:hAnsi="Book Antiqua"/>
          <w:color w:val="auto"/>
          <w:vertAlign w:val="superscript"/>
          <w:lang w:val="en-US"/>
        </w:rPr>
        <w:t xml:space="preserve"> </w:t>
      </w:r>
      <w:r w:rsidR="00316209" w:rsidRPr="00714401">
        <w:rPr>
          <w:rFonts w:ascii="Book Antiqua" w:hAnsi="Book Antiqua"/>
          <w:color w:val="auto"/>
          <w:lang w:val="en-US"/>
        </w:rPr>
        <w:t xml:space="preserve">when </w:t>
      </w:r>
      <w:r w:rsidR="004C57B7" w:rsidRPr="00714401">
        <w:rPr>
          <w:rFonts w:ascii="Book Antiqua" w:hAnsi="Book Antiqua"/>
          <w:color w:val="auto"/>
          <w:lang w:val="en-US"/>
        </w:rPr>
        <w:t>ICG</w:t>
      </w:r>
      <w:r w:rsidR="004C57B7" w:rsidRPr="00714401">
        <w:rPr>
          <w:rFonts w:ascii="Book Antiqua" w:hAnsi="Book Antiqua"/>
          <w:color w:val="auto"/>
          <w:vertAlign w:val="subscript"/>
          <w:lang w:val="en-US"/>
        </w:rPr>
        <w:t xml:space="preserve">PDR </w:t>
      </w:r>
      <w:r w:rsidR="00316209" w:rsidRPr="00714401">
        <w:rPr>
          <w:rFonts w:ascii="Book Antiqua" w:hAnsi="Book Antiqua"/>
          <w:color w:val="auto"/>
          <w:vertAlign w:val="subscript"/>
          <w:lang w:val="en-US"/>
        </w:rPr>
        <w:t xml:space="preserve">was </w:t>
      </w:r>
      <w:r w:rsidR="004C57B7" w:rsidRPr="00714401">
        <w:rPr>
          <w:rFonts w:ascii="Book Antiqua" w:hAnsi="Book Antiqua"/>
          <w:color w:val="auto"/>
          <w:lang w:val="en-US"/>
        </w:rPr>
        <w:t>&lt;</w:t>
      </w:r>
      <w:r w:rsidR="004C57B7" w:rsidRPr="00714401">
        <w:rPr>
          <w:rFonts w:ascii="Book Antiqua" w:hAnsi="Book Antiqua"/>
          <w:color w:val="auto"/>
          <w:vertAlign w:val="subscript"/>
          <w:lang w:val="en-US"/>
        </w:rPr>
        <w:t xml:space="preserve"> </w:t>
      </w:r>
      <w:r w:rsidR="004C57B7" w:rsidRPr="00714401">
        <w:rPr>
          <w:rFonts w:ascii="Book Antiqua" w:hAnsi="Book Antiqua"/>
          <w:color w:val="auto"/>
          <w:lang w:val="en-US"/>
        </w:rPr>
        <w:t xml:space="preserve">8% </w:t>
      </w:r>
      <w:r w:rsidR="00732A7C" w:rsidRPr="00714401">
        <w:rPr>
          <w:rFonts w:ascii="Book Antiqua" w:hAnsi="Book Antiqua" w:hint="eastAsia"/>
          <w:color w:val="auto"/>
          <w:lang w:val="en-US" w:eastAsia="zh-CN"/>
        </w:rPr>
        <w:t xml:space="preserve">per </w:t>
      </w:r>
      <w:proofErr w:type="gramStart"/>
      <w:r w:rsidR="00732A7C" w:rsidRPr="00714401">
        <w:rPr>
          <w:rFonts w:ascii="Book Antiqua" w:hAnsi="Book Antiqua"/>
          <w:color w:val="auto"/>
          <w:lang w:val="en-US"/>
        </w:rPr>
        <w:t>min</w:t>
      </w:r>
      <w:r w:rsidR="00732A7C" w:rsidRPr="00714401">
        <w:rPr>
          <w:rFonts w:ascii="Book Antiqua" w:hAnsi="Book Antiqua" w:hint="eastAsia"/>
          <w:color w:val="auto"/>
          <w:lang w:val="en-US" w:eastAsia="zh-CN"/>
        </w:rPr>
        <w:t>ute</w:t>
      </w:r>
      <w:r w:rsidR="006662C3" w:rsidRPr="00714401">
        <w:rPr>
          <w:rFonts w:ascii="Book Antiqua" w:hAnsi="Book Antiqua"/>
          <w:color w:val="auto"/>
          <w:vertAlign w:val="superscript"/>
          <w:lang w:val="en-US"/>
        </w:rPr>
        <w:t>[</w:t>
      </w:r>
      <w:proofErr w:type="gramEnd"/>
      <w:r w:rsidR="006662C3" w:rsidRPr="00714401">
        <w:rPr>
          <w:rFonts w:ascii="Book Antiqua" w:hAnsi="Book Antiqua"/>
          <w:color w:val="auto"/>
          <w:vertAlign w:val="superscript"/>
          <w:lang w:val="en-US"/>
        </w:rPr>
        <w:t>24]</w:t>
      </w:r>
      <w:r w:rsidR="006662C3" w:rsidRPr="00714401">
        <w:rPr>
          <w:rFonts w:ascii="Book Antiqua" w:hAnsi="Book Antiqua"/>
          <w:color w:val="auto"/>
          <w:lang w:val="en-US"/>
        </w:rPr>
        <w:t>.</w:t>
      </w:r>
      <w:r w:rsidR="0076063F" w:rsidRPr="00714401">
        <w:rPr>
          <w:rFonts w:ascii="Book Antiqua" w:hAnsi="Book Antiqua"/>
          <w:color w:val="auto"/>
          <w:lang w:val="en-US"/>
        </w:rPr>
        <w:t xml:space="preserve"> </w:t>
      </w:r>
      <w:r w:rsidR="006662C3" w:rsidRPr="00714401">
        <w:rPr>
          <w:rFonts w:ascii="Book Antiqua" w:hAnsi="Book Antiqua"/>
          <w:color w:val="auto"/>
          <w:lang w:val="en-US"/>
        </w:rPr>
        <w:t xml:space="preserve">We speculated that in this specific condition (hyperbilirubinemia), </w:t>
      </w:r>
      <w:r w:rsidR="00B44648" w:rsidRPr="00714401">
        <w:rPr>
          <w:rFonts w:ascii="Book Antiqua" w:hAnsi="Book Antiqua"/>
          <w:color w:val="auto"/>
          <w:lang w:val="en-US"/>
        </w:rPr>
        <w:t>ICG</w:t>
      </w:r>
      <w:r w:rsidR="00B44648" w:rsidRPr="00714401">
        <w:rPr>
          <w:rFonts w:ascii="Book Antiqua" w:hAnsi="Book Antiqua"/>
          <w:color w:val="auto"/>
          <w:vertAlign w:val="subscript"/>
          <w:lang w:val="en-US"/>
        </w:rPr>
        <w:t>PDR</w:t>
      </w:r>
      <w:r w:rsidR="006662C3" w:rsidRPr="00714401">
        <w:rPr>
          <w:rFonts w:ascii="Book Antiqua" w:hAnsi="Book Antiqua"/>
          <w:color w:val="auto"/>
          <w:lang w:val="en-US"/>
        </w:rPr>
        <w:t xml:space="preserve"> should be considered, as above underlined, </w:t>
      </w:r>
      <w:proofErr w:type="gramStart"/>
      <w:r w:rsidR="00E10869" w:rsidRPr="00714401">
        <w:rPr>
          <w:rFonts w:ascii="Book Antiqua" w:hAnsi="Book Antiqua"/>
          <w:color w:val="auto"/>
          <w:lang w:val="en-US"/>
        </w:rPr>
        <w:t>unreli</w:t>
      </w:r>
      <w:r w:rsidR="001A338D" w:rsidRPr="00714401">
        <w:rPr>
          <w:rFonts w:ascii="Book Antiqua" w:hAnsi="Book Antiqua"/>
          <w:color w:val="auto"/>
          <w:lang w:val="en-US"/>
        </w:rPr>
        <w:t>able</w:t>
      </w:r>
      <w:r w:rsidR="006662C3" w:rsidRPr="00714401">
        <w:rPr>
          <w:rFonts w:ascii="Book Antiqua" w:hAnsi="Book Antiqua"/>
          <w:color w:val="auto"/>
          <w:vertAlign w:val="superscript"/>
          <w:lang w:val="en-US"/>
        </w:rPr>
        <w:t>[</w:t>
      </w:r>
      <w:proofErr w:type="gramEnd"/>
      <w:r w:rsidR="006662C3" w:rsidRPr="00714401">
        <w:rPr>
          <w:rFonts w:ascii="Book Antiqua" w:hAnsi="Book Antiqua"/>
          <w:color w:val="auto"/>
          <w:vertAlign w:val="superscript"/>
          <w:lang w:val="en-US"/>
        </w:rPr>
        <w:t>6,7,12,13]</w:t>
      </w:r>
      <w:r w:rsidR="00C65489" w:rsidRPr="00714401">
        <w:rPr>
          <w:rFonts w:ascii="Book Antiqua" w:hAnsi="Book Antiqua"/>
          <w:color w:val="auto"/>
          <w:lang w:val="en-US"/>
        </w:rPr>
        <w:t xml:space="preserve">. </w:t>
      </w:r>
      <w:r w:rsidR="0003224A" w:rsidRPr="00714401">
        <w:rPr>
          <w:rFonts w:ascii="Book Antiqua" w:hAnsi="Book Antiqua"/>
          <w:color w:val="auto"/>
          <w:lang w:val="en-US"/>
        </w:rPr>
        <w:t>This point is unfortunately not completely addressed, in our opinion,</w:t>
      </w:r>
      <w:r w:rsidR="0076063F" w:rsidRPr="00714401">
        <w:rPr>
          <w:rFonts w:ascii="Book Antiqua" w:hAnsi="Book Antiqua"/>
          <w:color w:val="auto"/>
          <w:lang w:val="en-US"/>
        </w:rPr>
        <w:t xml:space="preserve"> </w:t>
      </w:r>
      <w:r w:rsidR="0003224A" w:rsidRPr="00714401">
        <w:rPr>
          <w:rFonts w:ascii="Book Antiqua" w:hAnsi="Book Antiqua"/>
          <w:color w:val="auto"/>
          <w:lang w:val="en-US"/>
        </w:rPr>
        <w:t xml:space="preserve">by </w:t>
      </w:r>
      <w:proofErr w:type="spellStart"/>
      <w:r w:rsidR="0003224A" w:rsidRPr="00714401">
        <w:rPr>
          <w:rFonts w:ascii="Book Antiqua" w:hAnsi="Book Antiqua"/>
          <w:color w:val="auto"/>
          <w:lang w:val="en-US"/>
        </w:rPr>
        <w:t>Leveques</w:t>
      </w:r>
      <w:proofErr w:type="spellEnd"/>
      <w:r w:rsidR="0003224A" w:rsidRPr="00714401">
        <w:rPr>
          <w:rFonts w:ascii="Book Antiqua" w:hAnsi="Book Antiqua"/>
          <w:i/>
          <w:color w:val="auto"/>
          <w:lang w:val="en-US"/>
        </w:rPr>
        <w:t xml:space="preserve"> et </w:t>
      </w:r>
      <w:proofErr w:type="gramStart"/>
      <w:r w:rsidR="0003224A"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61]</w:t>
      </w:r>
      <w:r w:rsidR="0003224A" w:rsidRPr="00714401">
        <w:rPr>
          <w:rFonts w:ascii="Book Antiqua" w:hAnsi="Book Antiqua"/>
          <w:color w:val="auto"/>
          <w:lang w:val="en-US"/>
        </w:rPr>
        <w:t xml:space="preserve"> in the </w:t>
      </w:r>
      <w:r w:rsidR="001A338D" w:rsidRPr="00714401">
        <w:rPr>
          <w:rFonts w:ascii="Book Antiqua" w:hAnsi="Book Antiqua"/>
          <w:color w:val="auto"/>
          <w:lang w:val="en-US"/>
        </w:rPr>
        <w:t>most recent review on this item</w:t>
      </w:r>
      <w:r w:rsidR="0003224A" w:rsidRPr="00714401">
        <w:rPr>
          <w:rFonts w:ascii="Book Antiqua" w:hAnsi="Book Antiqua"/>
          <w:color w:val="auto"/>
          <w:lang w:val="en-US"/>
        </w:rPr>
        <w:t>.</w:t>
      </w:r>
      <w:r w:rsidR="0076063F" w:rsidRPr="00714401">
        <w:rPr>
          <w:rFonts w:ascii="Book Antiqua" w:hAnsi="Book Antiqua"/>
          <w:color w:val="auto"/>
          <w:lang w:val="en-US"/>
        </w:rPr>
        <w:t xml:space="preserve"> </w:t>
      </w:r>
      <w:r w:rsidR="006662C3" w:rsidRPr="00714401">
        <w:rPr>
          <w:rFonts w:ascii="Book Antiqua" w:hAnsi="Book Antiqua"/>
          <w:color w:val="auto"/>
          <w:lang w:val="en-US"/>
        </w:rPr>
        <w:t xml:space="preserve">The last two studies </w:t>
      </w:r>
      <w:r w:rsidR="00B44648" w:rsidRPr="00714401">
        <w:rPr>
          <w:rFonts w:ascii="Book Antiqua" w:hAnsi="Book Antiqua"/>
          <w:color w:val="auto"/>
          <w:lang w:val="en-US"/>
        </w:rPr>
        <w:t>are</w:t>
      </w:r>
      <w:r w:rsidR="006662C3" w:rsidRPr="00714401">
        <w:rPr>
          <w:rFonts w:ascii="Book Antiqua" w:hAnsi="Book Antiqua"/>
          <w:color w:val="auto"/>
          <w:lang w:val="en-US"/>
        </w:rPr>
        <w:t xml:space="preserve">, </w:t>
      </w:r>
      <w:r w:rsidR="00471AD1" w:rsidRPr="00714401">
        <w:rPr>
          <w:rFonts w:ascii="Book Antiqua" w:hAnsi="Book Antiqua"/>
          <w:color w:val="auto"/>
          <w:lang w:val="en-US"/>
        </w:rPr>
        <w:t>in our opinion</w:t>
      </w:r>
      <w:r w:rsidR="006662C3" w:rsidRPr="00714401">
        <w:rPr>
          <w:rFonts w:ascii="Book Antiqua" w:hAnsi="Book Antiqua"/>
          <w:color w:val="auto"/>
          <w:lang w:val="en-US"/>
        </w:rPr>
        <w:t xml:space="preserve">, </w:t>
      </w:r>
      <w:r w:rsidR="00AC4974" w:rsidRPr="00714401">
        <w:rPr>
          <w:rFonts w:ascii="Book Antiqua" w:hAnsi="Book Antiqua"/>
          <w:color w:val="auto"/>
          <w:lang w:val="en-US"/>
        </w:rPr>
        <w:t xml:space="preserve">a further </w:t>
      </w:r>
      <w:r w:rsidR="00471AD1" w:rsidRPr="00714401">
        <w:rPr>
          <w:rFonts w:ascii="Book Antiqua" w:hAnsi="Book Antiqua"/>
          <w:color w:val="auto"/>
          <w:lang w:val="en-US"/>
        </w:rPr>
        <w:t xml:space="preserve">strong </w:t>
      </w:r>
      <w:r w:rsidR="00492582" w:rsidRPr="00714401">
        <w:rPr>
          <w:rFonts w:ascii="Book Antiqua" w:hAnsi="Book Antiqua"/>
          <w:color w:val="auto"/>
          <w:lang w:val="en-US"/>
        </w:rPr>
        <w:t xml:space="preserve">argument to support </w:t>
      </w:r>
      <w:r w:rsidR="00AC4974" w:rsidRPr="00714401">
        <w:rPr>
          <w:rFonts w:ascii="Book Antiqua" w:hAnsi="Book Antiqua"/>
          <w:color w:val="auto"/>
          <w:lang w:val="en-US"/>
        </w:rPr>
        <w:t>the relevant alteration introduced by hyperbilirubinemia</w:t>
      </w:r>
      <w:r w:rsidR="00C65489" w:rsidRPr="00714401">
        <w:rPr>
          <w:rFonts w:ascii="Book Antiqua" w:hAnsi="Book Antiqua"/>
          <w:color w:val="auto"/>
          <w:lang w:val="en-US"/>
        </w:rPr>
        <w:t xml:space="preserve">, not infrequently observed early after OLT, </w:t>
      </w:r>
      <w:r w:rsidR="00B44648" w:rsidRPr="00714401">
        <w:rPr>
          <w:rFonts w:ascii="Book Antiqua" w:hAnsi="Book Antiqua"/>
          <w:color w:val="auto"/>
          <w:lang w:val="en-US"/>
        </w:rPr>
        <w:t>on ICG kinetics. In bot</w:t>
      </w:r>
      <w:r w:rsidR="006662C3" w:rsidRPr="00714401">
        <w:rPr>
          <w:rFonts w:ascii="Book Antiqua" w:hAnsi="Book Antiqua"/>
          <w:color w:val="auto"/>
          <w:lang w:val="en-US"/>
        </w:rPr>
        <w:t>h</w:t>
      </w:r>
      <w:r w:rsidR="00B44648" w:rsidRPr="00714401">
        <w:rPr>
          <w:rFonts w:ascii="Book Antiqua" w:hAnsi="Book Antiqua"/>
          <w:color w:val="auto"/>
          <w:lang w:val="en-US"/>
        </w:rPr>
        <w:t xml:space="preserve"> </w:t>
      </w:r>
      <w:r w:rsidR="00B961B1" w:rsidRPr="00714401">
        <w:rPr>
          <w:rFonts w:ascii="Book Antiqua" w:hAnsi="Book Antiqua"/>
          <w:color w:val="auto"/>
          <w:lang w:val="en-US"/>
        </w:rPr>
        <w:t xml:space="preserve">studies, </w:t>
      </w:r>
      <w:r w:rsidR="00B44648" w:rsidRPr="00714401">
        <w:rPr>
          <w:rFonts w:ascii="Book Antiqua" w:hAnsi="Book Antiqua"/>
          <w:color w:val="auto"/>
          <w:lang w:val="en-US"/>
        </w:rPr>
        <w:t>ICG</w:t>
      </w:r>
      <w:r w:rsidR="00B44648" w:rsidRPr="00714401">
        <w:rPr>
          <w:rFonts w:ascii="Book Antiqua" w:hAnsi="Book Antiqua"/>
          <w:color w:val="auto"/>
          <w:vertAlign w:val="subscript"/>
          <w:lang w:val="en-US"/>
        </w:rPr>
        <w:t>PDR</w:t>
      </w:r>
      <w:r w:rsidR="00B44648" w:rsidRPr="00714401">
        <w:rPr>
          <w:rFonts w:ascii="Book Antiqua" w:hAnsi="Book Antiqua"/>
          <w:color w:val="auto"/>
          <w:lang w:val="en-US"/>
        </w:rPr>
        <w:t xml:space="preserve"> falsely </w:t>
      </w:r>
      <w:r w:rsidR="00CB33CA" w:rsidRPr="00714401">
        <w:rPr>
          <w:rFonts w:ascii="Book Antiqua" w:hAnsi="Book Antiqua"/>
          <w:color w:val="auto"/>
          <w:lang w:val="en-US"/>
        </w:rPr>
        <w:t>predicted</w:t>
      </w:r>
      <w:r w:rsidR="00B961B1" w:rsidRPr="00714401">
        <w:rPr>
          <w:rFonts w:ascii="Book Antiqua" w:hAnsi="Book Antiqua"/>
          <w:color w:val="auto"/>
          <w:lang w:val="en-US"/>
        </w:rPr>
        <w:t xml:space="preserve"> </w:t>
      </w:r>
      <w:r w:rsidR="008A5595" w:rsidRPr="00714401">
        <w:rPr>
          <w:rFonts w:ascii="Book Antiqua" w:hAnsi="Book Antiqua"/>
          <w:color w:val="auto"/>
          <w:lang w:val="en-US"/>
        </w:rPr>
        <w:t xml:space="preserve">an </w:t>
      </w:r>
      <w:r w:rsidR="00AC4974" w:rsidRPr="00714401">
        <w:rPr>
          <w:rFonts w:ascii="Book Antiqua" w:hAnsi="Book Antiqua"/>
          <w:color w:val="auto"/>
          <w:lang w:val="en-US"/>
        </w:rPr>
        <w:t xml:space="preserve">early </w:t>
      </w:r>
      <w:r w:rsidR="00E10869" w:rsidRPr="00714401">
        <w:rPr>
          <w:rFonts w:ascii="Book Antiqua" w:hAnsi="Book Antiqua"/>
          <w:color w:val="auto"/>
          <w:lang w:val="en-US"/>
        </w:rPr>
        <w:t>hepatic dysfu</w:t>
      </w:r>
      <w:r w:rsidR="008A5595" w:rsidRPr="00714401">
        <w:rPr>
          <w:rFonts w:ascii="Book Antiqua" w:hAnsi="Book Antiqua"/>
          <w:color w:val="auto"/>
          <w:lang w:val="en-US"/>
        </w:rPr>
        <w:t>nction</w:t>
      </w:r>
      <w:r w:rsidR="00B961B1" w:rsidRPr="00714401">
        <w:rPr>
          <w:rFonts w:ascii="Book Antiqua" w:hAnsi="Book Antiqua"/>
          <w:color w:val="auto"/>
          <w:lang w:val="en-US"/>
        </w:rPr>
        <w:t xml:space="preserve">, </w:t>
      </w:r>
      <w:r w:rsidR="008A5595" w:rsidRPr="00714401">
        <w:rPr>
          <w:rFonts w:ascii="Book Antiqua" w:hAnsi="Book Antiqua"/>
          <w:color w:val="auto"/>
          <w:lang w:val="en-US"/>
        </w:rPr>
        <w:t>not</w:t>
      </w:r>
      <w:r w:rsidR="00E10869" w:rsidRPr="00714401">
        <w:rPr>
          <w:rFonts w:ascii="Book Antiqua" w:hAnsi="Book Antiqua"/>
          <w:color w:val="auto"/>
          <w:lang w:val="en-US"/>
        </w:rPr>
        <w:t xml:space="preserve"> confirmed by the </w:t>
      </w:r>
      <w:r w:rsidR="00CB33CA" w:rsidRPr="00714401">
        <w:rPr>
          <w:rFonts w:ascii="Book Antiqua" w:hAnsi="Book Antiqua"/>
          <w:color w:val="auto"/>
          <w:lang w:val="en-US"/>
        </w:rPr>
        <w:t xml:space="preserve">early and medium term </w:t>
      </w:r>
      <w:r w:rsidR="00B961B1" w:rsidRPr="00714401">
        <w:rPr>
          <w:rFonts w:ascii="Book Antiqua" w:hAnsi="Book Antiqua"/>
          <w:color w:val="auto"/>
          <w:lang w:val="en-US"/>
        </w:rPr>
        <w:t xml:space="preserve">outcome </w:t>
      </w:r>
      <w:r w:rsidR="00807DED" w:rsidRPr="00714401">
        <w:rPr>
          <w:rFonts w:ascii="Book Antiqua" w:hAnsi="Book Antiqua"/>
          <w:color w:val="auto"/>
          <w:lang w:val="en-US"/>
        </w:rPr>
        <w:t xml:space="preserve">of both </w:t>
      </w:r>
      <w:r w:rsidR="00CB33CA" w:rsidRPr="00714401">
        <w:rPr>
          <w:rFonts w:ascii="Book Antiqua" w:hAnsi="Book Antiqua"/>
          <w:color w:val="auto"/>
          <w:lang w:val="en-US"/>
        </w:rPr>
        <w:t>patients and</w:t>
      </w:r>
      <w:r w:rsidR="0076063F" w:rsidRPr="00714401">
        <w:rPr>
          <w:rFonts w:ascii="Book Antiqua" w:hAnsi="Book Antiqua"/>
          <w:color w:val="auto"/>
          <w:lang w:val="en-US"/>
        </w:rPr>
        <w:t xml:space="preserve"> </w:t>
      </w:r>
      <w:r w:rsidR="00807DED" w:rsidRPr="00714401">
        <w:rPr>
          <w:rFonts w:ascii="Book Antiqua" w:hAnsi="Book Antiqua"/>
          <w:color w:val="auto"/>
          <w:lang w:val="en-US"/>
        </w:rPr>
        <w:t>graft</w:t>
      </w:r>
      <w:r w:rsidR="00C353EF" w:rsidRPr="00714401">
        <w:rPr>
          <w:rFonts w:ascii="Book Antiqua" w:hAnsi="Book Antiqua"/>
          <w:color w:val="auto"/>
          <w:lang w:val="en-US"/>
        </w:rPr>
        <w:t>s</w:t>
      </w:r>
      <w:r w:rsidR="00E10869" w:rsidRPr="00714401">
        <w:rPr>
          <w:rFonts w:ascii="Book Antiqua" w:hAnsi="Book Antiqua"/>
          <w:color w:val="auto"/>
          <w:lang w:val="en-US"/>
        </w:rPr>
        <w:t xml:space="preserve">. </w:t>
      </w:r>
      <w:r w:rsidR="00B961B1" w:rsidRPr="00714401">
        <w:rPr>
          <w:rFonts w:ascii="Book Antiqua" w:hAnsi="Book Antiqua"/>
          <w:color w:val="auto"/>
          <w:lang w:val="en-US"/>
        </w:rPr>
        <w:t>Instead</w:t>
      </w:r>
      <w:r w:rsidR="00CB33CA" w:rsidRPr="00714401">
        <w:rPr>
          <w:rFonts w:ascii="Book Antiqua" w:hAnsi="Book Antiqua"/>
          <w:color w:val="auto"/>
          <w:lang w:val="en-US"/>
        </w:rPr>
        <w:t xml:space="preserve">, </w:t>
      </w:r>
      <w:proofErr w:type="spellStart"/>
      <w:r w:rsidR="00B961B1" w:rsidRPr="00714401">
        <w:rPr>
          <w:rFonts w:ascii="Book Antiqua" w:hAnsi="Book Antiqua"/>
          <w:color w:val="auto"/>
          <w:lang w:val="en-US"/>
        </w:rPr>
        <w:t>Escorsell</w:t>
      </w:r>
      <w:proofErr w:type="spellEnd"/>
      <w:r w:rsidR="00B961B1" w:rsidRPr="00714401">
        <w:rPr>
          <w:rFonts w:ascii="Book Antiqua" w:hAnsi="Book Antiqua"/>
          <w:color w:val="auto"/>
          <w:lang w:val="en-US"/>
        </w:rPr>
        <w:t xml:space="preserve"> </w:t>
      </w:r>
      <w:r w:rsidR="00B961B1" w:rsidRPr="00714401">
        <w:rPr>
          <w:rFonts w:ascii="Book Antiqua" w:hAnsi="Book Antiqua"/>
          <w:i/>
          <w:color w:val="auto"/>
          <w:lang w:val="en-US"/>
        </w:rPr>
        <w:t xml:space="preserve">et </w:t>
      </w:r>
      <w:proofErr w:type="gramStart"/>
      <w:r w:rsidR="00B961B1"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60]</w:t>
      </w:r>
      <w:r w:rsidR="0076063F" w:rsidRPr="00714401">
        <w:rPr>
          <w:rFonts w:ascii="Book Antiqua" w:hAnsi="Book Antiqua"/>
          <w:color w:val="auto"/>
          <w:lang w:val="en-US"/>
        </w:rPr>
        <w:t xml:space="preserve"> </w:t>
      </w:r>
      <w:r w:rsidR="00CB33CA" w:rsidRPr="00714401">
        <w:rPr>
          <w:rFonts w:ascii="Book Antiqua" w:hAnsi="Book Antiqua"/>
          <w:color w:val="auto"/>
          <w:lang w:val="en-US"/>
        </w:rPr>
        <w:t xml:space="preserve">showed a strong correlation between </w:t>
      </w:r>
      <w:r w:rsidR="00B961B1" w:rsidRPr="00714401">
        <w:rPr>
          <w:rFonts w:ascii="Book Antiqua" w:hAnsi="Book Antiqua"/>
          <w:color w:val="auto"/>
          <w:lang w:val="en-US"/>
        </w:rPr>
        <w:t>lactate clearance</w:t>
      </w:r>
      <w:r w:rsidR="0076063F" w:rsidRPr="00714401">
        <w:rPr>
          <w:rFonts w:ascii="Book Antiqua" w:hAnsi="Book Antiqua"/>
          <w:color w:val="auto"/>
          <w:lang w:val="en-US"/>
        </w:rPr>
        <w:t xml:space="preserve"> </w:t>
      </w:r>
      <w:r w:rsidR="00CB33CA" w:rsidRPr="00714401">
        <w:rPr>
          <w:rFonts w:ascii="Book Antiqua" w:hAnsi="Book Antiqua"/>
          <w:color w:val="auto"/>
          <w:lang w:val="en-US"/>
        </w:rPr>
        <w:t xml:space="preserve">and </w:t>
      </w:r>
      <w:r w:rsidR="00B44648" w:rsidRPr="00714401">
        <w:rPr>
          <w:rFonts w:ascii="Book Antiqua" w:hAnsi="Book Antiqua"/>
          <w:color w:val="auto"/>
          <w:lang w:val="en-US"/>
        </w:rPr>
        <w:t xml:space="preserve">the functional recovery of the </w:t>
      </w:r>
      <w:r w:rsidR="0002597D" w:rsidRPr="00714401">
        <w:rPr>
          <w:rFonts w:ascii="Book Antiqua" w:hAnsi="Book Antiqua"/>
          <w:color w:val="auto"/>
          <w:lang w:val="en-US"/>
        </w:rPr>
        <w:t xml:space="preserve">newly grafted </w:t>
      </w:r>
      <w:r w:rsidR="00B44648" w:rsidRPr="00714401">
        <w:rPr>
          <w:rFonts w:ascii="Book Antiqua" w:hAnsi="Book Antiqua"/>
          <w:color w:val="auto"/>
          <w:lang w:val="en-US"/>
        </w:rPr>
        <w:t>livers</w:t>
      </w:r>
      <w:r w:rsidR="00B961B1" w:rsidRPr="00714401">
        <w:rPr>
          <w:rFonts w:ascii="Book Antiqua" w:hAnsi="Book Antiqua"/>
          <w:color w:val="auto"/>
          <w:lang w:val="en-US"/>
        </w:rPr>
        <w:t xml:space="preserve">, </w:t>
      </w:r>
      <w:r w:rsidR="0002597D" w:rsidRPr="00714401">
        <w:rPr>
          <w:rFonts w:ascii="Book Antiqua" w:hAnsi="Book Antiqua"/>
          <w:color w:val="auto"/>
          <w:lang w:val="en-US"/>
        </w:rPr>
        <w:t>further stressing the</w:t>
      </w:r>
      <w:r w:rsidR="0076063F" w:rsidRPr="00714401">
        <w:rPr>
          <w:rFonts w:ascii="Book Antiqua" w:hAnsi="Book Antiqua"/>
          <w:color w:val="auto"/>
          <w:lang w:val="en-US"/>
        </w:rPr>
        <w:t xml:space="preserve"> </w:t>
      </w:r>
      <w:r w:rsidR="00E10869" w:rsidRPr="00714401">
        <w:rPr>
          <w:rFonts w:ascii="Book Antiqua" w:hAnsi="Book Antiqua"/>
          <w:color w:val="auto"/>
          <w:lang w:val="en-US"/>
        </w:rPr>
        <w:t xml:space="preserve">high </w:t>
      </w:r>
      <w:r w:rsidR="00983594" w:rsidRPr="00714401">
        <w:rPr>
          <w:rFonts w:ascii="Book Antiqua" w:hAnsi="Book Antiqua"/>
          <w:color w:val="auto"/>
          <w:lang w:val="en-US"/>
        </w:rPr>
        <w:t>PPV</w:t>
      </w:r>
      <w:r w:rsidR="001A338D" w:rsidRPr="00714401">
        <w:rPr>
          <w:rFonts w:ascii="Book Antiqua" w:hAnsi="Book Antiqua"/>
          <w:color w:val="auto"/>
          <w:lang w:val="en-US"/>
        </w:rPr>
        <w:t xml:space="preserve"> of this test</w:t>
      </w:r>
      <w:r w:rsidR="00B44648" w:rsidRPr="00714401">
        <w:rPr>
          <w:rFonts w:ascii="Book Antiqua" w:hAnsi="Book Antiqua"/>
          <w:color w:val="auto"/>
          <w:lang w:val="en-US"/>
        </w:rPr>
        <w:t xml:space="preserve">: </w:t>
      </w:r>
      <w:r w:rsidR="001A338D" w:rsidRPr="00714401">
        <w:rPr>
          <w:rFonts w:ascii="Book Antiqua" w:hAnsi="Book Antiqua"/>
          <w:color w:val="auto"/>
          <w:lang w:val="en-US"/>
        </w:rPr>
        <w:t>A</w:t>
      </w:r>
      <w:r w:rsidR="00B44648" w:rsidRPr="00714401">
        <w:rPr>
          <w:rFonts w:ascii="Book Antiqua" w:hAnsi="Book Antiqua"/>
          <w:color w:val="auto"/>
          <w:lang w:val="en-US"/>
        </w:rPr>
        <w:t xml:space="preserve"> further confirmation of</w:t>
      </w:r>
      <w:r w:rsidR="0076063F" w:rsidRPr="00714401">
        <w:rPr>
          <w:rFonts w:ascii="Book Antiqua" w:hAnsi="Book Antiqua"/>
          <w:color w:val="auto"/>
          <w:lang w:val="en-US"/>
        </w:rPr>
        <w:t xml:space="preserve"> </w:t>
      </w:r>
      <w:r w:rsidR="00B961B1" w:rsidRPr="00714401">
        <w:rPr>
          <w:rFonts w:ascii="Book Antiqua" w:hAnsi="Book Antiqua"/>
          <w:color w:val="auto"/>
          <w:lang w:val="en-US"/>
        </w:rPr>
        <w:t xml:space="preserve">very similar </w:t>
      </w:r>
      <w:r w:rsidR="00CE035C" w:rsidRPr="00714401">
        <w:rPr>
          <w:rFonts w:ascii="Book Antiqua" w:hAnsi="Book Antiqua"/>
          <w:color w:val="auto"/>
          <w:lang w:val="en-US"/>
        </w:rPr>
        <w:t>results</w:t>
      </w:r>
      <w:r w:rsidR="00841EB4" w:rsidRPr="00714401">
        <w:rPr>
          <w:rFonts w:ascii="Book Antiqua" w:hAnsi="Book Antiqua"/>
          <w:color w:val="auto"/>
          <w:lang w:val="en-US"/>
        </w:rPr>
        <w:t xml:space="preserve"> we </w:t>
      </w:r>
      <w:r w:rsidR="001A338D" w:rsidRPr="00714401">
        <w:rPr>
          <w:rFonts w:ascii="Book Antiqua" w:hAnsi="Book Antiqua"/>
          <w:color w:val="auto"/>
          <w:lang w:val="en-US"/>
        </w:rPr>
        <w:t>obtained in an earlier study</w:t>
      </w:r>
      <w:r w:rsidR="008B6B43" w:rsidRPr="00714401">
        <w:rPr>
          <w:rFonts w:ascii="Book Antiqua" w:hAnsi="Book Antiqua"/>
          <w:color w:val="auto"/>
          <w:vertAlign w:val="superscript"/>
          <w:lang w:val="en-US"/>
        </w:rPr>
        <w:t>[</w:t>
      </w:r>
      <w:r w:rsidR="00D13521" w:rsidRPr="00714401">
        <w:rPr>
          <w:rFonts w:ascii="Book Antiqua" w:hAnsi="Book Antiqua"/>
          <w:color w:val="auto"/>
          <w:vertAlign w:val="superscript"/>
          <w:lang w:val="en-US"/>
        </w:rPr>
        <w:t>6</w:t>
      </w:r>
      <w:r w:rsidR="008760B4" w:rsidRPr="00714401">
        <w:rPr>
          <w:rFonts w:ascii="Book Antiqua" w:hAnsi="Book Antiqua"/>
          <w:color w:val="auto"/>
          <w:vertAlign w:val="superscript"/>
          <w:lang w:val="en-US"/>
        </w:rPr>
        <w:t>2</w:t>
      </w:r>
      <w:r w:rsidR="008B6B43" w:rsidRPr="00714401">
        <w:rPr>
          <w:rFonts w:ascii="Book Antiqua" w:hAnsi="Book Antiqua"/>
          <w:color w:val="auto"/>
          <w:vertAlign w:val="superscript"/>
          <w:lang w:val="en-US"/>
        </w:rPr>
        <w:t>]</w:t>
      </w:r>
      <w:r w:rsidR="00E10869" w:rsidRPr="00714401">
        <w:rPr>
          <w:rFonts w:ascii="Book Antiqua" w:hAnsi="Book Antiqua"/>
          <w:color w:val="auto"/>
          <w:lang w:val="en-US"/>
        </w:rPr>
        <w:t xml:space="preserve">. </w:t>
      </w:r>
      <w:r w:rsidR="00CE035C" w:rsidRPr="00714401">
        <w:rPr>
          <w:rFonts w:ascii="Book Antiqua" w:hAnsi="Book Antiqua"/>
          <w:color w:val="auto"/>
          <w:lang w:val="en-US"/>
        </w:rPr>
        <w:t>Last but not least, ICG kinetics might be altered by o</w:t>
      </w:r>
      <w:r w:rsidR="004C57B7" w:rsidRPr="00714401">
        <w:rPr>
          <w:rFonts w:ascii="Book Antiqua" w:hAnsi="Book Antiqua"/>
          <w:color w:val="auto"/>
          <w:lang w:val="en-US"/>
        </w:rPr>
        <w:t xml:space="preserve">ther factors </w:t>
      </w:r>
      <w:r w:rsidR="00492582" w:rsidRPr="00714401">
        <w:rPr>
          <w:rFonts w:ascii="Book Antiqua" w:hAnsi="Book Antiqua"/>
          <w:color w:val="auto"/>
          <w:lang w:val="en-US"/>
        </w:rPr>
        <w:t xml:space="preserve">or </w:t>
      </w:r>
      <w:r w:rsidR="004C57B7" w:rsidRPr="00714401">
        <w:rPr>
          <w:rFonts w:ascii="Book Antiqua" w:hAnsi="Book Antiqua"/>
          <w:color w:val="auto"/>
          <w:lang w:val="en-US"/>
        </w:rPr>
        <w:t>conditions</w:t>
      </w:r>
      <w:r w:rsidR="00841EB4" w:rsidRPr="00714401">
        <w:rPr>
          <w:rFonts w:ascii="Book Antiqua" w:hAnsi="Book Antiqua"/>
          <w:color w:val="auto"/>
          <w:lang w:val="en-US"/>
        </w:rPr>
        <w:t xml:space="preserve"> quite common in the early post</w:t>
      </w:r>
      <w:r w:rsidR="0002597D" w:rsidRPr="00714401">
        <w:rPr>
          <w:rFonts w:ascii="Book Antiqua" w:hAnsi="Book Antiqua"/>
          <w:color w:val="auto"/>
          <w:lang w:val="en-US"/>
        </w:rPr>
        <w:t xml:space="preserve"> </w:t>
      </w:r>
      <w:r w:rsidR="00841EB4" w:rsidRPr="00714401">
        <w:rPr>
          <w:rFonts w:ascii="Book Antiqua" w:hAnsi="Book Antiqua"/>
          <w:color w:val="auto"/>
          <w:lang w:val="en-US"/>
        </w:rPr>
        <w:t>transplant period</w:t>
      </w:r>
      <w:r w:rsidR="00854196" w:rsidRPr="00714401">
        <w:rPr>
          <w:rFonts w:ascii="Book Antiqua" w:hAnsi="Book Antiqua"/>
          <w:color w:val="auto"/>
          <w:lang w:val="en-US"/>
        </w:rPr>
        <w:t>:</w:t>
      </w:r>
      <w:r w:rsidR="00F9515F" w:rsidRPr="00714401">
        <w:rPr>
          <w:rFonts w:ascii="Book Antiqua" w:hAnsi="Book Antiqua"/>
          <w:color w:val="auto"/>
          <w:lang w:val="en-US"/>
        </w:rPr>
        <w:t xml:space="preserve"> A</w:t>
      </w:r>
      <w:r w:rsidR="00854196" w:rsidRPr="00714401">
        <w:rPr>
          <w:rFonts w:ascii="Book Antiqua" w:hAnsi="Book Antiqua"/>
          <w:color w:val="auto"/>
          <w:lang w:val="en-US"/>
        </w:rPr>
        <w:t>mong them</w:t>
      </w:r>
      <w:r w:rsidR="00841EB4" w:rsidRPr="00714401">
        <w:rPr>
          <w:rFonts w:ascii="Book Antiqua" w:hAnsi="Book Antiqua"/>
          <w:color w:val="auto"/>
          <w:lang w:val="en-US"/>
        </w:rPr>
        <w:t xml:space="preserve">, the impact of </w:t>
      </w:r>
      <w:r w:rsidR="00854196" w:rsidRPr="00714401">
        <w:rPr>
          <w:rFonts w:ascii="Book Antiqua" w:hAnsi="Book Antiqua"/>
          <w:color w:val="auto"/>
          <w:lang w:val="en-US"/>
        </w:rPr>
        <w:t xml:space="preserve">different values of </w:t>
      </w:r>
      <w:r w:rsidR="00CE035C" w:rsidRPr="00714401">
        <w:rPr>
          <w:rFonts w:ascii="Book Antiqua" w:hAnsi="Book Antiqua"/>
          <w:color w:val="auto"/>
          <w:lang w:val="en-US"/>
        </w:rPr>
        <w:t xml:space="preserve">total proteins </w:t>
      </w:r>
      <w:r w:rsidR="00B44648" w:rsidRPr="00714401">
        <w:rPr>
          <w:rFonts w:ascii="Book Antiqua" w:hAnsi="Book Antiqua"/>
          <w:color w:val="auto"/>
          <w:lang w:val="en-US"/>
        </w:rPr>
        <w:t xml:space="preserve">and </w:t>
      </w:r>
      <w:r w:rsidR="007564CC" w:rsidRPr="00714401">
        <w:rPr>
          <w:rFonts w:ascii="Book Antiqua" w:hAnsi="Book Antiqua"/>
          <w:color w:val="auto"/>
          <w:lang w:val="en-US"/>
        </w:rPr>
        <w:t>h</w:t>
      </w:r>
      <w:r w:rsidR="001A338D" w:rsidRPr="00714401">
        <w:rPr>
          <w:rFonts w:ascii="Book Antiqua" w:hAnsi="Book Antiqua"/>
          <w:color w:val="auto"/>
          <w:lang w:val="en-US"/>
        </w:rPr>
        <w:t>ematocrit</w:t>
      </w:r>
      <w:r w:rsidR="008B6B43" w:rsidRPr="00714401">
        <w:rPr>
          <w:rFonts w:ascii="Book Antiqua" w:hAnsi="Book Antiqua"/>
          <w:color w:val="auto"/>
          <w:vertAlign w:val="superscript"/>
          <w:lang w:val="en-US"/>
        </w:rPr>
        <w:t>[</w:t>
      </w:r>
      <w:r w:rsidR="008760B4" w:rsidRPr="00714401">
        <w:rPr>
          <w:rFonts w:ascii="Book Antiqua" w:hAnsi="Book Antiqua"/>
          <w:color w:val="auto"/>
          <w:vertAlign w:val="superscript"/>
          <w:lang w:val="en-US"/>
        </w:rPr>
        <w:t>63</w:t>
      </w:r>
      <w:r w:rsidR="008B6B43" w:rsidRPr="00714401">
        <w:rPr>
          <w:rFonts w:ascii="Book Antiqua" w:hAnsi="Book Antiqua"/>
          <w:color w:val="auto"/>
          <w:vertAlign w:val="superscript"/>
          <w:lang w:val="en-US"/>
        </w:rPr>
        <w:t>]</w:t>
      </w:r>
      <w:r w:rsidR="00F123B0" w:rsidRPr="00714401">
        <w:rPr>
          <w:rFonts w:ascii="Book Antiqua" w:hAnsi="Book Antiqua"/>
          <w:color w:val="auto"/>
          <w:lang w:val="en-US"/>
        </w:rPr>
        <w:t>.</w:t>
      </w:r>
    </w:p>
    <w:p w:rsidR="00841EB4" w:rsidRPr="00714401" w:rsidRDefault="00F23B73" w:rsidP="004F4F1E">
      <w:pPr>
        <w:pStyle w:val="Default"/>
        <w:snapToGrid w:val="0"/>
        <w:spacing w:line="360" w:lineRule="auto"/>
        <w:jc w:val="both"/>
        <w:rPr>
          <w:rFonts w:ascii="Book Antiqua" w:hAnsi="Book Antiqua"/>
          <w:color w:val="auto"/>
          <w:lang w:val="en-US"/>
        </w:rPr>
      </w:pPr>
      <w:r w:rsidRPr="00714401">
        <w:rPr>
          <w:rFonts w:ascii="Book Antiqua" w:hAnsi="Book Antiqua"/>
          <w:color w:val="auto"/>
          <w:lang w:val="en-US"/>
        </w:rPr>
        <w:t xml:space="preserve"> </w:t>
      </w:r>
    </w:p>
    <w:p w:rsidR="008D3D66" w:rsidRPr="00714401" w:rsidRDefault="00CE035C" w:rsidP="001A338D">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lastRenderedPageBreak/>
        <w:t>Further confirmation</w:t>
      </w:r>
      <w:r w:rsidR="0094044A" w:rsidRPr="00714401">
        <w:rPr>
          <w:rFonts w:ascii="Book Antiqua" w:hAnsi="Book Antiqua"/>
          <w:color w:val="auto"/>
          <w:lang w:val="en-US"/>
        </w:rPr>
        <w:t>s</w:t>
      </w:r>
      <w:r w:rsidRPr="00714401">
        <w:rPr>
          <w:rFonts w:ascii="Book Antiqua" w:hAnsi="Book Antiqua"/>
          <w:color w:val="auto"/>
          <w:lang w:val="en-US"/>
        </w:rPr>
        <w:t xml:space="preserve"> </w:t>
      </w:r>
      <w:r w:rsidR="00C353EF" w:rsidRPr="00714401">
        <w:rPr>
          <w:rFonts w:ascii="Book Antiqua" w:hAnsi="Book Antiqua"/>
          <w:color w:val="auto"/>
          <w:lang w:val="en-US"/>
        </w:rPr>
        <w:t xml:space="preserve">for </w:t>
      </w:r>
      <w:r w:rsidR="00492582" w:rsidRPr="00714401">
        <w:rPr>
          <w:rFonts w:ascii="Book Antiqua" w:hAnsi="Book Antiqua"/>
          <w:color w:val="auto"/>
          <w:lang w:val="en-US"/>
        </w:rPr>
        <w:t>a</w:t>
      </w:r>
      <w:r w:rsidR="00A90BDD" w:rsidRPr="00714401">
        <w:rPr>
          <w:rFonts w:ascii="Book Antiqua" w:hAnsi="Book Antiqua"/>
          <w:color w:val="auto"/>
          <w:lang w:val="en-US"/>
        </w:rPr>
        <w:t xml:space="preserve"> </w:t>
      </w:r>
      <w:r w:rsidR="00C353EF" w:rsidRPr="00714401">
        <w:rPr>
          <w:rFonts w:ascii="Book Antiqua" w:hAnsi="Book Antiqua"/>
          <w:color w:val="auto"/>
          <w:lang w:val="en-US"/>
        </w:rPr>
        <w:t xml:space="preserve">cautious interpretation of </w:t>
      </w:r>
      <w:r w:rsidRPr="00714401">
        <w:rPr>
          <w:rFonts w:ascii="Book Antiqua" w:hAnsi="Book Antiqua"/>
          <w:color w:val="auto"/>
          <w:lang w:val="en-US"/>
        </w:rPr>
        <w:t>low ICG</w:t>
      </w:r>
      <w:r w:rsidRPr="00714401">
        <w:rPr>
          <w:rFonts w:ascii="Book Antiqua" w:hAnsi="Book Antiqua"/>
          <w:color w:val="auto"/>
          <w:vertAlign w:val="subscript"/>
          <w:lang w:val="en-US"/>
        </w:rPr>
        <w:t>PDR</w:t>
      </w:r>
      <w:r w:rsidRPr="00714401">
        <w:rPr>
          <w:rFonts w:ascii="Book Antiqua" w:hAnsi="Book Antiqua"/>
          <w:color w:val="auto"/>
          <w:lang w:val="en-US"/>
        </w:rPr>
        <w:t xml:space="preserve"> values</w:t>
      </w:r>
      <w:r w:rsidRPr="00714401">
        <w:rPr>
          <w:rFonts w:ascii="Book Antiqua" w:hAnsi="Book Antiqua" w:cs="Cambria Math"/>
          <w:color w:val="auto"/>
          <w:lang w:val="en-US"/>
        </w:rPr>
        <w:t xml:space="preserve"> </w:t>
      </w:r>
      <w:r w:rsidR="0094044A" w:rsidRPr="00714401">
        <w:rPr>
          <w:rFonts w:ascii="Book Antiqua" w:hAnsi="Book Antiqua" w:cs="Cambria Math"/>
          <w:color w:val="auto"/>
          <w:lang w:val="en-US"/>
        </w:rPr>
        <w:t>while assessing liver f</w:t>
      </w:r>
      <w:r w:rsidR="00683953" w:rsidRPr="00714401">
        <w:rPr>
          <w:rFonts w:ascii="Book Antiqua" w:hAnsi="Book Antiqua" w:cs="Cambria Math"/>
          <w:color w:val="auto"/>
          <w:lang w:val="en-US"/>
        </w:rPr>
        <w:t xml:space="preserve">unction both after </w:t>
      </w:r>
      <w:r w:rsidR="00730C56" w:rsidRPr="00714401">
        <w:rPr>
          <w:rFonts w:ascii="Book Antiqua" w:hAnsi="Book Antiqua" w:cs="Cambria Math"/>
          <w:color w:val="auto"/>
          <w:lang w:val="en-US"/>
        </w:rPr>
        <w:t xml:space="preserve">liver </w:t>
      </w:r>
      <w:r w:rsidR="00683953" w:rsidRPr="00714401">
        <w:rPr>
          <w:rFonts w:ascii="Book Antiqua" w:hAnsi="Book Antiqua" w:cs="Cambria Math"/>
          <w:color w:val="auto"/>
          <w:lang w:val="en-US"/>
        </w:rPr>
        <w:t xml:space="preserve">resection and OLT </w:t>
      </w:r>
      <w:r w:rsidR="0094044A" w:rsidRPr="00714401">
        <w:rPr>
          <w:rFonts w:ascii="Book Antiqua" w:hAnsi="Book Antiqua" w:cs="Cambria Math"/>
          <w:color w:val="auto"/>
          <w:lang w:val="en-US"/>
        </w:rPr>
        <w:t>come</w:t>
      </w:r>
      <w:r w:rsidR="0094044A" w:rsidRPr="00714401">
        <w:rPr>
          <w:rFonts w:ascii="Book Antiqua" w:hAnsi="Book Antiqua"/>
          <w:color w:val="auto"/>
          <w:lang w:val="en-US"/>
        </w:rPr>
        <w:t xml:space="preserve"> from </w:t>
      </w:r>
      <w:r w:rsidR="00683953" w:rsidRPr="00714401">
        <w:rPr>
          <w:rFonts w:ascii="Book Antiqua" w:hAnsi="Book Antiqua"/>
          <w:color w:val="auto"/>
          <w:lang w:val="en-US"/>
        </w:rPr>
        <w:t xml:space="preserve">a </w:t>
      </w:r>
      <w:r w:rsidR="0094044A" w:rsidRPr="00714401">
        <w:rPr>
          <w:rFonts w:ascii="Book Antiqua" w:hAnsi="Book Antiqua"/>
          <w:color w:val="auto"/>
          <w:lang w:val="en-US"/>
        </w:rPr>
        <w:t xml:space="preserve">series of recent </w:t>
      </w:r>
      <w:r w:rsidR="00807DED" w:rsidRPr="00714401">
        <w:rPr>
          <w:rFonts w:ascii="Book Antiqua" w:hAnsi="Book Antiqua"/>
          <w:color w:val="auto"/>
          <w:lang w:val="en-US"/>
        </w:rPr>
        <w:t xml:space="preserve">studies </w:t>
      </w:r>
      <w:r w:rsidR="0094044A" w:rsidRPr="00714401">
        <w:rPr>
          <w:rFonts w:ascii="Book Antiqua" w:hAnsi="Book Antiqua"/>
          <w:color w:val="auto"/>
          <w:lang w:val="en-US"/>
        </w:rPr>
        <w:t>performed with the</w:t>
      </w:r>
      <w:r w:rsidR="0076063F" w:rsidRPr="00714401">
        <w:rPr>
          <w:rFonts w:ascii="Book Antiqua" w:hAnsi="Book Antiqua"/>
          <w:color w:val="auto"/>
          <w:lang w:val="en-US"/>
        </w:rPr>
        <w:t xml:space="preserve"> </w:t>
      </w:r>
      <w:r w:rsidR="00B961B1" w:rsidRPr="00714401">
        <w:rPr>
          <w:rFonts w:ascii="Book Antiqua" w:hAnsi="Book Antiqua"/>
          <w:color w:val="auto"/>
          <w:lang w:val="en-US"/>
        </w:rPr>
        <w:t>Maximal Enzymatic Liver Function (</w:t>
      </w:r>
      <w:proofErr w:type="spellStart"/>
      <w:r w:rsidR="00F21EE6" w:rsidRPr="00714401">
        <w:rPr>
          <w:rFonts w:ascii="Book Antiqua" w:hAnsi="Book Antiqua"/>
          <w:color w:val="auto"/>
          <w:lang w:val="en-US"/>
        </w:rPr>
        <w:t>LiMax</w:t>
      </w:r>
      <w:proofErr w:type="spellEnd"/>
      <w:r w:rsidR="00F21EE6" w:rsidRPr="00714401">
        <w:rPr>
          <w:rFonts w:ascii="Book Antiqua" w:hAnsi="Book Antiqua"/>
          <w:color w:val="auto"/>
          <w:lang w:val="en-US"/>
        </w:rPr>
        <w:t xml:space="preserve"> test</w:t>
      </w:r>
      <w:r w:rsidR="00B961B1" w:rsidRPr="00714401">
        <w:rPr>
          <w:rFonts w:ascii="Book Antiqua" w:hAnsi="Book Antiqua"/>
          <w:color w:val="auto"/>
          <w:lang w:val="en-US"/>
        </w:rPr>
        <w:t>)</w:t>
      </w:r>
      <w:r w:rsidR="0094044A" w:rsidRPr="00714401">
        <w:rPr>
          <w:rFonts w:ascii="Book Antiqua" w:hAnsi="Book Antiqua"/>
          <w:color w:val="auto"/>
          <w:lang w:val="en-US"/>
        </w:rPr>
        <w:t xml:space="preserve">, </w:t>
      </w:r>
      <w:r w:rsidR="00683953" w:rsidRPr="00714401">
        <w:rPr>
          <w:rFonts w:ascii="Book Antiqua" w:hAnsi="Book Antiqua"/>
          <w:color w:val="auto"/>
          <w:lang w:val="en-US"/>
        </w:rPr>
        <w:t xml:space="preserve">a test </w:t>
      </w:r>
      <w:r w:rsidR="0094044A" w:rsidRPr="00714401">
        <w:rPr>
          <w:rFonts w:ascii="Book Antiqua" w:hAnsi="Book Antiqua"/>
          <w:color w:val="auto"/>
          <w:lang w:val="en-US"/>
        </w:rPr>
        <w:t xml:space="preserve">which relies upon </w:t>
      </w:r>
      <w:r w:rsidR="0094044A" w:rsidRPr="00714401">
        <w:rPr>
          <w:rFonts w:ascii="Book Antiqua" w:hAnsi="Book Antiqua"/>
          <w:color w:val="auto"/>
          <w:vertAlign w:val="superscript"/>
          <w:lang w:val="en-US"/>
        </w:rPr>
        <w:t>13</w:t>
      </w:r>
      <w:r w:rsidR="0094044A" w:rsidRPr="00714401">
        <w:rPr>
          <w:rFonts w:ascii="Book Antiqua" w:hAnsi="Book Antiqua"/>
          <w:color w:val="auto"/>
          <w:lang w:val="en-US"/>
        </w:rPr>
        <w:t>C</w:t>
      </w:r>
      <w:r w:rsidR="00492582" w:rsidRPr="00714401">
        <w:rPr>
          <w:rFonts w:ascii="Book Antiqua" w:hAnsi="Book Antiqua"/>
          <w:color w:val="auto"/>
          <w:lang w:val="en-US"/>
        </w:rPr>
        <w:t xml:space="preserve"> </w:t>
      </w:r>
      <w:proofErr w:type="spellStart"/>
      <w:r w:rsidR="0094044A" w:rsidRPr="00714401">
        <w:rPr>
          <w:rFonts w:ascii="Book Antiqua" w:hAnsi="Book Antiqua"/>
          <w:color w:val="auto"/>
          <w:lang w:val="en-US"/>
        </w:rPr>
        <w:t>methacetin</w:t>
      </w:r>
      <w:proofErr w:type="spellEnd"/>
      <w:r w:rsidR="0094044A" w:rsidRPr="00714401">
        <w:rPr>
          <w:rFonts w:ascii="Book Antiqua" w:hAnsi="Book Antiqua"/>
          <w:color w:val="auto"/>
          <w:lang w:val="en-US"/>
        </w:rPr>
        <w:t xml:space="preserve"> metabolism</w:t>
      </w:r>
      <w:r w:rsidR="008B6B43" w:rsidRPr="00714401">
        <w:rPr>
          <w:rFonts w:ascii="Book Antiqua" w:hAnsi="Book Antiqua"/>
          <w:color w:val="auto"/>
          <w:vertAlign w:val="superscript"/>
          <w:lang w:val="en-US"/>
        </w:rPr>
        <w:t>[</w:t>
      </w:r>
      <w:r w:rsidR="00D13521" w:rsidRPr="00714401">
        <w:rPr>
          <w:rFonts w:ascii="Book Antiqua" w:hAnsi="Book Antiqua"/>
          <w:color w:val="auto"/>
          <w:vertAlign w:val="superscript"/>
          <w:lang w:val="en-US"/>
        </w:rPr>
        <w:t>6</w:t>
      </w:r>
      <w:r w:rsidR="008760B4" w:rsidRPr="00714401">
        <w:rPr>
          <w:rFonts w:ascii="Book Antiqua" w:hAnsi="Book Antiqua"/>
          <w:color w:val="auto"/>
          <w:vertAlign w:val="superscript"/>
          <w:lang w:val="en-US"/>
        </w:rPr>
        <w:t>4</w:t>
      </w:r>
      <w:r w:rsidR="003D6F13" w:rsidRPr="00714401">
        <w:rPr>
          <w:rFonts w:ascii="Book Antiqua" w:hAnsi="Book Antiqua"/>
          <w:color w:val="auto"/>
          <w:vertAlign w:val="superscript"/>
          <w:lang w:val="en-US"/>
        </w:rPr>
        <w:t>-6</w:t>
      </w:r>
      <w:r w:rsidR="008760B4" w:rsidRPr="00714401">
        <w:rPr>
          <w:rFonts w:ascii="Book Antiqua" w:hAnsi="Book Antiqua"/>
          <w:color w:val="auto"/>
          <w:vertAlign w:val="superscript"/>
          <w:lang w:val="en-US"/>
        </w:rPr>
        <w:t>7</w:t>
      </w:r>
      <w:r w:rsidR="008B6B43" w:rsidRPr="00714401">
        <w:rPr>
          <w:rFonts w:ascii="Book Antiqua" w:hAnsi="Book Antiqua"/>
          <w:color w:val="auto"/>
          <w:vertAlign w:val="superscript"/>
          <w:lang w:val="en-US"/>
        </w:rPr>
        <w:t>]</w:t>
      </w:r>
      <w:r w:rsidR="003A6E22" w:rsidRPr="00714401">
        <w:rPr>
          <w:rFonts w:ascii="Book Antiqua" w:hAnsi="Book Antiqua"/>
          <w:color w:val="auto"/>
          <w:lang w:val="en-US"/>
        </w:rPr>
        <w:t>.</w:t>
      </w:r>
      <w:r w:rsidR="00841EB4" w:rsidRPr="00714401">
        <w:rPr>
          <w:rFonts w:ascii="Book Antiqua" w:hAnsi="Book Antiqua"/>
          <w:color w:val="auto"/>
          <w:lang w:val="en-US"/>
        </w:rPr>
        <w:t xml:space="preserve"> In patients who underwent liver </w:t>
      </w:r>
      <w:proofErr w:type="spellStart"/>
      <w:r w:rsidR="00841EB4" w:rsidRPr="00714401">
        <w:rPr>
          <w:rFonts w:ascii="Book Antiqua" w:hAnsi="Book Antiqua"/>
          <w:color w:val="auto"/>
          <w:lang w:val="en-US"/>
        </w:rPr>
        <w:t>resective</w:t>
      </w:r>
      <w:proofErr w:type="spellEnd"/>
      <w:r w:rsidR="00841EB4" w:rsidRPr="00714401">
        <w:rPr>
          <w:rFonts w:ascii="Book Antiqua" w:hAnsi="Book Antiqua"/>
          <w:color w:val="auto"/>
          <w:lang w:val="en-US"/>
        </w:rPr>
        <w:t xml:space="preserve"> surgery, Lock </w:t>
      </w:r>
      <w:r w:rsidR="00841EB4" w:rsidRPr="00714401">
        <w:rPr>
          <w:rFonts w:ascii="Book Antiqua" w:hAnsi="Book Antiqua"/>
          <w:i/>
          <w:color w:val="auto"/>
          <w:lang w:val="en-US"/>
        </w:rPr>
        <w:t xml:space="preserve">et </w:t>
      </w:r>
      <w:proofErr w:type="gramStart"/>
      <w:r w:rsidR="00841EB4"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64]</w:t>
      </w:r>
      <w:r w:rsidR="00841EB4" w:rsidRPr="00714401">
        <w:rPr>
          <w:rFonts w:ascii="Book Antiqua" w:hAnsi="Book Antiqua"/>
          <w:color w:val="auto"/>
          <w:lang w:val="en-US"/>
        </w:rPr>
        <w:t xml:space="preserve"> compared </w:t>
      </w:r>
      <w:r w:rsidR="00595A4B" w:rsidRPr="00714401">
        <w:rPr>
          <w:rFonts w:ascii="Book Antiqua" w:hAnsi="Book Antiqua"/>
          <w:color w:val="auto"/>
          <w:lang w:val="en-US"/>
        </w:rPr>
        <w:t>ICG</w:t>
      </w:r>
      <w:r w:rsidR="00595A4B" w:rsidRPr="00714401">
        <w:rPr>
          <w:rFonts w:ascii="Book Antiqua" w:hAnsi="Book Antiqua"/>
          <w:color w:val="auto"/>
          <w:vertAlign w:val="subscript"/>
          <w:lang w:val="en-US"/>
        </w:rPr>
        <w:t>PDR</w:t>
      </w:r>
      <w:r w:rsidR="00595A4B" w:rsidRPr="00714401">
        <w:rPr>
          <w:rFonts w:ascii="Book Antiqua" w:hAnsi="Book Antiqua"/>
          <w:color w:val="auto"/>
          <w:lang w:val="en-US"/>
        </w:rPr>
        <w:t xml:space="preserve"> </w:t>
      </w:r>
      <w:r w:rsidR="00841EB4" w:rsidRPr="00714401">
        <w:rPr>
          <w:rFonts w:ascii="Book Antiqua" w:hAnsi="Book Antiqua"/>
          <w:color w:val="auto"/>
          <w:lang w:val="en-US"/>
        </w:rPr>
        <w:t>and</w:t>
      </w:r>
      <w:r w:rsidR="0076063F" w:rsidRPr="00714401">
        <w:rPr>
          <w:rFonts w:ascii="Book Antiqua" w:hAnsi="Book Antiqua"/>
          <w:color w:val="auto"/>
          <w:lang w:val="en-US"/>
        </w:rPr>
        <w:t xml:space="preserve"> </w:t>
      </w:r>
      <w:proofErr w:type="spellStart"/>
      <w:r w:rsidR="00841EB4" w:rsidRPr="00714401">
        <w:rPr>
          <w:rFonts w:ascii="Book Antiqua" w:hAnsi="Book Antiqua"/>
          <w:color w:val="auto"/>
          <w:lang w:val="en-US"/>
        </w:rPr>
        <w:t>Limax</w:t>
      </w:r>
      <w:proofErr w:type="spellEnd"/>
      <w:r w:rsidR="00841EB4" w:rsidRPr="00714401">
        <w:rPr>
          <w:rFonts w:ascii="Book Antiqua" w:hAnsi="Book Antiqua"/>
          <w:color w:val="auto"/>
          <w:lang w:val="en-US"/>
        </w:rPr>
        <w:t xml:space="preserve"> </w:t>
      </w:r>
      <w:r w:rsidR="00595A4B" w:rsidRPr="00714401">
        <w:rPr>
          <w:rFonts w:ascii="Book Antiqua" w:hAnsi="Book Antiqua"/>
          <w:color w:val="auto"/>
          <w:lang w:val="en-US"/>
        </w:rPr>
        <w:t xml:space="preserve">to </w:t>
      </w:r>
      <w:r w:rsidR="008D3D66" w:rsidRPr="00714401">
        <w:rPr>
          <w:rFonts w:ascii="Book Antiqua" w:hAnsi="Book Antiqua"/>
          <w:color w:val="auto"/>
          <w:lang w:val="en-US"/>
        </w:rPr>
        <w:t xml:space="preserve">identify </w:t>
      </w:r>
      <w:r w:rsidR="00595A4B" w:rsidRPr="00714401">
        <w:rPr>
          <w:rFonts w:ascii="Book Antiqua" w:hAnsi="Book Antiqua"/>
          <w:color w:val="auto"/>
          <w:lang w:val="en-US"/>
        </w:rPr>
        <w:t>patients at risk for post</w:t>
      </w:r>
      <w:r w:rsidR="00264177" w:rsidRPr="00714401">
        <w:rPr>
          <w:rFonts w:ascii="Book Antiqua" w:hAnsi="Book Antiqua"/>
          <w:color w:val="auto"/>
          <w:lang w:val="en-US"/>
        </w:rPr>
        <w:t xml:space="preserve">operative liver failure: </w:t>
      </w:r>
      <w:proofErr w:type="spellStart"/>
      <w:r w:rsidR="008D3D66" w:rsidRPr="00714401">
        <w:rPr>
          <w:rFonts w:ascii="Book Antiqua" w:hAnsi="Book Antiqua"/>
          <w:color w:val="auto"/>
          <w:lang w:val="en-US"/>
        </w:rPr>
        <w:t>Limax</w:t>
      </w:r>
      <w:proofErr w:type="spellEnd"/>
      <w:r w:rsidR="008D3D66" w:rsidRPr="00714401">
        <w:rPr>
          <w:rFonts w:ascii="Book Antiqua" w:hAnsi="Book Antiqua"/>
          <w:color w:val="auto"/>
          <w:lang w:val="en-US"/>
        </w:rPr>
        <w:t xml:space="preserve"> showed </w:t>
      </w:r>
      <w:r w:rsidR="00E10869" w:rsidRPr="00714401">
        <w:rPr>
          <w:rFonts w:ascii="Book Antiqua" w:hAnsi="Book Antiqua"/>
          <w:color w:val="auto"/>
          <w:lang w:val="en-US"/>
        </w:rPr>
        <w:t xml:space="preserve">a better predictive </w:t>
      </w:r>
      <w:r w:rsidR="001A338D" w:rsidRPr="00714401">
        <w:rPr>
          <w:rFonts w:ascii="Book Antiqua" w:hAnsi="Book Antiqua"/>
          <w:color w:val="auto"/>
          <w:lang w:val="en-US"/>
        </w:rPr>
        <w:t>power</w:t>
      </w:r>
      <w:r w:rsidR="00E216BD" w:rsidRPr="00714401">
        <w:rPr>
          <w:rFonts w:ascii="Book Antiqua" w:hAnsi="Book Antiqua"/>
          <w:color w:val="auto"/>
          <w:lang w:val="en-US"/>
        </w:rPr>
        <w:t xml:space="preserve">, </w:t>
      </w:r>
      <w:r w:rsidR="00730C56" w:rsidRPr="00714401">
        <w:rPr>
          <w:rFonts w:ascii="Book Antiqua" w:hAnsi="Book Antiqua"/>
          <w:color w:val="auto"/>
          <w:lang w:val="en-US"/>
        </w:rPr>
        <w:t xml:space="preserve">once again </w:t>
      </w:r>
      <w:r w:rsidR="008D3D66" w:rsidRPr="00714401">
        <w:rPr>
          <w:rFonts w:ascii="Book Antiqua" w:hAnsi="Book Antiqua"/>
          <w:color w:val="auto"/>
          <w:lang w:val="en-US"/>
        </w:rPr>
        <w:t xml:space="preserve">emphasizing how relevant could be the </w:t>
      </w:r>
      <w:r w:rsidR="00E216BD" w:rsidRPr="00714401">
        <w:rPr>
          <w:rFonts w:ascii="Book Antiqua" w:hAnsi="Book Antiqua"/>
          <w:color w:val="auto"/>
          <w:lang w:val="en-US"/>
        </w:rPr>
        <w:t xml:space="preserve">potential interference of various parameters on </w:t>
      </w:r>
      <w:r w:rsidR="008D3D66" w:rsidRPr="00714401">
        <w:rPr>
          <w:rFonts w:ascii="Book Antiqua" w:hAnsi="Book Antiqua"/>
          <w:color w:val="auto"/>
          <w:lang w:val="en-US"/>
        </w:rPr>
        <w:t xml:space="preserve">the ICG clearance </w:t>
      </w:r>
      <w:r w:rsidR="001A338D" w:rsidRPr="00714401">
        <w:rPr>
          <w:rFonts w:ascii="Book Antiqua" w:hAnsi="Book Antiqua"/>
          <w:color w:val="auto"/>
          <w:lang w:val="en-US"/>
        </w:rPr>
        <w:t>variables</w:t>
      </w:r>
      <w:r w:rsidR="00C353EF" w:rsidRPr="00714401">
        <w:rPr>
          <w:rFonts w:ascii="Book Antiqua" w:hAnsi="Book Antiqua"/>
          <w:color w:val="auto"/>
          <w:lang w:val="en-US"/>
        </w:rPr>
        <w:t xml:space="preserve">. </w:t>
      </w:r>
    </w:p>
    <w:p w:rsidR="00E216BD" w:rsidRPr="00714401" w:rsidRDefault="00750899" w:rsidP="001A338D">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In a cohort of</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liver transplant </w:t>
      </w:r>
      <w:r w:rsidR="008D3D66" w:rsidRPr="00714401">
        <w:rPr>
          <w:rFonts w:ascii="Book Antiqua" w:hAnsi="Book Antiqua"/>
          <w:color w:val="auto"/>
          <w:lang w:val="en-US"/>
        </w:rPr>
        <w:t xml:space="preserve">candidates suffering for </w:t>
      </w:r>
      <w:r w:rsidR="00595A4B" w:rsidRPr="00714401">
        <w:rPr>
          <w:rFonts w:ascii="Book Antiqua" w:hAnsi="Book Antiqua"/>
          <w:color w:val="auto"/>
          <w:lang w:val="en-US"/>
        </w:rPr>
        <w:t xml:space="preserve">chronic liver disease, </w:t>
      </w:r>
      <w:r w:rsidR="00264177" w:rsidRPr="00714401">
        <w:rPr>
          <w:rFonts w:ascii="Book Antiqua" w:hAnsi="Book Antiqua"/>
          <w:color w:val="auto"/>
          <w:lang w:val="en-US"/>
        </w:rPr>
        <w:t xml:space="preserve">patients </w:t>
      </w:r>
      <w:r w:rsidR="00595A4B" w:rsidRPr="00714401">
        <w:rPr>
          <w:rFonts w:ascii="Book Antiqua" w:hAnsi="Book Antiqua"/>
          <w:color w:val="auto"/>
          <w:lang w:val="en-US"/>
        </w:rPr>
        <w:t xml:space="preserve">who </w:t>
      </w:r>
      <w:r w:rsidR="008D3D66" w:rsidRPr="00714401">
        <w:rPr>
          <w:rFonts w:ascii="Book Antiqua" w:hAnsi="Book Antiqua"/>
          <w:color w:val="auto"/>
          <w:lang w:val="en-US"/>
        </w:rPr>
        <w:t xml:space="preserve">experienced </w:t>
      </w:r>
      <w:r w:rsidR="00595A4B" w:rsidRPr="00714401">
        <w:rPr>
          <w:rFonts w:ascii="Book Antiqua" w:hAnsi="Book Antiqua"/>
          <w:color w:val="auto"/>
          <w:lang w:val="en-US"/>
        </w:rPr>
        <w:t>six</w:t>
      </w:r>
      <w:r w:rsidR="008D3D66" w:rsidRPr="00714401">
        <w:rPr>
          <w:rFonts w:ascii="Book Antiqua" w:hAnsi="Book Antiqua"/>
          <w:color w:val="auto"/>
          <w:lang w:val="en-US"/>
        </w:rPr>
        <w:t xml:space="preserve"> months liver-related death (primary end point of the study) </w:t>
      </w:r>
      <w:r w:rsidRPr="00714401">
        <w:rPr>
          <w:rFonts w:ascii="Book Antiqua" w:hAnsi="Book Antiqua"/>
          <w:color w:val="auto"/>
          <w:lang w:val="en-US"/>
        </w:rPr>
        <w:t>had</w:t>
      </w:r>
      <w:r w:rsidR="00264177" w:rsidRPr="00714401">
        <w:rPr>
          <w:rFonts w:ascii="Book Antiqua" w:hAnsi="Book Antiqua"/>
          <w:color w:val="auto"/>
          <w:lang w:val="en-US"/>
        </w:rPr>
        <w:t xml:space="preserve">, </w:t>
      </w:r>
      <w:r w:rsidR="009449AC" w:rsidRPr="00714401">
        <w:rPr>
          <w:rFonts w:ascii="Book Antiqua" w:hAnsi="Book Antiqua"/>
          <w:color w:val="auto"/>
          <w:lang w:val="en-US"/>
        </w:rPr>
        <w:t>when</w:t>
      </w:r>
      <w:r w:rsidR="0076063F" w:rsidRPr="00714401">
        <w:rPr>
          <w:rFonts w:ascii="Book Antiqua" w:hAnsi="Book Antiqua"/>
          <w:color w:val="auto"/>
          <w:lang w:val="en-US"/>
        </w:rPr>
        <w:t xml:space="preserve"> </w:t>
      </w:r>
      <w:r w:rsidR="00264177" w:rsidRPr="00714401">
        <w:rPr>
          <w:rFonts w:ascii="Book Antiqua" w:hAnsi="Book Antiqua"/>
          <w:color w:val="auto"/>
          <w:lang w:val="en-US"/>
        </w:rPr>
        <w:t xml:space="preserve">compared to survivors, significantly lower </w:t>
      </w:r>
      <w:r w:rsidRPr="00714401">
        <w:rPr>
          <w:rFonts w:ascii="Book Antiqua" w:hAnsi="Book Antiqua"/>
          <w:color w:val="auto"/>
          <w:lang w:val="en-US"/>
        </w:rPr>
        <w:t xml:space="preserve">median </w:t>
      </w:r>
      <w:proofErr w:type="spellStart"/>
      <w:r w:rsidRPr="00714401">
        <w:rPr>
          <w:rFonts w:ascii="Book Antiqua" w:hAnsi="Book Antiqua"/>
          <w:color w:val="auto"/>
          <w:lang w:val="en-US"/>
        </w:rPr>
        <w:t>Limax</w:t>
      </w:r>
      <w:proofErr w:type="spellEnd"/>
      <w:r w:rsidRPr="00714401">
        <w:rPr>
          <w:rFonts w:ascii="Book Antiqua" w:hAnsi="Book Antiqua"/>
          <w:color w:val="auto"/>
          <w:lang w:val="en-US"/>
        </w:rPr>
        <w:t xml:space="preserve"> values</w:t>
      </w:r>
      <w:r w:rsidR="00264177" w:rsidRPr="00714401">
        <w:rPr>
          <w:rFonts w:ascii="Book Antiqua" w:hAnsi="Book Antiqua"/>
          <w:color w:val="auto"/>
          <w:lang w:val="en-US"/>
        </w:rPr>
        <w:t>. On the contrary</w:t>
      </w:r>
      <w:r w:rsidR="009E72F1" w:rsidRPr="00714401">
        <w:rPr>
          <w:rFonts w:ascii="Book Antiqua" w:hAnsi="Book Antiqua"/>
          <w:color w:val="auto"/>
          <w:lang w:val="en-US"/>
        </w:rPr>
        <w:t>,</w:t>
      </w:r>
      <w:r w:rsidR="00264177" w:rsidRPr="00714401">
        <w:rPr>
          <w:rFonts w:ascii="Book Antiqua" w:hAnsi="Book Antiqua"/>
          <w:color w:val="auto"/>
          <w:lang w:val="en-US"/>
        </w:rPr>
        <w:t xml:space="preserve"> ICG</w:t>
      </w:r>
      <w:r w:rsidR="00264177" w:rsidRPr="00714401">
        <w:rPr>
          <w:rFonts w:ascii="Book Antiqua" w:hAnsi="Book Antiqua"/>
          <w:color w:val="auto"/>
          <w:vertAlign w:val="subscript"/>
          <w:lang w:val="en-US"/>
        </w:rPr>
        <w:t>PDR</w:t>
      </w:r>
      <w:r w:rsidR="00264177" w:rsidRPr="00714401">
        <w:rPr>
          <w:rFonts w:ascii="Book Antiqua" w:hAnsi="Book Antiqua"/>
          <w:color w:val="auto"/>
          <w:lang w:val="en-US"/>
        </w:rPr>
        <w:t xml:space="preserve"> findings </w:t>
      </w:r>
      <w:r w:rsidRPr="00714401">
        <w:rPr>
          <w:rFonts w:ascii="Book Antiqua" w:hAnsi="Book Antiqua"/>
          <w:color w:val="auto"/>
          <w:lang w:val="en-US"/>
        </w:rPr>
        <w:t xml:space="preserve">were </w:t>
      </w:r>
      <w:r w:rsidR="00264177" w:rsidRPr="00714401">
        <w:rPr>
          <w:rFonts w:ascii="Book Antiqua" w:hAnsi="Book Antiqua"/>
          <w:color w:val="auto"/>
          <w:lang w:val="en-US"/>
        </w:rPr>
        <w:t>similar</w:t>
      </w:r>
      <w:r w:rsidR="0076063F" w:rsidRPr="00714401">
        <w:rPr>
          <w:rFonts w:ascii="Book Antiqua" w:hAnsi="Book Antiqua"/>
          <w:color w:val="auto"/>
          <w:lang w:val="en-US"/>
        </w:rPr>
        <w:t xml:space="preserve"> </w:t>
      </w:r>
      <w:r w:rsidR="008D3D66" w:rsidRPr="00714401">
        <w:rPr>
          <w:rFonts w:ascii="Book Antiqua" w:hAnsi="Book Antiqua"/>
          <w:color w:val="auto"/>
          <w:lang w:val="en-US"/>
        </w:rPr>
        <w:t xml:space="preserve">in </w:t>
      </w:r>
      <w:r w:rsidR="00F241F2" w:rsidRPr="00714401">
        <w:rPr>
          <w:rFonts w:ascii="Book Antiqua" w:hAnsi="Book Antiqua"/>
          <w:color w:val="auto"/>
          <w:lang w:val="en-US"/>
        </w:rPr>
        <w:t>survivo</w:t>
      </w:r>
      <w:r w:rsidR="00807DED" w:rsidRPr="00714401">
        <w:rPr>
          <w:rFonts w:ascii="Book Antiqua" w:hAnsi="Book Antiqua"/>
          <w:color w:val="auto"/>
          <w:lang w:val="en-US"/>
        </w:rPr>
        <w:t>r</w:t>
      </w:r>
      <w:r w:rsidR="00F241F2" w:rsidRPr="00714401">
        <w:rPr>
          <w:rFonts w:ascii="Book Antiqua" w:hAnsi="Book Antiqua"/>
          <w:color w:val="auto"/>
          <w:lang w:val="en-US"/>
        </w:rPr>
        <w:t xml:space="preserve">s </w:t>
      </w:r>
      <w:r w:rsidR="00264177" w:rsidRPr="00714401">
        <w:rPr>
          <w:rFonts w:ascii="Book Antiqua" w:hAnsi="Book Antiqua"/>
          <w:color w:val="auto"/>
          <w:lang w:val="en-US"/>
        </w:rPr>
        <w:t xml:space="preserve">and </w:t>
      </w:r>
      <w:r w:rsidR="00F241F2" w:rsidRPr="00714401">
        <w:rPr>
          <w:rFonts w:ascii="Book Antiqua" w:hAnsi="Book Antiqua"/>
          <w:color w:val="auto"/>
          <w:lang w:val="en-US"/>
        </w:rPr>
        <w:t>non survivors</w:t>
      </w:r>
      <w:r w:rsidR="002E65BB" w:rsidRPr="00714401">
        <w:rPr>
          <w:rFonts w:ascii="Book Antiqua" w:hAnsi="Book Antiqua"/>
          <w:color w:val="auto"/>
          <w:lang w:val="en-US"/>
        </w:rPr>
        <w:t>.</w:t>
      </w:r>
      <w:r w:rsidR="00264177" w:rsidRPr="00714401">
        <w:rPr>
          <w:rFonts w:ascii="Book Antiqua" w:hAnsi="Book Antiqua"/>
          <w:color w:val="auto"/>
          <w:lang w:val="en-US"/>
        </w:rPr>
        <w:t xml:space="preserve"> In the same study</w:t>
      </w:r>
      <w:r w:rsidR="0076063F" w:rsidRPr="00714401">
        <w:rPr>
          <w:rFonts w:ascii="Book Antiqua" w:hAnsi="Book Antiqua"/>
          <w:color w:val="auto"/>
          <w:lang w:val="en-US"/>
        </w:rPr>
        <w:t xml:space="preserve"> </w:t>
      </w:r>
      <w:proofErr w:type="spellStart"/>
      <w:r w:rsidR="00F21EE6" w:rsidRPr="00714401">
        <w:rPr>
          <w:rFonts w:ascii="Book Antiqua" w:hAnsi="Book Antiqua"/>
          <w:color w:val="auto"/>
          <w:lang w:val="en-US"/>
        </w:rPr>
        <w:t>LiMAx</w:t>
      </w:r>
      <w:proofErr w:type="spellEnd"/>
      <w:r w:rsidR="0076063F" w:rsidRPr="00714401">
        <w:rPr>
          <w:rFonts w:ascii="Book Antiqua" w:hAnsi="Book Antiqua"/>
          <w:color w:val="auto"/>
          <w:lang w:val="en-US"/>
        </w:rPr>
        <w:t xml:space="preserve"> </w:t>
      </w:r>
      <w:r w:rsidR="00264177" w:rsidRPr="00714401">
        <w:rPr>
          <w:rFonts w:ascii="Book Antiqua" w:hAnsi="Book Antiqua"/>
          <w:color w:val="auto"/>
          <w:lang w:val="en-US"/>
        </w:rPr>
        <w:t xml:space="preserve">showed </w:t>
      </w:r>
      <w:r w:rsidR="00F21EE6" w:rsidRPr="00714401">
        <w:rPr>
          <w:rFonts w:ascii="Book Antiqua" w:hAnsi="Book Antiqua"/>
          <w:color w:val="auto"/>
          <w:lang w:val="en-US"/>
        </w:rPr>
        <w:t xml:space="preserve">a </w:t>
      </w:r>
      <w:r w:rsidR="002E65BB" w:rsidRPr="00714401">
        <w:rPr>
          <w:rFonts w:ascii="Book Antiqua" w:hAnsi="Book Antiqua"/>
          <w:color w:val="auto"/>
          <w:lang w:val="en-US"/>
        </w:rPr>
        <w:t xml:space="preserve">slightly </w:t>
      </w:r>
      <w:r w:rsidR="00F21EE6" w:rsidRPr="00714401">
        <w:rPr>
          <w:rFonts w:ascii="Book Antiqua" w:hAnsi="Book Antiqua"/>
          <w:color w:val="auto"/>
          <w:lang w:val="en-US"/>
        </w:rPr>
        <w:t xml:space="preserve">higher </w:t>
      </w:r>
      <w:r w:rsidR="00264177" w:rsidRPr="00714401">
        <w:rPr>
          <w:rFonts w:ascii="Book Antiqua" w:hAnsi="Book Antiqua"/>
          <w:color w:val="auto"/>
          <w:lang w:val="en-US"/>
        </w:rPr>
        <w:t>NPV</w:t>
      </w:r>
      <w:r w:rsidR="0076063F" w:rsidRPr="00714401">
        <w:rPr>
          <w:rFonts w:ascii="Book Antiqua" w:hAnsi="Book Antiqua"/>
          <w:color w:val="auto"/>
          <w:lang w:val="en-US"/>
        </w:rPr>
        <w:t xml:space="preserve"> </w:t>
      </w:r>
      <w:r w:rsidR="00264177" w:rsidRPr="00714401">
        <w:rPr>
          <w:rFonts w:ascii="Book Antiqua" w:hAnsi="Book Antiqua"/>
          <w:color w:val="auto"/>
          <w:lang w:val="en-US"/>
        </w:rPr>
        <w:t>(if compared to ICG</w:t>
      </w:r>
      <w:r w:rsidR="00264177" w:rsidRPr="00714401">
        <w:rPr>
          <w:rFonts w:ascii="Book Antiqua" w:hAnsi="Book Antiqua"/>
          <w:color w:val="auto"/>
          <w:vertAlign w:val="subscript"/>
          <w:lang w:val="en-US"/>
        </w:rPr>
        <w:t>PDR</w:t>
      </w:r>
      <w:r w:rsidR="00264177" w:rsidRPr="00714401">
        <w:rPr>
          <w:rFonts w:ascii="Book Antiqua" w:hAnsi="Book Antiqua"/>
          <w:color w:val="auto"/>
          <w:lang w:val="en-US"/>
        </w:rPr>
        <w:t xml:space="preserve"> and MELD)</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when </w:t>
      </w:r>
      <w:r w:rsidR="00854196" w:rsidRPr="00714401">
        <w:rPr>
          <w:rFonts w:ascii="Book Antiqua" w:hAnsi="Book Antiqua"/>
          <w:color w:val="auto"/>
          <w:lang w:val="en-US"/>
        </w:rPr>
        <w:t>six</w:t>
      </w:r>
      <w:r w:rsidR="0076063F" w:rsidRPr="00714401">
        <w:rPr>
          <w:rFonts w:ascii="Book Antiqua" w:hAnsi="Book Antiqua"/>
          <w:color w:val="auto"/>
          <w:lang w:val="en-US"/>
        </w:rPr>
        <w:t xml:space="preserve"> </w:t>
      </w:r>
      <w:r w:rsidR="0077027B" w:rsidRPr="00714401">
        <w:rPr>
          <w:rFonts w:ascii="Book Antiqua" w:hAnsi="Book Antiqua"/>
          <w:color w:val="auto"/>
          <w:lang w:val="en-US"/>
        </w:rPr>
        <w:t xml:space="preserve">months </w:t>
      </w:r>
      <w:r w:rsidR="00807DED" w:rsidRPr="00714401">
        <w:rPr>
          <w:rFonts w:ascii="Book Antiqua" w:hAnsi="Book Antiqua"/>
          <w:color w:val="auto"/>
          <w:lang w:val="en-US"/>
        </w:rPr>
        <w:t>ris</w:t>
      </w:r>
      <w:r w:rsidR="006938B6" w:rsidRPr="00714401">
        <w:rPr>
          <w:rFonts w:ascii="Book Antiqua" w:hAnsi="Book Antiqua"/>
          <w:color w:val="auto"/>
          <w:lang w:val="en-US"/>
        </w:rPr>
        <w:t>k of death</w:t>
      </w:r>
      <w:r w:rsidRPr="00714401">
        <w:rPr>
          <w:rFonts w:ascii="Book Antiqua" w:hAnsi="Book Antiqua"/>
          <w:color w:val="auto"/>
          <w:lang w:val="en-US"/>
        </w:rPr>
        <w:t xml:space="preserve"> was </w:t>
      </w:r>
      <w:proofErr w:type="gramStart"/>
      <w:r w:rsidRPr="00714401">
        <w:rPr>
          <w:rFonts w:ascii="Book Antiqua" w:hAnsi="Book Antiqua"/>
          <w:color w:val="auto"/>
          <w:lang w:val="en-US"/>
        </w:rPr>
        <w:t>considered</w:t>
      </w:r>
      <w:r w:rsidR="008B6B43" w:rsidRPr="00714401">
        <w:rPr>
          <w:rFonts w:ascii="Book Antiqua" w:hAnsi="Book Antiqua"/>
          <w:color w:val="auto"/>
          <w:vertAlign w:val="superscript"/>
          <w:lang w:val="en-US"/>
        </w:rPr>
        <w:t>[</w:t>
      </w:r>
      <w:proofErr w:type="gramEnd"/>
      <w:r w:rsidR="006938B6" w:rsidRPr="00714401">
        <w:rPr>
          <w:rFonts w:ascii="Book Antiqua" w:hAnsi="Book Antiqua"/>
          <w:color w:val="auto"/>
          <w:vertAlign w:val="superscript"/>
          <w:lang w:val="en-US"/>
        </w:rPr>
        <w:t>6</w:t>
      </w:r>
      <w:r w:rsidR="008760B4" w:rsidRPr="00714401">
        <w:rPr>
          <w:rFonts w:ascii="Book Antiqua" w:hAnsi="Book Antiqua"/>
          <w:color w:val="auto"/>
          <w:vertAlign w:val="superscript"/>
          <w:lang w:val="en-US"/>
        </w:rPr>
        <w:t>5</w:t>
      </w:r>
      <w:r w:rsidR="008B6B43" w:rsidRPr="00714401">
        <w:rPr>
          <w:rFonts w:ascii="Book Antiqua" w:hAnsi="Book Antiqua"/>
          <w:color w:val="auto"/>
          <w:vertAlign w:val="superscript"/>
          <w:lang w:val="en-US"/>
        </w:rPr>
        <w:t>]</w:t>
      </w:r>
      <w:r w:rsidR="00264177" w:rsidRPr="00714401">
        <w:rPr>
          <w:rFonts w:ascii="Book Antiqua" w:hAnsi="Book Antiqua"/>
          <w:color w:val="auto"/>
          <w:lang w:val="en-US"/>
        </w:rPr>
        <w:t xml:space="preserve">. </w:t>
      </w:r>
    </w:p>
    <w:p w:rsidR="00E10869" w:rsidRPr="00714401" w:rsidRDefault="009E72F1" w:rsidP="001A338D">
      <w:pPr>
        <w:pStyle w:val="Default"/>
        <w:snapToGrid w:val="0"/>
        <w:spacing w:line="360" w:lineRule="auto"/>
        <w:ind w:firstLineChars="100" w:firstLine="240"/>
        <w:jc w:val="both"/>
        <w:rPr>
          <w:rFonts w:ascii="Book Antiqua" w:hAnsi="Book Antiqua"/>
          <w:color w:val="auto"/>
          <w:lang w:val="en-US"/>
        </w:rPr>
      </w:pPr>
      <w:r w:rsidRPr="00714401">
        <w:rPr>
          <w:rFonts w:ascii="Book Antiqua" w:hAnsi="Book Antiqua"/>
          <w:color w:val="auto"/>
          <w:lang w:val="en-US"/>
        </w:rPr>
        <w:t>Acute liver failure (ALF)</w:t>
      </w:r>
      <w:r w:rsidR="0076063F" w:rsidRPr="00714401">
        <w:rPr>
          <w:rFonts w:ascii="Book Antiqua" w:hAnsi="Book Antiqua"/>
          <w:color w:val="auto"/>
          <w:lang w:val="en-US"/>
        </w:rPr>
        <w:t xml:space="preserve"> </w:t>
      </w:r>
      <w:r w:rsidRPr="00714401">
        <w:rPr>
          <w:rFonts w:ascii="Book Antiqua" w:hAnsi="Book Antiqua"/>
          <w:color w:val="auto"/>
          <w:lang w:val="en-US"/>
        </w:rPr>
        <w:t>is one of the most challenging conditions in liver medicine. Preliminary results on the use of ICG kinetic parameters</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were recently reported </w:t>
      </w:r>
      <w:r w:rsidR="00E216BD" w:rsidRPr="00714401">
        <w:rPr>
          <w:rFonts w:ascii="Book Antiqua" w:hAnsi="Book Antiqua"/>
          <w:color w:val="auto"/>
          <w:lang w:val="en-US"/>
        </w:rPr>
        <w:t>in small</w:t>
      </w:r>
      <w:r w:rsidR="001A338D" w:rsidRPr="00714401">
        <w:rPr>
          <w:rFonts w:ascii="Book Antiqua" w:hAnsi="Book Antiqua"/>
          <w:color w:val="auto"/>
          <w:lang w:val="en-US"/>
        </w:rPr>
        <w:t xml:space="preserve"> series of </w:t>
      </w:r>
      <w:proofErr w:type="gramStart"/>
      <w:r w:rsidR="001A338D" w:rsidRPr="00714401">
        <w:rPr>
          <w:rFonts w:ascii="Book Antiqua" w:hAnsi="Book Antiqua"/>
          <w:color w:val="auto"/>
          <w:lang w:val="en-US"/>
        </w:rPr>
        <w:t>patients</w:t>
      </w:r>
      <w:r w:rsidR="008B6B43" w:rsidRPr="00714401">
        <w:rPr>
          <w:rFonts w:ascii="Book Antiqua" w:hAnsi="Book Antiqua"/>
          <w:color w:val="auto"/>
          <w:vertAlign w:val="superscript"/>
          <w:lang w:val="en-US"/>
        </w:rPr>
        <w:t>[</w:t>
      </w:r>
      <w:proofErr w:type="gramEnd"/>
      <w:r w:rsidR="009449AC" w:rsidRPr="00714401">
        <w:rPr>
          <w:rFonts w:ascii="Book Antiqua" w:hAnsi="Book Antiqua"/>
          <w:color w:val="auto"/>
          <w:vertAlign w:val="superscript"/>
          <w:lang w:val="en-US"/>
        </w:rPr>
        <w:t>7,61,65</w:t>
      </w:r>
      <w:r w:rsidR="008B6B43" w:rsidRPr="00714401">
        <w:rPr>
          <w:rFonts w:ascii="Book Antiqua" w:hAnsi="Book Antiqua"/>
          <w:color w:val="auto"/>
          <w:vertAlign w:val="superscript"/>
          <w:lang w:val="en-US"/>
        </w:rPr>
        <w:t>]</w:t>
      </w:r>
      <w:r w:rsidR="00951D7D" w:rsidRPr="00714401">
        <w:rPr>
          <w:rFonts w:ascii="Book Antiqua" w:hAnsi="Book Antiqua"/>
          <w:color w:val="auto"/>
          <w:lang w:val="en-US"/>
        </w:rPr>
        <w:t>:</w:t>
      </w:r>
      <w:r w:rsidR="00574A42" w:rsidRPr="00714401">
        <w:rPr>
          <w:rFonts w:ascii="Book Antiqua" w:hAnsi="Book Antiqua"/>
          <w:color w:val="auto"/>
          <w:lang w:val="en-US"/>
        </w:rPr>
        <w:t xml:space="preserve"> </w:t>
      </w:r>
      <w:r w:rsidR="001A338D" w:rsidRPr="00714401">
        <w:rPr>
          <w:rFonts w:ascii="Book Antiqua" w:hAnsi="Book Antiqua"/>
          <w:color w:val="auto"/>
          <w:lang w:val="en-US"/>
        </w:rPr>
        <w:t>H</w:t>
      </w:r>
      <w:r w:rsidR="00574A42" w:rsidRPr="00714401">
        <w:rPr>
          <w:rFonts w:ascii="Book Antiqua" w:hAnsi="Book Antiqua"/>
          <w:color w:val="auto"/>
          <w:lang w:val="en-US"/>
        </w:rPr>
        <w:t xml:space="preserve">owever hyperbilirubinemia, always present </w:t>
      </w:r>
      <w:r w:rsidR="003A77B9" w:rsidRPr="00714401">
        <w:rPr>
          <w:rFonts w:ascii="Book Antiqua" w:hAnsi="Book Antiqua"/>
          <w:color w:val="auto"/>
          <w:lang w:val="en-US"/>
        </w:rPr>
        <w:t xml:space="preserve">in patients </w:t>
      </w:r>
      <w:r w:rsidR="00574A42" w:rsidRPr="00714401">
        <w:rPr>
          <w:rFonts w:ascii="Book Antiqua" w:hAnsi="Book Antiqua"/>
          <w:color w:val="auto"/>
          <w:lang w:val="en-US"/>
        </w:rPr>
        <w:t>with</w:t>
      </w:r>
      <w:r w:rsidR="0076063F" w:rsidRPr="00714401">
        <w:rPr>
          <w:rFonts w:ascii="Book Antiqua" w:hAnsi="Book Antiqua"/>
          <w:color w:val="auto"/>
          <w:lang w:val="en-US"/>
        </w:rPr>
        <w:t xml:space="preserve"> </w:t>
      </w:r>
      <w:proofErr w:type="spellStart"/>
      <w:r w:rsidR="00854196" w:rsidRPr="00714401">
        <w:rPr>
          <w:rFonts w:ascii="Book Antiqua" w:hAnsi="Book Antiqua"/>
          <w:color w:val="auto"/>
          <w:lang w:val="en-US"/>
        </w:rPr>
        <w:t>hyperacute</w:t>
      </w:r>
      <w:proofErr w:type="spellEnd"/>
      <w:r w:rsidR="00854196" w:rsidRPr="00714401">
        <w:rPr>
          <w:rFonts w:ascii="Book Antiqua" w:hAnsi="Book Antiqua"/>
          <w:color w:val="auto"/>
          <w:lang w:val="en-US"/>
        </w:rPr>
        <w:t xml:space="preserve">, </w:t>
      </w:r>
      <w:r w:rsidR="003A77B9" w:rsidRPr="00714401">
        <w:rPr>
          <w:rFonts w:ascii="Book Antiqua" w:hAnsi="Book Antiqua"/>
          <w:color w:val="auto"/>
          <w:lang w:val="en-US"/>
        </w:rPr>
        <w:t>acute</w:t>
      </w:r>
      <w:r w:rsidR="00574A42" w:rsidRPr="00714401">
        <w:rPr>
          <w:rFonts w:ascii="Book Antiqua" w:hAnsi="Book Antiqua"/>
          <w:color w:val="auto"/>
          <w:lang w:val="en-US"/>
        </w:rPr>
        <w:t xml:space="preserve"> (“fulminant”) </w:t>
      </w:r>
      <w:r w:rsidR="00492582" w:rsidRPr="00714401">
        <w:rPr>
          <w:rFonts w:ascii="Book Antiqua" w:hAnsi="Book Antiqua"/>
          <w:color w:val="auto"/>
          <w:lang w:val="en-US"/>
        </w:rPr>
        <w:t xml:space="preserve">or </w:t>
      </w:r>
      <w:r w:rsidR="003A77B9" w:rsidRPr="00714401">
        <w:rPr>
          <w:rFonts w:ascii="Book Antiqua" w:hAnsi="Book Antiqua"/>
          <w:color w:val="auto"/>
          <w:lang w:val="en-US"/>
        </w:rPr>
        <w:t xml:space="preserve">subacute </w:t>
      </w:r>
      <w:r w:rsidR="00574A42" w:rsidRPr="00714401">
        <w:rPr>
          <w:rFonts w:ascii="Book Antiqua" w:hAnsi="Book Antiqua"/>
          <w:color w:val="auto"/>
          <w:lang w:val="en-US"/>
        </w:rPr>
        <w:t xml:space="preserve">hepatic </w:t>
      </w:r>
      <w:r w:rsidR="003A77B9" w:rsidRPr="00714401">
        <w:rPr>
          <w:rFonts w:ascii="Book Antiqua" w:hAnsi="Book Antiqua"/>
          <w:color w:val="auto"/>
          <w:lang w:val="en-US"/>
        </w:rPr>
        <w:t>failure</w:t>
      </w:r>
      <w:r w:rsidRPr="00714401">
        <w:rPr>
          <w:rFonts w:ascii="Book Antiqua" w:hAnsi="Book Antiqua"/>
          <w:color w:val="auto"/>
          <w:lang w:val="en-US"/>
        </w:rPr>
        <w:t xml:space="preserve">, should </w:t>
      </w:r>
      <w:r w:rsidR="0077027B" w:rsidRPr="00714401">
        <w:rPr>
          <w:rFonts w:ascii="Book Antiqua" w:hAnsi="Book Antiqua"/>
          <w:color w:val="auto"/>
          <w:lang w:val="en-US"/>
        </w:rPr>
        <w:t xml:space="preserve">impact on </w:t>
      </w:r>
      <w:r w:rsidR="003C316D" w:rsidRPr="00714401">
        <w:rPr>
          <w:rFonts w:ascii="Book Antiqua" w:hAnsi="Book Antiqua"/>
          <w:color w:val="auto"/>
          <w:lang w:val="en-US"/>
        </w:rPr>
        <w:t>ICG elimination kinetics</w:t>
      </w:r>
      <w:r w:rsidR="00092363" w:rsidRPr="00714401">
        <w:rPr>
          <w:rFonts w:ascii="Book Antiqua" w:hAnsi="Book Antiqua"/>
          <w:color w:val="auto"/>
          <w:lang w:val="en-US"/>
        </w:rPr>
        <w:t xml:space="preserve">, making </w:t>
      </w:r>
      <w:r w:rsidR="00574A42" w:rsidRPr="00714401">
        <w:rPr>
          <w:rFonts w:ascii="Book Antiqua" w:hAnsi="Book Antiqua"/>
          <w:color w:val="auto"/>
          <w:lang w:val="en-US"/>
        </w:rPr>
        <w:t xml:space="preserve">problematic </w:t>
      </w:r>
      <w:r w:rsidRPr="00714401">
        <w:rPr>
          <w:rFonts w:ascii="Book Antiqua" w:hAnsi="Book Antiqua"/>
          <w:color w:val="auto"/>
          <w:lang w:val="en-US"/>
        </w:rPr>
        <w:t xml:space="preserve">at best </w:t>
      </w:r>
      <w:r w:rsidR="00E216BD" w:rsidRPr="00714401">
        <w:rPr>
          <w:rFonts w:ascii="Book Antiqua" w:hAnsi="Book Antiqua"/>
          <w:color w:val="auto"/>
          <w:lang w:val="en-US"/>
        </w:rPr>
        <w:t>the</w:t>
      </w:r>
      <w:r w:rsidR="00574A42" w:rsidRPr="00714401">
        <w:rPr>
          <w:rFonts w:ascii="Book Antiqua" w:hAnsi="Book Antiqua"/>
          <w:color w:val="auto"/>
          <w:lang w:val="en-US"/>
        </w:rPr>
        <w:t>ir interpretation</w:t>
      </w:r>
      <w:r w:rsidR="0077027B" w:rsidRPr="00714401">
        <w:rPr>
          <w:rFonts w:ascii="Book Antiqua" w:hAnsi="Book Antiqua"/>
          <w:color w:val="auto"/>
          <w:lang w:val="en-US"/>
        </w:rPr>
        <w:t>.</w:t>
      </w:r>
      <w:r w:rsidR="0076063F" w:rsidRPr="00714401">
        <w:rPr>
          <w:rFonts w:ascii="Book Antiqua" w:hAnsi="Book Antiqua"/>
          <w:color w:val="auto"/>
          <w:lang w:val="en-US"/>
        </w:rPr>
        <w:t xml:space="preserve"> </w:t>
      </w:r>
      <w:r w:rsidR="00F00255" w:rsidRPr="00714401">
        <w:rPr>
          <w:rFonts w:ascii="Book Antiqua" w:hAnsi="Book Antiqua"/>
          <w:color w:val="auto"/>
          <w:lang w:val="en-US"/>
        </w:rPr>
        <w:t>Lock</w:t>
      </w:r>
      <w:r w:rsidR="00F00255" w:rsidRPr="00714401">
        <w:rPr>
          <w:rFonts w:ascii="Book Antiqua" w:hAnsi="Book Antiqua"/>
          <w:i/>
          <w:color w:val="auto"/>
          <w:lang w:val="en-US"/>
        </w:rPr>
        <w:t xml:space="preserve"> et </w:t>
      </w:r>
      <w:proofErr w:type="gramStart"/>
      <w:r w:rsidR="00F00255" w:rsidRPr="00714401">
        <w:rPr>
          <w:rFonts w:ascii="Book Antiqua" w:hAnsi="Book Antiqua"/>
          <w:i/>
          <w:color w:val="auto"/>
          <w:lang w:val="en-US"/>
        </w:rPr>
        <w:t>al</w:t>
      </w:r>
      <w:r w:rsidR="00F00255" w:rsidRPr="00714401">
        <w:rPr>
          <w:rFonts w:ascii="Book Antiqua" w:hAnsi="Book Antiqua"/>
          <w:color w:val="auto"/>
          <w:vertAlign w:val="superscript"/>
          <w:lang w:val="en-US"/>
        </w:rPr>
        <w:t>[</w:t>
      </w:r>
      <w:proofErr w:type="gramEnd"/>
      <w:r w:rsidR="00F00255" w:rsidRPr="00714401">
        <w:rPr>
          <w:rFonts w:ascii="Book Antiqua" w:hAnsi="Book Antiqua"/>
          <w:color w:val="auto"/>
          <w:vertAlign w:val="superscript"/>
          <w:lang w:val="en-US"/>
        </w:rPr>
        <w:t>66]</w:t>
      </w:r>
      <w:r w:rsidR="00F00255" w:rsidRPr="00714401">
        <w:rPr>
          <w:rFonts w:ascii="Book Antiqua" w:hAnsi="Book Antiqua" w:hint="eastAsia"/>
          <w:color w:val="auto"/>
          <w:vertAlign w:val="superscript"/>
          <w:lang w:val="en-US" w:eastAsia="zh-CN"/>
        </w:rPr>
        <w:t xml:space="preserve"> </w:t>
      </w:r>
      <w:r w:rsidR="003C316D" w:rsidRPr="00714401">
        <w:rPr>
          <w:rFonts w:ascii="Book Antiqua" w:hAnsi="Book Antiqua"/>
          <w:color w:val="auto"/>
          <w:lang w:val="en-US"/>
        </w:rPr>
        <w:t>recently tested</w:t>
      </w:r>
      <w:r w:rsidR="0076063F" w:rsidRPr="00714401">
        <w:rPr>
          <w:rFonts w:ascii="Book Antiqua" w:hAnsi="Book Antiqua"/>
          <w:color w:val="auto"/>
          <w:lang w:val="en-US"/>
        </w:rPr>
        <w:t xml:space="preserve"> </w:t>
      </w:r>
      <w:r w:rsidR="000F3691" w:rsidRPr="00714401">
        <w:rPr>
          <w:rFonts w:ascii="Book Antiqua" w:hAnsi="Book Antiqua"/>
          <w:color w:val="auto"/>
          <w:lang w:val="en-US"/>
        </w:rPr>
        <w:t>the use</w:t>
      </w:r>
      <w:r w:rsidR="003C316D" w:rsidRPr="00714401">
        <w:rPr>
          <w:rFonts w:ascii="Book Antiqua" w:hAnsi="Book Antiqua"/>
          <w:color w:val="auto"/>
          <w:lang w:val="en-US"/>
        </w:rPr>
        <w:t xml:space="preserve"> of</w:t>
      </w:r>
      <w:r w:rsidR="0076063F" w:rsidRPr="00714401">
        <w:rPr>
          <w:rFonts w:ascii="Book Antiqua" w:hAnsi="Book Antiqua"/>
          <w:color w:val="auto"/>
          <w:lang w:val="en-US"/>
        </w:rPr>
        <w:t xml:space="preserve"> </w:t>
      </w:r>
      <w:proofErr w:type="spellStart"/>
      <w:r w:rsidR="007D342D" w:rsidRPr="00714401">
        <w:rPr>
          <w:rFonts w:ascii="Book Antiqua" w:hAnsi="Book Antiqua"/>
          <w:color w:val="auto"/>
          <w:lang w:val="en-US"/>
        </w:rPr>
        <w:t>LiMAx</w:t>
      </w:r>
      <w:proofErr w:type="spellEnd"/>
      <w:r w:rsidR="0076063F" w:rsidRPr="00714401">
        <w:rPr>
          <w:rFonts w:ascii="Book Antiqua" w:hAnsi="Book Antiqua"/>
          <w:color w:val="auto"/>
          <w:lang w:val="en-US"/>
        </w:rPr>
        <w:t xml:space="preserve"> </w:t>
      </w:r>
      <w:r w:rsidR="000F3691" w:rsidRPr="00714401">
        <w:rPr>
          <w:rFonts w:ascii="Book Antiqua" w:hAnsi="Book Antiqua"/>
          <w:color w:val="auto"/>
          <w:lang w:val="en-US"/>
        </w:rPr>
        <w:t xml:space="preserve">in </w:t>
      </w:r>
      <w:r w:rsidR="00843E95" w:rsidRPr="00714401">
        <w:rPr>
          <w:rFonts w:ascii="Book Antiqua" w:hAnsi="Book Antiqua"/>
          <w:color w:val="auto"/>
          <w:lang w:val="en-US"/>
        </w:rPr>
        <w:t>ALF</w:t>
      </w:r>
      <w:r w:rsidRPr="00714401">
        <w:rPr>
          <w:rFonts w:ascii="Book Antiqua" w:hAnsi="Book Antiqua"/>
          <w:color w:val="auto"/>
          <w:lang w:val="en-US"/>
        </w:rPr>
        <w:t xml:space="preserve">. </w:t>
      </w:r>
      <w:proofErr w:type="spellStart"/>
      <w:r w:rsidRPr="00714401">
        <w:rPr>
          <w:rFonts w:ascii="Book Antiqua" w:hAnsi="Book Antiqua"/>
          <w:color w:val="auto"/>
          <w:lang w:val="en-US"/>
        </w:rPr>
        <w:t>Remarcably</w:t>
      </w:r>
      <w:proofErr w:type="spellEnd"/>
      <w:r w:rsidRPr="00714401">
        <w:rPr>
          <w:rFonts w:ascii="Book Antiqua" w:hAnsi="Book Antiqua"/>
          <w:color w:val="auto"/>
          <w:lang w:val="en-US"/>
        </w:rPr>
        <w:t xml:space="preserve">, </w:t>
      </w:r>
      <w:proofErr w:type="spellStart"/>
      <w:r w:rsidR="00D0169A" w:rsidRPr="00714401">
        <w:rPr>
          <w:rFonts w:ascii="Book Antiqua" w:hAnsi="Book Antiqua"/>
          <w:color w:val="auto"/>
          <w:lang w:val="en-US"/>
        </w:rPr>
        <w:t>LiMAx</w:t>
      </w:r>
      <w:proofErr w:type="spellEnd"/>
      <w:r w:rsidR="00D0169A" w:rsidRPr="00714401">
        <w:rPr>
          <w:rFonts w:ascii="Book Antiqua" w:hAnsi="Book Antiqua"/>
          <w:color w:val="auto"/>
          <w:lang w:val="en-US"/>
        </w:rPr>
        <w:t xml:space="preserve"> values</w:t>
      </w:r>
      <w:r w:rsidR="003C316D" w:rsidRPr="00714401">
        <w:rPr>
          <w:rFonts w:ascii="Book Antiqua" w:hAnsi="Book Antiqua"/>
          <w:color w:val="auto"/>
          <w:lang w:val="en-US"/>
        </w:rPr>
        <w:t xml:space="preserve">, contrary to MELD, </w:t>
      </w:r>
      <w:r w:rsidR="00D0169A" w:rsidRPr="00714401">
        <w:rPr>
          <w:rFonts w:ascii="Book Antiqua" w:hAnsi="Book Antiqua"/>
          <w:color w:val="auto"/>
          <w:lang w:val="en-US"/>
        </w:rPr>
        <w:t>were significantly lower in patients who</w:t>
      </w:r>
      <w:r w:rsidRPr="00714401">
        <w:rPr>
          <w:rFonts w:ascii="Book Antiqua" w:hAnsi="Book Antiqua"/>
          <w:color w:val="auto"/>
          <w:lang w:val="en-US"/>
        </w:rPr>
        <w:t xml:space="preserve"> had </w:t>
      </w:r>
      <w:proofErr w:type="spellStart"/>
      <w:r w:rsidRPr="00714401">
        <w:rPr>
          <w:rFonts w:ascii="Book Antiqua" w:hAnsi="Book Antiqua"/>
          <w:color w:val="auto"/>
          <w:lang w:val="en-US"/>
        </w:rPr>
        <w:t>unfavourable</w:t>
      </w:r>
      <w:proofErr w:type="spellEnd"/>
      <w:r w:rsidRPr="00714401">
        <w:rPr>
          <w:rFonts w:ascii="Book Antiqua" w:hAnsi="Book Antiqua"/>
          <w:color w:val="auto"/>
          <w:lang w:val="en-US"/>
        </w:rPr>
        <w:t xml:space="preserve"> outcome</w:t>
      </w:r>
      <w:r w:rsidR="00981381" w:rsidRPr="00714401">
        <w:rPr>
          <w:rFonts w:ascii="Book Antiqua" w:hAnsi="Book Antiqua"/>
          <w:color w:val="auto"/>
          <w:lang w:val="en-US"/>
        </w:rPr>
        <w:t xml:space="preserve">. </w:t>
      </w:r>
      <w:r w:rsidRPr="00714401">
        <w:rPr>
          <w:rFonts w:ascii="Book Antiqua" w:hAnsi="Book Antiqua"/>
          <w:color w:val="auto"/>
          <w:lang w:val="en-US"/>
        </w:rPr>
        <w:t xml:space="preserve">If confirmed, the AAs concluded for an interesting relevant </w:t>
      </w:r>
      <w:r w:rsidR="003C316D" w:rsidRPr="00714401">
        <w:rPr>
          <w:rFonts w:ascii="Book Antiqua" w:hAnsi="Book Antiqua"/>
          <w:color w:val="auto"/>
          <w:lang w:val="en-US"/>
        </w:rPr>
        <w:t>role of</w:t>
      </w:r>
      <w:r w:rsidR="0076063F" w:rsidRPr="00714401">
        <w:rPr>
          <w:rFonts w:ascii="Book Antiqua" w:hAnsi="Book Antiqua"/>
          <w:color w:val="auto"/>
          <w:lang w:val="en-US"/>
        </w:rPr>
        <w:t xml:space="preserve"> </w:t>
      </w:r>
      <w:proofErr w:type="spellStart"/>
      <w:r w:rsidR="003C316D" w:rsidRPr="00714401">
        <w:rPr>
          <w:rFonts w:ascii="Book Antiqua" w:hAnsi="Book Antiqua"/>
          <w:color w:val="auto"/>
          <w:lang w:val="en-US"/>
        </w:rPr>
        <w:t>LiMax</w:t>
      </w:r>
      <w:proofErr w:type="spellEnd"/>
      <w:r w:rsidR="003C316D" w:rsidRPr="00714401">
        <w:rPr>
          <w:rFonts w:ascii="Book Antiqua" w:hAnsi="Book Antiqua"/>
          <w:color w:val="auto"/>
          <w:lang w:val="en-US"/>
        </w:rPr>
        <w:t xml:space="preserve"> </w:t>
      </w:r>
      <w:r w:rsidR="00981381" w:rsidRPr="00714401">
        <w:rPr>
          <w:rFonts w:ascii="Book Antiqua" w:hAnsi="Book Antiqua"/>
          <w:color w:val="auto"/>
          <w:lang w:val="en-US"/>
        </w:rPr>
        <w:t>in ALF</w:t>
      </w:r>
      <w:r w:rsidR="00305C49" w:rsidRPr="00714401">
        <w:rPr>
          <w:rFonts w:ascii="Book Antiqua" w:hAnsi="Book Antiqua"/>
          <w:color w:val="auto"/>
          <w:lang w:val="en-US"/>
        </w:rPr>
        <w:t xml:space="preserve"> </w:t>
      </w:r>
      <w:r w:rsidR="00981381" w:rsidRPr="00714401">
        <w:rPr>
          <w:rFonts w:ascii="Book Antiqua" w:hAnsi="Book Antiqua"/>
          <w:color w:val="auto"/>
          <w:lang w:val="en-US"/>
        </w:rPr>
        <w:t>in</w:t>
      </w:r>
      <w:r w:rsidR="0076063F" w:rsidRPr="00714401">
        <w:rPr>
          <w:rFonts w:ascii="Book Antiqua" w:hAnsi="Book Antiqua"/>
          <w:color w:val="auto"/>
          <w:lang w:val="en-US"/>
        </w:rPr>
        <w:t xml:space="preserve"> </w:t>
      </w:r>
      <w:r w:rsidR="00981381" w:rsidRPr="00714401">
        <w:rPr>
          <w:rFonts w:ascii="Book Antiqua" w:hAnsi="Book Antiqua"/>
          <w:color w:val="auto"/>
          <w:lang w:val="en-US"/>
        </w:rPr>
        <w:t xml:space="preserve">predicting </w:t>
      </w:r>
      <w:r w:rsidR="003C316D" w:rsidRPr="00714401">
        <w:rPr>
          <w:rFonts w:ascii="Book Antiqua" w:hAnsi="Book Antiqua"/>
          <w:color w:val="auto"/>
          <w:lang w:val="en-US"/>
        </w:rPr>
        <w:t>the</w:t>
      </w:r>
      <w:r w:rsidR="0076063F" w:rsidRPr="00714401">
        <w:rPr>
          <w:rFonts w:ascii="Book Antiqua" w:hAnsi="Book Antiqua"/>
          <w:color w:val="auto"/>
          <w:lang w:val="en-US"/>
        </w:rPr>
        <w:t xml:space="preserve"> </w:t>
      </w:r>
      <w:r w:rsidR="00092363" w:rsidRPr="00714401">
        <w:rPr>
          <w:rFonts w:ascii="Book Antiqua" w:hAnsi="Book Antiqua"/>
          <w:color w:val="auto"/>
          <w:lang w:val="en-US"/>
        </w:rPr>
        <w:t>individua</w:t>
      </w:r>
      <w:r w:rsidR="006938B6" w:rsidRPr="00714401">
        <w:rPr>
          <w:rFonts w:ascii="Book Antiqua" w:hAnsi="Book Antiqua"/>
          <w:color w:val="auto"/>
          <w:lang w:val="en-US"/>
        </w:rPr>
        <w:t>l prognosis</w:t>
      </w:r>
      <w:r w:rsidR="008F19E7" w:rsidRPr="00714401">
        <w:rPr>
          <w:rFonts w:ascii="Book Antiqua" w:hAnsi="Book Antiqua"/>
          <w:color w:val="auto"/>
          <w:lang w:val="en-US"/>
        </w:rPr>
        <w:t>, possibly supporting</w:t>
      </w:r>
      <w:r w:rsidR="0076063F" w:rsidRPr="00714401">
        <w:rPr>
          <w:rFonts w:ascii="Book Antiqua" w:hAnsi="Book Antiqua"/>
          <w:color w:val="auto"/>
          <w:lang w:val="en-US"/>
        </w:rPr>
        <w:t xml:space="preserve"> </w:t>
      </w:r>
      <w:r w:rsidR="003C316D" w:rsidRPr="00714401">
        <w:rPr>
          <w:rFonts w:ascii="Book Antiqua" w:hAnsi="Book Antiqua"/>
          <w:color w:val="auto"/>
          <w:lang w:val="en-US"/>
        </w:rPr>
        <w:t>in the decision for</w:t>
      </w:r>
      <w:r w:rsidR="0076063F" w:rsidRPr="00714401">
        <w:rPr>
          <w:rFonts w:ascii="Book Antiqua" w:hAnsi="Book Antiqua"/>
          <w:color w:val="auto"/>
          <w:lang w:val="en-US"/>
        </w:rPr>
        <w:t xml:space="preserve"> </w:t>
      </w:r>
      <w:r w:rsidR="003C316D" w:rsidRPr="00714401">
        <w:rPr>
          <w:rFonts w:ascii="Book Antiqua" w:hAnsi="Book Antiqua"/>
          <w:color w:val="auto"/>
          <w:lang w:val="en-US"/>
        </w:rPr>
        <w:t xml:space="preserve">urgent liver </w:t>
      </w:r>
      <w:proofErr w:type="gramStart"/>
      <w:r w:rsidR="003C316D" w:rsidRPr="00714401">
        <w:rPr>
          <w:rFonts w:ascii="Book Antiqua" w:hAnsi="Book Antiqua"/>
          <w:color w:val="auto"/>
          <w:lang w:val="en-US"/>
        </w:rPr>
        <w:t>transplant</w:t>
      </w:r>
      <w:r w:rsidR="008B6B43" w:rsidRPr="00714401">
        <w:rPr>
          <w:rFonts w:ascii="Book Antiqua" w:hAnsi="Book Antiqua"/>
          <w:color w:val="auto"/>
          <w:vertAlign w:val="superscript"/>
          <w:lang w:val="en-US"/>
        </w:rPr>
        <w:t>[</w:t>
      </w:r>
      <w:proofErr w:type="gramEnd"/>
      <w:r w:rsidR="007D342D" w:rsidRPr="00714401">
        <w:rPr>
          <w:rFonts w:ascii="Book Antiqua" w:hAnsi="Book Antiqua"/>
          <w:color w:val="auto"/>
          <w:vertAlign w:val="superscript"/>
          <w:lang w:val="en-US"/>
        </w:rPr>
        <w:t>6</w:t>
      </w:r>
      <w:r w:rsidR="008760B4" w:rsidRPr="00714401">
        <w:rPr>
          <w:rFonts w:ascii="Book Antiqua" w:hAnsi="Book Antiqua"/>
          <w:color w:val="auto"/>
          <w:vertAlign w:val="superscript"/>
          <w:lang w:val="en-US"/>
        </w:rPr>
        <w:t>7</w:t>
      </w:r>
      <w:r w:rsidR="008B6B43" w:rsidRPr="00714401">
        <w:rPr>
          <w:rFonts w:ascii="Book Antiqua" w:hAnsi="Book Antiqua"/>
          <w:color w:val="auto"/>
          <w:vertAlign w:val="superscript"/>
          <w:lang w:val="en-US"/>
        </w:rPr>
        <w:t>]</w:t>
      </w:r>
      <w:r w:rsidR="006938B6" w:rsidRPr="00714401">
        <w:rPr>
          <w:rFonts w:ascii="Book Antiqua" w:hAnsi="Book Antiqua"/>
          <w:color w:val="auto"/>
          <w:lang w:val="en-US"/>
        </w:rPr>
        <w:t>.</w:t>
      </w:r>
    </w:p>
    <w:p w:rsidR="00C92A54" w:rsidRPr="00714401" w:rsidRDefault="00C92A54" w:rsidP="004F4F1E">
      <w:pPr>
        <w:pStyle w:val="Default"/>
        <w:snapToGrid w:val="0"/>
        <w:spacing w:line="360" w:lineRule="auto"/>
        <w:jc w:val="both"/>
        <w:rPr>
          <w:rFonts w:ascii="Book Antiqua" w:hAnsi="Book Antiqua"/>
          <w:b/>
          <w:color w:val="auto"/>
          <w:lang w:val="en-US" w:eastAsia="zh-CN"/>
        </w:rPr>
      </w:pPr>
    </w:p>
    <w:p w:rsidR="00BD2505" w:rsidRPr="00714401" w:rsidRDefault="00843E95" w:rsidP="004F4F1E">
      <w:pPr>
        <w:pStyle w:val="Default"/>
        <w:snapToGrid w:val="0"/>
        <w:spacing w:line="360" w:lineRule="auto"/>
        <w:jc w:val="both"/>
        <w:rPr>
          <w:rFonts w:ascii="Book Antiqua" w:eastAsia="Arial Unicode MS" w:hAnsi="Book Antiqua" w:cs="Arial Unicode MS"/>
          <w:color w:val="auto"/>
          <w:lang w:val="en-US" w:eastAsia="zh-CN"/>
        </w:rPr>
      </w:pPr>
      <w:r w:rsidRPr="00714401">
        <w:rPr>
          <w:rFonts w:ascii="Book Antiqua" w:hAnsi="Book Antiqua"/>
          <w:b/>
          <w:color w:val="auto"/>
          <w:lang w:val="en-US"/>
        </w:rPr>
        <w:t>CONCLUSION</w:t>
      </w:r>
    </w:p>
    <w:p w:rsidR="00BD2505" w:rsidRPr="00714401" w:rsidRDefault="00A27750" w:rsidP="004F4F1E">
      <w:pPr>
        <w:pStyle w:val="Default"/>
        <w:snapToGrid w:val="0"/>
        <w:spacing w:line="360" w:lineRule="auto"/>
        <w:jc w:val="both"/>
        <w:rPr>
          <w:rFonts w:ascii="Book Antiqua" w:hAnsi="Book Antiqua"/>
          <w:color w:val="auto"/>
          <w:lang w:val="en-US"/>
        </w:rPr>
      </w:pPr>
      <w:r w:rsidRPr="00714401">
        <w:rPr>
          <w:rFonts w:ascii="Book Antiqua" w:hAnsi="Book Antiqua"/>
          <w:color w:val="auto"/>
          <w:lang w:val="en-US"/>
        </w:rPr>
        <w:t xml:space="preserve">In recent years </w:t>
      </w:r>
      <w:r w:rsidR="00981381" w:rsidRPr="00714401">
        <w:rPr>
          <w:rFonts w:ascii="Book Antiqua" w:hAnsi="Book Antiqua"/>
          <w:color w:val="auto"/>
          <w:lang w:val="en-US"/>
        </w:rPr>
        <w:t xml:space="preserve">reliable and easy-to-use non-invasive bedside </w:t>
      </w:r>
      <w:proofErr w:type="spellStart"/>
      <w:r w:rsidR="00C92A54" w:rsidRPr="00714401">
        <w:rPr>
          <w:rFonts w:ascii="Book Antiqua" w:hAnsi="Book Antiqua"/>
          <w:color w:val="auto"/>
          <w:lang w:val="en-US"/>
        </w:rPr>
        <w:t>analysers</w:t>
      </w:r>
      <w:proofErr w:type="spellEnd"/>
      <w:r w:rsidR="00C92A54" w:rsidRPr="00714401">
        <w:rPr>
          <w:rFonts w:ascii="Book Antiqua" w:hAnsi="Book Antiqua"/>
          <w:color w:val="auto"/>
          <w:lang w:val="en-US"/>
        </w:rPr>
        <w:t xml:space="preserve"> </w:t>
      </w:r>
      <w:r w:rsidR="00981381" w:rsidRPr="00714401">
        <w:rPr>
          <w:rFonts w:ascii="Book Antiqua" w:hAnsi="Book Antiqua"/>
          <w:color w:val="auto"/>
          <w:lang w:val="en-US"/>
        </w:rPr>
        <w:t>using the PDD technology,</w:t>
      </w:r>
      <w:r w:rsidRPr="00714401">
        <w:rPr>
          <w:rFonts w:ascii="Book Antiqua" w:hAnsi="Book Antiqua"/>
          <w:color w:val="auto"/>
          <w:lang w:val="en-US"/>
        </w:rPr>
        <w:t xml:space="preserve"> </w:t>
      </w:r>
      <w:r w:rsidR="00981381" w:rsidRPr="00714401">
        <w:rPr>
          <w:rFonts w:ascii="Book Antiqua" w:hAnsi="Book Antiqua"/>
          <w:color w:val="auto"/>
          <w:lang w:val="en-US"/>
        </w:rPr>
        <w:t>(</w:t>
      </w:r>
      <w:proofErr w:type="spellStart"/>
      <w:r w:rsidR="00981381" w:rsidRPr="00714401">
        <w:rPr>
          <w:rFonts w:ascii="Book Antiqua" w:hAnsi="Book Antiqua"/>
          <w:color w:val="auto"/>
          <w:lang w:val="en-US"/>
        </w:rPr>
        <w:t>Li</w:t>
      </w:r>
      <w:r w:rsidR="009449AC" w:rsidRPr="00714401">
        <w:rPr>
          <w:rFonts w:ascii="Book Antiqua" w:hAnsi="Book Antiqua"/>
          <w:color w:val="auto"/>
          <w:lang w:val="en-US"/>
        </w:rPr>
        <w:t>M</w:t>
      </w:r>
      <w:r w:rsidR="00981381" w:rsidRPr="00714401">
        <w:rPr>
          <w:rFonts w:ascii="Book Antiqua" w:hAnsi="Book Antiqua"/>
          <w:color w:val="auto"/>
          <w:lang w:val="en-US"/>
        </w:rPr>
        <w:t>on</w:t>
      </w:r>
      <w:proofErr w:type="spellEnd"/>
      <w:r w:rsidR="00981381" w:rsidRPr="00714401">
        <w:rPr>
          <w:rFonts w:ascii="Book Antiqua" w:hAnsi="Book Antiqua"/>
          <w:color w:val="auto"/>
          <w:lang w:val="en-US"/>
        </w:rPr>
        <w:t xml:space="preserve"> and Nihon </w:t>
      </w:r>
      <w:proofErr w:type="spellStart"/>
      <w:r w:rsidR="00981381" w:rsidRPr="00714401">
        <w:rPr>
          <w:rFonts w:ascii="Book Antiqua" w:hAnsi="Book Antiqua"/>
          <w:color w:val="auto"/>
          <w:lang w:val="en-US"/>
        </w:rPr>
        <w:t>Kohden</w:t>
      </w:r>
      <w:proofErr w:type="spellEnd"/>
      <w:r w:rsidRPr="00714401">
        <w:rPr>
          <w:rFonts w:ascii="Book Antiqua" w:hAnsi="Book Antiqua"/>
          <w:color w:val="auto"/>
          <w:lang w:val="en-US"/>
        </w:rPr>
        <w:t>) have</w:t>
      </w:r>
      <w:r w:rsidR="00981381" w:rsidRPr="00714401">
        <w:rPr>
          <w:rFonts w:ascii="Book Antiqua" w:hAnsi="Book Antiqua"/>
          <w:color w:val="auto"/>
          <w:lang w:val="en-US"/>
        </w:rPr>
        <w:t xml:space="preserve"> boosted the use of </w:t>
      </w:r>
      <w:r w:rsidR="00574A42" w:rsidRPr="00714401">
        <w:rPr>
          <w:rFonts w:ascii="Book Antiqua" w:hAnsi="Book Antiqua"/>
          <w:color w:val="auto"/>
          <w:lang w:val="en-US"/>
        </w:rPr>
        <w:t>ICG kinetic parameters</w:t>
      </w:r>
      <w:r w:rsidR="0076063F" w:rsidRPr="00714401">
        <w:rPr>
          <w:rFonts w:ascii="Book Antiqua" w:hAnsi="Book Antiqua"/>
          <w:color w:val="auto"/>
          <w:lang w:val="en-US"/>
        </w:rPr>
        <w:t xml:space="preserve"> </w:t>
      </w:r>
      <w:r w:rsidRPr="00714401">
        <w:rPr>
          <w:rFonts w:ascii="Book Antiqua" w:hAnsi="Book Antiqua"/>
          <w:color w:val="auto"/>
          <w:lang w:val="en-US"/>
        </w:rPr>
        <w:t xml:space="preserve">in </w:t>
      </w:r>
      <w:r w:rsidR="009449AC" w:rsidRPr="00714401">
        <w:rPr>
          <w:rFonts w:ascii="Book Antiqua" w:hAnsi="Book Antiqua"/>
          <w:color w:val="auto"/>
          <w:lang w:val="en-US"/>
        </w:rPr>
        <w:t xml:space="preserve">hepatic </w:t>
      </w:r>
      <w:r w:rsidR="00574A42" w:rsidRPr="00714401">
        <w:rPr>
          <w:rFonts w:ascii="Book Antiqua" w:hAnsi="Book Antiqua"/>
          <w:color w:val="auto"/>
          <w:lang w:val="en-US"/>
        </w:rPr>
        <w:t>surgery and, in general, while caring</w:t>
      </w:r>
      <w:r w:rsidR="0076063F" w:rsidRPr="00714401">
        <w:rPr>
          <w:rFonts w:ascii="Book Antiqua" w:hAnsi="Book Antiqua"/>
          <w:color w:val="auto"/>
          <w:lang w:val="en-US"/>
        </w:rPr>
        <w:t xml:space="preserve"> </w:t>
      </w:r>
      <w:r w:rsidR="00574A42" w:rsidRPr="00714401">
        <w:rPr>
          <w:rFonts w:ascii="Book Antiqua" w:hAnsi="Book Antiqua"/>
          <w:color w:val="auto"/>
          <w:lang w:val="en-US"/>
        </w:rPr>
        <w:t>f</w:t>
      </w:r>
      <w:r w:rsidRPr="00714401">
        <w:rPr>
          <w:rFonts w:ascii="Book Antiqua" w:hAnsi="Book Antiqua"/>
          <w:color w:val="auto"/>
          <w:lang w:val="en-US"/>
        </w:rPr>
        <w:t>or the critically ill</w:t>
      </w:r>
      <w:r w:rsidR="00981381" w:rsidRPr="00714401">
        <w:rPr>
          <w:rFonts w:ascii="Book Antiqua" w:hAnsi="Book Antiqua"/>
          <w:color w:val="auto"/>
          <w:lang w:val="en-US"/>
        </w:rPr>
        <w:t xml:space="preserve">. Since long, the Eastern surgical schools have supported an </w:t>
      </w:r>
      <w:r w:rsidR="006000D3" w:rsidRPr="00714401">
        <w:rPr>
          <w:rFonts w:ascii="Book Antiqua" w:hAnsi="Book Antiqua"/>
          <w:color w:val="auto"/>
          <w:lang w:val="en-US"/>
        </w:rPr>
        <w:t xml:space="preserve">extensive </w:t>
      </w:r>
      <w:r w:rsidR="00BD2505" w:rsidRPr="00714401">
        <w:rPr>
          <w:rFonts w:ascii="Book Antiqua" w:hAnsi="Book Antiqua"/>
          <w:color w:val="auto"/>
          <w:lang w:val="en-US"/>
        </w:rPr>
        <w:t>application</w:t>
      </w:r>
      <w:r w:rsidR="006000D3" w:rsidRPr="00714401">
        <w:rPr>
          <w:rFonts w:ascii="Book Antiqua" w:hAnsi="Book Antiqua"/>
          <w:color w:val="auto"/>
          <w:lang w:val="en-US"/>
        </w:rPr>
        <w:t xml:space="preserve"> of this technology</w:t>
      </w:r>
      <w:r w:rsidR="00C65489" w:rsidRPr="00714401">
        <w:rPr>
          <w:rFonts w:ascii="Book Antiqua" w:hAnsi="Book Antiqua"/>
          <w:color w:val="auto"/>
          <w:lang w:val="en-US"/>
        </w:rPr>
        <w:t xml:space="preserve">, particularly </w:t>
      </w:r>
      <w:r w:rsidRPr="00714401">
        <w:rPr>
          <w:rFonts w:ascii="Book Antiqua" w:hAnsi="Book Antiqua"/>
          <w:color w:val="auto"/>
          <w:lang w:val="en-US"/>
        </w:rPr>
        <w:t xml:space="preserve">when major surgical options are considered in </w:t>
      </w:r>
      <w:r w:rsidR="00BD2505" w:rsidRPr="00714401">
        <w:rPr>
          <w:rFonts w:ascii="Book Antiqua" w:hAnsi="Book Antiqua"/>
          <w:color w:val="auto"/>
          <w:lang w:val="en-US"/>
        </w:rPr>
        <w:t>p</w:t>
      </w:r>
      <w:r w:rsidR="006000D3" w:rsidRPr="00714401">
        <w:rPr>
          <w:rFonts w:ascii="Book Antiqua" w:hAnsi="Book Antiqua"/>
          <w:color w:val="auto"/>
          <w:lang w:val="en-US"/>
        </w:rPr>
        <w:t>atients</w:t>
      </w:r>
      <w:r w:rsidRPr="00714401">
        <w:rPr>
          <w:rFonts w:ascii="Book Antiqua" w:hAnsi="Book Antiqua"/>
          <w:color w:val="auto"/>
          <w:lang w:val="en-US"/>
        </w:rPr>
        <w:t xml:space="preserve"> affected by hepatocellular carcinoma on liver cirrhosis</w:t>
      </w:r>
      <w:r w:rsidR="00492BDB" w:rsidRPr="00714401">
        <w:rPr>
          <w:rFonts w:ascii="Book Antiqua" w:hAnsi="Book Antiqua"/>
          <w:color w:val="auto"/>
          <w:lang w:val="en-US"/>
        </w:rPr>
        <w:t>. T</w:t>
      </w:r>
      <w:r w:rsidR="00981381" w:rsidRPr="00714401">
        <w:rPr>
          <w:rFonts w:ascii="Book Antiqua" w:hAnsi="Book Antiqua"/>
          <w:color w:val="auto"/>
          <w:lang w:val="en-US"/>
        </w:rPr>
        <w:t xml:space="preserve">he most relevant </w:t>
      </w:r>
      <w:r w:rsidR="00492BDB" w:rsidRPr="00714401">
        <w:rPr>
          <w:rFonts w:ascii="Book Antiqua" w:hAnsi="Book Antiqua"/>
          <w:color w:val="auto"/>
          <w:lang w:val="en-US"/>
        </w:rPr>
        <w:t>results, worth to be considered also by the</w:t>
      </w:r>
      <w:r w:rsidR="0076063F" w:rsidRPr="00714401">
        <w:rPr>
          <w:rFonts w:ascii="Book Antiqua" w:hAnsi="Book Antiqua"/>
          <w:color w:val="auto"/>
          <w:lang w:val="en-US"/>
        </w:rPr>
        <w:t xml:space="preserve"> </w:t>
      </w:r>
      <w:r w:rsidR="00492BDB" w:rsidRPr="00714401">
        <w:rPr>
          <w:rFonts w:ascii="Book Antiqua" w:hAnsi="Book Antiqua"/>
          <w:color w:val="auto"/>
          <w:lang w:val="en-US"/>
        </w:rPr>
        <w:t>Western surgical community, deal with</w:t>
      </w:r>
      <w:r w:rsidR="0076063F" w:rsidRPr="00714401">
        <w:rPr>
          <w:rFonts w:ascii="Book Antiqua" w:hAnsi="Book Antiqua"/>
          <w:color w:val="auto"/>
          <w:lang w:val="en-US"/>
        </w:rPr>
        <w:t xml:space="preserve"> </w:t>
      </w:r>
      <w:r w:rsidR="00492BDB" w:rsidRPr="00714401">
        <w:rPr>
          <w:rFonts w:ascii="Book Antiqua" w:hAnsi="Book Antiqua"/>
          <w:color w:val="auto"/>
          <w:lang w:val="en-US"/>
        </w:rPr>
        <w:t xml:space="preserve">liver cancer </w:t>
      </w:r>
      <w:proofErr w:type="spellStart"/>
      <w:r w:rsidR="00BD2505" w:rsidRPr="00714401">
        <w:rPr>
          <w:rFonts w:ascii="Book Antiqua" w:hAnsi="Book Antiqua"/>
          <w:color w:val="auto"/>
          <w:lang w:val="en-US"/>
        </w:rPr>
        <w:t>resectability</w:t>
      </w:r>
      <w:proofErr w:type="spellEnd"/>
      <w:r w:rsidR="00BD2505" w:rsidRPr="00714401">
        <w:rPr>
          <w:rFonts w:ascii="Book Antiqua" w:hAnsi="Book Antiqua"/>
          <w:color w:val="auto"/>
          <w:lang w:val="en-US"/>
        </w:rPr>
        <w:t xml:space="preserve"> and the potentials for </w:t>
      </w:r>
      <w:r w:rsidR="006000D3" w:rsidRPr="00714401">
        <w:rPr>
          <w:rFonts w:ascii="Book Antiqua" w:hAnsi="Book Antiqua"/>
          <w:color w:val="auto"/>
          <w:lang w:val="en-US"/>
        </w:rPr>
        <w:t>pre</w:t>
      </w:r>
      <w:r w:rsidR="0075502C" w:rsidRPr="00714401">
        <w:rPr>
          <w:rFonts w:ascii="Book Antiqua" w:hAnsi="Book Antiqua"/>
          <w:color w:val="auto"/>
          <w:lang w:val="en-US"/>
        </w:rPr>
        <w:t xml:space="preserve">venting or </w:t>
      </w:r>
      <w:r w:rsidR="00C65489" w:rsidRPr="00714401">
        <w:rPr>
          <w:rFonts w:ascii="Book Antiqua" w:hAnsi="Book Antiqua"/>
          <w:color w:val="auto"/>
          <w:lang w:val="en-US"/>
        </w:rPr>
        <w:t xml:space="preserve">avoiding </w:t>
      </w:r>
      <w:proofErr w:type="spellStart"/>
      <w:r w:rsidR="00C65489" w:rsidRPr="00714401">
        <w:rPr>
          <w:rFonts w:ascii="Book Antiqua" w:hAnsi="Book Antiqua"/>
          <w:color w:val="auto"/>
          <w:lang w:val="en-US"/>
        </w:rPr>
        <w:t>postresective</w:t>
      </w:r>
      <w:proofErr w:type="spellEnd"/>
      <w:r w:rsidR="00C65489" w:rsidRPr="00714401">
        <w:rPr>
          <w:rFonts w:ascii="Book Antiqua" w:hAnsi="Book Antiqua"/>
          <w:color w:val="auto"/>
          <w:lang w:val="en-US"/>
        </w:rPr>
        <w:t xml:space="preserve"> </w:t>
      </w:r>
      <w:r w:rsidR="00843E95" w:rsidRPr="00714401">
        <w:rPr>
          <w:rFonts w:ascii="Book Antiqua" w:hAnsi="Book Antiqua"/>
          <w:color w:val="auto"/>
          <w:lang w:val="en-US"/>
        </w:rPr>
        <w:t>hepatic dysfunction/</w:t>
      </w:r>
      <w:r w:rsidR="00492BDB" w:rsidRPr="00714401">
        <w:rPr>
          <w:rFonts w:ascii="Book Antiqua" w:hAnsi="Book Antiqua"/>
          <w:color w:val="auto"/>
          <w:lang w:val="en-US"/>
        </w:rPr>
        <w:t>failure</w:t>
      </w:r>
      <w:r w:rsidR="006000D3" w:rsidRPr="00714401">
        <w:rPr>
          <w:rFonts w:ascii="Book Antiqua" w:hAnsi="Book Antiqua"/>
          <w:color w:val="auto"/>
          <w:lang w:val="en-US"/>
        </w:rPr>
        <w:t>.</w:t>
      </w:r>
      <w:r w:rsidR="00BD2505" w:rsidRPr="00714401">
        <w:rPr>
          <w:rFonts w:ascii="Book Antiqua" w:hAnsi="Book Antiqua"/>
          <w:color w:val="auto"/>
          <w:lang w:val="en-US"/>
        </w:rPr>
        <w:t xml:space="preserve"> </w:t>
      </w:r>
      <w:r w:rsidR="00C92A54" w:rsidRPr="00714401">
        <w:rPr>
          <w:rFonts w:ascii="Book Antiqua" w:hAnsi="Book Antiqua"/>
          <w:color w:val="auto"/>
          <w:lang w:val="en-US"/>
        </w:rPr>
        <w:t xml:space="preserve">In liver </w:t>
      </w:r>
      <w:proofErr w:type="spellStart"/>
      <w:r w:rsidR="00C92A54" w:rsidRPr="00714401">
        <w:rPr>
          <w:rFonts w:ascii="Book Antiqua" w:hAnsi="Book Antiqua"/>
          <w:color w:val="auto"/>
          <w:lang w:val="en-US"/>
        </w:rPr>
        <w:t>resective</w:t>
      </w:r>
      <w:proofErr w:type="spellEnd"/>
      <w:r w:rsidR="00C92A54" w:rsidRPr="00714401">
        <w:rPr>
          <w:rFonts w:ascii="Book Antiqua" w:hAnsi="Book Antiqua"/>
          <w:color w:val="auto"/>
          <w:lang w:val="en-US"/>
        </w:rPr>
        <w:t xml:space="preserve"> surgery, w</w:t>
      </w:r>
      <w:r w:rsidR="00492BDB" w:rsidRPr="00714401">
        <w:rPr>
          <w:rFonts w:ascii="Book Antiqua" w:hAnsi="Book Antiqua"/>
          <w:color w:val="auto"/>
          <w:lang w:val="en-US"/>
        </w:rPr>
        <w:t xml:space="preserve">hile firm results are available when dealing with morbidity, concern still exists </w:t>
      </w:r>
      <w:r w:rsidR="00492BDB" w:rsidRPr="00714401">
        <w:rPr>
          <w:rFonts w:ascii="Book Antiqua" w:hAnsi="Book Antiqua"/>
          <w:color w:val="auto"/>
          <w:lang w:val="en-US"/>
        </w:rPr>
        <w:lastRenderedPageBreak/>
        <w:t xml:space="preserve">in predicting </w:t>
      </w:r>
      <w:r w:rsidR="00A90BDD" w:rsidRPr="00714401">
        <w:rPr>
          <w:rFonts w:ascii="Book Antiqua" w:hAnsi="Book Antiqua"/>
          <w:color w:val="auto"/>
          <w:lang w:val="en-US"/>
        </w:rPr>
        <w:t>mortality.</w:t>
      </w:r>
      <w:r w:rsidR="0076063F" w:rsidRPr="00714401">
        <w:rPr>
          <w:rFonts w:ascii="Book Antiqua" w:hAnsi="Book Antiqua"/>
          <w:color w:val="auto"/>
          <w:lang w:val="en-US"/>
        </w:rPr>
        <w:t xml:space="preserve"> </w:t>
      </w:r>
      <w:r w:rsidR="00A90BDD" w:rsidRPr="00714401">
        <w:rPr>
          <w:rFonts w:ascii="Book Antiqua" w:hAnsi="Book Antiqua"/>
          <w:color w:val="auto"/>
          <w:lang w:val="en-US"/>
        </w:rPr>
        <w:t>In spite of the initial enthusiasms</w:t>
      </w:r>
      <w:r w:rsidRPr="00714401">
        <w:rPr>
          <w:rFonts w:ascii="Book Antiqua" w:hAnsi="Book Antiqua"/>
          <w:color w:val="auto"/>
          <w:lang w:val="en-US"/>
        </w:rPr>
        <w:t xml:space="preserve"> and some very recent results</w:t>
      </w:r>
      <w:r w:rsidR="00A90BDD" w:rsidRPr="00714401">
        <w:rPr>
          <w:rFonts w:ascii="Book Antiqua" w:hAnsi="Book Antiqua"/>
          <w:color w:val="auto"/>
          <w:lang w:val="en-US"/>
        </w:rPr>
        <w:t xml:space="preserve">, </w:t>
      </w:r>
      <w:r w:rsidRPr="00714401">
        <w:rPr>
          <w:rFonts w:ascii="Book Antiqua" w:hAnsi="Book Antiqua"/>
          <w:color w:val="auto"/>
          <w:lang w:val="en-US"/>
        </w:rPr>
        <w:t xml:space="preserve">the use of </w:t>
      </w:r>
      <w:r w:rsidR="00A90BDD" w:rsidRPr="00714401">
        <w:rPr>
          <w:rFonts w:ascii="Book Antiqua" w:hAnsi="Book Antiqua"/>
          <w:color w:val="auto"/>
          <w:lang w:val="en-US"/>
        </w:rPr>
        <w:t xml:space="preserve">post </w:t>
      </w:r>
      <w:r w:rsidR="00A9748E" w:rsidRPr="00714401">
        <w:rPr>
          <w:rFonts w:ascii="Book Antiqua" w:hAnsi="Book Antiqua"/>
          <w:color w:val="auto"/>
          <w:lang w:val="en-US"/>
        </w:rPr>
        <w:t xml:space="preserve">OLT </w:t>
      </w:r>
      <w:r w:rsidR="00A90BDD" w:rsidRPr="00714401">
        <w:rPr>
          <w:rFonts w:ascii="Book Antiqua" w:hAnsi="Book Antiqua"/>
          <w:color w:val="auto"/>
          <w:lang w:val="en-US"/>
        </w:rPr>
        <w:t xml:space="preserve">ICG kinetics </w:t>
      </w:r>
      <w:r w:rsidR="00A9748E" w:rsidRPr="00714401">
        <w:rPr>
          <w:rFonts w:ascii="Book Antiqua" w:hAnsi="Book Antiqua"/>
          <w:color w:val="auto"/>
          <w:lang w:val="en-US"/>
        </w:rPr>
        <w:t xml:space="preserve">to predict </w:t>
      </w:r>
      <w:r w:rsidRPr="00714401">
        <w:rPr>
          <w:rFonts w:ascii="Book Antiqua" w:hAnsi="Book Antiqua"/>
          <w:color w:val="auto"/>
          <w:lang w:val="en-US"/>
        </w:rPr>
        <w:t xml:space="preserve">morbidity and </w:t>
      </w:r>
      <w:r w:rsidR="00A90BDD" w:rsidRPr="00714401">
        <w:rPr>
          <w:rFonts w:ascii="Book Antiqua" w:hAnsi="Book Antiqua"/>
          <w:color w:val="auto"/>
          <w:lang w:val="en-US"/>
        </w:rPr>
        <w:t xml:space="preserve">mortality </w:t>
      </w:r>
      <w:r w:rsidR="00A9748E" w:rsidRPr="00714401">
        <w:rPr>
          <w:rFonts w:ascii="Book Antiqua" w:hAnsi="Book Antiqua"/>
          <w:color w:val="auto"/>
          <w:lang w:val="en-US"/>
        </w:rPr>
        <w:t>are</w:t>
      </w:r>
      <w:r w:rsidRPr="00714401">
        <w:rPr>
          <w:rFonts w:ascii="Book Antiqua" w:hAnsi="Book Antiqua"/>
          <w:color w:val="auto"/>
          <w:lang w:val="en-US"/>
        </w:rPr>
        <w:t xml:space="preserve"> to be considered, at least in our opinion, </w:t>
      </w:r>
      <w:r w:rsidR="00A1199B" w:rsidRPr="00714401">
        <w:rPr>
          <w:rFonts w:ascii="Book Antiqua" w:hAnsi="Book Antiqua"/>
          <w:color w:val="auto"/>
          <w:lang w:val="en-US"/>
        </w:rPr>
        <w:t>still</w:t>
      </w:r>
      <w:r w:rsidR="00A9748E" w:rsidRPr="00714401">
        <w:rPr>
          <w:rFonts w:ascii="Book Antiqua" w:hAnsi="Book Antiqua"/>
          <w:color w:val="auto"/>
          <w:lang w:val="en-US"/>
        </w:rPr>
        <w:t xml:space="preserve"> under scrutiny. </w:t>
      </w:r>
      <w:r w:rsidR="00C51D28" w:rsidRPr="00714401">
        <w:rPr>
          <w:rFonts w:ascii="Book Antiqua" w:hAnsi="Book Antiqua"/>
          <w:color w:val="auto"/>
          <w:lang w:val="en-US"/>
        </w:rPr>
        <w:t>Notwithstanding the results proposed</w:t>
      </w:r>
      <w:r w:rsidR="00843E95" w:rsidRPr="00714401">
        <w:rPr>
          <w:rFonts w:ascii="Book Antiqua" w:hAnsi="Book Antiqua"/>
          <w:color w:val="auto"/>
          <w:lang w:val="en-US"/>
        </w:rPr>
        <w:t xml:space="preserve"> by the most recent </w:t>
      </w:r>
      <w:proofErr w:type="gramStart"/>
      <w:r w:rsidR="00843E95" w:rsidRPr="00714401">
        <w:rPr>
          <w:rFonts w:ascii="Book Antiqua" w:hAnsi="Book Antiqua"/>
          <w:color w:val="auto"/>
          <w:lang w:val="en-US"/>
        </w:rPr>
        <w:t>publication</w:t>
      </w:r>
      <w:r w:rsidR="00C51D28" w:rsidRPr="00714401">
        <w:rPr>
          <w:rFonts w:ascii="Book Antiqua" w:hAnsi="Book Antiqua"/>
          <w:color w:val="auto"/>
          <w:vertAlign w:val="superscript"/>
          <w:lang w:val="en-US"/>
        </w:rPr>
        <w:t>[</w:t>
      </w:r>
      <w:proofErr w:type="gramEnd"/>
      <w:r w:rsidR="00C51D28" w:rsidRPr="00714401">
        <w:rPr>
          <w:rFonts w:ascii="Book Antiqua" w:hAnsi="Book Antiqua"/>
          <w:color w:val="auto"/>
          <w:vertAlign w:val="superscript"/>
          <w:lang w:val="en-US"/>
        </w:rPr>
        <w:t>59]</w:t>
      </w:r>
      <w:r w:rsidR="00C51D28" w:rsidRPr="00714401">
        <w:rPr>
          <w:rFonts w:ascii="Book Antiqua" w:hAnsi="Book Antiqua"/>
          <w:color w:val="auto"/>
          <w:lang w:val="en-US"/>
        </w:rPr>
        <w:t>, m</w:t>
      </w:r>
      <w:r w:rsidR="00BD2505" w:rsidRPr="00714401">
        <w:rPr>
          <w:rFonts w:ascii="Book Antiqua" w:hAnsi="Book Antiqua"/>
          <w:color w:val="auto"/>
          <w:lang w:val="en-US"/>
        </w:rPr>
        <w:t xml:space="preserve">ixed </w:t>
      </w:r>
      <w:r w:rsidR="00C51D28" w:rsidRPr="00714401">
        <w:rPr>
          <w:rFonts w:ascii="Book Antiqua" w:hAnsi="Book Antiqua"/>
          <w:color w:val="auto"/>
          <w:lang w:val="en-US"/>
        </w:rPr>
        <w:t>results or</w:t>
      </w:r>
      <w:r w:rsidR="0076063F" w:rsidRPr="00714401">
        <w:rPr>
          <w:rFonts w:ascii="Book Antiqua" w:hAnsi="Book Antiqua"/>
          <w:color w:val="auto"/>
          <w:lang w:val="en-US"/>
        </w:rPr>
        <w:t xml:space="preserve"> </w:t>
      </w:r>
      <w:r w:rsidR="00843E95" w:rsidRPr="00714401">
        <w:rPr>
          <w:rFonts w:ascii="Book Antiqua" w:hAnsi="Book Antiqua"/>
          <w:color w:val="auto"/>
          <w:lang w:val="en-US" w:eastAsia="zh-CN"/>
        </w:rPr>
        <w:t>“</w:t>
      </w:r>
      <w:r w:rsidR="00BD2505" w:rsidRPr="00714401">
        <w:rPr>
          <w:rFonts w:ascii="Book Antiqua" w:hAnsi="Book Antiqua"/>
          <w:color w:val="auto"/>
          <w:lang w:val="en-US"/>
        </w:rPr>
        <w:t xml:space="preserve">false </w:t>
      </w:r>
      <w:r w:rsidR="006000D3" w:rsidRPr="00714401">
        <w:rPr>
          <w:rFonts w:ascii="Book Antiqua" w:hAnsi="Book Antiqua"/>
          <w:color w:val="auto"/>
          <w:lang w:val="en-US"/>
        </w:rPr>
        <w:t xml:space="preserve">pathological </w:t>
      </w:r>
      <w:r w:rsidR="00843E95" w:rsidRPr="00714401">
        <w:rPr>
          <w:rFonts w:ascii="Book Antiqua" w:hAnsi="Book Antiqua"/>
          <w:color w:val="auto"/>
          <w:lang w:val="en-US"/>
        </w:rPr>
        <w:t>findings</w:t>
      </w:r>
      <w:r w:rsidR="006000D3" w:rsidRPr="00714401">
        <w:rPr>
          <w:rFonts w:ascii="Book Antiqua" w:hAnsi="Book Antiqua"/>
          <w:color w:val="auto"/>
          <w:lang w:val="en-US"/>
        </w:rPr>
        <w:t>” (false positives)</w:t>
      </w:r>
      <w:r w:rsidR="0076063F" w:rsidRPr="00714401">
        <w:rPr>
          <w:rFonts w:ascii="Book Antiqua" w:hAnsi="Book Antiqua"/>
          <w:color w:val="auto"/>
          <w:lang w:val="en-US"/>
        </w:rPr>
        <w:t xml:space="preserve"> </w:t>
      </w:r>
      <w:r w:rsidR="00C51D28" w:rsidRPr="00714401">
        <w:rPr>
          <w:rFonts w:ascii="Book Antiqua" w:hAnsi="Book Antiqua"/>
          <w:color w:val="auto"/>
          <w:lang w:val="en-US"/>
        </w:rPr>
        <w:t>are present in the literature</w:t>
      </w:r>
      <w:r w:rsidR="0075502C" w:rsidRPr="00714401">
        <w:rPr>
          <w:rFonts w:ascii="Book Antiqua" w:hAnsi="Book Antiqua"/>
          <w:color w:val="auto"/>
          <w:lang w:val="en-US"/>
        </w:rPr>
        <w:t>:</w:t>
      </w:r>
      <w:r w:rsidR="00C51D28" w:rsidRPr="00714401">
        <w:rPr>
          <w:rFonts w:ascii="Book Antiqua" w:hAnsi="Book Antiqua"/>
          <w:color w:val="auto"/>
          <w:lang w:val="en-US"/>
        </w:rPr>
        <w:t xml:space="preserve"> to be specifically addressed </w:t>
      </w:r>
      <w:r w:rsidR="00236D40" w:rsidRPr="00714401">
        <w:rPr>
          <w:rFonts w:ascii="Book Antiqua" w:hAnsi="Book Antiqua"/>
          <w:color w:val="auto"/>
          <w:lang w:val="en-US"/>
        </w:rPr>
        <w:t xml:space="preserve">in the liver transplant setting </w:t>
      </w:r>
      <w:r w:rsidR="00C51D28" w:rsidRPr="00714401">
        <w:rPr>
          <w:rFonts w:ascii="Book Antiqua" w:hAnsi="Book Antiqua"/>
          <w:color w:val="auto"/>
          <w:lang w:val="en-US"/>
        </w:rPr>
        <w:t xml:space="preserve">is the </w:t>
      </w:r>
      <w:r w:rsidR="00BD2505" w:rsidRPr="00714401">
        <w:rPr>
          <w:rFonts w:ascii="Book Antiqua" w:hAnsi="Book Antiqua"/>
          <w:color w:val="auto"/>
          <w:lang w:val="en-US"/>
        </w:rPr>
        <w:t>presence of hyperbilirubinemia</w:t>
      </w:r>
      <w:r w:rsidR="00C51D28" w:rsidRPr="00714401">
        <w:rPr>
          <w:rFonts w:ascii="Book Antiqua" w:hAnsi="Book Antiqua"/>
          <w:color w:val="auto"/>
          <w:lang w:val="en-US"/>
        </w:rPr>
        <w:t>. In this context, according to ICG</w:t>
      </w:r>
      <w:r w:rsidR="00C51D28" w:rsidRPr="00714401">
        <w:rPr>
          <w:rFonts w:ascii="Book Antiqua" w:hAnsi="Book Antiqua"/>
          <w:color w:val="auto"/>
          <w:vertAlign w:val="subscript"/>
          <w:lang w:val="en-US"/>
        </w:rPr>
        <w:t>PDR</w:t>
      </w:r>
      <w:r w:rsidR="00236D40" w:rsidRPr="00714401">
        <w:rPr>
          <w:rFonts w:ascii="Book Antiqua" w:hAnsi="Book Antiqua"/>
          <w:color w:val="auto"/>
          <w:lang w:val="en-US"/>
        </w:rPr>
        <w:t xml:space="preserve">, newly grafted </w:t>
      </w:r>
      <w:r w:rsidR="00BD2505" w:rsidRPr="00714401">
        <w:rPr>
          <w:rFonts w:ascii="Book Antiqua" w:hAnsi="Book Antiqua"/>
          <w:color w:val="auto"/>
          <w:lang w:val="en-US"/>
        </w:rPr>
        <w:t xml:space="preserve">liver </w:t>
      </w:r>
      <w:r w:rsidR="00236D40" w:rsidRPr="00714401">
        <w:rPr>
          <w:rFonts w:ascii="Book Antiqua" w:hAnsi="Book Antiqua"/>
          <w:color w:val="auto"/>
          <w:lang w:val="en-US"/>
        </w:rPr>
        <w:t xml:space="preserve">might be </w:t>
      </w:r>
      <w:r w:rsidR="00C51D28" w:rsidRPr="00714401">
        <w:rPr>
          <w:rFonts w:ascii="Book Antiqua" w:hAnsi="Book Antiqua"/>
          <w:color w:val="auto"/>
          <w:lang w:val="en-US"/>
        </w:rPr>
        <w:t xml:space="preserve">falsely classified </w:t>
      </w:r>
      <w:r w:rsidR="00BD2505" w:rsidRPr="00714401">
        <w:rPr>
          <w:rFonts w:ascii="Book Antiqua" w:hAnsi="Book Antiqua"/>
          <w:color w:val="auto"/>
          <w:lang w:val="en-US"/>
        </w:rPr>
        <w:t xml:space="preserve">as severely </w:t>
      </w:r>
      <w:proofErr w:type="spellStart"/>
      <w:r w:rsidR="00BD2505" w:rsidRPr="00714401">
        <w:rPr>
          <w:rFonts w:ascii="Book Antiqua" w:hAnsi="Book Antiqua"/>
          <w:color w:val="auto"/>
          <w:lang w:val="en-US"/>
        </w:rPr>
        <w:t>dysfunctioning</w:t>
      </w:r>
      <w:proofErr w:type="spellEnd"/>
      <w:r w:rsidR="00BD2505" w:rsidRPr="00714401">
        <w:rPr>
          <w:rFonts w:ascii="Book Antiqua" w:hAnsi="Book Antiqua"/>
          <w:color w:val="auto"/>
          <w:lang w:val="en-US"/>
        </w:rPr>
        <w:t xml:space="preserve"> or at</w:t>
      </w:r>
      <w:r w:rsidR="00C51D28" w:rsidRPr="00714401">
        <w:rPr>
          <w:rFonts w:ascii="Book Antiqua" w:hAnsi="Book Antiqua"/>
          <w:color w:val="auto"/>
          <w:lang w:val="en-US"/>
        </w:rPr>
        <w:t xml:space="preserve"> consistent risk of </w:t>
      </w:r>
      <w:proofErr w:type="spellStart"/>
      <w:r w:rsidR="00BD2505" w:rsidRPr="00714401">
        <w:rPr>
          <w:rFonts w:ascii="Book Antiqua" w:hAnsi="Book Antiqua"/>
          <w:color w:val="auto"/>
          <w:lang w:val="en-US"/>
        </w:rPr>
        <w:t>unfavou</w:t>
      </w:r>
      <w:r w:rsidR="00C51D28" w:rsidRPr="00714401">
        <w:rPr>
          <w:rFonts w:ascii="Book Antiqua" w:hAnsi="Book Antiqua"/>
          <w:color w:val="auto"/>
          <w:lang w:val="en-US"/>
        </w:rPr>
        <w:t>rable</w:t>
      </w:r>
      <w:proofErr w:type="spellEnd"/>
      <w:r w:rsidR="00C51D28" w:rsidRPr="00714401">
        <w:rPr>
          <w:rFonts w:ascii="Book Antiqua" w:hAnsi="Book Antiqua"/>
          <w:color w:val="auto"/>
          <w:lang w:val="en-US"/>
        </w:rPr>
        <w:t xml:space="preserve"> outcome, when opposite is the real </w:t>
      </w:r>
      <w:r w:rsidR="008A26A7" w:rsidRPr="00714401">
        <w:rPr>
          <w:rFonts w:ascii="Book Antiqua" w:hAnsi="Book Antiqua"/>
          <w:color w:val="auto"/>
          <w:lang w:val="en-US"/>
        </w:rPr>
        <w:t xml:space="preserve">final </w:t>
      </w:r>
      <w:r w:rsidR="00C51D28" w:rsidRPr="00714401">
        <w:rPr>
          <w:rFonts w:ascii="Book Antiqua" w:hAnsi="Book Antiqua"/>
          <w:color w:val="auto"/>
          <w:lang w:val="en-US"/>
        </w:rPr>
        <w:t>outcome</w:t>
      </w:r>
      <w:r w:rsidR="00BD2505" w:rsidRPr="00714401">
        <w:rPr>
          <w:rFonts w:ascii="Book Antiqua" w:hAnsi="Book Antiqua"/>
          <w:color w:val="auto"/>
          <w:lang w:val="en-US"/>
        </w:rPr>
        <w:t xml:space="preserve">. </w:t>
      </w:r>
      <w:r w:rsidR="00C51D28" w:rsidRPr="00714401">
        <w:rPr>
          <w:rFonts w:ascii="Book Antiqua" w:hAnsi="Book Antiqua"/>
          <w:color w:val="auto"/>
          <w:lang w:val="en-US"/>
        </w:rPr>
        <w:t>In sp</w:t>
      </w:r>
      <w:r w:rsidR="00ED2EC3" w:rsidRPr="00714401">
        <w:rPr>
          <w:rFonts w:ascii="Book Antiqua" w:hAnsi="Book Antiqua"/>
          <w:color w:val="auto"/>
          <w:lang w:val="en-US"/>
        </w:rPr>
        <w:t xml:space="preserve">ite of the most recent </w:t>
      </w:r>
      <w:proofErr w:type="gramStart"/>
      <w:r w:rsidR="00ED2EC3" w:rsidRPr="00714401">
        <w:rPr>
          <w:rFonts w:ascii="Book Antiqua" w:hAnsi="Book Antiqua"/>
          <w:color w:val="auto"/>
          <w:lang w:val="en-US"/>
        </w:rPr>
        <w:t>evidence</w:t>
      </w:r>
      <w:r w:rsidR="00C51D28" w:rsidRPr="00714401">
        <w:rPr>
          <w:rFonts w:ascii="Book Antiqua" w:hAnsi="Book Antiqua"/>
          <w:color w:val="auto"/>
          <w:vertAlign w:val="superscript"/>
          <w:lang w:val="en-US"/>
        </w:rPr>
        <w:t>[</w:t>
      </w:r>
      <w:proofErr w:type="gramEnd"/>
      <w:r w:rsidR="00C51D28" w:rsidRPr="00714401">
        <w:rPr>
          <w:rFonts w:ascii="Book Antiqua" w:hAnsi="Book Antiqua"/>
          <w:color w:val="auto"/>
          <w:vertAlign w:val="superscript"/>
          <w:lang w:val="en-US"/>
        </w:rPr>
        <w:t>59]</w:t>
      </w:r>
      <w:r w:rsidR="00C51D28" w:rsidRPr="00714401">
        <w:rPr>
          <w:rFonts w:ascii="Book Antiqua" w:hAnsi="Book Antiqua"/>
          <w:color w:val="auto"/>
          <w:lang w:val="en-US"/>
        </w:rPr>
        <w:t xml:space="preserve">, no consensus exists on </w:t>
      </w:r>
      <w:r w:rsidR="00BD2505" w:rsidRPr="00714401">
        <w:rPr>
          <w:rFonts w:ascii="Book Antiqua" w:hAnsi="Book Antiqua"/>
          <w:color w:val="auto"/>
          <w:lang w:val="en-US"/>
        </w:rPr>
        <w:t xml:space="preserve">the </w:t>
      </w:r>
      <w:r w:rsidR="0075502C" w:rsidRPr="00714401">
        <w:rPr>
          <w:rFonts w:ascii="Book Antiqua" w:hAnsi="Book Antiqua"/>
          <w:color w:val="auto"/>
          <w:lang w:val="en-US"/>
        </w:rPr>
        <w:t xml:space="preserve">cut off value of </w:t>
      </w:r>
      <w:r w:rsidR="00843E95" w:rsidRPr="00714401">
        <w:rPr>
          <w:rFonts w:ascii="Book Antiqua" w:hAnsi="Book Antiqua"/>
          <w:color w:val="auto"/>
          <w:lang w:val="en-US"/>
        </w:rPr>
        <w:t>PDR/</w:t>
      </w:r>
      <w:r w:rsidR="00BD2505" w:rsidRPr="00714401">
        <w:rPr>
          <w:rFonts w:ascii="Book Antiqua" w:hAnsi="Book Antiqua"/>
          <w:color w:val="auto"/>
          <w:lang w:val="en-US"/>
        </w:rPr>
        <w:t>R15</w:t>
      </w:r>
      <w:r w:rsidR="0076063F" w:rsidRPr="00714401">
        <w:rPr>
          <w:rFonts w:ascii="Book Antiqua" w:hAnsi="Book Antiqua"/>
          <w:color w:val="auto"/>
          <w:lang w:val="en-US"/>
        </w:rPr>
        <w:t xml:space="preserve"> </w:t>
      </w:r>
      <w:r w:rsidR="00BD2505" w:rsidRPr="00714401">
        <w:rPr>
          <w:rFonts w:ascii="Book Antiqua" w:hAnsi="Book Antiqua"/>
          <w:color w:val="auto"/>
          <w:lang w:val="en-US"/>
        </w:rPr>
        <w:t xml:space="preserve">below which </w:t>
      </w:r>
      <w:r w:rsidR="00A9748E" w:rsidRPr="00714401">
        <w:rPr>
          <w:rFonts w:ascii="Book Antiqua" w:hAnsi="Book Antiqua"/>
          <w:color w:val="auto"/>
          <w:lang w:val="en-US"/>
        </w:rPr>
        <w:t xml:space="preserve">a reliable </w:t>
      </w:r>
      <w:r w:rsidR="00BD2505" w:rsidRPr="00714401">
        <w:rPr>
          <w:rFonts w:ascii="Book Antiqua" w:hAnsi="Book Antiqua"/>
          <w:color w:val="auto"/>
          <w:lang w:val="en-US"/>
        </w:rPr>
        <w:t>assess</w:t>
      </w:r>
      <w:r w:rsidR="00A9748E" w:rsidRPr="00714401">
        <w:rPr>
          <w:rFonts w:ascii="Book Antiqua" w:hAnsi="Book Antiqua"/>
          <w:color w:val="auto"/>
          <w:lang w:val="en-US"/>
        </w:rPr>
        <w:t xml:space="preserve">ment of early </w:t>
      </w:r>
      <w:r w:rsidR="00BD2505" w:rsidRPr="00714401">
        <w:rPr>
          <w:rFonts w:ascii="Book Antiqua" w:hAnsi="Book Antiqua"/>
          <w:color w:val="auto"/>
          <w:lang w:val="en-US"/>
        </w:rPr>
        <w:t xml:space="preserve">graft </w:t>
      </w:r>
      <w:r w:rsidR="00A9748E" w:rsidRPr="00714401">
        <w:rPr>
          <w:rFonts w:ascii="Book Antiqua" w:hAnsi="Book Antiqua"/>
          <w:color w:val="auto"/>
          <w:lang w:val="en-US"/>
        </w:rPr>
        <w:t>dys</w:t>
      </w:r>
      <w:r w:rsidR="00BD2505" w:rsidRPr="00714401">
        <w:rPr>
          <w:rFonts w:ascii="Book Antiqua" w:hAnsi="Book Antiqua"/>
          <w:color w:val="auto"/>
          <w:lang w:val="en-US"/>
        </w:rPr>
        <w:t>function</w:t>
      </w:r>
      <w:r w:rsidR="00A9748E" w:rsidRPr="00714401">
        <w:rPr>
          <w:rFonts w:ascii="Book Antiqua" w:hAnsi="Book Antiqua"/>
          <w:color w:val="auto"/>
          <w:lang w:val="en-US"/>
        </w:rPr>
        <w:t xml:space="preserve"> is confidently available</w:t>
      </w:r>
      <w:r w:rsidR="00BD2505" w:rsidRPr="00714401">
        <w:rPr>
          <w:rFonts w:ascii="Book Antiqua" w:hAnsi="Book Antiqua"/>
          <w:color w:val="auto"/>
          <w:lang w:val="en-US"/>
        </w:rPr>
        <w:t xml:space="preserve">. </w:t>
      </w:r>
      <w:r w:rsidR="005849CF" w:rsidRPr="00714401">
        <w:rPr>
          <w:rFonts w:ascii="Book Antiqua" w:hAnsi="Book Antiqua"/>
          <w:color w:val="auto"/>
          <w:lang w:val="en-US"/>
        </w:rPr>
        <w:t>In liver transplanted patients, the negative predictive value of ICG kinetics is</w:t>
      </w:r>
      <w:r w:rsidR="0076063F" w:rsidRPr="00714401">
        <w:rPr>
          <w:rFonts w:ascii="Book Antiqua" w:hAnsi="Book Antiqua"/>
          <w:color w:val="auto"/>
          <w:lang w:val="en-US"/>
        </w:rPr>
        <w:t xml:space="preserve"> </w:t>
      </w:r>
      <w:r w:rsidR="00BD2505" w:rsidRPr="00714401">
        <w:rPr>
          <w:rFonts w:ascii="Book Antiqua" w:hAnsi="Book Antiqua"/>
          <w:color w:val="auto"/>
          <w:lang w:val="en-US"/>
        </w:rPr>
        <w:t>indeed relevant</w:t>
      </w:r>
      <w:r w:rsidR="005849CF" w:rsidRPr="00714401">
        <w:rPr>
          <w:rFonts w:ascii="Book Antiqua" w:hAnsi="Book Antiqua"/>
          <w:color w:val="auto"/>
          <w:lang w:val="en-US"/>
        </w:rPr>
        <w:t xml:space="preserve">: good graft and </w:t>
      </w:r>
      <w:proofErr w:type="gramStart"/>
      <w:r w:rsidR="005849CF" w:rsidRPr="00714401">
        <w:rPr>
          <w:rFonts w:ascii="Book Antiqua" w:hAnsi="Book Antiqua"/>
          <w:color w:val="auto"/>
          <w:lang w:val="en-US"/>
        </w:rPr>
        <w:t>patients</w:t>
      </w:r>
      <w:proofErr w:type="gramEnd"/>
      <w:r w:rsidR="005849CF" w:rsidRPr="00714401">
        <w:rPr>
          <w:rFonts w:ascii="Book Antiqua" w:hAnsi="Book Antiqua"/>
          <w:color w:val="auto"/>
          <w:lang w:val="en-US"/>
        </w:rPr>
        <w:t xml:space="preserve"> outcome are almost always associated with</w:t>
      </w:r>
      <w:r w:rsidR="0076063F" w:rsidRPr="00714401">
        <w:rPr>
          <w:rFonts w:ascii="Book Antiqua" w:hAnsi="Book Antiqua"/>
          <w:color w:val="auto"/>
          <w:lang w:val="en-US"/>
        </w:rPr>
        <w:t xml:space="preserve"> </w:t>
      </w:r>
      <w:r w:rsidR="00843E95" w:rsidRPr="00714401">
        <w:rPr>
          <w:rFonts w:ascii="Book Antiqua" w:hAnsi="Book Antiqua"/>
          <w:color w:val="auto"/>
          <w:lang w:val="en-US" w:eastAsia="zh-CN"/>
        </w:rPr>
        <w:t>“</w:t>
      </w:r>
      <w:r w:rsidR="00BD2505" w:rsidRPr="00714401">
        <w:rPr>
          <w:rFonts w:ascii="Book Antiqua" w:hAnsi="Book Antiqua"/>
          <w:color w:val="auto"/>
          <w:lang w:val="en-US"/>
        </w:rPr>
        <w:t>normal</w:t>
      </w:r>
      <w:r w:rsidR="00843E95" w:rsidRPr="00714401">
        <w:rPr>
          <w:rFonts w:ascii="Book Antiqua" w:hAnsi="Book Antiqua"/>
          <w:color w:val="auto"/>
          <w:lang w:val="en-US" w:eastAsia="zh-CN"/>
        </w:rPr>
        <w:t>”</w:t>
      </w:r>
      <w:r w:rsidR="0076063F" w:rsidRPr="00714401">
        <w:rPr>
          <w:rFonts w:ascii="Book Antiqua" w:hAnsi="Book Antiqua"/>
          <w:color w:val="auto"/>
          <w:lang w:val="en-US"/>
        </w:rPr>
        <w:t xml:space="preserve"> </w:t>
      </w:r>
      <w:r w:rsidR="005849CF" w:rsidRPr="00714401">
        <w:rPr>
          <w:rFonts w:ascii="Book Antiqua" w:hAnsi="Book Antiqua"/>
          <w:color w:val="auto"/>
          <w:lang w:val="en-US"/>
        </w:rPr>
        <w:t>IGC</w:t>
      </w:r>
      <w:r w:rsidR="008A26A7" w:rsidRPr="00714401">
        <w:rPr>
          <w:rFonts w:ascii="Book Antiqua" w:hAnsi="Book Antiqua"/>
          <w:color w:val="auto"/>
          <w:lang w:val="en-US"/>
        </w:rPr>
        <w:t xml:space="preserve"> clearance parameters</w:t>
      </w:r>
      <w:r w:rsidR="0075502C" w:rsidRPr="00714401">
        <w:rPr>
          <w:rFonts w:ascii="Book Antiqua" w:hAnsi="Book Antiqua"/>
          <w:color w:val="auto"/>
          <w:lang w:val="en-US"/>
        </w:rPr>
        <w:t xml:space="preserve">. </w:t>
      </w:r>
      <w:r w:rsidR="008A26A7" w:rsidRPr="00714401">
        <w:rPr>
          <w:rFonts w:ascii="Book Antiqua" w:hAnsi="Book Antiqua"/>
          <w:color w:val="auto"/>
          <w:lang w:val="en-US"/>
        </w:rPr>
        <w:t>Into our opinion, in this se</w:t>
      </w:r>
      <w:r w:rsidR="00C92A54" w:rsidRPr="00714401">
        <w:rPr>
          <w:rFonts w:ascii="Book Antiqua" w:hAnsi="Book Antiqua"/>
          <w:color w:val="auto"/>
          <w:lang w:val="en-US"/>
        </w:rPr>
        <w:t>t</w:t>
      </w:r>
      <w:r w:rsidR="008A26A7" w:rsidRPr="00714401">
        <w:rPr>
          <w:rFonts w:ascii="Book Antiqua" w:hAnsi="Book Antiqua"/>
          <w:color w:val="auto"/>
          <w:lang w:val="en-US"/>
        </w:rPr>
        <w:t xml:space="preserve">ting </w:t>
      </w:r>
      <w:r w:rsidR="00843E95" w:rsidRPr="00714401">
        <w:rPr>
          <w:rFonts w:ascii="Book Antiqua" w:hAnsi="Book Antiqua"/>
          <w:color w:val="auto"/>
          <w:lang w:val="en-US" w:eastAsia="zh-CN"/>
        </w:rPr>
        <w:t>“</w:t>
      </w:r>
      <w:r w:rsidR="008A26A7" w:rsidRPr="00714401">
        <w:rPr>
          <w:rFonts w:ascii="Book Antiqua" w:hAnsi="Book Antiqua"/>
          <w:color w:val="auto"/>
          <w:lang w:val="en-US"/>
        </w:rPr>
        <w:t>low</w:t>
      </w:r>
      <w:r w:rsidR="00843E95" w:rsidRPr="00714401">
        <w:rPr>
          <w:rFonts w:ascii="Book Antiqua" w:hAnsi="Book Antiqua"/>
          <w:color w:val="auto"/>
          <w:lang w:val="en-US" w:eastAsia="zh-CN"/>
        </w:rPr>
        <w:t>”</w:t>
      </w:r>
      <w:r w:rsidR="008A26A7" w:rsidRPr="00714401">
        <w:rPr>
          <w:rFonts w:ascii="Book Antiqua" w:hAnsi="Book Antiqua"/>
          <w:color w:val="auto"/>
          <w:lang w:val="en-US"/>
        </w:rPr>
        <w:t xml:space="preserve"> or pathological</w:t>
      </w:r>
      <w:r w:rsidR="008A26A7" w:rsidRPr="00714401">
        <w:rPr>
          <w:color w:val="auto"/>
          <w:lang w:val="en-US"/>
        </w:rPr>
        <w:t>​</w:t>
      </w:r>
      <w:r w:rsidR="008A26A7" w:rsidRPr="00714401">
        <w:rPr>
          <w:rFonts w:ascii="Book Antiqua" w:hAnsi="Book Antiqua"/>
          <w:color w:val="auto"/>
          <w:lang w:val="en-US"/>
        </w:rPr>
        <w:t xml:space="preserve"> values are still in a </w:t>
      </w:r>
      <w:r w:rsidR="005849CF" w:rsidRPr="00714401">
        <w:rPr>
          <w:rFonts w:ascii="Book Antiqua" w:hAnsi="Book Antiqua"/>
          <w:color w:val="auto"/>
          <w:lang w:val="en-US"/>
        </w:rPr>
        <w:t>gr</w:t>
      </w:r>
      <w:r w:rsidR="008A26A7" w:rsidRPr="00714401">
        <w:rPr>
          <w:rFonts w:ascii="Book Antiqua" w:hAnsi="Book Antiqua"/>
          <w:color w:val="auto"/>
          <w:lang w:val="en-US"/>
        </w:rPr>
        <w:t>a</w:t>
      </w:r>
      <w:r w:rsidR="005849CF" w:rsidRPr="00714401">
        <w:rPr>
          <w:rFonts w:ascii="Book Antiqua" w:hAnsi="Book Antiqua"/>
          <w:color w:val="auto"/>
          <w:lang w:val="en-US"/>
        </w:rPr>
        <w:t xml:space="preserve">y </w:t>
      </w:r>
      <w:r w:rsidR="008A26A7" w:rsidRPr="00714401">
        <w:rPr>
          <w:rFonts w:ascii="Book Antiqua" w:hAnsi="Book Antiqua"/>
          <w:color w:val="auto"/>
          <w:lang w:val="en-US"/>
        </w:rPr>
        <w:t>zone and</w:t>
      </w:r>
      <w:r w:rsidR="0076063F" w:rsidRPr="00714401">
        <w:rPr>
          <w:rFonts w:ascii="Book Antiqua" w:hAnsi="Book Antiqua"/>
          <w:color w:val="auto"/>
          <w:lang w:val="en-US"/>
        </w:rPr>
        <w:t xml:space="preserve"> </w:t>
      </w:r>
      <w:r w:rsidR="00BD2505" w:rsidRPr="00714401">
        <w:rPr>
          <w:rFonts w:ascii="Book Antiqua" w:hAnsi="Book Antiqua"/>
          <w:color w:val="auto"/>
          <w:lang w:val="en-US"/>
        </w:rPr>
        <w:t xml:space="preserve">caution </w:t>
      </w:r>
      <w:r w:rsidR="008A26A7" w:rsidRPr="00714401">
        <w:rPr>
          <w:rFonts w:ascii="Book Antiqua" w:hAnsi="Book Antiqua"/>
          <w:color w:val="auto"/>
          <w:lang w:val="en-US"/>
        </w:rPr>
        <w:t xml:space="preserve">in interpreting results </w:t>
      </w:r>
      <w:r w:rsidR="00BD2505" w:rsidRPr="00714401">
        <w:rPr>
          <w:rFonts w:ascii="Book Antiqua" w:hAnsi="Book Antiqua"/>
          <w:color w:val="auto"/>
          <w:lang w:val="en-US"/>
        </w:rPr>
        <w:t>is needed</w:t>
      </w:r>
      <w:r w:rsidR="00465957" w:rsidRPr="00714401">
        <w:rPr>
          <w:rFonts w:ascii="Book Antiqua" w:hAnsi="Book Antiqua"/>
          <w:color w:val="auto"/>
          <w:lang w:val="en-US"/>
        </w:rPr>
        <w:t>.</w:t>
      </w:r>
      <w:r w:rsidR="009449AC" w:rsidRPr="00714401">
        <w:rPr>
          <w:rFonts w:ascii="Book Antiqua" w:hAnsi="Book Antiqua"/>
          <w:color w:val="auto"/>
          <w:lang w:val="en-US"/>
        </w:rPr>
        <w:t xml:space="preserve"> </w:t>
      </w:r>
      <w:r w:rsidR="00FC34D5" w:rsidRPr="00714401">
        <w:rPr>
          <w:rFonts w:ascii="Book Antiqua" w:hAnsi="Book Antiqua"/>
          <w:color w:val="auto"/>
          <w:lang w:val="en-US"/>
        </w:rPr>
        <w:t>As appropriatel</w:t>
      </w:r>
      <w:r w:rsidR="00843E95" w:rsidRPr="00714401">
        <w:rPr>
          <w:rFonts w:ascii="Book Antiqua" w:hAnsi="Book Antiqua"/>
          <w:color w:val="auto"/>
          <w:lang w:val="en-US"/>
        </w:rPr>
        <w:t xml:space="preserve">y pointed out by Levesque </w:t>
      </w:r>
      <w:r w:rsidR="00843E95" w:rsidRPr="00714401">
        <w:rPr>
          <w:rFonts w:ascii="Book Antiqua" w:hAnsi="Book Antiqua"/>
          <w:i/>
          <w:color w:val="auto"/>
          <w:lang w:val="en-US"/>
        </w:rPr>
        <w:t>et al</w:t>
      </w:r>
      <w:r w:rsidR="00FC34D5" w:rsidRPr="00714401">
        <w:rPr>
          <w:rFonts w:ascii="Book Antiqua" w:hAnsi="Book Antiqua"/>
          <w:color w:val="auto"/>
          <w:vertAlign w:val="superscript"/>
          <w:lang w:val="en-US"/>
        </w:rPr>
        <w:t>[61]</w:t>
      </w:r>
      <w:r w:rsidR="00FC34D5" w:rsidRPr="00714401">
        <w:rPr>
          <w:rFonts w:ascii="Book Antiqua" w:hAnsi="Book Antiqua"/>
          <w:color w:val="auto"/>
          <w:lang w:val="en-US"/>
        </w:rPr>
        <w:t xml:space="preserve"> when defining severity of complex and evolving diseases, a multistep dynamic approach (instead of</w:t>
      </w:r>
      <w:r w:rsidR="0076063F" w:rsidRPr="00714401">
        <w:rPr>
          <w:rFonts w:ascii="Book Antiqua" w:hAnsi="Book Antiqua"/>
          <w:color w:val="auto"/>
          <w:lang w:val="en-US"/>
        </w:rPr>
        <w:t xml:space="preserve"> </w:t>
      </w:r>
      <w:r w:rsidR="00FC34D5" w:rsidRPr="00714401">
        <w:rPr>
          <w:rFonts w:ascii="Book Antiqua" w:hAnsi="Book Antiqua"/>
          <w:color w:val="auto"/>
          <w:lang w:val="en-US"/>
        </w:rPr>
        <w:t>single time point static result) should become the rule. Ending up</w:t>
      </w:r>
      <w:r w:rsidR="0076063F" w:rsidRPr="00714401">
        <w:rPr>
          <w:rFonts w:ascii="Book Antiqua" w:hAnsi="Book Antiqua"/>
          <w:color w:val="auto"/>
          <w:lang w:val="en-US"/>
        </w:rPr>
        <w:t xml:space="preserve"> </w:t>
      </w:r>
      <w:r w:rsidR="000708A6" w:rsidRPr="00714401">
        <w:rPr>
          <w:rFonts w:ascii="Book Antiqua" w:hAnsi="Book Antiqua"/>
          <w:color w:val="auto"/>
          <w:lang w:val="en-US"/>
        </w:rPr>
        <w:t>their review</w:t>
      </w:r>
      <w:r w:rsidR="00465957" w:rsidRPr="00714401">
        <w:rPr>
          <w:rFonts w:ascii="Book Antiqua" w:hAnsi="Book Antiqua"/>
          <w:color w:val="auto"/>
          <w:lang w:val="en-US"/>
        </w:rPr>
        <w:t xml:space="preserve">, </w:t>
      </w:r>
      <w:proofErr w:type="spellStart"/>
      <w:r w:rsidR="000708A6" w:rsidRPr="00714401">
        <w:rPr>
          <w:rFonts w:ascii="Book Antiqua" w:hAnsi="Book Antiqua"/>
          <w:color w:val="auto"/>
          <w:lang w:val="en-US"/>
        </w:rPr>
        <w:t>Vos</w:t>
      </w:r>
      <w:proofErr w:type="spellEnd"/>
      <w:r w:rsidR="000708A6" w:rsidRPr="00714401">
        <w:rPr>
          <w:rFonts w:ascii="Book Antiqua" w:hAnsi="Book Antiqua"/>
          <w:color w:val="auto"/>
          <w:lang w:val="en-US"/>
        </w:rPr>
        <w:t xml:space="preserve"> </w:t>
      </w:r>
      <w:r w:rsidR="000708A6" w:rsidRPr="00714401">
        <w:rPr>
          <w:rFonts w:ascii="Book Antiqua" w:hAnsi="Book Antiqua"/>
          <w:i/>
          <w:color w:val="auto"/>
          <w:lang w:val="en-US"/>
        </w:rPr>
        <w:t xml:space="preserve">et </w:t>
      </w:r>
      <w:proofErr w:type="gramStart"/>
      <w:r w:rsidR="000708A6" w:rsidRPr="00714401">
        <w:rPr>
          <w:rFonts w:ascii="Book Antiqua" w:hAnsi="Book Antiqua"/>
          <w:i/>
          <w:color w:val="auto"/>
          <w:lang w:val="en-US"/>
        </w:rPr>
        <w:t>a</w:t>
      </w:r>
      <w:r w:rsidR="00843E95" w:rsidRPr="00714401">
        <w:rPr>
          <w:rFonts w:ascii="Book Antiqua" w:hAnsi="Book Antiqua"/>
          <w:i/>
          <w:color w:val="auto"/>
          <w:lang w:val="en-US"/>
        </w:rPr>
        <w:t>l</w:t>
      </w:r>
      <w:r w:rsidR="008A26A7" w:rsidRPr="00714401">
        <w:rPr>
          <w:rFonts w:ascii="Book Antiqua" w:hAnsi="Book Antiqua"/>
          <w:color w:val="auto"/>
          <w:vertAlign w:val="superscript"/>
          <w:lang w:val="en-US"/>
        </w:rPr>
        <w:t>[</w:t>
      </w:r>
      <w:proofErr w:type="gramEnd"/>
      <w:r w:rsidR="008A26A7" w:rsidRPr="00714401">
        <w:rPr>
          <w:rFonts w:ascii="Book Antiqua" w:hAnsi="Book Antiqua"/>
          <w:color w:val="auto"/>
          <w:vertAlign w:val="superscript"/>
          <w:lang w:val="en-US"/>
        </w:rPr>
        <w:t xml:space="preserve">6] </w:t>
      </w:r>
      <w:r w:rsidR="000708A6" w:rsidRPr="00714401">
        <w:rPr>
          <w:rFonts w:ascii="Book Antiqua" w:hAnsi="Book Antiqua"/>
          <w:color w:val="auto"/>
          <w:lang w:val="en-US"/>
        </w:rPr>
        <w:t>proposed a wise and prudent comment on</w:t>
      </w:r>
      <w:r w:rsidR="002D4555" w:rsidRPr="00714401">
        <w:rPr>
          <w:rFonts w:ascii="Book Antiqua" w:hAnsi="Book Antiqua"/>
          <w:color w:val="auto"/>
          <w:lang w:val="en-US"/>
        </w:rPr>
        <w:t xml:space="preserve"> </w:t>
      </w:r>
      <w:r w:rsidR="000708A6" w:rsidRPr="00714401">
        <w:rPr>
          <w:rFonts w:ascii="Book Antiqua" w:hAnsi="Book Antiqua"/>
          <w:color w:val="auto"/>
          <w:lang w:val="en-US"/>
        </w:rPr>
        <w:t xml:space="preserve">the routine use </w:t>
      </w:r>
      <w:r w:rsidR="002D4555" w:rsidRPr="00714401">
        <w:rPr>
          <w:rFonts w:ascii="Book Antiqua" w:hAnsi="Book Antiqua"/>
          <w:color w:val="auto"/>
          <w:lang w:val="en-US"/>
        </w:rPr>
        <w:t xml:space="preserve">of IGC kinetics </w:t>
      </w:r>
      <w:r w:rsidR="000708A6" w:rsidRPr="00714401">
        <w:rPr>
          <w:rFonts w:ascii="Book Antiqua" w:hAnsi="Book Antiqua"/>
          <w:color w:val="auto"/>
          <w:lang w:val="en-US"/>
        </w:rPr>
        <w:t xml:space="preserve">in clinical practice, </w:t>
      </w:r>
      <w:r w:rsidR="002D4555" w:rsidRPr="00714401">
        <w:rPr>
          <w:rFonts w:ascii="Book Antiqua" w:hAnsi="Book Antiqua"/>
          <w:color w:val="auto"/>
          <w:lang w:val="en-US"/>
        </w:rPr>
        <w:t xml:space="preserve">pushing for </w:t>
      </w:r>
      <w:r w:rsidR="000708A6" w:rsidRPr="00714401">
        <w:rPr>
          <w:rFonts w:ascii="Book Antiqua" w:hAnsi="Book Antiqua"/>
          <w:color w:val="auto"/>
          <w:lang w:val="en-US"/>
        </w:rPr>
        <w:t xml:space="preserve">further </w:t>
      </w:r>
      <w:r w:rsidR="00465957" w:rsidRPr="00714401">
        <w:rPr>
          <w:rFonts w:ascii="Book Antiqua" w:hAnsi="Book Antiqua"/>
          <w:color w:val="auto"/>
          <w:lang w:val="en-US"/>
        </w:rPr>
        <w:t xml:space="preserve">large, prospective, </w:t>
      </w:r>
      <w:r w:rsidR="002D4555" w:rsidRPr="00714401">
        <w:rPr>
          <w:rFonts w:ascii="Book Antiqua" w:hAnsi="Book Antiqua"/>
          <w:color w:val="auto"/>
          <w:lang w:val="en-US"/>
        </w:rPr>
        <w:t xml:space="preserve">randomized </w:t>
      </w:r>
      <w:r w:rsidR="000708A6" w:rsidRPr="00714401">
        <w:rPr>
          <w:rFonts w:ascii="Book Antiqua" w:hAnsi="Book Antiqua"/>
          <w:color w:val="auto"/>
          <w:lang w:val="en-US"/>
        </w:rPr>
        <w:t>trials</w:t>
      </w:r>
      <w:r w:rsidR="004A1D19" w:rsidRPr="00714401">
        <w:rPr>
          <w:rFonts w:ascii="Book Antiqua" w:hAnsi="Book Antiqua"/>
          <w:color w:val="auto"/>
          <w:lang w:val="en-US"/>
        </w:rPr>
        <w:t xml:space="preserve">: </w:t>
      </w:r>
      <w:r w:rsidR="00843E95" w:rsidRPr="00714401">
        <w:rPr>
          <w:rFonts w:ascii="Book Antiqua" w:hAnsi="Book Antiqua"/>
          <w:color w:val="auto"/>
          <w:lang w:val="en-US"/>
        </w:rPr>
        <w:t>A</w:t>
      </w:r>
      <w:r w:rsidR="00A9748E" w:rsidRPr="00714401">
        <w:rPr>
          <w:rFonts w:ascii="Book Antiqua" w:hAnsi="Book Antiqua"/>
          <w:color w:val="auto"/>
          <w:lang w:val="en-US"/>
        </w:rPr>
        <w:t xml:space="preserve"> </w:t>
      </w:r>
      <w:r w:rsidR="000708A6" w:rsidRPr="00714401">
        <w:rPr>
          <w:rFonts w:ascii="Book Antiqua" w:hAnsi="Book Antiqua"/>
          <w:color w:val="auto"/>
          <w:lang w:val="en-US"/>
        </w:rPr>
        <w:t>challenge</w:t>
      </w:r>
      <w:r w:rsidR="0076063F" w:rsidRPr="00714401">
        <w:rPr>
          <w:rFonts w:ascii="Book Antiqua" w:hAnsi="Book Antiqua"/>
          <w:color w:val="auto"/>
          <w:lang w:val="en-US"/>
        </w:rPr>
        <w:t xml:space="preserve"> </w:t>
      </w:r>
      <w:r w:rsidR="00465957" w:rsidRPr="00714401">
        <w:rPr>
          <w:rFonts w:ascii="Book Antiqua" w:hAnsi="Book Antiqua"/>
          <w:color w:val="auto"/>
          <w:lang w:val="en-US"/>
        </w:rPr>
        <w:t>worth to be</w:t>
      </w:r>
      <w:r w:rsidR="0076063F" w:rsidRPr="00714401">
        <w:rPr>
          <w:rFonts w:ascii="Book Antiqua" w:hAnsi="Book Antiqua"/>
          <w:color w:val="auto"/>
          <w:lang w:val="en-US"/>
        </w:rPr>
        <w:t xml:space="preserve"> </w:t>
      </w:r>
      <w:r w:rsidR="00A1199B" w:rsidRPr="00714401">
        <w:rPr>
          <w:rFonts w:ascii="Book Antiqua" w:hAnsi="Book Antiqua"/>
          <w:color w:val="auto"/>
          <w:lang w:val="en-US"/>
        </w:rPr>
        <w:t>conside</w:t>
      </w:r>
      <w:r w:rsidR="00787BAC" w:rsidRPr="00714401">
        <w:rPr>
          <w:rFonts w:ascii="Book Antiqua" w:hAnsi="Book Antiqua"/>
          <w:color w:val="auto"/>
          <w:lang w:val="en-US"/>
        </w:rPr>
        <w:t xml:space="preserve">red, particularly in the field of </w:t>
      </w:r>
      <w:r w:rsidR="008A26A7" w:rsidRPr="00714401">
        <w:rPr>
          <w:rFonts w:ascii="Book Antiqua" w:hAnsi="Book Antiqua"/>
          <w:color w:val="auto"/>
          <w:lang w:val="en-US"/>
        </w:rPr>
        <w:t>liver transplantation</w:t>
      </w:r>
      <w:r w:rsidR="00465957" w:rsidRPr="00714401">
        <w:rPr>
          <w:rFonts w:ascii="Book Antiqua" w:hAnsi="Book Antiqua"/>
          <w:color w:val="auto"/>
          <w:lang w:val="en-US"/>
        </w:rPr>
        <w:t>,</w:t>
      </w:r>
      <w:r w:rsidR="0076063F" w:rsidRPr="00714401">
        <w:rPr>
          <w:rFonts w:ascii="Book Antiqua" w:hAnsi="Book Antiqua"/>
          <w:color w:val="auto"/>
          <w:lang w:val="en-US"/>
        </w:rPr>
        <w:t xml:space="preserve"> </w:t>
      </w:r>
      <w:r w:rsidR="00465957" w:rsidRPr="00714401">
        <w:rPr>
          <w:rFonts w:ascii="Book Antiqua" w:hAnsi="Book Antiqua"/>
          <w:color w:val="auto"/>
          <w:lang w:val="en-US"/>
        </w:rPr>
        <w:t xml:space="preserve">if gray has to </w:t>
      </w:r>
      <w:r w:rsidR="00787BAC" w:rsidRPr="00714401">
        <w:rPr>
          <w:rFonts w:ascii="Book Antiqua" w:hAnsi="Book Antiqua"/>
          <w:color w:val="auto"/>
          <w:lang w:val="en-US"/>
        </w:rPr>
        <w:t>turn</w:t>
      </w:r>
      <w:r w:rsidR="00465957" w:rsidRPr="00714401">
        <w:rPr>
          <w:rFonts w:ascii="Book Antiqua" w:hAnsi="Book Antiqua"/>
          <w:color w:val="auto"/>
          <w:lang w:val="en-US"/>
        </w:rPr>
        <w:t xml:space="preserve"> to green</w:t>
      </w:r>
      <w:r w:rsidR="00787BAC" w:rsidRPr="00714401">
        <w:rPr>
          <w:rFonts w:ascii="Book Antiqua" w:hAnsi="Book Antiqua"/>
          <w:color w:val="auto"/>
          <w:lang w:val="en-US"/>
        </w:rPr>
        <w:t>.</w:t>
      </w:r>
    </w:p>
    <w:p w:rsidR="005B27FE" w:rsidRPr="00714401" w:rsidRDefault="005B27FE" w:rsidP="004F4F1E">
      <w:pPr>
        <w:pStyle w:val="Default"/>
        <w:snapToGrid w:val="0"/>
        <w:spacing w:line="360" w:lineRule="auto"/>
        <w:jc w:val="both"/>
        <w:rPr>
          <w:rFonts w:ascii="Book Antiqua" w:hAnsi="Book Antiqua"/>
          <w:color w:val="auto"/>
          <w:lang w:val="en-US" w:eastAsia="zh-CN"/>
        </w:rPr>
      </w:pPr>
    </w:p>
    <w:p w:rsidR="00E84E88" w:rsidRPr="00714401" w:rsidRDefault="00E84E88">
      <w:pPr>
        <w:rPr>
          <w:rFonts w:ascii="Book Antiqua" w:eastAsia="Arial Unicode MS" w:hAnsi="Book Antiqua" w:cs="Arial Unicode MS"/>
          <w:b/>
          <w:sz w:val="24"/>
          <w:szCs w:val="24"/>
          <w:lang w:val="en-US" w:eastAsia="zh-CN"/>
        </w:rPr>
      </w:pPr>
      <w:r w:rsidRPr="00714401">
        <w:rPr>
          <w:rFonts w:ascii="Book Antiqua" w:eastAsia="Arial Unicode MS" w:hAnsi="Book Antiqua" w:cs="Arial Unicode MS"/>
          <w:b/>
          <w:sz w:val="24"/>
          <w:szCs w:val="24"/>
          <w:lang w:val="en-US" w:eastAsia="zh-CN"/>
        </w:rPr>
        <w:br w:type="page"/>
      </w:r>
    </w:p>
    <w:p w:rsidR="007709A7" w:rsidRPr="00714401" w:rsidRDefault="007709A7" w:rsidP="00C1277A">
      <w:pPr>
        <w:snapToGrid w:val="0"/>
        <w:spacing w:after="0" w:line="360" w:lineRule="auto"/>
        <w:jc w:val="both"/>
        <w:rPr>
          <w:rFonts w:ascii="Book Antiqua" w:eastAsia="Arial Unicode MS" w:hAnsi="Book Antiqua" w:cs="Arial Unicode MS"/>
          <w:sz w:val="24"/>
          <w:szCs w:val="24"/>
          <w:lang w:val="en-US"/>
        </w:rPr>
      </w:pPr>
      <w:r w:rsidRPr="00714401">
        <w:rPr>
          <w:rFonts w:ascii="Book Antiqua" w:eastAsia="Arial Unicode MS" w:hAnsi="Book Antiqua" w:cs="Arial Unicode MS"/>
          <w:b/>
          <w:sz w:val="24"/>
          <w:szCs w:val="24"/>
          <w:lang w:val="en-US" w:eastAsia="zh-CN"/>
        </w:rPr>
        <w:lastRenderedPageBreak/>
        <w:t>REFERENCES</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proofErr w:type="gramStart"/>
      <w:r w:rsidRPr="00714401">
        <w:rPr>
          <w:rFonts w:ascii="Book Antiqua" w:eastAsia="宋体" w:hAnsi="Book Antiqua" w:cs="宋体"/>
          <w:sz w:val="24"/>
          <w:szCs w:val="24"/>
          <w:lang w:val="en-US" w:eastAsia="zh-CN"/>
        </w:rPr>
        <w:t xml:space="preserve">1 </w:t>
      </w:r>
      <w:r w:rsidRPr="00714401">
        <w:rPr>
          <w:rFonts w:ascii="Book Antiqua" w:eastAsia="宋体" w:hAnsi="Book Antiqua" w:cs="宋体"/>
          <w:b/>
          <w:bCs/>
          <w:sz w:val="24"/>
          <w:szCs w:val="24"/>
          <w:lang w:val="en-US" w:eastAsia="zh-CN"/>
        </w:rPr>
        <w:t>Wagener G</w:t>
      </w:r>
      <w:r w:rsidRPr="00714401">
        <w:rPr>
          <w:rFonts w:ascii="Book Antiqua" w:eastAsia="宋体" w:hAnsi="Book Antiqua" w:cs="宋体"/>
          <w:sz w:val="24"/>
          <w:szCs w:val="24"/>
          <w:lang w:val="en-US" w:eastAsia="zh-CN"/>
        </w:rPr>
        <w:t>. Assessment of hepatic function, operative candidacy, and medical management after liver resection in the patient with underlying liver disease.</w:t>
      </w:r>
      <w:proofErr w:type="gramEnd"/>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i/>
          <w:iCs/>
          <w:sz w:val="24"/>
          <w:szCs w:val="24"/>
          <w:lang w:val="en-US" w:eastAsia="zh-CN"/>
        </w:rPr>
        <w:t>Semin</w:t>
      </w:r>
      <w:proofErr w:type="spellEnd"/>
      <w:r w:rsidRPr="00714401">
        <w:rPr>
          <w:rFonts w:ascii="Book Antiqua" w:eastAsia="宋体" w:hAnsi="Book Antiqua" w:cs="宋体"/>
          <w:i/>
          <w:iCs/>
          <w:sz w:val="24"/>
          <w:szCs w:val="24"/>
          <w:lang w:val="en-US" w:eastAsia="zh-CN"/>
        </w:rPr>
        <w:t xml:space="preserve"> Liver Dis</w:t>
      </w:r>
      <w:r w:rsidRPr="00714401">
        <w:rPr>
          <w:rFonts w:ascii="Book Antiqua" w:eastAsia="宋体" w:hAnsi="Book Antiqua" w:cs="宋体"/>
          <w:sz w:val="24"/>
          <w:szCs w:val="24"/>
          <w:lang w:val="en-US" w:eastAsia="zh-CN"/>
        </w:rPr>
        <w:t xml:space="preserve"> 2013; </w:t>
      </w:r>
      <w:r w:rsidRPr="00714401">
        <w:rPr>
          <w:rFonts w:ascii="Book Antiqua" w:eastAsia="宋体" w:hAnsi="Book Antiqua" w:cs="宋体"/>
          <w:b/>
          <w:bCs/>
          <w:sz w:val="24"/>
          <w:szCs w:val="24"/>
          <w:lang w:val="en-US" w:eastAsia="zh-CN"/>
        </w:rPr>
        <w:t>33</w:t>
      </w:r>
      <w:r w:rsidRPr="00714401">
        <w:rPr>
          <w:rFonts w:ascii="Book Antiqua" w:eastAsia="宋体" w:hAnsi="Book Antiqua" w:cs="宋体"/>
          <w:sz w:val="24"/>
          <w:szCs w:val="24"/>
          <w:lang w:val="en-US" w:eastAsia="zh-CN"/>
        </w:rPr>
        <w:t>: 204-212 [PMID: 23943101 DOI: 10.1055/s-0033-1351777]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 </w:t>
      </w:r>
      <w:r w:rsidRPr="00714401">
        <w:rPr>
          <w:rFonts w:ascii="Book Antiqua" w:eastAsia="宋体" w:hAnsi="Book Antiqua" w:cs="宋体"/>
          <w:b/>
          <w:bCs/>
          <w:sz w:val="24"/>
          <w:szCs w:val="24"/>
          <w:lang w:val="en-US" w:eastAsia="zh-CN"/>
        </w:rPr>
        <w:t>Hoekstra LT</w:t>
      </w:r>
      <w:r w:rsidRPr="00714401">
        <w:rPr>
          <w:rFonts w:ascii="Book Antiqua" w:eastAsia="宋体" w:hAnsi="Book Antiqua" w:cs="宋体"/>
          <w:sz w:val="24"/>
          <w:szCs w:val="24"/>
          <w:lang w:val="en-US" w:eastAsia="zh-CN"/>
        </w:rPr>
        <w:t xml:space="preserve">, de </w:t>
      </w:r>
      <w:proofErr w:type="spellStart"/>
      <w:r w:rsidRPr="00714401">
        <w:rPr>
          <w:rFonts w:ascii="Book Antiqua" w:eastAsia="宋体" w:hAnsi="Book Antiqua" w:cs="宋体"/>
          <w:sz w:val="24"/>
          <w:szCs w:val="24"/>
          <w:lang w:val="en-US" w:eastAsia="zh-CN"/>
        </w:rPr>
        <w:t>Graaf</w:t>
      </w:r>
      <w:proofErr w:type="spellEnd"/>
      <w:r w:rsidRPr="00714401">
        <w:rPr>
          <w:rFonts w:ascii="Book Antiqua" w:eastAsia="宋体" w:hAnsi="Book Antiqua" w:cs="宋体"/>
          <w:sz w:val="24"/>
          <w:szCs w:val="24"/>
          <w:lang w:val="en-US" w:eastAsia="zh-CN"/>
        </w:rPr>
        <w:t xml:space="preserve"> W, </w:t>
      </w:r>
      <w:proofErr w:type="spellStart"/>
      <w:r w:rsidRPr="00714401">
        <w:rPr>
          <w:rFonts w:ascii="Book Antiqua" w:eastAsia="宋体" w:hAnsi="Book Antiqua" w:cs="宋体"/>
          <w:sz w:val="24"/>
          <w:szCs w:val="24"/>
          <w:lang w:val="en-US" w:eastAsia="zh-CN"/>
        </w:rPr>
        <w:t>Nibourg</w:t>
      </w:r>
      <w:proofErr w:type="spellEnd"/>
      <w:r w:rsidRPr="00714401">
        <w:rPr>
          <w:rFonts w:ascii="Book Antiqua" w:eastAsia="宋体" w:hAnsi="Book Antiqua" w:cs="宋体"/>
          <w:sz w:val="24"/>
          <w:szCs w:val="24"/>
          <w:lang w:val="en-US" w:eastAsia="zh-CN"/>
        </w:rPr>
        <w:t xml:space="preserve"> GA, </w:t>
      </w:r>
      <w:proofErr w:type="spellStart"/>
      <w:r w:rsidRPr="00714401">
        <w:rPr>
          <w:rFonts w:ascii="Book Antiqua" w:eastAsia="宋体" w:hAnsi="Book Antiqua" w:cs="宋体"/>
          <w:sz w:val="24"/>
          <w:szCs w:val="24"/>
          <w:lang w:val="en-US" w:eastAsia="zh-CN"/>
        </w:rPr>
        <w:t>Heger</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Bennink</w:t>
      </w:r>
      <w:proofErr w:type="spellEnd"/>
      <w:r w:rsidRPr="00714401">
        <w:rPr>
          <w:rFonts w:ascii="Book Antiqua" w:eastAsia="宋体" w:hAnsi="Book Antiqua" w:cs="宋体"/>
          <w:sz w:val="24"/>
          <w:szCs w:val="24"/>
          <w:lang w:val="en-US" w:eastAsia="zh-CN"/>
        </w:rPr>
        <w:t xml:space="preserve"> RJ, </w:t>
      </w:r>
      <w:proofErr w:type="spellStart"/>
      <w:r w:rsidRPr="00714401">
        <w:rPr>
          <w:rFonts w:ascii="Book Antiqua" w:eastAsia="宋体" w:hAnsi="Book Antiqua" w:cs="宋体"/>
          <w:sz w:val="24"/>
          <w:szCs w:val="24"/>
          <w:lang w:val="en-US" w:eastAsia="zh-CN"/>
        </w:rPr>
        <w:t>Stieger</w:t>
      </w:r>
      <w:proofErr w:type="spellEnd"/>
      <w:r w:rsidRPr="00714401">
        <w:rPr>
          <w:rFonts w:ascii="Book Antiqua" w:eastAsia="宋体" w:hAnsi="Book Antiqua" w:cs="宋体"/>
          <w:sz w:val="24"/>
          <w:szCs w:val="24"/>
          <w:lang w:val="en-US" w:eastAsia="zh-CN"/>
        </w:rPr>
        <w:t xml:space="preserve"> B, van </w:t>
      </w:r>
      <w:proofErr w:type="spellStart"/>
      <w:r w:rsidRPr="00714401">
        <w:rPr>
          <w:rFonts w:ascii="Book Antiqua" w:eastAsia="宋体" w:hAnsi="Book Antiqua" w:cs="宋体"/>
          <w:sz w:val="24"/>
          <w:szCs w:val="24"/>
          <w:lang w:val="en-US" w:eastAsia="zh-CN"/>
        </w:rPr>
        <w:t>Gulik</w:t>
      </w:r>
      <w:proofErr w:type="spellEnd"/>
      <w:r w:rsidRPr="00714401">
        <w:rPr>
          <w:rFonts w:ascii="Book Antiqua" w:eastAsia="宋体" w:hAnsi="Book Antiqua" w:cs="宋体"/>
          <w:sz w:val="24"/>
          <w:szCs w:val="24"/>
          <w:lang w:val="en-US" w:eastAsia="zh-CN"/>
        </w:rPr>
        <w:t xml:space="preserve"> TM. Physiological and biochemical basis of clinical liver function tests: a review. </w:t>
      </w:r>
      <w:r w:rsidRPr="00714401">
        <w:rPr>
          <w:rFonts w:ascii="Book Antiqua" w:eastAsia="宋体" w:hAnsi="Book Antiqua" w:cs="宋体"/>
          <w:i/>
          <w:iCs/>
          <w:sz w:val="24"/>
          <w:szCs w:val="24"/>
          <w:lang w:val="en-US" w:eastAsia="zh-CN"/>
        </w:rPr>
        <w:t xml:space="preserve">Ann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2013; </w:t>
      </w:r>
      <w:r w:rsidRPr="00714401">
        <w:rPr>
          <w:rFonts w:ascii="Book Antiqua" w:eastAsia="宋体" w:hAnsi="Book Antiqua" w:cs="宋体"/>
          <w:b/>
          <w:bCs/>
          <w:sz w:val="24"/>
          <w:szCs w:val="24"/>
          <w:lang w:val="en-US" w:eastAsia="zh-CN"/>
        </w:rPr>
        <w:t>257</w:t>
      </w:r>
      <w:r w:rsidRPr="00714401">
        <w:rPr>
          <w:rFonts w:ascii="Book Antiqua" w:eastAsia="宋体" w:hAnsi="Book Antiqua" w:cs="宋体"/>
          <w:sz w:val="24"/>
          <w:szCs w:val="24"/>
          <w:lang w:val="en-US" w:eastAsia="zh-CN"/>
        </w:rPr>
        <w:t>: 27-36 [PMID: 22836216 DOI: 10.1097/SLA.0b013e31825d5d47]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proofErr w:type="gramStart"/>
      <w:r w:rsidRPr="00714401">
        <w:rPr>
          <w:rFonts w:ascii="Book Antiqua" w:eastAsia="宋体" w:hAnsi="Book Antiqua" w:cs="宋体"/>
          <w:sz w:val="24"/>
          <w:szCs w:val="24"/>
          <w:lang w:val="en-US" w:eastAsia="zh-CN"/>
        </w:rPr>
        <w:t xml:space="preserve">3 </w:t>
      </w:r>
      <w:proofErr w:type="spellStart"/>
      <w:r w:rsidRPr="00714401">
        <w:rPr>
          <w:rFonts w:ascii="Book Antiqua" w:eastAsia="宋体" w:hAnsi="Book Antiqua" w:cs="宋体"/>
          <w:b/>
          <w:bCs/>
          <w:sz w:val="24"/>
          <w:szCs w:val="24"/>
          <w:lang w:val="en-US" w:eastAsia="zh-CN"/>
        </w:rPr>
        <w:t>Sakka</w:t>
      </w:r>
      <w:proofErr w:type="spellEnd"/>
      <w:r w:rsidRPr="00714401">
        <w:rPr>
          <w:rFonts w:ascii="Book Antiqua" w:eastAsia="宋体" w:hAnsi="Book Antiqua" w:cs="宋体"/>
          <w:b/>
          <w:bCs/>
          <w:sz w:val="24"/>
          <w:szCs w:val="24"/>
          <w:lang w:val="en-US" w:eastAsia="zh-CN"/>
        </w:rPr>
        <w:t xml:space="preserve"> SG</w:t>
      </w:r>
      <w:r w:rsidRPr="00714401">
        <w:rPr>
          <w:rFonts w:ascii="Book Antiqua" w:eastAsia="宋体" w:hAnsi="Book Antiqua" w:cs="宋体"/>
          <w:sz w:val="24"/>
          <w:szCs w:val="24"/>
          <w:lang w:val="en-US" w:eastAsia="zh-CN"/>
        </w:rPr>
        <w:t>.</w:t>
      </w:r>
      <w:proofErr w:type="gramEnd"/>
      <w:r w:rsidRPr="00714401">
        <w:rPr>
          <w:rFonts w:ascii="Book Antiqua" w:eastAsia="宋体" w:hAnsi="Book Antiqua" w:cs="宋体"/>
          <w:sz w:val="24"/>
          <w:szCs w:val="24"/>
          <w:lang w:val="en-US" w:eastAsia="zh-CN"/>
        </w:rPr>
        <w:t xml:space="preserve"> Assessing liver function. </w:t>
      </w:r>
      <w:proofErr w:type="spellStart"/>
      <w:r w:rsidRPr="00714401">
        <w:rPr>
          <w:rFonts w:ascii="Book Antiqua" w:eastAsia="宋体" w:hAnsi="Book Antiqua" w:cs="宋体"/>
          <w:i/>
          <w:iCs/>
          <w:sz w:val="24"/>
          <w:szCs w:val="24"/>
          <w:lang w:val="en-US" w:eastAsia="zh-CN"/>
        </w:rPr>
        <w:t>Curr</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Opin</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Crit</w:t>
      </w:r>
      <w:proofErr w:type="spellEnd"/>
      <w:r w:rsidRPr="00714401">
        <w:rPr>
          <w:rFonts w:ascii="Book Antiqua" w:eastAsia="宋体" w:hAnsi="Book Antiqua" w:cs="宋体"/>
          <w:i/>
          <w:iCs/>
          <w:sz w:val="24"/>
          <w:szCs w:val="24"/>
          <w:lang w:val="en-US" w:eastAsia="zh-CN"/>
        </w:rPr>
        <w:t xml:space="preserve"> Care</w:t>
      </w:r>
      <w:r w:rsidRPr="00714401">
        <w:rPr>
          <w:rFonts w:ascii="Book Antiqua" w:eastAsia="宋体" w:hAnsi="Book Antiqua" w:cs="宋体"/>
          <w:sz w:val="24"/>
          <w:szCs w:val="24"/>
          <w:lang w:val="en-US" w:eastAsia="zh-CN"/>
        </w:rPr>
        <w:t xml:space="preserve"> 2007; </w:t>
      </w:r>
      <w:r w:rsidRPr="00714401">
        <w:rPr>
          <w:rFonts w:ascii="Book Antiqua" w:eastAsia="宋体" w:hAnsi="Book Antiqua" w:cs="宋体"/>
          <w:b/>
          <w:bCs/>
          <w:sz w:val="24"/>
          <w:szCs w:val="24"/>
          <w:lang w:val="en-US" w:eastAsia="zh-CN"/>
        </w:rPr>
        <w:t>13</w:t>
      </w:r>
      <w:r w:rsidRPr="00714401">
        <w:rPr>
          <w:rFonts w:ascii="Book Antiqua" w:eastAsia="宋体" w:hAnsi="Book Antiqua" w:cs="宋体"/>
          <w:sz w:val="24"/>
          <w:szCs w:val="24"/>
          <w:lang w:val="en-US" w:eastAsia="zh-CN"/>
        </w:rPr>
        <w:t>: 207-214 [PMID: 17327744 DOI: 10.1097/MCC.0b013e328012b268]</w:t>
      </w:r>
    </w:p>
    <w:p w:rsidR="00C1277A" w:rsidRPr="00714401" w:rsidRDefault="0019270F"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 </w:t>
      </w:r>
      <w:r w:rsidR="00C1277A" w:rsidRPr="00714401">
        <w:rPr>
          <w:rFonts w:ascii="Book Antiqua" w:eastAsia="宋体" w:hAnsi="Book Antiqua" w:cs="宋体"/>
          <w:b/>
          <w:sz w:val="24"/>
          <w:szCs w:val="24"/>
          <w:lang w:val="en-US" w:eastAsia="zh-CN"/>
        </w:rPr>
        <w:t>Slack A</w:t>
      </w:r>
      <w:r w:rsidR="00C1277A" w:rsidRPr="00714401">
        <w:rPr>
          <w:rFonts w:ascii="Book Antiqua" w:eastAsia="宋体" w:hAnsi="Book Antiqua" w:cs="宋体"/>
          <w:sz w:val="24"/>
          <w:szCs w:val="24"/>
          <w:lang w:val="en-US" w:eastAsia="zh-CN"/>
        </w:rPr>
        <w:t xml:space="preserve">, </w:t>
      </w:r>
      <w:proofErr w:type="spellStart"/>
      <w:r w:rsidR="00C1277A" w:rsidRPr="00714401">
        <w:rPr>
          <w:rFonts w:ascii="Book Antiqua" w:eastAsia="宋体" w:hAnsi="Book Antiqua" w:cs="宋体"/>
          <w:sz w:val="24"/>
          <w:szCs w:val="24"/>
          <w:lang w:val="en-US" w:eastAsia="zh-CN"/>
        </w:rPr>
        <w:t>Ladher</w:t>
      </w:r>
      <w:proofErr w:type="spellEnd"/>
      <w:r w:rsidR="00C1277A" w:rsidRPr="00714401">
        <w:rPr>
          <w:rFonts w:ascii="Book Antiqua" w:eastAsia="宋体" w:hAnsi="Book Antiqua" w:cs="宋体"/>
          <w:sz w:val="24"/>
          <w:szCs w:val="24"/>
          <w:lang w:val="en-US" w:eastAsia="zh-CN"/>
        </w:rPr>
        <w:t xml:space="preserve"> N, </w:t>
      </w:r>
      <w:proofErr w:type="spellStart"/>
      <w:r w:rsidR="00C1277A" w:rsidRPr="00714401">
        <w:rPr>
          <w:rFonts w:ascii="Book Antiqua" w:eastAsia="宋体" w:hAnsi="Book Antiqua" w:cs="宋体"/>
          <w:sz w:val="24"/>
          <w:szCs w:val="24"/>
          <w:lang w:val="en-US" w:eastAsia="zh-CN"/>
        </w:rPr>
        <w:t>Wendon</w:t>
      </w:r>
      <w:proofErr w:type="spellEnd"/>
      <w:r w:rsidR="00C1277A" w:rsidRPr="00714401">
        <w:rPr>
          <w:rFonts w:ascii="Book Antiqua" w:eastAsia="宋体" w:hAnsi="Book Antiqua" w:cs="宋体"/>
          <w:sz w:val="24"/>
          <w:szCs w:val="24"/>
          <w:lang w:val="en-US" w:eastAsia="zh-CN"/>
        </w:rPr>
        <w:t xml:space="preserve"> J. Acute hepatic failure. </w:t>
      </w:r>
      <w:proofErr w:type="gramStart"/>
      <w:r w:rsidR="00C1277A" w:rsidRPr="00714401">
        <w:rPr>
          <w:rFonts w:ascii="Book Antiqua" w:eastAsia="宋体" w:hAnsi="Book Antiqua" w:cs="宋体"/>
          <w:sz w:val="24"/>
          <w:szCs w:val="24"/>
          <w:lang w:val="en-US" w:eastAsia="zh-CN"/>
        </w:rPr>
        <w:t>In Wagener G, editor.</w:t>
      </w:r>
      <w:proofErr w:type="gramEnd"/>
      <w:r w:rsidR="00C1277A" w:rsidRPr="00714401">
        <w:rPr>
          <w:rFonts w:ascii="Book Antiqua" w:eastAsia="宋体" w:hAnsi="Book Antiqua" w:cs="宋体"/>
          <w:sz w:val="24"/>
          <w:szCs w:val="24"/>
          <w:lang w:val="en-US" w:eastAsia="zh-CN"/>
        </w:rPr>
        <w:t xml:space="preserve"> Liver Anesthesiology and Critical care Medicine. New York, Heidelberg, Dordrecht, </w:t>
      </w:r>
      <w:proofErr w:type="gramStart"/>
      <w:r w:rsidR="00C1277A" w:rsidRPr="00714401">
        <w:rPr>
          <w:rFonts w:ascii="Book Antiqua" w:eastAsia="宋体" w:hAnsi="Book Antiqua" w:cs="宋体"/>
          <w:sz w:val="24"/>
          <w:szCs w:val="24"/>
          <w:lang w:val="en-US" w:eastAsia="zh-CN"/>
        </w:rPr>
        <w:t>London</w:t>
      </w:r>
      <w:proofErr w:type="gramEnd"/>
      <w:r w:rsidR="00C1277A" w:rsidRPr="00714401">
        <w:rPr>
          <w:rFonts w:ascii="Book Antiqua" w:eastAsia="宋体" w:hAnsi="Book Antiqua" w:cs="宋体"/>
          <w:sz w:val="24"/>
          <w:szCs w:val="24"/>
          <w:lang w:val="en-US" w:eastAsia="zh-CN"/>
        </w:rPr>
        <w:t>: Springer, 2012: 21-42 [DOI: 10.1007/978-1-4614-5167-9_2]</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 </w:t>
      </w:r>
      <w:r w:rsidRPr="00714401">
        <w:rPr>
          <w:rFonts w:ascii="Book Antiqua" w:eastAsia="宋体" w:hAnsi="Book Antiqua" w:cs="宋体"/>
          <w:b/>
          <w:bCs/>
          <w:sz w:val="24"/>
          <w:szCs w:val="24"/>
          <w:lang w:val="en-US" w:eastAsia="zh-CN"/>
        </w:rPr>
        <w:t>Imamura H</w:t>
      </w:r>
      <w:r w:rsidRPr="00714401">
        <w:rPr>
          <w:rFonts w:ascii="Book Antiqua" w:eastAsia="宋体" w:hAnsi="Book Antiqua" w:cs="宋体"/>
          <w:sz w:val="24"/>
          <w:szCs w:val="24"/>
          <w:lang w:val="en-US" w:eastAsia="zh-CN"/>
        </w:rPr>
        <w:t xml:space="preserve">, Sano K, Sugawara Y, </w:t>
      </w:r>
      <w:proofErr w:type="spellStart"/>
      <w:r w:rsidRPr="00714401">
        <w:rPr>
          <w:rFonts w:ascii="Book Antiqua" w:eastAsia="宋体" w:hAnsi="Book Antiqua" w:cs="宋体"/>
          <w:sz w:val="24"/>
          <w:szCs w:val="24"/>
          <w:lang w:val="en-US" w:eastAsia="zh-CN"/>
        </w:rPr>
        <w:t>Kokudo</w:t>
      </w:r>
      <w:proofErr w:type="spellEnd"/>
      <w:r w:rsidRPr="00714401">
        <w:rPr>
          <w:rFonts w:ascii="Book Antiqua" w:eastAsia="宋体" w:hAnsi="Book Antiqua" w:cs="宋体"/>
          <w:sz w:val="24"/>
          <w:szCs w:val="24"/>
          <w:lang w:val="en-US" w:eastAsia="zh-CN"/>
        </w:rPr>
        <w:t xml:space="preserve"> N, </w:t>
      </w:r>
      <w:proofErr w:type="spellStart"/>
      <w:r w:rsidRPr="00714401">
        <w:rPr>
          <w:rFonts w:ascii="Book Antiqua" w:eastAsia="宋体" w:hAnsi="Book Antiqua" w:cs="宋体"/>
          <w:sz w:val="24"/>
          <w:szCs w:val="24"/>
          <w:lang w:val="en-US" w:eastAsia="zh-CN"/>
        </w:rPr>
        <w:t>Makuuchi</w:t>
      </w:r>
      <w:proofErr w:type="spellEnd"/>
      <w:r w:rsidRPr="00714401">
        <w:rPr>
          <w:rFonts w:ascii="Book Antiqua" w:eastAsia="宋体" w:hAnsi="Book Antiqua" w:cs="宋体"/>
          <w:sz w:val="24"/>
          <w:szCs w:val="24"/>
          <w:lang w:val="en-US" w:eastAsia="zh-CN"/>
        </w:rPr>
        <w:t xml:space="preserve"> M. Assessment of hepatic reserve for indication of hepatic resection: decision tree incorporating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test.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2005;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16-22 [PMID: 15754094 DOI: 10.1007/s00534-004-0965-9]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 </w:t>
      </w:r>
      <w:proofErr w:type="spellStart"/>
      <w:r w:rsidRPr="00714401">
        <w:rPr>
          <w:rFonts w:ascii="Book Antiqua" w:eastAsia="宋体" w:hAnsi="Book Antiqua" w:cs="宋体"/>
          <w:b/>
          <w:bCs/>
          <w:sz w:val="24"/>
          <w:szCs w:val="24"/>
          <w:lang w:val="en-US" w:eastAsia="zh-CN"/>
        </w:rPr>
        <w:t>Vos</w:t>
      </w:r>
      <w:proofErr w:type="spellEnd"/>
      <w:r w:rsidRPr="00714401">
        <w:rPr>
          <w:rFonts w:ascii="Book Antiqua" w:eastAsia="宋体" w:hAnsi="Book Antiqua" w:cs="宋体"/>
          <w:b/>
          <w:bCs/>
          <w:sz w:val="24"/>
          <w:szCs w:val="24"/>
          <w:lang w:val="en-US" w:eastAsia="zh-CN"/>
        </w:rPr>
        <w:t xml:space="preserve"> JJ</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Wietasch</w:t>
      </w:r>
      <w:proofErr w:type="spellEnd"/>
      <w:r w:rsidRPr="00714401">
        <w:rPr>
          <w:rFonts w:ascii="Book Antiqua" w:eastAsia="宋体" w:hAnsi="Book Antiqua" w:cs="宋体"/>
          <w:sz w:val="24"/>
          <w:szCs w:val="24"/>
          <w:lang w:val="en-US" w:eastAsia="zh-CN"/>
        </w:rPr>
        <w:t xml:space="preserve"> JK, Absalom AR, Hendriks HG, </w:t>
      </w:r>
      <w:proofErr w:type="spellStart"/>
      <w:r w:rsidRPr="00714401">
        <w:rPr>
          <w:rFonts w:ascii="Book Antiqua" w:eastAsia="宋体" w:hAnsi="Book Antiqua" w:cs="宋体"/>
          <w:sz w:val="24"/>
          <w:szCs w:val="24"/>
          <w:lang w:val="en-US" w:eastAsia="zh-CN"/>
        </w:rPr>
        <w:t>Scheeren</w:t>
      </w:r>
      <w:proofErr w:type="spellEnd"/>
      <w:r w:rsidRPr="00714401">
        <w:rPr>
          <w:rFonts w:ascii="Book Antiqua" w:eastAsia="宋体" w:hAnsi="Book Antiqua" w:cs="宋体"/>
          <w:sz w:val="24"/>
          <w:szCs w:val="24"/>
          <w:lang w:val="en-US" w:eastAsia="zh-CN"/>
        </w:rPr>
        <w:t xml:space="preserve"> TW. </w:t>
      </w:r>
      <w:proofErr w:type="gramStart"/>
      <w:r w:rsidRPr="00714401">
        <w:rPr>
          <w:rFonts w:ascii="Book Antiqua" w:eastAsia="宋体" w:hAnsi="Book Antiqua" w:cs="宋体"/>
          <w:sz w:val="24"/>
          <w:szCs w:val="24"/>
          <w:lang w:val="en-US" w:eastAsia="zh-CN"/>
        </w:rPr>
        <w:t xml:space="preserve">Green light for liver function monitoring using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w:t>
      </w:r>
      <w:proofErr w:type="gramEnd"/>
      <w:r w:rsidRPr="00714401">
        <w:rPr>
          <w:rFonts w:ascii="Book Antiqua" w:eastAsia="宋体" w:hAnsi="Book Antiqua" w:cs="宋体"/>
          <w:sz w:val="24"/>
          <w:szCs w:val="24"/>
          <w:lang w:val="en-US" w:eastAsia="zh-CN"/>
        </w:rPr>
        <w:t xml:space="preserve"> </w:t>
      </w:r>
      <w:proofErr w:type="gramStart"/>
      <w:r w:rsidRPr="00714401">
        <w:rPr>
          <w:rFonts w:ascii="Book Antiqua" w:eastAsia="宋体" w:hAnsi="Book Antiqua" w:cs="宋体"/>
          <w:sz w:val="24"/>
          <w:szCs w:val="24"/>
          <w:lang w:val="en-US" w:eastAsia="zh-CN"/>
        </w:rPr>
        <w:t>An overview of current clinical applications.</w:t>
      </w:r>
      <w:proofErr w:type="gramEnd"/>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i/>
          <w:iCs/>
          <w:sz w:val="24"/>
          <w:szCs w:val="24"/>
          <w:lang w:val="en-US" w:eastAsia="zh-CN"/>
        </w:rPr>
        <w:t>Anaesthesia</w:t>
      </w:r>
      <w:proofErr w:type="spellEnd"/>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69</w:t>
      </w:r>
      <w:r w:rsidRPr="00714401">
        <w:rPr>
          <w:rFonts w:ascii="Book Antiqua" w:eastAsia="宋体" w:hAnsi="Book Antiqua" w:cs="宋体"/>
          <w:sz w:val="24"/>
          <w:szCs w:val="24"/>
          <w:lang w:val="en-US" w:eastAsia="zh-CN"/>
        </w:rPr>
        <w:t>: 1364-1376 [PMID: 24894115 DOI: 10.1111/anae.12755]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7 </w:t>
      </w:r>
      <w:r w:rsidRPr="00714401">
        <w:rPr>
          <w:rFonts w:ascii="Book Antiqua" w:eastAsia="宋体" w:hAnsi="Book Antiqua" w:cs="宋体"/>
          <w:b/>
          <w:bCs/>
          <w:sz w:val="24"/>
          <w:szCs w:val="24"/>
          <w:lang w:val="en-US" w:eastAsia="zh-CN"/>
        </w:rPr>
        <w:t>Halle BM</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Poulsen</w:t>
      </w:r>
      <w:proofErr w:type="spellEnd"/>
      <w:r w:rsidRPr="00714401">
        <w:rPr>
          <w:rFonts w:ascii="Book Antiqua" w:eastAsia="宋体" w:hAnsi="Book Antiqua" w:cs="宋体"/>
          <w:sz w:val="24"/>
          <w:szCs w:val="24"/>
          <w:lang w:val="en-US" w:eastAsia="zh-CN"/>
        </w:rPr>
        <w:t xml:space="preserve"> TD, Pedersen HP.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plasma disappearance rate as dynamic liver function test in critically ill patients. </w:t>
      </w:r>
      <w:proofErr w:type="spellStart"/>
      <w:r w:rsidRPr="00714401">
        <w:rPr>
          <w:rFonts w:ascii="Book Antiqua" w:eastAsia="宋体" w:hAnsi="Book Antiqua" w:cs="宋体"/>
          <w:i/>
          <w:iCs/>
          <w:sz w:val="24"/>
          <w:szCs w:val="24"/>
          <w:lang w:val="en-US" w:eastAsia="zh-CN"/>
        </w:rPr>
        <w:t>Acta</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Anaesthesiol</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Scand</w:t>
      </w:r>
      <w:proofErr w:type="spellEnd"/>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58</w:t>
      </w:r>
      <w:r w:rsidRPr="00714401">
        <w:rPr>
          <w:rFonts w:ascii="Book Antiqua" w:eastAsia="宋体" w:hAnsi="Book Antiqua" w:cs="宋体"/>
          <w:sz w:val="24"/>
          <w:szCs w:val="24"/>
          <w:lang w:val="en-US" w:eastAsia="zh-CN"/>
        </w:rPr>
        <w:t>: 1214-1219 [PMID: 25307706 DOI: 10.1111/aas.12406]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8 </w:t>
      </w:r>
      <w:r w:rsidRPr="00714401">
        <w:rPr>
          <w:rFonts w:ascii="Book Antiqua" w:eastAsia="宋体" w:hAnsi="Book Antiqua" w:cs="宋体"/>
          <w:b/>
          <w:bCs/>
          <w:sz w:val="24"/>
          <w:szCs w:val="24"/>
          <w:lang w:val="en-US" w:eastAsia="zh-CN"/>
        </w:rPr>
        <w:t>Mizuguchi T</w:t>
      </w:r>
      <w:r w:rsidRPr="00714401">
        <w:rPr>
          <w:rFonts w:ascii="Book Antiqua" w:eastAsia="宋体" w:hAnsi="Book Antiqua" w:cs="宋体"/>
          <w:sz w:val="24"/>
          <w:szCs w:val="24"/>
          <w:lang w:val="en-US" w:eastAsia="zh-CN"/>
        </w:rPr>
        <w:t xml:space="preserve">, Kawamoto M, Meguro M, Hui TT, Hirata K. Preoperative liver function assessments to estimate the prognosis and safety of liver resections.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i/>
          <w:iCs/>
          <w:sz w:val="24"/>
          <w:szCs w:val="24"/>
          <w:lang w:val="en-US" w:eastAsia="zh-CN"/>
        </w:rPr>
        <w:t xml:space="preserve"> Today</w:t>
      </w:r>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44</w:t>
      </w:r>
      <w:r w:rsidRPr="00714401">
        <w:rPr>
          <w:rFonts w:ascii="Book Antiqua" w:eastAsia="宋体" w:hAnsi="Book Antiqua" w:cs="宋体"/>
          <w:sz w:val="24"/>
          <w:szCs w:val="24"/>
          <w:lang w:val="en-US" w:eastAsia="zh-CN"/>
        </w:rPr>
        <w:t>: 1-10 [PMID: 23474700]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9 </w:t>
      </w:r>
      <w:proofErr w:type="spellStart"/>
      <w:r w:rsidRPr="00714401">
        <w:rPr>
          <w:rFonts w:ascii="Book Antiqua" w:eastAsia="宋体" w:hAnsi="Book Antiqua" w:cs="宋体"/>
          <w:b/>
          <w:bCs/>
          <w:sz w:val="24"/>
          <w:szCs w:val="24"/>
          <w:lang w:val="en-US" w:eastAsia="zh-CN"/>
        </w:rPr>
        <w:t>L</w:t>
      </w:r>
      <w:r w:rsidR="00C77256" w:rsidRPr="00714401">
        <w:rPr>
          <w:rFonts w:ascii="Book Antiqua" w:eastAsia="宋体" w:hAnsi="Book Antiqua" w:cs="宋体"/>
          <w:b/>
          <w:bCs/>
          <w:sz w:val="24"/>
          <w:szCs w:val="24"/>
          <w:lang w:val="en-US" w:eastAsia="zh-CN"/>
        </w:rPr>
        <w:t>eevy</w:t>
      </w:r>
      <w:proofErr w:type="spellEnd"/>
      <w:r w:rsidR="00C77256" w:rsidRPr="00714401">
        <w:rPr>
          <w:rFonts w:ascii="Book Antiqua" w:eastAsia="宋体" w:hAnsi="Book Antiqua" w:cs="宋体"/>
          <w:b/>
          <w:bCs/>
          <w:sz w:val="24"/>
          <w:szCs w:val="24"/>
          <w:lang w:val="en-US" w:eastAsia="zh-CN"/>
        </w:rPr>
        <w:t xml:space="preserve"> </w:t>
      </w:r>
      <w:r w:rsidRPr="00714401">
        <w:rPr>
          <w:rFonts w:ascii="Book Antiqua" w:eastAsia="宋体" w:hAnsi="Book Antiqua" w:cs="宋体"/>
          <w:b/>
          <w:bCs/>
          <w:sz w:val="24"/>
          <w:szCs w:val="24"/>
          <w:lang w:val="en-US" w:eastAsia="zh-CN"/>
        </w:rPr>
        <w:t>CM</w:t>
      </w:r>
      <w:r w:rsidRPr="00714401">
        <w:rPr>
          <w:rFonts w:ascii="Book Antiqua" w:eastAsia="宋体" w:hAnsi="Book Antiqua" w:cs="宋体"/>
          <w:sz w:val="24"/>
          <w:szCs w:val="24"/>
          <w:lang w:val="en-US" w:eastAsia="zh-CN"/>
        </w:rPr>
        <w:t>, M</w:t>
      </w:r>
      <w:r w:rsidR="00C77256" w:rsidRPr="00714401">
        <w:rPr>
          <w:rFonts w:ascii="Book Antiqua" w:eastAsia="宋体" w:hAnsi="Book Antiqua" w:cs="宋体"/>
          <w:sz w:val="24"/>
          <w:szCs w:val="24"/>
          <w:lang w:val="en-US" w:eastAsia="zh-CN"/>
        </w:rPr>
        <w:t>endenhall</w:t>
      </w:r>
      <w:r w:rsidRPr="00714401">
        <w:rPr>
          <w:rFonts w:ascii="Book Antiqua" w:eastAsia="宋体" w:hAnsi="Book Antiqua" w:cs="宋体"/>
          <w:sz w:val="24"/>
          <w:szCs w:val="24"/>
          <w:lang w:val="en-US" w:eastAsia="zh-CN"/>
        </w:rPr>
        <w:t xml:space="preserve"> CL, </w:t>
      </w:r>
      <w:proofErr w:type="spellStart"/>
      <w:r w:rsidRPr="00714401">
        <w:rPr>
          <w:rFonts w:ascii="Book Antiqua" w:eastAsia="宋体" w:hAnsi="Book Antiqua" w:cs="宋体"/>
          <w:sz w:val="24"/>
          <w:szCs w:val="24"/>
          <w:lang w:val="en-US" w:eastAsia="zh-CN"/>
        </w:rPr>
        <w:t>L</w:t>
      </w:r>
      <w:r w:rsidR="00C77256" w:rsidRPr="00714401">
        <w:rPr>
          <w:rFonts w:ascii="Book Antiqua" w:eastAsia="宋体" w:hAnsi="Book Antiqua" w:cs="宋体"/>
          <w:sz w:val="24"/>
          <w:szCs w:val="24"/>
          <w:lang w:val="en-US" w:eastAsia="zh-CN"/>
        </w:rPr>
        <w:t>esko</w:t>
      </w:r>
      <w:proofErr w:type="spellEnd"/>
      <w:r w:rsidR="00C77256" w:rsidRPr="00714401">
        <w:rPr>
          <w:rFonts w:ascii="Book Antiqua" w:eastAsia="宋体" w:hAnsi="Book Antiqua" w:cs="宋体"/>
          <w:sz w:val="24"/>
          <w:szCs w:val="24"/>
          <w:lang w:val="en-US" w:eastAsia="zh-CN"/>
        </w:rPr>
        <w:t xml:space="preserve"> </w:t>
      </w:r>
      <w:r w:rsidRPr="00714401">
        <w:rPr>
          <w:rFonts w:ascii="Book Antiqua" w:eastAsia="宋体" w:hAnsi="Book Antiqua" w:cs="宋体"/>
          <w:sz w:val="24"/>
          <w:szCs w:val="24"/>
          <w:lang w:val="en-US" w:eastAsia="zh-CN"/>
        </w:rPr>
        <w:t>W, H</w:t>
      </w:r>
      <w:r w:rsidR="00C77256" w:rsidRPr="00714401">
        <w:rPr>
          <w:rFonts w:ascii="Book Antiqua" w:eastAsia="宋体" w:hAnsi="Book Antiqua" w:cs="宋体"/>
          <w:sz w:val="24"/>
          <w:szCs w:val="24"/>
          <w:lang w:val="en-US" w:eastAsia="zh-CN"/>
        </w:rPr>
        <w:t>oward</w:t>
      </w:r>
      <w:r w:rsidRPr="00714401">
        <w:rPr>
          <w:rFonts w:ascii="Book Antiqua" w:eastAsia="宋体" w:hAnsi="Book Antiqua" w:cs="宋体"/>
          <w:sz w:val="24"/>
          <w:szCs w:val="24"/>
          <w:lang w:val="en-US" w:eastAsia="zh-CN"/>
        </w:rPr>
        <w:t xml:space="preserve"> MM. Estimation of hepatic blood flow with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Invest</w:t>
      </w:r>
      <w:r w:rsidRPr="00714401">
        <w:rPr>
          <w:rFonts w:ascii="Book Antiqua" w:eastAsia="宋体" w:hAnsi="Book Antiqua" w:cs="宋体"/>
          <w:sz w:val="24"/>
          <w:szCs w:val="24"/>
          <w:lang w:val="en-US" w:eastAsia="zh-CN"/>
        </w:rPr>
        <w:t xml:space="preserve"> 1962; </w:t>
      </w:r>
      <w:r w:rsidRPr="00714401">
        <w:rPr>
          <w:rFonts w:ascii="Book Antiqua" w:eastAsia="宋体" w:hAnsi="Book Antiqua" w:cs="宋体"/>
          <w:b/>
          <w:bCs/>
          <w:sz w:val="24"/>
          <w:szCs w:val="24"/>
          <w:lang w:val="en-US" w:eastAsia="zh-CN"/>
        </w:rPr>
        <w:t>41</w:t>
      </w:r>
      <w:r w:rsidRPr="00714401">
        <w:rPr>
          <w:rFonts w:ascii="Book Antiqua" w:eastAsia="宋体" w:hAnsi="Book Antiqua" w:cs="宋体"/>
          <w:sz w:val="24"/>
          <w:szCs w:val="24"/>
          <w:lang w:val="en-US" w:eastAsia="zh-CN"/>
        </w:rPr>
        <w:t>: 1169-1179 [PMID: 14463639]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10 </w:t>
      </w:r>
      <w:proofErr w:type="spellStart"/>
      <w:r w:rsidRPr="00714401">
        <w:rPr>
          <w:rFonts w:ascii="Book Antiqua" w:eastAsia="宋体" w:hAnsi="Book Antiqua" w:cs="宋体"/>
          <w:b/>
          <w:bCs/>
          <w:sz w:val="24"/>
          <w:szCs w:val="24"/>
          <w:lang w:val="en-US" w:eastAsia="zh-CN"/>
        </w:rPr>
        <w:t>Pessayre</w:t>
      </w:r>
      <w:proofErr w:type="spellEnd"/>
      <w:r w:rsidRPr="00714401">
        <w:rPr>
          <w:rFonts w:ascii="Book Antiqua" w:eastAsia="宋体" w:hAnsi="Book Antiqua" w:cs="宋体"/>
          <w:b/>
          <w:bCs/>
          <w:sz w:val="24"/>
          <w:szCs w:val="24"/>
          <w:lang w:val="en-US" w:eastAsia="zh-CN"/>
        </w:rPr>
        <w:t xml:space="preserve"> D</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Lebrec</w:t>
      </w:r>
      <w:proofErr w:type="spellEnd"/>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Descatoire</w:t>
      </w:r>
      <w:proofErr w:type="spellEnd"/>
      <w:r w:rsidRPr="00714401">
        <w:rPr>
          <w:rFonts w:ascii="Book Antiqua" w:eastAsia="宋体" w:hAnsi="Book Antiqua" w:cs="宋体"/>
          <w:sz w:val="24"/>
          <w:szCs w:val="24"/>
          <w:lang w:val="en-US" w:eastAsia="zh-CN"/>
        </w:rPr>
        <w:t xml:space="preserve"> V, </w:t>
      </w:r>
      <w:proofErr w:type="spellStart"/>
      <w:r w:rsidRPr="00714401">
        <w:rPr>
          <w:rFonts w:ascii="Book Antiqua" w:eastAsia="宋体" w:hAnsi="Book Antiqua" w:cs="宋体"/>
          <w:sz w:val="24"/>
          <w:szCs w:val="24"/>
          <w:lang w:val="en-US" w:eastAsia="zh-CN"/>
        </w:rPr>
        <w:t>Peignoux</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Benhamou</w:t>
      </w:r>
      <w:proofErr w:type="spellEnd"/>
      <w:r w:rsidRPr="00714401">
        <w:rPr>
          <w:rFonts w:ascii="Book Antiqua" w:eastAsia="宋体" w:hAnsi="Book Antiqua" w:cs="宋体"/>
          <w:sz w:val="24"/>
          <w:szCs w:val="24"/>
          <w:lang w:val="en-US" w:eastAsia="zh-CN"/>
        </w:rPr>
        <w:t xml:space="preserve"> JP. Mechanism for reduced drug clearance in patients with cirrhosis. </w:t>
      </w:r>
      <w:r w:rsidRPr="00714401">
        <w:rPr>
          <w:rFonts w:ascii="Book Antiqua" w:eastAsia="宋体" w:hAnsi="Book Antiqua" w:cs="宋体"/>
          <w:i/>
          <w:iCs/>
          <w:sz w:val="24"/>
          <w:szCs w:val="24"/>
          <w:lang w:val="en-US" w:eastAsia="zh-CN"/>
        </w:rPr>
        <w:t>Gastroenterology</w:t>
      </w:r>
      <w:r w:rsidRPr="00714401">
        <w:rPr>
          <w:rFonts w:ascii="Book Antiqua" w:eastAsia="宋体" w:hAnsi="Book Antiqua" w:cs="宋体"/>
          <w:sz w:val="24"/>
          <w:szCs w:val="24"/>
          <w:lang w:val="en-US" w:eastAsia="zh-CN"/>
        </w:rPr>
        <w:t xml:space="preserve"> 1978; </w:t>
      </w:r>
      <w:r w:rsidRPr="00714401">
        <w:rPr>
          <w:rFonts w:ascii="Book Antiqua" w:eastAsia="宋体" w:hAnsi="Book Antiqua" w:cs="宋体"/>
          <w:b/>
          <w:bCs/>
          <w:sz w:val="24"/>
          <w:szCs w:val="24"/>
          <w:lang w:val="en-US" w:eastAsia="zh-CN"/>
        </w:rPr>
        <w:t>74</w:t>
      </w:r>
      <w:r w:rsidRPr="00714401">
        <w:rPr>
          <w:rFonts w:ascii="Book Antiqua" w:eastAsia="宋体" w:hAnsi="Book Antiqua" w:cs="宋体"/>
          <w:sz w:val="24"/>
          <w:szCs w:val="24"/>
          <w:lang w:val="en-US" w:eastAsia="zh-CN"/>
        </w:rPr>
        <w:t>: 566-571 [PMID: 631487]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11 </w:t>
      </w:r>
      <w:r w:rsidRPr="00714401">
        <w:rPr>
          <w:rFonts w:ascii="Book Antiqua" w:eastAsia="宋体" w:hAnsi="Book Antiqua" w:cs="宋体"/>
          <w:b/>
          <w:bCs/>
          <w:sz w:val="24"/>
          <w:szCs w:val="24"/>
          <w:lang w:val="en-US" w:eastAsia="zh-CN"/>
        </w:rPr>
        <w:t>Lau H</w:t>
      </w:r>
      <w:r w:rsidRPr="00714401">
        <w:rPr>
          <w:rFonts w:ascii="Book Antiqua" w:eastAsia="宋体" w:hAnsi="Book Antiqua" w:cs="宋体"/>
          <w:sz w:val="24"/>
          <w:szCs w:val="24"/>
          <w:lang w:val="en-US" w:eastAsia="zh-CN"/>
        </w:rPr>
        <w:t xml:space="preserve">, Man K, Fan ST, Yu WC, Lo CM, Wong J. Evaluation of preoperative hepatic function in patients with hepatocellular carcinoma undergoing </w:t>
      </w:r>
      <w:proofErr w:type="spellStart"/>
      <w:r w:rsidRPr="00714401">
        <w:rPr>
          <w:rFonts w:ascii="Book Antiqua" w:eastAsia="宋体" w:hAnsi="Book Antiqua" w:cs="宋体"/>
          <w:sz w:val="24"/>
          <w:szCs w:val="24"/>
          <w:lang w:val="en-US" w:eastAsia="zh-CN"/>
        </w:rPr>
        <w:t>hepatectomy</w:t>
      </w:r>
      <w:proofErr w:type="spell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Br J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1997; </w:t>
      </w:r>
      <w:r w:rsidRPr="00714401">
        <w:rPr>
          <w:rFonts w:ascii="Book Antiqua" w:eastAsia="宋体" w:hAnsi="Book Antiqua" w:cs="宋体"/>
          <w:b/>
          <w:bCs/>
          <w:sz w:val="24"/>
          <w:szCs w:val="24"/>
          <w:lang w:val="en-US" w:eastAsia="zh-CN"/>
        </w:rPr>
        <w:t>84</w:t>
      </w:r>
      <w:r w:rsidRPr="00714401">
        <w:rPr>
          <w:rFonts w:ascii="Book Antiqua" w:eastAsia="宋体" w:hAnsi="Book Antiqua" w:cs="宋体"/>
          <w:sz w:val="24"/>
          <w:szCs w:val="24"/>
          <w:lang w:val="en-US" w:eastAsia="zh-CN"/>
        </w:rPr>
        <w:t>: 1255-1259 [PMID: 9313707 DOI: 10.1046/j.1365-2168.1997.02770.x</w:t>
      </w:r>
      <w:r w:rsidR="00E85362" w:rsidRPr="00714401">
        <w:rPr>
          <w:rFonts w:ascii="Book Antiqua" w:eastAsia="宋体" w:hAnsi="Book Antiqua" w:cs="宋体" w:hint="eastAsia"/>
          <w:sz w:val="24"/>
          <w:szCs w:val="24"/>
          <w:lang w:val="en-US" w:eastAsia="zh-CN"/>
        </w:rPr>
        <w:t>]</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lastRenderedPageBreak/>
        <w:t xml:space="preserve">12 </w:t>
      </w:r>
      <w:r w:rsidRPr="00714401">
        <w:rPr>
          <w:rFonts w:ascii="Book Antiqua" w:eastAsia="宋体" w:hAnsi="Book Antiqua" w:cs="宋体"/>
          <w:b/>
          <w:bCs/>
          <w:sz w:val="24"/>
          <w:szCs w:val="24"/>
          <w:lang w:val="en-US" w:eastAsia="zh-CN"/>
        </w:rPr>
        <w:t>Shinohara H</w:t>
      </w:r>
      <w:r w:rsidRPr="00714401">
        <w:rPr>
          <w:rFonts w:ascii="Book Antiqua" w:eastAsia="宋体" w:hAnsi="Book Antiqua" w:cs="宋体"/>
          <w:sz w:val="24"/>
          <w:szCs w:val="24"/>
          <w:lang w:val="en-US" w:eastAsia="zh-CN"/>
        </w:rPr>
        <w:t xml:space="preserve">, Tanaka A, </w:t>
      </w:r>
      <w:proofErr w:type="spellStart"/>
      <w:r w:rsidRPr="00714401">
        <w:rPr>
          <w:rFonts w:ascii="Book Antiqua" w:eastAsia="宋体" w:hAnsi="Book Antiqua" w:cs="宋体"/>
          <w:sz w:val="24"/>
          <w:szCs w:val="24"/>
          <w:lang w:val="en-US" w:eastAsia="zh-CN"/>
        </w:rPr>
        <w:t>Kitai</w:t>
      </w:r>
      <w:proofErr w:type="spellEnd"/>
      <w:r w:rsidRPr="00714401">
        <w:rPr>
          <w:rFonts w:ascii="Book Antiqua" w:eastAsia="宋体" w:hAnsi="Book Antiqua" w:cs="宋体"/>
          <w:sz w:val="24"/>
          <w:szCs w:val="24"/>
          <w:lang w:val="en-US" w:eastAsia="zh-CN"/>
        </w:rPr>
        <w:t xml:space="preserve"> T, </w:t>
      </w:r>
      <w:proofErr w:type="spellStart"/>
      <w:r w:rsidRPr="00714401">
        <w:rPr>
          <w:rFonts w:ascii="Book Antiqua" w:eastAsia="宋体" w:hAnsi="Book Antiqua" w:cs="宋体"/>
          <w:sz w:val="24"/>
          <w:szCs w:val="24"/>
          <w:lang w:val="en-US" w:eastAsia="zh-CN"/>
        </w:rPr>
        <w:t>Yanabu</w:t>
      </w:r>
      <w:proofErr w:type="spellEnd"/>
      <w:r w:rsidRPr="00714401">
        <w:rPr>
          <w:rFonts w:ascii="Book Antiqua" w:eastAsia="宋体" w:hAnsi="Book Antiqua" w:cs="宋体"/>
          <w:sz w:val="24"/>
          <w:szCs w:val="24"/>
          <w:lang w:val="en-US" w:eastAsia="zh-CN"/>
        </w:rPr>
        <w:t xml:space="preserve"> N, </w:t>
      </w:r>
      <w:proofErr w:type="spellStart"/>
      <w:r w:rsidRPr="00714401">
        <w:rPr>
          <w:rFonts w:ascii="Book Antiqua" w:eastAsia="宋体" w:hAnsi="Book Antiqua" w:cs="宋体"/>
          <w:sz w:val="24"/>
          <w:szCs w:val="24"/>
          <w:lang w:val="en-US" w:eastAsia="zh-CN"/>
        </w:rPr>
        <w:t>Inomoto</w:t>
      </w:r>
      <w:proofErr w:type="spellEnd"/>
      <w:r w:rsidRPr="00714401">
        <w:rPr>
          <w:rFonts w:ascii="Book Antiqua" w:eastAsia="宋体" w:hAnsi="Book Antiqua" w:cs="宋体"/>
          <w:sz w:val="24"/>
          <w:szCs w:val="24"/>
          <w:lang w:val="en-US" w:eastAsia="zh-CN"/>
        </w:rPr>
        <w:t xml:space="preserve"> T, Satoh S, </w:t>
      </w:r>
      <w:proofErr w:type="spellStart"/>
      <w:r w:rsidRPr="00714401">
        <w:rPr>
          <w:rFonts w:ascii="Book Antiqua" w:eastAsia="宋体" w:hAnsi="Book Antiqua" w:cs="宋体"/>
          <w:sz w:val="24"/>
          <w:szCs w:val="24"/>
          <w:lang w:val="en-US" w:eastAsia="zh-CN"/>
        </w:rPr>
        <w:t>Hatano</w:t>
      </w:r>
      <w:proofErr w:type="spellEnd"/>
      <w:r w:rsidRPr="00714401">
        <w:rPr>
          <w:rFonts w:ascii="Book Antiqua" w:eastAsia="宋体" w:hAnsi="Book Antiqua" w:cs="宋体"/>
          <w:sz w:val="24"/>
          <w:szCs w:val="24"/>
          <w:lang w:val="en-US" w:eastAsia="zh-CN"/>
        </w:rPr>
        <w:t xml:space="preserve"> E, Yamaoka Y, </w:t>
      </w:r>
      <w:proofErr w:type="spellStart"/>
      <w:r w:rsidRPr="00714401">
        <w:rPr>
          <w:rFonts w:ascii="Book Antiqua" w:eastAsia="宋体" w:hAnsi="Book Antiqua" w:cs="宋体"/>
          <w:sz w:val="24"/>
          <w:szCs w:val="24"/>
          <w:lang w:val="en-US" w:eastAsia="zh-CN"/>
        </w:rPr>
        <w:t>Hirao</w:t>
      </w:r>
      <w:proofErr w:type="spellEnd"/>
      <w:r w:rsidRPr="00714401">
        <w:rPr>
          <w:rFonts w:ascii="Book Antiqua" w:eastAsia="宋体" w:hAnsi="Book Antiqua" w:cs="宋体"/>
          <w:sz w:val="24"/>
          <w:szCs w:val="24"/>
          <w:lang w:val="en-US" w:eastAsia="zh-CN"/>
        </w:rPr>
        <w:t xml:space="preserve"> K. Direct measurement of hepatic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with near-infrared spectroscopy: separate evaluation of uptake and removal. </w:t>
      </w:r>
      <w:r w:rsidRPr="00714401">
        <w:rPr>
          <w:rFonts w:ascii="Book Antiqua" w:eastAsia="宋体" w:hAnsi="Book Antiqua" w:cs="宋体"/>
          <w:i/>
          <w:iCs/>
          <w:sz w:val="24"/>
          <w:szCs w:val="24"/>
          <w:lang w:val="en-US" w:eastAsia="zh-CN"/>
        </w:rPr>
        <w:t>Hepatology</w:t>
      </w:r>
      <w:r w:rsidRPr="00714401">
        <w:rPr>
          <w:rFonts w:ascii="Book Antiqua" w:eastAsia="宋体" w:hAnsi="Book Antiqua" w:cs="宋体"/>
          <w:sz w:val="24"/>
          <w:szCs w:val="24"/>
          <w:lang w:val="en-US" w:eastAsia="zh-CN"/>
        </w:rPr>
        <w:t xml:space="preserve"> 1996; </w:t>
      </w:r>
      <w:r w:rsidRPr="00714401">
        <w:rPr>
          <w:rFonts w:ascii="Book Antiqua" w:eastAsia="宋体" w:hAnsi="Book Antiqua" w:cs="宋体"/>
          <w:b/>
          <w:bCs/>
          <w:sz w:val="24"/>
          <w:szCs w:val="24"/>
          <w:lang w:val="en-US" w:eastAsia="zh-CN"/>
        </w:rPr>
        <w:t>23</w:t>
      </w:r>
      <w:r w:rsidRPr="00714401">
        <w:rPr>
          <w:rFonts w:ascii="Book Antiqua" w:eastAsia="宋体" w:hAnsi="Book Antiqua" w:cs="宋体"/>
          <w:sz w:val="24"/>
          <w:szCs w:val="24"/>
          <w:lang w:val="en-US" w:eastAsia="zh-CN"/>
        </w:rPr>
        <w:t>: 137-144 [PMID: 8550033]</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13 </w:t>
      </w:r>
      <w:r w:rsidRPr="00714401">
        <w:rPr>
          <w:rFonts w:ascii="Book Antiqua" w:eastAsia="宋体" w:hAnsi="Book Antiqua" w:cs="宋体"/>
          <w:b/>
          <w:bCs/>
          <w:sz w:val="24"/>
          <w:szCs w:val="24"/>
          <w:lang w:val="en-US" w:eastAsia="zh-CN"/>
        </w:rPr>
        <w:t>Cui Y</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König</w:t>
      </w:r>
      <w:proofErr w:type="spellEnd"/>
      <w:r w:rsidRPr="00714401">
        <w:rPr>
          <w:rFonts w:ascii="Book Antiqua" w:eastAsia="宋体" w:hAnsi="Book Antiqua" w:cs="宋体"/>
          <w:sz w:val="24"/>
          <w:szCs w:val="24"/>
          <w:lang w:val="en-US" w:eastAsia="zh-CN"/>
        </w:rPr>
        <w:t xml:space="preserve"> J, </w:t>
      </w:r>
      <w:proofErr w:type="spellStart"/>
      <w:r w:rsidRPr="00714401">
        <w:rPr>
          <w:rFonts w:ascii="Book Antiqua" w:eastAsia="宋体" w:hAnsi="Book Antiqua" w:cs="宋体"/>
          <w:sz w:val="24"/>
          <w:szCs w:val="24"/>
          <w:lang w:val="en-US" w:eastAsia="zh-CN"/>
        </w:rPr>
        <w:t>Leier</w:t>
      </w:r>
      <w:proofErr w:type="spellEnd"/>
      <w:r w:rsidRPr="00714401">
        <w:rPr>
          <w:rFonts w:ascii="Book Antiqua" w:eastAsia="宋体" w:hAnsi="Book Antiqua" w:cs="宋体"/>
          <w:sz w:val="24"/>
          <w:szCs w:val="24"/>
          <w:lang w:val="en-US" w:eastAsia="zh-CN"/>
        </w:rPr>
        <w:t xml:space="preserve"> I, Buchholz U, </w:t>
      </w:r>
      <w:proofErr w:type="spellStart"/>
      <w:r w:rsidRPr="00714401">
        <w:rPr>
          <w:rFonts w:ascii="Book Antiqua" w:eastAsia="宋体" w:hAnsi="Book Antiqua" w:cs="宋体"/>
          <w:sz w:val="24"/>
          <w:szCs w:val="24"/>
          <w:lang w:val="en-US" w:eastAsia="zh-CN"/>
        </w:rPr>
        <w:t>Keppler</w:t>
      </w:r>
      <w:proofErr w:type="spellEnd"/>
      <w:r w:rsidRPr="00714401">
        <w:rPr>
          <w:rFonts w:ascii="Book Antiqua" w:eastAsia="宋体" w:hAnsi="Book Antiqua" w:cs="宋体"/>
          <w:sz w:val="24"/>
          <w:szCs w:val="24"/>
          <w:lang w:val="en-US" w:eastAsia="zh-CN"/>
        </w:rPr>
        <w:t xml:space="preserve"> D. Hepatic uptake of bilirubin and its conjugates by the human organic anion transporter SLC21A6.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Biol</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Chem</w:t>
      </w:r>
      <w:proofErr w:type="spellEnd"/>
      <w:r w:rsidRPr="00714401">
        <w:rPr>
          <w:rFonts w:ascii="Book Antiqua" w:eastAsia="宋体" w:hAnsi="Book Antiqua" w:cs="宋体"/>
          <w:sz w:val="24"/>
          <w:szCs w:val="24"/>
          <w:lang w:val="en-US" w:eastAsia="zh-CN"/>
        </w:rPr>
        <w:t xml:space="preserve"> 2001; </w:t>
      </w:r>
      <w:r w:rsidRPr="00714401">
        <w:rPr>
          <w:rFonts w:ascii="Book Antiqua" w:eastAsia="宋体" w:hAnsi="Book Antiqua" w:cs="宋体"/>
          <w:b/>
          <w:bCs/>
          <w:sz w:val="24"/>
          <w:szCs w:val="24"/>
          <w:lang w:val="en-US" w:eastAsia="zh-CN"/>
        </w:rPr>
        <w:t>276</w:t>
      </w:r>
      <w:r w:rsidRPr="00714401">
        <w:rPr>
          <w:rFonts w:ascii="Book Antiqua" w:eastAsia="宋体" w:hAnsi="Book Antiqua" w:cs="宋体"/>
          <w:sz w:val="24"/>
          <w:szCs w:val="24"/>
          <w:lang w:val="en-US" w:eastAsia="zh-CN"/>
        </w:rPr>
        <w:t>: 9626-9630 [PMID: 11134001 DOI: 10.1074/jbcMOO49688200]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14 </w:t>
      </w:r>
      <w:proofErr w:type="spellStart"/>
      <w:r w:rsidRPr="00714401">
        <w:rPr>
          <w:rFonts w:ascii="Book Antiqua" w:eastAsia="宋体" w:hAnsi="Book Antiqua" w:cs="宋体"/>
          <w:b/>
          <w:bCs/>
          <w:sz w:val="24"/>
          <w:szCs w:val="24"/>
          <w:lang w:val="en-US" w:eastAsia="zh-CN"/>
        </w:rPr>
        <w:t>Keiding</w:t>
      </w:r>
      <w:proofErr w:type="spellEnd"/>
      <w:r w:rsidRPr="00714401">
        <w:rPr>
          <w:rFonts w:ascii="Book Antiqua" w:eastAsia="宋体" w:hAnsi="Book Antiqua" w:cs="宋体"/>
          <w:b/>
          <w:bCs/>
          <w:sz w:val="24"/>
          <w:szCs w:val="24"/>
          <w:lang w:val="en-US" w:eastAsia="zh-CN"/>
        </w:rPr>
        <w:t xml:space="preserve"> S</w:t>
      </w:r>
      <w:r w:rsidRPr="00714401">
        <w:rPr>
          <w:rFonts w:ascii="Book Antiqua" w:eastAsia="宋体" w:hAnsi="Book Antiqua" w:cs="宋体"/>
          <w:sz w:val="24"/>
          <w:szCs w:val="24"/>
          <w:lang w:val="en-US" w:eastAsia="zh-CN"/>
        </w:rPr>
        <w:t xml:space="preserve">. Hepatic clearance and liver blood flow.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Hepatol</w:t>
      </w:r>
      <w:proofErr w:type="spellEnd"/>
      <w:r w:rsidRPr="00714401">
        <w:rPr>
          <w:rFonts w:ascii="Book Antiqua" w:eastAsia="宋体" w:hAnsi="Book Antiqua" w:cs="宋体"/>
          <w:sz w:val="24"/>
          <w:szCs w:val="24"/>
          <w:lang w:val="en-US" w:eastAsia="zh-CN"/>
        </w:rPr>
        <w:t xml:space="preserve"> 1987; </w:t>
      </w:r>
      <w:r w:rsidRPr="00714401">
        <w:rPr>
          <w:rFonts w:ascii="Book Antiqua" w:eastAsia="宋体" w:hAnsi="Book Antiqua" w:cs="宋体"/>
          <w:b/>
          <w:bCs/>
          <w:sz w:val="24"/>
          <w:szCs w:val="24"/>
          <w:lang w:val="en-US" w:eastAsia="zh-CN"/>
        </w:rPr>
        <w:t>4</w:t>
      </w:r>
      <w:r w:rsidRPr="00714401">
        <w:rPr>
          <w:rFonts w:ascii="Book Antiqua" w:eastAsia="宋体" w:hAnsi="Book Antiqua" w:cs="宋体"/>
          <w:sz w:val="24"/>
          <w:szCs w:val="24"/>
          <w:lang w:val="en-US" w:eastAsia="zh-CN"/>
        </w:rPr>
        <w:t>: 393-398 [PMID: 3298417 DOI: 10.1016/S0168-8278(87)80552-4]</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15 </w:t>
      </w:r>
      <w:r w:rsidRPr="00714401">
        <w:rPr>
          <w:rFonts w:ascii="Book Antiqua" w:eastAsia="宋体" w:hAnsi="Book Antiqua" w:cs="宋体"/>
          <w:b/>
          <w:bCs/>
          <w:sz w:val="24"/>
          <w:szCs w:val="24"/>
          <w:lang w:val="en-US" w:eastAsia="zh-CN"/>
        </w:rPr>
        <w:t>Kawasaki S</w:t>
      </w:r>
      <w:r w:rsidRPr="00714401">
        <w:rPr>
          <w:rFonts w:ascii="Book Antiqua" w:eastAsia="宋体" w:hAnsi="Book Antiqua" w:cs="宋体"/>
          <w:sz w:val="24"/>
          <w:szCs w:val="24"/>
          <w:lang w:val="en-US" w:eastAsia="zh-CN"/>
        </w:rPr>
        <w:t xml:space="preserve">, Sugiyama Y, </w:t>
      </w:r>
      <w:proofErr w:type="spellStart"/>
      <w:r w:rsidRPr="00714401">
        <w:rPr>
          <w:rFonts w:ascii="Book Antiqua" w:eastAsia="宋体" w:hAnsi="Book Antiqua" w:cs="宋体"/>
          <w:sz w:val="24"/>
          <w:szCs w:val="24"/>
          <w:lang w:val="en-US" w:eastAsia="zh-CN"/>
        </w:rPr>
        <w:t>Iga</w:t>
      </w:r>
      <w:proofErr w:type="spellEnd"/>
      <w:r w:rsidRPr="00714401">
        <w:rPr>
          <w:rFonts w:ascii="Book Antiqua" w:eastAsia="宋体" w:hAnsi="Book Antiqua" w:cs="宋体"/>
          <w:sz w:val="24"/>
          <w:szCs w:val="24"/>
          <w:lang w:val="en-US" w:eastAsia="zh-CN"/>
        </w:rPr>
        <w:t xml:space="preserve"> T, </w:t>
      </w:r>
      <w:proofErr w:type="spellStart"/>
      <w:r w:rsidRPr="00714401">
        <w:rPr>
          <w:rFonts w:ascii="Book Antiqua" w:eastAsia="宋体" w:hAnsi="Book Antiqua" w:cs="宋体"/>
          <w:sz w:val="24"/>
          <w:szCs w:val="24"/>
          <w:lang w:val="en-US" w:eastAsia="zh-CN"/>
        </w:rPr>
        <w:t>Hanano</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Sanjo</w:t>
      </w:r>
      <w:proofErr w:type="spellEnd"/>
      <w:r w:rsidRPr="00714401">
        <w:rPr>
          <w:rFonts w:ascii="Book Antiqua" w:eastAsia="宋体" w:hAnsi="Book Antiqua" w:cs="宋体"/>
          <w:sz w:val="24"/>
          <w:szCs w:val="24"/>
          <w:lang w:val="en-US" w:eastAsia="zh-CN"/>
        </w:rPr>
        <w:t xml:space="preserve"> K, </w:t>
      </w:r>
      <w:proofErr w:type="spellStart"/>
      <w:r w:rsidRPr="00714401">
        <w:rPr>
          <w:rFonts w:ascii="Book Antiqua" w:eastAsia="宋体" w:hAnsi="Book Antiqua" w:cs="宋体"/>
          <w:sz w:val="24"/>
          <w:szCs w:val="24"/>
          <w:lang w:val="en-US" w:eastAsia="zh-CN"/>
        </w:rPr>
        <w:t>Beppu</w:t>
      </w:r>
      <w:proofErr w:type="spellEnd"/>
      <w:r w:rsidRPr="00714401">
        <w:rPr>
          <w:rFonts w:ascii="Book Antiqua" w:eastAsia="宋体" w:hAnsi="Book Antiqua" w:cs="宋体"/>
          <w:sz w:val="24"/>
          <w:szCs w:val="24"/>
          <w:lang w:val="en-US" w:eastAsia="zh-CN"/>
        </w:rPr>
        <w:t xml:space="preserve"> T, </w:t>
      </w:r>
      <w:proofErr w:type="spellStart"/>
      <w:r w:rsidRPr="00714401">
        <w:rPr>
          <w:rFonts w:ascii="Book Antiqua" w:eastAsia="宋体" w:hAnsi="Book Antiqua" w:cs="宋体"/>
          <w:sz w:val="24"/>
          <w:szCs w:val="24"/>
          <w:lang w:val="en-US" w:eastAsia="zh-CN"/>
        </w:rPr>
        <w:t>Idezuki</w:t>
      </w:r>
      <w:proofErr w:type="spellEnd"/>
      <w:r w:rsidRPr="00714401">
        <w:rPr>
          <w:rFonts w:ascii="Book Antiqua" w:eastAsia="宋体" w:hAnsi="Book Antiqua" w:cs="宋体"/>
          <w:sz w:val="24"/>
          <w:szCs w:val="24"/>
          <w:lang w:val="en-US" w:eastAsia="zh-CN"/>
        </w:rPr>
        <w:t xml:space="preserve"> Y. Pharmacokinetic study on the hepatic uptake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in cirrhotic patients. </w:t>
      </w:r>
      <w:r w:rsidRPr="00714401">
        <w:rPr>
          <w:rFonts w:ascii="Book Antiqua" w:eastAsia="宋体" w:hAnsi="Book Antiqua" w:cs="宋体"/>
          <w:i/>
          <w:iCs/>
          <w:sz w:val="24"/>
          <w:szCs w:val="24"/>
          <w:lang w:val="en-US" w:eastAsia="zh-CN"/>
        </w:rPr>
        <w:t xml:space="preserve">Am J </w:t>
      </w:r>
      <w:proofErr w:type="spellStart"/>
      <w:r w:rsidRPr="00714401">
        <w:rPr>
          <w:rFonts w:ascii="Book Antiqua" w:eastAsia="宋体" w:hAnsi="Book Antiqua" w:cs="宋体"/>
          <w:i/>
          <w:iCs/>
          <w:sz w:val="24"/>
          <w:szCs w:val="24"/>
          <w:lang w:val="en-US" w:eastAsia="zh-CN"/>
        </w:rPr>
        <w:t>Gastroenterol</w:t>
      </w:r>
      <w:proofErr w:type="spellEnd"/>
      <w:r w:rsidRPr="00714401">
        <w:rPr>
          <w:rFonts w:ascii="Book Antiqua" w:eastAsia="宋体" w:hAnsi="Book Antiqua" w:cs="宋体"/>
          <w:sz w:val="24"/>
          <w:szCs w:val="24"/>
          <w:lang w:val="en-US" w:eastAsia="zh-CN"/>
        </w:rPr>
        <w:t xml:space="preserve"> 1985; </w:t>
      </w:r>
      <w:r w:rsidRPr="00714401">
        <w:rPr>
          <w:rFonts w:ascii="Book Antiqua" w:eastAsia="宋体" w:hAnsi="Book Antiqua" w:cs="宋体"/>
          <w:b/>
          <w:bCs/>
          <w:sz w:val="24"/>
          <w:szCs w:val="24"/>
          <w:lang w:val="en-US" w:eastAsia="zh-CN"/>
        </w:rPr>
        <w:t>80</w:t>
      </w:r>
      <w:r w:rsidRPr="00714401">
        <w:rPr>
          <w:rFonts w:ascii="Book Antiqua" w:eastAsia="宋体" w:hAnsi="Book Antiqua" w:cs="宋体"/>
          <w:sz w:val="24"/>
          <w:szCs w:val="24"/>
          <w:lang w:val="en-US" w:eastAsia="zh-CN"/>
        </w:rPr>
        <w:t>: 801-806 [PMID: 4036939]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16 </w:t>
      </w:r>
      <w:proofErr w:type="spellStart"/>
      <w:r w:rsidRPr="00714401">
        <w:rPr>
          <w:rFonts w:ascii="Book Antiqua" w:eastAsia="宋体" w:hAnsi="Book Antiqua" w:cs="宋体"/>
          <w:b/>
          <w:bCs/>
          <w:sz w:val="24"/>
          <w:szCs w:val="24"/>
          <w:lang w:val="en-US" w:eastAsia="zh-CN"/>
        </w:rPr>
        <w:t>Huet</w:t>
      </w:r>
      <w:proofErr w:type="spellEnd"/>
      <w:r w:rsidRPr="00714401">
        <w:rPr>
          <w:rFonts w:ascii="Book Antiqua" w:eastAsia="宋体" w:hAnsi="Book Antiqua" w:cs="宋体"/>
          <w:b/>
          <w:bCs/>
          <w:sz w:val="24"/>
          <w:szCs w:val="24"/>
          <w:lang w:val="en-US" w:eastAsia="zh-CN"/>
        </w:rPr>
        <w:t xml:space="preserve"> PM</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Goresky</w:t>
      </w:r>
      <w:proofErr w:type="spellEnd"/>
      <w:r w:rsidRPr="00714401">
        <w:rPr>
          <w:rFonts w:ascii="Book Antiqua" w:eastAsia="宋体" w:hAnsi="Book Antiqua" w:cs="宋体"/>
          <w:sz w:val="24"/>
          <w:szCs w:val="24"/>
          <w:lang w:val="en-US" w:eastAsia="zh-CN"/>
        </w:rPr>
        <w:t xml:space="preserve"> CA, Villeneuve JP, </w:t>
      </w:r>
      <w:proofErr w:type="spellStart"/>
      <w:r w:rsidRPr="00714401">
        <w:rPr>
          <w:rFonts w:ascii="Book Antiqua" w:eastAsia="宋体" w:hAnsi="Book Antiqua" w:cs="宋体"/>
          <w:sz w:val="24"/>
          <w:szCs w:val="24"/>
          <w:lang w:val="en-US" w:eastAsia="zh-CN"/>
        </w:rPr>
        <w:t>Marleau</w:t>
      </w:r>
      <w:proofErr w:type="spellEnd"/>
      <w:r w:rsidRPr="00714401">
        <w:rPr>
          <w:rFonts w:ascii="Book Antiqua" w:eastAsia="宋体" w:hAnsi="Book Antiqua" w:cs="宋体"/>
          <w:sz w:val="24"/>
          <w:szCs w:val="24"/>
          <w:lang w:val="en-US" w:eastAsia="zh-CN"/>
        </w:rPr>
        <w:t xml:space="preserve"> D, Lough JO. </w:t>
      </w:r>
      <w:proofErr w:type="gramStart"/>
      <w:r w:rsidRPr="00714401">
        <w:rPr>
          <w:rFonts w:ascii="Book Antiqua" w:eastAsia="宋体" w:hAnsi="Book Antiqua" w:cs="宋体"/>
          <w:sz w:val="24"/>
          <w:szCs w:val="24"/>
          <w:lang w:val="en-US" w:eastAsia="zh-CN"/>
        </w:rPr>
        <w:t>Assessment of liver microcirculation in human cirrhosis.</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Invest</w:t>
      </w:r>
      <w:r w:rsidRPr="00714401">
        <w:rPr>
          <w:rFonts w:ascii="Book Antiqua" w:eastAsia="宋体" w:hAnsi="Book Antiqua" w:cs="宋体"/>
          <w:sz w:val="24"/>
          <w:szCs w:val="24"/>
          <w:lang w:val="en-US" w:eastAsia="zh-CN"/>
        </w:rPr>
        <w:t xml:space="preserve"> 1982; </w:t>
      </w:r>
      <w:r w:rsidRPr="00714401">
        <w:rPr>
          <w:rFonts w:ascii="Book Antiqua" w:eastAsia="宋体" w:hAnsi="Book Antiqua" w:cs="宋体"/>
          <w:b/>
          <w:bCs/>
          <w:sz w:val="24"/>
          <w:szCs w:val="24"/>
          <w:lang w:val="en-US" w:eastAsia="zh-CN"/>
        </w:rPr>
        <w:t>70</w:t>
      </w:r>
      <w:r w:rsidRPr="00714401">
        <w:rPr>
          <w:rFonts w:ascii="Book Antiqua" w:eastAsia="宋体" w:hAnsi="Book Antiqua" w:cs="宋体"/>
          <w:sz w:val="24"/>
          <w:szCs w:val="24"/>
          <w:lang w:val="en-US" w:eastAsia="zh-CN"/>
        </w:rPr>
        <w:t>: 1234-1244 [PMID: 7174791]</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17 </w:t>
      </w:r>
      <w:r w:rsidRPr="00714401">
        <w:rPr>
          <w:rFonts w:ascii="Book Antiqua" w:eastAsia="宋体" w:hAnsi="Book Antiqua" w:cs="宋体"/>
          <w:b/>
          <w:bCs/>
          <w:sz w:val="24"/>
          <w:szCs w:val="24"/>
          <w:lang w:val="en-US" w:eastAsia="zh-CN"/>
        </w:rPr>
        <w:t>Ge PL</w:t>
      </w:r>
      <w:r w:rsidRPr="00714401">
        <w:rPr>
          <w:rFonts w:ascii="Book Antiqua" w:eastAsia="宋体" w:hAnsi="Book Antiqua" w:cs="宋体"/>
          <w:sz w:val="24"/>
          <w:szCs w:val="24"/>
          <w:lang w:val="en-US" w:eastAsia="zh-CN"/>
        </w:rPr>
        <w:t xml:space="preserve">, Du SD, Mao YL. </w:t>
      </w:r>
      <w:proofErr w:type="gramStart"/>
      <w:r w:rsidRPr="00714401">
        <w:rPr>
          <w:rFonts w:ascii="Book Antiqua" w:eastAsia="宋体" w:hAnsi="Book Antiqua" w:cs="宋体"/>
          <w:sz w:val="24"/>
          <w:szCs w:val="24"/>
          <w:lang w:val="en-US" w:eastAsia="zh-CN"/>
        </w:rPr>
        <w:t>Advances in preoperative assessment of liver function.</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Dis </w:t>
      </w:r>
      <w:proofErr w:type="spellStart"/>
      <w:r w:rsidRPr="00714401">
        <w:rPr>
          <w:rFonts w:ascii="Book Antiqua" w:eastAsia="宋体" w:hAnsi="Book Antiqua" w:cs="宋体"/>
          <w:i/>
          <w:iCs/>
          <w:sz w:val="24"/>
          <w:szCs w:val="24"/>
          <w:lang w:val="en-US" w:eastAsia="zh-CN"/>
        </w:rPr>
        <w:t>Int</w:t>
      </w:r>
      <w:proofErr w:type="spellEnd"/>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13</w:t>
      </w:r>
      <w:r w:rsidRPr="00714401">
        <w:rPr>
          <w:rFonts w:ascii="Book Antiqua" w:eastAsia="宋体" w:hAnsi="Book Antiqua" w:cs="宋体"/>
          <w:sz w:val="24"/>
          <w:szCs w:val="24"/>
          <w:lang w:val="en-US" w:eastAsia="zh-CN"/>
        </w:rPr>
        <w:t>: 361-370 [PMID: 25100120 DOI: 10.1016/S1499-3872(14)60267-8]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18 </w:t>
      </w:r>
      <w:proofErr w:type="spellStart"/>
      <w:r w:rsidRPr="00714401">
        <w:rPr>
          <w:rFonts w:ascii="Book Antiqua" w:eastAsia="宋体" w:hAnsi="Book Antiqua" w:cs="宋体"/>
          <w:b/>
          <w:bCs/>
          <w:sz w:val="24"/>
          <w:szCs w:val="24"/>
          <w:lang w:val="en-US" w:eastAsia="zh-CN"/>
        </w:rPr>
        <w:t>Faybik</w:t>
      </w:r>
      <w:proofErr w:type="spellEnd"/>
      <w:r w:rsidRPr="00714401">
        <w:rPr>
          <w:rFonts w:ascii="Book Antiqua" w:eastAsia="宋体" w:hAnsi="Book Antiqua" w:cs="宋体"/>
          <w:b/>
          <w:bCs/>
          <w:sz w:val="24"/>
          <w:szCs w:val="24"/>
          <w:lang w:val="en-US" w:eastAsia="zh-CN"/>
        </w:rPr>
        <w:t xml:space="preserve"> P</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Krenn</w:t>
      </w:r>
      <w:proofErr w:type="spellEnd"/>
      <w:r w:rsidRPr="00714401">
        <w:rPr>
          <w:rFonts w:ascii="Book Antiqua" w:eastAsia="宋体" w:hAnsi="Book Antiqua" w:cs="宋体"/>
          <w:sz w:val="24"/>
          <w:szCs w:val="24"/>
          <w:lang w:val="en-US" w:eastAsia="zh-CN"/>
        </w:rPr>
        <w:t xml:space="preserve"> CG, Baker A, </w:t>
      </w:r>
      <w:proofErr w:type="spellStart"/>
      <w:r w:rsidRPr="00714401">
        <w:rPr>
          <w:rFonts w:ascii="Book Antiqua" w:eastAsia="宋体" w:hAnsi="Book Antiqua" w:cs="宋体"/>
          <w:sz w:val="24"/>
          <w:szCs w:val="24"/>
          <w:lang w:val="en-US" w:eastAsia="zh-CN"/>
        </w:rPr>
        <w:t>Lahner</w:t>
      </w:r>
      <w:proofErr w:type="spellEnd"/>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Berlakovich</w:t>
      </w:r>
      <w:proofErr w:type="spellEnd"/>
      <w:r w:rsidRPr="00714401">
        <w:rPr>
          <w:rFonts w:ascii="Book Antiqua" w:eastAsia="宋体" w:hAnsi="Book Antiqua" w:cs="宋体"/>
          <w:sz w:val="24"/>
          <w:szCs w:val="24"/>
          <w:lang w:val="en-US" w:eastAsia="zh-CN"/>
        </w:rPr>
        <w:t xml:space="preserve"> G, </w:t>
      </w:r>
      <w:proofErr w:type="spellStart"/>
      <w:r w:rsidRPr="00714401">
        <w:rPr>
          <w:rFonts w:ascii="Book Antiqua" w:eastAsia="宋体" w:hAnsi="Book Antiqua" w:cs="宋体"/>
          <w:sz w:val="24"/>
          <w:szCs w:val="24"/>
          <w:lang w:val="en-US" w:eastAsia="zh-CN"/>
        </w:rPr>
        <w:t>Steltzer</w:t>
      </w:r>
      <w:proofErr w:type="spellEnd"/>
      <w:r w:rsidRPr="00714401">
        <w:rPr>
          <w:rFonts w:ascii="Book Antiqua" w:eastAsia="宋体" w:hAnsi="Book Antiqua" w:cs="宋体"/>
          <w:sz w:val="24"/>
          <w:szCs w:val="24"/>
          <w:lang w:val="en-US" w:eastAsia="zh-CN"/>
        </w:rPr>
        <w:t xml:space="preserve"> H, </w:t>
      </w:r>
      <w:proofErr w:type="spellStart"/>
      <w:r w:rsidRPr="00714401">
        <w:rPr>
          <w:rFonts w:ascii="Book Antiqua" w:eastAsia="宋体" w:hAnsi="Book Antiqua" w:cs="宋体"/>
          <w:sz w:val="24"/>
          <w:szCs w:val="24"/>
          <w:lang w:val="en-US" w:eastAsia="zh-CN"/>
        </w:rPr>
        <w:t>Hetz</w:t>
      </w:r>
      <w:proofErr w:type="spellEnd"/>
      <w:r w:rsidRPr="00714401">
        <w:rPr>
          <w:rFonts w:ascii="Book Antiqua" w:eastAsia="宋体" w:hAnsi="Book Antiqua" w:cs="宋体"/>
          <w:sz w:val="24"/>
          <w:szCs w:val="24"/>
          <w:lang w:val="en-US" w:eastAsia="zh-CN"/>
        </w:rPr>
        <w:t xml:space="preserve"> H. Comparison of invasive and noninvasive measurement of plasma disappearance rate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in patients undergoing liver transplantation: a prospective investigator-blinded study.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2004; </w:t>
      </w:r>
      <w:r w:rsidRPr="00714401">
        <w:rPr>
          <w:rFonts w:ascii="Book Antiqua" w:eastAsia="宋体" w:hAnsi="Book Antiqua" w:cs="宋体"/>
          <w:b/>
          <w:bCs/>
          <w:sz w:val="24"/>
          <w:szCs w:val="24"/>
          <w:lang w:val="en-US" w:eastAsia="zh-CN"/>
        </w:rPr>
        <w:t>10</w:t>
      </w:r>
      <w:r w:rsidRPr="00714401">
        <w:rPr>
          <w:rFonts w:ascii="Book Antiqua" w:eastAsia="宋体" w:hAnsi="Book Antiqua" w:cs="宋体"/>
          <w:sz w:val="24"/>
          <w:szCs w:val="24"/>
          <w:lang w:val="en-US" w:eastAsia="zh-CN"/>
        </w:rPr>
        <w:t>: 1060-1064 [PMID: 15390334]</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19 </w:t>
      </w:r>
      <w:proofErr w:type="spellStart"/>
      <w:r w:rsidRPr="00714401">
        <w:rPr>
          <w:rFonts w:ascii="Book Antiqua" w:eastAsia="宋体" w:hAnsi="Book Antiqua" w:cs="宋体"/>
          <w:b/>
          <w:bCs/>
          <w:sz w:val="24"/>
          <w:szCs w:val="24"/>
          <w:lang w:val="en-US" w:eastAsia="zh-CN"/>
        </w:rPr>
        <w:t>Kisch</w:t>
      </w:r>
      <w:proofErr w:type="spellEnd"/>
      <w:r w:rsidRPr="00714401">
        <w:rPr>
          <w:rFonts w:ascii="Book Antiqua" w:eastAsia="宋体" w:hAnsi="Book Antiqua" w:cs="宋体"/>
          <w:b/>
          <w:bCs/>
          <w:sz w:val="24"/>
          <w:szCs w:val="24"/>
          <w:lang w:val="en-US" w:eastAsia="zh-CN"/>
        </w:rPr>
        <w:t xml:space="preserve"> H</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Leucht</w:t>
      </w:r>
      <w:proofErr w:type="spellEnd"/>
      <w:r w:rsidRPr="00714401">
        <w:rPr>
          <w:rFonts w:ascii="Book Antiqua" w:eastAsia="宋体" w:hAnsi="Book Antiqua" w:cs="宋体"/>
          <w:sz w:val="24"/>
          <w:szCs w:val="24"/>
          <w:lang w:val="en-US" w:eastAsia="zh-CN"/>
        </w:rPr>
        <w:t xml:space="preserve"> S, </w:t>
      </w:r>
      <w:proofErr w:type="spellStart"/>
      <w:r w:rsidRPr="00714401">
        <w:rPr>
          <w:rFonts w:ascii="Book Antiqua" w:eastAsia="宋体" w:hAnsi="Book Antiqua" w:cs="宋体"/>
          <w:sz w:val="24"/>
          <w:szCs w:val="24"/>
          <w:lang w:val="en-US" w:eastAsia="zh-CN"/>
        </w:rPr>
        <w:t>Lichtwarck-Aschoff</w:t>
      </w:r>
      <w:proofErr w:type="spellEnd"/>
      <w:r w:rsidRPr="00714401">
        <w:rPr>
          <w:rFonts w:ascii="Book Antiqua" w:eastAsia="宋体" w:hAnsi="Book Antiqua" w:cs="宋体"/>
          <w:sz w:val="24"/>
          <w:szCs w:val="24"/>
          <w:lang w:val="en-US" w:eastAsia="zh-CN"/>
        </w:rPr>
        <w:t xml:space="preserve"> M, Pfeiffer UJ. Accuracy and reproducibility of the measurement of actively circulating blood volume with an integrated </w:t>
      </w:r>
      <w:proofErr w:type="spellStart"/>
      <w:r w:rsidRPr="00714401">
        <w:rPr>
          <w:rFonts w:ascii="Book Antiqua" w:eastAsia="宋体" w:hAnsi="Book Antiqua" w:cs="宋体"/>
          <w:sz w:val="24"/>
          <w:szCs w:val="24"/>
          <w:lang w:val="en-US" w:eastAsia="zh-CN"/>
        </w:rPr>
        <w:t>fiberoptic</w:t>
      </w:r>
      <w:proofErr w:type="spellEnd"/>
      <w:r w:rsidRPr="00714401">
        <w:rPr>
          <w:rFonts w:ascii="Book Antiqua" w:eastAsia="宋体" w:hAnsi="Book Antiqua" w:cs="宋体"/>
          <w:sz w:val="24"/>
          <w:szCs w:val="24"/>
          <w:lang w:val="en-US" w:eastAsia="zh-CN"/>
        </w:rPr>
        <w:t xml:space="preserve"> monitoring system. </w:t>
      </w:r>
      <w:proofErr w:type="spellStart"/>
      <w:r w:rsidRPr="00714401">
        <w:rPr>
          <w:rFonts w:ascii="Book Antiqua" w:eastAsia="宋体" w:hAnsi="Book Antiqua" w:cs="宋体"/>
          <w:i/>
          <w:iCs/>
          <w:sz w:val="24"/>
          <w:szCs w:val="24"/>
          <w:lang w:val="en-US" w:eastAsia="zh-CN"/>
        </w:rPr>
        <w:t>Crit</w:t>
      </w:r>
      <w:proofErr w:type="spellEnd"/>
      <w:r w:rsidRPr="00714401">
        <w:rPr>
          <w:rFonts w:ascii="Book Antiqua" w:eastAsia="宋体" w:hAnsi="Book Antiqua" w:cs="宋体"/>
          <w:i/>
          <w:iCs/>
          <w:sz w:val="24"/>
          <w:szCs w:val="24"/>
          <w:lang w:val="en-US" w:eastAsia="zh-CN"/>
        </w:rPr>
        <w:t xml:space="preserve"> Care Med</w:t>
      </w:r>
      <w:r w:rsidRPr="00714401">
        <w:rPr>
          <w:rFonts w:ascii="Book Antiqua" w:eastAsia="宋体" w:hAnsi="Book Antiqua" w:cs="宋体"/>
          <w:sz w:val="24"/>
          <w:szCs w:val="24"/>
          <w:lang w:val="en-US" w:eastAsia="zh-CN"/>
        </w:rPr>
        <w:t xml:space="preserve"> 1995; </w:t>
      </w:r>
      <w:r w:rsidRPr="00714401">
        <w:rPr>
          <w:rFonts w:ascii="Book Antiqua" w:eastAsia="宋体" w:hAnsi="Book Antiqua" w:cs="宋体"/>
          <w:b/>
          <w:bCs/>
          <w:sz w:val="24"/>
          <w:szCs w:val="24"/>
          <w:lang w:val="en-US" w:eastAsia="zh-CN"/>
        </w:rPr>
        <w:t>23</w:t>
      </w:r>
      <w:r w:rsidRPr="00714401">
        <w:rPr>
          <w:rFonts w:ascii="Book Antiqua" w:eastAsia="宋体" w:hAnsi="Book Antiqua" w:cs="宋体"/>
          <w:sz w:val="24"/>
          <w:szCs w:val="24"/>
          <w:lang w:val="en-US" w:eastAsia="zh-CN"/>
        </w:rPr>
        <w:t>: 885-893 [PMID: 7736747 DOI: 10.1097/00003246-199505000-00017]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20 </w:t>
      </w:r>
      <w:proofErr w:type="spellStart"/>
      <w:r w:rsidRPr="00714401">
        <w:rPr>
          <w:rFonts w:ascii="Book Antiqua" w:eastAsia="宋体" w:hAnsi="Book Antiqua" w:cs="宋体"/>
          <w:b/>
          <w:bCs/>
          <w:sz w:val="24"/>
          <w:szCs w:val="24"/>
          <w:lang w:val="en-US" w:eastAsia="zh-CN"/>
        </w:rPr>
        <w:t>Iijima</w:t>
      </w:r>
      <w:proofErr w:type="spellEnd"/>
      <w:r w:rsidRPr="00714401">
        <w:rPr>
          <w:rFonts w:ascii="Book Antiqua" w:eastAsia="宋体" w:hAnsi="Book Antiqua" w:cs="宋体"/>
          <w:b/>
          <w:bCs/>
          <w:sz w:val="24"/>
          <w:szCs w:val="24"/>
          <w:lang w:val="en-US" w:eastAsia="zh-CN"/>
        </w:rPr>
        <w:t xml:space="preserve"> T</w:t>
      </w:r>
      <w:r w:rsidRPr="00714401">
        <w:rPr>
          <w:rFonts w:ascii="Book Antiqua" w:eastAsia="宋体" w:hAnsi="Book Antiqua" w:cs="宋体"/>
          <w:sz w:val="24"/>
          <w:szCs w:val="24"/>
          <w:lang w:val="en-US" w:eastAsia="zh-CN"/>
        </w:rPr>
        <w:t xml:space="preserve">, Aoyagi T, </w:t>
      </w:r>
      <w:proofErr w:type="spellStart"/>
      <w:r w:rsidRPr="00714401">
        <w:rPr>
          <w:rFonts w:ascii="Book Antiqua" w:eastAsia="宋体" w:hAnsi="Book Antiqua" w:cs="宋体"/>
          <w:sz w:val="24"/>
          <w:szCs w:val="24"/>
          <w:lang w:val="en-US" w:eastAsia="zh-CN"/>
        </w:rPr>
        <w:t>Iwao</w:t>
      </w:r>
      <w:proofErr w:type="spellEnd"/>
      <w:r w:rsidRPr="00714401">
        <w:rPr>
          <w:rFonts w:ascii="Book Antiqua" w:eastAsia="宋体" w:hAnsi="Book Antiqua" w:cs="宋体"/>
          <w:sz w:val="24"/>
          <w:szCs w:val="24"/>
          <w:lang w:val="en-US" w:eastAsia="zh-CN"/>
        </w:rPr>
        <w:t xml:space="preserve"> Y, Masuda J, Fuse M, Kobayashi N, </w:t>
      </w:r>
      <w:proofErr w:type="spellStart"/>
      <w:r w:rsidRPr="00714401">
        <w:rPr>
          <w:rFonts w:ascii="Book Antiqua" w:eastAsia="宋体" w:hAnsi="Book Antiqua" w:cs="宋体"/>
          <w:sz w:val="24"/>
          <w:szCs w:val="24"/>
          <w:lang w:val="en-US" w:eastAsia="zh-CN"/>
        </w:rPr>
        <w:t>Sankawa</w:t>
      </w:r>
      <w:proofErr w:type="spellEnd"/>
      <w:r w:rsidRPr="00714401">
        <w:rPr>
          <w:rFonts w:ascii="Book Antiqua" w:eastAsia="宋体" w:hAnsi="Book Antiqua" w:cs="宋体"/>
          <w:sz w:val="24"/>
          <w:szCs w:val="24"/>
          <w:lang w:val="en-US" w:eastAsia="zh-CN"/>
        </w:rPr>
        <w:t xml:space="preserve"> H. Cardiac output and circulating blood volume analysis by pulse dye-densitometry.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Monit</w:t>
      </w:r>
      <w:proofErr w:type="spellEnd"/>
      <w:r w:rsidRPr="00714401">
        <w:rPr>
          <w:rFonts w:ascii="Book Antiqua" w:eastAsia="宋体" w:hAnsi="Book Antiqua" w:cs="宋体"/>
          <w:sz w:val="24"/>
          <w:szCs w:val="24"/>
          <w:lang w:val="en-US" w:eastAsia="zh-CN"/>
        </w:rPr>
        <w:t xml:space="preserve"> 1997; </w:t>
      </w:r>
      <w:r w:rsidRPr="00714401">
        <w:rPr>
          <w:rFonts w:ascii="Book Antiqua" w:eastAsia="宋体" w:hAnsi="Book Antiqua" w:cs="宋体"/>
          <w:b/>
          <w:bCs/>
          <w:sz w:val="24"/>
          <w:szCs w:val="24"/>
          <w:lang w:val="en-US" w:eastAsia="zh-CN"/>
        </w:rPr>
        <w:t>13</w:t>
      </w:r>
      <w:r w:rsidRPr="00714401">
        <w:rPr>
          <w:rFonts w:ascii="Book Antiqua" w:eastAsia="宋体" w:hAnsi="Book Antiqua" w:cs="宋体"/>
          <w:sz w:val="24"/>
          <w:szCs w:val="24"/>
          <w:lang w:val="en-US" w:eastAsia="zh-CN"/>
        </w:rPr>
        <w:t>: 81-89 [PMID: 9112203]</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21 </w:t>
      </w:r>
      <w:proofErr w:type="spellStart"/>
      <w:r w:rsidRPr="00714401">
        <w:rPr>
          <w:rFonts w:ascii="Book Antiqua" w:eastAsia="宋体" w:hAnsi="Book Antiqua" w:cs="宋体"/>
          <w:b/>
          <w:bCs/>
          <w:sz w:val="24"/>
          <w:szCs w:val="24"/>
          <w:lang w:val="en-US" w:eastAsia="zh-CN"/>
        </w:rPr>
        <w:t>Sakka</w:t>
      </w:r>
      <w:proofErr w:type="spellEnd"/>
      <w:r w:rsidRPr="00714401">
        <w:rPr>
          <w:rFonts w:ascii="Book Antiqua" w:eastAsia="宋体" w:hAnsi="Book Antiqua" w:cs="宋体"/>
          <w:b/>
          <w:bCs/>
          <w:sz w:val="24"/>
          <w:szCs w:val="24"/>
          <w:lang w:val="en-US" w:eastAsia="zh-CN"/>
        </w:rPr>
        <w:t xml:space="preserve"> SG</w:t>
      </w:r>
      <w:r w:rsidRPr="00714401">
        <w:rPr>
          <w:rFonts w:ascii="Book Antiqua" w:eastAsia="宋体" w:hAnsi="Book Antiqua" w:cs="宋体"/>
          <w:sz w:val="24"/>
          <w:szCs w:val="24"/>
          <w:lang w:val="en-US" w:eastAsia="zh-CN"/>
        </w:rPr>
        <w:t xml:space="preserve">, Reinhart K, Meier-Hellmann A. Comparison of invasive and noninvasive measurements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plasma disappearance rate in critically ill patients with mechanical ventilation and stable hemodynamics. </w:t>
      </w:r>
      <w:r w:rsidRPr="00714401">
        <w:rPr>
          <w:rFonts w:ascii="Book Antiqua" w:eastAsia="宋体" w:hAnsi="Book Antiqua" w:cs="宋体"/>
          <w:i/>
          <w:iCs/>
          <w:sz w:val="24"/>
          <w:szCs w:val="24"/>
          <w:lang w:val="en-US" w:eastAsia="zh-CN"/>
        </w:rPr>
        <w:t>Intensive Care Med</w:t>
      </w:r>
      <w:r w:rsidRPr="00714401">
        <w:rPr>
          <w:rFonts w:ascii="Book Antiqua" w:eastAsia="宋体" w:hAnsi="Book Antiqua" w:cs="宋体"/>
          <w:sz w:val="24"/>
          <w:szCs w:val="24"/>
          <w:lang w:val="en-US" w:eastAsia="zh-CN"/>
        </w:rPr>
        <w:t xml:space="preserve"> 2000; </w:t>
      </w:r>
      <w:r w:rsidRPr="00714401">
        <w:rPr>
          <w:rFonts w:ascii="Book Antiqua" w:eastAsia="宋体" w:hAnsi="Book Antiqua" w:cs="宋体"/>
          <w:b/>
          <w:bCs/>
          <w:sz w:val="24"/>
          <w:szCs w:val="24"/>
          <w:lang w:val="en-US" w:eastAsia="zh-CN"/>
        </w:rPr>
        <w:t>26</w:t>
      </w:r>
      <w:r w:rsidRPr="00714401">
        <w:rPr>
          <w:rFonts w:ascii="Book Antiqua" w:eastAsia="宋体" w:hAnsi="Book Antiqua" w:cs="宋体"/>
          <w:sz w:val="24"/>
          <w:szCs w:val="24"/>
          <w:lang w:val="en-US" w:eastAsia="zh-CN"/>
        </w:rPr>
        <w:t>: 1553-1556 [PMID: 11126271]</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lastRenderedPageBreak/>
        <w:t xml:space="preserve">22 </w:t>
      </w:r>
      <w:r w:rsidRPr="00714401">
        <w:rPr>
          <w:rFonts w:ascii="Book Antiqua" w:eastAsia="宋体" w:hAnsi="Book Antiqua" w:cs="宋体"/>
          <w:b/>
          <w:bCs/>
          <w:sz w:val="24"/>
          <w:szCs w:val="24"/>
          <w:lang w:val="en-US" w:eastAsia="zh-CN"/>
        </w:rPr>
        <w:t>Purcell R</w:t>
      </w:r>
      <w:r w:rsidRPr="00714401">
        <w:rPr>
          <w:rFonts w:ascii="Book Antiqua" w:eastAsia="宋体" w:hAnsi="Book Antiqua" w:cs="宋体"/>
          <w:sz w:val="24"/>
          <w:szCs w:val="24"/>
          <w:lang w:val="en-US" w:eastAsia="zh-CN"/>
        </w:rPr>
        <w:t xml:space="preserve">, Kruger P, Jones M.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elimination: a comparison of the </w:t>
      </w:r>
      <w:proofErr w:type="spellStart"/>
      <w:r w:rsidRPr="00714401">
        <w:rPr>
          <w:rFonts w:ascii="Book Antiqua" w:eastAsia="宋体" w:hAnsi="Book Antiqua" w:cs="宋体"/>
          <w:sz w:val="24"/>
          <w:szCs w:val="24"/>
          <w:lang w:val="en-US" w:eastAsia="zh-CN"/>
        </w:rPr>
        <w:t>LiMON</w:t>
      </w:r>
      <w:proofErr w:type="spellEnd"/>
      <w:r w:rsidRPr="00714401">
        <w:rPr>
          <w:rFonts w:ascii="Book Antiqua" w:eastAsia="宋体" w:hAnsi="Book Antiqua" w:cs="宋体"/>
          <w:sz w:val="24"/>
          <w:szCs w:val="24"/>
          <w:lang w:val="en-US" w:eastAsia="zh-CN"/>
        </w:rPr>
        <w:t xml:space="preserve"> and serial blood sampling methods. </w:t>
      </w:r>
      <w:r w:rsidRPr="00714401">
        <w:rPr>
          <w:rFonts w:ascii="Book Antiqua" w:eastAsia="宋体" w:hAnsi="Book Antiqua" w:cs="宋体"/>
          <w:i/>
          <w:iCs/>
          <w:sz w:val="24"/>
          <w:szCs w:val="24"/>
          <w:lang w:val="en-US" w:eastAsia="zh-CN"/>
        </w:rPr>
        <w:t xml:space="preserve">ANZ J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w:t>
      </w:r>
      <w:r w:rsidR="00C77256" w:rsidRPr="00714401">
        <w:rPr>
          <w:rFonts w:ascii="Book Antiqua" w:eastAsia="宋体" w:hAnsi="Book Antiqua" w:cs="宋体" w:hint="eastAsia"/>
          <w:sz w:val="24"/>
          <w:szCs w:val="24"/>
          <w:lang w:val="en-US" w:eastAsia="zh-CN"/>
        </w:rPr>
        <w:t>2006</w:t>
      </w:r>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b/>
          <w:bCs/>
          <w:sz w:val="24"/>
          <w:szCs w:val="24"/>
          <w:lang w:val="en-US" w:eastAsia="zh-CN"/>
        </w:rPr>
        <w:t>76</w:t>
      </w:r>
      <w:r w:rsidRPr="00714401">
        <w:rPr>
          <w:rFonts w:ascii="Book Antiqua" w:eastAsia="宋体" w:hAnsi="Book Antiqua" w:cs="宋体"/>
          <w:sz w:val="24"/>
          <w:szCs w:val="24"/>
          <w:lang w:val="en-US" w:eastAsia="zh-CN"/>
        </w:rPr>
        <w:t>: 75-77 [PMID: 16483302 DOI: 10.1111/j.1445-2197.2006.03643.x]</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23 </w:t>
      </w:r>
      <w:proofErr w:type="spellStart"/>
      <w:r w:rsidRPr="00714401">
        <w:rPr>
          <w:rFonts w:ascii="Book Antiqua" w:eastAsia="宋体" w:hAnsi="Book Antiqua" w:cs="宋体"/>
          <w:b/>
          <w:bCs/>
          <w:sz w:val="24"/>
          <w:szCs w:val="24"/>
          <w:lang w:val="en-US" w:eastAsia="zh-CN"/>
        </w:rPr>
        <w:t>Seyama</w:t>
      </w:r>
      <w:proofErr w:type="spellEnd"/>
      <w:r w:rsidRPr="00714401">
        <w:rPr>
          <w:rFonts w:ascii="Book Antiqua" w:eastAsia="宋体" w:hAnsi="Book Antiqua" w:cs="宋体"/>
          <w:b/>
          <w:bCs/>
          <w:sz w:val="24"/>
          <w:szCs w:val="24"/>
          <w:lang w:val="en-US" w:eastAsia="zh-CN"/>
        </w:rPr>
        <w:t xml:space="preserve"> Y</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Kokudo</w:t>
      </w:r>
      <w:proofErr w:type="spellEnd"/>
      <w:r w:rsidRPr="00714401">
        <w:rPr>
          <w:rFonts w:ascii="Book Antiqua" w:eastAsia="宋体" w:hAnsi="Book Antiqua" w:cs="宋体"/>
          <w:sz w:val="24"/>
          <w:szCs w:val="24"/>
          <w:lang w:val="en-US" w:eastAsia="zh-CN"/>
        </w:rPr>
        <w:t xml:space="preserve"> N. Assessment of liver function for safe hepatic resection. </w:t>
      </w:r>
      <w:proofErr w:type="spellStart"/>
      <w:r w:rsidRPr="00714401">
        <w:rPr>
          <w:rFonts w:ascii="Book Antiqua" w:eastAsia="宋体" w:hAnsi="Book Antiqua" w:cs="宋体"/>
          <w:i/>
          <w:iCs/>
          <w:sz w:val="24"/>
          <w:szCs w:val="24"/>
          <w:lang w:val="en-US" w:eastAsia="zh-CN"/>
        </w:rPr>
        <w:t>Hepatol</w:t>
      </w:r>
      <w:proofErr w:type="spellEnd"/>
      <w:r w:rsidRPr="00714401">
        <w:rPr>
          <w:rFonts w:ascii="Book Antiqua" w:eastAsia="宋体" w:hAnsi="Book Antiqua" w:cs="宋体"/>
          <w:i/>
          <w:iCs/>
          <w:sz w:val="24"/>
          <w:szCs w:val="24"/>
          <w:lang w:val="en-US" w:eastAsia="zh-CN"/>
        </w:rPr>
        <w:t xml:space="preserve"> Res</w:t>
      </w:r>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39</w:t>
      </w:r>
      <w:r w:rsidRPr="00714401">
        <w:rPr>
          <w:rFonts w:ascii="Book Antiqua" w:eastAsia="宋体" w:hAnsi="Book Antiqua" w:cs="宋体"/>
          <w:sz w:val="24"/>
          <w:szCs w:val="24"/>
          <w:lang w:val="en-US" w:eastAsia="zh-CN"/>
        </w:rPr>
        <w:t>: 107-116 [PMID: 19208031 DOI: 10.1111/j.1872-034X.2008.00441.x]</w:t>
      </w:r>
    </w:p>
    <w:p w:rsidR="00C1277A" w:rsidRPr="00714401" w:rsidRDefault="00C77256"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24 </w:t>
      </w:r>
      <w:proofErr w:type="spellStart"/>
      <w:r w:rsidR="00C1277A" w:rsidRPr="00714401">
        <w:rPr>
          <w:rFonts w:ascii="Book Antiqua" w:eastAsia="宋体" w:hAnsi="Book Antiqua" w:cs="宋体"/>
          <w:b/>
          <w:sz w:val="24"/>
          <w:szCs w:val="24"/>
          <w:lang w:val="en-US" w:eastAsia="zh-CN"/>
        </w:rPr>
        <w:t>Mazza</w:t>
      </w:r>
      <w:proofErr w:type="spellEnd"/>
      <w:r w:rsidR="00C1277A" w:rsidRPr="00714401">
        <w:rPr>
          <w:rFonts w:ascii="Book Antiqua" w:eastAsia="宋体" w:hAnsi="Book Antiqua" w:cs="宋体"/>
          <w:b/>
          <w:sz w:val="24"/>
          <w:szCs w:val="24"/>
          <w:lang w:val="en-US" w:eastAsia="zh-CN"/>
        </w:rPr>
        <w:t xml:space="preserve"> E</w:t>
      </w:r>
      <w:r w:rsidR="00C1277A" w:rsidRPr="00714401">
        <w:rPr>
          <w:rFonts w:ascii="Book Antiqua" w:eastAsia="宋体" w:hAnsi="Book Antiqua" w:cs="宋体"/>
          <w:sz w:val="24"/>
          <w:szCs w:val="24"/>
          <w:lang w:val="en-US" w:eastAsia="zh-CN"/>
        </w:rPr>
        <w:t xml:space="preserve">, </w:t>
      </w:r>
      <w:proofErr w:type="spellStart"/>
      <w:r w:rsidR="00C1277A" w:rsidRPr="00714401">
        <w:rPr>
          <w:rFonts w:ascii="Book Antiqua" w:eastAsia="宋体" w:hAnsi="Book Antiqua" w:cs="宋体"/>
          <w:sz w:val="24"/>
          <w:szCs w:val="24"/>
          <w:lang w:val="en-US" w:eastAsia="zh-CN"/>
        </w:rPr>
        <w:t>Prosperi</w:t>
      </w:r>
      <w:proofErr w:type="spellEnd"/>
      <w:r w:rsidR="00C1277A" w:rsidRPr="00714401">
        <w:rPr>
          <w:rFonts w:ascii="Book Antiqua" w:eastAsia="宋体" w:hAnsi="Book Antiqua" w:cs="宋体"/>
          <w:sz w:val="24"/>
          <w:szCs w:val="24"/>
          <w:lang w:val="en-US" w:eastAsia="zh-CN"/>
        </w:rPr>
        <w:t xml:space="preserve"> M, </w:t>
      </w:r>
      <w:proofErr w:type="spellStart"/>
      <w:r w:rsidR="00C1277A" w:rsidRPr="00714401">
        <w:rPr>
          <w:rFonts w:ascii="Book Antiqua" w:eastAsia="宋体" w:hAnsi="Book Antiqua" w:cs="宋体"/>
          <w:sz w:val="24"/>
          <w:szCs w:val="24"/>
          <w:lang w:val="en-US" w:eastAsia="zh-CN"/>
        </w:rPr>
        <w:t>DeGasperi</w:t>
      </w:r>
      <w:proofErr w:type="spellEnd"/>
      <w:r w:rsidR="00C1277A" w:rsidRPr="00714401">
        <w:rPr>
          <w:rFonts w:ascii="Book Antiqua" w:eastAsia="宋体" w:hAnsi="Book Antiqua" w:cs="宋体"/>
          <w:sz w:val="24"/>
          <w:szCs w:val="24"/>
          <w:lang w:val="en-US" w:eastAsia="zh-CN"/>
        </w:rPr>
        <w:t xml:space="preserve"> A </w:t>
      </w:r>
      <w:proofErr w:type="spellStart"/>
      <w:r w:rsidR="00C1277A" w:rsidRPr="00714401">
        <w:rPr>
          <w:rFonts w:ascii="Book Antiqua" w:eastAsia="宋体" w:hAnsi="Book Antiqua" w:cs="宋体"/>
          <w:sz w:val="24"/>
          <w:szCs w:val="24"/>
          <w:lang w:val="en-US" w:eastAsia="zh-CN"/>
        </w:rPr>
        <w:t>Reggiori</w:t>
      </w:r>
      <w:proofErr w:type="spellEnd"/>
      <w:r w:rsidR="00C1277A" w:rsidRPr="00714401">
        <w:rPr>
          <w:rFonts w:ascii="Book Antiqua" w:eastAsia="宋体" w:hAnsi="Book Antiqua" w:cs="宋体"/>
          <w:sz w:val="24"/>
          <w:szCs w:val="24"/>
          <w:lang w:val="en-US" w:eastAsia="zh-CN"/>
        </w:rPr>
        <w:t xml:space="preserve"> G, </w:t>
      </w:r>
      <w:proofErr w:type="spellStart"/>
      <w:r w:rsidR="00C1277A" w:rsidRPr="00714401">
        <w:rPr>
          <w:rFonts w:ascii="Book Antiqua" w:eastAsia="宋体" w:hAnsi="Book Antiqua" w:cs="宋体"/>
          <w:sz w:val="24"/>
          <w:szCs w:val="24"/>
          <w:lang w:val="en-US" w:eastAsia="zh-CN"/>
        </w:rPr>
        <w:t>Corti</w:t>
      </w:r>
      <w:proofErr w:type="spellEnd"/>
      <w:r w:rsidR="00C1277A" w:rsidRPr="00714401">
        <w:rPr>
          <w:rFonts w:ascii="Book Antiqua" w:eastAsia="宋体" w:hAnsi="Book Antiqua" w:cs="宋体"/>
          <w:sz w:val="24"/>
          <w:szCs w:val="24"/>
          <w:lang w:val="en-US" w:eastAsia="zh-CN"/>
        </w:rPr>
        <w:t xml:space="preserve"> A, </w:t>
      </w:r>
      <w:proofErr w:type="spellStart"/>
      <w:r w:rsidR="00C1277A" w:rsidRPr="00714401">
        <w:rPr>
          <w:rFonts w:ascii="Book Antiqua" w:eastAsia="宋体" w:hAnsi="Book Antiqua" w:cs="宋体"/>
          <w:sz w:val="24"/>
          <w:szCs w:val="24"/>
          <w:lang w:val="en-US" w:eastAsia="zh-CN"/>
        </w:rPr>
        <w:t>Grugni</w:t>
      </w:r>
      <w:proofErr w:type="spellEnd"/>
      <w:r w:rsidR="00C1277A" w:rsidRPr="00714401">
        <w:rPr>
          <w:rFonts w:ascii="Book Antiqua" w:eastAsia="宋体" w:hAnsi="Book Antiqua" w:cs="宋体"/>
          <w:sz w:val="24"/>
          <w:szCs w:val="24"/>
          <w:lang w:val="en-US" w:eastAsia="zh-CN"/>
        </w:rPr>
        <w:t xml:space="preserve"> C, </w:t>
      </w:r>
      <w:proofErr w:type="spellStart"/>
      <w:r w:rsidR="00C1277A" w:rsidRPr="00714401">
        <w:rPr>
          <w:rFonts w:ascii="Book Antiqua" w:eastAsia="宋体" w:hAnsi="Book Antiqua" w:cs="宋体"/>
          <w:sz w:val="24"/>
          <w:szCs w:val="24"/>
          <w:lang w:val="en-US" w:eastAsia="zh-CN"/>
        </w:rPr>
        <w:t>Roselli</w:t>
      </w:r>
      <w:proofErr w:type="spellEnd"/>
      <w:r w:rsidR="00C1277A" w:rsidRPr="00714401">
        <w:rPr>
          <w:rFonts w:ascii="Book Antiqua" w:eastAsia="宋体" w:hAnsi="Book Antiqua" w:cs="宋体"/>
          <w:sz w:val="24"/>
          <w:szCs w:val="24"/>
          <w:lang w:val="en-US" w:eastAsia="zh-CN"/>
        </w:rPr>
        <w:t xml:space="preserve"> E, </w:t>
      </w:r>
      <w:proofErr w:type="spellStart"/>
      <w:r w:rsidR="00C1277A" w:rsidRPr="00714401">
        <w:rPr>
          <w:rFonts w:ascii="Book Antiqua" w:eastAsia="宋体" w:hAnsi="Book Antiqua" w:cs="宋体"/>
          <w:sz w:val="24"/>
          <w:szCs w:val="24"/>
          <w:lang w:val="en-US" w:eastAsia="zh-CN"/>
        </w:rPr>
        <w:t>Marchesi</w:t>
      </w:r>
      <w:proofErr w:type="spellEnd"/>
      <w:r w:rsidR="00C1277A" w:rsidRPr="00714401">
        <w:rPr>
          <w:rFonts w:ascii="Book Antiqua" w:eastAsia="宋体" w:hAnsi="Book Antiqua" w:cs="宋体"/>
          <w:sz w:val="24"/>
          <w:szCs w:val="24"/>
          <w:lang w:val="en-US" w:eastAsia="zh-CN"/>
        </w:rPr>
        <w:t xml:space="preserve"> M, Amici O, </w:t>
      </w:r>
      <w:proofErr w:type="spellStart"/>
      <w:r w:rsidR="00C1277A" w:rsidRPr="00714401">
        <w:rPr>
          <w:rFonts w:ascii="Book Antiqua" w:eastAsia="宋体" w:hAnsi="Book Antiqua" w:cs="宋体"/>
          <w:sz w:val="24"/>
          <w:szCs w:val="24"/>
          <w:lang w:val="en-US" w:eastAsia="zh-CN"/>
        </w:rPr>
        <w:t>Nichelatti</w:t>
      </w:r>
      <w:proofErr w:type="spellEnd"/>
      <w:r w:rsidR="00C1277A" w:rsidRPr="00714401">
        <w:rPr>
          <w:rFonts w:ascii="Book Antiqua" w:eastAsia="宋体" w:hAnsi="Book Antiqua" w:cs="宋体"/>
          <w:sz w:val="24"/>
          <w:szCs w:val="24"/>
          <w:lang w:val="en-US" w:eastAsia="zh-CN"/>
        </w:rPr>
        <w:t xml:space="preserve"> M, </w:t>
      </w:r>
      <w:proofErr w:type="spellStart"/>
      <w:r w:rsidR="00C1277A" w:rsidRPr="00714401">
        <w:rPr>
          <w:rFonts w:ascii="Book Antiqua" w:eastAsia="宋体" w:hAnsi="Book Antiqua" w:cs="宋体"/>
          <w:sz w:val="24"/>
          <w:szCs w:val="24"/>
          <w:lang w:val="en-US" w:eastAsia="zh-CN"/>
        </w:rPr>
        <w:t>Pavani</w:t>
      </w:r>
      <w:proofErr w:type="spellEnd"/>
      <w:r w:rsidR="00C1277A" w:rsidRPr="00714401">
        <w:rPr>
          <w:rFonts w:ascii="Book Antiqua" w:eastAsia="宋体" w:hAnsi="Book Antiqua" w:cs="宋体"/>
          <w:sz w:val="24"/>
          <w:szCs w:val="24"/>
          <w:lang w:val="en-US" w:eastAsia="zh-CN"/>
        </w:rPr>
        <w:t xml:space="preserve"> M. Plasma disappearance rate of </w:t>
      </w:r>
      <w:proofErr w:type="spellStart"/>
      <w:r w:rsidR="00C1277A" w:rsidRPr="00714401">
        <w:rPr>
          <w:rFonts w:ascii="Book Antiqua" w:eastAsia="宋体" w:hAnsi="Book Antiqua" w:cs="宋体"/>
          <w:sz w:val="24"/>
          <w:szCs w:val="24"/>
          <w:lang w:val="en-US" w:eastAsia="zh-CN"/>
        </w:rPr>
        <w:t>indocyanine</w:t>
      </w:r>
      <w:proofErr w:type="spellEnd"/>
      <w:r w:rsidR="00C1277A" w:rsidRPr="00714401">
        <w:rPr>
          <w:rFonts w:ascii="Book Antiqua" w:eastAsia="宋体" w:hAnsi="Book Antiqua" w:cs="宋体"/>
          <w:sz w:val="24"/>
          <w:szCs w:val="24"/>
          <w:lang w:val="en-US" w:eastAsia="zh-CN"/>
        </w:rPr>
        <w:t xml:space="preserve"> green after liver transplantation: always a reliable tool to predict graft function and out come? </w:t>
      </w:r>
      <w:r w:rsidR="00C1277A" w:rsidRPr="00714401">
        <w:rPr>
          <w:rFonts w:ascii="Book Antiqua" w:eastAsia="宋体" w:hAnsi="Book Antiqua" w:cs="宋体"/>
          <w:i/>
          <w:sz w:val="24"/>
          <w:szCs w:val="24"/>
          <w:lang w:val="en-US" w:eastAsia="zh-CN"/>
        </w:rPr>
        <w:t xml:space="preserve">Liver </w:t>
      </w:r>
      <w:proofErr w:type="spellStart"/>
      <w:r w:rsidR="00C1277A" w:rsidRPr="00714401">
        <w:rPr>
          <w:rFonts w:ascii="Book Antiqua" w:eastAsia="宋体" w:hAnsi="Book Antiqua" w:cs="宋体"/>
          <w:i/>
          <w:sz w:val="24"/>
          <w:szCs w:val="24"/>
          <w:lang w:val="en-US" w:eastAsia="zh-CN"/>
        </w:rPr>
        <w:t>Transpl</w:t>
      </w:r>
      <w:proofErr w:type="spellEnd"/>
      <w:r w:rsidR="00C1277A" w:rsidRPr="00714401">
        <w:rPr>
          <w:rFonts w:ascii="Book Antiqua" w:eastAsia="宋体" w:hAnsi="Book Antiqua" w:cs="宋体"/>
          <w:sz w:val="24"/>
          <w:szCs w:val="24"/>
          <w:lang w:val="en-US" w:eastAsia="zh-CN"/>
        </w:rPr>
        <w:t xml:space="preserve"> 2008; </w:t>
      </w:r>
      <w:r w:rsidR="00C1277A" w:rsidRPr="00714401">
        <w:rPr>
          <w:rFonts w:ascii="Book Antiqua" w:eastAsia="宋体" w:hAnsi="Book Antiqua" w:cs="宋体"/>
          <w:b/>
          <w:sz w:val="24"/>
          <w:szCs w:val="24"/>
          <w:lang w:val="en-US" w:eastAsia="zh-CN"/>
        </w:rPr>
        <w:t>14</w:t>
      </w:r>
      <w:r w:rsidR="00C1277A" w:rsidRPr="00714401">
        <w:rPr>
          <w:rFonts w:ascii="Book Antiqua" w:eastAsia="宋体" w:hAnsi="Book Antiqua" w:cs="宋体"/>
          <w:sz w:val="24"/>
          <w:szCs w:val="24"/>
          <w:lang w:val="en-US" w:eastAsia="zh-CN"/>
        </w:rPr>
        <w:t>: S201: LB476 [DOI: 10.1002/lt.21569]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25 </w:t>
      </w:r>
      <w:proofErr w:type="spellStart"/>
      <w:r w:rsidRPr="00714401">
        <w:rPr>
          <w:rFonts w:ascii="Book Antiqua" w:eastAsia="宋体" w:hAnsi="Book Antiqua" w:cs="宋体"/>
          <w:b/>
          <w:bCs/>
          <w:sz w:val="24"/>
          <w:szCs w:val="24"/>
          <w:lang w:val="en-US" w:eastAsia="zh-CN"/>
        </w:rPr>
        <w:t>Lisotti</w:t>
      </w:r>
      <w:proofErr w:type="spellEnd"/>
      <w:r w:rsidRPr="00714401">
        <w:rPr>
          <w:rFonts w:ascii="Book Antiqua" w:eastAsia="宋体" w:hAnsi="Book Antiqua" w:cs="宋体"/>
          <w:b/>
          <w:bCs/>
          <w:sz w:val="24"/>
          <w:szCs w:val="24"/>
          <w:lang w:val="en-US" w:eastAsia="zh-CN"/>
        </w:rPr>
        <w:t xml:space="preserve"> A</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Azzaroli</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Buonfiglioli</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Montagnani</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Cecinato</w:t>
      </w:r>
      <w:proofErr w:type="spellEnd"/>
      <w:r w:rsidRPr="00714401">
        <w:rPr>
          <w:rFonts w:ascii="Book Antiqua" w:eastAsia="宋体" w:hAnsi="Book Antiqua" w:cs="宋体"/>
          <w:sz w:val="24"/>
          <w:szCs w:val="24"/>
          <w:lang w:val="en-US" w:eastAsia="zh-CN"/>
        </w:rPr>
        <w:t xml:space="preserve"> P, Turco L, </w:t>
      </w:r>
      <w:proofErr w:type="spellStart"/>
      <w:r w:rsidRPr="00714401">
        <w:rPr>
          <w:rFonts w:ascii="Book Antiqua" w:eastAsia="宋体" w:hAnsi="Book Antiqua" w:cs="宋体"/>
          <w:sz w:val="24"/>
          <w:szCs w:val="24"/>
          <w:lang w:val="en-US" w:eastAsia="zh-CN"/>
        </w:rPr>
        <w:t>Calvanese</w:t>
      </w:r>
      <w:proofErr w:type="spellEnd"/>
      <w:r w:rsidRPr="00714401">
        <w:rPr>
          <w:rFonts w:ascii="Book Antiqua" w:eastAsia="宋体" w:hAnsi="Book Antiqua" w:cs="宋体"/>
          <w:sz w:val="24"/>
          <w:szCs w:val="24"/>
          <w:lang w:val="en-US" w:eastAsia="zh-CN"/>
        </w:rPr>
        <w:t xml:space="preserve"> C, </w:t>
      </w:r>
      <w:proofErr w:type="spellStart"/>
      <w:r w:rsidRPr="00714401">
        <w:rPr>
          <w:rFonts w:ascii="Book Antiqua" w:eastAsia="宋体" w:hAnsi="Book Antiqua" w:cs="宋体"/>
          <w:sz w:val="24"/>
          <w:szCs w:val="24"/>
          <w:lang w:val="en-US" w:eastAsia="zh-CN"/>
        </w:rPr>
        <w:t>Simoni</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Guardigli</w:t>
      </w:r>
      <w:proofErr w:type="spellEnd"/>
      <w:r w:rsidRPr="00714401">
        <w:rPr>
          <w:rFonts w:ascii="Book Antiqua" w:eastAsia="宋体" w:hAnsi="Book Antiqua" w:cs="宋体"/>
          <w:sz w:val="24"/>
          <w:szCs w:val="24"/>
          <w:lang w:val="en-US" w:eastAsia="zh-CN"/>
        </w:rPr>
        <w:t xml:space="preserve"> M, Arena R, </w:t>
      </w:r>
      <w:proofErr w:type="spellStart"/>
      <w:r w:rsidRPr="00714401">
        <w:rPr>
          <w:rFonts w:ascii="Book Antiqua" w:eastAsia="宋体" w:hAnsi="Book Antiqua" w:cs="宋体"/>
          <w:sz w:val="24"/>
          <w:szCs w:val="24"/>
          <w:lang w:val="en-US" w:eastAsia="zh-CN"/>
        </w:rPr>
        <w:t>Cucchetti</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Colecchia</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Festi</w:t>
      </w:r>
      <w:proofErr w:type="spellEnd"/>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Golfieri</w:t>
      </w:r>
      <w:proofErr w:type="spellEnd"/>
      <w:r w:rsidRPr="00714401">
        <w:rPr>
          <w:rFonts w:ascii="Book Antiqua" w:eastAsia="宋体" w:hAnsi="Book Antiqua" w:cs="宋体"/>
          <w:sz w:val="24"/>
          <w:szCs w:val="24"/>
          <w:lang w:val="en-US" w:eastAsia="zh-CN"/>
        </w:rPr>
        <w:t xml:space="preserve"> R, </w:t>
      </w:r>
      <w:proofErr w:type="spellStart"/>
      <w:r w:rsidRPr="00714401">
        <w:rPr>
          <w:rFonts w:ascii="Book Antiqua" w:eastAsia="宋体" w:hAnsi="Book Antiqua" w:cs="宋体"/>
          <w:sz w:val="24"/>
          <w:szCs w:val="24"/>
          <w:lang w:val="en-US" w:eastAsia="zh-CN"/>
        </w:rPr>
        <w:t>Mazzella</w:t>
      </w:r>
      <w:proofErr w:type="spellEnd"/>
      <w:r w:rsidRPr="00714401">
        <w:rPr>
          <w:rFonts w:ascii="Book Antiqua" w:eastAsia="宋体" w:hAnsi="Book Antiqua" w:cs="宋体"/>
          <w:sz w:val="24"/>
          <w:szCs w:val="24"/>
          <w:lang w:val="en-US" w:eastAsia="zh-CN"/>
        </w:rPr>
        <w:t xml:space="preserve"> G.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retention test as a noninvasive marker of portal hypertension and esophageal varices in compensated liver cirrhosis. </w:t>
      </w:r>
      <w:r w:rsidRPr="00714401">
        <w:rPr>
          <w:rFonts w:ascii="Book Antiqua" w:eastAsia="宋体" w:hAnsi="Book Antiqua" w:cs="宋体"/>
          <w:i/>
          <w:iCs/>
          <w:sz w:val="24"/>
          <w:szCs w:val="24"/>
          <w:lang w:val="en-US" w:eastAsia="zh-CN"/>
        </w:rPr>
        <w:t>Hepatology</w:t>
      </w:r>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59</w:t>
      </w:r>
      <w:r w:rsidRPr="00714401">
        <w:rPr>
          <w:rFonts w:ascii="Book Antiqua" w:eastAsia="宋体" w:hAnsi="Book Antiqua" w:cs="宋体"/>
          <w:sz w:val="24"/>
          <w:szCs w:val="24"/>
          <w:lang w:val="en-US" w:eastAsia="zh-CN"/>
        </w:rPr>
        <w:t>: 643-650 [PMID: 24038116]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26 </w:t>
      </w:r>
      <w:proofErr w:type="spellStart"/>
      <w:r w:rsidRPr="00714401">
        <w:rPr>
          <w:rFonts w:ascii="Book Antiqua" w:eastAsia="宋体" w:hAnsi="Book Antiqua" w:cs="宋体"/>
          <w:b/>
          <w:bCs/>
          <w:sz w:val="24"/>
          <w:szCs w:val="24"/>
          <w:lang w:val="en-US" w:eastAsia="zh-CN"/>
        </w:rPr>
        <w:t>Manizate</w:t>
      </w:r>
      <w:proofErr w:type="spellEnd"/>
      <w:r w:rsidRPr="00714401">
        <w:rPr>
          <w:rFonts w:ascii="Book Antiqua" w:eastAsia="宋体" w:hAnsi="Book Antiqua" w:cs="宋体"/>
          <w:b/>
          <w:bCs/>
          <w:sz w:val="24"/>
          <w:szCs w:val="24"/>
          <w:lang w:val="en-US" w:eastAsia="zh-CN"/>
        </w:rPr>
        <w:t xml:space="preserve"> F</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Hiotis</w:t>
      </w:r>
      <w:proofErr w:type="spellEnd"/>
      <w:r w:rsidRPr="00714401">
        <w:rPr>
          <w:rFonts w:ascii="Book Antiqua" w:eastAsia="宋体" w:hAnsi="Book Antiqua" w:cs="宋体"/>
          <w:sz w:val="24"/>
          <w:szCs w:val="24"/>
          <w:lang w:val="en-US" w:eastAsia="zh-CN"/>
        </w:rPr>
        <w:t xml:space="preserve"> SP, </w:t>
      </w:r>
      <w:proofErr w:type="spellStart"/>
      <w:r w:rsidRPr="00714401">
        <w:rPr>
          <w:rFonts w:ascii="Book Antiqua" w:eastAsia="宋体" w:hAnsi="Book Antiqua" w:cs="宋体"/>
          <w:sz w:val="24"/>
          <w:szCs w:val="24"/>
          <w:lang w:val="en-US" w:eastAsia="zh-CN"/>
        </w:rPr>
        <w:t>Labow</w:t>
      </w:r>
      <w:proofErr w:type="spellEnd"/>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Roayaie</w:t>
      </w:r>
      <w:proofErr w:type="spellEnd"/>
      <w:r w:rsidRPr="00714401">
        <w:rPr>
          <w:rFonts w:ascii="Book Antiqua" w:eastAsia="宋体" w:hAnsi="Book Antiqua" w:cs="宋体"/>
          <w:sz w:val="24"/>
          <w:szCs w:val="24"/>
          <w:lang w:val="en-US" w:eastAsia="zh-CN"/>
        </w:rPr>
        <w:t xml:space="preserve"> S, Schwartz M. Liver functional reserve estimation: state of the art and relevance for local treatments: the Western perspective.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Sci</w:t>
      </w:r>
      <w:proofErr w:type="spellEnd"/>
      <w:r w:rsidRPr="00714401">
        <w:rPr>
          <w:rFonts w:ascii="Book Antiqua" w:eastAsia="宋体" w:hAnsi="Book Antiqua" w:cs="宋体"/>
          <w:sz w:val="24"/>
          <w:szCs w:val="24"/>
          <w:lang w:val="en-US" w:eastAsia="zh-CN"/>
        </w:rPr>
        <w:t xml:space="preserve"> 2010; </w:t>
      </w:r>
      <w:r w:rsidRPr="00714401">
        <w:rPr>
          <w:rFonts w:ascii="Book Antiqua" w:eastAsia="宋体" w:hAnsi="Book Antiqua" w:cs="宋体"/>
          <w:b/>
          <w:bCs/>
          <w:sz w:val="24"/>
          <w:szCs w:val="24"/>
          <w:lang w:val="en-US" w:eastAsia="zh-CN"/>
        </w:rPr>
        <w:t>17</w:t>
      </w:r>
      <w:r w:rsidRPr="00714401">
        <w:rPr>
          <w:rFonts w:ascii="Book Antiqua" w:eastAsia="宋体" w:hAnsi="Book Antiqua" w:cs="宋体"/>
          <w:sz w:val="24"/>
          <w:szCs w:val="24"/>
          <w:lang w:val="en-US" w:eastAsia="zh-CN"/>
        </w:rPr>
        <w:t>: 385-388 [PMID: 19936599]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27 </w:t>
      </w:r>
      <w:r w:rsidRPr="00714401">
        <w:rPr>
          <w:rFonts w:ascii="Book Antiqua" w:eastAsia="宋体" w:hAnsi="Book Antiqua" w:cs="宋体"/>
          <w:b/>
          <w:bCs/>
          <w:sz w:val="24"/>
          <w:szCs w:val="24"/>
          <w:lang w:val="en-US" w:eastAsia="zh-CN"/>
        </w:rPr>
        <w:t>Imamura H</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Seyama</w:t>
      </w:r>
      <w:proofErr w:type="spellEnd"/>
      <w:r w:rsidRPr="00714401">
        <w:rPr>
          <w:rFonts w:ascii="Book Antiqua" w:eastAsia="宋体" w:hAnsi="Book Antiqua" w:cs="宋体"/>
          <w:sz w:val="24"/>
          <w:szCs w:val="24"/>
          <w:lang w:val="en-US" w:eastAsia="zh-CN"/>
        </w:rPr>
        <w:t xml:space="preserve"> Y, </w:t>
      </w:r>
      <w:proofErr w:type="spellStart"/>
      <w:r w:rsidRPr="00714401">
        <w:rPr>
          <w:rFonts w:ascii="Book Antiqua" w:eastAsia="宋体" w:hAnsi="Book Antiqua" w:cs="宋体"/>
          <w:sz w:val="24"/>
          <w:szCs w:val="24"/>
          <w:lang w:val="en-US" w:eastAsia="zh-CN"/>
        </w:rPr>
        <w:t>Kokudo</w:t>
      </w:r>
      <w:proofErr w:type="spellEnd"/>
      <w:r w:rsidRPr="00714401">
        <w:rPr>
          <w:rFonts w:ascii="Book Antiqua" w:eastAsia="宋体" w:hAnsi="Book Antiqua" w:cs="宋体"/>
          <w:sz w:val="24"/>
          <w:szCs w:val="24"/>
          <w:lang w:val="en-US" w:eastAsia="zh-CN"/>
        </w:rPr>
        <w:t xml:space="preserve"> N, </w:t>
      </w:r>
      <w:proofErr w:type="spellStart"/>
      <w:r w:rsidRPr="00714401">
        <w:rPr>
          <w:rFonts w:ascii="Book Antiqua" w:eastAsia="宋体" w:hAnsi="Book Antiqua" w:cs="宋体"/>
          <w:sz w:val="24"/>
          <w:szCs w:val="24"/>
          <w:lang w:val="en-US" w:eastAsia="zh-CN"/>
        </w:rPr>
        <w:t>Maema</w:t>
      </w:r>
      <w:proofErr w:type="spellEnd"/>
      <w:r w:rsidRPr="00714401">
        <w:rPr>
          <w:rFonts w:ascii="Book Antiqua" w:eastAsia="宋体" w:hAnsi="Book Antiqua" w:cs="宋体"/>
          <w:sz w:val="24"/>
          <w:szCs w:val="24"/>
          <w:lang w:val="en-US" w:eastAsia="zh-CN"/>
        </w:rPr>
        <w:t xml:space="preserve"> A, Sugawara Y, Sano K, </w:t>
      </w:r>
      <w:proofErr w:type="spellStart"/>
      <w:r w:rsidRPr="00714401">
        <w:rPr>
          <w:rFonts w:ascii="Book Antiqua" w:eastAsia="宋体" w:hAnsi="Book Antiqua" w:cs="宋体"/>
          <w:sz w:val="24"/>
          <w:szCs w:val="24"/>
          <w:lang w:val="en-US" w:eastAsia="zh-CN"/>
        </w:rPr>
        <w:t>Takayama</w:t>
      </w:r>
      <w:proofErr w:type="spellEnd"/>
      <w:r w:rsidRPr="00714401">
        <w:rPr>
          <w:rFonts w:ascii="Book Antiqua" w:eastAsia="宋体" w:hAnsi="Book Antiqua" w:cs="宋体"/>
          <w:sz w:val="24"/>
          <w:szCs w:val="24"/>
          <w:lang w:val="en-US" w:eastAsia="zh-CN"/>
        </w:rPr>
        <w:t xml:space="preserve"> T, </w:t>
      </w:r>
      <w:proofErr w:type="spellStart"/>
      <w:r w:rsidRPr="00714401">
        <w:rPr>
          <w:rFonts w:ascii="Book Antiqua" w:eastAsia="宋体" w:hAnsi="Book Antiqua" w:cs="宋体"/>
          <w:sz w:val="24"/>
          <w:szCs w:val="24"/>
          <w:lang w:val="en-US" w:eastAsia="zh-CN"/>
        </w:rPr>
        <w:t>Makuuchi</w:t>
      </w:r>
      <w:proofErr w:type="spellEnd"/>
      <w:r w:rsidRPr="00714401">
        <w:rPr>
          <w:rFonts w:ascii="Book Antiqua" w:eastAsia="宋体" w:hAnsi="Book Antiqua" w:cs="宋体"/>
          <w:sz w:val="24"/>
          <w:szCs w:val="24"/>
          <w:lang w:val="en-US" w:eastAsia="zh-CN"/>
        </w:rPr>
        <w:t xml:space="preserve"> M. </w:t>
      </w:r>
      <w:proofErr w:type="gramStart"/>
      <w:r w:rsidRPr="00714401">
        <w:rPr>
          <w:rFonts w:ascii="Book Antiqua" w:eastAsia="宋体" w:hAnsi="Book Antiqua" w:cs="宋体"/>
          <w:sz w:val="24"/>
          <w:szCs w:val="24"/>
          <w:lang w:val="en-US" w:eastAsia="zh-CN"/>
        </w:rPr>
        <w:t xml:space="preserve">One thousand fifty-six </w:t>
      </w:r>
      <w:proofErr w:type="spellStart"/>
      <w:r w:rsidRPr="00714401">
        <w:rPr>
          <w:rFonts w:ascii="Book Antiqua" w:eastAsia="宋体" w:hAnsi="Book Antiqua" w:cs="宋体"/>
          <w:sz w:val="24"/>
          <w:szCs w:val="24"/>
          <w:lang w:val="en-US" w:eastAsia="zh-CN"/>
        </w:rPr>
        <w:t>hepatectomies</w:t>
      </w:r>
      <w:proofErr w:type="spellEnd"/>
      <w:r w:rsidRPr="00714401">
        <w:rPr>
          <w:rFonts w:ascii="Book Antiqua" w:eastAsia="宋体" w:hAnsi="Book Antiqua" w:cs="宋体"/>
          <w:sz w:val="24"/>
          <w:szCs w:val="24"/>
          <w:lang w:val="en-US" w:eastAsia="zh-CN"/>
        </w:rPr>
        <w:t xml:space="preserve"> without mortality in 8 years.</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Arch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2003; </w:t>
      </w:r>
      <w:r w:rsidRPr="00714401">
        <w:rPr>
          <w:rFonts w:ascii="Book Antiqua" w:eastAsia="宋体" w:hAnsi="Book Antiqua" w:cs="宋体"/>
          <w:b/>
          <w:bCs/>
          <w:sz w:val="24"/>
          <w:szCs w:val="24"/>
          <w:lang w:val="en-US" w:eastAsia="zh-CN"/>
        </w:rPr>
        <w:t>138</w:t>
      </w:r>
      <w:r w:rsidRPr="00714401">
        <w:rPr>
          <w:rFonts w:ascii="Book Antiqua" w:eastAsia="宋体" w:hAnsi="Book Antiqua" w:cs="宋体"/>
          <w:sz w:val="24"/>
          <w:szCs w:val="24"/>
          <w:lang w:val="en-US" w:eastAsia="zh-CN"/>
        </w:rPr>
        <w:t>: 1198-</w:t>
      </w:r>
      <w:r w:rsidR="00E174A0">
        <w:rPr>
          <w:rFonts w:ascii="Book Antiqua" w:eastAsia="宋体" w:hAnsi="Book Antiqua" w:cs="宋体" w:hint="eastAsia"/>
          <w:sz w:val="24"/>
          <w:szCs w:val="24"/>
          <w:lang w:val="en-US" w:eastAsia="zh-CN"/>
        </w:rPr>
        <w:t>1</w:t>
      </w:r>
      <w:r w:rsidRPr="00714401">
        <w:rPr>
          <w:rFonts w:ascii="Book Antiqua" w:eastAsia="宋体" w:hAnsi="Book Antiqua" w:cs="宋体"/>
          <w:sz w:val="24"/>
          <w:szCs w:val="24"/>
          <w:lang w:val="en-US" w:eastAsia="zh-CN"/>
        </w:rPr>
        <w:t>206; discussion 1206 [PMID: 14609867 DO</w:t>
      </w:r>
      <w:r w:rsidR="00C77256" w:rsidRPr="00714401">
        <w:rPr>
          <w:rFonts w:ascii="Book Antiqua" w:eastAsia="宋体" w:hAnsi="Book Antiqua" w:cs="宋体"/>
          <w:sz w:val="24"/>
          <w:szCs w:val="24"/>
          <w:lang w:val="en-US" w:eastAsia="zh-CN"/>
        </w:rPr>
        <w:t>I: 10.1001/archsurg.138.11.1198</w:t>
      </w:r>
      <w:r w:rsidRPr="00714401">
        <w:rPr>
          <w:rFonts w:ascii="Book Antiqua" w:eastAsia="宋体" w:hAnsi="Book Antiqua" w:cs="宋体"/>
          <w:sz w:val="24"/>
          <w:szCs w:val="24"/>
          <w:lang w:val="en-US" w:eastAsia="zh-CN"/>
        </w:rPr>
        <w:t>]</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28 </w:t>
      </w:r>
      <w:proofErr w:type="spellStart"/>
      <w:r w:rsidRPr="00714401">
        <w:rPr>
          <w:rFonts w:ascii="Book Antiqua" w:eastAsia="宋体" w:hAnsi="Book Antiqua" w:cs="宋体"/>
          <w:b/>
          <w:bCs/>
          <w:sz w:val="24"/>
          <w:szCs w:val="24"/>
          <w:lang w:val="en-US" w:eastAsia="zh-CN"/>
        </w:rPr>
        <w:t>Bellavance</w:t>
      </w:r>
      <w:proofErr w:type="spellEnd"/>
      <w:r w:rsidRPr="00714401">
        <w:rPr>
          <w:rFonts w:ascii="Book Antiqua" w:eastAsia="宋体" w:hAnsi="Book Antiqua" w:cs="宋体"/>
          <w:b/>
          <w:bCs/>
          <w:sz w:val="24"/>
          <w:szCs w:val="24"/>
          <w:lang w:val="en-US" w:eastAsia="zh-CN"/>
        </w:rPr>
        <w:t xml:space="preserve"> EC</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Lumpkins</w:t>
      </w:r>
      <w:proofErr w:type="spellEnd"/>
      <w:r w:rsidRPr="00714401">
        <w:rPr>
          <w:rFonts w:ascii="Book Antiqua" w:eastAsia="宋体" w:hAnsi="Book Antiqua" w:cs="宋体"/>
          <w:sz w:val="24"/>
          <w:szCs w:val="24"/>
          <w:lang w:val="en-US" w:eastAsia="zh-CN"/>
        </w:rPr>
        <w:t xml:space="preserve"> KM, </w:t>
      </w:r>
      <w:proofErr w:type="spellStart"/>
      <w:r w:rsidRPr="00714401">
        <w:rPr>
          <w:rFonts w:ascii="Book Antiqua" w:eastAsia="宋体" w:hAnsi="Book Antiqua" w:cs="宋体"/>
          <w:sz w:val="24"/>
          <w:szCs w:val="24"/>
          <w:lang w:val="en-US" w:eastAsia="zh-CN"/>
        </w:rPr>
        <w:t>Mentha</w:t>
      </w:r>
      <w:proofErr w:type="spellEnd"/>
      <w:r w:rsidRPr="00714401">
        <w:rPr>
          <w:rFonts w:ascii="Book Antiqua" w:eastAsia="宋体" w:hAnsi="Book Antiqua" w:cs="宋体"/>
          <w:sz w:val="24"/>
          <w:szCs w:val="24"/>
          <w:lang w:val="en-US" w:eastAsia="zh-CN"/>
        </w:rPr>
        <w:t xml:space="preserve"> G, Marques HP, </w:t>
      </w:r>
      <w:proofErr w:type="spellStart"/>
      <w:r w:rsidRPr="00714401">
        <w:rPr>
          <w:rFonts w:ascii="Book Antiqua" w:eastAsia="宋体" w:hAnsi="Book Antiqua" w:cs="宋体"/>
          <w:sz w:val="24"/>
          <w:szCs w:val="24"/>
          <w:lang w:val="en-US" w:eastAsia="zh-CN"/>
        </w:rPr>
        <w:t>Capussotti</w:t>
      </w:r>
      <w:proofErr w:type="spellEnd"/>
      <w:r w:rsidRPr="00714401">
        <w:rPr>
          <w:rFonts w:ascii="Book Antiqua" w:eastAsia="宋体" w:hAnsi="Book Antiqua" w:cs="宋体"/>
          <w:sz w:val="24"/>
          <w:szCs w:val="24"/>
          <w:lang w:val="en-US" w:eastAsia="zh-CN"/>
        </w:rPr>
        <w:t xml:space="preserve"> L, </w:t>
      </w:r>
      <w:proofErr w:type="spellStart"/>
      <w:r w:rsidRPr="00714401">
        <w:rPr>
          <w:rFonts w:ascii="Book Antiqua" w:eastAsia="宋体" w:hAnsi="Book Antiqua" w:cs="宋体"/>
          <w:sz w:val="24"/>
          <w:szCs w:val="24"/>
          <w:lang w:val="en-US" w:eastAsia="zh-CN"/>
        </w:rPr>
        <w:t>Pulitano</w:t>
      </w:r>
      <w:proofErr w:type="spellEnd"/>
      <w:r w:rsidRPr="00714401">
        <w:rPr>
          <w:rFonts w:ascii="Book Antiqua" w:eastAsia="宋体" w:hAnsi="Book Antiqua" w:cs="宋体"/>
          <w:sz w:val="24"/>
          <w:szCs w:val="24"/>
          <w:lang w:val="en-US" w:eastAsia="zh-CN"/>
        </w:rPr>
        <w:t xml:space="preserve"> C, </w:t>
      </w:r>
      <w:proofErr w:type="spellStart"/>
      <w:r w:rsidRPr="00714401">
        <w:rPr>
          <w:rFonts w:ascii="Book Antiqua" w:eastAsia="宋体" w:hAnsi="Book Antiqua" w:cs="宋体"/>
          <w:sz w:val="24"/>
          <w:szCs w:val="24"/>
          <w:lang w:val="en-US" w:eastAsia="zh-CN"/>
        </w:rPr>
        <w:t>Majno</w:t>
      </w:r>
      <w:proofErr w:type="spellEnd"/>
      <w:r w:rsidRPr="00714401">
        <w:rPr>
          <w:rFonts w:ascii="Book Antiqua" w:eastAsia="宋体" w:hAnsi="Book Antiqua" w:cs="宋体"/>
          <w:sz w:val="24"/>
          <w:szCs w:val="24"/>
          <w:lang w:val="en-US" w:eastAsia="zh-CN"/>
        </w:rPr>
        <w:t xml:space="preserve"> P, Mira P, Rubbia-Brandt L, Ferrero A, </w:t>
      </w:r>
      <w:proofErr w:type="spellStart"/>
      <w:r w:rsidRPr="00714401">
        <w:rPr>
          <w:rFonts w:ascii="Book Antiqua" w:eastAsia="宋体" w:hAnsi="Book Antiqua" w:cs="宋体"/>
          <w:sz w:val="24"/>
          <w:szCs w:val="24"/>
          <w:lang w:val="en-US" w:eastAsia="zh-CN"/>
        </w:rPr>
        <w:t>Aldrighetti</w:t>
      </w:r>
      <w:proofErr w:type="spellEnd"/>
      <w:r w:rsidRPr="00714401">
        <w:rPr>
          <w:rFonts w:ascii="Book Antiqua" w:eastAsia="宋体" w:hAnsi="Book Antiqua" w:cs="宋体"/>
          <w:sz w:val="24"/>
          <w:szCs w:val="24"/>
          <w:lang w:val="en-US" w:eastAsia="zh-CN"/>
        </w:rPr>
        <w:t xml:space="preserve"> L, Cunningham S, </w:t>
      </w:r>
      <w:proofErr w:type="spellStart"/>
      <w:r w:rsidRPr="00714401">
        <w:rPr>
          <w:rFonts w:ascii="Book Antiqua" w:eastAsia="宋体" w:hAnsi="Book Antiqua" w:cs="宋体"/>
          <w:sz w:val="24"/>
          <w:szCs w:val="24"/>
          <w:lang w:val="en-US" w:eastAsia="zh-CN"/>
        </w:rPr>
        <w:t>Russolillo</w:t>
      </w:r>
      <w:proofErr w:type="spellEnd"/>
      <w:r w:rsidRPr="00714401">
        <w:rPr>
          <w:rFonts w:ascii="Book Antiqua" w:eastAsia="宋体" w:hAnsi="Book Antiqua" w:cs="宋体"/>
          <w:sz w:val="24"/>
          <w:szCs w:val="24"/>
          <w:lang w:val="en-US" w:eastAsia="zh-CN"/>
        </w:rPr>
        <w:t xml:space="preserve"> N, Philosophe B, Barroso E, </w:t>
      </w:r>
      <w:proofErr w:type="spellStart"/>
      <w:r w:rsidRPr="00714401">
        <w:rPr>
          <w:rFonts w:ascii="Book Antiqua" w:eastAsia="宋体" w:hAnsi="Book Antiqua" w:cs="宋体"/>
          <w:sz w:val="24"/>
          <w:szCs w:val="24"/>
          <w:lang w:val="en-US" w:eastAsia="zh-CN"/>
        </w:rPr>
        <w:t>Pawlik</w:t>
      </w:r>
      <w:proofErr w:type="spellEnd"/>
      <w:r w:rsidRPr="00714401">
        <w:rPr>
          <w:rFonts w:ascii="Book Antiqua" w:eastAsia="宋体" w:hAnsi="Book Antiqua" w:cs="宋体"/>
          <w:sz w:val="24"/>
          <w:szCs w:val="24"/>
          <w:lang w:val="en-US" w:eastAsia="zh-CN"/>
        </w:rPr>
        <w:t xml:space="preserve"> TM. Surgical management of early-stage hepatocellular carcinoma: resection or transplantation?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Gastrointest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2008;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1699-1708 [PMID: 18709418]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29 </w:t>
      </w:r>
      <w:proofErr w:type="spellStart"/>
      <w:r w:rsidRPr="00714401">
        <w:rPr>
          <w:rFonts w:ascii="Book Antiqua" w:eastAsia="宋体" w:hAnsi="Book Antiqua" w:cs="宋体"/>
          <w:b/>
          <w:bCs/>
          <w:sz w:val="24"/>
          <w:szCs w:val="24"/>
          <w:lang w:val="en-US" w:eastAsia="zh-CN"/>
        </w:rPr>
        <w:t>Jarnagin</w:t>
      </w:r>
      <w:proofErr w:type="spellEnd"/>
      <w:r w:rsidRPr="00714401">
        <w:rPr>
          <w:rFonts w:ascii="Book Antiqua" w:eastAsia="宋体" w:hAnsi="Book Antiqua" w:cs="宋体"/>
          <w:b/>
          <w:bCs/>
          <w:sz w:val="24"/>
          <w:szCs w:val="24"/>
          <w:lang w:val="en-US" w:eastAsia="zh-CN"/>
        </w:rPr>
        <w:t xml:space="preserve"> WR</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Gonen</w:t>
      </w:r>
      <w:proofErr w:type="spellEnd"/>
      <w:r w:rsidRPr="00714401">
        <w:rPr>
          <w:rFonts w:ascii="Book Antiqua" w:eastAsia="宋体" w:hAnsi="Book Antiqua" w:cs="宋体"/>
          <w:sz w:val="24"/>
          <w:szCs w:val="24"/>
          <w:lang w:val="en-US" w:eastAsia="zh-CN"/>
        </w:rPr>
        <w:t xml:space="preserve"> M, Fong Y, </w:t>
      </w:r>
      <w:proofErr w:type="spellStart"/>
      <w:r w:rsidRPr="00714401">
        <w:rPr>
          <w:rFonts w:ascii="Book Antiqua" w:eastAsia="宋体" w:hAnsi="Book Antiqua" w:cs="宋体"/>
          <w:sz w:val="24"/>
          <w:szCs w:val="24"/>
          <w:lang w:val="en-US" w:eastAsia="zh-CN"/>
        </w:rPr>
        <w:t>DeMatteo</w:t>
      </w:r>
      <w:proofErr w:type="spellEnd"/>
      <w:r w:rsidRPr="00714401">
        <w:rPr>
          <w:rFonts w:ascii="Book Antiqua" w:eastAsia="宋体" w:hAnsi="Book Antiqua" w:cs="宋体"/>
          <w:sz w:val="24"/>
          <w:szCs w:val="24"/>
          <w:lang w:val="en-US" w:eastAsia="zh-CN"/>
        </w:rPr>
        <w:t xml:space="preserve"> RP, Ben-</w:t>
      </w:r>
      <w:proofErr w:type="spellStart"/>
      <w:r w:rsidRPr="00714401">
        <w:rPr>
          <w:rFonts w:ascii="Book Antiqua" w:eastAsia="宋体" w:hAnsi="Book Antiqua" w:cs="宋体"/>
          <w:sz w:val="24"/>
          <w:szCs w:val="24"/>
          <w:lang w:val="en-US" w:eastAsia="zh-CN"/>
        </w:rPr>
        <w:t>Porat</w:t>
      </w:r>
      <w:proofErr w:type="spellEnd"/>
      <w:r w:rsidRPr="00714401">
        <w:rPr>
          <w:rFonts w:ascii="Book Antiqua" w:eastAsia="宋体" w:hAnsi="Book Antiqua" w:cs="宋体"/>
          <w:sz w:val="24"/>
          <w:szCs w:val="24"/>
          <w:lang w:val="en-US" w:eastAsia="zh-CN"/>
        </w:rPr>
        <w:t xml:space="preserve"> L, Little S, </w:t>
      </w:r>
      <w:proofErr w:type="spellStart"/>
      <w:r w:rsidRPr="00714401">
        <w:rPr>
          <w:rFonts w:ascii="Book Antiqua" w:eastAsia="宋体" w:hAnsi="Book Antiqua" w:cs="宋体"/>
          <w:sz w:val="24"/>
          <w:szCs w:val="24"/>
          <w:lang w:val="en-US" w:eastAsia="zh-CN"/>
        </w:rPr>
        <w:t>Corvera</w:t>
      </w:r>
      <w:proofErr w:type="spellEnd"/>
      <w:r w:rsidRPr="00714401">
        <w:rPr>
          <w:rFonts w:ascii="Book Antiqua" w:eastAsia="宋体" w:hAnsi="Book Antiqua" w:cs="宋体"/>
          <w:sz w:val="24"/>
          <w:szCs w:val="24"/>
          <w:lang w:val="en-US" w:eastAsia="zh-CN"/>
        </w:rPr>
        <w:t xml:space="preserve"> C, Weber S, </w:t>
      </w:r>
      <w:proofErr w:type="spellStart"/>
      <w:r w:rsidRPr="00714401">
        <w:rPr>
          <w:rFonts w:ascii="Book Antiqua" w:eastAsia="宋体" w:hAnsi="Book Antiqua" w:cs="宋体"/>
          <w:sz w:val="24"/>
          <w:szCs w:val="24"/>
          <w:lang w:val="en-US" w:eastAsia="zh-CN"/>
        </w:rPr>
        <w:t>Blumgart</w:t>
      </w:r>
      <w:proofErr w:type="spellEnd"/>
      <w:r w:rsidRPr="00714401">
        <w:rPr>
          <w:rFonts w:ascii="Book Antiqua" w:eastAsia="宋体" w:hAnsi="Book Antiqua" w:cs="宋体"/>
          <w:sz w:val="24"/>
          <w:szCs w:val="24"/>
          <w:lang w:val="en-US" w:eastAsia="zh-CN"/>
        </w:rPr>
        <w:t xml:space="preserve"> LH. Improvement in perioperative outcome after hepatic resection: analysis of 1,803 consecutive cases over the past decade. </w:t>
      </w:r>
      <w:r w:rsidRPr="00714401">
        <w:rPr>
          <w:rFonts w:ascii="Book Antiqua" w:eastAsia="宋体" w:hAnsi="Book Antiqua" w:cs="宋体"/>
          <w:i/>
          <w:iCs/>
          <w:sz w:val="24"/>
          <w:szCs w:val="24"/>
          <w:lang w:val="en-US" w:eastAsia="zh-CN"/>
        </w:rPr>
        <w:t xml:space="preserve">Ann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2002; </w:t>
      </w:r>
      <w:r w:rsidRPr="00714401">
        <w:rPr>
          <w:rFonts w:ascii="Book Antiqua" w:eastAsia="宋体" w:hAnsi="Book Antiqua" w:cs="宋体"/>
          <w:b/>
          <w:bCs/>
          <w:sz w:val="24"/>
          <w:szCs w:val="24"/>
          <w:lang w:val="en-US" w:eastAsia="zh-CN"/>
        </w:rPr>
        <w:t>236</w:t>
      </w:r>
      <w:r w:rsidRPr="00714401">
        <w:rPr>
          <w:rFonts w:ascii="Book Antiqua" w:eastAsia="宋体" w:hAnsi="Book Antiqua" w:cs="宋体"/>
          <w:sz w:val="24"/>
          <w:szCs w:val="24"/>
          <w:lang w:val="en-US" w:eastAsia="zh-CN"/>
        </w:rPr>
        <w:t>: 397-406; discussion 406-</w:t>
      </w:r>
      <w:r w:rsidR="00E174A0">
        <w:rPr>
          <w:rFonts w:ascii="Book Antiqua" w:eastAsia="宋体" w:hAnsi="Book Antiqua" w:cs="宋体" w:hint="eastAsia"/>
          <w:sz w:val="24"/>
          <w:szCs w:val="24"/>
          <w:lang w:val="en-US" w:eastAsia="zh-CN"/>
        </w:rPr>
        <w:t>40</w:t>
      </w:r>
      <w:r w:rsidRPr="00714401">
        <w:rPr>
          <w:rFonts w:ascii="Book Antiqua" w:eastAsia="宋体" w:hAnsi="Book Antiqua" w:cs="宋体"/>
          <w:sz w:val="24"/>
          <w:szCs w:val="24"/>
          <w:lang w:val="en-US" w:eastAsia="zh-CN"/>
        </w:rPr>
        <w:t>7 [PMID: 12368667 DOI: 10.1097/01.SLA.0000029003.66466.B3]</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30 </w:t>
      </w:r>
      <w:r w:rsidRPr="00714401">
        <w:rPr>
          <w:rFonts w:ascii="Book Antiqua" w:eastAsia="宋体" w:hAnsi="Book Antiqua" w:cs="宋体"/>
          <w:b/>
          <w:bCs/>
          <w:sz w:val="24"/>
          <w:szCs w:val="24"/>
          <w:lang w:val="en-US" w:eastAsia="zh-CN"/>
        </w:rPr>
        <w:t>Fan ST</w:t>
      </w:r>
      <w:r w:rsidRPr="00714401">
        <w:rPr>
          <w:rFonts w:ascii="Book Antiqua" w:eastAsia="宋体" w:hAnsi="Book Antiqua" w:cs="宋体"/>
          <w:sz w:val="24"/>
          <w:szCs w:val="24"/>
          <w:lang w:val="en-US" w:eastAsia="zh-CN"/>
        </w:rPr>
        <w:t xml:space="preserve">. Liver functional reserve estimation: state of the art and relevance for local treatments: the Eastern perspective.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Sci</w:t>
      </w:r>
      <w:proofErr w:type="spellEnd"/>
      <w:r w:rsidRPr="00714401">
        <w:rPr>
          <w:rFonts w:ascii="Book Antiqua" w:eastAsia="宋体" w:hAnsi="Book Antiqua" w:cs="宋体"/>
          <w:sz w:val="24"/>
          <w:szCs w:val="24"/>
          <w:lang w:val="en-US" w:eastAsia="zh-CN"/>
        </w:rPr>
        <w:t xml:space="preserve"> 2010; </w:t>
      </w:r>
      <w:r w:rsidRPr="00714401">
        <w:rPr>
          <w:rFonts w:ascii="Book Antiqua" w:eastAsia="宋体" w:hAnsi="Book Antiqua" w:cs="宋体"/>
          <w:b/>
          <w:bCs/>
          <w:sz w:val="24"/>
          <w:szCs w:val="24"/>
          <w:lang w:val="en-US" w:eastAsia="zh-CN"/>
        </w:rPr>
        <w:t>17</w:t>
      </w:r>
      <w:r w:rsidRPr="00714401">
        <w:rPr>
          <w:rFonts w:ascii="Book Antiqua" w:eastAsia="宋体" w:hAnsi="Book Antiqua" w:cs="宋体"/>
          <w:sz w:val="24"/>
          <w:szCs w:val="24"/>
          <w:lang w:val="en-US" w:eastAsia="zh-CN"/>
        </w:rPr>
        <w:t>: 380-384 [PMID: 19865790]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lastRenderedPageBreak/>
        <w:t xml:space="preserve">31 </w:t>
      </w:r>
      <w:proofErr w:type="spellStart"/>
      <w:r w:rsidRPr="00714401">
        <w:rPr>
          <w:rFonts w:ascii="Book Antiqua" w:eastAsia="宋体" w:hAnsi="Book Antiqua" w:cs="宋体"/>
          <w:b/>
          <w:bCs/>
          <w:sz w:val="24"/>
          <w:szCs w:val="24"/>
          <w:lang w:val="en-US" w:eastAsia="zh-CN"/>
        </w:rPr>
        <w:t>Bruix</w:t>
      </w:r>
      <w:proofErr w:type="spellEnd"/>
      <w:r w:rsidRPr="00714401">
        <w:rPr>
          <w:rFonts w:ascii="Book Antiqua" w:eastAsia="宋体" w:hAnsi="Book Antiqua" w:cs="宋体"/>
          <w:b/>
          <w:bCs/>
          <w:sz w:val="24"/>
          <w:szCs w:val="24"/>
          <w:lang w:val="en-US" w:eastAsia="zh-CN"/>
        </w:rPr>
        <w:t xml:space="preserve"> J</w:t>
      </w:r>
      <w:r w:rsidRPr="00714401">
        <w:rPr>
          <w:rFonts w:ascii="Book Antiqua" w:eastAsia="宋体" w:hAnsi="Book Antiqua" w:cs="宋体"/>
          <w:sz w:val="24"/>
          <w:szCs w:val="24"/>
          <w:lang w:val="en-US" w:eastAsia="zh-CN"/>
        </w:rPr>
        <w:t xml:space="preserve">, Castells A, Bosch J, Feu F, </w:t>
      </w:r>
      <w:proofErr w:type="spellStart"/>
      <w:r w:rsidRPr="00714401">
        <w:rPr>
          <w:rFonts w:ascii="Book Antiqua" w:eastAsia="宋体" w:hAnsi="Book Antiqua" w:cs="宋体"/>
          <w:sz w:val="24"/>
          <w:szCs w:val="24"/>
          <w:lang w:val="en-US" w:eastAsia="zh-CN"/>
        </w:rPr>
        <w:t>Fuster</w:t>
      </w:r>
      <w:proofErr w:type="spellEnd"/>
      <w:r w:rsidRPr="00714401">
        <w:rPr>
          <w:rFonts w:ascii="Book Antiqua" w:eastAsia="宋体" w:hAnsi="Book Antiqua" w:cs="宋体"/>
          <w:sz w:val="24"/>
          <w:szCs w:val="24"/>
          <w:lang w:val="en-US" w:eastAsia="zh-CN"/>
        </w:rPr>
        <w:t xml:space="preserve"> J, Garcia-Pagan JC, Visa J, </w:t>
      </w:r>
      <w:proofErr w:type="spellStart"/>
      <w:r w:rsidRPr="00714401">
        <w:rPr>
          <w:rFonts w:ascii="Book Antiqua" w:eastAsia="宋体" w:hAnsi="Book Antiqua" w:cs="宋体"/>
          <w:sz w:val="24"/>
          <w:szCs w:val="24"/>
          <w:lang w:val="en-US" w:eastAsia="zh-CN"/>
        </w:rPr>
        <w:t>Bru</w:t>
      </w:r>
      <w:proofErr w:type="spellEnd"/>
      <w:r w:rsidRPr="00714401">
        <w:rPr>
          <w:rFonts w:ascii="Book Antiqua" w:eastAsia="宋体" w:hAnsi="Book Antiqua" w:cs="宋体"/>
          <w:sz w:val="24"/>
          <w:szCs w:val="24"/>
          <w:lang w:val="en-US" w:eastAsia="zh-CN"/>
        </w:rPr>
        <w:t xml:space="preserve"> C, </w:t>
      </w:r>
      <w:proofErr w:type="spellStart"/>
      <w:r w:rsidRPr="00714401">
        <w:rPr>
          <w:rFonts w:ascii="Book Antiqua" w:eastAsia="宋体" w:hAnsi="Book Antiqua" w:cs="宋体"/>
          <w:sz w:val="24"/>
          <w:szCs w:val="24"/>
          <w:lang w:val="en-US" w:eastAsia="zh-CN"/>
        </w:rPr>
        <w:t>Rodés</w:t>
      </w:r>
      <w:proofErr w:type="spellEnd"/>
      <w:r w:rsidRPr="00714401">
        <w:rPr>
          <w:rFonts w:ascii="Book Antiqua" w:eastAsia="宋体" w:hAnsi="Book Antiqua" w:cs="宋体"/>
          <w:sz w:val="24"/>
          <w:szCs w:val="24"/>
          <w:lang w:val="en-US" w:eastAsia="zh-CN"/>
        </w:rPr>
        <w:t xml:space="preserve"> J. Surgical resection of hepatocellular carcinoma in cirrhotic patients: prognostic value of preoperative portal pressure. </w:t>
      </w:r>
      <w:r w:rsidRPr="00714401">
        <w:rPr>
          <w:rFonts w:ascii="Book Antiqua" w:eastAsia="宋体" w:hAnsi="Book Antiqua" w:cs="宋体"/>
          <w:i/>
          <w:iCs/>
          <w:sz w:val="24"/>
          <w:szCs w:val="24"/>
          <w:lang w:val="en-US" w:eastAsia="zh-CN"/>
        </w:rPr>
        <w:t>Gastroenterology</w:t>
      </w:r>
      <w:r w:rsidRPr="00714401">
        <w:rPr>
          <w:rFonts w:ascii="Book Antiqua" w:eastAsia="宋体" w:hAnsi="Book Antiqua" w:cs="宋体"/>
          <w:sz w:val="24"/>
          <w:szCs w:val="24"/>
          <w:lang w:val="en-US" w:eastAsia="zh-CN"/>
        </w:rPr>
        <w:t xml:space="preserve"> 1996; </w:t>
      </w:r>
      <w:r w:rsidRPr="00714401">
        <w:rPr>
          <w:rFonts w:ascii="Book Antiqua" w:eastAsia="宋体" w:hAnsi="Book Antiqua" w:cs="宋体"/>
          <w:b/>
          <w:bCs/>
          <w:sz w:val="24"/>
          <w:szCs w:val="24"/>
          <w:lang w:val="en-US" w:eastAsia="zh-CN"/>
        </w:rPr>
        <w:t>111</w:t>
      </w:r>
      <w:r w:rsidRPr="00714401">
        <w:rPr>
          <w:rFonts w:ascii="Book Antiqua" w:eastAsia="宋体" w:hAnsi="Book Antiqua" w:cs="宋体"/>
          <w:sz w:val="24"/>
          <w:szCs w:val="24"/>
          <w:lang w:val="en-US" w:eastAsia="zh-CN"/>
        </w:rPr>
        <w:t>: 1018-1022 [PMID: 8831597 DOI: 10.1016/S0016-5085(96)70070-7]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32 </w:t>
      </w:r>
      <w:r w:rsidRPr="00714401">
        <w:rPr>
          <w:rFonts w:ascii="Book Antiqua" w:eastAsia="宋体" w:hAnsi="Book Antiqua" w:cs="宋体"/>
          <w:b/>
          <w:bCs/>
          <w:sz w:val="24"/>
          <w:szCs w:val="24"/>
          <w:lang w:val="en-US" w:eastAsia="zh-CN"/>
        </w:rPr>
        <w:t>Lee SG</w:t>
      </w:r>
      <w:r w:rsidRPr="00714401">
        <w:rPr>
          <w:rFonts w:ascii="Book Antiqua" w:eastAsia="宋体" w:hAnsi="Book Antiqua" w:cs="宋体"/>
          <w:sz w:val="24"/>
          <w:szCs w:val="24"/>
          <w:lang w:val="en-US" w:eastAsia="zh-CN"/>
        </w:rPr>
        <w:t xml:space="preserve">, Hwang S. How I do it: assessment of hepatic functional reserve for indication of hepatic resection.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2005;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38-43 [PMID: 15754098]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33 </w:t>
      </w:r>
      <w:r w:rsidRPr="00714401">
        <w:rPr>
          <w:rFonts w:ascii="Book Antiqua" w:eastAsia="宋体" w:hAnsi="Book Antiqua" w:cs="宋体"/>
          <w:b/>
          <w:bCs/>
          <w:sz w:val="24"/>
          <w:szCs w:val="24"/>
          <w:lang w:val="en-US" w:eastAsia="zh-CN"/>
        </w:rPr>
        <w:t>Poon RT</w:t>
      </w:r>
      <w:r w:rsidRPr="00714401">
        <w:rPr>
          <w:rFonts w:ascii="Book Antiqua" w:eastAsia="宋体" w:hAnsi="Book Antiqua" w:cs="宋体"/>
          <w:sz w:val="24"/>
          <w:szCs w:val="24"/>
          <w:lang w:val="en-US" w:eastAsia="zh-CN"/>
        </w:rPr>
        <w:t xml:space="preserve">, Fan ST. Assessment of hepatic reserve for indication of hepatic resection: how I do it.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2005;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31-37 [PMID: 15754097 DOI: 10.1007/s00534-004-0945-0]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34 </w:t>
      </w:r>
      <w:proofErr w:type="spellStart"/>
      <w:r w:rsidRPr="00714401">
        <w:rPr>
          <w:rFonts w:ascii="Book Antiqua" w:eastAsia="宋体" w:hAnsi="Book Antiqua" w:cs="宋体"/>
          <w:b/>
          <w:bCs/>
          <w:sz w:val="24"/>
          <w:szCs w:val="24"/>
          <w:lang w:val="en-US" w:eastAsia="zh-CN"/>
        </w:rPr>
        <w:t>Nonami</w:t>
      </w:r>
      <w:proofErr w:type="spellEnd"/>
      <w:r w:rsidRPr="00714401">
        <w:rPr>
          <w:rFonts w:ascii="Book Antiqua" w:eastAsia="宋体" w:hAnsi="Book Antiqua" w:cs="宋体"/>
          <w:b/>
          <w:bCs/>
          <w:sz w:val="24"/>
          <w:szCs w:val="24"/>
          <w:lang w:val="en-US" w:eastAsia="zh-CN"/>
        </w:rPr>
        <w:t xml:space="preserve"> T</w:t>
      </w:r>
      <w:r w:rsidRPr="00714401">
        <w:rPr>
          <w:rFonts w:ascii="Book Antiqua" w:eastAsia="宋体" w:hAnsi="Book Antiqua" w:cs="宋体"/>
          <w:sz w:val="24"/>
          <w:szCs w:val="24"/>
          <w:lang w:val="en-US" w:eastAsia="zh-CN"/>
        </w:rPr>
        <w:t xml:space="preserve">, Nakao A, </w:t>
      </w:r>
      <w:proofErr w:type="spellStart"/>
      <w:r w:rsidRPr="00714401">
        <w:rPr>
          <w:rFonts w:ascii="Book Antiqua" w:eastAsia="宋体" w:hAnsi="Book Antiqua" w:cs="宋体"/>
          <w:sz w:val="24"/>
          <w:szCs w:val="24"/>
          <w:lang w:val="en-US" w:eastAsia="zh-CN"/>
        </w:rPr>
        <w:t>Kurokawa</w:t>
      </w:r>
      <w:proofErr w:type="spellEnd"/>
      <w:r w:rsidRPr="00714401">
        <w:rPr>
          <w:rFonts w:ascii="Book Antiqua" w:eastAsia="宋体" w:hAnsi="Book Antiqua" w:cs="宋体"/>
          <w:sz w:val="24"/>
          <w:szCs w:val="24"/>
          <w:lang w:val="en-US" w:eastAsia="zh-CN"/>
        </w:rPr>
        <w:t xml:space="preserve"> T, Inagaki H, Matsushita Y, Sakamoto J, Takagi H. Blood loss and ICG clearance as best prognostic markers of post-</w:t>
      </w:r>
      <w:proofErr w:type="spellStart"/>
      <w:r w:rsidRPr="00714401">
        <w:rPr>
          <w:rFonts w:ascii="Book Antiqua" w:eastAsia="宋体" w:hAnsi="Book Antiqua" w:cs="宋体"/>
          <w:sz w:val="24"/>
          <w:szCs w:val="24"/>
          <w:lang w:val="en-US" w:eastAsia="zh-CN"/>
        </w:rPr>
        <w:t>hepatectomy</w:t>
      </w:r>
      <w:proofErr w:type="spellEnd"/>
      <w:r w:rsidRPr="00714401">
        <w:rPr>
          <w:rFonts w:ascii="Book Antiqua" w:eastAsia="宋体" w:hAnsi="Book Antiqua" w:cs="宋体"/>
          <w:sz w:val="24"/>
          <w:szCs w:val="24"/>
          <w:lang w:val="en-US" w:eastAsia="zh-CN"/>
        </w:rPr>
        <w:t xml:space="preserve"> liver failure. </w:t>
      </w:r>
      <w:proofErr w:type="spellStart"/>
      <w:r w:rsidRPr="00714401">
        <w:rPr>
          <w:rFonts w:ascii="Book Antiqua" w:eastAsia="宋体" w:hAnsi="Book Antiqua" w:cs="宋体"/>
          <w:i/>
          <w:iCs/>
          <w:sz w:val="24"/>
          <w:szCs w:val="24"/>
          <w:lang w:val="en-US" w:eastAsia="zh-CN"/>
        </w:rPr>
        <w:t>Hepatogastroenterology</w:t>
      </w:r>
      <w:proofErr w:type="spellEnd"/>
      <w:r w:rsidRPr="00714401">
        <w:rPr>
          <w:rFonts w:ascii="Book Antiqua" w:eastAsia="宋体" w:hAnsi="Book Antiqua" w:cs="宋体"/>
          <w:sz w:val="24"/>
          <w:szCs w:val="24"/>
          <w:lang w:val="en-US" w:eastAsia="zh-CN"/>
        </w:rPr>
        <w:t xml:space="preserve"> </w:t>
      </w:r>
      <w:r w:rsidR="00C77256" w:rsidRPr="00714401">
        <w:rPr>
          <w:rFonts w:ascii="Book Antiqua" w:eastAsia="宋体" w:hAnsi="Book Antiqua" w:cs="宋体" w:hint="eastAsia"/>
          <w:sz w:val="24"/>
          <w:szCs w:val="24"/>
          <w:lang w:val="en-US" w:eastAsia="zh-CN"/>
        </w:rPr>
        <w:t>1999</w:t>
      </w:r>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b/>
          <w:bCs/>
          <w:sz w:val="24"/>
          <w:szCs w:val="24"/>
          <w:lang w:val="en-US" w:eastAsia="zh-CN"/>
        </w:rPr>
        <w:t>46</w:t>
      </w:r>
      <w:r w:rsidRPr="00714401">
        <w:rPr>
          <w:rFonts w:ascii="Book Antiqua" w:eastAsia="宋体" w:hAnsi="Book Antiqua" w:cs="宋体"/>
          <w:sz w:val="24"/>
          <w:szCs w:val="24"/>
          <w:lang w:val="en-US" w:eastAsia="zh-CN"/>
        </w:rPr>
        <w:t>: 1669-1672 [PMID: 10430318]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35 </w:t>
      </w:r>
      <w:proofErr w:type="spellStart"/>
      <w:r w:rsidRPr="00714401">
        <w:rPr>
          <w:rFonts w:ascii="Book Antiqua" w:eastAsia="宋体" w:hAnsi="Book Antiqua" w:cs="宋体"/>
          <w:b/>
          <w:bCs/>
          <w:sz w:val="24"/>
          <w:szCs w:val="24"/>
          <w:lang w:val="en-US" w:eastAsia="zh-CN"/>
        </w:rPr>
        <w:t>Capussotti</w:t>
      </w:r>
      <w:proofErr w:type="spellEnd"/>
      <w:r w:rsidRPr="00714401">
        <w:rPr>
          <w:rFonts w:ascii="Book Antiqua" w:eastAsia="宋体" w:hAnsi="Book Antiqua" w:cs="宋体"/>
          <w:b/>
          <w:bCs/>
          <w:sz w:val="24"/>
          <w:szCs w:val="24"/>
          <w:lang w:val="en-US" w:eastAsia="zh-CN"/>
        </w:rPr>
        <w:t xml:space="preserve"> L</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Viganò</w:t>
      </w:r>
      <w:proofErr w:type="spellEnd"/>
      <w:r w:rsidRPr="00714401">
        <w:rPr>
          <w:rFonts w:ascii="Book Antiqua" w:eastAsia="宋体" w:hAnsi="Book Antiqua" w:cs="宋体"/>
          <w:sz w:val="24"/>
          <w:szCs w:val="24"/>
          <w:lang w:val="en-US" w:eastAsia="zh-CN"/>
        </w:rPr>
        <w:t xml:space="preserve"> L, </w:t>
      </w:r>
      <w:proofErr w:type="spellStart"/>
      <w:r w:rsidRPr="00714401">
        <w:rPr>
          <w:rFonts w:ascii="Book Antiqua" w:eastAsia="宋体" w:hAnsi="Book Antiqua" w:cs="宋体"/>
          <w:sz w:val="24"/>
          <w:szCs w:val="24"/>
          <w:lang w:val="en-US" w:eastAsia="zh-CN"/>
        </w:rPr>
        <w:t>Giuliante</w:t>
      </w:r>
      <w:proofErr w:type="spellEnd"/>
      <w:r w:rsidRPr="00714401">
        <w:rPr>
          <w:rFonts w:ascii="Book Antiqua" w:eastAsia="宋体" w:hAnsi="Book Antiqua" w:cs="宋体"/>
          <w:sz w:val="24"/>
          <w:szCs w:val="24"/>
          <w:lang w:val="en-US" w:eastAsia="zh-CN"/>
        </w:rPr>
        <w:t xml:space="preserve"> F, Ferrero A, </w:t>
      </w:r>
      <w:proofErr w:type="spellStart"/>
      <w:r w:rsidRPr="00714401">
        <w:rPr>
          <w:rFonts w:ascii="Book Antiqua" w:eastAsia="宋体" w:hAnsi="Book Antiqua" w:cs="宋体"/>
          <w:sz w:val="24"/>
          <w:szCs w:val="24"/>
          <w:lang w:val="en-US" w:eastAsia="zh-CN"/>
        </w:rPr>
        <w:t>Giovannini</w:t>
      </w:r>
      <w:proofErr w:type="spellEnd"/>
      <w:r w:rsidRPr="00714401">
        <w:rPr>
          <w:rFonts w:ascii="Book Antiqua" w:eastAsia="宋体" w:hAnsi="Book Antiqua" w:cs="宋体"/>
          <w:sz w:val="24"/>
          <w:szCs w:val="24"/>
          <w:lang w:val="en-US" w:eastAsia="zh-CN"/>
        </w:rPr>
        <w:t xml:space="preserve"> I, </w:t>
      </w:r>
      <w:proofErr w:type="spellStart"/>
      <w:r w:rsidRPr="00714401">
        <w:rPr>
          <w:rFonts w:ascii="Book Antiqua" w:eastAsia="宋体" w:hAnsi="Book Antiqua" w:cs="宋体"/>
          <w:sz w:val="24"/>
          <w:szCs w:val="24"/>
          <w:lang w:val="en-US" w:eastAsia="zh-CN"/>
        </w:rPr>
        <w:t>Nuzzo</w:t>
      </w:r>
      <w:proofErr w:type="spellEnd"/>
      <w:r w:rsidRPr="00714401">
        <w:rPr>
          <w:rFonts w:ascii="Book Antiqua" w:eastAsia="宋体" w:hAnsi="Book Antiqua" w:cs="宋体"/>
          <w:sz w:val="24"/>
          <w:szCs w:val="24"/>
          <w:lang w:val="en-US" w:eastAsia="zh-CN"/>
        </w:rPr>
        <w:t xml:space="preserve"> G. Liver dysfunction and sepsis determine operative mortality after liver resection. </w:t>
      </w:r>
      <w:r w:rsidRPr="00714401">
        <w:rPr>
          <w:rFonts w:ascii="Book Antiqua" w:eastAsia="宋体" w:hAnsi="Book Antiqua" w:cs="宋体"/>
          <w:i/>
          <w:iCs/>
          <w:sz w:val="24"/>
          <w:szCs w:val="24"/>
          <w:lang w:val="en-US" w:eastAsia="zh-CN"/>
        </w:rPr>
        <w:t xml:space="preserve">Br J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96</w:t>
      </w:r>
      <w:r w:rsidRPr="00714401">
        <w:rPr>
          <w:rFonts w:ascii="Book Antiqua" w:eastAsia="宋体" w:hAnsi="Book Antiqua" w:cs="宋体"/>
          <w:sz w:val="24"/>
          <w:szCs w:val="24"/>
          <w:lang w:val="en-US" w:eastAsia="zh-CN"/>
        </w:rPr>
        <w:t>: 88-94 [PMID: 19109799 DOI: 10.1002/bjs.6429]</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36 </w:t>
      </w:r>
      <w:r w:rsidRPr="00714401">
        <w:rPr>
          <w:rFonts w:ascii="Book Antiqua" w:eastAsia="宋体" w:hAnsi="Book Antiqua" w:cs="宋体"/>
          <w:b/>
          <w:bCs/>
          <w:sz w:val="24"/>
          <w:szCs w:val="24"/>
          <w:lang w:val="en-US" w:eastAsia="zh-CN"/>
        </w:rPr>
        <w:t>Child CG</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Turcotte</w:t>
      </w:r>
      <w:proofErr w:type="spellEnd"/>
      <w:r w:rsidRPr="00714401">
        <w:rPr>
          <w:rFonts w:ascii="Book Antiqua" w:eastAsia="宋体" w:hAnsi="Book Antiqua" w:cs="宋体"/>
          <w:sz w:val="24"/>
          <w:szCs w:val="24"/>
          <w:lang w:val="en-US" w:eastAsia="zh-CN"/>
        </w:rPr>
        <w:t xml:space="preserve"> JG. </w:t>
      </w:r>
      <w:proofErr w:type="gramStart"/>
      <w:r w:rsidRPr="00714401">
        <w:rPr>
          <w:rFonts w:ascii="Book Antiqua" w:eastAsia="宋体" w:hAnsi="Book Antiqua" w:cs="宋体"/>
          <w:sz w:val="24"/>
          <w:szCs w:val="24"/>
          <w:lang w:val="en-US" w:eastAsia="zh-CN"/>
        </w:rPr>
        <w:t>Surgery and portal hypertension.</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Major </w:t>
      </w:r>
      <w:proofErr w:type="spellStart"/>
      <w:r w:rsidRPr="00714401">
        <w:rPr>
          <w:rFonts w:ascii="Book Antiqua" w:eastAsia="宋体" w:hAnsi="Book Antiqua" w:cs="宋体"/>
          <w:i/>
          <w:iCs/>
          <w:sz w:val="24"/>
          <w:szCs w:val="24"/>
          <w:lang w:val="en-US" w:eastAsia="zh-CN"/>
        </w:rPr>
        <w:t>Probl</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1964; </w:t>
      </w:r>
      <w:r w:rsidRPr="00714401">
        <w:rPr>
          <w:rFonts w:ascii="Book Antiqua" w:eastAsia="宋体" w:hAnsi="Book Antiqua" w:cs="宋体"/>
          <w:b/>
          <w:bCs/>
          <w:sz w:val="24"/>
          <w:szCs w:val="24"/>
          <w:lang w:val="en-US" w:eastAsia="zh-CN"/>
        </w:rPr>
        <w:t>1</w:t>
      </w:r>
      <w:r w:rsidRPr="00714401">
        <w:rPr>
          <w:rFonts w:ascii="Book Antiqua" w:eastAsia="宋体" w:hAnsi="Book Antiqua" w:cs="宋体"/>
          <w:sz w:val="24"/>
          <w:szCs w:val="24"/>
          <w:lang w:val="en-US" w:eastAsia="zh-CN"/>
        </w:rPr>
        <w:t>: 1-85 [PMID: 4950264]</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37 </w:t>
      </w:r>
      <w:r w:rsidRPr="00714401">
        <w:rPr>
          <w:rFonts w:ascii="Book Antiqua" w:eastAsia="宋体" w:hAnsi="Book Antiqua" w:cs="宋体"/>
          <w:b/>
          <w:bCs/>
          <w:sz w:val="24"/>
          <w:szCs w:val="24"/>
          <w:lang w:val="en-US" w:eastAsia="zh-CN"/>
        </w:rPr>
        <w:t>Pugh RN</w:t>
      </w:r>
      <w:r w:rsidRPr="00714401">
        <w:rPr>
          <w:rFonts w:ascii="Book Antiqua" w:eastAsia="宋体" w:hAnsi="Book Antiqua" w:cs="宋体"/>
          <w:sz w:val="24"/>
          <w:szCs w:val="24"/>
          <w:lang w:val="en-US" w:eastAsia="zh-CN"/>
        </w:rPr>
        <w:t xml:space="preserve">, Murray-Lyon IM, Dawson JL, </w:t>
      </w:r>
      <w:proofErr w:type="spellStart"/>
      <w:r w:rsidRPr="00714401">
        <w:rPr>
          <w:rFonts w:ascii="Book Antiqua" w:eastAsia="宋体" w:hAnsi="Book Antiqua" w:cs="宋体"/>
          <w:sz w:val="24"/>
          <w:szCs w:val="24"/>
          <w:lang w:val="en-US" w:eastAsia="zh-CN"/>
        </w:rPr>
        <w:t>Pietroni</w:t>
      </w:r>
      <w:proofErr w:type="spellEnd"/>
      <w:r w:rsidRPr="00714401">
        <w:rPr>
          <w:rFonts w:ascii="Book Antiqua" w:eastAsia="宋体" w:hAnsi="Book Antiqua" w:cs="宋体"/>
          <w:sz w:val="24"/>
          <w:szCs w:val="24"/>
          <w:lang w:val="en-US" w:eastAsia="zh-CN"/>
        </w:rPr>
        <w:t xml:space="preserve"> MC, Williams R. Transection of the </w:t>
      </w:r>
      <w:proofErr w:type="spellStart"/>
      <w:r w:rsidRPr="00714401">
        <w:rPr>
          <w:rFonts w:ascii="Book Antiqua" w:eastAsia="宋体" w:hAnsi="Book Antiqua" w:cs="宋体"/>
          <w:sz w:val="24"/>
          <w:szCs w:val="24"/>
          <w:lang w:val="en-US" w:eastAsia="zh-CN"/>
        </w:rPr>
        <w:t>oesophagus</w:t>
      </w:r>
      <w:proofErr w:type="spellEnd"/>
      <w:r w:rsidRPr="00714401">
        <w:rPr>
          <w:rFonts w:ascii="Book Antiqua" w:eastAsia="宋体" w:hAnsi="Book Antiqua" w:cs="宋体"/>
          <w:sz w:val="24"/>
          <w:szCs w:val="24"/>
          <w:lang w:val="en-US" w:eastAsia="zh-CN"/>
        </w:rPr>
        <w:t xml:space="preserve"> for bleeding </w:t>
      </w:r>
      <w:proofErr w:type="spellStart"/>
      <w:r w:rsidRPr="00714401">
        <w:rPr>
          <w:rFonts w:ascii="Book Antiqua" w:eastAsia="宋体" w:hAnsi="Book Antiqua" w:cs="宋体"/>
          <w:sz w:val="24"/>
          <w:szCs w:val="24"/>
          <w:lang w:val="en-US" w:eastAsia="zh-CN"/>
        </w:rPr>
        <w:t>oesophageal</w:t>
      </w:r>
      <w:proofErr w:type="spellEnd"/>
      <w:r w:rsidRPr="00714401">
        <w:rPr>
          <w:rFonts w:ascii="Book Antiqua" w:eastAsia="宋体" w:hAnsi="Book Antiqua" w:cs="宋体"/>
          <w:sz w:val="24"/>
          <w:szCs w:val="24"/>
          <w:lang w:val="en-US" w:eastAsia="zh-CN"/>
        </w:rPr>
        <w:t xml:space="preserve"> varices. </w:t>
      </w:r>
      <w:r w:rsidRPr="00714401">
        <w:rPr>
          <w:rFonts w:ascii="Book Antiqua" w:eastAsia="宋体" w:hAnsi="Book Antiqua" w:cs="宋体"/>
          <w:i/>
          <w:iCs/>
          <w:sz w:val="24"/>
          <w:szCs w:val="24"/>
          <w:lang w:val="en-US" w:eastAsia="zh-CN"/>
        </w:rPr>
        <w:t xml:space="preserve">Br J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1973; </w:t>
      </w:r>
      <w:r w:rsidRPr="00714401">
        <w:rPr>
          <w:rFonts w:ascii="Book Antiqua" w:eastAsia="宋体" w:hAnsi="Book Antiqua" w:cs="宋体"/>
          <w:b/>
          <w:bCs/>
          <w:sz w:val="24"/>
          <w:szCs w:val="24"/>
          <w:lang w:val="en-US" w:eastAsia="zh-CN"/>
        </w:rPr>
        <w:t>60</w:t>
      </w:r>
      <w:r w:rsidRPr="00714401">
        <w:rPr>
          <w:rFonts w:ascii="Book Antiqua" w:eastAsia="宋体" w:hAnsi="Book Antiqua" w:cs="宋体"/>
          <w:sz w:val="24"/>
          <w:szCs w:val="24"/>
          <w:lang w:val="en-US" w:eastAsia="zh-CN"/>
        </w:rPr>
        <w:t>: 646-649 [PMID: 4541913 DOI: 10.1002/bjs.1800600817]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38 </w:t>
      </w:r>
      <w:proofErr w:type="spellStart"/>
      <w:r w:rsidRPr="00714401">
        <w:rPr>
          <w:rFonts w:ascii="Book Antiqua" w:eastAsia="宋体" w:hAnsi="Book Antiqua" w:cs="宋体"/>
          <w:b/>
          <w:bCs/>
          <w:sz w:val="24"/>
          <w:szCs w:val="24"/>
          <w:lang w:val="en-US" w:eastAsia="zh-CN"/>
        </w:rPr>
        <w:t>Malinchoc</w:t>
      </w:r>
      <w:proofErr w:type="spellEnd"/>
      <w:r w:rsidRPr="00714401">
        <w:rPr>
          <w:rFonts w:ascii="Book Antiqua" w:eastAsia="宋体" w:hAnsi="Book Antiqua" w:cs="宋体"/>
          <w:b/>
          <w:bCs/>
          <w:sz w:val="24"/>
          <w:szCs w:val="24"/>
          <w:lang w:val="en-US" w:eastAsia="zh-CN"/>
        </w:rPr>
        <w:t xml:space="preserve"> M</w:t>
      </w:r>
      <w:r w:rsidRPr="00714401">
        <w:rPr>
          <w:rFonts w:ascii="Book Antiqua" w:eastAsia="宋体" w:hAnsi="Book Antiqua" w:cs="宋体"/>
          <w:sz w:val="24"/>
          <w:szCs w:val="24"/>
          <w:lang w:val="en-US" w:eastAsia="zh-CN"/>
        </w:rPr>
        <w:t xml:space="preserve">, Kamath PS, Gordon FD, </w:t>
      </w:r>
      <w:proofErr w:type="spellStart"/>
      <w:r w:rsidRPr="00714401">
        <w:rPr>
          <w:rFonts w:ascii="Book Antiqua" w:eastAsia="宋体" w:hAnsi="Book Antiqua" w:cs="宋体"/>
          <w:sz w:val="24"/>
          <w:szCs w:val="24"/>
          <w:lang w:val="en-US" w:eastAsia="zh-CN"/>
        </w:rPr>
        <w:t>Peine</w:t>
      </w:r>
      <w:proofErr w:type="spellEnd"/>
      <w:r w:rsidRPr="00714401">
        <w:rPr>
          <w:rFonts w:ascii="Book Antiqua" w:eastAsia="宋体" w:hAnsi="Book Antiqua" w:cs="宋体"/>
          <w:sz w:val="24"/>
          <w:szCs w:val="24"/>
          <w:lang w:val="en-US" w:eastAsia="zh-CN"/>
        </w:rPr>
        <w:t xml:space="preserve"> CJ, Rank J, </w:t>
      </w:r>
      <w:proofErr w:type="spellStart"/>
      <w:r w:rsidRPr="00714401">
        <w:rPr>
          <w:rFonts w:ascii="Book Antiqua" w:eastAsia="宋体" w:hAnsi="Book Antiqua" w:cs="宋体"/>
          <w:sz w:val="24"/>
          <w:szCs w:val="24"/>
          <w:lang w:val="en-US" w:eastAsia="zh-CN"/>
        </w:rPr>
        <w:t>ter</w:t>
      </w:r>
      <w:proofErr w:type="spellEnd"/>
      <w:r w:rsidRPr="00714401">
        <w:rPr>
          <w:rFonts w:ascii="Book Antiqua" w:eastAsia="宋体" w:hAnsi="Book Antiqua" w:cs="宋体"/>
          <w:sz w:val="24"/>
          <w:szCs w:val="24"/>
          <w:lang w:val="en-US" w:eastAsia="zh-CN"/>
        </w:rPr>
        <w:t xml:space="preserve"> Borg PC. A model to predict poor survival in patients undergoing </w:t>
      </w:r>
      <w:proofErr w:type="spellStart"/>
      <w:r w:rsidRPr="00714401">
        <w:rPr>
          <w:rFonts w:ascii="Book Antiqua" w:eastAsia="宋体" w:hAnsi="Book Antiqua" w:cs="宋体"/>
          <w:sz w:val="24"/>
          <w:szCs w:val="24"/>
          <w:lang w:val="en-US" w:eastAsia="zh-CN"/>
        </w:rPr>
        <w:t>transjugular</w:t>
      </w:r>
      <w:proofErr w:type="spellEnd"/>
      <w:r w:rsidRPr="00714401">
        <w:rPr>
          <w:rFonts w:ascii="Book Antiqua" w:eastAsia="宋体" w:hAnsi="Book Antiqua" w:cs="宋体"/>
          <w:sz w:val="24"/>
          <w:szCs w:val="24"/>
          <w:lang w:val="en-US" w:eastAsia="zh-CN"/>
        </w:rPr>
        <w:t xml:space="preserve"> intrahepatic portosystemic shunts. </w:t>
      </w:r>
      <w:r w:rsidRPr="00714401">
        <w:rPr>
          <w:rFonts w:ascii="Book Antiqua" w:eastAsia="宋体" w:hAnsi="Book Antiqua" w:cs="宋体"/>
          <w:i/>
          <w:iCs/>
          <w:sz w:val="24"/>
          <w:szCs w:val="24"/>
          <w:lang w:val="en-US" w:eastAsia="zh-CN"/>
        </w:rPr>
        <w:t>Hepatology</w:t>
      </w:r>
      <w:r w:rsidRPr="00714401">
        <w:rPr>
          <w:rFonts w:ascii="Book Antiqua" w:eastAsia="宋体" w:hAnsi="Book Antiqua" w:cs="宋体"/>
          <w:sz w:val="24"/>
          <w:szCs w:val="24"/>
          <w:lang w:val="en-US" w:eastAsia="zh-CN"/>
        </w:rPr>
        <w:t xml:space="preserve"> 2000; </w:t>
      </w:r>
      <w:r w:rsidRPr="00714401">
        <w:rPr>
          <w:rFonts w:ascii="Book Antiqua" w:eastAsia="宋体" w:hAnsi="Book Antiqua" w:cs="宋体"/>
          <w:b/>
          <w:bCs/>
          <w:sz w:val="24"/>
          <w:szCs w:val="24"/>
          <w:lang w:val="en-US" w:eastAsia="zh-CN"/>
        </w:rPr>
        <w:t>31</w:t>
      </w:r>
      <w:r w:rsidRPr="00714401">
        <w:rPr>
          <w:rFonts w:ascii="Book Antiqua" w:eastAsia="宋体" w:hAnsi="Book Antiqua" w:cs="宋体"/>
          <w:sz w:val="24"/>
          <w:szCs w:val="24"/>
          <w:lang w:val="en-US" w:eastAsia="zh-CN"/>
        </w:rPr>
        <w:t>: 864-871 [PMID: 10733541 DOI: 10.1053/he.2000.5852]</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39 </w:t>
      </w:r>
      <w:proofErr w:type="spellStart"/>
      <w:r w:rsidRPr="00714401">
        <w:rPr>
          <w:rFonts w:ascii="Book Antiqua" w:eastAsia="宋体" w:hAnsi="Book Antiqua" w:cs="宋体"/>
          <w:b/>
          <w:bCs/>
          <w:sz w:val="24"/>
          <w:szCs w:val="24"/>
          <w:lang w:val="en-US" w:eastAsia="zh-CN"/>
        </w:rPr>
        <w:t>Dutkowski</w:t>
      </w:r>
      <w:proofErr w:type="spellEnd"/>
      <w:r w:rsidRPr="00714401">
        <w:rPr>
          <w:rFonts w:ascii="Book Antiqua" w:eastAsia="宋体" w:hAnsi="Book Antiqua" w:cs="宋体"/>
          <w:b/>
          <w:bCs/>
          <w:sz w:val="24"/>
          <w:szCs w:val="24"/>
          <w:lang w:val="en-US" w:eastAsia="zh-CN"/>
        </w:rPr>
        <w:t xml:space="preserve"> P</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Oberkofler</w:t>
      </w:r>
      <w:proofErr w:type="spellEnd"/>
      <w:r w:rsidRPr="00714401">
        <w:rPr>
          <w:rFonts w:ascii="Book Antiqua" w:eastAsia="宋体" w:hAnsi="Book Antiqua" w:cs="宋体"/>
          <w:sz w:val="24"/>
          <w:szCs w:val="24"/>
          <w:lang w:val="en-US" w:eastAsia="zh-CN"/>
        </w:rPr>
        <w:t xml:space="preserve"> CE, </w:t>
      </w:r>
      <w:proofErr w:type="spellStart"/>
      <w:r w:rsidRPr="00714401">
        <w:rPr>
          <w:rFonts w:ascii="Book Antiqua" w:eastAsia="宋体" w:hAnsi="Book Antiqua" w:cs="宋体"/>
          <w:sz w:val="24"/>
          <w:szCs w:val="24"/>
          <w:lang w:val="en-US" w:eastAsia="zh-CN"/>
        </w:rPr>
        <w:t>Béchir</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Müllhaupt</w:t>
      </w:r>
      <w:proofErr w:type="spellEnd"/>
      <w:r w:rsidRPr="00714401">
        <w:rPr>
          <w:rFonts w:ascii="Book Antiqua" w:eastAsia="宋体" w:hAnsi="Book Antiqua" w:cs="宋体"/>
          <w:sz w:val="24"/>
          <w:szCs w:val="24"/>
          <w:lang w:val="en-US" w:eastAsia="zh-CN"/>
        </w:rPr>
        <w:t xml:space="preserve"> B, </w:t>
      </w:r>
      <w:proofErr w:type="spellStart"/>
      <w:r w:rsidRPr="00714401">
        <w:rPr>
          <w:rFonts w:ascii="Book Antiqua" w:eastAsia="宋体" w:hAnsi="Book Antiqua" w:cs="宋体"/>
          <w:sz w:val="24"/>
          <w:szCs w:val="24"/>
          <w:lang w:val="en-US" w:eastAsia="zh-CN"/>
        </w:rPr>
        <w:t>Geier</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Raptis</w:t>
      </w:r>
      <w:proofErr w:type="spellEnd"/>
      <w:r w:rsidRPr="00714401">
        <w:rPr>
          <w:rFonts w:ascii="Book Antiqua" w:eastAsia="宋体" w:hAnsi="Book Antiqua" w:cs="宋体"/>
          <w:sz w:val="24"/>
          <w:szCs w:val="24"/>
          <w:lang w:val="en-US" w:eastAsia="zh-CN"/>
        </w:rPr>
        <w:t xml:space="preserve"> DA, </w:t>
      </w:r>
      <w:proofErr w:type="spellStart"/>
      <w:r w:rsidRPr="00714401">
        <w:rPr>
          <w:rFonts w:ascii="Book Antiqua" w:eastAsia="宋体" w:hAnsi="Book Antiqua" w:cs="宋体"/>
          <w:sz w:val="24"/>
          <w:szCs w:val="24"/>
          <w:lang w:val="en-US" w:eastAsia="zh-CN"/>
        </w:rPr>
        <w:t>Clavien</w:t>
      </w:r>
      <w:proofErr w:type="spellEnd"/>
      <w:r w:rsidRPr="00714401">
        <w:rPr>
          <w:rFonts w:ascii="Book Antiqua" w:eastAsia="宋体" w:hAnsi="Book Antiqua" w:cs="宋体"/>
          <w:sz w:val="24"/>
          <w:szCs w:val="24"/>
          <w:lang w:val="en-US" w:eastAsia="zh-CN"/>
        </w:rPr>
        <w:t xml:space="preserve"> PA. The model for end-stage liver disease allocation system for liver transplantation saves lives, but increases morbidity and cost: a prospective outcome analysis.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2011; </w:t>
      </w:r>
      <w:r w:rsidRPr="00714401">
        <w:rPr>
          <w:rFonts w:ascii="Book Antiqua" w:eastAsia="宋体" w:hAnsi="Book Antiqua" w:cs="宋体"/>
          <w:b/>
          <w:bCs/>
          <w:sz w:val="24"/>
          <w:szCs w:val="24"/>
          <w:lang w:val="en-US" w:eastAsia="zh-CN"/>
        </w:rPr>
        <w:t>17</w:t>
      </w:r>
      <w:r w:rsidRPr="00714401">
        <w:rPr>
          <w:rFonts w:ascii="Book Antiqua" w:eastAsia="宋体" w:hAnsi="Book Antiqua" w:cs="宋体"/>
          <w:sz w:val="24"/>
          <w:szCs w:val="24"/>
          <w:lang w:val="en-US" w:eastAsia="zh-CN"/>
        </w:rPr>
        <w:t>: 674-684 [PMID: 21618688]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40 </w:t>
      </w:r>
      <w:proofErr w:type="spellStart"/>
      <w:r w:rsidRPr="00714401">
        <w:rPr>
          <w:rFonts w:ascii="Book Antiqua" w:eastAsia="宋体" w:hAnsi="Book Antiqua" w:cs="宋体"/>
          <w:b/>
          <w:bCs/>
          <w:sz w:val="24"/>
          <w:szCs w:val="24"/>
          <w:lang w:val="en-US" w:eastAsia="zh-CN"/>
        </w:rPr>
        <w:t>Cholongitas</w:t>
      </w:r>
      <w:proofErr w:type="spellEnd"/>
      <w:r w:rsidRPr="00714401">
        <w:rPr>
          <w:rFonts w:ascii="Book Antiqua" w:eastAsia="宋体" w:hAnsi="Book Antiqua" w:cs="宋体"/>
          <w:b/>
          <w:bCs/>
          <w:sz w:val="24"/>
          <w:szCs w:val="24"/>
          <w:lang w:val="en-US" w:eastAsia="zh-CN"/>
        </w:rPr>
        <w:t xml:space="preserve"> E</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Marelli</w:t>
      </w:r>
      <w:proofErr w:type="spellEnd"/>
      <w:r w:rsidRPr="00714401">
        <w:rPr>
          <w:rFonts w:ascii="Book Antiqua" w:eastAsia="宋体" w:hAnsi="Book Antiqua" w:cs="宋体"/>
          <w:sz w:val="24"/>
          <w:szCs w:val="24"/>
          <w:lang w:val="en-US" w:eastAsia="zh-CN"/>
        </w:rPr>
        <w:t xml:space="preserve"> L, </w:t>
      </w:r>
      <w:proofErr w:type="spellStart"/>
      <w:r w:rsidRPr="00714401">
        <w:rPr>
          <w:rFonts w:ascii="Book Antiqua" w:eastAsia="宋体" w:hAnsi="Book Antiqua" w:cs="宋体"/>
          <w:sz w:val="24"/>
          <w:szCs w:val="24"/>
          <w:lang w:val="en-US" w:eastAsia="zh-CN"/>
        </w:rPr>
        <w:t>Shusang</w:t>
      </w:r>
      <w:proofErr w:type="spellEnd"/>
      <w:r w:rsidRPr="00714401">
        <w:rPr>
          <w:rFonts w:ascii="Book Antiqua" w:eastAsia="宋体" w:hAnsi="Book Antiqua" w:cs="宋体"/>
          <w:sz w:val="24"/>
          <w:szCs w:val="24"/>
          <w:lang w:val="en-US" w:eastAsia="zh-CN"/>
        </w:rPr>
        <w:t xml:space="preserve"> V, </w:t>
      </w:r>
      <w:proofErr w:type="spellStart"/>
      <w:r w:rsidRPr="00714401">
        <w:rPr>
          <w:rFonts w:ascii="Book Antiqua" w:eastAsia="宋体" w:hAnsi="Book Antiqua" w:cs="宋体"/>
          <w:sz w:val="24"/>
          <w:szCs w:val="24"/>
          <w:lang w:val="en-US" w:eastAsia="zh-CN"/>
        </w:rPr>
        <w:t>Senzolo</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Rolles</w:t>
      </w:r>
      <w:proofErr w:type="spellEnd"/>
      <w:r w:rsidRPr="00714401">
        <w:rPr>
          <w:rFonts w:ascii="Book Antiqua" w:eastAsia="宋体" w:hAnsi="Book Antiqua" w:cs="宋体"/>
          <w:sz w:val="24"/>
          <w:szCs w:val="24"/>
          <w:lang w:val="en-US" w:eastAsia="zh-CN"/>
        </w:rPr>
        <w:t xml:space="preserve"> K, Patch D, Burroughs AK. </w:t>
      </w:r>
      <w:proofErr w:type="gramStart"/>
      <w:r w:rsidRPr="00714401">
        <w:rPr>
          <w:rFonts w:ascii="Book Antiqua" w:eastAsia="宋体" w:hAnsi="Book Antiqua" w:cs="宋体"/>
          <w:sz w:val="24"/>
          <w:szCs w:val="24"/>
          <w:lang w:val="en-US" w:eastAsia="zh-CN"/>
        </w:rPr>
        <w:t>A systematic review of the performance of the model for end-stage liver disease (MELD) in the setting of liver transplantation.</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2006;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1049-1061 [PMID: 16799946]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41 </w:t>
      </w:r>
      <w:proofErr w:type="spellStart"/>
      <w:r w:rsidRPr="00714401">
        <w:rPr>
          <w:rFonts w:ascii="Book Antiqua" w:eastAsia="宋体" w:hAnsi="Book Antiqua" w:cs="宋体"/>
          <w:b/>
          <w:bCs/>
          <w:sz w:val="24"/>
          <w:szCs w:val="24"/>
          <w:lang w:val="en-US" w:eastAsia="zh-CN"/>
        </w:rPr>
        <w:t>Cucchetti</w:t>
      </w:r>
      <w:proofErr w:type="spellEnd"/>
      <w:r w:rsidRPr="00714401">
        <w:rPr>
          <w:rFonts w:ascii="Book Antiqua" w:eastAsia="宋体" w:hAnsi="Book Antiqua" w:cs="宋体"/>
          <w:b/>
          <w:bCs/>
          <w:sz w:val="24"/>
          <w:szCs w:val="24"/>
          <w:lang w:val="en-US" w:eastAsia="zh-CN"/>
        </w:rPr>
        <w:t xml:space="preserve"> A</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Ercolani</w:t>
      </w:r>
      <w:proofErr w:type="spellEnd"/>
      <w:r w:rsidRPr="00714401">
        <w:rPr>
          <w:rFonts w:ascii="Book Antiqua" w:eastAsia="宋体" w:hAnsi="Book Antiqua" w:cs="宋体"/>
          <w:sz w:val="24"/>
          <w:szCs w:val="24"/>
          <w:lang w:val="en-US" w:eastAsia="zh-CN"/>
        </w:rPr>
        <w:t xml:space="preserve"> G, </w:t>
      </w:r>
      <w:proofErr w:type="spellStart"/>
      <w:r w:rsidRPr="00714401">
        <w:rPr>
          <w:rFonts w:ascii="Book Antiqua" w:eastAsia="宋体" w:hAnsi="Book Antiqua" w:cs="宋体"/>
          <w:sz w:val="24"/>
          <w:szCs w:val="24"/>
          <w:lang w:val="en-US" w:eastAsia="zh-CN"/>
        </w:rPr>
        <w:t>Vivarelli</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Cescon</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Ravaioli</w:t>
      </w:r>
      <w:proofErr w:type="spellEnd"/>
      <w:r w:rsidRPr="00714401">
        <w:rPr>
          <w:rFonts w:ascii="Book Antiqua" w:eastAsia="宋体" w:hAnsi="Book Antiqua" w:cs="宋体"/>
          <w:sz w:val="24"/>
          <w:szCs w:val="24"/>
          <w:lang w:val="en-US" w:eastAsia="zh-CN"/>
        </w:rPr>
        <w:t xml:space="preserve"> M, La Barba G, </w:t>
      </w:r>
      <w:proofErr w:type="spellStart"/>
      <w:r w:rsidRPr="00714401">
        <w:rPr>
          <w:rFonts w:ascii="Book Antiqua" w:eastAsia="宋体" w:hAnsi="Book Antiqua" w:cs="宋体"/>
          <w:sz w:val="24"/>
          <w:szCs w:val="24"/>
          <w:lang w:val="en-US" w:eastAsia="zh-CN"/>
        </w:rPr>
        <w:t>Zanello</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Grazi</w:t>
      </w:r>
      <w:proofErr w:type="spellEnd"/>
      <w:r w:rsidRPr="00714401">
        <w:rPr>
          <w:rFonts w:ascii="Book Antiqua" w:eastAsia="宋体" w:hAnsi="Book Antiqua" w:cs="宋体"/>
          <w:sz w:val="24"/>
          <w:szCs w:val="24"/>
          <w:lang w:val="en-US" w:eastAsia="zh-CN"/>
        </w:rPr>
        <w:t xml:space="preserve"> GL, Pinna AD. </w:t>
      </w:r>
      <w:proofErr w:type="gramStart"/>
      <w:r w:rsidRPr="00714401">
        <w:rPr>
          <w:rFonts w:ascii="Book Antiqua" w:eastAsia="宋体" w:hAnsi="Book Antiqua" w:cs="宋体"/>
          <w:sz w:val="24"/>
          <w:szCs w:val="24"/>
          <w:lang w:val="en-US" w:eastAsia="zh-CN"/>
        </w:rPr>
        <w:t xml:space="preserve">Impact of model for end-stage liver disease (MELD) score on </w:t>
      </w:r>
      <w:r w:rsidRPr="00714401">
        <w:rPr>
          <w:rFonts w:ascii="Book Antiqua" w:eastAsia="宋体" w:hAnsi="Book Antiqua" w:cs="宋体"/>
          <w:sz w:val="24"/>
          <w:szCs w:val="24"/>
          <w:lang w:val="en-US" w:eastAsia="zh-CN"/>
        </w:rPr>
        <w:lastRenderedPageBreak/>
        <w:t xml:space="preserve">prognosis after </w:t>
      </w:r>
      <w:proofErr w:type="spellStart"/>
      <w:r w:rsidRPr="00714401">
        <w:rPr>
          <w:rFonts w:ascii="Book Antiqua" w:eastAsia="宋体" w:hAnsi="Book Antiqua" w:cs="宋体"/>
          <w:sz w:val="24"/>
          <w:szCs w:val="24"/>
          <w:lang w:val="en-US" w:eastAsia="zh-CN"/>
        </w:rPr>
        <w:t>hepatectomy</w:t>
      </w:r>
      <w:proofErr w:type="spellEnd"/>
      <w:r w:rsidRPr="00714401">
        <w:rPr>
          <w:rFonts w:ascii="Book Antiqua" w:eastAsia="宋体" w:hAnsi="Book Antiqua" w:cs="宋体"/>
          <w:sz w:val="24"/>
          <w:szCs w:val="24"/>
          <w:lang w:val="en-US" w:eastAsia="zh-CN"/>
        </w:rPr>
        <w:t xml:space="preserve"> for hepatocellular carcinoma on cirrhosis.</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2006;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966-971 [PMID: 16598792]</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42 </w:t>
      </w:r>
      <w:proofErr w:type="spellStart"/>
      <w:r w:rsidRPr="00714401">
        <w:rPr>
          <w:rFonts w:ascii="Book Antiqua" w:eastAsia="宋体" w:hAnsi="Book Antiqua" w:cs="宋体"/>
          <w:b/>
          <w:bCs/>
          <w:sz w:val="24"/>
          <w:szCs w:val="24"/>
          <w:lang w:val="en-US" w:eastAsia="zh-CN"/>
        </w:rPr>
        <w:t>Teh</w:t>
      </w:r>
      <w:proofErr w:type="spellEnd"/>
      <w:r w:rsidRPr="00714401">
        <w:rPr>
          <w:rFonts w:ascii="Book Antiqua" w:eastAsia="宋体" w:hAnsi="Book Antiqua" w:cs="宋体"/>
          <w:b/>
          <w:bCs/>
          <w:sz w:val="24"/>
          <w:szCs w:val="24"/>
          <w:lang w:val="en-US" w:eastAsia="zh-CN"/>
        </w:rPr>
        <w:t xml:space="preserve"> SH</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Christein</w:t>
      </w:r>
      <w:proofErr w:type="spellEnd"/>
      <w:r w:rsidRPr="00714401">
        <w:rPr>
          <w:rFonts w:ascii="Book Antiqua" w:eastAsia="宋体" w:hAnsi="Book Antiqua" w:cs="宋体"/>
          <w:sz w:val="24"/>
          <w:szCs w:val="24"/>
          <w:lang w:val="en-US" w:eastAsia="zh-CN"/>
        </w:rPr>
        <w:t xml:space="preserve"> J, Donohue J, Que F, Kendrick M, Farnell M, Cha S, Kamath P, Kim R, </w:t>
      </w:r>
      <w:proofErr w:type="spellStart"/>
      <w:r w:rsidRPr="00714401">
        <w:rPr>
          <w:rFonts w:ascii="Book Antiqua" w:eastAsia="宋体" w:hAnsi="Book Antiqua" w:cs="宋体"/>
          <w:sz w:val="24"/>
          <w:szCs w:val="24"/>
          <w:lang w:val="en-US" w:eastAsia="zh-CN"/>
        </w:rPr>
        <w:t>Nagorney</w:t>
      </w:r>
      <w:proofErr w:type="spellEnd"/>
      <w:r w:rsidRPr="00714401">
        <w:rPr>
          <w:rFonts w:ascii="Book Antiqua" w:eastAsia="宋体" w:hAnsi="Book Antiqua" w:cs="宋体"/>
          <w:sz w:val="24"/>
          <w:szCs w:val="24"/>
          <w:lang w:val="en-US" w:eastAsia="zh-CN"/>
        </w:rPr>
        <w:t xml:space="preserve"> DM. Hepatic resection of hepatocellular carcinoma in patients with cirrhosis: Model of End-Stage Liver Disease (MELD) score predicts perioperative mortality.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Gastrointest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2005; </w:t>
      </w:r>
      <w:r w:rsidRPr="00714401">
        <w:rPr>
          <w:rFonts w:ascii="Book Antiqua" w:eastAsia="宋体" w:hAnsi="Book Antiqua" w:cs="宋体"/>
          <w:b/>
          <w:bCs/>
          <w:sz w:val="24"/>
          <w:szCs w:val="24"/>
          <w:lang w:val="en-US" w:eastAsia="zh-CN"/>
        </w:rPr>
        <w:t>9</w:t>
      </w:r>
      <w:r w:rsidRPr="00714401">
        <w:rPr>
          <w:rFonts w:ascii="Book Antiqua" w:eastAsia="宋体" w:hAnsi="Book Antiqua" w:cs="宋体"/>
          <w:sz w:val="24"/>
          <w:szCs w:val="24"/>
          <w:lang w:val="en-US" w:eastAsia="zh-CN"/>
        </w:rPr>
        <w:t>: 1207-1</w:t>
      </w:r>
      <w:r w:rsidR="00E174A0">
        <w:rPr>
          <w:rFonts w:ascii="Book Antiqua" w:eastAsia="宋体" w:hAnsi="Book Antiqua" w:cs="宋体" w:hint="eastAsia"/>
          <w:sz w:val="24"/>
          <w:szCs w:val="24"/>
          <w:lang w:val="en-US" w:eastAsia="zh-CN"/>
        </w:rPr>
        <w:t>2</w:t>
      </w:r>
      <w:r w:rsidRPr="00714401">
        <w:rPr>
          <w:rFonts w:ascii="Book Antiqua" w:eastAsia="宋体" w:hAnsi="Book Antiqua" w:cs="宋体"/>
          <w:sz w:val="24"/>
          <w:szCs w:val="24"/>
          <w:lang w:val="en-US" w:eastAsia="zh-CN"/>
        </w:rPr>
        <w:t>15; discussion 1215 [PMID: 16332475]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43 </w:t>
      </w:r>
      <w:proofErr w:type="spellStart"/>
      <w:r w:rsidRPr="00714401">
        <w:rPr>
          <w:rFonts w:ascii="Book Antiqua" w:eastAsia="宋体" w:hAnsi="Book Antiqua" w:cs="宋体"/>
          <w:b/>
          <w:bCs/>
          <w:sz w:val="24"/>
          <w:szCs w:val="24"/>
          <w:lang w:val="en-US" w:eastAsia="zh-CN"/>
        </w:rPr>
        <w:t>Kokudo</w:t>
      </w:r>
      <w:proofErr w:type="spellEnd"/>
      <w:r w:rsidRPr="00714401">
        <w:rPr>
          <w:rFonts w:ascii="Book Antiqua" w:eastAsia="宋体" w:hAnsi="Book Antiqua" w:cs="宋体"/>
          <w:b/>
          <w:bCs/>
          <w:sz w:val="24"/>
          <w:szCs w:val="24"/>
          <w:lang w:val="en-US" w:eastAsia="zh-CN"/>
        </w:rPr>
        <w:t xml:space="preserve"> N</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Makuuchi</w:t>
      </w:r>
      <w:proofErr w:type="spellEnd"/>
      <w:r w:rsidRPr="00714401">
        <w:rPr>
          <w:rFonts w:ascii="Book Antiqua" w:eastAsia="宋体" w:hAnsi="Book Antiqua" w:cs="宋体"/>
          <w:sz w:val="24"/>
          <w:szCs w:val="24"/>
          <w:lang w:val="en-US" w:eastAsia="zh-CN"/>
        </w:rPr>
        <w:t xml:space="preserve"> M. Evidence-based clinical practice guidelines for hepatocellular carcinoma in Japan: the J-HCC guidelines.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Gastroenterol</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 xml:space="preserve">44 </w:t>
      </w:r>
      <w:proofErr w:type="spellStart"/>
      <w:r w:rsidRPr="00714401">
        <w:rPr>
          <w:rFonts w:ascii="Book Antiqua" w:eastAsia="宋体" w:hAnsi="Book Antiqua" w:cs="宋体"/>
          <w:bCs/>
          <w:sz w:val="24"/>
          <w:szCs w:val="24"/>
          <w:lang w:val="en-US" w:eastAsia="zh-CN"/>
        </w:rPr>
        <w:t>Suppl</w:t>
      </w:r>
      <w:proofErr w:type="spellEnd"/>
      <w:r w:rsidRPr="00714401">
        <w:rPr>
          <w:rFonts w:ascii="Book Antiqua" w:eastAsia="宋体" w:hAnsi="Book Antiqua" w:cs="宋体"/>
          <w:bCs/>
          <w:sz w:val="24"/>
          <w:szCs w:val="24"/>
          <w:lang w:val="en-US" w:eastAsia="zh-CN"/>
        </w:rPr>
        <w:t xml:space="preserve"> 19</w:t>
      </w:r>
      <w:r w:rsidRPr="00714401">
        <w:rPr>
          <w:rFonts w:ascii="Book Antiqua" w:eastAsia="宋体" w:hAnsi="Book Antiqua" w:cs="宋体"/>
          <w:sz w:val="24"/>
          <w:szCs w:val="24"/>
          <w:lang w:val="en-US" w:eastAsia="zh-CN"/>
        </w:rPr>
        <w:t>: 119-121 [PMID: 19148805]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44 </w:t>
      </w:r>
      <w:r w:rsidRPr="00714401">
        <w:rPr>
          <w:rFonts w:ascii="Book Antiqua" w:eastAsia="宋体" w:hAnsi="Book Antiqua" w:cs="宋体"/>
          <w:b/>
          <w:bCs/>
          <w:sz w:val="24"/>
          <w:szCs w:val="24"/>
          <w:lang w:val="en-US" w:eastAsia="zh-CN"/>
        </w:rPr>
        <w:t>Ohwada S</w:t>
      </w:r>
      <w:r w:rsidRPr="00714401">
        <w:rPr>
          <w:rFonts w:ascii="Book Antiqua" w:eastAsia="宋体" w:hAnsi="Book Antiqua" w:cs="宋体"/>
          <w:sz w:val="24"/>
          <w:szCs w:val="24"/>
          <w:lang w:val="en-US" w:eastAsia="zh-CN"/>
        </w:rPr>
        <w:t xml:space="preserve">, Kawate S, Hamada K, Yamada T, </w:t>
      </w:r>
      <w:proofErr w:type="spellStart"/>
      <w:r w:rsidRPr="00714401">
        <w:rPr>
          <w:rFonts w:ascii="Book Antiqua" w:eastAsia="宋体" w:hAnsi="Book Antiqua" w:cs="宋体"/>
          <w:sz w:val="24"/>
          <w:szCs w:val="24"/>
          <w:lang w:val="en-US" w:eastAsia="zh-CN"/>
        </w:rPr>
        <w:t>Sunose</w:t>
      </w:r>
      <w:proofErr w:type="spellEnd"/>
      <w:r w:rsidRPr="00714401">
        <w:rPr>
          <w:rFonts w:ascii="Book Antiqua" w:eastAsia="宋体" w:hAnsi="Book Antiqua" w:cs="宋体"/>
          <w:sz w:val="24"/>
          <w:szCs w:val="24"/>
          <w:lang w:val="en-US" w:eastAsia="zh-CN"/>
        </w:rPr>
        <w:t xml:space="preserve"> Y, </w:t>
      </w:r>
      <w:proofErr w:type="spellStart"/>
      <w:r w:rsidRPr="00714401">
        <w:rPr>
          <w:rFonts w:ascii="Book Antiqua" w:eastAsia="宋体" w:hAnsi="Book Antiqua" w:cs="宋体"/>
          <w:sz w:val="24"/>
          <w:szCs w:val="24"/>
          <w:lang w:val="en-US" w:eastAsia="zh-CN"/>
        </w:rPr>
        <w:t>Tsutsumi</w:t>
      </w:r>
      <w:proofErr w:type="spellEnd"/>
      <w:r w:rsidRPr="00714401">
        <w:rPr>
          <w:rFonts w:ascii="Book Antiqua" w:eastAsia="宋体" w:hAnsi="Book Antiqua" w:cs="宋体"/>
          <w:sz w:val="24"/>
          <w:szCs w:val="24"/>
          <w:lang w:val="en-US" w:eastAsia="zh-CN"/>
        </w:rPr>
        <w:t xml:space="preserve"> H, </w:t>
      </w:r>
      <w:proofErr w:type="spellStart"/>
      <w:r w:rsidRPr="00714401">
        <w:rPr>
          <w:rFonts w:ascii="Book Antiqua" w:eastAsia="宋体" w:hAnsi="Book Antiqua" w:cs="宋体"/>
          <w:sz w:val="24"/>
          <w:szCs w:val="24"/>
          <w:lang w:val="en-US" w:eastAsia="zh-CN"/>
        </w:rPr>
        <w:t>Tago</w:t>
      </w:r>
      <w:proofErr w:type="spellEnd"/>
      <w:r w:rsidRPr="00714401">
        <w:rPr>
          <w:rFonts w:ascii="Book Antiqua" w:eastAsia="宋体" w:hAnsi="Book Antiqua" w:cs="宋体"/>
          <w:sz w:val="24"/>
          <w:szCs w:val="24"/>
          <w:lang w:val="en-US" w:eastAsia="zh-CN"/>
        </w:rPr>
        <w:t xml:space="preserve"> K, Okabe T. Perioperative real-time monitoring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by pulse spectrophotometry predicts remnant liver functional reserve in resection of hepatocellular carcinoma. </w:t>
      </w:r>
      <w:r w:rsidRPr="00714401">
        <w:rPr>
          <w:rFonts w:ascii="Book Antiqua" w:eastAsia="宋体" w:hAnsi="Book Antiqua" w:cs="宋体"/>
          <w:i/>
          <w:iCs/>
          <w:sz w:val="24"/>
          <w:szCs w:val="24"/>
          <w:lang w:val="en-US" w:eastAsia="zh-CN"/>
        </w:rPr>
        <w:t xml:space="preserve">Br J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2006; </w:t>
      </w:r>
      <w:r w:rsidRPr="00714401">
        <w:rPr>
          <w:rFonts w:ascii="Book Antiqua" w:eastAsia="宋体" w:hAnsi="Book Antiqua" w:cs="宋体"/>
          <w:b/>
          <w:bCs/>
          <w:sz w:val="24"/>
          <w:szCs w:val="24"/>
          <w:lang w:val="en-US" w:eastAsia="zh-CN"/>
        </w:rPr>
        <w:t>93</w:t>
      </w:r>
      <w:r w:rsidRPr="00714401">
        <w:rPr>
          <w:rFonts w:ascii="Book Antiqua" w:eastAsia="宋体" w:hAnsi="Book Antiqua" w:cs="宋体"/>
          <w:sz w:val="24"/>
          <w:szCs w:val="24"/>
          <w:lang w:val="en-US" w:eastAsia="zh-CN"/>
        </w:rPr>
        <w:t>: 339-346 [PMID: 16498606 DOI: 10.1002/bjs.5258]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45 </w:t>
      </w:r>
      <w:r w:rsidRPr="00714401">
        <w:rPr>
          <w:rFonts w:ascii="Book Antiqua" w:eastAsia="宋体" w:hAnsi="Book Antiqua" w:cs="宋体"/>
          <w:b/>
          <w:bCs/>
          <w:sz w:val="24"/>
          <w:szCs w:val="24"/>
          <w:lang w:val="en-US" w:eastAsia="zh-CN"/>
        </w:rPr>
        <w:t>Greco E</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Nanji</w:t>
      </w:r>
      <w:proofErr w:type="spellEnd"/>
      <w:r w:rsidRPr="00714401">
        <w:rPr>
          <w:rFonts w:ascii="Book Antiqua" w:eastAsia="宋体" w:hAnsi="Book Antiqua" w:cs="宋体"/>
          <w:sz w:val="24"/>
          <w:szCs w:val="24"/>
          <w:lang w:val="en-US" w:eastAsia="zh-CN"/>
        </w:rPr>
        <w:t xml:space="preserve"> S, Bromberg IL, Shah S, Wei AC, Moulton CA, </w:t>
      </w:r>
      <w:proofErr w:type="spellStart"/>
      <w:r w:rsidRPr="00714401">
        <w:rPr>
          <w:rFonts w:ascii="Book Antiqua" w:eastAsia="宋体" w:hAnsi="Book Antiqua" w:cs="宋体"/>
          <w:sz w:val="24"/>
          <w:szCs w:val="24"/>
          <w:lang w:val="en-US" w:eastAsia="zh-CN"/>
        </w:rPr>
        <w:t>Greig</w:t>
      </w:r>
      <w:proofErr w:type="spellEnd"/>
      <w:r w:rsidRPr="00714401">
        <w:rPr>
          <w:rFonts w:ascii="Book Antiqua" w:eastAsia="宋体" w:hAnsi="Book Antiqua" w:cs="宋体"/>
          <w:sz w:val="24"/>
          <w:szCs w:val="24"/>
          <w:lang w:val="en-US" w:eastAsia="zh-CN"/>
        </w:rPr>
        <w:t xml:space="preserve"> PD, </w:t>
      </w:r>
      <w:proofErr w:type="spellStart"/>
      <w:r w:rsidRPr="00714401">
        <w:rPr>
          <w:rFonts w:ascii="Book Antiqua" w:eastAsia="宋体" w:hAnsi="Book Antiqua" w:cs="宋体"/>
          <w:sz w:val="24"/>
          <w:szCs w:val="24"/>
          <w:lang w:val="en-US" w:eastAsia="zh-CN"/>
        </w:rPr>
        <w:t>Gallinger</w:t>
      </w:r>
      <w:proofErr w:type="spellEnd"/>
      <w:r w:rsidRPr="00714401">
        <w:rPr>
          <w:rFonts w:ascii="Book Antiqua" w:eastAsia="宋体" w:hAnsi="Book Antiqua" w:cs="宋体"/>
          <w:sz w:val="24"/>
          <w:szCs w:val="24"/>
          <w:lang w:val="en-US" w:eastAsia="zh-CN"/>
        </w:rPr>
        <w:t xml:space="preserve"> S, Cleary SP. Predictors of </w:t>
      </w:r>
      <w:proofErr w:type="spellStart"/>
      <w:r w:rsidRPr="00714401">
        <w:rPr>
          <w:rFonts w:ascii="Book Antiqua" w:eastAsia="宋体" w:hAnsi="Book Antiqua" w:cs="宋体"/>
          <w:sz w:val="24"/>
          <w:szCs w:val="24"/>
          <w:lang w:val="en-US" w:eastAsia="zh-CN"/>
        </w:rPr>
        <w:t>peri-opertative</w:t>
      </w:r>
      <w:proofErr w:type="spellEnd"/>
      <w:r w:rsidRPr="00714401">
        <w:rPr>
          <w:rFonts w:ascii="Book Antiqua" w:eastAsia="宋体" w:hAnsi="Book Antiqua" w:cs="宋体"/>
          <w:sz w:val="24"/>
          <w:szCs w:val="24"/>
          <w:lang w:val="en-US" w:eastAsia="zh-CN"/>
        </w:rPr>
        <w:t xml:space="preserve"> morbidity and liver dysfunction after hepatic resection in patients with chronic liver disease. </w:t>
      </w:r>
      <w:r w:rsidRPr="00714401">
        <w:rPr>
          <w:rFonts w:ascii="Book Antiqua" w:eastAsia="宋体" w:hAnsi="Book Antiqua" w:cs="宋体"/>
          <w:i/>
          <w:iCs/>
          <w:sz w:val="24"/>
          <w:szCs w:val="24"/>
          <w:lang w:val="en-US" w:eastAsia="zh-CN"/>
        </w:rPr>
        <w:t xml:space="preserve">HPB </w:t>
      </w:r>
      <w:r w:rsidRPr="00714401">
        <w:rPr>
          <w:rFonts w:ascii="Book Antiqua" w:eastAsia="宋体" w:hAnsi="Book Antiqua" w:cs="宋体"/>
          <w:iCs/>
          <w:sz w:val="24"/>
          <w:szCs w:val="24"/>
          <w:lang w:val="en-US" w:eastAsia="zh-CN"/>
        </w:rPr>
        <w:t>(Oxford)</w:t>
      </w:r>
      <w:r w:rsidRPr="00714401">
        <w:rPr>
          <w:rFonts w:ascii="Book Antiqua" w:eastAsia="宋体" w:hAnsi="Book Antiqua" w:cs="宋体"/>
          <w:sz w:val="24"/>
          <w:szCs w:val="24"/>
          <w:lang w:val="en-US" w:eastAsia="zh-CN"/>
        </w:rPr>
        <w:t xml:space="preserve"> 2011; </w:t>
      </w:r>
      <w:r w:rsidRPr="00714401">
        <w:rPr>
          <w:rFonts w:ascii="Book Antiqua" w:eastAsia="宋体" w:hAnsi="Book Antiqua" w:cs="宋体"/>
          <w:b/>
          <w:bCs/>
          <w:sz w:val="24"/>
          <w:szCs w:val="24"/>
          <w:lang w:val="en-US" w:eastAsia="zh-CN"/>
        </w:rPr>
        <w:t>13</w:t>
      </w:r>
      <w:r w:rsidRPr="00714401">
        <w:rPr>
          <w:rFonts w:ascii="Book Antiqua" w:eastAsia="宋体" w:hAnsi="Book Antiqua" w:cs="宋体"/>
          <w:sz w:val="24"/>
          <w:szCs w:val="24"/>
          <w:lang w:val="en-US" w:eastAsia="zh-CN"/>
        </w:rPr>
        <w:t>: 559-565 [PMID: 21762299 DOI: 10.1111/j.1477-2574.2011.00329.x]</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46 </w:t>
      </w:r>
      <w:r w:rsidRPr="00714401">
        <w:rPr>
          <w:rFonts w:ascii="Book Antiqua" w:eastAsia="宋体" w:hAnsi="Book Antiqua" w:cs="宋体"/>
          <w:b/>
          <w:bCs/>
          <w:sz w:val="24"/>
          <w:szCs w:val="24"/>
          <w:lang w:val="en-US" w:eastAsia="zh-CN"/>
        </w:rPr>
        <w:t>Shindoh J</w:t>
      </w:r>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Tzeng</w:t>
      </w:r>
      <w:proofErr w:type="spellEnd"/>
      <w:r w:rsidRPr="00714401">
        <w:rPr>
          <w:rFonts w:ascii="Book Antiqua" w:eastAsia="宋体" w:hAnsi="Book Antiqua" w:cs="宋体"/>
          <w:sz w:val="24"/>
          <w:szCs w:val="24"/>
          <w:lang w:val="en-US" w:eastAsia="zh-CN"/>
        </w:rPr>
        <w:t xml:space="preserve"> CW, </w:t>
      </w:r>
      <w:proofErr w:type="spellStart"/>
      <w:r w:rsidRPr="00714401">
        <w:rPr>
          <w:rFonts w:ascii="Book Antiqua" w:eastAsia="宋体" w:hAnsi="Book Antiqua" w:cs="宋体"/>
          <w:sz w:val="24"/>
          <w:szCs w:val="24"/>
          <w:lang w:val="en-US" w:eastAsia="zh-CN"/>
        </w:rPr>
        <w:t>Vauthey</w:t>
      </w:r>
      <w:proofErr w:type="spellEnd"/>
      <w:r w:rsidRPr="00714401">
        <w:rPr>
          <w:rFonts w:ascii="Book Antiqua" w:eastAsia="宋体" w:hAnsi="Book Antiqua" w:cs="宋体"/>
          <w:sz w:val="24"/>
          <w:szCs w:val="24"/>
          <w:lang w:val="en-US" w:eastAsia="zh-CN"/>
        </w:rPr>
        <w:t xml:space="preserve"> JN. </w:t>
      </w:r>
      <w:proofErr w:type="gramStart"/>
      <w:r w:rsidRPr="00714401">
        <w:rPr>
          <w:rFonts w:ascii="Book Antiqua" w:eastAsia="宋体" w:hAnsi="Book Antiqua" w:cs="宋体"/>
          <w:sz w:val="24"/>
          <w:szCs w:val="24"/>
          <w:lang w:val="en-US" w:eastAsia="zh-CN"/>
        </w:rPr>
        <w:t>Portal vein embolization for hepatocellular carcinoma.</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Liver Cancer</w:t>
      </w:r>
      <w:r w:rsidRPr="00714401">
        <w:rPr>
          <w:rFonts w:ascii="Book Antiqua" w:eastAsia="宋体" w:hAnsi="Book Antiqua" w:cs="宋体"/>
          <w:sz w:val="24"/>
          <w:szCs w:val="24"/>
          <w:lang w:val="en-US" w:eastAsia="zh-CN"/>
        </w:rPr>
        <w:t xml:space="preserve"> 2012; </w:t>
      </w:r>
      <w:r w:rsidRPr="00714401">
        <w:rPr>
          <w:rFonts w:ascii="Book Antiqua" w:eastAsia="宋体" w:hAnsi="Book Antiqua" w:cs="宋体"/>
          <w:b/>
          <w:bCs/>
          <w:sz w:val="24"/>
          <w:szCs w:val="24"/>
          <w:lang w:val="en-US" w:eastAsia="zh-CN"/>
        </w:rPr>
        <w:t>1</w:t>
      </w:r>
      <w:r w:rsidRPr="00714401">
        <w:rPr>
          <w:rFonts w:ascii="Book Antiqua" w:eastAsia="宋体" w:hAnsi="Book Antiqua" w:cs="宋体"/>
          <w:sz w:val="24"/>
          <w:szCs w:val="24"/>
          <w:lang w:val="en-US" w:eastAsia="zh-CN"/>
        </w:rPr>
        <w:t>: 159-167 [PMID: 24159580 DOI: 10.1159/000343829]</w:t>
      </w:r>
    </w:p>
    <w:p w:rsidR="00C1277A" w:rsidRPr="00714401" w:rsidRDefault="00917F62"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47 </w:t>
      </w:r>
      <w:proofErr w:type="spellStart"/>
      <w:r w:rsidR="00C1277A" w:rsidRPr="00714401">
        <w:rPr>
          <w:rFonts w:ascii="Book Antiqua" w:eastAsia="宋体" w:hAnsi="Book Antiqua" w:cs="宋体"/>
          <w:b/>
          <w:sz w:val="24"/>
          <w:szCs w:val="24"/>
          <w:lang w:val="en-US" w:eastAsia="zh-CN"/>
        </w:rPr>
        <w:t>Mazza</w:t>
      </w:r>
      <w:proofErr w:type="spellEnd"/>
      <w:r w:rsidR="00C1277A" w:rsidRPr="00714401">
        <w:rPr>
          <w:rFonts w:ascii="Book Antiqua" w:eastAsia="宋体" w:hAnsi="Book Antiqua" w:cs="宋体"/>
          <w:b/>
          <w:sz w:val="24"/>
          <w:szCs w:val="24"/>
          <w:lang w:val="en-US" w:eastAsia="zh-CN"/>
        </w:rPr>
        <w:t xml:space="preserve"> E</w:t>
      </w:r>
      <w:r w:rsidR="00C1277A" w:rsidRPr="00714401">
        <w:rPr>
          <w:rFonts w:ascii="Book Antiqua" w:eastAsia="宋体" w:hAnsi="Book Antiqua" w:cs="宋体"/>
          <w:sz w:val="24"/>
          <w:szCs w:val="24"/>
          <w:lang w:val="en-US" w:eastAsia="zh-CN"/>
        </w:rPr>
        <w:t xml:space="preserve">, </w:t>
      </w:r>
      <w:proofErr w:type="spellStart"/>
      <w:r w:rsidR="00C1277A" w:rsidRPr="00714401">
        <w:rPr>
          <w:rFonts w:ascii="Book Antiqua" w:eastAsia="宋体" w:hAnsi="Book Antiqua" w:cs="宋体"/>
          <w:sz w:val="24"/>
          <w:szCs w:val="24"/>
          <w:lang w:val="en-US" w:eastAsia="zh-CN"/>
        </w:rPr>
        <w:t>Kroeller</w:t>
      </w:r>
      <w:proofErr w:type="spellEnd"/>
      <w:r w:rsidR="00C1277A" w:rsidRPr="00714401">
        <w:rPr>
          <w:rFonts w:ascii="Book Antiqua" w:eastAsia="宋体" w:hAnsi="Book Antiqua" w:cs="宋体"/>
          <w:sz w:val="24"/>
          <w:szCs w:val="24"/>
          <w:lang w:val="en-US" w:eastAsia="zh-CN"/>
        </w:rPr>
        <w:t xml:space="preserve"> D, </w:t>
      </w:r>
      <w:proofErr w:type="spellStart"/>
      <w:r w:rsidR="00C1277A" w:rsidRPr="00714401">
        <w:rPr>
          <w:rFonts w:ascii="Book Antiqua" w:eastAsia="宋体" w:hAnsi="Book Antiqua" w:cs="宋体"/>
          <w:sz w:val="24"/>
          <w:szCs w:val="24"/>
          <w:lang w:val="en-US" w:eastAsia="zh-CN"/>
        </w:rPr>
        <w:t>Prosperi</w:t>
      </w:r>
      <w:proofErr w:type="spellEnd"/>
      <w:r w:rsidR="00C1277A" w:rsidRPr="00714401">
        <w:rPr>
          <w:rFonts w:ascii="Book Antiqua" w:eastAsia="宋体" w:hAnsi="Book Antiqua" w:cs="宋体"/>
          <w:sz w:val="24"/>
          <w:szCs w:val="24"/>
          <w:lang w:val="en-US" w:eastAsia="zh-CN"/>
        </w:rPr>
        <w:t xml:space="preserve"> M</w:t>
      </w:r>
      <w:r w:rsidR="00E85362" w:rsidRPr="00714401">
        <w:rPr>
          <w:rFonts w:ascii="Book Antiqua" w:eastAsia="宋体" w:hAnsi="Book Antiqua" w:cs="宋体" w:hint="eastAsia"/>
          <w:sz w:val="24"/>
          <w:szCs w:val="24"/>
          <w:lang w:val="en-US" w:eastAsia="zh-CN"/>
        </w:rPr>
        <w:t>,</w:t>
      </w:r>
      <w:r w:rsidR="00C1277A" w:rsidRPr="00714401">
        <w:rPr>
          <w:rFonts w:ascii="Book Antiqua" w:eastAsia="宋体" w:hAnsi="Book Antiqua" w:cs="宋体"/>
          <w:sz w:val="24"/>
          <w:szCs w:val="24"/>
          <w:lang w:val="en-US" w:eastAsia="zh-CN"/>
        </w:rPr>
        <w:t xml:space="preserve"> </w:t>
      </w:r>
      <w:proofErr w:type="spellStart"/>
      <w:r w:rsidR="00C1277A" w:rsidRPr="00714401">
        <w:rPr>
          <w:rFonts w:ascii="Book Antiqua" w:eastAsia="宋体" w:hAnsi="Book Antiqua" w:cs="宋体"/>
          <w:sz w:val="24"/>
          <w:szCs w:val="24"/>
          <w:lang w:val="en-US" w:eastAsia="zh-CN"/>
        </w:rPr>
        <w:t>Grugni</w:t>
      </w:r>
      <w:proofErr w:type="spellEnd"/>
      <w:r w:rsidR="00C1277A" w:rsidRPr="00714401">
        <w:rPr>
          <w:rFonts w:ascii="Book Antiqua" w:eastAsia="宋体" w:hAnsi="Book Antiqua" w:cs="宋体"/>
          <w:sz w:val="24"/>
          <w:szCs w:val="24"/>
          <w:lang w:val="en-US" w:eastAsia="zh-CN"/>
        </w:rPr>
        <w:t xml:space="preserve"> MC, Amici O, </w:t>
      </w:r>
      <w:proofErr w:type="spellStart"/>
      <w:r w:rsidR="00C1277A" w:rsidRPr="00714401">
        <w:rPr>
          <w:rFonts w:ascii="Book Antiqua" w:eastAsia="宋体" w:hAnsi="Book Antiqua" w:cs="宋体"/>
          <w:sz w:val="24"/>
          <w:szCs w:val="24"/>
          <w:lang w:val="en-US" w:eastAsia="zh-CN"/>
        </w:rPr>
        <w:t>Rosellli</w:t>
      </w:r>
      <w:proofErr w:type="spellEnd"/>
      <w:r w:rsidR="00C1277A" w:rsidRPr="00714401">
        <w:rPr>
          <w:rFonts w:ascii="Book Antiqua" w:eastAsia="宋体" w:hAnsi="Book Antiqua" w:cs="宋体"/>
          <w:sz w:val="24"/>
          <w:szCs w:val="24"/>
          <w:lang w:val="en-US" w:eastAsia="zh-CN"/>
        </w:rPr>
        <w:t xml:space="preserve"> E, De </w:t>
      </w:r>
      <w:proofErr w:type="spellStart"/>
      <w:r w:rsidR="00C1277A" w:rsidRPr="00714401">
        <w:rPr>
          <w:rFonts w:ascii="Book Antiqua" w:eastAsia="宋体" w:hAnsi="Book Antiqua" w:cs="宋体"/>
          <w:sz w:val="24"/>
          <w:szCs w:val="24"/>
          <w:lang w:val="en-US" w:eastAsia="zh-CN"/>
        </w:rPr>
        <w:t>Carlis</w:t>
      </w:r>
      <w:proofErr w:type="spellEnd"/>
      <w:r w:rsidR="00C1277A" w:rsidRPr="00714401">
        <w:rPr>
          <w:rFonts w:ascii="Book Antiqua" w:eastAsia="宋体" w:hAnsi="Book Antiqua" w:cs="宋体"/>
          <w:sz w:val="24"/>
          <w:szCs w:val="24"/>
          <w:lang w:val="en-US" w:eastAsia="zh-CN"/>
        </w:rPr>
        <w:t xml:space="preserve"> L, </w:t>
      </w:r>
      <w:proofErr w:type="spellStart"/>
      <w:r w:rsidR="00C1277A" w:rsidRPr="00714401">
        <w:rPr>
          <w:rFonts w:ascii="Book Antiqua" w:eastAsia="宋体" w:hAnsi="Book Antiqua" w:cs="宋体"/>
          <w:sz w:val="24"/>
          <w:szCs w:val="24"/>
          <w:lang w:val="en-US" w:eastAsia="zh-CN"/>
        </w:rPr>
        <w:t>Nichelatti</w:t>
      </w:r>
      <w:proofErr w:type="spellEnd"/>
      <w:r w:rsidR="00C1277A" w:rsidRPr="00714401">
        <w:rPr>
          <w:rFonts w:ascii="Book Antiqua" w:eastAsia="宋体" w:hAnsi="Book Antiqua" w:cs="宋体"/>
          <w:sz w:val="24"/>
          <w:szCs w:val="24"/>
          <w:lang w:val="en-US" w:eastAsia="zh-CN"/>
        </w:rPr>
        <w:t xml:space="preserve"> M, De </w:t>
      </w:r>
      <w:proofErr w:type="spellStart"/>
      <w:r w:rsidR="00C1277A" w:rsidRPr="00714401">
        <w:rPr>
          <w:rFonts w:ascii="Book Antiqua" w:eastAsia="宋体" w:hAnsi="Book Antiqua" w:cs="宋体"/>
          <w:sz w:val="24"/>
          <w:szCs w:val="24"/>
          <w:lang w:val="en-US" w:eastAsia="zh-CN"/>
        </w:rPr>
        <w:t>Gasperi</w:t>
      </w:r>
      <w:proofErr w:type="spellEnd"/>
      <w:r w:rsidR="00C1277A" w:rsidRPr="00714401">
        <w:rPr>
          <w:rFonts w:ascii="Book Antiqua" w:eastAsia="宋体" w:hAnsi="Book Antiqua" w:cs="宋体"/>
          <w:sz w:val="24"/>
          <w:szCs w:val="24"/>
          <w:lang w:val="en-US" w:eastAsia="zh-CN"/>
        </w:rPr>
        <w:t xml:space="preserve"> A. Does ICG clearance (ICGR15) predict morbidity and mortality after hepatic resection for hepatocellular carcinoma in cirrhotic patients? </w:t>
      </w:r>
      <w:r w:rsidR="00C1277A" w:rsidRPr="00714401">
        <w:rPr>
          <w:rFonts w:ascii="Book Antiqua" w:eastAsia="宋体" w:hAnsi="Book Antiqua" w:cs="宋体"/>
          <w:i/>
          <w:sz w:val="24"/>
          <w:szCs w:val="24"/>
          <w:lang w:val="en-US" w:eastAsia="zh-CN"/>
        </w:rPr>
        <w:t>Intensive Care Med</w:t>
      </w:r>
      <w:r w:rsidR="00C1277A" w:rsidRPr="00714401">
        <w:rPr>
          <w:rFonts w:ascii="Book Antiqua" w:eastAsia="宋体" w:hAnsi="Book Antiqua" w:cs="宋体"/>
          <w:sz w:val="24"/>
          <w:szCs w:val="24"/>
          <w:lang w:val="en-US" w:eastAsia="zh-CN"/>
        </w:rPr>
        <w:t xml:space="preserve"> 2012; </w:t>
      </w:r>
      <w:r w:rsidR="00C1277A" w:rsidRPr="00714401">
        <w:rPr>
          <w:rFonts w:ascii="Book Antiqua" w:eastAsia="宋体" w:hAnsi="Book Antiqua" w:cs="宋体"/>
          <w:b/>
          <w:sz w:val="24"/>
          <w:szCs w:val="24"/>
          <w:lang w:val="en-US" w:eastAsia="zh-CN"/>
        </w:rPr>
        <w:t>38</w:t>
      </w:r>
      <w:r w:rsidR="00C1277A" w:rsidRPr="00714401">
        <w:rPr>
          <w:rFonts w:ascii="Book Antiqua" w:eastAsia="宋体" w:hAnsi="Book Antiqua" w:cs="宋体"/>
          <w:sz w:val="24"/>
          <w:szCs w:val="24"/>
          <w:lang w:val="en-US" w:eastAsia="zh-CN"/>
        </w:rPr>
        <w:t>: S169, Abs 609 [</w:t>
      </w:r>
      <w:r w:rsidRPr="00714401">
        <w:rPr>
          <w:rFonts w:ascii="Book Antiqua" w:eastAsia="宋体" w:hAnsi="Book Antiqua" w:cs="宋体"/>
          <w:sz w:val="24"/>
          <w:szCs w:val="24"/>
          <w:lang w:val="en-US" w:eastAsia="zh-CN"/>
        </w:rPr>
        <w:t>DOI</w:t>
      </w:r>
      <w:r w:rsidR="00C1277A" w:rsidRPr="00714401">
        <w:rPr>
          <w:rFonts w:ascii="Book Antiqua" w:eastAsia="宋体" w:hAnsi="Book Antiqua" w:cs="宋体"/>
          <w:sz w:val="24"/>
          <w:szCs w:val="24"/>
          <w:lang w:val="en-US" w:eastAsia="zh-CN"/>
        </w:rPr>
        <w:t>: 10.1007/s00134-012-2683-0]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48 </w:t>
      </w:r>
      <w:r w:rsidRPr="00714401">
        <w:rPr>
          <w:rFonts w:ascii="Book Antiqua" w:eastAsia="宋体" w:hAnsi="Book Antiqua" w:cs="宋体"/>
          <w:b/>
          <w:bCs/>
          <w:sz w:val="24"/>
          <w:szCs w:val="24"/>
          <w:lang w:val="en-US" w:eastAsia="zh-CN"/>
        </w:rPr>
        <w:t>Thomas MN</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Weninger</w:t>
      </w:r>
      <w:proofErr w:type="spellEnd"/>
      <w:r w:rsidRPr="00714401">
        <w:rPr>
          <w:rFonts w:ascii="Book Antiqua" w:eastAsia="宋体" w:hAnsi="Book Antiqua" w:cs="宋体"/>
          <w:sz w:val="24"/>
          <w:szCs w:val="24"/>
          <w:lang w:val="en-US" w:eastAsia="zh-CN"/>
        </w:rPr>
        <w:t xml:space="preserve"> E, Angele M, </w:t>
      </w:r>
      <w:proofErr w:type="spellStart"/>
      <w:r w:rsidRPr="00714401">
        <w:rPr>
          <w:rFonts w:ascii="Book Antiqua" w:eastAsia="宋体" w:hAnsi="Book Antiqua" w:cs="宋体"/>
          <w:sz w:val="24"/>
          <w:szCs w:val="24"/>
          <w:lang w:val="en-US" w:eastAsia="zh-CN"/>
        </w:rPr>
        <w:t>Bösch</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Pratschke</w:t>
      </w:r>
      <w:proofErr w:type="spellEnd"/>
      <w:r w:rsidRPr="00714401">
        <w:rPr>
          <w:rFonts w:ascii="Book Antiqua" w:eastAsia="宋体" w:hAnsi="Book Antiqua" w:cs="宋体"/>
          <w:sz w:val="24"/>
          <w:szCs w:val="24"/>
          <w:lang w:val="en-US" w:eastAsia="zh-CN"/>
        </w:rPr>
        <w:t xml:space="preserve"> S, Andrassy J, </w:t>
      </w:r>
      <w:proofErr w:type="spellStart"/>
      <w:r w:rsidRPr="00714401">
        <w:rPr>
          <w:rFonts w:ascii="Book Antiqua" w:eastAsia="宋体" w:hAnsi="Book Antiqua" w:cs="宋体"/>
          <w:sz w:val="24"/>
          <w:szCs w:val="24"/>
          <w:lang w:val="en-US" w:eastAsia="zh-CN"/>
        </w:rPr>
        <w:t>Rentsch</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Stangl</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Hartwig</w:t>
      </w:r>
      <w:proofErr w:type="spellEnd"/>
      <w:r w:rsidRPr="00714401">
        <w:rPr>
          <w:rFonts w:ascii="Book Antiqua" w:eastAsia="宋体" w:hAnsi="Book Antiqua" w:cs="宋体"/>
          <w:sz w:val="24"/>
          <w:szCs w:val="24"/>
          <w:lang w:val="en-US" w:eastAsia="zh-CN"/>
        </w:rPr>
        <w:t xml:space="preserve"> W, Werner J, Guba M. Intraoperative simulation of remnant liver function during anatomic liver resection with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w:t>
      </w:r>
      <w:proofErr w:type="spellStart"/>
      <w:r w:rsidRPr="00714401">
        <w:rPr>
          <w:rFonts w:ascii="Book Antiqua" w:eastAsia="宋体" w:hAnsi="Book Antiqua" w:cs="宋体"/>
          <w:sz w:val="24"/>
          <w:szCs w:val="24"/>
          <w:lang w:val="en-US" w:eastAsia="zh-CN"/>
        </w:rPr>
        <w:t>LiMON</w:t>
      </w:r>
      <w:proofErr w:type="spellEnd"/>
      <w:r w:rsidRPr="00714401">
        <w:rPr>
          <w:rFonts w:ascii="Book Antiqua" w:eastAsia="宋体" w:hAnsi="Book Antiqua" w:cs="宋体"/>
          <w:sz w:val="24"/>
          <w:szCs w:val="24"/>
          <w:lang w:val="en-US" w:eastAsia="zh-CN"/>
        </w:rPr>
        <w:t xml:space="preserve">) measurements. </w:t>
      </w:r>
      <w:r w:rsidRPr="00714401">
        <w:rPr>
          <w:rFonts w:ascii="Book Antiqua" w:eastAsia="宋体" w:hAnsi="Book Antiqua" w:cs="宋体"/>
          <w:i/>
          <w:iCs/>
          <w:sz w:val="24"/>
          <w:szCs w:val="24"/>
          <w:lang w:val="en-US" w:eastAsia="zh-CN"/>
        </w:rPr>
        <w:t xml:space="preserve">HPB </w:t>
      </w:r>
      <w:r w:rsidRPr="00714401">
        <w:rPr>
          <w:rFonts w:ascii="Book Antiqua" w:eastAsia="宋体" w:hAnsi="Book Antiqua" w:cs="宋体"/>
          <w:iCs/>
          <w:sz w:val="24"/>
          <w:szCs w:val="24"/>
          <w:lang w:val="en-US" w:eastAsia="zh-CN"/>
        </w:rPr>
        <w:t>(Oxford)</w:t>
      </w:r>
      <w:r w:rsidRPr="00714401">
        <w:rPr>
          <w:rFonts w:ascii="Book Antiqua" w:eastAsia="宋体" w:hAnsi="Book Antiqua" w:cs="宋体"/>
          <w:sz w:val="24"/>
          <w:szCs w:val="24"/>
          <w:lang w:val="en-US" w:eastAsia="zh-CN"/>
        </w:rPr>
        <w:t xml:space="preserve"> 2015; </w:t>
      </w:r>
      <w:r w:rsidRPr="00714401">
        <w:rPr>
          <w:rFonts w:ascii="Book Antiqua" w:eastAsia="宋体" w:hAnsi="Book Antiqua" w:cs="宋体"/>
          <w:b/>
          <w:bCs/>
          <w:sz w:val="24"/>
          <w:szCs w:val="24"/>
          <w:lang w:val="en-US" w:eastAsia="zh-CN"/>
        </w:rPr>
        <w:t>17</w:t>
      </w:r>
      <w:r w:rsidRPr="00714401">
        <w:rPr>
          <w:rFonts w:ascii="Book Antiqua" w:eastAsia="宋体" w:hAnsi="Book Antiqua" w:cs="宋体"/>
          <w:sz w:val="24"/>
          <w:szCs w:val="24"/>
          <w:lang w:val="en-US" w:eastAsia="zh-CN"/>
        </w:rPr>
        <w:t>: 471-476 [PMID: 25581073 DOI: 10.1111/hpb.12380]</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proofErr w:type="gramStart"/>
      <w:r w:rsidRPr="00714401">
        <w:rPr>
          <w:rFonts w:ascii="Book Antiqua" w:eastAsia="宋体" w:hAnsi="Book Antiqua" w:cs="宋体"/>
          <w:sz w:val="24"/>
          <w:szCs w:val="24"/>
          <w:lang w:val="en-US" w:eastAsia="zh-CN"/>
        </w:rPr>
        <w:t xml:space="preserve">49 </w:t>
      </w:r>
      <w:r w:rsidRPr="00714401">
        <w:rPr>
          <w:rFonts w:ascii="Book Antiqua" w:eastAsia="宋体" w:hAnsi="Book Antiqua" w:cs="宋体"/>
          <w:b/>
          <w:bCs/>
          <w:sz w:val="24"/>
          <w:szCs w:val="24"/>
          <w:lang w:val="en-US" w:eastAsia="zh-CN"/>
        </w:rPr>
        <w:t>Du ZG</w:t>
      </w:r>
      <w:r w:rsidRPr="00714401">
        <w:rPr>
          <w:rFonts w:ascii="Book Antiqua" w:eastAsia="宋体" w:hAnsi="Book Antiqua" w:cs="宋体"/>
          <w:sz w:val="24"/>
          <w:szCs w:val="24"/>
          <w:lang w:val="en-US" w:eastAsia="zh-CN"/>
        </w:rPr>
        <w:t>, Wei YG, Chen KF, Li B.</w:t>
      </w:r>
      <w:proofErr w:type="gramEnd"/>
      <w:r w:rsidRPr="00714401">
        <w:rPr>
          <w:rFonts w:ascii="Book Antiqua" w:eastAsia="宋体" w:hAnsi="Book Antiqua" w:cs="宋体"/>
          <w:sz w:val="24"/>
          <w:szCs w:val="24"/>
          <w:lang w:val="en-US" w:eastAsia="zh-CN"/>
        </w:rPr>
        <w:t xml:space="preserve"> An accurate predictor of liver failure and death after </w:t>
      </w:r>
      <w:proofErr w:type="spellStart"/>
      <w:r w:rsidRPr="00714401">
        <w:rPr>
          <w:rFonts w:ascii="Book Antiqua" w:eastAsia="宋体" w:hAnsi="Book Antiqua" w:cs="宋体"/>
          <w:sz w:val="24"/>
          <w:szCs w:val="24"/>
          <w:lang w:val="en-US" w:eastAsia="zh-CN"/>
        </w:rPr>
        <w:t>hepatectomy</w:t>
      </w:r>
      <w:proofErr w:type="spellEnd"/>
      <w:r w:rsidRPr="00714401">
        <w:rPr>
          <w:rFonts w:ascii="Book Antiqua" w:eastAsia="宋体" w:hAnsi="Book Antiqua" w:cs="宋体"/>
          <w:sz w:val="24"/>
          <w:szCs w:val="24"/>
          <w:lang w:val="en-US" w:eastAsia="zh-CN"/>
        </w:rPr>
        <w:t xml:space="preserve">: a single institution's experience with 478 consecutive cases. </w:t>
      </w:r>
      <w:r w:rsidRPr="00714401">
        <w:rPr>
          <w:rFonts w:ascii="Book Antiqua" w:eastAsia="宋体" w:hAnsi="Book Antiqua" w:cs="宋体"/>
          <w:i/>
          <w:iCs/>
          <w:sz w:val="24"/>
          <w:szCs w:val="24"/>
          <w:lang w:val="en-US" w:eastAsia="zh-CN"/>
        </w:rPr>
        <w:t xml:space="preserve">World J </w:t>
      </w:r>
      <w:proofErr w:type="spellStart"/>
      <w:r w:rsidRPr="00714401">
        <w:rPr>
          <w:rFonts w:ascii="Book Antiqua" w:eastAsia="宋体" w:hAnsi="Book Antiqua" w:cs="宋体"/>
          <w:i/>
          <w:iCs/>
          <w:sz w:val="24"/>
          <w:szCs w:val="24"/>
          <w:lang w:val="en-US" w:eastAsia="zh-CN"/>
        </w:rPr>
        <w:t>Gastroenterol</w:t>
      </w:r>
      <w:proofErr w:type="spellEnd"/>
      <w:r w:rsidRPr="00714401">
        <w:rPr>
          <w:rFonts w:ascii="Book Antiqua" w:eastAsia="宋体" w:hAnsi="Book Antiqua" w:cs="宋体"/>
          <w:sz w:val="24"/>
          <w:szCs w:val="24"/>
          <w:lang w:val="en-US" w:eastAsia="zh-CN"/>
        </w:rPr>
        <w:t xml:space="preserve"> 2014; </w:t>
      </w:r>
      <w:r w:rsidRPr="00714401">
        <w:rPr>
          <w:rFonts w:ascii="Book Antiqua" w:eastAsia="宋体" w:hAnsi="Book Antiqua" w:cs="宋体"/>
          <w:b/>
          <w:bCs/>
          <w:sz w:val="24"/>
          <w:szCs w:val="24"/>
          <w:lang w:val="en-US" w:eastAsia="zh-CN"/>
        </w:rPr>
        <w:t>20</w:t>
      </w:r>
      <w:r w:rsidRPr="00714401">
        <w:rPr>
          <w:rFonts w:ascii="Book Antiqua" w:eastAsia="宋体" w:hAnsi="Book Antiqua" w:cs="宋体"/>
          <w:sz w:val="24"/>
          <w:szCs w:val="24"/>
          <w:lang w:val="en-US" w:eastAsia="zh-CN"/>
        </w:rPr>
        <w:t>: 274-281 [PMID: 24415</w:t>
      </w:r>
      <w:r w:rsidR="00917F62" w:rsidRPr="00714401">
        <w:rPr>
          <w:rFonts w:ascii="Book Antiqua" w:eastAsia="宋体" w:hAnsi="Book Antiqua" w:cs="宋体"/>
          <w:sz w:val="24"/>
          <w:szCs w:val="24"/>
          <w:lang w:val="en-US" w:eastAsia="zh-CN"/>
        </w:rPr>
        <w:t>882 DOI: 10.3748/wjg.v20.i1.274</w:t>
      </w:r>
      <w:r w:rsidRPr="00714401">
        <w:rPr>
          <w:rFonts w:ascii="Book Antiqua" w:eastAsia="宋体" w:hAnsi="Book Antiqua" w:cs="宋体"/>
          <w:sz w:val="24"/>
          <w:szCs w:val="24"/>
          <w:lang w:val="en-US" w:eastAsia="zh-CN"/>
        </w:rPr>
        <w:t>]</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50 </w:t>
      </w:r>
      <w:proofErr w:type="spellStart"/>
      <w:r w:rsidRPr="00714401">
        <w:rPr>
          <w:rFonts w:ascii="Book Antiqua" w:eastAsia="宋体" w:hAnsi="Book Antiqua" w:cs="宋体"/>
          <w:b/>
          <w:bCs/>
          <w:sz w:val="24"/>
          <w:szCs w:val="24"/>
          <w:lang w:val="en-US" w:eastAsia="zh-CN"/>
        </w:rPr>
        <w:t>Zipprich</w:t>
      </w:r>
      <w:proofErr w:type="spellEnd"/>
      <w:r w:rsidRPr="00714401">
        <w:rPr>
          <w:rFonts w:ascii="Book Antiqua" w:eastAsia="宋体" w:hAnsi="Book Antiqua" w:cs="宋体"/>
          <w:b/>
          <w:bCs/>
          <w:sz w:val="24"/>
          <w:szCs w:val="24"/>
          <w:lang w:val="en-US" w:eastAsia="zh-CN"/>
        </w:rPr>
        <w:t xml:space="preserve"> A</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Kuss</w:t>
      </w:r>
      <w:proofErr w:type="spellEnd"/>
      <w:r w:rsidRPr="00714401">
        <w:rPr>
          <w:rFonts w:ascii="Book Antiqua" w:eastAsia="宋体" w:hAnsi="Book Antiqua" w:cs="宋体"/>
          <w:sz w:val="24"/>
          <w:szCs w:val="24"/>
          <w:lang w:val="en-US" w:eastAsia="zh-CN"/>
        </w:rPr>
        <w:t xml:space="preserve"> O, </w:t>
      </w:r>
      <w:proofErr w:type="spellStart"/>
      <w:r w:rsidRPr="00714401">
        <w:rPr>
          <w:rFonts w:ascii="Book Antiqua" w:eastAsia="宋体" w:hAnsi="Book Antiqua" w:cs="宋体"/>
          <w:sz w:val="24"/>
          <w:szCs w:val="24"/>
          <w:lang w:val="en-US" w:eastAsia="zh-CN"/>
        </w:rPr>
        <w:t>Rogowski</w:t>
      </w:r>
      <w:proofErr w:type="spellEnd"/>
      <w:r w:rsidRPr="00714401">
        <w:rPr>
          <w:rFonts w:ascii="Book Antiqua" w:eastAsia="宋体" w:hAnsi="Book Antiqua" w:cs="宋体"/>
          <w:sz w:val="24"/>
          <w:szCs w:val="24"/>
          <w:lang w:val="en-US" w:eastAsia="zh-CN"/>
        </w:rPr>
        <w:t xml:space="preserve"> S, </w:t>
      </w:r>
      <w:proofErr w:type="spellStart"/>
      <w:r w:rsidRPr="00714401">
        <w:rPr>
          <w:rFonts w:ascii="Book Antiqua" w:eastAsia="宋体" w:hAnsi="Book Antiqua" w:cs="宋体"/>
          <w:sz w:val="24"/>
          <w:szCs w:val="24"/>
          <w:lang w:val="en-US" w:eastAsia="zh-CN"/>
        </w:rPr>
        <w:t>Kleber</w:t>
      </w:r>
      <w:proofErr w:type="spellEnd"/>
      <w:r w:rsidRPr="00714401">
        <w:rPr>
          <w:rFonts w:ascii="Book Antiqua" w:eastAsia="宋体" w:hAnsi="Book Antiqua" w:cs="宋体"/>
          <w:sz w:val="24"/>
          <w:szCs w:val="24"/>
          <w:lang w:val="en-US" w:eastAsia="zh-CN"/>
        </w:rPr>
        <w:t xml:space="preserve"> G, </w:t>
      </w:r>
      <w:proofErr w:type="spellStart"/>
      <w:r w:rsidRPr="00714401">
        <w:rPr>
          <w:rFonts w:ascii="Book Antiqua" w:eastAsia="宋体" w:hAnsi="Book Antiqua" w:cs="宋体"/>
          <w:sz w:val="24"/>
          <w:szCs w:val="24"/>
          <w:lang w:val="en-US" w:eastAsia="zh-CN"/>
        </w:rPr>
        <w:t>Lotterer</w:t>
      </w:r>
      <w:proofErr w:type="spellEnd"/>
      <w:r w:rsidRPr="00714401">
        <w:rPr>
          <w:rFonts w:ascii="Book Antiqua" w:eastAsia="宋体" w:hAnsi="Book Antiqua" w:cs="宋体"/>
          <w:sz w:val="24"/>
          <w:szCs w:val="24"/>
          <w:lang w:val="en-US" w:eastAsia="zh-CN"/>
        </w:rPr>
        <w:t xml:space="preserve"> E, </w:t>
      </w:r>
      <w:proofErr w:type="spellStart"/>
      <w:r w:rsidRPr="00714401">
        <w:rPr>
          <w:rFonts w:ascii="Book Antiqua" w:eastAsia="宋体" w:hAnsi="Book Antiqua" w:cs="宋体"/>
          <w:sz w:val="24"/>
          <w:szCs w:val="24"/>
          <w:lang w:val="en-US" w:eastAsia="zh-CN"/>
        </w:rPr>
        <w:t>Seufferlein</w:t>
      </w:r>
      <w:proofErr w:type="spellEnd"/>
      <w:r w:rsidRPr="00714401">
        <w:rPr>
          <w:rFonts w:ascii="Book Antiqua" w:eastAsia="宋体" w:hAnsi="Book Antiqua" w:cs="宋体"/>
          <w:sz w:val="24"/>
          <w:szCs w:val="24"/>
          <w:lang w:val="en-US" w:eastAsia="zh-CN"/>
        </w:rPr>
        <w:t xml:space="preserve"> T, </w:t>
      </w:r>
      <w:proofErr w:type="spellStart"/>
      <w:r w:rsidRPr="00714401">
        <w:rPr>
          <w:rFonts w:ascii="Book Antiqua" w:eastAsia="宋体" w:hAnsi="Book Antiqua" w:cs="宋体"/>
          <w:sz w:val="24"/>
          <w:szCs w:val="24"/>
          <w:lang w:val="en-US" w:eastAsia="zh-CN"/>
        </w:rPr>
        <w:t>Fleig</w:t>
      </w:r>
      <w:proofErr w:type="spellEnd"/>
      <w:r w:rsidRPr="00714401">
        <w:rPr>
          <w:rFonts w:ascii="Book Antiqua" w:eastAsia="宋体" w:hAnsi="Book Antiqua" w:cs="宋体"/>
          <w:sz w:val="24"/>
          <w:szCs w:val="24"/>
          <w:lang w:val="en-US" w:eastAsia="zh-CN"/>
        </w:rPr>
        <w:t xml:space="preserve"> WE, </w:t>
      </w:r>
      <w:proofErr w:type="spellStart"/>
      <w:r w:rsidRPr="00714401">
        <w:rPr>
          <w:rFonts w:ascii="Book Antiqua" w:eastAsia="宋体" w:hAnsi="Book Antiqua" w:cs="宋体"/>
          <w:sz w:val="24"/>
          <w:szCs w:val="24"/>
          <w:lang w:val="en-US" w:eastAsia="zh-CN"/>
        </w:rPr>
        <w:t>Dollinger</w:t>
      </w:r>
      <w:proofErr w:type="spellEnd"/>
      <w:r w:rsidRPr="00714401">
        <w:rPr>
          <w:rFonts w:ascii="Book Antiqua" w:eastAsia="宋体" w:hAnsi="Book Antiqua" w:cs="宋体"/>
          <w:sz w:val="24"/>
          <w:szCs w:val="24"/>
          <w:lang w:val="en-US" w:eastAsia="zh-CN"/>
        </w:rPr>
        <w:t xml:space="preserve"> MM. Incorporating </w:t>
      </w:r>
      <w:proofErr w:type="spellStart"/>
      <w:r w:rsidRPr="00714401">
        <w:rPr>
          <w:rFonts w:ascii="Book Antiqua" w:eastAsia="宋体" w:hAnsi="Book Antiqua" w:cs="宋体"/>
          <w:sz w:val="24"/>
          <w:szCs w:val="24"/>
          <w:lang w:val="en-US" w:eastAsia="zh-CN"/>
        </w:rPr>
        <w:t>indocyanin</w:t>
      </w:r>
      <w:proofErr w:type="spellEnd"/>
      <w:r w:rsidRPr="00714401">
        <w:rPr>
          <w:rFonts w:ascii="Book Antiqua" w:eastAsia="宋体" w:hAnsi="Book Antiqua" w:cs="宋体"/>
          <w:sz w:val="24"/>
          <w:szCs w:val="24"/>
          <w:lang w:val="en-US" w:eastAsia="zh-CN"/>
        </w:rPr>
        <w:t xml:space="preserve"> green clearance into the Model for End Stage </w:t>
      </w:r>
      <w:r w:rsidRPr="00714401">
        <w:rPr>
          <w:rFonts w:ascii="Book Antiqua" w:eastAsia="宋体" w:hAnsi="Book Antiqua" w:cs="宋体"/>
          <w:sz w:val="24"/>
          <w:szCs w:val="24"/>
          <w:lang w:val="en-US" w:eastAsia="zh-CN"/>
        </w:rPr>
        <w:lastRenderedPageBreak/>
        <w:t xml:space="preserve">Liver Disease (MELD-ICG) improves prognostic accuracy in intermediate to advanced cirrhosis. </w:t>
      </w:r>
      <w:r w:rsidRPr="00714401">
        <w:rPr>
          <w:rFonts w:ascii="Book Antiqua" w:eastAsia="宋体" w:hAnsi="Book Antiqua" w:cs="宋体"/>
          <w:i/>
          <w:iCs/>
          <w:sz w:val="24"/>
          <w:szCs w:val="24"/>
          <w:lang w:val="en-US" w:eastAsia="zh-CN"/>
        </w:rPr>
        <w:t>Gut</w:t>
      </w:r>
      <w:r w:rsidRPr="00714401">
        <w:rPr>
          <w:rFonts w:ascii="Book Antiqua" w:eastAsia="宋体" w:hAnsi="Book Antiqua" w:cs="宋体"/>
          <w:sz w:val="24"/>
          <w:szCs w:val="24"/>
          <w:lang w:val="en-US" w:eastAsia="zh-CN"/>
        </w:rPr>
        <w:t xml:space="preserve"> 2010; </w:t>
      </w:r>
      <w:r w:rsidRPr="00714401">
        <w:rPr>
          <w:rFonts w:ascii="Book Antiqua" w:eastAsia="宋体" w:hAnsi="Book Antiqua" w:cs="宋体"/>
          <w:b/>
          <w:bCs/>
          <w:sz w:val="24"/>
          <w:szCs w:val="24"/>
          <w:lang w:val="en-US" w:eastAsia="zh-CN"/>
        </w:rPr>
        <w:t>59</w:t>
      </w:r>
      <w:r w:rsidRPr="00714401">
        <w:rPr>
          <w:rFonts w:ascii="Book Antiqua" w:eastAsia="宋体" w:hAnsi="Book Antiqua" w:cs="宋体"/>
          <w:sz w:val="24"/>
          <w:szCs w:val="24"/>
          <w:lang w:val="en-US" w:eastAsia="zh-CN"/>
        </w:rPr>
        <w:t>: 963-968 [PMID: 20581243 DOI: 10.1136/gut.2010.208595]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51 </w:t>
      </w:r>
      <w:proofErr w:type="spellStart"/>
      <w:r w:rsidRPr="00714401">
        <w:rPr>
          <w:rFonts w:ascii="Book Antiqua" w:eastAsia="宋体" w:hAnsi="Book Antiqua" w:cs="宋体"/>
          <w:b/>
          <w:bCs/>
          <w:sz w:val="24"/>
          <w:szCs w:val="24"/>
          <w:lang w:val="en-US" w:eastAsia="zh-CN"/>
        </w:rPr>
        <w:t>Jalan</w:t>
      </w:r>
      <w:proofErr w:type="spellEnd"/>
      <w:r w:rsidRPr="00714401">
        <w:rPr>
          <w:rFonts w:ascii="Book Antiqua" w:eastAsia="宋体" w:hAnsi="Book Antiqua" w:cs="宋体"/>
          <w:b/>
          <w:bCs/>
          <w:sz w:val="24"/>
          <w:szCs w:val="24"/>
          <w:lang w:val="en-US" w:eastAsia="zh-CN"/>
        </w:rPr>
        <w:t xml:space="preserve"> R</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Plevris</w:t>
      </w:r>
      <w:proofErr w:type="spellEnd"/>
      <w:r w:rsidRPr="00714401">
        <w:rPr>
          <w:rFonts w:ascii="Book Antiqua" w:eastAsia="宋体" w:hAnsi="Book Antiqua" w:cs="宋体"/>
          <w:sz w:val="24"/>
          <w:szCs w:val="24"/>
          <w:lang w:val="en-US" w:eastAsia="zh-CN"/>
        </w:rPr>
        <w:t xml:space="preserve"> JN, </w:t>
      </w:r>
      <w:proofErr w:type="spellStart"/>
      <w:r w:rsidRPr="00714401">
        <w:rPr>
          <w:rFonts w:ascii="Book Antiqua" w:eastAsia="宋体" w:hAnsi="Book Antiqua" w:cs="宋体"/>
          <w:sz w:val="24"/>
          <w:szCs w:val="24"/>
          <w:lang w:val="en-US" w:eastAsia="zh-CN"/>
        </w:rPr>
        <w:t>Jalan</w:t>
      </w:r>
      <w:proofErr w:type="spellEnd"/>
      <w:r w:rsidRPr="00714401">
        <w:rPr>
          <w:rFonts w:ascii="Book Antiqua" w:eastAsia="宋体" w:hAnsi="Book Antiqua" w:cs="宋体"/>
          <w:sz w:val="24"/>
          <w:szCs w:val="24"/>
          <w:lang w:val="en-US" w:eastAsia="zh-CN"/>
        </w:rPr>
        <w:t xml:space="preserve"> AR, Finlayson ND, Hayes PC. </w:t>
      </w:r>
      <w:proofErr w:type="gramStart"/>
      <w:r w:rsidRPr="00714401">
        <w:rPr>
          <w:rFonts w:ascii="Book Antiqua" w:eastAsia="宋体" w:hAnsi="Book Antiqua" w:cs="宋体"/>
          <w:sz w:val="24"/>
          <w:szCs w:val="24"/>
          <w:lang w:val="en-US" w:eastAsia="zh-CN"/>
        </w:rPr>
        <w:t xml:space="preserve">A pilot study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as an early predictor of graft function.</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Transplantation</w:t>
      </w:r>
      <w:r w:rsidRPr="00714401">
        <w:rPr>
          <w:rFonts w:ascii="Book Antiqua" w:eastAsia="宋体" w:hAnsi="Book Antiqua" w:cs="宋体"/>
          <w:sz w:val="24"/>
          <w:szCs w:val="24"/>
          <w:lang w:val="en-US" w:eastAsia="zh-CN"/>
        </w:rPr>
        <w:t xml:space="preserve"> 1994; </w:t>
      </w:r>
      <w:r w:rsidRPr="00714401">
        <w:rPr>
          <w:rFonts w:ascii="Book Antiqua" w:eastAsia="宋体" w:hAnsi="Book Antiqua" w:cs="宋体"/>
          <w:b/>
          <w:bCs/>
          <w:sz w:val="24"/>
          <w:szCs w:val="24"/>
          <w:lang w:val="en-US" w:eastAsia="zh-CN"/>
        </w:rPr>
        <w:t>58</w:t>
      </w:r>
      <w:r w:rsidRPr="00714401">
        <w:rPr>
          <w:rFonts w:ascii="Book Antiqua" w:eastAsia="宋体" w:hAnsi="Book Antiqua" w:cs="宋体"/>
          <w:sz w:val="24"/>
          <w:szCs w:val="24"/>
          <w:lang w:val="en-US" w:eastAsia="zh-CN"/>
        </w:rPr>
        <w:t>: 196-200 [PMID: 8042238]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52 </w:t>
      </w:r>
      <w:proofErr w:type="spellStart"/>
      <w:r w:rsidRPr="00714401">
        <w:rPr>
          <w:rFonts w:ascii="Book Antiqua" w:eastAsia="宋体" w:hAnsi="Book Antiqua" w:cs="宋体"/>
          <w:b/>
          <w:bCs/>
          <w:sz w:val="24"/>
          <w:szCs w:val="24"/>
          <w:lang w:val="en-US" w:eastAsia="zh-CN"/>
        </w:rPr>
        <w:t>Plevris</w:t>
      </w:r>
      <w:proofErr w:type="spellEnd"/>
      <w:r w:rsidRPr="00714401">
        <w:rPr>
          <w:rFonts w:ascii="Book Antiqua" w:eastAsia="宋体" w:hAnsi="Book Antiqua" w:cs="宋体"/>
          <w:b/>
          <w:bCs/>
          <w:sz w:val="24"/>
          <w:szCs w:val="24"/>
          <w:lang w:val="en-US" w:eastAsia="zh-CN"/>
        </w:rPr>
        <w:t xml:space="preserve"> JN</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Jalan</w:t>
      </w:r>
      <w:proofErr w:type="spellEnd"/>
      <w:r w:rsidRPr="00714401">
        <w:rPr>
          <w:rFonts w:ascii="Book Antiqua" w:eastAsia="宋体" w:hAnsi="Book Antiqua" w:cs="宋体"/>
          <w:sz w:val="24"/>
          <w:szCs w:val="24"/>
          <w:lang w:val="en-US" w:eastAsia="zh-CN"/>
        </w:rPr>
        <w:t xml:space="preserve"> R, </w:t>
      </w:r>
      <w:proofErr w:type="spellStart"/>
      <w:r w:rsidRPr="00714401">
        <w:rPr>
          <w:rFonts w:ascii="Book Antiqua" w:eastAsia="宋体" w:hAnsi="Book Antiqua" w:cs="宋体"/>
          <w:sz w:val="24"/>
          <w:szCs w:val="24"/>
          <w:lang w:val="en-US" w:eastAsia="zh-CN"/>
        </w:rPr>
        <w:t>Bzeizi</w:t>
      </w:r>
      <w:proofErr w:type="spellEnd"/>
      <w:r w:rsidRPr="00714401">
        <w:rPr>
          <w:rFonts w:ascii="Book Antiqua" w:eastAsia="宋体" w:hAnsi="Book Antiqua" w:cs="宋体"/>
          <w:sz w:val="24"/>
          <w:szCs w:val="24"/>
          <w:lang w:val="en-US" w:eastAsia="zh-CN"/>
        </w:rPr>
        <w:t xml:space="preserve"> KI, </w:t>
      </w:r>
      <w:proofErr w:type="spellStart"/>
      <w:r w:rsidRPr="00714401">
        <w:rPr>
          <w:rFonts w:ascii="Book Antiqua" w:eastAsia="宋体" w:hAnsi="Book Antiqua" w:cs="宋体"/>
          <w:sz w:val="24"/>
          <w:szCs w:val="24"/>
          <w:lang w:val="en-US" w:eastAsia="zh-CN"/>
        </w:rPr>
        <w:t>Dollinger</w:t>
      </w:r>
      <w:proofErr w:type="spellEnd"/>
      <w:r w:rsidRPr="00714401">
        <w:rPr>
          <w:rFonts w:ascii="Book Antiqua" w:eastAsia="宋体" w:hAnsi="Book Antiqua" w:cs="宋体"/>
          <w:sz w:val="24"/>
          <w:szCs w:val="24"/>
          <w:lang w:val="en-US" w:eastAsia="zh-CN"/>
        </w:rPr>
        <w:t xml:space="preserve"> MM, Lee A, Garden OJ, Hayes PC.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reflects reperfusion injury following liver transplantation and is an early predictor of graft function. </w:t>
      </w:r>
      <w:r w:rsidRPr="00714401">
        <w:rPr>
          <w:rFonts w:ascii="Book Antiqua" w:eastAsia="宋体" w:hAnsi="Book Antiqua" w:cs="宋体"/>
          <w:i/>
          <w:iCs/>
          <w:sz w:val="24"/>
          <w:szCs w:val="24"/>
          <w:lang w:val="en-US" w:eastAsia="zh-CN"/>
        </w:rPr>
        <w:t xml:space="preserve">J </w:t>
      </w:r>
      <w:proofErr w:type="spellStart"/>
      <w:r w:rsidRPr="00714401">
        <w:rPr>
          <w:rFonts w:ascii="Book Antiqua" w:eastAsia="宋体" w:hAnsi="Book Antiqua" w:cs="宋体"/>
          <w:i/>
          <w:iCs/>
          <w:sz w:val="24"/>
          <w:szCs w:val="24"/>
          <w:lang w:val="en-US" w:eastAsia="zh-CN"/>
        </w:rPr>
        <w:t>Hepatol</w:t>
      </w:r>
      <w:proofErr w:type="spellEnd"/>
      <w:r w:rsidRPr="00714401">
        <w:rPr>
          <w:rFonts w:ascii="Book Antiqua" w:eastAsia="宋体" w:hAnsi="Book Antiqua" w:cs="宋体"/>
          <w:sz w:val="24"/>
          <w:szCs w:val="24"/>
          <w:lang w:val="en-US" w:eastAsia="zh-CN"/>
        </w:rPr>
        <w:t xml:space="preserve"> 1999; </w:t>
      </w:r>
      <w:r w:rsidRPr="00714401">
        <w:rPr>
          <w:rFonts w:ascii="Book Antiqua" w:eastAsia="宋体" w:hAnsi="Book Antiqua" w:cs="宋体"/>
          <w:b/>
          <w:bCs/>
          <w:sz w:val="24"/>
          <w:szCs w:val="24"/>
          <w:lang w:val="en-US" w:eastAsia="zh-CN"/>
        </w:rPr>
        <w:t>30</w:t>
      </w:r>
      <w:r w:rsidRPr="00714401">
        <w:rPr>
          <w:rFonts w:ascii="Book Antiqua" w:eastAsia="宋体" w:hAnsi="Book Antiqua" w:cs="宋体"/>
          <w:sz w:val="24"/>
          <w:szCs w:val="24"/>
          <w:lang w:val="en-US" w:eastAsia="zh-CN"/>
        </w:rPr>
        <w:t>: 142-148 [PMID: 9927161]</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53 </w:t>
      </w:r>
      <w:proofErr w:type="spellStart"/>
      <w:r w:rsidRPr="00714401">
        <w:rPr>
          <w:rFonts w:ascii="Book Antiqua" w:eastAsia="宋体" w:hAnsi="Book Antiqua" w:cs="宋体"/>
          <w:b/>
          <w:bCs/>
          <w:sz w:val="24"/>
          <w:szCs w:val="24"/>
          <w:lang w:val="en-US" w:eastAsia="zh-CN"/>
        </w:rPr>
        <w:t>Tsubono</w:t>
      </w:r>
      <w:proofErr w:type="spellEnd"/>
      <w:r w:rsidRPr="00714401">
        <w:rPr>
          <w:rFonts w:ascii="Book Antiqua" w:eastAsia="宋体" w:hAnsi="Book Antiqua" w:cs="宋体"/>
          <w:b/>
          <w:bCs/>
          <w:sz w:val="24"/>
          <w:szCs w:val="24"/>
          <w:lang w:val="en-US" w:eastAsia="zh-CN"/>
        </w:rPr>
        <w:t xml:space="preserve"> T</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Todo</w:t>
      </w:r>
      <w:proofErr w:type="spellEnd"/>
      <w:r w:rsidRPr="00714401">
        <w:rPr>
          <w:rFonts w:ascii="Book Antiqua" w:eastAsia="宋体" w:hAnsi="Book Antiqua" w:cs="宋体"/>
          <w:sz w:val="24"/>
          <w:szCs w:val="24"/>
          <w:lang w:val="en-US" w:eastAsia="zh-CN"/>
        </w:rPr>
        <w:t xml:space="preserve"> S, </w:t>
      </w:r>
      <w:proofErr w:type="spellStart"/>
      <w:r w:rsidRPr="00714401">
        <w:rPr>
          <w:rFonts w:ascii="Book Antiqua" w:eastAsia="宋体" w:hAnsi="Book Antiqua" w:cs="宋体"/>
          <w:sz w:val="24"/>
          <w:szCs w:val="24"/>
          <w:lang w:val="en-US" w:eastAsia="zh-CN"/>
        </w:rPr>
        <w:t>Jabbour</w:t>
      </w:r>
      <w:proofErr w:type="spellEnd"/>
      <w:r w:rsidRPr="00714401">
        <w:rPr>
          <w:rFonts w:ascii="Book Antiqua" w:eastAsia="宋体" w:hAnsi="Book Antiqua" w:cs="宋体"/>
          <w:sz w:val="24"/>
          <w:szCs w:val="24"/>
          <w:lang w:val="en-US" w:eastAsia="zh-CN"/>
        </w:rPr>
        <w:t xml:space="preserve"> N, </w:t>
      </w:r>
      <w:proofErr w:type="spellStart"/>
      <w:r w:rsidRPr="00714401">
        <w:rPr>
          <w:rFonts w:ascii="Book Antiqua" w:eastAsia="宋体" w:hAnsi="Book Antiqua" w:cs="宋体"/>
          <w:sz w:val="24"/>
          <w:szCs w:val="24"/>
          <w:lang w:val="en-US" w:eastAsia="zh-CN"/>
        </w:rPr>
        <w:t>Mizoe</w:t>
      </w:r>
      <w:proofErr w:type="spellEnd"/>
      <w:r w:rsidRPr="00714401">
        <w:rPr>
          <w:rFonts w:ascii="Book Antiqua" w:eastAsia="宋体" w:hAnsi="Book Antiqua" w:cs="宋体"/>
          <w:sz w:val="24"/>
          <w:szCs w:val="24"/>
          <w:lang w:val="en-US" w:eastAsia="zh-CN"/>
        </w:rPr>
        <w:t xml:space="preserve"> A, Warty V, </w:t>
      </w:r>
      <w:proofErr w:type="spellStart"/>
      <w:r w:rsidRPr="00714401">
        <w:rPr>
          <w:rFonts w:ascii="Book Antiqua" w:eastAsia="宋体" w:hAnsi="Book Antiqua" w:cs="宋体"/>
          <w:sz w:val="24"/>
          <w:szCs w:val="24"/>
          <w:lang w:val="en-US" w:eastAsia="zh-CN"/>
        </w:rPr>
        <w:t>Demetris</w:t>
      </w:r>
      <w:proofErr w:type="spellEnd"/>
      <w:r w:rsidRPr="00714401">
        <w:rPr>
          <w:rFonts w:ascii="Book Antiqua" w:eastAsia="宋体" w:hAnsi="Book Antiqua" w:cs="宋体"/>
          <w:sz w:val="24"/>
          <w:szCs w:val="24"/>
          <w:lang w:val="en-US" w:eastAsia="zh-CN"/>
        </w:rPr>
        <w:t xml:space="preserve"> AJ, </w:t>
      </w:r>
      <w:proofErr w:type="spellStart"/>
      <w:r w:rsidRPr="00714401">
        <w:rPr>
          <w:rFonts w:ascii="Book Antiqua" w:eastAsia="宋体" w:hAnsi="Book Antiqua" w:cs="宋体"/>
          <w:sz w:val="24"/>
          <w:szCs w:val="24"/>
          <w:lang w:val="en-US" w:eastAsia="zh-CN"/>
        </w:rPr>
        <w:t>Starzl</w:t>
      </w:r>
      <w:proofErr w:type="spellEnd"/>
      <w:r w:rsidRPr="00714401">
        <w:rPr>
          <w:rFonts w:ascii="Book Antiqua" w:eastAsia="宋体" w:hAnsi="Book Antiqua" w:cs="宋体"/>
          <w:sz w:val="24"/>
          <w:szCs w:val="24"/>
          <w:lang w:val="en-US" w:eastAsia="zh-CN"/>
        </w:rPr>
        <w:t xml:space="preserve"> TE. </w:t>
      </w:r>
      <w:proofErr w:type="spellStart"/>
      <w:proofErr w:type="gram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elimination test in </w:t>
      </w:r>
      <w:proofErr w:type="spellStart"/>
      <w:r w:rsidRPr="00714401">
        <w:rPr>
          <w:rFonts w:ascii="Book Antiqua" w:eastAsia="宋体" w:hAnsi="Book Antiqua" w:cs="宋体"/>
          <w:sz w:val="24"/>
          <w:szCs w:val="24"/>
          <w:lang w:val="en-US" w:eastAsia="zh-CN"/>
        </w:rPr>
        <w:t>orthotopic</w:t>
      </w:r>
      <w:proofErr w:type="spellEnd"/>
      <w:r w:rsidRPr="00714401">
        <w:rPr>
          <w:rFonts w:ascii="Book Antiqua" w:eastAsia="宋体" w:hAnsi="Book Antiqua" w:cs="宋体"/>
          <w:sz w:val="24"/>
          <w:szCs w:val="24"/>
          <w:lang w:val="en-US" w:eastAsia="zh-CN"/>
        </w:rPr>
        <w:t xml:space="preserve"> liver recipients.</w:t>
      </w:r>
      <w:proofErr w:type="gramEnd"/>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i/>
          <w:iCs/>
          <w:sz w:val="24"/>
          <w:szCs w:val="24"/>
          <w:lang w:val="en-US" w:eastAsia="zh-CN"/>
        </w:rPr>
        <w:t>Hepatology</w:t>
      </w:r>
      <w:r w:rsidRPr="00714401">
        <w:rPr>
          <w:rFonts w:ascii="Book Antiqua" w:eastAsia="宋体" w:hAnsi="Book Antiqua" w:cs="宋体"/>
          <w:sz w:val="24"/>
          <w:szCs w:val="24"/>
          <w:lang w:val="en-US" w:eastAsia="zh-CN"/>
        </w:rPr>
        <w:t xml:space="preserve"> 1996; </w:t>
      </w:r>
      <w:r w:rsidRPr="00714401">
        <w:rPr>
          <w:rFonts w:ascii="Book Antiqua" w:eastAsia="宋体" w:hAnsi="Book Antiqua" w:cs="宋体"/>
          <w:b/>
          <w:bCs/>
          <w:sz w:val="24"/>
          <w:szCs w:val="24"/>
          <w:lang w:val="en-US" w:eastAsia="zh-CN"/>
        </w:rPr>
        <w:t>24</w:t>
      </w:r>
      <w:r w:rsidRPr="00714401">
        <w:rPr>
          <w:rFonts w:ascii="Book Antiqua" w:eastAsia="宋体" w:hAnsi="Book Antiqua" w:cs="宋体"/>
          <w:sz w:val="24"/>
          <w:szCs w:val="24"/>
          <w:lang w:val="en-US" w:eastAsia="zh-CN"/>
        </w:rPr>
        <w:t>: 1165-1171 [PMID: 8903393 DOI: 10.1002/hep.510240531]</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54 </w:t>
      </w:r>
      <w:proofErr w:type="spellStart"/>
      <w:r w:rsidRPr="00714401">
        <w:rPr>
          <w:rFonts w:ascii="Book Antiqua" w:eastAsia="宋体" w:hAnsi="Book Antiqua" w:cs="宋体"/>
          <w:b/>
          <w:bCs/>
          <w:sz w:val="24"/>
          <w:szCs w:val="24"/>
          <w:lang w:val="en-US" w:eastAsia="zh-CN"/>
        </w:rPr>
        <w:t>Faybik</w:t>
      </w:r>
      <w:proofErr w:type="spellEnd"/>
      <w:r w:rsidRPr="00714401">
        <w:rPr>
          <w:rFonts w:ascii="Book Antiqua" w:eastAsia="宋体" w:hAnsi="Book Antiqua" w:cs="宋体"/>
          <w:b/>
          <w:bCs/>
          <w:sz w:val="24"/>
          <w:szCs w:val="24"/>
          <w:lang w:val="en-US" w:eastAsia="zh-CN"/>
        </w:rPr>
        <w:t xml:space="preserve"> P</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Hetz</w:t>
      </w:r>
      <w:proofErr w:type="spellEnd"/>
      <w:r w:rsidRPr="00714401">
        <w:rPr>
          <w:rFonts w:ascii="Book Antiqua" w:eastAsia="宋体" w:hAnsi="Book Antiqua" w:cs="宋体"/>
          <w:sz w:val="24"/>
          <w:szCs w:val="24"/>
          <w:lang w:val="en-US" w:eastAsia="zh-CN"/>
        </w:rPr>
        <w:t xml:space="preserve"> H. Plasma disappearance rate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in liver dysfunction. </w:t>
      </w:r>
      <w:r w:rsidRPr="00714401">
        <w:rPr>
          <w:rFonts w:ascii="Book Antiqua" w:eastAsia="宋体" w:hAnsi="Book Antiqua" w:cs="宋体"/>
          <w:i/>
          <w:iCs/>
          <w:sz w:val="24"/>
          <w:szCs w:val="24"/>
          <w:lang w:val="en-US" w:eastAsia="zh-CN"/>
        </w:rPr>
        <w:t>Transplant Proc</w:t>
      </w:r>
      <w:r w:rsidRPr="00714401">
        <w:rPr>
          <w:rFonts w:ascii="Book Antiqua" w:eastAsia="宋体" w:hAnsi="Book Antiqua" w:cs="宋体"/>
          <w:sz w:val="24"/>
          <w:szCs w:val="24"/>
          <w:lang w:val="en-US" w:eastAsia="zh-CN"/>
        </w:rPr>
        <w:t xml:space="preserve"> 2006; </w:t>
      </w:r>
      <w:r w:rsidRPr="00714401">
        <w:rPr>
          <w:rFonts w:ascii="Book Antiqua" w:eastAsia="宋体" w:hAnsi="Book Antiqua" w:cs="宋体"/>
          <w:b/>
          <w:bCs/>
          <w:sz w:val="24"/>
          <w:szCs w:val="24"/>
          <w:lang w:val="en-US" w:eastAsia="zh-CN"/>
        </w:rPr>
        <w:t>38</w:t>
      </w:r>
      <w:r w:rsidRPr="00714401">
        <w:rPr>
          <w:rFonts w:ascii="Book Antiqua" w:eastAsia="宋体" w:hAnsi="Book Antiqua" w:cs="宋体"/>
          <w:sz w:val="24"/>
          <w:szCs w:val="24"/>
          <w:lang w:val="en-US" w:eastAsia="zh-CN"/>
        </w:rPr>
        <w:t>: 801-802 [PMID: 16647475]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55 </w:t>
      </w:r>
      <w:r w:rsidRPr="00714401">
        <w:rPr>
          <w:rFonts w:ascii="Book Antiqua" w:eastAsia="宋体" w:hAnsi="Book Antiqua" w:cs="宋体"/>
          <w:b/>
          <w:bCs/>
          <w:sz w:val="24"/>
          <w:szCs w:val="24"/>
          <w:lang w:val="en-US" w:eastAsia="zh-CN"/>
        </w:rPr>
        <w:t>Hori T</w:t>
      </w:r>
      <w:r w:rsidRPr="00714401">
        <w:rPr>
          <w:rFonts w:ascii="Book Antiqua" w:eastAsia="宋体" w:hAnsi="Book Antiqua" w:cs="宋体"/>
          <w:sz w:val="24"/>
          <w:szCs w:val="24"/>
          <w:lang w:val="en-US" w:eastAsia="zh-CN"/>
        </w:rPr>
        <w:t xml:space="preserve">, Iida T, Yagi S, Taniguchi K, Yamamoto C, Mizuno S, </w:t>
      </w:r>
      <w:proofErr w:type="spellStart"/>
      <w:r w:rsidRPr="00714401">
        <w:rPr>
          <w:rFonts w:ascii="Book Antiqua" w:eastAsia="宋体" w:hAnsi="Book Antiqua" w:cs="宋体"/>
          <w:sz w:val="24"/>
          <w:szCs w:val="24"/>
          <w:lang w:val="en-US" w:eastAsia="zh-CN"/>
        </w:rPr>
        <w:t>Yamagiwa</w:t>
      </w:r>
      <w:proofErr w:type="spellEnd"/>
      <w:r w:rsidRPr="00714401">
        <w:rPr>
          <w:rFonts w:ascii="Book Antiqua" w:eastAsia="宋体" w:hAnsi="Book Antiqua" w:cs="宋体"/>
          <w:sz w:val="24"/>
          <w:szCs w:val="24"/>
          <w:lang w:val="en-US" w:eastAsia="zh-CN"/>
        </w:rPr>
        <w:t xml:space="preserve"> K, </w:t>
      </w:r>
      <w:proofErr w:type="spellStart"/>
      <w:r w:rsidRPr="00714401">
        <w:rPr>
          <w:rFonts w:ascii="Book Antiqua" w:eastAsia="宋体" w:hAnsi="Book Antiqua" w:cs="宋体"/>
          <w:sz w:val="24"/>
          <w:szCs w:val="24"/>
          <w:lang w:val="en-US" w:eastAsia="zh-CN"/>
        </w:rPr>
        <w:t>Isaji</w:t>
      </w:r>
      <w:proofErr w:type="spellEnd"/>
      <w:r w:rsidRPr="00714401">
        <w:rPr>
          <w:rFonts w:ascii="Book Antiqua" w:eastAsia="宋体" w:hAnsi="Book Antiqua" w:cs="宋体"/>
          <w:sz w:val="24"/>
          <w:szCs w:val="24"/>
          <w:lang w:val="en-US" w:eastAsia="zh-CN"/>
        </w:rPr>
        <w:t xml:space="preserve"> S, </w:t>
      </w:r>
      <w:proofErr w:type="spellStart"/>
      <w:r w:rsidRPr="00714401">
        <w:rPr>
          <w:rFonts w:ascii="Book Antiqua" w:eastAsia="宋体" w:hAnsi="Book Antiqua" w:cs="宋体"/>
          <w:sz w:val="24"/>
          <w:szCs w:val="24"/>
          <w:lang w:val="en-US" w:eastAsia="zh-CN"/>
        </w:rPr>
        <w:t>Uemoto</w:t>
      </w:r>
      <w:proofErr w:type="spellEnd"/>
      <w:r w:rsidRPr="00714401">
        <w:rPr>
          <w:rFonts w:ascii="Book Antiqua" w:eastAsia="宋体" w:hAnsi="Book Antiqua" w:cs="宋体"/>
          <w:sz w:val="24"/>
          <w:szCs w:val="24"/>
          <w:lang w:val="en-US" w:eastAsia="zh-CN"/>
        </w:rPr>
        <w:t xml:space="preserve"> S. K(ICG) value, a reliable real-time estimator of graft function, accurately predicts outcomes in adult living-donor liver transplantation.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2006;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605-613 [PMID: 16555326]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56 </w:t>
      </w:r>
      <w:r w:rsidRPr="00714401">
        <w:rPr>
          <w:rFonts w:ascii="Book Antiqua" w:eastAsia="宋体" w:hAnsi="Book Antiqua" w:cs="宋体"/>
          <w:b/>
          <w:bCs/>
          <w:sz w:val="24"/>
          <w:szCs w:val="24"/>
          <w:lang w:val="en-US" w:eastAsia="zh-CN"/>
        </w:rPr>
        <w:t>Levesque E</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Saliba</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Benhamida</w:t>
      </w:r>
      <w:proofErr w:type="spellEnd"/>
      <w:r w:rsidRPr="00714401">
        <w:rPr>
          <w:rFonts w:ascii="Book Antiqua" w:eastAsia="宋体" w:hAnsi="Book Antiqua" w:cs="宋体"/>
          <w:sz w:val="24"/>
          <w:szCs w:val="24"/>
          <w:lang w:val="en-US" w:eastAsia="zh-CN"/>
        </w:rPr>
        <w:t xml:space="preserve"> S, </w:t>
      </w:r>
      <w:proofErr w:type="spellStart"/>
      <w:r w:rsidRPr="00714401">
        <w:rPr>
          <w:rFonts w:ascii="Book Antiqua" w:eastAsia="宋体" w:hAnsi="Book Antiqua" w:cs="宋体"/>
          <w:sz w:val="24"/>
          <w:szCs w:val="24"/>
          <w:lang w:val="en-US" w:eastAsia="zh-CN"/>
        </w:rPr>
        <w:t>Ichaï</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Azoulay</w:t>
      </w:r>
      <w:proofErr w:type="spellEnd"/>
      <w:r w:rsidRPr="00714401">
        <w:rPr>
          <w:rFonts w:ascii="Book Antiqua" w:eastAsia="宋体" w:hAnsi="Book Antiqua" w:cs="宋体"/>
          <w:sz w:val="24"/>
          <w:szCs w:val="24"/>
          <w:lang w:val="en-US" w:eastAsia="zh-CN"/>
        </w:rPr>
        <w:t xml:space="preserve"> D, Adam R, </w:t>
      </w:r>
      <w:proofErr w:type="spellStart"/>
      <w:r w:rsidRPr="00714401">
        <w:rPr>
          <w:rFonts w:ascii="Book Antiqua" w:eastAsia="宋体" w:hAnsi="Book Antiqua" w:cs="宋体"/>
          <w:sz w:val="24"/>
          <w:szCs w:val="24"/>
          <w:lang w:val="en-US" w:eastAsia="zh-CN"/>
        </w:rPr>
        <w:t>Castaing</w:t>
      </w:r>
      <w:proofErr w:type="spellEnd"/>
      <w:r w:rsidRPr="00714401">
        <w:rPr>
          <w:rFonts w:ascii="Book Antiqua" w:eastAsia="宋体" w:hAnsi="Book Antiqua" w:cs="宋体"/>
          <w:sz w:val="24"/>
          <w:szCs w:val="24"/>
          <w:lang w:val="en-US" w:eastAsia="zh-CN"/>
        </w:rPr>
        <w:t xml:space="preserve"> D, Samuel D. Plasma disappearance rate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a tool to evaluate early graft outcome after liver transplantation.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15</w:t>
      </w:r>
      <w:r w:rsidRPr="00714401">
        <w:rPr>
          <w:rFonts w:ascii="Book Antiqua" w:eastAsia="宋体" w:hAnsi="Book Antiqua" w:cs="宋体"/>
          <w:sz w:val="24"/>
          <w:szCs w:val="24"/>
          <w:lang w:val="en-US" w:eastAsia="zh-CN"/>
        </w:rPr>
        <w:t>: 1358-1364 [PMID: 19790157]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57 </w:t>
      </w:r>
      <w:r w:rsidRPr="00714401">
        <w:rPr>
          <w:rFonts w:ascii="Book Antiqua" w:eastAsia="宋体" w:hAnsi="Book Antiqua" w:cs="宋体"/>
          <w:b/>
          <w:bCs/>
          <w:sz w:val="24"/>
          <w:szCs w:val="24"/>
          <w:lang w:val="en-US" w:eastAsia="zh-CN"/>
        </w:rPr>
        <w:t>Levesque E</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Hoti</w:t>
      </w:r>
      <w:proofErr w:type="spellEnd"/>
      <w:r w:rsidRPr="00714401">
        <w:rPr>
          <w:rFonts w:ascii="Book Antiqua" w:eastAsia="宋体" w:hAnsi="Book Antiqua" w:cs="宋体"/>
          <w:sz w:val="24"/>
          <w:szCs w:val="24"/>
          <w:lang w:val="en-US" w:eastAsia="zh-CN"/>
        </w:rPr>
        <w:t xml:space="preserve"> E, </w:t>
      </w:r>
      <w:proofErr w:type="spellStart"/>
      <w:r w:rsidRPr="00714401">
        <w:rPr>
          <w:rFonts w:ascii="Book Antiqua" w:eastAsia="宋体" w:hAnsi="Book Antiqua" w:cs="宋体"/>
          <w:sz w:val="24"/>
          <w:szCs w:val="24"/>
          <w:lang w:val="en-US" w:eastAsia="zh-CN"/>
        </w:rPr>
        <w:t>Azoulay</w:t>
      </w:r>
      <w:proofErr w:type="spellEnd"/>
      <w:r w:rsidRPr="00714401">
        <w:rPr>
          <w:rFonts w:ascii="Book Antiqua" w:eastAsia="宋体" w:hAnsi="Book Antiqua" w:cs="宋体"/>
          <w:sz w:val="24"/>
          <w:szCs w:val="24"/>
          <w:lang w:val="en-US" w:eastAsia="zh-CN"/>
        </w:rPr>
        <w:t xml:space="preserve"> D, Adam R, Samuel D, </w:t>
      </w:r>
      <w:proofErr w:type="spellStart"/>
      <w:r w:rsidRPr="00714401">
        <w:rPr>
          <w:rFonts w:ascii="Book Antiqua" w:eastAsia="宋体" w:hAnsi="Book Antiqua" w:cs="宋体"/>
          <w:sz w:val="24"/>
          <w:szCs w:val="24"/>
          <w:lang w:val="en-US" w:eastAsia="zh-CN"/>
        </w:rPr>
        <w:t>Castaing</w:t>
      </w:r>
      <w:proofErr w:type="spellEnd"/>
      <w:r w:rsidRPr="00714401">
        <w:rPr>
          <w:rFonts w:ascii="Book Antiqua" w:eastAsia="宋体" w:hAnsi="Book Antiqua" w:cs="宋体"/>
          <w:sz w:val="24"/>
          <w:szCs w:val="24"/>
          <w:lang w:val="en-US" w:eastAsia="zh-CN"/>
        </w:rPr>
        <w:t xml:space="preserve"> D, </w:t>
      </w:r>
      <w:proofErr w:type="spellStart"/>
      <w:r w:rsidRPr="00714401">
        <w:rPr>
          <w:rFonts w:ascii="Book Antiqua" w:eastAsia="宋体" w:hAnsi="Book Antiqua" w:cs="宋体"/>
          <w:sz w:val="24"/>
          <w:szCs w:val="24"/>
          <w:lang w:val="en-US" w:eastAsia="zh-CN"/>
        </w:rPr>
        <w:t>Saliba</w:t>
      </w:r>
      <w:proofErr w:type="spellEnd"/>
      <w:r w:rsidRPr="00714401">
        <w:rPr>
          <w:rFonts w:ascii="Book Antiqua" w:eastAsia="宋体" w:hAnsi="Book Antiqua" w:cs="宋体"/>
          <w:sz w:val="24"/>
          <w:szCs w:val="24"/>
          <w:lang w:val="en-US" w:eastAsia="zh-CN"/>
        </w:rPr>
        <w:t xml:space="preserve"> F. Non-invasive ICG-clearance: a useful tool for the management of hepatic artery thrombosis following liver transplantation.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Transplant</w:t>
      </w:r>
      <w:r w:rsidRPr="00714401">
        <w:rPr>
          <w:rFonts w:ascii="Book Antiqua" w:eastAsia="宋体" w:hAnsi="Book Antiqua" w:cs="宋体"/>
          <w:sz w:val="24"/>
          <w:szCs w:val="24"/>
          <w:lang w:val="en-US" w:eastAsia="zh-CN"/>
        </w:rPr>
        <w:t xml:space="preserve"> </w:t>
      </w:r>
      <w:r w:rsidR="00917F62" w:rsidRPr="00714401">
        <w:rPr>
          <w:rFonts w:ascii="Book Antiqua" w:eastAsia="宋体" w:hAnsi="Book Antiqua" w:cs="宋体" w:hint="eastAsia"/>
          <w:sz w:val="24"/>
          <w:szCs w:val="24"/>
          <w:lang w:val="en-US" w:eastAsia="zh-CN"/>
        </w:rPr>
        <w:t>2011</w:t>
      </w:r>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b/>
          <w:bCs/>
          <w:sz w:val="24"/>
          <w:szCs w:val="24"/>
          <w:lang w:val="en-US" w:eastAsia="zh-CN"/>
        </w:rPr>
        <w:t>25</w:t>
      </w:r>
      <w:r w:rsidRPr="00714401">
        <w:rPr>
          <w:rFonts w:ascii="Book Antiqua" w:eastAsia="宋体" w:hAnsi="Book Antiqua" w:cs="宋体"/>
          <w:sz w:val="24"/>
          <w:szCs w:val="24"/>
          <w:lang w:val="en-US" w:eastAsia="zh-CN"/>
        </w:rPr>
        <w:t>: 297-301 [PMID: 20412097]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58 </w:t>
      </w:r>
      <w:proofErr w:type="spellStart"/>
      <w:r w:rsidRPr="00714401">
        <w:rPr>
          <w:rFonts w:ascii="Book Antiqua" w:eastAsia="宋体" w:hAnsi="Book Antiqua" w:cs="宋体"/>
          <w:b/>
          <w:bCs/>
          <w:sz w:val="24"/>
          <w:szCs w:val="24"/>
          <w:lang w:val="en-US" w:eastAsia="zh-CN"/>
        </w:rPr>
        <w:t>Olmedilla</w:t>
      </w:r>
      <w:proofErr w:type="spellEnd"/>
      <w:r w:rsidRPr="00714401">
        <w:rPr>
          <w:rFonts w:ascii="Book Antiqua" w:eastAsia="宋体" w:hAnsi="Book Antiqua" w:cs="宋体"/>
          <w:b/>
          <w:bCs/>
          <w:sz w:val="24"/>
          <w:szCs w:val="24"/>
          <w:lang w:val="en-US" w:eastAsia="zh-CN"/>
        </w:rPr>
        <w:t xml:space="preserve"> L</w:t>
      </w:r>
      <w:r w:rsidRPr="00714401">
        <w:rPr>
          <w:rFonts w:ascii="Book Antiqua" w:eastAsia="宋体" w:hAnsi="Book Antiqua" w:cs="宋体"/>
          <w:sz w:val="24"/>
          <w:szCs w:val="24"/>
          <w:lang w:val="en-US" w:eastAsia="zh-CN"/>
        </w:rPr>
        <w:t xml:space="preserve">, Pérez-Peña JM, Ripoll C, </w:t>
      </w:r>
      <w:proofErr w:type="spellStart"/>
      <w:r w:rsidRPr="00714401">
        <w:rPr>
          <w:rFonts w:ascii="Book Antiqua" w:eastAsia="宋体" w:hAnsi="Book Antiqua" w:cs="宋体"/>
          <w:sz w:val="24"/>
          <w:szCs w:val="24"/>
          <w:lang w:val="en-US" w:eastAsia="zh-CN"/>
        </w:rPr>
        <w:t>Garutti</w:t>
      </w:r>
      <w:proofErr w:type="spellEnd"/>
      <w:r w:rsidRPr="00714401">
        <w:rPr>
          <w:rFonts w:ascii="Book Antiqua" w:eastAsia="宋体" w:hAnsi="Book Antiqua" w:cs="宋体"/>
          <w:sz w:val="24"/>
          <w:szCs w:val="24"/>
          <w:lang w:val="en-US" w:eastAsia="zh-CN"/>
        </w:rPr>
        <w:t xml:space="preserve"> I, de Diego R, Salcedo M, Jiménez C, </w:t>
      </w:r>
      <w:proofErr w:type="spellStart"/>
      <w:r w:rsidRPr="00714401">
        <w:rPr>
          <w:rFonts w:ascii="Book Antiqua" w:eastAsia="宋体" w:hAnsi="Book Antiqua" w:cs="宋体"/>
          <w:sz w:val="24"/>
          <w:szCs w:val="24"/>
          <w:lang w:val="en-US" w:eastAsia="zh-CN"/>
        </w:rPr>
        <w:t>Bañares</w:t>
      </w:r>
      <w:proofErr w:type="spellEnd"/>
      <w:r w:rsidRPr="00714401">
        <w:rPr>
          <w:rFonts w:ascii="Book Antiqua" w:eastAsia="宋体" w:hAnsi="Book Antiqua" w:cs="宋体"/>
          <w:sz w:val="24"/>
          <w:szCs w:val="24"/>
          <w:lang w:val="en-US" w:eastAsia="zh-CN"/>
        </w:rPr>
        <w:t xml:space="preserve"> R. Early noninvasive measurement of the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plasma disappearance rate accurately predicts early graft dysfunction and mortality after deceased donor liver transplantation.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15</w:t>
      </w:r>
      <w:r w:rsidRPr="00714401">
        <w:rPr>
          <w:rFonts w:ascii="Book Antiqua" w:eastAsia="宋体" w:hAnsi="Book Antiqua" w:cs="宋体"/>
          <w:sz w:val="24"/>
          <w:szCs w:val="24"/>
          <w:lang w:val="en-US" w:eastAsia="zh-CN"/>
        </w:rPr>
        <w:t>: 1247-1253 [PMID: 19790138]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59 </w:t>
      </w:r>
      <w:proofErr w:type="spellStart"/>
      <w:r w:rsidR="00010F12" w:rsidRPr="00714401">
        <w:rPr>
          <w:rFonts w:ascii="Book Antiqua" w:eastAsia="Times New Roman" w:hAnsi="Book Antiqua" w:cs="Arial"/>
          <w:b/>
          <w:sz w:val="24"/>
          <w:szCs w:val="24"/>
          <w:lang w:val="en-US" w:eastAsia="it-IT"/>
        </w:rPr>
        <w:t>Olmedilla</w:t>
      </w:r>
      <w:proofErr w:type="spellEnd"/>
      <w:r w:rsidR="00010F12" w:rsidRPr="00714401">
        <w:rPr>
          <w:rFonts w:ascii="Book Antiqua" w:eastAsia="Times New Roman" w:hAnsi="Book Antiqua" w:cs="Arial"/>
          <w:b/>
          <w:sz w:val="24"/>
          <w:szCs w:val="24"/>
          <w:lang w:val="en-US" w:eastAsia="it-IT"/>
        </w:rPr>
        <w:t xml:space="preserve"> L</w:t>
      </w:r>
      <w:r w:rsidR="00010F12" w:rsidRPr="00714401">
        <w:rPr>
          <w:rFonts w:ascii="Book Antiqua" w:eastAsia="Times New Roman" w:hAnsi="Book Antiqua" w:cs="Arial"/>
          <w:sz w:val="24"/>
          <w:szCs w:val="24"/>
          <w:lang w:val="en-US" w:eastAsia="it-IT"/>
        </w:rPr>
        <w:t xml:space="preserve">, </w:t>
      </w:r>
      <w:proofErr w:type="spellStart"/>
      <w:r w:rsidR="00010F12" w:rsidRPr="00714401">
        <w:rPr>
          <w:rFonts w:ascii="Book Antiqua" w:eastAsia="Times New Roman" w:hAnsi="Book Antiqua" w:cs="Arial"/>
          <w:sz w:val="24"/>
          <w:szCs w:val="24"/>
          <w:lang w:val="en-US" w:eastAsia="it-IT"/>
        </w:rPr>
        <w:t>Lisbona</w:t>
      </w:r>
      <w:proofErr w:type="spellEnd"/>
      <w:r w:rsidR="00010F12" w:rsidRPr="00714401">
        <w:rPr>
          <w:rFonts w:ascii="Book Antiqua" w:eastAsia="Times New Roman" w:hAnsi="Book Antiqua" w:cs="Arial"/>
          <w:sz w:val="24"/>
          <w:szCs w:val="24"/>
          <w:lang w:val="en-US" w:eastAsia="it-IT"/>
        </w:rPr>
        <w:t xml:space="preserve"> CJ, Perez Pena JM, Lopez </w:t>
      </w:r>
      <w:proofErr w:type="spellStart"/>
      <w:r w:rsidR="00010F12" w:rsidRPr="00714401">
        <w:rPr>
          <w:rFonts w:ascii="Book Antiqua" w:eastAsia="Times New Roman" w:hAnsi="Book Antiqua" w:cs="Arial"/>
          <w:sz w:val="24"/>
          <w:szCs w:val="24"/>
          <w:lang w:val="en-US" w:eastAsia="it-IT"/>
        </w:rPr>
        <w:t>Baena</w:t>
      </w:r>
      <w:proofErr w:type="spellEnd"/>
      <w:r w:rsidR="00010F12" w:rsidRPr="00714401">
        <w:rPr>
          <w:rFonts w:ascii="Book Antiqua" w:eastAsia="Times New Roman" w:hAnsi="Book Antiqua" w:cs="Arial"/>
          <w:sz w:val="24"/>
          <w:szCs w:val="24"/>
          <w:lang w:val="en-US" w:eastAsia="it-IT"/>
        </w:rPr>
        <w:t xml:space="preserve"> JA, </w:t>
      </w:r>
      <w:proofErr w:type="spellStart"/>
      <w:r w:rsidR="00010F12" w:rsidRPr="00714401">
        <w:rPr>
          <w:rFonts w:ascii="Book Antiqua" w:eastAsia="Times New Roman" w:hAnsi="Book Antiqua" w:cs="Arial"/>
          <w:sz w:val="24"/>
          <w:szCs w:val="24"/>
          <w:lang w:val="en-US" w:eastAsia="it-IT"/>
        </w:rPr>
        <w:t>Garutti</w:t>
      </w:r>
      <w:proofErr w:type="spellEnd"/>
      <w:r w:rsidR="00010F12" w:rsidRPr="00714401">
        <w:rPr>
          <w:rFonts w:ascii="Book Antiqua" w:eastAsia="Times New Roman" w:hAnsi="Book Antiqua" w:cs="Arial"/>
          <w:sz w:val="24"/>
          <w:szCs w:val="24"/>
          <w:lang w:val="en-US" w:eastAsia="it-IT"/>
        </w:rPr>
        <w:t xml:space="preserve"> I, Salcedo M, </w:t>
      </w:r>
      <w:proofErr w:type="spellStart"/>
      <w:r w:rsidR="00010F12" w:rsidRPr="00714401">
        <w:rPr>
          <w:rFonts w:ascii="Book Antiqua" w:eastAsia="Times New Roman" w:hAnsi="Book Antiqua" w:cs="Arial"/>
          <w:sz w:val="24"/>
          <w:szCs w:val="24"/>
          <w:lang w:val="en-US" w:eastAsia="it-IT"/>
        </w:rPr>
        <w:t>Sanz</w:t>
      </w:r>
      <w:proofErr w:type="spellEnd"/>
      <w:r w:rsidR="00010F12" w:rsidRPr="00714401">
        <w:rPr>
          <w:rFonts w:ascii="Book Antiqua" w:eastAsia="Times New Roman" w:hAnsi="Book Antiqua" w:cs="Arial"/>
          <w:sz w:val="24"/>
          <w:szCs w:val="24"/>
          <w:lang w:val="en-US" w:eastAsia="it-IT"/>
        </w:rPr>
        <w:t xml:space="preserve"> J, </w:t>
      </w:r>
      <w:proofErr w:type="spellStart"/>
      <w:r w:rsidR="00010F12" w:rsidRPr="00714401">
        <w:rPr>
          <w:rFonts w:ascii="Book Antiqua" w:eastAsia="Times New Roman" w:hAnsi="Book Antiqua" w:cs="Arial"/>
          <w:sz w:val="24"/>
          <w:szCs w:val="24"/>
          <w:lang w:val="en-US" w:eastAsia="it-IT"/>
        </w:rPr>
        <w:t>Tisner</w:t>
      </w:r>
      <w:proofErr w:type="spellEnd"/>
      <w:r w:rsidR="00010F12" w:rsidRPr="00714401">
        <w:rPr>
          <w:rFonts w:ascii="Book Antiqua" w:eastAsia="Times New Roman" w:hAnsi="Book Antiqua" w:cs="Arial"/>
          <w:sz w:val="24"/>
          <w:szCs w:val="24"/>
          <w:lang w:val="en-US" w:eastAsia="it-IT"/>
        </w:rPr>
        <w:t xml:space="preserve"> M, </w:t>
      </w:r>
      <w:proofErr w:type="spellStart"/>
      <w:r w:rsidR="00010F12" w:rsidRPr="00714401">
        <w:rPr>
          <w:rFonts w:ascii="Book Antiqua" w:eastAsia="Times New Roman" w:hAnsi="Book Antiqua" w:cs="Arial"/>
          <w:sz w:val="24"/>
          <w:szCs w:val="24"/>
          <w:lang w:val="en-US" w:eastAsia="it-IT"/>
        </w:rPr>
        <w:t>Asencio</w:t>
      </w:r>
      <w:proofErr w:type="spellEnd"/>
      <w:r w:rsidR="00010F12" w:rsidRPr="00714401">
        <w:rPr>
          <w:rFonts w:ascii="Book Antiqua" w:eastAsia="Times New Roman" w:hAnsi="Book Antiqua" w:cs="Arial"/>
          <w:sz w:val="24"/>
          <w:szCs w:val="24"/>
          <w:lang w:val="en-US" w:eastAsia="it-IT"/>
        </w:rPr>
        <w:t xml:space="preserve"> JM, Fernandez </w:t>
      </w:r>
      <w:proofErr w:type="spellStart"/>
      <w:r w:rsidR="00010F12" w:rsidRPr="00714401">
        <w:rPr>
          <w:rFonts w:ascii="Book Antiqua" w:eastAsia="Times New Roman" w:hAnsi="Book Antiqua" w:cs="Arial"/>
          <w:sz w:val="24"/>
          <w:szCs w:val="24"/>
          <w:lang w:val="en-US" w:eastAsia="it-IT"/>
        </w:rPr>
        <w:t>Quero</w:t>
      </w:r>
      <w:proofErr w:type="spellEnd"/>
      <w:r w:rsidR="00010F12" w:rsidRPr="00714401">
        <w:rPr>
          <w:rFonts w:ascii="Book Antiqua" w:eastAsia="Times New Roman" w:hAnsi="Book Antiqua" w:cs="Arial"/>
          <w:sz w:val="24"/>
          <w:szCs w:val="24"/>
          <w:lang w:val="en-US" w:eastAsia="it-IT"/>
        </w:rPr>
        <w:t xml:space="preserve"> L, </w:t>
      </w:r>
      <w:proofErr w:type="spellStart"/>
      <w:r w:rsidR="00010F12" w:rsidRPr="00714401">
        <w:rPr>
          <w:rFonts w:ascii="Book Antiqua" w:eastAsia="Times New Roman" w:hAnsi="Book Antiqua" w:cs="Arial"/>
          <w:sz w:val="24"/>
          <w:szCs w:val="24"/>
          <w:lang w:val="en-US" w:eastAsia="it-IT"/>
        </w:rPr>
        <w:t>Banares</w:t>
      </w:r>
      <w:proofErr w:type="spellEnd"/>
      <w:r w:rsidR="00010F12" w:rsidRPr="00714401">
        <w:rPr>
          <w:rFonts w:ascii="Book Antiqua" w:eastAsia="Times New Roman" w:hAnsi="Book Antiqua" w:cs="Arial"/>
          <w:sz w:val="24"/>
          <w:szCs w:val="24"/>
          <w:lang w:val="en-US" w:eastAsia="it-IT"/>
        </w:rPr>
        <w:t xml:space="preserve"> R</w:t>
      </w:r>
      <w:r w:rsidRPr="00714401">
        <w:rPr>
          <w:rFonts w:ascii="Book Antiqua" w:eastAsia="宋体" w:hAnsi="Book Antiqua" w:cs="宋体"/>
          <w:sz w:val="24"/>
          <w:szCs w:val="24"/>
          <w:lang w:val="en-US" w:eastAsia="zh-CN"/>
        </w:rPr>
        <w:t xml:space="preserve">. Early Measurement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Accurately Predicts Short-Term Outcomes After Liver Transplantation. </w:t>
      </w:r>
      <w:r w:rsidRPr="00714401">
        <w:rPr>
          <w:rFonts w:ascii="Book Antiqua" w:eastAsia="宋体" w:hAnsi="Book Antiqua" w:cs="宋体"/>
          <w:i/>
          <w:iCs/>
          <w:sz w:val="24"/>
          <w:szCs w:val="24"/>
          <w:lang w:val="en-US" w:eastAsia="zh-CN"/>
        </w:rPr>
        <w:t>Transplantation</w:t>
      </w:r>
      <w:r w:rsidRPr="00714401">
        <w:rPr>
          <w:rFonts w:ascii="Book Antiqua" w:eastAsia="宋体" w:hAnsi="Book Antiqua" w:cs="宋体"/>
          <w:sz w:val="24"/>
          <w:szCs w:val="24"/>
          <w:lang w:val="en-US" w:eastAsia="zh-CN"/>
        </w:rPr>
        <w:t xml:space="preserve"> 2015; </w:t>
      </w:r>
      <w:r w:rsidR="00010F12" w:rsidRPr="00714401">
        <w:rPr>
          <w:rFonts w:ascii="Book Antiqua" w:eastAsia="宋体" w:hAnsi="Book Antiqua" w:cs="宋体"/>
          <w:sz w:val="24"/>
          <w:szCs w:val="24"/>
          <w:lang w:val="en-US" w:eastAsia="zh-CN"/>
        </w:rPr>
        <w:t>Epub ahead of print</w:t>
      </w:r>
      <w:r w:rsidRPr="00714401">
        <w:rPr>
          <w:rFonts w:ascii="Book Antiqua" w:eastAsia="宋体" w:hAnsi="Book Antiqua" w:cs="宋体"/>
          <w:sz w:val="24"/>
          <w:szCs w:val="24"/>
          <w:lang w:val="en-US" w:eastAsia="zh-CN"/>
        </w:rPr>
        <w:t xml:space="preserve"> [PMID: 26569066]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proofErr w:type="gramStart"/>
      <w:r w:rsidRPr="00714401">
        <w:rPr>
          <w:rFonts w:ascii="Book Antiqua" w:eastAsia="宋体" w:hAnsi="Book Antiqua" w:cs="宋体"/>
          <w:sz w:val="24"/>
          <w:szCs w:val="24"/>
          <w:lang w:val="en-US" w:eastAsia="zh-CN"/>
        </w:rPr>
        <w:lastRenderedPageBreak/>
        <w:t xml:space="preserve">60 </w:t>
      </w:r>
      <w:proofErr w:type="spellStart"/>
      <w:r w:rsidRPr="00714401">
        <w:rPr>
          <w:rFonts w:ascii="Book Antiqua" w:eastAsia="宋体" w:hAnsi="Book Antiqua" w:cs="宋体"/>
          <w:b/>
          <w:bCs/>
          <w:sz w:val="24"/>
          <w:szCs w:val="24"/>
          <w:lang w:val="en-US" w:eastAsia="zh-CN"/>
        </w:rPr>
        <w:t>Escorsell</w:t>
      </w:r>
      <w:proofErr w:type="spellEnd"/>
      <w:r w:rsidRPr="00714401">
        <w:rPr>
          <w:rFonts w:ascii="Book Antiqua" w:eastAsia="宋体" w:hAnsi="Book Antiqua" w:cs="宋体"/>
          <w:b/>
          <w:bCs/>
          <w:sz w:val="24"/>
          <w:szCs w:val="24"/>
          <w:lang w:val="en-US" w:eastAsia="zh-CN"/>
        </w:rPr>
        <w:t xml:space="preserve"> À</w:t>
      </w:r>
      <w:r w:rsidRPr="00714401">
        <w:rPr>
          <w:rFonts w:ascii="Book Antiqua" w:eastAsia="宋体" w:hAnsi="Book Antiqua" w:cs="宋体"/>
          <w:sz w:val="24"/>
          <w:szCs w:val="24"/>
          <w:lang w:val="en-US" w:eastAsia="zh-CN"/>
        </w:rPr>
        <w:t xml:space="preserve">, Mas A, </w:t>
      </w:r>
      <w:proofErr w:type="spellStart"/>
      <w:r w:rsidRPr="00714401">
        <w:rPr>
          <w:rFonts w:ascii="Book Antiqua" w:eastAsia="宋体" w:hAnsi="Book Antiqua" w:cs="宋体"/>
          <w:sz w:val="24"/>
          <w:szCs w:val="24"/>
          <w:lang w:val="en-US" w:eastAsia="zh-CN"/>
        </w:rPr>
        <w:t>Fernández</w:t>
      </w:r>
      <w:proofErr w:type="spellEnd"/>
      <w:r w:rsidRPr="00714401">
        <w:rPr>
          <w:rFonts w:ascii="Book Antiqua" w:eastAsia="宋体" w:hAnsi="Book Antiqua" w:cs="宋体"/>
          <w:sz w:val="24"/>
          <w:szCs w:val="24"/>
          <w:lang w:val="en-US" w:eastAsia="zh-CN"/>
        </w:rPr>
        <w:t xml:space="preserve"> J, </w:t>
      </w:r>
      <w:proofErr w:type="spellStart"/>
      <w:r w:rsidRPr="00714401">
        <w:rPr>
          <w:rFonts w:ascii="Book Antiqua" w:eastAsia="宋体" w:hAnsi="Book Antiqua" w:cs="宋体"/>
          <w:sz w:val="24"/>
          <w:szCs w:val="24"/>
          <w:lang w:val="en-US" w:eastAsia="zh-CN"/>
        </w:rPr>
        <w:t>García-Valdecasas</w:t>
      </w:r>
      <w:proofErr w:type="spellEnd"/>
      <w:r w:rsidRPr="00714401">
        <w:rPr>
          <w:rFonts w:ascii="Book Antiqua" w:eastAsia="宋体" w:hAnsi="Book Antiqua" w:cs="宋体"/>
          <w:sz w:val="24"/>
          <w:szCs w:val="24"/>
          <w:lang w:val="en-US" w:eastAsia="zh-CN"/>
        </w:rPr>
        <w:t xml:space="preserve"> JC.</w:t>
      </w:r>
      <w:proofErr w:type="gramEnd"/>
      <w:r w:rsidRPr="00714401">
        <w:rPr>
          <w:rFonts w:ascii="Book Antiqua" w:eastAsia="宋体" w:hAnsi="Book Antiqua" w:cs="宋体"/>
          <w:sz w:val="24"/>
          <w:szCs w:val="24"/>
          <w:lang w:val="en-US" w:eastAsia="zh-CN"/>
        </w:rPr>
        <w:t xml:space="preserve"> Limitations of use of the noninvasive clearance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as a prognostic indicator of graft function in liver transplantation. </w:t>
      </w:r>
      <w:r w:rsidRPr="00714401">
        <w:rPr>
          <w:rFonts w:ascii="Book Antiqua" w:eastAsia="宋体" w:hAnsi="Book Antiqua" w:cs="宋体"/>
          <w:i/>
          <w:iCs/>
          <w:sz w:val="24"/>
          <w:szCs w:val="24"/>
          <w:lang w:val="en-US" w:eastAsia="zh-CN"/>
        </w:rPr>
        <w:t>Transplant Proc</w:t>
      </w:r>
      <w:r w:rsidRPr="00714401">
        <w:rPr>
          <w:rFonts w:ascii="Book Antiqua" w:eastAsia="宋体" w:hAnsi="Book Antiqua" w:cs="宋体"/>
          <w:sz w:val="24"/>
          <w:szCs w:val="24"/>
          <w:lang w:val="en-US" w:eastAsia="zh-CN"/>
        </w:rPr>
        <w:t xml:space="preserve"> </w:t>
      </w:r>
      <w:r w:rsidR="00010F12" w:rsidRPr="00714401">
        <w:rPr>
          <w:rFonts w:ascii="Book Antiqua" w:eastAsia="宋体" w:hAnsi="Book Antiqua" w:cs="宋体" w:hint="eastAsia"/>
          <w:sz w:val="24"/>
          <w:szCs w:val="24"/>
          <w:lang w:val="en-US" w:eastAsia="zh-CN"/>
        </w:rPr>
        <w:t>2012</w:t>
      </w:r>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b/>
          <w:bCs/>
          <w:sz w:val="24"/>
          <w:szCs w:val="24"/>
          <w:lang w:val="en-US" w:eastAsia="zh-CN"/>
        </w:rPr>
        <w:t>44</w:t>
      </w:r>
      <w:r w:rsidRPr="00714401">
        <w:rPr>
          <w:rFonts w:ascii="Book Antiqua" w:eastAsia="宋体" w:hAnsi="Book Antiqua" w:cs="宋体"/>
          <w:sz w:val="24"/>
          <w:szCs w:val="24"/>
          <w:lang w:val="en-US" w:eastAsia="zh-CN"/>
        </w:rPr>
        <w:t>: 1539-1541 [PMID: 22841207]</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61 </w:t>
      </w:r>
      <w:proofErr w:type="spellStart"/>
      <w:r w:rsidR="002264F1" w:rsidRPr="00714401">
        <w:rPr>
          <w:rFonts w:ascii="Book Antiqua" w:eastAsia="Times New Roman" w:hAnsi="Book Antiqua" w:cs="Arial"/>
          <w:b/>
          <w:sz w:val="24"/>
          <w:szCs w:val="24"/>
          <w:lang w:val="en-US" w:eastAsia="it-IT"/>
        </w:rPr>
        <w:t>Olmedilla</w:t>
      </w:r>
      <w:proofErr w:type="spellEnd"/>
      <w:r w:rsidR="002264F1" w:rsidRPr="00714401">
        <w:rPr>
          <w:rFonts w:ascii="Book Antiqua" w:eastAsia="Times New Roman" w:hAnsi="Book Antiqua" w:cs="Arial"/>
          <w:b/>
          <w:sz w:val="24"/>
          <w:szCs w:val="24"/>
          <w:lang w:val="en-US" w:eastAsia="it-IT"/>
        </w:rPr>
        <w:t xml:space="preserve"> L</w:t>
      </w:r>
      <w:r w:rsidR="002264F1" w:rsidRPr="00714401">
        <w:rPr>
          <w:rFonts w:ascii="Book Antiqua" w:eastAsia="Times New Roman" w:hAnsi="Book Antiqua" w:cs="Arial"/>
          <w:sz w:val="24"/>
          <w:szCs w:val="24"/>
          <w:lang w:val="en-US" w:eastAsia="it-IT"/>
        </w:rPr>
        <w:t xml:space="preserve">, </w:t>
      </w:r>
      <w:proofErr w:type="spellStart"/>
      <w:r w:rsidR="002264F1" w:rsidRPr="00714401">
        <w:rPr>
          <w:rFonts w:ascii="Book Antiqua" w:eastAsia="Times New Roman" w:hAnsi="Book Antiqua" w:cs="Arial"/>
          <w:sz w:val="24"/>
          <w:szCs w:val="24"/>
          <w:lang w:val="en-US" w:eastAsia="it-IT"/>
        </w:rPr>
        <w:t>Lisbona</w:t>
      </w:r>
      <w:proofErr w:type="spellEnd"/>
      <w:r w:rsidR="002264F1" w:rsidRPr="00714401">
        <w:rPr>
          <w:rFonts w:ascii="Book Antiqua" w:eastAsia="Times New Roman" w:hAnsi="Book Antiqua" w:cs="Arial"/>
          <w:sz w:val="24"/>
          <w:szCs w:val="24"/>
          <w:lang w:val="en-US" w:eastAsia="it-IT"/>
        </w:rPr>
        <w:t xml:space="preserve"> CJ, Perez Pena JM, Lopez </w:t>
      </w:r>
      <w:proofErr w:type="spellStart"/>
      <w:r w:rsidR="002264F1" w:rsidRPr="00714401">
        <w:rPr>
          <w:rFonts w:ascii="Book Antiqua" w:eastAsia="Times New Roman" w:hAnsi="Book Antiqua" w:cs="Arial"/>
          <w:sz w:val="24"/>
          <w:szCs w:val="24"/>
          <w:lang w:val="en-US" w:eastAsia="it-IT"/>
        </w:rPr>
        <w:t>Baena</w:t>
      </w:r>
      <w:proofErr w:type="spellEnd"/>
      <w:r w:rsidR="002264F1" w:rsidRPr="00714401">
        <w:rPr>
          <w:rFonts w:ascii="Book Antiqua" w:eastAsia="Times New Roman" w:hAnsi="Book Antiqua" w:cs="Arial"/>
          <w:sz w:val="24"/>
          <w:szCs w:val="24"/>
          <w:lang w:val="en-US" w:eastAsia="it-IT"/>
        </w:rPr>
        <w:t xml:space="preserve"> JA, </w:t>
      </w:r>
      <w:proofErr w:type="spellStart"/>
      <w:r w:rsidR="002264F1" w:rsidRPr="00714401">
        <w:rPr>
          <w:rFonts w:ascii="Book Antiqua" w:eastAsia="Times New Roman" w:hAnsi="Book Antiqua" w:cs="Arial"/>
          <w:sz w:val="24"/>
          <w:szCs w:val="24"/>
          <w:lang w:val="en-US" w:eastAsia="it-IT"/>
        </w:rPr>
        <w:t>Garutti</w:t>
      </w:r>
      <w:proofErr w:type="spellEnd"/>
      <w:r w:rsidR="002264F1" w:rsidRPr="00714401">
        <w:rPr>
          <w:rFonts w:ascii="Book Antiqua" w:eastAsia="Times New Roman" w:hAnsi="Book Antiqua" w:cs="Arial"/>
          <w:sz w:val="24"/>
          <w:szCs w:val="24"/>
          <w:lang w:val="en-US" w:eastAsia="it-IT"/>
        </w:rPr>
        <w:t xml:space="preserve"> I, Salcedo M, </w:t>
      </w:r>
      <w:proofErr w:type="spellStart"/>
      <w:r w:rsidR="002264F1" w:rsidRPr="00714401">
        <w:rPr>
          <w:rFonts w:ascii="Book Antiqua" w:eastAsia="Times New Roman" w:hAnsi="Book Antiqua" w:cs="Arial"/>
          <w:sz w:val="24"/>
          <w:szCs w:val="24"/>
          <w:lang w:val="en-US" w:eastAsia="it-IT"/>
        </w:rPr>
        <w:t>Sanz</w:t>
      </w:r>
      <w:proofErr w:type="spellEnd"/>
      <w:r w:rsidR="002264F1" w:rsidRPr="00714401">
        <w:rPr>
          <w:rFonts w:ascii="Book Antiqua" w:eastAsia="Times New Roman" w:hAnsi="Book Antiqua" w:cs="Arial"/>
          <w:sz w:val="24"/>
          <w:szCs w:val="24"/>
          <w:lang w:val="en-US" w:eastAsia="it-IT"/>
        </w:rPr>
        <w:t xml:space="preserve"> J, </w:t>
      </w:r>
      <w:proofErr w:type="spellStart"/>
      <w:r w:rsidR="002264F1" w:rsidRPr="00714401">
        <w:rPr>
          <w:rFonts w:ascii="Book Antiqua" w:eastAsia="Times New Roman" w:hAnsi="Book Antiqua" w:cs="Arial"/>
          <w:sz w:val="24"/>
          <w:szCs w:val="24"/>
          <w:lang w:val="en-US" w:eastAsia="it-IT"/>
        </w:rPr>
        <w:t>Tisner</w:t>
      </w:r>
      <w:proofErr w:type="spellEnd"/>
      <w:r w:rsidR="002264F1" w:rsidRPr="00714401">
        <w:rPr>
          <w:rFonts w:ascii="Book Antiqua" w:eastAsia="Times New Roman" w:hAnsi="Book Antiqua" w:cs="Arial"/>
          <w:sz w:val="24"/>
          <w:szCs w:val="24"/>
          <w:lang w:val="en-US" w:eastAsia="it-IT"/>
        </w:rPr>
        <w:t xml:space="preserve"> M, </w:t>
      </w:r>
      <w:proofErr w:type="spellStart"/>
      <w:r w:rsidR="002264F1" w:rsidRPr="00714401">
        <w:rPr>
          <w:rFonts w:ascii="Book Antiqua" w:eastAsia="Times New Roman" w:hAnsi="Book Antiqua" w:cs="Arial"/>
          <w:sz w:val="24"/>
          <w:szCs w:val="24"/>
          <w:lang w:val="en-US" w:eastAsia="it-IT"/>
        </w:rPr>
        <w:t>Asencio</w:t>
      </w:r>
      <w:proofErr w:type="spellEnd"/>
      <w:r w:rsidR="002264F1" w:rsidRPr="00714401">
        <w:rPr>
          <w:rFonts w:ascii="Book Antiqua" w:eastAsia="Times New Roman" w:hAnsi="Book Antiqua" w:cs="Arial"/>
          <w:sz w:val="24"/>
          <w:szCs w:val="24"/>
          <w:lang w:val="en-US" w:eastAsia="it-IT"/>
        </w:rPr>
        <w:t xml:space="preserve"> JM, Fernandez </w:t>
      </w:r>
      <w:proofErr w:type="spellStart"/>
      <w:r w:rsidR="002264F1" w:rsidRPr="00714401">
        <w:rPr>
          <w:rFonts w:ascii="Book Antiqua" w:eastAsia="Times New Roman" w:hAnsi="Book Antiqua" w:cs="Arial"/>
          <w:sz w:val="24"/>
          <w:szCs w:val="24"/>
          <w:lang w:val="en-US" w:eastAsia="it-IT"/>
        </w:rPr>
        <w:t>Quero</w:t>
      </w:r>
      <w:proofErr w:type="spellEnd"/>
      <w:r w:rsidR="002264F1" w:rsidRPr="00714401">
        <w:rPr>
          <w:rFonts w:ascii="Book Antiqua" w:eastAsia="Times New Roman" w:hAnsi="Book Antiqua" w:cs="Arial"/>
          <w:sz w:val="24"/>
          <w:szCs w:val="24"/>
          <w:lang w:val="en-US" w:eastAsia="it-IT"/>
        </w:rPr>
        <w:t xml:space="preserve"> L, </w:t>
      </w:r>
      <w:proofErr w:type="spellStart"/>
      <w:r w:rsidR="002264F1" w:rsidRPr="00714401">
        <w:rPr>
          <w:rFonts w:ascii="Book Antiqua" w:eastAsia="Times New Roman" w:hAnsi="Book Antiqua" w:cs="Arial"/>
          <w:sz w:val="24"/>
          <w:szCs w:val="24"/>
          <w:lang w:val="en-US" w:eastAsia="it-IT"/>
        </w:rPr>
        <w:t>Banares</w:t>
      </w:r>
      <w:proofErr w:type="spellEnd"/>
      <w:r w:rsidR="002264F1" w:rsidRPr="00714401">
        <w:rPr>
          <w:rFonts w:ascii="Book Antiqua" w:eastAsia="Times New Roman" w:hAnsi="Book Antiqua" w:cs="Arial"/>
          <w:sz w:val="24"/>
          <w:szCs w:val="24"/>
          <w:lang w:val="en-US" w:eastAsia="it-IT"/>
        </w:rPr>
        <w:t xml:space="preserve"> R</w:t>
      </w:r>
      <w:r w:rsidRPr="00714401">
        <w:rPr>
          <w:rFonts w:ascii="Book Antiqua" w:eastAsia="宋体" w:hAnsi="Book Antiqua" w:cs="宋体"/>
          <w:sz w:val="24"/>
          <w:szCs w:val="24"/>
          <w:lang w:val="en-US" w:eastAsia="zh-CN"/>
        </w:rPr>
        <w:t xml:space="preserve">. Current use and perspective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clearance in liver diseases. </w:t>
      </w:r>
      <w:proofErr w:type="spellStart"/>
      <w:r w:rsidRPr="00714401">
        <w:rPr>
          <w:rFonts w:ascii="Book Antiqua" w:eastAsia="宋体" w:hAnsi="Book Antiqua" w:cs="宋体"/>
          <w:i/>
          <w:iCs/>
          <w:sz w:val="24"/>
          <w:szCs w:val="24"/>
          <w:lang w:val="en-US" w:eastAsia="zh-CN"/>
        </w:rPr>
        <w:t>Anaesth</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Crit</w:t>
      </w:r>
      <w:proofErr w:type="spellEnd"/>
      <w:r w:rsidRPr="00714401">
        <w:rPr>
          <w:rFonts w:ascii="Book Antiqua" w:eastAsia="宋体" w:hAnsi="Book Antiqua" w:cs="宋体"/>
          <w:i/>
          <w:iCs/>
          <w:sz w:val="24"/>
          <w:szCs w:val="24"/>
          <w:lang w:val="en-US" w:eastAsia="zh-CN"/>
        </w:rPr>
        <w:t xml:space="preserve"> Care Pain Med</w:t>
      </w:r>
      <w:r w:rsidRPr="00714401">
        <w:rPr>
          <w:rFonts w:ascii="Book Antiqua" w:eastAsia="宋体" w:hAnsi="Book Antiqua" w:cs="宋体"/>
          <w:sz w:val="24"/>
          <w:szCs w:val="24"/>
          <w:lang w:val="en-US" w:eastAsia="zh-CN"/>
        </w:rPr>
        <w:t xml:space="preserve"> 2015; </w:t>
      </w:r>
      <w:r w:rsidR="00DA7ABC" w:rsidRPr="00714401">
        <w:rPr>
          <w:rFonts w:ascii="Book Antiqua" w:eastAsia="宋体" w:hAnsi="Book Antiqua" w:cs="宋体"/>
          <w:sz w:val="24"/>
          <w:szCs w:val="24"/>
          <w:lang w:val="en-US" w:eastAsia="zh-CN"/>
        </w:rPr>
        <w:t>Epub ahead of print</w:t>
      </w:r>
      <w:r w:rsidRPr="00714401">
        <w:rPr>
          <w:rFonts w:ascii="Book Antiqua" w:eastAsia="宋体" w:hAnsi="Book Antiqua" w:cs="宋体"/>
          <w:sz w:val="24"/>
          <w:szCs w:val="24"/>
          <w:lang w:val="en-US" w:eastAsia="zh-CN"/>
        </w:rPr>
        <w:t xml:space="preserve"> [PMID: 26477363 DOI: 10.1016/j.accpm.2015.06.006]</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62 </w:t>
      </w:r>
      <w:r w:rsidRPr="00714401">
        <w:rPr>
          <w:rFonts w:ascii="Book Antiqua" w:eastAsia="宋体" w:hAnsi="Book Antiqua" w:cs="宋体"/>
          <w:b/>
          <w:bCs/>
          <w:sz w:val="24"/>
          <w:szCs w:val="24"/>
          <w:lang w:val="en-US" w:eastAsia="zh-CN"/>
        </w:rPr>
        <w:t xml:space="preserve">De </w:t>
      </w:r>
      <w:proofErr w:type="spellStart"/>
      <w:r w:rsidRPr="00714401">
        <w:rPr>
          <w:rFonts w:ascii="Book Antiqua" w:eastAsia="宋体" w:hAnsi="Book Antiqua" w:cs="宋体"/>
          <w:b/>
          <w:bCs/>
          <w:sz w:val="24"/>
          <w:szCs w:val="24"/>
          <w:lang w:val="en-US" w:eastAsia="zh-CN"/>
        </w:rPr>
        <w:t>Gasperi</w:t>
      </w:r>
      <w:proofErr w:type="spellEnd"/>
      <w:r w:rsidRPr="00714401">
        <w:rPr>
          <w:rFonts w:ascii="Book Antiqua" w:eastAsia="宋体" w:hAnsi="Book Antiqua" w:cs="宋体"/>
          <w:b/>
          <w:bCs/>
          <w:sz w:val="24"/>
          <w:szCs w:val="24"/>
          <w:lang w:val="en-US" w:eastAsia="zh-CN"/>
        </w:rPr>
        <w:t xml:space="preserve"> A</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Mazza</w:t>
      </w:r>
      <w:proofErr w:type="spellEnd"/>
      <w:r w:rsidRPr="00714401">
        <w:rPr>
          <w:rFonts w:ascii="Book Antiqua" w:eastAsia="宋体" w:hAnsi="Book Antiqua" w:cs="宋体"/>
          <w:sz w:val="24"/>
          <w:szCs w:val="24"/>
          <w:lang w:val="en-US" w:eastAsia="zh-CN"/>
        </w:rPr>
        <w:t xml:space="preserve"> E, </w:t>
      </w:r>
      <w:proofErr w:type="spellStart"/>
      <w:r w:rsidRPr="00714401">
        <w:rPr>
          <w:rFonts w:ascii="Book Antiqua" w:eastAsia="宋体" w:hAnsi="Book Antiqua" w:cs="宋体"/>
          <w:sz w:val="24"/>
          <w:szCs w:val="24"/>
          <w:lang w:val="en-US" w:eastAsia="zh-CN"/>
        </w:rPr>
        <w:t>Corti</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Zoppi</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Prosperi</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Fantini</w:t>
      </w:r>
      <w:proofErr w:type="spellEnd"/>
      <w:r w:rsidRPr="00714401">
        <w:rPr>
          <w:rFonts w:ascii="Book Antiqua" w:eastAsia="宋体" w:hAnsi="Book Antiqua" w:cs="宋体"/>
          <w:sz w:val="24"/>
          <w:szCs w:val="24"/>
          <w:lang w:val="en-US" w:eastAsia="zh-CN"/>
        </w:rPr>
        <w:t xml:space="preserve"> G, </w:t>
      </w:r>
      <w:proofErr w:type="spellStart"/>
      <w:r w:rsidRPr="00714401">
        <w:rPr>
          <w:rFonts w:ascii="Book Antiqua" w:eastAsia="宋体" w:hAnsi="Book Antiqua" w:cs="宋体"/>
          <w:sz w:val="24"/>
          <w:szCs w:val="24"/>
          <w:lang w:val="en-US" w:eastAsia="zh-CN"/>
        </w:rPr>
        <w:t>Scaiola</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Colella</w:t>
      </w:r>
      <w:proofErr w:type="spellEnd"/>
      <w:r w:rsidRPr="00714401">
        <w:rPr>
          <w:rFonts w:ascii="Book Antiqua" w:eastAsia="宋体" w:hAnsi="Book Antiqua" w:cs="宋体"/>
          <w:sz w:val="24"/>
          <w:szCs w:val="24"/>
          <w:lang w:val="en-US" w:eastAsia="zh-CN"/>
        </w:rPr>
        <w:t xml:space="preserve"> G, Amici O, </w:t>
      </w:r>
      <w:proofErr w:type="spellStart"/>
      <w:r w:rsidRPr="00714401">
        <w:rPr>
          <w:rFonts w:ascii="Book Antiqua" w:eastAsia="宋体" w:hAnsi="Book Antiqua" w:cs="宋体"/>
          <w:sz w:val="24"/>
          <w:szCs w:val="24"/>
          <w:lang w:val="en-US" w:eastAsia="zh-CN"/>
        </w:rPr>
        <w:t>Notaro</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Rocchini</w:t>
      </w:r>
      <w:proofErr w:type="spellEnd"/>
      <w:r w:rsidRPr="00714401">
        <w:rPr>
          <w:rFonts w:ascii="Book Antiqua" w:eastAsia="宋体" w:hAnsi="Book Antiqua" w:cs="宋体"/>
          <w:sz w:val="24"/>
          <w:szCs w:val="24"/>
          <w:lang w:val="en-US" w:eastAsia="zh-CN"/>
        </w:rPr>
        <w:t xml:space="preserve"> A, </w:t>
      </w:r>
      <w:proofErr w:type="spellStart"/>
      <w:r w:rsidRPr="00714401">
        <w:rPr>
          <w:rFonts w:ascii="Book Antiqua" w:eastAsia="宋体" w:hAnsi="Book Antiqua" w:cs="宋体"/>
          <w:sz w:val="24"/>
          <w:szCs w:val="24"/>
          <w:lang w:val="en-US" w:eastAsia="zh-CN"/>
        </w:rPr>
        <w:t>Ceresa</w:t>
      </w:r>
      <w:proofErr w:type="spellEnd"/>
      <w:r w:rsidRPr="00714401">
        <w:rPr>
          <w:rFonts w:ascii="Book Antiqua" w:eastAsia="宋体" w:hAnsi="Book Antiqua" w:cs="宋体"/>
          <w:sz w:val="24"/>
          <w:szCs w:val="24"/>
          <w:lang w:val="en-US" w:eastAsia="zh-CN"/>
        </w:rPr>
        <w:t xml:space="preserve"> F, </w:t>
      </w:r>
      <w:proofErr w:type="spellStart"/>
      <w:r w:rsidRPr="00714401">
        <w:rPr>
          <w:rFonts w:ascii="Book Antiqua" w:eastAsia="宋体" w:hAnsi="Book Antiqua" w:cs="宋体"/>
          <w:sz w:val="24"/>
          <w:szCs w:val="24"/>
          <w:lang w:val="en-US" w:eastAsia="zh-CN"/>
        </w:rPr>
        <w:t>Roselli</w:t>
      </w:r>
      <w:proofErr w:type="spellEnd"/>
      <w:r w:rsidRPr="00714401">
        <w:rPr>
          <w:rFonts w:ascii="Book Antiqua" w:eastAsia="宋体" w:hAnsi="Book Antiqua" w:cs="宋体"/>
          <w:sz w:val="24"/>
          <w:szCs w:val="24"/>
          <w:lang w:val="en-US" w:eastAsia="zh-CN"/>
        </w:rPr>
        <w:t xml:space="preserve"> E, </w:t>
      </w:r>
      <w:proofErr w:type="spellStart"/>
      <w:r w:rsidRPr="00714401">
        <w:rPr>
          <w:rFonts w:ascii="Book Antiqua" w:eastAsia="宋体" w:hAnsi="Book Antiqua" w:cs="宋体"/>
          <w:sz w:val="24"/>
          <w:szCs w:val="24"/>
          <w:lang w:val="en-US" w:eastAsia="zh-CN"/>
        </w:rPr>
        <w:t>Grugni</w:t>
      </w:r>
      <w:proofErr w:type="spellEnd"/>
      <w:r w:rsidRPr="00714401">
        <w:rPr>
          <w:rFonts w:ascii="Book Antiqua" w:eastAsia="宋体" w:hAnsi="Book Antiqua" w:cs="宋体"/>
          <w:sz w:val="24"/>
          <w:szCs w:val="24"/>
          <w:lang w:val="en-US" w:eastAsia="zh-CN"/>
        </w:rPr>
        <w:t xml:space="preserve"> MC. Lactate blood levels in the perioperative period of </w:t>
      </w:r>
      <w:proofErr w:type="spellStart"/>
      <w:r w:rsidRPr="00714401">
        <w:rPr>
          <w:rFonts w:ascii="Book Antiqua" w:eastAsia="宋体" w:hAnsi="Book Antiqua" w:cs="宋体"/>
          <w:sz w:val="24"/>
          <w:szCs w:val="24"/>
          <w:lang w:val="en-US" w:eastAsia="zh-CN"/>
        </w:rPr>
        <w:t>orthotopic</w:t>
      </w:r>
      <w:proofErr w:type="spellEnd"/>
      <w:r w:rsidRPr="00714401">
        <w:rPr>
          <w:rFonts w:ascii="Book Antiqua" w:eastAsia="宋体" w:hAnsi="Book Antiqua" w:cs="宋体"/>
          <w:sz w:val="24"/>
          <w:szCs w:val="24"/>
          <w:lang w:val="en-US" w:eastAsia="zh-CN"/>
        </w:rPr>
        <w:t xml:space="preserve"> liver transplantation. </w:t>
      </w:r>
      <w:proofErr w:type="spellStart"/>
      <w:r w:rsidRPr="00714401">
        <w:rPr>
          <w:rFonts w:ascii="Book Antiqua" w:eastAsia="宋体" w:hAnsi="Book Antiqua" w:cs="宋体"/>
          <w:i/>
          <w:iCs/>
          <w:sz w:val="24"/>
          <w:szCs w:val="24"/>
          <w:lang w:val="en-US" w:eastAsia="zh-CN"/>
        </w:rPr>
        <w:t>Int</w:t>
      </w:r>
      <w:proofErr w:type="spellEnd"/>
      <w:r w:rsidRPr="00714401">
        <w:rPr>
          <w:rFonts w:ascii="Book Antiqua" w:eastAsia="宋体" w:hAnsi="Book Antiqua" w:cs="宋体"/>
          <w:i/>
          <w:iCs/>
          <w:sz w:val="24"/>
          <w:szCs w:val="24"/>
          <w:lang w:val="en-US" w:eastAsia="zh-CN"/>
        </w:rPr>
        <w:t xml:space="preserve"> J </w:t>
      </w:r>
      <w:proofErr w:type="spellStart"/>
      <w:r w:rsidRPr="00714401">
        <w:rPr>
          <w:rFonts w:ascii="Book Antiqua" w:eastAsia="宋体" w:hAnsi="Book Antiqua" w:cs="宋体"/>
          <w:i/>
          <w:iCs/>
          <w:sz w:val="24"/>
          <w:szCs w:val="24"/>
          <w:lang w:val="en-US" w:eastAsia="zh-CN"/>
        </w:rPr>
        <w:t>Clin</w:t>
      </w:r>
      <w:proofErr w:type="spellEnd"/>
      <w:r w:rsidRPr="00714401">
        <w:rPr>
          <w:rFonts w:ascii="Book Antiqua" w:eastAsia="宋体" w:hAnsi="Book Antiqua" w:cs="宋体"/>
          <w:i/>
          <w:iCs/>
          <w:sz w:val="24"/>
          <w:szCs w:val="24"/>
          <w:lang w:val="en-US" w:eastAsia="zh-CN"/>
        </w:rPr>
        <w:t xml:space="preserve"> Lab Res</w:t>
      </w:r>
      <w:r w:rsidRPr="00714401">
        <w:rPr>
          <w:rFonts w:ascii="Book Antiqua" w:eastAsia="宋体" w:hAnsi="Book Antiqua" w:cs="宋体"/>
          <w:sz w:val="24"/>
          <w:szCs w:val="24"/>
          <w:lang w:val="en-US" w:eastAsia="zh-CN"/>
        </w:rPr>
        <w:t xml:space="preserve"> 1997; </w:t>
      </w:r>
      <w:r w:rsidRPr="00714401">
        <w:rPr>
          <w:rFonts w:ascii="Book Antiqua" w:eastAsia="宋体" w:hAnsi="Book Antiqua" w:cs="宋体"/>
          <w:b/>
          <w:bCs/>
          <w:sz w:val="24"/>
          <w:szCs w:val="24"/>
          <w:lang w:val="en-US" w:eastAsia="zh-CN"/>
        </w:rPr>
        <w:t>27</w:t>
      </w:r>
      <w:r w:rsidRPr="00714401">
        <w:rPr>
          <w:rFonts w:ascii="Book Antiqua" w:eastAsia="宋体" w:hAnsi="Book Antiqua" w:cs="宋体"/>
          <w:sz w:val="24"/>
          <w:szCs w:val="24"/>
          <w:lang w:val="en-US" w:eastAsia="zh-CN"/>
        </w:rPr>
        <w:t>: 123-128 [PMID: 9266283]</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63 </w:t>
      </w:r>
      <w:r w:rsidRPr="00714401">
        <w:rPr>
          <w:rFonts w:ascii="Book Antiqua" w:eastAsia="宋体" w:hAnsi="Book Antiqua" w:cs="宋体"/>
          <w:b/>
          <w:bCs/>
          <w:sz w:val="24"/>
          <w:szCs w:val="24"/>
          <w:lang w:val="en-US" w:eastAsia="zh-CN"/>
        </w:rPr>
        <w:t>Kim GY</w:t>
      </w:r>
      <w:r w:rsidRPr="00714401">
        <w:rPr>
          <w:rFonts w:ascii="Book Antiqua" w:eastAsia="宋体" w:hAnsi="Book Antiqua" w:cs="宋体"/>
          <w:sz w:val="24"/>
          <w:szCs w:val="24"/>
          <w:lang w:val="en-US" w:eastAsia="zh-CN"/>
        </w:rPr>
        <w:t xml:space="preserve">, Bae KS, Noh GJ, Min WK. Estimation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elimination rate constant k and retention rate at 15 min using patient age, weight, bilirubin, and albumin. </w:t>
      </w:r>
      <w:r w:rsidRPr="00714401">
        <w:rPr>
          <w:rFonts w:ascii="Book Antiqua" w:eastAsia="宋体" w:hAnsi="Book Antiqua" w:cs="宋体"/>
          <w:i/>
          <w:iCs/>
          <w:sz w:val="24"/>
          <w:szCs w:val="24"/>
          <w:lang w:val="en-US" w:eastAsia="zh-CN"/>
        </w:rPr>
        <w:t xml:space="preserve">J Hepatobiliary </w:t>
      </w:r>
      <w:proofErr w:type="spellStart"/>
      <w:r w:rsidRPr="00714401">
        <w:rPr>
          <w:rFonts w:ascii="Book Antiqua" w:eastAsia="宋体" w:hAnsi="Book Antiqua" w:cs="宋体"/>
          <w:i/>
          <w:iCs/>
          <w:sz w:val="24"/>
          <w:szCs w:val="24"/>
          <w:lang w:val="en-US" w:eastAsia="zh-CN"/>
        </w:rPr>
        <w:t>Pancreat</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Surg</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16</w:t>
      </w:r>
      <w:r w:rsidRPr="00714401">
        <w:rPr>
          <w:rFonts w:ascii="Book Antiqua" w:eastAsia="宋体" w:hAnsi="Book Antiqua" w:cs="宋体"/>
          <w:sz w:val="24"/>
          <w:szCs w:val="24"/>
          <w:lang w:val="en-US" w:eastAsia="zh-CN"/>
        </w:rPr>
        <w:t>: 521-528 [PMID: 19365598]</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64 </w:t>
      </w:r>
      <w:r w:rsidRPr="00714401">
        <w:rPr>
          <w:rFonts w:ascii="Book Antiqua" w:eastAsia="宋体" w:hAnsi="Book Antiqua" w:cs="宋体"/>
          <w:b/>
          <w:bCs/>
          <w:sz w:val="24"/>
          <w:szCs w:val="24"/>
          <w:lang w:val="en-US" w:eastAsia="zh-CN"/>
        </w:rPr>
        <w:t>Lock JF</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Schwabauer</w:t>
      </w:r>
      <w:proofErr w:type="spellEnd"/>
      <w:r w:rsidRPr="00714401">
        <w:rPr>
          <w:rFonts w:ascii="Book Antiqua" w:eastAsia="宋体" w:hAnsi="Book Antiqua" w:cs="宋体"/>
          <w:sz w:val="24"/>
          <w:szCs w:val="24"/>
          <w:lang w:val="en-US" w:eastAsia="zh-CN"/>
        </w:rPr>
        <w:t xml:space="preserve"> E, </w:t>
      </w:r>
      <w:proofErr w:type="spellStart"/>
      <w:r w:rsidRPr="00714401">
        <w:rPr>
          <w:rFonts w:ascii="Book Antiqua" w:eastAsia="宋体" w:hAnsi="Book Antiqua" w:cs="宋体"/>
          <w:sz w:val="24"/>
          <w:szCs w:val="24"/>
          <w:lang w:val="en-US" w:eastAsia="zh-CN"/>
        </w:rPr>
        <w:t>Martus</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Videv</w:t>
      </w:r>
      <w:proofErr w:type="spellEnd"/>
      <w:r w:rsidRPr="00714401">
        <w:rPr>
          <w:rFonts w:ascii="Book Antiqua" w:eastAsia="宋体" w:hAnsi="Book Antiqua" w:cs="宋体"/>
          <w:sz w:val="24"/>
          <w:szCs w:val="24"/>
          <w:lang w:val="en-US" w:eastAsia="zh-CN"/>
        </w:rPr>
        <w:t xml:space="preserve"> N, </w:t>
      </w:r>
      <w:proofErr w:type="spellStart"/>
      <w:r w:rsidRPr="00714401">
        <w:rPr>
          <w:rFonts w:ascii="Book Antiqua" w:eastAsia="宋体" w:hAnsi="Book Antiqua" w:cs="宋体"/>
          <w:sz w:val="24"/>
          <w:szCs w:val="24"/>
          <w:lang w:val="en-US" w:eastAsia="zh-CN"/>
        </w:rPr>
        <w:t>Pratschke</w:t>
      </w:r>
      <w:proofErr w:type="spellEnd"/>
      <w:r w:rsidRPr="00714401">
        <w:rPr>
          <w:rFonts w:ascii="Book Antiqua" w:eastAsia="宋体" w:hAnsi="Book Antiqua" w:cs="宋体"/>
          <w:sz w:val="24"/>
          <w:szCs w:val="24"/>
          <w:lang w:val="en-US" w:eastAsia="zh-CN"/>
        </w:rPr>
        <w:t xml:space="preserve"> J, Malinowski M, </w:t>
      </w:r>
      <w:proofErr w:type="spellStart"/>
      <w:r w:rsidRPr="00714401">
        <w:rPr>
          <w:rFonts w:ascii="Book Antiqua" w:eastAsia="宋体" w:hAnsi="Book Antiqua" w:cs="宋体"/>
          <w:sz w:val="24"/>
          <w:szCs w:val="24"/>
          <w:lang w:val="en-US" w:eastAsia="zh-CN"/>
        </w:rPr>
        <w:t>Neuhaus</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Stockmann</w:t>
      </w:r>
      <w:proofErr w:type="spellEnd"/>
      <w:r w:rsidRPr="00714401">
        <w:rPr>
          <w:rFonts w:ascii="Book Antiqua" w:eastAsia="宋体" w:hAnsi="Book Antiqua" w:cs="宋体"/>
          <w:sz w:val="24"/>
          <w:szCs w:val="24"/>
          <w:lang w:val="en-US" w:eastAsia="zh-CN"/>
        </w:rPr>
        <w:t xml:space="preserve"> M. Early diagnosis of primary </w:t>
      </w:r>
      <w:proofErr w:type="spellStart"/>
      <w:r w:rsidRPr="00714401">
        <w:rPr>
          <w:rFonts w:ascii="Book Antiqua" w:eastAsia="宋体" w:hAnsi="Book Antiqua" w:cs="宋体"/>
          <w:sz w:val="24"/>
          <w:szCs w:val="24"/>
          <w:lang w:val="en-US" w:eastAsia="zh-CN"/>
        </w:rPr>
        <w:t>nonfunction</w:t>
      </w:r>
      <w:proofErr w:type="spellEnd"/>
      <w:r w:rsidRPr="00714401">
        <w:rPr>
          <w:rFonts w:ascii="Book Antiqua" w:eastAsia="宋体" w:hAnsi="Book Antiqua" w:cs="宋体"/>
          <w:sz w:val="24"/>
          <w:szCs w:val="24"/>
          <w:lang w:val="en-US" w:eastAsia="zh-CN"/>
        </w:rPr>
        <w:t xml:space="preserve"> and indication for reoperation after liver transplantation. </w:t>
      </w:r>
      <w:r w:rsidRPr="00714401">
        <w:rPr>
          <w:rFonts w:ascii="Book Antiqua" w:eastAsia="宋体" w:hAnsi="Book Antiqua" w:cs="宋体"/>
          <w:i/>
          <w:iCs/>
          <w:sz w:val="24"/>
          <w:szCs w:val="24"/>
          <w:lang w:val="en-US" w:eastAsia="zh-CN"/>
        </w:rPr>
        <w:t xml:space="preserve">Liver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sz w:val="24"/>
          <w:szCs w:val="24"/>
          <w:lang w:val="en-US" w:eastAsia="zh-CN"/>
        </w:rPr>
        <w:t xml:space="preserve"> 2010; </w:t>
      </w:r>
      <w:r w:rsidRPr="00714401">
        <w:rPr>
          <w:rFonts w:ascii="Book Antiqua" w:eastAsia="宋体" w:hAnsi="Book Antiqua" w:cs="宋体"/>
          <w:b/>
          <w:bCs/>
          <w:sz w:val="24"/>
          <w:szCs w:val="24"/>
          <w:lang w:val="en-US" w:eastAsia="zh-CN"/>
        </w:rPr>
        <w:t>16</w:t>
      </w:r>
      <w:r w:rsidRPr="00714401">
        <w:rPr>
          <w:rFonts w:ascii="Book Antiqua" w:eastAsia="宋体" w:hAnsi="Book Antiqua" w:cs="宋体"/>
          <w:sz w:val="24"/>
          <w:szCs w:val="24"/>
          <w:lang w:val="en-US" w:eastAsia="zh-CN"/>
        </w:rPr>
        <w:t>: 172-180 [PMID: 20104485]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65 </w:t>
      </w:r>
      <w:proofErr w:type="spellStart"/>
      <w:r w:rsidRPr="00714401">
        <w:rPr>
          <w:rFonts w:ascii="Book Antiqua" w:eastAsia="宋体" w:hAnsi="Book Antiqua" w:cs="宋体"/>
          <w:b/>
          <w:bCs/>
          <w:sz w:val="24"/>
          <w:szCs w:val="24"/>
          <w:lang w:val="en-US" w:eastAsia="zh-CN"/>
        </w:rPr>
        <w:t>Jara</w:t>
      </w:r>
      <w:proofErr w:type="spellEnd"/>
      <w:r w:rsidRPr="00714401">
        <w:rPr>
          <w:rFonts w:ascii="Book Antiqua" w:eastAsia="宋体" w:hAnsi="Book Antiqua" w:cs="宋体"/>
          <w:b/>
          <w:bCs/>
          <w:sz w:val="24"/>
          <w:szCs w:val="24"/>
          <w:lang w:val="en-US" w:eastAsia="zh-CN"/>
        </w:rPr>
        <w:t xml:space="preserve"> M</w:t>
      </w:r>
      <w:r w:rsidRPr="00714401">
        <w:rPr>
          <w:rFonts w:ascii="Book Antiqua" w:eastAsia="宋体" w:hAnsi="Book Antiqua" w:cs="宋体"/>
          <w:sz w:val="24"/>
          <w:szCs w:val="24"/>
          <w:lang w:val="en-US" w:eastAsia="zh-CN"/>
        </w:rPr>
        <w:t xml:space="preserve">, Malinowski M, </w:t>
      </w:r>
      <w:proofErr w:type="spellStart"/>
      <w:r w:rsidRPr="00714401">
        <w:rPr>
          <w:rFonts w:ascii="Book Antiqua" w:eastAsia="宋体" w:hAnsi="Book Antiqua" w:cs="宋体"/>
          <w:sz w:val="24"/>
          <w:szCs w:val="24"/>
          <w:lang w:val="en-US" w:eastAsia="zh-CN"/>
        </w:rPr>
        <w:t>Lüttgert</w:t>
      </w:r>
      <w:proofErr w:type="spellEnd"/>
      <w:r w:rsidRPr="00714401">
        <w:rPr>
          <w:rFonts w:ascii="Book Antiqua" w:eastAsia="宋体" w:hAnsi="Book Antiqua" w:cs="宋体"/>
          <w:sz w:val="24"/>
          <w:szCs w:val="24"/>
          <w:lang w:val="en-US" w:eastAsia="zh-CN"/>
        </w:rPr>
        <w:t xml:space="preserve"> K, Schott E, </w:t>
      </w:r>
      <w:proofErr w:type="spellStart"/>
      <w:r w:rsidRPr="00714401">
        <w:rPr>
          <w:rFonts w:ascii="Book Antiqua" w:eastAsia="宋体" w:hAnsi="Book Antiqua" w:cs="宋体"/>
          <w:sz w:val="24"/>
          <w:szCs w:val="24"/>
          <w:lang w:val="en-US" w:eastAsia="zh-CN"/>
        </w:rPr>
        <w:t>Neuhaus</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Stockmann</w:t>
      </w:r>
      <w:proofErr w:type="spellEnd"/>
      <w:r w:rsidRPr="00714401">
        <w:rPr>
          <w:rFonts w:ascii="Book Antiqua" w:eastAsia="宋体" w:hAnsi="Book Antiqua" w:cs="宋体"/>
          <w:sz w:val="24"/>
          <w:szCs w:val="24"/>
          <w:lang w:val="en-US" w:eastAsia="zh-CN"/>
        </w:rPr>
        <w:t xml:space="preserve"> M. Prognostic value of enzymatic liver function for the estimation of short-term survival of liver transplant candidates: a prospective study with the </w:t>
      </w:r>
      <w:proofErr w:type="spellStart"/>
      <w:r w:rsidRPr="00714401">
        <w:rPr>
          <w:rFonts w:ascii="Book Antiqua" w:eastAsia="宋体" w:hAnsi="Book Antiqua" w:cs="宋体"/>
          <w:sz w:val="24"/>
          <w:szCs w:val="24"/>
          <w:lang w:val="en-US" w:eastAsia="zh-CN"/>
        </w:rPr>
        <w:t>LiMAx</w:t>
      </w:r>
      <w:proofErr w:type="spellEnd"/>
      <w:r w:rsidRPr="00714401">
        <w:rPr>
          <w:rFonts w:ascii="Book Antiqua" w:eastAsia="宋体" w:hAnsi="Book Antiqua" w:cs="宋体"/>
          <w:sz w:val="24"/>
          <w:szCs w:val="24"/>
          <w:lang w:val="en-US" w:eastAsia="zh-CN"/>
        </w:rPr>
        <w:t xml:space="preserve"> test. </w:t>
      </w:r>
      <w:proofErr w:type="spellStart"/>
      <w:r w:rsidRPr="00714401">
        <w:rPr>
          <w:rFonts w:ascii="Book Antiqua" w:eastAsia="宋体" w:hAnsi="Book Antiqua" w:cs="宋体"/>
          <w:i/>
          <w:iCs/>
          <w:sz w:val="24"/>
          <w:szCs w:val="24"/>
          <w:lang w:val="en-US" w:eastAsia="zh-CN"/>
        </w:rPr>
        <w:t>Transpl</w:t>
      </w:r>
      <w:proofErr w:type="spellEnd"/>
      <w:r w:rsidRPr="00714401">
        <w:rPr>
          <w:rFonts w:ascii="Book Antiqua" w:eastAsia="宋体" w:hAnsi="Book Antiqua" w:cs="宋体"/>
          <w:i/>
          <w:iCs/>
          <w:sz w:val="24"/>
          <w:szCs w:val="24"/>
          <w:lang w:val="en-US" w:eastAsia="zh-CN"/>
        </w:rPr>
        <w:t xml:space="preserve"> </w:t>
      </w:r>
      <w:proofErr w:type="spellStart"/>
      <w:r w:rsidRPr="00714401">
        <w:rPr>
          <w:rFonts w:ascii="Book Antiqua" w:eastAsia="宋体" w:hAnsi="Book Antiqua" w:cs="宋体"/>
          <w:i/>
          <w:iCs/>
          <w:sz w:val="24"/>
          <w:szCs w:val="24"/>
          <w:lang w:val="en-US" w:eastAsia="zh-CN"/>
        </w:rPr>
        <w:t>Int</w:t>
      </w:r>
      <w:proofErr w:type="spellEnd"/>
      <w:r w:rsidRPr="00714401">
        <w:rPr>
          <w:rFonts w:ascii="Book Antiqua" w:eastAsia="宋体" w:hAnsi="Book Antiqua" w:cs="宋体"/>
          <w:sz w:val="24"/>
          <w:szCs w:val="24"/>
          <w:lang w:val="en-US" w:eastAsia="zh-CN"/>
        </w:rPr>
        <w:t xml:space="preserve"> 2015; </w:t>
      </w:r>
      <w:r w:rsidRPr="00714401">
        <w:rPr>
          <w:rFonts w:ascii="Book Antiqua" w:eastAsia="宋体" w:hAnsi="Book Antiqua" w:cs="宋体"/>
          <w:b/>
          <w:bCs/>
          <w:sz w:val="24"/>
          <w:szCs w:val="24"/>
          <w:lang w:val="en-US" w:eastAsia="zh-CN"/>
        </w:rPr>
        <w:t>28</w:t>
      </w:r>
      <w:r w:rsidRPr="00714401">
        <w:rPr>
          <w:rFonts w:ascii="Book Antiqua" w:eastAsia="宋体" w:hAnsi="Book Antiqua" w:cs="宋体"/>
          <w:sz w:val="24"/>
          <w:szCs w:val="24"/>
          <w:lang w:val="en-US" w:eastAsia="zh-CN"/>
        </w:rPr>
        <w:t>: 52-58 [PMID: 25263095]</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66 </w:t>
      </w:r>
      <w:r w:rsidRPr="00714401">
        <w:rPr>
          <w:rFonts w:ascii="Book Antiqua" w:eastAsia="宋体" w:hAnsi="Book Antiqua" w:cs="宋体"/>
          <w:b/>
          <w:bCs/>
          <w:sz w:val="24"/>
          <w:szCs w:val="24"/>
          <w:lang w:val="en-US" w:eastAsia="zh-CN"/>
        </w:rPr>
        <w:t>Merle U</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Sieg</w:t>
      </w:r>
      <w:proofErr w:type="spellEnd"/>
      <w:r w:rsidRPr="00714401">
        <w:rPr>
          <w:rFonts w:ascii="Book Antiqua" w:eastAsia="宋体" w:hAnsi="Book Antiqua" w:cs="宋体"/>
          <w:sz w:val="24"/>
          <w:szCs w:val="24"/>
          <w:lang w:val="en-US" w:eastAsia="zh-CN"/>
        </w:rPr>
        <w:t xml:space="preserve"> O, </w:t>
      </w:r>
      <w:proofErr w:type="spellStart"/>
      <w:r w:rsidRPr="00714401">
        <w:rPr>
          <w:rFonts w:ascii="Book Antiqua" w:eastAsia="宋体" w:hAnsi="Book Antiqua" w:cs="宋体"/>
          <w:sz w:val="24"/>
          <w:szCs w:val="24"/>
          <w:lang w:val="en-US" w:eastAsia="zh-CN"/>
        </w:rPr>
        <w:t>Stremmel</w:t>
      </w:r>
      <w:proofErr w:type="spellEnd"/>
      <w:r w:rsidRPr="00714401">
        <w:rPr>
          <w:rFonts w:ascii="Book Antiqua" w:eastAsia="宋体" w:hAnsi="Book Antiqua" w:cs="宋体"/>
          <w:sz w:val="24"/>
          <w:szCs w:val="24"/>
          <w:lang w:val="en-US" w:eastAsia="zh-CN"/>
        </w:rPr>
        <w:t xml:space="preserve"> W, </w:t>
      </w:r>
      <w:proofErr w:type="spellStart"/>
      <w:r w:rsidRPr="00714401">
        <w:rPr>
          <w:rFonts w:ascii="Book Antiqua" w:eastAsia="宋体" w:hAnsi="Book Antiqua" w:cs="宋体"/>
          <w:sz w:val="24"/>
          <w:szCs w:val="24"/>
          <w:lang w:val="en-US" w:eastAsia="zh-CN"/>
        </w:rPr>
        <w:t>Encke</w:t>
      </w:r>
      <w:proofErr w:type="spellEnd"/>
      <w:r w:rsidRPr="00714401">
        <w:rPr>
          <w:rFonts w:ascii="Book Antiqua" w:eastAsia="宋体" w:hAnsi="Book Antiqua" w:cs="宋体"/>
          <w:sz w:val="24"/>
          <w:szCs w:val="24"/>
          <w:lang w:val="en-US" w:eastAsia="zh-CN"/>
        </w:rPr>
        <w:t xml:space="preserve"> J, </w:t>
      </w:r>
      <w:proofErr w:type="spellStart"/>
      <w:r w:rsidRPr="00714401">
        <w:rPr>
          <w:rFonts w:ascii="Book Antiqua" w:eastAsia="宋体" w:hAnsi="Book Antiqua" w:cs="宋体"/>
          <w:sz w:val="24"/>
          <w:szCs w:val="24"/>
          <w:lang w:val="en-US" w:eastAsia="zh-CN"/>
        </w:rPr>
        <w:t>Eisenbach</w:t>
      </w:r>
      <w:proofErr w:type="spellEnd"/>
      <w:r w:rsidRPr="00714401">
        <w:rPr>
          <w:rFonts w:ascii="Book Antiqua" w:eastAsia="宋体" w:hAnsi="Book Antiqua" w:cs="宋体"/>
          <w:sz w:val="24"/>
          <w:szCs w:val="24"/>
          <w:lang w:val="en-US" w:eastAsia="zh-CN"/>
        </w:rPr>
        <w:t xml:space="preserve"> C. Sensitivity and specificity of plasma disappearance rate of </w:t>
      </w:r>
      <w:proofErr w:type="spellStart"/>
      <w:r w:rsidRPr="00714401">
        <w:rPr>
          <w:rFonts w:ascii="Book Antiqua" w:eastAsia="宋体" w:hAnsi="Book Antiqua" w:cs="宋体"/>
          <w:sz w:val="24"/>
          <w:szCs w:val="24"/>
          <w:lang w:val="en-US" w:eastAsia="zh-CN"/>
        </w:rPr>
        <w:t>indocyanine</w:t>
      </w:r>
      <w:proofErr w:type="spellEnd"/>
      <w:r w:rsidRPr="00714401">
        <w:rPr>
          <w:rFonts w:ascii="Book Antiqua" w:eastAsia="宋体" w:hAnsi="Book Antiqua" w:cs="宋体"/>
          <w:sz w:val="24"/>
          <w:szCs w:val="24"/>
          <w:lang w:val="en-US" w:eastAsia="zh-CN"/>
        </w:rPr>
        <w:t xml:space="preserve"> green as a prognostic indicator in acute liver failure. </w:t>
      </w:r>
      <w:r w:rsidRPr="00714401">
        <w:rPr>
          <w:rFonts w:ascii="Book Antiqua" w:eastAsia="宋体" w:hAnsi="Book Antiqua" w:cs="宋体"/>
          <w:i/>
          <w:iCs/>
          <w:sz w:val="24"/>
          <w:szCs w:val="24"/>
          <w:lang w:val="en-US" w:eastAsia="zh-CN"/>
        </w:rPr>
        <w:t xml:space="preserve">BMC </w:t>
      </w:r>
      <w:proofErr w:type="spellStart"/>
      <w:r w:rsidRPr="00714401">
        <w:rPr>
          <w:rFonts w:ascii="Book Antiqua" w:eastAsia="宋体" w:hAnsi="Book Antiqua" w:cs="宋体"/>
          <w:i/>
          <w:iCs/>
          <w:sz w:val="24"/>
          <w:szCs w:val="24"/>
          <w:lang w:val="en-US" w:eastAsia="zh-CN"/>
        </w:rPr>
        <w:t>Gastroenterol</w:t>
      </w:r>
      <w:proofErr w:type="spellEnd"/>
      <w:r w:rsidRPr="00714401">
        <w:rPr>
          <w:rFonts w:ascii="Book Antiqua" w:eastAsia="宋体" w:hAnsi="Book Antiqua" w:cs="宋体"/>
          <w:sz w:val="24"/>
          <w:szCs w:val="24"/>
          <w:lang w:val="en-US" w:eastAsia="zh-CN"/>
        </w:rPr>
        <w:t xml:space="preserve"> 2009; </w:t>
      </w:r>
      <w:r w:rsidRPr="00714401">
        <w:rPr>
          <w:rFonts w:ascii="Book Antiqua" w:eastAsia="宋体" w:hAnsi="Book Antiqua" w:cs="宋体"/>
          <w:b/>
          <w:bCs/>
          <w:sz w:val="24"/>
          <w:szCs w:val="24"/>
          <w:lang w:val="en-US" w:eastAsia="zh-CN"/>
        </w:rPr>
        <w:t>9</w:t>
      </w:r>
      <w:r w:rsidRPr="00714401">
        <w:rPr>
          <w:rFonts w:ascii="Book Antiqua" w:eastAsia="宋体" w:hAnsi="Book Antiqua" w:cs="宋体"/>
          <w:sz w:val="24"/>
          <w:szCs w:val="24"/>
          <w:lang w:val="en-US" w:eastAsia="zh-CN"/>
        </w:rPr>
        <w:t>: 91 [PMID: 19954554]</w:t>
      </w:r>
    </w:p>
    <w:p w:rsidR="00C1277A" w:rsidRPr="00714401" w:rsidRDefault="00C1277A" w:rsidP="00C1277A">
      <w:pPr>
        <w:spacing w:after="0" w:line="360" w:lineRule="auto"/>
        <w:jc w:val="both"/>
        <w:rPr>
          <w:rFonts w:ascii="Book Antiqua" w:eastAsia="宋体" w:hAnsi="Book Antiqua" w:cs="宋体"/>
          <w:sz w:val="24"/>
          <w:szCs w:val="24"/>
          <w:lang w:val="en-US" w:eastAsia="zh-CN"/>
        </w:rPr>
      </w:pPr>
      <w:r w:rsidRPr="00714401">
        <w:rPr>
          <w:rFonts w:ascii="Book Antiqua" w:eastAsia="宋体" w:hAnsi="Book Antiqua" w:cs="宋体"/>
          <w:sz w:val="24"/>
          <w:szCs w:val="24"/>
          <w:lang w:val="en-US" w:eastAsia="zh-CN"/>
        </w:rPr>
        <w:t xml:space="preserve">67 </w:t>
      </w:r>
      <w:r w:rsidRPr="00714401">
        <w:rPr>
          <w:rFonts w:ascii="Book Antiqua" w:eastAsia="宋体" w:hAnsi="Book Antiqua" w:cs="宋体"/>
          <w:b/>
          <w:bCs/>
          <w:sz w:val="24"/>
          <w:szCs w:val="24"/>
          <w:lang w:val="en-US" w:eastAsia="zh-CN"/>
        </w:rPr>
        <w:t>Lock JF</w:t>
      </w:r>
      <w:r w:rsidRPr="00714401">
        <w:rPr>
          <w:rFonts w:ascii="Book Antiqua" w:eastAsia="宋体" w:hAnsi="Book Antiqua" w:cs="宋体"/>
          <w:sz w:val="24"/>
          <w:szCs w:val="24"/>
          <w:lang w:val="en-US" w:eastAsia="zh-CN"/>
        </w:rPr>
        <w:t xml:space="preserve">, </w:t>
      </w:r>
      <w:proofErr w:type="spellStart"/>
      <w:r w:rsidRPr="00714401">
        <w:rPr>
          <w:rFonts w:ascii="Book Antiqua" w:eastAsia="宋体" w:hAnsi="Book Antiqua" w:cs="宋体"/>
          <w:sz w:val="24"/>
          <w:szCs w:val="24"/>
          <w:lang w:val="en-US" w:eastAsia="zh-CN"/>
        </w:rPr>
        <w:t>Kotobi</w:t>
      </w:r>
      <w:proofErr w:type="spellEnd"/>
      <w:r w:rsidRPr="00714401">
        <w:rPr>
          <w:rFonts w:ascii="Book Antiqua" w:eastAsia="宋体" w:hAnsi="Book Antiqua" w:cs="宋体"/>
          <w:sz w:val="24"/>
          <w:szCs w:val="24"/>
          <w:lang w:val="en-US" w:eastAsia="zh-CN"/>
        </w:rPr>
        <w:t xml:space="preserve"> AN, Malinowski M, Schulz A, </w:t>
      </w:r>
      <w:proofErr w:type="spellStart"/>
      <w:r w:rsidRPr="00714401">
        <w:rPr>
          <w:rFonts w:ascii="Book Antiqua" w:eastAsia="宋体" w:hAnsi="Book Antiqua" w:cs="宋体"/>
          <w:sz w:val="24"/>
          <w:szCs w:val="24"/>
          <w:lang w:val="en-US" w:eastAsia="zh-CN"/>
        </w:rPr>
        <w:t>Jara</w:t>
      </w:r>
      <w:proofErr w:type="spellEnd"/>
      <w:r w:rsidRPr="00714401">
        <w:rPr>
          <w:rFonts w:ascii="Book Antiqua" w:eastAsia="宋体" w:hAnsi="Book Antiqua" w:cs="宋体"/>
          <w:sz w:val="24"/>
          <w:szCs w:val="24"/>
          <w:lang w:val="en-US" w:eastAsia="zh-CN"/>
        </w:rPr>
        <w:t xml:space="preserve"> M, </w:t>
      </w:r>
      <w:proofErr w:type="spellStart"/>
      <w:r w:rsidRPr="00714401">
        <w:rPr>
          <w:rFonts w:ascii="Book Antiqua" w:eastAsia="宋体" w:hAnsi="Book Antiqua" w:cs="宋体"/>
          <w:sz w:val="24"/>
          <w:szCs w:val="24"/>
          <w:lang w:val="en-US" w:eastAsia="zh-CN"/>
        </w:rPr>
        <w:t>Neuhaus</w:t>
      </w:r>
      <w:proofErr w:type="spellEnd"/>
      <w:r w:rsidRPr="00714401">
        <w:rPr>
          <w:rFonts w:ascii="Book Antiqua" w:eastAsia="宋体" w:hAnsi="Book Antiqua" w:cs="宋体"/>
          <w:sz w:val="24"/>
          <w:szCs w:val="24"/>
          <w:lang w:val="en-US" w:eastAsia="zh-CN"/>
        </w:rPr>
        <w:t xml:space="preserve"> P, </w:t>
      </w:r>
      <w:proofErr w:type="spellStart"/>
      <w:r w:rsidRPr="00714401">
        <w:rPr>
          <w:rFonts w:ascii="Book Antiqua" w:eastAsia="宋体" w:hAnsi="Book Antiqua" w:cs="宋体"/>
          <w:sz w:val="24"/>
          <w:szCs w:val="24"/>
          <w:lang w:val="en-US" w:eastAsia="zh-CN"/>
        </w:rPr>
        <w:t>Stockmann</w:t>
      </w:r>
      <w:proofErr w:type="spellEnd"/>
      <w:r w:rsidRPr="00714401">
        <w:rPr>
          <w:rFonts w:ascii="Book Antiqua" w:eastAsia="宋体" w:hAnsi="Book Antiqua" w:cs="宋体"/>
          <w:sz w:val="24"/>
          <w:szCs w:val="24"/>
          <w:lang w:val="en-US" w:eastAsia="zh-CN"/>
        </w:rPr>
        <w:t xml:space="preserve"> M. Predicting the prognosis in acute liver failure: results from a retrospective pilot study using the </w:t>
      </w:r>
      <w:proofErr w:type="spellStart"/>
      <w:r w:rsidRPr="00714401">
        <w:rPr>
          <w:rFonts w:ascii="Book Antiqua" w:eastAsia="宋体" w:hAnsi="Book Antiqua" w:cs="宋体"/>
          <w:sz w:val="24"/>
          <w:szCs w:val="24"/>
          <w:lang w:val="en-US" w:eastAsia="zh-CN"/>
        </w:rPr>
        <w:t>LiMAx</w:t>
      </w:r>
      <w:proofErr w:type="spellEnd"/>
      <w:r w:rsidRPr="00714401">
        <w:rPr>
          <w:rFonts w:ascii="Book Antiqua" w:eastAsia="宋体" w:hAnsi="Book Antiqua" w:cs="宋体"/>
          <w:sz w:val="24"/>
          <w:szCs w:val="24"/>
          <w:lang w:val="en-US" w:eastAsia="zh-CN"/>
        </w:rPr>
        <w:t xml:space="preserve"> test. </w:t>
      </w:r>
      <w:r w:rsidRPr="00714401">
        <w:rPr>
          <w:rFonts w:ascii="Book Antiqua" w:eastAsia="宋体" w:hAnsi="Book Antiqua" w:cs="宋体"/>
          <w:i/>
          <w:iCs/>
          <w:sz w:val="24"/>
          <w:szCs w:val="24"/>
          <w:lang w:val="en-US" w:eastAsia="zh-CN"/>
        </w:rPr>
        <w:t xml:space="preserve">Ann </w:t>
      </w:r>
      <w:proofErr w:type="spellStart"/>
      <w:r w:rsidRPr="00714401">
        <w:rPr>
          <w:rFonts w:ascii="Book Antiqua" w:eastAsia="宋体" w:hAnsi="Book Antiqua" w:cs="宋体"/>
          <w:i/>
          <w:iCs/>
          <w:sz w:val="24"/>
          <w:szCs w:val="24"/>
          <w:lang w:val="en-US" w:eastAsia="zh-CN"/>
        </w:rPr>
        <w:t>Hepatol</w:t>
      </w:r>
      <w:proofErr w:type="spellEnd"/>
      <w:r w:rsidRPr="00714401">
        <w:rPr>
          <w:rFonts w:ascii="Book Antiqua" w:eastAsia="宋体" w:hAnsi="Book Antiqua" w:cs="宋体"/>
          <w:sz w:val="24"/>
          <w:szCs w:val="24"/>
          <w:lang w:val="en-US" w:eastAsia="zh-CN"/>
        </w:rPr>
        <w:t xml:space="preserve"> </w:t>
      </w:r>
      <w:r w:rsidR="00A80FEB" w:rsidRPr="00714401">
        <w:rPr>
          <w:rFonts w:ascii="Book Antiqua" w:eastAsia="宋体" w:hAnsi="Book Antiqua" w:cs="宋体" w:hint="eastAsia"/>
          <w:sz w:val="24"/>
          <w:szCs w:val="24"/>
          <w:lang w:val="en-US" w:eastAsia="zh-CN"/>
        </w:rPr>
        <w:t>2013</w:t>
      </w:r>
      <w:r w:rsidRPr="00714401">
        <w:rPr>
          <w:rFonts w:ascii="Book Antiqua" w:eastAsia="宋体" w:hAnsi="Book Antiqua" w:cs="宋体"/>
          <w:sz w:val="24"/>
          <w:szCs w:val="24"/>
          <w:lang w:val="en-US" w:eastAsia="zh-CN"/>
        </w:rPr>
        <w:t xml:space="preserve">; </w:t>
      </w:r>
      <w:r w:rsidRPr="00714401">
        <w:rPr>
          <w:rFonts w:ascii="Book Antiqua" w:eastAsia="宋体" w:hAnsi="Book Antiqua" w:cs="宋体"/>
          <w:b/>
          <w:bCs/>
          <w:sz w:val="24"/>
          <w:szCs w:val="24"/>
          <w:lang w:val="en-US" w:eastAsia="zh-CN"/>
        </w:rPr>
        <w:t>12</w:t>
      </w:r>
      <w:r w:rsidRPr="00714401">
        <w:rPr>
          <w:rFonts w:ascii="Book Antiqua" w:eastAsia="宋体" w:hAnsi="Book Antiqua" w:cs="宋体"/>
          <w:sz w:val="24"/>
          <w:szCs w:val="24"/>
          <w:lang w:val="en-US" w:eastAsia="zh-CN"/>
        </w:rPr>
        <w:t>: 556-562 [PMID: 23813133]</w:t>
      </w:r>
    </w:p>
    <w:p w:rsidR="00BD2505" w:rsidRPr="00714401" w:rsidRDefault="00BD2505" w:rsidP="00C1277A">
      <w:pPr>
        <w:pStyle w:val="Default"/>
        <w:snapToGrid w:val="0"/>
        <w:spacing w:line="360" w:lineRule="auto"/>
        <w:jc w:val="both"/>
        <w:rPr>
          <w:rFonts w:ascii="Book Antiqua" w:eastAsia="Arial Unicode MS" w:hAnsi="Book Antiqua" w:cs="Arial Unicode MS"/>
          <w:color w:val="auto"/>
          <w:lang w:val="en-US"/>
        </w:rPr>
      </w:pPr>
    </w:p>
    <w:p w:rsidR="005A575D" w:rsidRPr="00714401" w:rsidRDefault="00843E95" w:rsidP="00A80FEB">
      <w:pPr>
        <w:autoSpaceDE w:val="0"/>
        <w:autoSpaceDN w:val="0"/>
        <w:adjustRightInd w:val="0"/>
        <w:snapToGrid w:val="0"/>
        <w:spacing w:after="0" w:line="360" w:lineRule="auto"/>
        <w:jc w:val="right"/>
        <w:rPr>
          <w:rFonts w:ascii="Book Antiqua" w:hAnsi="Book Antiqua"/>
          <w:b/>
          <w:sz w:val="24"/>
          <w:szCs w:val="24"/>
          <w:lang w:val="en-US"/>
        </w:rPr>
      </w:pPr>
      <w:r w:rsidRPr="00714401">
        <w:rPr>
          <w:rFonts w:ascii="Book Antiqua" w:hAnsi="Book Antiqua"/>
          <w:b/>
          <w:sz w:val="24"/>
          <w:szCs w:val="24"/>
        </w:rPr>
        <w:t>P-Reviewer:</w:t>
      </w:r>
      <w:r w:rsidR="00E84E88" w:rsidRPr="00714401">
        <w:rPr>
          <w:rFonts w:ascii="Book Antiqua" w:hAnsi="Book Antiqua"/>
          <w:sz w:val="24"/>
          <w:szCs w:val="24"/>
        </w:rPr>
        <w:t xml:space="preserve"> Lisotti</w:t>
      </w:r>
      <w:r w:rsidR="00E84E88" w:rsidRPr="00714401">
        <w:rPr>
          <w:rFonts w:ascii="Book Antiqua" w:hAnsi="Book Antiqua"/>
          <w:sz w:val="24"/>
          <w:szCs w:val="24"/>
          <w:lang w:eastAsia="zh-CN"/>
        </w:rPr>
        <w:t xml:space="preserve"> A, </w:t>
      </w:r>
      <w:r w:rsidR="00E84E88" w:rsidRPr="00714401">
        <w:rPr>
          <w:rFonts w:ascii="Book Antiqua" w:hAnsi="Book Antiqua"/>
          <w:sz w:val="24"/>
          <w:szCs w:val="24"/>
        </w:rPr>
        <w:t>Waisberg</w:t>
      </w:r>
      <w:r w:rsidR="00E84E88" w:rsidRPr="00714401">
        <w:rPr>
          <w:rFonts w:ascii="Book Antiqua" w:hAnsi="Book Antiqua"/>
          <w:sz w:val="24"/>
          <w:szCs w:val="24"/>
          <w:lang w:eastAsia="zh-CN"/>
        </w:rPr>
        <w:t xml:space="preserve"> J</w:t>
      </w:r>
      <w:r w:rsidRPr="00714401">
        <w:rPr>
          <w:rFonts w:ascii="Book Antiqua" w:hAnsi="Book Antiqua"/>
          <w:b/>
          <w:sz w:val="24"/>
          <w:szCs w:val="24"/>
        </w:rPr>
        <w:t xml:space="preserve"> S-Editor: </w:t>
      </w:r>
      <w:r w:rsidRPr="00714401">
        <w:rPr>
          <w:rFonts w:ascii="Book Antiqua" w:hAnsi="Book Antiqua"/>
          <w:sz w:val="24"/>
          <w:szCs w:val="24"/>
        </w:rPr>
        <w:t>Ji FF</w:t>
      </w:r>
      <w:r w:rsidRPr="00714401">
        <w:rPr>
          <w:rFonts w:ascii="Book Antiqua" w:hAnsi="Book Antiqua"/>
          <w:b/>
          <w:sz w:val="24"/>
          <w:szCs w:val="24"/>
        </w:rPr>
        <w:t xml:space="preserve"> L-Editor: E-Editor:</w:t>
      </w:r>
    </w:p>
    <w:p w:rsidR="00DF20ED" w:rsidRPr="00714401" w:rsidRDefault="00DF20ED" w:rsidP="00C1277A">
      <w:pPr>
        <w:spacing w:after="0" w:line="360" w:lineRule="auto"/>
        <w:jc w:val="both"/>
        <w:rPr>
          <w:rFonts w:ascii="Book Antiqua" w:eastAsia="Arial Unicode MS" w:hAnsi="Book Antiqua" w:cs="Arial Unicode MS"/>
          <w:sz w:val="24"/>
          <w:szCs w:val="24"/>
          <w:lang w:val="en-US" w:eastAsia="zh-CN"/>
        </w:rPr>
      </w:pPr>
      <w:r w:rsidRPr="00714401">
        <w:rPr>
          <w:rFonts w:ascii="Book Antiqua" w:eastAsia="Arial Unicode MS" w:hAnsi="Book Antiqua" w:cs="Arial Unicode MS"/>
          <w:sz w:val="24"/>
          <w:szCs w:val="24"/>
          <w:lang w:val="en-US" w:eastAsia="zh-CN"/>
        </w:rPr>
        <w:br w:type="page"/>
      </w:r>
    </w:p>
    <w:p w:rsidR="009C600E" w:rsidRPr="00714401" w:rsidRDefault="007C68E9" w:rsidP="00DF20ED">
      <w:pPr>
        <w:tabs>
          <w:tab w:val="left" w:pos="7635"/>
        </w:tabs>
        <w:autoSpaceDE w:val="0"/>
        <w:autoSpaceDN w:val="0"/>
        <w:adjustRightInd w:val="0"/>
        <w:snapToGrid w:val="0"/>
        <w:spacing w:after="0" w:line="360" w:lineRule="auto"/>
        <w:jc w:val="both"/>
        <w:rPr>
          <w:rFonts w:ascii="Book Antiqua" w:eastAsia="Arial Unicode MS" w:hAnsi="Book Antiqua" w:cs="Arial Unicode MS"/>
          <w:b/>
          <w:sz w:val="24"/>
          <w:szCs w:val="24"/>
          <w:lang w:val="en-US" w:eastAsia="zh-CN"/>
        </w:rPr>
      </w:pPr>
      <w:r w:rsidRPr="00714401">
        <w:rPr>
          <w:rFonts w:ascii="Book Antiqua" w:eastAsia="Arial Unicode MS" w:hAnsi="Book Antiqua" w:cs="Arial Unicode MS"/>
          <w:b/>
          <w:noProof/>
          <w:sz w:val="24"/>
          <w:szCs w:val="24"/>
          <w:lang w:val="en-US"/>
        </w:rPr>
        <w:lastRenderedPageBreak/>
        <w:drawing>
          <wp:inline distT="0" distB="0" distL="0" distR="0" wp14:anchorId="67D25627" wp14:editId="0B3FFC99">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DF20ED" w:rsidRPr="00714401" w:rsidRDefault="00DF20ED" w:rsidP="00DF20ED">
      <w:pPr>
        <w:tabs>
          <w:tab w:val="left" w:pos="7635"/>
        </w:tabs>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eastAsia="Arial Unicode MS" w:hAnsi="Book Antiqua" w:cs="Arial Unicode MS"/>
          <w:b/>
          <w:sz w:val="24"/>
          <w:szCs w:val="24"/>
          <w:lang w:val="en-US"/>
        </w:rPr>
        <w:t xml:space="preserve">Figure 1 </w:t>
      </w:r>
      <w:r w:rsidR="009C600E" w:rsidRPr="00714401">
        <w:rPr>
          <w:rFonts w:ascii="Book Antiqua" w:eastAsia="Arial Unicode MS" w:hAnsi="Book Antiqua" w:cs="Arial Unicode MS"/>
          <w:b/>
          <w:sz w:val="24"/>
          <w:szCs w:val="24"/>
          <w:lang w:val="en-US"/>
        </w:rPr>
        <w:t>L</w:t>
      </w:r>
      <w:r w:rsidRPr="00714401">
        <w:rPr>
          <w:rFonts w:ascii="Book Antiqua" w:eastAsia="Arial Unicode MS" w:hAnsi="Book Antiqua" w:cs="Arial Unicode MS"/>
          <w:b/>
          <w:sz w:val="24"/>
          <w:szCs w:val="24"/>
          <w:lang w:val="en-US"/>
        </w:rPr>
        <w:t xml:space="preserve">iver function assessment: </w:t>
      </w:r>
      <w:r w:rsidR="009C600E" w:rsidRPr="00714401">
        <w:rPr>
          <w:rFonts w:ascii="Book Antiqua" w:eastAsia="Arial Unicode MS" w:hAnsi="Book Antiqua" w:cs="Arial Unicode MS"/>
          <w:b/>
          <w:sz w:val="24"/>
          <w:szCs w:val="24"/>
          <w:lang w:val="en-US"/>
        </w:rPr>
        <w:t>S</w:t>
      </w:r>
      <w:r w:rsidRPr="00714401">
        <w:rPr>
          <w:rFonts w:ascii="Book Antiqua" w:eastAsia="Arial Unicode MS" w:hAnsi="Book Antiqua" w:cs="Arial Unicode MS"/>
          <w:b/>
          <w:sz w:val="24"/>
          <w:szCs w:val="24"/>
          <w:lang w:val="en-US"/>
        </w:rPr>
        <w:t xml:space="preserve">tatic and dynamic tests (modified from </w:t>
      </w:r>
      <w:proofErr w:type="spellStart"/>
      <w:proofErr w:type="gramStart"/>
      <w:r w:rsidRPr="00714401">
        <w:rPr>
          <w:rFonts w:ascii="Book Antiqua" w:eastAsia="Arial Unicode MS" w:hAnsi="Book Antiqua" w:cs="Arial Unicode MS"/>
          <w:b/>
          <w:sz w:val="24"/>
          <w:szCs w:val="24"/>
          <w:lang w:val="en-US"/>
        </w:rPr>
        <w:t>Sakka</w:t>
      </w:r>
      <w:proofErr w:type="spellEnd"/>
      <w:r w:rsidR="009C600E" w:rsidRPr="00714401">
        <w:rPr>
          <w:rFonts w:ascii="Book Antiqua" w:eastAsia="Arial Unicode MS" w:hAnsi="Book Antiqua" w:cs="Arial Unicode MS" w:hint="eastAsia"/>
          <w:b/>
          <w:sz w:val="24"/>
          <w:szCs w:val="24"/>
          <w:vertAlign w:val="superscript"/>
          <w:lang w:val="en-US" w:eastAsia="zh-CN"/>
        </w:rPr>
        <w:t>[</w:t>
      </w:r>
      <w:proofErr w:type="gramEnd"/>
      <w:r w:rsidR="009C600E" w:rsidRPr="00714401">
        <w:rPr>
          <w:rFonts w:ascii="Book Antiqua" w:eastAsia="Arial Unicode MS" w:hAnsi="Book Antiqua" w:cs="Arial Unicode MS"/>
          <w:b/>
          <w:sz w:val="24"/>
          <w:szCs w:val="24"/>
          <w:vertAlign w:val="superscript"/>
          <w:lang w:val="en-US"/>
        </w:rPr>
        <w:t>3</w:t>
      </w:r>
      <w:r w:rsidR="009C600E" w:rsidRPr="00714401">
        <w:rPr>
          <w:rFonts w:ascii="Book Antiqua" w:eastAsia="Arial Unicode MS" w:hAnsi="Book Antiqua" w:cs="Arial Unicode MS" w:hint="eastAsia"/>
          <w:b/>
          <w:sz w:val="24"/>
          <w:szCs w:val="24"/>
          <w:vertAlign w:val="superscript"/>
          <w:lang w:val="en-US" w:eastAsia="zh-CN"/>
        </w:rPr>
        <w:t>]</w:t>
      </w:r>
      <w:r w:rsidRPr="00714401">
        <w:rPr>
          <w:rFonts w:ascii="Book Antiqua" w:eastAsia="Arial Unicode MS" w:hAnsi="Book Antiqua" w:cs="Arial Unicode MS"/>
          <w:b/>
          <w:sz w:val="24"/>
          <w:szCs w:val="24"/>
          <w:lang w:val="en-US"/>
        </w:rPr>
        <w:t>, 2007)</w:t>
      </w:r>
      <w:r w:rsidR="009C600E" w:rsidRPr="00714401">
        <w:rPr>
          <w:rFonts w:ascii="Book Antiqua" w:eastAsia="Arial Unicode MS" w:hAnsi="Book Antiqua" w:cs="Arial Unicode MS" w:hint="eastAsia"/>
          <w:b/>
          <w:sz w:val="24"/>
          <w:szCs w:val="24"/>
          <w:lang w:val="en-US" w:eastAsia="zh-CN"/>
        </w:rPr>
        <w:t>.</w:t>
      </w:r>
      <w:r w:rsidR="009C600E" w:rsidRPr="00714401">
        <w:rPr>
          <w:rFonts w:ascii="Book Antiqua" w:hAnsi="Book Antiqua"/>
          <w:sz w:val="24"/>
          <w:szCs w:val="24"/>
          <w:lang w:val="en-US"/>
        </w:rPr>
        <w:t xml:space="preserve"> AST</w:t>
      </w:r>
      <w:r w:rsidR="009C600E" w:rsidRPr="00714401">
        <w:rPr>
          <w:rFonts w:ascii="Book Antiqua" w:hAnsi="Book Antiqua" w:hint="eastAsia"/>
          <w:sz w:val="24"/>
          <w:szCs w:val="24"/>
          <w:lang w:val="en-US" w:eastAsia="zh-CN"/>
        </w:rPr>
        <w:t>:</w:t>
      </w:r>
      <w:r w:rsidR="009C600E" w:rsidRPr="00714401">
        <w:rPr>
          <w:rFonts w:ascii="Book Antiqua" w:hAnsi="Book Antiqua"/>
          <w:sz w:val="24"/>
          <w:szCs w:val="24"/>
          <w:lang w:val="en-US"/>
        </w:rPr>
        <w:t xml:space="preserve"> Aspartate aminotransferase</w:t>
      </w:r>
      <w:r w:rsidR="009C600E" w:rsidRPr="00714401">
        <w:rPr>
          <w:rFonts w:ascii="Book Antiqua" w:hAnsi="Book Antiqua" w:hint="eastAsia"/>
          <w:sz w:val="24"/>
          <w:szCs w:val="24"/>
          <w:lang w:val="en-US" w:eastAsia="zh-CN"/>
        </w:rPr>
        <w:t xml:space="preserve">; </w:t>
      </w:r>
      <w:r w:rsidR="009C600E" w:rsidRPr="00714401">
        <w:rPr>
          <w:rFonts w:ascii="Book Antiqua" w:hAnsi="Book Antiqua"/>
          <w:sz w:val="24"/>
          <w:szCs w:val="24"/>
          <w:lang w:val="en-US"/>
        </w:rPr>
        <w:t>ALT</w:t>
      </w:r>
      <w:r w:rsidR="009C600E" w:rsidRPr="00714401">
        <w:rPr>
          <w:rFonts w:ascii="Book Antiqua" w:hAnsi="Book Antiqua" w:hint="eastAsia"/>
          <w:sz w:val="24"/>
          <w:szCs w:val="24"/>
          <w:lang w:val="en-US" w:eastAsia="zh-CN"/>
        </w:rPr>
        <w:t>:</w:t>
      </w:r>
      <w:r w:rsidR="009C600E" w:rsidRPr="00714401">
        <w:rPr>
          <w:rFonts w:ascii="Book Antiqua" w:hAnsi="Book Antiqua"/>
          <w:sz w:val="24"/>
          <w:szCs w:val="24"/>
          <w:lang w:val="en-US"/>
        </w:rPr>
        <w:t xml:space="preserve"> Alanine aminotransferase</w:t>
      </w:r>
      <w:r w:rsidR="009C600E" w:rsidRPr="00714401">
        <w:rPr>
          <w:rFonts w:ascii="Book Antiqua" w:hAnsi="Book Antiqua" w:hint="eastAsia"/>
          <w:sz w:val="24"/>
          <w:szCs w:val="24"/>
          <w:lang w:val="en-US" w:eastAsia="zh-CN"/>
        </w:rPr>
        <w:t xml:space="preserve">; </w:t>
      </w:r>
      <w:r w:rsidR="009C600E" w:rsidRPr="00714401">
        <w:rPr>
          <w:rFonts w:ascii="Book Antiqua" w:hAnsi="Book Antiqua"/>
          <w:sz w:val="24"/>
          <w:szCs w:val="24"/>
          <w:lang w:val="en-US" w:eastAsia="zh-CN"/>
        </w:rPr>
        <w:t>ICG</w:t>
      </w:r>
      <w:r w:rsidR="009C600E" w:rsidRPr="00714401">
        <w:rPr>
          <w:rFonts w:ascii="Book Antiqua" w:hAnsi="Book Antiqua" w:hint="eastAsia"/>
          <w:sz w:val="24"/>
          <w:szCs w:val="24"/>
          <w:lang w:val="en-US" w:eastAsia="zh-CN"/>
        </w:rPr>
        <w:t xml:space="preserve">: </w:t>
      </w:r>
      <w:proofErr w:type="spellStart"/>
      <w:r w:rsidR="009C600E" w:rsidRPr="00714401">
        <w:rPr>
          <w:rFonts w:ascii="Book Antiqua" w:hAnsi="Book Antiqua"/>
          <w:sz w:val="24"/>
          <w:szCs w:val="24"/>
          <w:lang w:val="en-US"/>
        </w:rPr>
        <w:t>Indocyanine</w:t>
      </w:r>
      <w:proofErr w:type="spellEnd"/>
      <w:r w:rsidR="009C600E" w:rsidRPr="00714401">
        <w:rPr>
          <w:rFonts w:ascii="Book Antiqua" w:hAnsi="Book Antiqua"/>
          <w:sz w:val="24"/>
          <w:szCs w:val="24"/>
          <w:lang w:val="en-US"/>
        </w:rPr>
        <w:t xml:space="preserve"> green</w:t>
      </w:r>
      <w:r w:rsidR="009C600E" w:rsidRPr="00714401">
        <w:rPr>
          <w:rFonts w:ascii="Book Antiqua" w:hAnsi="Book Antiqua" w:hint="eastAsia"/>
          <w:sz w:val="24"/>
          <w:szCs w:val="24"/>
          <w:lang w:val="en-US" w:eastAsia="zh-CN"/>
        </w:rPr>
        <w:t>.</w:t>
      </w:r>
    </w:p>
    <w:p w:rsidR="009C600E" w:rsidRPr="00714401" w:rsidRDefault="009C600E">
      <w:pPr>
        <w:rPr>
          <w:rFonts w:ascii="Book Antiqua" w:hAnsi="Book Antiqua"/>
          <w:sz w:val="24"/>
          <w:szCs w:val="24"/>
          <w:lang w:val="en-US" w:eastAsia="zh-CN"/>
        </w:rPr>
      </w:pPr>
      <w:r w:rsidRPr="00714401">
        <w:rPr>
          <w:rFonts w:ascii="Book Antiqua" w:hAnsi="Book Antiqua"/>
          <w:sz w:val="24"/>
          <w:szCs w:val="24"/>
          <w:lang w:val="en-US" w:eastAsia="zh-CN"/>
        </w:rPr>
        <w:br w:type="page"/>
      </w:r>
    </w:p>
    <w:p w:rsidR="009C600E" w:rsidRPr="00714401" w:rsidRDefault="007C68E9" w:rsidP="00DF20ED">
      <w:pPr>
        <w:tabs>
          <w:tab w:val="left" w:pos="7635"/>
        </w:tabs>
        <w:autoSpaceDE w:val="0"/>
        <w:autoSpaceDN w:val="0"/>
        <w:adjustRightInd w:val="0"/>
        <w:snapToGrid w:val="0"/>
        <w:spacing w:after="0" w:line="360" w:lineRule="auto"/>
        <w:jc w:val="both"/>
        <w:rPr>
          <w:rFonts w:ascii="Book Antiqua" w:eastAsia="Arial Unicode MS" w:hAnsi="Book Antiqua" w:cs="Arial Unicode MS"/>
          <w:b/>
          <w:sz w:val="24"/>
          <w:szCs w:val="24"/>
          <w:vertAlign w:val="superscript"/>
          <w:lang w:val="en-US" w:eastAsia="zh-CN"/>
        </w:rPr>
      </w:pPr>
      <w:r w:rsidRPr="00714401">
        <w:rPr>
          <w:rFonts w:ascii="Book Antiqua" w:eastAsia="Arial Unicode MS" w:hAnsi="Book Antiqua" w:cs="Arial Unicode MS"/>
          <w:b/>
          <w:noProof/>
          <w:sz w:val="24"/>
          <w:szCs w:val="24"/>
          <w:vertAlign w:val="superscript"/>
          <w:lang w:val="en-US"/>
        </w:rPr>
        <w:lastRenderedPageBreak/>
        <w:drawing>
          <wp:inline distT="0" distB="0" distL="0" distR="0" wp14:anchorId="30CA38AC" wp14:editId="58ECF613">
            <wp:extent cx="4572638" cy="34294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DF20ED" w:rsidRPr="00714401" w:rsidRDefault="00DF20ED" w:rsidP="00DF20ED">
      <w:pPr>
        <w:autoSpaceDE w:val="0"/>
        <w:autoSpaceDN w:val="0"/>
        <w:adjustRightInd w:val="0"/>
        <w:snapToGrid w:val="0"/>
        <w:spacing w:after="0" w:line="360" w:lineRule="auto"/>
        <w:jc w:val="both"/>
        <w:rPr>
          <w:rFonts w:ascii="Book Antiqua" w:hAnsi="Book Antiqua"/>
          <w:sz w:val="24"/>
          <w:szCs w:val="24"/>
          <w:lang w:val="en-US" w:eastAsia="zh-CN"/>
        </w:rPr>
      </w:pPr>
      <w:r w:rsidRPr="00714401">
        <w:rPr>
          <w:rFonts w:ascii="Book Antiqua" w:hAnsi="Book Antiqua"/>
          <w:b/>
          <w:sz w:val="24"/>
          <w:szCs w:val="24"/>
          <w:lang w:val="en-US"/>
        </w:rPr>
        <w:t xml:space="preserve">Figure 2 </w:t>
      </w:r>
      <w:proofErr w:type="spellStart"/>
      <w:r w:rsidR="009C600E" w:rsidRPr="00714401">
        <w:rPr>
          <w:rFonts w:ascii="Book Antiqua" w:hAnsi="Book Antiqua"/>
          <w:b/>
          <w:sz w:val="24"/>
          <w:szCs w:val="24"/>
          <w:lang w:val="en-US"/>
        </w:rPr>
        <w:t>Indocyanine</w:t>
      </w:r>
      <w:proofErr w:type="spellEnd"/>
      <w:r w:rsidR="009C600E" w:rsidRPr="00714401">
        <w:rPr>
          <w:rFonts w:ascii="Book Antiqua" w:hAnsi="Book Antiqua"/>
          <w:b/>
          <w:sz w:val="24"/>
          <w:szCs w:val="24"/>
          <w:lang w:val="en-US"/>
        </w:rPr>
        <w:t xml:space="preserve"> green</w:t>
      </w:r>
      <w:r w:rsidRPr="00714401">
        <w:rPr>
          <w:rFonts w:ascii="Book Antiqua" w:hAnsi="Book Antiqua"/>
          <w:b/>
          <w:sz w:val="24"/>
          <w:szCs w:val="24"/>
          <w:lang w:val="en-US"/>
        </w:rPr>
        <w:t xml:space="preserve"> </w:t>
      </w:r>
      <w:r w:rsidR="009C600E" w:rsidRPr="00714401">
        <w:rPr>
          <w:rFonts w:ascii="Book Antiqua" w:hAnsi="Book Antiqua"/>
          <w:b/>
          <w:sz w:val="24"/>
          <w:szCs w:val="24"/>
          <w:lang w:val="en-US"/>
        </w:rPr>
        <w:t xml:space="preserve">dilution </w:t>
      </w:r>
      <w:proofErr w:type="gramStart"/>
      <w:r w:rsidR="009C600E" w:rsidRPr="00714401">
        <w:rPr>
          <w:rFonts w:ascii="Book Antiqua" w:hAnsi="Book Antiqua"/>
          <w:b/>
          <w:sz w:val="24"/>
          <w:szCs w:val="24"/>
          <w:lang w:val="en-US"/>
        </w:rPr>
        <w:t>curve</w:t>
      </w:r>
      <w:proofErr w:type="gramEnd"/>
      <w:r w:rsidRPr="00714401">
        <w:rPr>
          <w:rFonts w:ascii="Book Antiqua" w:hAnsi="Book Antiqua"/>
          <w:b/>
          <w:sz w:val="24"/>
          <w:szCs w:val="24"/>
          <w:lang w:val="en-US"/>
        </w:rPr>
        <w:t xml:space="preserve">. </w:t>
      </w:r>
      <w:r w:rsidRPr="00714401">
        <w:rPr>
          <w:rFonts w:ascii="Book Antiqua" w:hAnsi="Book Antiqua"/>
          <w:sz w:val="24"/>
          <w:szCs w:val="24"/>
          <w:lang w:val="en-US"/>
        </w:rPr>
        <w:t xml:space="preserve">A: </w:t>
      </w:r>
      <w:r w:rsidR="009C600E" w:rsidRPr="00714401">
        <w:rPr>
          <w:rFonts w:ascii="Book Antiqua" w:hAnsi="Book Antiqua"/>
          <w:sz w:val="24"/>
          <w:szCs w:val="24"/>
          <w:lang w:val="en-US"/>
        </w:rPr>
        <w:t>F</w:t>
      </w:r>
      <w:r w:rsidRPr="00714401">
        <w:rPr>
          <w:rFonts w:ascii="Book Antiqua" w:hAnsi="Book Antiqua"/>
          <w:sz w:val="24"/>
          <w:szCs w:val="24"/>
          <w:lang w:val="en-US"/>
        </w:rPr>
        <w:t xml:space="preserve">irst peak; B: </w:t>
      </w:r>
      <w:r w:rsidR="009C600E" w:rsidRPr="00714401">
        <w:rPr>
          <w:rFonts w:ascii="Book Antiqua" w:hAnsi="Book Antiqua"/>
          <w:sz w:val="24"/>
          <w:szCs w:val="24"/>
          <w:lang w:val="en-US"/>
        </w:rPr>
        <w:t>S</w:t>
      </w:r>
      <w:r w:rsidRPr="00714401">
        <w:rPr>
          <w:rFonts w:ascii="Book Antiqua" w:hAnsi="Book Antiqua"/>
          <w:sz w:val="24"/>
          <w:szCs w:val="24"/>
          <w:lang w:val="en-US"/>
        </w:rPr>
        <w:t xml:space="preserve">econd peak (re-circulation phase); C: </w:t>
      </w:r>
      <w:r w:rsidR="009C600E" w:rsidRPr="00714401">
        <w:rPr>
          <w:rFonts w:ascii="Book Antiqua" w:hAnsi="Book Antiqua"/>
          <w:sz w:val="24"/>
          <w:szCs w:val="24"/>
          <w:lang w:val="en-US"/>
        </w:rPr>
        <w:t>E</w:t>
      </w:r>
      <w:r w:rsidR="00294650" w:rsidRPr="00714401">
        <w:rPr>
          <w:rFonts w:ascii="Book Antiqua" w:hAnsi="Book Antiqua"/>
          <w:sz w:val="24"/>
          <w:szCs w:val="24"/>
          <w:lang w:val="en-US"/>
        </w:rPr>
        <w:t>limination phase</w:t>
      </w:r>
      <w:r w:rsidRPr="00714401">
        <w:rPr>
          <w:rFonts w:ascii="Book Antiqua" w:hAnsi="Book Antiqua"/>
          <w:sz w:val="24"/>
          <w:szCs w:val="24"/>
          <w:lang w:val="en-US"/>
        </w:rPr>
        <w:t xml:space="preserve"> (Modified from </w:t>
      </w:r>
      <w:proofErr w:type="spellStart"/>
      <w:r w:rsidRPr="00714401">
        <w:rPr>
          <w:rFonts w:ascii="Book Antiqua" w:hAnsi="Book Antiqua"/>
          <w:sz w:val="24"/>
          <w:szCs w:val="24"/>
          <w:lang w:val="en-US"/>
        </w:rPr>
        <w:t>Vos</w:t>
      </w:r>
      <w:proofErr w:type="spellEnd"/>
      <w:r w:rsidRPr="00714401">
        <w:rPr>
          <w:rFonts w:ascii="Book Antiqua" w:hAnsi="Book Antiqua"/>
          <w:sz w:val="24"/>
          <w:szCs w:val="24"/>
          <w:lang w:val="en-US"/>
        </w:rPr>
        <w:t xml:space="preserve"> </w:t>
      </w:r>
      <w:r w:rsidRPr="00714401">
        <w:rPr>
          <w:rFonts w:ascii="Book Antiqua" w:hAnsi="Book Antiqua"/>
          <w:i/>
          <w:sz w:val="24"/>
          <w:szCs w:val="24"/>
          <w:lang w:val="en-US"/>
        </w:rPr>
        <w:t xml:space="preserve">et </w:t>
      </w:r>
      <w:proofErr w:type="gramStart"/>
      <w:r w:rsidRPr="00714401">
        <w:rPr>
          <w:rFonts w:ascii="Book Antiqua" w:hAnsi="Book Antiqua"/>
          <w:i/>
          <w:sz w:val="24"/>
          <w:szCs w:val="24"/>
          <w:lang w:val="en-US"/>
        </w:rPr>
        <w:t>al</w:t>
      </w:r>
      <w:r w:rsidR="009C600E" w:rsidRPr="00714401">
        <w:rPr>
          <w:rFonts w:ascii="Book Antiqua" w:hAnsi="Book Antiqua"/>
          <w:sz w:val="24"/>
          <w:szCs w:val="24"/>
          <w:vertAlign w:val="superscript"/>
          <w:lang w:val="en-US"/>
        </w:rPr>
        <w:t>[</w:t>
      </w:r>
      <w:proofErr w:type="gramEnd"/>
      <w:r w:rsidR="009C600E" w:rsidRPr="00714401">
        <w:rPr>
          <w:rFonts w:ascii="Book Antiqua" w:hAnsi="Book Antiqua"/>
          <w:sz w:val="24"/>
          <w:szCs w:val="24"/>
          <w:vertAlign w:val="superscript"/>
          <w:lang w:val="en-US"/>
        </w:rPr>
        <w:t>9]</w:t>
      </w:r>
      <w:r w:rsidRPr="00714401">
        <w:rPr>
          <w:rFonts w:ascii="Book Antiqua" w:hAnsi="Book Antiqua"/>
          <w:sz w:val="24"/>
          <w:szCs w:val="24"/>
          <w:lang w:val="en-US"/>
        </w:rPr>
        <w:t>, 2014)</w:t>
      </w:r>
      <w:r w:rsidR="009C600E" w:rsidRPr="00714401">
        <w:rPr>
          <w:rFonts w:ascii="Book Antiqua" w:hAnsi="Book Antiqua" w:hint="eastAsia"/>
          <w:sz w:val="24"/>
          <w:szCs w:val="24"/>
          <w:lang w:val="en-US" w:eastAsia="zh-CN"/>
        </w:rPr>
        <w:t>.</w:t>
      </w:r>
      <w:r w:rsidRPr="00714401">
        <w:rPr>
          <w:rFonts w:ascii="Book Antiqua" w:hAnsi="Book Antiqua"/>
          <w:sz w:val="24"/>
          <w:szCs w:val="24"/>
          <w:vertAlign w:val="superscript"/>
          <w:lang w:val="en-US"/>
        </w:rPr>
        <w:t xml:space="preserve"> </w:t>
      </w:r>
      <w:r w:rsidR="009C600E" w:rsidRPr="00714401">
        <w:rPr>
          <w:rFonts w:ascii="Book Antiqua" w:hAnsi="Book Antiqua"/>
          <w:sz w:val="24"/>
          <w:szCs w:val="24"/>
          <w:lang w:val="en-US"/>
        </w:rPr>
        <w:t>ICG</w:t>
      </w:r>
      <w:r w:rsidR="009C600E" w:rsidRPr="00714401">
        <w:rPr>
          <w:rFonts w:ascii="Book Antiqua" w:hAnsi="Book Antiqua" w:hint="eastAsia"/>
          <w:sz w:val="24"/>
          <w:szCs w:val="24"/>
          <w:lang w:val="en-US" w:eastAsia="zh-CN"/>
        </w:rPr>
        <w:t>:</w:t>
      </w:r>
      <w:r w:rsidR="009C600E" w:rsidRPr="00714401">
        <w:rPr>
          <w:rFonts w:ascii="Book Antiqua" w:hAnsi="Book Antiqua"/>
          <w:sz w:val="24"/>
          <w:szCs w:val="24"/>
          <w:lang w:val="en-US"/>
        </w:rPr>
        <w:t xml:space="preserve"> </w:t>
      </w:r>
      <w:proofErr w:type="spellStart"/>
      <w:r w:rsidR="009C600E" w:rsidRPr="00714401">
        <w:rPr>
          <w:rFonts w:ascii="Book Antiqua" w:hAnsi="Book Antiqua"/>
          <w:sz w:val="24"/>
          <w:szCs w:val="24"/>
          <w:lang w:val="en-US"/>
        </w:rPr>
        <w:t>Indocyanine</w:t>
      </w:r>
      <w:proofErr w:type="spellEnd"/>
      <w:r w:rsidR="009C600E" w:rsidRPr="00714401">
        <w:rPr>
          <w:rFonts w:ascii="Book Antiqua" w:hAnsi="Book Antiqua"/>
          <w:sz w:val="24"/>
          <w:szCs w:val="24"/>
          <w:lang w:val="en-US"/>
        </w:rPr>
        <w:t xml:space="preserve"> green; C</w:t>
      </w:r>
      <w:r w:rsidR="009C600E" w:rsidRPr="00714401">
        <w:rPr>
          <w:rFonts w:ascii="Book Antiqua" w:hAnsi="Book Antiqua"/>
          <w:sz w:val="24"/>
          <w:szCs w:val="24"/>
          <w:vertAlign w:val="subscript"/>
          <w:lang w:val="en-US"/>
        </w:rPr>
        <w:t>ICG</w:t>
      </w:r>
      <w:r w:rsidR="009C600E" w:rsidRPr="00714401">
        <w:rPr>
          <w:rFonts w:ascii="Book Antiqua" w:hAnsi="Book Antiqua"/>
          <w:sz w:val="24"/>
          <w:szCs w:val="24"/>
          <w:lang w:val="en-US"/>
        </w:rPr>
        <w:t>: ICG blood concentration.</w:t>
      </w:r>
    </w:p>
    <w:p w:rsidR="009C600E" w:rsidRPr="00714401" w:rsidRDefault="009C600E">
      <w:pPr>
        <w:rPr>
          <w:rFonts w:ascii="Book Antiqua" w:hAnsi="Book Antiqua"/>
          <w:sz w:val="24"/>
          <w:szCs w:val="24"/>
          <w:lang w:val="en-US" w:eastAsia="zh-CN"/>
        </w:rPr>
      </w:pPr>
      <w:r w:rsidRPr="00714401">
        <w:rPr>
          <w:rFonts w:ascii="Book Antiqua" w:hAnsi="Book Antiqua"/>
          <w:sz w:val="24"/>
          <w:szCs w:val="24"/>
          <w:lang w:val="en-US" w:eastAsia="zh-CN"/>
        </w:rPr>
        <w:br w:type="page"/>
      </w:r>
    </w:p>
    <w:p w:rsidR="009C600E" w:rsidRPr="00714401" w:rsidRDefault="00E7130E" w:rsidP="00DF20ED">
      <w:pPr>
        <w:autoSpaceDE w:val="0"/>
        <w:autoSpaceDN w:val="0"/>
        <w:adjustRightInd w:val="0"/>
        <w:snapToGrid w:val="0"/>
        <w:spacing w:after="0" w:line="360" w:lineRule="auto"/>
        <w:jc w:val="both"/>
        <w:rPr>
          <w:rFonts w:ascii="Book Antiqua" w:hAnsi="Book Antiqua"/>
          <w:b/>
          <w:sz w:val="24"/>
          <w:szCs w:val="24"/>
          <w:lang w:val="en-US" w:eastAsia="zh-CN"/>
        </w:rPr>
      </w:pPr>
      <w:r w:rsidRPr="00714401">
        <w:rPr>
          <w:rFonts w:ascii="Book Antiqua" w:hAnsi="Book Antiqua"/>
          <w:b/>
          <w:noProof/>
          <w:sz w:val="24"/>
          <w:szCs w:val="24"/>
          <w:lang w:val="en-US"/>
        </w:rPr>
        <w:lastRenderedPageBreak/>
        <w:drawing>
          <wp:inline distT="0" distB="0" distL="0" distR="0" wp14:anchorId="15A91DB5" wp14:editId="13E56453">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F53214" w:rsidRPr="00714401" w:rsidRDefault="00DF20ED" w:rsidP="009C600E">
      <w:pPr>
        <w:autoSpaceDE w:val="0"/>
        <w:autoSpaceDN w:val="0"/>
        <w:adjustRightInd w:val="0"/>
        <w:snapToGrid w:val="0"/>
        <w:spacing w:line="360" w:lineRule="auto"/>
        <w:jc w:val="both"/>
        <w:rPr>
          <w:rFonts w:ascii="Book Antiqua" w:hAnsi="Book Antiqua"/>
          <w:b/>
          <w:sz w:val="24"/>
          <w:szCs w:val="24"/>
          <w:lang w:val="en-US"/>
        </w:rPr>
      </w:pPr>
      <w:r w:rsidRPr="00714401">
        <w:rPr>
          <w:rFonts w:ascii="Book Antiqua" w:hAnsi="Book Antiqua"/>
          <w:b/>
          <w:sz w:val="24"/>
          <w:szCs w:val="24"/>
          <w:lang w:val="en-US"/>
        </w:rPr>
        <w:t xml:space="preserve">Figure 3 Schematic representation of </w:t>
      </w:r>
      <w:proofErr w:type="spellStart"/>
      <w:r w:rsidR="00294650" w:rsidRPr="00714401">
        <w:rPr>
          <w:rFonts w:ascii="Book Antiqua" w:hAnsi="Book Antiqua"/>
          <w:b/>
          <w:sz w:val="24"/>
          <w:szCs w:val="24"/>
          <w:lang w:val="en-US"/>
        </w:rPr>
        <w:t>indocyanine</w:t>
      </w:r>
      <w:proofErr w:type="spellEnd"/>
      <w:r w:rsidR="00294650" w:rsidRPr="00714401">
        <w:rPr>
          <w:rFonts w:ascii="Book Antiqua" w:hAnsi="Book Antiqua"/>
          <w:b/>
          <w:sz w:val="24"/>
          <w:szCs w:val="24"/>
          <w:lang w:val="en-US"/>
        </w:rPr>
        <w:t xml:space="preserve"> green</w:t>
      </w:r>
      <w:r w:rsidRPr="00714401">
        <w:rPr>
          <w:rFonts w:ascii="Book Antiqua" w:hAnsi="Book Antiqua"/>
          <w:b/>
          <w:sz w:val="24"/>
          <w:szCs w:val="24"/>
          <w:lang w:val="en-US"/>
        </w:rPr>
        <w:t xml:space="preserve"> kinetics (modified from Imamura </w:t>
      </w:r>
      <w:r w:rsidRPr="00714401">
        <w:rPr>
          <w:rFonts w:ascii="Book Antiqua" w:hAnsi="Book Antiqua"/>
          <w:b/>
          <w:i/>
          <w:sz w:val="24"/>
          <w:szCs w:val="24"/>
          <w:lang w:val="en-US"/>
        </w:rPr>
        <w:t xml:space="preserve">et </w:t>
      </w:r>
      <w:proofErr w:type="gramStart"/>
      <w:r w:rsidRPr="00714401">
        <w:rPr>
          <w:rFonts w:ascii="Book Antiqua" w:hAnsi="Book Antiqua"/>
          <w:b/>
          <w:i/>
          <w:sz w:val="24"/>
          <w:szCs w:val="24"/>
          <w:lang w:val="en-US"/>
        </w:rPr>
        <w:t>al</w:t>
      </w:r>
      <w:r w:rsidR="009C600E" w:rsidRPr="00714401">
        <w:rPr>
          <w:rFonts w:ascii="Book Antiqua" w:hAnsi="Book Antiqua" w:hint="eastAsia"/>
          <w:b/>
          <w:sz w:val="24"/>
          <w:szCs w:val="24"/>
          <w:vertAlign w:val="superscript"/>
          <w:lang w:val="en-US" w:eastAsia="zh-CN"/>
        </w:rPr>
        <w:t>[</w:t>
      </w:r>
      <w:proofErr w:type="gramEnd"/>
      <w:r w:rsidR="009C600E" w:rsidRPr="00714401">
        <w:rPr>
          <w:rFonts w:ascii="Book Antiqua" w:hAnsi="Book Antiqua" w:hint="eastAsia"/>
          <w:b/>
          <w:sz w:val="24"/>
          <w:szCs w:val="24"/>
          <w:vertAlign w:val="superscript"/>
          <w:lang w:val="en-US" w:eastAsia="zh-CN"/>
        </w:rPr>
        <w:t>5]</w:t>
      </w:r>
      <w:r w:rsidRPr="00714401">
        <w:rPr>
          <w:rFonts w:ascii="Book Antiqua" w:hAnsi="Book Antiqua"/>
          <w:b/>
          <w:sz w:val="24"/>
          <w:szCs w:val="24"/>
          <w:lang w:val="en-US"/>
        </w:rPr>
        <w:t>, 2005)</w:t>
      </w:r>
      <w:r w:rsidR="009C600E" w:rsidRPr="00714401">
        <w:rPr>
          <w:rFonts w:ascii="Book Antiqua" w:hAnsi="Book Antiqua" w:hint="eastAsia"/>
          <w:b/>
          <w:sz w:val="24"/>
          <w:szCs w:val="24"/>
          <w:lang w:val="en-US" w:eastAsia="zh-CN"/>
        </w:rPr>
        <w:t>.</w:t>
      </w:r>
      <w:r w:rsidRPr="00714401">
        <w:rPr>
          <w:rFonts w:ascii="Book Antiqua" w:hAnsi="Book Antiqua"/>
          <w:b/>
          <w:sz w:val="24"/>
          <w:szCs w:val="24"/>
          <w:lang w:val="en-US"/>
        </w:rPr>
        <w:t xml:space="preserve"> </w:t>
      </w:r>
    </w:p>
    <w:p w:rsidR="00F53214" w:rsidRPr="00714401" w:rsidRDefault="00F53214">
      <w:pPr>
        <w:rPr>
          <w:rFonts w:ascii="Book Antiqua" w:hAnsi="Book Antiqua"/>
          <w:b/>
          <w:sz w:val="24"/>
          <w:szCs w:val="24"/>
          <w:lang w:val="en-US"/>
        </w:rPr>
      </w:pPr>
      <w:r w:rsidRPr="00714401">
        <w:rPr>
          <w:rFonts w:ascii="Book Antiqua" w:hAnsi="Book Antiqua"/>
          <w:b/>
          <w:sz w:val="24"/>
          <w:szCs w:val="24"/>
          <w:lang w:val="en-US"/>
        </w:rPr>
        <w:br w:type="page"/>
      </w:r>
    </w:p>
    <w:p w:rsidR="00F53214" w:rsidRPr="00714401" w:rsidRDefault="00B47D98" w:rsidP="00F53214">
      <w:pPr>
        <w:pStyle w:val="Default"/>
        <w:snapToGrid w:val="0"/>
        <w:spacing w:line="360" w:lineRule="auto"/>
        <w:jc w:val="both"/>
        <w:rPr>
          <w:rFonts w:ascii="Book Antiqua" w:eastAsia="Arial Unicode MS" w:hAnsi="Book Antiqua" w:cs="Arial Unicode MS"/>
          <w:b/>
          <w:color w:val="auto"/>
          <w:lang w:val="en-US"/>
        </w:rPr>
      </w:pPr>
      <w:r w:rsidRPr="00714401">
        <w:rPr>
          <w:rFonts w:ascii="Book Antiqua" w:eastAsia="Arial Unicode MS" w:hAnsi="Book Antiqua" w:cs="Arial Unicode MS"/>
          <w:b/>
          <w:noProof/>
          <w:color w:val="auto"/>
          <w:lang w:val="en-US"/>
        </w:rPr>
        <w:lastRenderedPageBreak/>
        <w:drawing>
          <wp:inline distT="0" distB="0" distL="0" distR="0" wp14:anchorId="62468723" wp14:editId="46BB3264">
            <wp:extent cx="4572638" cy="342947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F53214" w:rsidRPr="00714401" w:rsidRDefault="00F53214" w:rsidP="00F53214">
      <w:pPr>
        <w:pStyle w:val="Default"/>
        <w:snapToGrid w:val="0"/>
        <w:spacing w:line="360" w:lineRule="auto"/>
        <w:jc w:val="both"/>
        <w:rPr>
          <w:rFonts w:ascii="Book Antiqua" w:hAnsi="Book Antiqua"/>
          <w:b/>
          <w:color w:val="auto"/>
          <w:lang w:val="en-US" w:eastAsia="zh-CN"/>
        </w:rPr>
      </w:pPr>
      <w:r w:rsidRPr="00714401">
        <w:rPr>
          <w:rFonts w:ascii="Book Antiqua" w:hAnsi="Book Antiqua"/>
          <w:b/>
          <w:color w:val="auto"/>
          <w:lang w:val="en-US"/>
        </w:rPr>
        <w:t xml:space="preserve">Figure </w:t>
      </w:r>
      <w:r w:rsidRPr="00714401">
        <w:rPr>
          <w:rFonts w:ascii="Book Antiqua" w:hAnsi="Book Antiqua" w:hint="eastAsia"/>
          <w:b/>
          <w:color w:val="auto"/>
          <w:lang w:val="en-US" w:eastAsia="zh-CN"/>
        </w:rPr>
        <w:t>4</w:t>
      </w:r>
      <w:r w:rsidRPr="00714401">
        <w:rPr>
          <w:rFonts w:ascii="Book Antiqua" w:hAnsi="Book Antiqua"/>
          <w:b/>
          <w:color w:val="auto"/>
          <w:lang w:val="en-US"/>
        </w:rPr>
        <w:t xml:space="preserve"> </w:t>
      </w:r>
      <w:proofErr w:type="spellStart"/>
      <w:r w:rsidRPr="00714401">
        <w:rPr>
          <w:rFonts w:ascii="Book Antiqua" w:hAnsi="Book Antiqua"/>
          <w:b/>
          <w:color w:val="auto"/>
          <w:lang w:val="en-US"/>
        </w:rPr>
        <w:t>Makuuchi</w:t>
      </w:r>
      <w:proofErr w:type="spellEnd"/>
      <w:r w:rsidRPr="00714401">
        <w:rPr>
          <w:rFonts w:ascii="Book Antiqua" w:hAnsi="Book Antiqua"/>
          <w:b/>
          <w:color w:val="auto"/>
          <w:lang w:val="en-US"/>
        </w:rPr>
        <w:t xml:space="preserve"> decisional algorithm to select liver </w:t>
      </w:r>
      <w:proofErr w:type="spellStart"/>
      <w:r w:rsidRPr="00714401">
        <w:rPr>
          <w:rFonts w:ascii="Book Antiqua" w:hAnsi="Book Antiqua"/>
          <w:b/>
          <w:color w:val="auto"/>
          <w:lang w:val="en-US"/>
        </w:rPr>
        <w:t>resective</w:t>
      </w:r>
      <w:proofErr w:type="spellEnd"/>
      <w:r w:rsidRPr="00714401">
        <w:rPr>
          <w:rFonts w:ascii="Book Antiqua" w:hAnsi="Book Antiqua"/>
          <w:b/>
          <w:color w:val="auto"/>
          <w:lang w:val="en-US"/>
        </w:rPr>
        <w:t xml:space="preserve"> procedures in cirrhotic patients according to liver functional reserve (from Imamura </w:t>
      </w:r>
      <w:r w:rsidRPr="00714401">
        <w:rPr>
          <w:rFonts w:ascii="Book Antiqua" w:hAnsi="Book Antiqua"/>
          <w:b/>
          <w:i/>
          <w:color w:val="auto"/>
          <w:lang w:val="en-US"/>
        </w:rPr>
        <w:t xml:space="preserve">et </w:t>
      </w:r>
      <w:proofErr w:type="gramStart"/>
      <w:r w:rsidRPr="00714401">
        <w:rPr>
          <w:rFonts w:ascii="Book Antiqua" w:hAnsi="Book Antiqua"/>
          <w:b/>
          <w:i/>
          <w:color w:val="auto"/>
          <w:lang w:val="en-US"/>
        </w:rPr>
        <w:t>al</w:t>
      </w:r>
      <w:r w:rsidRPr="00714401">
        <w:rPr>
          <w:rFonts w:ascii="Book Antiqua" w:hAnsi="Book Antiqua"/>
          <w:b/>
          <w:color w:val="auto"/>
          <w:vertAlign w:val="superscript"/>
          <w:lang w:val="en-US"/>
        </w:rPr>
        <w:t>[</w:t>
      </w:r>
      <w:proofErr w:type="gramEnd"/>
      <w:r w:rsidRPr="00714401">
        <w:rPr>
          <w:rFonts w:ascii="Book Antiqua" w:hAnsi="Book Antiqua"/>
          <w:b/>
          <w:color w:val="auto"/>
          <w:vertAlign w:val="superscript"/>
          <w:lang w:val="en-US"/>
        </w:rPr>
        <w:t>5]</w:t>
      </w:r>
      <w:r w:rsidRPr="00714401">
        <w:rPr>
          <w:rFonts w:ascii="Book Antiqua" w:hAnsi="Book Antiqua"/>
          <w:b/>
          <w:color w:val="auto"/>
          <w:lang w:val="en-US"/>
        </w:rPr>
        <w:t>, 2005)</w:t>
      </w:r>
      <w:r w:rsidRPr="00714401">
        <w:rPr>
          <w:rFonts w:ascii="Book Antiqua" w:hAnsi="Book Antiqua" w:hint="eastAsia"/>
          <w:b/>
          <w:color w:val="auto"/>
          <w:lang w:val="en-US" w:eastAsia="zh-CN"/>
        </w:rPr>
        <w:t>.</w:t>
      </w:r>
      <w:r w:rsidRPr="00714401">
        <w:rPr>
          <w:rFonts w:ascii="Book Antiqua" w:hAnsi="Book Antiqua"/>
          <w:color w:val="auto"/>
        </w:rPr>
        <w:t xml:space="preserve"> </w:t>
      </w:r>
      <w:r w:rsidRPr="00714401">
        <w:rPr>
          <w:rFonts w:ascii="Book Antiqua" w:hAnsi="Book Antiqua" w:cstheme="minorBidi"/>
          <w:color w:val="auto"/>
          <w:lang w:val="en-US"/>
        </w:rPr>
        <w:t>ICG</w:t>
      </w:r>
      <w:r w:rsidRPr="00714401">
        <w:rPr>
          <w:rFonts w:ascii="Book Antiqua" w:hAnsi="Book Antiqua" w:hint="eastAsia"/>
          <w:color w:val="auto"/>
          <w:lang w:val="en-US" w:eastAsia="zh-CN"/>
        </w:rPr>
        <w:t>:</w:t>
      </w:r>
      <w:r w:rsidRPr="00714401">
        <w:rPr>
          <w:rFonts w:ascii="Book Antiqua" w:hAnsi="Book Antiqua"/>
          <w:color w:val="auto"/>
          <w:lang w:val="en-US"/>
        </w:rPr>
        <w:t xml:space="preserve"> </w:t>
      </w:r>
      <w:proofErr w:type="spellStart"/>
      <w:r w:rsidRPr="00714401">
        <w:rPr>
          <w:rFonts w:ascii="Book Antiqua" w:hAnsi="Book Antiqua"/>
          <w:color w:val="auto"/>
          <w:lang w:val="en-US"/>
        </w:rPr>
        <w:t>Indocyanine</w:t>
      </w:r>
      <w:proofErr w:type="spellEnd"/>
      <w:r w:rsidRPr="00714401">
        <w:rPr>
          <w:rFonts w:ascii="Book Antiqua" w:hAnsi="Book Antiqua"/>
          <w:color w:val="auto"/>
          <w:lang w:val="en-US"/>
        </w:rPr>
        <w:t xml:space="preserve"> green</w:t>
      </w:r>
      <w:r w:rsidRPr="00714401">
        <w:rPr>
          <w:rFonts w:ascii="Book Antiqua" w:hAnsi="Book Antiqua" w:hint="eastAsia"/>
          <w:color w:val="auto"/>
          <w:lang w:val="en-US" w:eastAsia="zh-CN"/>
        </w:rPr>
        <w:t>.</w:t>
      </w:r>
    </w:p>
    <w:p w:rsidR="00DF20ED" w:rsidRPr="00714401" w:rsidRDefault="00DF20ED" w:rsidP="009C600E">
      <w:pPr>
        <w:autoSpaceDE w:val="0"/>
        <w:autoSpaceDN w:val="0"/>
        <w:adjustRightInd w:val="0"/>
        <w:snapToGrid w:val="0"/>
        <w:spacing w:line="360" w:lineRule="auto"/>
        <w:jc w:val="both"/>
        <w:rPr>
          <w:rFonts w:ascii="Book Antiqua" w:hAnsi="Book Antiqua"/>
          <w:b/>
          <w:lang w:eastAsia="zh-CN"/>
        </w:rPr>
      </w:pPr>
    </w:p>
    <w:p w:rsidR="00CA4569" w:rsidRPr="00714401" w:rsidRDefault="00CA4569">
      <w:pPr>
        <w:rPr>
          <w:b/>
          <w:lang w:eastAsia="zh-CN"/>
        </w:rPr>
      </w:pPr>
      <w:r w:rsidRPr="00714401">
        <w:rPr>
          <w:b/>
          <w:lang w:eastAsia="zh-CN"/>
        </w:rPr>
        <w:br w:type="page"/>
      </w:r>
    </w:p>
    <w:p w:rsidR="00DF20ED" w:rsidRPr="00714401" w:rsidRDefault="00DF20ED" w:rsidP="00DF20ED">
      <w:pPr>
        <w:autoSpaceDE w:val="0"/>
        <w:autoSpaceDN w:val="0"/>
        <w:adjustRightInd w:val="0"/>
        <w:snapToGrid w:val="0"/>
        <w:spacing w:after="0" w:line="360" w:lineRule="auto"/>
        <w:jc w:val="both"/>
        <w:rPr>
          <w:rFonts w:ascii="Book Antiqua" w:hAnsi="Book Antiqua"/>
          <w:b/>
          <w:sz w:val="24"/>
          <w:szCs w:val="24"/>
          <w:vertAlign w:val="superscript"/>
          <w:lang w:val="en-US" w:eastAsia="zh-CN"/>
        </w:rPr>
      </w:pPr>
      <w:r w:rsidRPr="00714401">
        <w:rPr>
          <w:rFonts w:ascii="Book Antiqua" w:hAnsi="Book Antiqua"/>
          <w:b/>
          <w:sz w:val="24"/>
          <w:szCs w:val="24"/>
          <w:lang w:val="en-US"/>
        </w:rPr>
        <w:lastRenderedPageBreak/>
        <w:t>Table 1</w:t>
      </w:r>
      <w:r w:rsidR="00CA4569" w:rsidRPr="00714401">
        <w:rPr>
          <w:rFonts w:ascii="Book Antiqua" w:hAnsi="Book Antiqua" w:hint="eastAsia"/>
          <w:b/>
          <w:sz w:val="24"/>
          <w:szCs w:val="24"/>
          <w:lang w:val="en-US" w:eastAsia="zh-CN"/>
        </w:rPr>
        <w:t xml:space="preserve"> </w:t>
      </w:r>
      <w:r w:rsidRPr="00714401">
        <w:rPr>
          <w:rFonts w:ascii="Book Antiqua" w:hAnsi="Book Antiqua"/>
          <w:b/>
          <w:sz w:val="24"/>
          <w:szCs w:val="24"/>
          <w:lang w:val="en-US"/>
        </w:rPr>
        <w:t xml:space="preserve">Quantitative </w:t>
      </w:r>
      <w:proofErr w:type="spellStart"/>
      <w:r w:rsidR="00294650" w:rsidRPr="00714401">
        <w:rPr>
          <w:rFonts w:ascii="Book Antiqua" w:hAnsi="Book Antiqua"/>
          <w:b/>
          <w:sz w:val="24"/>
          <w:szCs w:val="24"/>
          <w:lang w:val="en-US"/>
        </w:rPr>
        <w:t>indocyanine</w:t>
      </w:r>
      <w:proofErr w:type="spellEnd"/>
      <w:r w:rsidR="00294650" w:rsidRPr="00714401">
        <w:rPr>
          <w:rFonts w:ascii="Book Antiqua" w:hAnsi="Book Antiqua"/>
          <w:b/>
          <w:sz w:val="24"/>
          <w:szCs w:val="24"/>
          <w:lang w:val="en-US"/>
        </w:rPr>
        <w:t xml:space="preserve"> green</w:t>
      </w:r>
      <w:r w:rsidRPr="00714401">
        <w:rPr>
          <w:rFonts w:ascii="Book Antiqua" w:hAnsi="Book Antiqua"/>
          <w:b/>
          <w:sz w:val="24"/>
          <w:szCs w:val="24"/>
          <w:lang w:val="en-US"/>
        </w:rPr>
        <w:t xml:space="preserve"> kinetics variables (modified from </w:t>
      </w:r>
      <w:proofErr w:type="spellStart"/>
      <w:r w:rsidRPr="00714401">
        <w:rPr>
          <w:rFonts w:ascii="Book Antiqua" w:hAnsi="Book Antiqua"/>
          <w:b/>
          <w:sz w:val="24"/>
          <w:szCs w:val="24"/>
          <w:lang w:val="en-US"/>
        </w:rPr>
        <w:t>Vos</w:t>
      </w:r>
      <w:proofErr w:type="spellEnd"/>
      <w:r w:rsidRPr="00714401">
        <w:rPr>
          <w:rFonts w:ascii="Book Antiqua" w:hAnsi="Book Antiqua"/>
          <w:b/>
          <w:sz w:val="24"/>
          <w:szCs w:val="24"/>
          <w:lang w:val="en-US"/>
        </w:rPr>
        <w:t xml:space="preserve"> </w:t>
      </w:r>
      <w:r w:rsidRPr="00714401">
        <w:rPr>
          <w:rFonts w:ascii="Book Antiqua" w:hAnsi="Book Antiqua"/>
          <w:b/>
          <w:i/>
          <w:sz w:val="24"/>
          <w:szCs w:val="24"/>
          <w:lang w:val="en-US"/>
        </w:rPr>
        <w:t xml:space="preserve">et </w:t>
      </w:r>
      <w:proofErr w:type="gramStart"/>
      <w:r w:rsidRPr="00714401">
        <w:rPr>
          <w:rFonts w:ascii="Book Antiqua" w:hAnsi="Book Antiqua"/>
          <w:b/>
          <w:i/>
          <w:sz w:val="24"/>
          <w:szCs w:val="24"/>
          <w:lang w:val="en-US"/>
        </w:rPr>
        <w:t>al</w:t>
      </w:r>
      <w:r w:rsidR="00CA4569" w:rsidRPr="00714401">
        <w:rPr>
          <w:rFonts w:ascii="Book Antiqua" w:hAnsi="Book Antiqua"/>
          <w:b/>
          <w:sz w:val="24"/>
          <w:szCs w:val="24"/>
          <w:vertAlign w:val="superscript"/>
          <w:lang w:val="en-US"/>
        </w:rPr>
        <w:t>[</w:t>
      </w:r>
      <w:proofErr w:type="gramEnd"/>
      <w:r w:rsidR="00CA4569" w:rsidRPr="00714401">
        <w:rPr>
          <w:rFonts w:ascii="Book Antiqua" w:hAnsi="Book Antiqua"/>
          <w:b/>
          <w:sz w:val="24"/>
          <w:szCs w:val="24"/>
          <w:vertAlign w:val="superscript"/>
          <w:lang w:val="en-US"/>
        </w:rPr>
        <w:t>6]</w:t>
      </w:r>
      <w:r w:rsidRPr="00714401">
        <w:rPr>
          <w:rFonts w:ascii="Book Antiqua" w:hAnsi="Book Antiqua"/>
          <w:b/>
          <w:sz w:val="24"/>
          <w:szCs w:val="24"/>
          <w:lang w:val="en-US"/>
        </w:rPr>
        <w:t xml:space="preserve">, 2014) </w:t>
      </w:r>
    </w:p>
    <w:p w:rsidR="00CA4569" w:rsidRPr="00714401" w:rsidRDefault="00CA4569" w:rsidP="00DF20ED">
      <w:pPr>
        <w:autoSpaceDE w:val="0"/>
        <w:autoSpaceDN w:val="0"/>
        <w:adjustRightInd w:val="0"/>
        <w:snapToGrid w:val="0"/>
        <w:spacing w:after="0" w:line="360" w:lineRule="auto"/>
        <w:jc w:val="both"/>
        <w:rPr>
          <w:rFonts w:ascii="Book Antiqua" w:hAnsi="Book Antiqua"/>
          <w:b/>
          <w:sz w:val="24"/>
          <w:szCs w:val="24"/>
          <w:vertAlign w:val="superscript"/>
          <w:lang w:val="en-US" w:eastAsia="zh-CN"/>
        </w:rPr>
      </w:pPr>
    </w:p>
    <w:tbl>
      <w:tblPr>
        <w:tblW w:w="1134"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35"/>
        <w:gridCol w:w="1888"/>
        <w:gridCol w:w="1253"/>
        <w:gridCol w:w="1704"/>
        <w:gridCol w:w="1129"/>
      </w:tblGrid>
      <w:tr w:rsidR="00714401" w:rsidRPr="00714401" w:rsidTr="00CA4569">
        <w:trPr>
          <w:trHeight w:val="725"/>
        </w:trPr>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Variable</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Denomination</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Unit</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Formula for calculation</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Normal value</w:t>
            </w:r>
          </w:p>
        </w:tc>
      </w:tr>
      <w:tr w:rsidR="00714401" w:rsidRPr="00714401" w:rsidTr="00CA4569">
        <w:trPr>
          <w:trHeight w:val="1040"/>
        </w:trPr>
        <w:tc>
          <w:tcPr>
            <w:tcW w:w="567" w:type="dxa"/>
            <w:shd w:val="clear" w:color="auto" w:fill="auto"/>
            <w:tcMar>
              <w:top w:w="72" w:type="dxa"/>
              <w:left w:w="144" w:type="dxa"/>
              <w:bottom w:w="72" w:type="dxa"/>
              <w:right w:w="144" w:type="dxa"/>
            </w:tcMar>
            <w:hideMark/>
          </w:tcPr>
          <w:p w:rsidR="00CA4569" w:rsidRPr="00714401" w:rsidRDefault="00941033"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ICG</w:t>
            </w:r>
            <w:r w:rsidR="00CA4569" w:rsidRPr="00714401">
              <w:rPr>
                <w:rFonts w:ascii="Book Antiqua" w:eastAsia="宋体" w:hAnsi="Book Antiqua" w:cs="Calibri"/>
                <w:kern w:val="24"/>
                <w:position w:val="-12"/>
                <w:sz w:val="24"/>
                <w:szCs w:val="24"/>
                <w:vertAlign w:val="subscript"/>
                <w:lang w:eastAsia="zh-CN"/>
              </w:rPr>
              <w:t>PDR</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 xml:space="preserve">ICG </w:t>
            </w:r>
            <w:r w:rsidR="00941033" w:rsidRPr="00714401">
              <w:rPr>
                <w:rFonts w:ascii="Book Antiqua" w:eastAsia="宋体" w:hAnsi="Book Antiqua" w:cs="Calibri"/>
                <w:kern w:val="24"/>
                <w:sz w:val="24"/>
                <w:szCs w:val="24"/>
                <w:lang w:eastAsia="zh-CN"/>
              </w:rPr>
              <w:t>p</w:t>
            </w:r>
            <w:r w:rsidRPr="00714401">
              <w:rPr>
                <w:rFonts w:ascii="Book Antiqua" w:eastAsia="宋体" w:hAnsi="Book Antiqua" w:cs="Calibri"/>
                <w:kern w:val="24"/>
                <w:sz w:val="24"/>
                <w:szCs w:val="24"/>
                <w:lang w:eastAsia="zh-CN"/>
              </w:rPr>
              <w:t>lasma disappearance rate</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 xml:space="preserve">% </w:t>
            </w:r>
            <w:r w:rsidR="00941033" w:rsidRPr="00714401">
              <w:rPr>
                <w:rFonts w:ascii="Book Antiqua" w:eastAsia="宋体" w:hAnsi="Book Antiqua" w:cs="Calibri" w:hint="eastAsia"/>
                <w:kern w:val="24"/>
                <w:sz w:val="24"/>
                <w:szCs w:val="24"/>
                <w:lang w:eastAsia="zh-CN"/>
              </w:rPr>
              <w:t xml:space="preserve">per </w:t>
            </w:r>
            <w:r w:rsidR="00941033" w:rsidRPr="00714401">
              <w:rPr>
                <w:rFonts w:ascii="Book Antiqua" w:eastAsia="宋体" w:hAnsi="Book Antiqua" w:cs="Calibri"/>
                <w:kern w:val="24"/>
                <w:sz w:val="24"/>
                <w:szCs w:val="24"/>
                <w:lang w:eastAsia="zh-CN"/>
              </w:rPr>
              <w:t>min</w:t>
            </w:r>
            <w:r w:rsidR="00941033" w:rsidRPr="00714401">
              <w:rPr>
                <w:rFonts w:ascii="Book Antiqua" w:eastAsia="宋体" w:hAnsi="Book Antiqua" w:cs="Calibri" w:hint="eastAsia"/>
                <w:kern w:val="24"/>
                <w:sz w:val="24"/>
                <w:szCs w:val="24"/>
                <w:lang w:eastAsia="zh-CN"/>
              </w:rPr>
              <w:t>ute</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val="en-US" w:eastAsia="zh-CN"/>
              </w:rPr>
              <w:t xml:space="preserve">Backward extrapolation of k, </w:t>
            </w:r>
          </w:p>
          <w:p w:rsidR="00CA4569" w:rsidRPr="00714401" w:rsidRDefault="000215DB"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val="en-US" w:eastAsia="zh-CN"/>
              </w:rPr>
              <w:t>curve fitted as: C</w:t>
            </w:r>
            <w:r w:rsidR="00CA4569" w:rsidRPr="00714401">
              <w:rPr>
                <w:rFonts w:ascii="Book Antiqua" w:eastAsia="宋体" w:hAnsi="Book Antiqua" w:cs="Calibri"/>
                <w:kern w:val="24"/>
                <w:position w:val="-7"/>
                <w:sz w:val="24"/>
                <w:szCs w:val="24"/>
                <w:vertAlign w:val="subscript"/>
                <w:lang w:val="en-US" w:eastAsia="zh-CN"/>
              </w:rPr>
              <w:t>ICG</w:t>
            </w:r>
            <w:r w:rsidRPr="00714401">
              <w:rPr>
                <w:rFonts w:ascii="Book Antiqua" w:eastAsia="宋体" w:hAnsi="Book Antiqua" w:cs="Calibri"/>
                <w:kern w:val="24"/>
                <w:sz w:val="24"/>
                <w:szCs w:val="24"/>
                <w:lang w:val="en-US" w:eastAsia="zh-CN"/>
              </w:rPr>
              <w:t xml:space="preserve"> (t) = C</w:t>
            </w:r>
            <w:r w:rsidR="00CA4569" w:rsidRPr="00714401">
              <w:rPr>
                <w:rFonts w:ascii="Book Antiqua" w:eastAsia="宋体" w:hAnsi="Book Antiqua" w:cs="Calibri"/>
                <w:kern w:val="24"/>
                <w:position w:val="-7"/>
                <w:sz w:val="24"/>
                <w:szCs w:val="24"/>
                <w:vertAlign w:val="subscript"/>
                <w:lang w:val="en-US" w:eastAsia="zh-CN"/>
              </w:rPr>
              <w:t>0</w:t>
            </w:r>
            <w:r w:rsidR="00EC4728">
              <w:rPr>
                <w:rFonts w:ascii="Book Antiqua" w:eastAsia="宋体" w:hAnsi="Book Antiqua" w:cs="Calibri"/>
                <w:kern w:val="24"/>
                <w:position w:val="-7"/>
                <w:sz w:val="24"/>
                <w:szCs w:val="24"/>
                <w:vertAlign w:val="subscript"/>
                <w:lang w:val="en-US" w:eastAsia="zh-CN"/>
              </w:rPr>
              <w:t xml:space="preserve"> </w:t>
            </w:r>
            <w:r w:rsidRPr="00714401">
              <w:rPr>
                <w:rFonts w:ascii="Book Antiqua" w:hAnsi="Book Antiqua" w:cs="Times New Roman"/>
                <w:sz w:val="24"/>
                <w:szCs w:val="24"/>
              </w:rPr>
              <w:t>×</w:t>
            </w:r>
            <w:r w:rsidR="00EC4728">
              <w:rPr>
                <w:rFonts w:ascii="Book Antiqua" w:hAnsi="Book Antiqua" w:cs="Times New Roman" w:hint="eastAsia"/>
                <w:sz w:val="24"/>
                <w:szCs w:val="24"/>
                <w:lang w:eastAsia="zh-CN"/>
              </w:rPr>
              <w:t xml:space="preserve"> </w:t>
            </w:r>
            <w:r w:rsidRPr="00714401">
              <w:rPr>
                <w:rFonts w:ascii="Book Antiqua" w:eastAsia="宋体" w:hAnsi="Book Antiqua" w:cs="Calibri"/>
                <w:kern w:val="24"/>
                <w:sz w:val="24"/>
                <w:szCs w:val="24"/>
                <w:lang w:val="en-US" w:eastAsia="zh-CN"/>
              </w:rPr>
              <w:t>e</w:t>
            </w:r>
            <w:r w:rsidR="00CA4569" w:rsidRPr="00714401">
              <w:rPr>
                <w:rFonts w:ascii="Book Antiqua" w:eastAsia="宋体" w:hAnsi="Book Antiqua" w:cs="Calibri"/>
                <w:kern w:val="24"/>
                <w:position w:val="8"/>
                <w:sz w:val="24"/>
                <w:szCs w:val="24"/>
                <w:vertAlign w:val="superscript"/>
                <w:lang w:val="en-US" w:eastAsia="zh-CN"/>
              </w:rPr>
              <w:t>–</w:t>
            </w:r>
            <w:proofErr w:type="spellStart"/>
            <w:r w:rsidR="00CA4569" w:rsidRPr="00714401">
              <w:rPr>
                <w:rFonts w:ascii="Book Antiqua" w:eastAsia="宋体" w:hAnsi="Book Antiqua" w:cs="Calibri"/>
                <w:kern w:val="24"/>
                <w:position w:val="8"/>
                <w:sz w:val="24"/>
                <w:szCs w:val="24"/>
                <w:vertAlign w:val="superscript"/>
                <w:lang w:val="en-US" w:eastAsia="zh-CN"/>
              </w:rPr>
              <w:t>k×t</w:t>
            </w:r>
            <w:proofErr w:type="spellEnd"/>
          </w:p>
        </w:tc>
        <w:tc>
          <w:tcPr>
            <w:tcW w:w="567" w:type="dxa"/>
            <w:shd w:val="clear" w:color="auto" w:fill="auto"/>
            <w:tcMar>
              <w:top w:w="72" w:type="dxa"/>
              <w:left w:w="144" w:type="dxa"/>
              <w:bottom w:w="72" w:type="dxa"/>
              <w:right w:w="144" w:type="dxa"/>
            </w:tcMar>
            <w:hideMark/>
          </w:tcPr>
          <w:p w:rsidR="00CA4569" w:rsidRPr="00714401" w:rsidRDefault="00CA4569" w:rsidP="00941033">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&gt; 18</w:t>
            </w:r>
            <w:r w:rsidR="00941033"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 xml:space="preserve"> 24% </w:t>
            </w:r>
            <w:r w:rsidR="00941033" w:rsidRPr="00714401">
              <w:rPr>
                <w:rFonts w:ascii="Book Antiqua" w:eastAsia="宋体" w:hAnsi="Book Antiqua" w:cs="Calibri" w:hint="eastAsia"/>
                <w:kern w:val="24"/>
                <w:sz w:val="24"/>
                <w:szCs w:val="24"/>
                <w:lang w:eastAsia="zh-CN"/>
              </w:rPr>
              <w:t xml:space="preserve">per </w:t>
            </w:r>
            <w:r w:rsidRPr="00714401">
              <w:rPr>
                <w:rFonts w:ascii="Book Antiqua" w:eastAsia="宋体" w:hAnsi="Book Antiqua" w:cs="Calibri"/>
                <w:kern w:val="24"/>
                <w:sz w:val="24"/>
                <w:szCs w:val="24"/>
                <w:lang w:eastAsia="zh-CN"/>
              </w:rPr>
              <w:t>min</w:t>
            </w:r>
            <w:r w:rsidR="00941033" w:rsidRPr="00714401">
              <w:rPr>
                <w:rFonts w:ascii="Book Antiqua" w:eastAsia="宋体" w:hAnsi="Book Antiqua" w:cs="Calibri" w:hint="eastAsia"/>
                <w:kern w:val="24"/>
                <w:sz w:val="24"/>
                <w:szCs w:val="24"/>
                <w:lang w:eastAsia="zh-CN"/>
              </w:rPr>
              <w:t>ute</w:t>
            </w:r>
            <w:r w:rsidRPr="00714401">
              <w:rPr>
                <w:rFonts w:ascii="Book Antiqua" w:eastAsia="宋体" w:hAnsi="Book Antiqua" w:cs="Calibri"/>
                <w:kern w:val="24"/>
                <w:sz w:val="24"/>
                <w:szCs w:val="24"/>
                <w:lang w:eastAsia="zh-CN"/>
              </w:rPr>
              <w:t xml:space="preserve"> </w:t>
            </w:r>
          </w:p>
        </w:tc>
      </w:tr>
      <w:tr w:rsidR="00714401" w:rsidRPr="00714401" w:rsidTr="00CA4569">
        <w:trPr>
          <w:trHeight w:val="816"/>
        </w:trPr>
        <w:tc>
          <w:tcPr>
            <w:tcW w:w="567" w:type="dxa"/>
            <w:shd w:val="clear" w:color="auto" w:fill="auto"/>
            <w:tcMar>
              <w:top w:w="72" w:type="dxa"/>
              <w:left w:w="144" w:type="dxa"/>
              <w:bottom w:w="72" w:type="dxa"/>
              <w:right w:w="144" w:type="dxa"/>
            </w:tcMar>
            <w:hideMark/>
          </w:tcPr>
          <w:p w:rsidR="00CA4569" w:rsidRPr="00714401" w:rsidRDefault="00941033"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ICG</w:t>
            </w:r>
            <w:r w:rsidR="00CA4569" w:rsidRPr="00714401">
              <w:rPr>
                <w:rFonts w:ascii="Book Antiqua" w:eastAsia="宋体" w:hAnsi="Book Antiqua" w:cs="Calibri"/>
                <w:kern w:val="24"/>
                <w:position w:val="-9"/>
                <w:sz w:val="24"/>
                <w:szCs w:val="24"/>
                <w:vertAlign w:val="subscript"/>
                <w:lang w:eastAsia="zh-CN"/>
              </w:rPr>
              <w:t>R15</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 xml:space="preserve">ICG retention ratio </w:t>
            </w:r>
          </w:p>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after</w:t>
            </w:r>
            <w:r w:rsidR="00EC4728">
              <w:rPr>
                <w:rFonts w:ascii="Book Antiqua" w:eastAsia="宋体" w:hAnsi="Book Antiqua" w:cs="Calibri"/>
                <w:kern w:val="24"/>
                <w:sz w:val="24"/>
                <w:szCs w:val="24"/>
                <w:lang w:eastAsia="zh-CN"/>
              </w:rPr>
              <w:t xml:space="preserve"> </w:t>
            </w:r>
            <w:r w:rsidRPr="00714401">
              <w:rPr>
                <w:rFonts w:ascii="Book Antiqua" w:eastAsia="宋体" w:hAnsi="Book Antiqua" w:cs="Calibri"/>
                <w:kern w:val="24"/>
                <w:sz w:val="24"/>
                <w:szCs w:val="24"/>
                <w:lang w:eastAsia="zh-CN"/>
              </w:rPr>
              <w:t xml:space="preserve">15 min </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w:t>
            </w:r>
          </w:p>
        </w:tc>
        <w:tc>
          <w:tcPr>
            <w:tcW w:w="567" w:type="dxa"/>
            <w:shd w:val="clear" w:color="auto" w:fill="auto"/>
            <w:tcMar>
              <w:top w:w="72" w:type="dxa"/>
              <w:left w:w="144" w:type="dxa"/>
              <w:bottom w:w="72" w:type="dxa"/>
              <w:right w:w="144" w:type="dxa"/>
            </w:tcMar>
            <w:hideMark/>
          </w:tcPr>
          <w:p w:rsidR="00CA4569" w:rsidRPr="00714401" w:rsidRDefault="000215DB"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val="de-DE" w:eastAsia="zh-CN"/>
              </w:rPr>
              <w:t>(C</w:t>
            </w:r>
            <w:r w:rsidR="00CA4569" w:rsidRPr="00714401">
              <w:rPr>
                <w:rFonts w:ascii="Book Antiqua" w:eastAsia="宋体" w:hAnsi="Book Antiqua" w:cs="Calibri"/>
                <w:kern w:val="24"/>
                <w:position w:val="-8"/>
                <w:sz w:val="24"/>
                <w:szCs w:val="24"/>
                <w:vertAlign w:val="subscript"/>
                <w:lang w:val="de-DE" w:eastAsia="zh-CN"/>
              </w:rPr>
              <w:t>ICG (15)</w:t>
            </w:r>
            <w:r w:rsidRPr="00714401">
              <w:rPr>
                <w:rFonts w:ascii="Book Antiqua" w:eastAsia="宋体" w:hAnsi="Book Antiqua" w:cs="Calibri"/>
                <w:kern w:val="24"/>
                <w:sz w:val="24"/>
                <w:szCs w:val="24"/>
                <w:lang w:val="de-DE" w:eastAsia="zh-CN"/>
              </w:rPr>
              <w:t>/C</w:t>
            </w:r>
            <w:r w:rsidR="00CA4569" w:rsidRPr="00714401">
              <w:rPr>
                <w:rFonts w:ascii="Book Antiqua" w:eastAsia="宋体" w:hAnsi="Book Antiqua" w:cs="Calibri"/>
                <w:kern w:val="24"/>
                <w:position w:val="-8"/>
                <w:sz w:val="24"/>
                <w:szCs w:val="24"/>
                <w:vertAlign w:val="subscript"/>
                <w:lang w:val="de-DE" w:eastAsia="zh-CN"/>
              </w:rPr>
              <w:t>ICG (0)</w:t>
            </w:r>
            <w:r w:rsidR="00CA4569" w:rsidRPr="00714401">
              <w:rPr>
                <w:rFonts w:ascii="Book Antiqua" w:eastAsia="宋体" w:hAnsi="Book Antiqua" w:cs="Calibri"/>
                <w:kern w:val="24"/>
                <w:sz w:val="24"/>
                <w:szCs w:val="24"/>
                <w:lang w:val="de-DE" w:eastAsia="zh-CN"/>
              </w:rPr>
              <w:t xml:space="preserve">) </w:t>
            </w:r>
            <w:r w:rsidRPr="00714401">
              <w:rPr>
                <w:rFonts w:ascii="Book Antiqua" w:hAnsi="Book Antiqua" w:cs="Times New Roman"/>
                <w:sz w:val="24"/>
                <w:szCs w:val="24"/>
              </w:rPr>
              <w:t>×</w:t>
            </w:r>
            <w:r w:rsidR="00CA4569" w:rsidRPr="00714401">
              <w:rPr>
                <w:rFonts w:ascii="Book Antiqua" w:eastAsia="宋体" w:hAnsi="Book Antiqua" w:cs="Calibri"/>
                <w:kern w:val="24"/>
                <w:sz w:val="24"/>
                <w:szCs w:val="24"/>
                <w:lang w:val="de-DE" w:eastAsia="zh-CN"/>
              </w:rPr>
              <w:t xml:space="preserve"> 100</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10%</w:t>
            </w:r>
          </w:p>
        </w:tc>
      </w:tr>
      <w:tr w:rsidR="00714401" w:rsidRPr="00714401" w:rsidTr="00CA4569">
        <w:trPr>
          <w:trHeight w:val="753"/>
        </w:trPr>
        <w:tc>
          <w:tcPr>
            <w:tcW w:w="567" w:type="dxa"/>
            <w:shd w:val="clear" w:color="auto" w:fill="auto"/>
            <w:tcMar>
              <w:top w:w="72" w:type="dxa"/>
              <w:left w:w="144" w:type="dxa"/>
              <w:bottom w:w="72" w:type="dxa"/>
              <w:right w:w="144" w:type="dxa"/>
            </w:tcMar>
            <w:hideMark/>
          </w:tcPr>
          <w:p w:rsidR="00CA4569" w:rsidRPr="00714401" w:rsidRDefault="00941033"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ICG</w:t>
            </w:r>
            <w:r w:rsidR="00CA4569" w:rsidRPr="00714401">
              <w:rPr>
                <w:rFonts w:ascii="Book Antiqua" w:eastAsia="宋体" w:hAnsi="Book Antiqua" w:cs="Calibri"/>
                <w:kern w:val="24"/>
                <w:position w:val="-9"/>
                <w:sz w:val="24"/>
                <w:szCs w:val="24"/>
                <w:vertAlign w:val="subscript"/>
                <w:lang w:eastAsia="zh-CN"/>
              </w:rPr>
              <w:t>t/2</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ICG half life</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min</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 xml:space="preserve">(In2 </w:t>
            </w:r>
            <w:r w:rsidR="000215DB" w:rsidRPr="00714401">
              <w:rPr>
                <w:rFonts w:ascii="Book Antiqua" w:hAnsi="Book Antiqua" w:cs="Times New Roman"/>
                <w:sz w:val="24"/>
                <w:szCs w:val="24"/>
              </w:rPr>
              <w:t>×</w:t>
            </w:r>
            <w:r w:rsidR="00542C92">
              <w:rPr>
                <w:rFonts w:ascii="Book Antiqua" w:eastAsia="宋体" w:hAnsi="Book Antiqua" w:cs="Calibri"/>
                <w:kern w:val="24"/>
                <w:sz w:val="24"/>
                <w:szCs w:val="24"/>
                <w:lang w:eastAsia="zh-CN"/>
              </w:rPr>
              <w:t xml:space="preserve"> V</w:t>
            </w:r>
            <w:r w:rsidRPr="00714401">
              <w:rPr>
                <w:rFonts w:ascii="Book Antiqua" w:eastAsia="宋体" w:hAnsi="Book Antiqua" w:cs="Calibri"/>
                <w:kern w:val="24"/>
                <w:position w:val="-8"/>
                <w:sz w:val="24"/>
                <w:szCs w:val="24"/>
                <w:vertAlign w:val="subscript"/>
                <w:lang w:eastAsia="zh-CN"/>
              </w:rPr>
              <w:t>D</w:t>
            </w:r>
            <w:r w:rsidRPr="00714401">
              <w:rPr>
                <w:rFonts w:ascii="Book Antiqua" w:eastAsia="宋体" w:hAnsi="Book Antiqua" w:cs="Calibri"/>
                <w:kern w:val="24"/>
                <w:sz w:val="24"/>
                <w:szCs w:val="24"/>
                <w:lang w:eastAsia="zh-CN"/>
              </w:rPr>
              <w:t>)</w:t>
            </w:r>
            <w:r w:rsidR="000215DB" w:rsidRPr="00714401">
              <w:rPr>
                <w:rFonts w:ascii="Book Antiqua" w:eastAsia="宋体" w:hAnsi="Book Antiqua" w:cs="Calibri" w:hint="eastAsia"/>
                <w:kern w:val="24"/>
                <w:sz w:val="24"/>
                <w:szCs w:val="24"/>
                <w:lang w:eastAsia="zh-CN"/>
              </w:rPr>
              <w:t xml:space="preserve"> </w:t>
            </w:r>
            <w:r w:rsidR="000215DB" w:rsidRPr="00714401">
              <w:rPr>
                <w:rFonts w:ascii="Book Antiqua" w:eastAsia="宋体" w:hAnsi="Book Antiqua" w:cs="Calibri"/>
                <w:kern w:val="24"/>
                <w:sz w:val="24"/>
                <w:szCs w:val="24"/>
                <w:lang w:eastAsia="zh-CN"/>
              </w:rPr>
              <w:t>CI</w:t>
            </w:r>
            <w:r w:rsidRPr="00714401">
              <w:rPr>
                <w:rFonts w:ascii="Book Antiqua" w:eastAsia="宋体" w:hAnsi="Book Antiqua" w:cs="Calibri"/>
                <w:kern w:val="24"/>
                <w:position w:val="-8"/>
                <w:sz w:val="24"/>
                <w:szCs w:val="24"/>
                <w:vertAlign w:val="subscript"/>
                <w:lang w:eastAsia="zh-CN"/>
              </w:rPr>
              <w:t>ICG</w:t>
            </w:r>
          </w:p>
        </w:tc>
        <w:tc>
          <w:tcPr>
            <w:tcW w:w="567" w:type="dxa"/>
            <w:shd w:val="clear" w:color="auto" w:fill="auto"/>
            <w:tcMar>
              <w:top w:w="72" w:type="dxa"/>
              <w:left w:w="144" w:type="dxa"/>
              <w:bottom w:w="72" w:type="dxa"/>
              <w:right w:w="144" w:type="dxa"/>
            </w:tcMar>
            <w:hideMark/>
          </w:tcPr>
          <w:p w:rsidR="00CA4569" w:rsidRPr="00714401" w:rsidRDefault="00CA4569" w:rsidP="00941033">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3</w:t>
            </w:r>
            <w:r w:rsidR="00941033"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 xml:space="preserve">5 </w:t>
            </w:r>
          </w:p>
        </w:tc>
      </w:tr>
      <w:tr w:rsidR="00714401" w:rsidRPr="00714401" w:rsidTr="00CA4569">
        <w:trPr>
          <w:trHeight w:val="753"/>
        </w:trPr>
        <w:tc>
          <w:tcPr>
            <w:tcW w:w="567" w:type="dxa"/>
            <w:shd w:val="clear" w:color="auto" w:fill="auto"/>
            <w:tcMar>
              <w:top w:w="72" w:type="dxa"/>
              <w:left w:w="144" w:type="dxa"/>
              <w:bottom w:w="72" w:type="dxa"/>
              <w:right w:w="144" w:type="dxa"/>
            </w:tcMar>
            <w:hideMark/>
          </w:tcPr>
          <w:p w:rsidR="00CA4569" w:rsidRPr="00714401" w:rsidRDefault="00941033"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Cl</w:t>
            </w:r>
            <w:r w:rsidR="00CA4569" w:rsidRPr="00714401">
              <w:rPr>
                <w:rFonts w:ascii="Book Antiqua" w:eastAsia="宋体" w:hAnsi="Book Antiqua" w:cs="Calibri"/>
                <w:kern w:val="24"/>
                <w:position w:val="-9"/>
                <w:sz w:val="24"/>
                <w:szCs w:val="24"/>
                <w:vertAlign w:val="subscript"/>
                <w:lang w:eastAsia="zh-CN"/>
              </w:rPr>
              <w:t>ICG</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 xml:space="preserve">ICG Clearance </w:t>
            </w:r>
          </w:p>
        </w:tc>
        <w:tc>
          <w:tcPr>
            <w:tcW w:w="567" w:type="dxa"/>
            <w:shd w:val="clear" w:color="auto" w:fill="auto"/>
            <w:tcMar>
              <w:top w:w="72" w:type="dxa"/>
              <w:left w:w="144" w:type="dxa"/>
              <w:bottom w:w="72" w:type="dxa"/>
              <w:right w:w="144" w:type="dxa"/>
            </w:tcMar>
            <w:hideMark/>
          </w:tcPr>
          <w:p w:rsidR="00CA4569" w:rsidRPr="00714401" w:rsidRDefault="00941033" w:rsidP="00941033">
            <w:pPr>
              <w:spacing w:after="0" w:line="240" w:lineRule="auto"/>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mL</w:t>
            </w:r>
            <w:r w:rsidRPr="00714401">
              <w:rPr>
                <w:rFonts w:ascii="Book Antiqua" w:eastAsia="宋体" w:hAnsi="Book Antiqua" w:cs="Calibri" w:hint="eastAsia"/>
                <w:kern w:val="24"/>
                <w:sz w:val="24"/>
                <w:szCs w:val="24"/>
                <w:lang w:eastAsia="zh-CN"/>
              </w:rPr>
              <w:t>/</w:t>
            </w:r>
            <w:r w:rsidR="00CA4569" w:rsidRPr="00714401">
              <w:rPr>
                <w:rFonts w:ascii="Book Antiqua" w:eastAsia="宋体" w:hAnsi="Book Antiqua" w:cs="Calibri"/>
                <w:kern w:val="24"/>
                <w:sz w:val="24"/>
                <w:szCs w:val="24"/>
                <w:lang w:eastAsia="zh-CN"/>
              </w:rPr>
              <w:t>min</w:t>
            </w:r>
            <w:r w:rsidR="00EC4728">
              <w:rPr>
                <w:rFonts w:ascii="Book Antiqua" w:eastAsia="宋体" w:hAnsi="Book Antiqua" w:cs="Calibri"/>
                <w:kern w:val="24"/>
                <w:sz w:val="24"/>
                <w:szCs w:val="24"/>
                <w:lang w:eastAsia="zh-CN"/>
              </w:rPr>
              <w:t xml:space="preserve"> </w:t>
            </w:r>
            <w:r w:rsidRPr="00714401">
              <w:rPr>
                <w:rFonts w:ascii="Book Antiqua" w:eastAsia="宋体" w:hAnsi="Book Antiqua" w:cs="Calibri" w:hint="eastAsia"/>
                <w:kern w:val="24"/>
                <w:sz w:val="24"/>
                <w:szCs w:val="24"/>
                <w:lang w:eastAsia="zh-CN"/>
              </w:rPr>
              <w:t>per</w:t>
            </w:r>
            <w:r w:rsidR="00CA4569" w:rsidRPr="00714401">
              <w:rPr>
                <w:rFonts w:ascii="Book Antiqua" w:eastAsia="宋体" w:hAnsi="Book Antiqua" w:cs="Calibri"/>
                <w:kern w:val="24"/>
                <w:sz w:val="24"/>
                <w:szCs w:val="24"/>
                <w:lang w:eastAsia="zh-CN"/>
              </w:rPr>
              <w:t xml:space="preserve"> </w:t>
            </w:r>
            <w:r w:rsidRPr="00714401">
              <w:rPr>
                <w:rFonts w:ascii="Book Antiqua" w:eastAsia="宋体" w:hAnsi="Book Antiqua" w:cs="Calibri"/>
                <w:kern w:val="24"/>
                <w:sz w:val="24"/>
                <w:szCs w:val="24"/>
                <w:lang w:eastAsia="zh-CN"/>
              </w:rPr>
              <w:t>kilogram</w:t>
            </w:r>
          </w:p>
        </w:tc>
        <w:tc>
          <w:tcPr>
            <w:tcW w:w="567" w:type="dxa"/>
            <w:shd w:val="clear" w:color="auto" w:fill="auto"/>
            <w:tcMar>
              <w:top w:w="72" w:type="dxa"/>
              <w:left w:w="144" w:type="dxa"/>
              <w:bottom w:w="72" w:type="dxa"/>
              <w:right w:w="144" w:type="dxa"/>
            </w:tcMar>
            <w:hideMark/>
          </w:tcPr>
          <w:p w:rsidR="00CA4569" w:rsidRPr="00714401" w:rsidRDefault="00CA4569" w:rsidP="00CA4569">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K</w:t>
            </w:r>
            <w:r w:rsidR="000215DB" w:rsidRPr="00714401">
              <w:rPr>
                <w:rFonts w:ascii="Book Antiqua" w:eastAsia="宋体" w:hAnsi="Book Antiqua" w:cs="Calibri" w:hint="eastAsia"/>
                <w:kern w:val="24"/>
                <w:sz w:val="24"/>
                <w:szCs w:val="24"/>
                <w:lang w:eastAsia="zh-CN"/>
              </w:rPr>
              <w:t xml:space="preserve"> </w:t>
            </w:r>
            <w:r w:rsidR="000215DB" w:rsidRPr="00714401">
              <w:rPr>
                <w:rFonts w:ascii="Book Antiqua" w:hAnsi="Book Antiqua" w:cs="Times New Roman"/>
                <w:sz w:val="24"/>
                <w:szCs w:val="24"/>
              </w:rPr>
              <w:t>×</w:t>
            </w:r>
            <w:r w:rsidR="00542C92">
              <w:rPr>
                <w:rFonts w:ascii="Book Antiqua" w:eastAsia="宋体" w:hAnsi="Book Antiqua" w:cs="Calibri"/>
                <w:kern w:val="24"/>
                <w:sz w:val="24"/>
                <w:szCs w:val="24"/>
                <w:lang w:eastAsia="zh-CN"/>
              </w:rPr>
              <w:t xml:space="preserve"> V</w:t>
            </w:r>
            <w:r w:rsidRPr="00714401">
              <w:rPr>
                <w:rFonts w:ascii="Book Antiqua" w:eastAsia="宋体" w:hAnsi="Book Antiqua" w:cs="Calibri"/>
                <w:kern w:val="24"/>
                <w:position w:val="-8"/>
                <w:sz w:val="24"/>
                <w:szCs w:val="24"/>
                <w:vertAlign w:val="subscript"/>
                <w:lang w:eastAsia="zh-CN"/>
              </w:rPr>
              <w:t>D</w:t>
            </w:r>
          </w:p>
        </w:tc>
        <w:tc>
          <w:tcPr>
            <w:tcW w:w="567" w:type="dxa"/>
            <w:shd w:val="clear" w:color="auto" w:fill="auto"/>
            <w:tcMar>
              <w:top w:w="72" w:type="dxa"/>
              <w:left w:w="144" w:type="dxa"/>
              <w:bottom w:w="72" w:type="dxa"/>
              <w:right w:w="144" w:type="dxa"/>
            </w:tcMar>
            <w:hideMark/>
          </w:tcPr>
          <w:p w:rsidR="00CA4569" w:rsidRPr="00714401" w:rsidRDefault="00CA4569" w:rsidP="00941033">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6</w:t>
            </w:r>
            <w:r w:rsidR="00941033"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12</w:t>
            </w:r>
          </w:p>
        </w:tc>
      </w:tr>
    </w:tbl>
    <w:p w:rsidR="00CA4569" w:rsidRPr="00714401" w:rsidRDefault="00CA4569" w:rsidP="00DF20ED">
      <w:pPr>
        <w:autoSpaceDE w:val="0"/>
        <w:autoSpaceDN w:val="0"/>
        <w:adjustRightInd w:val="0"/>
        <w:snapToGrid w:val="0"/>
        <w:spacing w:after="0" w:line="360" w:lineRule="auto"/>
        <w:jc w:val="both"/>
        <w:rPr>
          <w:rFonts w:ascii="Book Antiqua" w:hAnsi="Book Antiqua"/>
          <w:b/>
          <w:sz w:val="24"/>
          <w:szCs w:val="24"/>
          <w:lang w:val="en-US" w:eastAsia="zh-CN"/>
        </w:rPr>
      </w:pPr>
    </w:p>
    <w:p w:rsidR="000215DB" w:rsidRPr="00714401" w:rsidRDefault="000215DB" w:rsidP="000215DB">
      <w:pPr>
        <w:autoSpaceDE w:val="0"/>
        <w:autoSpaceDN w:val="0"/>
        <w:adjustRightInd w:val="0"/>
        <w:snapToGrid w:val="0"/>
        <w:spacing w:line="360" w:lineRule="auto"/>
        <w:jc w:val="both"/>
        <w:rPr>
          <w:rFonts w:ascii="Book Antiqua" w:hAnsi="Book Antiqua"/>
          <w:lang w:eastAsia="zh-CN"/>
        </w:rPr>
      </w:pPr>
      <w:r w:rsidRPr="00714401">
        <w:rPr>
          <w:rFonts w:ascii="Book Antiqua" w:hAnsi="Book Antiqua"/>
          <w:sz w:val="24"/>
          <w:szCs w:val="24"/>
          <w:lang w:eastAsia="zh-CN"/>
        </w:rPr>
        <w:t>e = Euler’s number (approximately 2.718)</w:t>
      </w:r>
      <w:r w:rsidRPr="00714401">
        <w:rPr>
          <w:rFonts w:ascii="Book Antiqua" w:hAnsi="Book Antiqua" w:hint="eastAsia"/>
          <w:sz w:val="24"/>
          <w:szCs w:val="24"/>
          <w:lang w:eastAsia="zh-CN"/>
        </w:rPr>
        <w:t xml:space="preserve">; </w:t>
      </w:r>
      <w:r w:rsidRPr="00714401">
        <w:rPr>
          <w:rFonts w:ascii="Book Antiqua" w:hAnsi="Book Antiqua"/>
          <w:lang w:val="en-US"/>
        </w:rPr>
        <w:t xml:space="preserve">k = fractional ICG concentration change per minute; </w:t>
      </w:r>
      <w:r w:rsidRPr="00714401">
        <w:rPr>
          <w:rFonts w:ascii="Book Antiqua" w:hAnsi="Book Antiqua"/>
        </w:rPr>
        <w:t>V</w:t>
      </w:r>
      <w:r w:rsidRPr="00714401">
        <w:rPr>
          <w:rFonts w:ascii="Book Antiqua" w:hAnsi="Book Antiqua"/>
          <w:vertAlign w:val="subscript"/>
        </w:rPr>
        <w:t>D</w:t>
      </w:r>
      <w:r w:rsidR="00EC4728">
        <w:rPr>
          <w:rFonts w:ascii="Book Antiqua" w:hAnsi="Book Antiqua"/>
        </w:rPr>
        <w:t xml:space="preserve"> </w:t>
      </w:r>
      <w:r w:rsidR="00010F12" w:rsidRPr="00714401">
        <w:rPr>
          <w:rFonts w:ascii="Book Antiqua" w:hAnsi="Book Antiqua"/>
        </w:rPr>
        <w:t>= ICG volume of distribution</w:t>
      </w:r>
      <w:r w:rsidRPr="00714401">
        <w:rPr>
          <w:rFonts w:ascii="Book Antiqua" w:hAnsi="Book Antiqua"/>
        </w:rPr>
        <w:t>; t = time</w:t>
      </w:r>
      <w:r w:rsidRPr="00714401">
        <w:rPr>
          <w:rFonts w:ascii="Book Antiqua" w:hAnsi="Book Antiqua" w:hint="eastAsia"/>
          <w:lang w:eastAsia="zh-CN"/>
        </w:rPr>
        <w:t>;</w:t>
      </w:r>
      <w:r w:rsidRPr="00714401">
        <w:rPr>
          <w:rFonts w:ascii="Book Antiqua" w:hAnsi="Book Antiqua"/>
        </w:rPr>
        <w:t xml:space="preserve"> C</w:t>
      </w:r>
      <w:r w:rsidRPr="00714401">
        <w:rPr>
          <w:rFonts w:ascii="Book Antiqua" w:hAnsi="Book Antiqua"/>
          <w:vertAlign w:val="subscript"/>
        </w:rPr>
        <w:t>ICG (t)</w:t>
      </w:r>
      <w:r w:rsidR="00EC4728">
        <w:rPr>
          <w:rFonts w:ascii="Book Antiqua" w:hAnsi="Book Antiqua"/>
        </w:rPr>
        <w:t xml:space="preserve"> </w:t>
      </w:r>
      <w:r w:rsidRPr="00714401">
        <w:rPr>
          <w:rFonts w:ascii="Book Antiqua" w:hAnsi="Book Antiqua"/>
        </w:rPr>
        <w:t>= ICG concentration at time point t (min); Cl</w:t>
      </w:r>
      <w:r w:rsidRPr="00714401">
        <w:rPr>
          <w:rFonts w:ascii="Book Antiqua" w:hAnsi="Book Antiqua"/>
          <w:vertAlign w:val="subscript"/>
        </w:rPr>
        <w:t>ICG</w:t>
      </w:r>
      <w:r w:rsidR="00EC4728">
        <w:rPr>
          <w:rFonts w:ascii="Book Antiqua" w:hAnsi="Book Antiqua"/>
          <w:vertAlign w:val="subscript"/>
        </w:rPr>
        <w:t xml:space="preserve"> </w:t>
      </w:r>
      <w:r w:rsidRPr="00714401">
        <w:rPr>
          <w:rFonts w:ascii="Book Antiqua" w:hAnsi="Book Antiqua"/>
        </w:rPr>
        <w:t>= ICG clearance (</w:t>
      </w:r>
      <w:r w:rsidRPr="00714401">
        <w:rPr>
          <w:rFonts w:ascii="Book Antiqua" w:eastAsia="宋体" w:hAnsi="Book Antiqua" w:cs="Calibri"/>
          <w:kern w:val="24"/>
          <w:sz w:val="24"/>
          <w:szCs w:val="24"/>
          <w:lang w:eastAsia="zh-CN"/>
        </w:rPr>
        <w:t>mL</w:t>
      </w:r>
      <w:r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min</w:t>
      </w:r>
      <w:r w:rsidR="00EC4728">
        <w:rPr>
          <w:rFonts w:ascii="Book Antiqua" w:eastAsia="宋体" w:hAnsi="Book Antiqua" w:cs="Calibri"/>
          <w:kern w:val="24"/>
          <w:sz w:val="24"/>
          <w:szCs w:val="24"/>
          <w:lang w:eastAsia="zh-CN"/>
        </w:rPr>
        <w:t xml:space="preserve"> </w:t>
      </w:r>
      <w:r w:rsidRPr="00714401">
        <w:rPr>
          <w:rFonts w:ascii="Book Antiqua" w:eastAsia="宋体" w:hAnsi="Book Antiqua" w:cs="Calibri" w:hint="eastAsia"/>
          <w:kern w:val="24"/>
          <w:sz w:val="24"/>
          <w:szCs w:val="24"/>
          <w:lang w:eastAsia="zh-CN"/>
        </w:rPr>
        <w:t>per</w:t>
      </w:r>
      <w:r w:rsidRPr="00714401">
        <w:rPr>
          <w:rFonts w:ascii="Book Antiqua" w:eastAsia="宋体" w:hAnsi="Book Antiqua" w:cs="Calibri"/>
          <w:kern w:val="24"/>
          <w:sz w:val="24"/>
          <w:szCs w:val="24"/>
          <w:lang w:eastAsia="zh-CN"/>
        </w:rPr>
        <w:t xml:space="preserve"> kilogram</w:t>
      </w:r>
      <w:r w:rsidRPr="00714401">
        <w:rPr>
          <w:rFonts w:ascii="Book Antiqua" w:hAnsi="Book Antiqua"/>
        </w:rPr>
        <w:t>)</w:t>
      </w:r>
      <w:r w:rsidRPr="00714401">
        <w:rPr>
          <w:rFonts w:ascii="Book Antiqua" w:hAnsi="Book Antiqua" w:hint="eastAsia"/>
          <w:lang w:eastAsia="zh-CN"/>
        </w:rPr>
        <w:t>.</w:t>
      </w:r>
      <w:r w:rsidRPr="00714401">
        <w:rPr>
          <w:rFonts w:ascii="Book Antiqua" w:hAnsi="Book Antiqua"/>
        </w:rPr>
        <w:t xml:space="preserve"> </w:t>
      </w:r>
      <w:r w:rsidR="00294650" w:rsidRPr="00714401">
        <w:rPr>
          <w:rFonts w:ascii="Book Antiqua" w:hAnsi="Book Antiqua"/>
          <w:lang w:val="en-US"/>
        </w:rPr>
        <w:t>ICG</w:t>
      </w:r>
      <w:r w:rsidR="00294650" w:rsidRPr="00714401">
        <w:rPr>
          <w:rFonts w:ascii="Book Antiqua" w:hAnsi="Book Antiqua" w:hint="eastAsia"/>
          <w:lang w:val="en-US" w:eastAsia="zh-CN"/>
        </w:rPr>
        <w:t>:</w:t>
      </w:r>
      <w:r w:rsidR="00294650" w:rsidRPr="00714401">
        <w:rPr>
          <w:rFonts w:ascii="Book Antiqua" w:hAnsi="Book Antiqua"/>
          <w:sz w:val="24"/>
          <w:szCs w:val="24"/>
          <w:lang w:val="en-US"/>
        </w:rPr>
        <w:t xml:space="preserve"> </w:t>
      </w:r>
      <w:proofErr w:type="spellStart"/>
      <w:r w:rsidR="00294650" w:rsidRPr="00714401">
        <w:rPr>
          <w:rFonts w:ascii="Book Antiqua" w:hAnsi="Book Antiqua"/>
          <w:sz w:val="24"/>
          <w:szCs w:val="24"/>
          <w:lang w:val="en-US"/>
        </w:rPr>
        <w:t>Indocyanine</w:t>
      </w:r>
      <w:proofErr w:type="spellEnd"/>
      <w:r w:rsidR="00294650" w:rsidRPr="00714401">
        <w:rPr>
          <w:rFonts w:ascii="Book Antiqua" w:hAnsi="Book Antiqua"/>
          <w:sz w:val="24"/>
          <w:szCs w:val="24"/>
          <w:lang w:val="en-US"/>
        </w:rPr>
        <w:t xml:space="preserve"> green</w:t>
      </w:r>
      <w:r w:rsidR="00294650" w:rsidRPr="00714401">
        <w:rPr>
          <w:rFonts w:ascii="Book Antiqua" w:hAnsi="Book Antiqua" w:hint="eastAsia"/>
          <w:sz w:val="24"/>
          <w:szCs w:val="24"/>
          <w:lang w:val="en-US" w:eastAsia="zh-CN"/>
        </w:rPr>
        <w:t>.</w:t>
      </w:r>
    </w:p>
    <w:p w:rsidR="00294650" w:rsidRPr="00714401" w:rsidRDefault="00294650">
      <w:pPr>
        <w:rPr>
          <w:rFonts w:ascii="Book Antiqua" w:hAnsi="Book Antiqua"/>
          <w:b/>
        </w:rPr>
      </w:pPr>
      <w:r w:rsidRPr="00714401">
        <w:rPr>
          <w:rFonts w:ascii="Book Antiqua" w:hAnsi="Book Antiqua"/>
          <w:b/>
        </w:rPr>
        <w:br w:type="page"/>
      </w:r>
    </w:p>
    <w:p w:rsidR="00DF20ED" w:rsidRPr="00714401" w:rsidRDefault="00F53214" w:rsidP="00DF20ED">
      <w:pPr>
        <w:pStyle w:val="Default"/>
        <w:snapToGrid w:val="0"/>
        <w:spacing w:line="360" w:lineRule="auto"/>
        <w:jc w:val="both"/>
        <w:rPr>
          <w:rFonts w:ascii="Book Antiqua" w:hAnsi="Book Antiqua"/>
          <w:b/>
          <w:color w:val="auto"/>
          <w:lang w:val="en-US"/>
        </w:rPr>
      </w:pPr>
      <w:r w:rsidRPr="00714401">
        <w:rPr>
          <w:rFonts w:ascii="Book Antiqua" w:hAnsi="Book Antiqua"/>
          <w:b/>
          <w:color w:val="auto"/>
          <w:lang w:val="en-US"/>
        </w:rPr>
        <w:lastRenderedPageBreak/>
        <w:t>Table 2</w:t>
      </w:r>
      <w:r w:rsidR="00DF20ED" w:rsidRPr="00714401">
        <w:rPr>
          <w:rFonts w:ascii="Book Antiqua" w:hAnsi="Book Antiqua"/>
          <w:b/>
          <w:color w:val="auto"/>
          <w:lang w:val="en-US"/>
        </w:rPr>
        <w:t xml:space="preserve"> Liver </w:t>
      </w:r>
      <w:r w:rsidRPr="00714401">
        <w:rPr>
          <w:rFonts w:ascii="Book Antiqua" w:hAnsi="Book Antiqua"/>
          <w:b/>
          <w:color w:val="auto"/>
          <w:lang w:val="en-US"/>
        </w:rPr>
        <w:t>damage grading sys</w:t>
      </w:r>
      <w:r w:rsidR="00DF20ED" w:rsidRPr="00714401">
        <w:rPr>
          <w:rFonts w:ascii="Book Antiqua" w:hAnsi="Book Antiqua"/>
          <w:b/>
          <w:color w:val="auto"/>
          <w:lang w:val="en-US"/>
        </w:rPr>
        <w:t>tem</w:t>
      </w:r>
      <w:r w:rsidRPr="00714401">
        <w:rPr>
          <w:rFonts w:ascii="Book Antiqua" w:hAnsi="Book Antiqua"/>
          <w:b/>
          <w:color w:val="auto"/>
          <w:lang w:val="en-US"/>
        </w:rPr>
        <w:t xml:space="preserve"> (</w:t>
      </w:r>
      <w:r w:rsidR="00DF20ED" w:rsidRPr="00714401">
        <w:rPr>
          <w:rFonts w:ascii="Book Antiqua" w:hAnsi="Book Antiqua"/>
          <w:b/>
          <w:color w:val="auto"/>
          <w:lang w:val="en-US"/>
        </w:rPr>
        <w:t xml:space="preserve">Mizuguchi </w:t>
      </w:r>
      <w:r w:rsidR="00DF20ED" w:rsidRPr="00714401">
        <w:rPr>
          <w:rFonts w:ascii="Book Antiqua" w:hAnsi="Book Antiqua"/>
          <w:b/>
          <w:i/>
          <w:color w:val="auto"/>
          <w:lang w:val="en-US"/>
        </w:rPr>
        <w:t xml:space="preserve">et </w:t>
      </w:r>
      <w:proofErr w:type="gramStart"/>
      <w:r w:rsidR="00DF20ED" w:rsidRPr="00714401">
        <w:rPr>
          <w:rFonts w:ascii="Book Antiqua" w:hAnsi="Book Antiqua"/>
          <w:b/>
          <w:i/>
          <w:color w:val="auto"/>
          <w:lang w:val="en-US"/>
        </w:rPr>
        <w:t>al</w:t>
      </w:r>
      <w:r w:rsidRPr="00714401">
        <w:rPr>
          <w:rFonts w:ascii="Book Antiqua" w:hAnsi="Book Antiqua" w:hint="eastAsia"/>
          <w:b/>
          <w:color w:val="auto"/>
          <w:vertAlign w:val="superscript"/>
          <w:lang w:val="en-US" w:eastAsia="zh-CN"/>
        </w:rPr>
        <w:t>[</w:t>
      </w:r>
      <w:proofErr w:type="gramEnd"/>
      <w:r w:rsidRPr="00714401">
        <w:rPr>
          <w:rFonts w:ascii="Book Antiqua" w:hAnsi="Book Antiqua" w:hint="eastAsia"/>
          <w:b/>
          <w:color w:val="auto"/>
          <w:vertAlign w:val="superscript"/>
          <w:lang w:val="en-US" w:eastAsia="zh-CN"/>
        </w:rPr>
        <w:t>8]</w:t>
      </w:r>
      <w:r w:rsidR="00DF20ED" w:rsidRPr="00714401">
        <w:rPr>
          <w:rFonts w:ascii="Book Antiqua" w:hAnsi="Book Antiqua"/>
          <w:b/>
          <w:color w:val="auto"/>
          <w:lang w:val="en-US"/>
        </w:rPr>
        <w:t xml:space="preserve">, 2014, modified) </w:t>
      </w:r>
    </w:p>
    <w:p w:rsidR="00DF20ED" w:rsidRPr="00714401" w:rsidRDefault="00DF20ED" w:rsidP="00DF20ED">
      <w:pPr>
        <w:pStyle w:val="Default"/>
        <w:snapToGrid w:val="0"/>
        <w:spacing w:line="360" w:lineRule="auto"/>
        <w:jc w:val="both"/>
        <w:rPr>
          <w:rFonts w:ascii="Book Antiqua" w:hAnsi="Book Antiqua"/>
          <w:b/>
          <w:color w:val="auto"/>
          <w:lang w:val="en-US"/>
        </w:rPr>
      </w:pP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02"/>
        <w:gridCol w:w="1142"/>
        <w:gridCol w:w="1371"/>
        <w:gridCol w:w="1142"/>
      </w:tblGrid>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Parameters</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Liver damage Grade A</w:t>
            </w:r>
          </w:p>
        </w:tc>
        <w:tc>
          <w:tcPr>
            <w:tcW w:w="1371"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Liver damage Grade B</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b/>
                <w:bCs/>
                <w:kern w:val="24"/>
                <w:sz w:val="24"/>
                <w:szCs w:val="24"/>
                <w:lang w:eastAsia="zh-CN"/>
              </w:rPr>
              <w:t>Liver damage Grade C</w:t>
            </w:r>
          </w:p>
        </w:tc>
      </w:tr>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Albumin (g/L)</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&gt;</w:t>
            </w:r>
            <w:r w:rsidR="00746920" w:rsidRPr="00714401">
              <w:rPr>
                <w:rFonts w:ascii="Book Antiqua" w:eastAsia="宋体" w:hAnsi="Book Antiqua" w:cs="Calibri" w:hint="eastAsia"/>
                <w:kern w:val="24"/>
                <w:sz w:val="24"/>
                <w:szCs w:val="24"/>
                <w:lang w:eastAsia="zh-CN"/>
              </w:rPr>
              <w:t xml:space="preserve"> </w:t>
            </w:r>
            <w:r w:rsidRPr="00714401">
              <w:rPr>
                <w:rFonts w:ascii="Book Antiqua" w:eastAsia="宋体" w:hAnsi="Book Antiqua" w:cs="Calibri"/>
                <w:kern w:val="24"/>
                <w:sz w:val="24"/>
                <w:szCs w:val="24"/>
                <w:lang w:eastAsia="zh-CN"/>
              </w:rPr>
              <w:t>3.5</w:t>
            </w:r>
          </w:p>
        </w:tc>
        <w:tc>
          <w:tcPr>
            <w:tcW w:w="1371" w:type="dxa"/>
            <w:shd w:val="clear" w:color="auto" w:fill="auto"/>
            <w:tcMar>
              <w:top w:w="72" w:type="dxa"/>
              <w:left w:w="144" w:type="dxa"/>
              <w:bottom w:w="72" w:type="dxa"/>
              <w:right w:w="144" w:type="dxa"/>
            </w:tcMar>
            <w:hideMark/>
          </w:tcPr>
          <w:p w:rsidR="00294650" w:rsidRPr="00714401" w:rsidRDefault="00294650" w:rsidP="0074692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3.5</w:t>
            </w:r>
            <w:r w:rsidR="00746920"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3</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3</w:t>
            </w:r>
          </w:p>
        </w:tc>
      </w:tr>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Bilirubin (mg/dL)</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2</w:t>
            </w:r>
          </w:p>
        </w:tc>
        <w:tc>
          <w:tcPr>
            <w:tcW w:w="1371" w:type="dxa"/>
            <w:shd w:val="clear" w:color="auto" w:fill="auto"/>
            <w:tcMar>
              <w:top w:w="72" w:type="dxa"/>
              <w:left w:w="144" w:type="dxa"/>
              <w:bottom w:w="72" w:type="dxa"/>
              <w:right w:w="144" w:type="dxa"/>
            </w:tcMar>
            <w:hideMark/>
          </w:tcPr>
          <w:p w:rsidR="00294650" w:rsidRPr="00714401" w:rsidRDefault="00294650" w:rsidP="0074692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2</w:t>
            </w:r>
            <w:r w:rsidR="00746920"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3</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3</w:t>
            </w:r>
          </w:p>
        </w:tc>
      </w:tr>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PT (%)</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&gt; 80</w:t>
            </w:r>
          </w:p>
        </w:tc>
        <w:tc>
          <w:tcPr>
            <w:tcW w:w="1371" w:type="dxa"/>
            <w:shd w:val="clear" w:color="auto" w:fill="auto"/>
            <w:tcMar>
              <w:top w:w="72" w:type="dxa"/>
              <w:left w:w="144" w:type="dxa"/>
              <w:bottom w:w="72" w:type="dxa"/>
              <w:right w:w="144" w:type="dxa"/>
            </w:tcMar>
            <w:hideMark/>
          </w:tcPr>
          <w:p w:rsidR="00294650" w:rsidRPr="00714401" w:rsidRDefault="00294650" w:rsidP="0074692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50</w:t>
            </w:r>
            <w:r w:rsidR="00746920"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80</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50</w:t>
            </w:r>
          </w:p>
        </w:tc>
      </w:tr>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Ascites</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None</w:t>
            </w:r>
          </w:p>
        </w:tc>
        <w:tc>
          <w:tcPr>
            <w:tcW w:w="1371"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Small or controlled</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Tense</w:t>
            </w:r>
          </w:p>
        </w:tc>
      </w:tr>
      <w:tr w:rsidR="00714401" w:rsidRPr="00714401" w:rsidTr="00746920">
        <w:trPr>
          <w:trHeight w:val="567"/>
        </w:trPr>
        <w:tc>
          <w:tcPr>
            <w:tcW w:w="150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IGC</w:t>
            </w:r>
            <w:r w:rsidRPr="00714401">
              <w:rPr>
                <w:rFonts w:ascii="Book Antiqua" w:eastAsia="宋体" w:hAnsi="Book Antiqua" w:cs="Calibri"/>
                <w:kern w:val="24"/>
                <w:position w:val="-9"/>
                <w:sz w:val="24"/>
                <w:szCs w:val="24"/>
                <w:vertAlign w:val="subscript"/>
                <w:lang w:eastAsia="zh-CN"/>
              </w:rPr>
              <w:t>R 15</w:t>
            </w:r>
            <w:r w:rsidRPr="00714401">
              <w:rPr>
                <w:rFonts w:ascii="Book Antiqua" w:eastAsia="宋体" w:hAnsi="Book Antiqua" w:cs="Calibri"/>
                <w:kern w:val="24"/>
                <w:sz w:val="24"/>
                <w:szCs w:val="24"/>
                <w:lang w:eastAsia="zh-CN"/>
              </w:rPr>
              <w:t xml:space="preserve"> %</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&lt; 15</w:t>
            </w:r>
          </w:p>
        </w:tc>
        <w:tc>
          <w:tcPr>
            <w:tcW w:w="1371" w:type="dxa"/>
            <w:shd w:val="clear" w:color="auto" w:fill="auto"/>
            <w:tcMar>
              <w:top w:w="72" w:type="dxa"/>
              <w:left w:w="144" w:type="dxa"/>
              <w:bottom w:w="72" w:type="dxa"/>
              <w:right w:w="144" w:type="dxa"/>
            </w:tcMar>
            <w:hideMark/>
          </w:tcPr>
          <w:p w:rsidR="00294650" w:rsidRPr="00714401" w:rsidRDefault="00294650" w:rsidP="0074692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15</w:t>
            </w:r>
            <w:r w:rsidR="00746920" w:rsidRPr="00714401">
              <w:rPr>
                <w:rFonts w:ascii="Book Antiqua" w:eastAsia="宋体" w:hAnsi="Book Antiqua" w:cs="Calibri" w:hint="eastAsia"/>
                <w:kern w:val="24"/>
                <w:sz w:val="24"/>
                <w:szCs w:val="24"/>
                <w:lang w:eastAsia="zh-CN"/>
              </w:rPr>
              <w:t>-</w:t>
            </w:r>
            <w:r w:rsidRPr="00714401">
              <w:rPr>
                <w:rFonts w:ascii="Book Antiqua" w:eastAsia="宋体" w:hAnsi="Book Antiqua" w:cs="Calibri"/>
                <w:kern w:val="24"/>
                <w:sz w:val="24"/>
                <w:szCs w:val="24"/>
                <w:lang w:eastAsia="zh-CN"/>
              </w:rPr>
              <w:t>40</w:t>
            </w:r>
          </w:p>
        </w:tc>
        <w:tc>
          <w:tcPr>
            <w:tcW w:w="1142" w:type="dxa"/>
            <w:shd w:val="clear" w:color="auto" w:fill="auto"/>
            <w:tcMar>
              <w:top w:w="72" w:type="dxa"/>
              <w:left w:w="144" w:type="dxa"/>
              <w:bottom w:w="72" w:type="dxa"/>
              <w:right w:w="144" w:type="dxa"/>
            </w:tcMar>
            <w:hideMark/>
          </w:tcPr>
          <w:p w:rsidR="00294650" w:rsidRPr="00714401" w:rsidRDefault="00294650" w:rsidP="00294650">
            <w:pPr>
              <w:spacing w:after="0" w:line="240" w:lineRule="auto"/>
              <w:jc w:val="center"/>
              <w:rPr>
                <w:rFonts w:ascii="Book Antiqua" w:eastAsia="宋体" w:hAnsi="Book Antiqua" w:cs="Arial"/>
                <w:sz w:val="24"/>
                <w:szCs w:val="24"/>
                <w:lang w:val="en-US" w:eastAsia="zh-CN"/>
              </w:rPr>
            </w:pPr>
            <w:r w:rsidRPr="00714401">
              <w:rPr>
                <w:rFonts w:ascii="Book Antiqua" w:eastAsia="宋体" w:hAnsi="Book Antiqua" w:cs="Calibri"/>
                <w:kern w:val="24"/>
                <w:sz w:val="24"/>
                <w:szCs w:val="24"/>
                <w:lang w:eastAsia="zh-CN"/>
              </w:rPr>
              <w:t>&gt; 40</w:t>
            </w:r>
          </w:p>
        </w:tc>
      </w:tr>
    </w:tbl>
    <w:p w:rsidR="00746920" w:rsidRPr="00714401" w:rsidRDefault="00746920" w:rsidP="00746920">
      <w:pPr>
        <w:pStyle w:val="Default"/>
        <w:snapToGrid w:val="0"/>
        <w:spacing w:line="360" w:lineRule="auto"/>
        <w:jc w:val="both"/>
        <w:rPr>
          <w:rFonts w:ascii="Book Antiqua" w:eastAsia="Arial Unicode MS" w:hAnsi="Book Antiqua" w:cs="Arial Unicode MS"/>
          <w:color w:val="auto"/>
          <w:lang w:val="en-US"/>
        </w:rPr>
      </w:pPr>
      <w:r w:rsidRPr="00714401">
        <w:rPr>
          <w:rFonts w:ascii="Book Antiqua" w:eastAsia="Arial Unicode MS" w:hAnsi="Book Antiqua" w:cs="Arial Unicode MS"/>
          <w:color w:val="auto"/>
        </w:rPr>
        <w:t xml:space="preserve">PT = Prothrombin activity; ICG </w:t>
      </w:r>
      <w:r w:rsidRPr="00714401">
        <w:rPr>
          <w:rFonts w:ascii="Book Antiqua" w:eastAsia="Arial Unicode MS" w:hAnsi="Book Antiqua" w:cs="Arial Unicode MS"/>
          <w:color w:val="auto"/>
          <w:vertAlign w:val="subscript"/>
        </w:rPr>
        <w:t xml:space="preserve">R15 </w:t>
      </w:r>
      <w:r w:rsidRPr="00714401">
        <w:rPr>
          <w:rFonts w:ascii="Book Antiqua" w:eastAsia="Arial Unicode MS" w:hAnsi="Book Antiqua" w:cs="Arial Unicode MS"/>
          <w:color w:val="auto"/>
        </w:rPr>
        <w:t>= indocyanine green Retention ratio at 15 min</w:t>
      </w:r>
      <w:r w:rsidRPr="00714401">
        <w:rPr>
          <w:rFonts w:ascii="Book Antiqua" w:eastAsia="Arial Unicode MS" w:hAnsi="Book Antiqua" w:cs="Arial Unicode MS" w:hint="eastAsia"/>
          <w:color w:val="auto"/>
          <w:lang w:eastAsia="zh-CN"/>
        </w:rPr>
        <w:t>.</w:t>
      </w:r>
      <w:r w:rsidRPr="00714401">
        <w:rPr>
          <w:rFonts w:ascii="Book Antiqua" w:eastAsia="Arial Unicode MS" w:hAnsi="Book Antiqua" w:cs="Arial Unicode MS"/>
          <w:color w:val="auto"/>
        </w:rPr>
        <w:t xml:space="preserve"> </w:t>
      </w:r>
    </w:p>
    <w:p w:rsidR="00CE0DA8" w:rsidRPr="00714401" w:rsidRDefault="00CE0DA8" w:rsidP="00F53214">
      <w:pPr>
        <w:rPr>
          <w:rFonts w:ascii="Book Antiqua" w:eastAsia="Arial Unicode MS" w:hAnsi="Book Antiqua" w:cs="Arial Unicode MS"/>
          <w:b/>
          <w:sz w:val="24"/>
          <w:szCs w:val="24"/>
          <w:lang w:val="en-US" w:eastAsia="zh-CN"/>
        </w:rPr>
      </w:pPr>
    </w:p>
    <w:sectPr w:rsidR="00CE0DA8" w:rsidRPr="00714401" w:rsidSect="001620E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4B" w:rsidRDefault="00FB784B" w:rsidP="006758C6">
      <w:pPr>
        <w:spacing w:after="0" w:line="240" w:lineRule="auto"/>
      </w:pPr>
      <w:r>
        <w:separator/>
      </w:r>
    </w:p>
  </w:endnote>
  <w:endnote w:type="continuationSeparator" w:id="0">
    <w:p w:rsidR="00FB784B" w:rsidRDefault="00FB784B" w:rsidP="0067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4B" w:rsidRDefault="00FB784B" w:rsidP="006758C6">
      <w:pPr>
        <w:spacing w:after="0" w:line="240" w:lineRule="auto"/>
      </w:pPr>
      <w:r>
        <w:separator/>
      </w:r>
    </w:p>
  </w:footnote>
  <w:footnote w:type="continuationSeparator" w:id="0">
    <w:p w:rsidR="00FB784B" w:rsidRDefault="00FB784B" w:rsidP="006758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245"/>
    <w:multiLevelType w:val="multilevel"/>
    <w:tmpl w:val="6BB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6A70"/>
    <w:multiLevelType w:val="hybridMultilevel"/>
    <w:tmpl w:val="3A02E1B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252A13"/>
    <w:multiLevelType w:val="hybridMultilevel"/>
    <w:tmpl w:val="8C9CBF6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EBF5719"/>
    <w:multiLevelType w:val="hybridMultilevel"/>
    <w:tmpl w:val="3E52249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04C7562"/>
    <w:multiLevelType w:val="hybridMultilevel"/>
    <w:tmpl w:val="39248490"/>
    <w:lvl w:ilvl="0" w:tplc="04100011">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182A31A1"/>
    <w:multiLevelType w:val="hybridMultilevel"/>
    <w:tmpl w:val="59244D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0E7143E"/>
    <w:multiLevelType w:val="hybridMultilevel"/>
    <w:tmpl w:val="C68C6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14D32EC"/>
    <w:multiLevelType w:val="hybridMultilevel"/>
    <w:tmpl w:val="A2F4D4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A77CBF"/>
    <w:multiLevelType w:val="hybridMultilevel"/>
    <w:tmpl w:val="E542A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A07931"/>
    <w:multiLevelType w:val="hybridMultilevel"/>
    <w:tmpl w:val="ED1AA5A4"/>
    <w:lvl w:ilvl="0" w:tplc="BF024308">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2B2102"/>
    <w:multiLevelType w:val="hybridMultilevel"/>
    <w:tmpl w:val="1AC20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B65A67"/>
    <w:multiLevelType w:val="hybridMultilevel"/>
    <w:tmpl w:val="A1BC2100"/>
    <w:lvl w:ilvl="0" w:tplc="0410000F">
      <w:start w:val="1"/>
      <w:numFmt w:val="decimal"/>
      <w:lvlText w:val="%1."/>
      <w:lvlJc w:val="left"/>
      <w:pPr>
        <w:ind w:left="2844" w:hanging="360"/>
      </w:pPr>
    </w:lvl>
    <w:lvl w:ilvl="1" w:tplc="04100019">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num w:numId="1">
    <w:abstractNumId w:val="8"/>
  </w:num>
  <w:num w:numId="2">
    <w:abstractNumId w:val="7"/>
  </w:num>
  <w:num w:numId="3">
    <w:abstractNumId w:val="11"/>
  </w:num>
  <w:num w:numId="4">
    <w:abstractNumId w:val="4"/>
  </w:num>
  <w:num w:numId="5">
    <w:abstractNumId w:val="1"/>
  </w:num>
  <w:num w:numId="6">
    <w:abstractNumId w:val="9"/>
  </w:num>
  <w:num w:numId="7">
    <w:abstractNumId w:val="5"/>
  </w:num>
  <w:num w:numId="8">
    <w:abstractNumId w:val="3"/>
  </w:num>
  <w:num w:numId="9">
    <w:abstractNumId w:val="6"/>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9"/>
    <w:rsid w:val="00000273"/>
    <w:rsid w:val="00000AF4"/>
    <w:rsid w:val="00002F91"/>
    <w:rsid w:val="000033A3"/>
    <w:rsid w:val="000041D9"/>
    <w:rsid w:val="00006045"/>
    <w:rsid w:val="00010F12"/>
    <w:rsid w:val="00011C52"/>
    <w:rsid w:val="00015A6F"/>
    <w:rsid w:val="00015E2B"/>
    <w:rsid w:val="00017FA3"/>
    <w:rsid w:val="00021310"/>
    <w:rsid w:val="000215DB"/>
    <w:rsid w:val="0002523A"/>
    <w:rsid w:val="0002597D"/>
    <w:rsid w:val="00031472"/>
    <w:rsid w:val="00031AE2"/>
    <w:rsid w:val="0003224A"/>
    <w:rsid w:val="0003292D"/>
    <w:rsid w:val="00032A63"/>
    <w:rsid w:val="00033321"/>
    <w:rsid w:val="00035D0D"/>
    <w:rsid w:val="0003719C"/>
    <w:rsid w:val="00037F98"/>
    <w:rsid w:val="0004358D"/>
    <w:rsid w:val="0004394C"/>
    <w:rsid w:val="00043B2C"/>
    <w:rsid w:val="000444B7"/>
    <w:rsid w:val="00044A9B"/>
    <w:rsid w:val="00052AB8"/>
    <w:rsid w:val="00052C76"/>
    <w:rsid w:val="00055745"/>
    <w:rsid w:val="00057673"/>
    <w:rsid w:val="00065804"/>
    <w:rsid w:val="000667B4"/>
    <w:rsid w:val="00067732"/>
    <w:rsid w:val="00067BAC"/>
    <w:rsid w:val="000708A6"/>
    <w:rsid w:val="000737EF"/>
    <w:rsid w:val="000757F5"/>
    <w:rsid w:val="00077AB9"/>
    <w:rsid w:val="00081CCC"/>
    <w:rsid w:val="00081D08"/>
    <w:rsid w:val="00082EA3"/>
    <w:rsid w:val="00084FD3"/>
    <w:rsid w:val="00085481"/>
    <w:rsid w:val="00085F14"/>
    <w:rsid w:val="00090DAB"/>
    <w:rsid w:val="00092363"/>
    <w:rsid w:val="00093A3E"/>
    <w:rsid w:val="00094154"/>
    <w:rsid w:val="000A014E"/>
    <w:rsid w:val="000A01E3"/>
    <w:rsid w:val="000A2AE3"/>
    <w:rsid w:val="000A44A4"/>
    <w:rsid w:val="000A62B9"/>
    <w:rsid w:val="000A7BC6"/>
    <w:rsid w:val="000B1BC7"/>
    <w:rsid w:val="000B5C36"/>
    <w:rsid w:val="000B601B"/>
    <w:rsid w:val="000C1929"/>
    <w:rsid w:val="000C20C5"/>
    <w:rsid w:val="000C7452"/>
    <w:rsid w:val="000D0812"/>
    <w:rsid w:val="000D2935"/>
    <w:rsid w:val="000D4338"/>
    <w:rsid w:val="000D5FFE"/>
    <w:rsid w:val="000E0AE7"/>
    <w:rsid w:val="000E29F1"/>
    <w:rsid w:val="000E3BBC"/>
    <w:rsid w:val="000E3C4E"/>
    <w:rsid w:val="000E422A"/>
    <w:rsid w:val="000E514F"/>
    <w:rsid w:val="000E706E"/>
    <w:rsid w:val="000E7C5E"/>
    <w:rsid w:val="000F2537"/>
    <w:rsid w:val="000F34FE"/>
    <w:rsid w:val="000F3629"/>
    <w:rsid w:val="000F3691"/>
    <w:rsid w:val="000F4151"/>
    <w:rsid w:val="000F48FC"/>
    <w:rsid w:val="000F7495"/>
    <w:rsid w:val="00100961"/>
    <w:rsid w:val="0010214B"/>
    <w:rsid w:val="00103796"/>
    <w:rsid w:val="001037B0"/>
    <w:rsid w:val="0010654F"/>
    <w:rsid w:val="0010694C"/>
    <w:rsid w:val="00106A5C"/>
    <w:rsid w:val="001076BB"/>
    <w:rsid w:val="0011050B"/>
    <w:rsid w:val="001111D7"/>
    <w:rsid w:val="00112317"/>
    <w:rsid w:val="00114DBD"/>
    <w:rsid w:val="001151C0"/>
    <w:rsid w:val="0012123A"/>
    <w:rsid w:val="00123847"/>
    <w:rsid w:val="00124456"/>
    <w:rsid w:val="00124914"/>
    <w:rsid w:val="00127569"/>
    <w:rsid w:val="00133B37"/>
    <w:rsid w:val="001368A8"/>
    <w:rsid w:val="00137D60"/>
    <w:rsid w:val="001401B6"/>
    <w:rsid w:val="00140214"/>
    <w:rsid w:val="00141464"/>
    <w:rsid w:val="00141A8D"/>
    <w:rsid w:val="00143B57"/>
    <w:rsid w:val="00145AF3"/>
    <w:rsid w:val="00146845"/>
    <w:rsid w:val="00151C15"/>
    <w:rsid w:val="0015244C"/>
    <w:rsid w:val="0015248A"/>
    <w:rsid w:val="00152576"/>
    <w:rsid w:val="00152735"/>
    <w:rsid w:val="001560B9"/>
    <w:rsid w:val="001620E6"/>
    <w:rsid w:val="00163CAD"/>
    <w:rsid w:val="00163CB4"/>
    <w:rsid w:val="00164E50"/>
    <w:rsid w:val="00164E8F"/>
    <w:rsid w:val="0016751D"/>
    <w:rsid w:val="0017122A"/>
    <w:rsid w:val="001738B9"/>
    <w:rsid w:val="001804A3"/>
    <w:rsid w:val="00181BA4"/>
    <w:rsid w:val="00187757"/>
    <w:rsid w:val="00190078"/>
    <w:rsid w:val="0019270F"/>
    <w:rsid w:val="0019450F"/>
    <w:rsid w:val="00196E6B"/>
    <w:rsid w:val="00196F7F"/>
    <w:rsid w:val="001A1937"/>
    <w:rsid w:val="001A338D"/>
    <w:rsid w:val="001A646C"/>
    <w:rsid w:val="001B129A"/>
    <w:rsid w:val="001B4B7A"/>
    <w:rsid w:val="001B53D9"/>
    <w:rsid w:val="001B5A2E"/>
    <w:rsid w:val="001B5D98"/>
    <w:rsid w:val="001B7A93"/>
    <w:rsid w:val="001C24A1"/>
    <w:rsid w:val="001C420A"/>
    <w:rsid w:val="001D395B"/>
    <w:rsid w:val="001D3FC1"/>
    <w:rsid w:val="001D63B0"/>
    <w:rsid w:val="001D6497"/>
    <w:rsid w:val="001D79A3"/>
    <w:rsid w:val="001E0CC4"/>
    <w:rsid w:val="001E2414"/>
    <w:rsid w:val="001E271C"/>
    <w:rsid w:val="001E4B02"/>
    <w:rsid w:val="001F1E0C"/>
    <w:rsid w:val="001F4610"/>
    <w:rsid w:val="001F5077"/>
    <w:rsid w:val="001F55F8"/>
    <w:rsid w:val="001F5830"/>
    <w:rsid w:val="001F7E78"/>
    <w:rsid w:val="00206FF2"/>
    <w:rsid w:val="00212A4E"/>
    <w:rsid w:val="002137D3"/>
    <w:rsid w:val="00214F4C"/>
    <w:rsid w:val="0021728C"/>
    <w:rsid w:val="002175AE"/>
    <w:rsid w:val="002223E9"/>
    <w:rsid w:val="00223141"/>
    <w:rsid w:val="00223EAC"/>
    <w:rsid w:val="002252FB"/>
    <w:rsid w:val="002264F1"/>
    <w:rsid w:val="00230F23"/>
    <w:rsid w:val="0023570F"/>
    <w:rsid w:val="00235C39"/>
    <w:rsid w:val="00236D40"/>
    <w:rsid w:val="002403B7"/>
    <w:rsid w:val="00240528"/>
    <w:rsid w:val="0024119C"/>
    <w:rsid w:val="002434D7"/>
    <w:rsid w:val="00243F38"/>
    <w:rsid w:val="002443E3"/>
    <w:rsid w:val="00245425"/>
    <w:rsid w:val="002459CD"/>
    <w:rsid w:val="002470FC"/>
    <w:rsid w:val="002473CE"/>
    <w:rsid w:val="00250325"/>
    <w:rsid w:val="00250E11"/>
    <w:rsid w:val="00256519"/>
    <w:rsid w:val="00257319"/>
    <w:rsid w:val="002575AB"/>
    <w:rsid w:val="00262048"/>
    <w:rsid w:val="00262642"/>
    <w:rsid w:val="00264177"/>
    <w:rsid w:val="00264A11"/>
    <w:rsid w:val="00271988"/>
    <w:rsid w:val="00271A44"/>
    <w:rsid w:val="002738AB"/>
    <w:rsid w:val="002741A4"/>
    <w:rsid w:val="0027538A"/>
    <w:rsid w:val="00275D2A"/>
    <w:rsid w:val="00276BE0"/>
    <w:rsid w:val="002816CB"/>
    <w:rsid w:val="002826AA"/>
    <w:rsid w:val="002909BB"/>
    <w:rsid w:val="00293B0E"/>
    <w:rsid w:val="00294650"/>
    <w:rsid w:val="00294DCC"/>
    <w:rsid w:val="002A010D"/>
    <w:rsid w:val="002A2890"/>
    <w:rsid w:val="002A347D"/>
    <w:rsid w:val="002A43BD"/>
    <w:rsid w:val="002A5EA6"/>
    <w:rsid w:val="002A7601"/>
    <w:rsid w:val="002A7AC8"/>
    <w:rsid w:val="002B0236"/>
    <w:rsid w:val="002B08D2"/>
    <w:rsid w:val="002B1B6C"/>
    <w:rsid w:val="002B2F5F"/>
    <w:rsid w:val="002B4500"/>
    <w:rsid w:val="002C09BC"/>
    <w:rsid w:val="002C3174"/>
    <w:rsid w:val="002C342C"/>
    <w:rsid w:val="002C5830"/>
    <w:rsid w:val="002C608C"/>
    <w:rsid w:val="002D06DE"/>
    <w:rsid w:val="002D0A64"/>
    <w:rsid w:val="002D1C39"/>
    <w:rsid w:val="002D2FAF"/>
    <w:rsid w:val="002D4555"/>
    <w:rsid w:val="002D52C9"/>
    <w:rsid w:val="002D5B7D"/>
    <w:rsid w:val="002D6E7C"/>
    <w:rsid w:val="002E188F"/>
    <w:rsid w:val="002E48E8"/>
    <w:rsid w:val="002E5296"/>
    <w:rsid w:val="002E6221"/>
    <w:rsid w:val="002E65BB"/>
    <w:rsid w:val="002E76DD"/>
    <w:rsid w:val="002F228E"/>
    <w:rsid w:val="002F4401"/>
    <w:rsid w:val="002F5FDE"/>
    <w:rsid w:val="003002FE"/>
    <w:rsid w:val="00302173"/>
    <w:rsid w:val="00302B47"/>
    <w:rsid w:val="00302D16"/>
    <w:rsid w:val="00303E8D"/>
    <w:rsid w:val="00305C49"/>
    <w:rsid w:val="00307845"/>
    <w:rsid w:val="00313561"/>
    <w:rsid w:val="00313DE1"/>
    <w:rsid w:val="00314243"/>
    <w:rsid w:val="00316209"/>
    <w:rsid w:val="00320242"/>
    <w:rsid w:val="00322A1B"/>
    <w:rsid w:val="0032341F"/>
    <w:rsid w:val="0033436F"/>
    <w:rsid w:val="003352B6"/>
    <w:rsid w:val="00335E75"/>
    <w:rsid w:val="003416B5"/>
    <w:rsid w:val="003422C6"/>
    <w:rsid w:val="0034290D"/>
    <w:rsid w:val="003443EF"/>
    <w:rsid w:val="003528E0"/>
    <w:rsid w:val="00353E12"/>
    <w:rsid w:val="00356C46"/>
    <w:rsid w:val="00357EB8"/>
    <w:rsid w:val="00361EA9"/>
    <w:rsid w:val="00361ED7"/>
    <w:rsid w:val="00363708"/>
    <w:rsid w:val="00363EA4"/>
    <w:rsid w:val="00364FCB"/>
    <w:rsid w:val="00377B8B"/>
    <w:rsid w:val="00382E1E"/>
    <w:rsid w:val="00384B4F"/>
    <w:rsid w:val="00386201"/>
    <w:rsid w:val="0038716E"/>
    <w:rsid w:val="0038733C"/>
    <w:rsid w:val="003905F4"/>
    <w:rsid w:val="0039377E"/>
    <w:rsid w:val="00395DDD"/>
    <w:rsid w:val="00396001"/>
    <w:rsid w:val="003A11B3"/>
    <w:rsid w:val="003A59A9"/>
    <w:rsid w:val="003A6E22"/>
    <w:rsid w:val="003A77B9"/>
    <w:rsid w:val="003A7F64"/>
    <w:rsid w:val="003B2AB0"/>
    <w:rsid w:val="003B5326"/>
    <w:rsid w:val="003B5A78"/>
    <w:rsid w:val="003C0626"/>
    <w:rsid w:val="003C187A"/>
    <w:rsid w:val="003C316D"/>
    <w:rsid w:val="003C796F"/>
    <w:rsid w:val="003D1976"/>
    <w:rsid w:val="003D3BD0"/>
    <w:rsid w:val="003D6F13"/>
    <w:rsid w:val="003E02E5"/>
    <w:rsid w:val="003E132E"/>
    <w:rsid w:val="003E2851"/>
    <w:rsid w:val="003E3A29"/>
    <w:rsid w:val="003E68BE"/>
    <w:rsid w:val="003E6C47"/>
    <w:rsid w:val="003F0CA5"/>
    <w:rsid w:val="003F2F55"/>
    <w:rsid w:val="00402C19"/>
    <w:rsid w:val="00405D50"/>
    <w:rsid w:val="00406A16"/>
    <w:rsid w:val="00411815"/>
    <w:rsid w:val="004126BC"/>
    <w:rsid w:val="00412CEE"/>
    <w:rsid w:val="00415ACA"/>
    <w:rsid w:val="00416FD7"/>
    <w:rsid w:val="00417366"/>
    <w:rsid w:val="00420AA9"/>
    <w:rsid w:val="00421D56"/>
    <w:rsid w:val="0042345B"/>
    <w:rsid w:val="004254E9"/>
    <w:rsid w:val="004256E5"/>
    <w:rsid w:val="004304E9"/>
    <w:rsid w:val="00436AE2"/>
    <w:rsid w:val="00442CD8"/>
    <w:rsid w:val="004435C7"/>
    <w:rsid w:val="004466E4"/>
    <w:rsid w:val="0044672B"/>
    <w:rsid w:val="0045081E"/>
    <w:rsid w:val="00451030"/>
    <w:rsid w:val="00451A73"/>
    <w:rsid w:val="00454012"/>
    <w:rsid w:val="00456BC9"/>
    <w:rsid w:val="004618DB"/>
    <w:rsid w:val="00465957"/>
    <w:rsid w:val="00465A6E"/>
    <w:rsid w:val="00467DB5"/>
    <w:rsid w:val="00471AD1"/>
    <w:rsid w:val="00472599"/>
    <w:rsid w:val="00472E75"/>
    <w:rsid w:val="00473521"/>
    <w:rsid w:val="00474164"/>
    <w:rsid w:val="00474B95"/>
    <w:rsid w:val="0047787C"/>
    <w:rsid w:val="00481224"/>
    <w:rsid w:val="00483957"/>
    <w:rsid w:val="00484B22"/>
    <w:rsid w:val="00485923"/>
    <w:rsid w:val="0048702F"/>
    <w:rsid w:val="004876ED"/>
    <w:rsid w:val="00492582"/>
    <w:rsid w:val="00492BDB"/>
    <w:rsid w:val="004A1D19"/>
    <w:rsid w:val="004A3EDF"/>
    <w:rsid w:val="004A6C1E"/>
    <w:rsid w:val="004A6EB0"/>
    <w:rsid w:val="004B1879"/>
    <w:rsid w:val="004B1F4B"/>
    <w:rsid w:val="004B409B"/>
    <w:rsid w:val="004B4DD5"/>
    <w:rsid w:val="004B6579"/>
    <w:rsid w:val="004B697A"/>
    <w:rsid w:val="004B6A9F"/>
    <w:rsid w:val="004B6CE2"/>
    <w:rsid w:val="004B7BAF"/>
    <w:rsid w:val="004C2253"/>
    <w:rsid w:val="004C2BD5"/>
    <w:rsid w:val="004C57B7"/>
    <w:rsid w:val="004D0443"/>
    <w:rsid w:val="004D13CB"/>
    <w:rsid w:val="004D1499"/>
    <w:rsid w:val="004D24EF"/>
    <w:rsid w:val="004D4481"/>
    <w:rsid w:val="004D5352"/>
    <w:rsid w:val="004D5359"/>
    <w:rsid w:val="004D57C9"/>
    <w:rsid w:val="004D72BB"/>
    <w:rsid w:val="004D7C9D"/>
    <w:rsid w:val="004E086F"/>
    <w:rsid w:val="004E233F"/>
    <w:rsid w:val="004E5330"/>
    <w:rsid w:val="004E5D95"/>
    <w:rsid w:val="004F1B32"/>
    <w:rsid w:val="004F3C8A"/>
    <w:rsid w:val="004F4F1E"/>
    <w:rsid w:val="004F60A6"/>
    <w:rsid w:val="004F6103"/>
    <w:rsid w:val="005044AB"/>
    <w:rsid w:val="005107BB"/>
    <w:rsid w:val="00512348"/>
    <w:rsid w:val="00512647"/>
    <w:rsid w:val="00513EB1"/>
    <w:rsid w:val="00516EA0"/>
    <w:rsid w:val="00517C99"/>
    <w:rsid w:val="0052102E"/>
    <w:rsid w:val="005222B2"/>
    <w:rsid w:val="005266A0"/>
    <w:rsid w:val="005303FA"/>
    <w:rsid w:val="00530751"/>
    <w:rsid w:val="0053092A"/>
    <w:rsid w:val="00530B07"/>
    <w:rsid w:val="00532B34"/>
    <w:rsid w:val="00533FA3"/>
    <w:rsid w:val="005368CF"/>
    <w:rsid w:val="00536C19"/>
    <w:rsid w:val="00540830"/>
    <w:rsid w:val="00542C92"/>
    <w:rsid w:val="0054474D"/>
    <w:rsid w:val="00547B7F"/>
    <w:rsid w:val="005510B5"/>
    <w:rsid w:val="00552A54"/>
    <w:rsid w:val="00561022"/>
    <w:rsid w:val="0056692E"/>
    <w:rsid w:val="00566D08"/>
    <w:rsid w:val="00567107"/>
    <w:rsid w:val="00570484"/>
    <w:rsid w:val="00570EAA"/>
    <w:rsid w:val="00571F6F"/>
    <w:rsid w:val="00572069"/>
    <w:rsid w:val="00572BC8"/>
    <w:rsid w:val="0057399E"/>
    <w:rsid w:val="00574A3C"/>
    <w:rsid w:val="00574A42"/>
    <w:rsid w:val="005849CF"/>
    <w:rsid w:val="00587207"/>
    <w:rsid w:val="00590F0B"/>
    <w:rsid w:val="00591A1C"/>
    <w:rsid w:val="0059204B"/>
    <w:rsid w:val="00592472"/>
    <w:rsid w:val="005939F9"/>
    <w:rsid w:val="00593FCD"/>
    <w:rsid w:val="00595A4B"/>
    <w:rsid w:val="005977A3"/>
    <w:rsid w:val="005A0624"/>
    <w:rsid w:val="005A083B"/>
    <w:rsid w:val="005A1259"/>
    <w:rsid w:val="005A1B69"/>
    <w:rsid w:val="005A39B0"/>
    <w:rsid w:val="005A575D"/>
    <w:rsid w:val="005A7B69"/>
    <w:rsid w:val="005B14C7"/>
    <w:rsid w:val="005B27FE"/>
    <w:rsid w:val="005B5219"/>
    <w:rsid w:val="005B5B05"/>
    <w:rsid w:val="005B6C7F"/>
    <w:rsid w:val="005B7568"/>
    <w:rsid w:val="005C17BA"/>
    <w:rsid w:val="005C1ECF"/>
    <w:rsid w:val="005C1EFD"/>
    <w:rsid w:val="005C26E6"/>
    <w:rsid w:val="005C3723"/>
    <w:rsid w:val="005C4367"/>
    <w:rsid w:val="005C64D3"/>
    <w:rsid w:val="005C7B33"/>
    <w:rsid w:val="005D029D"/>
    <w:rsid w:val="005D056F"/>
    <w:rsid w:val="005D096D"/>
    <w:rsid w:val="005D1A0E"/>
    <w:rsid w:val="005D3F05"/>
    <w:rsid w:val="005D513D"/>
    <w:rsid w:val="005D57C6"/>
    <w:rsid w:val="005D6447"/>
    <w:rsid w:val="005E008B"/>
    <w:rsid w:val="005E2D6F"/>
    <w:rsid w:val="005E6953"/>
    <w:rsid w:val="005F1659"/>
    <w:rsid w:val="005F4B5B"/>
    <w:rsid w:val="005F7062"/>
    <w:rsid w:val="006000D3"/>
    <w:rsid w:val="00600B69"/>
    <w:rsid w:val="006021EF"/>
    <w:rsid w:val="006046E5"/>
    <w:rsid w:val="0060504F"/>
    <w:rsid w:val="00606B71"/>
    <w:rsid w:val="00610290"/>
    <w:rsid w:val="006105FE"/>
    <w:rsid w:val="00610713"/>
    <w:rsid w:val="0061556A"/>
    <w:rsid w:val="00615639"/>
    <w:rsid w:val="00616584"/>
    <w:rsid w:val="00617F4E"/>
    <w:rsid w:val="00617FFD"/>
    <w:rsid w:val="006202EA"/>
    <w:rsid w:val="0063155E"/>
    <w:rsid w:val="006317CE"/>
    <w:rsid w:val="00631842"/>
    <w:rsid w:val="00637095"/>
    <w:rsid w:val="0064081F"/>
    <w:rsid w:val="00641579"/>
    <w:rsid w:val="006418D8"/>
    <w:rsid w:val="00642162"/>
    <w:rsid w:val="00642234"/>
    <w:rsid w:val="006423C7"/>
    <w:rsid w:val="0064411C"/>
    <w:rsid w:val="00644DC5"/>
    <w:rsid w:val="00647103"/>
    <w:rsid w:val="00651CC6"/>
    <w:rsid w:val="006536C9"/>
    <w:rsid w:val="00654507"/>
    <w:rsid w:val="00656BD4"/>
    <w:rsid w:val="006579C2"/>
    <w:rsid w:val="006636CD"/>
    <w:rsid w:val="006662C3"/>
    <w:rsid w:val="00667E98"/>
    <w:rsid w:val="006706CC"/>
    <w:rsid w:val="00673021"/>
    <w:rsid w:val="00673050"/>
    <w:rsid w:val="0067331E"/>
    <w:rsid w:val="00674112"/>
    <w:rsid w:val="006754B4"/>
    <w:rsid w:val="006758C6"/>
    <w:rsid w:val="00675ED3"/>
    <w:rsid w:val="00677763"/>
    <w:rsid w:val="00677AA8"/>
    <w:rsid w:val="006825DD"/>
    <w:rsid w:val="00683953"/>
    <w:rsid w:val="00683A6E"/>
    <w:rsid w:val="00684729"/>
    <w:rsid w:val="00685756"/>
    <w:rsid w:val="00686565"/>
    <w:rsid w:val="006937E8"/>
    <w:rsid w:val="006938B6"/>
    <w:rsid w:val="0069622D"/>
    <w:rsid w:val="006967D2"/>
    <w:rsid w:val="00696BDB"/>
    <w:rsid w:val="00696C5B"/>
    <w:rsid w:val="00697597"/>
    <w:rsid w:val="006A2D5C"/>
    <w:rsid w:val="006A2F9B"/>
    <w:rsid w:val="006A4253"/>
    <w:rsid w:val="006A5239"/>
    <w:rsid w:val="006B6112"/>
    <w:rsid w:val="006B6E8F"/>
    <w:rsid w:val="006B7A42"/>
    <w:rsid w:val="006C009F"/>
    <w:rsid w:val="006C00D9"/>
    <w:rsid w:val="006C16F2"/>
    <w:rsid w:val="006C2AA5"/>
    <w:rsid w:val="006C4063"/>
    <w:rsid w:val="006C50DA"/>
    <w:rsid w:val="006D07A5"/>
    <w:rsid w:val="006D513A"/>
    <w:rsid w:val="006D66E5"/>
    <w:rsid w:val="006D6C3B"/>
    <w:rsid w:val="006D6E85"/>
    <w:rsid w:val="006D7E2A"/>
    <w:rsid w:val="006E1182"/>
    <w:rsid w:val="006E3031"/>
    <w:rsid w:val="006E3114"/>
    <w:rsid w:val="006E65B6"/>
    <w:rsid w:val="006F0C27"/>
    <w:rsid w:val="006F2A21"/>
    <w:rsid w:val="006F2D36"/>
    <w:rsid w:val="006F5C83"/>
    <w:rsid w:val="006F7141"/>
    <w:rsid w:val="006F76C6"/>
    <w:rsid w:val="006F79E7"/>
    <w:rsid w:val="00700600"/>
    <w:rsid w:val="007013DF"/>
    <w:rsid w:val="00704579"/>
    <w:rsid w:val="007045BF"/>
    <w:rsid w:val="00705A54"/>
    <w:rsid w:val="007066B2"/>
    <w:rsid w:val="00713F24"/>
    <w:rsid w:val="00714401"/>
    <w:rsid w:val="007168DC"/>
    <w:rsid w:val="00722185"/>
    <w:rsid w:val="00727344"/>
    <w:rsid w:val="00727773"/>
    <w:rsid w:val="00730B6B"/>
    <w:rsid w:val="00730C56"/>
    <w:rsid w:val="007319F5"/>
    <w:rsid w:val="00731D5F"/>
    <w:rsid w:val="00732A7C"/>
    <w:rsid w:val="00734A8E"/>
    <w:rsid w:val="00734BBA"/>
    <w:rsid w:val="007359C0"/>
    <w:rsid w:val="007378AD"/>
    <w:rsid w:val="00740A31"/>
    <w:rsid w:val="007448EC"/>
    <w:rsid w:val="00745DE8"/>
    <w:rsid w:val="00746920"/>
    <w:rsid w:val="00747725"/>
    <w:rsid w:val="00750899"/>
    <w:rsid w:val="00751E9B"/>
    <w:rsid w:val="007528CF"/>
    <w:rsid w:val="00753809"/>
    <w:rsid w:val="007539AD"/>
    <w:rsid w:val="00754D62"/>
    <w:rsid w:val="0075502C"/>
    <w:rsid w:val="007558FD"/>
    <w:rsid w:val="00756090"/>
    <w:rsid w:val="007564CC"/>
    <w:rsid w:val="00756D77"/>
    <w:rsid w:val="0076063F"/>
    <w:rsid w:val="00762369"/>
    <w:rsid w:val="00762A0E"/>
    <w:rsid w:val="00762B86"/>
    <w:rsid w:val="0076365D"/>
    <w:rsid w:val="007644EB"/>
    <w:rsid w:val="00764986"/>
    <w:rsid w:val="0076505A"/>
    <w:rsid w:val="0076788E"/>
    <w:rsid w:val="0077027B"/>
    <w:rsid w:val="007709A7"/>
    <w:rsid w:val="007714FA"/>
    <w:rsid w:val="0077183F"/>
    <w:rsid w:val="007737A7"/>
    <w:rsid w:val="007759A4"/>
    <w:rsid w:val="00777354"/>
    <w:rsid w:val="00781122"/>
    <w:rsid w:val="007813EA"/>
    <w:rsid w:val="00783557"/>
    <w:rsid w:val="007878C4"/>
    <w:rsid w:val="00787BAC"/>
    <w:rsid w:val="007953C2"/>
    <w:rsid w:val="00797078"/>
    <w:rsid w:val="00797310"/>
    <w:rsid w:val="007975C3"/>
    <w:rsid w:val="00797691"/>
    <w:rsid w:val="007A1A02"/>
    <w:rsid w:val="007A398B"/>
    <w:rsid w:val="007A6D4C"/>
    <w:rsid w:val="007A7F0E"/>
    <w:rsid w:val="007B2CE9"/>
    <w:rsid w:val="007B2F2E"/>
    <w:rsid w:val="007B4E39"/>
    <w:rsid w:val="007B72CE"/>
    <w:rsid w:val="007C1A3E"/>
    <w:rsid w:val="007C1BEB"/>
    <w:rsid w:val="007C68E9"/>
    <w:rsid w:val="007D0839"/>
    <w:rsid w:val="007D0C23"/>
    <w:rsid w:val="007D33F6"/>
    <w:rsid w:val="007D342D"/>
    <w:rsid w:val="007D51A3"/>
    <w:rsid w:val="007D6ACA"/>
    <w:rsid w:val="007D7C3D"/>
    <w:rsid w:val="007E441A"/>
    <w:rsid w:val="007E4D4A"/>
    <w:rsid w:val="007E589D"/>
    <w:rsid w:val="007E6FC1"/>
    <w:rsid w:val="007E6FEE"/>
    <w:rsid w:val="007F2AF6"/>
    <w:rsid w:val="007F52CD"/>
    <w:rsid w:val="007F758C"/>
    <w:rsid w:val="00802558"/>
    <w:rsid w:val="00803642"/>
    <w:rsid w:val="008044F1"/>
    <w:rsid w:val="00805A2D"/>
    <w:rsid w:val="00807DED"/>
    <w:rsid w:val="00810DA8"/>
    <w:rsid w:val="00811273"/>
    <w:rsid w:val="008223FB"/>
    <w:rsid w:val="00823314"/>
    <w:rsid w:val="008333AF"/>
    <w:rsid w:val="008335DF"/>
    <w:rsid w:val="00836753"/>
    <w:rsid w:val="00837107"/>
    <w:rsid w:val="00840606"/>
    <w:rsid w:val="00841D4A"/>
    <w:rsid w:val="00841EB4"/>
    <w:rsid w:val="008429EF"/>
    <w:rsid w:val="00843E95"/>
    <w:rsid w:val="00847A53"/>
    <w:rsid w:val="008507F6"/>
    <w:rsid w:val="00854196"/>
    <w:rsid w:val="00854FCD"/>
    <w:rsid w:val="00857C4B"/>
    <w:rsid w:val="00861677"/>
    <w:rsid w:val="0086736E"/>
    <w:rsid w:val="008737B1"/>
    <w:rsid w:val="008753DF"/>
    <w:rsid w:val="008760B4"/>
    <w:rsid w:val="0088045B"/>
    <w:rsid w:val="00880791"/>
    <w:rsid w:val="00883592"/>
    <w:rsid w:val="00883B3D"/>
    <w:rsid w:val="008842EF"/>
    <w:rsid w:val="00885342"/>
    <w:rsid w:val="00885C4D"/>
    <w:rsid w:val="00886001"/>
    <w:rsid w:val="008917F7"/>
    <w:rsid w:val="00895DC2"/>
    <w:rsid w:val="00897023"/>
    <w:rsid w:val="008970F3"/>
    <w:rsid w:val="00897A4F"/>
    <w:rsid w:val="008A0B8B"/>
    <w:rsid w:val="008A1CE2"/>
    <w:rsid w:val="008A26A7"/>
    <w:rsid w:val="008A2B14"/>
    <w:rsid w:val="008A5595"/>
    <w:rsid w:val="008B0A85"/>
    <w:rsid w:val="008B1E30"/>
    <w:rsid w:val="008B4DDC"/>
    <w:rsid w:val="008B6B43"/>
    <w:rsid w:val="008C0720"/>
    <w:rsid w:val="008C10D7"/>
    <w:rsid w:val="008C1EE6"/>
    <w:rsid w:val="008C204D"/>
    <w:rsid w:val="008C6B12"/>
    <w:rsid w:val="008C74A1"/>
    <w:rsid w:val="008D0CBF"/>
    <w:rsid w:val="008D3D66"/>
    <w:rsid w:val="008D5473"/>
    <w:rsid w:val="008D7970"/>
    <w:rsid w:val="008E6A89"/>
    <w:rsid w:val="008F19E7"/>
    <w:rsid w:val="008F215F"/>
    <w:rsid w:val="008F2A6F"/>
    <w:rsid w:val="008F2F96"/>
    <w:rsid w:val="008F341D"/>
    <w:rsid w:val="008F536F"/>
    <w:rsid w:val="008F5802"/>
    <w:rsid w:val="009007E9"/>
    <w:rsid w:val="00902131"/>
    <w:rsid w:val="0090744F"/>
    <w:rsid w:val="0091088B"/>
    <w:rsid w:val="009158D8"/>
    <w:rsid w:val="0091796C"/>
    <w:rsid w:val="00917F62"/>
    <w:rsid w:val="00926EB4"/>
    <w:rsid w:val="009313A4"/>
    <w:rsid w:val="00936CE0"/>
    <w:rsid w:val="0094044A"/>
    <w:rsid w:val="00941033"/>
    <w:rsid w:val="0094253E"/>
    <w:rsid w:val="0094255A"/>
    <w:rsid w:val="00942959"/>
    <w:rsid w:val="009449AC"/>
    <w:rsid w:val="00947150"/>
    <w:rsid w:val="00947A77"/>
    <w:rsid w:val="00951906"/>
    <w:rsid w:val="00951D7D"/>
    <w:rsid w:val="009523D2"/>
    <w:rsid w:val="009569FD"/>
    <w:rsid w:val="00962ADC"/>
    <w:rsid w:val="00964280"/>
    <w:rsid w:val="00965372"/>
    <w:rsid w:val="00966784"/>
    <w:rsid w:val="0096724C"/>
    <w:rsid w:val="00971BFC"/>
    <w:rsid w:val="00973478"/>
    <w:rsid w:val="00975617"/>
    <w:rsid w:val="009762CF"/>
    <w:rsid w:val="00981381"/>
    <w:rsid w:val="00983594"/>
    <w:rsid w:val="009855A6"/>
    <w:rsid w:val="00987ED2"/>
    <w:rsid w:val="00990A73"/>
    <w:rsid w:val="00991303"/>
    <w:rsid w:val="009932FC"/>
    <w:rsid w:val="009966AB"/>
    <w:rsid w:val="009A06BB"/>
    <w:rsid w:val="009A0F21"/>
    <w:rsid w:val="009A4E1D"/>
    <w:rsid w:val="009A5FA0"/>
    <w:rsid w:val="009A6321"/>
    <w:rsid w:val="009A6FBC"/>
    <w:rsid w:val="009A7009"/>
    <w:rsid w:val="009B3836"/>
    <w:rsid w:val="009B386A"/>
    <w:rsid w:val="009B3A78"/>
    <w:rsid w:val="009B4066"/>
    <w:rsid w:val="009B658C"/>
    <w:rsid w:val="009B6DC4"/>
    <w:rsid w:val="009B70C0"/>
    <w:rsid w:val="009C3C27"/>
    <w:rsid w:val="009C44F6"/>
    <w:rsid w:val="009C4911"/>
    <w:rsid w:val="009C600E"/>
    <w:rsid w:val="009C670C"/>
    <w:rsid w:val="009C6C3D"/>
    <w:rsid w:val="009C72AB"/>
    <w:rsid w:val="009D353D"/>
    <w:rsid w:val="009D392E"/>
    <w:rsid w:val="009D7DCE"/>
    <w:rsid w:val="009E0E9D"/>
    <w:rsid w:val="009E3A0D"/>
    <w:rsid w:val="009E412B"/>
    <w:rsid w:val="009E456E"/>
    <w:rsid w:val="009E50DE"/>
    <w:rsid w:val="009E72F1"/>
    <w:rsid w:val="009E7A3F"/>
    <w:rsid w:val="009F45E9"/>
    <w:rsid w:val="00A010D9"/>
    <w:rsid w:val="00A04494"/>
    <w:rsid w:val="00A071F0"/>
    <w:rsid w:val="00A07C7A"/>
    <w:rsid w:val="00A117B1"/>
    <w:rsid w:val="00A1199B"/>
    <w:rsid w:val="00A1238F"/>
    <w:rsid w:val="00A12FE6"/>
    <w:rsid w:val="00A153DA"/>
    <w:rsid w:val="00A16CD3"/>
    <w:rsid w:val="00A20DB7"/>
    <w:rsid w:val="00A23A0E"/>
    <w:rsid w:val="00A24196"/>
    <w:rsid w:val="00A2510A"/>
    <w:rsid w:val="00A27750"/>
    <w:rsid w:val="00A306A4"/>
    <w:rsid w:val="00A31BC6"/>
    <w:rsid w:val="00A323E8"/>
    <w:rsid w:val="00A360A1"/>
    <w:rsid w:val="00A41F63"/>
    <w:rsid w:val="00A42C2A"/>
    <w:rsid w:val="00A435E4"/>
    <w:rsid w:val="00A44A90"/>
    <w:rsid w:val="00A47054"/>
    <w:rsid w:val="00A51F99"/>
    <w:rsid w:val="00A5312D"/>
    <w:rsid w:val="00A56D43"/>
    <w:rsid w:val="00A62FB5"/>
    <w:rsid w:val="00A64832"/>
    <w:rsid w:val="00A67C1F"/>
    <w:rsid w:val="00A70EAF"/>
    <w:rsid w:val="00A70FCB"/>
    <w:rsid w:val="00A71B5C"/>
    <w:rsid w:val="00A73023"/>
    <w:rsid w:val="00A73088"/>
    <w:rsid w:val="00A731CA"/>
    <w:rsid w:val="00A770F1"/>
    <w:rsid w:val="00A77F56"/>
    <w:rsid w:val="00A80352"/>
    <w:rsid w:val="00A80FEB"/>
    <w:rsid w:val="00A820C5"/>
    <w:rsid w:val="00A828A6"/>
    <w:rsid w:val="00A841C8"/>
    <w:rsid w:val="00A84EFE"/>
    <w:rsid w:val="00A85716"/>
    <w:rsid w:val="00A85AD8"/>
    <w:rsid w:val="00A86461"/>
    <w:rsid w:val="00A87051"/>
    <w:rsid w:val="00A87187"/>
    <w:rsid w:val="00A87437"/>
    <w:rsid w:val="00A90BDD"/>
    <w:rsid w:val="00A92C00"/>
    <w:rsid w:val="00A95571"/>
    <w:rsid w:val="00A9748E"/>
    <w:rsid w:val="00AA2205"/>
    <w:rsid w:val="00AA2222"/>
    <w:rsid w:val="00AA33A3"/>
    <w:rsid w:val="00AA4625"/>
    <w:rsid w:val="00AA47FE"/>
    <w:rsid w:val="00AA5E27"/>
    <w:rsid w:val="00AB155E"/>
    <w:rsid w:val="00AB19D4"/>
    <w:rsid w:val="00AB1B07"/>
    <w:rsid w:val="00AB3599"/>
    <w:rsid w:val="00AC05A4"/>
    <w:rsid w:val="00AC1FBD"/>
    <w:rsid w:val="00AC2BA5"/>
    <w:rsid w:val="00AC3A2B"/>
    <w:rsid w:val="00AC4974"/>
    <w:rsid w:val="00AC6BC6"/>
    <w:rsid w:val="00AC7B8A"/>
    <w:rsid w:val="00AD3E5C"/>
    <w:rsid w:val="00AD5882"/>
    <w:rsid w:val="00AD7B60"/>
    <w:rsid w:val="00AD7F56"/>
    <w:rsid w:val="00AE01C1"/>
    <w:rsid w:val="00AE0342"/>
    <w:rsid w:val="00AE07ED"/>
    <w:rsid w:val="00AE30B1"/>
    <w:rsid w:val="00AE49E3"/>
    <w:rsid w:val="00AE4B5C"/>
    <w:rsid w:val="00AF28F2"/>
    <w:rsid w:val="00AF579F"/>
    <w:rsid w:val="00AF5820"/>
    <w:rsid w:val="00AF5881"/>
    <w:rsid w:val="00AF5C25"/>
    <w:rsid w:val="00AF6660"/>
    <w:rsid w:val="00B0388F"/>
    <w:rsid w:val="00B07A08"/>
    <w:rsid w:val="00B117B8"/>
    <w:rsid w:val="00B15C55"/>
    <w:rsid w:val="00B15ED1"/>
    <w:rsid w:val="00B179C4"/>
    <w:rsid w:val="00B21154"/>
    <w:rsid w:val="00B21533"/>
    <w:rsid w:val="00B244F7"/>
    <w:rsid w:val="00B2510B"/>
    <w:rsid w:val="00B2538B"/>
    <w:rsid w:val="00B2547F"/>
    <w:rsid w:val="00B25FAE"/>
    <w:rsid w:val="00B27554"/>
    <w:rsid w:val="00B27AB8"/>
    <w:rsid w:val="00B31990"/>
    <w:rsid w:val="00B321FE"/>
    <w:rsid w:val="00B33BE4"/>
    <w:rsid w:val="00B36BDE"/>
    <w:rsid w:val="00B371FC"/>
    <w:rsid w:val="00B37F5B"/>
    <w:rsid w:val="00B41146"/>
    <w:rsid w:val="00B42C39"/>
    <w:rsid w:val="00B44019"/>
    <w:rsid w:val="00B44648"/>
    <w:rsid w:val="00B4594B"/>
    <w:rsid w:val="00B472EF"/>
    <w:rsid w:val="00B4731D"/>
    <w:rsid w:val="00B47D98"/>
    <w:rsid w:val="00B54E65"/>
    <w:rsid w:val="00B604C6"/>
    <w:rsid w:val="00B613BD"/>
    <w:rsid w:val="00B61E0C"/>
    <w:rsid w:val="00B63822"/>
    <w:rsid w:val="00B653A8"/>
    <w:rsid w:val="00B67424"/>
    <w:rsid w:val="00B74106"/>
    <w:rsid w:val="00B750F1"/>
    <w:rsid w:val="00B8182C"/>
    <w:rsid w:val="00B92984"/>
    <w:rsid w:val="00B94239"/>
    <w:rsid w:val="00B961B1"/>
    <w:rsid w:val="00BA055B"/>
    <w:rsid w:val="00BA05F0"/>
    <w:rsid w:val="00BA0F60"/>
    <w:rsid w:val="00BA4C7B"/>
    <w:rsid w:val="00BA77E3"/>
    <w:rsid w:val="00BB27A5"/>
    <w:rsid w:val="00BB621E"/>
    <w:rsid w:val="00BC06F7"/>
    <w:rsid w:val="00BC0D52"/>
    <w:rsid w:val="00BC27D4"/>
    <w:rsid w:val="00BC5742"/>
    <w:rsid w:val="00BC5DA5"/>
    <w:rsid w:val="00BC5DAD"/>
    <w:rsid w:val="00BC6153"/>
    <w:rsid w:val="00BC7A99"/>
    <w:rsid w:val="00BC7EE1"/>
    <w:rsid w:val="00BD03C5"/>
    <w:rsid w:val="00BD1380"/>
    <w:rsid w:val="00BD160C"/>
    <w:rsid w:val="00BD2505"/>
    <w:rsid w:val="00BD3C93"/>
    <w:rsid w:val="00BD4C72"/>
    <w:rsid w:val="00BE1138"/>
    <w:rsid w:val="00BE3E15"/>
    <w:rsid w:val="00BE579B"/>
    <w:rsid w:val="00BE7BB2"/>
    <w:rsid w:val="00BF1B17"/>
    <w:rsid w:val="00BF4BA2"/>
    <w:rsid w:val="00BF61A6"/>
    <w:rsid w:val="00BF6C4F"/>
    <w:rsid w:val="00C01B8C"/>
    <w:rsid w:val="00C02C6C"/>
    <w:rsid w:val="00C1277A"/>
    <w:rsid w:val="00C16C96"/>
    <w:rsid w:val="00C16FDA"/>
    <w:rsid w:val="00C200E6"/>
    <w:rsid w:val="00C2175E"/>
    <w:rsid w:val="00C24904"/>
    <w:rsid w:val="00C2587A"/>
    <w:rsid w:val="00C25FB6"/>
    <w:rsid w:val="00C26D94"/>
    <w:rsid w:val="00C26F48"/>
    <w:rsid w:val="00C3396C"/>
    <w:rsid w:val="00C353EF"/>
    <w:rsid w:val="00C35471"/>
    <w:rsid w:val="00C4139C"/>
    <w:rsid w:val="00C51D28"/>
    <w:rsid w:val="00C535B2"/>
    <w:rsid w:val="00C53AC0"/>
    <w:rsid w:val="00C57F41"/>
    <w:rsid w:val="00C60365"/>
    <w:rsid w:val="00C6403C"/>
    <w:rsid w:val="00C65489"/>
    <w:rsid w:val="00C713E9"/>
    <w:rsid w:val="00C7427F"/>
    <w:rsid w:val="00C75167"/>
    <w:rsid w:val="00C77256"/>
    <w:rsid w:val="00C80F9C"/>
    <w:rsid w:val="00C85880"/>
    <w:rsid w:val="00C85B58"/>
    <w:rsid w:val="00C86B47"/>
    <w:rsid w:val="00C92A54"/>
    <w:rsid w:val="00C939A4"/>
    <w:rsid w:val="00CA0638"/>
    <w:rsid w:val="00CA1FD8"/>
    <w:rsid w:val="00CA4569"/>
    <w:rsid w:val="00CA4B40"/>
    <w:rsid w:val="00CA5274"/>
    <w:rsid w:val="00CA714B"/>
    <w:rsid w:val="00CB16F1"/>
    <w:rsid w:val="00CB33CA"/>
    <w:rsid w:val="00CB39D0"/>
    <w:rsid w:val="00CB3C29"/>
    <w:rsid w:val="00CB3F91"/>
    <w:rsid w:val="00CB56EA"/>
    <w:rsid w:val="00CB6400"/>
    <w:rsid w:val="00CB7006"/>
    <w:rsid w:val="00CB7AD8"/>
    <w:rsid w:val="00CC1C15"/>
    <w:rsid w:val="00CC3A7B"/>
    <w:rsid w:val="00CC44D9"/>
    <w:rsid w:val="00CC6745"/>
    <w:rsid w:val="00CC79A5"/>
    <w:rsid w:val="00CD35CF"/>
    <w:rsid w:val="00CD6150"/>
    <w:rsid w:val="00CD77C2"/>
    <w:rsid w:val="00CE035C"/>
    <w:rsid w:val="00CE0DA8"/>
    <w:rsid w:val="00CE1FA7"/>
    <w:rsid w:val="00CE2E57"/>
    <w:rsid w:val="00CE320C"/>
    <w:rsid w:val="00CE7735"/>
    <w:rsid w:val="00CF0B97"/>
    <w:rsid w:val="00CF628E"/>
    <w:rsid w:val="00D0169A"/>
    <w:rsid w:val="00D032C4"/>
    <w:rsid w:val="00D03DEC"/>
    <w:rsid w:val="00D07906"/>
    <w:rsid w:val="00D121DF"/>
    <w:rsid w:val="00D13521"/>
    <w:rsid w:val="00D1445F"/>
    <w:rsid w:val="00D14B31"/>
    <w:rsid w:val="00D14DFF"/>
    <w:rsid w:val="00D1782D"/>
    <w:rsid w:val="00D206C2"/>
    <w:rsid w:val="00D27FCB"/>
    <w:rsid w:val="00D3011C"/>
    <w:rsid w:val="00D310B0"/>
    <w:rsid w:val="00D335C3"/>
    <w:rsid w:val="00D336DA"/>
    <w:rsid w:val="00D35997"/>
    <w:rsid w:val="00D364B5"/>
    <w:rsid w:val="00D42DE9"/>
    <w:rsid w:val="00D43310"/>
    <w:rsid w:val="00D4390D"/>
    <w:rsid w:val="00D43D62"/>
    <w:rsid w:val="00D454E7"/>
    <w:rsid w:val="00D468E1"/>
    <w:rsid w:val="00D47FC9"/>
    <w:rsid w:val="00D56D3F"/>
    <w:rsid w:val="00D61FA6"/>
    <w:rsid w:val="00D62E82"/>
    <w:rsid w:val="00D631CD"/>
    <w:rsid w:val="00D648E4"/>
    <w:rsid w:val="00D66441"/>
    <w:rsid w:val="00D66AA2"/>
    <w:rsid w:val="00D71B25"/>
    <w:rsid w:val="00D757ED"/>
    <w:rsid w:val="00D76289"/>
    <w:rsid w:val="00D81893"/>
    <w:rsid w:val="00D8292A"/>
    <w:rsid w:val="00D83E5D"/>
    <w:rsid w:val="00D84642"/>
    <w:rsid w:val="00D85697"/>
    <w:rsid w:val="00D90BBA"/>
    <w:rsid w:val="00D9214E"/>
    <w:rsid w:val="00D96BB9"/>
    <w:rsid w:val="00DA2475"/>
    <w:rsid w:val="00DA30DC"/>
    <w:rsid w:val="00DA605A"/>
    <w:rsid w:val="00DA77F3"/>
    <w:rsid w:val="00DA7ABC"/>
    <w:rsid w:val="00DB4291"/>
    <w:rsid w:val="00DC2610"/>
    <w:rsid w:val="00DC419F"/>
    <w:rsid w:val="00DC4BE7"/>
    <w:rsid w:val="00DC4CE8"/>
    <w:rsid w:val="00DC547F"/>
    <w:rsid w:val="00DD4577"/>
    <w:rsid w:val="00DD54AF"/>
    <w:rsid w:val="00DD64DF"/>
    <w:rsid w:val="00DE2A13"/>
    <w:rsid w:val="00DE3B15"/>
    <w:rsid w:val="00DE3C03"/>
    <w:rsid w:val="00DE6994"/>
    <w:rsid w:val="00DE73E5"/>
    <w:rsid w:val="00DE75B4"/>
    <w:rsid w:val="00DF0EFC"/>
    <w:rsid w:val="00DF1015"/>
    <w:rsid w:val="00DF19B0"/>
    <w:rsid w:val="00DF20ED"/>
    <w:rsid w:val="00DF25C7"/>
    <w:rsid w:val="00DF269A"/>
    <w:rsid w:val="00DF33B0"/>
    <w:rsid w:val="00E00F1B"/>
    <w:rsid w:val="00E01FB4"/>
    <w:rsid w:val="00E02F33"/>
    <w:rsid w:val="00E03BC2"/>
    <w:rsid w:val="00E04184"/>
    <w:rsid w:val="00E05DAB"/>
    <w:rsid w:val="00E05E23"/>
    <w:rsid w:val="00E06011"/>
    <w:rsid w:val="00E06554"/>
    <w:rsid w:val="00E0766D"/>
    <w:rsid w:val="00E076FD"/>
    <w:rsid w:val="00E10869"/>
    <w:rsid w:val="00E11D3D"/>
    <w:rsid w:val="00E13204"/>
    <w:rsid w:val="00E1412D"/>
    <w:rsid w:val="00E15A13"/>
    <w:rsid w:val="00E16C45"/>
    <w:rsid w:val="00E174A0"/>
    <w:rsid w:val="00E17768"/>
    <w:rsid w:val="00E17E2F"/>
    <w:rsid w:val="00E17E82"/>
    <w:rsid w:val="00E216BD"/>
    <w:rsid w:val="00E21711"/>
    <w:rsid w:val="00E21806"/>
    <w:rsid w:val="00E2306B"/>
    <w:rsid w:val="00E253C0"/>
    <w:rsid w:val="00E25A8A"/>
    <w:rsid w:val="00E27E3B"/>
    <w:rsid w:val="00E30E1A"/>
    <w:rsid w:val="00E316FE"/>
    <w:rsid w:val="00E31981"/>
    <w:rsid w:val="00E33544"/>
    <w:rsid w:val="00E3497C"/>
    <w:rsid w:val="00E36D7C"/>
    <w:rsid w:val="00E41499"/>
    <w:rsid w:val="00E42AFA"/>
    <w:rsid w:val="00E43477"/>
    <w:rsid w:val="00E43EDB"/>
    <w:rsid w:val="00E46320"/>
    <w:rsid w:val="00E465B1"/>
    <w:rsid w:val="00E46B67"/>
    <w:rsid w:val="00E47BEE"/>
    <w:rsid w:val="00E52450"/>
    <w:rsid w:val="00E537FF"/>
    <w:rsid w:val="00E538CE"/>
    <w:rsid w:val="00E53A49"/>
    <w:rsid w:val="00E55C7F"/>
    <w:rsid w:val="00E6345D"/>
    <w:rsid w:val="00E63767"/>
    <w:rsid w:val="00E659F5"/>
    <w:rsid w:val="00E706EB"/>
    <w:rsid w:val="00E7130E"/>
    <w:rsid w:val="00E71A40"/>
    <w:rsid w:val="00E7384D"/>
    <w:rsid w:val="00E73D16"/>
    <w:rsid w:val="00E754EC"/>
    <w:rsid w:val="00E76E42"/>
    <w:rsid w:val="00E84C59"/>
    <w:rsid w:val="00E84E88"/>
    <w:rsid w:val="00E85362"/>
    <w:rsid w:val="00E864EE"/>
    <w:rsid w:val="00E86C5F"/>
    <w:rsid w:val="00E86D21"/>
    <w:rsid w:val="00E93761"/>
    <w:rsid w:val="00E953C9"/>
    <w:rsid w:val="00E9659C"/>
    <w:rsid w:val="00E96647"/>
    <w:rsid w:val="00EA0998"/>
    <w:rsid w:val="00EA23AD"/>
    <w:rsid w:val="00EA2AA5"/>
    <w:rsid w:val="00EA3C22"/>
    <w:rsid w:val="00EA5B0B"/>
    <w:rsid w:val="00EA6344"/>
    <w:rsid w:val="00EA7E5D"/>
    <w:rsid w:val="00EB19BE"/>
    <w:rsid w:val="00EB44D9"/>
    <w:rsid w:val="00EB5823"/>
    <w:rsid w:val="00EB5BB4"/>
    <w:rsid w:val="00EC3B52"/>
    <w:rsid w:val="00EC3E18"/>
    <w:rsid w:val="00EC41C8"/>
    <w:rsid w:val="00EC43DF"/>
    <w:rsid w:val="00EC4728"/>
    <w:rsid w:val="00EC509C"/>
    <w:rsid w:val="00EC587C"/>
    <w:rsid w:val="00EC70AE"/>
    <w:rsid w:val="00EC77C2"/>
    <w:rsid w:val="00ED2863"/>
    <w:rsid w:val="00ED2EC3"/>
    <w:rsid w:val="00ED5B3E"/>
    <w:rsid w:val="00ED5D61"/>
    <w:rsid w:val="00ED7672"/>
    <w:rsid w:val="00EE1111"/>
    <w:rsid w:val="00EE7DDB"/>
    <w:rsid w:val="00EF3BB6"/>
    <w:rsid w:val="00EF3FB0"/>
    <w:rsid w:val="00EF5761"/>
    <w:rsid w:val="00F001DC"/>
    <w:rsid w:val="00F00255"/>
    <w:rsid w:val="00F00DCE"/>
    <w:rsid w:val="00F0229B"/>
    <w:rsid w:val="00F022B3"/>
    <w:rsid w:val="00F04FEA"/>
    <w:rsid w:val="00F05B2C"/>
    <w:rsid w:val="00F05E84"/>
    <w:rsid w:val="00F06088"/>
    <w:rsid w:val="00F10DBF"/>
    <w:rsid w:val="00F1201E"/>
    <w:rsid w:val="00F123B0"/>
    <w:rsid w:val="00F21EE6"/>
    <w:rsid w:val="00F23B73"/>
    <w:rsid w:val="00F241F2"/>
    <w:rsid w:val="00F24625"/>
    <w:rsid w:val="00F27669"/>
    <w:rsid w:val="00F36842"/>
    <w:rsid w:val="00F36CD4"/>
    <w:rsid w:val="00F41127"/>
    <w:rsid w:val="00F41A9C"/>
    <w:rsid w:val="00F41B66"/>
    <w:rsid w:val="00F430C3"/>
    <w:rsid w:val="00F4726B"/>
    <w:rsid w:val="00F51116"/>
    <w:rsid w:val="00F51FB7"/>
    <w:rsid w:val="00F52B2D"/>
    <w:rsid w:val="00F52B7B"/>
    <w:rsid w:val="00F53214"/>
    <w:rsid w:val="00F537E7"/>
    <w:rsid w:val="00F6104F"/>
    <w:rsid w:val="00F6171C"/>
    <w:rsid w:val="00F6289C"/>
    <w:rsid w:val="00F63D92"/>
    <w:rsid w:val="00F659C0"/>
    <w:rsid w:val="00F662C6"/>
    <w:rsid w:val="00F66F34"/>
    <w:rsid w:val="00F7231B"/>
    <w:rsid w:val="00F7235A"/>
    <w:rsid w:val="00F75D11"/>
    <w:rsid w:val="00F8427F"/>
    <w:rsid w:val="00F84BE4"/>
    <w:rsid w:val="00F90597"/>
    <w:rsid w:val="00F9515F"/>
    <w:rsid w:val="00F96F6C"/>
    <w:rsid w:val="00F97F04"/>
    <w:rsid w:val="00FA5718"/>
    <w:rsid w:val="00FA7151"/>
    <w:rsid w:val="00FB07D7"/>
    <w:rsid w:val="00FB31C9"/>
    <w:rsid w:val="00FB3307"/>
    <w:rsid w:val="00FB4D50"/>
    <w:rsid w:val="00FB756C"/>
    <w:rsid w:val="00FB784B"/>
    <w:rsid w:val="00FC1378"/>
    <w:rsid w:val="00FC34D5"/>
    <w:rsid w:val="00FC5513"/>
    <w:rsid w:val="00FD181D"/>
    <w:rsid w:val="00FD2213"/>
    <w:rsid w:val="00FD65C5"/>
    <w:rsid w:val="00FE03A0"/>
    <w:rsid w:val="00FE0D86"/>
    <w:rsid w:val="00FE1305"/>
    <w:rsid w:val="00FE3A32"/>
    <w:rsid w:val="00FF2D6C"/>
    <w:rsid w:val="00FF5011"/>
    <w:rsid w:val="00FF658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69"/>
    <w:rPr>
      <w:rFonts w:ascii="Tahoma" w:hAnsi="Tahoma" w:cs="Tahoma"/>
      <w:sz w:val="16"/>
      <w:szCs w:val="16"/>
    </w:rPr>
  </w:style>
  <w:style w:type="paragraph" w:customStyle="1" w:styleId="Default">
    <w:name w:val="Default"/>
    <w:rsid w:val="00E10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F5830"/>
  </w:style>
  <w:style w:type="paragraph" w:styleId="ListParagraph">
    <w:name w:val="List Paragraph"/>
    <w:basedOn w:val="Normal"/>
    <w:uiPriority w:val="34"/>
    <w:qFormat/>
    <w:rsid w:val="00F430C3"/>
    <w:pPr>
      <w:ind w:left="720"/>
      <w:contextualSpacing/>
    </w:pPr>
  </w:style>
  <w:style w:type="character" w:styleId="Hyperlink">
    <w:name w:val="Hyperlink"/>
    <w:basedOn w:val="DefaultParagraphFont"/>
    <w:uiPriority w:val="99"/>
    <w:unhideWhenUsed/>
    <w:rsid w:val="00F0229B"/>
    <w:rPr>
      <w:color w:val="0000FF" w:themeColor="hyperlink"/>
      <w:u w:val="single"/>
    </w:rPr>
  </w:style>
  <w:style w:type="character" w:styleId="CommentReference">
    <w:name w:val="annotation reference"/>
    <w:basedOn w:val="DefaultParagraphFont"/>
    <w:uiPriority w:val="99"/>
    <w:semiHidden/>
    <w:unhideWhenUsed/>
    <w:rsid w:val="006105FE"/>
    <w:rPr>
      <w:sz w:val="21"/>
      <w:szCs w:val="21"/>
    </w:rPr>
  </w:style>
  <w:style w:type="paragraph" w:styleId="CommentText">
    <w:name w:val="annotation text"/>
    <w:basedOn w:val="Normal"/>
    <w:link w:val="CommentTextChar"/>
    <w:unhideWhenUsed/>
    <w:rsid w:val="006105FE"/>
  </w:style>
  <w:style w:type="character" w:customStyle="1" w:styleId="CommentTextChar">
    <w:name w:val="Comment Text Char"/>
    <w:basedOn w:val="DefaultParagraphFont"/>
    <w:link w:val="CommentText"/>
    <w:rsid w:val="006105FE"/>
  </w:style>
  <w:style w:type="paragraph" w:styleId="CommentSubject">
    <w:name w:val="annotation subject"/>
    <w:basedOn w:val="CommentText"/>
    <w:next w:val="CommentText"/>
    <w:link w:val="CommentSubjectChar"/>
    <w:uiPriority w:val="99"/>
    <w:semiHidden/>
    <w:unhideWhenUsed/>
    <w:rsid w:val="006105FE"/>
    <w:rPr>
      <w:b/>
      <w:bCs/>
    </w:rPr>
  </w:style>
  <w:style w:type="character" w:customStyle="1" w:styleId="CommentSubjectChar">
    <w:name w:val="Comment Subject Char"/>
    <w:basedOn w:val="CommentTextChar"/>
    <w:link w:val="CommentSubject"/>
    <w:uiPriority w:val="99"/>
    <w:semiHidden/>
    <w:rsid w:val="006105FE"/>
    <w:rPr>
      <w:b/>
      <w:bCs/>
    </w:rPr>
  </w:style>
  <w:style w:type="paragraph" w:styleId="BodyTextIndent">
    <w:name w:val="Body Text Indent"/>
    <w:basedOn w:val="Normal"/>
    <w:link w:val="BodyTextIndentChar"/>
    <w:rsid w:val="006105FE"/>
    <w:pPr>
      <w:spacing w:after="120" w:line="240" w:lineRule="auto"/>
      <w:ind w:leftChars="200" w:left="420"/>
    </w:pPr>
    <w:rPr>
      <w:rFonts w:ascii="Times New Roman" w:eastAsia="MS Mincho" w:hAnsi="Times New Roman" w:cs="Times New Roman"/>
      <w:sz w:val="24"/>
      <w:szCs w:val="24"/>
      <w:lang w:val="fr-CA" w:eastAsia="ja-JP"/>
    </w:rPr>
  </w:style>
  <w:style w:type="character" w:customStyle="1" w:styleId="BodyTextIndentChar">
    <w:name w:val="Body Text Indent Char"/>
    <w:basedOn w:val="DefaultParagraphFont"/>
    <w:link w:val="BodyTextIndent"/>
    <w:rsid w:val="006105FE"/>
    <w:rPr>
      <w:rFonts w:ascii="Times New Roman" w:eastAsia="MS Mincho" w:hAnsi="Times New Roman" w:cs="Times New Roman"/>
      <w:sz w:val="24"/>
      <w:szCs w:val="24"/>
      <w:lang w:val="fr-CA" w:eastAsia="ja-JP"/>
    </w:rPr>
  </w:style>
  <w:style w:type="paragraph" w:styleId="BodyText">
    <w:name w:val="Body Text"/>
    <w:basedOn w:val="Normal"/>
    <w:link w:val="BodyTextChar"/>
    <w:uiPriority w:val="99"/>
    <w:semiHidden/>
    <w:unhideWhenUsed/>
    <w:rsid w:val="006105FE"/>
    <w:pPr>
      <w:spacing w:after="120"/>
    </w:pPr>
  </w:style>
  <w:style w:type="character" w:customStyle="1" w:styleId="BodyTextChar">
    <w:name w:val="Body Text Char"/>
    <w:basedOn w:val="DefaultParagraphFont"/>
    <w:link w:val="BodyText"/>
    <w:uiPriority w:val="99"/>
    <w:semiHidden/>
    <w:rsid w:val="006105FE"/>
  </w:style>
  <w:style w:type="character" w:customStyle="1" w:styleId="highlight1">
    <w:name w:val="highlight1"/>
    <w:rsid w:val="006105FE"/>
    <w:rPr>
      <w:shd w:val="clear" w:color="auto" w:fill="F1BFE0"/>
    </w:rPr>
  </w:style>
  <w:style w:type="character" w:customStyle="1" w:styleId="Heading1Char">
    <w:name w:val="Heading 1 Char"/>
    <w:basedOn w:val="DefaultParagraphFont"/>
    <w:link w:val="Heading1"/>
    <w:uiPriority w:val="9"/>
    <w:rsid w:val="005303FA"/>
    <w:rPr>
      <w:rFonts w:ascii="Times New Roman" w:eastAsia="Times New Roman" w:hAnsi="Times New Roman" w:cs="Times New Roman"/>
      <w:b/>
      <w:bCs/>
      <w:kern w:val="36"/>
      <w:sz w:val="48"/>
      <w:szCs w:val="48"/>
      <w:lang w:eastAsia="it-IT"/>
    </w:rPr>
  </w:style>
  <w:style w:type="character" w:styleId="FollowedHyperlink">
    <w:name w:val="FollowedHyperlink"/>
    <w:basedOn w:val="DefaultParagraphFont"/>
    <w:uiPriority w:val="99"/>
    <w:semiHidden/>
    <w:unhideWhenUsed/>
    <w:rsid w:val="004B6A9F"/>
    <w:rPr>
      <w:color w:val="800080" w:themeColor="followedHyperlink"/>
      <w:u w:val="single"/>
    </w:rPr>
  </w:style>
  <w:style w:type="character" w:customStyle="1" w:styleId="Char">
    <w:name w:val="纯文本 Char"/>
    <w:link w:val="PlainText1"/>
    <w:rsid w:val="00673021"/>
    <w:rPr>
      <w:rFonts w:ascii="宋体" w:eastAsia="宋体" w:hAnsi="Courier New" w:cs="Courier New"/>
      <w:kern w:val="2"/>
      <w:sz w:val="21"/>
      <w:szCs w:val="21"/>
    </w:rPr>
  </w:style>
  <w:style w:type="paragraph" w:customStyle="1" w:styleId="PlainText1">
    <w:name w:val="Plain Text1"/>
    <w:basedOn w:val="Normal"/>
    <w:link w:val="Char"/>
    <w:rsid w:val="00673021"/>
    <w:pPr>
      <w:widowControl w:val="0"/>
      <w:spacing w:after="0" w:line="240" w:lineRule="auto"/>
      <w:jc w:val="both"/>
    </w:pPr>
    <w:rPr>
      <w:rFonts w:ascii="宋体" w:eastAsia="宋体" w:hAnsi="Courier New" w:cs="Courier New"/>
      <w:kern w:val="2"/>
      <w:sz w:val="21"/>
      <w:szCs w:val="21"/>
    </w:rPr>
  </w:style>
  <w:style w:type="paragraph" w:styleId="Header">
    <w:name w:val="header"/>
    <w:basedOn w:val="Normal"/>
    <w:link w:val="HeaderChar"/>
    <w:uiPriority w:val="99"/>
    <w:unhideWhenUsed/>
    <w:rsid w:val="006758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758C6"/>
  </w:style>
  <w:style w:type="paragraph" w:styleId="Footer">
    <w:name w:val="footer"/>
    <w:basedOn w:val="Normal"/>
    <w:link w:val="FooterChar"/>
    <w:uiPriority w:val="99"/>
    <w:unhideWhenUsed/>
    <w:rsid w:val="006758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758C6"/>
  </w:style>
  <w:style w:type="paragraph" w:styleId="NormalWeb">
    <w:name w:val="Normal (Web)"/>
    <w:basedOn w:val="Normal"/>
    <w:uiPriority w:val="99"/>
    <w:unhideWhenUsed/>
    <w:rsid w:val="009C600E"/>
    <w:pPr>
      <w:spacing w:before="100" w:beforeAutospacing="1" w:after="100" w:afterAutospacing="1" w:line="240" w:lineRule="auto"/>
    </w:pPr>
    <w:rPr>
      <w:rFonts w:ascii="宋体" w:eastAsia="宋体" w:hAnsi="宋体" w:cs="宋体"/>
      <w:sz w:val="24"/>
      <w:szCs w:val="24"/>
      <w:lang w:val="en-US" w:eastAsia="zh-CN"/>
    </w:rPr>
  </w:style>
  <w:style w:type="character" w:styleId="Emphasis">
    <w:name w:val="Emphasis"/>
    <w:qFormat/>
    <w:rsid w:val="006441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69"/>
    <w:rPr>
      <w:rFonts w:ascii="Tahoma" w:hAnsi="Tahoma" w:cs="Tahoma"/>
      <w:sz w:val="16"/>
      <w:szCs w:val="16"/>
    </w:rPr>
  </w:style>
  <w:style w:type="paragraph" w:customStyle="1" w:styleId="Default">
    <w:name w:val="Default"/>
    <w:rsid w:val="00E10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F5830"/>
  </w:style>
  <w:style w:type="paragraph" w:styleId="ListParagraph">
    <w:name w:val="List Paragraph"/>
    <w:basedOn w:val="Normal"/>
    <w:uiPriority w:val="34"/>
    <w:qFormat/>
    <w:rsid w:val="00F430C3"/>
    <w:pPr>
      <w:ind w:left="720"/>
      <w:contextualSpacing/>
    </w:pPr>
  </w:style>
  <w:style w:type="character" w:styleId="Hyperlink">
    <w:name w:val="Hyperlink"/>
    <w:basedOn w:val="DefaultParagraphFont"/>
    <w:uiPriority w:val="99"/>
    <w:unhideWhenUsed/>
    <w:rsid w:val="00F0229B"/>
    <w:rPr>
      <w:color w:val="0000FF" w:themeColor="hyperlink"/>
      <w:u w:val="single"/>
    </w:rPr>
  </w:style>
  <w:style w:type="character" w:styleId="CommentReference">
    <w:name w:val="annotation reference"/>
    <w:basedOn w:val="DefaultParagraphFont"/>
    <w:uiPriority w:val="99"/>
    <w:semiHidden/>
    <w:unhideWhenUsed/>
    <w:rsid w:val="006105FE"/>
    <w:rPr>
      <w:sz w:val="21"/>
      <w:szCs w:val="21"/>
    </w:rPr>
  </w:style>
  <w:style w:type="paragraph" w:styleId="CommentText">
    <w:name w:val="annotation text"/>
    <w:basedOn w:val="Normal"/>
    <w:link w:val="CommentTextChar"/>
    <w:unhideWhenUsed/>
    <w:rsid w:val="006105FE"/>
  </w:style>
  <w:style w:type="character" w:customStyle="1" w:styleId="CommentTextChar">
    <w:name w:val="Comment Text Char"/>
    <w:basedOn w:val="DefaultParagraphFont"/>
    <w:link w:val="CommentText"/>
    <w:rsid w:val="006105FE"/>
  </w:style>
  <w:style w:type="paragraph" w:styleId="CommentSubject">
    <w:name w:val="annotation subject"/>
    <w:basedOn w:val="CommentText"/>
    <w:next w:val="CommentText"/>
    <w:link w:val="CommentSubjectChar"/>
    <w:uiPriority w:val="99"/>
    <w:semiHidden/>
    <w:unhideWhenUsed/>
    <w:rsid w:val="006105FE"/>
    <w:rPr>
      <w:b/>
      <w:bCs/>
    </w:rPr>
  </w:style>
  <w:style w:type="character" w:customStyle="1" w:styleId="CommentSubjectChar">
    <w:name w:val="Comment Subject Char"/>
    <w:basedOn w:val="CommentTextChar"/>
    <w:link w:val="CommentSubject"/>
    <w:uiPriority w:val="99"/>
    <w:semiHidden/>
    <w:rsid w:val="006105FE"/>
    <w:rPr>
      <w:b/>
      <w:bCs/>
    </w:rPr>
  </w:style>
  <w:style w:type="paragraph" w:styleId="BodyTextIndent">
    <w:name w:val="Body Text Indent"/>
    <w:basedOn w:val="Normal"/>
    <w:link w:val="BodyTextIndentChar"/>
    <w:rsid w:val="006105FE"/>
    <w:pPr>
      <w:spacing w:after="120" w:line="240" w:lineRule="auto"/>
      <w:ind w:leftChars="200" w:left="420"/>
    </w:pPr>
    <w:rPr>
      <w:rFonts w:ascii="Times New Roman" w:eastAsia="MS Mincho" w:hAnsi="Times New Roman" w:cs="Times New Roman"/>
      <w:sz w:val="24"/>
      <w:szCs w:val="24"/>
      <w:lang w:val="fr-CA" w:eastAsia="ja-JP"/>
    </w:rPr>
  </w:style>
  <w:style w:type="character" w:customStyle="1" w:styleId="BodyTextIndentChar">
    <w:name w:val="Body Text Indent Char"/>
    <w:basedOn w:val="DefaultParagraphFont"/>
    <w:link w:val="BodyTextIndent"/>
    <w:rsid w:val="006105FE"/>
    <w:rPr>
      <w:rFonts w:ascii="Times New Roman" w:eastAsia="MS Mincho" w:hAnsi="Times New Roman" w:cs="Times New Roman"/>
      <w:sz w:val="24"/>
      <w:szCs w:val="24"/>
      <w:lang w:val="fr-CA" w:eastAsia="ja-JP"/>
    </w:rPr>
  </w:style>
  <w:style w:type="paragraph" w:styleId="BodyText">
    <w:name w:val="Body Text"/>
    <w:basedOn w:val="Normal"/>
    <w:link w:val="BodyTextChar"/>
    <w:uiPriority w:val="99"/>
    <w:semiHidden/>
    <w:unhideWhenUsed/>
    <w:rsid w:val="006105FE"/>
    <w:pPr>
      <w:spacing w:after="120"/>
    </w:pPr>
  </w:style>
  <w:style w:type="character" w:customStyle="1" w:styleId="BodyTextChar">
    <w:name w:val="Body Text Char"/>
    <w:basedOn w:val="DefaultParagraphFont"/>
    <w:link w:val="BodyText"/>
    <w:uiPriority w:val="99"/>
    <w:semiHidden/>
    <w:rsid w:val="006105FE"/>
  </w:style>
  <w:style w:type="character" w:customStyle="1" w:styleId="highlight1">
    <w:name w:val="highlight1"/>
    <w:rsid w:val="006105FE"/>
    <w:rPr>
      <w:shd w:val="clear" w:color="auto" w:fill="F1BFE0"/>
    </w:rPr>
  </w:style>
  <w:style w:type="character" w:customStyle="1" w:styleId="Heading1Char">
    <w:name w:val="Heading 1 Char"/>
    <w:basedOn w:val="DefaultParagraphFont"/>
    <w:link w:val="Heading1"/>
    <w:uiPriority w:val="9"/>
    <w:rsid w:val="005303FA"/>
    <w:rPr>
      <w:rFonts w:ascii="Times New Roman" w:eastAsia="Times New Roman" w:hAnsi="Times New Roman" w:cs="Times New Roman"/>
      <w:b/>
      <w:bCs/>
      <w:kern w:val="36"/>
      <w:sz w:val="48"/>
      <w:szCs w:val="48"/>
      <w:lang w:eastAsia="it-IT"/>
    </w:rPr>
  </w:style>
  <w:style w:type="character" w:styleId="FollowedHyperlink">
    <w:name w:val="FollowedHyperlink"/>
    <w:basedOn w:val="DefaultParagraphFont"/>
    <w:uiPriority w:val="99"/>
    <w:semiHidden/>
    <w:unhideWhenUsed/>
    <w:rsid w:val="004B6A9F"/>
    <w:rPr>
      <w:color w:val="800080" w:themeColor="followedHyperlink"/>
      <w:u w:val="single"/>
    </w:rPr>
  </w:style>
  <w:style w:type="character" w:customStyle="1" w:styleId="Char">
    <w:name w:val="纯文本 Char"/>
    <w:link w:val="PlainText1"/>
    <w:rsid w:val="00673021"/>
    <w:rPr>
      <w:rFonts w:ascii="宋体" w:eastAsia="宋体" w:hAnsi="Courier New" w:cs="Courier New"/>
      <w:kern w:val="2"/>
      <w:sz w:val="21"/>
      <w:szCs w:val="21"/>
    </w:rPr>
  </w:style>
  <w:style w:type="paragraph" w:customStyle="1" w:styleId="PlainText1">
    <w:name w:val="Plain Text1"/>
    <w:basedOn w:val="Normal"/>
    <w:link w:val="Char"/>
    <w:rsid w:val="00673021"/>
    <w:pPr>
      <w:widowControl w:val="0"/>
      <w:spacing w:after="0" w:line="240" w:lineRule="auto"/>
      <w:jc w:val="both"/>
    </w:pPr>
    <w:rPr>
      <w:rFonts w:ascii="宋体" w:eastAsia="宋体" w:hAnsi="Courier New" w:cs="Courier New"/>
      <w:kern w:val="2"/>
      <w:sz w:val="21"/>
      <w:szCs w:val="21"/>
    </w:rPr>
  </w:style>
  <w:style w:type="paragraph" w:styleId="Header">
    <w:name w:val="header"/>
    <w:basedOn w:val="Normal"/>
    <w:link w:val="HeaderChar"/>
    <w:uiPriority w:val="99"/>
    <w:unhideWhenUsed/>
    <w:rsid w:val="006758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758C6"/>
  </w:style>
  <w:style w:type="paragraph" w:styleId="Footer">
    <w:name w:val="footer"/>
    <w:basedOn w:val="Normal"/>
    <w:link w:val="FooterChar"/>
    <w:uiPriority w:val="99"/>
    <w:unhideWhenUsed/>
    <w:rsid w:val="006758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758C6"/>
  </w:style>
  <w:style w:type="paragraph" w:styleId="NormalWeb">
    <w:name w:val="Normal (Web)"/>
    <w:basedOn w:val="Normal"/>
    <w:uiPriority w:val="99"/>
    <w:unhideWhenUsed/>
    <w:rsid w:val="009C600E"/>
    <w:pPr>
      <w:spacing w:before="100" w:beforeAutospacing="1" w:after="100" w:afterAutospacing="1" w:line="240" w:lineRule="auto"/>
    </w:pPr>
    <w:rPr>
      <w:rFonts w:ascii="宋体" w:eastAsia="宋体" w:hAnsi="宋体" w:cs="宋体"/>
      <w:sz w:val="24"/>
      <w:szCs w:val="24"/>
      <w:lang w:val="en-US" w:eastAsia="zh-CN"/>
    </w:rPr>
  </w:style>
  <w:style w:type="character" w:styleId="Emphasis">
    <w:name w:val="Emphasis"/>
    <w:qFormat/>
    <w:rsid w:val="006441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235">
      <w:bodyDiv w:val="1"/>
      <w:marLeft w:val="0"/>
      <w:marRight w:val="0"/>
      <w:marTop w:val="0"/>
      <w:marBottom w:val="0"/>
      <w:divBdr>
        <w:top w:val="none" w:sz="0" w:space="0" w:color="auto"/>
        <w:left w:val="none" w:sz="0" w:space="0" w:color="auto"/>
        <w:bottom w:val="none" w:sz="0" w:space="0" w:color="auto"/>
        <w:right w:val="none" w:sz="0" w:space="0" w:color="auto"/>
      </w:divBdr>
    </w:div>
    <w:div w:id="223219251">
      <w:bodyDiv w:val="1"/>
      <w:marLeft w:val="0"/>
      <w:marRight w:val="0"/>
      <w:marTop w:val="0"/>
      <w:marBottom w:val="0"/>
      <w:divBdr>
        <w:top w:val="none" w:sz="0" w:space="0" w:color="auto"/>
        <w:left w:val="none" w:sz="0" w:space="0" w:color="auto"/>
        <w:bottom w:val="none" w:sz="0" w:space="0" w:color="auto"/>
        <w:right w:val="none" w:sz="0" w:space="0" w:color="auto"/>
      </w:divBdr>
    </w:div>
    <w:div w:id="267394737">
      <w:bodyDiv w:val="1"/>
      <w:marLeft w:val="0"/>
      <w:marRight w:val="0"/>
      <w:marTop w:val="0"/>
      <w:marBottom w:val="0"/>
      <w:divBdr>
        <w:top w:val="none" w:sz="0" w:space="0" w:color="auto"/>
        <w:left w:val="none" w:sz="0" w:space="0" w:color="auto"/>
        <w:bottom w:val="none" w:sz="0" w:space="0" w:color="auto"/>
        <w:right w:val="none" w:sz="0" w:space="0" w:color="auto"/>
      </w:divBdr>
    </w:div>
    <w:div w:id="308051647">
      <w:bodyDiv w:val="1"/>
      <w:marLeft w:val="0"/>
      <w:marRight w:val="0"/>
      <w:marTop w:val="0"/>
      <w:marBottom w:val="0"/>
      <w:divBdr>
        <w:top w:val="none" w:sz="0" w:space="0" w:color="auto"/>
        <w:left w:val="none" w:sz="0" w:space="0" w:color="auto"/>
        <w:bottom w:val="none" w:sz="0" w:space="0" w:color="auto"/>
        <w:right w:val="none" w:sz="0" w:space="0" w:color="auto"/>
      </w:divBdr>
    </w:div>
    <w:div w:id="488177958">
      <w:bodyDiv w:val="1"/>
      <w:marLeft w:val="0"/>
      <w:marRight w:val="0"/>
      <w:marTop w:val="0"/>
      <w:marBottom w:val="0"/>
      <w:divBdr>
        <w:top w:val="none" w:sz="0" w:space="0" w:color="auto"/>
        <w:left w:val="none" w:sz="0" w:space="0" w:color="auto"/>
        <w:bottom w:val="none" w:sz="0" w:space="0" w:color="auto"/>
        <w:right w:val="none" w:sz="0" w:space="0" w:color="auto"/>
      </w:divBdr>
    </w:div>
    <w:div w:id="488178890">
      <w:bodyDiv w:val="1"/>
      <w:marLeft w:val="0"/>
      <w:marRight w:val="0"/>
      <w:marTop w:val="0"/>
      <w:marBottom w:val="0"/>
      <w:divBdr>
        <w:top w:val="none" w:sz="0" w:space="0" w:color="auto"/>
        <w:left w:val="none" w:sz="0" w:space="0" w:color="auto"/>
        <w:bottom w:val="none" w:sz="0" w:space="0" w:color="auto"/>
        <w:right w:val="none" w:sz="0" w:space="0" w:color="auto"/>
      </w:divBdr>
    </w:div>
    <w:div w:id="514005185">
      <w:bodyDiv w:val="1"/>
      <w:marLeft w:val="0"/>
      <w:marRight w:val="0"/>
      <w:marTop w:val="0"/>
      <w:marBottom w:val="0"/>
      <w:divBdr>
        <w:top w:val="none" w:sz="0" w:space="0" w:color="auto"/>
        <w:left w:val="none" w:sz="0" w:space="0" w:color="auto"/>
        <w:bottom w:val="none" w:sz="0" w:space="0" w:color="auto"/>
        <w:right w:val="none" w:sz="0" w:space="0" w:color="auto"/>
      </w:divBdr>
    </w:div>
    <w:div w:id="736052315">
      <w:bodyDiv w:val="1"/>
      <w:marLeft w:val="0"/>
      <w:marRight w:val="0"/>
      <w:marTop w:val="0"/>
      <w:marBottom w:val="0"/>
      <w:divBdr>
        <w:top w:val="none" w:sz="0" w:space="0" w:color="auto"/>
        <w:left w:val="none" w:sz="0" w:space="0" w:color="auto"/>
        <w:bottom w:val="none" w:sz="0" w:space="0" w:color="auto"/>
        <w:right w:val="none" w:sz="0" w:space="0" w:color="auto"/>
      </w:divBdr>
    </w:div>
    <w:div w:id="865097563">
      <w:bodyDiv w:val="1"/>
      <w:marLeft w:val="0"/>
      <w:marRight w:val="0"/>
      <w:marTop w:val="0"/>
      <w:marBottom w:val="0"/>
      <w:divBdr>
        <w:top w:val="none" w:sz="0" w:space="0" w:color="auto"/>
        <w:left w:val="none" w:sz="0" w:space="0" w:color="auto"/>
        <w:bottom w:val="none" w:sz="0" w:space="0" w:color="auto"/>
        <w:right w:val="none" w:sz="0" w:space="0" w:color="auto"/>
      </w:divBdr>
    </w:div>
    <w:div w:id="916786118">
      <w:bodyDiv w:val="1"/>
      <w:marLeft w:val="0"/>
      <w:marRight w:val="0"/>
      <w:marTop w:val="0"/>
      <w:marBottom w:val="0"/>
      <w:divBdr>
        <w:top w:val="none" w:sz="0" w:space="0" w:color="auto"/>
        <w:left w:val="none" w:sz="0" w:space="0" w:color="auto"/>
        <w:bottom w:val="none" w:sz="0" w:space="0" w:color="auto"/>
        <w:right w:val="none" w:sz="0" w:space="0" w:color="auto"/>
      </w:divBdr>
    </w:div>
    <w:div w:id="1093431360">
      <w:bodyDiv w:val="1"/>
      <w:marLeft w:val="0"/>
      <w:marRight w:val="0"/>
      <w:marTop w:val="0"/>
      <w:marBottom w:val="0"/>
      <w:divBdr>
        <w:top w:val="none" w:sz="0" w:space="0" w:color="auto"/>
        <w:left w:val="none" w:sz="0" w:space="0" w:color="auto"/>
        <w:bottom w:val="none" w:sz="0" w:space="0" w:color="auto"/>
        <w:right w:val="none" w:sz="0" w:space="0" w:color="auto"/>
      </w:divBdr>
    </w:div>
    <w:div w:id="1099105089">
      <w:bodyDiv w:val="1"/>
      <w:marLeft w:val="0"/>
      <w:marRight w:val="0"/>
      <w:marTop w:val="0"/>
      <w:marBottom w:val="0"/>
      <w:divBdr>
        <w:top w:val="none" w:sz="0" w:space="0" w:color="auto"/>
        <w:left w:val="none" w:sz="0" w:space="0" w:color="auto"/>
        <w:bottom w:val="none" w:sz="0" w:space="0" w:color="auto"/>
        <w:right w:val="none" w:sz="0" w:space="0" w:color="auto"/>
      </w:divBdr>
    </w:div>
    <w:div w:id="1137794572">
      <w:bodyDiv w:val="1"/>
      <w:marLeft w:val="0"/>
      <w:marRight w:val="0"/>
      <w:marTop w:val="0"/>
      <w:marBottom w:val="0"/>
      <w:divBdr>
        <w:top w:val="none" w:sz="0" w:space="0" w:color="auto"/>
        <w:left w:val="none" w:sz="0" w:space="0" w:color="auto"/>
        <w:bottom w:val="none" w:sz="0" w:space="0" w:color="auto"/>
        <w:right w:val="none" w:sz="0" w:space="0" w:color="auto"/>
      </w:divBdr>
    </w:div>
    <w:div w:id="1184632604">
      <w:bodyDiv w:val="1"/>
      <w:marLeft w:val="0"/>
      <w:marRight w:val="0"/>
      <w:marTop w:val="0"/>
      <w:marBottom w:val="0"/>
      <w:divBdr>
        <w:top w:val="none" w:sz="0" w:space="0" w:color="auto"/>
        <w:left w:val="none" w:sz="0" w:space="0" w:color="auto"/>
        <w:bottom w:val="none" w:sz="0" w:space="0" w:color="auto"/>
        <w:right w:val="none" w:sz="0" w:space="0" w:color="auto"/>
      </w:divBdr>
    </w:div>
    <w:div w:id="1186407580">
      <w:bodyDiv w:val="1"/>
      <w:marLeft w:val="0"/>
      <w:marRight w:val="0"/>
      <w:marTop w:val="0"/>
      <w:marBottom w:val="0"/>
      <w:divBdr>
        <w:top w:val="none" w:sz="0" w:space="0" w:color="auto"/>
        <w:left w:val="none" w:sz="0" w:space="0" w:color="auto"/>
        <w:bottom w:val="none" w:sz="0" w:space="0" w:color="auto"/>
        <w:right w:val="none" w:sz="0" w:space="0" w:color="auto"/>
      </w:divBdr>
    </w:div>
    <w:div w:id="1188450639">
      <w:bodyDiv w:val="1"/>
      <w:marLeft w:val="0"/>
      <w:marRight w:val="0"/>
      <w:marTop w:val="0"/>
      <w:marBottom w:val="0"/>
      <w:divBdr>
        <w:top w:val="none" w:sz="0" w:space="0" w:color="auto"/>
        <w:left w:val="none" w:sz="0" w:space="0" w:color="auto"/>
        <w:bottom w:val="none" w:sz="0" w:space="0" w:color="auto"/>
        <w:right w:val="none" w:sz="0" w:space="0" w:color="auto"/>
      </w:divBdr>
    </w:div>
    <w:div w:id="1196649565">
      <w:bodyDiv w:val="1"/>
      <w:marLeft w:val="0"/>
      <w:marRight w:val="0"/>
      <w:marTop w:val="0"/>
      <w:marBottom w:val="0"/>
      <w:divBdr>
        <w:top w:val="none" w:sz="0" w:space="0" w:color="auto"/>
        <w:left w:val="none" w:sz="0" w:space="0" w:color="auto"/>
        <w:bottom w:val="none" w:sz="0" w:space="0" w:color="auto"/>
        <w:right w:val="none" w:sz="0" w:space="0" w:color="auto"/>
      </w:divBdr>
    </w:div>
    <w:div w:id="1252349545">
      <w:bodyDiv w:val="1"/>
      <w:marLeft w:val="0"/>
      <w:marRight w:val="0"/>
      <w:marTop w:val="0"/>
      <w:marBottom w:val="0"/>
      <w:divBdr>
        <w:top w:val="none" w:sz="0" w:space="0" w:color="auto"/>
        <w:left w:val="none" w:sz="0" w:space="0" w:color="auto"/>
        <w:bottom w:val="none" w:sz="0" w:space="0" w:color="auto"/>
        <w:right w:val="none" w:sz="0" w:space="0" w:color="auto"/>
      </w:divBdr>
    </w:div>
    <w:div w:id="1384788382">
      <w:bodyDiv w:val="1"/>
      <w:marLeft w:val="0"/>
      <w:marRight w:val="0"/>
      <w:marTop w:val="0"/>
      <w:marBottom w:val="0"/>
      <w:divBdr>
        <w:top w:val="none" w:sz="0" w:space="0" w:color="auto"/>
        <w:left w:val="none" w:sz="0" w:space="0" w:color="auto"/>
        <w:bottom w:val="none" w:sz="0" w:space="0" w:color="auto"/>
        <w:right w:val="none" w:sz="0" w:space="0" w:color="auto"/>
      </w:divBdr>
    </w:div>
    <w:div w:id="1387484531">
      <w:bodyDiv w:val="1"/>
      <w:marLeft w:val="0"/>
      <w:marRight w:val="0"/>
      <w:marTop w:val="0"/>
      <w:marBottom w:val="0"/>
      <w:divBdr>
        <w:top w:val="none" w:sz="0" w:space="0" w:color="auto"/>
        <w:left w:val="none" w:sz="0" w:space="0" w:color="auto"/>
        <w:bottom w:val="none" w:sz="0" w:space="0" w:color="auto"/>
        <w:right w:val="none" w:sz="0" w:space="0" w:color="auto"/>
      </w:divBdr>
    </w:div>
    <w:div w:id="1445033537">
      <w:bodyDiv w:val="1"/>
      <w:marLeft w:val="0"/>
      <w:marRight w:val="0"/>
      <w:marTop w:val="0"/>
      <w:marBottom w:val="0"/>
      <w:divBdr>
        <w:top w:val="none" w:sz="0" w:space="0" w:color="auto"/>
        <w:left w:val="none" w:sz="0" w:space="0" w:color="auto"/>
        <w:bottom w:val="none" w:sz="0" w:space="0" w:color="auto"/>
        <w:right w:val="none" w:sz="0" w:space="0" w:color="auto"/>
      </w:divBdr>
    </w:div>
    <w:div w:id="1462383112">
      <w:bodyDiv w:val="1"/>
      <w:marLeft w:val="0"/>
      <w:marRight w:val="0"/>
      <w:marTop w:val="0"/>
      <w:marBottom w:val="0"/>
      <w:divBdr>
        <w:top w:val="none" w:sz="0" w:space="0" w:color="auto"/>
        <w:left w:val="none" w:sz="0" w:space="0" w:color="auto"/>
        <w:bottom w:val="none" w:sz="0" w:space="0" w:color="auto"/>
        <w:right w:val="none" w:sz="0" w:space="0" w:color="auto"/>
      </w:divBdr>
    </w:div>
    <w:div w:id="1653635762">
      <w:bodyDiv w:val="1"/>
      <w:marLeft w:val="0"/>
      <w:marRight w:val="0"/>
      <w:marTop w:val="0"/>
      <w:marBottom w:val="0"/>
      <w:divBdr>
        <w:top w:val="none" w:sz="0" w:space="0" w:color="auto"/>
        <w:left w:val="none" w:sz="0" w:space="0" w:color="auto"/>
        <w:bottom w:val="none" w:sz="0" w:space="0" w:color="auto"/>
        <w:right w:val="none" w:sz="0" w:space="0" w:color="auto"/>
      </w:divBdr>
    </w:div>
    <w:div w:id="1724252852">
      <w:bodyDiv w:val="1"/>
      <w:marLeft w:val="0"/>
      <w:marRight w:val="0"/>
      <w:marTop w:val="0"/>
      <w:marBottom w:val="0"/>
      <w:divBdr>
        <w:top w:val="none" w:sz="0" w:space="0" w:color="auto"/>
        <w:left w:val="none" w:sz="0" w:space="0" w:color="auto"/>
        <w:bottom w:val="none" w:sz="0" w:space="0" w:color="auto"/>
        <w:right w:val="none" w:sz="0" w:space="0" w:color="auto"/>
      </w:divBdr>
    </w:div>
    <w:div w:id="1960258358">
      <w:bodyDiv w:val="1"/>
      <w:marLeft w:val="0"/>
      <w:marRight w:val="0"/>
      <w:marTop w:val="0"/>
      <w:marBottom w:val="0"/>
      <w:divBdr>
        <w:top w:val="none" w:sz="0" w:space="0" w:color="auto"/>
        <w:left w:val="none" w:sz="0" w:space="0" w:color="auto"/>
        <w:bottom w:val="none" w:sz="0" w:space="0" w:color="auto"/>
        <w:right w:val="none" w:sz="0" w:space="0" w:color="auto"/>
      </w:divBdr>
      <w:divsChild>
        <w:div w:id="1514370121">
          <w:marLeft w:val="0"/>
          <w:marRight w:val="0"/>
          <w:marTop w:val="0"/>
          <w:marBottom w:val="0"/>
          <w:divBdr>
            <w:top w:val="none" w:sz="0" w:space="0" w:color="auto"/>
            <w:left w:val="none" w:sz="0" w:space="0" w:color="auto"/>
            <w:bottom w:val="none" w:sz="0" w:space="0" w:color="auto"/>
            <w:right w:val="none" w:sz="0" w:space="0" w:color="auto"/>
          </w:divBdr>
          <w:divsChild>
            <w:div w:id="1774323085">
              <w:marLeft w:val="0"/>
              <w:marRight w:val="0"/>
              <w:marTop w:val="0"/>
              <w:marBottom w:val="0"/>
              <w:divBdr>
                <w:top w:val="none" w:sz="0" w:space="0" w:color="auto"/>
                <w:left w:val="none" w:sz="0" w:space="0" w:color="auto"/>
                <w:bottom w:val="none" w:sz="0" w:space="0" w:color="auto"/>
                <w:right w:val="none" w:sz="0" w:space="0" w:color="auto"/>
              </w:divBdr>
            </w:div>
            <w:div w:id="1881433043">
              <w:marLeft w:val="0"/>
              <w:marRight w:val="0"/>
              <w:marTop w:val="0"/>
              <w:marBottom w:val="0"/>
              <w:divBdr>
                <w:top w:val="none" w:sz="0" w:space="0" w:color="auto"/>
                <w:left w:val="none" w:sz="0" w:space="0" w:color="auto"/>
                <w:bottom w:val="none" w:sz="0" w:space="0" w:color="auto"/>
                <w:right w:val="none" w:sz="0" w:space="0" w:color="auto"/>
              </w:divBdr>
            </w:div>
            <w:div w:id="984502834">
              <w:marLeft w:val="0"/>
              <w:marRight w:val="0"/>
              <w:marTop w:val="0"/>
              <w:marBottom w:val="0"/>
              <w:divBdr>
                <w:top w:val="none" w:sz="0" w:space="0" w:color="auto"/>
                <w:left w:val="none" w:sz="0" w:space="0" w:color="auto"/>
                <w:bottom w:val="none" w:sz="0" w:space="0" w:color="auto"/>
                <w:right w:val="none" w:sz="0" w:space="0" w:color="auto"/>
              </w:divBdr>
            </w:div>
            <w:div w:id="2059620707">
              <w:marLeft w:val="0"/>
              <w:marRight w:val="0"/>
              <w:marTop w:val="0"/>
              <w:marBottom w:val="0"/>
              <w:divBdr>
                <w:top w:val="none" w:sz="0" w:space="0" w:color="auto"/>
                <w:left w:val="none" w:sz="0" w:space="0" w:color="auto"/>
                <w:bottom w:val="none" w:sz="0" w:space="0" w:color="auto"/>
                <w:right w:val="none" w:sz="0" w:space="0" w:color="auto"/>
              </w:divBdr>
            </w:div>
            <w:div w:id="1645617543">
              <w:marLeft w:val="0"/>
              <w:marRight w:val="0"/>
              <w:marTop w:val="0"/>
              <w:marBottom w:val="0"/>
              <w:divBdr>
                <w:top w:val="none" w:sz="0" w:space="0" w:color="auto"/>
                <w:left w:val="none" w:sz="0" w:space="0" w:color="auto"/>
                <w:bottom w:val="none" w:sz="0" w:space="0" w:color="auto"/>
                <w:right w:val="none" w:sz="0" w:space="0" w:color="auto"/>
              </w:divBdr>
            </w:div>
            <w:div w:id="1499731382">
              <w:marLeft w:val="0"/>
              <w:marRight w:val="0"/>
              <w:marTop w:val="0"/>
              <w:marBottom w:val="0"/>
              <w:divBdr>
                <w:top w:val="none" w:sz="0" w:space="0" w:color="auto"/>
                <w:left w:val="none" w:sz="0" w:space="0" w:color="auto"/>
                <w:bottom w:val="none" w:sz="0" w:space="0" w:color="auto"/>
                <w:right w:val="none" w:sz="0" w:space="0" w:color="auto"/>
              </w:divBdr>
            </w:div>
            <w:div w:id="1990012949">
              <w:marLeft w:val="0"/>
              <w:marRight w:val="0"/>
              <w:marTop w:val="0"/>
              <w:marBottom w:val="0"/>
              <w:divBdr>
                <w:top w:val="none" w:sz="0" w:space="0" w:color="auto"/>
                <w:left w:val="none" w:sz="0" w:space="0" w:color="auto"/>
                <w:bottom w:val="none" w:sz="0" w:space="0" w:color="auto"/>
                <w:right w:val="none" w:sz="0" w:space="0" w:color="auto"/>
              </w:divBdr>
            </w:div>
            <w:div w:id="782964857">
              <w:marLeft w:val="0"/>
              <w:marRight w:val="0"/>
              <w:marTop w:val="0"/>
              <w:marBottom w:val="0"/>
              <w:divBdr>
                <w:top w:val="none" w:sz="0" w:space="0" w:color="auto"/>
                <w:left w:val="none" w:sz="0" w:space="0" w:color="auto"/>
                <w:bottom w:val="none" w:sz="0" w:space="0" w:color="auto"/>
                <w:right w:val="none" w:sz="0" w:space="0" w:color="auto"/>
              </w:divBdr>
            </w:div>
            <w:div w:id="1469006747">
              <w:marLeft w:val="0"/>
              <w:marRight w:val="0"/>
              <w:marTop w:val="0"/>
              <w:marBottom w:val="0"/>
              <w:divBdr>
                <w:top w:val="none" w:sz="0" w:space="0" w:color="auto"/>
                <w:left w:val="none" w:sz="0" w:space="0" w:color="auto"/>
                <w:bottom w:val="none" w:sz="0" w:space="0" w:color="auto"/>
                <w:right w:val="none" w:sz="0" w:space="0" w:color="auto"/>
              </w:divBdr>
            </w:div>
            <w:div w:id="563761202">
              <w:marLeft w:val="0"/>
              <w:marRight w:val="0"/>
              <w:marTop w:val="0"/>
              <w:marBottom w:val="0"/>
              <w:divBdr>
                <w:top w:val="none" w:sz="0" w:space="0" w:color="auto"/>
                <w:left w:val="none" w:sz="0" w:space="0" w:color="auto"/>
                <w:bottom w:val="none" w:sz="0" w:space="0" w:color="auto"/>
                <w:right w:val="none" w:sz="0" w:space="0" w:color="auto"/>
              </w:divBdr>
            </w:div>
            <w:div w:id="932975895">
              <w:marLeft w:val="0"/>
              <w:marRight w:val="0"/>
              <w:marTop w:val="0"/>
              <w:marBottom w:val="0"/>
              <w:divBdr>
                <w:top w:val="none" w:sz="0" w:space="0" w:color="auto"/>
                <w:left w:val="none" w:sz="0" w:space="0" w:color="auto"/>
                <w:bottom w:val="none" w:sz="0" w:space="0" w:color="auto"/>
                <w:right w:val="none" w:sz="0" w:space="0" w:color="auto"/>
              </w:divBdr>
            </w:div>
            <w:div w:id="588002780">
              <w:marLeft w:val="0"/>
              <w:marRight w:val="0"/>
              <w:marTop w:val="0"/>
              <w:marBottom w:val="0"/>
              <w:divBdr>
                <w:top w:val="none" w:sz="0" w:space="0" w:color="auto"/>
                <w:left w:val="none" w:sz="0" w:space="0" w:color="auto"/>
                <w:bottom w:val="none" w:sz="0" w:space="0" w:color="auto"/>
                <w:right w:val="none" w:sz="0" w:space="0" w:color="auto"/>
              </w:divBdr>
            </w:div>
            <w:div w:id="1571113526">
              <w:marLeft w:val="0"/>
              <w:marRight w:val="0"/>
              <w:marTop w:val="0"/>
              <w:marBottom w:val="0"/>
              <w:divBdr>
                <w:top w:val="none" w:sz="0" w:space="0" w:color="auto"/>
                <w:left w:val="none" w:sz="0" w:space="0" w:color="auto"/>
                <w:bottom w:val="none" w:sz="0" w:space="0" w:color="auto"/>
                <w:right w:val="none" w:sz="0" w:space="0" w:color="auto"/>
              </w:divBdr>
            </w:div>
            <w:div w:id="545604543">
              <w:marLeft w:val="0"/>
              <w:marRight w:val="0"/>
              <w:marTop w:val="0"/>
              <w:marBottom w:val="0"/>
              <w:divBdr>
                <w:top w:val="none" w:sz="0" w:space="0" w:color="auto"/>
                <w:left w:val="none" w:sz="0" w:space="0" w:color="auto"/>
                <w:bottom w:val="none" w:sz="0" w:space="0" w:color="auto"/>
                <w:right w:val="none" w:sz="0" w:space="0" w:color="auto"/>
              </w:divBdr>
            </w:div>
            <w:div w:id="135689694">
              <w:marLeft w:val="0"/>
              <w:marRight w:val="0"/>
              <w:marTop w:val="0"/>
              <w:marBottom w:val="0"/>
              <w:divBdr>
                <w:top w:val="none" w:sz="0" w:space="0" w:color="auto"/>
                <w:left w:val="none" w:sz="0" w:space="0" w:color="auto"/>
                <w:bottom w:val="none" w:sz="0" w:space="0" w:color="auto"/>
                <w:right w:val="none" w:sz="0" w:space="0" w:color="auto"/>
              </w:divBdr>
            </w:div>
            <w:div w:id="2039888026">
              <w:marLeft w:val="0"/>
              <w:marRight w:val="0"/>
              <w:marTop w:val="0"/>
              <w:marBottom w:val="0"/>
              <w:divBdr>
                <w:top w:val="none" w:sz="0" w:space="0" w:color="auto"/>
                <w:left w:val="none" w:sz="0" w:space="0" w:color="auto"/>
                <w:bottom w:val="none" w:sz="0" w:space="0" w:color="auto"/>
                <w:right w:val="none" w:sz="0" w:space="0" w:color="auto"/>
              </w:divBdr>
            </w:div>
            <w:div w:id="2087653733">
              <w:marLeft w:val="0"/>
              <w:marRight w:val="0"/>
              <w:marTop w:val="0"/>
              <w:marBottom w:val="0"/>
              <w:divBdr>
                <w:top w:val="none" w:sz="0" w:space="0" w:color="auto"/>
                <w:left w:val="none" w:sz="0" w:space="0" w:color="auto"/>
                <w:bottom w:val="none" w:sz="0" w:space="0" w:color="auto"/>
                <w:right w:val="none" w:sz="0" w:space="0" w:color="auto"/>
              </w:divBdr>
            </w:div>
            <w:div w:id="1767580019">
              <w:marLeft w:val="0"/>
              <w:marRight w:val="0"/>
              <w:marTop w:val="0"/>
              <w:marBottom w:val="0"/>
              <w:divBdr>
                <w:top w:val="none" w:sz="0" w:space="0" w:color="auto"/>
                <w:left w:val="none" w:sz="0" w:space="0" w:color="auto"/>
                <w:bottom w:val="none" w:sz="0" w:space="0" w:color="auto"/>
                <w:right w:val="none" w:sz="0" w:space="0" w:color="auto"/>
              </w:divBdr>
            </w:div>
            <w:div w:id="1108083485">
              <w:marLeft w:val="0"/>
              <w:marRight w:val="0"/>
              <w:marTop w:val="0"/>
              <w:marBottom w:val="0"/>
              <w:divBdr>
                <w:top w:val="none" w:sz="0" w:space="0" w:color="auto"/>
                <w:left w:val="none" w:sz="0" w:space="0" w:color="auto"/>
                <w:bottom w:val="none" w:sz="0" w:space="0" w:color="auto"/>
                <w:right w:val="none" w:sz="0" w:space="0" w:color="auto"/>
              </w:divBdr>
            </w:div>
            <w:div w:id="2052924169">
              <w:marLeft w:val="0"/>
              <w:marRight w:val="0"/>
              <w:marTop w:val="0"/>
              <w:marBottom w:val="0"/>
              <w:divBdr>
                <w:top w:val="none" w:sz="0" w:space="0" w:color="auto"/>
                <w:left w:val="none" w:sz="0" w:space="0" w:color="auto"/>
                <w:bottom w:val="none" w:sz="0" w:space="0" w:color="auto"/>
                <w:right w:val="none" w:sz="0" w:space="0" w:color="auto"/>
              </w:divBdr>
            </w:div>
            <w:div w:id="735205002">
              <w:marLeft w:val="0"/>
              <w:marRight w:val="0"/>
              <w:marTop w:val="0"/>
              <w:marBottom w:val="0"/>
              <w:divBdr>
                <w:top w:val="none" w:sz="0" w:space="0" w:color="auto"/>
                <w:left w:val="none" w:sz="0" w:space="0" w:color="auto"/>
                <w:bottom w:val="none" w:sz="0" w:space="0" w:color="auto"/>
                <w:right w:val="none" w:sz="0" w:space="0" w:color="auto"/>
              </w:divBdr>
            </w:div>
            <w:div w:id="2143649287">
              <w:marLeft w:val="0"/>
              <w:marRight w:val="0"/>
              <w:marTop w:val="0"/>
              <w:marBottom w:val="0"/>
              <w:divBdr>
                <w:top w:val="none" w:sz="0" w:space="0" w:color="auto"/>
                <w:left w:val="none" w:sz="0" w:space="0" w:color="auto"/>
                <w:bottom w:val="none" w:sz="0" w:space="0" w:color="auto"/>
                <w:right w:val="none" w:sz="0" w:space="0" w:color="auto"/>
              </w:divBdr>
            </w:div>
            <w:div w:id="2111505305">
              <w:marLeft w:val="0"/>
              <w:marRight w:val="0"/>
              <w:marTop w:val="0"/>
              <w:marBottom w:val="0"/>
              <w:divBdr>
                <w:top w:val="none" w:sz="0" w:space="0" w:color="auto"/>
                <w:left w:val="none" w:sz="0" w:space="0" w:color="auto"/>
                <w:bottom w:val="none" w:sz="0" w:space="0" w:color="auto"/>
                <w:right w:val="none" w:sz="0" w:space="0" w:color="auto"/>
              </w:divBdr>
            </w:div>
            <w:div w:id="32386631">
              <w:marLeft w:val="0"/>
              <w:marRight w:val="0"/>
              <w:marTop w:val="0"/>
              <w:marBottom w:val="0"/>
              <w:divBdr>
                <w:top w:val="none" w:sz="0" w:space="0" w:color="auto"/>
                <w:left w:val="none" w:sz="0" w:space="0" w:color="auto"/>
                <w:bottom w:val="none" w:sz="0" w:space="0" w:color="auto"/>
                <w:right w:val="none" w:sz="0" w:space="0" w:color="auto"/>
              </w:divBdr>
            </w:div>
            <w:div w:id="1671908121">
              <w:marLeft w:val="0"/>
              <w:marRight w:val="0"/>
              <w:marTop w:val="0"/>
              <w:marBottom w:val="0"/>
              <w:divBdr>
                <w:top w:val="none" w:sz="0" w:space="0" w:color="auto"/>
                <w:left w:val="none" w:sz="0" w:space="0" w:color="auto"/>
                <w:bottom w:val="none" w:sz="0" w:space="0" w:color="auto"/>
                <w:right w:val="none" w:sz="0" w:space="0" w:color="auto"/>
              </w:divBdr>
            </w:div>
            <w:div w:id="609243261">
              <w:marLeft w:val="0"/>
              <w:marRight w:val="0"/>
              <w:marTop w:val="0"/>
              <w:marBottom w:val="0"/>
              <w:divBdr>
                <w:top w:val="none" w:sz="0" w:space="0" w:color="auto"/>
                <w:left w:val="none" w:sz="0" w:space="0" w:color="auto"/>
                <w:bottom w:val="none" w:sz="0" w:space="0" w:color="auto"/>
                <w:right w:val="none" w:sz="0" w:space="0" w:color="auto"/>
              </w:divBdr>
            </w:div>
            <w:div w:id="1592007489">
              <w:marLeft w:val="0"/>
              <w:marRight w:val="0"/>
              <w:marTop w:val="0"/>
              <w:marBottom w:val="0"/>
              <w:divBdr>
                <w:top w:val="none" w:sz="0" w:space="0" w:color="auto"/>
                <w:left w:val="none" w:sz="0" w:space="0" w:color="auto"/>
                <w:bottom w:val="none" w:sz="0" w:space="0" w:color="auto"/>
                <w:right w:val="none" w:sz="0" w:space="0" w:color="auto"/>
              </w:divBdr>
            </w:div>
            <w:div w:id="559481486">
              <w:marLeft w:val="0"/>
              <w:marRight w:val="0"/>
              <w:marTop w:val="0"/>
              <w:marBottom w:val="0"/>
              <w:divBdr>
                <w:top w:val="none" w:sz="0" w:space="0" w:color="auto"/>
                <w:left w:val="none" w:sz="0" w:space="0" w:color="auto"/>
                <w:bottom w:val="none" w:sz="0" w:space="0" w:color="auto"/>
                <w:right w:val="none" w:sz="0" w:space="0" w:color="auto"/>
              </w:divBdr>
            </w:div>
            <w:div w:id="329060832">
              <w:marLeft w:val="0"/>
              <w:marRight w:val="0"/>
              <w:marTop w:val="0"/>
              <w:marBottom w:val="0"/>
              <w:divBdr>
                <w:top w:val="none" w:sz="0" w:space="0" w:color="auto"/>
                <w:left w:val="none" w:sz="0" w:space="0" w:color="auto"/>
                <w:bottom w:val="none" w:sz="0" w:space="0" w:color="auto"/>
                <w:right w:val="none" w:sz="0" w:space="0" w:color="auto"/>
              </w:divBdr>
            </w:div>
            <w:div w:id="947928114">
              <w:marLeft w:val="0"/>
              <w:marRight w:val="0"/>
              <w:marTop w:val="0"/>
              <w:marBottom w:val="0"/>
              <w:divBdr>
                <w:top w:val="none" w:sz="0" w:space="0" w:color="auto"/>
                <w:left w:val="none" w:sz="0" w:space="0" w:color="auto"/>
                <w:bottom w:val="none" w:sz="0" w:space="0" w:color="auto"/>
                <w:right w:val="none" w:sz="0" w:space="0" w:color="auto"/>
              </w:divBdr>
            </w:div>
            <w:div w:id="1748649845">
              <w:marLeft w:val="0"/>
              <w:marRight w:val="0"/>
              <w:marTop w:val="0"/>
              <w:marBottom w:val="0"/>
              <w:divBdr>
                <w:top w:val="none" w:sz="0" w:space="0" w:color="auto"/>
                <w:left w:val="none" w:sz="0" w:space="0" w:color="auto"/>
                <w:bottom w:val="none" w:sz="0" w:space="0" w:color="auto"/>
                <w:right w:val="none" w:sz="0" w:space="0" w:color="auto"/>
              </w:divBdr>
            </w:div>
            <w:div w:id="1572153558">
              <w:marLeft w:val="0"/>
              <w:marRight w:val="0"/>
              <w:marTop w:val="0"/>
              <w:marBottom w:val="0"/>
              <w:divBdr>
                <w:top w:val="none" w:sz="0" w:space="0" w:color="auto"/>
                <w:left w:val="none" w:sz="0" w:space="0" w:color="auto"/>
                <w:bottom w:val="none" w:sz="0" w:space="0" w:color="auto"/>
                <w:right w:val="none" w:sz="0" w:space="0" w:color="auto"/>
              </w:divBdr>
            </w:div>
            <w:div w:id="830753496">
              <w:marLeft w:val="0"/>
              <w:marRight w:val="0"/>
              <w:marTop w:val="0"/>
              <w:marBottom w:val="0"/>
              <w:divBdr>
                <w:top w:val="none" w:sz="0" w:space="0" w:color="auto"/>
                <w:left w:val="none" w:sz="0" w:space="0" w:color="auto"/>
                <w:bottom w:val="none" w:sz="0" w:space="0" w:color="auto"/>
                <w:right w:val="none" w:sz="0" w:space="0" w:color="auto"/>
              </w:divBdr>
            </w:div>
            <w:div w:id="1545291896">
              <w:marLeft w:val="0"/>
              <w:marRight w:val="0"/>
              <w:marTop w:val="0"/>
              <w:marBottom w:val="0"/>
              <w:divBdr>
                <w:top w:val="none" w:sz="0" w:space="0" w:color="auto"/>
                <w:left w:val="none" w:sz="0" w:space="0" w:color="auto"/>
                <w:bottom w:val="none" w:sz="0" w:space="0" w:color="auto"/>
                <w:right w:val="none" w:sz="0" w:space="0" w:color="auto"/>
              </w:divBdr>
            </w:div>
            <w:div w:id="1405951993">
              <w:marLeft w:val="0"/>
              <w:marRight w:val="0"/>
              <w:marTop w:val="0"/>
              <w:marBottom w:val="0"/>
              <w:divBdr>
                <w:top w:val="none" w:sz="0" w:space="0" w:color="auto"/>
                <w:left w:val="none" w:sz="0" w:space="0" w:color="auto"/>
                <w:bottom w:val="none" w:sz="0" w:space="0" w:color="auto"/>
                <w:right w:val="none" w:sz="0" w:space="0" w:color="auto"/>
              </w:divBdr>
            </w:div>
            <w:div w:id="739912612">
              <w:marLeft w:val="0"/>
              <w:marRight w:val="0"/>
              <w:marTop w:val="0"/>
              <w:marBottom w:val="0"/>
              <w:divBdr>
                <w:top w:val="none" w:sz="0" w:space="0" w:color="auto"/>
                <w:left w:val="none" w:sz="0" w:space="0" w:color="auto"/>
                <w:bottom w:val="none" w:sz="0" w:space="0" w:color="auto"/>
                <w:right w:val="none" w:sz="0" w:space="0" w:color="auto"/>
              </w:divBdr>
            </w:div>
            <w:div w:id="951592980">
              <w:marLeft w:val="0"/>
              <w:marRight w:val="0"/>
              <w:marTop w:val="0"/>
              <w:marBottom w:val="0"/>
              <w:divBdr>
                <w:top w:val="none" w:sz="0" w:space="0" w:color="auto"/>
                <w:left w:val="none" w:sz="0" w:space="0" w:color="auto"/>
                <w:bottom w:val="none" w:sz="0" w:space="0" w:color="auto"/>
                <w:right w:val="none" w:sz="0" w:space="0" w:color="auto"/>
              </w:divBdr>
            </w:div>
            <w:div w:id="464933062">
              <w:marLeft w:val="0"/>
              <w:marRight w:val="0"/>
              <w:marTop w:val="0"/>
              <w:marBottom w:val="0"/>
              <w:divBdr>
                <w:top w:val="none" w:sz="0" w:space="0" w:color="auto"/>
                <w:left w:val="none" w:sz="0" w:space="0" w:color="auto"/>
                <w:bottom w:val="none" w:sz="0" w:space="0" w:color="auto"/>
                <w:right w:val="none" w:sz="0" w:space="0" w:color="auto"/>
              </w:divBdr>
            </w:div>
            <w:div w:id="1493988968">
              <w:marLeft w:val="0"/>
              <w:marRight w:val="0"/>
              <w:marTop w:val="0"/>
              <w:marBottom w:val="0"/>
              <w:divBdr>
                <w:top w:val="none" w:sz="0" w:space="0" w:color="auto"/>
                <w:left w:val="none" w:sz="0" w:space="0" w:color="auto"/>
                <w:bottom w:val="none" w:sz="0" w:space="0" w:color="auto"/>
                <w:right w:val="none" w:sz="0" w:space="0" w:color="auto"/>
              </w:divBdr>
            </w:div>
            <w:div w:id="217979209">
              <w:marLeft w:val="0"/>
              <w:marRight w:val="0"/>
              <w:marTop w:val="0"/>
              <w:marBottom w:val="0"/>
              <w:divBdr>
                <w:top w:val="none" w:sz="0" w:space="0" w:color="auto"/>
                <w:left w:val="none" w:sz="0" w:space="0" w:color="auto"/>
                <w:bottom w:val="none" w:sz="0" w:space="0" w:color="auto"/>
                <w:right w:val="none" w:sz="0" w:space="0" w:color="auto"/>
              </w:divBdr>
            </w:div>
            <w:div w:id="223953266">
              <w:marLeft w:val="0"/>
              <w:marRight w:val="0"/>
              <w:marTop w:val="0"/>
              <w:marBottom w:val="0"/>
              <w:divBdr>
                <w:top w:val="none" w:sz="0" w:space="0" w:color="auto"/>
                <w:left w:val="none" w:sz="0" w:space="0" w:color="auto"/>
                <w:bottom w:val="none" w:sz="0" w:space="0" w:color="auto"/>
                <w:right w:val="none" w:sz="0" w:space="0" w:color="auto"/>
              </w:divBdr>
            </w:div>
            <w:div w:id="1346711691">
              <w:marLeft w:val="0"/>
              <w:marRight w:val="0"/>
              <w:marTop w:val="0"/>
              <w:marBottom w:val="0"/>
              <w:divBdr>
                <w:top w:val="none" w:sz="0" w:space="0" w:color="auto"/>
                <w:left w:val="none" w:sz="0" w:space="0" w:color="auto"/>
                <w:bottom w:val="none" w:sz="0" w:space="0" w:color="auto"/>
                <w:right w:val="none" w:sz="0" w:space="0" w:color="auto"/>
              </w:divBdr>
            </w:div>
            <w:div w:id="1528638742">
              <w:marLeft w:val="0"/>
              <w:marRight w:val="0"/>
              <w:marTop w:val="0"/>
              <w:marBottom w:val="0"/>
              <w:divBdr>
                <w:top w:val="none" w:sz="0" w:space="0" w:color="auto"/>
                <w:left w:val="none" w:sz="0" w:space="0" w:color="auto"/>
                <w:bottom w:val="none" w:sz="0" w:space="0" w:color="auto"/>
                <w:right w:val="none" w:sz="0" w:space="0" w:color="auto"/>
              </w:divBdr>
            </w:div>
            <w:div w:id="1126197658">
              <w:marLeft w:val="0"/>
              <w:marRight w:val="0"/>
              <w:marTop w:val="0"/>
              <w:marBottom w:val="0"/>
              <w:divBdr>
                <w:top w:val="none" w:sz="0" w:space="0" w:color="auto"/>
                <w:left w:val="none" w:sz="0" w:space="0" w:color="auto"/>
                <w:bottom w:val="none" w:sz="0" w:space="0" w:color="auto"/>
                <w:right w:val="none" w:sz="0" w:space="0" w:color="auto"/>
              </w:divBdr>
            </w:div>
            <w:div w:id="1377852418">
              <w:marLeft w:val="0"/>
              <w:marRight w:val="0"/>
              <w:marTop w:val="0"/>
              <w:marBottom w:val="0"/>
              <w:divBdr>
                <w:top w:val="none" w:sz="0" w:space="0" w:color="auto"/>
                <w:left w:val="none" w:sz="0" w:space="0" w:color="auto"/>
                <w:bottom w:val="none" w:sz="0" w:space="0" w:color="auto"/>
                <w:right w:val="none" w:sz="0" w:space="0" w:color="auto"/>
              </w:divBdr>
            </w:div>
            <w:div w:id="1592162242">
              <w:marLeft w:val="0"/>
              <w:marRight w:val="0"/>
              <w:marTop w:val="0"/>
              <w:marBottom w:val="0"/>
              <w:divBdr>
                <w:top w:val="none" w:sz="0" w:space="0" w:color="auto"/>
                <w:left w:val="none" w:sz="0" w:space="0" w:color="auto"/>
                <w:bottom w:val="none" w:sz="0" w:space="0" w:color="auto"/>
                <w:right w:val="none" w:sz="0" w:space="0" w:color="auto"/>
              </w:divBdr>
            </w:div>
            <w:div w:id="2067604013">
              <w:marLeft w:val="0"/>
              <w:marRight w:val="0"/>
              <w:marTop w:val="0"/>
              <w:marBottom w:val="0"/>
              <w:divBdr>
                <w:top w:val="none" w:sz="0" w:space="0" w:color="auto"/>
                <w:left w:val="none" w:sz="0" w:space="0" w:color="auto"/>
                <w:bottom w:val="none" w:sz="0" w:space="0" w:color="auto"/>
                <w:right w:val="none" w:sz="0" w:space="0" w:color="auto"/>
              </w:divBdr>
            </w:div>
            <w:div w:id="947468847">
              <w:marLeft w:val="0"/>
              <w:marRight w:val="0"/>
              <w:marTop w:val="0"/>
              <w:marBottom w:val="0"/>
              <w:divBdr>
                <w:top w:val="none" w:sz="0" w:space="0" w:color="auto"/>
                <w:left w:val="none" w:sz="0" w:space="0" w:color="auto"/>
                <w:bottom w:val="none" w:sz="0" w:space="0" w:color="auto"/>
                <w:right w:val="none" w:sz="0" w:space="0" w:color="auto"/>
              </w:divBdr>
            </w:div>
            <w:div w:id="859471781">
              <w:marLeft w:val="0"/>
              <w:marRight w:val="0"/>
              <w:marTop w:val="0"/>
              <w:marBottom w:val="0"/>
              <w:divBdr>
                <w:top w:val="none" w:sz="0" w:space="0" w:color="auto"/>
                <w:left w:val="none" w:sz="0" w:space="0" w:color="auto"/>
                <w:bottom w:val="none" w:sz="0" w:space="0" w:color="auto"/>
                <w:right w:val="none" w:sz="0" w:space="0" w:color="auto"/>
              </w:divBdr>
            </w:div>
            <w:div w:id="353311138">
              <w:marLeft w:val="0"/>
              <w:marRight w:val="0"/>
              <w:marTop w:val="0"/>
              <w:marBottom w:val="0"/>
              <w:divBdr>
                <w:top w:val="none" w:sz="0" w:space="0" w:color="auto"/>
                <w:left w:val="none" w:sz="0" w:space="0" w:color="auto"/>
                <w:bottom w:val="none" w:sz="0" w:space="0" w:color="auto"/>
                <w:right w:val="none" w:sz="0" w:space="0" w:color="auto"/>
              </w:divBdr>
            </w:div>
            <w:div w:id="1754349926">
              <w:marLeft w:val="0"/>
              <w:marRight w:val="0"/>
              <w:marTop w:val="0"/>
              <w:marBottom w:val="0"/>
              <w:divBdr>
                <w:top w:val="none" w:sz="0" w:space="0" w:color="auto"/>
                <w:left w:val="none" w:sz="0" w:space="0" w:color="auto"/>
                <w:bottom w:val="none" w:sz="0" w:space="0" w:color="auto"/>
                <w:right w:val="none" w:sz="0" w:space="0" w:color="auto"/>
              </w:divBdr>
            </w:div>
            <w:div w:id="41562370">
              <w:marLeft w:val="0"/>
              <w:marRight w:val="0"/>
              <w:marTop w:val="0"/>
              <w:marBottom w:val="0"/>
              <w:divBdr>
                <w:top w:val="none" w:sz="0" w:space="0" w:color="auto"/>
                <w:left w:val="none" w:sz="0" w:space="0" w:color="auto"/>
                <w:bottom w:val="none" w:sz="0" w:space="0" w:color="auto"/>
                <w:right w:val="none" w:sz="0" w:space="0" w:color="auto"/>
              </w:divBdr>
            </w:div>
            <w:div w:id="1065643604">
              <w:marLeft w:val="0"/>
              <w:marRight w:val="0"/>
              <w:marTop w:val="0"/>
              <w:marBottom w:val="0"/>
              <w:divBdr>
                <w:top w:val="none" w:sz="0" w:space="0" w:color="auto"/>
                <w:left w:val="none" w:sz="0" w:space="0" w:color="auto"/>
                <w:bottom w:val="none" w:sz="0" w:space="0" w:color="auto"/>
                <w:right w:val="none" w:sz="0" w:space="0" w:color="auto"/>
              </w:divBdr>
            </w:div>
            <w:div w:id="826241038">
              <w:marLeft w:val="0"/>
              <w:marRight w:val="0"/>
              <w:marTop w:val="0"/>
              <w:marBottom w:val="0"/>
              <w:divBdr>
                <w:top w:val="none" w:sz="0" w:space="0" w:color="auto"/>
                <w:left w:val="none" w:sz="0" w:space="0" w:color="auto"/>
                <w:bottom w:val="none" w:sz="0" w:space="0" w:color="auto"/>
                <w:right w:val="none" w:sz="0" w:space="0" w:color="auto"/>
              </w:divBdr>
            </w:div>
            <w:div w:id="2038195909">
              <w:marLeft w:val="0"/>
              <w:marRight w:val="0"/>
              <w:marTop w:val="0"/>
              <w:marBottom w:val="0"/>
              <w:divBdr>
                <w:top w:val="none" w:sz="0" w:space="0" w:color="auto"/>
                <w:left w:val="none" w:sz="0" w:space="0" w:color="auto"/>
                <w:bottom w:val="none" w:sz="0" w:space="0" w:color="auto"/>
                <w:right w:val="none" w:sz="0" w:space="0" w:color="auto"/>
              </w:divBdr>
            </w:div>
            <w:div w:id="923297714">
              <w:marLeft w:val="0"/>
              <w:marRight w:val="0"/>
              <w:marTop w:val="0"/>
              <w:marBottom w:val="0"/>
              <w:divBdr>
                <w:top w:val="none" w:sz="0" w:space="0" w:color="auto"/>
                <w:left w:val="none" w:sz="0" w:space="0" w:color="auto"/>
                <w:bottom w:val="none" w:sz="0" w:space="0" w:color="auto"/>
                <w:right w:val="none" w:sz="0" w:space="0" w:color="auto"/>
              </w:divBdr>
            </w:div>
            <w:div w:id="809637133">
              <w:marLeft w:val="0"/>
              <w:marRight w:val="0"/>
              <w:marTop w:val="0"/>
              <w:marBottom w:val="0"/>
              <w:divBdr>
                <w:top w:val="none" w:sz="0" w:space="0" w:color="auto"/>
                <w:left w:val="none" w:sz="0" w:space="0" w:color="auto"/>
                <w:bottom w:val="none" w:sz="0" w:space="0" w:color="auto"/>
                <w:right w:val="none" w:sz="0" w:space="0" w:color="auto"/>
              </w:divBdr>
            </w:div>
            <w:div w:id="658077363">
              <w:marLeft w:val="0"/>
              <w:marRight w:val="0"/>
              <w:marTop w:val="0"/>
              <w:marBottom w:val="0"/>
              <w:divBdr>
                <w:top w:val="none" w:sz="0" w:space="0" w:color="auto"/>
                <w:left w:val="none" w:sz="0" w:space="0" w:color="auto"/>
                <w:bottom w:val="none" w:sz="0" w:space="0" w:color="auto"/>
                <w:right w:val="none" w:sz="0" w:space="0" w:color="auto"/>
              </w:divBdr>
            </w:div>
            <w:div w:id="1440296739">
              <w:marLeft w:val="0"/>
              <w:marRight w:val="0"/>
              <w:marTop w:val="0"/>
              <w:marBottom w:val="0"/>
              <w:divBdr>
                <w:top w:val="none" w:sz="0" w:space="0" w:color="auto"/>
                <w:left w:val="none" w:sz="0" w:space="0" w:color="auto"/>
                <w:bottom w:val="none" w:sz="0" w:space="0" w:color="auto"/>
                <w:right w:val="none" w:sz="0" w:space="0" w:color="auto"/>
              </w:divBdr>
            </w:div>
            <w:div w:id="1546674844">
              <w:marLeft w:val="0"/>
              <w:marRight w:val="0"/>
              <w:marTop w:val="0"/>
              <w:marBottom w:val="0"/>
              <w:divBdr>
                <w:top w:val="none" w:sz="0" w:space="0" w:color="auto"/>
                <w:left w:val="none" w:sz="0" w:space="0" w:color="auto"/>
                <w:bottom w:val="none" w:sz="0" w:space="0" w:color="auto"/>
                <w:right w:val="none" w:sz="0" w:space="0" w:color="auto"/>
              </w:divBdr>
            </w:div>
            <w:div w:id="825782665">
              <w:marLeft w:val="0"/>
              <w:marRight w:val="0"/>
              <w:marTop w:val="0"/>
              <w:marBottom w:val="0"/>
              <w:divBdr>
                <w:top w:val="none" w:sz="0" w:space="0" w:color="auto"/>
                <w:left w:val="none" w:sz="0" w:space="0" w:color="auto"/>
                <w:bottom w:val="none" w:sz="0" w:space="0" w:color="auto"/>
                <w:right w:val="none" w:sz="0" w:space="0" w:color="auto"/>
              </w:divBdr>
            </w:div>
            <w:div w:id="986206244">
              <w:marLeft w:val="0"/>
              <w:marRight w:val="0"/>
              <w:marTop w:val="0"/>
              <w:marBottom w:val="0"/>
              <w:divBdr>
                <w:top w:val="none" w:sz="0" w:space="0" w:color="auto"/>
                <w:left w:val="none" w:sz="0" w:space="0" w:color="auto"/>
                <w:bottom w:val="none" w:sz="0" w:space="0" w:color="auto"/>
                <w:right w:val="none" w:sz="0" w:space="0" w:color="auto"/>
              </w:divBdr>
            </w:div>
            <w:div w:id="229314668">
              <w:marLeft w:val="0"/>
              <w:marRight w:val="0"/>
              <w:marTop w:val="0"/>
              <w:marBottom w:val="0"/>
              <w:divBdr>
                <w:top w:val="none" w:sz="0" w:space="0" w:color="auto"/>
                <w:left w:val="none" w:sz="0" w:space="0" w:color="auto"/>
                <w:bottom w:val="none" w:sz="0" w:space="0" w:color="auto"/>
                <w:right w:val="none" w:sz="0" w:space="0" w:color="auto"/>
              </w:divBdr>
            </w:div>
            <w:div w:id="340549330">
              <w:marLeft w:val="0"/>
              <w:marRight w:val="0"/>
              <w:marTop w:val="0"/>
              <w:marBottom w:val="0"/>
              <w:divBdr>
                <w:top w:val="none" w:sz="0" w:space="0" w:color="auto"/>
                <w:left w:val="none" w:sz="0" w:space="0" w:color="auto"/>
                <w:bottom w:val="none" w:sz="0" w:space="0" w:color="auto"/>
                <w:right w:val="none" w:sz="0" w:space="0" w:color="auto"/>
              </w:divBdr>
            </w:div>
            <w:div w:id="1072503242">
              <w:marLeft w:val="0"/>
              <w:marRight w:val="0"/>
              <w:marTop w:val="0"/>
              <w:marBottom w:val="0"/>
              <w:divBdr>
                <w:top w:val="none" w:sz="0" w:space="0" w:color="auto"/>
                <w:left w:val="none" w:sz="0" w:space="0" w:color="auto"/>
                <w:bottom w:val="none" w:sz="0" w:space="0" w:color="auto"/>
                <w:right w:val="none" w:sz="0" w:space="0" w:color="auto"/>
              </w:divBdr>
            </w:div>
            <w:div w:id="2064210055">
              <w:marLeft w:val="0"/>
              <w:marRight w:val="0"/>
              <w:marTop w:val="0"/>
              <w:marBottom w:val="0"/>
              <w:divBdr>
                <w:top w:val="none" w:sz="0" w:space="0" w:color="auto"/>
                <w:left w:val="none" w:sz="0" w:space="0" w:color="auto"/>
                <w:bottom w:val="none" w:sz="0" w:space="0" w:color="auto"/>
                <w:right w:val="none" w:sz="0" w:space="0" w:color="auto"/>
              </w:divBdr>
            </w:div>
            <w:div w:id="16426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871B-827E-A24C-9E7F-A05B4414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10385</Words>
  <Characters>59198</Characters>
  <Application>Microsoft Macintosh Word</Application>
  <DocSecurity>0</DocSecurity>
  <Lines>493</Lines>
  <Paragraphs>138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Your Company Name</Company>
  <LinksUpToDate>false</LinksUpToDate>
  <CharactersWithSpaces>69445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Na Ma</cp:lastModifiedBy>
  <cp:revision>2</cp:revision>
  <cp:lastPrinted>2015-11-30T18:17:00Z</cp:lastPrinted>
  <dcterms:created xsi:type="dcterms:W3CDTF">2016-02-23T23:14:00Z</dcterms:created>
  <dcterms:modified xsi:type="dcterms:W3CDTF">2016-02-23T23:14:00Z</dcterms:modified>
</cp:coreProperties>
</file>