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EC1" w:rsidRPr="0048160E" w:rsidRDefault="008A5EC1" w:rsidP="009622AB">
      <w:pPr>
        <w:spacing w:line="360" w:lineRule="auto"/>
        <w:rPr>
          <w:rFonts w:ascii="Book Antiqua" w:eastAsiaTheme="minorEastAsia" w:hAnsi="Book Antiqua" w:cs="Tahoma"/>
          <w:b/>
          <w:i/>
          <w:color w:val="000000" w:themeColor="text1"/>
          <w:sz w:val="24"/>
          <w:lang w:eastAsia="ja-JP"/>
        </w:rPr>
      </w:pPr>
      <w:r w:rsidRPr="00D85256">
        <w:rPr>
          <w:rFonts w:ascii="Book Antiqua" w:hAnsi="Book Antiqua" w:cs="Tahoma"/>
          <w:b/>
          <w:color w:val="000000" w:themeColor="text1"/>
          <w:sz w:val="24"/>
        </w:rPr>
        <w:t xml:space="preserve">Name of journal: </w:t>
      </w:r>
      <w:r w:rsidR="00753C26" w:rsidRPr="0048160E">
        <w:rPr>
          <w:rFonts w:ascii="Book Antiqua" w:eastAsiaTheme="minorEastAsia" w:hAnsi="Book Antiqua" w:cs="Tahoma"/>
          <w:b/>
          <w:i/>
          <w:color w:val="000000" w:themeColor="text1"/>
          <w:sz w:val="24"/>
          <w:lang w:eastAsia="ja-JP"/>
        </w:rPr>
        <w:t>World Journal of Orthopedics</w:t>
      </w:r>
    </w:p>
    <w:p w:rsidR="00233009" w:rsidRPr="00D85256" w:rsidRDefault="008A5EC1" w:rsidP="009622AB">
      <w:pPr>
        <w:spacing w:line="360" w:lineRule="auto"/>
        <w:rPr>
          <w:rFonts w:ascii="Book Antiqua" w:hAnsi="Book Antiqua" w:cs="Tahoma"/>
          <w:b/>
          <w:color w:val="000000" w:themeColor="text1"/>
          <w:sz w:val="24"/>
        </w:rPr>
      </w:pPr>
      <w:r w:rsidRPr="00D85256">
        <w:rPr>
          <w:rFonts w:ascii="Book Antiqua" w:hAnsi="Book Antiqua" w:cs="Tahoma"/>
          <w:b/>
          <w:color w:val="000000" w:themeColor="text1"/>
          <w:sz w:val="24"/>
        </w:rPr>
        <w:t>ESPS Manuscript NO:</w:t>
      </w:r>
      <w:r w:rsidR="00753C26" w:rsidRPr="00D85256">
        <w:rPr>
          <w:rFonts w:ascii="Book Antiqua" w:hAnsi="Book Antiqua" w:cs="Tahoma"/>
          <w:b/>
          <w:color w:val="000000" w:themeColor="text1"/>
          <w:sz w:val="24"/>
        </w:rPr>
        <w:t xml:space="preserve"> 18247</w:t>
      </w:r>
    </w:p>
    <w:p w:rsidR="008A5EC1" w:rsidRPr="00D85256" w:rsidRDefault="00E411EF" w:rsidP="009622AB">
      <w:pPr>
        <w:spacing w:line="360" w:lineRule="auto"/>
        <w:rPr>
          <w:rFonts w:ascii="Book Antiqua" w:hAnsi="Book Antiqua" w:cs="Tahoma"/>
          <w:b/>
          <w:color w:val="000000" w:themeColor="text1"/>
          <w:sz w:val="24"/>
        </w:rPr>
      </w:pPr>
      <w:bookmarkStart w:id="0" w:name="OLE_LINK3"/>
      <w:bookmarkStart w:id="1" w:name="OLE_LINK4"/>
      <w:r w:rsidRPr="00D85256">
        <w:rPr>
          <w:rFonts w:ascii="Book Antiqua" w:hAnsi="Book Antiqua"/>
          <w:b/>
          <w:color w:val="000000" w:themeColor="text1"/>
          <w:kern w:val="0"/>
          <w:sz w:val="24"/>
        </w:rPr>
        <w:t>Columns:</w:t>
      </w:r>
      <w:bookmarkEnd w:id="0"/>
      <w:bookmarkEnd w:id="1"/>
      <w:r w:rsidRPr="00D85256">
        <w:rPr>
          <w:rFonts w:ascii="Book Antiqua" w:eastAsia="YouYuan" w:hAnsi="Book Antiqua"/>
          <w:b/>
          <w:color w:val="000000" w:themeColor="text1"/>
          <w:sz w:val="24"/>
        </w:rPr>
        <w:t xml:space="preserve"> EDITORIAL</w:t>
      </w:r>
      <w:r w:rsidRPr="00D85256">
        <w:rPr>
          <w:rFonts w:ascii="Book Antiqua" w:eastAsia="YouYuan" w:hAnsi="Book Antiqua"/>
          <w:b/>
          <w:color w:val="000000" w:themeColor="text1"/>
          <w:sz w:val="24"/>
        </w:rPr>
        <w:br/>
      </w:r>
    </w:p>
    <w:p w:rsidR="003F34E9" w:rsidRPr="00D85256" w:rsidRDefault="00753C26" w:rsidP="009622AB">
      <w:pPr>
        <w:autoSpaceDE w:val="0"/>
        <w:autoSpaceDN w:val="0"/>
        <w:adjustRightInd w:val="0"/>
        <w:spacing w:line="360" w:lineRule="auto"/>
        <w:rPr>
          <w:rFonts w:ascii="Book Antiqua" w:hAnsi="Book Antiqua"/>
          <w:color w:val="000000" w:themeColor="text1"/>
          <w:kern w:val="0"/>
          <w:sz w:val="24"/>
        </w:rPr>
      </w:pPr>
      <w:r w:rsidRPr="00D85256">
        <w:rPr>
          <w:rFonts w:ascii="Book Antiqua" w:hAnsi="Book Antiqua"/>
          <w:b/>
          <w:color w:val="000000" w:themeColor="text1"/>
          <w:sz w:val="24"/>
        </w:rPr>
        <w:t xml:space="preserve">Arthroscopic approach to </w:t>
      </w:r>
      <w:r w:rsidR="000E7CF6" w:rsidRPr="00D85256">
        <w:rPr>
          <w:rFonts w:ascii="Book Antiqua" w:eastAsiaTheme="minorEastAsia" w:hAnsi="Book Antiqua"/>
          <w:b/>
          <w:color w:val="000000" w:themeColor="text1"/>
          <w:sz w:val="24"/>
          <w:lang w:eastAsia="ja-JP"/>
        </w:rPr>
        <w:t xml:space="preserve">the </w:t>
      </w:r>
      <w:r w:rsidRPr="00D85256">
        <w:rPr>
          <w:rFonts w:ascii="Book Antiqua" w:hAnsi="Book Antiqua"/>
          <w:b/>
          <w:color w:val="000000" w:themeColor="text1"/>
          <w:sz w:val="24"/>
        </w:rPr>
        <w:t xml:space="preserve">posterior compartment of the knee using a </w:t>
      </w:r>
      <w:r w:rsidR="000E7CF6" w:rsidRPr="00D85256">
        <w:rPr>
          <w:rFonts w:ascii="Book Antiqua" w:hAnsi="Book Antiqua"/>
          <w:b/>
          <w:color w:val="000000" w:themeColor="text1"/>
          <w:sz w:val="24"/>
        </w:rPr>
        <w:t xml:space="preserve">posterior </w:t>
      </w:r>
      <w:r w:rsidRPr="00D85256">
        <w:rPr>
          <w:rFonts w:ascii="Book Antiqua" w:hAnsi="Book Antiqua"/>
          <w:b/>
          <w:color w:val="000000" w:themeColor="text1"/>
          <w:sz w:val="24"/>
        </w:rPr>
        <w:t>transseptal portal</w:t>
      </w:r>
      <w:bookmarkStart w:id="2" w:name="_GoBack"/>
      <w:bookmarkEnd w:id="2"/>
    </w:p>
    <w:p w:rsidR="001573A6" w:rsidRPr="00D85256" w:rsidRDefault="001573A6" w:rsidP="009622AB">
      <w:pPr>
        <w:spacing w:line="360" w:lineRule="auto"/>
        <w:rPr>
          <w:rFonts w:ascii="Book Antiqua" w:hAnsi="Book Antiqua" w:cs="Tahoma"/>
          <w:color w:val="000000" w:themeColor="text1"/>
          <w:kern w:val="0"/>
          <w:sz w:val="24"/>
        </w:rPr>
      </w:pPr>
    </w:p>
    <w:p w:rsidR="009622AB" w:rsidRPr="00D85256" w:rsidRDefault="009622AB" w:rsidP="009622AB">
      <w:pPr>
        <w:spacing w:line="360" w:lineRule="auto"/>
        <w:rPr>
          <w:rFonts w:ascii="Book Antiqua" w:hAnsi="Book Antiqua" w:cs="Tahoma"/>
          <w:color w:val="000000" w:themeColor="text1"/>
          <w:kern w:val="0"/>
          <w:sz w:val="24"/>
        </w:rPr>
      </w:pPr>
      <w:r w:rsidRPr="00D85256">
        <w:rPr>
          <w:rFonts w:ascii="Book Antiqua" w:hAnsi="Book Antiqua"/>
          <w:color w:val="000000" w:themeColor="text1"/>
          <w:sz w:val="24"/>
        </w:rPr>
        <w:t xml:space="preserve">Ohishi T </w:t>
      </w:r>
      <w:r w:rsidRPr="00D85256">
        <w:rPr>
          <w:rFonts w:ascii="Book Antiqua" w:hAnsi="Book Antiqua"/>
          <w:i/>
          <w:color w:val="000000" w:themeColor="text1"/>
          <w:sz w:val="24"/>
        </w:rPr>
        <w:t>et al</w:t>
      </w:r>
      <w:r w:rsidRPr="00D85256">
        <w:rPr>
          <w:rFonts w:ascii="Book Antiqua" w:hAnsi="Book Antiqua"/>
          <w:color w:val="000000" w:themeColor="text1"/>
          <w:sz w:val="24"/>
        </w:rPr>
        <w:t>. Arthroscopic approach to the posterior compartment of the knee</w:t>
      </w:r>
    </w:p>
    <w:p w:rsidR="009622AB" w:rsidRPr="00D85256" w:rsidRDefault="009622AB" w:rsidP="009622AB">
      <w:pPr>
        <w:spacing w:line="360" w:lineRule="auto"/>
        <w:rPr>
          <w:rFonts w:ascii="Book Antiqua" w:hAnsi="Book Antiqua" w:cs="Tahoma"/>
          <w:color w:val="000000" w:themeColor="text1"/>
          <w:kern w:val="0"/>
          <w:sz w:val="24"/>
        </w:rPr>
      </w:pPr>
    </w:p>
    <w:p w:rsidR="001D6CA5" w:rsidRPr="00D85256" w:rsidRDefault="001D6CA5" w:rsidP="009622AB">
      <w:pPr>
        <w:spacing w:line="360" w:lineRule="auto"/>
        <w:rPr>
          <w:rFonts w:ascii="Book Antiqua" w:hAnsi="Book Antiqua"/>
          <w:color w:val="000000" w:themeColor="text1"/>
          <w:sz w:val="24"/>
        </w:rPr>
      </w:pPr>
      <w:r w:rsidRPr="00D85256">
        <w:rPr>
          <w:rFonts w:ascii="Book Antiqua" w:hAnsi="Book Antiqua"/>
          <w:color w:val="000000" w:themeColor="text1"/>
          <w:sz w:val="24"/>
        </w:rPr>
        <w:t>Tsuyoshi Ohishi, Masaaki Takahashi, Daisuke Suzuki, Yukihiro Matsuyama</w:t>
      </w:r>
    </w:p>
    <w:p w:rsidR="00FD7244" w:rsidRPr="00D85256" w:rsidRDefault="00FD7244" w:rsidP="009622AB">
      <w:pPr>
        <w:spacing w:line="360" w:lineRule="auto"/>
        <w:rPr>
          <w:rFonts w:ascii="Book Antiqua" w:hAnsi="Book Antiqua"/>
          <w:color w:val="000000" w:themeColor="text1"/>
          <w:sz w:val="24"/>
        </w:rPr>
      </w:pPr>
    </w:p>
    <w:p w:rsidR="001573A6" w:rsidRDefault="001573A6"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Tsuyoshi Ohishi</w:t>
      </w:r>
      <w:r w:rsidRPr="00D85256">
        <w:rPr>
          <w:rFonts w:ascii="Book Antiqua" w:hAnsi="Book Antiqua"/>
          <w:color w:val="000000" w:themeColor="text1"/>
          <w:sz w:val="24"/>
        </w:rPr>
        <w:t xml:space="preserve">, </w:t>
      </w:r>
      <w:r w:rsidR="00170B93" w:rsidRPr="00D85256">
        <w:rPr>
          <w:rFonts w:ascii="Book Antiqua" w:hAnsi="Book Antiqua"/>
          <w:b/>
          <w:color w:val="000000" w:themeColor="text1"/>
          <w:sz w:val="24"/>
        </w:rPr>
        <w:t>Daisuke Suzuki,</w:t>
      </w:r>
      <w:r w:rsidR="00170B93" w:rsidRPr="00D85256">
        <w:rPr>
          <w:rFonts w:ascii="Book Antiqua" w:hAnsi="Book Antiqua"/>
          <w:color w:val="000000" w:themeColor="text1"/>
          <w:sz w:val="24"/>
        </w:rPr>
        <w:t xml:space="preserve"> </w:t>
      </w:r>
      <w:r w:rsidRPr="00D85256">
        <w:rPr>
          <w:rFonts w:ascii="Book Antiqua" w:hAnsi="Book Antiqua"/>
          <w:color w:val="000000" w:themeColor="text1"/>
          <w:sz w:val="24"/>
        </w:rPr>
        <w:t>Department of Orthopedic Surgery, Enshu Hospital, Hamamatsu, Shizuoka 430-0929, Japan</w:t>
      </w:r>
    </w:p>
    <w:p w:rsidR="00C56975" w:rsidRPr="00D85256" w:rsidRDefault="00C56975" w:rsidP="009622AB">
      <w:pPr>
        <w:spacing w:line="360" w:lineRule="auto"/>
        <w:rPr>
          <w:rFonts w:ascii="Book Antiqua" w:hAnsi="Book Antiqua"/>
          <w:color w:val="000000" w:themeColor="text1"/>
          <w:sz w:val="24"/>
        </w:rPr>
      </w:pPr>
    </w:p>
    <w:p w:rsidR="001573A6" w:rsidRDefault="001573A6"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Masaaki Takahashi,</w:t>
      </w:r>
      <w:r w:rsidRPr="00D85256">
        <w:rPr>
          <w:rFonts w:ascii="Book Antiqua" w:hAnsi="Book Antiqua"/>
          <w:color w:val="000000" w:themeColor="text1"/>
          <w:sz w:val="24"/>
        </w:rPr>
        <w:t xml:space="preserve"> Joint Center, Jyuzen Memorial Hospital, Hamamatsu, Shizuoka 434-0042, Japan</w:t>
      </w:r>
    </w:p>
    <w:p w:rsidR="00C56975" w:rsidRPr="00D85256" w:rsidRDefault="00C56975" w:rsidP="009622AB">
      <w:pPr>
        <w:spacing w:line="360" w:lineRule="auto"/>
        <w:rPr>
          <w:rFonts w:ascii="Book Antiqua" w:hAnsi="Book Antiqua"/>
          <w:color w:val="000000" w:themeColor="text1"/>
          <w:sz w:val="24"/>
        </w:rPr>
      </w:pPr>
    </w:p>
    <w:p w:rsidR="001573A6" w:rsidRPr="00D85256" w:rsidRDefault="001573A6"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Yukihiro Matsuyama</w:t>
      </w:r>
      <w:r w:rsidRPr="00D85256">
        <w:rPr>
          <w:rFonts w:ascii="Book Antiqua" w:hAnsi="Book Antiqua"/>
          <w:color w:val="000000" w:themeColor="text1"/>
          <w:sz w:val="24"/>
        </w:rPr>
        <w:t>, Department of Orthopedic Surgery, Hamamatsu University School of Medicine, Hamamatsu, Shizuoka 431-3192, Japan</w:t>
      </w:r>
    </w:p>
    <w:p w:rsidR="001573A6" w:rsidRPr="00D85256" w:rsidRDefault="001573A6" w:rsidP="009622AB">
      <w:pPr>
        <w:spacing w:line="360" w:lineRule="auto"/>
        <w:rPr>
          <w:rFonts w:ascii="Book Antiqua" w:hAnsi="Book Antiqua"/>
          <w:b/>
          <w:color w:val="000000" w:themeColor="text1"/>
          <w:sz w:val="24"/>
        </w:rPr>
      </w:pPr>
    </w:p>
    <w:p w:rsidR="001573A6" w:rsidRPr="00D85256" w:rsidRDefault="00295BDC"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 xml:space="preserve">Author contributions: </w:t>
      </w:r>
      <w:r w:rsidR="001573A6" w:rsidRPr="00D85256">
        <w:rPr>
          <w:rFonts w:ascii="Book Antiqua" w:hAnsi="Book Antiqua"/>
          <w:color w:val="000000" w:themeColor="text1"/>
          <w:sz w:val="24"/>
        </w:rPr>
        <w:t xml:space="preserve">Ohishi T wrote the paper; Ohishi T and </w:t>
      </w:r>
      <w:r w:rsidR="00170B93" w:rsidRPr="00D85256">
        <w:rPr>
          <w:rFonts w:ascii="Book Antiqua" w:hAnsi="Book Antiqua"/>
          <w:color w:val="000000" w:themeColor="text1"/>
          <w:sz w:val="24"/>
        </w:rPr>
        <w:t>Suzuki D operated on patients;</w:t>
      </w:r>
      <w:r w:rsidR="001573A6" w:rsidRPr="00D85256">
        <w:rPr>
          <w:rFonts w:ascii="Book Antiqua" w:hAnsi="Book Antiqua"/>
          <w:color w:val="000000" w:themeColor="text1"/>
          <w:sz w:val="24"/>
        </w:rPr>
        <w:t xml:space="preserve"> Takahashi M and Matsuyama Y reviewed the manuscript and provided useful comments.</w:t>
      </w:r>
    </w:p>
    <w:p w:rsidR="00794137" w:rsidRPr="00D85256" w:rsidRDefault="00794137" w:rsidP="009622AB">
      <w:pPr>
        <w:spacing w:line="360" w:lineRule="auto"/>
        <w:rPr>
          <w:rFonts w:ascii="Book Antiqua" w:hAnsi="Book Antiqua"/>
          <w:b/>
          <w:color w:val="000000" w:themeColor="text1"/>
          <w:sz w:val="24"/>
        </w:rPr>
      </w:pPr>
    </w:p>
    <w:p w:rsidR="00E064B7" w:rsidRPr="00D85256" w:rsidRDefault="00E064B7"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Conflict-of-interest:</w:t>
      </w:r>
      <w:r w:rsidR="001573A6" w:rsidRPr="00D85256">
        <w:rPr>
          <w:rFonts w:ascii="Book Antiqua" w:hAnsi="Book Antiqua"/>
          <w:b/>
          <w:color w:val="000000" w:themeColor="text1"/>
          <w:sz w:val="24"/>
        </w:rPr>
        <w:t xml:space="preserve"> </w:t>
      </w:r>
      <w:r w:rsidR="001573A6" w:rsidRPr="00D85256">
        <w:rPr>
          <w:rFonts w:ascii="Book Antiqua" w:hAnsi="Book Antiqua"/>
          <w:color w:val="000000" w:themeColor="text1"/>
          <w:sz w:val="24"/>
        </w:rPr>
        <w:t>The authors declare no conflicting interests.</w:t>
      </w:r>
    </w:p>
    <w:p w:rsidR="00E064B7" w:rsidRPr="00D85256" w:rsidRDefault="00E064B7" w:rsidP="009622AB">
      <w:pPr>
        <w:spacing w:line="360" w:lineRule="auto"/>
        <w:rPr>
          <w:rFonts w:ascii="Book Antiqua" w:hAnsi="Book Antiqua"/>
          <w:b/>
          <w:color w:val="000000" w:themeColor="text1"/>
          <w:sz w:val="24"/>
        </w:rPr>
      </w:pPr>
    </w:p>
    <w:p w:rsidR="008534BF" w:rsidRPr="00D85256" w:rsidRDefault="008534BF" w:rsidP="009622AB">
      <w:pPr>
        <w:widowControl/>
        <w:spacing w:line="360" w:lineRule="auto"/>
        <w:rPr>
          <w:rFonts w:ascii="Book Antiqua" w:hAnsi="Book Antiqua" w:cs="SimSun"/>
          <w:color w:val="000000" w:themeColor="text1"/>
          <w:kern w:val="0"/>
          <w:sz w:val="24"/>
        </w:rPr>
      </w:pPr>
      <w:r w:rsidRPr="00D85256">
        <w:rPr>
          <w:rFonts w:ascii="Book Antiqua" w:hAnsi="Book Antiqua"/>
          <w:b/>
          <w:color w:val="000000" w:themeColor="text1"/>
          <w:kern w:val="0"/>
          <w:sz w:val="24"/>
        </w:rPr>
        <w:t xml:space="preserve">Open-Access: </w:t>
      </w:r>
      <w:bookmarkStart w:id="3" w:name="OLE_LINK479"/>
      <w:bookmarkStart w:id="4" w:name="OLE_LINK496"/>
      <w:bookmarkStart w:id="5" w:name="OLE_LINK506"/>
      <w:bookmarkStart w:id="6" w:name="OLE_LINK507"/>
      <w:r w:rsidRPr="00D85256">
        <w:rPr>
          <w:rFonts w:ascii="Book Antiqua" w:hAnsi="Book Antiqua"/>
          <w:color w:val="000000" w:themeColor="text1"/>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w:t>
      </w:r>
      <w:r w:rsidRPr="00D85256">
        <w:rPr>
          <w:rFonts w:ascii="Book Antiqua" w:hAnsi="Book Antiqua"/>
          <w:color w:val="000000" w:themeColor="text1"/>
          <w:sz w:val="24"/>
        </w:rPr>
        <w:lastRenderedPageBreak/>
        <w:t xml:space="preserve">license their derivative works on different terms, provided the original work is properly cited and the use is non-commercial. See: </w:t>
      </w:r>
      <w:hyperlink r:id="rId7" w:history="1">
        <w:r w:rsidRPr="00D85256">
          <w:rPr>
            <w:rStyle w:val="Hyperlink"/>
            <w:rFonts w:ascii="Book Antiqua" w:hAnsi="Book Antiqua"/>
            <w:color w:val="000000" w:themeColor="text1"/>
            <w:sz w:val="24"/>
          </w:rPr>
          <w:t>http://creativecommons.org/licenses/by-nc/4.0/</w:t>
        </w:r>
      </w:hyperlink>
      <w:bookmarkEnd w:id="3"/>
      <w:bookmarkEnd w:id="4"/>
      <w:bookmarkEnd w:id="5"/>
      <w:bookmarkEnd w:id="6"/>
    </w:p>
    <w:p w:rsidR="00FF1BDB" w:rsidRPr="00D85256" w:rsidRDefault="00FF1BDB" w:rsidP="009622AB">
      <w:pPr>
        <w:spacing w:line="360" w:lineRule="auto"/>
        <w:rPr>
          <w:rFonts w:ascii="Book Antiqua" w:hAnsi="Book Antiqua"/>
          <w:color w:val="000000" w:themeColor="text1"/>
          <w:sz w:val="24"/>
        </w:rPr>
      </w:pPr>
    </w:p>
    <w:p w:rsidR="001573A6" w:rsidRPr="00D85256" w:rsidRDefault="00FD7244"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Correspondence to:</w:t>
      </w:r>
      <w:r w:rsidRPr="00D85256">
        <w:rPr>
          <w:rFonts w:ascii="Book Antiqua" w:hAnsi="Book Antiqua"/>
          <w:color w:val="000000" w:themeColor="text1"/>
          <w:sz w:val="24"/>
        </w:rPr>
        <w:t xml:space="preserve"> </w:t>
      </w:r>
      <w:r w:rsidR="00170B93" w:rsidRPr="00D85256">
        <w:rPr>
          <w:rFonts w:ascii="Book Antiqua" w:hAnsi="Book Antiqua"/>
          <w:b/>
          <w:color w:val="000000" w:themeColor="text1"/>
          <w:sz w:val="24"/>
        </w:rPr>
        <w:t>Tsuyoshi Ohishi, MD</w:t>
      </w:r>
      <w:r w:rsidR="001573A6" w:rsidRPr="00D85256">
        <w:rPr>
          <w:rFonts w:ascii="Book Antiqua" w:hAnsi="Book Antiqua"/>
          <w:b/>
          <w:color w:val="000000" w:themeColor="text1"/>
          <w:sz w:val="24"/>
        </w:rPr>
        <w:t>, PhD</w:t>
      </w:r>
      <w:r w:rsidR="001573A6" w:rsidRPr="00D85256">
        <w:rPr>
          <w:rFonts w:ascii="Book Antiqua" w:eastAsiaTheme="minorEastAsia" w:hAnsi="Book Antiqua"/>
          <w:b/>
          <w:color w:val="000000" w:themeColor="text1"/>
          <w:sz w:val="24"/>
          <w:lang w:eastAsia="ja-JP"/>
        </w:rPr>
        <w:t>,</w:t>
      </w:r>
      <w:r w:rsidR="001573A6" w:rsidRPr="00D85256">
        <w:rPr>
          <w:rFonts w:ascii="Book Antiqua" w:eastAsiaTheme="minorEastAsia" w:hAnsi="Book Antiqua"/>
          <w:color w:val="000000" w:themeColor="text1"/>
          <w:sz w:val="24"/>
          <w:lang w:eastAsia="ja-JP"/>
        </w:rPr>
        <w:t xml:space="preserve"> </w:t>
      </w:r>
      <w:r w:rsidR="001573A6" w:rsidRPr="00D85256">
        <w:rPr>
          <w:rFonts w:ascii="Book Antiqua" w:hAnsi="Book Antiqua"/>
          <w:color w:val="000000" w:themeColor="text1"/>
          <w:sz w:val="24"/>
        </w:rPr>
        <w:t>Department of Orthopedic Surgery,</w:t>
      </w:r>
      <w:r w:rsidR="001573A6" w:rsidRPr="00D85256">
        <w:rPr>
          <w:rFonts w:ascii="Book Antiqua" w:eastAsiaTheme="minorEastAsia" w:hAnsi="Book Antiqua"/>
          <w:color w:val="000000" w:themeColor="text1"/>
          <w:sz w:val="24"/>
          <w:lang w:eastAsia="ja-JP"/>
        </w:rPr>
        <w:t xml:space="preserve"> </w:t>
      </w:r>
      <w:r w:rsidR="001573A6" w:rsidRPr="00D85256">
        <w:rPr>
          <w:rFonts w:ascii="Book Antiqua" w:hAnsi="Book Antiqua"/>
          <w:color w:val="000000" w:themeColor="text1"/>
          <w:sz w:val="24"/>
        </w:rPr>
        <w:t>Enshu Hospital, 1-1-1 Chuo, Naka-ku, Hamamatsu, Shizuoka 430-0929, Japan</w:t>
      </w:r>
      <w:r w:rsidR="00170B93" w:rsidRPr="00D85256">
        <w:rPr>
          <w:rFonts w:ascii="Book Antiqua" w:hAnsi="Book Antiqua"/>
          <w:color w:val="000000" w:themeColor="text1"/>
          <w:sz w:val="24"/>
        </w:rPr>
        <w:t xml:space="preserve">. </w:t>
      </w:r>
      <w:hyperlink r:id="rId8" w:history="1">
        <w:r w:rsidR="00170B93" w:rsidRPr="00D85256">
          <w:rPr>
            <w:rFonts w:ascii="Book Antiqua" w:hAnsi="Book Antiqua"/>
            <w:color w:val="000000" w:themeColor="text1"/>
            <w:sz w:val="24"/>
            <w:u w:val="single"/>
          </w:rPr>
          <w:t>t-ohishi@ken.ja-shizuoka.or.jp</w:t>
        </w:r>
      </w:hyperlink>
    </w:p>
    <w:p w:rsidR="001573A6" w:rsidRPr="00D85256" w:rsidRDefault="001573A6"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Telephone:</w:t>
      </w:r>
      <w:r w:rsidR="009622AB" w:rsidRPr="00D85256">
        <w:rPr>
          <w:rFonts w:ascii="Book Antiqua" w:hAnsi="Book Antiqua"/>
          <w:color w:val="000000" w:themeColor="text1"/>
          <w:sz w:val="24"/>
        </w:rPr>
        <w:t xml:space="preserve"> +81-53-453</w:t>
      </w:r>
      <w:r w:rsidRPr="00D85256">
        <w:rPr>
          <w:rFonts w:ascii="Book Antiqua" w:hAnsi="Book Antiqua"/>
          <w:color w:val="000000" w:themeColor="text1"/>
          <w:sz w:val="24"/>
        </w:rPr>
        <w:t>1111</w:t>
      </w:r>
    </w:p>
    <w:p w:rsidR="001573A6" w:rsidRPr="00D85256" w:rsidRDefault="001573A6"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Fax:</w:t>
      </w:r>
      <w:r w:rsidR="009622AB" w:rsidRPr="00D85256">
        <w:rPr>
          <w:rFonts w:ascii="Book Antiqua" w:hAnsi="Book Antiqua"/>
          <w:color w:val="000000" w:themeColor="text1"/>
          <w:sz w:val="24"/>
        </w:rPr>
        <w:t xml:space="preserve"> +81-53-401</w:t>
      </w:r>
      <w:r w:rsidRPr="00D85256">
        <w:rPr>
          <w:rFonts w:ascii="Book Antiqua" w:hAnsi="Book Antiqua"/>
          <w:color w:val="000000" w:themeColor="text1"/>
          <w:sz w:val="24"/>
        </w:rPr>
        <w:t>0081</w:t>
      </w:r>
    </w:p>
    <w:p w:rsidR="00170B93" w:rsidRPr="00D85256" w:rsidRDefault="00170B93" w:rsidP="009622AB">
      <w:pPr>
        <w:spacing w:line="360" w:lineRule="auto"/>
        <w:rPr>
          <w:rFonts w:ascii="Book Antiqua" w:hAnsi="Book Antiqua"/>
          <w:color w:val="000000" w:themeColor="text1"/>
          <w:sz w:val="24"/>
        </w:rPr>
      </w:pPr>
    </w:p>
    <w:p w:rsidR="00083B39" w:rsidRPr="00D85256" w:rsidRDefault="00083B39"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Received:</w:t>
      </w:r>
      <w:r w:rsidR="00464F4B" w:rsidRPr="00D85256">
        <w:rPr>
          <w:rFonts w:ascii="Book Antiqua" w:hAnsi="Book Antiqua"/>
          <w:b/>
          <w:color w:val="000000" w:themeColor="text1"/>
          <w:sz w:val="24"/>
        </w:rPr>
        <w:t xml:space="preserve"> </w:t>
      </w:r>
      <w:r w:rsidR="00464F4B" w:rsidRPr="00D85256">
        <w:rPr>
          <w:rFonts w:ascii="Book Antiqua" w:hAnsi="Book Antiqua"/>
          <w:color w:val="000000" w:themeColor="text1"/>
          <w:sz w:val="24"/>
        </w:rPr>
        <w:t>April 13, 2015</w:t>
      </w:r>
    </w:p>
    <w:p w:rsidR="00083B39" w:rsidRPr="00D85256" w:rsidRDefault="00083B39"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Peer-review started:</w:t>
      </w:r>
      <w:r w:rsidR="00464F4B" w:rsidRPr="00D85256">
        <w:rPr>
          <w:rFonts w:ascii="Book Antiqua" w:hAnsi="Book Antiqua"/>
          <w:b/>
          <w:color w:val="000000" w:themeColor="text1"/>
          <w:sz w:val="24"/>
        </w:rPr>
        <w:t xml:space="preserve"> </w:t>
      </w:r>
      <w:r w:rsidR="00464F4B" w:rsidRPr="00D85256">
        <w:rPr>
          <w:rFonts w:ascii="Book Antiqua" w:hAnsi="Book Antiqua"/>
          <w:color w:val="000000" w:themeColor="text1"/>
          <w:sz w:val="24"/>
        </w:rPr>
        <w:t>April 24, 2015</w:t>
      </w:r>
    </w:p>
    <w:p w:rsidR="00083B39" w:rsidRPr="00D85256" w:rsidRDefault="00083B39"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First decision:</w:t>
      </w:r>
      <w:r w:rsidR="00464F4B" w:rsidRPr="00D85256">
        <w:rPr>
          <w:rFonts w:ascii="Book Antiqua" w:hAnsi="Book Antiqua"/>
          <w:b/>
          <w:color w:val="000000" w:themeColor="text1"/>
          <w:sz w:val="24"/>
        </w:rPr>
        <w:t xml:space="preserve"> </w:t>
      </w:r>
      <w:r w:rsidR="00464F4B" w:rsidRPr="00D85256">
        <w:rPr>
          <w:rFonts w:ascii="Book Antiqua" w:hAnsi="Book Antiqua"/>
          <w:color w:val="000000" w:themeColor="text1"/>
          <w:sz w:val="24"/>
        </w:rPr>
        <w:t>May 13, 2015</w:t>
      </w:r>
    </w:p>
    <w:p w:rsidR="00083B39" w:rsidRPr="00D85256" w:rsidRDefault="00464F4B"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Revised:</w:t>
      </w:r>
      <w:r w:rsidRPr="00D85256">
        <w:rPr>
          <w:rFonts w:ascii="Book Antiqua" w:hAnsi="Book Antiqua"/>
          <w:color w:val="000000" w:themeColor="text1"/>
          <w:sz w:val="24"/>
        </w:rPr>
        <w:t xml:space="preserve"> May 27, 2015</w:t>
      </w:r>
    </w:p>
    <w:p w:rsidR="00083B39" w:rsidRPr="00FF2CB9" w:rsidRDefault="00083B39" w:rsidP="00FF2CB9">
      <w:pPr>
        <w:rPr>
          <w:rFonts w:ascii="Book Antiqua" w:hAnsi="Book Antiqua"/>
          <w:color w:val="000000"/>
          <w:sz w:val="24"/>
        </w:rPr>
      </w:pPr>
      <w:r w:rsidRPr="00D85256">
        <w:rPr>
          <w:rFonts w:ascii="Book Antiqua" w:hAnsi="Book Antiqua"/>
          <w:b/>
          <w:color w:val="000000" w:themeColor="text1"/>
          <w:sz w:val="24"/>
        </w:rPr>
        <w:t>Accepted:</w:t>
      </w:r>
      <w:bookmarkStart w:id="7" w:name="OLE_LINK98"/>
      <w:bookmarkStart w:id="8" w:name="OLE_LINK99"/>
      <w:bookmarkStart w:id="9" w:name="OLE_LINK104"/>
      <w:bookmarkStart w:id="10" w:name="OLE_LINK110"/>
      <w:bookmarkStart w:id="11" w:name="OLE_LINK111"/>
      <w:bookmarkStart w:id="12" w:name="OLE_LINK115"/>
      <w:bookmarkStart w:id="13" w:name="OLE_LINK116"/>
      <w:r w:rsidR="00FF2CB9" w:rsidRPr="00FF2CB9">
        <w:rPr>
          <w:rFonts w:ascii="Book Antiqua" w:hAnsi="Book Antiqua"/>
          <w:color w:val="000000"/>
          <w:sz w:val="24"/>
        </w:rPr>
        <w:t xml:space="preserve"> </w:t>
      </w:r>
      <w:r w:rsidR="00FF2CB9" w:rsidRPr="00B272D7">
        <w:rPr>
          <w:rFonts w:ascii="Book Antiqua" w:hAnsi="Book Antiqua"/>
          <w:color w:val="000000"/>
          <w:sz w:val="24"/>
        </w:rPr>
        <w:t>June 18, 2015</w:t>
      </w:r>
      <w:bookmarkEnd w:id="7"/>
      <w:bookmarkEnd w:id="8"/>
      <w:bookmarkEnd w:id="9"/>
      <w:bookmarkEnd w:id="10"/>
      <w:bookmarkEnd w:id="11"/>
      <w:bookmarkEnd w:id="12"/>
      <w:bookmarkEnd w:id="13"/>
      <w:r w:rsidRPr="00D85256">
        <w:rPr>
          <w:rFonts w:ascii="Book Antiqua" w:hAnsi="Book Antiqua"/>
          <w:b/>
          <w:color w:val="000000" w:themeColor="text1"/>
          <w:sz w:val="24"/>
        </w:rPr>
        <w:t xml:space="preserve">  </w:t>
      </w:r>
    </w:p>
    <w:p w:rsidR="00083B39" w:rsidRPr="00D85256" w:rsidRDefault="00083B39"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Article in press:</w:t>
      </w:r>
    </w:p>
    <w:p w:rsidR="00083B39" w:rsidRPr="00D85256" w:rsidRDefault="00083B39"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 xml:space="preserve">Published online: </w:t>
      </w:r>
    </w:p>
    <w:p w:rsidR="00FD7244" w:rsidRPr="00D85256" w:rsidRDefault="00FD7244" w:rsidP="009622AB">
      <w:pPr>
        <w:spacing w:line="360" w:lineRule="auto"/>
        <w:rPr>
          <w:rFonts w:ascii="Book Antiqua" w:hAnsi="Book Antiqua" w:cs="SimSun"/>
          <w:bCs/>
          <w:color w:val="000000" w:themeColor="text1"/>
          <w:kern w:val="0"/>
          <w:sz w:val="24"/>
        </w:rPr>
      </w:pPr>
    </w:p>
    <w:p w:rsidR="00FD7244" w:rsidRPr="00D85256" w:rsidRDefault="00FD7244"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Abstract</w:t>
      </w:r>
    </w:p>
    <w:p w:rsidR="00E9414C" w:rsidRPr="00D85256" w:rsidRDefault="00E9414C" w:rsidP="009622AB">
      <w:pPr>
        <w:spacing w:line="360" w:lineRule="auto"/>
        <w:rPr>
          <w:rFonts w:ascii="Book Antiqua" w:hAnsi="Book Antiqua"/>
          <w:color w:val="000000" w:themeColor="text1"/>
          <w:sz w:val="24"/>
        </w:rPr>
      </w:pPr>
      <w:r w:rsidRPr="00D85256">
        <w:rPr>
          <w:rFonts w:ascii="Book Antiqua" w:hAnsi="Book Antiqua"/>
          <w:color w:val="000000" w:themeColor="text1"/>
          <w:sz w:val="24"/>
        </w:rPr>
        <w:t xml:space="preserve">Arthroscopic surgery of the posterior compartment of the knee is difficult when only two anterior portals are used for access because of the inaccessibility of the back of the knee. Since its introduction, the posterior transseptal portal has been widely employed to access lesions in the posterior compartment. However, special care should be taken to avoid neurovascular injuries around the posteromedial, posterolateral, and transseptal portals. Most importantly, popliteal vessel injury should be avoided when creating and using the transseptal portal during surgery. Purpose of the present study is to describe how to avoid the neurovascular injuries during establishing the posterior three portals and to introduce our safer technique to create the transseptal portal. To date, we have performed arthroscopic surgeries via the transseptal portal in the posterior compartments of 161 knees and have not encountered nerve or vascular injury. In our </w:t>
      </w:r>
      <w:r w:rsidRPr="00D85256">
        <w:rPr>
          <w:rFonts w:ascii="Book Antiqua" w:hAnsi="Book Antiqua"/>
          <w:color w:val="000000" w:themeColor="text1"/>
          <w:sz w:val="24"/>
        </w:rPr>
        <w:lastRenderedPageBreak/>
        <w:t>procedure, the posterior septum is perforated with a 1.5</w:t>
      </w:r>
      <w:r w:rsidR="009622AB" w:rsidRPr="00D85256">
        <w:rPr>
          <w:rFonts w:ascii="Book Antiqua" w:hAnsi="Book Antiqua"/>
          <w:color w:val="000000" w:themeColor="text1"/>
          <w:sz w:val="24"/>
        </w:rPr>
        <w:t>-</w:t>
      </w:r>
      <w:r w:rsidRPr="00D85256">
        <w:rPr>
          <w:rFonts w:ascii="Book Antiqua" w:hAnsi="Book Antiqua"/>
          <w:color w:val="000000" w:themeColor="text1"/>
          <w:sz w:val="24"/>
        </w:rPr>
        <w:t xml:space="preserve">3.0-mm Kirschner wire that is protected by a sheath inserted from the posterolateral portal and monitored from the posteromedial portal to avoid popliteal vessel injury.  </w:t>
      </w:r>
    </w:p>
    <w:p w:rsidR="00E9414C" w:rsidRPr="00D85256" w:rsidRDefault="00E9414C" w:rsidP="009622AB">
      <w:pPr>
        <w:spacing w:line="360" w:lineRule="auto"/>
        <w:rPr>
          <w:rFonts w:ascii="Book Antiqua" w:hAnsi="Book Antiqua"/>
          <w:b/>
          <w:color w:val="000000" w:themeColor="text1"/>
          <w:sz w:val="24"/>
        </w:rPr>
      </w:pPr>
    </w:p>
    <w:p w:rsidR="00FD7244" w:rsidRPr="00D85256" w:rsidRDefault="00FD7244"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 xml:space="preserve">Key words: </w:t>
      </w:r>
      <w:r w:rsidR="00E9414C" w:rsidRPr="00D85256">
        <w:rPr>
          <w:rFonts w:ascii="Book Antiqua" w:hAnsi="Book Antiqua"/>
          <w:color w:val="000000" w:themeColor="text1"/>
          <w:sz w:val="24"/>
        </w:rPr>
        <w:t>Arthroscopic surgery; Knee; Posterolateral portal; Posteromedial portal; Transseptal portal</w:t>
      </w:r>
    </w:p>
    <w:p w:rsidR="0076591E" w:rsidRPr="00D85256" w:rsidRDefault="0076591E" w:rsidP="009622AB">
      <w:pPr>
        <w:spacing w:line="360" w:lineRule="auto"/>
        <w:rPr>
          <w:rFonts w:ascii="Book Antiqua" w:hAnsi="Book Antiqua"/>
          <w:color w:val="000000" w:themeColor="text1"/>
          <w:sz w:val="24"/>
        </w:rPr>
      </w:pPr>
    </w:p>
    <w:p w:rsidR="009622AB" w:rsidRPr="00D85256" w:rsidRDefault="009622AB" w:rsidP="009622AB">
      <w:pPr>
        <w:spacing w:line="360" w:lineRule="auto"/>
        <w:rPr>
          <w:rFonts w:ascii="Book Antiqua" w:hAnsi="Book Antiqua"/>
          <w:i/>
          <w:iCs/>
          <w:sz w:val="24"/>
        </w:rPr>
      </w:pPr>
      <w:r w:rsidRPr="00D85256">
        <w:rPr>
          <w:rFonts w:ascii="Book Antiqua" w:hAnsi="Book Antiqua" w:cs="Tahoma"/>
          <w:b/>
          <w:color w:val="000000"/>
          <w:sz w:val="24"/>
          <w:lang w:val="en-GB" w:eastAsia="ja-JP"/>
        </w:rPr>
        <w:t xml:space="preserve">© </w:t>
      </w:r>
      <w:r w:rsidRPr="00D85256">
        <w:rPr>
          <w:rFonts w:ascii="Book Antiqua" w:eastAsia="AdvTimes" w:hAnsi="Book Antiqua" w:cs="AdvTimes"/>
          <w:b/>
          <w:color w:val="000000"/>
          <w:sz w:val="24"/>
          <w:lang w:val="fr-FR" w:eastAsia="ja-JP"/>
        </w:rPr>
        <w:t>The Author(s) 2015.</w:t>
      </w:r>
      <w:r w:rsidRPr="00D85256">
        <w:rPr>
          <w:rFonts w:ascii="Book Antiqua" w:eastAsia="AdvTimes" w:hAnsi="Book Antiqua" w:cs="AdvTimes"/>
          <w:color w:val="000000"/>
          <w:sz w:val="24"/>
          <w:lang w:val="fr-FR" w:eastAsia="ja-JP"/>
        </w:rPr>
        <w:t xml:space="preserve"> Published by </w:t>
      </w:r>
      <w:r w:rsidRPr="00D85256">
        <w:rPr>
          <w:rFonts w:ascii="Book Antiqua" w:hAnsi="Book Antiqua" w:cs="Arial Unicode MS"/>
          <w:color w:val="000000"/>
          <w:sz w:val="24"/>
          <w:lang w:val="en-GB" w:eastAsia="ja-JP"/>
        </w:rPr>
        <w:t>Baishideng Publishing Group Inc.</w:t>
      </w:r>
      <w:r w:rsidRPr="00D85256">
        <w:rPr>
          <w:rFonts w:ascii="Book Antiqua" w:hAnsi="Book Antiqua" w:cs="Arial Unicode MS"/>
          <w:sz w:val="24"/>
          <w:lang w:val="en-GB" w:eastAsia="ja-JP"/>
        </w:rPr>
        <w:t xml:space="preserve"> </w:t>
      </w:r>
      <w:r w:rsidRPr="00D85256">
        <w:rPr>
          <w:rFonts w:ascii="Book Antiqua" w:hAnsi="Book Antiqua" w:cs="Arial Unicode MS"/>
          <w:sz w:val="24"/>
          <w:lang w:val="fr-FR" w:eastAsia="ja-JP"/>
        </w:rPr>
        <w:t>All rights reserved</w:t>
      </w:r>
      <w:r w:rsidRPr="00D85256">
        <w:rPr>
          <w:rFonts w:ascii="Book Antiqua" w:hAnsi="Book Antiqua" w:cs="Arial Unicode MS"/>
          <w:sz w:val="24"/>
          <w:lang w:val="fr-FR"/>
        </w:rPr>
        <w:t>.</w:t>
      </w:r>
    </w:p>
    <w:p w:rsidR="005F27C0" w:rsidRPr="00D85256" w:rsidRDefault="005F27C0" w:rsidP="009622AB">
      <w:pPr>
        <w:spacing w:line="360" w:lineRule="auto"/>
        <w:rPr>
          <w:rFonts w:ascii="Book Antiqua" w:hAnsi="Book Antiqua"/>
          <w:b/>
          <w:color w:val="000000" w:themeColor="text1"/>
          <w:sz w:val="24"/>
        </w:rPr>
      </w:pPr>
    </w:p>
    <w:p w:rsidR="00E9414C" w:rsidRPr="00D85256" w:rsidRDefault="005F27C0"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Core tip:</w:t>
      </w:r>
      <w:r w:rsidRPr="00D85256">
        <w:rPr>
          <w:rFonts w:ascii="Book Antiqua" w:hAnsi="Book Antiqua"/>
          <w:color w:val="000000" w:themeColor="text1"/>
          <w:sz w:val="24"/>
        </w:rPr>
        <w:t xml:space="preserve"> </w:t>
      </w:r>
      <w:r w:rsidR="00E9414C" w:rsidRPr="00D85256">
        <w:rPr>
          <w:rFonts w:ascii="Book Antiqua" w:hAnsi="Book Antiqua"/>
          <w:color w:val="000000" w:themeColor="text1"/>
          <w:sz w:val="24"/>
        </w:rPr>
        <w:t xml:space="preserve">Arthroscopic surgery in posterior compartment of the knee via the transseptal portal is less invasive to the patient compared to open surgery for access to the back of the knee. However, special care should be taken to avoid neurovascular injury when creating the three posterior portals. We have not encountered neurovascular injury with our procedure for creating a posterior transseptal portal in 161 treated knees, and conclude that it is safe and reliable. </w:t>
      </w:r>
    </w:p>
    <w:p w:rsidR="00464F4B" w:rsidRPr="00D85256" w:rsidRDefault="00464F4B" w:rsidP="00464F4B">
      <w:pPr>
        <w:spacing w:line="360" w:lineRule="auto"/>
        <w:rPr>
          <w:rFonts w:ascii="Book Antiqua" w:hAnsi="Book Antiqua" w:cs="Tahoma"/>
          <w:color w:val="000000" w:themeColor="text1"/>
          <w:kern w:val="0"/>
          <w:sz w:val="24"/>
        </w:rPr>
      </w:pPr>
    </w:p>
    <w:p w:rsidR="00464F4B" w:rsidRPr="00D85256" w:rsidRDefault="00464F4B" w:rsidP="00464F4B">
      <w:pPr>
        <w:autoSpaceDE w:val="0"/>
        <w:autoSpaceDN w:val="0"/>
        <w:adjustRightInd w:val="0"/>
        <w:spacing w:line="360" w:lineRule="auto"/>
        <w:rPr>
          <w:rFonts w:ascii="Book Antiqua" w:hAnsi="Book Antiqua"/>
          <w:color w:val="000000" w:themeColor="text1"/>
          <w:kern w:val="0"/>
          <w:sz w:val="24"/>
        </w:rPr>
      </w:pPr>
      <w:r w:rsidRPr="00D85256">
        <w:rPr>
          <w:rFonts w:ascii="Book Antiqua" w:hAnsi="Book Antiqua"/>
          <w:color w:val="000000" w:themeColor="text1"/>
          <w:sz w:val="24"/>
        </w:rPr>
        <w:t xml:space="preserve">Ohishi T, Takahashi M, Suzuki D, Matsuyama Y. Arthroscopic approach to </w:t>
      </w:r>
      <w:r w:rsidRPr="00D85256">
        <w:rPr>
          <w:rFonts w:ascii="Book Antiqua" w:eastAsiaTheme="minorEastAsia" w:hAnsi="Book Antiqua"/>
          <w:color w:val="000000" w:themeColor="text1"/>
          <w:sz w:val="24"/>
          <w:lang w:eastAsia="ja-JP"/>
        </w:rPr>
        <w:t xml:space="preserve">the </w:t>
      </w:r>
      <w:r w:rsidRPr="00D85256">
        <w:rPr>
          <w:rFonts w:ascii="Book Antiqua" w:hAnsi="Book Antiqua"/>
          <w:color w:val="000000" w:themeColor="text1"/>
          <w:sz w:val="24"/>
        </w:rPr>
        <w:t xml:space="preserve">posterior compartment of the knee using a posterior transseptal portal. </w:t>
      </w:r>
      <w:r w:rsidRPr="00D85256">
        <w:rPr>
          <w:rFonts w:ascii="Book Antiqua" w:hAnsi="Book Antiqua"/>
          <w:i/>
          <w:iCs/>
          <w:sz w:val="24"/>
        </w:rPr>
        <w:t>World J Orthop</w:t>
      </w:r>
      <w:r w:rsidRPr="00D85256">
        <w:rPr>
          <w:rFonts w:ascii="Book Antiqua" w:hAnsi="Book Antiqua"/>
          <w:iCs/>
          <w:sz w:val="24"/>
        </w:rPr>
        <w:t xml:space="preserve"> 2015; In press</w:t>
      </w:r>
    </w:p>
    <w:p w:rsidR="00464F4B" w:rsidRPr="00D85256" w:rsidRDefault="00464F4B" w:rsidP="009622AB">
      <w:pPr>
        <w:spacing w:line="360" w:lineRule="auto"/>
        <w:rPr>
          <w:rFonts w:ascii="Book Antiqua" w:hAnsi="Book Antiqua"/>
          <w:b/>
          <w:color w:val="000000" w:themeColor="text1"/>
          <w:sz w:val="24"/>
        </w:rPr>
      </w:pPr>
    </w:p>
    <w:p w:rsidR="003D09BB" w:rsidRPr="00D85256" w:rsidRDefault="003D09BB"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INTRODUCTION</w:t>
      </w:r>
    </w:p>
    <w:p w:rsidR="003D09BB" w:rsidRPr="00D85256" w:rsidRDefault="003D09BB" w:rsidP="009622AB">
      <w:pPr>
        <w:spacing w:line="360" w:lineRule="auto"/>
        <w:rPr>
          <w:rFonts w:ascii="Book Antiqua" w:hAnsi="Book Antiqua"/>
          <w:color w:val="000000" w:themeColor="text1"/>
          <w:sz w:val="24"/>
        </w:rPr>
      </w:pPr>
      <w:r w:rsidRPr="00D85256">
        <w:rPr>
          <w:rFonts w:ascii="Book Antiqua" w:hAnsi="Book Antiqua"/>
          <w:color w:val="000000" w:themeColor="text1"/>
          <w:sz w:val="24"/>
        </w:rPr>
        <w:t>Prior to introduction of the posterior transseptal portal, arthroscopic surgery for lesions located in the posterior compartment of the knee was difficult because both the cruciate ligaments and curvature of the femoral condyles obstructed the advance of the arthroscope or other instruments to the back of the knee. Additionally, posterior lesions such as a posterior periphery or posterior horn of the medial meniscus might be missed when using an anterior approach alone</w:t>
      </w:r>
      <w:r w:rsidRPr="00D85256">
        <w:rPr>
          <w:rFonts w:ascii="Book Antiqua" w:hAnsi="Book Antiqua"/>
          <w:color w:val="000000" w:themeColor="text1"/>
          <w:sz w:val="24"/>
          <w:vertAlign w:val="superscript"/>
        </w:rPr>
        <w:t>[1,2]</w:t>
      </w:r>
      <w:r w:rsidRPr="00D85256">
        <w:rPr>
          <w:rFonts w:ascii="Book Antiqua" w:hAnsi="Book Antiqua"/>
          <w:color w:val="000000" w:themeColor="text1"/>
          <w:sz w:val="24"/>
        </w:rPr>
        <w:t>. Trans-notch views from anterior portals have allowed us to obtain clear views of the posterior compartment</w:t>
      </w:r>
      <w:r w:rsidRPr="00D85256">
        <w:rPr>
          <w:rFonts w:ascii="Book Antiqua" w:hAnsi="Book Antiqua"/>
          <w:color w:val="000000" w:themeColor="text1"/>
          <w:sz w:val="24"/>
          <w:vertAlign w:val="superscript"/>
        </w:rPr>
        <w:t>[1-3]</w:t>
      </w:r>
      <w:r w:rsidRPr="00D85256">
        <w:rPr>
          <w:rFonts w:ascii="Book Antiqua" w:hAnsi="Book Antiqua"/>
          <w:color w:val="000000" w:themeColor="text1"/>
          <w:sz w:val="24"/>
        </w:rPr>
        <w:t xml:space="preserve">. However, a particular “blind zone” on the medial meniscus that could not be viewed remained even with a </w:t>
      </w:r>
      <w:r w:rsidRPr="00D85256">
        <w:rPr>
          <w:rFonts w:ascii="Book Antiqua" w:hAnsi="Book Antiqua"/>
          <w:color w:val="000000" w:themeColor="text1"/>
          <w:sz w:val="24"/>
        </w:rPr>
        <w:lastRenderedPageBreak/>
        <w:t>70-degree arthroscope</w:t>
      </w:r>
      <w:r w:rsidRPr="00D85256">
        <w:rPr>
          <w:rFonts w:ascii="Book Antiqua" w:hAnsi="Book Antiqua"/>
          <w:color w:val="000000" w:themeColor="text1"/>
          <w:sz w:val="24"/>
          <w:vertAlign w:val="superscript"/>
        </w:rPr>
        <w:t>[4,5]</w:t>
      </w:r>
      <w:r w:rsidRPr="00D85256">
        <w:rPr>
          <w:rFonts w:ascii="Book Antiqua" w:hAnsi="Book Antiqua"/>
          <w:color w:val="000000" w:themeColor="text1"/>
          <w:sz w:val="24"/>
        </w:rPr>
        <w:t>. The treatment of lesions located in the posterior compartment introduces further difficulty. The addition of posteromedial and posterolateral portals together with a 70-degree arthroscope facilitated treatment procedures for posterior lesions</w:t>
      </w:r>
      <w:r w:rsidRPr="00D85256">
        <w:rPr>
          <w:rFonts w:ascii="Book Antiqua" w:hAnsi="Book Antiqua"/>
          <w:color w:val="000000" w:themeColor="text1"/>
          <w:sz w:val="24"/>
          <w:vertAlign w:val="superscript"/>
        </w:rPr>
        <w:t>[2,6-9]</w:t>
      </w:r>
      <w:r w:rsidRPr="00D85256">
        <w:rPr>
          <w:rFonts w:ascii="Book Antiqua" w:hAnsi="Book Antiqua"/>
          <w:color w:val="000000" w:themeColor="text1"/>
          <w:sz w:val="24"/>
        </w:rPr>
        <w:t>. Nevertheless, the cruciate ligaments, femoral condyles, and prominence of the tibial spine limited the maneuverability of the arthroscope or other instruments advanced through the intercondylar notch from the anterior portals</w:t>
      </w:r>
      <w:r w:rsidRPr="00D85256">
        <w:rPr>
          <w:rFonts w:ascii="Book Antiqua" w:hAnsi="Book Antiqua"/>
          <w:color w:val="000000" w:themeColor="text1"/>
          <w:sz w:val="24"/>
          <w:vertAlign w:val="superscript"/>
        </w:rPr>
        <w:t>[1,3]</w:t>
      </w:r>
      <w:r w:rsidRPr="00D85256">
        <w:rPr>
          <w:rFonts w:ascii="Book Antiqua" w:hAnsi="Book Antiqua"/>
          <w:color w:val="000000" w:themeColor="text1"/>
          <w:sz w:val="24"/>
        </w:rPr>
        <w:t>. Ideally, either the posteromedial or posterolateral portal would be used as a viewing portal, while the other would be used as a working portal. However, the posterior compartment of the knee is divided into two compartments by a posterior septum comprising a thin synovial membrane between the posterior cruciate ligament (PCL) and the posterior capsule. In 1997, Kim first reported arthroscopic surgery in the posterior compartment of the knee through two posterior portals created after perforating the posterior septum</w:t>
      </w:r>
      <w:r w:rsidRPr="00D85256">
        <w:rPr>
          <w:rFonts w:ascii="Book Antiqua" w:hAnsi="Book Antiqua"/>
          <w:color w:val="000000" w:themeColor="text1"/>
          <w:sz w:val="24"/>
          <w:vertAlign w:val="superscript"/>
        </w:rPr>
        <w:t>[10]</w:t>
      </w:r>
      <w:r w:rsidRPr="00D85256">
        <w:rPr>
          <w:rFonts w:ascii="Book Antiqua" w:hAnsi="Book Antiqua"/>
          <w:color w:val="000000" w:themeColor="text1"/>
          <w:sz w:val="24"/>
        </w:rPr>
        <w:t>. Since then, many authors have demonstrated their techniques for transseptal portal creation</w:t>
      </w:r>
      <w:r w:rsidRPr="00D85256">
        <w:rPr>
          <w:rFonts w:ascii="Book Antiqua" w:hAnsi="Book Antiqua"/>
          <w:color w:val="000000" w:themeColor="text1"/>
          <w:sz w:val="24"/>
          <w:vertAlign w:val="superscript"/>
        </w:rPr>
        <w:t>[10-12]</w:t>
      </w:r>
      <w:r w:rsidRPr="00D85256">
        <w:rPr>
          <w:rFonts w:ascii="Book Antiqua" w:hAnsi="Book Antiqua"/>
          <w:color w:val="000000" w:themeColor="text1"/>
          <w:sz w:val="24"/>
        </w:rPr>
        <w:t>. However, important neurovascular or tendon structures lie just posterior to the posteromedial, posterolateral, and transseptal portals. Special care must be taken to avoid injuries to those structures</w:t>
      </w:r>
      <w:r w:rsidR="009622AB" w:rsidRPr="00D85256">
        <w:rPr>
          <w:rFonts w:ascii="Book Antiqua" w:hAnsi="Book Antiqua"/>
          <w:color w:val="000000" w:themeColor="text1"/>
          <w:sz w:val="24"/>
          <w:vertAlign w:val="superscript"/>
        </w:rPr>
        <w:t>[13,</w:t>
      </w:r>
      <w:r w:rsidRPr="00D85256">
        <w:rPr>
          <w:rFonts w:ascii="Book Antiqua" w:hAnsi="Book Antiqua"/>
          <w:color w:val="000000" w:themeColor="text1"/>
          <w:sz w:val="24"/>
          <w:vertAlign w:val="superscript"/>
        </w:rPr>
        <w:t>14]</w:t>
      </w:r>
      <w:r w:rsidRPr="00D85256">
        <w:rPr>
          <w:rFonts w:ascii="Book Antiqua" w:hAnsi="Book Antiqua"/>
          <w:color w:val="000000" w:themeColor="text1"/>
          <w:sz w:val="24"/>
        </w:rPr>
        <w:t>. To date, arthroscopic surgeries via transseptal portal have been employed more frequently along with broadening indications for arthroscopic surgery for posterior lesions of the knee, including synovectomy</w:t>
      </w:r>
      <w:r w:rsidRPr="00D85256">
        <w:rPr>
          <w:rFonts w:ascii="Book Antiqua" w:hAnsi="Book Antiqua"/>
          <w:color w:val="000000" w:themeColor="text1"/>
          <w:sz w:val="24"/>
          <w:vertAlign w:val="superscript"/>
        </w:rPr>
        <w:t>[15]</w:t>
      </w:r>
      <w:r w:rsidRPr="00D85256">
        <w:rPr>
          <w:rFonts w:ascii="Book Antiqua" w:hAnsi="Book Antiqua"/>
          <w:color w:val="000000" w:themeColor="text1"/>
          <w:sz w:val="24"/>
        </w:rPr>
        <w:t>, meniscectomy</w:t>
      </w:r>
      <w:r w:rsidRPr="00D85256">
        <w:rPr>
          <w:rFonts w:ascii="Book Antiqua" w:hAnsi="Book Antiqua"/>
          <w:color w:val="000000" w:themeColor="text1"/>
          <w:sz w:val="24"/>
          <w:vertAlign w:val="superscript"/>
        </w:rPr>
        <w:t>[16]</w:t>
      </w:r>
      <w:r w:rsidRPr="00D85256">
        <w:rPr>
          <w:rFonts w:ascii="Book Antiqua" w:hAnsi="Book Antiqua"/>
          <w:color w:val="000000" w:themeColor="text1"/>
          <w:sz w:val="24"/>
        </w:rPr>
        <w:t>, repair of the posterior horn of the medial meniscus</w:t>
      </w:r>
      <w:r w:rsidRPr="00D85256">
        <w:rPr>
          <w:rFonts w:ascii="Book Antiqua" w:hAnsi="Book Antiqua"/>
          <w:color w:val="000000" w:themeColor="text1"/>
          <w:sz w:val="24"/>
          <w:vertAlign w:val="superscript"/>
        </w:rPr>
        <w:t>[17-20]</w:t>
      </w:r>
      <w:r w:rsidRPr="00D85256">
        <w:rPr>
          <w:rFonts w:ascii="Book Antiqua" w:hAnsi="Book Antiqua"/>
          <w:color w:val="000000" w:themeColor="text1"/>
          <w:sz w:val="24"/>
        </w:rPr>
        <w:t xml:space="preserve">, </w:t>
      </w:r>
      <w:r w:rsidR="002E6B0E" w:rsidRPr="00D85256">
        <w:rPr>
          <w:rFonts w:ascii="Book Antiqua" w:hAnsi="Book Antiqua"/>
          <w:color w:val="000000" w:themeColor="text1"/>
          <w:sz w:val="24"/>
        </w:rPr>
        <w:t>Posterior cruciate ligament (PCL)</w:t>
      </w:r>
      <w:r w:rsidRPr="00D85256">
        <w:rPr>
          <w:rFonts w:ascii="Book Antiqua" w:hAnsi="Book Antiqua"/>
          <w:color w:val="000000" w:themeColor="text1"/>
          <w:sz w:val="24"/>
        </w:rPr>
        <w:t xml:space="preserve"> reconstruction</w:t>
      </w:r>
      <w:r w:rsidRPr="00D85256">
        <w:rPr>
          <w:rFonts w:ascii="Book Antiqua" w:hAnsi="Book Antiqua"/>
          <w:color w:val="000000" w:themeColor="text1"/>
          <w:sz w:val="24"/>
          <w:vertAlign w:val="superscript"/>
        </w:rPr>
        <w:t>[21]</w:t>
      </w:r>
      <w:r w:rsidRPr="00D85256">
        <w:rPr>
          <w:rFonts w:ascii="Book Antiqua" w:hAnsi="Book Antiqua"/>
          <w:color w:val="000000" w:themeColor="text1"/>
          <w:sz w:val="24"/>
        </w:rPr>
        <w:t>, PCL avulsion fracture fixation</w:t>
      </w:r>
      <w:r w:rsidRPr="00D85256">
        <w:rPr>
          <w:rFonts w:ascii="Book Antiqua" w:hAnsi="Book Antiqua"/>
          <w:color w:val="000000" w:themeColor="text1"/>
          <w:sz w:val="24"/>
          <w:vertAlign w:val="superscript"/>
        </w:rPr>
        <w:t>[22]</w:t>
      </w:r>
      <w:r w:rsidRPr="00D85256">
        <w:rPr>
          <w:rFonts w:ascii="Book Antiqua" w:hAnsi="Book Antiqua"/>
          <w:color w:val="000000" w:themeColor="text1"/>
          <w:sz w:val="24"/>
        </w:rPr>
        <w:t>, loose body removal</w:t>
      </w:r>
      <w:r w:rsidRPr="00D85256">
        <w:rPr>
          <w:rFonts w:ascii="Book Antiqua" w:hAnsi="Book Antiqua"/>
          <w:color w:val="000000" w:themeColor="text1"/>
          <w:sz w:val="24"/>
          <w:vertAlign w:val="superscript"/>
        </w:rPr>
        <w:t>[23-26]</w:t>
      </w:r>
      <w:r w:rsidRPr="00D85256">
        <w:rPr>
          <w:rFonts w:ascii="Book Antiqua" w:hAnsi="Book Antiqua"/>
          <w:color w:val="000000" w:themeColor="text1"/>
          <w:sz w:val="24"/>
        </w:rPr>
        <w:t>, cystic lesion removal</w:t>
      </w:r>
      <w:r w:rsidRPr="00D85256">
        <w:rPr>
          <w:rFonts w:ascii="Book Antiqua" w:hAnsi="Book Antiqua"/>
          <w:color w:val="000000" w:themeColor="text1"/>
          <w:sz w:val="24"/>
          <w:vertAlign w:val="superscript"/>
        </w:rPr>
        <w:t>[27-29]</w:t>
      </w:r>
      <w:r w:rsidRPr="00D85256">
        <w:rPr>
          <w:rFonts w:ascii="Book Antiqua" w:hAnsi="Book Antiqua"/>
          <w:color w:val="000000" w:themeColor="text1"/>
          <w:sz w:val="24"/>
        </w:rPr>
        <w:t>, posterior capsular release</w:t>
      </w:r>
      <w:r w:rsidRPr="00D85256">
        <w:rPr>
          <w:rFonts w:ascii="Book Antiqua" w:hAnsi="Book Antiqua"/>
          <w:color w:val="000000" w:themeColor="text1"/>
          <w:sz w:val="24"/>
          <w:vertAlign w:val="superscript"/>
        </w:rPr>
        <w:t>[30]</w:t>
      </w:r>
      <w:r w:rsidRPr="00D85256">
        <w:rPr>
          <w:rFonts w:ascii="Book Antiqua" w:hAnsi="Book Antiqua"/>
          <w:color w:val="000000" w:themeColor="text1"/>
          <w:sz w:val="24"/>
        </w:rPr>
        <w:t>, repair of posterior capsular tears</w:t>
      </w:r>
      <w:r w:rsidRPr="00D85256">
        <w:rPr>
          <w:rFonts w:ascii="Book Antiqua" w:hAnsi="Book Antiqua"/>
          <w:color w:val="000000" w:themeColor="text1"/>
          <w:sz w:val="24"/>
          <w:vertAlign w:val="superscript"/>
        </w:rPr>
        <w:t>[31]</w:t>
      </w:r>
      <w:r w:rsidRPr="00D85256">
        <w:rPr>
          <w:rFonts w:ascii="Book Antiqua" w:hAnsi="Book Antiqua"/>
          <w:color w:val="000000" w:themeColor="text1"/>
          <w:sz w:val="24"/>
        </w:rPr>
        <w:t>, and synovectomy of a prosthetic knee</w:t>
      </w:r>
      <w:r w:rsidRPr="00D85256">
        <w:rPr>
          <w:rFonts w:ascii="Book Antiqua" w:hAnsi="Book Antiqua"/>
          <w:color w:val="000000" w:themeColor="text1"/>
          <w:sz w:val="24"/>
          <w:vertAlign w:val="superscript"/>
        </w:rPr>
        <w:t>[32]</w:t>
      </w:r>
      <w:r w:rsidRPr="00D85256">
        <w:rPr>
          <w:rFonts w:ascii="Book Antiqua" w:hAnsi="Book Antiqua"/>
          <w:color w:val="000000" w:themeColor="text1"/>
          <w:sz w:val="24"/>
        </w:rPr>
        <w:t xml:space="preserve">. We have also performed arthroscopic surgery via the transseptal portal to approach lesions located in the posterior compartment of the knee since 2006. In this paper, we present the techniques for creating posteromedial, posterolateral, and transseptal portals and for avoiding neurovascular injuries around the portal site reported by several authors as well as those performed at our institute. </w:t>
      </w:r>
    </w:p>
    <w:p w:rsidR="003D09BB" w:rsidRPr="00D85256" w:rsidRDefault="003D09BB" w:rsidP="009622AB">
      <w:pPr>
        <w:spacing w:line="360" w:lineRule="auto"/>
        <w:rPr>
          <w:rFonts w:ascii="Book Antiqua" w:hAnsi="Book Antiqua"/>
          <w:color w:val="000000" w:themeColor="text1"/>
          <w:sz w:val="24"/>
        </w:rPr>
      </w:pPr>
    </w:p>
    <w:p w:rsidR="003D09BB" w:rsidRPr="00D85256" w:rsidRDefault="003D09BB"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ANATOMY AND CLINICAL RELEVANCE</w:t>
      </w:r>
    </w:p>
    <w:p w:rsidR="003D09BB" w:rsidRPr="00D85256" w:rsidRDefault="003D09BB" w:rsidP="009622AB">
      <w:pPr>
        <w:spacing w:line="360" w:lineRule="auto"/>
        <w:rPr>
          <w:rFonts w:ascii="Book Antiqua" w:hAnsi="Book Antiqua"/>
          <w:color w:val="000000" w:themeColor="text1"/>
          <w:sz w:val="24"/>
          <w:highlight w:val="yellow"/>
        </w:rPr>
      </w:pPr>
      <w:r w:rsidRPr="00D85256">
        <w:rPr>
          <w:rFonts w:ascii="Book Antiqua" w:hAnsi="Book Antiqua"/>
          <w:color w:val="000000" w:themeColor="text1"/>
          <w:sz w:val="24"/>
        </w:rPr>
        <w:t xml:space="preserve">The triangular posterior septum borders the dorsal aspect of the PCL anteriorly, femoral </w:t>
      </w:r>
      <w:r w:rsidRPr="00D85256">
        <w:rPr>
          <w:rFonts w:ascii="Book Antiqua" w:hAnsi="Book Antiqua"/>
          <w:color w:val="000000" w:themeColor="text1"/>
          <w:sz w:val="24"/>
        </w:rPr>
        <w:lastRenderedPageBreak/>
        <w:t>intercondylar notch superiorly, and posterior capsule posteriorly and divides the posterior compartment into the posteromedial and posterolateral compartments</w:t>
      </w:r>
      <w:r w:rsidRPr="00D85256">
        <w:rPr>
          <w:rFonts w:ascii="Book Antiqua" w:hAnsi="Book Antiqua"/>
          <w:color w:val="000000" w:themeColor="text1"/>
          <w:sz w:val="24"/>
          <w:vertAlign w:val="superscript"/>
        </w:rPr>
        <w:t xml:space="preserve">[11,12] </w:t>
      </w:r>
      <w:r w:rsidRPr="00D85256">
        <w:rPr>
          <w:rFonts w:ascii="Book Antiqua" w:hAnsi="Book Antiqua"/>
          <w:color w:val="000000" w:themeColor="text1"/>
          <w:sz w:val="24"/>
        </w:rPr>
        <w:t>(Fig</w:t>
      </w:r>
      <w:r w:rsidR="009622AB" w:rsidRPr="00D85256">
        <w:rPr>
          <w:rFonts w:ascii="Book Antiqua" w:hAnsi="Book Antiqua"/>
          <w:color w:val="000000" w:themeColor="text1"/>
          <w:sz w:val="24"/>
        </w:rPr>
        <w:t>ure</w:t>
      </w:r>
      <w:r w:rsidRPr="00D85256">
        <w:rPr>
          <w:rFonts w:ascii="Book Antiqua" w:hAnsi="Book Antiqua"/>
          <w:color w:val="000000" w:themeColor="text1"/>
          <w:sz w:val="24"/>
        </w:rPr>
        <w:t xml:space="preserve"> 1). The septum comprises adipose tissue surrounded by a synovial membrane that contains blood vessels and nerve endings</w:t>
      </w:r>
      <w:r w:rsidRPr="00D85256">
        <w:rPr>
          <w:rFonts w:ascii="Book Antiqua" w:hAnsi="Book Antiqua"/>
          <w:color w:val="000000" w:themeColor="text1"/>
          <w:sz w:val="24"/>
          <w:vertAlign w:val="superscript"/>
        </w:rPr>
        <w:t>[33]</w:t>
      </w:r>
      <w:r w:rsidRPr="00D85256">
        <w:rPr>
          <w:rFonts w:ascii="Book Antiqua" w:hAnsi="Book Antiqua"/>
          <w:color w:val="000000" w:themeColor="text1"/>
          <w:sz w:val="24"/>
        </w:rPr>
        <w:t>. The medial genicular artery, which originates from the popliteal artery, enters the proximal portion of the septum, which accordingly features a richer vasculature than the distal portion. Mechanoreceptors are also abundant in the proximal septum</w:t>
      </w:r>
      <w:r w:rsidRPr="00D85256">
        <w:rPr>
          <w:rFonts w:ascii="Book Antiqua" w:hAnsi="Book Antiqua"/>
          <w:color w:val="000000" w:themeColor="text1"/>
          <w:sz w:val="24"/>
          <w:vertAlign w:val="superscript"/>
        </w:rPr>
        <w:t>[33]</w:t>
      </w:r>
      <w:r w:rsidRPr="00D85256">
        <w:rPr>
          <w:rFonts w:ascii="Book Antiqua" w:hAnsi="Book Antiqua"/>
          <w:color w:val="000000" w:themeColor="text1"/>
          <w:sz w:val="24"/>
        </w:rPr>
        <w:t>. Therefore, recommendations regarding limited resection or penetration of the septum indicate that this procedure should be performed at the distal portion, just behind the PCL, rather than at the proximal or femoral side to reduce bleeding while creating the transseptal portal. Immediately behind the septum, the popliteal artery lies outside of the posterior capsule</w:t>
      </w:r>
      <w:r w:rsidRPr="00D85256">
        <w:rPr>
          <w:rFonts w:ascii="Book Antiqua" w:hAnsi="Book Antiqua"/>
          <w:color w:val="000000" w:themeColor="text1"/>
          <w:sz w:val="24"/>
          <w:vertAlign w:val="superscript"/>
        </w:rPr>
        <w:t>[34-36]</w:t>
      </w:r>
      <w:r w:rsidRPr="00D85256">
        <w:rPr>
          <w:rFonts w:ascii="Book Antiqua" w:hAnsi="Book Antiqua"/>
          <w:color w:val="000000" w:themeColor="text1"/>
          <w:sz w:val="24"/>
        </w:rPr>
        <w:t>. The popliteal artery lies approximately 10 mm laterally to the septum</w:t>
      </w:r>
      <w:r w:rsidRPr="00D85256">
        <w:rPr>
          <w:rFonts w:ascii="Book Antiqua" w:hAnsi="Book Antiqua"/>
          <w:color w:val="000000" w:themeColor="text1"/>
          <w:sz w:val="24"/>
          <w:vertAlign w:val="superscript"/>
        </w:rPr>
        <w:t>[15,37]</w:t>
      </w:r>
      <w:r w:rsidRPr="00D85256">
        <w:rPr>
          <w:rFonts w:ascii="Book Antiqua" w:hAnsi="Book Antiqua"/>
          <w:color w:val="000000" w:themeColor="text1"/>
          <w:sz w:val="24"/>
        </w:rPr>
        <w:t>. Regarding the posteromedial portal, a sartorial branch of the saphenous nerve is located immediately inferoposteriorly to the portal site (Fig</w:t>
      </w:r>
      <w:r w:rsidR="009622AB" w:rsidRPr="00D85256">
        <w:rPr>
          <w:rFonts w:ascii="Book Antiqua" w:hAnsi="Book Antiqua"/>
          <w:color w:val="000000" w:themeColor="text1"/>
          <w:sz w:val="24"/>
        </w:rPr>
        <w:t>ure 2</w:t>
      </w:r>
      <w:r w:rsidRPr="00D85256">
        <w:rPr>
          <w:rFonts w:ascii="Book Antiqua" w:hAnsi="Book Antiqua"/>
          <w:color w:val="000000" w:themeColor="text1"/>
          <w:sz w:val="24"/>
        </w:rPr>
        <w:t>A). The common peroneal nerve and long head of the biceps femoris are immediately posterior to the posterolateral portal site, whereas the lateral collateral ligament and popliteal tendon are immediately anterior to this site</w:t>
      </w:r>
      <w:r w:rsidRPr="00D85256">
        <w:rPr>
          <w:rFonts w:ascii="Book Antiqua" w:hAnsi="Book Antiqua"/>
          <w:color w:val="000000" w:themeColor="text1"/>
          <w:sz w:val="24"/>
          <w:vertAlign w:val="superscript"/>
        </w:rPr>
        <w:t>[36,38-41]</w:t>
      </w:r>
      <w:r w:rsidRPr="00D85256">
        <w:rPr>
          <w:rFonts w:ascii="Book Antiqua" w:hAnsi="Book Antiqua"/>
          <w:color w:val="000000" w:themeColor="text1"/>
          <w:sz w:val="24"/>
        </w:rPr>
        <w:t xml:space="preserve"> (Fig</w:t>
      </w:r>
      <w:r w:rsidR="009622AB" w:rsidRPr="00D85256">
        <w:rPr>
          <w:rFonts w:ascii="Book Antiqua" w:hAnsi="Book Antiqua"/>
          <w:color w:val="000000" w:themeColor="text1"/>
          <w:sz w:val="24"/>
        </w:rPr>
        <w:t>ure 2</w:t>
      </w:r>
      <w:r w:rsidRPr="00D85256">
        <w:rPr>
          <w:rFonts w:ascii="Book Antiqua" w:hAnsi="Book Antiqua"/>
          <w:color w:val="000000" w:themeColor="text1"/>
          <w:sz w:val="24"/>
        </w:rPr>
        <w:t xml:space="preserve">B).  </w:t>
      </w:r>
    </w:p>
    <w:p w:rsidR="003D09BB" w:rsidRPr="00D85256" w:rsidRDefault="003D09BB" w:rsidP="009622AB">
      <w:pPr>
        <w:spacing w:line="360" w:lineRule="auto"/>
        <w:rPr>
          <w:rFonts w:ascii="Book Antiqua" w:hAnsi="Book Antiqua"/>
          <w:color w:val="000000" w:themeColor="text1"/>
          <w:sz w:val="24"/>
        </w:rPr>
      </w:pPr>
    </w:p>
    <w:p w:rsidR="003D09BB" w:rsidRPr="00D85256" w:rsidRDefault="003D09BB"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ESTABLISHMENT OF THE TRANSSEPTAL PORTAL</w:t>
      </w:r>
    </w:p>
    <w:p w:rsidR="003D09BB" w:rsidRPr="00D85256" w:rsidRDefault="003D09BB" w:rsidP="009622AB">
      <w:pPr>
        <w:spacing w:line="360" w:lineRule="auto"/>
        <w:rPr>
          <w:rFonts w:ascii="Book Antiqua" w:hAnsi="Book Antiqua"/>
          <w:color w:val="000000" w:themeColor="text1"/>
          <w:sz w:val="24"/>
        </w:rPr>
      </w:pPr>
      <w:r w:rsidRPr="00D85256">
        <w:rPr>
          <w:rFonts w:ascii="Book Antiqua" w:hAnsi="Book Antiqua"/>
          <w:color w:val="000000" w:themeColor="text1"/>
          <w:sz w:val="24"/>
        </w:rPr>
        <w:t>In 1997, Kim first introduced an arthroscopic approach to lesions located in posterior compartment of the knee via the transseptal portal. According to Kim’s technique, the posterior septum was perforated via the posteromedial portal using a blunt obturator with a sheath</w:t>
      </w:r>
      <w:r w:rsidRPr="00D85256">
        <w:rPr>
          <w:rFonts w:ascii="Book Antiqua" w:hAnsi="Book Antiqua"/>
          <w:color w:val="000000" w:themeColor="text1"/>
          <w:sz w:val="24"/>
          <w:vertAlign w:val="superscript"/>
        </w:rPr>
        <w:t>[10]</w:t>
      </w:r>
      <w:r w:rsidRPr="00D85256">
        <w:rPr>
          <w:rFonts w:ascii="Book Antiqua" w:hAnsi="Book Antiqua"/>
          <w:color w:val="000000" w:themeColor="text1"/>
          <w:sz w:val="24"/>
        </w:rPr>
        <w:t>. Ahn et al. described a limited resection of the septum using a shaver introduced from the anteromedial portal through the intercondylar notch, which was viewed from the posteromedial portal</w:t>
      </w:r>
      <w:r w:rsidRPr="00D85256">
        <w:rPr>
          <w:rFonts w:ascii="Book Antiqua" w:hAnsi="Book Antiqua"/>
          <w:color w:val="000000" w:themeColor="text1"/>
          <w:sz w:val="24"/>
          <w:vertAlign w:val="superscript"/>
        </w:rPr>
        <w:t>[11]</w:t>
      </w:r>
      <w:r w:rsidRPr="00D85256">
        <w:rPr>
          <w:rFonts w:ascii="Book Antiqua" w:hAnsi="Book Antiqua"/>
          <w:color w:val="000000" w:themeColor="text1"/>
          <w:sz w:val="24"/>
        </w:rPr>
        <w:t xml:space="preserve">. Louisia </w:t>
      </w:r>
      <w:r w:rsidRPr="00D85256">
        <w:rPr>
          <w:rFonts w:ascii="Book Antiqua" w:hAnsi="Book Antiqua"/>
          <w:i/>
          <w:color w:val="000000" w:themeColor="text1"/>
          <w:sz w:val="24"/>
        </w:rPr>
        <w:t>et al</w:t>
      </w:r>
      <w:r w:rsidR="009622AB" w:rsidRPr="00D85256">
        <w:rPr>
          <w:rFonts w:ascii="Book Antiqua" w:hAnsi="Book Antiqua"/>
          <w:color w:val="000000" w:themeColor="text1"/>
          <w:sz w:val="24"/>
          <w:vertAlign w:val="superscript"/>
        </w:rPr>
        <w:t>[12]</w:t>
      </w:r>
      <w:r w:rsidRPr="00D85256">
        <w:rPr>
          <w:rFonts w:ascii="Book Antiqua" w:hAnsi="Book Antiqua"/>
          <w:color w:val="000000" w:themeColor="text1"/>
          <w:sz w:val="24"/>
        </w:rPr>
        <w:t xml:space="preserve"> penetrated the septum from the medial to lateral direction using a blunt obturator, which was followed by a skin incision to create a posterolateral portal. These authors demonstrated a “back and forth” technique in which each posterior portal is used alternately for the arthroscope and other instruments placed through the transseptal portal. Kim </w:t>
      </w:r>
      <w:r w:rsidR="009622AB" w:rsidRPr="00D85256">
        <w:rPr>
          <w:rFonts w:ascii="Book Antiqua" w:hAnsi="Book Antiqua"/>
          <w:i/>
          <w:color w:val="000000" w:themeColor="text1"/>
          <w:sz w:val="24"/>
        </w:rPr>
        <w:t>et al</w:t>
      </w:r>
      <w:r w:rsidR="009622AB" w:rsidRPr="00D85256">
        <w:rPr>
          <w:rFonts w:ascii="Book Antiqua" w:hAnsi="Book Antiqua"/>
          <w:color w:val="000000" w:themeColor="text1"/>
          <w:sz w:val="24"/>
          <w:vertAlign w:val="superscript"/>
        </w:rPr>
        <w:t>[15]</w:t>
      </w:r>
      <w:r w:rsidRPr="00D85256">
        <w:rPr>
          <w:rFonts w:ascii="Book Antiqua" w:hAnsi="Book Antiqua"/>
          <w:color w:val="000000" w:themeColor="text1"/>
          <w:sz w:val="24"/>
        </w:rPr>
        <w:t xml:space="preserve"> penetrated the septum in the posterolateral to posteromedial direction to create a transseptal portal for complete synovectomy in a patient with rheumatoid arthritis. </w:t>
      </w:r>
    </w:p>
    <w:p w:rsidR="003D09BB" w:rsidRPr="00D85256" w:rsidRDefault="003D09BB" w:rsidP="009622AB">
      <w:pPr>
        <w:spacing w:line="360" w:lineRule="auto"/>
        <w:rPr>
          <w:rFonts w:ascii="Book Antiqua" w:hAnsi="Book Antiqua"/>
          <w:color w:val="000000" w:themeColor="text1"/>
          <w:sz w:val="24"/>
        </w:rPr>
      </w:pPr>
    </w:p>
    <w:p w:rsidR="003D09BB" w:rsidRPr="00D85256" w:rsidRDefault="003D09BB"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RISKS INVOLVING NERVES AND VESSELS</w:t>
      </w:r>
    </w:p>
    <w:p w:rsidR="003D09BB" w:rsidRPr="00D85256" w:rsidRDefault="003D09BB" w:rsidP="009622AB">
      <w:pPr>
        <w:spacing w:line="360" w:lineRule="auto"/>
        <w:rPr>
          <w:rFonts w:ascii="Book Antiqua" w:hAnsi="Book Antiqua"/>
          <w:color w:val="000000" w:themeColor="text1"/>
          <w:sz w:val="24"/>
        </w:rPr>
      </w:pPr>
      <w:r w:rsidRPr="00D85256">
        <w:rPr>
          <w:rFonts w:ascii="Book Antiqua" w:hAnsi="Book Antiqua"/>
          <w:color w:val="000000" w:themeColor="text1"/>
          <w:sz w:val="24"/>
        </w:rPr>
        <w:t>Special care should be taken to avoid popliteal neurovascular injuries during transseptal portal creation and subsequent arthroscopic surgery via this portal. The posterior compartment, which is enlarged upon knee flexion, is enlarged to an even greater extent during arthroscopic surgery under irrigation pressure</w:t>
      </w:r>
      <w:r w:rsidRPr="00D85256">
        <w:rPr>
          <w:rFonts w:ascii="Book Antiqua" w:hAnsi="Book Antiqua"/>
          <w:color w:val="000000" w:themeColor="text1"/>
          <w:sz w:val="24"/>
          <w:vertAlign w:val="superscript"/>
        </w:rPr>
        <w:t>[34]</w:t>
      </w:r>
      <w:r w:rsidRPr="00D85256">
        <w:rPr>
          <w:rFonts w:ascii="Book Antiqua" w:hAnsi="Book Antiqua"/>
          <w:color w:val="000000" w:themeColor="text1"/>
          <w:sz w:val="24"/>
        </w:rPr>
        <w:t>. The distances between the PCL and popliteal artery at different knee positions were measured in cadavers</w:t>
      </w:r>
      <w:r w:rsidRPr="00D85256">
        <w:rPr>
          <w:rFonts w:ascii="Book Antiqua" w:hAnsi="Book Antiqua"/>
          <w:color w:val="000000" w:themeColor="text1"/>
          <w:sz w:val="24"/>
          <w:vertAlign w:val="superscript"/>
        </w:rPr>
        <w:t>[34,35,38,41]</w:t>
      </w:r>
      <w:r w:rsidRPr="00D85256">
        <w:rPr>
          <w:rFonts w:ascii="Book Antiqua" w:hAnsi="Book Antiqua"/>
          <w:color w:val="000000" w:themeColor="text1"/>
          <w:sz w:val="24"/>
        </w:rPr>
        <w:t>. A flexion of 90 degrees resulted a greater distance (17</w:t>
      </w:r>
      <w:r w:rsidR="009622AB" w:rsidRPr="00D85256">
        <w:rPr>
          <w:rFonts w:ascii="Book Antiqua" w:hAnsi="Book Antiqua"/>
          <w:color w:val="000000" w:themeColor="text1"/>
          <w:sz w:val="24"/>
        </w:rPr>
        <w:t>-</w:t>
      </w:r>
      <w:r w:rsidRPr="00D85256">
        <w:rPr>
          <w:rFonts w:ascii="Book Antiqua" w:hAnsi="Book Antiqua"/>
          <w:color w:val="000000" w:themeColor="text1"/>
          <w:sz w:val="24"/>
        </w:rPr>
        <w:t>29 mm) between the PCL and popliteal artery than that observed at 30 degrees of flexion. As the popliteal neurovascular bundle lies laterally to the septum, posterolateral capsule injuries should be avoided during surgery</w:t>
      </w:r>
      <w:r w:rsidRPr="00D85256">
        <w:rPr>
          <w:rFonts w:ascii="Book Antiqua" w:hAnsi="Book Antiqua"/>
          <w:color w:val="000000" w:themeColor="text1"/>
          <w:sz w:val="24"/>
          <w:vertAlign w:val="superscript"/>
        </w:rPr>
        <w:t>[12,37]</w:t>
      </w:r>
      <w:r w:rsidRPr="00D85256">
        <w:rPr>
          <w:rFonts w:ascii="Book Antiqua" w:hAnsi="Book Antiqua"/>
          <w:color w:val="000000" w:themeColor="text1"/>
          <w:sz w:val="24"/>
        </w:rPr>
        <w:t xml:space="preserve">. Perforation of the septum in the posterolateral to the posteromedial direction, as described by Kim </w:t>
      </w:r>
      <w:r w:rsidRPr="00D85256">
        <w:rPr>
          <w:rFonts w:ascii="Book Antiqua" w:hAnsi="Book Antiqua"/>
          <w:i/>
          <w:color w:val="000000" w:themeColor="text1"/>
          <w:sz w:val="24"/>
        </w:rPr>
        <w:t>et al</w:t>
      </w:r>
      <w:r w:rsidR="009622AB" w:rsidRPr="00D85256">
        <w:rPr>
          <w:rFonts w:ascii="Book Antiqua" w:hAnsi="Book Antiqua"/>
          <w:color w:val="000000" w:themeColor="text1"/>
          <w:sz w:val="24"/>
          <w:vertAlign w:val="superscript"/>
        </w:rPr>
        <w:t>[15]</w:t>
      </w:r>
      <w:r w:rsidRPr="00D85256">
        <w:rPr>
          <w:rFonts w:ascii="Book Antiqua" w:hAnsi="Book Antiqua"/>
          <w:color w:val="000000" w:themeColor="text1"/>
          <w:sz w:val="24"/>
        </w:rPr>
        <w:t>, is a safer technique. Arthroscopic procedures in the posteromedial compartment are easier than those in the posterolateral compartment because the former is 1.5 times larger and bulges a bit more posteriorly under irrigation pressure during surgery relative to the latter</w:t>
      </w:r>
      <w:r w:rsidRPr="00D85256">
        <w:rPr>
          <w:rFonts w:ascii="Book Antiqua" w:hAnsi="Book Antiqua"/>
          <w:color w:val="000000" w:themeColor="text1"/>
          <w:sz w:val="24"/>
          <w:vertAlign w:val="superscript"/>
        </w:rPr>
        <w:t xml:space="preserve"> [15,37]</w:t>
      </w:r>
      <w:r w:rsidRPr="00D85256">
        <w:rPr>
          <w:rFonts w:ascii="Book Antiqua" w:hAnsi="Book Antiqua"/>
          <w:color w:val="000000" w:themeColor="text1"/>
          <w:sz w:val="24"/>
        </w:rPr>
        <w:t xml:space="preserve"> (Fig</w:t>
      </w:r>
      <w:r w:rsidR="009622AB" w:rsidRPr="00D85256">
        <w:rPr>
          <w:rFonts w:ascii="Book Antiqua" w:hAnsi="Book Antiqua"/>
          <w:color w:val="000000" w:themeColor="text1"/>
          <w:sz w:val="24"/>
        </w:rPr>
        <w:t>ure</w:t>
      </w:r>
      <w:r w:rsidRPr="00D85256">
        <w:rPr>
          <w:rFonts w:ascii="Book Antiqua" w:hAnsi="Book Antiqua"/>
          <w:color w:val="000000" w:themeColor="text1"/>
          <w:sz w:val="24"/>
        </w:rPr>
        <w:t xml:space="preserve"> 1). Fortunately, popliteal vessel injuries during arthroscopic surgery via the transseptal portal have not yet been reported in the literature.</w:t>
      </w:r>
    </w:p>
    <w:p w:rsidR="003D09BB" w:rsidRPr="00D85256" w:rsidRDefault="003D09BB" w:rsidP="009622AB">
      <w:pPr>
        <w:spacing w:line="360" w:lineRule="auto"/>
        <w:ind w:firstLineChars="200" w:firstLine="480"/>
        <w:rPr>
          <w:rFonts w:ascii="Book Antiqua" w:hAnsi="Book Antiqua"/>
          <w:color w:val="000000" w:themeColor="text1"/>
          <w:sz w:val="24"/>
        </w:rPr>
      </w:pPr>
      <w:r w:rsidRPr="00D85256">
        <w:rPr>
          <w:rFonts w:ascii="Book Antiqua" w:hAnsi="Book Antiqua"/>
          <w:color w:val="000000" w:themeColor="text1"/>
          <w:sz w:val="24"/>
        </w:rPr>
        <w:t>Care should be taken not only to avoid popliteal vessel injury when creating the transseptal portal, but also to avoid neurovascular injury when creating the posteromedial and posterolateral portals</w:t>
      </w:r>
      <w:r w:rsidRPr="00D85256">
        <w:rPr>
          <w:rFonts w:ascii="Book Antiqua" w:hAnsi="Book Antiqua"/>
          <w:color w:val="000000" w:themeColor="text1"/>
          <w:sz w:val="24"/>
          <w:vertAlign w:val="superscript"/>
        </w:rPr>
        <w:t>[35-38,40,41]</w:t>
      </w:r>
      <w:r w:rsidRPr="00D85256">
        <w:rPr>
          <w:rFonts w:ascii="Book Antiqua" w:hAnsi="Book Antiqua"/>
          <w:color w:val="000000" w:themeColor="text1"/>
          <w:sz w:val="24"/>
        </w:rPr>
        <w:t xml:space="preserve">. Oglivie-Harris </w:t>
      </w:r>
      <w:r w:rsidRPr="00D85256">
        <w:rPr>
          <w:rFonts w:ascii="Book Antiqua" w:hAnsi="Book Antiqua"/>
          <w:i/>
          <w:color w:val="000000" w:themeColor="text1"/>
          <w:sz w:val="24"/>
        </w:rPr>
        <w:t>et al</w:t>
      </w:r>
      <w:r w:rsidR="009622AB" w:rsidRPr="00D85256">
        <w:rPr>
          <w:rFonts w:ascii="Book Antiqua" w:hAnsi="Book Antiqua"/>
          <w:color w:val="000000" w:themeColor="text1"/>
          <w:sz w:val="24"/>
          <w:vertAlign w:val="superscript"/>
        </w:rPr>
        <w:t>[13]</w:t>
      </w:r>
      <w:r w:rsidRPr="00D85256">
        <w:rPr>
          <w:rFonts w:ascii="Book Antiqua" w:hAnsi="Book Antiqua"/>
          <w:color w:val="000000" w:themeColor="text1"/>
          <w:sz w:val="24"/>
        </w:rPr>
        <w:t xml:space="preserve"> reported five complications related to the posteromedial portal that involved the saphenous nerve and vein. McGinnis </w:t>
      </w:r>
      <w:r w:rsidRPr="00D85256">
        <w:rPr>
          <w:rFonts w:ascii="Book Antiqua" w:hAnsi="Book Antiqua"/>
          <w:i/>
          <w:color w:val="000000" w:themeColor="text1"/>
          <w:sz w:val="24"/>
        </w:rPr>
        <w:t>et al</w:t>
      </w:r>
      <w:r w:rsidR="009622AB" w:rsidRPr="00D85256">
        <w:rPr>
          <w:rFonts w:ascii="Book Antiqua" w:hAnsi="Book Antiqua"/>
          <w:color w:val="000000" w:themeColor="text1"/>
          <w:sz w:val="24"/>
          <w:vertAlign w:val="superscript"/>
        </w:rPr>
        <w:t>[40]</w:t>
      </w:r>
      <w:r w:rsidRPr="00D85256">
        <w:rPr>
          <w:rFonts w:ascii="Book Antiqua" w:hAnsi="Book Antiqua"/>
          <w:color w:val="000000" w:themeColor="text1"/>
          <w:sz w:val="24"/>
        </w:rPr>
        <w:t xml:space="preserve"> reported a so-called “anatomical soft spot”, which is surrounded by the posterior edge of the medial condyle of the femur, hamstrings, and medial tibial plateau, as a safe area in which to place the posteromedial portal. The posteromedial portal could be created more safely with the knee at a flexion of 90 degrees than in an extended position because the saphenous nerve and vessels move more posteriorly in the former position</w:t>
      </w:r>
      <w:r w:rsidRPr="00D85256">
        <w:rPr>
          <w:rFonts w:ascii="Book Antiqua" w:hAnsi="Book Antiqua"/>
          <w:color w:val="000000" w:themeColor="text1"/>
          <w:sz w:val="24"/>
          <w:vertAlign w:val="superscript"/>
        </w:rPr>
        <w:t>[36,38,41]</w:t>
      </w:r>
      <w:r w:rsidRPr="00D85256">
        <w:rPr>
          <w:rFonts w:ascii="Book Antiqua" w:hAnsi="Book Antiqua"/>
          <w:color w:val="000000" w:themeColor="text1"/>
          <w:sz w:val="24"/>
        </w:rPr>
        <w:t>. The mean distance between the posteromedial portal site and saphenous nerve is 22</w:t>
      </w:r>
      <w:r w:rsidR="009622AB" w:rsidRPr="00D85256">
        <w:rPr>
          <w:rFonts w:ascii="Book Antiqua" w:hAnsi="Book Antiqua"/>
          <w:color w:val="000000" w:themeColor="text1"/>
          <w:sz w:val="24"/>
        </w:rPr>
        <w:t>-</w:t>
      </w:r>
      <w:r w:rsidRPr="00D85256">
        <w:rPr>
          <w:rFonts w:ascii="Book Antiqua" w:hAnsi="Book Antiqua"/>
          <w:color w:val="000000" w:themeColor="text1"/>
          <w:sz w:val="24"/>
        </w:rPr>
        <w:t>26 mm at a 90-degree flexion</w:t>
      </w:r>
      <w:r w:rsidRPr="00D85256">
        <w:rPr>
          <w:rFonts w:ascii="Book Antiqua" w:hAnsi="Book Antiqua"/>
          <w:color w:val="000000" w:themeColor="text1"/>
          <w:sz w:val="24"/>
          <w:vertAlign w:val="superscript"/>
        </w:rPr>
        <w:t>[36,38,41]</w:t>
      </w:r>
      <w:r w:rsidRPr="00D85256">
        <w:rPr>
          <w:rFonts w:ascii="Book Antiqua" w:hAnsi="Book Antiqua"/>
          <w:color w:val="000000" w:themeColor="text1"/>
          <w:sz w:val="24"/>
        </w:rPr>
        <w:t xml:space="preserve">. The distance between the posterolateral portal site and common peroneal nerve at a 90-degree knee flexion is relatively wide: 40 mm as reported by Pace </w:t>
      </w:r>
      <w:r w:rsidRPr="00D85256">
        <w:rPr>
          <w:rFonts w:ascii="Book Antiqua" w:hAnsi="Book Antiqua"/>
          <w:i/>
          <w:color w:val="000000" w:themeColor="text1"/>
          <w:sz w:val="24"/>
        </w:rPr>
        <w:t>et al</w:t>
      </w:r>
      <w:r w:rsidRPr="00D85256">
        <w:rPr>
          <w:rFonts w:ascii="Book Antiqua" w:hAnsi="Book Antiqua"/>
          <w:color w:val="000000" w:themeColor="text1"/>
          <w:sz w:val="24"/>
          <w:vertAlign w:val="superscript"/>
        </w:rPr>
        <w:t>[41]</w:t>
      </w:r>
      <w:r w:rsidRPr="00D85256">
        <w:rPr>
          <w:rFonts w:ascii="Book Antiqua" w:hAnsi="Book Antiqua"/>
          <w:color w:val="000000" w:themeColor="text1"/>
          <w:sz w:val="24"/>
        </w:rPr>
        <w:t>,</w:t>
      </w:r>
      <w:r w:rsidRPr="00D85256">
        <w:rPr>
          <w:rFonts w:ascii="Book Antiqua" w:hAnsi="Book Antiqua"/>
          <w:color w:val="000000" w:themeColor="text1"/>
          <w:sz w:val="24"/>
          <w:vertAlign w:val="superscript"/>
        </w:rPr>
        <w:t xml:space="preserve"> </w:t>
      </w:r>
      <w:r w:rsidRPr="00D85256">
        <w:rPr>
          <w:rFonts w:ascii="Book Antiqua" w:hAnsi="Book Antiqua"/>
          <w:color w:val="000000" w:themeColor="text1"/>
          <w:sz w:val="24"/>
        </w:rPr>
        <w:t xml:space="preserve">and 25.4 mm according to Ahn </w:t>
      </w:r>
      <w:r w:rsidRPr="00D85256">
        <w:rPr>
          <w:rFonts w:ascii="Book Antiqua" w:hAnsi="Book Antiqua"/>
          <w:i/>
          <w:color w:val="000000" w:themeColor="text1"/>
          <w:sz w:val="24"/>
        </w:rPr>
        <w:t>et al</w:t>
      </w:r>
      <w:r w:rsidRPr="00D85256">
        <w:rPr>
          <w:rFonts w:ascii="Book Antiqua" w:hAnsi="Book Antiqua"/>
          <w:color w:val="000000" w:themeColor="text1"/>
          <w:sz w:val="24"/>
          <w:vertAlign w:val="superscript"/>
        </w:rPr>
        <w:t>[21]</w:t>
      </w:r>
      <w:r w:rsidRPr="00D85256">
        <w:rPr>
          <w:rFonts w:ascii="Book Antiqua" w:hAnsi="Book Antiqua"/>
          <w:color w:val="000000" w:themeColor="text1"/>
          <w:sz w:val="24"/>
        </w:rPr>
        <w:t xml:space="preserve">. </w:t>
      </w:r>
      <w:r w:rsidRPr="00D85256">
        <w:rPr>
          <w:rFonts w:ascii="Book Antiqua" w:hAnsi="Book Antiqua"/>
          <w:color w:val="000000" w:themeColor="text1"/>
          <w:sz w:val="24"/>
        </w:rPr>
        <w:lastRenderedPageBreak/>
        <w:t>When creating a posterolateral portal, palpation of the fibular head as an identifiable landmark is recommended if the posterolateral capsule is not visible in the intercondylar posterior view</w:t>
      </w:r>
      <w:r w:rsidRPr="00D85256">
        <w:rPr>
          <w:rFonts w:ascii="Book Antiqua" w:hAnsi="Book Antiqua"/>
          <w:color w:val="000000" w:themeColor="text1"/>
          <w:sz w:val="24"/>
          <w:vertAlign w:val="superscript"/>
        </w:rPr>
        <w:t>[38]</w:t>
      </w:r>
      <w:r w:rsidRPr="00D85256">
        <w:rPr>
          <w:rFonts w:ascii="Book Antiqua" w:hAnsi="Book Antiqua"/>
          <w:color w:val="000000" w:themeColor="text1"/>
          <w:sz w:val="24"/>
        </w:rPr>
        <w:t>. However, excess knee flexion (</w:t>
      </w:r>
      <w:r w:rsidRPr="00D85256">
        <w:rPr>
          <w:rFonts w:ascii="Book Antiqua" w:hAnsi="Book Antiqua"/>
          <w:i/>
          <w:color w:val="000000" w:themeColor="text1"/>
          <w:sz w:val="24"/>
        </w:rPr>
        <w:t xml:space="preserve">e.g., </w:t>
      </w:r>
      <w:r w:rsidRPr="00D85256">
        <w:rPr>
          <w:rFonts w:ascii="Book Antiqua" w:hAnsi="Book Antiqua"/>
          <w:color w:val="000000" w:themeColor="text1"/>
          <w:sz w:val="24"/>
        </w:rPr>
        <w:t>&gt;</w:t>
      </w:r>
      <w:r w:rsidR="009622AB" w:rsidRPr="00D85256">
        <w:rPr>
          <w:rFonts w:ascii="Book Antiqua" w:hAnsi="Book Antiqua"/>
          <w:color w:val="000000" w:themeColor="text1"/>
          <w:sz w:val="24"/>
        </w:rPr>
        <w:t xml:space="preserve"> </w:t>
      </w:r>
      <w:r w:rsidRPr="00D85256">
        <w:rPr>
          <w:rFonts w:ascii="Book Antiqua" w:hAnsi="Book Antiqua"/>
          <w:color w:val="000000" w:themeColor="text1"/>
          <w:sz w:val="24"/>
        </w:rPr>
        <w:t>120</w:t>
      </w:r>
      <w:r w:rsidR="009622AB" w:rsidRPr="00D85256">
        <w:rPr>
          <w:rFonts w:ascii="Book Antiqua" w:hAnsi="Book Antiqua"/>
          <w:color w:val="000000" w:themeColor="text1"/>
          <w:sz w:val="24"/>
        </w:rPr>
        <w:t>°</w:t>
      </w:r>
      <w:r w:rsidRPr="00D85256">
        <w:rPr>
          <w:rFonts w:ascii="Book Antiqua" w:hAnsi="Book Antiqua"/>
          <w:color w:val="000000" w:themeColor="text1"/>
          <w:sz w:val="24"/>
        </w:rPr>
        <w:t>) is not acceptable because this reduces the distance between the common peroneal nerve and posterolateral portal to a greater extent</w:t>
      </w:r>
      <w:r w:rsidRPr="00D85256">
        <w:rPr>
          <w:rFonts w:ascii="Book Antiqua" w:hAnsi="Book Antiqua"/>
          <w:color w:val="000000" w:themeColor="text1"/>
          <w:sz w:val="24"/>
          <w:vertAlign w:val="superscript"/>
        </w:rPr>
        <w:t>[36]</w:t>
      </w:r>
      <w:r w:rsidRPr="00D85256">
        <w:rPr>
          <w:rFonts w:ascii="Book Antiqua" w:hAnsi="Book Antiqua"/>
          <w:color w:val="000000" w:themeColor="text1"/>
          <w:sz w:val="24"/>
        </w:rPr>
        <w:t xml:space="preserve">. </w:t>
      </w:r>
    </w:p>
    <w:p w:rsidR="003D09BB" w:rsidRPr="00D85256" w:rsidRDefault="003D09BB" w:rsidP="009622AB">
      <w:pPr>
        <w:spacing w:line="360" w:lineRule="auto"/>
        <w:rPr>
          <w:rFonts w:ascii="Book Antiqua" w:hAnsi="Book Antiqua"/>
          <w:color w:val="000000" w:themeColor="text1"/>
          <w:sz w:val="24"/>
        </w:rPr>
      </w:pPr>
    </w:p>
    <w:p w:rsidR="003D09BB" w:rsidRPr="00D85256" w:rsidRDefault="003D09BB"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OUR TECHNIQUE</w:t>
      </w:r>
    </w:p>
    <w:p w:rsidR="003D09BB" w:rsidRPr="00D85256" w:rsidRDefault="003D09BB" w:rsidP="009622AB">
      <w:pPr>
        <w:spacing w:line="360" w:lineRule="auto"/>
        <w:ind w:leftChars="-2" w:left="-4"/>
        <w:rPr>
          <w:rFonts w:ascii="Book Antiqua" w:hAnsi="Book Antiqua"/>
          <w:color w:val="000000" w:themeColor="text1"/>
          <w:sz w:val="24"/>
        </w:rPr>
      </w:pPr>
      <w:r w:rsidRPr="00D85256">
        <w:rPr>
          <w:rFonts w:ascii="Book Antiqua" w:hAnsi="Book Antiqua"/>
          <w:color w:val="000000" w:themeColor="text1"/>
          <w:sz w:val="24"/>
        </w:rPr>
        <w:t>In our method, the patient is placed under spinal or general anesthesia and the knee is flexed beyond 90 degrees on the operating table using a footrest and lateral post. As a precaution, a tourniquet is applied but not inflated. No arthropump is used. The procedure begins with the creation of the posteromedial and posterolateral portals through the anterior two portals according to the approach reported by Schreiber</w:t>
      </w:r>
      <w:r w:rsidRPr="00D85256">
        <w:rPr>
          <w:rFonts w:ascii="Book Antiqua" w:hAnsi="Book Antiqua"/>
          <w:color w:val="000000" w:themeColor="text1"/>
          <w:sz w:val="24"/>
          <w:vertAlign w:val="superscript"/>
        </w:rPr>
        <w:t>[9]</w:t>
      </w:r>
      <w:r w:rsidRPr="00D85256">
        <w:rPr>
          <w:rFonts w:ascii="Book Antiqua" w:hAnsi="Book Antiqua"/>
          <w:color w:val="000000" w:themeColor="text1"/>
          <w:sz w:val="24"/>
        </w:rPr>
        <w:t>, although our method uses a 30-degree rather than 70-degree arthroscope. The arthroscope is introduced into the posteromedial compartment through the intercondylar notch from the anterolateral portal. If osteophytes block the advance of the arthroscope through the intercondylar notch, knee extension facilitates the advance to the posteromedial compartment. A 23-gauge spinal needle is subsequently inserted just behind the posterior medial condyle and 5 mm above the tibial articular surface under guidance from a cutaneous trans-illumination arthroscopic light, as described by Schreiber</w:t>
      </w:r>
      <w:r w:rsidRPr="00D85256">
        <w:rPr>
          <w:rFonts w:ascii="Book Antiqua" w:hAnsi="Book Antiqua"/>
          <w:color w:val="000000" w:themeColor="text1"/>
          <w:sz w:val="24"/>
          <w:vertAlign w:val="superscript"/>
        </w:rPr>
        <w:t xml:space="preserve">[9] </w:t>
      </w:r>
      <w:r w:rsidRPr="00D85256">
        <w:rPr>
          <w:rFonts w:ascii="Book Antiqua" w:hAnsi="Book Antiqua"/>
          <w:color w:val="000000" w:themeColor="text1"/>
          <w:sz w:val="24"/>
        </w:rPr>
        <w:t>(Fig</w:t>
      </w:r>
      <w:r w:rsidR="009622AB" w:rsidRPr="00D85256">
        <w:rPr>
          <w:rFonts w:ascii="Book Antiqua" w:hAnsi="Book Antiqua"/>
          <w:color w:val="000000" w:themeColor="text1"/>
          <w:sz w:val="24"/>
        </w:rPr>
        <w:t>ure 3</w:t>
      </w:r>
      <w:r w:rsidRPr="00D85256">
        <w:rPr>
          <w:rFonts w:ascii="Book Antiqua" w:hAnsi="Book Antiqua"/>
          <w:color w:val="000000" w:themeColor="text1"/>
          <w:sz w:val="24"/>
        </w:rPr>
        <w:t>A). If a condition such as obesity prevents identification of the posterior edge of the medial femoral condyle, a 23-gauge spinal needle is first inserted to the medial aspect of the femoral condyle first, and the needle insertion site is then moved posteriorly to identify the posterior edge of the medial femoral condyle. The cutaneous trans-illumination arthroscopic guide helps to avoid injuries of the saphenous nerve and adjacent vein</w:t>
      </w:r>
      <w:r w:rsidRPr="00D85256">
        <w:rPr>
          <w:rFonts w:ascii="Book Antiqua" w:hAnsi="Book Antiqua"/>
          <w:color w:val="000000" w:themeColor="text1"/>
          <w:sz w:val="24"/>
          <w:vertAlign w:val="superscript"/>
        </w:rPr>
        <w:t>[9]</w:t>
      </w:r>
      <w:r w:rsidRPr="00D85256">
        <w:rPr>
          <w:rFonts w:ascii="Book Antiqua" w:hAnsi="Book Antiqua"/>
          <w:color w:val="000000" w:themeColor="text1"/>
          <w:sz w:val="24"/>
        </w:rPr>
        <w:t xml:space="preserve">. The entry point skin and capsule are incised with a No. 11 knife just anterior to and along with the 23-gauge needle. The posteromedial portal opening is subsequently maintained with a hemostat. Next, an arthroscope is introduced into the posterolateral compartment through the intercondylar notch from the anteromedial portal. A posterolateral portal is then created in the same manner as the posteromedial portal, using a 23-gauge spinal needle to determine the posterolateral </w:t>
      </w:r>
      <w:r w:rsidRPr="00D85256">
        <w:rPr>
          <w:rFonts w:ascii="Book Antiqua" w:hAnsi="Book Antiqua"/>
          <w:color w:val="000000" w:themeColor="text1"/>
          <w:sz w:val="24"/>
        </w:rPr>
        <w:lastRenderedPageBreak/>
        <w:t>portal site (Fig</w:t>
      </w:r>
      <w:r w:rsidR="009622AB" w:rsidRPr="00D85256">
        <w:rPr>
          <w:rFonts w:ascii="Book Antiqua" w:hAnsi="Book Antiqua"/>
          <w:color w:val="000000" w:themeColor="text1"/>
          <w:sz w:val="24"/>
        </w:rPr>
        <w:t>ure 3</w:t>
      </w:r>
      <w:r w:rsidRPr="00D85256">
        <w:rPr>
          <w:rFonts w:ascii="Book Antiqua" w:hAnsi="Book Antiqua"/>
          <w:color w:val="000000" w:themeColor="text1"/>
          <w:sz w:val="24"/>
        </w:rPr>
        <w:t>B). Palpation of the common peroneal nerve and fibular head may help to avoid common peroneal nerve injuries. Next, a switching rod with a sheath is inserted through the posterolateral portal to the septum. The camera head of the 30-degree arthroscope is turned to the septum so the operator can confirm that the tip of the rod is attached to the septum (Fig</w:t>
      </w:r>
      <w:r w:rsidR="009622AB" w:rsidRPr="00D85256">
        <w:rPr>
          <w:rFonts w:ascii="Book Antiqua" w:hAnsi="Book Antiqua"/>
          <w:color w:val="000000" w:themeColor="text1"/>
          <w:sz w:val="24"/>
        </w:rPr>
        <w:t>ure</w:t>
      </w:r>
      <w:r w:rsidRPr="00D85256">
        <w:rPr>
          <w:rFonts w:ascii="Book Antiqua" w:hAnsi="Book Antiqua"/>
          <w:color w:val="000000" w:themeColor="text1"/>
          <w:sz w:val="24"/>
        </w:rPr>
        <w:t xml:space="preserve"> 4). The rod is then removed while the sheath is kept in place. The sheath is pushed into the septum, and the arthroscope is inserted into the posteromedial portal. While maintaining a view of the medial side of the septum using the arthroscope introduced through the posteromedial portal, 1.5-mm (Fig</w:t>
      </w:r>
      <w:r w:rsidR="009622AB" w:rsidRPr="00D85256">
        <w:rPr>
          <w:rFonts w:ascii="Book Antiqua" w:hAnsi="Book Antiqua"/>
          <w:color w:val="000000" w:themeColor="text1"/>
          <w:sz w:val="24"/>
        </w:rPr>
        <w:t>ure 5</w:t>
      </w:r>
      <w:r w:rsidRPr="00D85256">
        <w:rPr>
          <w:rFonts w:ascii="Book Antiqua" w:hAnsi="Book Antiqua"/>
          <w:color w:val="000000" w:themeColor="text1"/>
          <w:sz w:val="24"/>
        </w:rPr>
        <w:t>A) and 3.0-mm Kirschner wires (Fig</w:t>
      </w:r>
      <w:r w:rsidR="009622AB" w:rsidRPr="00D85256">
        <w:rPr>
          <w:rFonts w:ascii="Book Antiqua" w:hAnsi="Book Antiqua"/>
          <w:color w:val="000000" w:themeColor="text1"/>
          <w:sz w:val="24"/>
        </w:rPr>
        <w:t>ure 5</w:t>
      </w:r>
      <w:r w:rsidRPr="00D85256">
        <w:rPr>
          <w:rFonts w:ascii="Book Antiqua" w:hAnsi="Book Antiqua"/>
          <w:color w:val="000000" w:themeColor="text1"/>
          <w:sz w:val="24"/>
        </w:rPr>
        <w:t>B) are sequentially pushed to the septum from the posterolateral portal through the sheath while in close contact with the posterior femoral condyle, after which the septum is perforated. The sheath is expected to protect the posterolateral capsule. The Kirschner wires are pushed several times into the septum to enlarge the initial hole and allow the switching rod to pass easily through the septum (Fig</w:t>
      </w:r>
      <w:r w:rsidR="009622AB" w:rsidRPr="00D85256">
        <w:rPr>
          <w:rFonts w:ascii="Book Antiqua" w:hAnsi="Book Antiqua"/>
          <w:color w:val="000000" w:themeColor="text1"/>
          <w:sz w:val="24"/>
        </w:rPr>
        <w:t>ure 5</w:t>
      </w:r>
      <w:r w:rsidRPr="00D85256">
        <w:rPr>
          <w:rFonts w:ascii="Book Antiqua" w:hAnsi="Book Antiqua"/>
          <w:color w:val="000000" w:themeColor="text1"/>
          <w:sz w:val="24"/>
        </w:rPr>
        <w:t xml:space="preserve">C). The switching rod is then inserted from the posterolateral portal to the posteromedial portal via the transseptal portal. Once the transseptal portal has been created, the arthroscope and instruments can be easily interchanged through the two posterior portals using the posterior “back and forth” approach described by Louisia </w:t>
      </w:r>
      <w:r w:rsidRPr="00D85256">
        <w:rPr>
          <w:rFonts w:ascii="Book Antiqua" w:hAnsi="Book Antiqua"/>
          <w:i/>
          <w:color w:val="000000" w:themeColor="text1"/>
          <w:sz w:val="24"/>
        </w:rPr>
        <w:t>et al</w:t>
      </w:r>
      <w:r w:rsidRPr="00D85256">
        <w:rPr>
          <w:rFonts w:ascii="Book Antiqua" w:hAnsi="Book Antiqua"/>
          <w:color w:val="000000" w:themeColor="text1"/>
          <w:sz w:val="24"/>
          <w:vertAlign w:val="superscript"/>
        </w:rPr>
        <w:t>[12]</w:t>
      </w:r>
      <w:r w:rsidRPr="00D85256">
        <w:rPr>
          <w:rFonts w:ascii="Book Antiqua" w:hAnsi="Book Antiqua"/>
          <w:color w:val="000000" w:themeColor="text1"/>
          <w:sz w:val="24"/>
        </w:rPr>
        <w:t xml:space="preserve"> (Fig</w:t>
      </w:r>
      <w:r w:rsidR="009622AB" w:rsidRPr="00D85256">
        <w:rPr>
          <w:rFonts w:ascii="Book Antiqua" w:hAnsi="Book Antiqua"/>
          <w:color w:val="000000" w:themeColor="text1"/>
          <w:sz w:val="24"/>
        </w:rPr>
        <w:t>ure</w:t>
      </w:r>
      <w:r w:rsidRPr="00D85256">
        <w:rPr>
          <w:rFonts w:ascii="Book Antiqua" w:hAnsi="Book Antiqua"/>
          <w:color w:val="000000" w:themeColor="text1"/>
          <w:sz w:val="24"/>
        </w:rPr>
        <w:t xml:space="preserve"> 6). It is not necessary to remove the septum with a motorized shaver.  </w:t>
      </w:r>
    </w:p>
    <w:p w:rsidR="003D09BB" w:rsidRPr="00D85256" w:rsidRDefault="003D09BB" w:rsidP="009622AB">
      <w:pPr>
        <w:spacing w:line="360" w:lineRule="auto"/>
        <w:ind w:leftChars="-2" w:left="-4"/>
        <w:rPr>
          <w:rFonts w:ascii="Book Antiqua" w:hAnsi="Book Antiqua"/>
          <w:color w:val="000000" w:themeColor="text1"/>
          <w:sz w:val="24"/>
        </w:rPr>
      </w:pPr>
    </w:p>
    <w:p w:rsidR="003D09BB" w:rsidRPr="00D85256" w:rsidRDefault="003D09BB"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OUR EXPERIENCE OF THR TECHNIQUE</w:t>
      </w:r>
    </w:p>
    <w:p w:rsidR="003D09BB" w:rsidRPr="00D85256" w:rsidRDefault="003D09BB" w:rsidP="009622AB">
      <w:pPr>
        <w:widowControl/>
        <w:spacing w:line="360" w:lineRule="auto"/>
        <w:rPr>
          <w:rFonts w:ascii="Book Antiqua" w:eastAsia="MS PMincho" w:hAnsi="Book Antiqua"/>
          <w:color w:val="000000" w:themeColor="text1"/>
          <w:sz w:val="24"/>
        </w:rPr>
      </w:pPr>
      <w:r w:rsidRPr="00D85256">
        <w:rPr>
          <w:rFonts w:ascii="Book Antiqua" w:eastAsia="MS PMincho" w:hAnsi="Book Antiqua"/>
          <w:color w:val="000000" w:themeColor="text1"/>
          <w:sz w:val="24"/>
        </w:rPr>
        <w:t>Using our procedure, we performed arthroscopic surgery for lesions in the posterior compartments of 161 knees between December 2006 and March 2015 (Fig</w:t>
      </w:r>
      <w:r w:rsidR="009622AB" w:rsidRPr="00D85256">
        <w:rPr>
          <w:rFonts w:ascii="Book Antiqua" w:hAnsi="Book Antiqua"/>
          <w:color w:val="000000" w:themeColor="text1"/>
          <w:sz w:val="24"/>
        </w:rPr>
        <w:t>ure</w:t>
      </w:r>
      <w:r w:rsidRPr="00D85256">
        <w:rPr>
          <w:rFonts w:ascii="Book Antiqua" w:eastAsia="MS PMincho" w:hAnsi="Book Antiqua"/>
          <w:color w:val="000000" w:themeColor="text1"/>
          <w:sz w:val="24"/>
        </w:rPr>
        <w:t xml:space="preserve"> 7). Some of these cases were reported elsewhere to demonstrate the use of the transseptal portal</w:t>
      </w:r>
      <w:r w:rsidRPr="00D85256">
        <w:rPr>
          <w:rFonts w:ascii="Book Antiqua" w:eastAsia="MS PMincho" w:hAnsi="Book Antiqua"/>
          <w:color w:val="000000" w:themeColor="text1"/>
          <w:sz w:val="24"/>
          <w:vertAlign w:val="superscript"/>
        </w:rPr>
        <w:t>[42-47]</w:t>
      </w:r>
      <w:r w:rsidRPr="00D85256">
        <w:rPr>
          <w:rFonts w:ascii="Book Antiqua" w:eastAsia="MS PMincho" w:hAnsi="Book Antiqua"/>
          <w:color w:val="000000" w:themeColor="text1"/>
          <w:sz w:val="24"/>
        </w:rPr>
        <w:t>. The arthroscopic procedures conducted using our established transseptal portal technique are listed in Table 1. Postoperative complications were</w:t>
      </w:r>
      <w:r w:rsidR="009622AB" w:rsidRPr="00D85256">
        <w:rPr>
          <w:rFonts w:ascii="Book Antiqua" w:eastAsia="MS PMincho" w:hAnsi="Book Antiqua"/>
          <w:color w:val="000000" w:themeColor="text1"/>
          <w:sz w:val="24"/>
        </w:rPr>
        <w:t xml:space="preserve"> encountered in four knees (2.5</w:t>
      </w:r>
      <w:r w:rsidRPr="00D85256">
        <w:rPr>
          <w:rFonts w:ascii="Book Antiqua" w:eastAsia="MS PMincho" w:hAnsi="Book Antiqua"/>
          <w:color w:val="000000" w:themeColor="text1"/>
          <w:sz w:val="24"/>
        </w:rPr>
        <w:t>%), including superficial infection of the posteromedial portal in two knees, subcutaneous hematoma in one  knee, and deep infection of the posterolateral portal in one knee. Treatment for the latter case required open debridement of the affected knee. No popliteal neurovascular, peroneal nerve, or saphenous nerve injuries or postoperative deep vein thromboses occurred in any knee during these operations.</w:t>
      </w:r>
    </w:p>
    <w:p w:rsidR="003D09BB" w:rsidRPr="00D85256" w:rsidRDefault="003D09BB" w:rsidP="009622AB">
      <w:pPr>
        <w:spacing w:line="360" w:lineRule="auto"/>
        <w:rPr>
          <w:rFonts w:ascii="Book Antiqua" w:hAnsi="Book Antiqua"/>
          <w:color w:val="000000" w:themeColor="text1"/>
          <w:sz w:val="24"/>
        </w:rPr>
      </w:pPr>
    </w:p>
    <w:p w:rsidR="003D09BB" w:rsidRPr="00D85256" w:rsidRDefault="003D09BB"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 xml:space="preserve">ADVANTAGES OF OUR TECHNIQUE </w:t>
      </w:r>
    </w:p>
    <w:p w:rsidR="003D09BB" w:rsidRPr="00D85256" w:rsidRDefault="003D09BB" w:rsidP="009622AB">
      <w:pPr>
        <w:spacing w:line="360" w:lineRule="auto"/>
        <w:rPr>
          <w:rFonts w:ascii="Book Antiqua" w:hAnsi="Book Antiqua"/>
          <w:color w:val="000000" w:themeColor="text1"/>
          <w:sz w:val="24"/>
        </w:rPr>
      </w:pPr>
      <w:r w:rsidRPr="00D85256">
        <w:rPr>
          <w:rFonts w:ascii="Book Antiqua" w:hAnsi="Book Antiqua"/>
          <w:color w:val="000000" w:themeColor="text1"/>
          <w:sz w:val="24"/>
        </w:rPr>
        <w:t>We have modified the procedures reported in previous papers</w:t>
      </w:r>
      <w:r w:rsidR="009622AB" w:rsidRPr="00D85256">
        <w:rPr>
          <w:rFonts w:ascii="Book Antiqua" w:hAnsi="Book Antiqua"/>
          <w:color w:val="000000" w:themeColor="text1"/>
          <w:sz w:val="24"/>
          <w:vertAlign w:val="superscript"/>
        </w:rPr>
        <w:t>[10-12,</w:t>
      </w:r>
      <w:r w:rsidRPr="00D85256">
        <w:rPr>
          <w:rFonts w:ascii="Book Antiqua" w:hAnsi="Book Antiqua"/>
          <w:color w:val="000000" w:themeColor="text1"/>
          <w:sz w:val="24"/>
          <w:vertAlign w:val="superscript"/>
        </w:rPr>
        <w:t>15]</w:t>
      </w:r>
      <w:r w:rsidRPr="00D85256">
        <w:rPr>
          <w:rFonts w:ascii="Book Antiqua" w:hAnsi="Book Antiqua"/>
          <w:color w:val="000000" w:themeColor="text1"/>
          <w:sz w:val="24"/>
        </w:rPr>
        <w:t xml:space="preserve"> as follows. First, the knee is flexed beyond 90 degrees on the operating table, with a footrest placed at the heel, so that the popliteal vessels move posteriorly. Flexion beyond 90</w:t>
      </w:r>
      <w:r w:rsidR="009622AB" w:rsidRPr="00D85256">
        <w:rPr>
          <w:rFonts w:ascii="Book Antiqua" w:hAnsi="Book Antiqua"/>
          <w:color w:val="000000" w:themeColor="text1"/>
          <w:sz w:val="24"/>
        </w:rPr>
        <w:t>°</w:t>
      </w:r>
      <w:r w:rsidRPr="00D85256">
        <w:rPr>
          <w:rFonts w:ascii="Book Antiqua" w:hAnsi="Book Antiqua"/>
          <w:color w:val="000000" w:themeColor="text1"/>
          <w:sz w:val="24"/>
        </w:rPr>
        <w:t xml:space="preserve"> is better achieved when the lower leg is not suspended from the side of the table. Moreover, the operator can work freely when the lower leg is on the operating table, as this provides more available space for working around the knee (Fig</w:t>
      </w:r>
      <w:r w:rsidR="009622AB" w:rsidRPr="00D85256">
        <w:rPr>
          <w:rFonts w:ascii="Book Antiqua" w:hAnsi="Book Antiqua"/>
          <w:color w:val="000000" w:themeColor="text1"/>
          <w:sz w:val="24"/>
        </w:rPr>
        <w:t>ure</w:t>
      </w:r>
      <w:r w:rsidRPr="00D85256">
        <w:rPr>
          <w:rFonts w:ascii="Book Antiqua" w:hAnsi="Book Antiqua"/>
          <w:color w:val="000000" w:themeColor="text1"/>
          <w:sz w:val="24"/>
        </w:rPr>
        <w:t xml:space="preserve"> 6). Second, we perforated the septum while protecting the posterolateral capsule with a sheath to avoid popliteal vessel injury, as a popliteal neurovascular bundle is located just lateral to the septum (Fig</w:t>
      </w:r>
      <w:r w:rsidR="009622AB" w:rsidRPr="00D85256">
        <w:rPr>
          <w:rFonts w:ascii="Book Antiqua" w:hAnsi="Book Antiqua"/>
          <w:color w:val="000000" w:themeColor="text1"/>
          <w:sz w:val="24"/>
        </w:rPr>
        <w:t>ure</w:t>
      </w:r>
      <w:r w:rsidRPr="00D85256">
        <w:rPr>
          <w:rFonts w:ascii="Book Antiqua" w:hAnsi="Book Antiqua"/>
          <w:color w:val="000000" w:themeColor="text1"/>
          <w:sz w:val="24"/>
        </w:rPr>
        <w:t xml:space="preserve"> 4). Finally, septum perforation using only a rod or blunt obturator might be difficult and could confer the risk of posterior rod or blunt obturator slippage, as the septum is very elastic and easily stretched. It is therefore safer to perforate the septum initially with a 1.5-mm Kirschner wire to determine the proper placement, followed by a 3.0 mm Kirschner wire to enlarge the hole and subsequent switching rod placement, rather than rod placement alone (Fig</w:t>
      </w:r>
      <w:r w:rsidR="009622AB" w:rsidRPr="00D85256">
        <w:rPr>
          <w:rFonts w:ascii="Book Antiqua" w:hAnsi="Book Antiqua"/>
          <w:color w:val="000000" w:themeColor="text1"/>
          <w:sz w:val="24"/>
        </w:rPr>
        <w:t>ure</w:t>
      </w:r>
      <w:r w:rsidRPr="00D85256">
        <w:rPr>
          <w:rFonts w:ascii="Book Antiqua" w:hAnsi="Book Antiqua"/>
          <w:color w:val="000000" w:themeColor="text1"/>
          <w:sz w:val="24"/>
        </w:rPr>
        <w:t xml:space="preserve"> 5). However, the operator should ensure that the tip of the Kirschner wire is properly positioned just behind the PCL and is not directed towards the posterior capsule. It is essential that the operators use an arthroscope introduced through the opposite portal to maintain direct visibility of the tip of the Kirschner wire or the switching rod as it passes through the perforated septum. </w:t>
      </w:r>
    </w:p>
    <w:p w:rsidR="003D09BB" w:rsidRPr="00D85256" w:rsidRDefault="003D09BB" w:rsidP="009622AB">
      <w:pPr>
        <w:spacing w:line="360" w:lineRule="auto"/>
        <w:rPr>
          <w:rFonts w:ascii="Book Antiqua" w:hAnsi="Book Antiqua"/>
          <w:color w:val="000000" w:themeColor="text1"/>
          <w:sz w:val="24"/>
        </w:rPr>
      </w:pPr>
    </w:p>
    <w:p w:rsidR="003D09BB" w:rsidRPr="00D85256" w:rsidRDefault="003D09BB"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CONCLUSION</w:t>
      </w:r>
    </w:p>
    <w:p w:rsidR="009622AB" w:rsidRPr="00D85256" w:rsidRDefault="003D09BB" w:rsidP="009622AB">
      <w:pPr>
        <w:spacing w:line="360" w:lineRule="auto"/>
        <w:rPr>
          <w:rFonts w:ascii="Book Antiqua" w:hAnsi="Book Antiqua"/>
          <w:color w:val="000000" w:themeColor="text1"/>
          <w:sz w:val="24"/>
        </w:rPr>
      </w:pPr>
      <w:r w:rsidRPr="00D85256">
        <w:rPr>
          <w:rFonts w:ascii="Book Antiqua" w:hAnsi="Book Antiqua"/>
          <w:color w:val="000000" w:themeColor="text1"/>
          <w:sz w:val="24"/>
        </w:rPr>
        <w:t xml:space="preserve">An arthroscopic approach via a transseptal portal for posterior lesions of the knee confers several advantages upon patients and operators, including less invasive technique compared to the open surgery for access to the back of the knee. However, the risk of neurovascular injuries should be considered. It is important for operators to understand the anatomy around the posterior three portals. </w:t>
      </w:r>
    </w:p>
    <w:p w:rsidR="009622AB" w:rsidRPr="00D85256" w:rsidRDefault="009622AB" w:rsidP="009622AB">
      <w:pPr>
        <w:spacing w:line="360" w:lineRule="auto"/>
        <w:rPr>
          <w:rFonts w:ascii="Book Antiqua" w:hAnsi="Book Antiqua"/>
          <w:color w:val="000000" w:themeColor="text1"/>
          <w:sz w:val="24"/>
        </w:rPr>
      </w:pPr>
    </w:p>
    <w:p w:rsidR="00154154" w:rsidRPr="00D85256" w:rsidRDefault="00154154" w:rsidP="009622AB">
      <w:pPr>
        <w:spacing w:line="360" w:lineRule="auto"/>
        <w:rPr>
          <w:rFonts w:ascii="Book Antiqua" w:hAnsi="Book Antiqua"/>
          <w:b/>
          <w:color w:val="000000" w:themeColor="text1"/>
          <w:sz w:val="24"/>
        </w:rPr>
      </w:pPr>
      <w:r w:rsidRPr="00D85256">
        <w:rPr>
          <w:rFonts w:ascii="Book Antiqua" w:hAnsi="Book Antiqua"/>
          <w:b/>
          <w:color w:val="000000" w:themeColor="text1"/>
          <w:sz w:val="24"/>
        </w:rPr>
        <w:t>REFERENCES</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lastRenderedPageBreak/>
        <w:t xml:space="preserve">1 </w:t>
      </w:r>
      <w:r w:rsidRPr="00D85256">
        <w:rPr>
          <w:rFonts w:ascii="Book Antiqua" w:hAnsi="Book Antiqua" w:cs="SimSun"/>
          <w:b/>
          <w:bCs/>
          <w:kern w:val="0"/>
          <w:sz w:val="24"/>
        </w:rPr>
        <w:t>Boytim MJ</w:t>
      </w:r>
      <w:r w:rsidRPr="00D85256">
        <w:rPr>
          <w:rFonts w:ascii="Book Antiqua" w:hAnsi="Book Antiqua" w:cs="SimSun"/>
          <w:kern w:val="0"/>
          <w:sz w:val="24"/>
        </w:rPr>
        <w:t xml:space="preserve">, Smith JP, Fischer DA, Quick DC. Arthroscopic posteromedial visualization of the knee. </w:t>
      </w:r>
      <w:r w:rsidRPr="00D85256">
        <w:rPr>
          <w:rFonts w:ascii="Book Antiqua" w:hAnsi="Book Antiqua" w:cs="SimSun"/>
          <w:i/>
          <w:iCs/>
          <w:kern w:val="0"/>
          <w:sz w:val="24"/>
        </w:rPr>
        <w:t>Clin Orthop Relat Res</w:t>
      </w:r>
      <w:r w:rsidRPr="00D85256">
        <w:rPr>
          <w:rFonts w:ascii="Book Antiqua" w:hAnsi="Book Antiqua" w:cs="SimSun"/>
          <w:kern w:val="0"/>
          <w:sz w:val="24"/>
        </w:rPr>
        <w:t xml:space="preserve"> 1995; </w:t>
      </w:r>
      <w:r w:rsidRPr="00D85256">
        <w:rPr>
          <w:rFonts w:ascii="Book Antiqua" w:hAnsi="Book Antiqua" w:cs="SimSun"/>
          <w:b/>
          <w:kern w:val="0"/>
          <w:sz w:val="24"/>
        </w:rPr>
        <w:t>(310)</w:t>
      </w:r>
      <w:r w:rsidRPr="00D85256">
        <w:rPr>
          <w:rFonts w:ascii="Book Antiqua" w:hAnsi="Book Antiqua" w:cs="SimSun"/>
          <w:kern w:val="0"/>
          <w:sz w:val="24"/>
        </w:rPr>
        <w:t>: 82-86 [PMID: 7641464 DOI: 10.1097/00003086-199501000-00015]</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2 </w:t>
      </w:r>
      <w:r w:rsidRPr="00D85256">
        <w:rPr>
          <w:rFonts w:ascii="Book Antiqua" w:hAnsi="Book Antiqua" w:cs="SimSun"/>
          <w:b/>
          <w:bCs/>
          <w:kern w:val="0"/>
          <w:sz w:val="24"/>
        </w:rPr>
        <w:t>Gillquist J</w:t>
      </w:r>
      <w:r w:rsidRPr="00D85256">
        <w:rPr>
          <w:rFonts w:ascii="Book Antiqua" w:hAnsi="Book Antiqua" w:cs="SimSun"/>
          <w:kern w:val="0"/>
          <w:sz w:val="24"/>
        </w:rPr>
        <w:t xml:space="preserve">, Hagberg G, Oretorp N. Arthroscopic visualization of the posteromedial compartment of the knee joint. </w:t>
      </w:r>
      <w:r w:rsidRPr="00D85256">
        <w:rPr>
          <w:rFonts w:ascii="Book Antiqua" w:hAnsi="Book Antiqua" w:cs="SimSun"/>
          <w:i/>
          <w:iCs/>
          <w:kern w:val="0"/>
          <w:sz w:val="24"/>
        </w:rPr>
        <w:t>Orthop Clin North Am</w:t>
      </w:r>
      <w:r w:rsidRPr="00D85256">
        <w:rPr>
          <w:rFonts w:ascii="Book Antiqua" w:hAnsi="Book Antiqua" w:cs="SimSun"/>
          <w:kern w:val="0"/>
          <w:sz w:val="24"/>
        </w:rPr>
        <w:t xml:space="preserve"> 1979; </w:t>
      </w:r>
      <w:r w:rsidRPr="00D85256">
        <w:rPr>
          <w:rFonts w:ascii="Book Antiqua" w:hAnsi="Book Antiqua" w:cs="SimSun"/>
          <w:b/>
          <w:bCs/>
          <w:kern w:val="0"/>
          <w:sz w:val="24"/>
        </w:rPr>
        <w:t>10</w:t>
      </w:r>
      <w:r w:rsidRPr="00D85256">
        <w:rPr>
          <w:rFonts w:ascii="Book Antiqua" w:hAnsi="Book Antiqua" w:cs="SimSun"/>
          <w:kern w:val="0"/>
          <w:sz w:val="24"/>
        </w:rPr>
        <w:t>: 545-547 [PMID: 460830 DOI: 10.1007/BF00266321]</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 </w:t>
      </w:r>
      <w:r w:rsidRPr="00D85256">
        <w:rPr>
          <w:rFonts w:ascii="Book Antiqua" w:hAnsi="Book Antiqua" w:cs="SimSun"/>
          <w:b/>
          <w:bCs/>
          <w:kern w:val="0"/>
          <w:sz w:val="24"/>
        </w:rPr>
        <w:t>Lubowitz JH</w:t>
      </w:r>
      <w:r w:rsidRPr="00D85256">
        <w:rPr>
          <w:rFonts w:ascii="Book Antiqua" w:hAnsi="Book Antiqua" w:cs="SimSun"/>
          <w:kern w:val="0"/>
          <w:sz w:val="24"/>
        </w:rPr>
        <w:t xml:space="preserve">, Rossi MJ, Baker BS, Guttmann D. Arthroscopic visualization of the posterior compartments of the knee. </w:t>
      </w:r>
      <w:r w:rsidRPr="00D85256">
        <w:rPr>
          <w:rFonts w:ascii="Book Antiqua" w:hAnsi="Book Antiqua" w:cs="SimSun"/>
          <w:i/>
          <w:iCs/>
          <w:kern w:val="0"/>
          <w:sz w:val="24"/>
        </w:rPr>
        <w:t>Arthroscopy</w:t>
      </w:r>
      <w:r w:rsidRPr="00D85256">
        <w:rPr>
          <w:rFonts w:ascii="Book Antiqua" w:hAnsi="Book Antiqua" w:cs="SimSun"/>
          <w:kern w:val="0"/>
          <w:sz w:val="24"/>
        </w:rPr>
        <w:t xml:space="preserve"> 2004; </w:t>
      </w:r>
      <w:r w:rsidRPr="00D85256">
        <w:rPr>
          <w:rFonts w:ascii="Book Antiqua" w:hAnsi="Book Antiqua" w:cs="SimSun"/>
          <w:b/>
          <w:bCs/>
          <w:kern w:val="0"/>
          <w:sz w:val="24"/>
        </w:rPr>
        <w:t>20</w:t>
      </w:r>
      <w:r w:rsidRPr="00D85256">
        <w:rPr>
          <w:rFonts w:ascii="Book Antiqua" w:hAnsi="Book Antiqua" w:cs="SimSun"/>
          <w:kern w:val="0"/>
          <w:sz w:val="24"/>
        </w:rPr>
        <w:t>: 675-680 [PMID: 15346107 DOI: 10.1016/S0749-8063(04)00547-X]</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4 </w:t>
      </w:r>
      <w:r w:rsidRPr="00D85256">
        <w:rPr>
          <w:rFonts w:ascii="Book Antiqua" w:hAnsi="Book Antiqua" w:cs="SimSun"/>
          <w:b/>
          <w:bCs/>
          <w:kern w:val="0"/>
          <w:sz w:val="24"/>
        </w:rPr>
        <w:t>Morin WD</w:t>
      </w:r>
      <w:r w:rsidRPr="00D85256">
        <w:rPr>
          <w:rFonts w:ascii="Book Antiqua" w:hAnsi="Book Antiqua" w:cs="SimSun"/>
          <w:kern w:val="0"/>
          <w:sz w:val="24"/>
        </w:rPr>
        <w:t xml:space="preserve">, Steadman JR. Arthroscopic assessment of the posterior compartments of the knee via the intercondylar notch: the arthroscopist's field of view. </w:t>
      </w:r>
      <w:r w:rsidRPr="00D85256">
        <w:rPr>
          <w:rFonts w:ascii="Book Antiqua" w:hAnsi="Book Antiqua" w:cs="SimSun"/>
          <w:i/>
          <w:iCs/>
          <w:kern w:val="0"/>
          <w:sz w:val="24"/>
        </w:rPr>
        <w:t>Arthroscopy</w:t>
      </w:r>
      <w:r w:rsidRPr="00D85256">
        <w:rPr>
          <w:rFonts w:ascii="Book Antiqua" w:hAnsi="Book Antiqua" w:cs="SimSun"/>
          <w:kern w:val="0"/>
          <w:sz w:val="24"/>
        </w:rPr>
        <w:t xml:space="preserve"> 1993; </w:t>
      </w:r>
      <w:r w:rsidRPr="00D85256">
        <w:rPr>
          <w:rFonts w:ascii="Book Antiqua" w:hAnsi="Book Antiqua" w:cs="SimSun"/>
          <w:b/>
          <w:bCs/>
          <w:kern w:val="0"/>
          <w:sz w:val="24"/>
        </w:rPr>
        <w:t>9</w:t>
      </w:r>
      <w:r w:rsidRPr="00D85256">
        <w:rPr>
          <w:rFonts w:ascii="Book Antiqua" w:hAnsi="Book Antiqua" w:cs="SimSun"/>
          <w:kern w:val="0"/>
          <w:sz w:val="24"/>
        </w:rPr>
        <w:t>: 284-290 [PMID: 8323613 DOI: 10.1016/S0749-8063(05)80423-2]</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5 </w:t>
      </w:r>
      <w:r w:rsidRPr="00D85256">
        <w:rPr>
          <w:rFonts w:ascii="Book Antiqua" w:hAnsi="Book Antiqua" w:cs="SimSun"/>
          <w:b/>
          <w:bCs/>
          <w:kern w:val="0"/>
          <w:sz w:val="24"/>
        </w:rPr>
        <w:t>Tolin BS</w:t>
      </w:r>
      <w:r w:rsidRPr="00D85256">
        <w:rPr>
          <w:rFonts w:ascii="Book Antiqua" w:hAnsi="Book Antiqua" w:cs="SimSun"/>
          <w:kern w:val="0"/>
          <w:sz w:val="24"/>
        </w:rPr>
        <w:t xml:space="preserve">, Sapega AA. Arthroscopic visual field mapping at the periphery of the medial meniscus: a comparison of different portal approaches. </w:t>
      </w:r>
      <w:r w:rsidRPr="00D85256">
        <w:rPr>
          <w:rFonts w:ascii="Book Antiqua" w:hAnsi="Book Antiqua" w:cs="SimSun"/>
          <w:i/>
          <w:iCs/>
          <w:kern w:val="0"/>
          <w:sz w:val="24"/>
        </w:rPr>
        <w:t>Arthroscopy</w:t>
      </w:r>
      <w:r w:rsidRPr="00D85256">
        <w:rPr>
          <w:rFonts w:ascii="Book Antiqua" w:hAnsi="Book Antiqua" w:cs="SimSun"/>
          <w:kern w:val="0"/>
          <w:sz w:val="24"/>
        </w:rPr>
        <w:t xml:space="preserve"> 1993; </w:t>
      </w:r>
      <w:r w:rsidRPr="00D85256">
        <w:rPr>
          <w:rFonts w:ascii="Book Antiqua" w:hAnsi="Book Antiqua" w:cs="SimSun"/>
          <w:b/>
          <w:bCs/>
          <w:kern w:val="0"/>
          <w:sz w:val="24"/>
        </w:rPr>
        <w:t>9</w:t>
      </w:r>
      <w:r w:rsidRPr="00D85256">
        <w:rPr>
          <w:rFonts w:ascii="Book Antiqua" w:hAnsi="Book Antiqua" w:cs="SimSun"/>
          <w:kern w:val="0"/>
          <w:sz w:val="24"/>
        </w:rPr>
        <w:t>: 265-271 [PMID: 8323610 DOI: 10.1016/S0749-8063(05)80420-7]</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6 </w:t>
      </w:r>
      <w:r w:rsidRPr="00D85256">
        <w:rPr>
          <w:rFonts w:ascii="Book Antiqua" w:hAnsi="Book Antiqua" w:cs="SimSun"/>
          <w:b/>
          <w:bCs/>
          <w:kern w:val="0"/>
          <w:sz w:val="24"/>
        </w:rPr>
        <w:t>Gold DL</w:t>
      </w:r>
      <w:r w:rsidRPr="00D85256">
        <w:rPr>
          <w:rFonts w:ascii="Book Antiqua" w:hAnsi="Book Antiqua" w:cs="SimSun"/>
          <w:kern w:val="0"/>
          <w:sz w:val="24"/>
        </w:rPr>
        <w:t xml:space="preserve">, Schaner PJ, Sapega AA. The posteromedial portal in knee arthroscopy: an analysis of diagnostic and surgical utility. </w:t>
      </w:r>
      <w:r w:rsidRPr="00D85256">
        <w:rPr>
          <w:rFonts w:ascii="Book Antiqua" w:hAnsi="Book Antiqua" w:cs="SimSun"/>
          <w:i/>
          <w:iCs/>
          <w:kern w:val="0"/>
          <w:sz w:val="24"/>
        </w:rPr>
        <w:t>Arthroscopy</w:t>
      </w:r>
      <w:r w:rsidRPr="00D85256">
        <w:rPr>
          <w:rFonts w:ascii="Book Antiqua" w:hAnsi="Book Antiqua" w:cs="SimSun"/>
          <w:kern w:val="0"/>
          <w:sz w:val="24"/>
        </w:rPr>
        <w:t xml:space="preserve"> 1995; </w:t>
      </w:r>
      <w:r w:rsidRPr="00D85256">
        <w:rPr>
          <w:rFonts w:ascii="Book Antiqua" w:hAnsi="Book Antiqua" w:cs="SimSun"/>
          <w:b/>
          <w:bCs/>
          <w:kern w:val="0"/>
          <w:sz w:val="24"/>
        </w:rPr>
        <w:t>11</w:t>
      </w:r>
      <w:r w:rsidRPr="00D85256">
        <w:rPr>
          <w:rFonts w:ascii="Book Antiqua" w:hAnsi="Book Antiqua" w:cs="SimSun"/>
          <w:kern w:val="0"/>
          <w:sz w:val="24"/>
        </w:rPr>
        <w:t>: 139-145 [PMID: 7794424 DOI: 10.1016/0749-8063(95)90058-6]</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7 </w:t>
      </w:r>
      <w:r w:rsidRPr="00D85256">
        <w:rPr>
          <w:rFonts w:ascii="Book Antiqua" w:hAnsi="Book Antiqua" w:cs="SimSun"/>
          <w:b/>
          <w:bCs/>
          <w:kern w:val="0"/>
          <w:sz w:val="24"/>
        </w:rPr>
        <w:t>Mariani PP</w:t>
      </w:r>
      <w:r w:rsidRPr="00D85256">
        <w:rPr>
          <w:rFonts w:ascii="Book Antiqua" w:hAnsi="Book Antiqua" w:cs="SimSun"/>
          <w:kern w:val="0"/>
          <w:sz w:val="24"/>
        </w:rPr>
        <w:t xml:space="preserve">, Gillquist J. The blind spots in arthroscopic approaches. </w:t>
      </w:r>
      <w:r w:rsidRPr="00D85256">
        <w:rPr>
          <w:rFonts w:ascii="Book Antiqua" w:hAnsi="Book Antiqua" w:cs="SimSun"/>
          <w:i/>
          <w:iCs/>
          <w:kern w:val="0"/>
          <w:sz w:val="24"/>
        </w:rPr>
        <w:t>Int Orthop</w:t>
      </w:r>
      <w:r w:rsidRPr="00D85256">
        <w:rPr>
          <w:rFonts w:ascii="Book Antiqua" w:hAnsi="Book Antiqua" w:cs="SimSun"/>
          <w:kern w:val="0"/>
          <w:sz w:val="24"/>
        </w:rPr>
        <w:t xml:space="preserve"> 1981; </w:t>
      </w:r>
      <w:r w:rsidRPr="00D85256">
        <w:rPr>
          <w:rFonts w:ascii="Book Antiqua" w:hAnsi="Book Antiqua" w:cs="SimSun"/>
          <w:b/>
          <w:bCs/>
          <w:kern w:val="0"/>
          <w:sz w:val="24"/>
        </w:rPr>
        <w:t>5</w:t>
      </w:r>
      <w:r w:rsidRPr="00D85256">
        <w:rPr>
          <w:rFonts w:ascii="Book Antiqua" w:hAnsi="Book Antiqua" w:cs="SimSun"/>
          <w:kern w:val="0"/>
          <w:sz w:val="24"/>
        </w:rPr>
        <w:t>: 257-264 [PMID: 7341511 DOI: 10.1007/BF00271080]</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8 </w:t>
      </w:r>
      <w:r w:rsidRPr="00D85256">
        <w:rPr>
          <w:rFonts w:ascii="Book Antiqua" w:hAnsi="Book Antiqua" w:cs="SimSun"/>
          <w:b/>
          <w:bCs/>
          <w:kern w:val="0"/>
          <w:sz w:val="24"/>
        </w:rPr>
        <w:t>Ochi M</w:t>
      </w:r>
      <w:r w:rsidRPr="00D85256">
        <w:rPr>
          <w:rFonts w:ascii="Book Antiqua" w:hAnsi="Book Antiqua" w:cs="SimSun"/>
          <w:kern w:val="0"/>
          <w:sz w:val="24"/>
        </w:rPr>
        <w:t xml:space="preserve">, Adachi N, Sumen Y, Uchio Y, Iwasa J. A new guide system for posteromedial portal in arthroscopic knee surgery. </w:t>
      </w:r>
      <w:r w:rsidRPr="00D85256">
        <w:rPr>
          <w:rFonts w:ascii="Book Antiqua" w:hAnsi="Book Antiqua" w:cs="SimSun"/>
          <w:i/>
          <w:iCs/>
          <w:kern w:val="0"/>
          <w:sz w:val="24"/>
        </w:rPr>
        <w:t>Arch Orthop Trauma Surg</w:t>
      </w:r>
      <w:r w:rsidRPr="00D85256">
        <w:rPr>
          <w:rFonts w:ascii="Book Antiqua" w:hAnsi="Book Antiqua" w:cs="SimSun"/>
          <w:kern w:val="0"/>
          <w:sz w:val="24"/>
        </w:rPr>
        <w:t xml:space="preserve"> 1998; </w:t>
      </w:r>
      <w:r w:rsidRPr="00D85256">
        <w:rPr>
          <w:rFonts w:ascii="Book Antiqua" w:hAnsi="Book Antiqua" w:cs="SimSun"/>
          <w:b/>
          <w:bCs/>
          <w:kern w:val="0"/>
          <w:sz w:val="24"/>
        </w:rPr>
        <w:t>118</w:t>
      </w:r>
      <w:r w:rsidRPr="00D85256">
        <w:rPr>
          <w:rFonts w:ascii="Book Antiqua" w:hAnsi="Book Antiqua" w:cs="SimSun"/>
          <w:kern w:val="0"/>
          <w:sz w:val="24"/>
        </w:rPr>
        <w:t>: 25-28 [PMID: 9833100 DOI: 10.1007/s004020050304]</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9 </w:t>
      </w:r>
      <w:r w:rsidRPr="00D85256">
        <w:rPr>
          <w:rFonts w:ascii="Book Antiqua" w:hAnsi="Book Antiqua" w:cs="SimSun"/>
          <w:b/>
          <w:bCs/>
          <w:kern w:val="0"/>
          <w:sz w:val="24"/>
        </w:rPr>
        <w:t>Schreiber SN</w:t>
      </w:r>
      <w:r w:rsidRPr="00D85256">
        <w:rPr>
          <w:rFonts w:ascii="Book Antiqua" w:hAnsi="Book Antiqua" w:cs="SimSun"/>
          <w:kern w:val="0"/>
          <w:sz w:val="24"/>
        </w:rPr>
        <w:t xml:space="preserve">. Arthroscopy update #9. Posterior compartment observation and instrumentation in the knee using anteromedial and anterolateral portals and an interchangeable cannula system. </w:t>
      </w:r>
      <w:r w:rsidRPr="00D85256">
        <w:rPr>
          <w:rFonts w:ascii="Book Antiqua" w:hAnsi="Book Antiqua" w:cs="SimSun"/>
          <w:i/>
          <w:iCs/>
          <w:kern w:val="0"/>
          <w:sz w:val="24"/>
        </w:rPr>
        <w:t>Orthop Rev</w:t>
      </w:r>
      <w:r w:rsidRPr="00D85256">
        <w:rPr>
          <w:rFonts w:ascii="Book Antiqua" w:hAnsi="Book Antiqua" w:cs="SimSun"/>
          <w:kern w:val="0"/>
          <w:sz w:val="24"/>
        </w:rPr>
        <w:t xml:space="preserve"> 1991; </w:t>
      </w:r>
      <w:r w:rsidRPr="00D85256">
        <w:rPr>
          <w:rFonts w:ascii="Book Antiqua" w:hAnsi="Book Antiqua" w:cs="SimSun"/>
          <w:b/>
          <w:bCs/>
          <w:kern w:val="0"/>
          <w:sz w:val="24"/>
        </w:rPr>
        <w:t>20</w:t>
      </w:r>
      <w:r w:rsidRPr="00D85256">
        <w:rPr>
          <w:rFonts w:ascii="Book Antiqua" w:hAnsi="Book Antiqua" w:cs="SimSun"/>
          <w:kern w:val="0"/>
          <w:sz w:val="24"/>
        </w:rPr>
        <w:t>: 67-8, 73, 76-80 [PMID: 1997957]</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10 </w:t>
      </w:r>
      <w:r w:rsidRPr="00D85256">
        <w:rPr>
          <w:rFonts w:ascii="Book Antiqua" w:hAnsi="Book Antiqua" w:cs="SimSun"/>
          <w:b/>
          <w:bCs/>
          <w:kern w:val="0"/>
          <w:sz w:val="24"/>
        </w:rPr>
        <w:t>Kim JM</w:t>
      </w:r>
      <w:r w:rsidRPr="00D85256">
        <w:rPr>
          <w:rFonts w:ascii="Book Antiqua" w:hAnsi="Book Antiqua" w:cs="SimSun"/>
          <w:kern w:val="0"/>
          <w:sz w:val="24"/>
        </w:rPr>
        <w:t xml:space="preserve">. Direct posterior-posterior triangulation of the knee joint. </w:t>
      </w:r>
      <w:r w:rsidRPr="00D85256">
        <w:rPr>
          <w:rFonts w:ascii="Book Antiqua" w:hAnsi="Book Antiqua" w:cs="SimSun"/>
          <w:i/>
          <w:iCs/>
          <w:kern w:val="0"/>
          <w:sz w:val="24"/>
        </w:rPr>
        <w:t>Arthroscopy</w:t>
      </w:r>
      <w:r w:rsidRPr="00D85256">
        <w:rPr>
          <w:rFonts w:ascii="Book Antiqua" w:hAnsi="Book Antiqua" w:cs="SimSun"/>
          <w:kern w:val="0"/>
          <w:sz w:val="24"/>
        </w:rPr>
        <w:t xml:space="preserve"> 1997; </w:t>
      </w:r>
      <w:r w:rsidRPr="00D85256">
        <w:rPr>
          <w:rFonts w:ascii="Book Antiqua" w:hAnsi="Book Antiqua" w:cs="SimSun"/>
          <w:b/>
          <w:bCs/>
          <w:kern w:val="0"/>
          <w:sz w:val="24"/>
        </w:rPr>
        <w:t>13</w:t>
      </w:r>
      <w:r w:rsidRPr="00D85256">
        <w:rPr>
          <w:rFonts w:ascii="Book Antiqua" w:hAnsi="Book Antiqua" w:cs="SimSun"/>
          <w:kern w:val="0"/>
          <w:sz w:val="24"/>
        </w:rPr>
        <w:t>: 262-264 [PMID: 9127090 DOI: 10.1016/S0749-8063(97)90167-5]</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11 </w:t>
      </w:r>
      <w:r w:rsidRPr="00D85256">
        <w:rPr>
          <w:rFonts w:ascii="Book Antiqua" w:hAnsi="Book Antiqua" w:cs="SimSun"/>
          <w:b/>
          <w:bCs/>
          <w:kern w:val="0"/>
          <w:sz w:val="24"/>
        </w:rPr>
        <w:t>Ahn JH</w:t>
      </w:r>
      <w:r w:rsidRPr="00D85256">
        <w:rPr>
          <w:rFonts w:ascii="Book Antiqua" w:hAnsi="Book Antiqua" w:cs="SimSun"/>
          <w:kern w:val="0"/>
          <w:sz w:val="24"/>
        </w:rPr>
        <w:t xml:space="preserve">, Ha CW. Posterior trans-septal portal for arthroscopic surgery of the knee joint. </w:t>
      </w:r>
      <w:r w:rsidRPr="00D85256">
        <w:rPr>
          <w:rFonts w:ascii="Book Antiqua" w:hAnsi="Book Antiqua" w:cs="SimSun"/>
          <w:i/>
          <w:iCs/>
          <w:kern w:val="0"/>
          <w:sz w:val="24"/>
        </w:rPr>
        <w:t>Arthroscopy</w:t>
      </w:r>
      <w:r w:rsidRPr="00D85256">
        <w:rPr>
          <w:rFonts w:ascii="Book Antiqua" w:hAnsi="Book Antiqua" w:cs="SimSun"/>
          <w:kern w:val="0"/>
          <w:sz w:val="24"/>
        </w:rPr>
        <w:t xml:space="preserve"> 2000; </w:t>
      </w:r>
      <w:r w:rsidRPr="00D85256">
        <w:rPr>
          <w:rFonts w:ascii="Book Antiqua" w:hAnsi="Book Antiqua" w:cs="SimSun"/>
          <w:b/>
          <w:bCs/>
          <w:kern w:val="0"/>
          <w:sz w:val="24"/>
        </w:rPr>
        <w:t>16</w:t>
      </w:r>
      <w:r w:rsidRPr="00D85256">
        <w:rPr>
          <w:rFonts w:ascii="Book Antiqua" w:hAnsi="Book Antiqua" w:cs="SimSun"/>
          <w:kern w:val="0"/>
          <w:sz w:val="24"/>
        </w:rPr>
        <w:t>: 774-779 [PMID: 11027767 DOI: 10.1053/jars.2000.7681]</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lastRenderedPageBreak/>
        <w:t xml:space="preserve">12 </w:t>
      </w:r>
      <w:r w:rsidRPr="00D85256">
        <w:rPr>
          <w:rFonts w:ascii="Book Antiqua" w:hAnsi="Book Antiqua" w:cs="SimSun"/>
          <w:b/>
          <w:bCs/>
          <w:kern w:val="0"/>
          <w:sz w:val="24"/>
        </w:rPr>
        <w:t>Louisia S</w:t>
      </w:r>
      <w:r w:rsidRPr="00D85256">
        <w:rPr>
          <w:rFonts w:ascii="Book Antiqua" w:hAnsi="Book Antiqua" w:cs="SimSun"/>
          <w:kern w:val="0"/>
          <w:sz w:val="24"/>
        </w:rPr>
        <w:t xml:space="preserve">, Charrois O, Beaufils P. Posterior "back and forth" approach in arthroscopic surgery on the posterior knee compartments. </w:t>
      </w:r>
      <w:r w:rsidRPr="00D85256">
        <w:rPr>
          <w:rFonts w:ascii="Book Antiqua" w:hAnsi="Book Antiqua" w:cs="SimSun"/>
          <w:i/>
          <w:iCs/>
          <w:kern w:val="0"/>
          <w:sz w:val="24"/>
        </w:rPr>
        <w:t>Arthroscopy</w:t>
      </w:r>
      <w:r w:rsidRPr="00D85256">
        <w:rPr>
          <w:rFonts w:ascii="Book Antiqua" w:hAnsi="Book Antiqua" w:cs="SimSun"/>
          <w:kern w:val="0"/>
          <w:sz w:val="24"/>
        </w:rPr>
        <w:t xml:space="preserve"> 2003; </w:t>
      </w:r>
      <w:r w:rsidRPr="00D85256">
        <w:rPr>
          <w:rFonts w:ascii="Book Antiqua" w:hAnsi="Book Antiqua" w:cs="SimSun"/>
          <w:b/>
          <w:bCs/>
          <w:kern w:val="0"/>
          <w:sz w:val="24"/>
        </w:rPr>
        <w:t>19</w:t>
      </w:r>
      <w:r w:rsidRPr="00D85256">
        <w:rPr>
          <w:rFonts w:ascii="Book Antiqua" w:hAnsi="Book Antiqua" w:cs="SimSun"/>
          <w:kern w:val="0"/>
          <w:sz w:val="24"/>
        </w:rPr>
        <w:t>: 321-325 [PMID: 12627160 DOI: 10.1053/jars.2003.50082]</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13 </w:t>
      </w:r>
      <w:r w:rsidRPr="00D85256">
        <w:rPr>
          <w:rFonts w:ascii="Book Antiqua" w:hAnsi="Book Antiqua" w:cs="SimSun"/>
          <w:b/>
          <w:bCs/>
          <w:kern w:val="0"/>
          <w:sz w:val="24"/>
        </w:rPr>
        <w:t>Ogilvie-Harris DJ</w:t>
      </w:r>
      <w:r w:rsidRPr="00D85256">
        <w:rPr>
          <w:rFonts w:ascii="Book Antiqua" w:hAnsi="Book Antiqua" w:cs="SimSun"/>
          <w:kern w:val="0"/>
          <w:sz w:val="24"/>
        </w:rPr>
        <w:t xml:space="preserve">, Weisleder L. Arthroscopic synovectomy of the knee: is it helpful? </w:t>
      </w:r>
      <w:r w:rsidRPr="00D85256">
        <w:rPr>
          <w:rFonts w:ascii="Book Antiqua" w:hAnsi="Book Antiqua" w:cs="SimSun"/>
          <w:i/>
          <w:iCs/>
          <w:kern w:val="0"/>
          <w:sz w:val="24"/>
        </w:rPr>
        <w:t>Arthroscopy</w:t>
      </w:r>
      <w:r w:rsidRPr="00D85256">
        <w:rPr>
          <w:rFonts w:ascii="Book Antiqua" w:hAnsi="Book Antiqua" w:cs="SimSun"/>
          <w:kern w:val="0"/>
          <w:sz w:val="24"/>
        </w:rPr>
        <w:t xml:space="preserve"> 1995; </w:t>
      </w:r>
      <w:r w:rsidRPr="00D85256">
        <w:rPr>
          <w:rFonts w:ascii="Book Antiqua" w:hAnsi="Book Antiqua" w:cs="SimSun"/>
          <w:b/>
          <w:bCs/>
          <w:kern w:val="0"/>
          <w:sz w:val="24"/>
        </w:rPr>
        <w:t>11</w:t>
      </w:r>
      <w:r w:rsidRPr="00D85256">
        <w:rPr>
          <w:rFonts w:ascii="Book Antiqua" w:hAnsi="Book Antiqua" w:cs="SimSun"/>
          <w:kern w:val="0"/>
          <w:sz w:val="24"/>
        </w:rPr>
        <w:t>: 91-95 [PMID: 7727018 DOI: 10.1016/0749-8063(95)90094-2]</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14 </w:t>
      </w:r>
      <w:r w:rsidRPr="00D85256">
        <w:rPr>
          <w:rFonts w:ascii="Book Antiqua" w:hAnsi="Book Antiqua" w:cs="SimSun"/>
          <w:b/>
          <w:bCs/>
          <w:kern w:val="0"/>
          <w:sz w:val="24"/>
        </w:rPr>
        <w:t>Tawes RL</w:t>
      </w:r>
      <w:r w:rsidRPr="00D85256">
        <w:rPr>
          <w:rFonts w:ascii="Book Antiqua" w:hAnsi="Book Antiqua" w:cs="SimSun"/>
          <w:kern w:val="0"/>
          <w:sz w:val="24"/>
        </w:rPr>
        <w:t xml:space="preserve">, Etheredge SN, Webb RL, Enloe LJ, Stallone RJ. Popliteal artery injury complicating arthroscopic menisectomy. </w:t>
      </w:r>
      <w:r w:rsidRPr="00D85256">
        <w:rPr>
          <w:rFonts w:ascii="Book Antiqua" w:hAnsi="Book Antiqua" w:cs="SimSun"/>
          <w:i/>
          <w:iCs/>
          <w:kern w:val="0"/>
          <w:sz w:val="24"/>
        </w:rPr>
        <w:t>Am J Surg</w:t>
      </w:r>
      <w:r w:rsidRPr="00D85256">
        <w:rPr>
          <w:rFonts w:ascii="Book Antiqua" w:hAnsi="Book Antiqua" w:cs="SimSun"/>
          <w:kern w:val="0"/>
          <w:sz w:val="24"/>
        </w:rPr>
        <w:t xml:space="preserve"> 1988; </w:t>
      </w:r>
      <w:r w:rsidRPr="00D85256">
        <w:rPr>
          <w:rFonts w:ascii="Book Antiqua" w:hAnsi="Book Antiqua" w:cs="SimSun"/>
          <w:b/>
          <w:bCs/>
          <w:kern w:val="0"/>
          <w:sz w:val="24"/>
        </w:rPr>
        <w:t>156</w:t>
      </w:r>
      <w:r w:rsidRPr="00D85256">
        <w:rPr>
          <w:rFonts w:ascii="Book Antiqua" w:hAnsi="Book Antiqua" w:cs="SimSun"/>
          <w:kern w:val="0"/>
          <w:sz w:val="24"/>
        </w:rPr>
        <w:t>: 136-138 [PMID: 3400813 DOI: 10.1016/S0002-9610(88)80374-X]</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15 </w:t>
      </w:r>
      <w:r w:rsidRPr="00D85256">
        <w:rPr>
          <w:rFonts w:ascii="Book Antiqua" w:hAnsi="Book Antiqua" w:cs="SimSun"/>
          <w:b/>
          <w:bCs/>
          <w:kern w:val="0"/>
          <w:sz w:val="24"/>
        </w:rPr>
        <w:t>Kim SJ</w:t>
      </w:r>
      <w:r w:rsidRPr="00D85256">
        <w:rPr>
          <w:rFonts w:ascii="Book Antiqua" w:hAnsi="Book Antiqua" w:cs="SimSun"/>
          <w:kern w:val="0"/>
          <w:sz w:val="24"/>
        </w:rPr>
        <w:t xml:space="preserve">, Jung KA, Kwun JD, Kim JM. Arthroscopic synovectomy of the knee joint in rheumatoid arthritis: surgical steps for complete synovectomy. </w:t>
      </w:r>
      <w:r w:rsidRPr="00D85256">
        <w:rPr>
          <w:rFonts w:ascii="Book Antiqua" w:hAnsi="Book Antiqua" w:cs="SimSun"/>
          <w:i/>
          <w:iCs/>
          <w:kern w:val="0"/>
          <w:sz w:val="24"/>
        </w:rPr>
        <w:t>Arthroscopy</w:t>
      </w:r>
      <w:r w:rsidRPr="00D85256">
        <w:rPr>
          <w:rFonts w:ascii="Book Antiqua" w:hAnsi="Book Antiqua" w:cs="SimSun"/>
          <w:kern w:val="0"/>
          <w:sz w:val="24"/>
        </w:rPr>
        <w:t xml:space="preserve"> 2006; </w:t>
      </w:r>
      <w:r w:rsidRPr="00D85256">
        <w:rPr>
          <w:rFonts w:ascii="Book Antiqua" w:hAnsi="Book Antiqua" w:cs="SimSun"/>
          <w:b/>
          <w:bCs/>
          <w:kern w:val="0"/>
          <w:sz w:val="24"/>
        </w:rPr>
        <w:t>22</w:t>
      </w:r>
      <w:r w:rsidRPr="00D85256">
        <w:rPr>
          <w:rFonts w:ascii="Book Antiqua" w:hAnsi="Book Antiqua" w:cs="SimSun"/>
          <w:kern w:val="0"/>
          <w:sz w:val="24"/>
        </w:rPr>
        <w:t>: 461.e1-461.e4 [PMID: 16581463 DOI: 10.1016/j.arthro.2005.06.025]</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16 </w:t>
      </w:r>
      <w:r w:rsidRPr="00D85256">
        <w:rPr>
          <w:rFonts w:ascii="Book Antiqua" w:hAnsi="Book Antiqua" w:cs="SimSun"/>
          <w:b/>
          <w:bCs/>
          <w:kern w:val="0"/>
          <w:sz w:val="24"/>
        </w:rPr>
        <w:t>Jang KM</w:t>
      </w:r>
      <w:r w:rsidRPr="00D85256">
        <w:rPr>
          <w:rFonts w:ascii="Book Antiqua" w:hAnsi="Book Antiqua" w:cs="SimSun"/>
          <w:kern w:val="0"/>
          <w:sz w:val="24"/>
        </w:rPr>
        <w:t xml:space="preserve">, Ahn JH, Wang JH. Arthroscopic partial meniscectomy of a posteriorly flipped superior leaflet in a horizontal medial meniscus tear using a posterior transseptal portal. </w:t>
      </w:r>
      <w:r w:rsidRPr="00D85256">
        <w:rPr>
          <w:rFonts w:ascii="Book Antiqua" w:hAnsi="Book Antiqua" w:cs="SimSun"/>
          <w:i/>
          <w:iCs/>
          <w:kern w:val="0"/>
          <w:sz w:val="24"/>
        </w:rPr>
        <w:t>Orthopedics</w:t>
      </w:r>
      <w:r w:rsidRPr="00D85256">
        <w:rPr>
          <w:rFonts w:ascii="Book Antiqua" w:hAnsi="Book Antiqua" w:cs="SimSun"/>
          <w:kern w:val="0"/>
          <w:sz w:val="24"/>
        </w:rPr>
        <w:t xml:space="preserve"> 2012; </w:t>
      </w:r>
      <w:r w:rsidRPr="00D85256">
        <w:rPr>
          <w:rFonts w:ascii="Book Antiqua" w:hAnsi="Book Antiqua" w:cs="SimSun"/>
          <w:b/>
          <w:bCs/>
          <w:kern w:val="0"/>
          <w:sz w:val="24"/>
        </w:rPr>
        <w:t>35</w:t>
      </w:r>
      <w:r w:rsidRPr="00D85256">
        <w:rPr>
          <w:rFonts w:ascii="Book Antiqua" w:hAnsi="Book Antiqua" w:cs="SimSun"/>
          <w:kern w:val="0"/>
          <w:sz w:val="24"/>
        </w:rPr>
        <w:t>: e430-e433 [PMID: 22385458 DOI: 10.3928/01477447-20120222-37]</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17 </w:t>
      </w:r>
      <w:r w:rsidRPr="00D85256">
        <w:rPr>
          <w:rFonts w:ascii="Book Antiqua" w:hAnsi="Book Antiqua" w:cs="SimSun"/>
          <w:b/>
          <w:bCs/>
          <w:kern w:val="0"/>
          <w:sz w:val="24"/>
        </w:rPr>
        <w:t>Ahn JH</w:t>
      </w:r>
      <w:r w:rsidRPr="00D85256">
        <w:rPr>
          <w:rFonts w:ascii="Book Antiqua" w:hAnsi="Book Antiqua" w:cs="SimSun"/>
          <w:kern w:val="0"/>
          <w:sz w:val="24"/>
        </w:rPr>
        <w:t xml:space="preserve">, Wang JH, Yoo JC, Noh HK, Park JH. A pull out suture for transection of the posterior horn of the medial meniscus: using a posterior trans-septal portal. </w:t>
      </w:r>
      <w:r w:rsidRPr="00D85256">
        <w:rPr>
          <w:rFonts w:ascii="Book Antiqua" w:hAnsi="Book Antiqua" w:cs="SimSun"/>
          <w:i/>
          <w:iCs/>
          <w:kern w:val="0"/>
          <w:sz w:val="24"/>
        </w:rPr>
        <w:t>Knee Surg Sports Traumatol Arthrosc</w:t>
      </w:r>
      <w:r w:rsidRPr="00D85256">
        <w:rPr>
          <w:rFonts w:ascii="Book Antiqua" w:hAnsi="Book Antiqua" w:cs="SimSun"/>
          <w:kern w:val="0"/>
          <w:sz w:val="24"/>
        </w:rPr>
        <w:t xml:space="preserve"> 2007; </w:t>
      </w:r>
      <w:r w:rsidRPr="00D85256">
        <w:rPr>
          <w:rFonts w:ascii="Book Antiqua" w:hAnsi="Book Antiqua" w:cs="SimSun"/>
          <w:b/>
          <w:bCs/>
          <w:kern w:val="0"/>
          <w:sz w:val="24"/>
        </w:rPr>
        <w:t>15</w:t>
      </w:r>
      <w:r w:rsidRPr="00D85256">
        <w:rPr>
          <w:rFonts w:ascii="Book Antiqua" w:hAnsi="Book Antiqua" w:cs="SimSun"/>
          <w:kern w:val="0"/>
          <w:sz w:val="24"/>
        </w:rPr>
        <w:t>: 1510-1513 [PMID: 17370062 DOI: 10.1007/s00167-007-0310-3]</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18 </w:t>
      </w:r>
      <w:r w:rsidRPr="00D85256">
        <w:rPr>
          <w:rFonts w:ascii="Book Antiqua" w:hAnsi="Book Antiqua" w:cs="SimSun"/>
          <w:b/>
          <w:bCs/>
          <w:kern w:val="0"/>
          <w:sz w:val="24"/>
        </w:rPr>
        <w:t>Ahn JH</w:t>
      </w:r>
      <w:r w:rsidRPr="00D85256">
        <w:rPr>
          <w:rFonts w:ascii="Book Antiqua" w:hAnsi="Book Antiqua" w:cs="SimSun"/>
          <w:kern w:val="0"/>
          <w:sz w:val="24"/>
        </w:rPr>
        <w:t xml:space="preserve">, Wang JH, Lim HC, Bae JH, Park JS, Yoo JC, Shyam AK. Double transosseous pull out suture technique for transection of posterior horn of medial meniscus. </w:t>
      </w:r>
      <w:r w:rsidRPr="00D85256">
        <w:rPr>
          <w:rFonts w:ascii="Book Antiqua" w:hAnsi="Book Antiqua" w:cs="SimSun"/>
          <w:i/>
          <w:iCs/>
          <w:kern w:val="0"/>
          <w:sz w:val="24"/>
        </w:rPr>
        <w:t>Arch Orthop Trauma Surg</w:t>
      </w:r>
      <w:r w:rsidRPr="00D85256">
        <w:rPr>
          <w:rFonts w:ascii="Book Antiqua" w:hAnsi="Book Antiqua" w:cs="SimSun"/>
          <w:kern w:val="0"/>
          <w:sz w:val="24"/>
        </w:rPr>
        <w:t xml:space="preserve"> 2009; </w:t>
      </w:r>
      <w:r w:rsidRPr="00D85256">
        <w:rPr>
          <w:rFonts w:ascii="Book Antiqua" w:hAnsi="Book Antiqua" w:cs="SimSun"/>
          <w:b/>
          <w:bCs/>
          <w:kern w:val="0"/>
          <w:sz w:val="24"/>
        </w:rPr>
        <w:t>129</w:t>
      </w:r>
      <w:r w:rsidRPr="00D85256">
        <w:rPr>
          <w:rFonts w:ascii="Book Antiqua" w:hAnsi="Book Antiqua" w:cs="SimSun"/>
          <w:kern w:val="0"/>
          <w:sz w:val="24"/>
        </w:rPr>
        <w:t>: 387-392 [PMID: 18542975 DOI: 10.1007/s00402-008-0639-1]</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19 </w:t>
      </w:r>
      <w:r w:rsidRPr="00D85256">
        <w:rPr>
          <w:rFonts w:ascii="Book Antiqua" w:hAnsi="Book Antiqua" w:cs="SimSun"/>
          <w:b/>
          <w:bCs/>
          <w:kern w:val="0"/>
          <w:sz w:val="24"/>
        </w:rPr>
        <w:t>Kim JH</w:t>
      </w:r>
      <w:r w:rsidRPr="00D85256">
        <w:rPr>
          <w:rFonts w:ascii="Book Antiqua" w:hAnsi="Book Antiqua" w:cs="SimSun"/>
          <w:kern w:val="0"/>
          <w:sz w:val="24"/>
        </w:rPr>
        <w:t xml:space="preserve">, Shin DE, Dan JM, Nam KS, Ahn TK, Lee DH. Arthroscopic suture anchor repair of posterior root attachment injury in medial meniscus: technical note. </w:t>
      </w:r>
      <w:r w:rsidRPr="00D85256">
        <w:rPr>
          <w:rFonts w:ascii="Book Antiqua" w:hAnsi="Book Antiqua" w:cs="SimSun"/>
          <w:i/>
          <w:iCs/>
          <w:kern w:val="0"/>
          <w:sz w:val="24"/>
        </w:rPr>
        <w:t>Arch Orthop Trauma Surg</w:t>
      </w:r>
      <w:r w:rsidRPr="00D85256">
        <w:rPr>
          <w:rFonts w:ascii="Book Antiqua" w:hAnsi="Book Antiqua" w:cs="SimSun"/>
          <w:kern w:val="0"/>
          <w:sz w:val="24"/>
        </w:rPr>
        <w:t xml:space="preserve"> 2009; </w:t>
      </w:r>
      <w:r w:rsidRPr="00D85256">
        <w:rPr>
          <w:rFonts w:ascii="Book Antiqua" w:hAnsi="Book Antiqua" w:cs="SimSun"/>
          <w:b/>
          <w:bCs/>
          <w:kern w:val="0"/>
          <w:sz w:val="24"/>
        </w:rPr>
        <w:t>129</w:t>
      </w:r>
      <w:r w:rsidRPr="00D85256">
        <w:rPr>
          <w:rFonts w:ascii="Book Antiqua" w:hAnsi="Book Antiqua" w:cs="SimSun"/>
          <w:kern w:val="0"/>
          <w:sz w:val="24"/>
        </w:rPr>
        <w:t>: 1085-1088 [PMID: 19142649 DOI: 10.1007/s00402-008-0810-8]</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20 </w:t>
      </w:r>
      <w:r w:rsidRPr="00D85256">
        <w:rPr>
          <w:rFonts w:ascii="Book Antiqua" w:hAnsi="Book Antiqua" w:cs="SimSun"/>
          <w:b/>
          <w:bCs/>
          <w:kern w:val="0"/>
          <w:sz w:val="24"/>
        </w:rPr>
        <w:t>Wang KH</w:t>
      </w:r>
      <w:r w:rsidRPr="00D85256">
        <w:rPr>
          <w:rFonts w:ascii="Book Antiqua" w:hAnsi="Book Antiqua" w:cs="SimSun"/>
          <w:kern w:val="0"/>
          <w:sz w:val="24"/>
        </w:rPr>
        <w:t xml:space="preserve">, Hwang DH, Cho JH, Changale SD, Woo SJ, Nha KW. Arthroscopic direct repair for a complete radial tear of the posterior root of the medial meniscus. </w:t>
      </w:r>
      <w:r w:rsidRPr="00D85256">
        <w:rPr>
          <w:rFonts w:ascii="Book Antiqua" w:hAnsi="Book Antiqua" w:cs="SimSun"/>
          <w:i/>
          <w:iCs/>
          <w:kern w:val="0"/>
          <w:sz w:val="24"/>
        </w:rPr>
        <w:t>Clin Orthop Surg</w:t>
      </w:r>
      <w:r w:rsidRPr="00D85256">
        <w:rPr>
          <w:rFonts w:ascii="Book Antiqua" w:hAnsi="Book Antiqua" w:cs="SimSun"/>
          <w:kern w:val="0"/>
          <w:sz w:val="24"/>
        </w:rPr>
        <w:t xml:space="preserve"> 2011; </w:t>
      </w:r>
      <w:r w:rsidRPr="00D85256">
        <w:rPr>
          <w:rFonts w:ascii="Book Antiqua" w:hAnsi="Book Antiqua" w:cs="SimSun"/>
          <w:b/>
          <w:bCs/>
          <w:kern w:val="0"/>
          <w:sz w:val="24"/>
        </w:rPr>
        <w:t>3</w:t>
      </w:r>
      <w:r w:rsidRPr="00D85256">
        <w:rPr>
          <w:rFonts w:ascii="Book Antiqua" w:hAnsi="Book Antiqua" w:cs="SimSun"/>
          <w:kern w:val="0"/>
          <w:sz w:val="24"/>
        </w:rPr>
        <w:t>: 332-335 [PMID: 22162797 DOI: 10.4055/cios.2011.3.4.332]</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lastRenderedPageBreak/>
        <w:t xml:space="preserve">21 </w:t>
      </w:r>
      <w:r w:rsidRPr="00D85256">
        <w:rPr>
          <w:rFonts w:ascii="Book Antiqua" w:hAnsi="Book Antiqua" w:cs="SimSun"/>
          <w:b/>
          <w:bCs/>
          <w:kern w:val="0"/>
          <w:sz w:val="24"/>
        </w:rPr>
        <w:t>Ahn JH</w:t>
      </w:r>
      <w:r w:rsidRPr="00D85256">
        <w:rPr>
          <w:rFonts w:ascii="Book Antiqua" w:hAnsi="Book Antiqua" w:cs="SimSun"/>
          <w:kern w:val="0"/>
          <w:sz w:val="24"/>
        </w:rPr>
        <w:t xml:space="preserve">, Chung YS, Oh I. Arthroscopic posterior cruciate ligament reconstruction using the posterior trans-septal portal. </w:t>
      </w:r>
      <w:r w:rsidRPr="00D85256">
        <w:rPr>
          <w:rFonts w:ascii="Book Antiqua" w:hAnsi="Book Antiqua" w:cs="SimSun"/>
          <w:i/>
          <w:iCs/>
          <w:kern w:val="0"/>
          <w:sz w:val="24"/>
        </w:rPr>
        <w:t>Arthroscopy</w:t>
      </w:r>
      <w:r w:rsidRPr="00D85256">
        <w:rPr>
          <w:rFonts w:ascii="Book Antiqua" w:hAnsi="Book Antiqua" w:cs="SimSun"/>
          <w:kern w:val="0"/>
          <w:sz w:val="24"/>
        </w:rPr>
        <w:t xml:space="preserve"> 2003; </w:t>
      </w:r>
      <w:r w:rsidRPr="00D85256">
        <w:rPr>
          <w:rFonts w:ascii="Book Antiqua" w:hAnsi="Book Antiqua" w:cs="SimSun"/>
          <w:b/>
          <w:bCs/>
          <w:kern w:val="0"/>
          <w:sz w:val="24"/>
        </w:rPr>
        <w:t>19</w:t>
      </w:r>
      <w:r w:rsidRPr="00D85256">
        <w:rPr>
          <w:rFonts w:ascii="Book Antiqua" w:hAnsi="Book Antiqua" w:cs="SimSun"/>
          <w:kern w:val="0"/>
          <w:sz w:val="24"/>
        </w:rPr>
        <w:t>: 101-107 [PMID: 12522410 DOI: 10.1016/S0749-8063(03)00600-5]</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22 </w:t>
      </w:r>
      <w:r w:rsidRPr="00D85256">
        <w:rPr>
          <w:rFonts w:ascii="Book Antiqua" w:hAnsi="Book Antiqua" w:cs="SimSun"/>
          <w:b/>
          <w:bCs/>
          <w:kern w:val="0"/>
          <w:sz w:val="24"/>
        </w:rPr>
        <w:t>Kwon OS</w:t>
      </w:r>
      <w:r w:rsidRPr="00D85256">
        <w:rPr>
          <w:rFonts w:ascii="Book Antiqua" w:hAnsi="Book Antiqua" w:cs="SimSun"/>
          <w:kern w:val="0"/>
          <w:sz w:val="24"/>
        </w:rPr>
        <w:t xml:space="preserve">, Park MJ, Kelly JD. Arthroscopic treatment of a PCL avulsion fracture in a skeletally immature patient. </w:t>
      </w:r>
      <w:r w:rsidRPr="00D85256">
        <w:rPr>
          <w:rFonts w:ascii="Book Antiqua" w:hAnsi="Book Antiqua" w:cs="SimSun"/>
          <w:i/>
          <w:iCs/>
          <w:kern w:val="0"/>
          <w:sz w:val="24"/>
        </w:rPr>
        <w:t>Orthopedics</w:t>
      </w:r>
      <w:r w:rsidRPr="00D85256">
        <w:rPr>
          <w:rFonts w:ascii="Book Antiqua" w:hAnsi="Book Antiqua" w:cs="SimSun"/>
          <w:kern w:val="0"/>
          <w:sz w:val="24"/>
        </w:rPr>
        <w:t xml:space="preserve"> 2011; </w:t>
      </w:r>
      <w:r w:rsidRPr="00D85256">
        <w:rPr>
          <w:rFonts w:ascii="Book Antiqua" w:hAnsi="Book Antiqua" w:cs="SimSun"/>
          <w:b/>
          <w:bCs/>
          <w:kern w:val="0"/>
          <w:sz w:val="24"/>
        </w:rPr>
        <w:t>34</w:t>
      </w:r>
      <w:r w:rsidRPr="00D85256">
        <w:rPr>
          <w:rFonts w:ascii="Book Antiqua" w:hAnsi="Book Antiqua" w:cs="SimSun"/>
          <w:kern w:val="0"/>
          <w:sz w:val="24"/>
        </w:rPr>
        <w:t>: 137 [PMID: 21323274 DOI: 10.3928/01477447-20101221-34]</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23 </w:t>
      </w:r>
      <w:r w:rsidRPr="00D85256">
        <w:rPr>
          <w:rFonts w:ascii="Book Antiqua" w:hAnsi="Book Antiqua" w:cs="SimSun"/>
          <w:b/>
          <w:bCs/>
          <w:kern w:val="0"/>
          <w:sz w:val="24"/>
        </w:rPr>
        <w:t>Ahn JH</w:t>
      </w:r>
      <w:r w:rsidRPr="00D85256">
        <w:rPr>
          <w:rFonts w:ascii="Book Antiqua" w:hAnsi="Book Antiqua" w:cs="SimSun"/>
          <w:kern w:val="0"/>
          <w:sz w:val="24"/>
        </w:rPr>
        <w:t xml:space="preserve">, Yoo JC, Lee SH. Arthroscopic loose-body removal in posterior compartment of the knee joint: a technical note. </w:t>
      </w:r>
      <w:r w:rsidRPr="00D85256">
        <w:rPr>
          <w:rFonts w:ascii="Book Antiqua" w:hAnsi="Book Antiqua" w:cs="SimSun"/>
          <w:i/>
          <w:iCs/>
          <w:kern w:val="0"/>
          <w:sz w:val="24"/>
        </w:rPr>
        <w:t>Knee Surg Sports Traumatol Arthrosc</w:t>
      </w:r>
      <w:r w:rsidRPr="00D85256">
        <w:rPr>
          <w:rFonts w:ascii="Book Antiqua" w:hAnsi="Book Antiqua" w:cs="SimSun"/>
          <w:kern w:val="0"/>
          <w:sz w:val="24"/>
        </w:rPr>
        <w:t xml:space="preserve"> 2007; </w:t>
      </w:r>
      <w:r w:rsidRPr="00D85256">
        <w:rPr>
          <w:rFonts w:ascii="Book Antiqua" w:hAnsi="Book Antiqua" w:cs="SimSun"/>
          <w:b/>
          <w:bCs/>
          <w:kern w:val="0"/>
          <w:sz w:val="24"/>
        </w:rPr>
        <w:t>15</w:t>
      </w:r>
      <w:r w:rsidRPr="00D85256">
        <w:rPr>
          <w:rFonts w:ascii="Book Antiqua" w:hAnsi="Book Antiqua" w:cs="SimSun"/>
          <w:kern w:val="0"/>
          <w:sz w:val="24"/>
        </w:rPr>
        <w:t>: 100-106 [PMID: 16972108 DOI: 10.1007/s00167-006-0098-6]</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24 </w:t>
      </w:r>
      <w:r w:rsidRPr="00D85256">
        <w:rPr>
          <w:rFonts w:ascii="Book Antiqua" w:hAnsi="Book Antiqua" w:cs="SimSun"/>
          <w:b/>
          <w:bCs/>
          <w:kern w:val="0"/>
          <w:sz w:val="24"/>
        </w:rPr>
        <w:t>Kyung BS</w:t>
      </w:r>
      <w:r w:rsidRPr="00D85256">
        <w:rPr>
          <w:rFonts w:ascii="Book Antiqua" w:hAnsi="Book Antiqua" w:cs="SimSun"/>
          <w:kern w:val="0"/>
          <w:sz w:val="24"/>
        </w:rPr>
        <w:t xml:space="preserve">, Lee SH, Han SB, Park JH, Kim CH, Lee DH. Arthroscopic treatment of synovial chondromatosis at the knee posterior septum using a trans-septal approach: report of two cases. </w:t>
      </w:r>
      <w:r w:rsidRPr="00D85256">
        <w:rPr>
          <w:rFonts w:ascii="Book Antiqua" w:hAnsi="Book Antiqua" w:cs="SimSun"/>
          <w:i/>
          <w:iCs/>
          <w:kern w:val="0"/>
          <w:sz w:val="24"/>
        </w:rPr>
        <w:t>Knee</w:t>
      </w:r>
      <w:r w:rsidRPr="00D85256">
        <w:rPr>
          <w:rFonts w:ascii="Book Antiqua" w:hAnsi="Book Antiqua" w:cs="SimSun"/>
          <w:kern w:val="0"/>
          <w:sz w:val="24"/>
        </w:rPr>
        <w:t xml:space="preserve"> 2012; </w:t>
      </w:r>
      <w:r w:rsidRPr="00D85256">
        <w:rPr>
          <w:rFonts w:ascii="Book Antiqua" w:hAnsi="Book Antiqua" w:cs="SimSun"/>
          <w:b/>
          <w:bCs/>
          <w:kern w:val="0"/>
          <w:sz w:val="24"/>
        </w:rPr>
        <w:t>19</w:t>
      </w:r>
      <w:r w:rsidRPr="00D85256">
        <w:rPr>
          <w:rFonts w:ascii="Book Antiqua" w:hAnsi="Book Antiqua" w:cs="SimSun"/>
          <w:kern w:val="0"/>
          <w:sz w:val="24"/>
        </w:rPr>
        <w:t>: 732-735 [PMID: 22104391 DOI: 10.1016/j.knee.2011.10.10.003]</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25 </w:t>
      </w:r>
      <w:r w:rsidRPr="00D85256">
        <w:rPr>
          <w:rFonts w:ascii="Book Antiqua" w:hAnsi="Book Antiqua" w:cs="SimSun"/>
          <w:b/>
          <w:bCs/>
          <w:kern w:val="0"/>
          <w:sz w:val="24"/>
        </w:rPr>
        <w:t>Lee YS</w:t>
      </w:r>
      <w:r w:rsidRPr="00D85256">
        <w:rPr>
          <w:rFonts w:ascii="Book Antiqua" w:hAnsi="Book Antiqua" w:cs="SimSun"/>
          <w:kern w:val="0"/>
          <w:sz w:val="24"/>
        </w:rPr>
        <w:t xml:space="preserve">, Ahn JH, Min BH, Nha KW. Arthroscopic loose body removal and cyst decompression using a posterior trans-septal portal in the blind spot during knee arthroscopy--technical report. </w:t>
      </w:r>
      <w:r w:rsidRPr="00D85256">
        <w:rPr>
          <w:rFonts w:ascii="Book Antiqua" w:hAnsi="Book Antiqua" w:cs="SimSun"/>
          <w:i/>
          <w:iCs/>
          <w:kern w:val="0"/>
          <w:sz w:val="24"/>
        </w:rPr>
        <w:t>Knee</w:t>
      </w:r>
      <w:r w:rsidRPr="00D85256">
        <w:rPr>
          <w:rFonts w:ascii="Book Antiqua" w:hAnsi="Book Antiqua" w:cs="SimSun"/>
          <w:kern w:val="0"/>
          <w:sz w:val="24"/>
        </w:rPr>
        <w:t xml:space="preserve"> 2011; </w:t>
      </w:r>
      <w:r w:rsidRPr="00D85256">
        <w:rPr>
          <w:rFonts w:ascii="Book Antiqua" w:hAnsi="Book Antiqua" w:cs="SimSun"/>
          <w:b/>
          <w:bCs/>
          <w:kern w:val="0"/>
          <w:sz w:val="24"/>
        </w:rPr>
        <w:t>18</w:t>
      </w:r>
      <w:r w:rsidRPr="00D85256">
        <w:rPr>
          <w:rFonts w:ascii="Book Antiqua" w:hAnsi="Book Antiqua" w:cs="SimSun"/>
          <w:kern w:val="0"/>
          <w:sz w:val="24"/>
        </w:rPr>
        <w:t>: 55-58 [PMID: 20163965 DOI: 10.1016/j.knee.2010.01.008]</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26 </w:t>
      </w:r>
      <w:r w:rsidRPr="00D85256">
        <w:rPr>
          <w:rFonts w:ascii="Book Antiqua" w:hAnsi="Book Antiqua" w:cs="SimSun"/>
          <w:b/>
          <w:bCs/>
          <w:kern w:val="0"/>
          <w:sz w:val="24"/>
        </w:rPr>
        <w:t>Pengatteeri YH</w:t>
      </w:r>
      <w:r w:rsidRPr="00D85256">
        <w:rPr>
          <w:rFonts w:ascii="Book Antiqua" w:hAnsi="Book Antiqua" w:cs="SimSun"/>
          <w:kern w:val="0"/>
          <w:sz w:val="24"/>
        </w:rPr>
        <w:t xml:space="preserve">, Park SE, Lee HK, Lee YS, Gopinathan P, Han CW. Synovial chondromatosis of the posterior cruciate ligament managed by a posterior-posterior triangulation technique. </w:t>
      </w:r>
      <w:r w:rsidRPr="00D85256">
        <w:rPr>
          <w:rFonts w:ascii="Book Antiqua" w:hAnsi="Book Antiqua" w:cs="SimSun"/>
          <w:i/>
          <w:iCs/>
          <w:kern w:val="0"/>
          <w:sz w:val="24"/>
        </w:rPr>
        <w:t>Knee Surg Sports Traumatol Arthrosc</w:t>
      </w:r>
      <w:r w:rsidRPr="00D85256">
        <w:rPr>
          <w:rFonts w:ascii="Book Antiqua" w:hAnsi="Book Antiqua" w:cs="SimSun"/>
          <w:kern w:val="0"/>
          <w:sz w:val="24"/>
        </w:rPr>
        <w:t xml:space="preserve"> 2007; </w:t>
      </w:r>
      <w:r w:rsidRPr="00D85256">
        <w:rPr>
          <w:rFonts w:ascii="Book Antiqua" w:hAnsi="Book Antiqua" w:cs="SimSun"/>
          <w:b/>
          <w:bCs/>
          <w:kern w:val="0"/>
          <w:sz w:val="24"/>
        </w:rPr>
        <w:t>15</w:t>
      </w:r>
      <w:r w:rsidRPr="00D85256">
        <w:rPr>
          <w:rFonts w:ascii="Book Antiqua" w:hAnsi="Book Antiqua" w:cs="SimSun"/>
          <w:kern w:val="0"/>
          <w:sz w:val="24"/>
        </w:rPr>
        <w:t>: 1121-1124 [PMID: 17333121 DOI: 10.1007/s00167-007-0292-1]</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27 </w:t>
      </w:r>
      <w:r w:rsidRPr="00D85256">
        <w:rPr>
          <w:rFonts w:ascii="Book Antiqua" w:hAnsi="Book Antiqua" w:cs="SimSun"/>
          <w:b/>
          <w:bCs/>
          <w:kern w:val="0"/>
          <w:sz w:val="24"/>
        </w:rPr>
        <w:t>Lakdawala A</w:t>
      </w:r>
      <w:r w:rsidRPr="00D85256">
        <w:rPr>
          <w:rFonts w:ascii="Book Antiqua" w:hAnsi="Book Antiqua" w:cs="SimSun"/>
          <w:kern w:val="0"/>
          <w:sz w:val="24"/>
        </w:rPr>
        <w:t xml:space="preserve">, El-Zebdeh M, Ireland J. Excision of a ganglion cyst from within the posterior septum of the knee--an arthroscopic technique. </w:t>
      </w:r>
      <w:r w:rsidRPr="00D85256">
        <w:rPr>
          <w:rFonts w:ascii="Book Antiqua" w:hAnsi="Book Antiqua" w:cs="SimSun"/>
          <w:i/>
          <w:iCs/>
          <w:kern w:val="0"/>
          <w:sz w:val="24"/>
        </w:rPr>
        <w:t>Knee</w:t>
      </w:r>
      <w:r w:rsidRPr="00D85256">
        <w:rPr>
          <w:rFonts w:ascii="Book Antiqua" w:hAnsi="Book Antiqua" w:cs="SimSun"/>
          <w:kern w:val="0"/>
          <w:sz w:val="24"/>
        </w:rPr>
        <w:t xml:space="preserve"> 2005; </w:t>
      </w:r>
      <w:r w:rsidRPr="00D85256">
        <w:rPr>
          <w:rFonts w:ascii="Book Antiqua" w:hAnsi="Book Antiqua" w:cs="SimSun"/>
          <w:b/>
          <w:bCs/>
          <w:kern w:val="0"/>
          <w:sz w:val="24"/>
        </w:rPr>
        <w:t>12</w:t>
      </w:r>
      <w:r w:rsidRPr="00D85256">
        <w:rPr>
          <w:rFonts w:ascii="Book Antiqua" w:hAnsi="Book Antiqua" w:cs="SimSun"/>
          <w:kern w:val="0"/>
          <w:sz w:val="24"/>
        </w:rPr>
        <w:t>: 245-247 [PMID: 15911302 DOI: 10.1016/j.knee.2004.06.013]</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28 </w:t>
      </w:r>
      <w:r w:rsidRPr="00D85256">
        <w:rPr>
          <w:rFonts w:ascii="Book Antiqua" w:hAnsi="Book Antiqua" w:cs="SimSun"/>
          <w:b/>
          <w:bCs/>
          <w:kern w:val="0"/>
          <w:sz w:val="24"/>
        </w:rPr>
        <w:t>Tsai TY</w:t>
      </w:r>
      <w:r w:rsidRPr="00D85256">
        <w:rPr>
          <w:rFonts w:ascii="Book Antiqua" w:hAnsi="Book Antiqua" w:cs="SimSun"/>
          <w:kern w:val="0"/>
          <w:sz w:val="24"/>
        </w:rPr>
        <w:t xml:space="preserve">, Yang YS, Tseng FJ, Lin KY, Liu CW, Shen HC, Lee CH, Lin LC, Pan RY. Arthroscopic excision of ganglion cysts of the posterior cruciate ligaments using posterior trans-septal portal. </w:t>
      </w:r>
      <w:r w:rsidRPr="00D85256">
        <w:rPr>
          <w:rFonts w:ascii="Book Antiqua" w:hAnsi="Book Antiqua" w:cs="SimSun"/>
          <w:i/>
          <w:iCs/>
          <w:kern w:val="0"/>
          <w:sz w:val="24"/>
        </w:rPr>
        <w:t>Arthroscopy</w:t>
      </w:r>
      <w:r w:rsidRPr="00D85256">
        <w:rPr>
          <w:rFonts w:ascii="Book Antiqua" w:hAnsi="Book Antiqua" w:cs="SimSun"/>
          <w:kern w:val="0"/>
          <w:sz w:val="24"/>
        </w:rPr>
        <w:t xml:space="preserve"> 2012; </w:t>
      </w:r>
      <w:r w:rsidRPr="00D85256">
        <w:rPr>
          <w:rFonts w:ascii="Book Antiqua" w:hAnsi="Book Antiqua" w:cs="SimSun"/>
          <w:b/>
          <w:bCs/>
          <w:kern w:val="0"/>
          <w:sz w:val="24"/>
        </w:rPr>
        <w:t>28</w:t>
      </w:r>
      <w:r w:rsidRPr="00D85256">
        <w:rPr>
          <w:rFonts w:ascii="Book Antiqua" w:hAnsi="Book Antiqua" w:cs="SimSun"/>
          <w:kern w:val="0"/>
          <w:sz w:val="24"/>
        </w:rPr>
        <w:t>: 95-99 [PMID: 22019231 DOI: 10.1016/j.arthro.2011.07.013]</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lastRenderedPageBreak/>
        <w:t xml:space="preserve">29 </w:t>
      </w:r>
      <w:r w:rsidRPr="00D85256">
        <w:rPr>
          <w:rFonts w:ascii="Book Antiqua" w:hAnsi="Book Antiqua" w:cs="SimSun"/>
          <w:b/>
          <w:bCs/>
          <w:kern w:val="0"/>
          <w:sz w:val="24"/>
        </w:rPr>
        <w:t>Yoo JH</w:t>
      </w:r>
      <w:r w:rsidRPr="00D85256">
        <w:rPr>
          <w:rFonts w:ascii="Book Antiqua" w:hAnsi="Book Antiqua" w:cs="SimSun"/>
          <w:kern w:val="0"/>
          <w:sz w:val="24"/>
        </w:rPr>
        <w:t xml:space="preserve">, Kim EH, Min KD, Lee BI. Arthroscopic excision of the ganglion in the posterior septum by posterior trans-septal portal: report of two cases. </w:t>
      </w:r>
      <w:r w:rsidRPr="00D85256">
        <w:rPr>
          <w:rFonts w:ascii="Book Antiqua" w:hAnsi="Book Antiqua" w:cs="SimSun"/>
          <w:i/>
          <w:iCs/>
          <w:kern w:val="0"/>
          <w:sz w:val="24"/>
        </w:rPr>
        <w:t>Arch Orthop Trauma Surg</w:t>
      </w:r>
      <w:r w:rsidRPr="00D85256">
        <w:rPr>
          <w:rFonts w:ascii="Book Antiqua" w:hAnsi="Book Antiqua" w:cs="SimSun"/>
          <w:kern w:val="0"/>
          <w:sz w:val="24"/>
        </w:rPr>
        <w:t xml:space="preserve"> 2009; </w:t>
      </w:r>
      <w:r w:rsidRPr="00D85256">
        <w:rPr>
          <w:rFonts w:ascii="Book Antiqua" w:hAnsi="Book Antiqua" w:cs="SimSun"/>
          <w:b/>
          <w:bCs/>
          <w:kern w:val="0"/>
          <w:sz w:val="24"/>
        </w:rPr>
        <w:t>129</w:t>
      </w:r>
      <w:r w:rsidRPr="00D85256">
        <w:rPr>
          <w:rFonts w:ascii="Book Antiqua" w:hAnsi="Book Antiqua" w:cs="SimSun"/>
          <w:kern w:val="0"/>
          <w:sz w:val="24"/>
        </w:rPr>
        <w:t>: 1047-1051 [PMID: 18654790 DOI: 10.1007/s00402-008-0703-x]</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30 </w:t>
      </w:r>
      <w:r w:rsidRPr="00D85256">
        <w:rPr>
          <w:rFonts w:ascii="Book Antiqua" w:hAnsi="Book Antiqua" w:cs="SimSun"/>
          <w:b/>
          <w:bCs/>
          <w:kern w:val="0"/>
          <w:sz w:val="24"/>
        </w:rPr>
        <w:t>Mariani PP</w:t>
      </w:r>
      <w:r w:rsidRPr="00D85256">
        <w:rPr>
          <w:rFonts w:ascii="Book Antiqua" w:hAnsi="Book Antiqua" w:cs="SimSun"/>
          <w:kern w:val="0"/>
          <w:sz w:val="24"/>
        </w:rPr>
        <w:t xml:space="preserve">. Arthroscopic release of the posterior compartments in the treatment of extension deficit of knee. </w:t>
      </w:r>
      <w:r w:rsidRPr="00D85256">
        <w:rPr>
          <w:rFonts w:ascii="Book Antiqua" w:hAnsi="Book Antiqua" w:cs="SimSun"/>
          <w:i/>
          <w:iCs/>
          <w:kern w:val="0"/>
          <w:sz w:val="24"/>
        </w:rPr>
        <w:t>Knee Surg Sports Traumatol Arthrosc</w:t>
      </w:r>
      <w:r w:rsidRPr="00D85256">
        <w:rPr>
          <w:rFonts w:ascii="Book Antiqua" w:hAnsi="Book Antiqua" w:cs="SimSun"/>
          <w:kern w:val="0"/>
          <w:sz w:val="24"/>
        </w:rPr>
        <w:t xml:space="preserve"> 2010; </w:t>
      </w:r>
      <w:r w:rsidRPr="00D85256">
        <w:rPr>
          <w:rFonts w:ascii="Book Antiqua" w:hAnsi="Book Antiqua" w:cs="SimSun"/>
          <w:b/>
          <w:bCs/>
          <w:kern w:val="0"/>
          <w:sz w:val="24"/>
        </w:rPr>
        <w:t>18</w:t>
      </w:r>
      <w:r w:rsidRPr="00D85256">
        <w:rPr>
          <w:rFonts w:ascii="Book Antiqua" w:hAnsi="Book Antiqua" w:cs="SimSun"/>
          <w:kern w:val="0"/>
          <w:sz w:val="24"/>
        </w:rPr>
        <w:t>: 736-741 [PMID: 19784629 DOI: 101007/s00167-009-0920-z]</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31 </w:t>
      </w:r>
      <w:r w:rsidRPr="00D85256">
        <w:rPr>
          <w:rFonts w:ascii="Book Antiqua" w:hAnsi="Book Antiqua" w:cs="SimSun"/>
          <w:b/>
          <w:bCs/>
          <w:kern w:val="0"/>
          <w:sz w:val="24"/>
        </w:rPr>
        <w:t>Ahn JH</w:t>
      </w:r>
      <w:r w:rsidRPr="00D85256">
        <w:rPr>
          <w:rFonts w:ascii="Book Antiqua" w:hAnsi="Book Antiqua" w:cs="SimSun"/>
          <w:kern w:val="0"/>
          <w:sz w:val="24"/>
        </w:rPr>
        <w:t xml:space="preserve">, Lee YS, Ha HC. Arthroscopic management of the postero-medial or postero-lateral capsule tear in the knee joint: technical note. </w:t>
      </w:r>
      <w:r w:rsidRPr="00D85256">
        <w:rPr>
          <w:rFonts w:ascii="Book Antiqua" w:hAnsi="Book Antiqua" w:cs="SimSun"/>
          <w:i/>
          <w:iCs/>
          <w:kern w:val="0"/>
          <w:sz w:val="24"/>
        </w:rPr>
        <w:t>Knee Surg Sports Traumatol Arthrosc</w:t>
      </w:r>
      <w:r w:rsidRPr="00D85256">
        <w:rPr>
          <w:rFonts w:ascii="Book Antiqua" w:hAnsi="Book Antiqua" w:cs="SimSun"/>
          <w:kern w:val="0"/>
          <w:sz w:val="24"/>
        </w:rPr>
        <w:t xml:space="preserve"> 2008; </w:t>
      </w:r>
      <w:r w:rsidRPr="00D85256">
        <w:rPr>
          <w:rFonts w:ascii="Book Antiqua" w:hAnsi="Book Antiqua" w:cs="SimSun"/>
          <w:b/>
          <w:bCs/>
          <w:kern w:val="0"/>
          <w:sz w:val="24"/>
        </w:rPr>
        <w:t>16</w:t>
      </w:r>
      <w:r w:rsidRPr="00D85256">
        <w:rPr>
          <w:rFonts w:ascii="Book Antiqua" w:hAnsi="Book Antiqua" w:cs="SimSun"/>
          <w:kern w:val="0"/>
          <w:sz w:val="24"/>
        </w:rPr>
        <w:t>: 24-28 [PMID: 17684728 DOI: 10.1007/s00167-007-0392-y]</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32 </w:t>
      </w:r>
      <w:r w:rsidRPr="00D85256">
        <w:rPr>
          <w:rFonts w:ascii="Book Antiqua" w:hAnsi="Book Antiqua" w:cs="SimSun"/>
          <w:b/>
          <w:bCs/>
          <w:kern w:val="0"/>
          <w:sz w:val="24"/>
        </w:rPr>
        <w:t>Landsiedl F</w:t>
      </w:r>
      <w:r w:rsidRPr="00D85256">
        <w:rPr>
          <w:rFonts w:ascii="Book Antiqua" w:hAnsi="Book Antiqua" w:cs="SimSun"/>
          <w:kern w:val="0"/>
          <w:sz w:val="24"/>
        </w:rPr>
        <w:t xml:space="preserve">, Aigner N, Hexel M, Krasny C, Schenk S, Steinböck G. A new arthroscopic technique for revision of the posterior compartment in symptomatic total knee arthroplasty. </w:t>
      </w:r>
      <w:r w:rsidRPr="00D85256">
        <w:rPr>
          <w:rFonts w:ascii="Book Antiqua" w:hAnsi="Book Antiqua" w:cs="SimSun"/>
          <w:i/>
          <w:iCs/>
          <w:kern w:val="0"/>
          <w:sz w:val="24"/>
        </w:rPr>
        <w:t>Arthroscopy</w:t>
      </w:r>
      <w:r w:rsidRPr="00D85256">
        <w:rPr>
          <w:rFonts w:ascii="Book Antiqua" w:hAnsi="Book Antiqua" w:cs="SimSun"/>
          <w:kern w:val="0"/>
          <w:sz w:val="24"/>
        </w:rPr>
        <w:t xml:space="preserve"> 2005; </w:t>
      </w:r>
      <w:r w:rsidRPr="00D85256">
        <w:rPr>
          <w:rFonts w:ascii="Book Antiqua" w:hAnsi="Book Antiqua" w:cs="SimSun"/>
          <w:b/>
          <w:bCs/>
          <w:kern w:val="0"/>
          <w:sz w:val="24"/>
        </w:rPr>
        <w:t>21</w:t>
      </w:r>
      <w:r w:rsidRPr="00D85256">
        <w:rPr>
          <w:rFonts w:ascii="Book Antiqua" w:hAnsi="Book Antiqua" w:cs="SimSun"/>
          <w:kern w:val="0"/>
          <w:sz w:val="24"/>
        </w:rPr>
        <w:t>: 506-510 [PMID: 15800534 DOI: 10.1016/j.arthro.2004.11.009]</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33 </w:t>
      </w:r>
      <w:r w:rsidRPr="00D85256">
        <w:rPr>
          <w:rFonts w:ascii="Book Antiqua" w:hAnsi="Book Antiqua" w:cs="SimSun"/>
          <w:b/>
          <w:bCs/>
          <w:kern w:val="0"/>
          <w:sz w:val="24"/>
        </w:rPr>
        <w:t>Ramos LA</w:t>
      </w:r>
      <w:r w:rsidRPr="00D85256">
        <w:rPr>
          <w:rFonts w:ascii="Book Antiqua" w:hAnsi="Book Antiqua" w:cs="SimSun"/>
          <w:kern w:val="0"/>
          <w:sz w:val="24"/>
        </w:rPr>
        <w:t xml:space="preserve">, Astur D, Novaretti JV, Ribeiro LM, Carvalho RT, Cohen M, Ingham SJ, Abdalla RJ. An anatomic study of the posterior septum of the knee. </w:t>
      </w:r>
      <w:r w:rsidRPr="00D85256">
        <w:rPr>
          <w:rFonts w:ascii="Book Antiqua" w:hAnsi="Book Antiqua" w:cs="SimSun"/>
          <w:i/>
          <w:iCs/>
          <w:kern w:val="0"/>
          <w:sz w:val="24"/>
        </w:rPr>
        <w:t>Arthroscopy</w:t>
      </w:r>
      <w:r w:rsidRPr="00D85256">
        <w:rPr>
          <w:rFonts w:ascii="Book Antiqua" w:hAnsi="Book Antiqua" w:cs="SimSun"/>
          <w:kern w:val="0"/>
          <w:sz w:val="24"/>
        </w:rPr>
        <w:t xml:space="preserve"> 2012; </w:t>
      </w:r>
      <w:r w:rsidRPr="00D85256">
        <w:rPr>
          <w:rFonts w:ascii="Book Antiqua" w:hAnsi="Book Antiqua" w:cs="SimSun"/>
          <w:b/>
          <w:bCs/>
          <w:kern w:val="0"/>
          <w:sz w:val="24"/>
        </w:rPr>
        <w:t>28</w:t>
      </w:r>
      <w:r w:rsidRPr="00D85256">
        <w:rPr>
          <w:rFonts w:ascii="Book Antiqua" w:hAnsi="Book Antiqua" w:cs="SimSun"/>
          <w:kern w:val="0"/>
          <w:sz w:val="24"/>
        </w:rPr>
        <w:t>: 100-104 [PMID: 21982388 DOI: 10.1016/j.arthro.2011.06.037]</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34 </w:t>
      </w:r>
      <w:r w:rsidRPr="00D85256">
        <w:rPr>
          <w:rFonts w:ascii="Book Antiqua" w:hAnsi="Book Antiqua" w:cs="SimSun"/>
          <w:b/>
          <w:bCs/>
          <w:kern w:val="0"/>
          <w:sz w:val="24"/>
        </w:rPr>
        <w:t>Ahn JH</w:t>
      </w:r>
      <w:r w:rsidRPr="00D85256">
        <w:rPr>
          <w:rFonts w:ascii="Book Antiqua" w:hAnsi="Book Antiqua" w:cs="SimSun"/>
          <w:kern w:val="0"/>
          <w:sz w:val="24"/>
        </w:rPr>
        <w:t xml:space="preserve">, Wang JH, Lee SH, Yoo JC, Jeon WJ. Increasing the distance between the posterior cruciate ligament and the popliteal neurovascular bundle by a limited posterior capsular release during arthroscopic transtibial posterior cruciate ligament reconstruction: a cadaveric angiographic study. </w:t>
      </w:r>
      <w:r w:rsidRPr="00D85256">
        <w:rPr>
          <w:rFonts w:ascii="Book Antiqua" w:hAnsi="Book Antiqua" w:cs="SimSun"/>
          <w:i/>
          <w:iCs/>
          <w:kern w:val="0"/>
          <w:sz w:val="24"/>
        </w:rPr>
        <w:t>Am J Sports Med</w:t>
      </w:r>
      <w:r w:rsidRPr="00D85256">
        <w:rPr>
          <w:rFonts w:ascii="Book Antiqua" w:hAnsi="Book Antiqua" w:cs="SimSun"/>
          <w:kern w:val="0"/>
          <w:sz w:val="24"/>
        </w:rPr>
        <w:t xml:space="preserve"> 2007; </w:t>
      </w:r>
      <w:r w:rsidRPr="00D85256">
        <w:rPr>
          <w:rFonts w:ascii="Book Antiqua" w:hAnsi="Book Antiqua" w:cs="SimSun"/>
          <w:b/>
          <w:bCs/>
          <w:kern w:val="0"/>
          <w:sz w:val="24"/>
        </w:rPr>
        <w:t>35</w:t>
      </w:r>
      <w:r w:rsidRPr="00D85256">
        <w:rPr>
          <w:rFonts w:ascii="Book Antiqua" w:hAnsi="Book Antiqua" w:cs="SimSun"/>
          <w:kern w:val="0"/>
          <w:sz w:val="24"/>
        </w:rPr>
        <w:t>: 787-792 [PMID: 17293460 DOI: 10.1177/0363546506297908]</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35 </w:t>
      </w:r>
      <w:r w:rsidRPr="00D85256">
        <w:rPr>
          <w:rFonts w:ascii="Book Antiqua" w:hAnsi="Book Antiqua" w:cs="SimSun"/>
          <w:b/>
          <w:bCs/>
          <w:kern w:val="0"/>
          <w:sz w:val="24"/>
        </w:rPr>
        <w:t>Cosgarea AJ</w:t>
      </w:r>
      <w:r w:rsidRPr="00D85256">
        <w:rPr>
          <w:rFonts w:ascii="Book Antiqua" w:hAnsi="Book Antiqua" w:cs="SimSun"/>
          <w:kern w:val="0"/>
          <w:sz w:val="24"/>
        </w:rPr>
        <w:t xml:space="preserve">, Kramer DE, Bahk MS, Totty WG, Matava MJ. Proximity of the popliteal artery to the PCL during simulated knee arthroscopy: implications for establishing the posterior trans-septal portal. </w:t>
      </w:r>
      <w:r w:rsidRPr="00D85256">
        <w:rPr>
          <w:rFonts w:ascii="Book Antiqua" w:hAnsi="Book Antiqua" w:cs="SimSun"/>
          <w:i/>
          <w:iCs/>
          <w:kern w:val="0"/>
          <w:sz w:val="24"/>
        </w:rPr>
        <w:t>J Knee Surg</w:t>
      </w:r>
      <w:r w:rsidRPr="00D85256">
        <w:rPr>
          <w:rFonts w:ascii="Book Antiqua" w:hAnsi="Book Antiqua" w:cs="SimSun"/>
          <w:kern w:val="0"/>
          <w:sz w:val="24"/>
        </w:rPr>
        <w:t xml:space="preserve"> 2006; </w:t>
      </w:r>
      <w:r w:rsidRPr="00D85256">
        <w:rPr>
          <w:rFonts w:ascii="Book Antiqua" w:hAnsi="Book Antiqua" w:cs="SimSun"/>
          <w:b/>
          <w:bCs/>
          <w:kern w:val="0"/>
          <w:sz w:val="24"/>
        </w:rPr>
        <w:t>19</w:t>
      </w:r>
      <w:r w:rsidRPr="00D85256">
        <w:rPr>
          <w:rFonts w:ascii="Book Antiqua" w:hAnsi="Book Antiqua" w:cs="SimSun"/>
          <w:kern w:val="0"/>
          <w:sz w:val="24"/>
        </w:rPr>
        <w:t>: 181-185 [PMID: 16893156]</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36 </w:t>
      </w:r>
      <w:r w:rsidRPr="00D85256">
        <w:rPr>
          <w:rFonts w:ascii="Book Antiqua" w:hAnsi="Book Antiqua" w:cs="SimSun"/>
          <w:b/>
          <w:bCs/>
          <w:kern w:val="0"/>
          <w:sz w:val="24"/>
        </w:rPr>
        <w:t>Makridis KG</w:t>
      </w:r>
      <w:r w:rsidRPr="00D85256">
        <w:rPr>
          <w:rFonts w:ascii="Book Antiqua" w:hAnsi="Book Antiqua" w:cs="SimSun"/>
          <w:kern w:val="0"/>
          <w:sz w:val="24"/>
        </w:rPr>
        <w:t xml:space="preserve">, Wajsfisz A, Agrawal N, Basdekis G, Djian P. Neurovascular anatomic relationships to arthroscopic posterior and transseptal portals in different knee positions. </w:t>
      </w:r>
      <w:r w:rsidRPr="00D85256">
        <w:rPr>
          <w:rFonts w:ascii="Book Antiqua" w:hAnsi="Book Antiqua" w:cs="SimSun"/>
          <w:i/>
          <w:iCs/>
          <w:kern w:val="0"/>
          <w:sz w:val="24"/>
        </w:rPr>
        <w:t>Am J Sports Med</w:t>
      </w:r>
      <w:r w:rsidRPr="00D85256">
        <w:rPr>
          <w:rFonts w:ascii="Book Antiqua" w:hAnsi="Book Antiqua" w:cs="SimSun"/>
          <w:kern w:val="0"/>
          <w:sz w:val="24"/>
        </w:rPr>
        <w:t xml:space="preserve"> 2013; </w:t>
      </w:r>
      <w:r w:rsidRPr="00D85256">
        <w:rPr>
          <w:rFonts w:ascii="Book Antiqua" w:hAnsi="Book Antiqua" w:cs="SimSun"/>
          <w:b/>
          <w:bCs/>
          <w:kern w:val="0"/>
          <w:sz w:val="24"/>
        </w:rPr>
        <w:t>41</w:t>
      </w:r>
      <w:r w:rsidRPr="00D85256">
        <w:rPr>
          <w:rFonts w:ascii="Book Antiqua" w:hAnsi="Book Antiqua" w:cs="SimSun"/>
          <w:kern w:val="0"/>
          <w:sz w:val="24"/>
        </w:rPr>
        <w:t>: 1559-1564 [PMID: 23818438 DOI: 10.1177/0363546513492704]</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37 </w:t>
      </w:r>
      <w:r w:rsidRPr="00D85256">
        <w:rPr>
          <w:rFonts w:ascii="Book Antiqua" w:hAnsi="Book Antiqua" w:cs="SimSun"/>
          <w:b/>
          <w:bCs/>
          <w:kern w:val="0"/>
          <w:sz w:val="24"/>
        </w:rPr>
        <w:t>Kim SJ</w:t>
      </w:r>
      <w:r w:rsidRPr="00D85256">
        <w:rPr>
          <w:rFonts w:ascii="Book Antiqua" w:hAnsi="Book Antiqua" w:cs="SimSun"/>
          <w:kern w:val="0"/>
          <w:sz w:val="24"/>
        </w:rPr>
        <w:t xml:space="preserve">, Song HT, Moon HK, Chun YM, Chang WH. The safe establishment of a transseptal portal in the posterior knee. </w:t>
      </w:r>
      <w:r w:rsidRPr="00D85256">
        <w:rPr>
          <w:rFonts w:ascii="Book Antiqua" w:hAnsi="Book Antiqua" w:cs="SimSun"/>
          <w:i/>
          <w:iCs/>
          <w:kern w:val="0"/>
          <w:sz w:val="24"/>
        </w:rPr>
        <w:t>Knee Surg Sports Traumatol Arthrosc</w:t>
      </w:r>
      <w:r w:rsidRPr="00D85256">
        <w:rPr>
          <w:rFonts w:ascii="Book Antiqua" w:hAnsi="Book Antiqua" w:cs="SimSun"/>
          <w:kern w:val="0"/>
          <w:sz w:val="24"/>
        </w:rPr>
        <w:t xml:space="preserve"> 2011; </w:t>
      </w:r>
      <w:r w:rsidRPr="00D85256">
        <w:rPr>
          <w:rFonts w:ascii="Book Antiqua" w:hAnsi="Book Antiqua" w:cs="SimSun"/>
          <w:b/>
          <w:bCs/>
          <w:kern w:val="0"/>
          <w:sz w:val="24"/>
        </w:rPr>
        <w:t>19</w:t>
      </w:r>
      <w:r w:rsidRPr="00D85256">
        <w:rPr>
          <w:rFonts w:ascii="Book Antiqua" w:hAnsi="Book Antiqua" w:cs="SimSun"/>
          <w:kern w:val="0"/>
          <w:sz w:val="24"/>
        </w:rPr>
        <w:t>: 1320-1325 [PMID: 21311859 DOI: 10.1007/s00167-011-1429-9]</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lastRenderedPageBreak/>
        <w:t xml:space="preserve">38 </w:t>
      </w:r>
      <w:r w:rsidRPr="00D85256">
        <w:rPr>
          <w:rFonts w:ascii="Book Antiqua" w:hAnsi="Book Antiqua" w:cs="SimSun"/>
          <w:b/>
          <w:bCs/>
          <w:kern w:val="0"/>
          <w:sz w:val="24"/>
        </w:rPr>
        <w:t>Ahn JH</w:t>
      </w:r>
      <w:r w:rsidRPr="00D85256">
        <w:rPr>
          <w:rFonts w:ascii="Book Antiqua" w:hAnsi="Book Antiqua" w:cs="SimSun"/>
          <w:kern w:val="0"/>
          <w:sz w:val="24"/>
        </w:rPr>
        <w:t xml:space="preserve">, Lee SH, Jung HJ, Koo KH, Kim SH. The relationship of neural structures to arthroscopic posterior portals according to knee positioning. </w:t>
      </w:r>
      <w:r w:rsidRPr="00D85256">
        <w:rPr>
          <w:rFonts w:ascii="Book Antiqua" w:hAnsi="Book Antiqua" w:cs="SimSun"/>
          <w:i/>
          <w:iCs/>
          <w:kern w:val="0"/>
          <w:sz w:val="24"/>
        </w:rPr>
        <w:t>Knee Surg Sports Traumatol Arthrosc</w:t>
      </w:r>
      <w:r w:rsidRPr="00D85256">
        <w:rPr>
          <w:rFonts w:ascii="Book Antiqua" w:hAnsi="Book Antiqua" w:cs="SimSun"/>
          <w:kern w:val="0"/>
          <w:sz w:val="24"/>
        </w:rPr>
        <w:t xml:space="preserve"> 2011; </w:t>
      </w:r>
      <w:r w:rsidRPr="00D85256">
        <w:rPr>
          <w:rFonts w:ascii="Book Antiqua" w:hAnsi="Book Antiqua" w:cs="SimSun"/>
          <w:b/>
          <w:bCs/>
          <w:kern w:val="0"/>
          <w:sz w:val="24"/>
        </w:rPr>
        <w:t>19</w:t>
      </w:r>
      <w:r w:rsidRPr="00D85256">
        <w:rPr>
          <w:rFonts w:ascii="Book Antiqua" w:hAnsi="Book Antiqua" w:cs="SimSun"/>
          <w:kern w:val="0"/>
          <w:sz w:val="24"/>
        </w:rPr>
        <w:t>: 646-652 [PMID: 21153546 DOI: 10.1007/s00167-010-1326-7]</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39 </w:t>
      </w:r>
      <w:r w:rsidRPr="00D85256">
        <w:rPr>
          <w:rFonts w:ascii="Book Antiqua" w:hAnsi="Book Antiqua" w:cs="SimSun"/>
          <w:b/>
          <w:bCs/>
          <w:kern w:val="0"/>
          <w:sz w:val="24"/>
        </w:rPr>
        <w:t>Dickens JF</w:t>
      </w:r>
      <w:r w:rsidRPr="00D85256">
        <w:rPr>
          <w:rFonts w:ascii="Book Antiqua" w:hAnsi="Book Antiqua" w:cs="SimSun"/>
          <w:kern w:val="0"/>
          <w:sz w:val="24"/>
        </w:rPr>
        <w:t xml:space="preserve">, Kilcoyne K, Kluk M, Rue JP. The posterolateral corner: surgical approach and technique overview. </w:t>
      </w:r>
      <w:r w:rsidRPr="00D85256">
        <w:rPr>
          <w:rFonts w:ascii="Book Antiqua" w:hAnsi="Book Antiqua" w:cs="SimSun"/>
          <w:i/>
          <w:iCs/>
          <w:kern w:val="0"/>
          <w:sz w:val="24"/>
        </w:rPr>
        <w:t>J Knee Surg</w:t>
      </w:r>
      <w:r w:rsidRPr="00D85256">
        <w:rPr>
          <w:rFonts w:ascii="Book Antiqua" w:hAnsi="Book Antiqua" w:cs="SimSun"/>
          <w:kern w:val="0"/>
          <w:sz w:val="24"/>
        </w:rPr>
        <w:t xml:space="preserve"> 2011; </w:t>
      </w:r>
      <w:r w:rsidRPr="00D85256">
        <w:rPr>
          <w:rFonts w:ascii="Book Antiqua" w:hAnsi="Book Antiqua" w:cs="SimSun"/>
          <w:b/>
          <w:bCs/>
          <w:kern w:val="0"/>
          <w:sz w:val="24"/>
        </w:rPr>
        <w:t>24</w:t>
      </w:r>
      <w:r w:rsidRPr="00D85256">
        <w:rPr>
          <w:rFonts w:ascii="Book Antiqua" w:hAnsi="Book Antiqua" w:cs="SimSun"/>
          <w:kern w:val="0"/>
          <w:sz w:val="24"/>
        </w:rPr>
        <w:t>: 151-158 [PMID: 21980874 DOI: 10.1055/s-0031-1284727]</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40 </w:t>
      </w:r>
      <w:r w:rsidRPr="00D85256">
        <w:rPr>
          <w:rFonts w:ascii="Book Antiqua" w:hAnsi="Book Antiqua" w:cs="SimSun"/>
          <w:b/>
          <w:bCs/>
          <w:kern w:val="0"/>
          <w:sz w:val="24"/>
        </w:rPr>
        <w:t>McGinnis MD</w:t>
      </w:r>
      <w:r w:rsidRPr="00D85256">
        <w:rPr>
          <w:rFonts w:ascii="Book Antiqua" w:hAnsi="Book Antiqua" w:cs="SimSun"/>
          <w:kern w:val="0"/>
          <w:sz w:val="24"/>
        </w:rPr>
        <w:t xml:space="preserve">, Gonzalez R, Nyland J, Caborn DN. The posteromedial knee arthroscopy portal: a cadaveric study defining a safety zone for portal placement. </w:t>
      </w:r>
      <w:r w:rsidRPr="00D85256">
        <w:rPr>
          <w:rFonts w:ascii="Book Antiqua" w:hAnsi="Book Antiqua" w:cs="SimSun"/>
          <w:i/>
          <w:iCs/>
          <w:kern w:val="0"/>
          <w:sz w:val="24"/>
        </w:rPr>
        <w:t>Arthroscopy</w:t>
      </w:r>
      <w:r w:rsidRPr="00D85256">
        <w:rPr>
          <w:rFonts w:ascii="Book Antiqua" w:hAnsi="Book Antiqua" w:cs="SimSun"/>
          <w:kern w:val="0"/>
          <w:sz w:val="24"/>
        </w:rPr>
        <w:t xml:space="preserve"> 2011; </w:t>
      </w:r>
      <w:r w:rsidRPr="00D85256">
        <w:rPr>
          <w:rFonts w:ascii="Book Antiqua" w:hAnsi="Book Antiqua" w:cs="SimSun"/>
          <w:b/>
          <w:bCs/>
          <w:kern w:val="0"/>
          <w:sz w:val="24"/>
        </w:rPr>
        <w:t>27</w:t>
      </w:r>
      <w:r w:rsidRPr="00D85256">
        <w:rPr>
          <w:rFonts w:ascii="Book Antiqua" w:hAnsi="Book Antiqua" w:cs="SimSun"/>
          <w:kern w:val="0"/>
          <w:sz w:val="24"/>
        </w:rPr>
        <w:t>: 1090-1095 [PMID: 21620634 DOI: 10.1016/j.arthro.2011.02.031]</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41 </w:t>
      </w:r>
      <w:r w:rsidRPr="00D85256">
        <w:rPr>
          <w:rFonts w:ascii="Book Antiqua" w:hAnsi="Book Antiqua" w:cs="SimSun"/>
          <w:b/>
          <w:bCs/>
          <w:kern w:val="0"/>
          <w:sz w:val="24"/>
        </w:rPr>
        <w:t>Pace JL</w:t>
      </w:r>
      <w:r w:rsidRPr="00D85256">
        <w:rPr>
          <w:rFonts w:ascii="Book Antiqua" w:hAnsi="Book Antiqua" w:cs="SimSun"/>
          <w:kern w:val="0"/>
          <w:sz w:val="24"/>
        </w:rPr>
        <w:t xml:space="preserve">, Wahl CJ. Arthroscopy of the posterior knee compartments: neurovascular anatomic relationships during arthroscopic transverse capsulotomy. </w:t>
      </w:r>
      <w:r w:rsidRPr="00D85256">
        <w:rPr>
          <w:rFonts w:ascii="Book Antiqua" w:hAnsi="Book Antiqua" w:cs="SimSun"/>
          <w:i/>
          <w:iCs/>
          <w:kern w:val="0"/>
          <w:sz w:val="24"/>
        </w:rPr>
        <w:t>Arthroscopy</w:t>
      </w:r>
      <w:r w:rsidRPr="00D85256">
        <w:rPr>
          <w:rFonts w:ascii="Book Antiqua" w:hAnsi="Book Antiqua" w:cs="SimSun"/>
          <w:kern w:val="0"/>
          <w:sz w:val="24"/>
        </w:rPr>
        <w:t xml:space="preserve"> 2010; </w:t>
      </w:r>
      <w:r w:rsidRPr="00D85256">
        <w:rPr>
          <w:rFonts w:ascii="Book Antiqua" w:hAnsi="Book Antiqua" w:cs="SimSun"/>
          <w:b/>
          <w:bCs/>
          <w:kern w:val="0"/>
          <w:sz w:val="24"/>
        </w:rPr>
        <w:t>26</w:t>
      </w:r>
      <w:r w:rsidRPr="00D85256">
        <w:rPr>
          <w:rFonts w:ascii="Book Antiqua" w:hAnsi="Book Antiqua" w:cs="SimSun"/>
          <w:kern w:val="0"/>
          <w:sz w:val="24"/>
        </w:rPr>
        <w:t>: 637-642 [PMID: 20434661 DOI: 10.1016/j.arthro.2009.09.009]</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42 </w:t>
      </w:r>
      <w:r w:rsidRPr="00D85256">
        <w:rPr>
          <w:rFonts w:ascii="Book Antiqua" w:hAnsi="Book Antiqua" w:cs="SimSun"/>
          <w:b/>
          <w:bCs/>
          <w:kern w:val="0"/>
          <w:sz w:val="24"/>
        </w:rPr>
        <w:t>Ohishi T</w:t>
      </w:r>
      <w:r w:rsidRPr="00D85256">
        <w:rPr>
          <w:rFonts w:ascii="Book Antiqua" w:hAnsi="Book Antiqua" w:cs="SimSun"/>
          <w:kern w:val="0"/>
          <w:sz w:val="24"/>
        </w:rPr>
        <w:t xml:space="preserve">, Fujita T, Suzuki D, Yamamoto K, Ushirozako H, Matsuyama Y. Arthroscopic debridement of the posterior compartment of the knee after total knee arthroplasty. </w:t>
      </w:r>
      <w:r w:rsidRPr="00D85256">
        <w:rPr>
          <w:rFonts w:ascii="Book Antiqua" w:hAnsi="Book Antiqua" w:cs="SimSun"/>
          <w:i/>
          <w:iCs/>
          <w:kern w:val="0"/>
          <w:sz w:val="24"/>
        </w:rPr>
        <w:t>Case Rep Orthop</w:t>
      </w:r>
      <w:r w:rsidRPr="00D85256">
        <w:rPr>
          <w:rFonts w:ascii="Book Antiqua" w:hAnsi="Book Antiqua" w:cs="SimSun"/>
          <w:kern w:val="0"/>
          <w:sz w:val="24"/>
        </w:rPr>
        <w:t xml:space="preserve"> 2014; </w:t>
      </w:r>
      <w:r w:rsidRPr="00D85256">
        <w:rPr>
          <w:rFonts w:ascii="Book Antiqua" w:hAnsi="Book Antiqua" w:cs="SimSun"/>
          <w:b/>
          <w:bCs/>
          <w:kern w:val="0"/>
          <w:sz w:val="24"/>
        </w:rPr>
        <w:t>2014</w:t>
      </w:r>
      <w:r w:rsidRPr="00D85256">
        <w:rPr>
          <w:rFonts w:ascii="Book Antiqua" w:hAnsi="Book Antiqua" w:cs="SimSun"/>
          <w:kern w:val="0"/>
          <w:sz w:val="24"/>
        </w:rPr>
        <w:t>: 568417 [PMID: 25202462 DOI: 10.1155/2014/568417]</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43 </w:t>
      </w:r>
      <w:r w:rsidRPr="00D85256">
        <w:rPr>
          <w:rFonts w:ascii="Book Antiqua" w:hAnsi="Book Antiqua" w:cs="SimSun"/>
          <w:b/>
          <w:kern w:val="0"/>
          <w:sz w:val="24"/>
        </w:rPr>
        <w:t xml:space="preserve">Ohishi T, </w:t>
      </w:r>
      <w:r w:rsidRPr="00D85256">
        <w:rPr>
          <w:rFonts w:ascii="Book Antiqua" w:hAnsi="Book Antiqua" w:cs="SimSun"/>
          <w:kern w:val="0"/>
          <w:sz w:val="24"/>
        </w:rPr>
        <w:t>Ichikawa T, Miyagi M, Irisawa H, Nagano A.</w:t>
      </w:r>
      <w:bookmarkStart w:id="14" w:name="OLE_LINK5"/>
      <w:bookmarkStart w:id="15" w:name="OLE_LINK6"/>
      <w:r w:rsidRPr="00D85256">
        <w:rPr>
          <w:rFonts w:ascii="Book Antiqua" w:hAnsi="Book Antiqua" w:cs="SimSun"/>
          <w:kern w:val="0"/>
          <w:sz w:val="24"/>
        </w:rPr>
        <w:t xml:space="preserve"> Gouty synovitis of the knee with partial hypoxanthine-guanine phosphoribosyl transferase deficiency (Kelley-Seegmiller syndrome): A case report</w:t>
      </w:r>
      <w:bookmarkEnd w:id="14"/>
      <w:bookmarkEnd w:id="15"/>
      <w:r w:rsidRPr="00D85256">
        <w:rPr>
          <w:rFonts w:ascii="Book Antiqua" w:hAnsi="Book Antiqua" w:cs="SimSun"/>
          <w:kern w:val="0"/>
          <w:sz w:val="24"/>
        </w:rPr>
        <w:t>.</w:t>
      </w:r>
      <w:r w:rsidRPr="00D85256">
        <w:rPr>
          <w:rFonts w:ascii="Book Antiqua" w:hAnsi="Book Antiqua" w:cs="SimSun"/>
          <w:i/>
          <w:kern w:val="0"/>
          <w:sz w:val="24"/>
        </w:rPr>
        <w:t xml:space="preserve"> J Rural Med</w:t>
      </w:r>
      <w:r w:rsidRPr="00D85256">
        <w:rPr>
          <w:rFonts w:ascii="Book Antiqua" w:hAnsi="Book Antiqua" w:cs="SimSun"/>
          <w:kern w:val="0"/>
          <w:sz w:val="24"/>
        </w:rPr>
        <w:t xml:space="preserve"> 2009; </w:t>
      </w:r>
      <w:r w:rsidRPr="00D85256">
        <w:rPr>
          <w:rFonts w:ascii="Book Antiqua" w:hAnsi="Book Antiqua" w:cs="SimSun"/>
          <w:b/>
          <w:kern w:val="0"/>
          <w:sz w:val="24"/>
        </w:rPr>
        <w:t>4</w:t>
      </w:r>
      <w:r w:rsidRPr="00D85256">
        <w:rPr>
          <w:rFonts w:ascii="Book Antiqua" w:hAnsi="Book Antiqua" w:cs="SimSun"/>
          <w:kern w:val="0"/>
          <w:sz w:val="24"/>
        </w:rPr>
        <w:t>: 80-83 [DOI: 10.2185/jrm.4.80]</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44 </w:t>
      </w:r>
      <w:r w:rsidRPr="00D85256">
        <w:rPr>
          <w:rFonts w:ascii="Book Antiqua" w:hAnsi="Book Antiqua" w:cs="SimSun"/>
          <w:b/>
          <w:bCs/>
          <w:kern w:val="0"/>
          <w:sz w:val="24"/>
        </w:rPr>
        <w:t>Ohishi T</w:t>
      </w:r>
      <w:r w:rsidRPr="00D85256">
        <w:rPr>
          <w:rFonts w:ascii="Book Antiqua" w:hAnsi="Book Antiqua" w:cs="SimSun"/>
          <w:kern w:val="0"/>
          <w:sz w:val="24"/>
        </w:rPr>
        <w:t xml:space="preserve">, Suzuki D, Yamamoto K, Banno T, Shimizu Y, Ohmura A, Matsuyama Y. Meniscal pullout repair following meniscal ossicle resection: a case report. </w:t>
      </w:r>
      <w:r w:rsidRPr="00D85256">
        <w:rPr>
          <w:rFonts w:ascii="Book Antiqua" w:hAnsi="Book Antiqua" w:cs="SimSun"/>
          <w:i/>
          <w:iCs/>
          <w:kern w:val="0"/>
          <w:sz w:val="24"/>
        </w:rPr>
        <w:t>Knee</w:t>
      </w:r>
      <w:r w:rsidRPr="00D85256">
        <w:rPr>
          <w:rFonts w:ascii="Book Antiqua" w:hAnsi="Book Antiqua" w:cs="SimSun"/>
          <w:kern w:val="0"/>
          <w:sz w:val="24"/>
        </w:rPr>
        <w:t xml:space="preserve"> 2013; </w:t>
      </w:r>
      <w:r w:rsidRPr="00D85256">
        <w:rPr>
          <w:rFonts w:ascii="Book Antiqua" w:hAnsi="Book Antiqua" w:cs="SimSun"/>
          <w:b/>
          <w:bCs/>
          <w:kern w:val="0"/>
          <w:sz w:val="24"/>
        </w:rPr>
        <w:t>20</w:t>
      </w:r>
      <w:r w:rsidRPr="00D85256">
        <w:rPr>
          <w:rFonts w:ascii="Book Antiqua" w:hAnsi="Book Antiqua" w:cs="SimSun"/>
          <w:kern w:val="0"/>
          <w:sz w:val="24"/>
        </w:rPr>
        <w:t>: 52-57 [PMID: 22781211 DOI: 10.1016/j.knee.2012.06.006]</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45 </w:t>
      </w:r>
      <w:r w:rsidRPr="00D85256">
        <w:rPr>
          <w:rFonts w:ascii="Book Antiqua" w:hAnsi="Book Antiqua" w:cs="SimSun"/>
          <w:b/>
          <w:bCs/>
          <w:kern w:val="0"/>
          <w:sz w:val="24"/>
        </w:rPr>
        <w:t>Ohishi T</w:t>
      </w:r>
      <w:r w:rsidRPr="00D85256">
        <w:rPr>
          <w:rFonts w:ascii="Book Antiqua" w:hAnsi="Book Antiqua" w:cs="SimSun"/>
          <w:kern w:val="0"/>
          <w:sz w:val="24"/>
        </w:rPr>
        <w:t xml:space="preserve">, Takahashi M, Matsuyama Y. Osteochondritis dissecans with a large osteochondral free body in the posterolateral compartment of the knee: a case report. </w:t>
      </w:r>
      <w:r w:rsidRPr="00D85256">
        <w:rPr>
          <w:rFonts w:ascii="Book Antiqua" w:hAnsi="Book Antiqua" w:cs="SimSun"/>
          <w:i/>
          <w:iCs/>
          <w:kern w:val="0"/>
          <w:sz w:val="24"/>
        </w:rPr>
        <w:t>Knee</w:t>
      </w:r>
      <w:r w:rsidRPr="00D85256">
        <w:rPr>
          <w:rFonts w:ascii="Book Antiqua" w:hAnsi="Book Antiqua" w:cs="SimSun"/>
          <w:kern w:val="0"/>
          <w:sz w:val="24"/>
        </w:rPr>
        <w:t xml:space="preserve"> 2014; </w:t>
      </w:r>
      <w:r w:rsidRPr="00D85256">
        <w:rPr>
          <w:rFonts w:ascii="Book Antiqua" w:hAnsi="Book Antiqua" w:cs="SimSun"/>
          <w:b/>
          <w:bCs/>
          <w:kern w:val="0"/>
          <w:sz w:val="24"/>
        </w:rPr>
        <w:t>21</w:t>
      </w:r>
      <w:r w:rsidRPr="00D85256">
        <w:rPr>
          <w:rFonts w:ascii="Book Antiqua" w:hAnsi="Book Antiqua" w:cs="SimSun"/>
          <w:kern w:val="0"/>
          <w:sz w:val="24"/>
        </w:rPr>
        <w:t>: 620-623 [PMID: 24331030 DOI: 10.1016/j.knee.2013.11.005]</w:t>
      </w:r>
    </w:p>
    <w:p w:rsidR="00464F4B" w:rsidRPr="00D85256" w:rsidRDefault="00464F4B" w:rsidP="00464F4B">
      <w:pPr>
        <w:widowControl/>
        <w:spacing w:line="360" w:lineRule="auto"/>
        <w:rPr>
          <w:rFonts w:ascii="Book Antiqua" w:hAnsi="Book Antiqua" w:cs="SimSun"/>
          <w:kern w:val="0"/>
          <w:sz w:val="24"/>
        </w:rPr>
      </w:pPr>
      <w:r w:rsidRPr="00D85256">
        <w:rPr>
          <w:rFonts w:ascii="Book Antiqua" w:hAnsi="Book Antiqua" w:cs="SimSun"/>
          <w:kern w:val="0"/>
          <w:sz w:val="24"/>
        </w:rPr>
        <w:t xml:space="preserve">46 </w:t>
      </w:r>
      <w:r w:rsidRPr="00D85256">
        <w:rPr>
          <w:rFonts w:ascii="Book Antiqua" w:hAnsi="Book Antiqua" w:cs="SimSun"/>
          <w:b/>
          <w:kern w:val="0"/>
          <w:sz w:val="24"/>
        </w:rPr>
        <w:t xml:space="preserve">Ohishi T, </w:t>
      </w:r>
      <w:r w:rsidRPr="00D85256">
        <w:rPr>
          <w:rFonts w:ascii="Book Antiqua" w:hAnsi="Book Antiqua" w:cs="SimSun"/>
          <w:kern w:val="0"/>
          <w:sz w:val="24"/>
        </w:rPr>
        <w:t xml:space="preserve">Takahashi M, Suzuki D, Fujita T, Yamamoto K, Ushirozako H, Banno T, Matsuyama Y. Treatment of popliteal cysts via arthroscopic enlargement of unidirectional valvular slits. </w:t>
      </w:r>
      <w:r w:rsidRPr="00D85256">
        <w:rPr>
          <w:rFonts w:ascii="Book Antiqua" w:hAnsi="Book Antiqua" w:cs="SimSun"/>
          <w:i/>
          <w:iCs/>
          <w:kern w:val="0"/>
          <w:sz w:val="24"/>
        </w:rPr>
        <w:t>Mod Rheumatol</w:t>
      </w:r>
      <w:r w:rsidRPr="00D85256">
        <w:rPr>
          <w:rFonts w:ascii="Book Antiqua" w:hAnsi="Book Antiqua" w:cs="SimSun"/>
          <w:kern w:val="0"/>
          <w:sz w:val="24"/>
        </w:rPr>
        <w:t xml:space="preserve"> 2015; 1-7 [PMID: 25661740 DOI: 10.3109/14397595.2015.1008779]</w:t>
      </w:r>
    </w:p>
    <w:p w:rsidR="00464F4B" w:rsidRPr="00D85256" w:rsidRDefault="00464F4B" w:rsidP="00464F4B">
      <w:pPr>
        <w:spacing w:line="360" w:lineRule="auto"/>
        <w:rPr>
          <w:rFonts w:ascii="Book Antiqua" w:hAnsi="Book Antiqua" w:cs="SimSun"/>
          <w:kern w:val="0"/>
          <w:sz w:val="24"/>
        </w:rPr>
      </w:pPr>
      <w:r w:rsidRPr="00D85256">
        <w:rPr>
          <w:rFonts w:ascii="Book Antiqua" w:hAnsi="Book Antiqua" w:cs="SimSun"/>
          <w:kern w:val="0"/>
          <w:sz w:val="24"/>
        </w:rPr>
        <w:lastRenderedPageBreak/>
        <w:t xml:space="preserve">47 </w:t>
      </w:r>
      <w:r w:rsidRPr="00D85256">
        <w:rPr>
          <w:rFonts w:ascii="Book Antiqua" w:hAnsi="Book Antiqua" w:cs="SimSun"/>
          <w:b/>
          <w:bCs/>
          <w:kern w:val="0"/>
          <w:sz w:val="24"/>
        </w:rPr>
        <w:t>Ohishi T</w:t>
      </w:r>
      <w:r w:rsidRPr="00D85256">
        <w:rPr>
          <w:rFonts w:ascii="Book Antiqua" w:hAnsi="Book Antiqua" w:cs="SimSun"/>
          <w:kern w:val="0"/>
          <w:sz w:val="24"/>
        </w:rPr>
        <w:t xml:space="preserve">, Torikai E, Suzuki D, Banno T, Honda Y. Arthroscopic treatment of a medial meniscal cyst using a posterior trans-septal approach: a case report. </w:t>
      </w:r>
      <w:r w:rsidRPr="00D85256">
        <w:rPr>
          <w:rFonts w:ascii="Book Antiqua" w:hAnsi="Book Antiqua" w:cs="SimSun"/>
          <w:i/>
          <w:iCs/>
          <w:kern w:val="0"/>
          <w:sz w:val="24"/>
        </w:rPr>
        <w:t>Sports Med Arthrosc Rehabil Ther Technol</w:t>
      </w:r>
      <w:r w:rsidRPr="00D85256">
        <w:rPr>
          <w:rFonts w:ascii="Book Antiqua" w:hAnsi="Book Antiqua" w:cs="SimSun"/>
          <w:kern w:val="0"/>
          <w:sz w:val="24"/>
        </w:rPr>
        <w:t xml:space="preserve"> 2010; </w:t>
      </w:r>
      <w:r w:rsidRPr="00D85256">
        <w:rPr>
          <w:rFonts w:ascii="Book Antiqua" w:hAnsi="Book Antiqua" w:cs="SimSun"/>
          <w:b/>
          <w:bCs/>
          <w:kern w:val="0"/>
          <w:sz w:val="24"/>
        </w:rPr>
        <w:t>2</w:t>
      </w:r>
      <w:r w:rsidRPr="00D85256">
        <w:rPr>
          <w:rFonts w:ascii="Book Antiqua" w:hAnsi="Book Antiqua" w:cs="SimSun"/>
          <w:kern w:val="0"/>
          <w:sz w:val="24"/>
        </w:rPr>
        <w:t>: 25 [PMID: 20939883 DOI: 10.1186/1758-2555-2-25]</w:t>
      </w:r>
    </w:p>
    <w:p w:rsidR="00464F4B" w:rsidRPr="00D85256" w:rsidRDefault="00464F4B" w:rsidP="00464F4B">
      <w:pPr>
        <w:wordWrap w:val="0"/>
        <w:adjustRightInd w:val="0"/>
        <w:snapToGrid w:val="0"/>
        <w:spacing w:line="360" w:lineRule="auto"/>
        <w:ind w:right="239"/>
        <w:jc w:val="right"/>
        <w:rPr>
          <w:rFonts w:ascii="Book Antiqua" w:hAnsi="Book Antiqua"/>
          <w:bCs/>
          <w:sz w:val="24"/>
          <w:lang w:val="en-GB"/>
        </w:rPr>
      </w:pPr>
      <w:r w:rsidRPr="00D85256">
        <w:rPr>
          <w:rStyle w:val="Strong"/>
          <w:rFonts w:ascii="Book Antiqua" w:hAnsi="Book Antiqua" w:cs="Arial"/>
          <w:noProof/>
          <w:sz w:val="24"/>
          <w:lang w:val="en-GB"/>
        </w:rPr>
        <w:t>P-Reviewer:</w:t>
      </w:r>
      <w:r w:rsidRPr="00D85256">
        <w:rPr>
          <w:rFonts w:ascii="Book Antiqua" w:hAnsi="Book Antiqua"/>
          <w:color w:val="000000"/>
          <w:sz w:val="24"/>
          <w:lang w:val="en-GB"/>
        </w:rPr>
        <w:t xml:space="preserve"> Angoules A, Camera A, Robertson GA, von Heideken J</w:t>
      </w:r>
    </w:p>
    <w:p w:rsidR="00464F4B" w:rsidRPr="00D85256" w:rsidRDefault="00464F4B" w:rsidP="00464F4B">
      <w:pPr>
        <w:adjustRightInd w:val="0"/>
        <w:snapToGrid w:val="0"/>
        <w:spacing w:line="360" w:lineRule="auto"/>
        <w:ind w:right="239"/>
        <w:jc w:val="right"/>
        <w:rPr>
          <w:rFonts w:ascii="Book Antiqua" w:hAnsi="Book Antiqua"/>
          <w:b/>
          <w:bCs/>
          <w:sz w:val="24"/>
          <w:lang w:val="en-GB"/>
        </w:rPr>
      </w:pPr>
      <w:r w:rsidRPr="00D85256">
        <w:rPr>
          <w:rFonts w:ascii="Book Antiqua" w:hAnsi="Book Antiqua"/>
          <w:b/>
          <w:bCs/>
          <w:sz w:val="24"/>
          <w:lang w:val="en-GB"/>
        </w:rPr>
        <w:t>S-Editor:</w:t>
      </w:r>
      <w:r w:rsidRPr="00D85256">
        <w:rPr>
          <w:rFonts w:ascii="Book Antiqua" w:hAnsi="Book Antiqua"/>
          <w:bCs/>
          <w:sz w:val="24"/>
          <w:lang w:val="en-GB"/>
        </w:rPr>
        <w:t xml:space="preserve"> Tian YL</w:t>
      </w:r>
      <w:r w:rsidRPr="00D85256">
        <w:rPr>
          <w:rFonts w:ascii="Book Antiqua" w:hAnsi="Book Antiqua"/>
          <w:b/>
          <w:bCs/>
          <w:sz w:val="24"/>
          <w:lang w:val="en-GB"/>
        </w:rPr>
        <w:t xml:space="preserve"> </w:t>
      </w:r>
      <w:r w:rsidRPr="00D85256">
        <w:rPr>
          <w:rFonts w:ascii="Book Antiqua" w:hAnsi="Book Antiqua"/>
          <w:b/>
          <w:bCs/>
          <w:sz w:val="24"/>
        </w:rPr>
        <w:t>L-Editor:   E-Editor:</w:t>
      </w:r>
    </w:p>
    <w:p w:rsidR="00464F4B" w:rsidRPr="00D85256" w:rsidRDefault="00464F4B" w:rsidP="00464F4B">
      <w:pPr>
        <w:spacing w:line="360" w:lineRule="auto"/>
        <w:rPr>
          <w:rFonts w:ascii="Book Antiqua" w:hAnsi="Book Antiqua"/>
          <w:b/>
          <w:color w:val="000000" w:themeColor="text1"/>
          <w:sz w:val="24"/>
        </w:rPr>
      </w:pPr>
    </w:p>
    <w:p w:rsidR="00154154" w:rsidRPr="00D85256" w:rsidRDefault="00154154" w:rsidP="009622AB">
      <w:pPr>
        <w:numPr>
          <w:ilvl w:val="0"/>
          <w:numId w:val="1"/>
        </w:numPr>
        <w:spacing w:line="360" w:lineRule="auto"/>
        <w:ind w:leftChars="-67" w:left="-141" w:firstLine="0"/>
        <w:rPr>
          <w:rFonts w:ascii="Book Antiqua" w:hAnsi="Book Antiqua"/>
          <w:color w:val="000000" w:themeColor="text1"/>
          <w:sz w:val="24"/>
        </w:rPr>
      </w:pPr>
      <w:r w:rsidRPr="00D85256">
        <w:rPr>
          <w:rFonts w:ascii="Book Antiqua" w:eastAsia="BatangChe" w:hAnsi="Book Antiqua"/>
          <w:color w:val="000000" w:themeColor="text1"/>
          <w:sz w:val="24"/>
        </w:rPr>
        <w:br w:type="page"/>
      </w:r>
    </w:p>
    <w:p w:rsidR="009622AB" w:rsidRPr="00D85256" w:rsidRDefault="009622AB" w:rsidP="009622AB">
      <w:pPr>
        <w:spacing w:line="360" w:lineRule="auto"/>
        <w:rPr>
          <w:rFonts w:ascii="Book Antiqua" w:hAnsi="Book Antiqua"/>
          <w:color w:val="000000" w:themeColor="text1"/>
          <w:sz w:val="24"/>
        </w:rPr>
      </w:pPr>
      <w:r w:rsidRPr="00D85256">
        <w:rPr>
          <w:rFonts w:ascii="Book Antiqua" w:hAnsi="Book Antiqua"/>
          <w:noProof/>
          <w:sz w:val="24"/>
        </w:rPr>
        <w:lastRenderedPageBreak/>
        <w:drawing>
          <wp:inline distT="0" distB="0" distL="0" distR="0" wp14:anchorId="5AD0740C" wp14:editId="0A00E69A">
            <wp:extent cx="2711067" cy="26544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12360" cy="2655755"/>
                    </a:xfrm>
                    <a:prstGeom prst="rect">
                      <a:avLst/>
                    </a:prstGeom>
                  </pic:spPr>
                </pic:pic>
              </a:graphicData>
            </a:graphic>
          </wp:inline>
        </w:drawing>
      </w:r>
    </w:p>
    <w:p w:rsidR="00154154" w:rsidRPr="00D85256" w:rsidRDefault="009622AB"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 xml:space="preserve">Figure 1 </w:t>
      </w:r>
      <w:r w:rsidR="00154154" w:rsidRPr="00D85256">
        <w:rPr>
          <w:rFonts w:ascii="Book Antiqua" w:hAnsi="Book Antiqua"/>
          <w:b/>
          <w:color w:val="000000" w:themeColor="text1"/>
          <w:sz w:val="24"/>
        </w:rPr>
        <w:t xml:space="preserve">Axial image of double contrast arthrography of the knee. </w:t>
      </w:r>
      <w:r w:rsidR="00154154" w:rsidRPr="00D85256">
        <w:rPr>
          <w:rFonts w:ascii="Book Antiqua" w:hAnsi="Book Antiqua"/>
          <w:color w:val="000000" w:themeColor="text1"/>
          <w:sz w:val="24"/>
        </w:rPr>
        <w:t xml:space="preserve">The white arrow indicates a posterior septum that borders the posterior cruciate ligament anteriorly and posterior capsule posteriorly. Note that posteromedial compartment is larger than posterolateral compartment. LFC: </w:t>
      </w:r>
      <w:r w:rsidRPr="00D85256">
        <w:rPr>
          <w:rFonts w:ascii="Book Antiqua" w:hAnsi="Book Antiqua"/>
          <w:color w:val="000000" w:themeColor="text1"/>
          <w:sz w:val="24"/>
        </w:rPr>
        <w:t xml:space="preserve">Lateral </w:t>
      </w:r>
      <w:r w:rsidR="00154154" w:rsidRPr="00D85256">
        <w:rPr>
          <w:rFonts w:ascii="Book Antiqua" w:hAnsi="Book Antiqua"/>
          <w:color w:val="000000" w:themeColor="text1"/>
          <w:sz w:val="24"/>
        </w:rPr>
        <w:t>femoral condyle</w:t>
      </w:r>
      <w:r w:rsidRPr="00D85256">
        <w:rPr>
          <w:rFonts w:ascii="Book Antiqua" w:hAnsi="Book Antiqua"/>
          <w:color w:val="000000" w:themeColor="text1"/>
          <w:sz w:val="24"/>
        </w:rPr>
        <w:t>;</w:t>
      </w:r>
      <w:r w:rsidR="00154154" w:rsidRPr="00D85256">
        <w:rPr>
          <w:rFonts w:ascii="Book Antiqua" w:hAnsi="Book Antiqua"/>
          <w:color w:val="000000" w:themeColor="text1"/>
          <w:sz w:val="24"/>
        </w:rPr>
        <w:t xml:space="preserve"> MFC: </w:t>
      </w:r>
      <w:r w:rsidRPr="00D85256">
        <w:rPr>
          <w:rFonts w:ascii="Book Antiqua" w:hAnsi="Book Antiqua"/>
          <w:color w:val="000000" w:themeColor="text1"/>
          <w:sz w:val="24"/>
        </w:rPr>
        <w:t xml:space="preserve">Medial </w:t>
      </w:r>
      <w:r w:rsidR="00154154" w:rsidRPr="00D85256">
        <w:rPr>
          <w:rFonts w:ascii="Book Antiqua" w:hAnsi="Book Antiqua"/>
          <w:color w:val="000000" w:themeColor="text1"/>
          <w:sz w:val="24"/>
        </w:rPr>
        <w:t>femoral condyle.</w:t>
      </w:r>
    </w:p>
    <w:p w:rsidR="00154154" w:rsidRPr="00D85256" w:rsidRDefault="009622AB" w:rsidP="009622AB">
      <w:pPr>
        <w:spacing w:line="360" w:lineRule="auto"/>
        <w:rPr>
          <w:rFonts w:ascii="Book Antiqua" w:hAnsi="Book Antiqua"/>
          <w:color w:val="000000" w:themeColor="text1"/>
          <w:sz w:val="24"/>
        </w:rPr>
      </w:pPr>
      <w:r w:rsidRPr="00D85256">
        <w:rPr>
          <w:rFonts w:ascii="Book Antiqua" w:hAnsi="Book Antiqua"/>
          <w:noProof/>
          <w:sz w:val="24"/>
        </w:rPr>
        <w:drawing>
          <wp:inline distT="0" distB="0" distL="0" distR="0" wp14:anchorId="5F9B472F" wp14:editId="6306BA7A">
            <wp:extent cx="4606120" cy="3213089"/>
            <wp:effectExtent l="0" t="0" r="444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06120" cy="3213089"/>
                    </a:xfrm>
                    <a:prstGeom prst="rect">
                      <a:avLst/>
                    </a:prstGeom>
                  </pic:spPr>
                </pic:pic>
              </a:graphicData>
            </a:graphic>
          </wp:inline>
        </w:drawing>
      </w:r>
    </w:p>
    <w:p w:rsidR="00154154" w:rsidRPr="00D85256" w:rsidRDefault="009622AB"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 xml:space="preserve">Figure 2 </w:t>
      </w:r>
      <w:r w:rsidR="00154154" w:rsidRPr="00D85256">
        <w:rPr>
          <w:rFonts w:ascii="Book Antiqua" w:hAnsi="Book Antiqua"/>
          <w:b/>
          <w:color w:val="000000" w:themeColor="text1"/>
          <w:sz w:val="24"/>
        </w:rPr>
        <w:t xml:space="preserve">Sagittal images of double contrast arthrography at the levels of the medial (A) and lateral (B) femoral condyle of the knee. </w:t>
      </w:r>
      <w:r w:rsidR="00154154" w:rsidRPr="00D85256">
        <w:rPr>
          <w:rFonts w:ascii="Book Antiqua" w:hAnsi="Book Antiqua"/>
          <w:color w:val="000000" w:themeColor="text1"/>
          <w:sz w:val="24"/>
        </w:rPr>
        <w:t xml:space="preserve">Posteromedial (A) and posterolateral (B) sites are indicated by asterisks (*). The portal site is surrounded by important structures. MCL: </w:t>
      </w:r>
      <w:r w:rsidR="000F7997" w:rsidRPr="00D85256">
        <w:rPr>
          <w:rFonts w:ascii="Book Antiqua" w:hAnsi="Book Antiqua"/>
          <w:color w:val="000000" w:themeColor="text1"/>
          <w:sz w:val="24"/>
        </w:rPr>
        <w:t xml:space="preserve">Medial </w:t>
      </w:r>
      <w:r w:rsidR="00154154" w:rsidRPr="00D85256">
        <w:rPr>
          <w:rFonts w:ascii="Book Antiqua" w:hAnsi="Book Antiqua"/>
          <w:color w:val="000000" w:themeColor="text1"/>
          <w:sz w:val="24"/>
        </w:rPr>
        <w:t>collateral ligament</w:t>
      </w:r>
      <w:r w:rsidR="0020057E">
        <w:rPr>
          <w:rFonts w:ascii="Book Antiqua" w:hAnsi="Book Antiqua" w:hint="eastAsia"/>
          <w:color w:val="000000" w:themeColor="text1"/>
          <w:sz w:val="24"/>
        </w:rPr>
        <w:t>;</w:t>
      </w:r>
      <w:r w:rsidR="00154154" w:rsidRPr="00D85256">
        <w:rPr>
          <w:rFonts w:ascii="Book Antiqua" w:hAnsi="Book Antiqua"/>
          <w:color w:val="000000" w:themeColor="text1"/>
          <w:sz w:val="24"/>
        </w:rPr>
        <w:t xml:space="preserve"> MGM: </w:t>
      </w:r>
      <w:r w:rsidR="00E37774" w:rsidRPr="00D85256">
        <w:rPr>
          <w:rFonts w:ascii="Book Antiqua" w:hAnsi="Book Antiqua"/>
          <w:color w:val="000000" w:themeColor="text1"/>
          <w:sz w:val="24"/>
        </w:rPr>
        <w:t xml:space="preserve">Medial </w:t>
      </w:r>
      <w:r w:rsidR="00154154" w:rsidRPr="00D85256">
        <w:rPr>
          <w:rFonts w:ascii="Book Antiqua" w:hAnsi="Book Antiqua"/>
          <w:color w:val="000000" w:themeColor="text1"/>
          <w:sz w:val="24"/>
        </w:rPr>
        <w:t>head of the gastrocnemius muscle</w:t>
      </w:r>
      <w:r w:rsidR="00F96E3F">
        <w:rPr>
          <w:rFonts w:ascii="Book Antiqua" w:hAnsi="Book Antiqua" w:hint="eastAsia"/>
          <w:color w:val="000000" w:themeColor="text1"/>
          <w:sz w:val="24"/>
        </w:rPr>
        <w:t>;</w:t>
      </w:r>
      <w:r w:rsidR="00154154" w:rsidRPr="00D85256">
        <w:rPr>
          <w:rFonts w:ascii="Book Antiqua" w:hAnsi="Book Antiqua"/>
          <w:color w:val="000000" w:themeColor="text1"/>
          <w:sz w:val="24"/>
        </w:rPr>
        <w:t xml:space="preserve"> </w:t>
      </w:r>
      <w:r w:rsidR="00154154" w:rsidRPr="00D85256">
        <w:rPr>
          <w:rFonts w:ascii="Book Antiqua" w:hAnsi="Book Antiqua"/>
          <w:color w:val="000000" w:themeColor="text1"/>
          <w:sz w:val="24"/>
        </w:rPr>
        <w:lastRenderedPageBreak/>
        <w:t xml:space="preserve">HAM: </w:t>
      </w:r>
      <w:r w:rsidR="00464F4B" w:rsidRPr="00D85256">
        <w:rPr>
          <w:rFonts w:ascii="Book Antiqua" w:hAnsi="Book Antiqua"/>
          <w:color w:val="000000" w:themeColor="text1"/>
          <w:sz w:val="24"/>
        </w:rPr>
        <w:t>Hamstrings;</w:t>
      </w:r>
      <w:r w:rsidR="00154154" w:rsidRPr="00D85256">
        <w:rPr>
          <w:rFonts w:ascii="Book Antiqua" w:hAnsi="Book Antiqua"/>
          <w:color w:val="000000" w:themeColor="text1"/>
          <w:sz w:val="24"/>
        </w:rPr>
        <w:t xml:space="preserve"> SN: </w:t>
      </w:r>
      <w:r w:rsidR="00464F4B" w:rsidRPr="00D85256">
        <w:rPr>
          <w:rFonts w:ascii="Book Antiqua" w:hAnsi="Book Antiqua"/>
          <w:color w:val="000000" w:themeColor="text1"/>
          <w:sz w:val="24"/>
        </w:rPr>
        <w:t xml:space="preserve">Saphenous </w:t>
      </w:r>
      <w:r w:rsidR="00154154" w:rsidRPr="00D85256">
        <w:rPr>
          <w:rFonts w:ascii="Book Antiqua" w:hAnsi="Book Antiqua"/>
          <w:color w:val="000000" w:themeColor="text1"/>
          <w:sz w:val="24"/>
        </w:rPr>
        <w:t>nerve</w:t>
      </w:r>
      <w:r w:rsidR="00464F4B" w:rsidRPr="00D85256">
        <w:rPr>
          <w:rFonts w:ascii="Book Antiqua" w:hAnsi="Book Antiqua"/>
          <w:color w:val="000000" w:themeColor="text1"/>
          <w:sz w:val="24"/>
        </w:rPr>
        <w:t>;</w:t>
      </w:r>
      <w:r w:rsidR="00154154" w:rsidRPr="00D85256">
        <w:rPr>
          <w:rFonts w:ascii="Book Antiqua" w:hAnsi="Book Antiqua"/>
          <w:color w:val="000000" w:themeColor="text1"/>
          <w:sz w:val="24"/>
        </w:rPr>
        <w:t xml:space="preserve"> LCL: </w:t>
      </w:r>
      <w:r w:rsidR="00464F4B" w:rsidRPr="00D85256">
        <w:rPr>
          <w:rFonts w:ascii="Book Antiqua" w:hAnsi="Book Antiqua"/>
          <w:color w:val="000000" w:themeColor="text1"/>
          <w:sz w:val="24"/>
        </w:rPr>
        <w:t xml:space="preserve">Lateral </w:t>
      </w:r>
      <w:r w:rsidR="00154154" w:rsidRPr="00D85256">
        <w:rPr>
          <w:rFonts w:ascii="Book Antiqua" w:hAnsi="Book Antiqua"/>
          <w:color w:val="000000" w:themeColor="text1"/>
          <w:sz w:val="24"/>
        </w:rPr>
        <w:t>collateral ligament</w:t>
      </w:r>
      <w:r w:rsidR="00464F4B" w:rsidRPr="00D85256">
        <w:rPr>
          <w:rFonts w:ascii="Book Antiqua" w:hAnsi="Book Antiqua"/>
          <w:color w:val="000000" w:themeColor="text1"/>
          <w:sz w:val="24"/>
        </w:rPr>
        <w:t>;</w:t>
      </w:r>
      <w:r w:rsidR="00154154" w:rsidRPr="00D85256">
        <w:rPr>
          <w:rFonts w:ascii="Book Antiqua" w:hAnsi="Book Antiqua"/>
          <w:color w:val="000000" w:themeColor="text1"/>
          <w:sz w:val="24"/>
        </w:rPr>
        <w:t xml:space="preserve"> PT: </w:t>
      </w:r>
      <w:r w:rsidR="00464F4B" w:rsidRPr="00D85256">
        <w:rPr>
          <w:rFonts w:ascii="Book Antiqua" w:hAnsi="Book Antiqua"/>
          <w:color w:val="000000" w:themeColor="text1"/>
          <w:sz w:val="24"/>
        </w:rPr>
        <w:t xml:space="preserve">Popliteus </w:t>
      </w:r>
      <w:r w:rsidR="00154154" w:rsidRPr="00D85256">
        <w:rPr>
          <w:rFonts w:ascii="Book Antiqua" w:hAnsi="Book Antiqua"/>
          <w:color w:val="000000" w:themeColor="text1"/>
          <w:sz w:val="24"/>
        </w:rPr>
        <w:t>tendon</w:t>
      </w:r>
      <w:r w:rsidR="00464F4B" w:rsidRPr="00D85256">
        <w:rPr>
          <w:rFonts w:ascii="Book Antiqua" w:hAnsi="Book Antiqua"/>
          <w:color w:val="000000" w:themeColor="text1"/>
          <w:sz w:val="24"/>
        </w:rPr>
        <w:t>;</w:t>
      </w:r>
      <w:r w:rsidR="00154154" w:rsidRPr="00D85256">
        <w:rPr>
          <w:rFonts w:ascii="Book Antiqua" w:hAnsi="Book Antiqua"/>
          <w:color w:val="000000" w:themeColor="text1"/>
          <w:sz w:val="24"/>
        </w:rPr>
        <w:t xml:space="preserve"> BF: </w:t>
      </w:r>
      <w:r w:rsidR="00464F4B" w:rsidRPr="00D85256">
        <w:rPr>
          <w:rFonts w:ascii="Book Antiqua" w:hAnsi="Book Antiqua"/>
          <w:color w:val="000000" w:themeColor="text1"/>
          <w:sz w:val="24"/>
        </w:rPr>
        <w:t xml:space="preserve">Biceps </w:t>
      </w:r>
      <w:r w:rsidR="00154154" w:rsidRPr="00D85256">
        <w:rPr>
          <w:rFonts w:ascii="Book Antiqua" w:hAnsi="Book Antiqua"/>
          <w:color w:val="000000" w:themeColor="text1"/>
          <w:sz w:val="24"/>
        </w:rPr>
        <w:t>femoris</w:t>
      </w:r>
      <w:r w:rsidR="00464F4B" w:rsidRPr="00D85256">
        <w:rPr>
          <w:rFonts w:ascii="Book Antiqua" w:hAnsi="Book Antiqua"/>
          <w:color w:val="000000" w:themeColor="text1"/>
          <w:sz w:val="24"/>
        </w:rPr>
        <w:t>;</w:t>
      </w:r>
      <w:r w:rsidR="00154154" w:rsidRPr="00D85256">
        <w:rPr>
          <w:rFonts w:ascii="Book Antiqua" w:hAnsi="Book Antiqua"/>
          <w:color w:val="000000" w:themeColor="text1"/>
          <w:sz w:val="24"/>
        </w:rPr>
        <w:t xml:space="preserve"> CPN: </w:t>
      </w:r>
      <w:r w:rsidR="00464F4B" w:rsidRPr="00D85256">
        <w:rPr>
          <w:rFonts w:ascii="Book Antiqua" w:hAnsi="Book Antiqua"/>
          <w:color w:val="000000" w:themeColor="text1"/>
          <w:sz w:val="24"/>
        </w:rPr>
        <w:t xml:space="preserve">Common </w:t>
      </w:r>
      <w:r w:rsidR="00154154" w:rsidRPr="00D85256">
        <w:rPr>
          <w:rFonts w:ascii="Book Antiqua" w:hAnsi="Book Antiqua"/>
          <w:color w:val="000000" w:themeColor="text1"/>
          <w:sz w:val="24"/>
        </w:rPr>
        <w:t xml:space="preserve">peroneal nerve. </w:t>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noProof/>
          <w:sz w:val="24"/>
        </w:rPr>
        <w:drawing>
          <wp:inline distT="0" distB="0" distL="0" distR="0" wp14:anchorId="142CC373" wp14:editId="1452C030">
            <wp:extent cx="4333548" cy="3214048"/>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35729" cy="3215666"/>
                    </a:xfrm>
                    <a:prstGeom prst="rect">
                      <a:avLst/>
                    </a:prstGeom>
                  </pic:spPr>
                </pic:pic>
              </a:graphicData>
            </a:graphic>
          </wp:inline>
        </w:drawing>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 xml:space="preserve">Figure 3 </w:t>
      </w:r>
      <w:r w:rsidR="00154154" w:rsidRPr="00D85256">
        <w:rPr>
          <w:rFonts w:ascii="Book Antiqua" w:hAnsi="Book Antiqua"/>
          <w:b/>
          <w:color w:val="000000" w:themeColor="text1"/>
          <w:sz w:val="24"/>
        </w:rPr>
        <w:t xml:space="preserve">Arthroscopic view of the posteromedial (A) and posterolateral (B) compartment through the intercondylar notch from the anterolateral (A) and anteromedial (B) portals. </w:t>
      </w:r>
      <w:r w:rsidR="00154154" w:rsidRPr="00D85256">
        <w:rPr>
          <w:rFonts w:ascii="Book Antiqua" w:hAnsi="Book Antiqua"/>
          <w:color w:val="000000" w:themeColor="text1"/>
          <w:sz w:val="24"/>
        </w:rPr>
        <w:t xml:space="preserve">A 23-gauge spinal needle is inserted just posterior to the medial (A) and lateral (B) femoral condyle at 5 mm above the tibial articular surface. PM: </w:t>
      </w:r>
      <w:r w:rsidRPr="00D85256">
        <w:rPr>
          <w:rFonts w:ascii="Book Antiqua" w:hAnsi="Book Antiqua"/>
          <w:color w:val="000000" w:themeColor="text1"/>
          <w:sz w:val="24"/>
        </w:rPr>
        <w:t>Posteromedial;</w:t>
      </w:r>
      <w:r w:rsidR="00154154" w:rsidRPr="00D85256">
        <w:rPr>
          <w:rFonts w:ascii="Book Antiqua" w:hAnsi="Book Antiqua"/>
          <w:color w:val="000000" w:themeColor="text1"/>
          <w:sz w:val="24"/>
        </w:rPr>
        <w:t xml:space="preserve"> PL: </w:t>
      </w:r>
      <w:r w:rsidRPr="00D85256">
        <w:rPr>
          <w:rFonts w:ascii="Book Antiqua" w:hAnsi="Book Antiqua"/>
          <w:color w:val="000000" w:themeColor="text1"/>
          <w:sz w:val="24"/>
        </w:rPr>
        <w:t>Posterolateral;</w:t>
      </w:r>
      <w:r w:rsidR="00154154" w:rsidRPr="00D85256">
        <w:rPr>
          <w:rFonts w:ascii="Book Antiqua" w:hAnsi="Book Antiqua"/>
          <w:color w:val="000000" w:themeColor="text1"/>
          <w:sz w:val="24"/>
        </w:rPr>
        <w:t xml:space="preserve"> MFC: </w:t>
      </w:r>
      <w:r w:rsidRPr="00D85256">
        <w:rPr>
          <w:rFonts w:ascii="Book Antiqua" w:hAnsi="Book Antiqua"/>
          <w:color w:val="000000" w:themeColor="text1"/>
          <w:sz w:val="24"/>
        </w:rPr>
        <w:t xml:space="preserve">Medial </w:t>
      </w:r>
      <w:r w:rsidR="00154154" w:rsidRPr="00D85256">
        <w:rPr>
          <w:rFonts w:ascii="Book Antiqua" w:hAnsi="Book Antiqua"/>
          <w:color w:val="000000" w:themeColor="text1"/>
          <w:sz w:val="24"/>
        </w:rPr>
        <w:t>femoral condyle</w:t>
      </w:r>
      <w:r w:rsidRPr="00D85256">
        <w:rPr>
          <w:rFonts w:ascii="Book Antiqua" w:hAnsi="Book Antiqua"/>
          <w:color w:val="000000" w:themeColor="text1"/>
          <w:sz w:val="24"/>
        </w:rPr>
        <w:t>;</w:t>
      </w:r>
      <w:r w:rsidR="00154154" w:rsidRPr="00D85256">
        <w:rPr>
          <w:rFonts w:ascii="Book Antiqua" w:hAnsi="Book Antiqua"/>
          <w:color w:val="000000" w:themeColor="text1"/>
          <w:sz w:val="24"/>
        </w:rPr>
        <w:t xml:space="preserve"> LFC</w:t>
      </w:r>
      <w:r w:rsidRPr="00D85256">
        <w:rPr>
          <w:rFonts w:ascii="Book Antiqua" w:hAnsi="Book Antiqua"/>
          <w:color w:val="000000" w:themeColor="text1"/>
          <w:sz w:val="24"/>
        </w:rPr>
        <w:t>:</w:t>
      </w:r>
      <w:r w:rsidR="00154154" w:rsidRPr="00D85256">
        <w:rPr>
          <w:rFonts w:ascii="Book Antiqua" w:hAnsi="Book Antiqua"/>
          <w:color w:val="000000" w:themeColor="text1"/>
          <w:sz w:val="24"/>
        </w:rPr>
        <w:t xml:space="preserve"> </w:t>
      </w:r>
      <w:r w:rsidRPr="00D85256">
        <w:rPr>
          <w:rFonts w:ascii="Book Antiqua" w:hAnsi="Book Antiqua"/>
          <w:color w:val="000000" w:themeColor="text1"/>
          <w:sz w:val="24"/>
        </w:rPr>
        <w:t xml:space="preserve">Lateral </w:t>
      </w:r>
      <w:r w:rsidR="00154154" w:rsidRPr="00D85256">
        <w:rPr>
          <w:rFonts w:ascii="Book Antiqua" w:hAnsi="Book Antiqua"/>
          <w:color w:val="000000" w:themeColor="text1"/>
          <w:sz w:val="24"/>
        </w:rPr>
        <w:t>femoral condyle. (Permission for reproduction was obtained from Nankodo Co., Ltd.).</w:t>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noProof/>
          <w:sz w:val="24"/>
        </w:rPr>
        <w:drawing>
          <wp:inline distT="0" distB="0" distL="0" distR="0" wp14:anchorId="45A3A7C3" wp14:editId="3267B1C4">
            <wp:extent cx="3317591" cy="238835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17591" cy="2388358"/>
                    </a:xfrm>
                    <a:prstGeom prst="rect">
                      <a:avLst/>
                    </a:prstGeom>
                  </pic:spPr>
                </pic:pic>
              </a:graphicData>
            </a:graphic>
          </wp:inline>
        </w:drawing>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 xml:space="preserve">Figure 4 Rod </w:t>
      </w:r>
      <w:r w:rsidR="00154154" w:rsidRPr="00D85256">
        <w:rPr>
          <w:rFonts w:ascii="Book Antiqua" w:hAnsi="Book Antiqua"/>
          <w:b/>
          <w:color w:val="000000" w:themeColor="text1"/>
          <w:sz w:val="24"/>
        </w:rPr>
        <w:t xml:space="preserve">with a sheath is inserted from the posterolateral portal. </w:t>
      </w:r>
      <w:r w:rsidR="00154154" w:rsidRPr="00D85256">
        <w:rPr>
          <w:rFonts w:ascii="Book Antiqua" w:hAnsi="Book Antiqua"/>
          <w:color w:val="000000" w:themeColor="text1"/>
          <w:sz w:val="24"/>
        </w:rPr>
        <w:t xml:space="preserve">The camera head of the 30-degree arthroscope is turned toward the septum so that the operator can </w:t>
      </w:r>
      <w:r w:rsidR="00154154" w:rsidRPr="00D85256">
        <w:rPr>
          <w:rFonts w:ascii="Book Antiqua" w:hAnsi="Book Antiqua"/>
          <w:color w:val="000000" w:themeColor="text1"/>
          <w:sz w:val="24"/>
        </w:rPr>
        <w:lastRenderedPageBreak/>
        <w:t xml:space="preserve">confirm attachment of the tip of the rod to the septum (white star). PL: </w:t>
      </w:r>
      <w:r w:rsidRPr="00D85256">
        <w:rPr>
          <w:rFonts w:ascii="Book Antiqua" w:hAnsi="Book Antiqua"/>
          <w:color w:val="000000" w:themeColor="text1"/>
          <w:sz w:val="24"/>
        </w:rPr>
        <w:t>Posterolateral</w:t>
      </w:r>
      <w:r w:rsidR="00154154" w:rsidRPr="00D85256">
        <w:rPr>
          <w:rFonts w:ascii="Book Antiqua" w:hAnsi="Book Antiqua"/>
          <w:color w:val="000000" w:themeColor="text1"/>
          <w:sz w:val="24"/>
        </w:rPr>
        <w:t>. (Permission for reproduction was obtained from Nankodo Co., Ltd.).</w:t>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noProof/>
          <w:sz w:val="24"/>
        </w:rPr>
        <w:drawing>
          <wp:inline distT="0" distB="0" distL="0" distR="0" wp14:anchorId="4F1B8272" wp14:editId="6D682BE0">
            <wp:extent cx="5486400" cy="4038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038600"/>
                    </a:xfrm>
                    <a:prstGeom prst="rect">
                      <a:avLst/>
                    </a:prstGeom>
                  </pic:spPr>
                </pic:pic>
              </a:graphicData>
            </a:graphic>
          </wp:inline>
        </w:drawing>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 xml:space="preserve">Figure 5 </w:t>
      </w:r>
      <w:r w:rsidR="00154154" w:rsidRPr="00D85256">
        <w:rPr>
          <w:rFonts w:ascii="Book Antiqua" w:hAnsi="Book Antiqua"/>
          <w:b/>
          <w:color w:val="000000" w:themeColor="text1"/>
          <w:sz w:val="24"/>
        </w:rPr>
        <w:t>Arthroscopic views from the posteromedial portal. While maintaining a view of the medial side of the septum using an arthroscope introduced through the posteromedial portal, 1.5-mm (A) and 3.0-mm Kirschner wires (B) are pushed sequentially to the septum through the sheath from the posterolateral portal</w:t>
      </w:r>
      <w:r w:rsidRPr="00D85256">
        <w:rPr>
          <w:rFonts w:ascii="Book Antiqua" w:hAnsi="Book Antiqua"/>
          <w:b/>
          <w:color w:val="000000" w:themeColor="text1"/>
          <w:sz w:val="24"/>
        </w:rPr>
        <w:t>,</w:t>
      </w:r>
      <w:r w:rsidR="00154154" w:rsidRPr="00D85256">
        <w:rPr>
          <w:rFonts w:ascii="Book Antiqua" w:hAnsi="Book Antiqua"/>
          <w:b/>
          <w:color w:val="000000" w:themeColor="text1"/>
          <w:sz w:val="24"/>
        </w:rPr>
        <w:t xml:space="preserve"> </w:t>
      </w:r>
      <w:r w:rsidRPr="00D85256">
        <w:rPr>
          <w:rFonts w:ascii="Book Antiqua" w:hAnsi="Book Antiqua"/>
          <w:b/>
          <w:color w:val="000000" w:themeColor="text1"/>
          <w:sz w:val="24"/>
        </w:rPr>
        <w:t>f</w:t>
      </w:r>
      <w:r w:rsidR="00154154" w:rsidRPr="00D85256">
        <w:rPr>
          <w:rFonts w:ascii="Book Antiqua" w:hAnsi="Book Antiqua"/>
          <w:b/>
          <w:color w:val="000000" w:themeColor="text1"/>
          <w:sz w:val="24"/>
        </w:rPr>
        <w:t>inally, a 4.0-mm switching rod is passed through the septum (C).</w:t>
      </w:r>
      <w:r w:rsidR="00154154" w:rsidRPr="00D85256">
        <w:rPr>
          <w:rFonts w:ascii="Book Antiqua" w:hAnsi="Book Antiqua"/>
          <w:color w:val="000000" w:themeColor="text1"/>
          <w:sz w:val="24"/>
        </w:rPr>
        <w:t xml:space="preserve"> PM: </w:t>
      </w:r>
      <w:r w:rsidRPr="00D85256">
        <w:rPr>
          <w:rFonts w:ascii="Book Antiqua" w:hAnsi="Book Antiqua"/>
          <w:color w:val="000000" w:themeColor="text1"/>
          <w:sz w:val="24"/>
        </w:rPr>
        <w:t>Posteromedial;</w:t>
      </w:r>
      <w:r w:rsidR="00154154" w:rsidRPr="00D85256">
        <w:rPr>
          <w:rFonts w:ascii="Book Antiqua" w:hAnsi="Book Antiqua"/>
          <w:color w:val="000000" w:themeColor="text1"/>
          <w:sz w:val="24"/>
        </w:rPr>
        <w:t xml:space="preserve"> PL: </w:t>
      </w:r>
      <w:r w:rsidRPr="00D85256">
        <w:rPr>
          <w:rFonts w:ascii="Book Antiqua" w:hAnsi="Book Antiqua"/>
          <w:color w:val="000000" w:themeColor="text1"/>
          <w:sz w:val="24"/>
        </w:rPr>
        <w:t>Posterolateral</w:t>
      </w:r>
      <w:r w:rsidR="00154154" w:rsidRPr="00D85256">
        <w:rPr>
          <w:rFonts w:ascii="Book Antiqua" w:hAnsi="Book Antiqua"/>
          <w:color w:val="000000" w:themeColor="text1"/>
          <w:sz w:val="24"/>
        </w:rPr>
        <w:t>. (Permission for reproduction was obtained from Nankodo Co., Ltd.).</w:t>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noProof/>
          <w:sz w:val="24"/>
        </w:rPr>
        <w:lastRenderedPageBreak/>
        <w:drawing>
          <wp:inline distT="0" distB="0" distL="0" distR="0" wp14:anchorId="50680FC2" wp14:editId="43316828">
            <wp:extent cx="3998812" cy="2825087"/>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98890" cy="2825142"/>
                    </a:xfrm>
                    <a:prstGeom prst="rect">
                      <a:avLst/>
                    </a:prstGeom>
                  </pic:spPr>
                </pic:pic>
              </a:graphicData>
            </a:graphic>
          </wp:inline>
        </w:drawing>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 xml:space="preserve">Figure 6 </w:t>
      </w:r>
      <w:r w:rsidR="00154154" w:rsidRPr="00D85256">
        <w:rPr>
          <w:rFonts w:ascii="Book Antiqua" w:hAnsi="Book Antiqua"/>
          <w:b/>
          <w:color w:val="000000" w:themeColor="text1"/>
          <w:sz w:val="24"/>
        </w:rPr>
        <w:t xml:space="preserve">Image taken during an operation involving the posterior transseptal portal. </w:t>
      </w:r>
      <w:r w:rsidR="00154154" w:rsidRPr="00D85256">
        <w:rPr>
          <w:rFonts w:ascii="Book Antiqua" w:hAnsi="Book Antiqua"/>
          <w:color w:val="000000" w:themeColor="text1"/>
          <w:sz w:val="24"/>
        </w:rPr>
        <w:t xml:space="preserve">One of the posterior two portals is used as a viewing portal; the other is used as a working portal. Anterior portals can be also used as working portals. PM: </w:t>
      </w:r>
      <w:r w:rsidRPr="00D85256">
        <w:rPr>
          <w:rFonts w:ascii="Book Antiqua" w:hAnsi="Book Antiqua"/>
          <w:color w:val="000000" w:themeColor="text1"/>
          <w:sz w:val="24"/>
        </w:rPr>
        <w:t>Posteromedial;</w:t>
      </w:r>
      <w:r w:rsidR="00154154" w:rsidRPr="00D85256">
        <w:rPr>
          <w:rFonts w:ascii="Book Antiqua" w:hAnsi="Book Antiqua"/>
          <w:color w:val="000000" w:themeColor="text1"/>
          <w:sz w:val="24"/>
        </w:rPr>
        <w:t xml:space="preserve"> PL: </w:t>
      </w:r>
      <w:r w:rsidRPr="00D85256">
        <w:rPr>
          <w:rFonts w:ascii="Book Antiqua" w:hAnsi="Book Antiqua"/>
          <w:color w:val="000000" w:themeColor="text1"/>
          <w:sz w:val="24"/>
        </w:rPr>
        <w:t>Posterolateral;</w:t>
      </w:r>
      <w:r w:rsidR="00154154" w:rsidRPr="00D85256">
        <w:rPr>
          <w:rFonts w:ascii="Book Antiqua" w:hAnsi="Book Antiqua"/>
          <w:color w:val="000000" w:themeColor="text1"/>
          <w:sz w:val="24"/>
        </w:rPr>
        <w:t xml:space="preserve"> AM: </w:t>
      </w:r>
      <w:r w:rsidRPr="00D85256">
        <w:rPr>
          <w:rFonts w:ascii="Book Antiqua" w:hAnsi="Book Antiqua"/>
          <w:color w:val="000000" w:themeColor="text1"/>
          <w:sz w:val="24"/>
        </w:rPr>
        <w:t>Anteromedial</w:t>
      </w:r>
      <w:r w:rsidR="00154154" w:rsidRPr="00D85256">
        <w:rPr>
          <w:rFonts w:ascii="Book Antiqua" w:hAnsi="Book Antiqua"/>
          <w:color w:val="000000" w:themeColor="text1"/>
          <w:sz w:val="24"/>
        </w:rPr>
        <w:t>.</w:t>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noProof/>
          <w:sz w:val="24"/>
        </w:rPr>
        <w:drawing>
          <wp:inline distT="0" distB="0" distL="0" distR="0" wp14:anchorId="5975A8D6" wp14:editId="11DAFF93">
            <wp:extent cx="5486400" cy="25184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518410"/>
                    </a:xfrm>
                    <a:prstGeom prst="rect">
                      <a:avLst/>
                    </a:prstGeom>
                  </pic:spPr>
                </pic:pic>
              </a:graphicData>
            </a:graphic>
          </wp:inline>
        </w:drawing>
      </w:r>
    </w:p>
    <w:p w:rsidR="00154154" w:rsidRPr="00D85256" w:rsidRDefault="00464F4B" w:rsidP="009622AB">
      <w:pPr>
        <w:spacing w:line="360" w:lineRule="auto"/>
        <w:rPr>
          <w:rFonts w:ascii="Book Antiqua" w:hAnsi="Book Antiqua"/>
          <w:color w:val="000000" w:themeColor="text1"/>
          <w:sz w:val="24"/>
        </w:rPr>
      </w:pPr>
      <w:r w:rsidRPr="00D85256">
        <w:rPr>
          <w:rFonts w:ascii="Book Antiqua" w:hAnsi="Book Antiqua"/>
          <w:b/>
          <w:color w:val="000000" w:themeColor="text1"/>
          <w:sz w:val="24"/>
        </w:rPr>
        <w:t xml:space="preserve">Figure 7 </w:t>
      </w:r>
      <w:r w:rsidR="00154154" w:rsidRPr="00D85256">
        <w:rPr>
          <w:rFonts w:ascii="Book Antiqua" w:hAnsi="Book Antiqua"/>
          <w:b/>
          <w:color w:val="000000" w:themeColor="text1"/>
          <w:sz w:val="24"/>
        </w:rPr>
        <w:t xml:space="preserve">Arthroscopic views of the posterior compartment of the knee in a patient with rheumatoid arthritis. </w:t>
      </w:r>
      <w:r w:rsidR="00154154" w:rsidRPr="00D85256">
        <w:rPr>
          <w:rFonts w:ascii="Book Antiqua" w:hAnsi="Book Antiqua"/>
          <w:color w:val="000000" w:themeColor="text1"/>
          <w:sz w:val="24"/>
        </w:rPr>
        <w:t xml:space="preserve">The posteromedial compartment was filled with synovial villi prior to synovectomy. A shaver is introduced from the posterolateral portal through the transseptal portal (A). An arthroscopic view from the posterolateral portal through the transseptal portal after synovectomy (B). A radiofrequency device is introduced from the posteromedial portal. MFC: </w:t>
      </w:r>
      <w:r w:rsidRPr="00D85256">
        <w:rPr>
          <w:rFonts w:ascii="Book Antiqua" w:hAnsi="Book Antiqua"/>
          <w:color w:val="000000" w:themeColor="text1"/>
          <w:sz w:val="24"/>
        </w:rPr>
        <w:t xml:space="preserve">Medial </w:t>
      </w:r>
      <w:r w:rsidR="00154154" w:rsidRPr="00D85256">
        <w:rPr>
          <w:rFonts w:ascii="Book Antiqua" w:hAnsi="Book Antiqua"/>
          <w:color w:val="000000" w:themeColor="text1"/>
          <w:sz w:val="24"/>
        </w:rPr>
        <w:t>femoral condyle.</w:t>
      </w:r>
    </w:p>
    <w:p w:rsidR="009622AB" w:rsidRPr="00D85256" w:rsidRDefault="009622AB" w:rsidP="009622AB">
      <w:pPr>
        <w:spacing w:line="360" w:lineRule="auto"/>
        <w:rPr>
          <w:rFonts w:ascii="Book Antiqua" w:hAnsi="Book Antiqua"/>
          <w:color w:val="000000" w:themeColor="text1"/>
          <w:sz w:val="24"/>
        </w:rPr>
      </w:pPr>
    </w:p>
    <w:p w:rsidR="009622AB" w:rsidRPr="00D85256" w:rsidRDefault="00464F4B" w:rsidP="009622AB">
      <w:pPr>
        <w:rPr>
          <w:rFonts w:ascii="Book Antiqua" w:eastAsia="MS Mincho" w:hAnsi="Book Antiqua"/>
          <w:b/>
          <w:sz w:val="24"/>
        </w:rPr>
      </w:pPr>
      <w:r w:rsidRPr="00D85256">
        <w:rPr>
          <w:rFonts w:ascii="Book Antiqua" w:eastAsia="MS Mincho" w:hAnsi="Book Antiqua"/>
          <w:b/>
          <w:sz w:val="24"/>
        </w:rPr>
        <w:lastRenderedPageBreak/>
        <w:t>Table 1</w:t>
      </w:r>
      <w:r w:rsidR="009622AB" w:rsidRPr="00D85256">
        <w:rPr>
          <w:rFonts w:ascii="Book Antiqua" w:eastAsia="MS Mincho" w:hAnsi="Book Antiqua"/>
          <w:b/>
          <w:sz w:val="24"/>
        </w:rPr>
        <w:t xml:space="preserve"> List of procedures using our transseptal portal technique</w:t>
      </w:r>
    </w:p>
    <w:tbl>
      <w:tblPr>
        <w:tblStyle w:val="TableGrid"/>
        <w:tblW w:w="0" w:type="auto"/>
        <w:tblLook w:val="0000" w:firstRow="0" w:lastRow="0" w:firstColumn="0" w:lastColumn="0" w:noHBand="0" w:noVBand="0"/>
      </w:tblPr>
      <w:tblGrid>
        <w:gridCol w:w="6237"/>
        <w:gridCol w:w="1560"/>
      </w:tblGrid>
      <w:tr w:rsidR="009622AB" w:rsidRPr="00D85256" w:rsidTr="00237AC4">
        <w:trPr>
          <w:trHeight w:val="408"/>
        </w:trPr>
        <w:tc>
          <w:tcPr>
            <w:tcW w:w="6237" w:type="dxa"/>
          </w:tcPr>
          <w:p w:rsidR="009622AB" w:rsidRPr="00D85256" w:rsidRDefault="009622AB" w:rsidP="00237AC4">
            <w:pPr>
              <w:jc w:val="center"/>
              <w:rPr>
                <w:rFonts w:ascii="Book Antiqua" w:eastAsia="MS Mincho" w:hAnsi="Book Antiqua" w:cs="Times New Roman"/>
                <w:b/>
                <w:sz w:val="24"/>
              </w:rPr>
            </w:pPr>
            <w:r w:rsidRPr="00D85256">
              <w:rPr>
                <w:rFonts w:ascii="Book Antiqua" w:eastAsia="MS Mincho" w:hAnsi="Book Antiqua" w:cs="Times New Roman"/>
                <w:b/>
                <w:sz w:val="24"/>
              </w:rPr>
              <w:t>Procedure</w:t>
            </w:r>
          </w:p>
        </w:tc>
        <w:tc>
          <w:tcPr>
            <w:tcW w:w="1560" w:type="dxa"/>
          </w:tcPr>
          <w:p w:rsidR="009622AB" w:rsidRPr="00D85256" w:rsidRDefault="009622AB" w:rsidP="00237AC4">
            <w:pPr>
              <w:jc w:val="center"/>
              <w:rPr>
                <w:rFonts w:ascii="Book Antiqua" w:eastAsia="SimSun" w:hAnsi="Book Antiqua" w:cs="Times New Roman"/>
                <w:b/>
                <w:i/>
                <w:sz w:val="24"/>
              </w:rPr>
            </w:pPr>
            <w:r w:rsidRPr="00D85256">
              <w:rPr>
                <w:rFonts w:ascii="Book Antiqua" w:eastAsia="SimSun" w:hAnsi="Book Antiqua" w:cs="Times New Roman"/>
                <w:b/>
                <w:i/>
                <w:sz w:val="24"/>
              </w:rPr>
              <w:t>n</w:t>
            </w:r>
          </w:p>
        </w:tc>
      </w:tr>
      <w:tr w:rsidR="009622AB" w:rsidRPr="00D85256" w:rsidTr="00237AC4">
        <w:trPr>
          <w:trHeight w:val="408"/>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Synovectomy</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57</w:t>
            </w:r>
          </w:p>
        </w:tc>
      </w:tr>
      <w:tr w:rsidR="009622AB" w:rsidRPr="00D85256" w:rsidTr="00237AC4">
        <w:trPr>
          <w:trHeight w:val="390"/>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Meniscal resection</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20</w:t>
            </w:r>
          </w:p>
        </w:tc>
      </w:tr>
      <w:tr w:rsidR="009622AB" w:rsidRPr="00D85256" w:rsidTr="00237AC4">
        <w:trPr>
          <w:trHeight w:val="408"/>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Thermal shrinkage</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1</w:t>
            </w:r>
          </w:p>
        </w:tc>
      </w:tr>
      <w:tr w:rsidR="009622AB" w:rsidRPr="00D85256" w:rsidTr="00237AC4">
        <w:trPr>
          <w:trHeight w:val="408"/>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Resection of PCL ganglion</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1</w:t>
            </w:r>
          </w:p>
        </w:tc>
      </w:tr>
      <w:tr w:rsidR="009622AB" w:rsidRPr="00D85256" w:rsidTr="00237AC4">
        <w:trPr>
          <w:trHeight w:val="390"/>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Meniscal cyst decompression</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1</w:t>
            </w:r>
          </w:p>
        </w:tc>
      </w:tr>
      <w:tr w:rsidR="009622AB" w:rsidRPr="00D85256" w:rsidTr="00237AC4">
        <w:trPr>
          <w:trHeight w:val="408"/>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Popliteal cyst decompression</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53</w:t>
            </w:r>
          </w:p>
        </w:tc>
      </w:tr>
      <w:tr w:rsidR="009622AB" w:rsidRPr="00D85256" w:rsidTr="00237AC4">
        <w:trPr>
          <w:trHeight w:val="408"/>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Repair of PCL avulsion fracture</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5</w:t>
            </w:r>
          </w:p>
        </w:tc>
      </w:tr>
      <w:tr w:rsidR="009622AB" w:rsidRPr="00D85256" w:rsidTr="00237AC4">
        <w:trPr>
          <w:trHeight w:val="390"/>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Free body resection</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5</w:t>
            </w:r>
          </w:p>
        </w:tc>
      </w:tr>
      <w:tr w:rsidR="009622AB" w:rsidRPr="00D85256" w:rsidTr="00237AC4">
        <w:trPr>
          <w:trHeight w:val="408"/>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Repair of the posterior horn of the medial meniscus</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5</w:t>
            </w:r>
          </w:p>
        </w:tc>
      </w:tr>
      <w:tr w:rsidR="009622AB" w:rsidRPr="00D85256" w:rsidTr="00237AC4">
        <w:trPr>
          <w:trHeight w:val="408"/>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PCL reconstruction</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2</w:t>
            </w:r>
          </w:p>
        </w:tc>
      </w:tr>
      <w:tr w:rsidR="009622AB" w:rsidRPr="00D85256" w:rsidTr="00237AC4">
        <w:trPr>
          <w:trHeight w:val="408"/>
        </w:trPr>
        <w:tc>
          <w:tcPr>
            <w:tcW w:w="6237" w:type="dxa"/>
          </w:tcPr>
          <w:p w:rsidR="009622AB" w:rsidRPr="00D85256" w:rsidRDefault="009622AB" w:rsidP="00237AC4">
            <w:pPr>
              <w:rPr>
                <w:rFonts w:ascii="Book Antiqua" w:eastAsia="MS Mincho" w:hAnsi="Book Antiqua" w:cs="Times New Roman"/>
                <w:sz w:val="24"/>
              </w:rPr>
            </w:pPr>
            <w:r w:rsidRPr="00D85256">
              <w:rPr>
                <w:rFonts w:ascii="Book Antiqua" w:eastAsia="MS Mincho" w:hAnsi="Book Antiqua" w:cs="Times New Roman"/>
                <w:sz w:val="24"/>
              </w:rPr>
              <w:t>Probing only</w:t>
            </w:r>
          </w:p>
        </w:tc>
        <w:tc>
          <w:tcPr>
            <w:tcW w:w="1560" w:type="dxa"/>
          </w:tcPr>
          <w:p w:rsidR="009622AB" w:rsidRPr="00D85256" w:rsidRDefault="009622AB" w:rsidP="00237AC4">
            <w:pPr>
              <w:jc w:val="center"/>
              <w:rPr>
                <w:rFonts w:ascii="Book Antiqua" w:eastAsia="MS Mincho" w:hAnsi="Book Antiqua" w:cs="Times New Roman"/>
                <w:sz w:val="24"/>
              </w:rPr>
            </w:pPr>
            <w:r w:rsidRPr="00D85256">
              <w:rPr>
                <w:rFonts w:ascii="Book Antiqua" w:eastAsia="MS Mincho" w:hAnsi="Book Antiqua" w:cs="Times New Roman"/>
                <w:sz w:val="24"/>
              </w:rPr>
              <w:t>11</w:t>
            </w:r>
          </w:p>
        </w:tc>
      </w:tr>
    </w:tbl>
    <w:p w:rsidR="009622AB" w:rsidRPr="00D85256" w:rsidRDefault="009622AB" w:rsidP="009622AB">
      <w:pPr>
        <w:rPr>
          <w:rFonts w:ascii="Book Antiqua" w:hAnsi="Book Antiqua"/>
          <w:sz w:val="24"/>
        </w:rPr>
      </w:pPr>
      <w:r w:rsidRPr="00D85256">
        <w:rPr>
          <w:rFonts w:ascii="Book Antiqua" w:eastAsia="MS Mincho" w:hAnsi="Book Antiqua"/>
          <w:sz w:val="24"/>
        </w:rPr>
        <w:t xml:space="preserve"> PCL: </w:t>
      </w:r>
      <w:r w:rsidR="00464F4B" w:rsidRPr="00D85256">
        <w:rPr>
          <w:rFonts w:ascii="Book Antiqua" w:eastAsia="MS Mincho" w:hAnsi="Book Antiqua"/>
          <w:sz w:val="24"/>
        </w:rPr>
        <w:t xml:space="preserve">Posterior </w:t>
      </w:r>
      <w:r w:rsidRPr="00D85256">
        <w:rPr>
          <w:rFonts w:ascii="Book Antiqua" w:eastAsia="MS Mincho" w:hAnsi="Book Antiqua"/>
          <w:sz w:val="24"/>
        </w:rPr>
        <w:t>cruciate ligament</w:t>
      </w:r>
      <w:r w:rsidR="00464F4B" w:rsidRPr="00D85256">
        <w:rPr>
          <w:rFonts w:ascii="Book Antiqua" w:hAnsi="Book Antiqua"/>
          <w:sz w:val="24"/>
        </w:rPr>
        <w:t>.</w:t>
      </w:r>
    </w:p>
    <w:p w:rsidR="009622AB" w:rsidRPr="00D85256" w:rsidRDefault="009622AB" w:rsidP="009622AB">
      <w:pPr>
        <w:spacing w:line="360" w:lineRule="auto"/>
        <w:rPr>
          <w:rFonts w:ascii="Book Antiqua" w:hAnsi="Book Antiqua"/>
          <w:color w:val="000000" w:themeColor="text1"/>
          <w:sz w:val="24"/>
        </w:rPr>
      </w:pPr>
    </w:p>
    <w:p w:rsidR="000415E6" w:rsidRPr="00D85256" w:rsidRDefault="000415E6" w:rsidP="00464F4B">
      <w:pPr>
        <w:widowControl/>
        <w:rPr>
          <w:rFonts w:ascii="Book Antiqua" w:hAnsi="Book Antiqua"/>
          <w:color w:val="000000" w:themeColor="text1"/>
          <w:sz w:val="24"/>
        </w:rPr>
      </w:pPr>
    </w:p>
    <w:sectPr w:rsidR="000415E6" w:rsidRPr="00D85256" w:rsidSect="00C83B5F">
      <w:footerReference w:type="even" r:id="rId16"/>
      <w:footerReference w:type="default" r:id="rId17"/>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188" w:rsidRDefault="00AF7188">
      <w:r>
        <w:separator/>
      </w:r>
    </w:p>
  </w:endnote>
  <w:endnote w:type="continuationSeparator" w:id="0">
    <w:p w:rsidR="00AF7188" w:rsidRDefault="00AF7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ouYuan">
    <w:altName w:val="Arial Unicode MS"/>
    <w:charset w:val="86"/>
    <w:family w:val="modern"/>
    <w:pitch w:val="fixed"/>
    <w:sig w:usb0="00000000" w:usb1="080E0000" w:usb2="00000010" w:usb3="00000000" w:csb0="00040000"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B9" w:rsidRDefault="000B55B9" w:rsidP="00994D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55B9" w:rsidRDefault="000B55B9" w:rsidP="000B55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B9" w:rsidRDefault="000B55B9" w:rsidP="00994D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2B4E">
      <w:rPr>
        <w:rStyle w:val="PageNumber"/>
        <w:noProof/>
      </w:rPr>
      <w:t>2</w:t>
    </w:r>
    <w:r>
      <w:rPr>
        <w:rStyle w:val="PageNumber"/>
      </w:rPr>
      <w:fldChar w:fldCharType="end"/>
    </w:r>
  </w:p>
  <w:p w:rsidR="000B55B9" w:rsidRDefault="000B55B9" w:rsidP="000B55B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188" w:rsidRDefault="00AF7188">
      <w:r>
        <w:separator/>
      </w:r>
    </w:p>
  </w:footnote>
  <w:footnote w:type="continuationSeparator" w:id="0">
    <w:p w:rsidR="00AF7188" w:rsidRDefault="00AF71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AD117B"/>
    <w:multiLevelType w:val="hybridMultilevel"/>
    <w:tmpl w:val="A15A89E6"/>
    <w:lvl w:ilvl="0" w:tplc="85EC3174">
      <w:start w:val="1"/>
      <w:numFmt w:val="decimal"/>
      <w:lvlText w:val="%1."/>
      <w:lvlJc w:val="left"/>
      <w:pPr>
        <w:ind w:left="2913"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244"/>
    <w:rsid w:val="00006226"/>
    <w:rsid w:val="000415E6"/>
    <w:rsid w:val="00042E0E"/>
    <w:rsid w:val="0006240D"/>
    <w:rsid w:val="00064C64"/>
    <w:rsid w:val="000665C9"/>
    <w:rsid w:val="000779EE"/>
    <w:rsid w:val="00081FA8"/>
    <w:rsid w:val="00083B39"/>
    <w:rsid w:val="00087C51"/>
    <w:rsid w:val="000B55B9"/>
    <w:rsid w:val="000E7CF6"/>
    <w:rsid w:val="000F7997"/>
    <w:rsid w:val="00154154"/>
    <w:rsid w:val="001573A6"/>
    <w:rsid w:val="00165EAF"/>
    <w:rsid w:val="00170B93"/>
    <w:rsid w:val="00176277"/>
    <w:rsid w:val="0018129B"/>
    <w:rsid w:val="00185F70"/>
    <w:rsid w:val="001D35B5"/>
    <w:rsid w:val="001D44AB"/>
    <w:rsid w:val="001D6CA5"/>
    <w:rsid w:val="001F5F03"/>
    <w:rsid w:val="001F7200"/>
    <w:rsid w:val="0020057E"/>
    <w:rsid w:val="002140F9"/>
    <w:rsid w:val="00223FF0"/>
    <w:rsid w:val="00233009"/>
    <w:rsid w:val="0026695F"/>
    <w:rsid w:val="00276B4F"/>
    <w:rsid w:val="00290F4D"/>
    <w:rsid w:val="00295BDC"/>
    <w:rsid w:val="002B0B0E"/>
    <w:rsid w:val="002B3042"/>
    <w:rsid w:val="002B6FF2"/>
    <w:rsid w:val="002E6B0E"/>
    <w:rsid w:val="002F1600"/>
    <w:rsid w:val="00311BC2"/>
    <w:rsid w:val="00316A7E"/>
    <w:rsid w:val="003175C5"/>
    <w:rsid w:val="00332B4E"/>
    <w:rsid w:val="003369A6"/>
    <w:rsid w:val="00337575"/>
    <w:rsid w:val="00352D2F"/>
    <w:rsid w:val="00362C1A"/>
    <w:rsid w:val="0037620C"/>
    <w:rsid w:val="003C536F"/>
    <w:rsid w:val="003D09BB"/>
    <w:rsid w:val="003D20B4"/>
    <w:rsid w:val="003F34E9"/>
    <w:rsid w:val="00401DD0"/>
    <w:rsid w:val="00413BEF"/>
    <w:rsid w:val="00415B63"/>
    <w:rsid w:val="00426F6A"/>
    <w:rsid w:val="00432A55"/>
    <w:rsid w:val="004402FA"/>
    <w:rsid w:val="00455F95"/>
    <w:rsid w:val="00464F4B"/>
    <w:rsid w:val="00472508"/>
    <w:rsid w:val="0048160E"/>
    <w:rsid w:val="004A29EA"/>
    <w:rsid w:val="004A6D1E"/>
    <w:rsid w:val="004E30E5"/>
    <w:rsid w:val="00517792"/>
    <w:rsid w:val="0053510C"/>
    <w:rsid w:val="0054442F"/>
    <w:rsid w:val="0055387A"/>
    <w:rsid w:val="00564FD4"/>
    <w:rsid w:val="00566021"/>
    <w:rsid w:val="005875E7"/>
    <w:rsid w:val="00593E91"/>
    <w:rsid w:val="005A1219"/>
    <w:rsid w:val="005A485C"/>
    <w:rsid w:val="005B05DB"/>
    <w:rsid w:val="005B3217"/>
    <w:rsid w:val="005C65B3"/>
    <w:rsid w:val="005D05B7"/>
    <w:rsid w:val="005F27C0"/>
    <w:rsid w:val="006025F3"/>
    <w:rsid w:val="00606962"/>
    <w:rsid w:val="006542DB"/>
    <w:rsid w:val="006703CA"/>
    <w:rsid w:val="00680F1E"/>
    <w:rsid w:val="0068216F"/>
    <w:rsid w:val="006837FD"/>
    <w:rsid w:val="00692C53"/>
    <w:rsid w:val="0069515F"/>
    <w:rsid w:val="006A0D61"/>
    <w:rsid w:val="006D0089"/>
    <w:rsid w:val="006E1412"/>
    <w:rsid w:val="00721733"/>
    <w:rsid w:val="00750952"/>
    <w:rsid w:val="00753C26"/>
    <w:rsid w:val="00761933"/>
    <w:rsid w:val="007658EF"/>
    <w:rsid w:val="0076591E"/>
    <w:rsid w:val="00794137"/>
    <w:rsid w:val="007955EF"/>
    <w:rsid w:val="007A47CA"/>
    <w:rsid w:val="007B2FC9"/>
    <w:rsid w:val="007B407C"/>
    <w:rsid w:val="007C1F23"/>
    <w:rsid w:val="007E2AED"/>
    <w:rsid w:val="007F2D32"/>
    <w:rsid w:val="00800235"/>
    <w:rsid w:val="00804FBE"/>
    <w:rsid w:val="00826460"/>
    <w:rsid w:val="008452A5"/>
    <w:rsid w:val="00851498"/>
    <w:rsid w:val="008534BF"/>
    <w:rsid w:val="00865AE4"/>
    <w:rsid w:val="0089666A"/>
    <w:rsid w:val="008A5EC1"/>
    <w:rsid w:val="008B2342"/>
    <w:rsid w:val="008C22AC"/>
    <w:rsid w:val="008F60E0"/>
    <w:rsid w:val="009156A9"/>
    <w:rsid w:val="0092253D"/>
    <w:rsid w:val="00922FDF"/>
    <w:rsid w:val="0093787D"/>
    <w:rsid w:val="00955D89"/>
    <w:rsid w:val="009574EA"/>
    <w:rsid w:val="009622AB"/>
    <w:rsid w:val="009653FB"/>
    <w:rsid w:val="00994D5F"/>
    <w:rsid w:val="009A2761"/>
    <w:rsid w:val="009A33F8"/>
    <w:rsid w:val="009B1A7D"/>
    <w:rsid w:val="009D3FBB"/>
    <w:rsid w:val="009E2FA4"/>
    <w:rsid w:val="009F6635"/>
    <w:rsid w:val="00A005F7"/>
    <w:rsid w:val="00A035D0"/>
    <w:rsid w:val="00A06CAB"/>
    <w:rsid w:val="00A16B89"/>
    <w:rsid w:val="00A33D6C"/>
    <w:rsid w:val="00A57065"/>
    <w:rsid w:val="00A5773B"/>
    <w:rsid w:val="00A74330"/>
    <w:rsid w:val="00A86386"/>
    <w:rsid w:val="00AF31CA"/>
    <w:rsid w:val="00AF7188"/>
    <w:rsid w:val="00B410C2"/>
    <w:rsid w:val="00B47EF2"/>
    <w:rsid w:val="00B5159E"/>
    <w:rsid w:val="00B60C22"/>
    <w:rsid w:val="00B64C16"/>
    <w:rsid w:val="00B72BD6"/>
    <w:rsid w:val="00B95B84"/>
    <w:rsid w:val="00BC0238"/>
    <w:rsid w:val="00C42D01"/>
    <w:rsid w:val="00C56975"/>
    <w:rsid w:val="00C74656"/>
    <w:rsid w:val="00C76453"/>
    <w:rsid w:val="00C83B5F"/>
    <w:rsid w:val="00C95067"/>
    <w:rsid w:val="00CB2F15"/>
    <w:rsid w:val="00CB7DDE"/>
    <w:rsid w:val="00CC1C2B"/>
    <w:rsid w:val="00CD462C"/>
    <w:rsid w:val="00CF238F"/>
    <w:rsid w:val="00D141EA"/>
    <w:rsid w:val="00D85256"/>
    <w:rsid w:val="00D948C4"/>
    <w:rsid w:val="00DE27EA"/>
    <w:rsid w:val="00E01592"/>
    <w:rsid w:val="00E01D73"/>
    <w:rsid w:val="00E05F65"/>
    <w:rsid w:val="00E064B7"/>
    <w:rsid w:val="00E345AC"/>
    <w:rsid w:val="00E37774"/>
    <w:rsid w:val="00E411EF"/>
    <w:rsid w:val="00E4394B"/>
    <w:rsid w:val="00E51E02"/>
    <w:rsid w:val="00E535D4"/>
    <w:rsid w:val="00E84340"/>
    <w:rsid w:val="00E924FE"/>
    <w:rsid w:val="00E9414C"/>
    <w:rsid w:val="00ED3DEA"/>
    <w:rsid w:val="00EF50C5"/>
    <w:rsid w:val="00F33055"/>
    <w:rsid w:val="00F42B51"/>
    <w:rsid w:val="00F51CD0"/>
    <w:rsid w:val="00F55046"/>
    <w:rsid w:val="00F56D2A"/>
    <w:rsid w:val="00F730F6"/>
    <w:rsid w:val="00F96E3F"/>
    <w:rsid w:val="00FA53BD"/>
    <w:rsid w:val="00FD58BC"/>
    <w:rsid w:val="00FD7244"/>
    <w:rsid w:val="00FF1BDB"/>
    <w:rsid w:val="00FF2C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ABAE58E3-9310-4586-ADD2-D0D89F6BF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244"/>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D7244"/>
    <w:rPr>
      <w:color w:val="0000FF"/>
      <w:u w:val="single"/>
    </w:rPr>
  </w:style>
  <w:style w:type="paragraph" w:styleId="Footer">
    <w:name w:val="footer"/>
    <w:basedOn w:val="Normal"/>
    <w:link w:val="FooterChar"/>
    <w:uiPriority w:val="99"/>
    <w:rsid w:val="000B55B9"/>
    <w:pPr>
      <w:tabs>
        <w:tab w:val="center" w:pos="4153"/>
        <w:tab w:val="right" w:pos="8306"/>
      </w:tabs>
      <w:snapToGrid w:val="0"/>
      <w:jc w:val="left"/>
    </w:pPr>
    <w:rPr>
      <w:sz w:val="18"/>
      <w:szCs w:val="18"/>
    </w:rPr>
  </w:style>
  <w:style w:type="character" w:styleId="PageNumber">
    <w:name w:val="page number"/>
    <w:basedOn w:val="DefaultParagraphFont"/>
    <w:rsid w:val="000B55B9"/>
  </w:style>
  <w:style w:type="character" w:styleId="Strong">
    <w:name w:val="Strong"/>
    <w:qFormat/>
    <w:rsid w:val="007B407C"/>
    <w:rPr>
      <w:b/>
      <w:bCs/>
    </w:rPr>
  </w:style>
  <w:style w:type="paragraph" w:styleId="Header">
    <w:name w:val="header"/>
    <w:basedOn w:val="Normal"/>
    <w:link w:val="HeaderChar"/>
    <w:rsid w:val="0053510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53510C"/>
    <w:rPr>
      <w:kern w:val="2"/>
      <w:sz w:val="18"/>
      <w:szCs w:val="18"/>
    </w:rPr>
  </w:style>
  <w:style w:type="paragraph" w:styleId="BalloonText">
    <w:name w:val="Balloon Text"/>
    <w:basedOn w:val="Normal"/>
    <w:link w:val="BalloonTextChar"/>
    <w:rsid w:val="00E411EF"/>
    <w:rPr>
      <w:rFonts w:ascii="SimSun"/>
      <w:sz w:val="18"/>
      <w:szCs w:val="18"/>
    </w:rPr>
  </w:style>
  <w:style w:type="character" w:customStyle="1" w:styleId="BalloonTextChar">
    <w:name w:val="Balloon Text Char"/>
    <w:link w:val="BalloonText"/>
    <w:rsid w:val="00E411EF"/>
    <w:rPr>
      <w:rFonts w:ascii="SimSun"/>
      <w:kern w:val="2"/>
      <w:sz w:val="18"/>
      <w:szCs w:val="18"/>
    </w:rPr>
  </w:style>
  <w:style w:type="character" w:customStyle="1" w:styleId="FooterChar">
    <w:name w:val="Footer Char"/>
    <w:link w:val="Footer"/>
    <w:uiPriority w:val="99"/>
    <w:rsid w:val="003D09BB"/>
    <w:rPr>
      <w:kern w:val="2"/>
      <w:sz w:val="18"/>
      <w:szCs w:val="18"/>
      <w:lang w:eastAsia="zh-CN"/>
    </w:rPr>
  </w:style>
  <w:style w:type="table" w:styleId="TableGrid">
    <w:name w:val="Table Grid"/>
    <w:basedOn w:val="TableNormal"/>
    <w:uiPriority w:val="39"/>
    <w:rsid w:val="009622A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4733">
      <w:bodyDiv w:val="1"/>
      <w:marLeft w:val="0"/>
      <w:marRight w:val="0"/>
      <w:marTop w:val="0"/>
      <w:marBottom w:val="0"/>
      <w:divBdr>
        <w:top w:val="none" w:sz="0" w:space="0" w:color="auto"/>
        <w:left w:val="none" w:sz="0" w:space="0" w:color="auto"/>
        <w:bottom w:val="none" w:sz="0" w:space="0" w:color="auto"/>
        <w:right w:val="none" w:sz="0" w:space="0" w:color="auto"/>
      </w:divBdr>
    </w:div>
    <w:div w:id="394477417">
      <w:bodyDiv w:val="1"/>
      <w:marLeft w:val="0"/>
      <w:marRight w:val="0"/>
      <w:marTop w:val="0"/>
      <w:marBottom w:val="0"/>
      <w:divBdr>
        <w:top w:val="none" w:sz="0" w:space="0" w:color="auto"/>
        <w:left w:val="none" w:sz="0" w:space="0" w:color="auto"/>
        <w:bottom w:val="none" w:sz="0" w:space="0" w:color="auto"/>
        <w:right w:val="none" w:sz="0" w:space="0" w:color="auto"/>
      </w:divBdr>
    </w:div>
    <w:div w:id="1114710723">
      <w:bodyDiv w:val="1"/>
      <w:marLeft w:val="0"/>
      <w:marRight w:val="0"/>
      <w:marTop w:val="0"/>
      <w:marBottom w:val="0"/>
      <w:divBdr>
        <w:top w:val="none" w:sz="0" w:space="0" w:color="auto"/>
        <w:left w:val="none" w:sz="0" w:space="0" w:color="auto"/>
        <w:bottom w:val="none" w:sz="0" w:space="0" w:color="auto"/>
        <w:right w:val="none" w:sz="0" w:space="0" w:color="auto"/>
      </w:divBdr>
    </w:div>
    <w:div w:id="1640767159">
      <w:bodyDiv w:val="1"/>
      <w:marLeft w:val="0"/>
      <w:marRight w:val="0"/>
      <w:marTop w:val="0"/>
      <w:marBottom w:val="0"/>
      <w:divBdr>
        <w:top w:val="none" w:sz="0" w:space="0" w:color="auto"/>
        <w:left w:val="none" w:sz="0" w:space="0" w:color="auto"/>
        <w:bottom w:val="none" w:sz="0" w:space="0" w:color="auto"/>
        <w:right w:val="none" w:sz="0" w:space="0" w:color="auto"/>
      </w:divBdr>
      <w:divsChild>
        <w:div w:id="1086418111">
          <w:marLeft w:val="0"/>
          <w:marRight w:val="0"/>
          <w:marTop w:val="0"/>
          <w:marBottom w:val="0"/>
          <w:divBdr>
            <w:top w:val="none" w:sz="0" w:space="0" w:color="auto"/>
            <w:left w:val="none" w:sz="0" w:space="0" w:color="auto"/>
            <w:bottom w:val="none" w:sz="0" w:space="0" w:color="auto"/>
            <w:right w:val="none" w:sz="0" w:space="0" w:color="auto"/>
          </w:divBdr>
          <w:divsChild>
            <w:div w:id="13121124">
              <w:marLeft w:val="0"/>
              <w:marRight w:val="0"/>
              <w:marTop w:val="0"/>
              <w:marBottom w:val="0"/>
              <w:divBdr>
                <w:top w:val="none" w:sz="0" w:space="0" w:color="auto"/>
                <w:left w:val="none" w:sz="0" w:space="0" w:color="auto"/>
                <w:bottom w:val="none" w:sz="0" w:space="0" w:color="auto"/>
                <w:right w:val="none" w:sz="0" w:space="0" w:color="auto"/>
              </w:divBdr>
            </w:div>
            <w:div w:id="115759899">
              <w:marLeft w:val="0"/>
              <w:marRight w:val="0"/>
              <w:marTop w:val="0"/>
              <w:marBottom w:val="0"/>
              <w:divBdr>
                <w:top w:val="none" w:sz="0" w:space="0" w:color="auto"/>
                <w:left w:val="none" w:sz="0" w:space="0" w:color="auto"/>
                <w:bottom w:val="none" w:sz="0" w:space="0" w:color="auto"/>
                <w:right w:val="none" w:sz="0" w:space="0" w:color="auto"/>
              </w:divBdr>
            </w:div>
            <w:div w:id="210654424">
              <w:marLeft w:val="0"/>
              <w:marRight w:val="0"/>
              <w:marTop w:val="0"/>
              <w:marBottom w:val="0"/>
              <w:divBdr>
                <w:top w:val="none" w:sz="0" w:space="0" w:color="auto"/>
                <w:left w:val="none" w:sz="0" w:space="0" w:color="auto"/>
                <w:bottom w:val="none" w:sz="0" w:space="0" w:color="auto"/>
                <w:right w:val="none" w:sz="0" w:space="0" w:color="auto"/>
              </w:divBdr>
            </w:div>
            <w:div w:id="298925782">
              <w:marLeft w:val="0"/>
              <w:marRight w:val="0"/>
              <w:marTop w:val="0"/>
              <w:marBottom w:val="0"/>
              <w:divBdr>
                <w:top w:val="none" w:sz="0" w:space="0" w:color="auto"/>
                <w:left w:val="none" w:sz="0" w:space="0" w:color="auto"/>
                <w:bottom w:val="none" w:sz="0" w:space="0" w:color="auto"/>
                <w:right w:val="none" w:sz="0" w:space="0" w:color="auto"/>
              </w:divBdr>
            </w:div>
            <w:div w:id="319971114">
              <w:marLeft w:val="0"/>
              <w:marRight w:val="0"/>
              <w:marTop w:val="0"/>
              <w:marBottom w:val="0"/>
              <w:divBdr>
                <w:top w:val="none" w:sz="0" w:space="0" w:color="auto"/>
                <w:left w:val="none" w:sz="0" w:space="0" w:color="auto"/>
                <w:bottom w:val="none" w:sz="0" w:space="0" w:color="auto"/>
                <w:right w:val="none" w:sz="0" w:space="0" w:color="auto"/>
              </w:divBdr>
            </w:div>
            <w:div w:id="346753223">
              <w:marLeft w:val="0"/>
              <w:marRight w:val="0"/>
              <w:marTop w:val="0"/>
              <w:marBottom w:val="0"/>
              <w:divBdr>
                <w:top w:val="none" w:sz="0" w:space="0" w:color="auto"/>
                <w:left w:val="none" w:sz="0" w:space="0" w:color="auto"/>
                <w:bottom w:val="none" w:sz="0" w:space="0" w:color="auto"/>
                <w:right w:val="none" w:sz="0" w:space="0" w:color="auto"/>
              </w:divBdr>
            </w:div>
            <w:div w:id="421491724">
              <w:marLeft w:val="0"/>
              <w:marRight w:val="0"/>
              <w:marTop w:val="0"/>
              <w:marBottom w:val="0"/>
              <w:divBdr>
                <w:top w:val="none" w:sz="0" w:space="0" w:color="auto"/>
                <w:left w:val="none" w:sz="0" w:space="0" w:color="auto"/>
                <w:bottom w:val="none" w:sz="0" w:space="0" w:color="auto"/>
                <w:right w:val="none" w:sz="0" w:space="0" w:color="auto"/>
              </w:divBdr>
            </w:div>
            <w:div w:id="500320948">
              <w:marLeft w:val="0"/>
              <w:marRight w:val="0"/>
              <w:marTop w:val="0"/>
              <w:marBottom w:val="0"/>
              <w:divBdr>
                <w:top w:val="none" w:sz="0" w:space="0" w:color="auto"/>
                <w:left w:val="none" w:sz="0" w:space="0" w:color="auto"/>
                <w:bottom w:val="none" w:sz="0" w:space="0" w:color="auto"/>
                <w:right w:val="none" w:sz="0" w:space="0" w:color="auto"/>
              </w:divBdr>
            </w:div>
            <w:div w:id="529345875">
              <w:marLeft w:val="0"/>
              <w:marRight w:val="0"/>
              <w:marTop w:val="0"/>
              <w:marBottom w:val="0"/>
              <w:divBdr>
                <w:top w:val="none" w:sz="0" w:space="0" w:color="auto"/>
                <w:left w:val="none" w:sz="0" w:space="0" w:color="auto"/>
                <w:bottom w:val="none" w:sz="0" w:space="0" w:color="auto"/>
                <w:right w:val="none" w:sz="0" w:space="0" w:color="auto"/>
              </w:divBdr>
            </w:div>
            <w:div w:id="542403653">
              <w:marLeft w:val="0"/>
              <w:marRight w:val="0"/>
              <w:marTop w:val="0"/>
              <w:marBottom w:val="0"/>
              <w:divBdr>
                <w:top w:val="none" w:sz="0" w:space="0" w:color="auto"/>
                <w:left w:val="none" w:sz="0" w:space="0" w:color="auto"/>
                <w:bottom w:val="none" w:sz="0" w:space="0" w:color="auto"/>
                <w:right w:val="none" w:sz="0" w:space="0" w:color="auto"/>
              </w:divBdr>
            </w:div>
            <w:div w:id="542836710">
              <w:marLeft w:val="0"/>
              <w:marRight w:val="0"/>
              <w:marTop w:val="0"/>
              <w:marBottom w:val="0"/>
              <w:divBdr>
                <w:top w:val="none" w:sz="0" w:space="0" w:color="auto"/>
                <w:left w:val="none" w:sz="0" w:space="0" w:color="auto"/>
                <w:bottom w:val="none" w:sz="0" w:space="0" w:color="auto"/>
                <w:right w:val="none" w:sz="0" w:space="0" w:color="auto"/>
              </w:divBdr>
            </w:div>
            <w:div w:id="557592452">
              <w:marLeft w:val="0"/>
              <w:marRight w:val="0"/>
              <w:marTop w:val="0"/>
              <w:marBottom w:val="0"/>
              <w:divBdr>
                <w:top w:val="none" w:sz="0" w:space="0" w:color="auto"/>
                <w:left w:val="none" w:sz="0" w:space="0" w:color="auto"/>
                <w:bottom w:val="none" w:sz="0" w:space="0" w:color="auto"/>
                <w:right w:val="none" w:sz="0" w:space="0" w:color="auto"/>
              </w:divBdr>
            </w:div>
            <w:div w:id="634993174">
              <w:marLeft w:val="0"/>
              <w:marRight w:val="0"/>
              <w:marTop w:val="0"/>
              <w:marBottom w:val="0"/>
              <w:divBdr>
                <w:top w:val="none" w:sz="0" w:space="0" w:color="auto"/>
                <w:left w:val="none" w:sz="0" w:space="0" w:color="auto"/>
                <w:bottom w:val="none" w:sz="0" w:space="0" w:color="auto"/>
                <w:right w:val="none" w:sz="0" w:space="0" w:color="auto"/>
              </w:divBdr>
            </w:div>
            <w:div w:id="638148209">
              <w:marLeft w:val="0"/>
              <w:marRight w:val="0"/>
              <w:marTop w:val="0"/>
              <w:marBottom w:val="0"/>
              <w:divBdr>
                <w:top w:val="none" w:sz="0" w:space="0" w:color="auto"/>
                <w:left w:val="none" w:sz="0" w:space="0" w:color="auto"/>
                <w:bottom w:val="none" w:sz="0" w:space="0" w:color="auto"/>
                <w:right w:val="none" w:sz="0" w:space="0" w:color="auto"/>
              </w:divBdr>
            </w:div>
            <w:div w:id="660231604">
              <w:marLeft w:val="0"/>
              <w:marRight w:val="0"/>
              <w:marTop w:val="0"/>
              <w:marBottom w:val="0"/>
              <w:divBdr>
                <w:top w:val="none" w:sz="0" w:space="0" w:color="auto"/>
                <w:left w:val="none" w:sz="0" w:space="0" w:color="auto"/>
                <w:bottom w:val="none" w:sz="0" w:space="0" w:color="auto"/>
                <w:right w:val="none" w:sz="0" w:space="0" w:color="auto"/>
              </w:divBdr>
            </w:div>
            <w:div w:id="876940037">
              <w:marLeft w:val="0"/>
              <w:marRight w:val="0"/>
              <w:marTop w:val="0"/>
              <w:marBottom w:val="0"/>
              <w:divBdr>
                <w:top w:val="none" w:sz="0" w:space="0" w:color="auto"/>
                <w:left w:val="none" w:sz="0" w:space="0" w:color="auto"/>
                <w:bottom w:val="none" w:sz="0" w:space="0" w:color="auto"/>
                <w:right w:val="none" w:sz="0" w:space="0" w:color="auto"/>
              </w:divBdr>
            </w:div>
            <w:div w:id="886332213">
              <w:marLeft w:val="0"/>
              <w:marRight w:val="0"/>
              <w:marTop w:val="0"/>
              <w:marBottom w:val="0"/>
              <w:divBdr>
                <w:top w:val="none" w:sz="0" w:space="0" w:color="auto"/>
                <w:left w:val="none" w:sz="0" w:space="0" w:color="auto"/>
                <w:bottom w:val="none" w:sz="0" w:space="0" w:color="auto"/>
                <w:right w:val="none" w:sz="0" w:space="0" w:color="auto"/>
              </w:divBdr>
            </w:div>
            <w:div w:id="901061456">
              <w:marLeft w:val="0"/>
              <w:marRight w:val="0"/>
              <w:marTop w:val="0"/>
              <w:marBottom w:val="0"/>
              <w:divBdr>
                <w:top w:val="none" w:sz="0" w:space="0" w:color="auto"/>
                <w:left w:val="none" w:sz="0" w:space="0" w:color="auto"/>
                <w:bottom w:val="none" w:sz="0" w:space="0" w:color="auto"/>
                <w:right w:val="none" w:sz="0" w:space="0" w:color="auto"/>
              </w:divBdr>
            </w:div>
            <w:div w:id="927811736">
              <w:marLeft w:val="0"/>
              <w:marRight w:val="0"/>
              <w:marTop w:val="0"/>
              <w:marBottom w:val="0"/>
              <w:divBdr>
                <w:top w:val="none" w:sz="0" w:space="0" w:color="auto"/>
                <w:left w:val="none" w:sz="0" w:space="0" w:color="auto"/>
                <w:bottom w:val="none" w:sz="0" w:space="0" w:color="auto"/>
                <w:right w:val="none" w:sz="0" w:space="0" w:color="auto"/>
              </w:divBdr>
            </w:div>
            <w:div w:id="950209266">
              <w:marLeft w:val="0"/>
              <w:marRight w:val="0"/>
              <w:marTop w:val="0"/>
              <w:marBottom w:val="0"/>
              <w:divBdr>
                <w:top w:val="none" w:sz="0" w:space="0" w:color="auto"/>
                <w:left w:val="none" w:sz="0" w:space="0" w:color="auto"/>
                <w:bottom w:val="none" w:sz="0" w:space="0" w:color="auto"/>
                <w:right w:val="none" w:sz="0" w:space="0" w:color="auto"/>
              </w:divBdr>
            </w:div>
            <w:div w:id="979532597">
              <w:marLeft w:val="0"/>
              <w:marRight w:val="0"/>
              <w:marTop w:val="0"/>
              <w:marBottom w:val="0"/>
              <w:divBdr>
                <w:top w:val="none" w:sz="0" w:space="0" w:color="auto"/>
                <w:left w:val="none" w:sz="0" w:space="0" w:color="auto"/>
                <w:bottom w:val="none" w:sz="0" w:space="0" w:color="auto"/>
                <w:right w:val="none" w:sz="0" w:space="0" w:color="auto"/>
              </w:divBdr>
            </w:div>
            <w:div w:id="1016154828">
              <w:marLeft w:val="0"/>
              <w:marRight w:val="0"/>
              <w:marTop w:val="0"/>
              <w:marBottom w:val="0"/>
              <w:divBdr>
                <w:top w:val="none" w:sz="0" w:space="0" w:color="auto"/>
                <w:left w:val="none" w:sz="0" w:space="0" w:color="auto"/>
                <w:bottom w:val="none" w:sz="0" w:space="0" w:color="auto"/>
                <w:right w:val="none" w:sz="0" w:space="0" w:color="auto"/>
              </w:divBdr>
            </w:div>
            <w:div w:id="1028483332">
              <w:marLeft w:val="0"/>
              <w:marRight w:val="0"/>
              <w:marTop w:val="0"/>
              <w:marBottom w:val="0"/>
              <w:divBdr>
                <w:top w:val="none" w:sz="0" w:space="0" w:color="auto"/>
                <w:left w:val="none" w:sz="0" w:space="0" w:color="auto"/>
                <w:bottom w:val="none" w:sz="0" w:space="0" w:color="auto"/>
                <w:right w:val="none" w:sz="0" w:space="0" w:color="auto"/>
              </w:divBdr>
            </w:div>
            <w:div w:id="1065494095">
              <w:marLeft w:val="0"/>
              <w:marRight w:val="0"/>
              <w:marTop w:val="0"/>
              <w:marBottom w:val="0"/>
              <w:divBdr>
                <w:top w:val="none" w:sz="0" w:space="0" w:color="auto"/>
                <w:left w:val="none" w:sz="0" w:space="0" w:color="auto"/>
                <w:bottom w:val="none" w:sz="0" w:space="0" w:color="auto"/>
                <w:right w:val="none" w:sz="0" w:space="0" w:color="auto"/>
              </w:divBdr>
            </w:div>
            <w:div w:id="1077946148">
              <w:marLeft w:val="0"/>
              <w:marRight w:val="0"/>
              <w:marTop w:val="0"/>
              <w:marBottom w:val="0"/>
              <w:divBdr>
                <w:top w:val="none" w:sz="0" w:space="0" w:color="auto"/>
                <w:left w:val="none" w:sz="0" w:space="0" w:color="auto"/>
                <w:bottom w:val="none" w:sz="0" w:space="0" w:color="auto"/>
                <w:right w:val="none" w:sz="0" w:space="0" w:color="auto"/>
              </w:divBdr>
            </w:div>
            <w:div w:id="1101611013">
              <w:marLeft w:val="0"/>
              <w:marRight w:val="0"/>
              <w:marTop w:val="0"/>
              <w:marBottom w:val="0"/>
              <w:divBdr>
                <w:top w:val="none" w:sz="0" w:space="0" w:color="auto"/>
                <w:left w:val="none" w:sz="0" w:space="0" w:color="auto"/>
                <w:bottom w:val="none" w:sz="0" w:space="0" w:color="auto"/>
                <w:right w:val="none" w:sz="0" w:space="0" w:color="auto"/>
              </w:divBdr>
            </w:div>
            <w:div w:id="1115055901">
              <w:marLeft w:val="0"/>
              <w:marRight w:val="0"/>
              <w:marTop w:val="0"/>
              <w:marBottom w:val="0"/>
              <w:divBdr>
                <w:top w:val="none" w:sz="0" w:space="0" w:color="auto"/>
                <w:left w:val="none" w:sz="0" w:space="0" w:color="auto"/>
                <w:bottom w:val="none" w:sz="0" w:space="0" w:color="auto"/>
                <w:right w:val="none" w:sz="0" w:space="0" w:color="auto"/>
              </w:divBdr>
            </w:div>
            <w:div w:id="1156606462">
              <w:marLeft w:val="0"/>
              <w:marRight w:val="0"/>
              <w:marTop w:val="0"/>
              <w:marBottom w:val="0"/>
              <w:divBdr>
                <w:top w:val="none" w:sz="0" w:space="0" w:color="auto"/>
                <w:left w:val="none" w:sz="0" w:space="0" w:color="auto"/>
                <w:bottom w:val="none" w:sz="0" w:space="0" w:color="auto"/>
                <w:right w:val="none" w:sz="0" w:space="0" w:color="auto"/>
              </w:divBdr>
            </w:div>
            <w:div w:id="1186866830">
              <w:marLeft w:val="0"/>
              <w:marRight w:val="0"/>
              <w:marTop w:val="0"/>
              <w:marBottom w:val="0"/>
              <w:divBdr>
                <w:top w:val="none" w:sz="0" w:space="0" w:color="auto"/>
                <w:left w:val="none" w:sz="0" w:space="0" w:color="auto"/>
                <w:bottom w:val="none" w:sz="0" w:space="0" w:color="auto"/>
                <w:right w:val="none" w:sz="0" w:space="0" w:color="auto"/>
              </w:divBdr>
            </w:div>
            <w:div w:id="1212425932">
              <w:marLeft w:val="0"/>
              <w:marRight w:val="0"/>
              <w:marTop w:val="0"/>
              <w:marBottom w:val="0"/>
              <w:divBdr>
                <w:top w:val="none" w:sz="0" w:space="0" w:color="auto"/>
                <w:left w:val="none" w:sz="0" w:space="0" w:color="auto"/>
                <w:bottom w:val="none" w:sz="0" w:space="0" w:color="auto"/>
                <w:right w:val="none" w:sz="0" w:space="0" w:color="auto"/>
              </w:divBdr>
            </w:div>
            <w:div w:id="1241985670">
              <w:marLeft w:val="0"/>
              <w:marRight w:val="0"/>
              <w:marTop w:val="0"/>
              <w:marBottom w:val="0"/>
              <w:divBdr>
                <w:top w:val="none" w:sz="0" w:space="0" w:color="auto"/>
                <w:left w:val="none" w:sz="0" w:space="0" w:color="auto"/>
                <w:bottom w:val="none" w:sz="0" w:space="0" w:color="auto"/>
                <w:right w:val="none" w:sz="0" w:space="0" w:color="auto"/>
              </w:divBdr>
            </w:div>
            <w:div w:id="1303148434">
              <w:marLeft w:val="0"/>
              <w:marRight w:val="0"/>
              <w:marTop w:val="0"/>
              <w:marBottom w:val="0"/>
              <w:divBdr>
                <w:top w:val="none" w:sz="0" w:space="0" w:color="auto"/>
                <w:left w:val="none" w:sz="0" w:space="0" w:color="auto"/>
                <w:bottom w:val="none" w:sz="0" w:space="0" w:color="auto"/>
                <w:right w:val="none" w:sz="0" w:space="0" w:color="auto"/>
              </w:divBdr>
            </w:div>
            <w:div w:id="1343556227">
              <w:marLeft w:val="0"/>
              <w:marRight w:val="0"/>
              <w:marTop w:val="0"/>
              <w:marBottom w:val="0"/>
              <w:divBdr>
                <w:top w:val="none" w:sz="0" w:space="0" w:color="auto"/>
                <w:left w:val="none" w:sz="0" w:space="0" w:color="auto"/>
                <w:bottom w:val="none" w:sz="0" w:space="0" w:color="auto"/>
                <w:right w:val="none" w:sz="0" w:space="0" w:color="auto"/>
              </w:divBdr>
            </w:div>
            <w:div w:id="1361009099">
              <w:marLeft w:val="0"/>
              <w:marRight w:val="0"/>
              <w:marTop w:val="0"/>
              <w:marBottom w:val="0"/>
              <w:divBdr>
                <w:top w:val="none" w:sz="0" w:space="0" w:color="auto"/>
                <w:left w:val="none" w:sz="0" w:space="0" w:color="auto"/>
                <w:bottom w:val="none" w:sz="0" w:space="0" w:color="auto"/>
                <w:right w:val="none" w:sz="0" w:space="0" w:color="auto"/>
              </w:divBdr>
            </w:div>
            <w:div w:id="1386484280">
              <w:marLeft w:val="0"/>
              <w:marRight w:val="0"/>
              <w:marTop w:val="0"/>
              <w:marBottom w:val="0"/>
              <w:divBdr>
                <w:top w:val="none" w:sz="0" w:space="0" w:color="auto"/>
                <w:left w:val="none" w:sz="0" w:space="0" w:color="auto"/>
                <w:bottom w:val="none" w:sz="0" w:space="0" w:color="auto"/>
                <w:right w:val="none" w:sz="0" w:space="0" w:color="auto"/>
              </w:divBdr>
            </w:div>
            <w:div w:id="1386879819">
              <w:marLeft w:val="0"/>
              <w:marRight w:val="0"/>
              <w:marTop w:val="0"/>
              <w:marBottom w:val="0"/>
              <w:divBdr>
                <w:top w:val="none" w:sz="0" w:space="0" w:color="auto"/>
                <w:left w:val="none" w:sz="0" w:space="0" w:color="auto"/>
                <w:bottom w:val="none" w:sz="0" w:space="0" w:color="auto"/>
                <w:right w:val="none" w:sz="0" w:space="0" w:color="auto"/>
              </w:divBdr>
            </w:div>
            <w:div w:id="1514296794">
              <w:marLeft w:val="0"/>
              <w:marRight w:val="0"/>
              <w:marTop w:val="0"/>
              <w:marBottom w:val="0"/>
              <w:divBdr>
                <w:top w:val="none" w:sz="0" w:space="0" w:color="auto"/>
                <w:left w:val="none" w:sz="0" w:space="0" w:color="auto"/>
                <w:bottom w:val="none" w:sz="0" w:space="0" w:color="auto"/>
                <w:right w:val="none" w:sz="0" w:space="0" w:color="auto"/>
              </w:divBdr>
            </w:div>
            <w:div w:id="1558130106">
              <w:marLeft w:val="0"/>
              <w:marRight w:val="0"/>
              <w:marTop w:val="0"/>
              <w:marBottom w:val="0"/>
              <w:divBdr>
                <w:top w:val="none" w:sz="0" w:space="0" w:color="auto"/>
                <w:left w:val="none" w:sz="0" w:space="0" w:color="auto"/>
                <w:bottom w:val="none" w:sz="0" w:space="0" w:color="auto"/>
                <w:right w:val="none" w:sz="0" w:space="0" w:color="auto"/>
              </w:divBdr>
            </w:div>
            <w:div w:id="1569421419">
              <w:marLeft w:val="0"/>
              <w:marRight w:val="0"/>
              <w:marTop w:val="0"/>
              <w:marBottom w:val="0"/>
              <w:divBdr>
                <w:top w:val="none" w:sz="0" w:space="0" w:color="auto"/>
                <w:left w:val="none" w:sz="0" w:space="0" w:color="auto"/>
                <w:bottom w:val="none" w:sz="0" w:space="0" w:color="auto"/>
                <w:right w:val="none" w:sz="0" w:space="0" w:color="auto"/>
              </w:divBdr>
            </w:div>
            <w:div w:id="1609922556">
              <w:marLeft w:val="0"/>
              <w:marRight w:val="0"/>
              <w:marTop w:val="0"/>
              <w:marBottom w:val="0"/>
              <w:divBdr>
                <w:top w:val="none" w:sz="0" w:space="0" w:color="auto"/>
                <w:left w:val="none" w:sz="0" w:space="0" w:color="auto"/>
                <w:bottom w:val="none" w:sz="0" w:space="0" w:color="auto"/>
                <w:right w:val="none" w:sz="0" w:space="0" w:color="auto"/>
              </w:divBdr>
            </w:div>
            <w:div w:id="1694381285">
              <w:marLeft w:val="0"/>
              <w:marRight w:val="0"/>
              <w:marTop w:val="0"/>
              <w:marBottom w:val="0"/>
              <w:divBdr>
                <w:top w:val="none" w:sz="0" w:space="0" w:color="auto"/>
                <w:left w:val="none" w:sz="0" w:space="0" w:color="auto"/>
                <w:bottom w:val="none" w:sz="0" w:space="0" w:color="auto"/>
                <w:right w:val="none" w:sz="0" w:space="0" w:color="auto"/>
              </w:divBdr>
            </w:div>
            <w:div w:id="1719352872">
              <w:marLeft w:val="0"/>
              <w:marRight w:val="0"/>
              <w:marTop w:val="0"/>
              <w:marBottom w:val="0"/>
              <w:divBdr>
                <w:top w:val="none" w:sz="0" w:space="0" w:color="auto"/>
                <w:left w:val="none" w:sz="0" w:space="0" w:color="auto"/>
                <w:bottom w:val="none" w:sz="0" w:space="0" w:color="auto"/>
                <w:right w:val="none" w:sz="0" w:space="0" w:color="auto"/>
              </w:divBdr>
            </w:div>
            <w:div w:id="1719355702">
              <w:marLeft w:val="0"/>
              <w:marRight w:val="0"/>
              <w:marTop w:val="0"/>
              <w:marBottom w:val="0"/>
              <w:divBdr>
                <w:top w:val="none" w:sz="0" w:space="0" w:color="auto"/>
                <w:left w:val="none" w:sz="0" w:space="0" w:color="auto"/>
                <w:bottom w:val="none" w:sz="0" w:space="0" w:color="auto"/>
                <w:right w:val="none" w:sz="0" w:space="0" w:color="auto"/>
              </w:divBdr>
            </w:div>
            <w:div w:id="1735352206">
              <w:marLeft w:val="0"/>
              <w:marRight w:val="0"/>
              <w:marTop w:val="0"/>
              <w:marBottom w:val="0"/>
              <w:divBdr>
                <w:top w:val="none" w:sz="0" w:space="0" w:color="auto"/>
                <w:left w:val="none" w:sz="0" w:space="0" w:color="auto"/>
                <w:bottom w:val="none" w:sz="0" w:space="0" w:color="auto"/>
                <w:right w:val="none" w:sz="0" w:space="0" w:color="auto"/>
              </w:divBdr>
            </w:div>
            <w:div w:id="1743065457">
              <w:marLeft w:val="0"/>
              <w:marRight w:val="0"/>
              <w:marTop w:val="0"/>
              <w:marBottom w:val="0"/>
              <w:divBdr>
                <w:top w:val="none" w:sz="0" w:space="0" w:color="auto"/>
                <w:left w:val="none" w:sz="0" w:space="0" w:color="auto"/>
                <w:bottom w:val="none" w:sz="0" w:space="0" w:color="auto"/>
                <w:right w:val="none" w:sz="0" w:space="0" w:color="auto"/>
              </w:divBdr>
            </w:div>
            <w:div w:id="1759516628">
              <w:marLeft w:val="0"/>
              <w:marRight w:val="0"/>
              <w:marTop w:val="0"/>
              <w:marBottom w:val="0"/>
              <w:divBdr>
                <w:top w:val="none" w:sz="0" w:space="0" w:color="auto"/>
                <w:left w:val="none" w:sz="0" w:space="0" w:color="auto"/>
                <w:bottom w:val="none" w:sz="0" w:space="0" w:color="auto"/>
                <w:right w:val="none" w:sz="0" w:space="0" w:color="auto"/>
              </w:divBdr>
            </w:div>
            <w:div w:id="1779593546">
              <w:marLeft w:val="0"/>
              <w:marRight w:val="0"/>
              <w:marTop w:val="0"/>
              <w:marBottom w:val="0"/>
              <w:divBdr>
                <w:top w:val="none" w:sz="0" w:space="0" w:color="auto"/>
                <w:left w:val="none" w:sz="0" w:space="0" w:color="auto"/>
                <w:bottom w:val="none" w:sz="0" w:space="0" w:color="auto"/>
                <w:right w:val="none" w:sz="0" w:space="0" w:color="auto"/>
              </w:divBdr>
            </w:div>
            <w:div w:id="1804158915">
              <w:marLeft w:val="0"/>
              <w:marRight w:val="0"/>
              <w:marTop w:val="0"/>
              <w:marBottom w:val="0"/>
              <w:divBdr>
                <w:top w:val="none" w:sz="0" w:space="0" w:color="auto"/>
                <w:left w:val="none" w:sz="0" w:space="0" w:color="auto"/>
                <w:bottom w:val="none" w:sz="0" w:space="0" w:color="auto"/>
                <w:right w:val="none" w:sz="0" w:space="0" w:color="auto"/>
              </w:divBdr>
            </w:div>
            <w:div w:id="1829974665">
              <w:marLeft w:val="0"/>
              <w:marRight w:val="0"/>
              <w:marTop w:val="0"/>
              <w:marBottom w:val="0"/>
              <w:divBdr>
                <w:top w:val="none" w:sz="0" w:space="0" w:color="auto"/>
                <w:left w:val="none" w:sz="0" w:space="0" w:color="auto"/>
                <w:bottom w:val="none" w:sz="0" w:space="0" w:color="auto"/>
                <w:right w:val="none" w:sz="0" w:space="0" w:color="auto"/>
              </w:divBdr>
            </w:div>
            <w:div w:id="1868257045">
              <w:marLeft w:val="0"/>
              <w:marRight w:val="0"/>
              <w:marTop w:val="0"/>
              <w:marBottom w:val="0"/>
              <w:divBdr>
                <w:top w:val="none" w:sz="0" w:space="0" w:color="auto"/>
                <w:left w:val="none" w:sz="0" w:space="0" w:color="auto"/>
                <w:bottom w:val="none" w:sz="0" w:space="0" w:color="auto"/>
                <w:right w:val="none" w:sz="0" w:space="0" w:color="auto"/>
              </w:divBdr>
            </w:div>
            <w:div w:id="1987583474">
              <w:marLeft w:val="0"/>
              <w:marRight w:val="0"/>
              <w:marTop w:val="0"/>
              <w:marBottom w:val="0"/>
              <w:divBdr>
                <w:top w:val="none" w:sz="0" w:space="0" w:color="auto"/>
                <w:left w:val="none" w:sz="0" w:space="0" w:color="auto"/>
                <w:bottom w:val="none" w:sz="0" w:space="0" w:color="auto"/>
                <w:right w:val="none" w:sz="0" w:space="0" w:color="auto"/>
              </w:divBdr>
            </w:div>
            <w:div w:id="2094430124">
              <w:marLeft w:val="0"/>
              <w:marRight w:val="0"/>
              <w:marTop w:val="0"/>
              <w:marBottom w:val="0"/>
              <w:divBdr>
                <w:top w:val="none" w:sz="0" w:space="0" w:color="auto"/>
                <w:left w:val="none" w:sz="0" w:space="0" w:color="auto"/>
                <w:bottom w:val="none" w:sz="0" w:space="0" w:color="auto"/>
                <w:right w:val="none" w:sz="0" w:space="0" w:color="auto"/>
              </w:divBdr>
            </w:div>
            <w:div w:id="2099519906">
              <w:marLeft w:val="0"/>
              <w:marRight w:val="0"/>
              <w:marTop w:val="0"/>
              <w:marBottom w:val="0"/>
              <w:divBdr>
                <w:top w:val="none" w:sz="0" w:space="0" w:color="auto"/>
                <w:left w:val="none" w:sz="0" w:space="0" w:color="auto"/>
                <w:bottom w:val="none" w:sz="0" w:space="0" w:color="auto"/>
                <w:right w:val="none" w:sz="0" w:space="0" w:color="auto"/>
              </w:divBdr>
            </w:div>
            <w:div w:id="21243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hishi@ken.ja-shizuoka.or.jp"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4944</Words>
  <Characters>28185</Characters>
  <Application>Microsoft Office Word</Application>
  <DocSecurity>0</DocSecurity>
  <Lines>234</Lines>
  <Paragraphs>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Format for editorial</vt:lpstr>
      <vt:lpstr>Format for editorial</vt:lpstr>
    </vt:vector>
  </TitlesOfParts>
  <Company> </Company>
  <LinksUpToDate>false</LinksUpToDate>
  <CharactersWithSpaces>33063</CharactersWithSpaces>
  <SharedDoc>false</SharedDoc>
  <HLinks>
    <vt:vector size="18" baseType="variant">
      <vt:variant>
        <vt:i4>2555949</vt:i4>
      </vt:variant>
      <vt:variant>
        <vt:i4>6</vt:i4>
      </vt:variant>
      <vt:variant>
        <vt:i4>0</vt:i4>
      </vt:variant>
      <vt:variant>
        <vt:i4>5</vt:i4>
      </vt:variant>
      <vt:variant>
        <vt:lpwstr>http://creativecommons.org/licenses/by-nc/4.0/</vt:lpwstr>
      </vt:variant>
      <vt:variant>
        <vt:lpwstr/>
      </vt:variant>
      <vt:variant>
        <vt:i4>458846</vt:i4>
      </vt:variant>
      <vt:variant>
        <vt:i4>3</vt:i4>
      </vt:variant>
      <vt:variant>
        <vt:i4>0</vt:i4>
      </vt:variant>
      <vt:variant>
        <vt:i4>5</vt:i4>
      </vt:variant>
      <vt:variant>
        <vt:lpwstr>http://www.crossref.org/SimpleTextQuery/</vt:lpwstr>
      </vt:variant>
      <vt:variant>
        <vt:lpwstr/>
      </vt:variant>
      <vt:variant>
        <vt:i4>7340048</vt:i4>
      </vt:variant>
      <vt:variant>
        <vt:i4>0</vt:i4>
      </vt:variant>
      <vt:variant>
        <vt:i4>0</vt:i4>
      </vt:variant>
      <vt:variant>
        <vt:i4>5</vt:i4>
      </vt:variant>
      <vt:variant>
        <vt:lpwstr>http://www.icmje.org/recommendations/archives/2008_urm.pdf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editorial</dc:title>
  <dc:subject/>
  <dc:creator>Jin-Lei Wang</dc:creator>
  <cp:keywords/>
  <dc:description/>
  <cp:lastModifiedBy>LS Ma</cp:lastModifiedBy>
  <cp:revision>2</cp:revision>
  <dcterms:created xsi:type="dcterms:W3CDTF">2015-06-18T18:16:00Z</dcterms:created>
  <dcterms:modified xsi:type="dcterms:W3CDTF">2015-06-18T18:16:00Z</dcterms:modified>
</cp:coreProperties>
</file>