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309" w:rsidRPr="00E053E9" w:rsidRDefault="00742F48" w:rsidP="004C3987">
      <w:pPr>
        <w:pStyle w:val="PlainText"/>
        <w:adjustRightInd w:val="0"/>
        <w:snapToGrid w:val="0"/>
        <w:spacing w:line="360" w:lineRule="auto"/>
        <w:rPr>
          <w:rFonts w:ascii="Book Antiqua" w:hAnsi="Book Antiqua" w:cs="Tahoma"/>
          <w:b/>
          <w:sz w:val="24"/>
          <w:szCs w:val="24"/>
        </w:rPr>
      </w:pPr>
      <w:bookmarkStart w:id="0" w:name="OLE_LINK1434"/>
      <w:bookmarkStart w:id="1" w:name="OLE_LINK1435"/>
      <w:bookmarkStart w:id="2" w:name="OLE_LINK1995"/>
      <w:r w:rsidRPr="00E053E9">
        <w:rPr>
          <w:rFonts w:ascii="Book Antiqua" w:hAnsi="Book Antiqua" w:cs="Tahoma"/>
          <w:b/>
          <w:sz w:val="24"/>
          <w:szCs w:val="24"/>
        </w:rPr>
        <w:t xml:space="preserve">Name of journal: </w:t>
      </w:r>
      <w:r w:rsidRPr="00E053E9">
        <w:rPr>
          <w:rFonts w:ascii="Book Antiqua" w:hAnsi="Book Antiqua" w:cs="Arial"/>
          <w:i/>
          <w:sz w:val="24"/>
          <w:szCs w:val="24"/>
        </w:rPr>
        <w:t>World Journal of Gastroenterology</w:t>
      </w:r>
    </w:p>
    <w:p w:rsidR="00BB3BDF" w:rsidRPr="00E053E9" w:rsidRDefault="00742F48" w:rsidP="004C3987">
      <w:pPr>
        <w:pStyle w:val="PlainText"/>
        <w:adjustRightInd w:val="0"/>
        <w:snapToGrid w:val="0"/>
        <w:spacing w:line="360" w:lineRule="auto"/>
        <w:rPr>
          <w:rFonts w:ascii="Book Antiqua" w:hAnsi="Book Antiqua" w:cs="Tahoma"/>
          <w:b/>
          <w:sz w:val="24"/>
          <w:szCs w:val="24"/>
        </w:rPr>
      </w:pPr>
      <w:r w:rsidRPr="00E053E9">
        <w:rPr>
          <w:rFonts w:ascii="Book Antiqua" w:hAnsi="Book Antiqua" w:cs="Tahoma"/>
          <w:b/>
          <w:sz w:val="24"/>
          <w:szCs w:val="24"/>
        </w:rPr>
        <w:t>ESPS Manuscript NO: 18280</w:t>
      </w:r>
    </w:p>
    <w:p w:rsidR="00BB3BDF" w:rsidRPr="00E053E9" w:rsidRDefault="00742F48" w:rsidP="004C3987">
      <w:pPr>
        <w:pStyle w:val="PlainText"/>
        <w:adjustRightInd w:val="0"/>
        <w:snapToGrid w:val="0"/>
        <w:spacing w:line="360" w:lineRule="auto"/>
        <w:rPr>
          <w:rFonts w:ascii="Book Antiqua" w:eastAsia="YouYuan" w:hAnsi="Book Antiqua"/>
          <w:b/>
          <w:sz w:val="24"/>
          <w:szCs w:val="24"/>
        </w:rPr>
      </w:pPr>
      <w:bookmarkStart w:id="3" w:name="OLE_LINK3"/>
      <w:bookmarkStart w:id="4" w:name="OLE_LINK4"/>
      <w:r w:rsidRPr="00E053E9">
        <w:rPr>
          <w:rFonts w:ascii="Book Antiqua" w:hAnsi="Book Antiqua"/>
          <w:b/>
          <w:kern w:val="0"/>
          <w:sz w:val="24"/>
          <w:szCs w:val="24"/>
        </w:rPr>
        <w:t>Columns:</w:t>
      </w:r>
      <w:bookmarkEnd w:id="3"/>
      <w:bookmarkEnd w:id="4"/>
      <w:r w:rsidRPr="00E053E9">
        <w:rPr>
          <w:rFonts w:ascii="Book Antiqua" w:eastAsia="YouYuan" w:hAnsi="Book Antiqua"/>
          <w:b/>
          <w:sz w:val="24"/>
          <w:szCs w:val="24"/>
        </w:rPr>
        <w:t xml:space="preserve"> </w:t>
      </w:r>
      <w:r w:rsidR="001F6359" w:rsidRPr="00E053E9">
        <w:rPr>
          <w:rFonts w:ascii="Book Antiqua" w:eastAsia="YouYuan" w:hAnsi="Book Antiqua"/>
          <w:b/>
          <w:sz w:val="24"/>
          <w:szCs w:val="24"/>
        </w:rPr>
        <w:t>REVIEW</w:t>
      </w:r>
    </w:p>
    <w:p w:rsidR="001F6359" w:rsidRPr="00E053E9" w:rsidRDefault="001F6359" w:rsidP="004C3987">
      <w:pPr>
        <w:pStyle w:val="PlainText"/>
        <w:adjustRightInd w:val="0"/>
        <w:snapToGrid w:val="0"/>
        <w:spacing w:line="360" w:lineRule="auto"/>
        <w:rPr>
          <w:rFonts w:ascii="Book Antiqua" w:hAnsi="Book Antiqua"/>
          <w:b/>
          <w:kern w:val="0"/>
          <w:sz w:val="24"/>
          <w:szCs w:val="24"/>
        </w:rPr>
      </w:pPr>
    </w:p>
    <w:p w:rsidR="00BB3BDF" w:rsidRPr="00E053E9" w:rsidRDefault="00742F48" w:rsidP="004C3987">
      <w:pPr>
        <w:adjustRightInd w:val="0"/>
        <w:snapToGrid w:val="0"/>
        <w:spacing w:line="360" w:lineRule="auto"/>
        <w:jc w:val="both"/>
        <w:rPr>
          <w:rFonts w:ascii="Book Antiqua" w:eastAsiaTheme="minorEastAsia" w:hAnsi="Book Antiqua"/>
          <w:b/>
          <w:lang w:eastAsia="zh-CN"/>
        </w:rPr>
      </w:pPr>
      <w:bookmarkStart w:id="5" w:name="OLE_LINK665"/>
      <w:bookmarkStart w:id="6" w:name="OLE_LINK666"/>
      <w:bookmarkStart w:id="7" w:name="OLE_LINK729"/>
      <w:bookmarkEnd w:id="0"/>
      <w:bookmarkEnd w:id="1"/>
      <w:bookmarkEnd w:id="2"/>
      <w:r w:rsidRPr="00E053E9">
        <w:rPr>
          <w:rFonts w:ascii="Book Antiqua" w:hAnsi="Book Antiqua"/>
          <w:b/>
        </w:rPr>
        <w:t xml:space="preserve">Microscopic </w:t>
      </w:r>
      <w:r w:rsidR="001F6359" w:rsidRPr="00E053E9">
        <w:rPr>
          <w:rFonts w:ascii="Book Antiqua" w:hAnsi="Book Antiqua"/>
          <w:b/>
        </w:rPr>
        <w:t>colitis</w:t>
      </w:r>
      <w:r w:rsidRPr="00E053E9">
        <w:rPr>
          <w:rFonts w:ascii="Book Antiqua" w:hAnsi="Book Antiqua"/>
          <w:b/>
        </w:rPr>
        <w:t>: A review of etiology, treatment, and refractory disease</w:t>
      </w:r>
    </w:p>
    <w:p w:rsidR="00BB3BDF" w:rsidRPr="00E053E9" w:rsidRDefault="00742F48" w:rsidP="004C3987">
      <w:pPr>
        <w:adjustRightInd w:val="0"/>
        <w:snapToGrid w:val="0"/>
        <w:spacing w:line="360" w:lineRule="auto"/>
        <w:jc w:val="both"/>
        <w:rPr>
          <w:rFonts w:ascii="Book Antiqua" w:eastAsiaTheme="minorEastAsia" w:hAnsi="Book Antiqua"/>
          <w:lang w:eastAsia="zh-CN"/>
        </w:rPr>
      </w:pPr>
      <w:bookmarkStart w:id="8" w:name="OLE_LINK414"/>
      <w:bookmarkStart w:id="9" w:name="OLE_LINK419"/>
      <w:bookmarkStart w:id="10" w:name="OLE_LINK593"/>
      <w:bookmarkStart w:id="11" w:name="OLE_LINK1045"/>
      <w:bookmarkStart w:id="12" w:name="OLE_LINK527"/>
      <w:bookmarkStart w:id="13" w:name="OLE_LINK626"/>
      <w:bookmarkStart w:id="14" w:name="OLE_LINK698"/>
      <w:bookmarkStart w:id="15" w:name="OLE_LINK741"/>
      <w:bookmarkStart w:id="16" w:name="OLE_LINK1014"/>
      <w:bookmarkStart w:id="17" w:name="OLE_LINK1177"/>
      <w:bookmarkStart w:id="18" w:name="OLE_LINK1349"/>
      <w:bookmarkStart w:id="19" w:name="OLE_LINK278"/>
      <w:bookmarkStart w:id="20" w:name="OLE_LINK1405"/>
      <w:bookmarkStart w:id="21" w:name="OLE_LINK1789"/>
      <w:bookmarkStart w:id="22" w:name="OLE_LINK1875"/>
      <w:bookmarkStart w:id="23" w:name="OLE_LINK1950"/>
      <w:bookmarkStart w:id="24" w:name="OLE_LINK1989"/>
      <w:bookmarkStart w:id="25" w:name="OLE_LINK1990"/>
      <w:bookmarkStart w:id="26" w:name="OLE_LINK2077"/>
      <w:bookmarkStart w:id="27" w:name="OLE_LINK2232"/>
      <w:bookmarkStart w:id="28" w:name="OLE_LINK893"/>
      <w:bookmarkStart w:id="29" w:name="OLE_LINK256"/>
      <w:bookmarkStart w:id="30" w:name="OLE_LINK380"/>
      <w:bookmarkStart w:id="31" w:name="OLE_LINK1232"/>
      <w:bookmarkStart w:id="32" w:name="OLE_LINK282"/>
      <w:bookmarkStart w:id="33" w:name="OLE_LINK474"/>
      <w:bookmarkStart w:id="34" w:name="OLE_LINK1873"/>
      <w:bookmarkStart w:id="35" w:name="OLE_LINK1866"/>
      <w:bookmarkStart w:id="36" w:name="OLE_LINK1957"/>
      <w:bookmarkStart w:id="37" w:name="OLE_LINK2650"/>
      <w:bookmarkStart w:id="38" w:name="OLE_LINK2662"/>
      <w:bookmarkEnd w:id="5"/>
      <w:bookmarkEnd w:id="6"/>
      <w:bookmarkEnd w:id="7"/>
      <w:r w:rsidRPr="00E053E9">
        <w:rPr>
          <w:rFonts w:ascii="Book Antiqua" w:eastAsiaTheme="minorEastAsia" w:hAnsi="Book Antiqua"/>
          <w:lang w:eastAsia="zh-CN"/>
        </w:rPr>
        <w:t xml:space="preserve"> </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BB3BDF" w:rsidRPr="00E053E9" w:rsidRDefault="001F6359" w:rsidP="004C3987">
      <w:pPr>
        <w:adjustRightInd w:val="0"/>
        <w:snapToGrid w:val="0"/>
        <w:spacing w:line="360" w:lineRule="auto"/>
        <w:jc w:val="both"/>
        <w:rPr>
          <w:rFonts w:ascii="Book Antiqua" w:hAnsi="Book Antiqua"/>
        </w:rPr>
      </w:pPr>
      <w:r w:rsidRPr="00E053E9">
        <w:rPr>
          <w:rFonts w:ascii="Book Antiqua" w:eastAsiaTheme="minorEastAsia" w:hAnsi="Book Antiqua"/>
          <w:lang w:eastAsia="zh-CN"/>
        </w:rPr>
        <w:t xml:space="preserve">Park </w:t>
      </w:r>
      <w:r w:rsidRPr="00E053E9">
        <w:rPr>
          <w:rFonts w:ascii="Book Antiqua" w:eastAsiaTheme="minorEastAsia" w:hAnsi="Book Antiqua" w:hint="eastAsia"/>
          <w:lang w:eastAsia="zh-CN"/>
        </w:rPr>
        <w:t xml:space="preserve">T </w:t>
      </w:r>
      <w:r w:rsidR="00E26E89" w:rsidRPr="00E053E9">
        <w:rPr>
          <w:rFonts w:ascii="Book Antiqua" w:eastAsiaTheme="minorEastAsia" w:hAnsi="Book Antiqua" w:hint="eastAsia"/>
          <w:i/>
          <w:lang w:eastAsia="zh-CN"/>
        </w:rPr>
        <w:t>et al</w:t>
      </w:r>
      <w:r w:rsidRPr="00E053E9">
        <w:rPr>
          <w:rFonts w:ascii="Book Antiqua" w:eastAsiaTheme="minorEastAsia" w:hAnsi="Book Antiqua" w:hint="eastAsia"/>
          <w:i/>
          <w:lang w:eastAsia="zh-CN"/>
        </w:rPr>
        <w:t>.</w:t>
      </w:r>
      <w:r w:rsidRPr="00E053E9">
        <w:rPr>
          <w:rFonts w:ascii="Book Antiqua" w:eastAsiaTheme="minorEastAsia" w:hAnsi="Book Antiqua" w:hint="eastAsia"/>
          <w:lang w:eastAsia="zh-CN"/>
        </w:rPr>
        <w:t xml:space="preserve"> </w:t>
      </w:r>
      <w:r w:rsidR="00742F48" w:rsidRPr="00E053E9">
        <w:rPr>
          <w:rFonts w:ascii="Book Antiqua" w:eastAsiaTheme="minorEastAsia" w:hAnsi="Book Antiqua"/>
          <w:lang w:eastAsia="zh-CN"/>
        </w:rPr>
        <w:t xml:space="preserve">Etiology and management of microscopic colitis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eastAsiaTheme="minorEastAsia" w:hAnsi="Book Antiqua"/>
          <w:lang w:eastAsia="zh-CN"/>
        </w:rPr>
      </w:pPr>
      <w:bookmarkStart w:id="39" w:name="OLE_LINK725"/>
      <w:bookmarkStart w:id="40" w:name="OLE_LINK726"/>
      <w:bookmarkStart w:id="41" w:name="OLE_LINK703"/>
      <w:bookmarkStart w:id="42" w:name="OLE_LINK704"/>
      <w:bookmarkStart w:id="43" w:name="OLE_LINK730"/>
      <w:r w:rsidRPr="00E053E9">
        <w:rPr>
          <w:rFonts w:ascii="Book Antiqua" w:hAnsi="Book Antiqua"/>
        </w:rPr>
        <w:t>Tina Park</w:t>
      </w:r>
      <w:bookmarkEnd w:id="39"/>
      <w:bookmarkEnd w:id="40"/>
      <w:r w:rsidRPr="00E053E9">
        <w:rPr>
          <w:rFonts w:ascii="Book Antiqua" w:hAnsi="Book Antiqua"/>
        </w:rPr>
        <w:t>, David Cave, Christopher Marshall</w:t>
      </w:r>
    </w:p>
    <w:bookmarkEnd w:id="41"/>
    <w:bookmarkEnd w:id="42"/>
    <w:bookmarkEnd w:id="43"/>
    <w:p w:rsidR="00BB3BDF" w:rsidRPr="00E053E9" w:rsidRDefault="00BB3BDF" w:rsidP="004C3987">
      <w:pPr>
        <w:adjustRightInd w:val="0"/>
        <w:snapToGrid w:val="0"/>
        <w:spacing w:line="360" w:lineRule="auto"/>
        <w:jc w:val="both"/>
        <w:rPr>
          <w:rFonts w:ascii="Book Antiqua" w:eastAsiaTheme="minorEastAsia" w:hAnsi="Book Antiqua"/>
          <w:lang w:eastAsia="zh-CN"/>
        </w:rPr>
      </w:pPr>
    </w:p>
    <w:p w:rsidR="00286163" w:rsidRPr="00E053E9" w:rsidRDefault="00286163" w:rsidP="004C3987">
      <w:pPr>
        <w:adjustRightInd w:val="0"/>
        <w:snapToGrid w:val="0"/>
        <w:spacing w:line="360" w:lineRule="auto"/>
        <w:jc w:val="both"/>
        <w:rPr>
          <w:rFonts w:ascii="Book Antiqua" w:eastAsiaTheme="minorEastAsia" w:hAnsi="Book Antiqua"/>
          <w:b/>
          <w:lang w:eastAsia="zh-CN"/>
        </w:rPr>
      </w:pPr>
      <w:r w:rsidRPr="00E053E9">
        <w:rPr>
          <w:rFonts w:ascii="Book Antiqua" w:eastAsiaTheme="minorEastAsia" w:hAnsi="Book Antiqua"/>
          <w:b/>
          <w:lang w:eastAsia="zh-CN"/>
        </w:rPr>
        <w:t>Tina Park, David Cave, Christopher Marshall</w:t>
      </w:r>
      <w:r w:rsidRPr="00E053E9">
        <w:rPr>
          <w:rFonts w:ascii="Book Antiqua" w:eastAsiaTheme="minorEastAsia" w:hAnsi="Book Antiqua" w:hint="eastAsia"/>
          <w:b/>
          <w:lang w:eastAsia="zh-CN"/>
        </w:rPr>
        <w:t xml:space="preserve">, </w:t>
      </w:r>
      <w:r w:rsidRPr="00E053E9">
        <w:rPr>
          <w:rFonts w:ascii="Book Antiqua" w:hAnsi="Book Antiqua"/>
        </w:rPr>
        <w:t>Department of Medicine, Division of Gastroenterology</w:t>
      </w:r>
      <w:r w:rsidRPr="00E053E9">
        <w:rPr>
          <w:rFonts w:ascii="Book Antiqua" w:eastAsiaTheme="minorEastAsia" w:hAnsi="Book Antiqua" w:hint="eastAsia"/>
          <w:lang w:eastAsia="zh-CN"/>
        </w:rPr>
        <w:t xml:space="preserve">, </w:t>
      </w:r>
      <w:r w:rsidRPr="00E053E9">
        <w:rPr>
          <w:rFonts w:ascii="Book Antiqua" w:hAnsi="Book Antiqua"/>
        </w:rPr>
        <w:t>University of Massachusetts</w:t>
      </w:r>
      <w:r w:rsidRPr="00E053E9">
        <w:rPr>
          <w:rFonts w:ascii="Book Antiqua" w:eastAsiaTheme="minorEastAsia" w:hAnsi="Book Antiqua" w:hint="eastAsia"/>
          <w:lang w:eastAsia="zh-CN"/>
        </w:rPr>
        <w:t>,</w:t>
      </w:r>
      <w:r w:rsidRPr="00E053E9">
        <w:rPr>
          <w:rFonts w:ascii="Book Antiqua" w:hAnsi="Book Antiqua"/>
        </w:rPr>
        <w:t xml:space="preserve"> Worcester, MA 01655</w:t>
      </w:r>
      <w:r w:rsidRPr="00E053E9">
        <w:rPr>
          <w:rFonts w:ascii="Book Antiqua" w:eastAsiaTheme="minorEastAsia" w:hAnsi="Book Antiqua" w:hint="eastAsia"/>
          <w:lang w:eastAsia="zh-CN"/>
        </w:rPr>
        <w:t>, United States</w:t>
      </w:r>
    </w:p>
    <w:p w:rsidR="00286163" w:rsidRPr="00E053E9" w:rsidRDefault="00286163" w:rsidP="004C3987">
      <w:pPr>
        <w:adjustRightInd w:val="0"/>
        <w:snapToGrid w:val="0"/>
        <w:spacing w:line="360" w:lineRule="auto"/>
        <w:jc w:val="both"/>
        <w:rPr>
          <w:rFonts w:ascii="Book Antiqua" w:eastAsiaTheme="minorEastAsia" w:hAnsi="Book Antiqua"/>
          <w:lang w:eastAsia="zh-CN"/>
        </w:rPr>
      </w:pPr>
    </w:p>
    <w:p w:rsidR="00BB3BDF" w:rsidRPr="00E053E9" w:rsidRDefault="004C3987" w:rsidP="004C3987">
      <w:pPr>
        <w:adjustRightInd w:val="0"/>
        <w:snapToGrid w:val="0"/>
        <w:spacing w:line="360" w:lineRule="auto"/>
        <w:jc w:val="both"/>
        <w:rPr>
          <w:rFonts w:ascii="Book Antiqua" w:eastAsiaTheme="minorEastAsia" w:hAnsi="Book Antiqua"/>
          <w:lang w:eastAsia="zh-CN"/>
        </w:rPr>
      </w:pPr>
      <w:r w:rsidRPr="00E053E9">
        <w:rPr>
          <w:rFonts w:ascii="Book Antiqua" w:eastAsiaTheme="minorEastAsia" w:hAnsi="Book Antiqua"/>
          <w:b/>
          <w:lang w:eastAsia="zh-CN"/>
        </w:rPr>
        <w:t xml:space="preserve">Author contributions: </w:t>
      </w:r>
      <w:r w:rsidR="00742F48" w:rsidRPr="00E053E9">
        <w:rPr>
          <w:rFonts w:ascii="Book Antiqua" w:eastAsiaTheme="minorEastAsia" w:hAnsi="Book Antiqua"/>
          <w:lang w:eastAsia="zh-CN"/>
        </w:rPr>
        <w:t>Park T performed literature search, wrote the paper, and revised the paper</w:t>
      </w:r>
      <w:r w:rsidR="007C4E5D" w:rsidRPr="00E053E9">
        <w:rPr>
          <w:rFonts w:ascii="Book Antiqua" w:eastAsiaTheme="minorEastAsia" w:hAnsi="Book Antiqua" w:hint="eastAsia"/>
          <w:lang w:eastAsia="zh-CN"/>
        </w:rPr>
        <w:t>;</w:t>
      </w:r>
      <w:r w:rsidR="00742F48" w:rsidRPr="00E053E9">
        <w:rPr>
          <w:rFonts w:ascii="Book Antiqua" w:eastAsiaTheme="minorEastAsia" w:hAnsi="Book Antiqua"/>
          <w:lang w:eastAsia="zh-CN"/>
        </w:rPr>
        <w:t xml:space="preserve"> Cave D and Marshall C provided guidance and contributed to the revision and of the article.</w:t>
      </w:r>
    </w:p>
    <w:p w:rsidR="00BB3BDF" w:rsidRPr="00E053E9" w:rsidRDefault="00BB3BDF" w:rsidP="004C3987">
      <w:pPr>
        <w:adjustRightInd w:val="0"/>
        <w:snapToGrid w:val="0"/>
        <w:spacing w:line="360" w:lineRule="auto"/>
        <w:jc w:val="both"/>
        <w:rPr>
          <w:rFonts w:ascii="Book Antiqua" w:eastAsiaTheme="minorEastAsia" w:hAnsi="Book Antiqua"/>
          <w:lang w:eastAsia="zh-CN"/>
        </w:rPr>
      </w:pPr>
    </w:p>
    <w:p w:rsidR="00BB3BDF" w:rsidRPr="00E053E9" w:rsidRDefault="00742F48" w:rsidP="004C3987">
      <w:pPr>
        <w:adjustRightInd w:val="0"/>
        <w:snapToGrid w:val="0"/>
        <w:spacing w:line="360" w:lineRule="auto"/>
        <w:jc w:val="both"/>
        <w:rPr>
          <w:rFonts w:ascii="Book Antiqua" w:hAnsi="Book Antiqua"/>
          <w:b/>
        </w:rPr>
      </w:pPr>
      <w:bookmarkStart w:id="44" w:name="OLE_LINK2708"/>
      <w:bookmarkStart w:id="45" w:name="OLE_LINK2709"/>
      <w:bookmarkStart w:id="46" w:name="OLE_LINK2752"/>
      <w:bookmarkStart w:id="47" w:name="OLE_LINK2763"/>
      <w:r w:rsidRPr="00E053E9">
        <w:rPr>
          <w:rFonts w:ascii="Book Antiqua" w:hAnsi="Book Antiqua"/>
          <w:b/>
        </w:rPr>
        <w:t>Conflict-of-interest:</w:t>
      </w:r>
      <w:bookmarkEnd w:id="44"/>
      <w:bookmarkEnd w:id="45"/>
      <w:bookmarkEnd w:id="46"/>
      <w:bookmarkEnd w:id="47"/>
      <w:r w:rsidR="00286163" w:rsidRPr="00E053E9">
        <w:rPr>
          <w:rFonts w:ascii="Book Antiqua" w:eastAsiaTheme="minorEastAsia" w:hAnsi="Book Antiqua" w:hint="eastAsia"/>
          <w:b/>
          <w:lang w:eastAsia="zh-CN"/>
        </w:rPr>
        <w:t xml:space="preserve"> </w:t>
      </w:r>
      <w:r w:rsidRPr="00E053E9">
        <w:rPr>
          <w:rFonts w:ascii="Book Antiqua" w:hAnsi="Book Antiqua" w:cs="ArialMT"/>
        </w:rPr>
        <w:t>Tina Park is a gastroenterology fellow at University of Massachusetts (Worcester, MA)</w:t>
      </w:r>
      <w:r w:rsidR="00286163" w:rsidRPr="00E053E9">
        <w:rPr>
          <w:rFonts w:ascii="Book Antiqua" w:eastAsiaTheme="minorEastAsia" w:hAnsi="Book Antiqua" w:cs="ArialMT" w:hint="eastAsia"/>
          <w:lang w:eastAsia="zh-CN"/>
        </w:rPr>
        <w:t>.</w:t>
      </w:r>
      <w:r w:rsidRPr="00E053E9">
        <w:rPr>
          <w:rFonts w:ascii="Book Antiqua" w:hAnsi="Book Antiqua" w:cs="ArialMT"/>
        </w:rPr>
        <w:t>David Cave is an attending gastroenterologist and professor of medicine at University of</w:t>
      </w:r>
      <w:r w:rsidRPr="00E053E9">
        <w:rPr>
          <w:rFonts w:ascii="Book Antiqua" w:hAnsi="Book Antiqua"/>
        </w:rPr>
        <w:t xml:space="preserve"> </w:t>
      </w:r>
      <w:r w:rsidRPr="00E053E9">
        <w:rPr>
          <w:rFonts w:ascii="Book Antiqua" w:hAnsi="Book Antiqua" w:cs="ArialMT"/>
        </w:rPr>
        <w:t>Massachusetts (Worcester, MA). Christopher Marshall is an attending gastroenterologist and assistant professor of medicine at University of Massachusetts (Worcester, MA)</w:t>
      </w:r>
      <w:r w:rsidR="00286163" w:rsidRPr="00E053E9">
        <w:rPr>
          <w:rFonts w:ascii="Book Antiqua" w:eastAsiaTheme="minorEastAsia" w:hAnsi="Book Antiqua" w:cs="ArialMT" w:hint="eastAsia"/>
          <w:lang w:eastAsia="zh-CN"/>
        </w:rPr>
        <w:t>.</w:t>
      </w:r>
      <w:r w:rsidRPr="00E053E9">
        <w:rPr>
          <w:rFonts w:ascii="Book Antiqua" w:hAnsi="Book Antiqua" w:cs="ArialMT"/>
        </w:rPr>
        <w:t xml:space="preserve"> </w:t>
      </w:r>
      <w:r w:rsidR="00286163" w:rsidRPr="00E053E9">
        <w:rPr>
          <w:rFonts w:ascii="Book Antiqua" w:eastAsiaTheme="minorEastAsia" w:hAnsi="Book Antiqua" w:cs="ArialMT" w:hint="eastAsia"/>
          <w:lang w:eastAsia="zh-CN"/>
        </w:rPr>
        <w:t xml:space="preserve">All authors </w:t>
      </w:r>
      <w:r w:rsidR="00286163" w:rsidRPr="00E053E9">
        <w:rPr>
          <w:rFonts w:ascii="Book Antiqua" w:hAnsi="Book Antiqua" w:cs="ArialMT"/>
        </w:rPr>
        <w:t>report</w:t>
      </w:r>
      <w:r w:rsidRPr="00E053E9">
        <w:rPr>
          <w:rFonts w:ascii="Book Antiqua" w:hAnsi="Book Antiqua" w:cs="ArialMT"/>
        </w:rPr>
        <w:t xml:space="preserve"> no conflict of interest.</w:t>
      </w:r>
    </w:p>
    <w:p w:rsidR="00BB3BDF" w:rsidRPr="00E053E9" w:rsidRDefault="00BB3BDF" w:rsidP="004C3987">
      <w:pPr>
        <w:adjustRightInd w:val="0"/>
        <w:snapToGrid w:val="0"/>
        <w:spacing w:line="360" w:lineRule="auto"/>
        <w:jc w:val="both"/>
        <w:rPr>
          <w:rFonts w:ascii="Book Antiqua" w:eastAsiaTheme="minorEastAsia" w:hAnsi="Book Antiqua"/>
          <w:b/>
          <w:lang w:eastAsia="zh-CN"/>
        </w:rPr>
      </w:pPr>
    </w:p>
    <w:p w:rsidR="00286163" w:rsidRPr="00E053E9" w:rsidRDefault="00286163" w:rsidP="00286163">
      <w:pPr>
        <w:spacing w:line="360" w:lineRule="auto"/>
        <w:jc w:val="both"/>
        <w:rPr>
          <w:rFonts w:ascii="Book Antiqua" w:hAnsi="Book Antiqua" w:cs="SimSun"/>
        </w:rPr>
      </w:pPr>
      <w:bookmarkStart w:id="48" w:name="OLE_LINK619"/>
      <w:bookmarkStart w:id="49" w:name="OLE_LINK620"/>
      <w:r w:rsidRPr="00E053E9">
        <w:rPr>
          <w:rFonts w:ascii="Book Antiqua" w:hAnsi="Book Antiqua"/>
          <w:b/>
        </w:rPr>
        <w:t xml:space="preserve">Open-Access: </w:t>
      </w:r>
      <w:bookmarkStart w:id="50" w:name="OLE_LINK479"/>
      <w:bookmarkStart w:id="51" w:name="OLE_LINK496"/>
      <w:bookmarkStart w:id="52" w:name="OLE_LINK506"/>
      <w:bookmarkStart w:id="53" w:name="OLE_LINK507"/>
      <w:bookmarkStart w:id="54" w:name="OLE_LINK731"/>
      <w:bookmarkStart w:id="55" w:name="OLE_LINK732"/>
      <w:r w:rsidRPr="00E053E9">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E053E9">
        <w:rPr>
          <w:rFonts w:ascii="Book Antiqua" w:hAnsi="Book Antiqua"/>
        </w:rPr>
        <w:lastRenderedPageBreak/>
        <w:t xml:space="preserve">adapt, build upon this work non-commercially, and license their derivative works on different terms, provided the original work is properly cited and the use is non-commercial. See: </w:t>
      </w:r>
      <w:hyperlink r:id="rId8" w:history="1">
        <w:r w:rsidRPr="00E053E9">
          <w:rPr>
            <w:rStyle w:val="Hyperlink"/>
            <w:rFonts w:ascii="Book Antiqua" w:hAnsi="Book Antiqua"/>
            <w:color w:val="auto"/>
          </w:rPr>
          <w:t>http://creativecommons.org/licenses/by-nc/4.0/</w:t>
        </w:r>
      </w:hyperlink>
      <w:bookmarkEnd w:id="50"/>
      <w:bookmarkEnd w:id="51"/>
      <w:bookmarkEnd w:id="52"/>
      <w:bookmarkEnd w:id="53"/>
    </w:p>
    <w:bookmarkEnd w:id="48"/>
    <w:bookmarkEnd w:id="49"/>
    <w:bookmarkEnd w:id="54"/>
    <w:bookmarkEnd w:id="55"/>
    <w:p w:rsidR="00BB3BDF" w:rsidRPr="00E053E9" w:rsidRDefault="00BB3BDF" w:rsidP="004C3987">
      <w:pPr>
        <w:adjustRightInd w:val="0"/>
        <w:snapToGrid w:val="0"/>
        <w:spacing w:line="360" w:lineRule="auto"/>
        <w:jc w:val="both"/>
        <w:rPr>
          <w:rFonts w:ascii="Book Antiqua" w:eastAsiaTheme="minorEastAsia" w:hAnsi="Book Antiqua"/>
          <w:b/>
          <w:lang w:eastAsia="zh-CN"/>
        </w:rPr>
      </w:pPr>
    </w:p>
    <w:p w:rsidR="00BB3BDF" w:rsidRPr="00E053E9" w:rsidRDefault="00286163" w:rsidP="004C3987">
      <w:pPr>
        <w:adjustRightInd w:val="0"/>
        <w:snapToGrid w:val="0"/>
        <w:spacing w:line="360" w:lineRule="auto"/>
        <w:jc w:val="both"/>
        <w:rPr>
          <w:rFonts w:ascii="Book Antiqua" w:eastAsiaTheme="minorEastAsia" w:hAnsi="Book Antiqua"/>
          <w:lang w:eastAsia="zh-CN"/>
        </w:rPr>
      </w:pPr>
      <w:r w:rsidRPr="00E053E9">
        <w:rPr>
          <w:rFonts w:ascii="Book Antiqua" w:hAnsi="Book Antiqua" w:cs="Arial"/>
          <w:b/>
        </w:rPr>
        <w:t>Correspondence to:</w:t>
      </w:r>
      <w:r w:rsidRPr="00E053E9">
        <w:rPr>
          <w:rFonts w:ascii="Book Antiqua" w:eastAsiaTheme="minorEastAsia" w:hAnsi="Book Antiqua" w:hint="eastAsia"/>
          <w:lang w:eastAsia="zh-CN"/>
        </w:rPr>
        <w:t xml:space="preserve"> </w:t>
      </w:r>
      <w:bookmarkStart w:id="56" w:name="OLE_LINK733"/>
      <w:r w:rsidR="00742F48" w:rsidRPr="00E053E9">
        <w:rPr>
          <w:rFonts w:ascii="Book Antiqua" w:hAnsi="Book Antiqua"/>
          <w:b/>
        </w:rPr>
        <w:t>Christopher Marshall, MD</w:t>
      </w:r>
      <w:r w:rsidRPr="00E053E9">
        <w:rPr>
          <w:rFonts w:ascii="Book Antiqua" w:eastAsiaTheme="minorEastAsia" w:hAnsi="Book Antiqua" w:hint="eastAsia"/>
          <w:b/>
          <w:lang w:eastAsia="zh-CN"/>
        </w:rPr>
        <w:t xml:space="preserve">, </w:t>
      </w:r>
      <w:r w:rsidR="00742F48" w:rsidRPr="00E053E9">
        <w:rPr>
          <w:rFonts w:ascii="Book Antiqua" w:hAnsi="Book Antiqua"/>
          <w:b/>
        </w:rPr>
        <w:t>Assistant Professor</w:t>
      </w:r>
      <w:r w:rsidRPr="00E053E9">
        <w:rPr>
          <w:rFonts w:ascii="Book Antiqua" w:eastAsiaTheme="minorEastAsia" w:hAnsi="Book Antiqua" w:hint="eastAsia"/>
          <w:b/>
          <w:lang w:eastAsia="zh-CN"/>
        </w:rPr>
        <w:t>,</w:t>
      </w:r>
      <w:r w:rsidR="00742F48" w:rsidRPr="00E053E9">
        <w:rPr>
          <w:rFonts w:ascii="Book Antiqua" w:hAnsi="Book Antiqua"/>
          <w:b/>
        </w:rPr>
        <w:t xml:space="preserve"> </w:t>
      </w:r>
      <w:r w:rsidR="00742F48" w:rsidRPr="00E053E9">
        <w:rPr>
          <w:rFonts w:ascii="Book Antiqua" w:hAnsi="Book Antiqua"/>
        </w:rPr>
        <w:t>Department of Medicin</w:t>
      </w:r>
      <w:r w:rsidRPr="00E053E9">
        <w:rPr>
          <w:rFonts w:ascii="Book Antiqua" w:hAnsi="Book Antiqua"/>
        </w:rPr>
        <w:t>e, Division of Gastroenterology</w:t>
      </w:r>
      <w:r w:rsidRPr="00E053E9">
        <w:rPr>
          <w:rFonts w:ascii="Book Antiqua" w:eastAsiaTheme="minorEastAsia" w:hAnsi="Book Antiqua" w:hint="eastAsia"/>
          <w:lang w:eastAsia="zh-CN"/>
        </w:rPr>
        <w:t xml:space="preserve">, </w:t>
      </w:r>
      <w:r w:rsidR="00742F48" w:rsidRPr="00E053E9">
        <w:rPr>
          <w:rFonts w:ascii="Book Antiqua" w:hAnsi="Book Antiqua"/>
        </w:rPr>
        <w:t>University of Massachusetts</w:t>
      </w:r>
      <w:r w:rsidRPr="00E053E9">
        <w:rPr>
          <w:rFonts w:ascii="Book Antiqua" w:eastAsiaTheme="minorEastAsia" w:hAnsi="Book Antiqua" w:hint="eastAsia"/>
          <w:lang w:eastAsia="zh-CN"/>
        </w:rPr>
        <w:t>,</w:t>
      </w:r>
      <w:r w:rsidR="00742F48" w:rsidRPr="00E053E9">
        <w:rPr>
          <w:rFonts w:ascii="Book Antiqua" w:hAnsi="Book Antiqua"/>
        </w:rPr>
        <w:t xml:space="preserve"> 55 Lake Avenue North</w:t>
      </w:r>
      <w:r w:rsidRPr="00E053E9">
        <w:rPr>
          <w:rFonts w:ascii="Book Antiqua" w:eastAsiaTheme="minorEastAsia" w:hAnsi="Book Antiqua" w:hint="eastAsia"/>
          <w:lang w:eastAsia="zh-CN"/>
        </w:rPr>
        <w:t xml:space="preserve">, </w:t>
      </w:r>
      <w:r w:rsidR="00742F48" w:rsidRPr="00E053E9">
        <w:rPr>
          <w:rFonts w:ascii="Book Antiqua" w:hAnsi="Book Antiqua"/>
        </w:rPr>
        <w:t>Worcester, MA 01655</w:t>
      </w:r>
      <w:r w:rsidRPr="00E053E9">
        <w:rPr>
          <w:rFonts w:ascii="Book Antiqua" w:eastAsiaTheme="minorEastAsia" w:hAnsi="Book Antiqua" w:hint="eastAsia"/>
          <w:lang w:eastAsia="zh-CN"/>
        </w:rPr>
        <w:t xml:space="preserve">, United States. </w:t>
      </w:r>
      <w:hyperlink r:id="rId9" w:history="1">
        <w:r w:rsidR="001819E0" w:rsidRPr="00E053E9">
          <w:rPr>
            <w:rStyle w:val="Hyperlink"/>
            <w:rFonts w:ascii="Book Antiqua" w:hAnsi="Book Antiqua"/>
            <w:color w:val="auto"/>
          </w:rPr>
          <w:t>christopher.marshall</w:t>
        </w:r>
        <w:r w:rsidR="00742F48" w:rsidRPr="00E053E9">
          <w:rPr>
            <w:rStyle w:val="Hyperlink"/>
            <w:rFonts w:ascii="Book Antiqua" w:hAnsi="Book Antiqua"/>
            <w:color w:val="auto"/>
          </w:rPr>
          <w:t>@umassmemorial.org</w:t>
        </w:r>
      </w:hyperlink>
      <w:bookmarkEnd w:id="56"/>
    </w:p>
    <w:p w:rsidR="00BB3BDF" w:rsidRPr="00E053E9" w:rsidRDefault="00286163" w:rsidP="004C3987">
      <w:pPr>
        <w:adjustRightInd w:val="0"/>
        <w:snapToGrid w:val="0"/>
        <w:spacing w:line="360" w:lineRule="auto"/>
        <w:jc w:val="both"/>
        <w:rPr>
          <w:rFonts w:ascii="Book Antiqua" w:hAnsi="Book Antiqua"/>
        </w:rPr>
      </w:pPr>
      <w:r w:rsidRPr="00E053E9">
        <w:rPr>
          <w:rFonts w:ascii="Book Antiqua" w:hAnsi="Book Antiqua" w:cs="Arial"/>
          <w:b/>
        </w:rPr>
        <w:t>Telephone:</w:t>
      </w:r>
      <w:r w:rsidRPr="00E053E9">
        <w:rPr>
          <w:rFonts w:ascii="Book Antiqua" w:eastAsiaTheme="minorEastAsia" w:hAnsi="Book Antiqua" w:cs="Arial" w:hint="eastAsia"/>
          <w:b/>
          <w:lang w:eastAsia="zh-CN"/>
        </w:rPr>
        <w:t xml:space="preserve"> </w:t>
      </w:r>
      <w:r w:rsidRPr="00E053E9">
        <w:rPr>
          <w:rFonts w:ascii="Book Antiqua" w:eastAsiaTheme="minorEastAsia" w:hAnsi="Book Antiqua" w:cs="Arial" w:hint="eastAsia"/>
          <w:lang w:eastAsia="zh-CN"/>
        </w:rPr>
        <w:t>+1-</w:t>
      </w:r>
      <w:r w:rsidR="00A503DF">
        <w:rPr>
          <w:rFonts w:ascii="Book Antiqua" w:hAnsi="Book Antiqua"/>
        </w:rPr>
        <w:t>508-856</w:t>
      </w:r>
      <w:r w:rsidR="00742F48" w:rsidRPr="00E053E9">
        <w:rPr>
          <w:rFonts w:ascii="Book Antiqua" w:hAnsi="Book Antiqua"/>
        </w:rPr>
        <w:t>3068</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b/>
        </w:rPr>
        <w:t>Fax:</w:t>
      </w:r>
      <w:r w:rsidRPr="00E053E9">
        <w:rPr>
          <w:rFonts w:ascii="Book Antiqua" w:hAnsi="Book Antiqua"/>
        </w:rPr>
        <w:t xml:space="preserve"> </w:t>
      </w:r>
      <w:r w:rsidR="00286163" w:rsidRPr="00E053E9">
        <w:rPr>
          <w:rFonts w:ascii="Book Antiqua" w:eastAsiaTheme="minorEastAsia" w:hAnsi="Book Antiqua" w:hint="eastAsia"/>
          <w:lang w:eastAsia="zh-CN"/>
        </w:rPr>
        <w:t>+1-</w:t>
      </w:r>
      <w:r w:rsidRPr="00E053E9">
        <w:rPr>
          <w:rFonts w:ascii="Book Antiqua" w:hAnsi="Book Antiqua"/>
        </w:rPr>
        <w:t>508-856-3981</w:t>
      </w:r>
    </w:p>
    <w:p w:rsidR="00286163" w:rsidRPr="00E053E9" w:rsidRDefault="00286163" w:rsidP="00286163">
      <w:pPr>
        <w:adjustRightInd w:val="0"/>
        <w:snapToGrid w:val="0"/>
        <w:spacing w:line="360" w:lineRule="auto"/>
        <w:jc w:val="both"/>
        <w:rPr>
          <w:rFonts w:ascii="Book Antiqua" w:eastAsiaTheme="minorEastAsia" w:hAnsi="Book Antiqua"/>
          <w:lang w:eastAsia="zh-CN"/>
        </w:rPr>
      </w:pPr>
      <w:bookmarkStart w:id="57" w:name="OLE_LINK2693"/>
      <w:bookmarkStart w:id="58" w:name="OLE_LINK2694"/>
    </w:p>
    <w:p w:rsidR="00286163" w:rsidRPr="00E053E9" w:rsidRDefault="00286163" w:rsidP="00286163">
      <w:pPr>
        <w:adjustRightInd w:val="0"/>
        <w:snapToGrid w:val="0"/>
        <w:spacing w:line="360" w:lineRule="auto"/>
        <w:jc w:val="both"/>
        <w:rPr>
          <w:rFonts w:ascii="Book Antiqua" w:eastAsiaTheme="minorEastAsia" w:hAnsi="Book Antiqua"/>
          <w:lang w:eastAsia="zh-CN"/>
        </w:rPr>
      </w:pPr>
      <w:r w:rsidRPr="00E053E9">
        <w:rPr>
          <w:rFonts w:ascii="Book Antiqua" w:hAnsi="Book Antiqua"/>
          <w:b/>
        </w:rPr>
        <w:t>Received:</w:t>
      </w:r>
      <w:r w:rsidR="00C02D8F" w:rsidRPr="00E053E9">
        <w:rPr>
          <w:rFonts w:ascii="Book Antiqua" w:hAnsi="Book Antiqua"/>
          <w:b/>
        </w:rPr>
        <w:t xml:space="preserve"> </w:t>
      </w:r>
      <w:r w:rsidRPr="00E053E9">
        <w:rPr>
          <w:rFonts w:ascii="Book Antiqua" w:eastAsiaTheme="minorEastAsia" w:hAnsi="Book Antiqua" w:hint="eastAsia"/>
          <w:lang w:eastAsia="zh-CN"/>
        </w:rPr>
        <w:t>April 14, 2015</w:t>
      </w:r>
    </w:p>
    <w:p w:rsidR="00286163" w:rsidRPr="00E053E9" w:rsidRDefault="00286163" w:rsidP="00286163">
      <w:pPr>
        <w:adjustRightInd w:val="0"/>
        <w:snapToGrid w:val="0"/>
        <w:spacing w:line="360" w:lineRule="auto"/>
        <w:jc w:val="both"/>
        <w:rPr>
          <w:rFonts w:ascii="Book Antiqua" w:eastAsiaTheme="minorEastAsia" w:hAnsi="Book Antiqua"/>
          <w:lang w:eastAsia="zh-CN"/>
        </w:rPr>
      </w:pPr>
      <w:r w:rsidRPr="00E053E9">
        <w:rPr>
          <w:rFonts w:ascii="Book Antiqua" w:hAnsi="Book Antiqua"/>
          <w:b/>
        </w:rPr>
        <w:t>Peer-review started:</w:t>
      </w:r>
      <w:r w:rsidRPr="00E053E9">
        <w:rPr>
          <w:rFonts w:ascii="Book Antiqua" w:eastAsiaTheme="minorEastAsia" w:hAnsi="Book Antiqua" w:hint="eastAsia"/>
          <w:b/>
          <w:lang w:eastAsia="zh-CN"/>
        </w:rPr>
        <w:t xml:space="preserve"> </w:t>
      </w:r>
      <w:r w:rsidRPr="00E053E9">
        <w:rPr>
          <w:rFonts w:ascii="Book Antiqua" w:eastAsiaTheme="minorEastAsia" w:hAnsi="Book Antiqua" w:hint="eastAsia"/>
          <w:lang w:eastAsia="zh-CN"/>
        </w:rPr>
        <w:t>April 16, 2015</w:t>
      </w:r>
    </w:p>
    <w:p w:rsidR="00286163" w:rsidRPr="00E053E9" w:rsidRDefault="00286163" w:rsidP="00286163">
      <w:pPr>
        <w:adjustRightInd w:val="0"/>
        <w:snapToGrid w:val="0"/>
        <w:spacing w:line="360" w:lineRule="auto"/>
        <w:jc w:val="both"/>
        <w:rPr>
          <w:rFonts w:ascii="Book Antiqua" w:eastAsiaTheme="minorEastAsia" w:hAnsi="Book Antiqua"/>
          <w:b/>
          <w:lang w:eastAsia="zh-CN"/>
        </w:rPr>
      </w:pPr>
      <w:r w:rsidRPr="00E053E9">
        <w:rPr>
          <w:rFonts w:ascii="Book Antiqua" w:hAnsi="Book Antiqua"/>
          <w:b/>
        </w:rPr>
        <w:t>First decision:</w:t>
      </w:r>
      <w:r w:rsidRPr="00E053E9">
        <w:rPr>
          <w:rFonts w:ascii="Book Antiqua" w:eastAsiaTheme="minorEastAsia" w:hAnsi="Book Antiqua" w:hint="eastAsia"/>
          <w:b/>
          <w:lang w:eastAsia="zh-CN"/>
        </w:rPr>
        <w:t xml:space="preserve"> </w:t>
      </w:r>
      <w:r w:rsidRPr="00E053E9">
        <w:rPr>
          <w:rFonts w:ascii="Book Antiqua" w:eastAsiaTheme="minorEastAsia" w:hAnsi="Book Antiqua" w:hint="eastAsia"/>
          <w:lang w:eastAsia="zh-CN"/>
        </w:rPr>
        <w:t>May 18, 2015</w:t>
      </w:r>
    </w:p>
    <w:p w:rsidR="00286163" w:rsidRPr="00E053E9" w:rsidRDefault="00286163" w:rsidP="00286163">
      <w:pPr>
        <w:adjustRightInd w:val="0"/>
        <w:snapToGrid w:val="0"/>
        <w:spacing w:line="360" w:lineRule="auto"/>
        <w:jc w:val="both"/>
        <w:rPr>
          <w:rFonts w:ascii="Book Antiqua" w:eastAsiaTheme="minorEastAsia" w:hAnsi="Book Antiqua"/>
          <w:b/>
          <w:lang w:eastAsia="zh-CN"/>
        </w:rPr>
      </w:pPr>
      <w:r w:rsidRPr="00E053E9">
        <w:rPr>
          <w:rFonts w:ascii="Book Antiqua" w:hAnsi="Book Antiqua"/>
          <w:b/>
        </w:rPr>
        <w:t xml:space="preserve">Revised: </w:t>
      </w:r>
      <w:r w:rsidRPr="00E053E9">
        <w:rPr>
          <w:rFonts w:ascii="Book Antiqua" w:hAnsi="Book Antiqua"/>
        </w:rPr>
        <w:t>June 9, 2015</w:t>
      </w:r>
    </w:p>
    <w:p w:rsidR="00286163" w:rsidRPr="002D56F9" w:rsidRDefault="00286163" w:rsidP="002D56F9">
      <w:pPr>
        <w:rPr>
          <w:rFonts w:ascii="Book Antiqua" w:hAnsi="Book Antiqua"/>
          <w:color w:val="000000"/>
        </w:rPr>
      </w:pPr>
      <w:r w:rsidRPr="00E053E9">
        <w:rPr>
          <w:rFonts w:ascii="Book Antiqua" w:hAnsi="Book Antiqua"/>
          <w:b/>
        </w:rPr>
        <w:t>Accepted:</w:t>
      </w:r>
      <w:bookmarkStart w:id="59" w:name="OLE_LINK98"/>
      <w:bookmarkStart w:id="60" w:name="OLE_LINK99"/>
      <w:bookmarkStart w:id="61" w:name="OLE_LINK104"/>
      <w:bookmarkStart w:id="62" w:name="OLE_LINK110"/>
      <w:bookmarkStart w:id="63" w:name="OLE_LINK111"/>
      <w:bookmarkStart w:id="64" w:name="OLE_LINK115"/>
      <w:bookmarkStart w:id="65" w:name="OLE_LINK116"/>
      <w:r w:rsidR="002D56F9" w:rsidRPr="002D56F9">
        <w:rPr>
          <w:rFonts w:ascii="Book Antiqua" w:hAnsi="Book Antiqua"/>
          <w:color w:val="000000"/>
        </w:rPr>
        <w:t xml:space="preserve"> </w:t>
      </w:r>
      <w:r w:rsidR="002D56F9">
        <w:rPr>
          <w:rFonts w:ascii="Book Antiqua" w:hAnsi="Book Antiqua"/>
          <w:color w:val="000000"/>
        </w:rPr>
        <w:t>June 15, 2015</w:t>
      </w:r>
      <w:bookmarkStart w:id="66" w:name="_GoBack"/>
      <w:bookmarkEnd w:id="59"/>
      <w:bookmarkEnd w:id="60"/>
      <w:bookmarkEnd w:id="61"/>
      <w:bookmarkEnd w:id="62"/>
      <w:bookmarkEnd w:id="63"/>
      <w:bookmarkEnd w:id="64"/>
      <w:bookmarkEnd w:id="65"/>
      <w:bookmarkEnd w:id="66"/>
      <w:r w:rsidR="00C02D8F" w:rsidRPr="00E053E9">
        <w:rPr>
          <w:rFonts w:ascii="Book Antiqua" w:hAnsi="Book Antiqua"/>
          <w:b/>
        </w:rPr>
        <w:t xml:space="preserve"> </w:t>
      </w:r>
    </w:p>
    <w:p w:rsidR="00286163" w:rsidRPr="00E053E9" w:rsidRDefault="00286163" w:rsidP="00286163">
      <w:pPr>
        <w:adjustRightInd w:val="0"/>
        <w:snapToGrid w:val="0"/>
        <w:spacing w:line="360" w:lineRule="auto"/>
        <w:jc w:val="both"/>
        <w:rPr>
          <w:rFonts w:ascii="Book Antiqua" w:hAnsi="Book Antiqua"/>
          <w:b/>
        </w:rPr>
      </w:pPr>
      <w:r w:rsidRPr="00E053E9">
        <w:rPr>
          <w:rFonts w:ascii="Book Antiqua" w:hAnsi="Book Antiqua"/>
          <w:b/>
        </w:rPr>
        <w:t>Article in press:</w:t>
      </w:r>
    </w:p>
    <w:p w:rsidR="00286163" w:rsidRPr="00E053E9" w:rsidRDefault="00286163" w:rsidP="00286163">
      <w:pPr>
        <w:adjustRightInd w:val="0"/>
        <w:snapToGrid w:val="0"/>
        <w:spacing w:line="360" w:lineRule="auto"/>
        <w:jc w:val="both"/>
        <w:rPr>
          <w:rFonts w:ascii="Book Antiqua" w:hAnsi="Book Antiqua"/>
          <w:b/>
        </w:rPr>
      </w:pPr>
      <w:r w:rsidRPr="00E053E9">
        <w:rPr>
          <w:rFonts w:ascii="Book Antiqua" w:hAnsi="Book Antiqua"/>
          <w:b/>
        </w:rPr>
        <w:t xml:space="preserve">Published online: </w:t>
      </w:r>
    </w:p>
    <w:bookmarkEnd w:id="57"/>
    <w:bookmarkEnd w:id="58"/>
    <w:p w:rsidR="00BB3BDF" w:rsidRPr="00E053E9" w:rsidRDefault="00BB3BDF" w:rsidP="004C3987">
      <w:pPr>
        <w:adjustRightInd w:val="0"/>
        <w:snapToGrid w:val="0"/>
        <w:spacing w:line="360" w:lineRule="auto"/>
        <w:jc w:val="both"/>
        <w:rPr>
          <w:rFonts w:ascii="Book Antiqua" w:eastAsiaTheme="minorEastAsia" w:hAnsi="Book Antiqua"/>
          <w:lang w:eastAsia="zh-CN"/>
        </w:rPr>
      </w:pPr>
    </w:p>
    <w:p w:rsidR="00BB3BDF" w:rsidRPr="00E053E9" w:rsidRDefault="005B3B08" w:rsidP="004C3987">
      <w:pPr>
        <w:widowControl w:val="0"/>
        <w:autoSpaceDE w:val="0"/>
        <w:autoSpaceDN w:val="0"/>
        <w:adjustRightInd w:val="0"/>
        <w:snapToGrid w:val="0"/>
        <w:spacing w:line="360" w:lineRule="auto"/>
        <w:jc w:val="both"/>
        <w:rPr>
          <w:rFonts w:ascii="Book Antiqua" w:eastAsia="SimSun" w:hAnsi="Book Antiqua" w:cs="SimSun"/>
          <w:b/>
        </w:rPr>
      </w:pPr>
      <w:r w:rsidRPr="00E053E9">
        <w:rPr>
          <w:rFonts w:ascii="Book Antiqua" w:eastAsia="SimSun" w:hAnsi="Book Antiqua" w:cs="SimSun"/>
          <w:b/>
        </w:rPr>
        <w:t>Abstract</w:t>
      </w:r>
      <w:r w:rsidR="00C02D8F" w:rsidRPr="00E053E9">
        <w:rPr>
          <w:rFonts w:ascii="Book Antiqua" w:eastAsia="SimSun" w:hAnsi="Book Antiqua" w:cs="SimSun"/>
          <w:b/>
        </w:rPr>
        <w:t xml:space="preserve"> </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Microscopic colitis is a common cause of chronic, nonbloody diarrhea</w:t>
      </w:r>
      <w:r w:rsidR="00A84C14" w:rsidRPr="00E053E9">
        <w:rPr>
          <w:rFonts w:ascii="Book Antiqua" w:hAnsi="Book Antiqua"/>
        </w:rPr>
        <w:t>.</w:t>
      </w:r>
      <w:r w:rsidR="00C02D8F" w:rsidRPr="00E053E9">
        <w:rPr>
          <w:rFonts w:ascii="Book Antiqua" w:hAnsi="Book Antiqua"/>
        </w:rPr>
        <w:t xml:space="preserve"> </w:t>
      </w:r>
      <w:r w:rsidR="00A84C14" w:rsidRPr="00E053E9">
        <w:rPr>
          <w:rFonts w:ascii="Book Antiqua" w:hAnsi="Book Antiqua"/>
        </w:rPr>
        <w:t xml:space="preserve">Microscopic colitis is more common in women than men and usually affects patients in their </w:t>
      </w:r>
      <w:r w:rsidRPr="00E053E9">
        <w:rPr>
          <w:rFonts w:ascii="Book Antiqua" w:hAnsi="Book Antiqua"/>
        </w:rPr>
        <w:t>sixth and seventh decade.</w:t>
      </w:r>
      <w:r w:rsidR="00C02D8F" w:rsidRPr="00E053E9">
        <w:rPr>
          <w:rFonts w:ascii="Book Antiqua" w:hAnsi="Book Antiqua"/>
        </w:rPr>
        <w:t xml:space="preserve"> </w:t>
      </w:r>
      <w:r w:rsidRPr="00E053E9">
        <w:rPr>
          <w:rFonts w:ascii="Book Antiqua" w:hAnsi="Book Antiqua"/>
        </w:rPr>
        <w:t xml:space="preserve">This article reviews </w:t>
      </w:r>
      <w:r w:rsidR="004976A5" w:rsidRPr="00E053E9">
        <w:rPr>
          <w:rFonts w:ascii="Book Antiqua" w:hAnsi="Book Antiqua"/>
        </w:rPr>
        <w:t xml:space="preserve">the </w:t>
      </w:r>
      <w:r w:rsidRPr="00E053E9">
        <w:rPr>
          <w:rFonts w:ascii="Book Antiqua" w:hAnsi="Book Antiqua"/>
        </w:rPr>
        <w:t>etiology and medical management of microscopic colitis.</w:t>
      </w:r>
      <w:r w:rsidR="00C02D8F" w:rsidRPr="00E053E9">
        <w:rPr>
          <w:rFonts w:ascii="Book Antiqua" w:hAnsi="Book Antiqua"/>
        </w:rPr>
        <w:t xml:space="preserve"> </w:t>
      </w:r>
      <w:r w:rsidRPr="00E053E9">
        <w:rPr>
          <w:rFonts w:ascii="Book Antiqua" w:hAnsi="Book Antiqua"/>
        </w:rPr>
        <w:t>The etiology of microscopic colitis is unknown</w:t>
      </w:r>
      <w:r w:rsidR="00FD3482" w:rsidRPr="00E053E9">
        <w:rPr>
          <w:rFonts w:ascii="Book Antiqua" w:hAnsi="Book Antiqua"/>
        </w:rPr>
        <w:t>,</w:t>
      </w:r>
      <w:r w:rsidRPr="00E053E9">
        <w:rPr>
          <w:rFonts w:ascii="Book Antiqua" w:hAnsi="Book Antiqua"/>
        </w:rPr>
        <w:t xml:space="preserve"> but it is associated with autoimmune disorders, </w:t>
      </w:r>
      <w:r w:rsidR="00A84C14" w:rsidRPr="00E053E9">
        <w:rPr>
          <w:rFonts w:ascii="Book Antiqua" w:hAnsi="Book Antiqua"/>
        </w:rPr>
        <w:t>such as celiac disease, polyarthritis, and thyroid disorders.</w:t>
      </w:r>
      <w:r w:rsidR="00C02D8F" w:rsidRPr="00E053E9">
        <w:rPr>
          <w:rFonts w:ascii="Book Antiqua" w:hAnsi="Book Antiqua"/>
        </w:rPr>
        <w:t xml:space="preserve"> </w:t>
      </w:r>
      <w:r w:rsidR="00A84C14" w:rsidRPr="00E053E9">
        <w:rPr>
          <w:rFonts w:ascii="Book Antiqua" w:hAnsi="Book Antiqua"/>
        </w:rPr>
        <w:t>S</w:t>
      </w:r>
      <w:r w:rsidRPr="00E053E9">
        <w:rPr>
          <w:rFonts w:ascii="Book Antiqua" w:hAnsi="Book Antiqua"/>
        </w:rPr>
        <w:t>moking</w:t>
      </w:r>
      <w:r w:rsidR="00A84C14" w:rsidRPr="00E053E9">
        <w:rPr>
          <w:rFonts w:ascii="Book Antiqua" w:hAnsi="Book Antiqua"/>
        </w:rPr>
        <w:t xml:space="preserve"> has been identified as a risk factor of microscopic colitis.</w:t>
      </w:r>
      <w:r w:rsidR="00C02D8F" w:rsidRPr="00E053E9">
        <w:rPr>
          <w:rFonts w:ascii="Book Antiqua" w:hAnsi="Book Antiqua"/>
        </w:rPr>
        <w:t xml:space="preserve"> </w:t>
      </w:r>
      <w:r w:rsidR="00A84C14" w:rsidRPr="00E053E9">
        <w:rPr>
          <w:rFonts w:ascii="Book Antiqua" w:hAnsi="Book Antiqua"/>
        </w:rPr>
        <w:t xml:space="preserve">Exposure to </w:t>
      </w:r>
      <w:r w:rsidRPr="00E053E9">
        <w:rPr>
          <w:rFonts w:ascii="Book Antiqua" w:hAnsi="Book Antiqua"/>
        </w:rPr>
        <w:t xml:space="preserve">medications, such as non-steroidal anti-inflammatory drugs, </w:t>
      </w:r>
      <w:bookmarkStart w:id="67" w:name="OLE_LINK709"/>
      <w:bookmarkStart w:id="68" w:name="OLE_LINK710"/>
      <w:bookmarkStart w:id="69" w:name="OLE_LINK706"/>
      <w:bookmarkStart w:id="70" w:name="OLE_LINK707"/>
      <w:r w:rsidRPr="00E053E9">
        <w:rPr>
          <w:rFonts w:ascii="Book Antiqua" w:hAnsi="Book Antiqua"/>
        </w:rPr>
        <w:t>proton pump inhibitor</w:t>
      </w:r>
      <w:bookmarkEnd w:id="67"/>
      <w:bookmarkEnd w:id="68"/>
      <w:r w:rsidRPr="00E053E9">
        <w:rPr>
          <w:rFonts w:ascii="Book Antiqua" w:hAnsi="Book Antiqua"/>
        </w:rPr>
        <w:t>s</w:t>
      </w:r>
      <w:bookmarkEnd w:id="69"/>
      <w:bookmarkEnd w:id="70"/>
      <w:r w:rsidRPr="00E053E9">
        <w:rPr>
          <w:rFonts w:ascii="Book Antiqua" w:hAnsi="Book Antiqua"/>
        </w:rPr>
        <w:t>, and selective serotonin reuptake inhibitors</w:t>
      </w:r>
      <w:r w:rsidR="00A84C14" w:rsidRPr="00E053E9">
        <w:rPr>
          <w:rFonts w:ascii="Book Antiqua" w:hAnsi="Book Antiqua"/>
        </w:rPr>
        <w:t xml:space="preserve">, is suspected </w:t>
      </w:r>
      <w:r w:rsidR="00FD3482" w:rsidRPr="00E053E9">
        <w:rPr>
          <w:rFonts w:ascii="Book Antiqua" w:hAnsi="Book Antiqua"/>
        </w:rPr>
        <w:t xml:space="preserve">to play a role in microscopic colitis, although their direct </w:t>
      </w:r>
      <w:r w:rsidR="00FD3482" w:rsidRPr="00E053E9">
        <w:rPr>
          <w:rFonts w:ascii="Book Antiqua" w:hAnsi="Book Antiqua"/>
        </w:rPr>
        <w:lastRenderedPageBreak/>
        <w:t>causal relationship has not been proven</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Multiple medications, including corticosteroids, anti</w:t>
      </w:r>
      <w:r w:rsidR="004976A5" w:rsidRPr="00E053E9">
        <w:rPr>
          <w:rFonts w:ascii="Book Antiqua" w:hAnsi="Book Antiqua"/>
        </w:rPr>
        <w:t>-</w:t>
      </w:r>
      <w:r w:rsidRPr="00E053E9">
        <w:rPr>
          <w:rFonts w:ascii="Book Antiqua" w:hAnsi="Book Antiqua"/>
        </w:rPr>
        <w:t>diarrheals, cholestyramine, bismuth, 5-aminosalicylates, and immunomodulators, have been used to treat microscopic colitis with variable response rate</w:t>
      </w:r>
      <w:r w:rsidR="004976A5" w:rsidRPr="00E053E9">
        <w:rPr>
          <w:rFonts w:ascii="Book Antiqua" w:hAnsi="Book Antiqua"/>
        </w:rPr>
        <w:t>s</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Budesonide is effective in inducing and maintaining clinical remission but relapse rate is</w:t>
      </w:r>
      <w:r w:rsidR="004976A5" w:rsidRPr="00E053E9">
        <w:rPr>
          <w:rFonts w:ascii="Book Antiqua" w:hAnsi="Book Antiqua"/>
        </w:rPr>
        <w:t xml:space="preserve"> as</w:t>
      </w:r>
      <w:r w:rsidRPr="00E053E9">
        <w:rPr>
          <w:rFonts w:ascii="Book Antiqua" w:hAnsi="Book Antiqua"/>
        </w:rPr>
        <w:t xml:space="preserve"> high </w:t>
      </w:r>
      <w:r w:rsidR="005D170E" w:rsidRPr="00E053E9">
        <w:rPr>
          <w:rFonts w:ascii="Book Antiqua" w:hAnsi="Book Antiqua"/>
        </w:rPr>
        <w:t xml:space="preserve">as 82% </w:t>
      </w:r>
      <w:r w:rsidRPr="00E053E9">
        <w:rPr>
          <w:rFonts w:ascii="Book Antiqua" w:hAnsi="Book Antiqua"/>
        </w:rPr>
        <w:t>when budesonide is discontinued.</w:t>
      </w:r>
      <w:r w:rsidR="00C02D8F" w:rsidRPr="00E053E9">
        <w:rPr>
          <w:rFonts w:ascii="Book Antiqua" w:hAnsi="Book Antiqua"/>
        </w:rPr>
        <w:t xml:space="preserve"> </w:t>
      </w:r>
      <w:r w:rsidRPr="00E053E9">
        <w:rPr>
          <w:rFonts w:ascii="Book Antiqua" w:hAnsi="Book Antiqua"/>
        </w:rPr>
        <w:t>There is limited data on management of steroid-dependent microscopic colitis or refractory microscopic colitis</w:t>
      </w:r>
      <w:r w:rsidR="005D170E" w:rsidRPr="00E053E9">
        <w:rPr>
          <w:rFonts w:ascii="Book Antiqua" w:hAnsi="Book Antiqua"/>
        </w:rPr>
        <w:t>.</w:t>
      </w:r>
      <w:r w:rsidR="00C02D8F" w:rsidRPr="00E053E9">
        <w:rPr>
          <w:rFonts w:ascii="Book Antiqua" w:hAnsi="Book Antiqua"/>
        </w:rPr>
        <w:t xml:space="preserve"> </w:t>
      </w:r>
      <w:r w:rsidR="005D170E" w:rsidRPr="00E053E9">
        <w:rPr>
          <w:rFonts w:ascii="Book Antiqua" w:hAnsi="Book Antiqua"/>
        </w:rPr>
        <w:t>Immunomodulators seem to have low response rate 0</w:t>
      </w:r>
      <w:r w:rsidR="004B06BE" w:rsidRPr="00E053E9">
        <w:rPr>
          <w:rFonts w:ascii="Book Antiqua" w:eastAsiaTheme="minorEastAsia" w:hAnsi="Book Antiqua" w:hint="eastAsia"/>
          <w:lang w:eastAsia="zh-CN"/>
        </w:rPr>
        <w:t>%</w:t>
      </w:r>
      <w:r w:rsidR="005D170E" w:rsidRPr="00E053E9">
        <w:rPr>
          <w:rFonts w:ascii="Book Antiqua" w:hAnsi="Book Antiqua"/>
        </w:rPr>
        <w:t>-56% for patients with refractory microscopic colitis.</w:t>
      </w:r>
      <w:r w:rsidR="00C02D8F" w:rsidRPr="00E053E9">
        <w:rPr>
          <w:rFonts w:ascii="Book Antiqua" w:hAnsi="Book Antiqua"/>
        </w:rPr>
        <w:t xml:space="preserve"> </w:t>
      </w:r>
      <w:r w:rsidR="00FC1BC6" w:rsidRPr="00E053E9">
        <w:rPr>
          <w:rFonts w:ascii="Book Antiqua" w:hAnsi="Book Antiqua"/>
        </w:rPr>
        <w:t>Response rate 66</w:t>
      </w:r>
      <w:r w:rsidR="004B06BE" w:rsidRPr="00E053E9">
        <w:rPr>
          <w:rFonts w:ascii="Book Antiqua" w:eastAsiaTheme="minorEastAsia" w:hAnsi="Book Antiqua" w:hint="eastAsia"/>
          <w:lang w:eastAsia="zh-CN"/>
        </w:rPr>
        <w:t>%</w:t>
      </w:r>
      <w:r w:rsidR="00FC1BC6" w:rsidRPr="00E053E9">
        <w:rPr>
          <w:rFonts w:ascii="Book Antiqua" w:hAnsi="Book Antiqua"/>
        </w:rPr>
        <w:t>-100% was observed for use of anti-</w:t>
      </w:r>
      <w:r w:rsidR="004B06BE" w:rsidRPr="00E053E9">
        <w:rPr>
          <w:rFonts w:ascii="Book Antiqua" w:eastAsiaTheme="minorEastAsia" w:hAnsi="Book Antiqua" w:hint="eastAsia"/>
          <w:lang w:eastAsia="zh-CN"/>
        </w:rPr>
        <w:t xml:space="preserve">tumor </w:t>
      </w:r>
      <w:r w:rsidR="004B06BE" w:rsidRPr="00E053E9">
        <w:rPr>
          <w:rFonts w:ascii="Book Antiqua" w:hAnsi="Book Antiqua"/>
        </w:rPr>
        <w:t>necrosis factor</w:t>
      </w:r>
      <w:r w:rsidR="004B06BE" w:rsidRPr="00E053E9">
        <w:rPr>
          <w:rFonts w:ascii="Book Antiqua" w:eastAsiaTheme="minorEastAsia" w:hAnsi="Book Antiqua" w:hint="eastAsia"/>
          <w:lang w:eastAsia="zh-CN"/>
        </w:rPr>
        <w:t xml:space="preserve"> (</w:t>
      </w:r>
      <w:r w:rsidR="00FC1BC6" w:rsidRPr="00E053E9">
        <w:rPr>
          <w:rFonts w:ascii="Book Antiqua" w:hAnsi="Book Antiqua"/>
        </w:rPr>
        <w:t>TNF</w:t>
      </w:r>
      <w:r w:rsidR="004B06BE" w:rsidRPr="00E053E9">
        <w:rPr>
          <w:rFonts w:ascii="Book Antiqua" w:eastAsiaTheme="minorEastAsia" w:hAnsi="Book Antiqua" w:hint="eastAsia"/>
          <w:lang w:eastAsia="zh-CN"/>
        </w:rPr>
        <w:t>)</w:t>
      </w:r>
      <w:r w:rsidR="00FC1BC6" w:rsidRPr="00E053E9">
        <w:rPr>
          <w:rFonts w:ascii="Book Antiqua" w:hAnsi="Book Antiqua"/>
        </w:rPr>
        <w:t xml:space="preserve"> therapy for refractory </w:t>
      </w:r>
      <w:r w:rsidR="005D170E" w:rsidRPr="00E053E9">
        <w:rPr>
          <w:rFonts w:ascii="Book Antiqua" w:hAnsi="Book Antiqua"/>
        </w:rPr>
        <w:t>microscopic colitis</w:t>
      </w:r>
      <w:r w:rsidR="00FC1BC6" w:rsidRPr="00E053E9">
        <w:rPr>
          <w:rFonts w:ascii="Book Antiqua" w:hAnsi="Book Antiqua"/>
        </w:rPr>
        <w:t>.</w:t>
      </w:r>
      <w:r w:rsidR="00C02D8F" w:rsidRPr="00E053E9">
        <w:rPr>
          <w:rFonts w:ascii="Book Antiqua" w:hAnsi="Book Antiqua"/>
        </w:rPr>
        <w:t xml:space="preserve"> </w:t>
      </w:r>
      <w:r w:rsidR="005D170E" w:rsidRPr="00E053E9">
        <w:rPr>
          <w:rFonts w:ascii="Book Antiqua" w:hAnsi="Book Antiqua"/>
        </w:rPr>
        <w:t>A</w:t>
      </w:r>
      <w:r w:rsidRPr="00E053E9">
        <w:rPr>
          <w:rFonts w:ascii="Book Antiqua" w:hAnsi="Book Antiqua"/>
        </w:rPr>
        <w:t xml:space="preserve">nti-TNF and diverting ileostomy may be an option in severe </w:t>
      </w:r>
      <w:r w:rsidR="005D170E" w:rsidRPr="00E053E9">
        <w:rPr>
          <w:rFonts w:ascii="Book Antiqua" w:hAnsi="Book Antiqua"/>
        </w:rPr>
        <w:t xml:space="preserve">or refractory microscopic colitis. </w:t>
      </w:r>
    </w:p>
    <w:p w:rsidR="00BB3BDF" w:rsidRPr="00E053E9" w:rsidRDefault="00BB3BDF" w:rsidP="004C3987">
      <w:pPr>
        <w:widowControl w:val="0"/>
        <w:autoSpaceDE w:val="0"/>
        <w:autoSpaceDN w:val="0"/>
        <w:adjustRightInd w:val="0"/>
        <w:snapToGrid w:val="0"/>
        <w:spacing w:line="360" w:lineRule="auto"/>
        <w:jc w:val="both"/>
        <w:rPr>
          <w:rFonts w:ascii="Book Antiqua" w:eastAsia="SimSun" w:hAnsi="Book Antiqua" w:cs="SimSun"/>
          <w:lang w:eastAsia="zh-CN"/>
        </w:rPr>
      </w:pPr>
    </w:p>
    <w:p w:rsidR="004B06BE" w:rsidRPr="00E053E9" w:rsidRDefault="004B06BE" w:rsidP="004B06BE">
      <w:pPr>
        <w:widowControl w:val="0"/>
        <w:autoSpaceDE w:val="0"/>
        <w:autoSpaceDN w:val="0"/>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b/>
          <w:lang w:eastAsia="zh-CN"/>
        </w:rPr>
        <w:t>Key words:</w:t>
      </w:r>
      <w:r w:rsidR="00C02D8F" w:rsidRPr="00E053E9">
        <w:rPr>
          <w:rFonts w:ascii="Book Antiqua" w:eastAsia="SimSun" w:hAnsi="Book Antiqua" w:cs="SimSun"/>
          <w:lang w:eastAsia="zh-CN"/>
        </w:rPr>
        <w:t xml:space="preserve"> </w:t>
      </w:r>
      <w:bookmarkStart w:id="71" w:name="OLE_LINK734"/>
      <w:bookmarkStart w:id="72" w:name="OLE_LINK735"/>
      <w:r w:rsidRPr="00E053E9">
        <w:rPr>
          <w:rFonts w:ascii="Book Antiqua" w:eastAsia="SimSun" w:hAnsi="Book Antiqua" w:cs="SimSun"/>
          <w:lang w:eastAsia="zh-CN"/>
        </w:rPr>
        <w:t>Chronic diarrhea</w:t>
      </w:r>
      <w:r w:rsidRPr="00E053E9">
        <w:rPr>
          <w:rFonts w:ascii="Book Antiqua" w:eastAsia="SimSun" w:hAnsi="Book Antiqua" w:cs="SimSun" w:hint="eastAsia"/>
          <w:lang w:eastAsia="zh-CN"/>
        </w:rPr>
        <w:t>;</w:t>
      </w:r>
      <w:r w:rsidRPr="00E053E9">
        <w:rPr>
          <w:rFonts w:ascii="Book Antiqua" w:eastAsia="SimSun" w:hAnsi="Book Antiqua" w:cs="SimSun"/>
          <w:lang w:eastAsia="zh-CN"/>
        </w:rPr>
        <w:t xml:space="preserve"> Microscopic colitis; Lymphocytic colitis; Collagenous colitis; Etiology of microscopic colitis; Refractory microscopic colitis; Steroid-dependent microscopic colitis</w:t>
      </w:r>
    </w:p>
    <w:p w:rsidR="004B06BE" w:rsidRPr="00E053E9" w:rsidRDefault="004B06BE" w:rsidP="004C3987">
      <w:pPr>
        <w:widowControl w:val="0"/>
        <w:autoSpaceDE w:val="0"/>
        <w:autoSpaceDN w:val="0"/>
        <w:adjustRightInd w:val="0"/>
        <w:snapToGrid w:val="0"/>
        <w:spacing w:line="360" w:lineRule="auto"/>
        <w:jc w:val="both"/>
        <w:rPr>
          <w:rFonts w:ascii="Book Antiqua" w:eastAsia="SimSun" w:hAnsi="Book Antiqua" w:cs="SimSun"/>
          <w:lang w:eastAsia="zh-CN"/>
        </w:rPr>
      </w:pPr>
    </w:p>
    <w:p w:rsidR="004B06BE" w:rsidRPr="00E053E9" w:rsidRDefault="004B06BE" w:rsidP="004B06BE">
      <w:pPr>
        <w:spacing w:line="360" w:lineRule="auto"/>
        <w:jc w:val="both"/>
        <w:rPr>
          <w:rFonts w:ascii="Book Antiqua" w:hAnsi="Book Antiqua" w:cs="Arial"/>
          <w:lang w:eastAsia="zh-CN"/>
        </w:rPr>
      </w:pPr>
      <w:bookmarkStart w:id="73" w:name="OLE_LINK549"/>
      <w:bookmarkStart w:id="74" w:name="OLE_LINK550"/>
      <w:bookmarkEnd w:id="71"/>
      <w:bookmarkEnd w:id="72"/>
      <w:r w:rsidRPr="00E053E9">
        <w:rPr>
          <w:rFonts w:ascii="Book Antiqua" w:hAnsi="Book Antiqua" w:cs="Arial" w:hint="eastAsia"/>
          <w:b/>
        </w:rPr>
        <w:t>©</w:t>
      </w:r>
      <w:r w:rsidRPr="00E053E9">
        <w:rPr>
          <w:rFonts w:ascii="Book Antiqua" w:hAnsi="Book Antiqua" w:cs="Arial"/>
          <w:b/>
        </w:rPr>
        <w:t xml:space="preserve"> The Author(s) 2015.</w:t>
      </w:r>
      <w:r w:rsidRPr="00E053E9">
        <w:rPr>
          <w:rFonts w:ascii="Book Antiqua" w:hAnsi="Book Antiqua" w:cs="Arial"/>
        </w:rPr>
        <w:t xml:space="preserve"> Published by Baishideng Publishing Group Inc. All rights reserved.</w:t>
      </w:r>
    </w:p>
    <w:bookmarkEnd w:id="73"/>
    <w:bookmarkEnd w:id="74"/>
    <w:p w:rsidR="004B06BE" w:rsidRPr="00E053E9" w:rsidRDefault="004B06BE" w:rsidP="004C3987">
      <w:pPr>
        <w:widowControl w:val="0"/>
        <w:autoSpaceDE w:val="0"/>
        <w:autoSpaceDN w:val="0"/>
        <w:adjustRightInd w:val="0"/>
        <w:snapToGrid w:val="0"/>
        <w:spacing w:line="360" w:lineRule="auto"/>
        <w:jc w:val="both"/>
        <w:rPr>
          <w:rFonts w:ascii="Book Antiqua" w:eastAsia="SimSun" w:hAnsi="Book Antiqua" w:cs="SimSun"/>
          <w:lang w:eastAsia="zh-CN"/>
        </w:rPr>
      </w:pPr>
    </w:p>
    <w:p w:rsidR="00BB3BDF" w:rsidRPr="00E053E9" w:rsidRDefault="00742F48" w:rsidP="004C3987">
      <w:pPr>
        <w:adjustRightInd w:val="0"/>
        <w:snapToGrid w:val="0"/>
        <w:spacing w:line="360" w:lineRule="auto"/>
        <w:jc w:val="both"/>
        <w:rPr>
          <w:rFonts w:ascii="Book Antiqua" w:hAnsi="Book Antiqua"/>
        </w:rPr>
      </w:pPr>
      <w:bookmarkStart w:id="75" w:name="OLE_LINK1196"/>
      <w:bookmarkStart w:id="76" w:name="OLE_LINK1154"/>
      <w:bookmarkStart w:id="77" w:name="OLE_LINK1155"/>
      <w:bookmarkStart w:id="78" w:name="OLE_LINK1322"/>
      <w:bookmarkStart w:id="79" w:name="OLE_LINK1044"/>
      <w:bookmarkStart w:id="80" w:name="OLE_LINK1224"/>
      <w:bookmarkStart w:id="81" w:name="OLE_LINK1225"/>
      <w:bookmarkStart w:id="82" w:name="OLE_LINK1634"/>
      <w:bookmarkStart w:id="83" w:name="OLE_LINK1635"/>
      <w:bookmarkStart w:id="84" w:name="OLE_LINK1762"/>
      <w:bookmarkStart w:id="85" w:name="OLE_LINK1763"/>
      <w:bookmarkStart w:id="86" w:name="OLE_LINK1764"/>
      <w:bookmarkStart w:id="87" w:name="OLE_LINK1939"/>
      <w:bookmarkStart w:id="88" w:name="OLE_LINK2194"/>
      <w:bookmarkStart w:id="89" w:name="OLE_LINK2878"/>
      <w:bookmarkStart w:id="90" w:name="OLE_LINK576"/>
      <w:bookmarkStart w:id="91" w:name="OLE_LINK579"/>
      <w:bookmarkStart w:id="92" w:name="OLE_LINK580"/>
      <w:bookmarkStart w:id="93" w:name="OLE_LINK521"/>
      <w:bookmarkStart w:id="94" w:name="OLE_LINK1043"/>
      <w:bookmarkStart w:id="95" w:name="OLE_LINK1886"/>
      <w:bookmarkStart w:id="96" w:name="OLE_LINK1887"/>
      <w:bookmarkStart w:id="97" w:name="OLE_LINK1888"/>
      <w:bookmarkStart w:id="98" w:name="OLE_LINK1889"/>
      <w:bookmarkStart w:id="99" w:name="OLE_LINK1903"/>
      <w:bookmarkStart w:id="100" w:name="OLE_LINK2083"/>
      <w:bookmarkStart w:id="101" w:name="OLE_LINK2084"/>
      <w:bookmarkStart w:id="102" w:name="OLE_LINK1977"/>
      <w:bookmarkStart w:id="103" w:name="OLE_LINK3258"/>
      <w:bookmarkStart w:id="104" w:name="OLE_LINK274"/>
      <w:bookmarkStart w:id="105" w:name="OLE_LINK275"/>
      <w:bookmarkStart w:id="106" w:name="OLE_LINK309"/>
      <w:bookmarkStart w:id="107" w:name="OLE_LINK477"/>
      <w:bookmarkStart w:id="108" w:name="OLE_LINK352"/>
      <w:bookmarkStart w:id="109" w:name="OLE_LINK312"/>
      <w:bookmarkStart w:id="110" w:name="OLE_LINK547"/>
      <w:bookmarkStart w:id="111" w:name="OLE_LINK1878"/>
      <w:bookmarkStart w:id="112" w:name="OLE_LINK581"/>
      <w:bookmarkStart w:id="113" w:name="OLE_LINK582"/>
      <w:bookmarkStart w:id="114" w:name="OLE_LINK994"/>
      <w:bookmarkStart w:id="115" w:name="OLE_LINK995"/>
      <w:bookmarkStart w:id="116" w:name="OLE_LINK1074"/>
      <w:bookmarkStart w:id="117" w:name="OLE_LINK1140"/>
      <w:bookmarkStart w:id="118" w:name="OLE_LINK1127"/>
      <w:bookmarkStart w:id="119" w:name="OLE_LINK1266"/>
      <w:bookmarkStart w:id="120" w:name="OLE_LINK1540"/>
      <w:bookmarkStart w:id="121" w:name="OLE_LINK1541"/>
      <w:bookmarkStart w:id="122" w:name="OLE_LINK1551"/>
      <w:bookmarkStart w:id="123" w:name="OLE_LINK1560"/>
      <w:bookmarkStart w:id="124" w:name="OLE_LINK1561"/>
      <w:bookmarkStart w:id="125" w:name="OLE_LINK1568"/>
      <w:bookmarkStart w:id="126" w:name="OLE_LINK1587"/>
      <w:bookmarkStart w:id="127" w:name="OLE_LINK1601"/>
      <w:bookmarkStart w:id="128" w:name="OLE_LINK1707"/>
      <w:bookmarkStart w:id="129" w:name="OLE_LINK1731"/>
      <w:bookmarkStart w:id="130" w:name="OLE_LINK1775"/>
      <w:bookmarkStart w:id="131" w:name="OLE_LINK1818"/>
      <w:bookmarkStart w:id="132" w:name="OLE_LINK1909"/>
      <w:bookmarkStart w:id="133" w:name="OLE_LINK1965"/>
      <w:bookmarkStart w:id="134" w:name="OLE_LINK1967"/>
      <w:bookmarkStart w:id="135" w:name="OLE_LINK1972"/>
      <w:bookmarkStart w:id="136" w:name="OLE_LINK1973"/>
      <w:bookmarkStart w:id="137" w:name="OLE_LINK2021"/>
      <w:bookmarkStart w:id="138" w:name="OLE_LINK2022"/>
      <w:bookmarkStart w:id="139" w:name="OLE_LINK2041"/>
      <w:bookmarkStart w:id="140" w:name="OLE_LINK2042"/>
      <w:bookmarkStart w:id="141" w:name="OLE_LINK2063"/>
      <w:bookmarkStart w:id="142" w:name="OLE_LINK2120"/>
      <w:bookmarkStart w:id="143" w:name="OLE_LINK2158"/>
      <w:bookmarkStart w:id="144" w:name="OLE_LINK2180"/>
      <w:bookmarkStart w:id="145" w:name="OLE_LINK2253"/>
      <w:bookmarkStart w:id="146" w:name="OLE_LINK2217"/>
      <w:bookmarkStart w:id="147" w:name="OLE_LINK2236"/>
      <w:bookmarkStart w:id="148" w:name="OLE_LINK2268"/>
      <w:bookmarkStart w:id="149" w:name="OLE_LINK2279"/>
      <w:bookmarkStart w:id="150" w:name="OLE_LINK2313"/>
      <w:bookmarkStart w:id="151" w:name="OLE_LINK2319"/>
      <w:bookmarkStart w:id="152" w:name="OLE_LINK2320"/>
      <w:bookmarkStart w:id="153" w:name="OLE_LINK2366"/>
      <w:bookmarkStart w:id="154" w:name="OLE_LINK2372"/>
      <w:bookmarkStart w:id="155" w:name="OLE_LINK2384"/>
      <w:bookmarkStart w:id="156" w:name="OLE_LINK2464"/>
      <w:bookmarkStart w:id="157" w:name="OLE_LINK2492"/>
      <w:bookmarkStart w:id="158" w:name="OLE_LINK2532"/>
      <w:bookmarkStart w:id="159" w:name="OLE_LINK2405"/>
      <w:bookmarkStart w:id="160" w:name="OLE_LINK2406"/>
      <w:bookmarkStart w:id="161" w:name="OLE_LINK2425"/>
      <w:bookmarkStart w:id="162" w:name="OLE_LINK2478"/>
      <w:bookmarkStart w:id="163" w:name="OLE_LINK525"/>
      <w:bookmarkStart w:id="164" w:name="OLE_LINK894"/>
      <w:bookmarkStart w:id="165" w:name="OLE_LINK1998"/>
      <w:bookmarkStart w:id="166" w:name="OLE_LINK2001"/>
      <w:bookmarkStart w:id="167" w:name="OLE_LINK2604"/>
      <w:bookmarkStart w:id="168" w:name="OLE_LINK2715"/>
      <w:r w:rsidRPr="00E053E9">
        <w:rPr>
          <w:rFonts w:ascii="Book Antiqua" w:hAnsi="Book Antiqua" w:cs="SimSun"/>
          <w:b/>
        </w:rPr>
        <w:t>Core tip:</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E053E9">
        <w:rPr>
          <w:rFonts w:ascii="Book Antiqua" w:hAnsi="Book Antiqua" w:cs="SimSun"/>
        </w:rPr>
        <w:t xml:space="preserve"> </w:t>
      </w:r>
      <w:bookmarkStart w:id="169" w:name="OLE_LINK736"/>
      <w:bookmarkStart w:id="170" w:name="OLE_LINK737"/>
      <w:bookmarkStart w:id="171" w:name="OLE_LINK1226"/>
      <w:bookmarkStart w:id="172" w:name="OLE_LINK1227"/>
      <w:bookmarkStart w:id="173" w:name="OLE_LINK2554"/>
      <w:bookmarkStart w:id="174" w:name="OLE_LINK2555"/>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E053E9">
        <w:rPr>
          <w:rFonts w:ascii="Book Antiqua" w:hAnsi="Book Antiqua"/>
        </w:rPr>
        <w:t xml:space="preserve">The etiology of </w:t>
      </w:r>
      <w:r w:rsidR="004B06BE" w:rsidRPr="00E053E9">
        <w:rPr>
          <w:rFonts w:ascii="Book Antiqua" w:hAnsi="Book Antiqua"/>
        </w:rPr>
        <w:t xml:space="preserve">microscopic colitis </w:t>
      </w:r>
      <w:r w:rsidR="004B06BE" w:rsidRPr="00E053E9">
        <w:rPr>
          <w:rFonts w:ascii="Book Antiqua" w:eastAsiaTheme="minorEastAsia" w:hAnsi="Book Antiqua" w:hint="eastAsia"/>
          <w:lang w:eastAsia="zh-CN"/>
        </w:rPr>
        <w:t>(</w:t>
      </w:r>
      <w:r w:rsidR="00C33E6F" w:rsidRPr="00E053E9">
        <w:rPr>
          <w:rFonts w:ascii="Book Antiqua" w:hAnsi="Book Antiqua"/>
        </w:rPr>
        <w:t>MC</w:t>
      </w:r>
      <w:r w:rsidR="004B06BE" w:rsidRPr="00E053E9">
        <w:rPr>
          <w:rFonts w:ascii="Book Antiqua" w:eastAsiaTheme="minorEastAsia" w:hAnsi="Book Antiqua" w:hint="eastAsia"/>
          <w:lang w:eastAsia="zh-CN"/>
        </w:rPr>
        <w:t>)</w:t>
      </w:r>
      <w:r w:rsidRPr="00E053E9">
        <w:rPr>
          <w:rFonts w:ascii="Book Antiqua" w:hAnsi="Book Antiqua"/>
        </w:rPr>
        <w:t xml:space="preserve"> is unknown.</w:t>
      </w:r>
      <w:r w:rsidR="00C02D8F" w:rsidRPr="00E053E9">
        <w:rPr>
          <w:rFonts w:ascii="Book Antiqua" w:hAnsi="Book Antiqua"/>
        </w:rPr>
        <w:t xml:space="preserve"> </w:t>
      </w:r>
      <w:r w:rsidRPr="00E053E9">
        <w:rPr>
          <w:rFonts w:ascii="Book Antiqua" w:hAnsi="Book Antiqua"/>
        </w:rPr>
        <w:t xml:space="preserve">There is a strong association with autoimmune disorders, smoking, and medications, such as </w:t>
      </w:r>
      <w:r w:rsidR="004B06BE" w:rsidRPr="00E053E9">
        <w:rPr>
          <w:rFonts w:ascii="Book Antiqua" w:hAnsi="Book Antiqua"/>
        </w:rPr>
        <w:t>non-steroidal anti-inflammatory drugs</w:t>
      </w:r>
      <w:r w:rsidRPr="00E053E9">
        <w:rPr>
          <w:rFonts w:ascii="Book Antiqua" w:hAnsi="Book Antiqua"/>
        </w:rPr>
        <w:t xml:space="preserve">, </w:t>
      </w:r>
      <w:r w:rsidR="004B06BE" w:rsidRPr="00E053E9">
        <w:rPr>
          <w:rFonts w:ascii="Book Antiqua" w:hAnsi="Book Antiqua"/>
        </w:rPr>
        <w:t>proton pump inhibitors</w:t>
      </w:r>
      <w:r w:rsidRPr="00E053E9">
        <w:rPr>
          <w:rFonts w:ascii="Book Antiqua" w:hAnsi="Book Antiqua"/>
        </w:rPr>
        <w:t xml:space="preserve">, and </w:t>
      </w:r>
      <w:r w:rsidR="004B06BE" w:rsidRPr="00E053E9">
        <w:rPr>
          <w:rFonts w:ascii="Book Antiqua" w:hAnsi="Book Antiqua"/>
        </w:rPr>
        <w:t>selective serotonin reuptake inhibitors</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There are no societal guidelines on how to manage patients with MC.</w:t>
      </w:r>
      <w:r w:rsidR="00C02D8F" w:rsidRPr="00E053E9">
        <w:rPr>
          <w:rFonts w:ascii="Book Antiqua" w:hAnsi="Book Antiqua"/>
        </w:rPr>
        <w:t xml:space="preserve"> </w:t>
      </w:r>
      <w:r w:rsidRPr="00E053E9">
        <w:rPr>
          <w:rFonts w:ascii="Book Antiqua" w:hAnsi="Book Antiqua"/>
        </w:rPr>
        <w:t>Data is strongest for the use of budesonide. Budesonide can rapidly induce clinical remission but relapse occurs frequently after discontinuation of budesonide.</w:t>
      </w:r>
      <w:r w:rsidR="00C02D8F" w:rsidRPr="00E053E9">
        <w:rPr>
          <w:rFonts w:ascii="Book Antiqua" w:hAnsi="Book Antiqua"/>
        </w:rPr>
        <w:t xml:space="preserve"> </w:t>
      </w:r>
      <w:r w:rsidRPr="00E053E9">
        <w:rPr>
          <w:rFonts w:ascii="Book Antiqua" w:hAnsi="Book Antiqua"/>
        </w:rPr>
        <w:t>Anti</w:t>
      </w:r>
      <w:r w:rsidR="004976A5" w:rsidRPr="00E053E9">
        <w:rPr>
          <w:rFonts w:ascii="Book Antiqua" w:hAnsi="Book Antiqua"/>
        </w:rPr>
        <w:t>-</w:t>
      </w:r>
      <w:r w:rsidRPr="00E053E9">
        <w:rPr>
          <w:rFonts w:ascii="Book Antiqua" w:hAnsi="Book Antiqua"/>
        </w:rPr>
        <w:t>diarrheals may be used alone in mild MC or in conjunction with other therapies in moderate to severe MC. There is limited data on management of steroid-dependent or refractory MC but anti-TNF and diverting ileostomy may be option</w:t>
      </w:r>
      <w:r w:rsidR="004976A5" w:rsidRPr="00E053E9">
        <w:rPr>
          <w:rFonts w:ascii="Book Antiqua" w:hAnsi="Book Antiqua"/>
        </w:rPr>
        <w:t>s</w:t>
      </w:r>
      <w:r w:rsidRPr="00E053E9">
        <w:rPr>
          <w:rFonts w:ascii="Book Antiqua" w:hAnsi="Book Antiqua"/>
        </w:rPr>
        <w:t xml:space="preserve">. </w:t>
      </w:r>
    </w:p>
    <w:bookmarkEnd w:id="169"/>
    <w:bookmarkEnd w:id="170"/>
    <w:p w:rsidR="00BB3BDF" w:rsidRPr="00E053E9" w:rsidRDefault="00BB3BDF" w:rsidP="004C3987">
      <w:pPr>
        <w:adjustRightInd w:val="0"/>
        <w:snapToGrid w:val="0"/>
        <w:spacing w:line="360" w:lineRule="auto"/>
        <w:jc w:val="both"/>
        <w:rPr>
          <w:rFonts w:ascii="Book Antiqua" w:hAnsi="Book Antiqua" w:cs="SimSun"/>
        </w:rPr>
      </w:pPr>
    </w:p>
    <w:p w:rsidR="00E26E89" w:rsidRPr="00E053E9" w:rsidRDefault="00E26E89" w:rsidP="00E26E89">
      <w:pPr>
        <w:adjustRightInd w:val="0"/>
        <w:snapToGrid w:val="0"/>
        <w:spacing w:line="360" w:lineRule="auto"/>
        <w:jc w:val="both"/>
        <w:rPr>
          <w:rFonts w:ascii="Book Antiqua" w:eastAsiaTheme="minorEastAsia" w:hAnsi="Book Antiqua"/>
          <w:lang w:eastAsia="zh-CN"/>
        </w:rPr>
      </w:pPr>
      <w:bookmarkStart w:id="175" w:name="OLE_LINK738"/>
      <w:bookmarkStart w:id="176" w:name="OLE_LINK74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71"/>
      <w:bookmarkEnd w:id="172"/>
      <w:bookmarkEnd w:id="173"/>
      <w:bookmarkEnd w:id="174"/>
      <w:r w:rsidRPr="00E053E9">
        <w:rPr>
          <w:rFonts w:ascii="Book Antiqua" w:eastAsia="SimSun" w:hAnsi="Book Antiqua" w:cs="SimSun"/>
          <w:lang w:eastAsia="zh-CN"/>
        </w:rPr>
        <w:t>Park</w:t>
      </w:r>
      <w:r w:rsidRPr="00E053E9">
        <w:rPr>
          <w:rFonts w:ascii="Book Antiqua" w:eastAsia="SimSun" w:hAnsi="Book Antiqua" w:cs="SimSun" w:hint="eastAsia"/>
          <w:lang w:eastAsia="zh-CN"/>
        </w:rPr>
        <w:t xml:space="preserve"> T</w:t>
      </w:r>
      <w:r w:rsidRPr="00E053E9">
        <w:rPr>
          <w:rFonts w:ascii="Book Antiqua" w:eastAsia="SimSun" w:hAnsi="Book Antiqua" w:cs="SimSun"/>
          <w:lang w:eastAsia="zh-CN"/>
        </w:rPr>
        <w:t>, Cave</w:t>
      </w:r>
      <w:r w:rsidRPr="00E053E9">
        <w:rPr>
          <w:rFonts w:ascii="Book Antiqua" w:eastAsia="SimSun" w:hAnsi="Book Antiqua" w:cs="SimSun" w:hint="eastAsia"/>
          <w:lang w:eastAsia="zh-CN"/>
        </w:rPr>
        <w:t xml:space="preserve"> D</w:t>
      </w:r>
      <w:r w:rsidRPr="00E053E9">
        <w:rPr>
          <w:rFonts w:ascii="Book Antiqua" w:eastAsia="SimSun" w:hAnsi="Book Antiqua" w:cs="SimSun"/>
          <w:lang w:eastAsia="zh-CN"/>
        </w:rPr>
        <w:t>, Marshall</w:t>
      </w:r>
      <w:r w:rsidRPr="00E053E9">
        <w:rPr>
          <w:rFonts w:ascii="Book Antiqua" w:eastAsia="SimSun" w:hAnsi="Book Antiqua" w:cs="SimSun" w:hint="eastAsia"/>
          <w:lang w:eastAsia="zh-CN"/>
        </w:rPr>
        <w:t xml:space="preserve"> C. </w:t>
      </w:r>
      <w:r w:rsidRPr="00E053E9">
        <w:rPr>
          <w:rFonts w:ascii="Book Antiqua" w:hAnsi="Book Antiqua"/>
        </w:rPr>
        <w:t>Microscopic colitis: A review of etiology, treatment, and refractory disease</w:t>
      </w:r>
      <w:r w:rsidRPr="00E053E9">
        <w:rPr>
          <w:rFonts w:ascii="Book Antiqua" w:eastAsiaTheme="minorEastAsia" w:hAnsi="Book Antiqua" w:hint="eastAsia"/>
          <w:lang w:eastAsia="zh-CN"/>
        </w:rPr>
        <w:t xml:space="preserve">. </w:t>
      </w:r>
      <w:bookmarkStart w:id="177" w:name="OLE_LINK551"/>
      <w:bookmarkStart w:id="178" w:name="OLE_LINK552"/>
      <w:bookmarkStart w:id="179" w:name="OLE_LINK2695"/>
      <w:r w:rsidRPr="00E053E9">
        <w:rPr>
          <w:rFonts w:ascii="Book Antiqua" w:hAnsi="Book Antiqua"/>
          <w:i/>
        </w:rPr>
        <w:t>World J Gastroenterol</w:t>
      </w:r>
      <w:r w:rsidRPr="00E053E9">
        <w:rPr>
          <w:rFonts w:ascii="Book Antiqua" w:hAnsi="Book Antiqua"/>
        </w:rPr>
        <w:t xml:space="preserve"> </w:t>
      </w:r>
      <w:r w:rsidRPr="00E053E9">
        <w:rPr>
          <w:rFonts w:ascii="Book Antiqua" w:hAnsi="Book Antiqua" w:hint="eastAsia"/>
          <w:lang w:eastAsia="zh-CN"/>
        </w:rPr>
        <w:t>2015</w:t>
      </w:r>
      <w:r w:rsidRPr="00E053E9">
        <w:rPr>
          <w:rFonts w:ascii="Book Antiqua" w:hAnsi="Book Antiqua"/>
        </w:rPr>
        <w:t>; In press</w:t>
      </w:r>
      <w:bookmarkEnd w:id="177"/>
      <w:bookmarkEnd w:id="178"/>
      <w:bookmarkEnd w:id="179"/>
    </w:p>
    <w:bookmarkEnd w:id="175"/>
    <w:bookmarkEnd w:id="176"/>
    <w:p w:rsidR="00BB3BDF" w:rsidRDefault="00BB3BDF" w:rsidP="004C3987">
      <w:pPr>
        <w:widowControl w:val="0"/>
        <w:autoSpaceDE w:val="0"/>
        <w:autoSpaceDN w:val="0"/>
        <w:adjustRightInd w:val="0"/>
        <w:snapToGrid w:val="0"/>
        <w:spacing w:line="360" w:lineRule="auto"/>
        <w:jc w:val="both"/>
        <w:rPr>
          <w:rFonts w:ascii="Book Antiqua" w:eastAsia="SimSun" w:hAnsi="Book Antiqua" w:cs="SimSun"/>
          <w:lang w:eastAsia="zh-CN"/>
        </w:rPr>
      </w:pPr>
    </w:p>
    <w:p w:rsidR="00337087" w:rsidRPr="00E053E9" w:rsidRDefault="00337087" w:rsidP="004C3987">
      <w:pPr>
        <w:widowControl w:val="0"/>
        <w:autoSpaceDE w:val="0"/>
        <w:autoSpaceDN w:val="0"/>
        <w:adjustRightInd w:val="0"/>
        <w:snapToGrid w:val="0"/>
        <w:spacing w:line="360" w:lineRule="auto"/>
        <w:jc w:val="both"/>
        <w:rPr>
          <w:rFonts w:ascii="Book Antiqua" w:eastAsia="SimSun" w:hAnsi="Book Antiqua" w:cs="SimSun"/>
          <w:lang w:eastAsia="zh-CN"/>
        </w:rPr>
      </w:pPr>
    </w:p>
    <w:p w:rsidR="00BB3BDF" w:rsidRPr="00E053E9" w:rsidRDefault="00742F48" w:rsidP="004C3987">
      <w:pPr>
        <w:widowControl w:val="0"/>
        <w:autoSpaceDE w:val="0"/>
        <w:autoSpaceDN w:val="0"/>
        <w:adjustRightInd w:val="0"/>
        <w:snapToGrid w:val="0"/>
        <w:spacing w:line="360" w:lineRule="auto"/>
        <w:jc w:val="both"/>
        <w:rPr>
          <w:rFonts w:ascii="Book Antiqua" w:eastAsia="SimSun" w:hAnsi="Book Antiqua" w:cs="SimSun"/>
          <w:b/>
        </w:rPr>
      </w:pPr>
      <w:r w:rsidRPr="00E053E9">
        <w:rPr>
          <w:rFonts w:ascii="Book Antiqua" w:hAnsi="Book Antiqua"/>
          <w:b/>
        </w:rPr>
        <w:t>INTRODUCTION</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Microscopic colitis (MC) is a common cause of chronic, nonbloody diarrhea. Up to 10</w:t>
      </w:r>
      <w:r w:rsidR="00E26E89" w:rsidRPr="00E053E9">
        <w:rPr>
          <w:rFonts w:ascii="Book Antiqua" w:eastAsiaTheme="minorEastAsia" w:hAnsi="Book Antiqua" w:hint="eastAsia"/>
          <w:lang w:eastAsia="zh-CN"/>
        </w:rPr>
        <w:t>%</w:t>
      </w:r>
      <w:r w:rsidRPr="00E053E9">
        <w:rPr>
          <w:rFonts w:ascii="Book Antiqua" w:hAnsi="Book Antiqua"/>
        </w:rPr>
        <w:t>-20% of chronic diarrhea is thought to be secondary to MC.</w:t>
      </w:r>
      <w:r w:rsidR="00C02D8F" w:rsidRPr="00E053E9">
        <w:rPr>
          <w:rFonts w:ascii="Book Antiqua" w:hAnsi="Book Antiqua"/>
        </w:rPr>
        <w:t xml:space="preserve"> </w:t>
      </w:r>
      <w:r w:rsidRPr="00E053E9">
        <w:rPr>
          <w:rFonts w:ascii="Book Antiqua" w:hAnsi="Book Antiqua"/>
        </w:rPr>
        <w:t>The incidence of MC in Sweden, Spain, and Iceland from the 1990s</w:t>
      </w:r>
      <w:r w:rsidR="00E26E89" w:rsidRPr="00E053E9">
        <w:rPr>
          <w:rFonts w:ascii="Book Antiqua" w:hAnsi="Book Antiqua"/>
        </w:rPr>
        <w:t xml:space="preserve"> ranged from 1.1 to 5.2 per 100000 person-years</w:t>
      </w:r>
      <w:r w:rsidRPr="00E053E9">
        <w:rPr>
          <w:rFonts w:ascii="Book Antiqua" w:hAnsi="Book Antiqua"/>
          <w:vertAlign w:val="superscript"/>
        </w:rPr>
        <w:t>[1]</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In a population based cohort study conducted from 1985 to 2001 in Olmsted County, Minnesota, the incidence of CC was</w:t>
      </w:r>
      <w:r w:rsidR="00E26E89" w:rsidRPr="00E053E9">
        <w:rPr>
          <w:rFonts w:ascii="Book Antiqua" w:hAnsi="Book Antiqua" w:cs="AdvPA0C4"/>
        </w:rPr>
        <w:t xml:space="preserve"> 3.1 per 100</w:t>
      </w:r>
      <w:r w:rsidRPr="00E053E9">
        <w:rPr>
          <w:rFonts w:ascii="Book Antiqua" w:hAnsi="Book Antiqua" w:cs="AdvPA0C4"/>
        </w:rPr>
        <w:t>000 and</w:t>
      </w:r>
      <w:r w:rsidR="00E26E89" w:rsidRPr="00E053E9">
        <w:rPr>
          <w:rFonts w:ascii="Book Antiqua" w:hAnsi="Book Antiqua" w:cs="AdvPA0C4"/>
        </w:rPr>
        <w:t xml:space="preserve"> that of LC was 5.5 per 100000</w:t>
      </w:r>
      <w:r w:rsidRPr="00E053E9">
        <w:rPr>
          <w:rFonts w:ascii="Book Antiqua" w:hAnsi="Book Antiqua"/>
          <w:vertAlign w:val="superscript"/>
        </w:rPr>
        <w:t>[1]</w:t>
      </w:r>
      <w:r w:rsidRPr="00E053E9">
        <w:rPr>
          <w:rFonts w:ascii="Book Antiqua" w:hAnsi="Book Antiqua" w:cs="AdvPA0C4"/>
        </w:rPr>
        <w:t>.</w:t>
      </w:r>
      <w:r w:rsidR="00C02D8F" w:rsidRPr="00E053E9">
        <w:rPr>
          <w:rFonts w:ascii="Book Antiqua" w:hAnsi="Book Antiqua" w:cs="AdvPA0C4"/>
        </w:rPr>
        <w:t xml:space="preserve"> </w:t>
      </w:r>
      <w:r w:rsidRPr="00E053E9">
        <w:rPr>
          <w:rFonts w:ascii="Book Antiqua" w:hAnsi="Book Antiqua"/>
        </w:rPr>
        <w:t>Poisson regression analysis showed that the incidence of MC increased over time, and the incidence of MC by t</w:t>
      </w:r>
      <w:r w:rsidR="00E26E89" w:rsidRPr="00E053E9">
        <w:rPr>
          <w:rFonts w:ascii="Book Antiqua" w:hAnsi="Book Antiqua"/>
        </w:rPr>
        <w:t>he end of 2001 was 19.6 per 100000</w:t>
      </w:r>
      <w:r w:rsidRPr="00E053E9">
        <w:rPr>
          <w:rFonts w:ascii="Book Antiqua" w:hAnsi="Book Antiqua"/>
          <w:vertAlign w:val="superscript"/>
        </w:rPr>
        <w:t>[1]</w:t>
      </w:r>
      <w:r w:rsidRPr="00E053E9">
        <w:rPr>
          <w:rFonts w:ascii="Book Antiqua" w:hAnsi="Book Antiqua"/>
        </w:rPr>
        <w:t>. MC typically affects patients in their 50-60s and occurs more frequently in women than men. The diagnosis is made by both clinical history and endoscopic biopsies. While chronic watery diarrhea is the most common symptom, some patients with MC may also experience abdominal pain, fecal incontinence, and/or weight loss.</w:t>
      </w:r>
      <w:r w:rsidR="00C02D8F" w:rsidRPr="00E053E9">
        <w:rPr>
          <w:rFonts w:ascii="Book Antiqua" w:hAnsi="Book Antiqua"/>
        </w:rPr>
        <w:t xml:space="preserve"> </w:t>
      </w:r>
      <w:r w:rsidRPr="00E053E9">
        <w:rPr>
          <w:rFonts w:ascii="Book Antiqua" w:hAnsi="Book Antiqua"/>
        </w:rPr>
        <w:t>Colonoscopy generally reveals normal colonic mucosa but colonic biopsy shows classic histological features: &gt;</w:t>
      </w:r>
      <w:r w:rsidR="00E26E89" w:rsidRPr="00E053E9">
        <w:rPr>
          <w:rFonts w:ascii="Book Antiqua" w:eastAsiaTheme="minorEastAsia" w:hAnsi="Book Antiqua" w:hint="eastAsia"/>
          <w:lang w:eastAsia="zh-CN"/>
        </w:rPr>
        <w:t xml:space="preserve"> </w:t>
      </w:r>
      <w:r w:rsidRPr="00E053E9">
        <w:rPr>
          <w:rFonts w:ascii="Book Antiqua" w:hAnsi="Book Antiqua"/>
        </w:rPr>
        <w:t>20 intraepithelial lymphocytes per 100 epithelial cells in lymphocytic colitis (LC) and</w:t>
      </w:r>
      <w:r w:rsidR="004976A5" w:rsidRPr="00E053E9">
        <w:rPr>
          <w:rFonts w:ascii="Book Antiqua" w:hAnsi="Book Antiqua"/>
        </w:rPr>
        <w:t xml:space="preserve"> </w:t>
      </w:r>
      <w:r w:rsidRPr="00E053E9">
        <w:rPr>
          <w:rFonts w:ascii="Book Antiqua" w:hAnsi="Book Antiqua"/>
        </w:rPr>
        <w:t xml:space="preserve">10-20 </w:t>
      </w:r>
      <w:r w:rsidR="00E26E89" w:rsidRPr="00E053E9">
        <w:rPr>
          <w:rFonts w:ascii="Book Antiqua" w:hAnsi="Book Antiqua"/>
        </w:rPr>
        <w:t>μ</w:t>
      </w:r>
      <w:r w:rsidRPr="00E053E9">
        <w:rPr>
          <w:rFonts w:ascii="Book Antiqua" w:hAnsi="Book Antiqua"/>
        </w:rPr>
        <w:t xml:space="preserve">m of </w:t>
      </w:r>
      <w:r w:rsidR="004976A5" w:rsidRPr="00E053E9">
        <w:rPr>
          <w:rFonts w:ascii="Book Antiqua" w:hAnsi="Book Antiqua"/>
        </w:rPr>
        <w:t xml:space="preserve">a </w:t>
      </w:r>
      <w:r w:rsidRPr="00E053E9">
        <w:rPr>
          <w:rFonts w:ascii="Book Antiqua" w:hAnsi="Book Antiqua"/>
        </w:rPr>
        <w:t>thickened subepithelial collagen band in collagenous colitis (CC) (Figure 1).</w:t>
      </w:r>
      <w:r w:rsidR="00C02D8F" w:rsidRPr="00E053E9">
        <w:rPr>
          <w:rFonts w:ascii="Book Antiqua" w:hAnsi="Book Antiqua"/>
        </w:rPr>
        <w:t xml:space="preserve"> </w:t>
      </w:r>
      <w:r w:rsidRPr="00E053E9">
        <w:rPr>
          <w:rFonts w:ascii="Book Antiqua" w:hAnsi="Book Antiqua"/>
        </w:rPr>
        <w:t>Inflammation in the lamina propria</w:t>
      </w:r>
      <w:r w:rsidR="004976A5" w:rsidRPr="00E053E9">
        <w:rPr>
          <w:rFonts w:ascii="Book Antiqua" w:hAnsi="Book Antiqua"/>
        </w:rPr>
        <w:t>,</w:t>
      </w:r>
      <w:r w:rsidRPr="00E053E9">
        <w:rPr>
          <w:rFonts w:ascii="Book Antiqua" w:hAnsi="Book Antiqua"/>
        </w:rPr>
        <w:t xml:space="preserve"> with mainly mononuclear cells</w:t>
      </w:r>
      <w:r w:rsidR="004976A5" w:rsidRPr="00E053E9">
        <w:rPr>
          <w:rFonts w:ascii="Book Antiqua" w:hAnsi="Book Antiqua"/>
        </w:rPr>
        <w:t>,</w:t>
      </w:r>
      <w:r w:rsidRPr="00E053E9">
        <w:rPr>
          <w:rFonts w:ascii="Book Antiqua" w:hAnsi="Book Antiqua"/>
        </w:rPr>
        <w:t xml:space="preserve"> may be seen in CC. Other etiologies, such as celiac disease, inflammatory bowel disease, and infectious colitis should be ruled out.</w:t>
      </w:r>
      <w:r w:rsidR="00C02D8F" w:rsidRPr="00E053E9">
        <w:rPr>
          <w:rFonts w:ascii="Book Antiqua" w:hAnsi="Book Antiqua"/>
        </w:rPr>
        <w:t xml:space="preserve">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rPr>
      </w:pPr>
      <w:r w:rsidRPr="00E053E9">
        <w:rPr>
          <w:rFonts w:ascii="Book Antiqua" w:hAnsi="Book Antiqua"/>
          <w:b/>
        </w:rPr>
        <w:t>ETIOLOGY</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The etiology of MC is unknown.</w:t>
      </w:r>
      <w:r w:rsidR="00C02D8F" w:rsidRPr="00E053E9">
        <w:rPr>
          <w:rFonts w:ascii="Book Antiqua" w:hAnsi="Book Antiqua"/>
        </w:rPr>
        <w:t xml:space="preserve"> </w:t>
      </w:r>
      <w:r w:rsidRPr="00E053E9">
        <w:rPr>
          <w:rFonts w:ascii="Book Antiqua" w:hAnsi="Book Antiqua"/>
        </w:rPr>
        <w:t>There is a strong association with autoimmune disorders, such as celiac disease, polyarthritis, and thyroid disorders (Table 1).</w:t>
      </w:r>
      <w:r w:rsidR="00C02D8F" w:rsidRPr="00E053E9">
        <w:rPr>
          <w:rFonts w:ascii="Book Antiqua" w:hAnsi="Book Antiqua"/>
        </w:rPr>
        <w:t xml:space="preserve"> </w:t>
      </w:r>
      <w:r w:rsidRPr="00E053E9">
        <w:rPr>
          <w:rFonts w:ascii="Book Antiqua" w:hAnsi="Book Antiqua"/>
        </w:rPr>
        <w:t>Up to twenty to 60% of patients with LC and 17</w:t>
      </w:r>
      <w:r w:rsidR="00E26E89" w:rsidRPr="00E053E9">
        <w:rPr>
          <w:rFonts w:ascii="Book Antiqua" w:eastAsiaTheme="minorEastAsia" w:hAnsi="Book Antiqua" w:hint="eastAsia"/>
          <w:lang w:eastAsia="zh-CN"/>
        </w:rPr>
        <w:t>%</w:t>
      </w:r>
      <w:r w:rsidRPr="00E053E9">
        <w:rPr>
          <w:rFonts w:ascii="Book Antiqua" w:hAnsi="Book Antiqua"/>
        </w:rPr>
        <w:t xml:space="preserve">-40% of patients </w:t>
      </w:r>
      <w:r w:rsidR="00E26E89" w:rsidRPr="00E053E9">
        <w:rPr>
          <w:rFonts w:ascii="Book Antiqua" w:hAnsi="Book Antiqua"/>
        </w:rPr>
        <w:t xml:space="preserve">with CC have </w:t>
      </w:r>
      <w:r w:rsidR="00E26E89" w:rsidRPr="00E053E9">
        <w:rPr>
          <w:rFonts w:ascii="Book Antiqua" w:hAnsi="Book Antiqua"/>
        </w:rPr>
        <w:lastRenderedPageBreak/>
        <w:t>autoimmune disease</w:t>
      </w:r>
      <w:r w:rsidRPr="00E053E9">
        <w:rPr>
          <w:rFonts w:ascii="Book Antiqua" w:hAnsi="Book Antiqua"/>
          <w:vertAlign w:val="superscript"/>
        </w:rPr>
        <w:t>[2]</w:t>
      </w:r>
      <w:r w:rsidRPr="00E053E9">
        <w:rPr>
          <w:rFonts w:ascii="Book Antiqua" w:hAnsi="Book Antiqua"/>
        </w:rPr>
        <w:t>. In fact, histological features of MC in the colon are present in 30% of patients with celiac disease. While no specific genetic mutations have been identified as direct cause of MC, some studies have found common genetic abnormalities.</w:t>
      </w:r>
      <w:r w:rsidR="00C02D8F" w:rsidRPr="00E053E9">
        <w:rPr>
          <w:rFonts w:ascii="Book Antiqua" w:hAnsi="Book Antiqua"/>
        </w:rPr>
        <w:t xml:space="preserve"> </w:t>
      </w:r>
      <w:r w:rsidRPr="00E053E9">
        <w:rPr>
          <w:rFonts w:ascii="Book Antiqua" w:hAnsi="Book Antiqua"/>
        </w:rPr>
        <w:t>For instance, there is an increased prevalence of human leukocyte antigen (HLA) DR3 DQ2 allele in patients with MC, and metalloproteinase 9 gene variatio</w:t>
      </w:r>
      <w:r w:rsidR="00E26E89" w:rsidRPr="00E053E9">
        <w:rPr>
          <w:rFonts w:ascii="Book Antiqua" w:hAnsi="Book Antiqua"/>
        </w:rPr>
        <w:t>ns have been associated with CC</w:t>
      </w:r>
      <w:r w:rsidRPr="00E053E9">
        <w:rPr>
          <w:rFonts w:ascii="Book Antiqua" w:hAnsi="Book Antiqua"/>
          <w:vertAlign w:val="superscript"/>
        </w:rPr>
        <w:t>[3]</w:t>
      </w:r>
      <w:r w:rsidRPr="00E053E9">
        <w:rPr>
          <w:rFonts w:ascii="Book Antiqua" w:hAnsi="Book Antiqua"/>
        </w:rPr>
        <w:t xml:space="preserve">. </w:t>
      </w:r>
    </w:p>
    <w:p w:rsidR="00BB3BDF" w:rsidRPr="00E053E9" w:rsidRDefault="00742F48" w:rsidP="00E26E89">
      <w:pPr>
        <w:pStyle w:val="details1"/>
        <w:shd w:val="clear" w:color="auto" w:fill="FFFFFF"/>
        <w:adjustRightInd w:val="0"/>
        <w:snapToGrid w:val="0"/>
        <w:spacing w:line="360" w:lineRule="auto"/>
        <w:ind w:firstLineChars="100" w:firstLine="240"/>
        <w:jc w:val="both"/>
        <w:rPr>
          <w:rFonts w:ascii="Book Antiqua" w:hAnsi="Book Antiqua" w:cs="Arial"/>
          <w:sz w:val="24"/>
          <w:szCs w:val="24"/>
        </w:rPr>
      </w:pPr>
      <w:r w:rsidRPr="00E053E9">
        <w:rPr>
          <w:rFonts w:ascii="Book Antiqua" w:hAnsi="Book Antiqua"/>
          <w:sz w:val="24"/>
          <w:szCs w:val="24"/>
        </w:rPr>
        <w:t>Smoking is a risk factor for MC.</w:t>
      </w:r>
      <w:r w:rsidR="00C02D8F" w:rsidRPr="00E053E9">
        <w:rPr>
          <w:rFonts w:ascii="Book Antiqua" w:hAnsi="Book Antiqua"/>
          <w:sz w:val="24"/>
          <w:szCs w:val="24"/>
        </w:rPr>
        <w:t xml:space="preserve"> </w:t>
      </w:r>
      <w:r w:rsidRPr="00E053E9">
        <w:rPr>
          <w:rFonts w:ascii="Book Antiqua" w:hAnsi="Book Antiqua"/>
          <w:sz w:val="24"/>
          <w:szCs w:val="24"/>
        </w:rPr>
        <w:t>In a prospective, case-control study conducted from 2007 to 2010 in Spain involving 255 patients, smoking was significantly associated with LC and CC (</w:t>
      </w:r>
      <w:r w:rsidR="00221AB9" w:rsidRPr="00E053E9">
        <w:rPr>
          <w:rFonts w:ascii="Book Antiqua" w:hAnsi="Book Antiqua"/>
          <w:sz w:val="24"/>
          <w:szCs w:val="24"/>
        </w:rPr>
        <w:t>odds ratio:</w:t>
      </w:r>
      <w:r w:rsidRPr="00E053E9">
        <w:rPr>
          <w:rFonts w:ascii="Book Antiqua" w:hAnsi="Book Antiqua"/>
          <w:sz w:val="24"/>
          <w:szCs w:val="24"/>
        </w:rPr>
        <w:t xml:space="preserve"> 3</w:t>
      </w:r>
      <w:r w:rsidR="00E26E89" w:rsidRPr="00E053E9">
        <w:rPr>
          <w:rFonts w:ascii="Book Antiqua" w:hAnsi="Book Antiqua"/>
          <w:sz w:val="24"/>
          <w:szCs w:val="24"/>
        </w:rPr>
        <w:t xml:space="preserve">.8 in LC, </w:t>
      </w:r>
      <w:r w:rsidR="00221AB9" w:rsidRPr="00E053E9">
        <w:rPr>
          <w:rFonts w:ascii="Book Antiqua" w:hAnsi="Book Antiqua"/>
          <w:sz w:val="24"/>
          <w:szCs w:val="24"/>
        </w:rPr>
        <w:t>odds ratio:</w:t>
      </w:r>
      <w:r w:rsidR="00E26E89" w:rsidRPr="00E053E9">
        <w:rPr>
          <w:rFonts w:ascii="Book Antiqua" w:hAnsi="Book Antiqua"/>
          <w:sz w:val="24"/>
          <w:szCs w:val="24"/>
        </w:rPr>
        <w:t xml:space="preserve"> 2.4 in CC)</w:t>
      </w:r>
      <w:r w:rsidRPr="00E053E9">
        <w:rPr>
          <w:rFonts w:ascii="Book Antiqua" w:hAnsi="Book Antiqua"/>
          <w:sz w:val="24"/>
          <w:szCs w:val="24"/>
          <w:vertAlign w:val="superscript"/>
        </w:rPr>
        <w:t>[4]</w:t>
      </w:r>
      <w:r w:rsidRPr="00E053E9">
        <w:rPr>
          <w:rFonts w:ascii="Book Antiqua" w:hAnsi="Book Antiqua"/>
          <w:sz w:val="24"/>
          <w:szCs w:val="24"/>
        </w:rPr>
        <w:t>.</w:t>
      </w:r>
      <w:r w:rsidR="00C02D8F" w:rsidRPr="00E053E9">
        <w:rPr>
          <w:rFonts w:ascii="Book Antiqua" w:hAnsi="Book Antiqua"/>
          <w:sz w:val="24"/>
          <w:szCs w:val="24"/>
        </w:rPr>
        <w:t xml:space="preserve"> </w:t>
      </w:r>
      <w:r w:rsidRPr="00E053E9">
        <w:rPr>
          <w:rFonts w:ascii="Book Antiqua" w:hAnsi="Book Antiqua"/>
          <w:sz w:val="24"/>
          <w:szCs w:val="24"/>
        </w:rPr>
        <w:t xml:space="preserve">Swedish study conducted by Vigren </w:t>
      </w:r>
      <w:r w:rsidR="00E26E89" w:rsidRPr="00E053E9">
        <w:rPr>
          <w:rFonts w:ascii="Book Antiqua" w:hAnsi="Book Antiqua"/>
          <w:i/>
          <w:sz w:val="24"/>
          <w:szCs w:val="24"/>
        </w:rPr>
        <w:t>et al</w:t>
      </w:r>
      <w:r w:rsidR="00E26E89" w:rsidRPr="00E053E9">
        <w:rPr>
          <w:rFonts w:ascii="Book Antiqua" w:hAnsi="Book Antiqua"/>
          <w:sz w:val="24"/>
          <w:szCs w:val="24"/>
          <w:vertAlign w:val="superscript"/>
        </w:rPr>
        <w:t>[5]</w:t>
      </w:r>
      <w:r w:rsidRPr="00E053E9">
        <w:rPr>
          <w:rFonts w:ascii="Book Antiqua" w:hAnsi="Book Antiqua"/>
          <w:sz w:val="24"/>
          <w:szCs w:val="24"/>
        </w:rPr>
        <w:t xml:space="preserve"> also showed that smoking is associated with CC.</w:t>
      </w:r>
      <w:r w:rsidR="00C02D8F" w:rsidRPr="00E053E9">
        <w:rPr>
          <w:rFonts w:ascii="Book Antiqua" w:hAnsi="Book Antiqua"/>
          <w:sz w:val="24"/>
          <w:szCs w:val="24"/>
        </w:rPr>
        <w:t xml:space="preserve"> </w:t>
      </w:r>
      <w:r w:rsidRPr="00E053E9">
        <w:rPr>
          <w:rFonts w:ascii="Book Antiqua" w:hAnsi="Book Antiqua"/>
          <w:sz w:val="24"/>
          <w:szCs w:val="24"/>
        </w:rPr>
        <w:t>Thirty-seven percent of patients with CC were smokers as compared to only 17% of patients in the control group (</w:t>
      </w:r>
      <w:r w:rsidR="00221AB9" w:rsidRPr="00E053E9">
        <w:rPr>
          <w:rFonts w:ascii="Book Antiqua" w:hAnsi="Book Antiqua"/>
          <w:sz w:val="24"/>
          <w:szCs w:val="24"/>
        </w:rPr>
        <w:t>odds ratio:</w:t>
      </w:r>
      <w:r w:rsidRPr="00E053E9">
        <w:rPr>
          <w:rFonts w:ascii="Book Antiqua" w:hAnsi="Book Antiqua"/>
          <w:sz w:val="24"/>
          <w:szCs w:val="24"/>
        </w:rPr>
        <w:t xml:space="preserve"> 2.95).</w:t>
      </w:r>
      <w:r w:rsidR="00C02D8F" w:rsidRPr="00E053E9">
        <w:rPr>
          <w:rFonts w:ascii="Book Antiqua" w:hAnsi="Book Antiqua"/>
          <w:sz w:val="24"/>
          <w:szCs w:val="24"/>
        </w:rPr>
        <w:t xml:space="preserve"> </w:t>
      </w:r>
      <w:r w:rsidRPr="00E053E9">
        <w:rPr>
          <w:rFonts w:ascii="Book Antiqua" w:hAnsi="Book Antiqua"/>
          <w:sz w:val="24"/>
          <w:szCs w:val="24"/>
        </w:rPr>
        <w:t>Subgroup analysis showed that the</w:t>
      </w:r>
      <w:r w:rsidR="004816A5" w:rsidRPr="00E053E9">
        <w:rPr>
          <w:rFonts w:ascii="Book Antiqua" w:hAnsi="Book Antiqua"/>
          <w:sz w:val="24"/>
          <w:szCs w:val="24"/>
        </w:rPr>
        <w:t xml:space="preserve"> association of smoking with CC was most notable in the </w:t>
      </w:r>
      <w:r w:rsidRPr="00E053E9">
        <w:rPr>
          <w:rFonts w:ascii="Book Antiqua" w:hAnsi="Book Antiqua"/>
          <w:sz w:val="24"/>
          <w:szCs w:val="24"/>
        </w:rPr>
        <w:t>age group 16-44</w:t>
      </w:r>
      <w:r w:rsidR="004816A5" w:rsidRPr="00E053E9">
        <w:rPr>
          <w:rFonts w:ascii="Book Antiqua" w:hAnsi="Book Antiqua"/>
          <w:sz w:val="24"/>
          <w:szCs w:val="24"/>
        </w:rPr>
        <w:t>; 75% of patients in this age group were smokers as compared to 15% in the control group (</w:t>
      </w:r>
      <w:r w:rsidRPr="00E053E9">
        <w:rPr>
          <w:rFonts w:ascii="Book Antiqua" w:hAnsi="Book Antiqua"/>
          <w:sz w:val="24"/>
          <w:szCs w:val="24"/>
        </w:rPr>
        <w:t>odd ratio</w:t>
      </w:r>
      <w:r w:rsidR="00221AB9" w:rsidRPr="00E053E9">
        <w:rPr>
          <w:rFonts w:ascii="Book Antiqua" w:eastAsiaTheme="minorEastAsia" w:hAnsi="Book Antiqua" w:hint="eastAsia"/>
          <w:sz w:val="24"/>
          <w:szCs w:val="24"/>
          <w:lang w:eastAsia="zh-CN"/>
        </w:rPr>
        <w:t>:</w:t>
      </w:r>
      <w:r w:rsidRPr="00E053E9">
        <w:rPr>
          <w:rFonts w:ascii="Book Antiqua" w:hAnsi="Book Antiqua"/>
          <w:sz w:val="24"/>
          <w:szCs w:val="24"/>
        </w:rPr>
        <w:t xml:space="preserve"> 16.54).</w:t>
      </w:r>
      <w:r w:rsidR="00C02D8F" w:rsidRPr="00E053E9">
        <w:rPr>
          <w:rFonts w:ascii="Book Antiqua" w:hAnsi="Book Antiqua"/>
          <w:sz w:val="24"/>
          <w:szCs w:val="24"/>
        </w:rPr>
        <w:t xml:space="preserve"> </w:t>
      </w:r>
      <w:r w:rsidRPr="00E053E9">
        <w:rPr>
          <w:rFonts w:ascii="Book Antiqua" w:hAnsi="Book Antiqua"/>
          <w:sz w:val="24"/>
          <w:szCs w:val="24"/>
        </w:rPr>
        <w:t>Smokers develop MC earlier than nonsmokers by</w:t>
      </w:r>
      <w:r w:rsidR="004976A5" w:rsidRPr="00E053E9">
        <w:rPr>
          <w:rFonts w:ascii="Book Antiqua" w:hAnsi="Book Antiqua"/>
          <w:sz w:val="24"/>
          <w:szCs w:val="24"/>
        </w:rPr>
        <w:t xml:space="preserve"> a </w:t>
      </w:r>
      <w:r w:rsidR="00221AB9" w:rsidRPr="00E053E9">
        <w:rPr>
          <w:rFonts w:ascii="Book Antiqua" w:hAnsi="Book Antiqua"/>
          <w:sz w:val="24"/>
          <w:szCs w:val="24"/>
        </w:rPr>
        <w:t>median of 14 years</w:t>
      </w:r>
      <w:r w:rsidRPr="00E053E9">
        <w:rPr>
          <w:rFonts w:ascii="Book Antiqua" w:hAnsi="Book Antiqua"/>
          <w:sz w:val="24"/>
          <w:szCs w:val="24"/>
          <w:vertAlign w:val="superscript"/>
        </w:rPr>
        <w:t>[</w:t>
      </w:r>
      <w:r w:rsidR="005D672C" w:rsidRPr="00E053E9">
        <w:rPr>
          <w:rFonts w:ascii="Book Antiqua" w:hAnsi="Book Antiqua"/>
          <w:sz w:val="24"/>
          <w:szCs w:val="24"/>
          <w:vertAlign w:val="superscript"/>
        </w:rPr>
        <w:t>6</w:t>
      </w:r>
      <w:r w:rsidRPr="00E053E9">
        <w:rPr>
          <w:rFonts w:ascii="Book Antiqua" w:hAnsi="Book Antiqua"/>
          <w:sz w:val="24"/>
          <w:szCs w:val="24"/>
          <w:vertAlign w:val="superscript"/>
        </w:rPr>
        <w:t>]</w:t>
      </w:r>
      <w:r w:rsidRPr="00E053E9">
        <w:rPr>
          <w:rFonts w:ascii="Book Antiqua" w:hAnsi="Book Antiqua"/>
          <w:sz w:val="24"/>
          <w:szCs w:val="24"/>
        </w:rPr>
        <w:t>.</w:t>
      </w:r>
      <w:r w:rsidR="00C02D8F" w:rsidRPr="00E053E9">
        <w:rPr>
          <w:rFonts w:ascii="Book Antiqua" w:hAnsi="Book Antiqua"/>
          <w:sz w:val="24"/>
          <w:szCs w:val="24"/>
        </w:rPr>
        <w:t xml:space="preserve"> </w:t>
      </w:r>
    </w:p>
    <w:p w:rsidR="00BB3BDF" w:rsidRPr="00E053E9" w:rsidRDefault="00742F48" w:rsidP="00221AB9">
      <w:pPr>
        <w:adjustRightInd w:val="0"/>
        <w:snapToGrid w:val="0"/>
        <w:spacing w:line="360" w:lineRule="auto"/>
        <w:ind w:firstLineChars="100" w:firstLine="240"/>
        <w:jc w:val="both"/>
        <w:rPr>
          <w:rFonts w:ascii="Book Antiqua" w:hAnsi="Book Antiqua"/>
        </w:rPr>
      </w:pPr>
      <w:r w:rsidRPr="00E053E9">
        <w:rPr>
          <w:rFonts w:ascii="Book Antiqua" w:hAnsi="Book Antiqua"/>
        </w:rPr>
        <w:t>Medications are often implicated as a cause of MC.</w:t>
      </w:r>
      <w:r w:rsidR="00C02D8F" w:rsidRPr="00E053E9">
        <w:rPr>
          <w:rFonts w:ascii="Book Antiqua" w:hAnsi="Book Antiqua"/>
        </w:rPr>
        <w:t xml:space="preserve"> </w:t>
      </w:r>
      <w:r w:rsidRPr="00E053E9">
        <w:rPr>
          <w:rFonts w:ascii="Book Antiqua" w:hAnsi="Book Antiqua"/>
        </w:rPr>
        <w:t>Non-steroidal anti-inflammatory drugs (</w:t>
      </w:r>
      <w:r w:rsidR="00221AB9" w:rsidRPr="00E053E9">
        <w:rPr>
          <w:rFonts w:ascii="Book Antiqua" w:hAnsi="Book Antiqua"/>
        </w:rPr>
        <w:t>odds ratio:</w:t>
      </w:r>
      <w:r w:rsidRPr="00E053E9">
        <w:rPr>
          <w:rFonts w:ascii="Book Antiqua" w:hAnsi="Book Antiqua"/>
        </w:rPr>
        <w:t xml:space="preserve"> 4.6 in LC, </w:t>
      </w:r>
      <w:r w:rsidR="00221AB9" w:rsidRPr="00E053E9">
        <w:rPr>
          <w:rFonts w:ascii="Book Antiqua" w:hAnsi="Book Antiqua"/>
        </w:rPr>
        <w:t>odds ratio:</w:t>
      </w:r>
      <w:r w:rsidRPr="00E053E9">
        <w:rPr>
          <w:rFonts w:ascii="Book Antiqua" w:hAnsi="Book Antiqua"/>
        </w:rPr>
        <w:t xml:space="preserve"> 3.8 in CC), proton pump inhibitors (</w:t>
      </w:r>
      <w:r w:rsidR="00221AB9" w:rsidRPr="00E053E9">
        <w:rPr>
          <w:rFonts w:ascii="Book Antiqua" w:hAnsi="Book Antiqua"/>
        </w:rPr>
        <w:t>odds ratio:</w:t>
      </w:r>
      <w:r w:rsidRPr="00E053E9">
        <w:rPr>
          <w:rFonts w:ascii="Book Antiqua" w:hAnsi="Book Antiqua"/>
        </w:rPr>
        <w:t xml:space="preserve"> 2.7 in LC, </w:t>
      </w:r>
      <w:r w:rsidR="00221AB9" w:rsidRPr="00E053E9">
        <w:rPr>
          <w:rFonts w:ascii="Book Antiqua" w:hAnsi="Book Antiqua"/>
        </w:rPr>
        <w:t>odds ratio:</w:t>
      </w:r>
      <w:r w:rsidRPr="00E053E9">
        <w:rPr>
          <w:rFonts w:ascii="Book Antiqua" w:hAnsi="Book Antiqua"/>
        </w:rPr>
        <w:t xml:space="preserve"> 6.4 in CC), selective serotonin reuptake inhibitors (</w:t>
      </w:r>
      <w:r w:rsidR="00221AB9" w:rsidRPr="00E053E9">
        <w:rPr>
          <w:rFonts w:ascii="Book Antiqua" w:hAnsi="Book Antiqua"/>
        </w:rPr>
        <w:t>odds ratio:</w:t>
      </w:r>
      <w:r w:rsidRPr="00E053E9">
        <w:rPr>
          <w:rFonts w:ascii="Book Antiqua" w:hAnsi="Book Antiqua"/>
        </w:rPr>
        <w:t xml:space="preserve"> 17.5 in LC), </w:t>
      </w:r>
      <w:r w:rsidR="00AB5021" w:rsidRPr="00E053E9">
        <w:rPr>
          <w:rFonts w:ascii="Book Antiqua" w:hAnsi="Book Antiqua"/>
        </w:rPr>
        <w:t xml:space="preserve">and </w:t>
      </w:r>
      <w:r w:rsidRPr="00E053E9">
        <w:rPr>
          <w:rFonts w:ascii="Book Antiqua" w:hAnsi="Book Antiqua"/>
        </w:rPr>
        <w:t>beta-blockers (</w:t>
      </w:r>
      <w:r w:rsidR="00221AB9" w:rsidRPr="00E053E9">
        <w:rPr>
          <w:rFonts w:ascii="Book Antiqua" w:hAnsi="Book Antiqua"/>
        </w:rPr>
        <w:t>odds ratio:</w:t>
      </w:r>
      <w:r w:rsidRPr="00E053E9">
        <w:rPr>
          <w:rFonts w:ascii="Book Antiqua" w:hAnsi="Book Antiqua"/>
        </w:rPr>
        <w:t xml:space="preserve"> 3.6 in CC)</w:t>
      </w:r>
      <w:r w:rsidR="00AB5021" w:rsidRPr="00E053E9">
        <w:rPr>
          <w:rFonts w:ascii="Book Antiqua" w:hAnsi="Book Antiqua"/>
        </w:rPr>
        <w:t xml:space="preserve"> </w:t>
      </w:r>
      <w:r w:rsidRPr="00E053E9">
        <w:rPr>
          <w:rFonts w:ascii="Book Antiqua" w:hAnsi="Book Antiqua"/>
        </w:rPr>
        <w:t>are strong</w:t>
      </w:r>
      <w:r w:rsidR="00221AB9" w:rsidRPr="00E053E9">
        <w:rPr>
          <w:rFonts w:ascii="Book Antiqua" w:hAnsi="Book Antiqua"/>
        </w:rPr>
        <w:t>ly associated with MC (Table 1)</w:t>
      </w:r>
      <w:r w:rsidRPr="00E053E9">
        <w:rPr>
          <w:rFonts w:ascii="Book Antiqua" w:hAnsi="Book Antiqua"/>
          <w:vertAlign w:val="superscript"/>
        </w:rPr>
        <w:t>[4]</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 xml:space="preserve">A population-based case-control study using a Dutch primary care database assessed </w:t>
      </w:r>
      <w:r w:rsidR="00D60D80" w:rsidRPr="00E053E9">
        <w:rPr>
          <w:rFonts w:ascii="Book Antiqua" w:hAnsi="Book Antiqua"/>
        </w:rPr>
        <w:t xml:space="preserve">the </w:t>
      </w:r>
      <w:r w:rsidRPr="00E053E9">
        <w:rPr>
          <w:rFonts w:ascii="Book Antiqua" w:hAnsi="Book Antiqua"/>
        </w:rPr>
        <w:t xml:space="preserve">risk of MC </w:t>
      </w:r>
      <w:r w:rsidR="00A65734" w:rsidRPr="00E053E9">
        <w:rPr>
          <w:rFonts w:ascii="Book Antiqua" w:hAnsi="Book Antiqua"/>
        </w:rPr>
        <w:t xml:space="preserve">from exposure to medications </w:t>
      </w:r>
      <w:r w:rsidRPr="00E053E9">
        <w:rPr>
          <w:rFonts w:ascii="Book Antiqua" w:hAnsi="Book Antiqua"/>
        </w:rPr>
        <w:t xml:space="preserve">compared with community control as well as </w:t>
      </w:r>
      <w:r w:rsidR="00BB3BDF" w:rsidRPr="00E053E9">
        <w:rPr>
          <w:rFonts w:ascii="Book Antiqua" w:hAnsi="Book Antiqua"/>
        </w:rPr>
        <w:t xml:space="preserve">with </w:t>
      </w:r>
      <w:r w:rsidRPr="00E053E9">
        <w:rPr>
          <w:rFonts w:ascii="Book Antiqua" w:hAnsi="Book Antiqua"/>
        </w:rPr>
        <w:t xml:space="preserve">colonoscopy control where subjects had negative colonoscopy and </w:t>
      </w:r>
      <w:r w:rsidR="00BB3BDF" w:rsidRPr="00E053E9">
        <w:rPr>
          <w:rFonts w:ascii="Book Antiqua" w:hAnsi="Book Antiqua"/>
        </w:rPr>
        <w:t xml:space="preserve">negative </w:t>
      </w:r>
      <w:r w:rsidRPr="00E053E9">
        <w:rPr>
          <w:rFonts w:ascii="Book Antiqua" w:hAnsi="Book Antiqua"/>
        </w:rPr>
        <w:t>histology for MC</w:t>
      </w:r>
      <w:r w:rsidR="00BE0943" w:rsidRPr="00E053E9">
        <w:rPr>
          <w:rFonts w:ascii="Book Antiqua" w:hAnsi="Book Antiqua"/>
          <w:vertAlign w:val="superscript"/>
        </w:rPr>
        <w:t>[</w:t>
      </w:r>
      <w:r w:rsidR="005D672C" w:rsidRPr="00E053E9">
        <w:rPr>
          <w:rFonts w:ascii="Book Antiqua" w:hAnsi="Book Antiqua"/>
          <w:vertAlign w:val="superscript"/>
        </w:rPr>
        <w:t>7</w:t>
      </w:r>
      <w:r w:rsidR="00BE0943"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 xml:space="preserve">This study showed that </w:t>
      </w:r>
      <w:r w:rsidR="00914E4C" w:rsidRPr="00E053E9">
        <w:rPr>
          <w:rFonts w:ascii="Book Antiqua" w:hAnsi="Book Antiqua"/>
        </w:rPr>
        <w:t>current use of proton pump inhibitor (</w:t>
      </w:r>
      <w:r w:rsidR="00221AB9" w:rsidRPr="00E053E9">
        <w:rPr>
          <w:rFonts w:ascii="Book Antiqua" w:hAnsi="Book Antiqua"/>
        </w:rPr>
        <w:t>odds ratio:</w:t>
      </w:r>
      <w:r w:rsidR="00914E4C" w:rsidRPr="00E053E9">
        <w:rPr>
          <w:rFonts w:ascii="Book Antiqua" w:hAnsi="Book Antiqua"/>
        </w:rPr>
        <w:t xml:space="preserve"> 10.6) and nonsteroidal anti-inflammatory drugs (</w:t>
      </w:r>
      <w:r w:rsidR="00221AB9" w:rsidRPr="00E053E9">
        <w:rPr>
          <w:rFonts w:ascii="Book Antiqua" w:hAnsi="Book Antiqua"/>
        </w:rPr>
        <w:t>odds ratio:</w:t>
      </w:r>
      <w:r w:rsidR="00914E4C" w:rsidRPr="00E053E9">
        <w:rPr>
          <w:rFonts w:ascii="Book Antiqua" w:hAnsi="Book Antiqua"/>
        </w:rPr>
        <w:t xml:space="preserve"> 5.6) significantly increased the risk of MC</w:t>
      </w:r>
      <w:r w:rsidR="005D672C" w:rsidRPr="00E053E9">
        <w:rPr>
          <w:rFonts w:ascii="Book Antiqua" w:hAnsi="Book Antiqua"/>
          <w:vertAlign w:val="superscript"/>
        </w:rPr>
        <w:t>[7]</w:t>
      </w:r>
      <w:r w:rsidR="00914E4C" w:rsidRPr="00E053E9">
        <w:rPr>
          <w:rFonts w:ascii="Book Antiqua" w:hAnsi="Book Antiqua"/>
        </w:rPr>
        <w:t>.</w:t>
      </w:r>
      <w:r w:rsidR="00C02D8F" w:rsidRPr="00E053E9">
        <w:rPr>
          <w:rFonts w:ascii="Book Antiqua" w:hAnsi="Book Antiqua"/>
        </w:rPr>
        <w:t xml:space="preserve"> </w:t>
      </w:r>
      <w:r w:rsidRPr="00E053E9">
        <w:rPr>
          <w:rFonts w:ascii="Book Antiqua" w:hAnsi="Book Antiqua"/>
        </w:rPr>
        <w:t xml:space="preserve">Diclofenac was the most commonly used </w:t>
      </w:r>
      <w:r w:rsidR="00221AB9" w:rsidRPr="00E053E9">
        <w:rPr>
          <w:rFonts w:ascii="Book Antiqua" w:hAnsi="Book Antiqua"/>
        </w:rPr>
        <w:t>non-steroidal anti-inflammatory drug</w:t>
      </w:r>
      <w:r w:rsidR="00F776B8" w:rsidRPr="00E053E9">
        <w:rPr>
          <w:rFonts w:ascii="Book Antiqua" w:hAnsi="Book Antiqua"/>
        </w:rPr>
        <w:t>,</w:t>
      </w:r>
      <w:r w:rsidRPr="00E053E9">
        <w:rPr>
          <w:rFonts w:ascii="Book Antiqua" w:hAnsi="Book Antiqua"/>
        </w:rPr>
        <w:t xml:space="preserve"> and omeprazole was the most commonly used </w:t>
      </w:r>
      <w:r w:rsidR="00221AB9" w:rsidRPr="00E053E9">
        <w:rPr>
          <w:rFonts w:ascii="Book Antiqua" w:hAnsi="Book Antiqua"/>
        </w:rPr>
        <w:t>proton pump inhibitor</w:t>
      </w:r>
      <w:r w:rsidR="00221AB9" w:rsidRPr="00E053E9">
        <w:rPr>
          <w:rFonts w:ascii="Book Antiqua" w:eastAsiaTheme="minorEastAsia" w:hAnsi="Book Antiqua" w:hint="eastAsia"/>
          <w:lang w:eastAsia="zh-CN"/>
        </w:rPr>
        <w:t xml:space="preserve"> </w:t>
      </w:r>
      <w:r w:rsidRPr="00E053E9">
        <w:rPr>
          <w:rFonts w:ascii="Book Antiqua" w:hAnsi="Book Antiqua"/>
        </w:rPr>
        <w:t>in this study.</w:t>
      </w:r>
      <w:r w:rsidR="00C02D8F" w:rsidRPr="00E053E9">
        <w:rPr>
          <w:rFonts w:ascii="Book Antiqua" w:hAnsi="Book Antiqua"/>
        </w:rPr>
        <w:t xml:space="preserve"> </w:t>
      </w:r>
      <w:r w:rsidRPr="00E053E9">
        <w:rPr>
          <w:rFonts w:ascii="Book Antiqua" w:hAnsi="Book Antiqua"/>
        </w:rPr>
        <w:t>Selective serotonin reuptake inhibitor</w:t>
      </w:r>
      <w:r w:rsidR="00313B1E" w:rsidRPr="00E053E9">
        <w:rPr>
          <w:rFonts w:ascii="Book Antiqua" w:hAnsi="Book Antiqua"/>
        </w:rPr>
        <w:t xml:space="preserve">s, </w:t>
      </w:r>
      <w:r w:rsidR="00313B1E" w:rsidRPr="00E053E9">
        <w:rPr>
          <w:rFonts w:ascii="Book Antiqua" w:hAnsi="Book Antiqua"/>
        </w:rPr>
        <w:lastRenderedPageBreak/>
        <w:t xml:space="preserve">beta-blockers, and ACE inhibitors </w:t>
      </w:r>
      <w:r w:rsidRPr="00E053E9">
        <w:rPr>
          <w:rFonts w:ascii="Book Antiqua" w:hAnsi="Book Antiqua"/>
        </w:rPr>
        <w:t>increased the risk of MC when compared with community controls, but not when compared with colonoscopy controls</w:t>
      </w:r>
      <w:r w:rsidR="005D672C" w:rsidRPr="00E053E9">
        <w:rPr>
          <w:rFonts w:ascii="Book Antiqua" w:hAnsi="Book Antiqua"/>
          <w:vertAlign w:val="superscript"/>
        </w:rPr>
        <w:t>[7]</w:t>
      </w:r>
      <w:r w:rsidRPr="00E053E9">
        <w:rPr>
          <w:rFonts w:ascii="Book Antiqua" w:hAnsi="Book Antiqua"/>
        </w:rPr>
        <w:t>.</w:t>
      </w:r>
      <w:r w:rsidR="00C02D8F" w:rsidRPr="00E053E9">
        <w:rPr>
          <w:rFonts w:ascii="Book Antiqua" w:hAnsi="Book Antiqua"/>
        </w:rPr>
        <w:t xml:space="preserve"> </w:t>
      </w:r>
    </w:p>
    <w:p w:rsidR="001D1CD1" w:rsidRPr="00E053E9" w:rsidRDefault="00742F48" w:rsidP="00221AB9">
      <w:pPr>
        <w:adjustRightInd w:val="0"/>
        <w:snapToGrid w:val="0"/>
        <w:spacing w:line="360" w:lineRule="auto"/>
        <w:ind w:firstLineChars="100" w:firstLine="240"/>
        <w:jc w:val="both"/>
        <w:rPr>
          <w:rFonts w:ascii="Book Antiqua" w:hAnsi="Book Antiqua"/>
        </w:rPr>
      </w:pPr>
      <w:r w:rsidRPr="00E053E9">
        <w:rPr>
          <w:rFonts w:ascii="Book Antiqua" w:hAnsi="Book Antiqua"/>
        </w:rPr>
        <w:t xml:space="preserve">A more recent theory centers around bacterial translocation in the </w:t>
      </w:r>
      <w:r w:rsidR="00221AB9" w:rsidRPr="00E053E9">
        <w:rPr>
          <w:rFonts w:ascii="Book Antiqua" w:eastAsiaTheme="minorEastAsia" w:hAnsi="Book Antiqua" w:hint="eastAsia"/>
          <w:lang w:eastAsia="zh-CN"/>
        </w:rPr>
        <w:t>gastrointestinal</w:t>
      </w:r>
      <w:r w:rsidRPr="00E053E9">
        <w:rPr>
          <w:rFonts w:ascii="Book Antiqua" w:hAnsi="Book Antiqua"/>
        </w:rPr>
        <w:t xml:space="preserve"> tract.</w:t>
      </w:r>
      <w:r w:rsidR="00C02D8F" w:rsidRPr="00E053E9">
        <w:rPr>
          <w:rFonts w:ascii="Book Antiqua" w:hAnsi="Book Antiqua"/>
        </w:rPr>
        <w:t xml:space="preserve"> </w:t>
      </w:r>
      <w:r w:rsidRPr="00E053E9">
        <w:rPr>
          <w:rFonts w:ascii="Book Antiqua" w:hAnsi="Book Antiqua"/>
        </w:rPr>
        <w:t>Bacterial antigens or toxins are suspected to increase inflammatory mediators in</w:t>
      </w:r>
      <w:r w:rsidR="004976A5" w:rsidRPr="00E053E9">
        <w:rPr>
          <w:rFonts w:ascii="Book Antiqua" w:hAnsi="Book Antiqua"/>
        </w:rPr>
        <w:t xml:space="preserve"> the </w:t>
      </w:r>
      <w:r w:rsidRPr="00E053E9">
        <w:rPr>
          <w:rFonts w:ascii="Book Antiqua" w:hAnsi="Book Antiqua"/>
        </w:rPr>
        <w:t>colonic mucosa, leading to increased mucosal permeability, increased cytokines, degradation of the collagen matrix, and dysregulation of intestinal subepithelial myofibroblasts.</w:t>
      </w:r>
      <w:r w:rsidR="00C02D8F" w:rsidRPr="00E053E9">
        <w:rPr>
          <w:rFonts w:ascii="Book Antiqua" w:hAnsi="Book Antiqua"/>
        </w:rPr>
        <w:t xml:space="preserve"> </w:t>
      </w:r>
      <w:r w:rsidRPr="00E053E9">
        <w:rPr>
          <w:rFonts w:ascii="Book Antiqua" w:hAnsi="Book Antiqua"/>
        </w:rPr>
        <w:t>No specific organisms have been identified in causing or exacerbating MC.</w:t>
      </w:r>
      <w:r w:rsidR="00C02D8F" w:rsidRPr="00E053E9">
        <w:rPr>
          <w:rFonts w:ascii="Book Antiqua" w:hAnsi="Book Antiqua"/>
        </w:rPr>
        <w:t xml:space="preserve"> </w:t>
      </w:r>
      <w:r w:rsidRPr="00E053E9">
        <w:rPr>
          <w:rFonts w:ascii="Book Antiqua" w:hAnsi="Book Antiqua"/>
        </w:rPr>
        <w:t xml:space="preserve">Analysis of colonic biopsies </w:t>
      </w:r>
      <w:r w:rsidR="0000259A" w:rsidRPr="00E053E9">
        <w:rPr>
          <w:rFonts w:ascii="Book Antiqua" w:hAnsi="Book Antiqua"/>
        </w:rPr>
        <w:t xml:space="preserve">of patients with MC </w:t>
      </w:r>
      <w:r w:rsidR="005F38DF" w:rsidRPr="00E053E9">
        <w:rPr>
          <w:rFonts w:ascii="Book Antiqua" w:hAnsi="Book Antiqua"/>
        </w:rPr>
        <w:t xml:space="preserve">demonstrated </w:t>
      </w:r>
      <w:r w:rsidR="008E61BE" w:rsidRPr="00E053E9">
        <w:rPr>
          <w:rFonts w:ascii="Book Antiqua" w:hAnsi="Book Antiqua"/>
        </w:rPr>
        <w:t xml:space="preserve">an </w:t>
      </w:r>
      <w:r w:rsidRPr="00E053E9">
        <w:rPr>
          <w:rFonts w:ascii="Book Antiqua" w:hAnsi="Book Antiqua"/>
        </w:rPr>
        <w:t xml:space="preserve">increased amount of </w:t>
      </w:r>
      <w:r w:rsidR="001E6BC8" w:rsidRPr="00E053E9">
        <w:rPr>
          <w:rFonts w:ascii="Book Antiqua" w:hAnsi="Book Antiqua"/>
        </w:rPr>
        <w:t>interferon</w:t>
      </w:r>
      <w:r w:rsidRPr="00E053E9">
        <w:rPr>
          <w:rFonts w:ascii="Book Antiqua" w:hAnsi="Book Antiqua"/>
        </w:rPr>
        <w:t xml:space="preserve">-gamma, </w:t>
      </w:r>
      <w:r w:rsidR="00BC4E81" w:rsidRPr="00E053E9">
        <w:rPr>
          <w:rFonts w:ascii="Book Antiqua" w:hAnsi="Book Antiqua"/>
        </w:rPr>
        <w:t xml:space="preserve">tumor necrosis factor </w:t>
      </w:r>
      <w:r w:rsidRPr="00E053E9">
        <w:rPr>
          <w:rFonts w:ascii="Book Antiqua" w:hAnsi="Book Antiqua"/>
        </w:rPr>
        <w:t xml:space="preserve">alpha, </w:t>
      </w:r>
      <w:r w:rsidR="008E61BE" w:rsidRPr="00E053E9">
        <w:rPr>
          <w:rFonts w:ascii="Book Antiqua" w:hAnsi="Book Antiqua"/>
        </w:rPr>
        <w:t xml:space="preserve">and </w:t>
      </w:r>
      <w:r w:rsidR="00BC4E81" w:rsidRPr="00E053E9">
        <w:rPr>
          <w:rFonts w:ascii="Book Antiqua" w:hAnsi="Book Antiqua"/>
        </w:rPr>
        <w:t>interleukin</w:t>
      </w:r>
      <w:r w:rsidRPr="00E053E9">
        <w:rPr>
          <w:rFonts w:ascii="Book Antiqua" w:hAnsi="Book Antiqua"/>
        </w:rPr>
        <w:t>-1</w:t>
      </w:r>
      <w:r w:rsidR="00221AB9" w:rsidRPr="00E053E9">
        <w:rPr>
          <w:rFonts w:ascii="Book Antiqua" w:hAnsi="Book Antiqua"/>
        </w:rPr>
        <w:t>β</w:t>
      </w:r>
      <w:r w:rsidR="008E61BE" w:rsidRPr="00E053E9">
        <w:rPr>
          <w:rFonts w:ascii="Book Antiqua" w:hAnsi="Book Antiqua"/>
        </w:rPr>
        <w:t xml:space="preserve"> </w:t>
      </w:r>
      <w:r w:rsidRPr="00E053E9">
        <w:rPr>
          <w:rFonts w:ascii="Book Antiqua" w:hAnsi="Book Antiqua"/>
        </w:rPr>
        <w:t>in patients with MC as compared to patients without MC</w:t>
      </w:r>
      <w:r w:rsidR="001E6BC8" w:rsidRPr="00E053E9">
        <w:rPr>
          <w:rFonts w:ascii="Book Antiqua" w:hAnsi="Book Antiqua"/>
        </w:rPr>
        <w:t xml:space="preserve"> who underwent routine screening/surveillance colonoscopy</w:t>
      </w:r>
      <w:r w:rsidR="00A37EFE" w:rsidRPr="00E053E9">
        <w:rPr>
          <w:rFonts w:ascii="Book Antiqua" w:hAnsi="Book Antiqua"/>
        </w:rPr>
        <w:t>, suggesting ro</w:t>
      </w:r>
      <w:r w:rsidR="00221AB9" w:rsidRPr="00E053E9">
        <w:rPr>
          <w:rFonts w:ascii="Book Antiqua" w:hAnsi="Book Antiqua"/>
        </w:rPr>
        <w:t>le of Th1 immune response in MC</w:t>
      </w:r>
      <w:r w:rsidRPr="00E053E9">
        <w:rPr>
          <w:rFonts w:ascii="Book Antiqua" w:hAnsi="Book Antiqua"/>
          <w:vertAlign w:val="superscript"/>
        </w:rPr>
        <w:t>[</w:t>
      </w:r>
      <w:r w:rsidR="008B75AC" w:rsidRPr="00E053E9">
        <w:rPr>
          <w:rFonts w:ascii="Book Antiqua" w:hAnsi="Book Antiqua"/>
          <w:vertAlign w:val="superscript"/>
        </w:rPr>
        <w:t>8</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00AA0AB5" w:rsidRPr="00E053E9">
        <w:rPr>
          <w:rFonts w:ascii="Book Antiqua" w:hAnsi="Book Antiqua"/>
        </w:rPr>
        <w:t xml:space="preserve">There was a trend towards </w:t>
      </w:r>
      <w:r w:rsidR="005F38DF" w:rsidRPr="00E053E9">
        <w:rPr>
          <w:rFonts w:ascii="Book Antiqua" w:hAnsi="Book Antiqua"/>
        </w:rPr>
        <w:t xml:space="preserve">increased level </w:t>
      </w:r>
      <w:r w:rsidR="00AA0AB5" w:rsidRPr="00E053E9">
        <w:rPr>
          <w:rFonts w:ascii="Book Antiqua" w:hAnsi="Book Antiqua"/>
        </w:rPr>
        <w:t>o</w:t>
      </w:r>
      <w:r w:rsidR="005F38DF" w:rsidRPr="00E053E9">
        <w:rPr>
          <w:rFonts w:ascii="Book Antiqua" w:hAnsi="Book Antiqua"/>
        </w:rPr>
        <w:t xml:space="preserve">f </w:t>
      </w:r>
      <w:r w:rsidR="000763DD" w:rsidRPr="00E053E9">
        <w:rPr>
          <w:rFonts w:ascii="Book Antiqua" w:hAnsi="Book Antiqua"/>
        </w:rPr>
        <w:t>interleukin</w:t>
      </w:r>
      <w:r w:rsidR="005F38DF" w:rsidRPr="00E053E9">
        <w:rPr>
          <w:rFonts w:ascii="Book Antiqua" w:hAnsi="Book Antiqua"/>
        </w:rPr>
        <w:t xml:space="preserve">-13 in patients with MC but </w:t>
      </w:r>
      <w:r w:rsidR="000763DD" w:rsidRPr="00E053E9">
        <w:rPr>
          <w:rFonts w:ascii="Book Antiqua" w:hAnsi="Book Antiqua"/>
        </w:rPr>
        <w:t>interleukin</w:t>
      </w:r>
      <w:r w:rsidR="005F38DF" w:rsidRPr="00E053E9">
        <w:rPr>
          <w:rFonts w:ascii="Book Antiqua" w:hAnsi="Book Antiqua"/>
        </w:rPr>
        <w:t>-13 levels were not significantly different</w:t>
      </w:r>
      <w:r w:rsidR="00221AB9" w:rsidRPr="00E053E9">
        <w:rPr>
          <w:rFonts w:ascii="Book Antiqua" w:hAnsi="Book Antiqua"/>
        </w:rPr>
        <w:t xml:space="preserve"> between MC and non-MC patients</w:t>
      </w:r>
      <w:r w:rsidR="005F38DF" w:rsidRPr="00E053E9">
        <w:rPr>
          <w:rFonts w:ascii="Book Antiqua" w:hAnsi="Book Antiqua"/>
          <w:vertAlign w:val="superscript"/>
        </w:rPr>
        <w:t>[</w:t>
      </w:r>
      <w:r w:rsidR="008B75AC" w:rsidRPr="00E053E9">
        <w:rPr>
          <w:rFonts w:ascii="Book Antiqua" w:hAnsi="Book Antiqua"/>
          <w:vertAlign w:val="superscript"/>
        </w:rPr>
        <w:t>8</w:t>
      </w:r>
      <w:r w:rsidR="005F38DF" w:rsidRPr="00E053E9">
        <w:rPr>
          <w:rFonts w:ascii="Book Antiqua" w:hAnsi="Book Antiqua"/>
          <w:vertAlign w:val="superscript"/>
        </w:rPr>
        <w:t>]</w:t>
      </w:r>
      <w:r w:rsidR="005F38DF" w:rsidRPr="00E053E9">
        <w:rPr>
          <w:rFonts w:ascii="Book Antiqua" w:hAnsi="Book Antiqua"/>
        </w:rPr>
        <w:t>.</w:t>
      </w:r>
      <w:r w:rsidR="00C02D8F" w:rsidRPr="00E053E9">
        <w:rPr>
          <w:rFonts w:ascii="Book Antiqua" w:hAnsi="Book Antiqua"/>
        </w:rPr>
        <w:t xml:space="preserve"> </w:t>
      </w:r>
      <w:r w:rsidR="00AA0AB5" w:rsidRPr="00E053E9">
        <w:rPr>
          <w:rFonts w:ascii="Book Antiqua" w:hAnsi="Book Antiqua"/>
        </w:rPr>
        <w:t xml:space="preserve">There was no difference in </w:t>
      </w:r>
      <w:r w:rsidR="000763DD" w:rsidRPr="00E053E9">
        <w:rPr>
          <w:rFonts w:ascii="Book Antiqua" w:hAnsi="Book Antiqua"/>
        </w:rPr>
        <w:t>interleukin</w:t>
      </w:r>
      <w:r w:rsidR="00221AB9" w:rsidRPr="00E053E9">
        <w:rPr>
          <w:rFonts w:ascii="Book Antiqua" w:hAnsi="Book Antiqua"/>
        </w:rPr>
        <w:t>-8 level between the two groups</w:t>
      </w:r>
      <w:r w:rsidR="00AA0AB5" w:rsidRPr="00E053E9">
        <w:rPr>
          <w:rFonts w:ascii="Book Antiqua" w:hAnsi="Book Antiqua"/>
          <w:vertAlign w:val="superscript"/>
        </w:rPr>
        <w:t>[</w:t>
      </w:r>
      <w:r w:rsidR="008B75AC" w:rsidRPr="00E053E9">
        <w:rPr>
          <w:rFonts w:ascii="Book Antiqua" w:hAnsi="Book Antiqua"/>
          <w:vertAlign w:val="superscript"/>
        </w:rPr>
        <w:t>8</w:t>
      </w:r>
      <w:r w:rsidR="00AA0AB5" w:rsidRPr="00E053E9">
        <w:rPr>
          <w:rFonts w:ascii="Book Antiqua" w:hAnsi="Book Antiqua"/>
          <w:vertAlign w:val="superscript"/>
        </w:rPr>
        <w:t>]</w:t>
      </w:r>
      <w:r w:rsidR="00AA0AB5" w:rsidRPr="00E053E9">
        <w:rPr>
          <w:rFonts w:ascii="Book Antiqua" w:hAnsi="Book Antiqua"/>
        </w:rPr>
        <w:t>.</w:t>
      </w:r>
      <w:r w:rsidR="00C02D8F" w:rsidRPr="00E053E9">
        <w:rPr>
          <w:rFonts w:ascii="Book Antiqua" w:hAnsi="Book Antiqua"/>
        </w:rPr>
        <w:t xml:space="preserve"> </w:t>
      </w:r>
      <w:r w:rsidR="001E6BC8" w:rsidRPr="00E053E9">
        <w:rPr>
          <w:rFonts w:ascii="Book Antiqua" w:hAnsi="Book Antiqua"/>
        </w:rPr>
        <w:t xml:space="preserve">Mucosal mRNA levels of </w:t>
      </w:r>
      <w:r w:rsidR="000763DD" w:rsidRPr="00E053E9">
        <w:rPr>
          <w:rFonts w:ascii="Book Antiqua" w:hAnsi="Book Antiqua"/>
        </w:rPr>
        <w:t>interferon</w:t>
      </w:r>
      <w:r w:rsidR="001E6BC8" w:rsidRPr="00E053E9">
        <w:rPr>
          <w:rFonts w:ascii="Book Antiqua" w:hAnsi="Book Antiqua"/>
        </w:rPr>
        <w:t xml:space="preserve">-gamma and </w:t>
      </w:r>
      <w:r w:rsidR="000763DD" w:rsidRPr="00E053E9">
        <w:rPr>
          <w:rFonts w:ascii="Book Antiqua" w:hAnsi="Book Antiqua"/>
        </w:rPr>
        <w:t>interleukin</w:t>
      </w:r>
      <w:r w:rsidR="001E6BC8" w:rsidRPr="00E053E9">
        <w:rPr>
          <w:rFonts w:ascii="Book Antiqua" w:hAnsi="Book Antiqua"/>
        </w:rPr>
        <w:t xml:space="preserve">-15 were 100 times greater and </w:t>
      </w:r>
      <w:r w:rsidR="000763DD" w:rsidRPr="00E053E9">
        <w:rPr>
          <w:rFonts w:ascii="Book Antiqua" w:hAnsi="Book Antiqua"/>
        </w:rPr>
        <w:t xml:space="preserve">tumor necrosis factor </w:t>
      </w:r>
      <w:r w:rsidR="001E6BC8" w:rsidRPr="00E053E9">
        <w:rPr>
          <w:rFonts w:ascii="Book Antiqua" w:hAnsi="Book Antiqua"/>
        </w:rPr>
        <w:t>alpha was 60 times greater in patients with MC as compared to patients with irritable bowel syndrome with diarrhea predominance</w:t>
      </w:r>
      <w:r w:rsidR="000763DD" w:rsidRPr="00E053E9">
        <w:rPr>
          <w:rFonts w:ascii="Book Antiqua" w:hAnsi="Book Antiqua"/>
        </w:rPr>
        <w:t>, also su</w:t>
      </w:r>
      <w:r w:rsidR="00A37EFE" w:rsidRPr="00E053E9">
        <w:rPr>
          <w:rFonts w:ascii="Book Antiqua" w:hAnsi="Book Antiqua"/>
        </w:rPr>
        <w:t xml:space="preserve">pporting the </w:t>
      </w:r>
      <w:r w:rsidR="000C329A" w:rsidRPr="00E053E9">
        <w:rPr>
          <w:rFonts w:ascii="Book Antiqua" w:hAnsi="Book Antiqua"/>
        </w:rPr>
        <w:t xml:space="preserve">role of Th1 immune response, which may be triggered by </w:t>
      </w:r>
      <w:r w:rsidR="00A37EFE" w:rsidRPr="00E053E9">
        <w:rPr>
          <w:rFonts w:ascii="Book Antiqua" w:hAnsi="Book Antiqua"/>
        </w:rPr>
        <w:t xml:space="preserve">an unknown luminal antigen </w:t>
      </w:r>
      <w:r w:rsidR="000C329A" w:rsidRPr="00E053E9">
        <w:rPr>
          <w:rFonts w:ascii="Book Antiqua" w:hAnsi="Book Antiqua"/>
        </w:rPr>
        <w:t xml:space="preserve">and </w:t>
      </w:r>
      <w:r w:rsidR="00A37EFE" w:rsidRPr="00E053E9">
        <w:rPr>
          <w:rFonts w:ascii="Book Antiqua" w:hAnsi="Book Antiqua"/>
        </w:rPr>
        <w:t>ultimately leads to MC</w:t>
      </w:r>
      <w:r w:rsidR="00123CE7" w:rsidRPr="00E053E9">
        <w:rPr>
          <w:rFonts w:ascii="Book Antiqua" w:hAnsi="Book Antiqua"/>
        </w:rPr>
        <w:t xml:space="preserve"> in susceptible individuals</w:t>
      </w:r>
      <w:r w:rsidR="008B75AC" w:rsidRPr="00E053E9">
        <w:rPr>
          <w:rFonts w:ascii="Book Antiqua" w:hAnsi="Book Antiqua"/>
          <w:vertAlign w:val="superscript"/>
        </w:rPr>
        <w:t>[9]</w:t>
      </w:r>
      <w:r w:rsidR="008B75AC" w:rsidRPr="00E053E9">
        <w:rPr>
          <w:rFonts w:ascii="Book Antiqua" w:hAnsi="Book Antiqua"/>
        </w:rPr>
        <w:t>.</w:t>
      </w:r>
      <w:r w:rsidR="008B75AC" w:rsidRPr="00E053E9" w:rsidDel="008B75AC">
        <w:rPr>
          <w:rFonts w:ascii="Book Antiqua" w:hAnsi="Book Antiqua"/>
        </w:rPr>
        <w:t xml:space="preserve"> </w:t>
      </w:r>
    </w:p>
    <w:p w:rsidR="0038363C" w:rsidRPr="00E053E9" w:rsidRDefault="0038363C"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b/>
        </w:rPr>
        <w:t>MANAGEMENT</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There are no society guidelines on how to best manage patients with MC.</w:t>
      </w:r>
      <w:r w:rsidR="00C02D8F" w:rsidRPr="00E053E9">
        <w:rPr>
          <w:rFonts w:ascii="Book Antiqua" w:hAnsi="Book Antiqua"/>
        </w:rPr>
        <w:t xml:space="preserve"> </w:t>
      </w:r>
      <w:r w:rsidRPr="00E053E9">
        <w:rPr>
          <w:rFonts w:ascii="Book Antiqua" w:hAnsi="Book Antiqua"/>
        </w:rPr>
        <w:t>While some provider will start with the most benign recommendations including lifestyle changes and work their way up to anti</w:t>
      </w:r>
      <w:r w:rsidR="006960FC" w:rsidRPr="00E053E9">
        <w:rPr>
          <w:rFonts w:ascii="Book Antiqua" w:hAnsi="Book Antiqua"/>
        </w:rPr>
        <w:t>-</w:t>
      </w:r>
      <w:r w:rsidRPr="00E053E9">
        <w:rPr>
          <w:rFonts w:ascii="Book Antiqua" w:hAnsi="Book Antiqua"/>
        </w:rPr>
        <w:t>diarrheals and steroids, others will go right to the most effective medications.</w:t>
      </w:r>
    </w:p>
    <w:p w:rsidR="00BB3BDF" w:rsidRPr="00E053E9" w:rsidRDefault="00BB3BDF" w:rsidP="004C3987">
      <w:pPr>
        <w:adjustRightInd w:val="0"/>
        <w:snapToGrid w:val="0"/>
        <w:spacing w:line="360" w:lineRule="auto"/>
        <w:jc w:val="both"/>
        <w:rPr>
          <w:rFonts w:ascii="Book Antiqua" w:hAnsi="Book Antiqua"/>
          <w:u w:val="single"/>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Lifestyle changes</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lastRenderedPageBreak/>
        <w:t>As an initial approach, a thorough history should be taken in order to corroborate a temporal relationship between starting a new medication and the onset of symptoms.</w:t>
      </w:r>
      <w:r w:rsidR="00C02D8F" w:rsidRPr="00E053E9">
        <w:rPr>
          <w:rFonts w:ascii="Book Antiqua" w:hAnsi="Book Antiqua"/>
        </w:rPr>
        <w:t xml:space="preserve"> </w:t>
      </w:r>
      <w:r w:rsidRPr="00E053E9">
        <w:rPr>
          <w:rFonts w:ascii="Book Antiqua" w:hAnsi="Book Antiqua"/>
        </w:rPr>
        <w:t>If suspected,</w:t>
      </w:r>
      <w:r w:rsidRPr="00E053E9">
        <w:rPr>
          <w:rFonts w:ascii="Book Antiqua" w:hAnsi="Book Antiqua"/>
          <w:u w:val="single"/>
        </w:rPr>
        <w:t xml:space="preserve"> </w:t>
      </w:r>
      <w:r w:rsidRPr="00E053E9">
        <w:rPr>
          <w:rFonts w:ascii="Book Antiqua" w:hAnsi="Book Antiqua"/>
        </w:rPr>
        <w:t>offending medications should be discontinued if possible.</w:t>
      </w:r>
      <w:r w:rsidR="00C02D8F" w:rsidRPr="00E053E9">
        <w:rPr>
          <w:rFonts w:ascii="Book Antiqua" w:hAnsi="Book Antiqua"/>
        </w:rPr>
        <w:t xml:space="preserve"> </w:t>
      </w:r>
      <w:r w:rsidRPr="00E053E9">
        <w:rPr>
          <w:rFonts w:ascii="Book Antiqua" w:hAnsi="Book Antiqua"/>
        </w:rPr>
        <w:t xml:space="preserve">Smoking cessation should also be encouraged.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 xml:space="preserve">Anti-diarrheal medications (loperamide, diphenoxylate/atropine) </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There are no randomized controlled trials comparing efficacy of antidiarrheals against placebo or other medical therapy for MC.</w:t>
      </w:r>
      <w:r w:rsidR="00C02D8F" w:rsidRPr="00E053E9">
        <w:rPr>
          <w:rFonts w:ascii="Book Antiqua" w:hAnsi="Book Antiqua"/>
        </w:rPr>
        <w:t xml:space="preserve"> </w:t>
      </w:r>
      <w:r w:rsidRPr="00E053E9">
        <w:rPr>
          <w:rFonts w:ascii="Book Antiqua" w:hAnsi="Book Antiqua"/>
        </w:rPr>
        <w:t>A retrospective registry review of 163 patients with CC showed a 71% efficacy rate (49 ou</w:t>
      </w:r>
      <w:r w:rsidR="00221AB9" w:rsidRPr="00E053E9">
        <w:rPr>
          <w:rFonts w:ascii="Book Antiqua" w:hAnsi="Book Antiqua"/>
        </w:rPr>
        <w:t>t of 69 patients) of loperamide</w:t>
      </w:r>
      <w:r w:rsidRPr="00E053E9">
        <w:rPr>
          <w:rFonts w:ascii="Book Antiqua" w:hAnsi="Book Antiqua"/>
          <w:vertAlign w:val="superscript"/>
        </w:rPr>
        <w:t>[</w:t>
      </w:r>
      <w:r w:rsidR="004B59DC" w:rsidRPr="00E053E9">
        <w:rPr>
          <w:rFonts w:ascii="Book Antiqua" w:hAnsi="Book Antiqua"/>
          <w:vertAlign w:val="superscript"/>
        </w:rPr>
        <w:t>10</w:t>
      </w:r>
      <w:r w:rsidRPr="00E053E9">
        <w:rPr>
          <w:rFonts w:ascii="Book Antiqua" w:hAnsi="Book Antiqua"/>
          <w:vertAlign w:val="superscript"/>
        </w:rPr>
        <w:t>]</w:t>
      </w:r>
      <w:r w:rsidRPr="00E053E9">
        <w:rPr>
          <w:rFonts w:ascii="Book Antiqua" w:hAnsi="Book Antiqua"/>
        </w:rPr>
        <w:t>. Consensus is that anti</w:t>
      </w:r>
      <w:r w:rsidR="006960FC" w:rsidRPr="00E053E9">
        <w:rPr>
          <w:rFonts w:ascii="Book Antiqua" w:hAnsi="Book Antiqua"/>
        </w:rPr>
        <w:t>-</w:t>
      </w:r>
      <w:r w:rsidRPr="00E053E9">
        <w:rPr>
          <w:rFonts w:ascii="Book Antiqua" w:hAnsi="Book Antiqua"/>
        </w:rPr>
        <w:t xml:space="preserve">diarrheals may be used alone in mild MC or in conjunction with other therapies in moderate to severe MC to reduce frequency of diarrhea.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Bismuth</w:t>
      </w:r>
    </w:p>
    <w:p w:rsidR="00BB3BDF" w:rsidRPr="00E053E9" w:rsidRDefault="00742F48" w:rsidP="004C3987">
      <w:pPr>
        <w:adjustRightInd w:val="0"/>
        <w:snapToGrid w:val="0"/>
        <w:spacing w:line="360" w:lineRule="auto"/>
        <w:jc w:val="both"/>
        <w:rPr>
          <w:rFonts w:ascii="Book Antiqua" w:hAnsi="Book Antiqua" w:cs="Arial"/>
        </w:rPr>
      </w:pPr>
      <w:r w:rsidRPr="00E053E9">
        <w:rPr>
          <w:rFonts w:ascii="Book Antiqua" w:hAnsi="Book Antiqua" w:cs="Arial"/>
        </w:rPr>
        <w:t xml:space="preserve">In an animal study, bismuth subsalicylate and bismuth subcitrate enemas significantly reduced the macroscopic </w:t>
      </w:r>
      <w:r w:rsidR="00595BE3" w:rsidRPr="00E053E9">
        <w:rPr>
          <w:rFonts w:ascii="Book Antiqua" w:hAnsi="Book Antiqua" w:cs="Arial"/>
        </w:rPr>
        <w:t xml:space="preserve">and microscopic </w:t>
      </w:r>
      <w:r w:rsidRPr="00E053E9">
        <w:rPr>
          <w:rFonts w:ascii="Book Antiqua" w:hAnsi="Book Antiqua" w:cs="Arial"/>
        </w:rPr>
        <w:t xml:space="preserve">appearance of </w:t>
      </w:r>
      <w:r w:rsidR="0042374B" w:rsidRPr="00E053E9">
        <w:rPr>
          <w:rFonts w:ascii="Book Antiqua" w:hAnsi="Book Antiqua" w:cs="Arial"/>
        </w:rPr>
        <w:t>the 2,</w:t>
      </w:r>
      <w:r w:rsidR="00221AB9" w:rsidRPr="00E053E9">
        <w:rPr>
          <w:rFonts w:ascii="Book Antiqua" w:eastAsiaTheme="minorEastAsia" w:hAnsi="Book Antiqua" w:cs="Arial" w:hint="eastAsia"/>
          <w:lang w:eastAsia="zh-CN"/>
        </w:rPr>
        <w:t xml:space="preserve"> </w:t>
      </w:r>
      <w:r w:rsidR="0042374B" w:rsidRPr="00E053E9">
        <w:rPr>
          <w:rFonts w:ascii="Book Antiqua" w:hAnsi="Book Antiqua" w:cs="Arial"/>
        </w:rPr>
        <w:t>4,</w:t>
      </w:r>
      <w:r w:rsidR="00221AB9" w:rsidRPr="00E053E9">
        <w:rPr>
          <w:rFonts w:ascii="Book Antiqua" w:eastAsiaTheme="minorEastAsia" w:hAnsi="Book Antiqua" w:cs="Arial" w:hint="eastAsia"/>
          <w:lang w:eastAsia="zh-CN"/>
        </w:rPr>
        <w:t xml:space="preserve"> </w:t>
      </w:r>
      <w:r w:rsidR="0042374B" w:rsidRPr="00E053E9">
        <w:rPr>
          <w:rFonts w:ascii="Book Antiqua" w:hAnsi="Book Antiqua" w:cs="Arial"/>
        </w:rPr>
        <w:t xml:space="preserve">6-trinitrobenzene sulfonic acid (TNBS)-induced colitis in rats </w:t>
      </w:r>
      <w:r w:rsidRPr="00E053E9">
        <w:rPr>
          <w:rFonts w:ascii="Book Antiqua" w:hAnsi="Book Antiqua" w:cs="Arial"/>
        </w:rPr>
        <w:t xml:space="preserve">compared to </w:t>
      </w:r>
      <w:r w:rsidR="00595BE3" w:rsidRPr="00E053E9">
        <w:rPr>
          <w:rFonts w:ascii="Book Antiqua" w:hAnsi="Book Antiqua" w:cs="Arial"/>
        </w:rPr>
        <w:t xml:space="preserve">TNBS-induced </w:t>
      </w:r>
      <w:r w:rsidR="00EA3A36" w:rsidRPr="00E053E9">
        <w:rPr>
          <w:rFonts w:ascii="Book Antiqua" w:hAnsi="Book Antiqua" w:cs="Arial"/>
        </w:rPr>
        <w:t xml:space="preserve">rats </w:t>
      </w:r>
      <w:r w:rsidR="00221AB9" w:rsidRPr="00E053E9">
        <w:rPr>
          <w:rFonts w:ascii="Book Antiqua" w:hAnsi="Book Antiqua" w:cs="Arial"/>
        </w:rPr>
        <w:t>treated with saline enemas</w:t>
      </w:r>
      <w:r w:rsidRPr="00E053E9">
        <w:rPr>
          <w:rFonts w:ascii="Book Antiqua" w:hAnsi="Book Antiqua" w:cs="Arial"/>
          <w:vertAlign w:val="superscript"/>
        </w:rPr>
        <w:t>[</w:t>
      </w:r>
      <w:r w:rsidR="004B59DC" w:rsidRPr="00E053E9">
        <w:rPr>
          <w:rFonts w:ascii="Book Antiqua" w:hAnsi="Book Antiqua" w:cs="Arial"/>
          <w:vertAlign w:val="superscript"/>
        </w:rPr>
        <w:t>11</w:t>
      </w:r>
      <w:r w:rsidRPr="00E053E9">
        <w:rPr>
          <w:rFonts w:ascii="Book Antiqua" w:hAnsi="Book Antiqua" w:cs="Arial"/>
          <w:vertAlign w:val="superscript"/>
        </w:rPr>
        <w:t>]</w:t>
      </w:r>
      <w:r w:rsidRPr="00E053E9">
        <w:rPr>
          <w:rFonts w:ascii="Book Antiqua" w:hAnsi="Book Antiqua" w:cs="Arial"/>
        </w:rPr>
        <w:t>.</w:t>
      </w:r>
      <w:r w:rsidR="00C02D8F" w:rsidRPr="00E053E9">
        <w:rPr>
          <w:rFonts w:ascii="Book Antiqua" w:hAnsi="Book Antiqua" w:cs="Arial"/>
        </w:rPr>
        <w:t xml:space="preserve"> </w:t>
      </w:r>
      <w:r w:rsidR="0042374B" w:rsidRPr="00E053E9">
        <w:rPr>
          <w:rFonts w:ascii="Book Antiqua" w:hAnsi="Book Antiqua" w:cs="Arial"/>
        </w:rPr>
        <w:t xml:space="preserve">TNBS-induced colitis </w:t>
      </w:r>
      <w:r w:rsidR="00595BE3" w:rsidRPr="00E053E9">
        <w:rPr>
          <w:rFonts w:ascii="Book Antiqua" w:hAnsi="Book Antiqua" w:cs="Arial"/>
        </w:rPr>
        <w:t>is</w:t>
      </w:r>
      <w:r w:rsidR="0042374B" w:rsidRPr="00E053E9">
        <w:rPr>
          <w:rFonts w:ascii="Book Antiqua" w:hAnsi="Book Antiqua" w:cs="Arial"/>
        </w:rPr>
        <w:t xml:space="preserve"> a model for chronic inflammation and ulceration seen in inflammatory bowel disease rather than MC; therefore, this </w:t>
      </w:r>
      <w:r w:rsidR="00AB6F05" w:rsidRPr="00E053E9">
        <w:rPr>
          <w:rFonts w:ascii="Book Antiqua" w:hAnsi="Book Antiqua" w:cs="Arial"/>
        </w:rPr>
        <w:t xml:space="preserve">animal </w:t>
      </w:r>
      <w:r w:rsidR="0042374B" w:rsidRPr="00E053E9">
        <w:rPr>
          <w:rFonts w:ascii="Book Antiqua" w:hAnsi="Book Antiqua" w:cs="Arial"/>
        </w:rPr>
        <w:t>study does not directly demonstrate benefit of bismuth in MC</w:t>
      </w:r>
      <w:r w:rsidR="00AB6F05" w:rsidRPr="00E053E9">
        <w:rPr>
          <w:rFonts w:ascii="Book Antiqua" w:hAnsi="Book Antiqua" w:cs="Arial"/>
        </w:rPr>
        <w:t>.</w:t>
      </w:r>
      <w:r w:rsidR="00C02D8F" w:rsidRPr="00E053E9">
        <w:rPr>
          <w:rFonts w:ascii="Book Antiqua" w:hAnsi="Book Antiqua" w:cs="Arial"/>
        </w:rPr>
        <w:t xml:space="preserve"> </w:t>
      </w:r>
      <w:r w:rsidR="00AB6F05" w:rsidRPr="00E053E9">
        <w:rPr>
          <w:rFonts w:ascii="Book Antiqua" w:hAnsi="Book Antiqua" w:cs="Arial"/>
        </w:rPr>
        <w:t xml:space="preserve">However, </w:t>
      </w:r>
      <w:r w:rsidR="0042374B" w:rsidRPr="00E053E9">
        <w:rPr>
          <w:rFonts w:ascii="Book Antiqua" w:hAnsi="Book Antiqua" w:cs="Arial"/>
        </w:rPr>
        <w:t>its effect on</w:t>
      </w:r>
      <w:r w:rsidR="00595BE3" w:rsidRPr="00E053E9">
        <w:rPr>
          <w:rFonts w:ascii="Book Antiqua" w:hAnsi="Book Antiqua" w:cs="Arial"/>
        </w:rPr>
        <w:t xml:space="preserve"> reduction of microscopic injury scores</w:t>
      </w:r>
      <w:r w:rsidR="0042374B" w:rsidRPr="00E053E9">
        <w:rPr>
          <w:rFonts w:ascii="Book Antiqua" w:hAnsi="Book Antiqua" w:cs="Arial"/>
        </w:rPr>
        <w:t xml:space="preserve"> can be used to </w:t>
      </w:r>
      <w:r w:rsidR="00595BE3" w:rsidRPr="00E053E9">
        <w:rPr>
          <w:rFonts w:ascii="Book Antiqua" w:hAnsi="Book Antiqua" w:cs="Arial"/>
        </w:rPr>
        <w:t>infer</w:t>
      </w:r>
      <w:r w:rsidR="0042374B" w:rsidRPr="00E053E9">
        <w:rPr>
          <w:rFonts w:ascii="Book Antiqua" w:hAnsi="Book Antiqua" w:cs="Arial"/>
        </w:rPr>
        <w:t xml:space="preserve"> its benefit in MC.</w:t>
      </w:r>
      <w:r w:rsidR="00C02D8F" w:rsidRPr="00E053E9">
        <w:rPr>
          <w:rFonts w:ascii="Book Antiqua" w:hAnsi="Book Antiqua" w:cs="Arial"/>
        </w:rPr>
        <w:t xml:space="preserve"> </w:t>
      </w:r>
      <w:r w:rsidRPr="00E053E9">
        <w:rPr>
          <w:rFonts w:ascii="Book Antiqua" w:hAnsi="Book Antiqua" w:cs="Arial"/>
        </w:rPr>
        <w:t>A p</w:t>
      </w:r>
      <w:r w:rsidRPr="00E053E9">
        <w:rPr>
          <w:rFonts w:ascii="Book Antiqua" w:hAnsi="Book Antiqua"/>
        </w:rPr>
        <w:t xml:space="preserve">rospective study of 12 patients with MC treated with bismuth subsalicylate 262 mg per day for 8 </w:t>
      </w:r>
      <w:r w:rsidR="00730409" w:rsidRPr="00E053E9">
        <w:rPr>
          <w:rFonts w:ascii="Book Antiqua" w:eastAsiaTheme="minorEastAsia" w:hAnsi="Book Antiqua" w:hint="eastAsia"/>
          <w:lang w:eastAsia="zh-CN"/>
        </w:rPr>
        <w:t>wk</w:t>
      </w:r>
      <w:r w:rsidRPr="00E053E9">
        <w:rPr>
          <w:rFonts w:ascii="Book Antiqua" w:hAnsi="Book Antiqua"/>
        </w:rPr>
        <w:t xml:space="preserve"> showed a 92% rate of clinical remission and a 75% rate o</w:t>
      </w:r>
      <w:r w:rsidR="00730409" w:rsidRPr="00E053E9">
        <w:rPr>
          <w:rFonts w:ascii="Book Antiqua" w:hAnsi="Book Antiqua"/>
        </w:rPr>
        <w:t>f histological resolution of MC</w:t>
      </w:r>
      <w:r w:rsidRPr="00E053E9">
        <w:rPr>
          <w:rFonts w:ascii="Book Antiqua" w:hAnsi="Book Antiqua"/>
          <w:vertAlign w:val="superscript"/>
        </w:rPr>
        <w:t>[</w:t>
      </w:r>
      <w:r w:rsidR="004B59DC" w:rsidRPr="00E053E9">
        <w:rPr>
          <w:rFonts w:ascii="Book Antiqua" w:hAnsi="Book Antiqua"/>
          <w:vertAlign w:val="superscript"/>
        </w:rPr>
        <w:t>12</w:t>
      </w:r>
      <w:r w:rsidRPr="00E053E9">
        <w:rPr>
          <w:rFonts w:ascii="Book Antiqua" w:hAnsi="Book Antiqua"/>
          <w:vertAlign w:val="superscript"/>
        </w:rPr>
        <w:t>]</w:t>
      </w:r>
      <w:r w:rsidRPr="00E053E9">
        <w:rPr>
          <w:rFonts w:ascii="Book Antiqua" w:hAnsi="Book Antiqua"/>
        </w:rPr>
        <w:t>. Mean time to response was 2 weeks.</w:t>
      </w:r>
      <w:r w:rsidR="00C02D8F" w:rsidRPr="00E053E9">
        <w:rPr>
          <w:rFonts w:ascii="Book Antiqua" w:hAnsi="Book Antiqua"/>
        </w:rPr>
        <w:t xml:space="preserve"> </w:t>
      </w:r>
      <w:r w:rsidRPr="00E053E9">
        <w:rPr>
          <w:rFonts w:ascii="Book Antiqua" w:hAnsi="Book Antiqua"/>
        </w:rPr>
        <w:t xml:space="preserve">At 7-28 </w:t>
      </w:r>
      <w:r w:rsidR="00221AB9" w:rsidRPr="00E053E9">
        <w:rPr>
          <w:rFonts w:ascii="Book Antiqua" w:eastAsiaTheme="minorEastAsia" w:hAnsi="Book Antiqua" w:hint="eastAsia"/>
          <w:lang w:eastAsia="zh-CN"/>
        </w:rPr>
        <w:t>mo</w:t>
      </w:r>
      <w:r w:rsidRPr="00E053E9">
        <w:rPr>
          <w:rFonts w:ascii="Book Antiqua" w:hAnsi="Book Antiqua"/>
        </w:rPr>
        <w:t xml:space="preserve"> follow-up, 75% of patients remained in remission.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Cholestyramine</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lastRenderedPageBreak/>
        <w:t>There are no randomized controlled trials demonstrating efficacy of cholestyramine for MC.</w:t>
      </w:r>
      <w:r w:rsidR="00C02D8F" w:rsidRPr="00E053E9">
        <w:rPr>
          <w:rFonts w:ascii="Book Antiqua" w:hAnsi="Book Antiqua"/>
        </w:rPr>
        <w:t xml:space="preserve"> </w:t>
      </w:r>
      <w:r w:rsidRPr="00E053E9">
        <w:rPr>
          <w:rFonts w:ascii="Book Antiqua" w:hAnsi="Book Antiqua"/>
        </w:rPr>
        <w:t>In a small retrospective study involving 27 patients with CC, 12 out of 27 (44%) patients were found to have abnormal bile acid absorption. Eleven out of these 12 patients (92%) reported improvement in diarrhea within one week when treated with bile acid binding agents (cholestyramine 4</w:t>
      </w:r>
      <w:r w:rsidR="00221AB9" w:rsidRPr="00E053E9">
        <w:rPr>
          <w:rFonts w:ascii="Book Antiqua" w:eastAsiaTheme="minorEastAsia" w:hAnsi="Book Antiqua" w:hint="eastAsia"/>
          <w:lang w:eastAsia="zh-CN"/>
        </w:rPr>
        <w:t xml:space="preserve"> </w:t>
      </w:r>
      <w:r w:rsidRPr="00E053E9">
        <w:rPr>
          <w:rFonts w:ascii="Book Antiqua" w:hAnsi="Book Antiqua"/>
        </w:rPr>
        <w:t>g 2-3 times per day, or colestipol 5</w:t>
      </w:r>
      <w:r w:rsidR="00221AB9" w:rsidRPr="00E053E9">
        <w:rPr>
          <w:rFonts w:ascii="Book Antiqua" w:eastAsiaTheme="minorEastAsia" w:hAnsi="Book Antiqua" w:hint="eastAsia"/>
          <w:lang w:eastAsia="zh-CN"/>
        </w:rPr>
        <w:t xml:space="preserve"> </w:t>
      </w:r>
      <w:r w:rsidRPr="00E053E9">
        <w:rPr>
          <w:rFonts w:ascii="Book Antiqua" w:hAnsi="Book Antiqua"/>
        </w:rPr>
        <w:t>g 2-3</w:t>
      </w:r>
      <w:r w:rsidR="00221AB9" w:rsidRPr="00E053E9">
        <w:rPr>
          <w:rFonts w:ascii="Book Antiqua" w:eastAsiaTheme="minorEastAsia" w:hAnsi="Book Antiqua" w:hint="eastAsia"/>
          <w:lang w:eastAsia="zh-CN"/>
        </w:rPr>
        <w:t xml:space="preserve"> </w:t>
      </w:r>
      <w:r w:rsidRPr="00E053E9">
        <w:rPr>
          <w:rFonts w:ascii="Book Antiqua" w:hAnsi="Book Antiqua"/>
        </w:rPr>
        <w:t>times per day if the patients could not tolerate the smell or taste of cholestyramine)</w:t>
      </w:r>
      <w:r w:rsidRPr="00E053E9">
        <w:rPr>
          <w:rFonts w:ascii="Book Antiqua" w:hAnsi="Book Antiqua"/>
          <w:vertAlign w:val="superscript"/>
        </w:rPr>
        <w:t>[</w:t>
      </w:r>
      <w:r w:rsidR="004B59DC" w:rsidRPr="00E053E9">
        <w:rPr>
          <w:rFonts w:ascii="Book Antiqua" w:hAnsi="Book Antiqua"/>
          <w:vertAlign w:val="superscript"/>
        </w:rPr>
        <w:t>13</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Ten out of 15 (67%) patients with CC and normal bile acid absorption reported improvement in diarrhea when treated with bile acid bind</w:t>
      </w:r>
      <w:r w:rsidR="00221AB9" w:rsidRPr="00E053E9">
        <w:rPr>
          <w:rFonts w:ascii="Book Antiqua" w:hAnsi="Book Antiqua"/>
        </w:rPr>
        <w:t>ing agents</w:t>
      </w:r>
      <w:r w:rsidRPr="00E053E9">
        <w:rPr>
          <w:rFonts w:ascii="Book Antiqua" w:hAnsi="Book Antiqua"/>
          <w:vertAlign w:val="superscript"/>
        </w:rPr>
        <w:t>[1</w:t>
      </w:r>
      <w:r w:rsidR="004B59DC" w:rsidRPr="00E053E9">
        <w:rPr>
          <w:rFonts w:ascii="Book Antiqua" w:hAnsi="Book Antiqua"/>
          <w:vertAlign w:val="superscript"/>
        </w:rPr>
        <w:t>3</w:t>
      </w:r>
      <w:r w:rsidRPr="00E053E9">
        <w:rPr>
          <w:rFonts w:ascii="Book Antiqua" w:hAnsi="Book Antiqua"/>
          <w:vertAlign w:val="superscript"/>
        </w:rPr>
        <w:t>]</w:t>
      </w:r>
      <w:r w:rsidRPr="00E053E9">
        <w:rPr>
          <w:rFonts w:ascii="Book Antiqua" w:hAnsi="Book Antiqua"/>
        </w:rPr>
        <w:t>. Overall, 78% of patients with CC experienced improvement in diarrhea with bile acid binding agents.</w:t>
      </w:r>
      <w:r w:rsidR="00C02D8F" w:rsidRPr="00E053E9">
        <w:rPr>
          <w:rFonts w:ascii="Book Antiqua" w:hAnsi="Book Antiqua"/>
        </w:rPr>
        <w:t xml:space="preserve"> </w:t>
      </w:r>
      <w:r w:rsidRPr="00E053E9">
        <w:rPr>
          <w:rFonts w:ascii="Book Antiqua" w:hAnsi="Book Antiqua"/>
        </w:rPr>
        <w:t>In a retrospective registry review of patients with CC, cholestyramine was effective</w:t>
      </w:r>
      <w:r w:rsidR="00221AB9" w:rsidRPr="00E053E9">
        <w:rPr>
          <w:rFonts w:ascii="Book Antiqua" w:hAnsi="Book Antiqua"/>
        </w:rPr>
        <w:t xml:space="preserve"> in 26 out of 44 patients (59%)</w:t>
      </w:r>
      <w:r w:rsidRPr="00E053E9">
        <w:rPr>
          <w:rFonts w:ascii="Book Antiqua" w:hAnsi="Book Antiqua"/>
          <w:vertAlign w:val="superscript"/>
        </w:rPr>
        <w:t>[</w:t>
      </w:r>
      <w:r w:rsidR="004B59DC" w:rsidRPr="00E053E9">
        <w:rPr>
          <w:rFonts w:ascii="Book Antiqua" w:hAnsi="Book Antiqua"/>
          <w:vertAlign w:val="superscript"/>
        </w:rPr>
        <w:t>10</w:t>
      </w:r>
      <w:r w:rsidRPr="00E053E9">
        <w:rPr>
          <w:rFonts w:ascii="Book Antiqua" w:hAnsi="Book Antiqua"/>
          <w:vertAlign w:val="superscript"/>
        </w:rPr>
        <w:t>]</w:t>
      </w:r>
      <w:r w:rsidRPr="00E053E9">
        <w:rPr>
          <w:rFonts w:ascii="Book Antiqua" w:hAnsi="Book Antiqua"/>
        </w:rPr>
        <w:t xml:space="preserve">.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Aminosalicylates (5-aminosalicylic acid)</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cs="Arial"/>
        </w:rPr>
        <w:t xml:space="preserve">In a study of 64 patients with MC treated with </w:t>
      </w:r>
      <w:r w:rsidR="00814E56" w:rsidRPr="00E053E9">
        <w:rPr>
          <w:rFonts w:ascii="Book Antiqua" w:hAnsi="Book Antiqua" w:cs="Arial"/>
        </w:rPr>
        <w:t xml:space="preserve">mesalamine </w:t>
      </w:r>
      <w:r w:rsidRPr="00E053E9">
        <w:rPr>
          <w:rFonts w:ascii="Book Antiqua" w:hAnsi="Book Antiqua" w:cs="Arial"/>
        </w:rPr>
        <w:t>2.4</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 xml:space="preserve">g per day </w:t>
      </w:r>
      <w:r w:rsidR="00673E82" w:rsidRPr="00E053E9">
        <w:rPr>
          <w:rFonts w:ascii="Book Antiqua" w:hAnsi="Book Antiqua" w:cs="Arial"/>
          <w:i/>
        </w:rPr>
        <w:t>vs</w:t>
      </w:r>
      <w:r w:rsidRPr="00E053E9">
        <w:rPr>
          <w:rFonts w:ascii="Book Antiqua" w:hAnsi="Book Antiqua" w:cs="Arial"/>
        </w:rPr>
        <w:t xml:space="preserve"> </w:t>
      </w:r>
      <w:r w:rsidR="00814E56" w:rsidRPr="00E053E9">
        <w:rPr>
          <w:rFonts w:ascii="Book Antiqua" w:hAnsi="Book Antiqua" w:cs="Arial"/>
        </w:rPr>
        <w:t xml:space="preserve">mesalamine </w:t>
      </w:r>
      <w:r w:rsidRPr="00E053E9">
        <w:rPr>
          <w:rFonts w:ascii="Book Antiqua" w:hAnsi="Book Antiqua" w:cs="Arial"/>
        </w:rPr>
        <w:t>2.4</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g per day plus cholestyramine 4</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 xml:space="preserve">g per day for 6 </w:t>
      </w:r>
      <w:r w:rsidR="00221AB9" w:rsidRPr="00E053E9">
        <w:rPr>
          <w:rFonts w:ascii="Book Antiqua" w:eastAsiaTheme="minorEastAsia" w:hAnsi="Book Antiqua" w:cs="Arial" w:hint="eastAsia"/>
          <w:lang w:eastAsia="zh-CN"/>
        </w:rPr>
        <w:t>mo</w:t>
      </w:r>
      <w:r w:rsidRPr="00E053E9">
        <w:rPr>
          <w:rFonts w:ascii="Book Antiqua" w:hAnsi="Book Antiqua" w:cs="Arial"/>
        </w:rPr>
        <w:t>, the rates of remission were similar between the two groups.</w:t>
      </w:r>
      <w:r w:rsidR="00C02D8F" w:rsidRPr="00E053E9">
        <w:rPr>
          <w:rFonts w:ascii="Book Antiqua" w:hAnsi="Book Antiqua" w:cs="Arial"/>
        </w:rPr>
        <w:t xml:space="preserve"> </w:t>
      </w:r>
      <w:r w:rsidRPr="00E053E9">
        <w:rPr>
          <w:rFonts w:ascii="Book Antiqua" w:hAnsi="Book Antiqua" w:cs="Arial"/>
        </w:rPr>
        <w:t xml:space="preserve">Eighty four percent of patients experienced clinical remission within the first 2 </w:t>
      </w:r>
      <w:r w:rsidR="00221AB9" w:rsidRPr="00E053E9">
        <w:rPr>
          <w:rFonts w:ascii="Book Antiqua" w:eastAsiaTheme="minorEastAsia" w:hAnsi="Book Antiqua" w:cs="Arial" w:hint="eastAsia"/>
          <w:lang w:eastAsia="zh-CN"/>
        </w:rPr>
        <w:t>wk</w:t>
      </w:r>
      <w:r w:rsidR="00221AB9" w:rsidRPr="00E053E9">
        <w:rPr>
          <w:rFonts w:ascii="Book Antiqua" w:hAnsi="Book Antiqua" w:cs="Arial"/>
        </w:rPr>
        <w:t xml:space="preserve"> of treatment</w:t>
      </w:r>
      <w:r w:rsidRPr="00E053E9">
        <w:rPr>
          <w:rFonts w:ascii="Book Antiqua" w:hAnsi="Book Antiqua" w:cs="Arial"/>
          <w:vertAlign w:val="superscript"/>
        </w:rPr>
        <w:t>[1</w:t>
      </w:r>
      <w:r w:rsidR="004B59DC" w:rsidRPr="00E053E9">
        <w:rPr>
          <w:rFonts w:ascii="Book Antiqua" w:hAnsi="Book Antiqua" w:cs="Arial"/>
          <w:vertAlign w:val="superscript"/>
        </w:rPr>
        <w:t>4</w:t>
      </w:r>
      <w:r w:rsidRPr="00E053E9">
        <w:rPr>
          <w:rFonts w:ascii="Book Antiqua" w:hAnsi="Book Antiqua" w:cs="Arial"/>
          <w:vertAlign w:val="superscript"/>
        </w:rPr>
        <w:t>]</w:t>
      </w:r>
      <w:r w:rsidRPr="00E053E9">
        <w:rPr>
          <w:rFonts w:ascii="Book Antiqua" w:hAnsi="Book Antiqua" w:cs="Arial"/>
        </w:rPr>
        <w:t>.</w:t>
      </w:r>
      <w:r w:rsidR="00C02D8F" w:rsidRPr="00E053E9">
        <w:rPr>
          <w:rFonts w:ascii="Book Antiqua" w:hAnsi="Book Antiqua" w:cs="Arial"/>
        </w:rPr>
        <w:t xml:space="preserve"> </w:t>
      </w:r>
      <w:r w:rsidRPr="00E053E9">
        <w:rPr>
          <w:rFonts w:ascii="Book Antiqua" w:hAnsi="Book Antiqua" w:cs="Arial"/>
        </w:rPr>
        <w:t xml:space="preserve">Clinical remission occurred earlier in patients treated with </w:t>
      </w:r>
      <w:r w:rsidR="000664A0" w:rsidRPr="00E053E9">
        <w:rPr>
          <w:rFonts w:ascii="Book Antiqua" w:hAnsi="Book Antiqua" w:cs="Arial"/>
        </w:rPr>
        <w:t xml:space="preserve">mesalamine </w:t>
      </w:r>
      <w:r w:rsidRPr="00E053E9">
        <w:rPr>
          <w:rFonts w:ascii="Book Antiqua" w:hAnsi="Book Antiqua" w:cs="Arial"/>
        </w:rPr>
        <w:t xml:space="preserve">plus cholestyramine than those treated with </w:t>
      </w:r>
      <w:r w:rsidR="00814E56" w:rsidRPr="00E053E9">
        <w:rPr>
          <w:rFonts w:ascii="Book Antiqua" w:hAnsi="Book Antiqua" w:cs="Arial"/>
        </w:rPr>
        <w:t xml:space="preserve">mesalamine </w:t>
      </w:r>
      <w:r w:rsidRPr="00E053E9">
        <w:rPr>
          <w:rFonts w:ascii="Book Antiqua" w:hAnsi="Book Antiqua" w:cs="Arial"/>
        </w:rPr>
        <w:t xml:space="preserve">alone. </w:t>
      </w:r>
    </w:p>
    <w:p w:rsidR="00BB3BDF" w:rsidRPr="00E053E9" w:rsidRDefault="00742F48" w:rsidP="00221AB9">
      <w:pPr>
        <w:adjustRightInd w:val="0"/>
        <w:snapToGrid w:val="0"/>
        <w:spacing w:line="360" w:lineRule="auto"/>
        <w:ind w:firstLineChars="100" w:firstLine="240"/>
        <w:jc w:val="both"/>
        <w:rPr>
          <w:rFonts w:ascii="Book Antiqua" w:hAnsi="Book Antiqua"/>
        </w:rPr>
      </w:pPr>
      <w:r w:rsidRPr="00E053E9">
        <w:rPr>
          <w:rFonts w:ascii="Book Antiqua" w:hAnsi="Book Antiqua"/>
        </w:rPr>
        <w:t>Other studies have demonstrated little benefit of aminosalicylates.</w:t>
      </w:r>
      <w:r w:rsidR="00C02D8F" w:rsidRPr="00E053E9">
        <w:rPr>
          <w:rFonts w:ascii="Book Antiqua" w:hAnsi="Book Antiqua"/>
        </w:rPr>
        <w:t xml:space="preserve"> </w:t>
      </w:r>
      <w:r w:rsidRPr="00E053E9">
        <w:rPr>
          <w:rFonts w:ascii="Book Antiqua" w:hAnsi="Book Antiqua"/>
        </w:rPr>
        <w:t>In a double-blinded, randomized placebo-controlled trial of 92 patients comparing efficacy of budesonide, mesalamine, and placebo, interim analysis found mesalamine to be less effective than placebo in inducing clinical remission and the review board recomm</w:t>
      </w:r>
      <w:r w:rsidR="00221AB9" w:rsidRPr="00E053E9">
        <w:rPr>
          <w:rFonts w:ascii="Book Antiqua" w:hAnsi="Book Antiqua"/>
        </w:rPr>
        <w:t>ended closure of this study arm</w:t>
      </w:r>
      <w:r w:rsidRPr="00E053E9">
        <w:rPr>
          <w:rFonts w:ascii="Book Antiqua" w:hAnsi="Book Antiqua"/>
          <w:vertAlign w:val="superscript"/>
        </w:rPr>
        <w:t>[1</w:t>
      </w:r>
      <w:r w:rsidR="000D5EE0" w:rsidRPr="00E053E9">
        <w:rPr>
          <w:rFonts w:ascii="Book Antiqua" w:hAnsi="Book Antiqua"/>
          <w:vertAlign w:val="superscript"/>
        </w:rPr>
        <w:t>5</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The rate of clinical remission was 44% in mesalamine group and 59</w:t>
      </w:r>
      <w:r w:rsidR="00221AB9" w:rsidRPr="00E053E9">
        <w:rPr>
          <w:rFonts w:ascii="Book Antiqua" w:hAnsi="Book Antiqua"/>
        </w:rPr>
        <w:t xml:space="preserve">.5% in placebo group at 8 </w:t>
      </w:r>
      <w:r w:rsidR="00221AB9" w:rsidRPr="00E053E9">
        <w:rPr>
          <w:rFonts w:ascii="Book Antiqua" w:eastAsiaTheme="minorEastAsia" w:hAnsi="Book Antiqua" w:hint="eastAsia"/>
          <w:lang w:eastAsia="zh-CN"/>
        </w:rPr>
        <w:t>wk</w:t>
      </w:r>
      <w:r w:rsidRPr="00E053E9">
        <w:rPr>
          <w:rFonts w:ascii="Book Antiqua" w:hAnsi="Book Antiqua"/>
          <w:vertAlign w:val="superscript"/>
        </w:rPr>
        <w:t>[1</w:t>
      </w:r>
      <w:r w:rsidR="000D5EE0" w:rsidRPr="00E053E9">
        <w:rPr>
          <w:rFonts w:ascii="Book Antiqua" w:hAnsi="Book Antiqua"/>
          <w:vertAlign w:val="superscript"/>
        </w:rPr>
        <w:t>5</w:t>
      </w:r>
      <w:r w:rsidRPr="00E053E9">
        <w:rPr>
          <w:rFonts w:ascii="Book Antiqua" w:hAnsi="Book Antiqua"/>
          <w:vertAlign w:val="superscript"/>
        </w:rPr>
        <w:t>]</w:t>
      </w:r>
      <w:r w:rsidRPr="00E053E9">
        <w:rPr>
          <w:rFonts w:ascii="Book Antiqua" w:hAnsi="Book Antiqua"/>
        </w:rPr>
        <w:t xml:space="preserve">.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Corticosteroids</w:t>
      </w:r>
    </w:p>
    <w:p w:rsidR="00BB3BDF" w:rsidRPr="00E053E9" w:rsidRDefault="00742F48" w:rsidP="004C3987">
      <w:pPr>
        <w:adjustRightInd w:val="0"/>
        <w:snapToGrid w:val="0"/>
        <w:spacing w:line="360" w:lineRule="auto"/>
        <w:jc w:val="both"/>
        <w:rPr>
          <w:rFonts w:ascii="Book Antiqua" w:eastAsiaTheme="minorEastAsia" w:hAnsi="Book Antiqua"/>
          <w:lang w:eastAsia="zh-CN"/>
        </w:rPr>
      </w:pPr>
      <w:r w:rsidRPr="00E053E9">
        <w:rPr>
          <w:rFonts w:ascii="Book Antiqua" w:hAnsi="Book Antiqua"/>
        </w:rPr>
        <w:lastRenderedPageBreak/>
        <w:t>A number of medications have been studied to induce clinical remission, and the evidence is strongest for the use of budesonide.</w:t>
      </w:r>
      <w:r w:rsidR="00C02D8F" w:rsidRPr="00E053E9">
        <w:rPr>
          <w:rFonts w:ascii="Book Antiqua" w:hAnsi="Book Antiqua"/>
        </w:rPr>
        <w:t xml:space="preserve"> </w:t>
      </w:r>
      <w:r w:rsidRPr="00E053E9">
        <w:rPr>
          <w:rFonts w:ascii="Book Antiqua" w:hAnsi="Book Antiqua"/>
        </w:rPr>
        <w:t>A prospective, double-blinded, randomized controlled trial comparing induction of budesonide (9</w:t>
      </w:r>
      <w:r w:rsidR="00221AB9" w:rsidRPr="00E053E9">
        <w:rPr>
          <w:rFonts w:ascii="Book Antiqua" w:eastAsiaTheme="minorEastAsia" w:hAnsi="Book Antiqua" w:hint="eastAsia"/>
          <w:lang w:eastAsia="zh-CN"/>
        </w:rPr>
        <w:t xml:space="preserve"> </w:t>
      </w:r>
      <w:r w:rsidRPr="00E053E9">
        <w:rPr>
          <w:rFonts w:ascii="Book Antiqua" w:hAnsi="Book Antiqua"/>
        </w:rPr>
        <w:t xml:space="preserve">mg per day for 4 </w:t>
      </w:r>
      <w:r w:rsidR="00221AB9" w:rsidRPr="00E053E9">
        <w:rPr>
          <w:rFonts w:ascii="Book Antiqua" w:eastAsiaTheme="minorEastAsia" w:hAnsi="Book Antiqua" w:hint="eastAsia"/>
          <w:lang w:eastAsia="zh-CN"/>
        </w:rPr>
        <w:t>wk</w:t>
      </w:r>
      <w:r w:rsidRPr="00E053E9">
        <w:rPr>
          <w:rFonts w:ascii="Book Antiqua" w:hAnsi="Book Antiqua"/>
        </w:rPr>
        <w:t xml:space="preserve">, 6mg per day for 2 </w:t>
      </w:r>
      <w:r w:rsidR="00221AB9" w:rsidRPr="00E053E9">
        <w:rPr>
          <w:rFonts w:ascii="Book Antiqua" w:eastAsiaTheme="minorEastAsia" w:hAnsi="Book Antiqua" w:hint="eastAsia"/>
          <w:lang w:eastAsia="zh-CN"/>
        </w:rPr>
        <w:t>wk</w:t>
      </w:r>
      <w:r w:rsidRPr="00E053E9">
        <w:rPr>
          <w:rFonts w:ascii="Book Antiqua" w:hAnsi="Book Antiqua"/>
        </w:rPr>
        <w:t xml:space="preserve">, alternating doses of 6 and 3 mg per day for 2 </w:t>
      </w:r>
      <w:r w:rsidR="00221AB9" w:rsidRPr="00E053E9">
        <w:rPr>
          <w:rFonts w:ascii="Book Antiqua" w:eastAsiaTheme="minorEastAsia" w:hAnsi="Book Antiqua" w:hint="eastAsia"/>
          <w:lang w:eastAsia="zh-CN"/>
        </w:rPr>
        <w:t>wk</w:t>
      </w:r>
      <w:r w:rsidRPr="00E053E9">
        <w:rPr>
          <w:rFonts w:ascii="Book Antiqua" w:hAnsi="Book Antiqua"/>
        </w:rPr>
        <w:t>) followed by maintenance dose of budesonide (alternating 6 and 3</w:t>
      </w:r>
      <w:r w:rsidR="00221AB9" w:rsidRPr="00E053E9">
        <w:rPr>
          <w:rFonts w:ascii="Book Antiqua" w:eastAsiaTheme="minorEastAsia" w:hAnsi="Book Antiqua" w:hint="eastAsia"/>
          <w:lang w:eastAsia="zh-CN"/>
        </w:rPr>
        <w:t xml:space="preserve"> </w:t>
      </w:r>
      <w:r w:rsidRPr="00E053E9">
        <w:rPr>
          <w:rFonts w:ascii="Book Antiqua" w:hAnsi="Book Antiqua"/>
        </w:rPr>
        <w:t xml:space="preserve">mg per day) </w:t>
      </w:r>
      <w:r w:rsidR="00673E82" w:rsidRPr="00E053E9">
        <w:rPr>
          <w:rFonts w:ascii="Book Antiqua" w:hAnsi="Book Antiqua"/>
          <w:i/>
        </w:rPr>
        <w:t>vs</w:t>
      </w:r>
      <w:r w:rsidRPr="00E053E9">
        <w:rPr>
          <w:rFonts w:ascii="Book Antiqua" w:hAnsi="Book Antiqua"/>
        </w:rPr>
        <w:t xml:space="preserve"> placebo for 1 year showed that maintenance of clinical remission rate was higher in budesonide group (61.4%) than in the placebo group (16.7%)</w:t>
      </w:r>
      <w:r w:rsidRPr="00E053E9">
        <w:rPr>
          <w:rFonts w:ascii="Book Antiqua" w:hAnsi="Book Antiqua"/>
          <w:vertAlign w:val="superscript"/>
        </w:rPr>
        <w:t>[1</w:t>
      </w:r>
      <w:r w:rsidR="000D5EE0" w:rsidRPr="00E053E9">
        <w:rPr>
          <w:rFonts w:ascii="Book Antiqua" w:hAnsi="Book Antiqua"/>
          <w:vertAlign w:val="superscript"/>
        </w:rPr>
        <w:t>6</w:t>
      </w:r>
      <w:r w:rsidRPr="00E053E9">
        <w:rPr>
          <w:rFonts w:ascii="Book Antiqua" w:hAnsi="Book Antiqua"/>
          <w:vertAlign w:val="superscript"/>
        </w:rPr>
        <w:t>]</w:t>
      </w:r>
      <w:r w:rsidR="00221AB9" w:rsidRPr="00E053E9">
        <w:rPr>
          <w:rFonts w:ascii="Book Antiqua" w:hAnsi="Book Antiqua"/>
        </w:rPr>
        <w:t xml:space="preserve">. </w:t>
      </w:r>
      <w:r w:rsidRPr="00E053E9">
        <w:rPr>
          <w:rFonts w:ascii="Book Antiqua" w:hAnsi="Book Antiqua"/>
        </w:rPr>
        <w:t>Clinical remission rate after induction period was 84.5% and the median time to remission wa</w:t>
      </w:r>
      <w:r w:rsidR="00221AB9" w:rsidRPr="00E053E9">
        <w:rPr>
          <w:rFonts w:ascii="Book Antiqua" w:hAnsi="Book Antiqua"/>
        </w:rPr>
        <w:t xml:space="preserve">s 10.5 </w:t>
      </w:r>
      <w:r w:rsidR="00221AB9" w:rsidRPr="00E053E9">
        <w:rPr>
          <w:rFonts w:ascii="Book Antiqua" w:eastAsiaTheme="minorEastAsia" w:hAnsi="Book Antiqua" w:hint="eastAsia"/>
          <w:lang w:eastAsia="zh-CN"/>
        </w:rPr>
        <w:t>d</w:t>
      </w:r>
      <w:r w:rsidRPr="00E053E9">
        <w:rPr>
          <w:rFonts w:ascii="Book Antiqua" w:hAnsi="Book Antiqua"/>
          <w:vertAlign w:val="superscript"/>
        </w:rPr>
        <w:t>[1</w:t>
      </w:r>
      <w:r w:rsidR="000D5EE0" w:rsidRPr="00E053E9">
        <w:rPr>
          <w:rFonts w:ascii="Book Antiqua" w:hAnsi="Book Antiqua"/>
          <w:vertAlign w:val="superscript"/>
        </w:rPr>
        <w:t>6</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p>
    <w:p w:rsidR="00BB3BDF" w:rsidRPr="00E053E9" w:rsidRDefault="00742F48" w:rsidP="00221AB9">
      <w:pPr>
        <w:adjustRightInd w:val="0"/>
        <w:snapToGrid w:val="0"/>
        <w:spacing w:line="360" w:lineRule="auto"/>
        <w:ind w:firstLineChars="100" w:firstLine="240"/>
        <w:jc w:val="both"/>
        <w:rPr>
          <w:rFonts w:ascii="Book Antiqua" w:hAnsi="Book Antiqua"/>
        </w:rPr>
      </w:pPr>
      <w:r w:rsidRPr="00E053E9">
        <w:rPr>
          <w:rFonts w:ascii="Book Antiqua" w:hAnsi="Book Antiqua"/>
        </w:rPr>
        <w:t xml:space="preserve">Similar randomized controlled trials comparing induction of budesonide followed by maintenance with budesonide </w:t>
      </w:r>
      <w:r w:rsidR="00673E82" w:rsidRPr="00E053E9">
        <w:rPr>
          <w:rFonts w:ascii="Book Antiqua" w:hAnsi="Book Antiqua"/>
          <w:i/>
        </w:rPr>
        <w:t>vs</w:t>
      </w:r>
      <w:r w:rsidRPr="00E053E9">
        <w:rPr>
          <w:rFonts w:ascii="Book Antiqua" w:hAnsi="Book Antiqua"/>
        </w:rPr>
        <w:t xml:space="preserve"> placebo have shown high clinical remission rate 77</w:t>
      </w:r>
      <w:r w:rsidR="00221AB9" w:rsidRPr="00E053E9">
        <w:rPr>
          <w:rFonts w:ascii="Book Antiqua" w:eastAsiaTheme="minorEastAsia" w:hAnsi="Book Antiqua" w:hint="eastAsia"/>
          <w:lang w:eastAsia="zh-CN"/>
        </w:rPr>
        <w:t>%</w:t>
      </w:r>
      <w:r w:rsidRPr="00E053E9">
        <w:rPr>
          <w:rFonts w:ascii="Book Antiqua" w:hAnsi="Book Antiqua"/>
        </w:rPr>
        <w:t>-96% in budesonide group (Table 2).</w:t>
      </w:r>
      <w:r w:rsidR="00C02D8F" w:rsidRPr="00E053E9">
        <w:rPr>
          <w:rFonts w:ascii="Book Antiqua" w:hAnsi="Book Antiqua"/>
        </w:rPr>
        <w:t xml:space="preserve"> </w:t>
      </w:r>
      <w:r w:rsidRPr="00E053E9">
        <w:rPr>
          <w:rFonts w:ascii="Book Antiqua" w:hAnsi="Book Antiqua"/>
        </w:rPr>
        <w:t xml:space="preserve">A Cochrane review by Chande </w:t>
      </w:r>
      <w:r w:rsidR="00E26E89" w:rsidRPr="00E053E9">
        <w:rPr>
          <w:rFonts w:ascii="Book Antiqua" w:hAnsi="Book Antiqua"/>
          <w:i/>
        </w:rPr>
        <w:t>et al</w:t>
      </w:r>
      <w:r w:rsidR="00221AB9" w:rsidRPr="00E053E9">
        <w:rPr>
          <w:rFonts w:ascii="Book Antiqua" w:hAnsi="Book Antiqua"/>
          <w:vertAlign w:val="superscript"/>
        </w:rPr>
        <w:t>[17]</w:t>
      </w:r>
      <w:r w:rsidRPr="00E053E9">
        <w:rPr>
          <w:rFonts w:ascii="Book Antiqua" w:hAnsi="Book Antiqua"/>
        </w:rPr>
        <w:t xml:space="preserve"> showed that the pooled </w:t>
      </w:r>
      <w:r w:rsidR="00221AB9" w:rsidRPr="00E053E9">
        <w:rPr>
          <w:rFonts w:ascii="Book Antiqua" w:hAnsi="Book Antiqua"/>
        </w:rPr>
        <w:t>odds ratio:</w:t>
      </w:r>
      <w:r w:rsidRPr="00E053E9">
        <w:rPr>
          <w:rFonts w:ascii="Book Antiqua" w:hAnsi="Book Antiqua"/>
        </w:rPr>
        <w:t xml:space="preserve"> for inducing clinical response with budesonide was 12.32 (95% CI, CI 5.53-27.46) and for maintaining clinical response w</w:t>
      </w:r>
      <w:r w:rsidR="00730409" w:rsidRPr="00E053E9">
        <w:rPr>
          <w:rFonts w:ascii="Book Antiqua" w:hAnsi="Book Antiqua"/>
        </w:rPr>
        <w:t>as 8.82 (95% CI, CI 3.19-24.37)</w:t>
      </w:r>
      <w:r w:rsidRPr="00E053E9">
        <w:rPr>
          <w:rFonts w:ascii="Book Antiqua" w:hAnsi="Book Antiqua"/>
          <w:vertAlign w:val="superscript"/>
        </w:rPr>
        <w:t>[</w:t>
      </w:r>
      <w:r w:rsidR="000D5EE0" w:rsidRPr="00E053E9">
        <w:rPr>
          <w:rFonts w:ascii="Book Antiqua" w:hAnsi="Book Antiqua"/>
          <w:vertAlign w:val="superscript"/>
        </w:rPr>
        <w:t>17</w:t>
      </w:r>
      <w:r w:rsidRPr="00E053E9">
        <w:rPr>
          <w:rFonts w:ascii="Book Antiqua" w:hAnsi="Book Antiqua"/>
          <w:vertAlign w:val="superscript"/>
        </w:rPr>
        <w:t>]</w:t>
      </w:r>
      <w:r w:rsidRPr="00E053E9">
        <w:rPr>
          <w:rFonts w:ascii="Book Antiqua" w:hAnsi="Book Antiqua"/>
        </w:rPr>
        <w:t>. The number needed to treat was 2 for each outcome.</w:t>
      </w:r>
      <w:r w:rsidR="00C02D8F" w:rsidRPr="00E053E9">
        <w:rPr>
          <w:rFonts w:ascii="Book Antiqua" w:hAnsi="Book Antiqua"/>
        </w:rPr>
        <w:t xml:space="preserve"> </w:t>
      </w:r>
      <w:r w:rsidRPr="00E053E9">
        <w:rPr>
          <w:rFonts w:ascii="Book Antiqua" w:hAnsi="Book Antiqua" w:cs="Arial"/>
        </w:rPr>
        <w:t>Additionally, patients treated with budesonide had a higher rate of complete response than those treated with prednisone (82.5</w:t>
      </w:r>
      <w:r w:rsidR="00221AB9" w:rsidRPr="00E053E9">
        <w:rPr>
          <w:rFonts w:ascii="Book Antiqua" w:eastAsiaTheme="minorEastAsia" w:hAnsi="Book Antiqua" w:cs="Arial" w:hint="eastAsia"/>
          <w:lang w:eastAsia="zh-CN"/>
        </w:rPr>
        <w:t>%</w:t>
      </w:r>
      <w:r w:rsidRPr="00E053E9">
        <w:rPr>
          <w:rFonts w:ascii="Book Antiqua" w:hAnsi="Book Antiqua" w:cs="Arial"/>
        </w:rPr>
        <w:t xml:space="preserve"> </w:t>
      </w:r>
      <w:r w:rsidR="00673E82" w:rsidRPr="00E053E9">
        <w:rPr>
          <w:rFonts w:ascii="Book Antiqua" w:hAnsi="Book Antiqua" w:cs="Arial"/>
          <w:i/>
        </w:rPr>
        <w:t>vs</w:t>
      </w:r>
      <w:r w:rsidRPr="00E053E9">
        <w:rPr>
          <w:rFonts w:ascii="Book Antiqua" w:hAnsi="Book Antiqua" w:cs="Arial"/>
        </w:rPr>
        <w:t xml:space="preserve"> 52.9%; </w:t>
      </w:r>
      <w:r w:rsidR="00221AB9" w:rsidRPr="00E053E9">
        <w:rPr>
          <w:rFonts w:ascii="Book Antiqua" w:hAnsi="Book Antiqua" w:cs="Arial"/>
        </w:rPr>
        <w:t>odds ratio: 4.18; 95%</w:t>
      </w:r>
      <w:r w:rsidRPr="00E053E9">
        <w:rPr>
          <w:rFonts w:ascii="Book Antiqua" w:hAnsi="Book Antiqua" w:cs="Arial"/>
        </w:rPr>
        <w:t>CI</w:t>
      </w:r>
      <w:r w:rsidR="00221AB9" w:rsidRPr="00E053E9">
        <w:rPr>
          <w:rFonts w:ascii="Book Antiqua" w:eastAsiaTheme="minorEastAsia" w:hAnsi="Book Antiqua" w:cs="Arial" w:hint="eastAsia"/>
          <w:lang w:eastAsia="zh-CN"/>
        </w:rPr>
        <w:t>:</w:t>
      </w:r>
      <w:r w:rsidRPr="00E053E9">
        <w:rPr>
          <w:rFonts w:ascii="Book Antiqua" w:hAnsi="Book Antiqua" w:cs="Arial"/>
        </w:rPr>
        <w:t xml:space="preserve"> 1.3-13.5) and were less likely to recur than those treated with pre</w:t>
      </w:r>
      <w:r w:rsidR="00221AB9" w:rsidRPr="00E053E9">
        <w:rPr>
          <w:rFonts w:ascii="Book Antiqua" w:hAnsi="Book Antiqua" w:cs="Arial"/>
        </w:rPr>
        <w:t>dnisone (hazard ratio</w:t>
      </w:r>
      <w:r w:rsidR="00221AB9" w:rsidRPr="00E053E9">
        <w:rPr>
          <w:rFonts w:ascii="Book Antiqua" w:eastAsiaTheme="minorEastAsia" w:hAnsi="Book Antiqua" w:cs="Arial" w:hint="eastAsia"/>
          <w:lang w:eastAsia="zh-CN"/>
        </w:rPr>
        <w:t>:</w:t>
      </w:r>
      <w:r w:rsidR="00221AB9" w:rsidRPr="00E053E9">
        <w:rPr>
          <w:rFonts w:ascii="Book Antiqua" w:hAnsi="Book Antiqua" w:cs="Arial"/>
        </w:rPr>
        <w:t xml:space="preserve"> 0.38; 95%</w:t>
      </w:r>
      <w:r w:rsidRPr="00E053E9">
        <w:rPr>
          <w:rFonts w:ascii="Book Antiqua" w:hAnsi="Book Antiqua" w:cs="Arial"/>
        </w:rPr>
        <w:t>CI</w:t>
      </w:r>
      <w:r w:rsidR="00221AB9" w:rsidRPr="00E053E9">
        <w:rPr>
          <w:rFonts w:ascii="Book Antiqua" w:eastAsiaTheme="minorEastAsia" w:hAnsi="Book Antiqua" w:cs="Arial" w:hint="eastAsia"/>
          <w:lang w:eastAsia="zh-CN"/>
        </w:rPr>
        <w:t>:</w:t>
      </w:r>
      <w:r w:rsidRPr="00E053E9">
        <w:rPr>
          <w:rFonts w:ascii="Book Antiqua" w:hAnsi="Book Antiqua" w:cs="Arial"/>
        </w:rPr>
        <w:t xml:space="preserve"> 0.18-0.85; </w:t>
      </w:r>
      <w:r w:rsidR="00221AB9" w:rsidRPr="00E053E9">
        <w:rPr>
          <w:rFonts w:ascii="Book Antiqua" w:hAnsi="Book Antiqua" w:cs="Arial"/>
          <w:i/>
        </w:rPr>
        <w:t xml:space="preserve">P = </w:t>
      </w:r>
      <w:r w:rsidR="00221AB9" w:rsidRPr="00E053E9">
        <w:rPr>
          <w:rFonts w:ascii="Book Antiqua" w:hAnsi="Book Antiqua" w:cs="Arial"/>
        </w:rPr>
        <w:t>0.02)</w:t>
      </w:r>
      <w:r w:rsidRPr="00E053E9">
        <w:rPr>
          <w:rFonts w:ascii="Book Antiqua" w:hAnsi="Book Antiqua" w:cs="Arial"/>
          <w:vertAlign w:val="superscript"/>
        </w:rPr>
        <w:t>[1</w:t>
      </w:r>
      <w:r w:rsidR="000D5EE0" w:rsidRPr="00E053E9">
        <w:rPr>
          <w:rFonts w:ascii="Book Antiqua" w:hAnsi="Book Antiqua" w:cs="Arial"/>
          <w:vertAlign w:val="superscript"/>
        </w:rPr>
        <w:t>8</w:t>
      </w:r>
      <w:r w:rsidRPr="00E053E9">
        <w:rPr>
          <w:rFonts w:ascii="Book Antiqua" w:hAnsi="Book Antiqua" w:cs="Arial"/>
          <w:vertAlign w:val="superscript"/>
        </w:rPr>
        <w:t>]</w:t>
      </w:r>
      <w:r w:rsidRPr="00E053E9">
        <w:rPr>
          <w:rFonts w:ascii="Book Antiqua" w:hAnsi="Book Antiqua" w:cs="Arial"/>
        </w:rPr>
        <w:t>.</w:t>
      </w:r>
    </w:p>
    <w:p w:rsidR="00BB3BDF" w:rsidRPr="00E053E9" w:rsidRDefault="00742F48" w:rsidP="00221AB9">
      <w:pPr>
        <w:adjustRightInd w:val="0"/>
        <w:snapToGrid w:val="0"/>
        <w:spacing w:line="360" w:lineRule="auto"/>
        <w:ind w:firstLineChars="100" w:firstLine="240"/>
        <w:jc w:val="both"/>
        <w:rPr>
          <w:rFonts w:ascii="Book Antiqua" w:hAnsi="Book Antiqua"/>
        </w:rPr>
      </w:pPr>
      <w:r w:rsidRPr="00E053E9">
        <w:rPr>
          <w:rFonts w:ascii="Book Antiqua" w:hAnsi="Book Antiqua"/>
        </w:rPr>
        <w:t xml:space="preserve">A multicentered, randomized controlled trial of 92 patients comparing budesonide, mesalamine, and placebo for MC showed that budesonide was more effective than mesalamine (80% </w:t>
      </w:r>
      <w:r w:rsidR="00673E82" w:rsidRPr="00E053E9">
        <w:rPr>
          <w:rFonts w:ascii="Book Antiqua" w:hAnsi="Book Antiqua"/>
          <w:i/>
        </w:rPr>
        <w:t>vs</w:t>
      </w:r>
      <w:r w:rsidRPr="00E053E9">
        <w:rPr>
          <w:rFonts w:ascii="Book Antiqua" w:hAnsi="Book Antiqua"/>
        </w:rPr>
        <w:t xml:space="preserve"> 44%, </w:t>
      </w:r>
      <w:r w:rsidR="00221AB9" w:rsidRPr="00E053E9">
        <w:rPr>
          <w:rFonts w:ascii="Book Antiqua" w:hAnsi="Book Antiqua"/>
          <w:i/>
        </w:rPr>
        <w:t xml:space="preserve">P = </w:t>
      </w:r>
      <w:r w:rsidRPr="00E053E9">
        <w:rPr>
          <w:rFonts w:ascii="Book Antiqua" w:hAnsi="Book Antiqua"/>
        </w:rPr>
        <w:t xml:space="preserve">0.0035) and placebo (80% </w:t>
      </w:r>
      <w:r w:rsidR="00673E82" w:rsidRPr="00E053E9">
        <w:rPr>
          <w:rFonts w:ascii="Book Antiqua" w:hAnsi="Book Antiqua"/>
          <w:i/>
        </w:rPr>
        <w:t>vs</w:t>
      </w:r>
      <w:r w:rsidRPr="00E053E9">
        <w:rPr>
          <w:rFonts w:ascii="Book Antiqua" w:hAnsi="Book Antiqua"/>
        </w:rPr>
        <w:t xml:space="preserve"> 59.5%, </w:t>
      </w:r>
      <w:r w:rsidR="00221AB9" w:rsidRPr="00E053E9">
        <w:rPr>
          <w:rFonts w:ascii="Book Antiqua" w:hAnsi="Book Antiqua"/>
          <w:i/>
        </w:rPr>
        <w:t xml:space="preserve">P = </w:t>
      </w:r>
      <w:r w:rsidRPr="00E053E9">
        <w:rPr>
          <w:rFonts w:ascii="Book Antiqua" w:hAnsi="Book Antiqua"/>
        </w:rPr>
        <w:t>0.072) in inducing clinical remission at 8 weeks</w:t>
      </w:r>
      <w:r w:rsidRPr="00E053E9">
        <w:rPr>
          <w:rFonts w:ascii="Book Antiqua" w:hAnsi="Book Antiqua"/>
          <w:vertAlign w:val="superscript"/>
        </w:rPr>
        <w:t>[1</w:t>
      </w:r>
      <w:r w:rsidR="000D5EE0" w:rsidRPr="00E053E9">
        <w:rPr>
          <w:rFonts w:ascii="Book Antiqua" w:hAnsi="Book Antiqua"/>
          <w:vertAlign w:val="superscript"/>
        </w:rPr>
        <w:t>5</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Histological remission rate was the highest in patients treated with budesonide (87%) as compared to mes</w:t>
      </w:r>
      <w:r w:rsidR="00221AB9" w:rsidRPr="00E053E9">
        <w:rPr>
          <w:rFonts w:ascii="Book Antiqua" w:hAnsi="Book Antiqua"/>
        </w:rPr>
        <w:t>alamine (45%) and placebo (50%)</w:t>
      </w:r>
      <w:r w:rsidRPr="00E053E9">
        <w:rPr>
          <w:rFonts w:ascii="Book Antiqua" w:hAnsi="Book Antiqua"/>
          <w:vertAlign w:val="superscript"/>
        </w:rPr>
        <w:t>[1</w:t>
      </w:r>
      <w:r w:rsidR="000D5EE0" w:rsidRPr="00E053E9">
        <w:rPr>
          <w:rFonts w:ascii="Book Antiqua" w:hAnsi="Book Antiqua"/>
          <w:vertAlign w:val="superscript"/>
        </w:rPr>
        <w:t>5</w:t>
      </w:r>
      <w:r w:rsidRPr="00E053E9">
        <w:rPr>
          <w:rFonts w:ascii="Book Antiqua" w:hAnsi="Book Antiqua"/>
          <w:vertAlign w:val="superscript"/>
        </w:rPr>
        <w:t>]</w:t>
      </w:r>
      <w:r w:rsidR="00221AB9" w:rsidRPr="00E053E9">
        <w:rPr>
          <w:rFonts w:ascii="Book Antiqua" w:hAnsi="Book Antiqua"/>
        </w:rPr>
        <w:t xml:space="preserve">. </w:t>
      </w:r>
      <w:r w:rsidRPr="00E053E9">
        <w:rPr>
          <w:rFonts w:ascii="Book Antiqua" w:hAnsi="Book Antiqua"/>
        </w:rPr>
        <w:t>The rates of adverse events were similar among budesonide, mesalamine, and placebo groups (47%, 68%, 54%)</w:t>
      </w:r>
      <w:r w:rsidRPr="00E053E9">
        <w:rPr>
          <w:rFonts w:ascii="Book Antiqua" w:hAnsi="Book Antiqua"/>
          <w:vertAlign w:val="superscript"/>
        </w:rPr>
        <w:t>[1</w:t>
      </w:r>
      <w:r w:rsidR="000D5EE0" w:rsidRPr="00E053E9">
        <w:rPr>
          <w:rFonts w:ascii="Book Antiqua" w:hAnsi="Book Antiqua"/>
          <w:vertAlign w:val="superscript"/>
        </w:rPr>
        <w:t>5</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 xml:space="preserve">The most frequent adverse events were nasopharyngitis, headaches, and dyspepsia.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221AB9">
      <w:pPr>
        <w:adjustRightInd w:val="0"/>
        <w:snapToGrid w:val="0"/>
        <w:spacing w:line="360" w:lineRule="auto"/>
        <w:ind w:firstLineChars="100" w:firstLine="240"/>
        <w:jc w:val="both"/>
        <w:rPr>
          <w:rFonts w:ascii="Book Antiqua" w:hAnsi="Book Antiqua" w:cs="Arial"/>
        </w:rPr>
      </w:pPr>
      <w:r w:rsidRPr="00E053E9">
        <w:rPr>
          <w:rFonts w:ascii="Book Antiqua" w:hAnsi="Book Antiqua"/>
        </w:rPr>
        <w:lastRenderedPageBreak/>
        <w:t>Although budesonide has been shown to rapidly induce clinical response, relapse occurs frequently after discontinuation of budesonide.</w:t>
      </w:r>
      <w:r w:rsidR="00C02D8F" w:rsidRPr="00E053E9">
        <w:rPr>
          <w:rFonts w:ascii="Book Antiqua" w:hAnsi="Book Antiqua"/>
        </w:rPr>
        <w:t xml:space="preserve"> </w:t>
      </w:r>
      <w:r w:rsidRPr="00E053E9">
        <w:rPr>
          <w:rFonts w:ascii="Book Antiqua" w:hAnsi="Book Antiqua"/>
        </w:rPr>
        <w:t>Relapse rate is estimated to be as high as 26</w:t>
      </w:r>
      <w:r w:rsidR="00221AB9" w:rsidRPr="00E053E9">
        <w:rPr>
          <w:rFonts w:ascii="Book Antiqua" w:eastAsiaTheme="minorEastAsia" w:hAnsi="Book Antiqua" w:hint="eastAsia"/>
          <w:lang w:eastAsia="zh-CN"/>
        </w:rPr>
        <w:t>%</w:t>
      </w:r>
      <w:r w:rsidRPr="00E053E9">
        <w:rPr>
          <w:rFonts w:ascii="Book Antiqua" w:hAnsi="Book Antiqua"/>
        </w:rPr>
        <w:t>-82% (Table 2).</w:t>
      </w:r>
      <w:r w:rsidR="00C02D8F" w:rsidRPr="00E053E9">
        <w:rPr>
          <w:rFonts w:ascii="Book Antiqua" w:hAnsi="Book Antiqua"/>
        </w:rPr>
        <w:t xml:space="preserve"> </w:t>
      </w:r>
      <w:r w:rsidRPr="00E053E9">
        <w:rPr>
          <w:rFonts w:ascii="Book Antiqua" w:hAnsi="Book Antiqua" w:cs="Arial"/>
        </w:rPr>
        <w:t>Median time to relapse after stoppi</w:t>
      </w:r>
      <w:r w:rsidR="00221AB9" w:rsidRPr="00E053E9">
        <w:rPr>
          <w:rFonts w:ascii="Book Antiqua" w:hAnsi="Book Antiqua" w:cs="Arial"/>
        </w:rPr>
        <w:t>ng active treatment was 39 days</w:t>
      </w:r>
      <w:r w:rsidRPr="00E053E9">
        <w:rPr>
          <w:rFonts w:ascii="Book Antiqua" w:hAnsi="Book Antiqua" w:cs="Arial"/>
          <w:vertAlign w:val="superscript"/>
        </w:rPr>
        <w:t>[1</w:t>
      </w:r>
      <w:r w:rsidR="0065078C" w:rsidRPr="00E053E9">
        <w:rPr>
          <w:rFonts w:ascii="Book Antiqua" w:hAnsi="Book Antiqua" w:cs="Arial"/>
          <w:vertAlign w:val="superscript"/>
        </w:rPr>
        <w:t>9</w:t>
      </w:r>
      <w:r w:rsidRPr="00E053E9">
        <w:rPr>
          <w:rFonts w:ascii="Book Antiqua" w:hAnsi="Book Antiqua" w:cs="Arial"/>
          <w:vertAlign w:val="superscript"/>
        </w:rPr>
        <w:t>]</w:t>
      </w:r>
      <w:r w:rsidRPr="00E053E9">
        <w:rPr>
          <w:rFonts w:ascii="Book Antiqua" w:hAnsi="Book Antiqua" w:cs="Arial"/>
        </w:rPr>
        <w:t>.</w:t>
      </w:r>
      <w:r w:rsidR="00C02D8F" w:rsidRPr="00E053E9">
        <w:rPr>
          <w:rFonts w:ascii="Book Antiqua" w:hAnsi="Book Antiqua" w:cs="Arial"/>
        </w:rPr>
        <w:t xml:space="preserve"> </w:t>
      </w:r>
      <w:r w:rsidRPr="00E053E9">
        <w:rPr>
          <w:rFonts w:ascii="Book Antiqua" w:hAnsi="Book Antiqua" w:cs="Arial"/>
        </w:rPr>
        <w:t>P</w:t>
      </w:r>
      <w:r w:rsidRPr="00E053E9">
        <w:rPr>
          <w:rFonts w:ascii="Book Antiqua" w:hAnsi="Book Antiqua"/>
        </w:rPr>
        <w:t>atients with baseline diarrhea frequency &gt;</w:t>
      </w:r>
      <w:r w:rsidR="00221AB9" w:rsidRPr="00E053E9">
        <w:rPr>
          <w:rFonts w:ascii="Book Antiqua" w:eastAsiaTheme="minorEastAsia" w:hAnsi="Book Antiqua" w:hint="eastAsia"/>
          <w:lang w:eastAsia="zh-CN"/>
        </w:rPr>
        <w:t xml:space="preserve"> </w:t>
      </w:r>
      <w:r w:rsidRPr="00E053E9">
        <w:rPr>
          <w:rFonts w:ascii="Book Antiqua" w:hAnsi="Book Antiqua"/>
        </w:rPr>
        <w:t>5 per day (hazard ratio 1.67), duration of diarrhea &gt;</w:t>
      </w:r>
      <w:r w:rsidR="00221AB9" w:rsidRPr="00E053E9">
        <w:rPr>
          <w:rFonts w:ascii="Book Antiqua" w:eastAsiaTheme="minorEastAsia" w:hAnsi="Book Antiqua" w:hint="eastAsia"/>
          <w:lang w:eastAsia="zh-CN"/>
        </w:rPr>
        <w:t xml:space="preserve"> </w:t>
      </w:r>
      <w:r w:rsidRPr="00E053E9">
        <w:rPr>
          <w:rFonts w:ascii="Book Antiqua" w:hAnsi="Book Antiqua"/>
        </w:rPr>
        <w:t xml:space="preserve">12 </w:t>
      </w:r>
      <w:r w:rsidR="00221AB9" w:rsidRPr="00E053E9">
        <w:rPr>
          <w:rFonts w:ascii="Book Antiqua" w:eastAsiaTheme="minorEastAsia" w:hAnsi="Book Antiqua" w:hint="eastAsia"/>
          <w:lang w:eastAsia="zh-CN"/>
        </w:rPr>
        <w:t>mo</w:t>
      </w:r>
      <w:r w:rsidRPr="00E053E9">
        <w:rPr>
          <w:rFonts w:ascii="Book Antiqua" w:hAnsi="Book Antiqua"/>
        </w:rPr>
        <w:t xml:space="preserve"> (hazard ratio</w:t>
      </w:r>
      <w:r w:rsidR="00221AB9" w:rsidRPr="00E053E9">
        <w:rPr>
          <w:rFonts w:ascii="Book Antiqua" w:eastAsiaTheme="minorEastAsia" w:hAnsi="Book Antiqua" w:hint="eastAsia"/>
          <w:lang w:eastAsia="zh-CN"/>
        </w:rPr>
        <w:t>:</w:t>
      </w:r>
      <w:r w:rsidRPr="00E053E9">
        <w:rPr>
          <w:rFonts w:ascii="Book Antiqua" w:hAnsi="Book Antiqua"/>
        </w:rPr>
        <w:t xml:space="preserve"> 1.82), and absence of budesonide maintenance therapy (hazard ratio</w:t>
      </w:r>
      <w:r w:rsidR="00221AB9" w:rsidRPr="00E053E9">
        <w:rPr>
          <w:rFonts w:ascii="Book Antiqua" w:eastAsiaTheme="minorEastAsia" w:hAnsi="Book Antiqua" w:hint="eastAsia"/>
          <w:lang w:eastAsia="zh-CN"/>
        </w:rPr>
        <w:t>:</w:t>
      </w:r>
      <w:r w:rsidRPr="00E053E9">
        <w:rPr>
          <w:rFonts w:ascii="Book Antiqua" w:hAnsi="Book Antiqua"/>
        </w:rPr>
        <w:t xml:space="preserve"> 2.73) were found to</w:t>
      </w:r>
      <w:r w:rsidR="00221AB9" w:rsidRPr="00E053E9">
        <w:rPr>
          <w:rFonts w:ascii="Book Antiqua" w:hAnsi="Book Antiqua"/>
        </w:rPr>
        <w:t xml:space="preserve"> be at highest risk for relapse</w:t>
      </w:r>
      <w:r w:rsidRPr="00E053E9">
        <w:rPr>
          <w:rFonts w:ascii="Book Antiqua" w:hAnsi="Book Antiqua"/>
          <w:vertAlign w:val="superscript"/>
        </w:rPr>
        <w:t>[</w:t>
      </w:r>
      <w:r w:rsidR="0065078C" w:rsidRPr="00E053E9">
        <w:rPr>
          <w:rFonts w:ascii="Book Antiqua" w:hAnsi="Book Antiqua"/>
          <w:vertAlign w:val="superscript"/>
        </w:rPr>
        <w:t>20</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Other factors associated with relapse were advanced age (</w:t>
      </w:r>
      <w:r w:rsidR="00221AB9" w:rsidRPr="00E053E9">
        <w:rPr>
          <w:rFonts w:ascii="Book Antiqua" w:hAnsi="Book Antiqua"/>
          <w:i/>
        </w:rPr>
        <w:t xml:space="preserve">P = </w:t>
      </w:r>
      <w:r w:rsidRPr="00E053E9">
        <w:rPr>
          <w:rFonts w:ascii="Book Antiqua" w:hAnsi="Book Antiqua"/>
        </w:rPr>
        <w:t>0.047), a higher number of bowel movements per day at randomization after induction period (</w:t>
      </w:r>
      <w:r w:rsidR="00221AB9" w:rsidRPr="00E053E9">
        <w:rPr>
          <w:rFonts w:ascii="Book Antiqua" w:hAnsi="Book Antiqua"/>
          <w:i/>
        </w:rPr>
        <w:t xml:space="preserve">P = </w:t>
      </w:r>
      <w:r w:rsidRPr="00E053E9">
        <w:rPr>
          <w:rFonts w:ascii="Book Antiqua" w:hAnsi="Book Antiqua"/>
        </w:rPr>
        <w:t>0.009), and a higher number of bowel movements per day at baseline (</w:t>
      </w:r>
      <w:r w:rsidR="00221AB9" w:rsidRPr="00E053E9">
        <w:rPr>
          <w:rFonts w:ascii="Book Antiqua" w:hAnsi="Book Antiqua"/>
          <w:i/>
        </w:rPr>
        <w:t xml:space="preserve">P = </w:t>
      </w:r>
      <w:r w:rsidRPr="00E053E9">
        <w:rPr>
          <w:rFonts w:ascii="Book Antiqua" w:hAnsi="Book Antiqua"/>
        </w:rPr>
        <w:t>0.041)</w:t>
      </w:r>
      <w:r w:rsidRPr="00E053E9">
        <w:rPr>
          <w:rFonts w:ascii="Book Antiqua" w:hAnsi="Book Antiqua"/>
          <w:vertAlign w:val="superscript"/>
        </w:rPr>
        <w:t>[1</w:t>
      </w:r>
      <w:r w:rsidR="0065078C" w:rsidRPr="00E053E9">
        <w:rPr>
          <w:rFonts w:ascii="Book Antiqua" w:hAnsi="Book Antiqua"/>
          <w:vertAlign w:val="superscript"/>
        </w:rPr>
        <w:t>6</w:t>
      </w:r>
      <w:r w:rsidRPr="00E053E9">
        <w:rPr>
          <w:rFonts w:ascii="Book Antiqua" w:hAnsi="Book Antiqua"/>
          <w:vertAlign w:val="superscript"/>
        </w:rPr>
        <w:t>]</w:t>
      </w:r>
      <w:r w:rsidRPr="00E053E9">
        <w:rPr>
          <w:rFonts w:ascii="Book Antiqua" w:hAnsi="Book Antiqua"/>
        </w:rPr>
        <w:t xml:space="preserve">.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 xml:space="preserve">Immunomodulators </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Immunomodulators, such as azathioprine, 6-mercaptopurine, and methotrexate, have been tried in patients with refractory MC or steroid dependent MC</w:t>
      </w:r>
      <w:r w:rsidR="00267EF8" w:rsidRPr="00E053E9">
        <w:rPr>
          <w:rFonts w:ascii="Book Antiqua" w:hAnsi="Book Antiqua"/>
        </w:rPr>
        <w:t xml:space="preserve"> (Table 3)</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 xml:space="preserve">There are no randomized controlled trials studying efficacy of these medications for MC, and data on use of these medications for refractory MC is limited. </w:t>
      </w:r>
    </w:p>
    <w:p w:rsidR="00BB3BDF" w:rsidRPr="00E053E9" w:rsidRDefault="00742F48" w:rsidP="00221AB9">
      <w:pPr>
        <w:adjustRightInd w:val="0"/>
        <w:snapToGrid w:val="0"/>
        <w:spacing w:line="360" w:lineRule="auto"/>
        <w:ind w:firstLineChars="100" w:firstLine="240"/>
        <w:jc w:val="both"/>
        <w:rPr>
          <w:rFonts w:ascii="Book Antiqua" w:hAnsi="Book Antiqua" w:cs="Arial"/>
        </w:rPr>
      </w:pPr>
      <w:r w:rsidRPr="00E053E9">
        <w:rPr>
          <w:rFonts w:ascii="Book Antiqua" w:hAnsi="Book Antiqua" w:cs="Arial"/>
        </w:rPr>
        <w:t>In a small study of 9 patients with CC who were intolerant or nonresponsive to budesonide, the patients were treated with methotrexate 15-25</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 xml:space="preserve">mg per week subcutaneously for 12 </w:t>
      </w:r>
      <w:r w:rsidR="00221AB9" w:rsidRPr="00E053E9">
        <w:rPr>
          <w:rFonts w:ascii="Book Antiqua" w:eastAsiaTheme="minorEastAsia" w:hAnsi="Book Antiqua" w:cs="Arial" w:hint="eastAsia"/>
          <w:lang w:eastAsia="zh-CN"/>
        </w:rPr>
        <w:t>wk</w:t>
      </w:r>
      <w:r w:rsidRPr="00E053E9">
        <w:rPr>
          <w:rFonts w:ascii="Book Antiqua" w:hAnsi="Book Antiqua" w:cs="Arial"/>
        </w:rPr>
        <w:t>.</w:t>
      </w:r>
      <w:r w:rsidR="00C02D8F" w:rsidRPr="00E053E9">
        <w:rPr>
          <w:rFonts w:ascii="Book Antiqua" w:hAnsi="Book Antiqua" w:cs="Arial"/>
        </w:rPr>
        <w:t xml:space="preserve"> </w:t>
      </w:r>
      <w:r w:rsidRPr="00E053E9">
        <w:rPr>
          <w:rFonts w:ascii="Book Antiqua" w:hAnsi="Book Antiqua" w:cs="Arial"/>
        </w:rPr>
        <w:t>Four of 9 patients discontinued methotrexate due to adverse effects (nausea, allergic reaction, worsening diarrhea), and none of the patients achieve</w:t>
      </w:r>
      <w:r w:rsidR="00221AB9" w:rsidRPr="00E053E9">
        <w:rPr>
          <w:rFonts w:ascii="Book Antiqua" w:hAnsi="Book Antiqua" w:cs="Arial"/>
        </w:rPr>
        <w:t>d clinical remission at week 12</w:t>
      </w:r>
      <w:r w:rsidRPr="00E053E9">
        <w:rPr>
          <w:rFonts w:ascii="Book Antiqua" w:hAnsi="Book Antiqua" w:cs="Arial"/>
          <w:vertAlign w:val="superscript"/>
        </w:rPr>
        <w:t>[</w:t>
      </w:r>
      <w:r w:rsidR="009824E7" w:rsidRPr="00E053E9">
        <w:rPr>
          <w:rFonts w:ascii="Book Antiqua" w:hAnsi="Book Antiqua" w:cs="Arial"/>
          <w:vertAlign w:val="superscript"/>
        </w:rPr>
        <w:t>22</w:t>
      </w:r>
      <w:r w:rsidRPr="00E053E9">
        <w:rPr>
          <w:rFonts w:ascii="Book Antiqua" w:hAnsi="Book Antiqua" w:cs="Arial"/>
          <w:vertAlign w:val="superscript"/>
        </w:rPr>
        <w:t>]</w:t>
      </w:r>
      <w:r w:rsidRPr="00E053E9">
        <w:rPr>
          <w:rFonts w:ascii="Book Antiqua" w:hAnsi="Book Antiqua" w:cs="Arial"/>
        </w:rPr>
        <w:t xml:space="preserve">. </w:t>
      </w:r>
    </w:p>
    <w:p w:rsidR="00BB3BDF" w:rsidRPr="00E053E9" w:rsidRDefault="00742F48" w:rsidP="00221AB9">
      <w:pPr>
        <w:adjustRightInd w:val="0"/>
        <w:snapToGrid w:val="0"/>
        <w:spacing w:line="360" w:lineRule="auto"/>
        <w:ind w:firstLineChars="100" w:firstLine="240"/>
        <w:jc w:val="both"/>
        <w:rPr>
          <w:rFonts w:ascii="Book Antiqua" w:hAnsi="Book Antiqua"/>
        </w:rPr>
      </w:pPr>
      <w:r w:rsidRPr="00E053E9">
        <w:rPr>
          <w:rFonts w:ascii="Book Antiqua" w:hAnsi="Book Antiqua"/>
        </w:rPr>
        <w:t>A multicentered European study showed 41% overall response rate to thiopurines (azathioprine or 6-mercaptopurine) in patients who were steroid dependent or failed other medical therapy, such as loperamide, cholestyramine, budesonid</w:t>
      </w:r>
      <w:r w:rsidR="00221AB9" w:rsidRPr="00E053E9">
        <w:rPr>
          <w:rFonts w:ascii="Book Antiqua" w:hAnsi="Book Antiqua"/>
        </w:rPr>
        <w:t>e, mesalamine, and methotrexate</w:t>
      </w:r>
      <w:r w:rsidRPr="00E053E9">
        <w:rPr>
          <w:rFonts w:ascii="Book Antiqua" w:hAnsi="Book Antiqua"/>
          <w:vertAlign w:val="superscript"/>
        </w:rPr>
        <w:t>[2</w:t>
      </w:r>
      <w:r w:rsidR="009824E7" w:rsidRPr="00E053E9">
        <w:rPr>
          <w:rFonts w:ascii="Book Antiqua" w:hAnsi="Book Antiqua"/>
          <w:vertAlign w:val="superscript"/>
        </w:rPr>
        <w:t>3</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cs="Arial"/>
        </w:rPr>
        <w:t>Nine patients with steroid intolerance, refractoriness, or dependence were treated with azathioprine 2</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 xml:space="preserve">mg/kg per day and were followed for 26 </w:t>
      </w:r>
      <w:r w:rsidR="00221AB9" w:rsidRPr="00E053E9">
        <w:rPr>
          <w:rFonts w:ascii="Book Antiqua" w:eastAsiaTheme="minorEastAsia" w:hAnsi="Book Antiqua" w:cs="Arial" w:hint="eastAsia"/>
          <w:lang w:eastAsia="zh-CN"/>
        </w:rPr>
        <w:t>mo</w:t>
      </w:r>
      <w:r w:rsidRPr="00E053E9">
        <w:rPr>
          <w:rFonts w:ascii="Book Antiqua" w:hAnsi="Book Antiqua" w:cs="Arial"/>
        </w:rPr>
        <w:t>.</w:t>
      </w:r>
      <w:r w:rsidR="00C02D8F" w:rsidRPr="00E053E9">
        <w:rPr>
          <w:rFonts w:ascii="Book Antiqua" w:hAnsi="Book Antiqua" w:cs="Arial"/>
        </w:rPr>
        <w:t xml:space="preserve"> </w:t>
      </w:r>
      <w:r w:rsidRPr="00E053E9">
        <w:rPr>
          <w:rFonts w:ascii="Book Antiqua" w:hAnsi="Book Antiqua" w:cs="Arial"/>
        </w:rPr>
        <w:t xml:space="preserve">Eight out of 9 patients (89%) had complete (56%) or partial (33%) response to azathioprine and were able to </w:t>
      </w:r>
      <w:r w:rsidRPr="00E053E9">
        <w:rPr>
          <w:rFonts w:ascii="Book Antiqua" w:hAnsi="Book Antiqua" w:cs="Arial"/>
        </w:rPr>
        <w:lastRenderedPageBreak/>
        <w:t>discontinue corticosteroids. One out of 9 patients (11%) had persistent severe diarrhea and required an ileostomy.</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 xml:space="preserve"> </w:t>
      </w: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cs="Arial"/>
          <w:b/>
          <w:i/>
        </w:rPr>
        <w:t>Anti-</w:t>
      </w:r>
      <w:bookmarkStart w:id="180" w:name="OLE_LINK711"/>
      <w:bookmarkStart w:id="181" w:name="OLE_LINK712"/>
      <w:r w:rsidR="00221AB9" w:rsidRPr="00E053E9">
        <w:rPr>
          <w:rFonts w:ascii="Book Antiqua" w:eastAsiaTheme="minorEastAsia" w:hAnsi="Book Antiqua" w:cs="Arial" w:hint="eastAsia"/>
          <w:b/>
          <w:i/>
          <w:lang w:eastAsia="zh-CN"/>
        </w:rPr>
        <w:t xml:space="preserve">tumor </w:t>
      </w:r>
      <w:r w:rsidR="00221AB9" w:rsidRPr="00E053E9">
        <w:rPr>
          <w:rFonts w:ascii="Book Antiqua" w:hAnsi="Book Antiqua" w:cs="Arial"/>
          <w:b/>
          <w:i/>
        </w:rPr>
        <w:t>necrosis factor</w:t>
      </w:r>
      <w:bookmarkEnd w:id="180"/>
      <w:bookmarkEnd w:id="181"/>
    </w:p>
    <w:p w:rsidR="00BB3BDF" w:rsidRPr="00E053E9" w:rsidRDefault="00742F48" w:rsidP="004C3987">
      <w:pPr>
        <w:adjustRightInd w:val="0"/>
        <w:snapToGrid w:val="0"/>
        <w:spacing w:line="360" w:lineRule="auto"/>
        <w:jc w:val="both"/>
        <w:rPr>
          <w:rFonts w:ascii="Book Antiqua" w:hAnsi="Book Antiqua" w:cs="Arial"/>
        </w:rPr>
      </w:pPr>
      <w:r w:rsidRPr="00E053E9">
        <w:rPr>
          <w:rFonts w:ascii="Book Antiqua" w:hAnsi="Book Antiqua" w:cs="Arial"/>
        </w:rPr>
        <w:t>There are no randomized controlled trials studying efficacy of anti-</w:t>
      </w:r>
      <w:r w:rsidR="00221AB9" w:rsidRPr="00E053E9">
        <w:rPr>
          <w:rFonts w:ascii="Book Antiqua" w:hAnsi="Book Antiqua" w:cs="Arial"/>
        </w:rPr>
        <w:t xml:space="preserve">tumor necrosis factor </w:t>
      </w:r>
      <w:r w:rsidR="00221AB9" w:rsidRPr="00E053E9">
        <w:rPr>
          <w:rFonts w:ascii="Book Antiqua" w:eastAsiaTheme="minorEastAsia" w:hAnsi="Book Antiqua" w:cs="Arial" w:hint="eastAsia"/>
          <w:lang w:eastAsia="zh-CN"/>
        </w:rPr>
        <w:t>(</w:t>
      </w:r>
      <w:r w:rsidRPr="00E053E9">
        <w:rPr>
          <w:rFonts w:ascii="Book Antiqua" w:hAnsi="Book Antiqua" w:cs="Arial"/>
        </w:rPr>
        <w:t>TNF</w:t>
      </w:r>
      <w:r w:rsidR="00221AB9" w:rsidRPr="00E053E9">
        <w:rPr>
          <w:rFonts w:ascii="Book Antiqua" w:eastAsiaTheme="minorEastAsia" w:hAnsi="Book Antiqua" w:cs="Arial" w:hint="eastAsia"/>
          <w:lang w:eastAsia="zh-CN"/>
        </w:rPr>
        <w:t>)</w:t>
      </w:r>
      <w:r w:rsidRPr="00E053E9">
        <w:rPr>
          <w:rFonts w:ascii="Book Antiqua" w:hAnsi="Book Antiqua" w:cs="Arial"/>
        </w:rPr>
        <w:t xml:space="preserve"> for refractory MC, but there are multiple case reports of clinical response after induction therapy with either infliximab or adalimumab</w:t>
      </w:r>
      <w:r w:rsidR="00267EF8" w:rsidRPr="00E053E9">
        <w:rPr>
          <w:rFonts w:ascii="Book Antiqua" w:hAnsi="Book Antiqua" w:cs="Arial"/>
        </w:rPr>
        <w:t xml:space="preserve"> (Table 3)</w:t>
      </w:r>
      <w:r w:rsidRPr="00E053E9">
        <w:rPr>
          <w:rFonts w:ascii="Book Antiqua" w:hAnsi="Book Antiqua" w:cs="Arial"/>
        </w:rPr>
        <w:t>.</w:t>
      </w:r>
      <w:r w:rsidR="00C02D8F" w:rsidRPr="00E053E9">
        <w:rPr>
          <w:rFonts w:ascii="Book Antiqua" w:hAnsi="Book Antiqua" w:cs="Arial"/>
        </w:rPr>
        <w:t xml:space="preserve"> </w:t>
      </w:r>
      <w:r w:rsidRPr="00E053E9">
        <w:rPr>
          <w:rFonts w:ascii="Book Antiqua" w:hAnsi="Book Antiqua" w:cs="Arial"/>
        </w:rPr>
        <w:t xml:space="preserve">Aram </w:t>
      </w:r>
      <w:r w:rsidR="00E26E89" w:rsidRPr="00E053E9">
        <w:rPr>
          <w:rFonts w:ascii="Book Antiqua" w:hAnsi="Book Antiqua" w:cs="Arial"/>
          <w:i/>
        </w:rPr>
        <w:t>et al</w:t>
      </w:r>
      <w:r w:rsidR="00221AB9" w:rsidRPr="00E053E9">
        <w:rPr>
          <w:rFonts w:ascii="Book Antiqua" w:hAnsi="Book Antiqua" w:cs="Arial"/>
          <w:vertAlign w:val="superscript"/>
        </w:rPr>
        <w:t>[24]</w:t>
      </w:r>
      <w:r w:rsidR="00221AB9" w:rsidRPr="00E053E9">
        <w:rPr>
          <w:rFonts w:ascii="Book Antiqua" w:eastAsiaTheme="minorEastAsia" w:hAnsi="Book Antiqua" w:cs="Arial" w:hint="eastAsia"/>
          <w:vertAlign w:val="superscript"/>
          <w:lang w:eastAsia="zh-CN"/>
        </w:rPr>
        <w:t xml:space="preserve"> </w:t>
      </w:r>
      <w:r w:rsidRPr="00E053E9">
        <w:rPr>
          <w:rFonts w:ascii="Book Antiqua" w:hAnsi="Book Antiqua" w:cs="Arial"/>
        </w:rPr>
        <w:t>reported a patient with lymphocytic enterocolitis who failed corticosteroids, antibiotics, cholestyramine, azathioprine, and tincture of opium. This patient was treated with infliximab 5</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 xml:space="preserve">mg/kg at 0, 2 and 6 </w:t>
      </w:r>
      <w:r w:rsidR="00221AB9" w:rsidRPr="00E053E9">
        <w:rPr>
          <w:rFonts w:ascii="Book Antiqua" w:eastAsiaTheme="minorEastAsia" w:hAnsi="Book Antiqua" w:cs="Arial" w:hint="eastAsia"/>
          <w:lang w:eastAsia="zh-CN"/>
        </w:rPr>
        <w:t>wk</w:t>
      </w:r>
      <w:r w:rsidRPr="00E053E9">
        <w:rPr>
          <w:rFonts w:ascii="Book Antiqua" w:hAnsi="Book Antiqua" w:cs="Arial"/>
        </w:rPr>
        <w:t xml:space="preserve"> with resolution of diarrhea.</w:t>
      </w:r>
      <w:r w:rsidR="00C02D8F" w:rsidRPr="00E053E9">
        <w:rPr>
          <w:rFonts w:ascii="Book Antiqua" w:hAnsi="Book Antiqua" w:cs="Arial"/>
        </w:rPr>
        <w:t xml:space="preserve"> </w:t>
      </w:r>
      <w:r w:rsidRPr="00E053E9">
        <w:rPr>
          <w:rFonts w:ascii="Book Antiqua" w:hAnsi="Book Antiqua" w:cs="Arial"/>
        </w:rPr>
        <w:t xml:space="preserve">There was a report of a patient with steroid-dependent MC who failed to respond to diphenoxylate/atropine, loperamide, bismuth, mesalamine, cholestyramine, octreotide, alosetron, tincture of opium, and </w:t>
      </w:r>
      <w:r w:rsidRPr="00E053E9">
        <w:rPr>
          <w:rFonts w:ascii="Book Antiqua" w:hAnsi="Book Antiqua" w:cs="Arial"/>
          <w:i/>
        </w:rPr>
        <w:t>Boswellia</w:t>
      </w:r>
      <w:r w:rsidRPr="00E053E9">
        <w:rPr>
          <w:rFonts w:ascii="Book Antiqua" w:hAnsi="Book Antiqua" w:cs="Arial"/>
        </w:rPr>
        <w:t xml:space="preserve"> </w:t>
      </w:r>
      <w:r w:rsidRPr="00E053E9">
        <w:rPr>
          <w:rFonts w:ascii="Book Antiqua" w:hAnsi="Book Antiqua" w:cs="Arial"/>
          <w:i/>
        </w:rPr>
        <w:t>serrata</w:t>
      </w:r>
      <w:r w:rsidRPr="00E053E9">
        <w:rPr>
          <w:rFonts w:ascii="Book Antiqua" w:hAnsi="Book Antiqua" w:cs="Arial"/>
        </w:rPr>
        <w:t xml:space="preserve"> extract was treated with infliximab 5mg/kg and methotrexate 12.5</w:t>
      </w:r>
      <w:r w:rsidR="00221AB9" w:rsidRPr="00E053E9">
        <w:rPr>
          <w:rFonts w:ascii="Book Antiqua" w:eastAsiaTheme="minorEastAsia" w:hAnsi="Book Antiqua" w:cs="Arial" w:hint="eastAsia"/>
          <w:lang w:eastAsia="zh-CN"/>
        </w:rPr>
        <w:t xml:space="preserve"> </w:t>
      </w:r>
      <w:r w:rsidRPr="00E053E9">
        <w:rPr>
          <w:rFonts w:ascii="Book Antiqua" w:hAnsi="Book Antiqua" w:cs="Arial"/>
        </w:rPr>
        <w:t>mg per week.</w:t>
      </w:r>
      <w:r w:rsidR="00C02D8F" w:rsidRPr="00E053E9">
        <w:rPr>
          <w:rFonts w:ascii="Book Antiqua" w:hAnsi="Book Antiqua" w:cs="Arial"/>
        </w:rPr>
        <w:t xml:space="preserve"> </w:t>
      </w:r>
      <w:r w:rsidRPr="00E053E9">
        <w:rPr>
          <w:rFonts w:ascii="Book Antiqua" w:hAnsi="Book Antiqua" w:cs="Arial"/>
        </w:rPr>
        <w:t xml:space="preserve">After 6 </w:t>
      </w:r>
      <w:r w:rsidR="00221AB9" w:rsidRPr="00E053E9">
        <w:rPr>
          <w:rFonts w:ascii="Book Antiqua" w:eastAsiaTheme="minorEastAsia" w:hAnsi="Book Antiqua" w:cs="Arial" w:hint="eastAsia"/>
          <w:lang w:eastAsia="zh-CN"/>
        </w:rPr>
        <w:t>mo</w:t>
      </w:r>
      <w:r w:rsidRPr="00E053E9">
        <w:rPr>
          <w:rFonts w:ascii="Book Antiqua" w:hAnsi="Book Antiqua" w:cs="Arial"/>
        </w:rPr>
        <w:t>, the patient remained asymptoma</w:t>
      </w:r>
      <w:r w:rsidR="00221AB9" w:rsidRPr="00E053E9">
        <w:rPr>
          <w:rFonts w:ascii="Book Antiqua" w:hAnsi="Book Antiqua" w:cs="Arial"/>
        </w:rPr>
        <w:t>tic and free of corticosteroids</w:t>
      </w:r>
      <w:r w:rsidRPr="00E053E9">
        <w:rPr>
          <w:rFonts w:ascii="Book Antiqua" w:hAnsi="Book Antiqua" w:cs="Arial"/>
          <w:vertAlign w:val="superscript"/>
        </w:rPr>
        <w:t>[2</w:t>
      </w:r>
      <w:r w:rsidR="009824E7" w:rsidRPr="00E053E9">
        <w:rPr>
          <w:rFonts w:ascii="Book Antiqua" w:hAnsi="Book Antiqua" w:cs="Arial"/>
          <w:vertAlign w:val="superscript"/>
        </w:rPr>
        <w:t>5</w:t>
      </w:r>
      <w:r w:rsidRPr="00E053E9">
        <w:rPr>
          <w:rFonts w:ascii="Book Antiqua" w:hAnsi="Book Antiqua" w:cs="Arial"/>
          <w:vertAlign w:val="superscript"/>
        </w:rPr>
        <w:t>]</w:t>
      </w:r>
      <w:r w:rsidRPr="00E053E9">
        <w:rPr>
          <w:rFonts w:ascii="Book Antiqua" w:hAnsi="Book Antiqua" w:cs="Arial"/>
        </w:rPr>
        <w:t>.</w:t>
      </w:r>
    </w:p>
    <w:p w:rsidR="00BB3BDF" w:rsidRPr="00E053E9" w:rsidRDefault="00742F48" w:rsidP="00221AB9">
      <w:pPr>
        <w:adjustRightInd w:val="0"/>
        <w:snapToGrid w:val="0"/>
        <w:spacing w:line="360" w:lineRule="auto"/>
        <w:ind w:firstLineChars="100" w:firstLine="240"/>
        <w:jc w:val="both"/>
        <w:rPr>
          <w:rFonts w:ascii="Book Antiqua" w:hAnsi="Book Antiqua" w:cs="Arial"/>
        </w:rPr>
      </w:pPr>
      <w:r w:rsidRPr="00E053E9">
        <w:rPr>
          <w:rFonts w:ascii="Book Antiqua" w:hAnsi="Book Antiqua" w:cs="Arial"/>
        </w:rPr>
        <w:t>Several small case series also demonstrated improvement.</w:t>
      </w:r>
      <w:r w:rsidR="00C02D8F" w:rsidRPr="00E053E9">
        <w:rPr>
          <w:rFonts w:ascii="Book Antiqua" w:hAnsi="Book Antiqua" w:cs="Arial"/>
        </w:rPr>
        <w:t xml:space="preserve"> </w:t>
      </w:r>
      <w:r w:rsidRPr="00E053E9">
        <w:rPr>
          <w:rFonts w:ascii="Book Antiqua" w:hAnsi="Book Antiqua" w:cs="Arial"/>
        </w:rPr>
        <w:t>Long-term remission (more than 1 year) was achieved in 3 out of 4 patients with refractory MC</w:t>
      </w:r>
      <w:r w:rsidR="00221AB9" w:rsidRPr="00E053E9">
        <w:rPr>
          <w:rFonts w:ascii="Book Antiqua" w:hAnsi="Book Antiqua" w:cs="Arial"/>
        </w:rPr>
        <w:t xml:space="preserve"> who were treated with anti-TNF</w:t>
      </w:r>
      <w:r w:rsidRPr="00E053E9">
        <w:rPr>
          <w:rFonts w:ascii="Book Antiqua" w:hAnsi="Book Antiqua" w:cs="Arial"/>
          <w:vertAlign w:val="superscript"/>
        </w:rPr>
        <w:t>[2</w:t>
      </w:r>
      <w:r w:rsidR="009824E7" w:rsidRPr="00E053E9">
        <w:rPr>
          <w:rFonts w:ascii="Book Antiqua" w:hAnsi="Book Antiqua" w:cs="Arial"/>
          <w:vertAlign w:val="superscript"/>
        </w:rPr>
        <w:t>6</w:t>
      </w:r>
      <w:r w:rsidRPr="00E053E9">
        <w:rPr>
          <w:rFonts w:ascii="Book Antiqua" w:hAnsi="Book Antiqua" w:cs="Arial"/>
          <w:vertAlign w:val="superscript"/>
        </w:rPr>
        <w:t>]</w:t>
      </w:r>
      <w:r w:rsidRPr="00E053E9">
        <w:rPr>
          <w:rFonts w:ascii="Book Antiqua" w:hAnsi="Book Antiqua" w:cs="Arial"/>
        </w:rPr>
        <w:t>. One patient developed Stevens Johnson syndrome after starting infliximab and relapsed when switched to adalimumab; therefore, anti-TNF was discontinued. The patient underwent colectomy. In another series, three patients with MC who failed loperamide, cholestyramine, budesonide, and methotrexate were treated with adalimumab. All 3 patients achieved clinical remission at week 6 but 1 patient stopped therapy due to adverse effects (vomiting, abdominal pain)</w:t>
      </w:r>
      <w:r w:rsidRPr="00E053E9">
        <w:rPr>
          <w:rFonts w:ascii="Book Antiqua" w:hAnsi="Book Antiqua" w:cs="Arial"/>
          <w:vertAlign w:val="superscript"/>
        </w:rPr>
        <w:t>[2</w:t>
      </w:r>
      <w:r w:rsidR="009824E7" w:rsidRPr="00E053E9">
        <w:rPr>
          <w:rFonts w:ascii="Book Antiqua" w:hAnsi="Book Antiqua" w:cs="Arial"/>
          <w:vertAlign w:val="superscript"/>
        </w:rPr>
        <w:t>7</w:t>
      </w:r>
      <w:r w:rsidRPr="00E053E9">
        <w:rPr>
          <w:rFonts w:ascii="Book Antiqua" w:hAnsi="Book Antiqua" w:cs="Arial"/>
          <w:vertAlign w:val="superscript"/>
        </w:rPr>
        <w:t>]</w:t>
      </w:r>
      <w:r w:rsidRPr="00E053E9">
        <w:rPr>
          <w:rFonts w:ascii="Book Antiqua" w:hAnsi="Book Antiqua" w:cs="Arial"/>
        </w:rPr>
        <w:t xml:space="preserve">. </w:t>
      </w:r>
    </w:p>
    <w:p w:rsidR="00BB3BDF" w:rsidRPr="00E053E9" w:rsidRDefault="00BB3BDF" w:rsidP="004C3987">
      <w:pPr>
        <w:adjustRightInd w:val="0"/>
        <w:snapToGrid w:val="0"/>
        <w:spacing w:line="360" w:lineRule="auto"/>
        <w:jc w:val="both"/>
        <w:rPr>
          <w:rFonts w:ascii="Book Antiqua" w:hAnsi="Book Antiqua"/>
        </w:rPr>
      </w:pPr>
    </w:p>
    <w:p w:rsidR="00BB3BDF" w:rsidRPr="00E053E9" w:rsidRDefault="00742F48" w:rsidP="004C3987">
      <w:pPr>
        <w:adjustRightInd w:val="0"/>
        <w:snapToGrid w:val="0"/>
        <w:spacing w:line="360" w:lineRule="auto"/>
        <w:jc w:val="both"/>
        <w:rPr>
          <w:rFonts w:ascii="Book Antiqua" w:hAnsi="Book Antiqua"/>
          <w:b/>
          <w:i/>
        </w:rPr>
      </w:pPr>
      <w:r w:rsidRPr="00E053E9">
        <w:rPr>
          <w:rFonts w:ascii="Book Antiqua" w:hAnsi="Book Antiqua"/>
          <w:b/>
          <w:i/>
        </w:rPr>
        <w:t>Diverting ileostomy</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There are case reports of patients successfully undergoing colectomy or diverting ileostomy for refractory and severe MC.</w:t>
      </w:r>
      <w:r w:rsidR="00C02D8F" w:rsidRPr="00E053E9">
        <w:rPr>
          <w:rFonts w:ascii="Book Antiqua" w:hAnsi="Book Antiqua"/>
        </w:rPr>
        <w:t xml:space="preserve"> </w:t>
      </w:r>
      <w:r w:rsidRPr="00E053E9">
        <w:rPr>
          <w:rFonts w:ascii="Book Antiqua" w:hAnsi="Book Antiqua"/>
        </w:rPr>
        <w:t xml:space="preserve">The observational trend from these case </w:t>
      </w:r>
      <w:r w:rsidRPr="00E053E9">
        <w:rPr>
          <w:rFonts w:ascii="Book Antiqua" w:hAnsi="Book Antiqua"/>
        </w:rPr>
        <w:lastRenderedPageBreak/>
        <w:t>reports is that both symptoms and histology improve after surgery but can recur when bowel continuation is restored.</w:t>
      </w:r>
      <w:r w:rsidR="00C02D8F" w:rsidRPr="00E053E9">
        <w:rPr>
          <w:rFonts w:ascii="Book Antiqua" w:hAnsi="Book Antiqua"/>
        </w:rPr>
        <w:t xml:space="preserve"> </w:t>
      </w:r>
    </w:p>
    <w:p w:rsidR="00BB3BDF" w:rsidRPr="00E053E9" w:rsidRDefault="00742F48" w:rsidP="00BD7972">
      <w:pPr>
        <w:adjustRightInd w:val="0"/>
        <w:snapToGrid w:val="0"/>
        <w:spacing w:line="360" w:lineRule="auto"/>
        <w:ind w:firstLineChars="100" w:firstLine="240"/>
        <w:jc w:val="both"/>
        <w:rPr>
          <w:rFonts w:ascii="Book Antiqua" w:hAnsi="Book Antiqua"/>
        </w:rPr>
      </w:pPr>
      <w:r w:rsidRPr="00E053E9">
        <w:rPr>
          <w:rFonts w:ascii="Book Antiqua" w:hAnsi="Book Antiqua"/>
        </w:rPr>
        <w:t xml:space="preserve">In one case report, a 33 year-old patient with 5 years of chronic diarrhea from CC not responsive to Asacol and prednisone underwent total protocolectomy followed by ileal pouch anal anastomosis. At 2 year follow-up, she was having multiple bowel movements per day but diarrhea resolved and she was </w:t>
      </w:r>
      <w:r w:rsidR="00BD7972" w:rsidRPr="00E053E9">
        <w:rPr>
          <w:rFonts w:ascii="Book Antiqua" w:hAnsi="Book Antiqua"/>
        </w:rPr>
        <w:t>able to return to full-time job</w:t>
      </w:r>
      <w:r w:rsidRPr="00E053E9">
        <w:rPr>
          <w:rFonts w:ascii="Book Antiqua" w:hAnsi="Book Antiqua"/>
          <w:vertAlign w:val="superscript"/>
        </w:rPr>
        <w:t>[2</w:t>
      </w:r>
      <w:r w:rsidR="009824E7" w:rsidRPr="00E053E9">
        <w:rPr>
          <w:rFonts w:ascii="Book Antiqua" w:hAnsi="Book Antiqua"/>
          <w:vertAlign w:val="superscript"/>
        </w:rPr>
        <w:t>8</w:t>
      </w:r>
      <w:r w:rsidRPr="00E053E9">
        <w:rPr>
          <w:rFonts w:ascii="Book Antiqua" w:hAnsi="Book Antiqua"/>
          <w:vertAlign w:val="superscript"/>
        </w:rPr>
        <w:t>]</w:t>
      </w:r>
      <w:r w:rsidRPr="00E053E9">
        <w:rPr>
          <w:rFonts w:ascii="Book Antiqua" w:hAnsi="Book Antiqua"/>
        </w:rPr>
        <w:t xml:space="preserve">. </w:t>
      </w:r>
    </w:p>
    <w:p w:rsidR="00BB3BDF" w:rsidRPr="00E053E9" w:rsidRDefault="00742F48" w:rsidP="00BD7972">
      <w:pPr>
        <w:adjustRightInd w:val="0"/>
        <w:snapToGrid w:val="0"/>
        <w:spacing w:line="360" w:lineRule="auto"/>
        <w:ind w:firstLineChars="100" w:firstLine="240"/>
        <w:jc w:val="both"/>
        <w:rPr>
          <w:rFonts w:ascii="Book Antiqua" w:hAnsi="Book Antiqua"/>
        </w:rPr>
      </w:pPr>
      <w:r w:rsidRPr="00E053E9">
        <w:rPr>
          <w:rFonts w:ascii="Book Antiqua" w:hAnsi="Book Antiqua"/>
        </w:rPr>
        <w:t>In another, a 59 year-old patient with CC who previously failed loperamide, prednisolone, budesonide, 5-aminosalicylic acid, cholestyramine, and norfl</w:t>
      </w:r>
      <w:r w:rsidR="00BD7972" w:rsidRPr="00E053E9">
        <w:rPr>
          <w:rFonts w:ascii="Book Antiqua" w:hAnsi="Book Antiqua"/>
        </w:rPr>
        <w:t>oxacin underwent loop ileostomy</w:t>
      </w:r>
      <w:r w:rsidRPr="00E053E9">
        <w:rPr>
          <w:rFonts w:ascii="Book Antiqua" w:hAnsi="Book Antiqua"/>
          <w:vertAlign w:val="superscript"/>
        </w:rPr>
        <w:t>[2</w:t>
      </w:r>
      <w:r w:rsidR="009824E7" w:rsidRPr="00E053E9">
        <w:rPr>
          <w:rFonts w:ascii="Book Antiqua" w:hAnsi="Book Antiqua"/>
          <w:vertAlign w:val="superscript"/>
        </w:rPr>
        <w:t>9</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 xml:space="preserve">Two to 4 </w:t>
      </w:r>
      <w:r w:rsidR="00BD7972" w:rsidRPr="00E053E9">
        <w:rPr>
          <w:rFonts w:ascii="Book Antiqua" w:eastAsiaTheme="minorEastAsia" w:hAnsi="Book Antiqua" w:hint="eastAsia"/>
          <w:lang w:eastAsia="zh-CN"/>
        </w:rPr>
        <w:t>mo</w:t>
      </w:r>
      <w:r w:rsidRPr="00E053E9">
        <w:rPr>
          <w:rFonts w:ascii="Book Antiqua" w:hAnsi="Book Antiqua"/>
        </w:rPr>
        <w:t xml:space="preserve"> after loop ileostomy, colonic biopsies showed resolution of subepithelial damage, but her clinical course was complicated by </w:t>
      </w:r>
      <w:r w:rsidRPr="00E053E9">
        <w:rPr>
          <w:rFonts w:ascii="Book Antiqua" w:hAnsi="Book Antiqua"/>
          <w:i/>
        </w:rPr>
        <w:t>Clostridium</w:t>
      </w:r>
      <w:r w:rsidRPr="00E053E9">
        <w:rPr>
          <w:rFonts w:ascii="Book Antiqua" w:hAnsi="Book Antiqua"/>
        </w:rPr>
        <w:t xml:space="preserve"> </w:t>
      </w:r>
      <w:r w:rsidRPr="00E053E9">
        <w:rPr>
          <w:rFonts w:ascii="Book Antiqua" w:hAnsi="Book Antiqua"/>
          <w:i/>
        </w:rPr>
        <w:t>difficile</w:t>
      </w:r>
      <w:r w:rsidRPr="00E053E9">
        <w:rPr>
          <w:rFonts w:ascii="Book Antiqua" w:hAnsi="Book Antiqua"/>
        </w:rPr>
        <w:t xml:space="preserve"> infection and problems with the stoma.</w:t>
      </w:r>
      <w:r w:rsidR="00C02D8F" w:rsidRPr="00E053E9">
        <w:rPr>
          <w:rFonts w:ascii="Book Antiqua" w:hAnsi="Book Antiqua"/>
        </w:rPr>
        <w:t xml:space="preserve"> </w:t>
      </w:r>
      <w:r w:rsidRPr="00E053E9">
        <w:rPr>
          <w:rFonts w:ascii="Book Antiqua" w:hAnsi="Book Antiqua"/>
        </w:rPr>
        <w:t xml:space="preserve">One year later, the patient improved clinically and loop ileostomy was closed. The patient started budesonide 6mg daily after bowel restoration but relapsed with symptoms of CC. </w:t>
      </w:r>
    </w:p>
    <w:p w:rsidR="00BB3BDF" w:rsidRPr="00E053E9" w:rsidRDefault="00742F48" w:rsidP="00BD7972">
      <w:pPr>
        <w:adjustRightInd w:val="0"/>
        <w:snapToGrid w:val="0"/>
        <w:spacing w:line="360" w:lineRule="auto"/>
        <w:ind w:firstLineChars="100" w:firstLine="240"/>
        <w:jc w:val="both"/>
        <w:rPr>
          <w:rFonts w:ascii="Book Antiqua" w:hAnsi="Book Antiqua"/>
        </w:rPr>
      </w:pPr>
      <w:r w:rsidRPr="00E053E9">
        <w:rPr>
          <w:rFonts w:ascii="Book Antiqua" w:hAnsi="Book Antiqua"/>
        </w:rPr>
        <w:t>In a series of patients, nine patients with MC refractory to medical therapy (sulfasalazine, mepacrine, corticosteroids, mesalamine, cholestyramine, loperamide, metronidazole) underwent</w:t>
      </w:r>
      <w:r w:rsidR="00BD7972" w:rsidRPr="00E053E9">
        <w:rPr>
          <w:rFonts w:ascii="Book Antiqua" w:hAnsi="Book Antiqua"/>
        </w:rPr>
        <w:t xml:space="preserve"> ileostomy in between 1981-1992</w:t>
      </w:r>
      <w:r w:rsidRPr="00E053E9">
        <w:rPr>
          <w:rFonts w:ascii="Book Antiqua" w:hAnsi="Book Antiqua"/>
          <w:vertAlign w:val="superscript"/>
        </w:rPr>
        <w:t>[</w:t>
      </w:r>
      <w:r w:rsidR="009824E7" w:rsidRPr="00E053E9">
        <w:rPr>
          <w:rFonts w:ascii="Book Antiqua" w:hAnsi="Book Antiqua"/>
          <w:vertAlign w:val="superscript"/>
        </w:rPr>
        <w:t>30</w:t>
      </w:r>
      <w:r w:rsidRPr="00E053E9">
        <w:rPr>
          <w:rFonts w:ascii="Book Antiqua" w:hAnsi="Book Antiqua"/>
          <w:vertAlign w:val="superscript"/>
        </w:rPr>
        <w:t>]</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All patients experienced clinical and histological remission.</w:t>
      </w:r>
      <w:r w:rsidR="00C02D8F" w:rsidRPr="00E053E9">
        <w:rPr>
          <w:rFonts w:ascii="Book Antiqua" w:hAnsi="Book Antiqua"/>
        </w:rPr>
        <w:t xml:space="preserve"> </w:t>
      </w:r>
      <w:r w:rsidRPr="00E053E9">
        <w:rPr>
          <w:rFonts w:ascii="Book Antiqua" w:hAnsi="Book Antiqua"/>
        </w:rPr>
        <w:t xml:space="preserve">The ileostomy was taken down in 5 patients after a diversion period of 4-15 </w:t>
      </w:r>
      <w:r w:rsidR="00BD7972" w:rsidRPr="00E053E9">
        <w:rPr>
          <w:rFonts w:ascii="Book Antiqua" w:eastAsiaTheme="minorEastAsia" w:hAnsi="Book Antiqua" w:hint="eastAsia"/>
          <w:lang w:eastAsia="zh-CN"/>
        </w:rPr>
        <w:t>mo</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Diarrhea recurred in 4 out of 5 of these patients and 3 of them underwent additional surgery.</w:t>
      </w:r>
    </w:p>
    <w:p w:rsidR="00BB3BDF" w:rsidRPr="00E053E9" w:rsidRDefault="00BB3BDF" w:rsidP="004C3987">
      <w:pPr>
        <w:adjustRightInd w:val="0"/>
        <w:snapToGrid w:val="0"/>
        <w:spacing w:line="360" w:lineRule="auto"/>
        <w:jc w:val="both"/>
        <w:rPr>
          <w:rFonts w:ascii="Book Antiqua" w:eastAsiaTheme="minorEastAsia" w:hAnsi="Book Antiqua"/>
          <w:lang w:eastAsia="zh-CN"/>
        </w:rPr>
      </w:pP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b/>
        </w:rPr>
        <w:t>CONCLUSION</w:t>
      </w:r>
    </w:p>
    <w:p w:rsidR="00BB3BDF" w:rsidRPr="00E053E9" w:rsidRDefault="00742F48" w:rsidP="004C3987">
      <w:pPr>
        <w:adjustRightInd w:val="0"/>
        <w:snapToGrid w:val="0"/>
        <w:spacing w:line="360" w:lineRule="auto"/>
        <w:jc w:val="both"/>
        <w:rPr>
          <w:rFonts w:ascii="Book Antiqua" w:hAnsi="Book Antiqua"/>
        </w:rPr>
      </w:pPr>
      <w:r w:rsidRPr="00E053E9">
        <w:rPr>
          <w:rFonts w:ascii="Book Antiqua" w:hAnsi="Book Antiqua"/>
        </w:rPr>
        <w:t>MC is characterized by chronic, watery diarrhea and subepithelial changes.</w:t>
      </w:r>
      <w:r w:rsidR="00C02D8F" w:rsidRPr="00E053E9">
        <w:rPr>
          <w:rFonts w:ascii="Book Antiqua" w:hAnsi="Book Antiqua"/>
        </w:rPr>
        <w:t xml:space="preserve"> </w:t>
      </w:r>
      <w:r w:rsidRPr="00E053E9">
        <w:rPr>
          <w:rFonts w:ascii="Book Antiqua" w:hAnsi="Book Antiqua"/>
        </w:rPr>
        <w:t>Conservative therapy, such as discontinuation of offending mediations and trial of loperamide and/or bismuth, may be successful in treating non-severe MC.</w:t>
      </w:r>
      <w:r w:rsidR="00C02D8F" w:rsidRPr="00E053E9">
        <w:rPr>
          <w:rFonts w:ascii="Book Antiqua" w:hAnsi="Book Antiqua"/>
        </w:rPr>
        <w:t xml:space="preserve"> </w:t>
      </w:r>
      <w:r w:rsidRPr="00E053E9">
        <w:rPr>
          <w:rFonts w:ascii="Book Antiqua" w:hAnsi="Book Antiqua"/>
        </w:rPr>
        <w:t>Budesonide can rapidly induce clinical remission and can maintain remission, but relapse occurs frequently after withdrawal of therapy.</w:t>
      </w:r>
      <w:r w:rsidR="00C02D8F" w:rsidRPr="00E053E9">
        <w:rPr>
          <w:rFonts w:ascii="Book Antiqua" w:hAnsi="Book Antiqua"/>
        </w:rPr>
        <w:t xml:space="preserve"> </w:t>
      </w:r>
      <w:r w:rsidRPr="00E053E9">
        <w:rPr>
          <w:rFonts w:ascii="Book Antiqua" w:hAnsi="Book Antiqua"/>
        </w:rPr>
        <w:t>Methotrexate and mesalamine do not appear to be effective as monotherapy for MC.</w:t>
      </w:r>
      <w:r w:rsidR="00C02D8F" w:rsidRPr="00E053E9">
        <w:rPr>
          <w:rFonts w:ascii="Book Antiqua" w:hAnsi="Book Antiqua"/>
        </w:rPr>
        <w:t xml:space="preserve"> </w:t>
      </w:r>
      <w:r w:rsidRPr="00E053E9">
        <w:rPr>
          <w:rFonts w:ascii="Book Antiqua" w:hAnsi="Book Antiqua"/>
        </w:rPr>
        <w:t xml:space="preserve">There is </w:t>
      </w:r>
      <w:r w:rsidRPr="00E053E9">
        <w:rPr>
          <w:rFonts w:ascii="Book Antiqua" w:hAnsi="Book Antiqua"/>
        </w:rPr>
        <w:lastRenderedPageBreak/>
        <w:t>limited data to support the use of immunomodulators in refractory or steroid-dependent MC.</w:t>
      </w:r>
      <w:r w:rsidR="00C02D8F" w:rsidRPr="00E053E9">
        <w:rPr>
          <w:rFonts w:ascii="Book Antiqua" w:hAnsi="Book Antiqua"/>
        </w:rPr>
        <w:t xml:space="preserve"> </w:t>
      </w:r>
      <w:r w:rsidRPr="00E053E9">
        <w:rPr>
          <w:rFonts w:ascii="Book Antiqua" w:hAnsi="Book Antiqua"/>
        </w:rPr>
        <w:t xml:space="preserve">Anti-TNF or ileostomy may be an option for severe, refractory MC; however, their efficacy has not been proven in randomized controlled trials yet, and their risk and benefits need to be discussed in detail with the patient prior to recommending these therapy. </w:t>
      </w:r>
    </w:p>
    <w:p w:rsidR="00BB3BDF" w:rsidRPr="00E053E9" w:rsidRDefault="00BB3BDF" w:rsidP="004C3987">
      <w:pPr>
        <w:adjustRightInd w:val="0"/>
        <w:snapToGrid w:val="0"/>
        <w:spacing w:line="360" w:lineRule="auto"/>
        <w:jc w:val="both"/>
        <w:rPr>
          <w:rFonts w:ascii="Book Antiqua" w:eastAsiaTheme="minorEastAsia" w:hAnsi="Book Antiqua"/>
          <w:lang w:eastAsia="zh-CN"/>
        </w:rPr>
      </w:pPr>
    </w:p>
    <w:p w:rsidR="00BB3BDF" w:rsidRPr="00E053E9" w:rsidRDefault="00742F48" w:rsidP="004C3987">
      <w:pPr>
        <w:adjustRightInd w:val="0"/>
        <w:snapToGrid w:val="0"/>
        <w:spacing w:line="360" w:lineRule="auto"/>
        <w:jc w:val="both"/>
        <w:rPr>
          <w:rFonts w:ascii="Book Antiqua" w:eastAsiaTheme="minorEastAsia" w:hAnsi="Book Antiqua"/>
          <w:b/>
          <w:lang w:eastAsia="zh-CN"/>
        </w:rPr>
      </w:pPr>
      <w:r w:rsidRPr="00E053E9">
        <w:rPr>
          <w:rFonts w:ascii="Book Antiqua" w:hAnsi="Book Antiqua"/>
          <w:b/>
        </w:rPr>
        <w:t>REFERENCE</w:t>
      </w:r>
      <w:r w:rsidR="00BD7972" w:rsidRPr="00E053E9">
        <w:rPr>
          <w:rFonts w:ascii="Book Antiqua" w:eastAsiaTheme="minorEastAsia" w:hAnsi="Book Antiqua" w:hint="eastAsia"/>
          <w:b/>
          <w:lang w:eastAsia="zh-CN"/>
        </w:rPr>
        <w:t>S</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 </w:t>
      </w:r>
      <w:r w:rsidRPr="00E053E9">
        <w:rPr>
          <w:rFonts w:ascii="Book Antiqua" w:eastAsia="SimSun" w:hAnsi="Book Antiqua" w:cs="SimSun"/>
          <w:b/>
          <w:bCs/>
          <w:lang w:eastAsia="zh-CN"/>
        </w:rPr>
        <w:t>Pardi DS</w:t>
      </w:r>
      <w:r w:rsidRPr="00E053E9">
        <w:rPr>
          <w:rFonts w:ascii="Book Antiqua" w:eastAsia="SimSun" w:hAnsi="Book Antiqua" w:cs="SimSun"/>
          <w:lang w:eastAsia="zh-CN"/>
        </w:rPr>
        <w:t xml:space="preserve">, Loftus EV, Smyrk TC, Kammer PP, Tremaine WJ, Schleck CD, Harmsen WS, Zinsmeister AR, Melton LJ, Sandborn WJ. The epidemiology of microscopic colitis: a population based study in Olmsted County, Minnesota. </w:t>
      </w:r>
      <w:r w:rsidRPr="00E053E9">
        <w:rPr>
          <w:rFonts w:ascii="Book Antiqua" w:eastAsia="SimSun" w:hAnsi="Book Antiqua" w:cs="SimSun"/>
          <w:i/>
          <w:iCs/>
          <w:lang w:eastAsia="zh-CN"/>
        </w:rPr>
        <w:t>Gut</w:t>
      </w:r>
      <w:r w:rsidRPr="00E053E9">
        <w:rPr>
          <w:rFonts w:ascii="Book Antiqua" w:eastAsia="SimSun" w:hAnsi="Book Antiqua" w:cs="SimSun"/>
          <w:lang w:eastAsia="zh-CN"/>
        </w:rPr>
        <w:t xml:space="preserve"> 2007; </w:t>
      </w:r>
      <w:r w:rsidRPr="00E053E9">
        <w:rPr>
          <w:rFonts w:ascii="Book Antiqua" w:eastAsia="SimSun" w:hAnsi="Book Antiqua" w:cs="SimSun"/>
          <w:b/>
          <w:bCs/>
          <w:lang w:eastAsia="zh-CN"/>
        </w:rPr>
        <w:t>56</w:t>
      </w:r>
      <w:r w:rsidRPr="00E053E9">
        <w:rPr>
          <w:rFonts w:ascii="Book Antiqua" w:eastAsia="SimSun" w:hAnsi="Book Antiqua" w:cs="SimSun"/>
          <w:lang w:eastAsia="zh-CN"/>
        </w:rPr>
        <w:t>: 504-508 [PMID: 17135309 DOI: 10.1136/gut.2006.105890]</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 </w:t>
      </w:r>
      <w:r w:rsidRPr="00E053E9">
        <w:rPr>
          <w:rFonts w:ascii="Book Antiqua" w:eastAsia="SimSun" w:hAnsi="Book Antiqua" w:cs="SimSun"/>
          <w:b/>
          <w:bCs/>
          <w:lang w:eastAsia="zh-CN"/>
        </w:rPr>
        <w:t>Langner C</w:t>
      </w:r>
      <w:r w:rsidRPr="00E053E9">
        <w:rPr>
          <w:rFonts w:ascii="Book Antiqua" w:eastAsia="SimSun" w:hAnsi="Book Antiqua" w:cs="SimSun"/>
          <w:lang w:eastAsia="zh-CN"/>
        </w:rPr>
        <w:t xml:space="preserve">, Aust D, Ensari A, Villanacci V, Becheanu G, Miehlke S, Geboes K, Münch A. Histology of microscopic colitis-review with a practical approach for pathologists. </w:t>
      </w:r>
      <w:r w:rsidRPr="00E053E9">
        <w:rPr>
          <w:rFonts w:ascii="Book Antiqua" w:eastAsia="SimSun" w:hAnsi="Book Antiqua" w:cs="SimSun"/>
          <w:i/>
          <w:iCs/>
          <w:lang w:eastAsia="zh-CN"/>
        </w:rPr>
        <w:t>Histopathology</w:t>
      </w:r>
      <w:r w:rsidRPr="00E053E9">
        <w:rPr>
          <w:rFonts w:ascii="Book Antiqua" w:eastAsia="SimSun" w:hAnsi="Book Antiqua" w:cs="SimSun"/>
          <w:lang w:eastAsia="zh-CN"/>
        </w:rPr>
        <w:t xml:space="preserve"> 2015; </w:t>
      </w:r>
      <w:r w:rsidRPr="00E053E9">
        <w:rPr>
          <w:rFonts w:ascii="Book Antiqua" w:eastAsia="SimSun" w:hAnsi="Book Antiqua" w:cs="SimSun"/>
          <w:b/>
          <w:bCs/>
          <w:lang w:eastAsia="zh-CN"/>
        </w:rPr>
        <w:t>66</w:t>
      </w:r>
      <w:r w:rsidRPr="00E053E9">
        <w:rPr>
          <w:rFonts w:ascii="Book Antiqua" w:eastAsia="SimSun" w:hAnsi="Book Antiqua" w:cs="SimSun"/>
          <w:lang w:eastAsia="zh-CN"/>
        </w:rPr>
        <w:t>: 613-626 [PMID: 25381724 DOI: 10.1111/his.12592]</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3 </w:t>
      </w:r>
      <w:r w:rsidRPr="00E053E9">
        <w:rPr>
          <w:rFonts w:ascii="Book Antiqua" w:eastAsia="SimSun" w:hAnsi="Book Antiqua" w:cs="SimSun"/>
          <w:b/>
          <w:bCs/>
          <w:lang w:eastAsia="zh-CN"/>
        </w:rPr>
        <w:t>Madisch A</w:t>
      </w:r>
      <w:r w:rsidRPr="00E053E9">
        <w:rPr>
          <w:rFonts w:ascii="Book Antiqua" w:eastAsia="SimSun" w:hAnsi="Book Antiqua" w:cs="SimSun"/>
          <w:lang w:eastAsia="zh-CN"/>
        </w:rPr>
        <w:t xml:space="preserve">, Hellmig S, Schreiber S, Bethke B, Stolte M, Miehlke S. Allelic variation of the matrix metalloproteinase-9 gene is associated with collagenous colitis. </w:t>
      </w:r>
      <w:r w:rsidRPr="00E053E9">
        <w:rPr>
          <w:rFonts w:ascii="Book Antiqua" w:eastAsia="SimSun" w:hAnsi="Book Antiqua" w:cs="SimSun"/>
          <w:i/>
          <w:iCs/>
          <w:lang w:eastAsia="zh-CN"/>
        </w:rPr>
        <w:t>Inflamm Bowel Dis</w:t>
      </w:r>
      <w:r w:rsidRPr="00E053E9">
        <w:rPr>
          <w:rFonts w:ascii="Book Antiqua" w:eastAsia="SimSun" w:hAnsi="Book Antiqua" w:cs="SimSun"/>
          <w:lang w:eastAsia="zh-CN"/>
        </w:rPr>
        <w:t xml:space="preserve"> 2011; </w:t>
      </w:r>
      <w:r w:rsidRPr="00E053E9">
        <w:rPr>
          <w:rFonts w:ascii="Book Antiqua" w:eastAsia="SimSun" w:hAnsi="Book Antiqua" w:cs="SimSun"/>
          <w:b/>
          <w:bCs/>
          <w:lang w:eastAsia="zh-CN"/>
        </w:rPr>
        <w:t>17</w:t>
      </w:r>
      <w:r w:rsidRPr="00E053E9">
        <w:rPr>
          <w:rFonts w:ascii="Book Antiqua" w:eastAsia="SimSun" w:hAnsi="Book Antiqua" w:cs="SimSun"/>
          <w:lang w:eastAsia="zh-CN"/>
        </w:rPr>
        <w:t>: 2295-2298 [PMID: 21305678 DOI: 10.1002/ibd.21640]</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4 </w:t>
      </w:r>
      <w:r w:rsidRPr="00E053E9">
        <w:rPr>
          <w:rFonts w:ascii="Book Antiqua" w:eastAsia="SimSun" w:hAnsi="Book Antiqua" w:cs="SimSun"/>
          <w:b/>
          <w:bCs/>
          <w:lang w:eastAsia="zh-CN"/>
        </w:rPr>
        <w:t>Fernández-Bañares F</w:t>
      </w:r>
      <w:r w:rsidRPr="00E053E9">
        <w:rPr>
          <w:rFonts w:ascii="Book Antiqua" w:eastAsia="SimSun" w:hAnsi="Book Antiqua" w:cs="SimSun"/>
          <w:lang w:eastAsia="zh-CN"/>
        </w:rPr>
        <w:t xml:space="preserve">, de Sousa MR, Salas A, Beltrán B, Piqueras M, Iglesias E, Gisbert JP, Lobo B, Puig-Diví V, García-Planella E, Ordás I, Andreu M, Calvo M, Montoro M, Esteve M, Viver JM. Epidemiological risk factors in microscopic colitis: a prospective case-control study. </w:t>
      </w:r>
      <w:r w:rsidRPr="00E053E9">
        <w:rPr>
          <w:rFonts w:ascii="Book Antiqua" w:eastAsia="SimSun" w:hAnsi="Book Antiqua" w:cs="SimSun"/>
          <w:i/>
          <w:iCs/>
          <w:lang w:eastAsia="zh-CN"/>
        </w:rPr>
        <w:t>Inflamm Bowel Dis</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19</w:t>
      </w:r>
      <w:r w:rsidRPr="00E053E9">
        <w:rPr>
          <w:rFonts w:ascii="Book Antiqua" w:eastAsia="SimSun" w:hAnsi="Book Antiqua" w:cs="SimSun"/>
          <w:lang w:eastAsia="zh-CN"/>
        </w:rPr>
        <w:t>: 411-417 [PMID: 23344243 DOI: 10.1002/ibd.23009</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5 </w:t>
      </w:r>
      <w:r w:rsidRPr="00E053E9">
        <w:rPr>
          <w:rFonts w:ascii="Book Antiqua" w:eastAsia="SimSun" w:hAnsi="Book Antiqua" w:cs="SimSun"/>
          <w:b/>
          <w:bCs/>
          <w:lang w:eastAsia="zh-CN"/>
        </w:rPr>
        <w:t>Vigren L</w:t>
      </w:r>
      <w:r w:rsidRPr="00E053E9">
        <w:rPr>
          <w:rFonts w:ascii="Book Antiqua" w:eastAsia="SimSun" w:hAnsi="Book Antiqua" w:cs="SimSun"/>
          <w:lang w:eastAsia="zh-CN"/>
        </w:rPr>
        <w:t xml:space="preserve">, Sjöberg K, Benoni C, Tysk C, Bohr J, Kilander A, Larsson L, Ström M, Hjortswang H. Is smoking a risk factor for collagenous colitis? </w:t>
      </w:r>
      <w:r w:rsidRPr="00E053E9">
        <w:rPr>
          <w:rFonts w:ascii="Book Antiqua" w:eastAsia="SimSun" w:hAnsi="Book Antiqua" w:cs="SimSun"/>
          <w:i/>
          <w:iCs/>
          <w:lang w:eastAsia="zh-CN"/>
        </w:rPr>
        <w:t>Scand J Gastroenterol</w:t>
      </w:r>
      <w:r w:rsidRPr="00E053E9">
        <w:rPr>
          <w:rFonts w:ascii="Book Antiqua" w:eastAsia="SimSun" w:hAnsi="Book Antiqua" w:cs="SimSun"/>
          <w:lang w:eastAsia="zh-CN"/>
        </w:rPr>
        <w:t xml:space="preserve"> 2011; </w:t>
      </w:r>
      <w:r w:rsidRPr="00E053E9">
        <w:rPr>
          <w:rFonts w:ascii="Book Antiqua" w:eastAsia="SimSun" w:hAnsi="Book Antiqua" w:cs="SimSun"/>
          <w:b/>
          <w:bCs/>
          <w:lang w:eastAsia="zh-CN"/>
        </w:rPr>
        <w:t>46</w:t>
      </w:r>
      <w:r w:rsidRPr="00E053E9">
        <w:rPr>
          <w:rFonts w:ascii="Book Antiqua" w:eastAsia="SimSun" w:hAnsi="Book Antiqua" w:cs="SimSun"/>
          <w:lang w:eastAsia="zh-CN"/>
        </w:rPr>
        <w:t>: 1334-1339 [PMID: 21854096 DOI: 10.3109/00365521.2011.610005]</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lastRenderedPageBreak/>
        <w:t xml:space="preserve">6 </w:t>
      </w:r>
      <w:r w:rsidRPr="00E053E9">
        <w:rPr>
          <w:rFonts w:ascii="Book Antiqua" w:eastAsia="SimSun" w:hAnsi="Book Antiqua" w:cs="SimSun"/>
          <w:b/>
          <w:bCs/>
          <w:lang w:eastAsia="zh-CN"/>
        </w:rPr>
        <w:t>Münch A</w:t>
      </w:r>
      <w:r w:rsidRPr="00E053E9">
        <w:rPr>
          <w:rFonts w:ascii="Book Antiqua" w:eastAsia="SimSun" w:hAnsi="Book Antiqua" w:cs="SimSun"/>
          <w:lang w:eastAsia="zh-CN"/>
        </w:rPr>
        <w:t xml:space="preserve">, Langner C. Microscopic colitis: clinical and pathologic perspectives. </w:t>
      </w:r>
      <w:r w:rsidRPr="00E053E9">
        <w:rPr>
          <w:rFonts w:ascii="Book Antiqua" w:eastAsia="SimSun" w:hAnsi="Book Antiqua" w:cs="SimSun"/>
          <w:i/>
          <w:iCs/>
          <w:lang w:eastAsia="zh-CN"/>
        </w:rPr>
        <w:t>Clin Gastroenterol Hepatol</w:t>
      </w:r>
      <w:r w:rsidRPr="00E053E9">
        <w:rPr>
          <w:rFonts w:ascii="Book Antiqua" w:eastAsia="SimSun" w:hAnsi="Book Antiqua" w:cs="SimSun"/>
          <w:lang w:eastAsia="zh-CN"/>
        </w:rPr>
        <w:t xml:space="preserve"> 2015; </w:t>
      </w:r>
      <w:r w:rsidRPr="00E053E9">
        <w:rPr>
          <w:rFonts w:ascii="Book Antiqua" w:eastAsia="SimSun" w:hAnsi="Book Antiqua" w:cs="SimSun"/>
          <w:b/>
          <w:bCs/>
          <w:lang w:eastAsia="zh-CN"/>
        </w:rPr>
        <w:t>13</w:t>
      </w:r>
      <w:r w:rsidRPr="00E053E9">
        <w:rPr>
          <w:rFonts w:ascii="Book Antiqua" w:eastAsia="SimSun" w:hAnsi="Book Antiqua" w:cs="SimSun"/>
          <w:lang w:eastAsia="zh-CN"/>
        </w:rPr>
        <w:t>: 228-236 [PMID: 24407107 DOI: 10.1016/j.cgh.2013.12.026</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7 </w:t>
      </w:r>
      <w:r w:rsidRPr="00E053E9">
        <w:rPr>
          <w:rFonts w:ascii="Book Antiqua" w:eastAsia="SimSun" w:hAnsi="Book Antiqua" w:cs="SimSun"/>
          <w:b/>
          <w:bCs/>
          <w:lang w:eastAsia="zh-CN"/>
        </w:rPr>
        <w:t>Masclee GM</w:t>
      </w:r>
      <w:r w:rsidRPr="00E053E9">
        <w:rPr>
          <w:rFonts w:ascii="Book Antiqua" w:eastAsia="SimSun" w:hAnsi="Book Antiqua" w:cs="SimSun"/>
          <w:lang w:eastAsia="zh-CN"/>
        </w:rPr>
        <w:t xml:space="preserve">, Coloma PM, Kuipers EJ, Sturkenboom MC. Increased risk of microscopic colitis with use of proton pump inhibitors and non-steroidal anti-inflammatory drugs. </w:t>
      </w:r>
      <w:r w:rsidRPr="00E053E9">
        <w:rPr>
          <w:rFonts w:ascii="Book Antiqua" w:eastAsia="SimSun" w:hAnsi="Book Antiqua" w:cs="SimSun"/>
          <w:i/>
          <w:iCs/>
          <w:lang w:eastAsia="zh-CN"/>
        </w:rPr>
        <w:t>Am J Gastroenterol</w:t>
      </w:r>
      <w:r w:rsidRPr="00E053E9">
        <w:rPr>
          <w:rFonts w:ascii="Book Antiqua" w:eastAsia="SimSun" w:hAnsi="Book Antiqua" w:cs="SimSun"/>
          <w:lang w:eastAsia="zh-CN"/>
        </w:rPr>
        <w:t xml:space="preserve"> 2015; </w:t>
      </w:r>
      <w:r w:rsidRPr="00E053E9">
        <w:rPr>
          <w:rFonts w:ascii="Book Antiqua" w:eastAsia="SimSun" w:hAnsi="Book Antiqua" w:cs="SimSun"/>
          <w:b/>
          <w:bCs/>
          <w:lang w:eastAsia="zh-CN"/>
        </w:rPr>
        <w:t>110</w:t>
      </w:r>
      <w:r w:rsidRPr="00E053E9">
        <w:rPr>
          <w:rFonts w:ascii="Book Antiqua" w:eastAsia="SimSun" w:hAnsi="Book Antiqua" w:cs="SimSun"/>
          <w:lang w:eastAsia="zh-CN"/>
        </w:rPr>
        <w:t>: 749-759 [PMID: 25916221 DOI: 10.1038/ajg.2015.119</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8 </w:t>
      </w:r>
      <w:r w:rsidRPr="00E053E9">
        <w:rPr>
          <w:rFonts w:ascii="Book Antiqua" w:eastAsia="SimSun" w:hAnsi="Book Antiqua" w:cs="SimSun"/>
          <w:b/>
          <w:bCs/>
          <w:lang w:eastAsia="zh-CN"/>
        </w:rPr>
        <w:t>Barmeyer C</w:t>
      </w:r>
      <w:r w:rsidRPr="00E053E9">
        <w:rPr>
          <w:rFonts w:ascii="Book Antiqua" w:eastAsia="SimSun" w:hAnsi="Book Antiqua" w:cs="SimSun"/>
          <w:lang w:eastAsia="zh-CN"/>
        </w:rPr>
        <w:t xml:space="preserve">, Erko I, Fromm A, Bojarski C, Allers K, Moos V, Zeitz M, Fromm M, Schulzke JD. Ion transport and barrier function are disturbed in microscopic colitis. </w:t>
      </w:r>
      <w:r w:rsidRPr="00E053E9">
        <w:rPr>
          <w:rFonts w:ascii="Book Antiqua" w:eastAsia="SimSun" w:hAnsi="Book Antiqua" w:cs="SimSun"/>
          <w:i/>
          <w:iCs/>
          <w:lang w:eastAsia="zh-CN"/>
        </w:rPr>
        <w:t>Ann N Y Acad Sci</w:t>
      </w:r>
      <w:r w:rsidRPr="00E053E9">
        <w:rPr>
          <w:rFonts w:ascii="Book Antiqua" w:eastAsia="SimSun" w:hAnsi="Book Antiqua" w:cs="SimSun"/>
          <w:lang w:eastAsia="zh-CN"/>
        </w:rPr>
        <w:t xml:space="preserve"> 2012; </w:t>
      </w:r>
      <w:r w:rsidRPr="00E053E9">
        <w:rPr>
          <w:rFonts w:ascii="Book Antiqua" w:eastAsia="SimSun" w:hAnsi="Book Antiqua" w:cs="SimSun"/>
          <w:b/>
          <w:bCs/>
          <w:lang w:eastAsia="zh-CN"/>
        </w:rPr>
        <w:t>1258</w:t>
      </w:r>
      <w:r w:rsidRPr="00E053E9">
        <w:rPr>
          <w:rFonts w:ascii="Book Antiqua" w:eastAsia="SimSun" w:hAnsi="Book Antiqua" w:cs="SimSun"/>
          <w:lang w:eastAsia="zh-CN"/>
        </w:rPr>
        <w:t>: 143-148 [PMID: 22731727 DOI: 10.1111/j.1749-6632.2012.06631.x</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9 </w:t>
      </w:r>
      <w:r w:rsidRPr="00E053E9">
        <w:rPr>
          <w:rFonts w:ascii="Book Antiqua" w:eastAsia="SimSun" w:hAnsi="Book Antiqua" w:cs="SimSun"/>
          <w:b/>
          <w:bCs/>
          <w:lang w:eastAsia="zh-CN"/>
        </w:rPr>
        <w:t>Tagkalidis PP</w:t>
      </w:r>
      <w:r w:rsidRPr="00E053E9">
        <w:rPr>
          <w:rFonts w:ascii="Book Antiqua" w:eastAsia="SimSun" w:hAnsi="Book Antiqua" w:cs="SimSun"/>
          <w:lang w:eastAsia="zh-CN"/>
        </w:rPr>
        <w:t xml:space="preserve">, Gibson PR, Bhathal PS. Microscopic colitis demonstrates a T helper cell type 1 mucosal cytokine profile. </w:t>
      </w:r>
      <w:r w:rsidRPr="00E053E9">
        <w:rPr>
          <w:rFonts w:ascii="Book Antiqua" w:eastAsia="SimSun" w:hAnsi="Book Antiqua" w:cs="SimSun"/>
          <w:i/>
          <w:iCs/>
          <w:lang w:eastAsia="zh-CN"/>
        </w:rPr>
        <w:t>J Clin Pathol</w:t>
      </w:r>
      <w:r w:rsidRPr="00E053E9">
        <w:rPr>
          <w:rFonts w:ascii="Book Antiqua" w:eastAsia="SimSun" w:hAnsi="Book Antiqua" w:cs="SimSun"/>
          <w:lang w:eastAsia="zh-CN"/>
        </w:rPr>
        <w:t xml:space="preserve"> 2007; </w:t>
      </w:r>
      <w:r w:rsidRPr="00E053E9">
        <w:rPr>
          <w:rFonts w:ascii="Book Antiqua" w:eastAsia="SimSun" w:hAnsi="Book Antiqua" w:cs="SimSun"/>
          <w:b/>
          <w:bCs/>
          <w:lang w:eastAsia="zh-CN"/>
        </w:rPr>
        <w:t>60</w:t>
      </w:r>
      <w:r w:rsidRPr="00E053E9">
        <w:rPr>
          <w:rFonts w:ascii="Book Antiqua" w:eastAsia="SimSun" w:hAnsi="Book Antiqua" w:cs="SimSun"/>
          <w:lang w:eastAsia="zh-CN"/>
        </w:rPr>
        <w:t>: 382-387 [PMID: 16775121 DOI: 10.1136/jcp.2005.036376]</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10 </w:t>
      </w:r>
      <w:r w:rsidRPr="00E053E9">
        <w:rPr>
          <w:rFonts w:ascii="Book Antiqua" w:eastAsia="SimSun" w:hAnsi="Book Antiqua" w:cs="SimSun"/>
          <w:b/>
          <w:bCs/>
          <w:lang w:eastAsia="zh-CN"/>
        </w:rPr>
        <w:t>Bohr J</w:t>
      </w:r>
      <w:r w:rsidRPr="00E053E9">
        <w:rPr>
          <w:rFonts w:ascii="Book Antiqua" w:eastAsia="SimSun" w:hAnsi="Book Antiqua" w:cs="SimSun"/>
          <w:lang w:eastAsia="zh-CN"/>
        </w:rPr>
        <w:t xml:space="preserve">, Tysk C, Eriksson S, Abrahamsson H, Järnerot G. Collagenous colitis: a retrospective study of clinical presentation and treatment in 163 patients. </w:t>
      </w:r>
      <w:r w:rsidRPr="00E053E9">
        <w:rPr>
          <w:rFonts w:ascii="Book Antiqua" w:eastAsia="SimSun" w:hAnsi="Book Antiqua" w:cs="SimSun"/>
          <w:i/>
          <w:iCs/>
          <w:lang w:eastAsia="zh-CN"/>
        </w:rPr>
        <w:t>Gut</w:t>
      </w:r>
      <w:r w:rsidRPr="00E053E9">
        <w:rPr>
          <w:rFonts w:ascii="Book Antiqua" w:eastAsia="SimSun" w:hAnsi="Book Antiqua" w:cs="SimSun"/>
          <w:lang w:eastAsia="zh-CN"/>
        </w:rPr>
        <w:t xml:space="preserve"> 1996; </w:t>
      </w:r>
      <w:r w:rsidRPr="00E053E9">
        <w:rPr>
          <w:rFonts w:ascii="Book Antiqua" w:eastAsia="SimSun" w:hAnsi="Book Antiqua" w:cs="SimSun"/>
          <w:b/>
          <w:bCs/>
          <w:lang w:eastAsia="zh-CN"/>
        </w:rPr>
        <w:t>39</w:t>
      </w:r>
      <w:r w:rsidRPr="00E053E9">
        <w:rPr>
          <w:rFonts w:ascii="Book Antiqua" w:eastAsia="SimSun" w:hAnsi="Book Antiqua" w:cs="SimSun"/>
          <w:lang w:eastAsia="zh-CN"/>
        </w:rPr>
        <w:t>: 846-851 [PMID: 9038667 DOI: 10.1136/gut.39.6.846]</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11 </w:t>
      </w:r>
      <w:r w:rsidRPr="00E053E9">
        <w:rPr>
          <w:rFonts w:ascii="Book Antiqua" w:eastAsia="SimSun" w:hAnsi="Book Antiqua" w:cs="SimSun"/>
          <w:b/>
          <w:bCs/>
          <w:lang w:eastAsia="zh-CN"/>
        </w:rPr>
        <w:t>Peterson TC</w:t>
      </w:r>
      <w:r w:rsidRPr="00E053E9">
        <w:rPr>
          <w:rFonts w:ascii="Book Antiqua" w:eastAsia="SimSun" w:hAnsi="Book Antiqua" w:cs="SimSun"/>
          <w:lang w:eastAsia="zh-CN"/>
        </w:rPr>
        <w:t xml:space="preserve">, Cleary CE, Shaw AM, Malatjalian DA, Veldhuyzen van Zanten SJ. Therapeutic role for bismuth compounds in TNBS-induced colitis in the rat. </w:t>
      </w:r>
      <w:r w:rsidRPr="00E053E9">
        <w:rPr>
          <w:rFonts w:ascii="Book Antiqua" w:eastAsia="SimSun" w:hAnsi="Book Antiqua" w:cs="SimSun"/>
          <w:i/>
          <w:iCs/>
          <w:lang w:eastAsia="zh-CN"/>
        </w:rPr>
        <w:t>Dig Dis Sci</w:t>
      </w:r>
      <w:r w:rsidRPr="00E053E9">
        <w:rPr>
          <w:rFonts w:ascii="Book Antiqua" w:eastAsia="SimSun" w:hAnsi="Book Antiqua" w:cs="SimSun"/>
          <w:lang w:eastAsia="zh-CN"/>
        </w:rPr>
        <w:t xml:space="preserve"> 2000; </w:t>
      </w:r>
      <w:r w:rsidRPr="00E053E9">
        <w:rPr>
          <w:rFonts w:ascii="Book Antiqua" w:eastAsia="SimSun" w:hAnsi="Book Antiqua" w:cs="SimSun"/>
          <w:b/>
          <w:bCs/>
          <w:lang w:eastAsia="zh-CN"/>
        </w:rPr>
        <w:t>45</w:t>
      </w:r>
      <w:r w:rsidRPr="00E053E9">
        <w:rPr>
          <w:rFonts w:ascii="Book Antiqua" w:eastAsia="SimSun" w:hAnsi="Book Antiqua" w:cs="SimSun"/>
          <w:lang w:eastAsia="zh-CN"/>
        </w:rPr>
        <w:t>: 466-473 [PMID: 10749319]</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12 </w:t>
      </w:r>
      <w:r w:rsidRPr="00E053E9">
        <w:rPr>
          <w:rFonts w:ascii="Book Antiqua" w:eastAsia="SimSun" w:hAnsi="Book Antiqua" w:cs="SimSun"/>
          <w:b/>
          <w:bCs/>
          <w:lang w:eastAsia="zh-CN"/>
        </w:rPr>
        <w:t>Fine KD</w:t>
      </w:r>
      <w:r w:rsidRPr="00E053E9">
        <w:rPr>
          <w:rFonts w:ascii="Book Antiqua" w:eastAsia="SimSun" w:hAnsi="Book Antiqua" w:cs="SimSun"/>
          <w:lang w:eastAsia="zh-CN"/>
        </w:rPr>
        <w:t xml:space="preserve">, Lee EL. Efficacy of open-label bismuth subsalicylate for the treatment of microscopic colitis. </w:t>
      </w:r>
      <w:r w:rsidRPr="00E053E9">
        <w:rPr>
          <w:rFonts w:ascii="Book Antiqua" w:eastAsia="SimSun" w:hAnsi="Book Antiqua" w:cs="SimSun"/>
          <w:i/>
          <w:iCs/>
          <w:lang w:eastAsia="zh-CN"/>
        </w:rPr>
        <w:t>Gastroenterology</w:t>
      </w:r>
      <w:r w:rsidRPr="00E053E9">
        <w:rPr>
          <w:rFonts w:ascii="Book Antiqua" w:eastAsia="SimSun" w:hAnsi="Book Antiqua" w:cs="SimSun"/>
          <w:lang w:eastAsia="zh-CN"/>
        </w:rPr>
        <w:t xml:space="preserve"> 1998; </w:t>
      </w:r>
      <w:r w:rsidRPr="00E053E9">
        <w:rPr>
          <w:rFonts w:ascii="Book Antiqua" w:eastAsia="SimSun" w:hAnsi="Book Antiqua" w:cs="SimSun"/>
          <w:b/>
          <w:bCs/>
          <w:lang w:eastAsia="zh-CN"/>
        </w:rPr>
        <w:t>114</w:t>
      </w:r>
      <w:r w:rsidRPr="00E053E9">
        <w:rPr>
          <w:rFonts w:ascii="Book Antiqua" w:eastAsia="SimSun" w:hAnsi="Book Antiqua" w:cs="SimSun"/>
          <w:lang w:eastAsia="zh-CN"/>
        </w:rPr>
        <w:t>: 29-36 [PMID: 9428215 DOI: 10.1016/S0016-5085(98)70629-8]</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13 </w:t>
      </w:r>
      <w:r w:rsidRPr="00E053E9">
        <w:rPr>
          <w:rFonts w:ascii="Book Antiqua" w:eastAsia="SimSun" w:hAnsi="Book Antiqua" w:cs="SimSun"/>
          <w:b/>
          <w:bCs/>
          <w:lang w:eastAsia="zh-CN"/>
        </w:rPr>
        <w:t>Ung KA</w:t>
      </w:r>
      <w:r w:rsidRPr="00E053E9">
        <w:rPr>
          <w:rFonts w:ascii="Book Antiqua" w:eastAsia="SimSun" w:hAnsi="Book Antiqua" w:cs="SimSun"/>
          <w:lang w:eastAsia="zh-CN"/>
        </w:rPr>
        <w:t xml:space="preserve">, Gillberg R, Kilander A, Abrahamsson H. Role of bile acids and bile acid binding agents in patients with collagenous colitis. </w:t>
      </w:r>
      <w:r w:rsidRPr="00E053E9">
        <w:rPr>
          <w:rFonts w:ascii="Book Antiqua" w:eastAsia="SimSun" w:hAnsi="Book Antiqua" w:cs="SimSun"/>
          <w:i/>
          <w:iCs/>
          <w:lang w:eastAsia="zh-CN"/>
        </w:rPr>
        <w:t>Gut</w:t>
      </w:r>
      <w:r w:rsidRPr="00E053E9">
        <w:rPr>
          <w:rFonts w:ascii="Book Antiqua" w:eastAsia="SimSun" w:hAnsi="Book Antiqua" w:cs="SimSun"/>
          <w:lang w:eastAsia="zh-CN"/>
        </w:rPr>
        <w:t xml:space="preserve"> 2000; </w:t>
      </w:r>
      <w:r w:rsidRPr="00E053E9">
        <w:rPr>
          <w:rFonts w:ascii="Book Antiqua" w:eastAsia="SimSun" w:hAnsi="Book Antiqua" w:cs="SimSun"/>
          <w:b/>
          <w:bCs/>
          <w:lang w:eastAsia="zh-CN"/>
        </w:rPr>
        <w:t>46</w:t>
      </w:r>
      <w:r w:rsidRPr="00E053E9">
        <w:rPr>
          <w:rFonts w:ascii="Book Antiqua" w:eastAsia="SimSun" w:hAnsi="Book Antiqua" w:cs="SimSun"/>
          <w:lang w:eastAsia="zh-CN"/>
        </w:rPr>
        <w:t>: 170-175 [PMID: 10644309 DOI: 10.1136/gut.46.2.170</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14 </w:t>
      </w:r>
      <w:r w:rsidRPr="00E053E9">
        <w:rPr>
          <w:rFonts w:ascii="Book Antiqua" w:eastAsia="SimSun" w:hAnsi="Book Antiqua" w:cs="SimSun"/>
          <w:b/>
          <w:bCs/>
          <w:lang w:eastAsia="zh-CN"/>
        </w:rPr>
        <w:t>Calabrese C</w:t>
      </w:r>
      <w:r w:rsidRPr="00E053E9">
        <w:rPr>
          <w:rFonts w:ascii="Book Antiqua" w:eastAsia="SimSun" w:hAnsi="Book Antiqua" w:cs="SimSun"/>
          <w:lang w:eastAsia="zh-CN"/>
        </w:rPr>
        <w:t xml:space="preserve">, Fabbri A, Areni A, Zahlane D, Scialpi C, Di Febo G. Mesalazine with or without cholestyramine in the treatment of microscopic colitis: </w:t>
      </w:r>
      <w:r w:rsidRPr="00E053E9">
        <w:rPr>
          <w:rFonts w:ascii="Book Antiqua" w:eastAsia="SimSun" w:hAnsi="Book Antiqua" w:cs="SimSun"/>
          <w:lang w:eastAsia="zh-CN"/>
        </w:rPr>
        <w:lastRenderedPageBreak/>
        <w:t xml:space="preserve">randomized controlled trial. </w:t>
      </w:r>
      <w:r w:rsidRPr="00E053E9">
        <w:rPr>
          <w:rFonts w:ascii="Book Antiqua" w:eastAsia="SimSun" w:hAnsi="Book Antiqua" w:cs="SimSun"/>
          <w:i/>
          <w:iCs/>
          <w:lang w:eastAsia="zh-CN"/>
        </w:rPr>
        <w:t>J Gastroenterol Hepatol</w:t>
      </w:r>
      <w:r w:rsidRPr="00E053E9">
        <w:rPr>
          <w:rFonts w:ascii="Book Antiqua" w:eastAsia="SimSun" w:hAnsi="Book Antiqua" w:cs="SimSun"/>
          <w:lang w:eastAsia="zh-CN"/>
        </w:rPr>
        <w:t xml:space="preserve"> 2007; </w:t>
      </w:r>
      <w:r w:rsidRPr="00E053E9">
        <w:rPr>
          <w:rFonts w:ascii="Book Antiqua" w:eastAsia="SimSun" w:hAnsi="Book Antiqua" w:cs="SimSun"/>
          <w:b/>
          <w:bCs/>
          <w:lang w:eastAsia="zh-CN"/>
        </w:rPr>
        <w:t>22</w:t>
      </w:r>
      <w:r w:rsidRPr="00E053E9">
        <w:rPr>
          <w:rFonts w:ascii="Book Antiqua" w:eastAsia="SimSun" w:hAnsi="Book Antiqua" w:cs="SimSun"/>
          <w:lang w:eastAsia="zh-CN"/>
        </w:rPr>
        <w:t>: 809-814 [PMID: 17565633 DOI: 10.1111/j.1440-1746.2006.04511.x]</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15 </w:t>
      </w:r>
      <w:r w:rsidRPr="00E053E9">
        <w:rPr>
          <w:rFonts w:ascii="Book Antiqua" w:eastAsia="SimSun" w:hAnsi="Book Antiqua" w:cs="SimSun"/>
          <w:b/>
          <w:bCs/>
          <w:lang w:eastAsia="zh-CN"/>
        </w:rPr>
        <w:t>Miehlke S</w:t>
      </w:r>
      <w:r w:rsidRPr="00E053E9">
        <w:rPr>
          <w:rFonts w:ascii="Book Antiqua" w:eastAsia="SimSun" w:hAnsi="Book Antiqua" w:cs="SimSun"/>
          <w:lang w:eastAsia="zh-CN"/>
        </w:rPr>
        <w:t xml:space="preserve">, Madisch A, Kupcinskas L, Petrauskas D, Böhm G, Marks HJ, Neumeyer M, Nathan T, Fernández-Bañares F, Greinwald R, Mohrbacher R, Vieth M, Bonderup OK. Budesonide is more effective than mesalamine or placebo in short-term treatment of collagenous colitis. </w:t>
      </w:r>
      <w:r w:rsidRPr="00E053E9">
        <w:rPr>
          <w:rFonts w:ascii="Book Antiqua" w:eastAsia="SimSun" w:hAnsi="Book Antiqua" w:cs="SimSun"/>
          <w:i/>
          <w:iCs/>
          <w:lang w:eastAsia="zh-CN"/>
        </w:rPr>
        <w:t>Gastroenterology</w:t>
      </w:r>
      <w:r w:rsidRPr="00E053E9">
        <w:rPr>
          <w:rFonts w:ascii="Book Antiqua" w:eastAsia="SimSun" w:hAnsi="Book Antiqua" w:cs="SimSun"/>
          <w:lang w:eastAsia="zh-CN"/>
        </w:rPr>
        <w:t xml:space="preserve"> 2014; </w:t>
      </w:r>
      <w:r w:rsidRPr="00E053E9">
        <w:rPr>
          <w:rFonts w:ascii="Book Antiqua" w:eastAsia="SimSun" w:hAnsi="Book Antiqua" w:cs="SimSun"/>
          <w:b/>
          <w:bCs/>
          <w:lang w:eastAsia="zh-CN"/>
        </w:rPr>
        <w:t>146</w:t>
      </w:r>
      <w:r w:rsidRPr="00E053E9">
        <w:rPr>
          <w:rFonts w:ascii="Book Antiqua" w:eastAsia="SimSun" w:hAnsi="Book Antiqua" w:cs="SimSun"/>
          <w:lang w:eastAsia="zh-CN"/>
        </w:rPr>
        <w:t>: 1222-30.e1-2 [PMID: 24440672 DOI: 10.1053/j.gastro.2014.01.019]</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16 </w:t>
      </w:r>
      <w:r w:rsidR="004C63B7" w:rsidRPr="00E053E9">
        <w:rPr>
          <w:rFonts w:ascii="Book Antiqua" w:eastAsia="SimSun" w:hAnsi="Book Antiqua" w:cs="SimSun"/>
          <w:b/>
          <w:lang w:eastAsia="zh-CN"/>
        </w:rPr>
        <w:t>Munch A</w:t>
      </w:r>
      <w:r w:rsidR="004C63B7" w:rsidRPr="00E053E9">
        <w:rPr>
          <w:rFonts w:ascii="Book Antiqua" w:eastAsia="SimSun" w:hAnsi="Book Antiqua" w:cs="SimSun"/>
          <w:lang w:eastAsia="zh-CN"/>
        </w:rPr>
        <w:t>, Bohr J, Mielke S, Benoni C, Olesen M, Ost A, Strandberg L, Hellstrom PM, Hertervig E, Armerding P, Stehlik J, Lindberg G, Bjork J, Lapidus A, Lofberg R, Bonderup O, Avnstrom S, Rossle M, Dilger K, Mueller R, Greinwald R, Tysk C, Strom M</w:t>
      </w:r>
      <w:r w:rsidRPr="00E053E9">
        <w:rPr>
          <w:rFonts w:ascii="Book Antiqua" w:eastAsia="SimSun" w:hAnsi="Book Antiqua" w:cs="SimSun"/>
          <w:lang w:eastAsia="zh-CN"/>
        </w:rPr>
        <w:t xml:space="preserve">. Low-dose budesonide for maintenance of clinical remission in collagenous colitis: a randomised, placebo-controlled, 12-month trial. </w:t>
      </w:r>
      <w:r w:rsidRPr="00E053E9">
        <w:rPr>
          <w:rFonts w:ascii="Book Antiqua" w:eastAsia="SimSun" w:hAnsi="Book Antiqua" w:cs="SimSun"/>
          <w:i/>
          <w:iCs/>
          <w:lang w:eastAsia="zh-CN"/>
        </w:rPr>
        <w:t>Gut</w:t>
      </w:r>
      <w:r w:rsidRPr="00E053E9">
        <w:rPr>
          <w:rFonts w:ascii="Book Antiqua" w:eastAsia="SimSun" w:hAnsi="Book Antiqua" w:cs="SimSun"/>
          <w:lang w:eastAsia="zh-CN"/>
        </w:rPr>
        <w:t xml:space="preserve"> 2014</w:t>
      </w:r>
      <w:r w:rsidR="004C63B7" w:rsidRPr="00E053E9">
        <w:rPr>
          <w:rFonts w:ascii="Book Antiqua" w:eastAsia="SimSun" w:hAnsi="Book Antiqua" w:cs="SimSun" w:hint="eastAsia"/>
          <w:lang w:eastAsia="zh-CN"/>
        </w:rPr>
        <w:t xml:space="preserve"> Nov 25</w:t>
      </w:r>
      <w:r w:rsidRPr="00E053E9">
        <w:rPr>
          <w:rFonts w:ascii="Book Antiqua" w:eastAsia="SimSun" w:hAnsi="Book Antiqua" w:cs="SimSun"/>
          <w:lang w:eastAsia="zh-CN"/>
        </w:rPr>
        <w:t xml:space="preserve">; </w:t>
      </w:r>
      <w:r w:rsidR="004C63B7" w:rsidRPr="00E053E9">
        <w:rPr>
          <w:rFonts w:ascii="Book Antiqua" w:eastAsia="SimSun" w:hAnsi="Book Antiqua" w:cs="SimSun"/>
          <w:lang w:eastAsia="zh-CN"/>
        </w:rPr>
        <w:t>Epub ahead of print</w:t>
      </w:r>
      <w:r w:rsidRPr="00E053E9">
        <w:rPr>
          <w:rFonts w:ascii="Book Antiqua" w:eastAsia="SimSun" w:hAnsi="Book Antiqua" w:cs="SimSun"/>
          <w:lang w:eastAsia="zh-CN"/>
        </w:rPr>
        <w:t xml:space="preserve"> [PMID: </w:t>
      </w:r>
      <w:bookmarkStart w:id="182" w:name="OLE_LINK719"/>
      <w:bookmarkStart w:id="183" w:name="OLE_LINK720"/>
      <w:r w:rsidRPr="00E053E9">
        <w:rPr>
          <w:rFonts w:ascii="Book Antiqua" w:eastAsia="SimSun" w:hAnsi="Book Antiqua" w:cs="SimSun"/>
          <w:lang w:eastAsia="zh-CN"/>
        </w:rPr>
        <w:t xml:space="preserve">25425655 </w:t>
      </w:r>
      <w:bookmarkEnd w:id="182"/>
      <w:bookmarkEnd w:id="183"/>
      <w:r w:rsidRPr="00E053E9">
        <w:rPr>
          <w:rFonts w:ascii="Book Antiqua" w:eastAsia="SimSun" w:hAnsi="Book Antiqua" w:cs="SimSun"/>
          <w:lang w:eastAsia="zh-CN"/>
        </w:rPr>
        <w:t>DOI: 10.1136/gutjnl-2014-308363]</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17 </w:t>
      </w:r>
      <w:r w:rsidRPr="00E053E9">
        <w:rPr>
          <w:rFonts w:ascii="Book Antiqua" w:eastAsia="SimSun" w:hAnsi="Book Antiqua" w:cs="SimSun"/>
          <w:b/>
          <w:bCs/>
          <w:lang w:eastAsia="zh-CN"/>
        </w:rPr>
        <w:t>Chande N</w:t>
      </w:r>
      <w:r w:rsidRPr="00E053E9">
        <w:rPr>
          <w:rFonts w:ascii="Book Antiqua" w:eastAsia="SimSun" w:hAnsi="Book Antiqua" w:cs="SimSun"/>
          <w:lang w:eastAsia="zh-CN"/>
        </w:rPr>
        <w:t xml:space="preserve">, MacDonald JK, McDonald JW. Interventions for treating microscopic colitis: a Cochrane Inflammatory Bowel Disease and Functional Bowel Disorders Review Group systematic review of randomized trials. </w:t>
      </w:r>
      <w:r w:rsidRPr="00E053E9">
        <w:rPr>
          <w:rFonts w:ascii="Book Antiqua" w:eastAsia="SimSun" w:hAnsi="Book Antiqua" w:cs="SimSun"/>
          <w:i/>
          <w:iCs/>
          <w:lang w:eastAsia="zh-CN"/>
        </w:rPr>
        <w:t>Am J Gastroenterol</w:t>
      </w:r>
      <w:r w:rsidRPr="00E053E9">
        <w:rPr>
          <w:rFonts w:ascii="Book Antiqua" w:eastAsia="SimSun" w:hAnsi="Book Antiqua" w:cs="SimSun"/>
          <w:lang w:eastAsia="zh-CN"/>
        </w:rPr>
        <w:t xml:space="preserve"> 2009; </w:t>
      </w:r>
      <w:r w:rsidRPr="00E053E9">
        <w:rPr>
          <w:rFonts w:ascii="Book Antiqua" w:eastAsia="SimSun" w:hAnsi="Book Antiqua" w:cs="SimSun"/>
          <w:b/>
          <w:bCs/>
          <w:lang w:eastAsia="zh-CN"/>
        </w:rPr>
        <w:t>104</w:t>
      </w:r>
      <w:r w:rsidRPr="00E053E9">
        <w:rPr>
          <w:rFonts w:ascii="Book Antiqua" w:eastAsia="SimSun" w:hAnsi="Book Antiqua" w:cs="SimSun"/>
          <w:lang w:eastAsia="zh-CN"/>
        </w:rPr>
        <w:t>: 235-41; quiz 234, 242 [PMID: 19098875 DOI: 10.1038/ajg.2008.16</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18 </w:t>
      </w:r>
      <w:r w:rsidRPr="00E053E9">
        <w:rPr>
          <w:rFonts w:ascii="Book Antiqua" w:eastAsia="SimSun" w:hAnsi="Book Antiqua" w:cs="SimSun"/>
          <w:b/>
          <w:bCs/>
          <w:lang w:eastAsia="zh-CN"/>
        </w:rPr>
        <w:t>Gentile NM</w:t>
      </w:r>
      <w:r w:rsidRPr="00E053E9">
        <w:rPr>
          <w:rFonts w:ascii="Book Antiqua" w:eastAsia="SimSun" w:hAnsi="Book Antiqua" w:cs="SimSun"/>
          <w:lang w:eastAsia="zh-CN"/>
        </w:rPr>
        <w:t xml:space="preserve">, Abdalla AA, Khanna S, Smyrk TC, Tremaine WJ, Faubion WA, Kammer PP, Sandborn WJ, Loftus EV, Pardi DS. Outcomes of patients with microscopic colitis treated with corticosteroids: a population-based study. </w:t>
      </w:r>
      <w:r w:rsidRPr="00E053E9">
        <w:rPr>
          <w:rFonts w:ascii="Book Antiqua" w:eastAsia="SimSun" w:hAnsi="Book Antiqua" w:cs="SimSun"/>
          <w:i/>
          <w:iCs/>
          <w:lang w:eastAsia="zh-CN"/>
        </w:rPr>
        <w:t>Am J Gastroenterol</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108</w:t>
      </w:r>
      <w:r w:rsidRPr="00E053E9">
        <w:rPr>
          <w:rFonts w:ascii="Book Antiqua" w:eastAsia="SimSun" w:hAnsi="Book Antiqua" w:cs="SimSun"/>
          <w:lang w:eastAsia="zh-CN"/>
        </w:rPr>
        <w:t>: 256-259 [PMID: 23295275 DOI: 10.1038/ajg.2012.416]</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19 </w:t>
      </w:r>
      <w:r w:rsidRPr="00E053E9">
        <w:rPr>
          <w:rFonts w:ascii="Book Antiqua" w:eastAsia="SimSun" w:hAnsi="Book Antiqua" w:cs="SimSun"/>
          <w:b/>
          <w:bCs/>
          <w:lang w:eastAsia="zh-CN"/>
        </w:rPr>
        <w:t>Bonderup OK</w:t>
      </w:r>
      <w:r w:rsidRPr="00E053E9">
        <w:rPr>
          <w:rFonts w:ascii="Book Antiqua" w:eastAsia="SimSun" w:hAnsi="Book Antiqua" w:cs="SimSun"/>
          <w:lang w:eastAsia="zh-CN"/>
        </w:rPr>
        <w:t xml:space="preserve">, Hansen JB, Teglbjaerg PS, Christensen LA, Fallingborg JF. Long-term budesonide treatment of collagenous colitis: a randomised, double-blind, placebo-controlled trial. </w:t>
      </w:r>
      <w:r w:rsidRPr="00E053E9">
        <w:rPr>
          <w:rFonts w:ascii="Book Antiqua" w:eastAsia="SimSun" w:hAnsi="Book Antiqua" w:cs="SimSun"/>
          <w:i/>
          <w:iCs/>
          <w:lang w:eastAsia="zh-CN"/>
        </w:rPr>
        <w:t>Gut</w:t>
      </w:r>
      <w:r w:rsidRPr="00E053E9">
        <w:rPr>
          <w:rFonts w:ascii="Book Antiqua" w:eastAsia="SimSun" w:hAnsi="Book Antiqua" w:cs="SimSun"/>
          <w:lang w:eastAsia="zh-CN"/>
        </w:rPr>
        <w:t xml:space="preserve"> 2009; </w:t>
      </w:r>
      <w:r w:rsidRPr="00E053E9">
        <w:rPr>
          <w:rFonts w:ascii="Book Antiqua" w:eastAsia="SimSun" w:hAnsi="Book Antiqua" w:cs="SimSun"/>
          <w:b/>
          <w:bCs/>
          <w:lang w:eastAsia="zh-CN"/>
        </w:rPr>
        <w:t>58</w:t>
      </w:r>
      <w:r w:rsidRPr="00E053E9">
        <w:rPr>
          <w:rFonts w:ascii="Book Antiqua" w:eastAsia="SimSun" w:hAnsi="Book Antiqua" w:cs="SimSun"/>
          <w:lang w:eastAsia="zh-CN"/>
        </w:rPr>
        <w:t>: 68-72 [PMID: 18669576 DOI: 10.1136/gut.2008.156513</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20 </w:t>
      </w:r>
      <w:r w:rsidRPr="00E053E9">
        <w:rPr>
          <w:rFonts w:ascii="Book Antiqua" w:eastAsia="SimSun" w:hAnsi="Book Antiqua" w:cs="SimSun"/>
          <w:b/>
          <w:bCs/>
          <w:lang w:eastAsia="zh-CN"/>
        </w:rPr>
        <w:t>Miehlke S</w:t>
      </w:r>
      <w:r w:rsidRPr="00E053E9">
        <w:rPr>
          <w:rFonts w:ascii="Book Antiqua" w:eastAsia="SimSun" w:hAnsi="Book Antiqua" w:cs="SimSun"/>
          <w:lang w:eastAsia="zh-CN"/>
        </w:rPr>
        <w:t xml:space="preserve">, Hansen JB, Madisch A, Schwarz F, Kuhlisch E, Morgner A, Teglbjaerg PS, Vieth M, Aust D, Bonderup OK. Risk factors for symptom relapse </w:t>
      </w:r>
      <w:r w:rsidRPr="00E053E9">
        <w:rPr>
          <w:rFonts w:ascii="Book Antiqua" w:eastAsia="SimSun" w:hAnsi="Book Antiqua" w:cs="SimSun"/>
          <w:lang w:eastAsia="zh-CN"/>
        </w:rPr>
        <w:lastRenderedPageBreak/>
        <w:t xml:space="preserve">in collagenous colitis after withdrawal of short-term budesonide therapy. </w:t>
      </w:r>
      <w:r w:rsidRPr="00E053E9">
        <w:rPr>
          <w:rFonts w:ascii="Book Antiqua" w:eastAsia="SimSun" w:hAnsi="Book Antiqua" w:cs="SimSun"/>
          <w:i/>
          <w:iCs/>
          <w:lang w:eastAsia="zh-CN"/>
        </w:rPr>
        <w:t>Inflamm Bowel Dis</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19</w:t>
      </w:r>
      <w:r w:rsidRPr="00E053E9">
        <w:rPr>
          <w:rFonts w:ascii="Book Antiqua" w:eastAsia="SimSun" w:hAnsi="Book Antiqua" w:cs="SimSun"/>
          <w:lang w:eastAsia="zh-CN"/>
        </w:rPr>
        <w:t>: 2763-2767 [PMID: 24216688 DOI: 10.1097/01.MIB.0000438135.88681.98</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21 </w:t>
      </w:r>
      <w:r w:rsidRPr="00E053E9">
        <w:rPr>
          <w:rFonts w:ascii="Book Antiqua" w:eastAsia="SimSun" w:hAnsi="Book Antiqua" w:cs="SimSun"/>
          <w:b/>
          <w:bCs/>
          <w:lang w:eastAsia="zh-CN"/>
        </w:rPr>
        <w:t>Miehlke S</w:t>
      </w:r>
      <w:r w:rsidRPr="00E053E9">
        <w:rPr>
          <w:rFonts w:ascii="Book Antiqua" w:eastAsia="SimSun" w:hAnsi="Book Antiqua" w:cs="SimSun"/>
          <w:lang w:eastAsia="zh-CN"/>
        </w:rPr>
        <w:t xml:space="preserve">, Madisch A, Bethke B, Morgner A, Kuhlisch E, Henker C, Vogel G, Andersen M, Meier E, Baretton G, Stolte M. Oral budesonide for maintenance treatment of collagenous colitis: a randomized, double-blind, placebo-controlled trial. </w:t>
      </w:r>
      <w:r w:rsidRPr="00E053E9">
        <w:rPr>
          <w:rFonts w:ascii="Book Antiqua" w:eastAsia="SimSun" w:hAnsi="Book Antiqua" w:cs="SimSun"/>
          <w:i/>
          <w:iCs/>
          <w:lang w:eastAsia="zh-CN"/>
        </w:rPr>
        <w:t>Gastroenterology</w:t>
      </w:r>
      <w:r w:rsidRPr="00E053E9">
        <w:rPr>
          <w:rFonts w:ascii="Book Antiqua" w:eastAsia="SimSun" w:hAnsi="Book Antiqua" w:cs="SimSun"/>
          <w:lang w:eastAsia="zh-CN"/>
        </w:rPr>
        <w:t xml:space="preserve"> 2008; </w:t>
      </w:r>
      <w:r w:rsidRPr="00E053E9">
        <w:rPr>
          <w:rFonts w:ascii="Book Antiqua" w:eastAsia="SimSun" w:hAnsi="Book Antiqua" w:cs="SimSun"/>
          <w:b/>
          <w:bCs/>
          <w:lang w:eastAsia="zh-CN"/>
        </w:rPr>
        <w:t>135</w:t>
      </w:r>
      <w:r w:rsidRPr="00E053E9">
        <w:rPr>
          <w:rFonts w:ascii="Book Antiqua" w:eastAsia="SimSun" w:hAnsi="Book Antiqua" w:cs="SimSun"/>
          <w:lang w:eastAsia="zh-CN"/>
        </w:rPr>
        <w:t>: 1510-1516 [PMID: 18926826 DOI: 10.1053/j.gastro.2008.07.081</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22 </w:t>
      </w:r>
      <w:r w:rsidRPr="00E053E9">
        <w:rPr>
          <w:rFonts w:ascii="Book Antiqua" w:eastAsia="SimSun" w:hAnsi="Book Antiqua" w:cs="SimSun"/>
          <w:b/>
          <w:bCs/>
          <w:lang w:eastAsia="zh-CN"/>
        </w:rPr>
        <w:t>Münch A</w:t>
      </w:r>
      <w:r w:rsidRPr="00E053E9">
        <w:rPr>
          <w:rFonts w:ascii="Book Antiqua" w:eastAsia="SimSun" w:hAnsi="Book Antiqua" w:cs="SimSun"/>
          <w:lang w:eastAsia="zh-CN"/>
        </w:rPr>
        <w:t xml:space="preserve">, Bohr J, Vigren L, Tysk C, Ström M. Lack of effect of methotrexate in budesonide-refractory collagenous colitis. </w:t>
      </w:r>
      <w:r w:rsidRPr="00E053E9">
        <w:rPr>
          <w:rFonts w:ascii="Book Antiqua" w:eastAsia="SimSun" w:hAnsi="Book Antiqua" w:cs="SimSun"/>
          <w:i/>
          <w:iCs/>
          <w:lang w:eastAsia="zh-CN"/>
        </w:rPr>
        <w:t>Clin Exp Gastroenterol</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6</w:t>
      </w:r>
      <w:r w:rsidRPr="00E053E9">
        <w:rPr>
          <w:rFonts w:ascii="Book Antiqua" w:eastAsia="SimSun" w:hAnsi="Book Antiqua" w:cs="SimSun"/>
          <w:lang w:eastAsia="zh-CN"/>
        </w:rPr>
        <w:t>: 149-152 [PMID: 24039441 DOI: 10.2147/CEG.S48201]</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23 </w:t>
      </w:r>
      <w:r w:rsidRPr="00E053E9">
        <w:rPr>
          <w:rFonts w:ascii="Book Antiqua" w:eastAsia="SimSun" w:hAnsi="Book Antiqua" w:cs="SimSun"/>
          <w:b/>
          <w:bCs/>
          <w:lang w:eastAsia="zh-CN"/>
        </w:rPr>
        <w:t>Münch A</w:t>
      </w:r>
      <w:r w:rsidRPr="00E053E9">
        <w:rPr>
          <w:rFonts w:ascii="Book Antiqua" w:eastAsia="SimSun" w:hAnsi="Book Antiqua" w:cs="SimSun"/>
          <w:lang w:eastAsia="zh-CN"/>
        </w:rPr>
        <w:t xml:space="preserve">, Fernandez-Banares F, Munck LK. Azathioprine and mercaptopurine in the management of patients with chronic, active microscopic colitis. </w:t>
      </w:r>
      <w:r w:rsidRPr="00E053E9">
        <w:rPr>
          <w:rFonts w:ascii="Book Antiqua" w:eastAsia="SimSun" w:hAnsi="Book Antiqua" w:cs="SimSun"/>
          <w:i/>
          <w:iCs/>
          <w:lang w:eastAsia="zh-CN"/>
        </w:rPr>
        <w:t>Aliment Pharmacol Ther</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37</w:t>
      </w:r>
      <w:r w:rsidRPr="00E053E9">
        <w:rPr>
          <w:rFonts w:ascii="Book Antiqua" w:eastAsia="SimSun" w:hAnsi="Book Antiqua" w:cs="SimSun"/>
          <w:lang w:eastAsia="zh-CN"/>
        </w:rPr>
        <w:t>: 795-798 [PMID: 23432370 DOI: 10.1111/apt.12261]</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24 </w:t>
      </w:r>
      <w:r w:rsidRPr="00E053E9">
        <w:rPr>
          <w:rFonts w:ascii="Book Antiqua" w:eastAsia="SimSun" w:hAnsi="Book Antiqua" w:cs="SimSun"/>
          <w:b/>
          <w:bCs/>
          <w:lang w:eastAsia="zh-CN"/>
        </w:rPr>
        <w:t>Aram G</w:t>
      </w:r>
      <w:r w:rsidRPr="00E053E9">
        <w:rPr>
          <w:rFonts w:ascii="Book Antiqua" w:eastAsia="SimSun" w:hAnsi="Book Antiqua" w:cs="SimSun"/>
          <w:lang w:eastAsia="zh-CN"/>
        </w:rPr>
        <w:t xml:space="preserve">, Bayless TM, Chen ZM, Montgomery EA, Donowitz M, Giardiello FM. Refractory lymphocytic enterocolitis and tumor necrosis factor antagonist therapy. </w:t>
      </w:r>
      <w:r w:rsidRPr="00E053E9">
        <w:rPr>
          <w:rFonts w:ascii="Book Antiqua" w:eastAsia="SimSun" w:hAnsi="Book Antiqua" w:cs="SimSun"/>
          <w:i/>
          <w:iCs/>
          <w:lang w:eastAsia="zh-CN"/>
        </w:rPr>
        <w:t>Clin Gastroenterol Hepatol</w:t>
      </w:r>
      <w:r w:rsidRPr="00E053E9">
        <w:rPr>
          <w:rFonts w:ascii="Book Antiqua" w:eastAsia="SimSun" w:hAnsi="Book Antiqua" w:cs="SimSun"/>
          <w:lang w:eastAsia="zh-CN"/>
        </w:rPr>
        <w:t xml:space="preserve"> 2010; </w:t>
      </w:r>
      <w:r w:rsidRPr="00E053E9">
        <w:rPr>
          <w:rFonts w:ascii="Book Antiqua" w:eastAsia="SimSun" w:hAnsi="Book Antiqua" w:cs="SimSun"/>
          <w:b/>
          <w:bCs/>
          <w:lang w:eastAsia="zh-CN"/>
        </w:rPr>
        <w:t>8</w:t>
      </w:r>
      <w:r w:rsidRPr="00E053E9">
        <w:rPr>
          <w:rFonts w:ascii="Book Antiqua" w:eastAsia="SimSun" w:hAnsi="Book Antiqua" w:cs="SimSun"/>
          <w:lang w:eastAsia="zh-CN"/>
        </w:rPr>
        <w:t>: 391-394 [PMID: 20036760 DOI: 10.1016/j.cgh.2009.12.010</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25 </w:t>
      </w:r>
      <w:r w:rsidRPr="00E053E9">
        <w:rPr>
          <w:rFonts w:ascii="Book Antiqua" w:eastAsia="SimSun" w:hAnsi="Book Antiqua" w:cs="SimSun"/>
          <w:b/>
          <w:bCs/>
          <w:lang w:eastAsia="zh-CN"/>
        </w:rPr>
        <w:t>Pola S</w:t>
      </w:r>
      <w:r w:rsidRPr="00E053E9">
        <w:rPr>
          <w:rFonts w:ascii="Book Antiqua" w:eastAsia="SimSun" w:hAnsi="Book Antiqua" w:cs="SimSun"/>
          <w:lang w:eastAsia="zh-CN"/>
        </w:rPr>
        <w:t xml:space="preserve">, Fahmy M, Evans E, Tipps A, Sandborn WJ. Successful use of infliximab in the treatment of corticosteroid dependent collagenous colitis. </w:t>
      </w:r>
      <w:r w:rsidRPr="00E053E9">
        <w:rPr>
          <w:rFonts w:ascii="Book Antiqua" w:eastAsia="SimSun" w:hAnsi="Book Antiqua" w:cs="SimSun"/>
          <w:i/>
          <w:iCs/>
          <w:lang w:eastAsia="zh-CN"/>
        </w:rPr>
        <w:t>Am J Gastroenterol</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108</w:t>
      </w:r>
      <w:r w:rsidRPr="00E053E9">
        <w:rPr>
          <w:rFonts w:ascii="Book Antiqua" w:eastAsia="SimSun" w:hAnsi="Book Antiqua" w:cs="SimSun"/>
          <w:lang w:eastAsia="zh-CN"/>
        </w:rPr>
        <w:t>: 857-858 [PMID: 23644970 DOI: 10.1038/ajg.2013.43]</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26 </w:t>
      </w:r>
      <w:r w:rsidRPr="00E053E9">
        <w:rPr>
          <w:rFonts w:ascii="Book Antiqua" w:eastAsia="SimSun" w:hAnsi="Book Antiqua" w:cs="SimSun"/>
          <w:b/>
          <w:bCs/>
          <w:lang w:eastAsia="zh-CN"/>
        </w:rPr>
        <w:t>Esteve M</w:t>
      </w:r>
      <w:r w:rsidRPr="00E053E9">
        <w:rPr>
          <w:rFonts w:ascii="Book Antiqua" w:eastAsia="SimSun" w:hAnsi="Book Antiqua" w:cs="SimSun"/>
          <w:lang w:eastAsia="zh-CN"/>
        </w:rPr>
        <w:t xml:space="preserve">, Mahadevan U, Sainz E, Rodriguez E, Salas A, Fernández-Bañares F. Efficacy of anti-TNF therapies in refractory severe microscopic colitis. </w:t>
      </w:r>
      <w:r w:rsidRPr="00E053E9">
        <w:rPr>
          <w:rFonts w:ascii="Book Antiqua" w:eastAsia="SimSun" w:hAnsi="Book Antiqua" w:cs="SimSun"/>
          <w:i/>
          <w:iCs/>
          <w:lang w:eastAsia="zh-CN"/>
        </w:rPr>
        <w:t>J Crohns Colitis</w:t>
      </w:r>
      <w:r w:rsidRPr="00E053E9">
        <w:rPr>
          <w:rFonts w:ascii="Book Antiqua" w:eastAsia="SimSun" w:hAnsi="Book Antiqua" w:cs="SimSun"/>
          <w:lang w:eastAsia="zh-CN"/>
        </w:rPr>
        <w:t xml:space="preserve"> 2011; </w:t>
      </w:r>
      <w:r w:rsidRPr="00E053E9">
        <w:rPr>
          <w:rFonts w:ascii="Book Antiqua" w:eastAsia="SimSun" w:hAnsi="Book Antiqua" w:cs="SimSun"/>
          <w:b/>
          <w:bCs/>
          <w:lang w:eastAsia="zh-CN"/>
        </w:rPr>
        <w:t>5</w:t>
      </w:r>
      <w:r w:rsidRPr="00E053E9">
        <w:rPr>
          <w:rFonts w:ascii="Book Antiqua" w:eastAsia="SimSun" w:hAnsi="Book Antiqua" w:cs="SimSun"/>
          <w:lang w:eastAsia="zh-CN"/>
        </w:rPr>
        <w:t>: 612-618 [PMID: 22115383 DOI: 10.1016/j.crohns.2011.05.001</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27 </w:t>
      </w:r>
      <w:r w:rsidRPr="00E053E9">
        <w:rPr>
          <w:rFonts w:ascii="Book Antiqua" w:eastAsia="SimSun" w:hAnsi="Book Antiqua" w:cs="SimSun"/>
          <w:b/>
          <w:bCs/>
          <w:lang w:eastAsia="zh-CN"/>
        </w:rPr>
        <w:t>Münch A</w:t>
      </w:r>
      <w:r w:rsidRPr="00E053E9">
        <w:rPr>
          <w:rFonts w:ascii="Book Antiqua" w:eastAsia="SimSun" w:hAnsi="Book Antiqua" w:cs="SimSun"/>
          <w:lang w:eastAsia="zh-CN"/>
        </w:rPr>
        <w:t xml:space="preserve">, Ignatova S, Ström M. Adalimumab in budesonide and methotrexate refractory collagenous colitis. </w:t>
      </w:r>
      <w:r w:rsidRPr="00E053E9">
        <w:rPr>
          <w:rFonts w:ascii="Book Antiqua" w:eastAsia="SimSun" w:hAnsi="Book Antiqua" w:cs="SimSun"/>
          <w:i/>
          <w:iCs/>
          <w:lang w:eastAsia="zh-CN"/>
        </w:rPr>
        <w:t>Scand J Gastroenterol</w:t>
      </w:r>
      <w:r w:rsidRPr="00E053E9">
        <w:rPr>
          <w:rFonts w:ascii="Book Antiqua" w:eastAsia="SimSun" w:hAnsi="Book Antiqua" w:cs="SimSun"/>
          <w:lang w:eastAsia="zh-CN"/>
        </w:rPr>
        <w:t xml:space="preserve"> 2012; </w:t>
      </w:r>
      <w:r w:rsidRPr="00E053E9">
        <w:rPr>
          <w:rFonts w:ascii="Book Antiqua" w:eastAsia="SimSun" w:hAnsi="Book Antiqua" w:cs="SimSun"/>
          <w:b/>
          <w:bCs/>
          <w:lang w:eastAsia="zh-CN"/>
        </w:rPr>
        <w:t>47</w:t>
      </w:r>
      <w:r w:rsidRPr="00E053E9">
        <w:rPr>
          <w:rFonts w:ascii="Book Antiqua" w:eastAsia="SimSun" w:hAnsi="Book Antiqua" w:cs="SimSun"/>
          <w:lang w:eastAsia="zh-CN"/>
        </w:rPr>
        <w:t>: 59-63 [PMID: 22149977 DOI: 10.3109/00365521.2011.639079</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lastRenderedPageBreak/>
        <w:t xml:space="preserve">28 </w:t>
      </w:r>
      <w:r w:rsidRPr="00E053E9">
        <w:rPr>
          <w:rFonts w:ascii="Book Antiqua" w:eastAsia="SimSun" w:hAnsi="Book Antiqua" w:cs="SimSun"/>
          <w:b/>
          <w:bCs/>
          <w:lang w:eastAsia="zh-CN"/>
        </w:rPr>
        <w:t>Williams RA</w:t>
      </w:r>
      <w:r w:rsidRPr="00E053E9">
        <w:rPr>
          <w:rFonts w:ascii="Book Antiqua" w:eastAsia="SimSun" w:hAnsi="Book Antiqua" w:cs="SimSun"/>
          <w:lang w:eastAsia="zh-CN"/>
        </w:rPr>
        <w:t xml:space="preserve">, Gelfand DV. Total proctocolectomy and ileal pouch anal anastomosis to successfully treat a patient with collagenous colitis. </w:t>
      </w:r>
      <w:r w:rsidRPr="00E053E9">
        <w:rPr>
          <w:rFonts w:ascii="Book Antiqua" w:eastAsia="SimSun" w:hAnsi="Book Antiqua" w:cs="SimSun"/>
          <w:i/>
          <w:iCs/>
          <w:lang w:eastAsia="zh-CN"/>
        </w:rPr>
        <w:t>Am J Gastroenterol</w:t>
      </w:r>
      <w:r w:rsidRPr="00E053E9">
        <w:rPr>
          <w:rFonts w:ascii="Book Antiqua" w:eastAsia="SimSun" w:hAnsi="Book Antiqua" w:cs="SimSun"/>
          <w:lang w:eastAsia="zh-CN"/>
        </w:rPr>
        <w:t xml:space="preserve"> 2000; </w:t>
      </w:r>
      <w:r w:rsidRPr="00E053E9">
        <w:rPr>
          <w:rFonts w:ascii="Book Antiqua" w:eastAsia="SimSun" w:hAnsi="Book Antiqua" w:cs="SimSun"/>
          <w:b/>
          <w:bCs/>
          <w:lang w:eastAsia="zh-CN"/>
        </w:rPr>
        <w:t>95</w:t>
      </w:r>
      <w:r w:rsidRPr="00E053E9">
        <w:rPr>
          <w:rFonts w:ascii="Book Antiqua" w:eastAsia="SimSun" w:hAnsi="Book Antiqua" w:cs="SimSun"/>
          <w:lang w:eastAsia="zh-CN"/>
        </w:rPr>
        <w:t>: 2147 [PMID: 10950095 DOI: 10.1111/j.1572-0241.2000.02225.x]</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29 </w:t>
      </w:r>
      <w:r w:rsidRPr="00E053E9">
        <w:rPr>
          <w:rFonts w:ascii="Book Antiqua" w:eastAsia="SimSun" w:hAnsi="Book Antiqua" w:cs="SimSun"/>
          <w:b/>
          <w:bCs/>
          <w:lang w:eastAsia="zh-CN"/>
        </w:rPr>
        <w:t>Münch A</w:t>
      </w:r>
      <w:r w:rsidRPr="00E053E9">
        <w:rPr>
          <w:rFonts w:ascii="Book Antiqua" w:eastAsia="SimSun" w:hAnsi="Book Antiqua" w:cs="SimSun"/>
          <w:lang w:eastAsia="zh-CN"/>
        </w:rPr>
        <w:t xml:space="preserve">, Söderholm JD, Wallon C, Ost A, Olaison G, Ström M. Dynamics of mucosal permeability and inflammation in collagenous colitis before, during, and after loop ileostomy. </w:t>
      </w:r>
      <w:r w:rsidRPr="00E053E9">
        <w:rPr>
          <w:rFonts w:ascii="Book Antiqua" w:eastAsia="SimSun" w:hAnsi="Book Antiqua" w:cs="SimSun"/>
          <w:i/>
          <w:iCs/>
          <w:lang w:eastAsia="zh-CN"/>
        </w:rPr>
        <w:t>Gut</w:t>
      </w:r>
      <w:r w:rsidRPr="00E053E9">
        <w:rPr>
          <w:rFonts w:ascii="Book Antiqua" w:eastAsia="SimSun" w:hAnsi="Book Antiqua" w:cs="SimSun"/>
          <w:lang w:eastAsia="zh-CN"/>
        </w:rPr>
        <w:t xml:space="preserve"> 2005; </w:t>
      </w:r>
      <w:r w:rsidRPr="00E053E9">
        <w:rPr>
          <w:rFonts w:ascii="Book Antiqua" w:eastAsia="SimSun" w:hAnsi="Book Antiqua" w:cs="SimSun"/>
          <w:b/>
          <w:bCs/>
          <w:lang w:eastAsia="zh-CN"/>
        </w:rPr>
        <w:t>54</w:t>
      </w:r>
      <w:r w:rsidRPr="00E053E9">
        <w:rPr>
          <w:rFonts w:ascii="Book Antiqua" w:eastAsia="SimSun" w:hAnsi="Book Antiqua" w:cs="SimSun"/>
          <w:lang w:eastAsia="zh-CN"/>
        </w:rPr>
        <w:t>: 1126-1128 [PMID: 16009686 DOI: 10.1136/gut.2004.058750</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30 </w:t>
      </w:r>
      <w:r w:rsidRPr="00E053E9">
        <w:rPr>
          <w:rFonts w:ascii="Book Antiqua" w:eastAsia="SimSun" w:hAnsi="Book Antiqua" w:cs="SimSun"/>
          <w:b/>
          <w:bCs/>
          <w:lang w:eastAsia="zh-CN"/>
        </w:rPr>
        <w:t>Järnerot G</w:t>
      </w:r>
      <w:r w:rsidRPr="00E053E9">
        <w:rPr>
          <w:rFonts w:ascii="Book Antiqua" w:eastAsia="SimSun" w:hAnsi="Book Antiqua" w:cs="SimSun"/>
          <w:lang w:eastAsia="zh-CN"/>
        </w:rPr>
        <w:t xml:space="preserve">, Tysk C, Bohr J, Eriksson S. Collagenous colitis and fecal stream diversion. </w:t>
      </w:r>
      <w:r w:rsidRPr="00E053E9">
        <w:rPr>
          <w:rFonts w:ascii="Book Antiqua" w:eastAsia="SimSun" w:hAnsi="Book Antiqua" w:cs="SimSun"/>
          <w:i/>
          <w:iCs/>
          <w:lang w:eastAsia="zh-CN"/>
        </w:rPr>
        <w:t>Gastroenterology</w:t>
      </w:r>
      <w:r w:rsidRPr="00E053E9">
        <w:rPr>
          <w:rFonts w:ascii="Book Antiqua" w:eastAsia="SimSun" w:hAnsi="Book Antiqua" w:cs="SimSun"/>
          <w:lang w:eastAsia="zh-CN"/>
        </w:rPr>
        <w:t xml:space="preserve"> 1995; </w:t>
      </w:r>
      <w:r w:rsidRPr="00E053E9">
        <w:rPr>
          <w:rFonts w:ascii="Book Antiqua" w:eastAsia="SimSun" w:hAnsi="Book Antiqua" w:cs="SimSun"/>
          <w:b/>
          <w:bCs/>
          <w:lang w:eastAsia="zh-CN"/>
        </w:rPr>
        <w:t>109</w:t>
      </w:r>
      <w:r w:rsidRPr="00E053E9">
        <w:rPr>
          <w:rFonts w:ascii="Book Antiqua" w:eastAsia="SimSun" w:hAnsi="Book Antiqua" w:cs="SimSun"/>
          <w:lang w:eastAsia="zh-CN"/>
        </w:rPr>
        <w:t>: 449-455 [PMID: 7615194 DOI: 10.1016/0016-5085(95)90332-1]</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31 </w:t>
      </w:r>
      <w:r w:rsidRPr="00E053E9">
        <w:rPr>
          <w:rFonts w:ascii="Book Antiqua" w:eastAsia="SimSun" w:hAnsi="Book Antiqua" w:cs="SimSun"/>
          <w:b/>
          <w:bCs/>
          <w:lang w:eastAsia="zh-CN"/>
        </w:rPr>
        <w:t>Brown WR</w:t>
      </w:r>
      <w:r w:rsidRPr="00E053E9">
        <w:rPr>
          <w:rFonts w:ascii="Book Antiqua" w:eastAsia="SimSun" w:hAnsi="Book Antiqua" w:cs="SimSun"/>
          <w:lang w:eastAsia="zh-CN"/>
        </w:rPr>
        <w:t xml:space="preserve">, Tayal S. Microscopic colitis. A review. </w:t>
      </w:r>
      <w:r w:rsidRPr="00E053E9">
        <w:rPr>
          <w:rFonts w:ascii="Book Antiqua" w:eastAsia="SimSun" w:hAnsi="Book Antiqua" w:cs="SimSun"/>
          <w:i/>
          <w:iCs/>
          <w:lang w:eastAsia="zh-CN"/>
        </w:rPr>
        <w:t>J Dig Dis</w:t>
      </w:r>
      <w:r w:rsidRPr="00E053E9">
        <w:rPr>
          <w:rFonts w:ascii="Book Antiqua" w:eastAsia="SimSun" w:hAnsi="Book Antiqua" w:cs="SimSun"/>
          <w:lang w:eastAsia="zh-CN"/>
        </w:rPr>
        <w:t xml:space="preserve"> 2013; </w:t>
      </w:r>
      <w:r w:rsidRPr="00E053E9">
        <w:rPr>
          <w:rFonts w:ascii="Book Antiqua" w:eastAsia="SimSun" w:hAnsi="Book Antiqua" w:cs="SimSun"/>
          <w:b/>
          <w:bCs/>
          <w:lang w:eastAsia="zh-CN"/>
        </w:rPr>
        <w:t>14</w:t>
      </w:r>
      <w:r w:rsidRPr="00E053E9">
        <w:rPr>
          <w:rFonts w:ascii="Book Antiqua" w:eastAsia="SimSun" w:hAnsi="Book Antiqua" w:cs="SimSun"/>
          <w:lang w:eastAsia="zh-CN"/>
        </w:rPr>
        <w:t>: 277-281 [PMID: 23419063 DOI: 10.1111/1751-2980.12046</w:t>
      </w:r>
      <w:r w:rsidR="00266A8E" w:rsidRPr="00E053E9">
        <w:rPr>
          <w:rFonts w:ascii="Book Antiqua" w:eastAsia="SimSun" w:hAnsi="Book Antiqua" w:cs="SimSun"/>
          <w:lang w:eastAsia="zh-CN"/>
        </w:rPr>
        <w:t>]</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32 </w:t>
      </w:r>
      <w:r w:rsidRPr="00E053E9">
        <w:rPr>
          <w:rFonts w:ascii="Book Antiqua" w:eastAsia="SimSun" w:hAnsi="Book Antiqua" w:cs="SimSun"/>
          <w:b/>
          <w:bCs/>
          <w:lang w:eastAsia="zh-CN"/>
        </w:rPr>
        <w:t>Pardi DS</w:t>
      </w:r>
      <w:r w:rsidRPr="00E053E9">
        <w:rPr>
          <w:rFonts w:ascii="Book Antiqua" w:eastAsia="SimSun" w:hAnsi="Book Antiqua" w:cs="SimSun"/>
          <w:lang w:eastAsia="zh-CN"/>
        </w:rPr>
        <w:t xml:space="preserve">, Loftus EV, Tremaine WJ, Sandborn WJ. Treatment of refractory microscopic colitis with azathioprine and 6-mercaptopurine. </w:t>
      </w:r>
      <w:r w:rsidRPr="00E053E9">
        <w:rPr>
          <w:rFonts w:ascii="Book Antiqua" w:eastAsia="SimSun" w:hAnsi="Book Antiqua" w:cs="SimSun"/>
          <w:i/>
          <w:iCs/>
          <w:lang w:eastAsia="zh-CN"/>
        </w:rPr>
        <w:t>Gastroenterology</w:t>
      </w:r>
      <w:r w:rsidRPr="00E053E9">
        <w:rPr>
          <w:rFonts w:ascii="Book Antiqua" w:eastAsia="SimSun" w:hAnsi="Book Antiqua" w:cs="SimSun"/>
          <w:lang w:eastAsia="zh-CN"/>
        </w:rPr>
        <w:t xml:space="preserve"> 2001; </w:t>
      </w:r>
      <w:r w:rsidRPr="00E053E9">
        <w:rPr>
          <w:rFonts w:ascii="Book Antiqua" w:eastAsia="SimSun" w:hAnsi="Book Antiqua" w:cs="SimSun"/>
          <w:b/>
          <w:bCs/>
          <w:lang w:eastAsia="zh-CN"/>
        </w:rPr>
        <w:t>120</w:t>
      </w:r>
      <w:r w:rsidRPr="00E053E9">
        <w:rPr>
          <w:rFonts w:ascii="Book Antiqua" w:eastAsia="SimSun" w:hAnsi="Book Antiqua" w:cs="SimSun"/>
          <w:lang w:eastAsia="zh-CN"/>
        </w:rPr>
        <w:t>: 1483-1484 [PMID: 11313319 DOI: 10.1053/gast.2001.23976]</w:t>
      </w:r>
    </w:p>
    <w:p w:rsidR="00BD7972" w:rsidRPr="00E053E9" w:rsidRDefault="00BD7972" w:rsidP="00BD7972">
      <w:pPr>
        <w:adjustRightInd w:val="0"/>
        <w:snapToGrid w:val="0"/>
        <w:spacing w:line="360" w:lineRule="auto"/>
        <w:jc w:val="both"/>
        <w:rPr>
          <w:rFonts w:ascii="Book Antiqua" w:eastAsia="SimSun" w:hAnsi="Book Antiqua" w:cs="SimSun"/>
          <w:lang w:eastAsia="zh-CN"/>
        </w:rPr>
      </w:pPr>
      <w:r w:rsidRPr="00E053E9">
        <w:rPr>
          <w:rFonts w:ascii="Book Antiqua" w:eastAsia="SimSun" w:hAnsi="Book Antiqua" w:cs="SimSun"/>
          <w:lang w:eastAsia="zh-CN"/>
        </w:rPr>
        <w:t xml:space="preserve">33 </w:t>
      </w:r>
      <w:r w:rsidRPr="00E053E9">
        <w:rPr>
          <w:rFonts w:ascii="Book Antiqua" w:eastAsia="SimSun" w:hAnsi="Book Antiqua" w:cs="SimSun"/>
          <w:b/>
          <w:bCs/>
          <w:lang w:eastAsia="zh-CN"/>
        </w:rPr>
        <w:t>Wilcox GM</w:t>
      </w:r>
      <w:r w:rsidRPr="00E053E9">
        <w:rPr>
          <w:rFonts w:ascii="Book Antiqua" w:eastAsia="SimSun" w:hAnsi="Book Antiqua" w:cs="SimSun"/>
          <w:lang w:eastAsia="zh-CN"/>
        </w:rPr>
        <w:t xml:space="preserve">, Mattia AR. Microscopic colitis associated with omeprazole and esomeprazole exposure. </w:t>
      </w:r>
      <w:r w:rsidRPr="00E053E9">
        <w:rPr>
          <w:rFonts w:ascii="Book Antiqua" w:eastAsia="SimSun" w:hAnsi="Book Antiqua" w:cs="SimSun"/>
          <w:i/>
          <w:iCs/>
          <w:lang w:eastAsia="zh-CN"/>
        </w:rPr>
        <w:t>J Clin Gastroenterol</w:t>
      </w:r>
      <w:r w:rsidRPr="00E053E9">
        <w:rPr>
          <w:rFonts w:ascii="Book Antiqua" w:eastAsia="SimSun" w:hAnsi="Book Antiqua" w:cs="SimSun"/>
          <w:lang w:eastAsia="zh-CN"/>
        </w:rPr>
        <w:t xml:space="preserve"> 2009; </w:t>
      </w:r>
      <w:r w:rsidRPr="00E053E9">
        <w:rPr>
          <w:rFonts w:ascii="Book Antiqua" w:eastAsia="SimSun" w:hAnsi="Book Antiqua" w:cs="SimSun"/>
          <w:b/>
          <w:bCs/>
          <w:lang w:eastAsia="zh-CN"/>
        </w:rPr>
        <w:t>43</w:t>
      </w:r>
      <w:r w:rsidRPr="00E053E9">
        <w:rPr>
          <w:rFonts w:ascii="Book Antiqua" w:eastAsia="SimSun" w:hAnsi="Book Antiqua" w:cs="SimSun"/>
          <w:lang w:eastAsia="zh-CN"/>
        </w:rPr>
        <w:t>: 551-553 [PMID: 19142168 DOI: 10.1097/MCG.0b013e31817d3fa1</w:t>
      </w:r>
      <w:r w:rsidR="00266A8E" w:rsidRPr="00E053E9">
        <w:rPr>
          <w:rFonts w:ascii="Book Antiqua" w:eastAsia="SimSun" w:hAnsi="Book Antiqua" w:cs="SimSun"/>
          <w:lang w:eastAsia="zh-CN"/>
        </w:rPr>
        <w:t>]</w:t>
      </w:r>
    </w:p>
    <w:p w:rsidR="00BD7972" w:rsidRPr="00E053E9" w:rsidRDefault="00BD7972" w:rsidP="00730409">
      <w:pPr>
        <w:pStyle w:val="ListParagraph"/>
        <w:wordWrap w:val="0"/>
        <w:spacing w:line="360" w:lineRule="auto"/>
        <w:ind w:right="120"/>
        <w:jc w:val="right"/>
        <w:rPr>
          <w:rFonts w:ascii="Book Antiqua" w:hAnsi="Book Antiqua"/>
        </w:rPr>
      </w:pPr>
      <w:bookmarkStart w:id="184" w:name="OLE_LINK51"/>
      <w:bookmarkStart w:id="185" w:name="OLE_LINK52"/>
      <w:bookmarkStart w:id="186" w:name="OLE_LINK75"/>
      <w:bookmarkStart w:id="187" w:name="OLE_LINK120"/>
      <w:bookmarkStart w:id="188" w:name="OLE_LINK148"/>
      <w:bookmarkStart w:id="189" w:name="OLE_LINK72"/>
      <w:bookmarkStart w:id="190" w:name="OLE_LINK112"/>
      <w:bookmarkStart w:id="191" w:name="OLE_LINK320"/>
      <w:bookmarkStart w:id="192" w:name="OLE_LINK387"/>
      <w:bookmarkStart w:id="193" w:name="OLE_LINK183"/>
      <w:bookmarkStart w:id="194" w:name="OLE_LINK254"/>
      <w:bookmarkStart w:id="195" w:name="OLE_LINK149"/>
      <w:bookmarkStart w:id="196" w:name="OLE_LINK225"/>
      <w:bookmarkStart w:id="197" w:name="OLE_LINK207"/>
      <w:bookmarkStart w:id="198" w:name="OLE_LINK226"/>
      <w:bookmarkStart w:id="199" w:name="OLE_LINK212"/>
      <w:bookmarkStart w:id="200" w:name="OLE_LINK250"/>
      <w:bookmarkStart w:id="201" w:name="OLE_LINK281"/>
      <w:bookmarkStart w:id="202" w:name="OLE_LINK240"/>
      <w:bookmarkStart w:id="203" w:name="OLE_LINK313"/>
      <w:bookmarkStart w:id="204" w:name="OLE_LINK304"/>
      <w:bookmarkStart w:id="205" w:name="OLE_LINK321"/>
      <w:bookmarkStart w:id="206" w:name="OLE_LINK385"/>
      <w:bookmarkStart w:id="207" w:name="OLE_LINK400"/>
      <w:bookmarkStart w:id="208" w:name="OLE_LINK346"/>
      <w:bookmarkStart w:id="209" w:name="OLE_LINK371"/>
      <w:bookmarkStart w:id="210" w:name="OLE_LINK334"/>
      <w:bookmarkStart w:id="211" w:name="OLE_LINK1830"/>
      <w:bookmarkStart w:id="212" w:name="OLE_LINK442"/>
      <w:bookmarkStart w:id="213" w:name="OLE_LINK457"/>
      <w:bookmarkStart w:id="214" w:name="OLE_LINK288"/>
      <w:bookmarkStart w:id="215" w:name="OLE_LINK384"/>
      <w:bookmarkStart w:id="216" w:name="OLE_LINK379"/>
      <w:bookmarkStart w:id="217" w:name="OLE_LINK303"/>
      <w:bookmarkStart w:id="218" w:name="OLE_LINK450"/>
      <w:bookmarkStart w:id="219" w:name="OLE_LINK489"/>
      <w:bookmarkStart w:id="220" w:name="OLE_LINK535"/>
      <w:bookmarkStart w:id="221" w:name="OLE_LINK648"/>
      <w:bookmarkStart w:id="222" w:name="OLE_LINK686"/>
      <w:bookmarkStart w:id="223" w:name="OLE_LINK430"/>
      <w:bookmarkStart w:id="224" w:name="OLE_LINK471"/>
      <w:bookmarkStart w:id="225" w:name="OLE_LINK462"/>
      <w:bookmarkStart w:id="226" w:name="OLE_LINK519"/>
      <w:bookmarkStart w:id="227" w:name="OLE_LINK575"/>
      <w:bookmarkStart w:id="228" w:name="OLE_LINK491"/>
      <w:bookmarkStart w:id="229" w:name="OLE_LINK532"/>
      <w:bookmarkStart w:id="230" w:name="OLE_LINK572"/>
      <w:bookmarkStart w:id="231" w:name="OLE_LINK574"/>
      <w:bookmarkStart w:id="232" w:name="OLE_LINK480"/>
      <w:bookmarkStart w:id="233" w:name="OLE_LINK567"/>
      <w:bookmarkStart w:id="234" w:name="OLE_LINK2700"/>
      <w:bookmarkStart w:id="235" w:name="OLE_LINK639"/>
      <w:bookmarkStart w:id="236" w:name="OLE_LINK688"/>
      <w:bookmarkStart w:id="237" w:name="OLE_LINK722"/>
      <w:bookmarkStart w:id="238" w:name="OLE_LINK542"/>
      <w:bookmarkStart w:id="239" w:name="OLE_LINK589"/>
      <w:bookmarkStart w:id="240" w:name="OLE_LINK640"/>
      <w:bookmarkStart w:id="241" w:name="OLE_LINK716"/>
      <w:bookmarkStart w:id="242" w:name="OLE_LINK770"/>
      <w:bookmarkStart w:id="243" w:name="OLE_LINK801"/>
      <w:bookmarkStart w:id="244" w:name="OLE_LINK660"/>
      <w:bookmarkStart w:id="245" w:name="OLE_LINK739"/>
      <w:bookmarkStart w:id="246" w:name="OLE_LINK781"/>
      <w:bookmarkStart w:id="247" w:name="OLE_LINK833"/>
      <w:bookmarkStart w:id="248" w:name="OLE_LINK642"/>
      <w:r w:rsidRPr="00E053E9">
        <w:rPr>
          <w:rFonts w:ascii="Book Antiqua" w:hAnsi="Book Antiqua"/>
          <w:b/>
          <w:bCs/>
        </w:rPr>
        <w:t xml:space="preserve">P-Reviewer: </w:t>
      </w:r>
      <w:r w:rsidRPr="00E053E9">
        <w:rPr>
          <w:rFonts w:ascii="Book Antiqua" w:hAnsi="Book Antiqua"/>
          <w:bCs/>
        </w:rPr>
        <w:t>Gunaltay S</w:t>
      </w:r>
      <w:r w:rsidRPr="00E053E9">
        <w:rPr>
          <w:rFonts w:ascii="Book Antiqua" w:eastAsiaTheme="minorEastAsia" w:hAnsi="Book Antiqua" w:hint="eastAsia"/>
          <w:bCs/>
          <w:lang w:eastAsia="zh-CN"/>
        </w:rPr>
        <w:t xml:space="preserve">, </w:t>
      </w:r>
      <w:r w:rsidRPr="00E053E9">
        <w:rPr>
          <w:rFonts w:ascii="Book Antiqua" w:eastAsiaTheme="minorEastAsia" w:hAnsi="Book Antiqua"/>
          <w:bCs/>
          <w:lang w:eastAsia="zh-CN"/>
        </w:rPr>
        <w:t>Kawakami K</w:t>
      </w:r>
      <w:r w:rsidRPr="00E053E9">
        <w:rPr>
          <w:rFonts w:ascii="Book Antiqua" w:hAnsi="Book Antiqua"/>
          <w:b/>
          <w:bCs/>
        </w:rPr>
        <w:t xml:space="preserve"> S-Editor:</w:t>
      </w:r>
      <w:r w:rsidRPr="00E053E9">
        <w:rPr>
          <w:rFonts w:ascii="Book Antiqua" w:hAnsi="Book Antiqua"/>
        </w:rPr>
        <w:t xml:space="preserve"> </w:t>
      </w:r>
      <w:r w:rsidRPr="00E053E9">
        <w:rPr>
          <w:rFonts w:ascii="Book Antiqua" w:hAnsi="Book Antiqua" w:hint="eastAsia"/>
        </w:rPr>
        <w:t>Yu J</w:t>
      </w:r>
      <w:r w:rsidRPr="00E053E9">
        <w:rPr>
          <w:rFonts w:ascii="Book Antiqua" w:hAnsi="Book Antiqua"/>
        </w:rPr>
        <w:t xml:space="preserve"> </w:t>
      </w:r>
      <w:r w:rsidRPr="00E053E9">
        <w:rPr>
          <w:rFonts w:ascii="Book Antiqua" w:hAnsi="Book Antiqua"/>
          <w:b/>
          <w:bCs/>
        </w:rPr>
        <w:t>L-Editor:</w:t>
      </w:r>
      <w:r w:rsidR="00C02D8F" w:rsidRPr="00E053E9">
        <w:rPr>
          <w:rFonts w:ascii="Book Antiqua" w:hAnsi="Book Antiqua"/>
        </w:rPr>
        <w:t xml:space="preserve"> </w:t>
      </w:r>
      <w:r w:rsidRPr="00E053E9">
        <w:rPr>
          <w:rFonts w:ascii="Book Antiqua" w:hAnsi="Book Antiqua"/>
          <w:b/>
          <w:bCs/>
        </w:rPr>
        <w:t>E-Editor:</w:t>
      </w:r>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rsidR="00BB3BDF" w:rsidRPr="00E053E9" w:rsidRDefault="00BB3BDF"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r w:rsidRPr="00E053E9">
        <w:rPr>
          <w:rFonts w:ascii="Book Antiqua" w:eastAsiaTheme="minorEastAsia" w:hAnsi="Book Antiqua" w:hint="eastAsia"/>
          <w:lang w:eastAsia="zh-CN"/>
        </w:rPr>
        <w:t>A</w:t>
      </w:r>
    </w:p>
    <w:p w:rsidR="00730409" w:rsidRPr="00E053E9" w:rsidRDefault="00730409" w:rsidP="004C3987">
      <w:pPr>
        <w:adjustRightInd w:val="0"/>
        <w:snapToGrid w:val="0"/>
        <w:spacing w:line="360" w:lineRule="auto"/>
        <w:jc w:val="both"/>
        <w:rPr>
          <w:rFonts w:ascii="Book Antiqua" w:eastAsiaTheme="minorEastAsia" w:hAnsi="Book Antiqua"/>
          <w:lang w:eastAsia="zh-CN"/>
        </w:rPr>
      </w:pPr>
      <w:r w:rsidRPr="00E053E9">
        <w:rPr>
          <w:rFonts w:ascii="Book Antiqua" w:hAnsi="Book Antiqua"/>
          <w:noProof/>
          <w:sz w:val="20"/>
          <w:szCs w:val="20"/>
          <w:lang w:eastAsia="zh-CN"/>
        </w:rPr>
        <w:drawing>
          <wp:anchor distT="0" distB="0" distL="114300" distR="114300" simplePos="0" relativeHeight="251659264" behindDoc="1" locked="0" layoutInCell="1" allowOverlap="1" wp14:anchorId="13F3535B" wp14:editId="78D190B6">
            <wp:simplePos x="0" y="0"/>
            <wp:positionH relativeFrom="margin">
              <wp:posOffset>-13335</wp:posOffset>
            </wp:positionH>
            <wp:positionV relativeFrom="margin">
              <wp:posOffset>6505575</wp:posOffset>
            </wp:positionV>
            <wp:extent cx="4077335" cy="3053715"/>
            <wp:effectExtent l="0" t="0" r="0" b="0"/>
            <wp:wrapSquare wrapText="bothSides"/>
            <wp:docPr id="3" name="Picture 3" descr=":S14-9473-20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4-9473-20xc.jpg"/>
                    <pic:cNvPicPr>
                      <a:picLocks noChangeAspect="1" noChangeArrowheads="1"/>
                    </pic:cNvPicPr>
                  </pic:nvPicPr>
                  <pic:blipFill>
                    <a:blip r:embed="rId10" cstate="print"/>
                    <a:srcRect/>
                    <a:stretch>
                      <a:fillRect/>
                    </a:stretch>
                  </pic:blipFill>
                  <pic:spPr bwMode="auto">
                    <a:xfrm>
                      <a:off x="0" y="0"/>
                      <a:ext cx="4077335" cy="3053715"/>
                    </a:xfrm>
                    <a:prstGeom prst="rect">
                      <a:avLst/>
                    </a:prstGeom>
                    <a:noFill/>
                    <a:ln w="9525">
                      <a:noFill/>
                      <a:miter lim="800000"/>
                      <a:headEnd/>
                      <a:tailEnd/>
                    </a:ln>
                  </pic:spPr>
                </pic:pic>
              </a:graphicData>
            </a:graphic>
          </wp:anchor>
        </w:drawing>
      </w: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r w:rsidRPr="00E053E9">
        <w:rPr>
          <w:rFonts w:ascii="Book Antiqua" w:eastAsiaTheme="minorEastAsia" w:hAnsi="Book Antiqua" w:hint="eastAsia"/>
          <w:lang w:eastAsia="zh-CN"/>
        </w:rPr>
        <w:t>B</w:t>
      </w:r>
    </w:p>
    <w:p w:rsidR="00730409" w:rsidRPr="00E053E9" w:rsidRDefault="00742A5D" w:rsidP="004C3987">
      <w:pPr>
        <w:adjustRightInd w:val="0"/>
        <w:snapToGrid w:val="0"/>
        <w:spacing w:line="360" w:lineRule="auto"/>
        <w:jc w:val="both"/>
        <w:rPr>
          <w:rFonts w:ascii="Book Antiqua" w:eastAsiaTheme="minorEastAsia" w:hAnsi="Book Antiqua"/>
          <w:lang w:eastAsia="zh-CN"/>
        </w:rPr>
      </w:pPr>
      <w:r w:rsidRPr="00E053E9">
        <w:rPr>
          <w:noProof/>
          <w:lang w:eastAsia="zh-CN"/>
        </w:rPr>
        <w:drawing>
          <wp:inline distT="0" distB="0" distL="0" distR="0" wp14:anchorId="7069D499" wp14:editId="270DE473">
            <wp:extent cx="5114925" cy="3819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14925" cy="3819525"/>
                    </a:xfrm>
                    <a:prstGeom prst="rect">
                      <a:avLst/>
                    </a:prstGeom>
                  </pic:spPr>
                </pic:pic>
              </a:graphicData>
            </a:graphic>
          </wp:inline>
        </w:drawing>
      </w:r>
    </w:p>
    <w:p w:rsidR="00742A5D" w:rsidRPr="00E053E9" w:rsidRDefault="00742A5D" w:rsidP="004C3987">
      <w:pPr>
        <w:adjustRightInd w:val="0"/>
        <w:snapToGrid w:val="0"/>
        <w:spacing w:line="360" w:lineRule="auto"/>
        <w:jc w:val="both"/>
        <w:rPr>
          <w:rFonts w:ascii="Book Antiqua" w:eastAsiaTheme="minorEastAsia" w:hAnsi="Book Antiqua"/>
          <w:lang w:eastAsia="zh-CN"/>
        </w:rPr>
      </w:pPr>
    </w:p>
    <w:p w:rsidR="00742A5D" w:rsidRPr="00E053E9" w:rsidRDefault="00742A5D"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r w:rsidRPr="00E053E9">
        <w:rPr>
          <w:rFonts w:ascii="Book Antiqua" w:eastAsiaTheme="minorEastAsia" w:hAnsi="Book Antiqua" w:hint="eastAsia"/>
          <w:lang w:eastAsia="zh-CN"/>
        </w:rPr>
        <w:lastRenderedPageBreak/>
        <w:t>C</w:t>
      </w:r>
    </w:p>
    <w:p w:rsidR="00730409" w:rsidRPr="00E053E9" w:rsidRDefault="00730409" w:rsidP="004C3987">
      <w:pPr>
        <w:adjustRightInd w:val="0"/>
        <w:snapToGrid w:val="0"/>
        <w:spacing w:line="360" w:lineRule="auto"/>
        <w:jc w:val="both"/>
        <w:rPr>
          <w:rFonts w:ascii="Book Antiqua" w:eastAsiaTheme="minorEastAsia" w:hAnsi="Book Antiqua"/>
          <w:lang w:eastAsia="zh-CN"/>
        </w:rPr>
      </w:pPr>
      <w:r w:rsidRPr="00E053E9">
        <w:rPr>
          <w:rFonts w:ascii="Book Antiqua" w:hAnsi="Book Antiqua"/>
          <w:b/>
          <w:noProof/>
          <w:sz w:val="20"/>
          <w:szCs w:val="20"/>
          <w:lang w:eastAsia="zh-CN"/>
        </w:rPr>
        <w:drawing>
          <wp:anchor distT="0" distB="0" distL="114300" distR="114300" simplePos="0" relativeHeight="251663360" behindDoc="1" locked="0" layoutInCell="1" allowOverlap="1" wp14:anchorId="13CA1BA1" wp14:editId="4B92A6C9">
            <wp:simplePos x="0" y="0"/>
            <wp:positionH relativeFrom="margin">
              <wp:posOffset>-15240</wp:posOffset>
            </wp:positionH>
            <wp:positionV relativeFrom="margin">
              <wp:posOffset>297180</wp:posOffset>
            </wp:positionV>
            <wp:extent cx="4080510" cy="3055620"/>
            <wp:effectExtent l="0" t="0" r="0" b="0"/>
            <wp:wrapSquare wrapText="bothSides"/>
            <wp:docPr id="2" name="Picture 2" descr=":S14-39852-20x-tri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4-39852-20x-trichrome.jpg"/>
                    <pic:cNvPicPr>
                      <a:picLocks noChangeAspect="1" noChangeArrowheads="1"/>
                    </pic:cNvPicPr>
                  </pic:nvPicPr>
                  <pic:blipFill>
                    <a:blip r:embed="rId12" cstate="print"/>
                    <a:srcRect/>
                    <a:stretch>
                      <a:fillRect/>
                    </a:stretch>
                  </pic:blipFill>
                  <pic:spPr bwMode="auto">
                    <a:xfrm>
                      <a:off x="0" y="0"/>
                      <a:ext cx="4080510" cy="3055620"/>
                    </a:xfrm>
                    <a:prstGeom prst="rect">
                      <a:avLst/>
                    </a:prstGeom>
                    <a:noFill/>
                    <a:ln w="9525">
                      <a:noFill/>
                      <a:miter lim="800000"/>
                      <a:headEnd/>
                      <a:tailEnd/>
                    </a:ln>
                  </pic:spPr>
                </pic:pic>
              </a:graphicData>
            </a:graphic>
          </wp:anchor>
        </w:drawing>
      </w: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4C3987">
      <w:pPr>
        <w:adjustRightInd w:val="0"/>
        <w:snapToGrid w:val="0"/>
        <w:spacing w:line="360" w:lineRule="auto"/>
        <w:jc w:val="both"/>
        <w:rPr>
          <w:rFonts w:ascii="Book Antiqua" w:eastAsiaTheme="minorEastAsia" w:hAnsi="Book Antiqua"/>
          <w:lang w:eastAsia="zh-CN"/>
        </w:rPr>
      </w:pPr>
    </w:p>
    <w:p w:rsidR="00730409" w:rsidRPr="00E053E9" w:rsidRDefault="00730409" w:rsidP="00730409">
      <w:pPr>
        <w:adjustRightInd w:val="0"/>
        <w:snapToGrid w:val="0"/>
        <w:spacing w:line="360" w:lineRule="auto"/>
        <w:jc w:val="both"/>
        <w:rPr>
          <w:rFonts w:ascii="Book Antiqua" w:hAnsi="Book Antiqua"/>
        </w:rPr>
      </w:pPr>
      <w:r w:rsidRPr="00E053E9">
        <w:rPr>
          <w:rFonts w:ascii="Book Antiqua" w:hAnsi="Book Antiqua"/>
          <w:b/>
        </w:rPr>
        <w:t xml:space="preserve">Figure 1 </w:t>
      </w:r>
      <w:r w:rsidR="00742A5D" w:rsidRPr="00E053E9">
        <w:rPr>
          <w:rFonts w:ascii="Book Antiqua" w:hAnsi="Book Antiqua"/>
          <w:b/>
        </w:rPr>
        <w:t>Colonic biopsy</w:t>
      </w:r>
      <w:r w:rsidR="00742A5D" w:rsidRPr="00E053E9">
        <w:rPr>
          <w:rFonts w:ascii="Book Antiqua" w:eastAsiaTheme="minorEastAsia" w:hAnsi="Book Antiqua" w:hint="eastAsia"/>
          <w:b/>
          <w:lang w:eastAsia="zh-CN"/>
        </w:rPr>
        <w:t>.</w:t>
      </w:r>
      <w:r w:rsidR="00742A5D" w:rsidRPr="00E053E9">
        <w:rPr>
          <w:rFonts w:ascii="Book Antiqua" w:hAnsi="Book Antiqua"/>
          <w:b/>
        </w:rPr>
        <w:t xml:space="preserve"> </w:t>
      </w:r>
      <w:r w:rsidRPr="00E053E9">
        <w:rPr>
          <w:rFonts w:ascii="Book Antiqua" w:hAnsi="Book Antiqua"/>
        </w:rPr>
        <w:t>A</w:t>
      </w:r>
      <w:r w:rsidRPr="00E053E9">
        <w:rPr>
          <w:rFonts w:ascii="Book Antiqua" w:eastAsiaTheme="minorEastAsia" w:hAnsi="Book Antiqua" w:hint="eastAsia"/>
          <w:lang w:eastAsia="zh-CN"/>
        </w:rPr>
        <w:t>:</w:t>
      </w:r>
      <w:r w:rsidRPr="00E053E9">
        <w:rPr>
          <w:rFonts w:ascii="Book Antiqua" w:hAnsi="Book Antiqua"/>
        </w:rPr>
        <w:t xml:space="preserve"> Lymphocytic colitis, hematoxylin and eosin stain. The key histological feature is increased number of intraepithelial lymphocytes with little or no crypt architectural distortion. The presence of &gt;</w:t>
      </w:r>
      <w:r w:rsidRPr="00E053E9">
        <w:rPr>
          <w:rFonts w:ascii="Book Antiqua" w:eastAsiaTheme="minorEastAsia" w:hAnsi="Book Antiqua" w:hint="eastAsia"/>
          <w:lang w:eastAsia="zh-CN"/>
        </w:rPr>
        <w:t xml:space="preserve"> </w:t>
      </w:r>
      <w:r w:rsidRPr="00E053E9">
        <w:rPr>
          <w:rFonts w:ascii="Book Antiqua" w:hAnsi="Book Antiqua"/>
        </w:rPr>
        <w:t xml:space="preserve">20 intraepithelial lymphocytes per 100 surface epithelial cells is diagnostic of </w:t>
      </w:r>
      <w:r w:rsidR="00742A5D" w:rsidRPr="00E053E9">
        <w:rPr>
          <w:rFonts w:ascii="Book Antiqua" w:hAnsi="Book Antiqua"/>
        </w:rPr>
        <w:t>lymphocytic colitis (LC)</w:t>
      </w:r>
      <w:r w:rsidRPr="00E053E9">
        <w:rPr>
          <w:rFonts w:ascii="Book Antiqua" w:hAnsi="Book Antiqua"/>
          <w:vertAlign w:val="superscript"/>
        </w:rPr>
        <w:t>[2]</w:t>
      </w:r>
      <w:r w:rsidRPr="00E053E9">
        <w:rPr>
          <w:rFonts w:ascii="Book Antiqua" w:hAnsi="Book Antiqua"/>
        </w:rPr>
        <w:t>. Fewer than 5 intraepithelial lymphocytes per 100 surface epithelial cells are considered normal</w:t>
      </w:r>
      <w:r w:rsidRPr="00E053E9">
        <w:rPr>
          <w:rFonts w:ascii="Book Antiqua" w:hAnsi="Book Antiqua"/>
          <w:vertAlign w:val="superscript"/>
        </w:rPr>
        <w:t>[2]</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Inflammatory infiltration usually consists of lymphocytes and plasma cells but eosinophils and neutrophils may also be present</w:t>
      </w:r>
      <w:r w:rsidRPr="00E053E9">
        <w:rPr>
          <w:rFonts w:ascii="Book Antiqua" w:eastAsiaTheme="minorEastAsia" w:hAnsi="Book Antiqua" w:hint="eastAsia"/>
          <w:lang w:eastAsia="zh-CN"/>
        </w:rPr>
        <w:t>;</w:t>
      </w:r>
      <w:r w:rsidR="00C02D8F" w:rsidRPr="00E053E9">
        <w:rPr>
          <w:rFonts w:ascii="Book Antiqua" w:hAnsi="Book Antiqua"/>
        </w:rPr>
        <w:t xml:space="preserve"> </w:t>
      </w:r>
      <w:r w:rsidRPr="00E053E9">
        <w:rPr>
          <w:rFonts w:ascii="Book Antiqua" w:hAnsi="Book Antiqua"/>
        </w:rPr>
        <w:t>B</w:t>
      </w:r>
      <w:r w:rsidRPr="00E053E9">
        <w:rPr>
          <w:rFonts w:ascii="Book Antiqua" w:eastAsiaTheme="minorEastAsia" w:hAnsi="Book Antiqua" w:hint="eastAsia"/>
          <w:lang w:eastAsia="zh-CN"/>
        </w:rPr>
        <w:t xml:space="preserve">: </w:t>
      </w:r>
      <w:r w:rsidRPr="00E053E9">
        <w:rPr>
          <w:rFonts w:ascii="Book Antiqua" w:hAnsi="Book Antiqua"/>
        </w:rPr>
        <w:t xml:space="preserve">Collagenous colitis, hematoxylin and eosin stain. The black arrow points to the thickened subepithelial collagen band. Band thickness is 10-20 μm in </w:t>
      </w:r>
      <w:r w:rsidR="00742A5D" w:rsidRPr="00E053E9">
        <w:rPr>
          <w:rFonts w:ascii="Book Antiqua" w:hAnsi="Book Antiqua"/>
        </w:rPr>
        <w:t>collagenous colitis (CC)</w:t>
      </w:r>
      <w:r w:rsidRPr="00E053E9">
        <w:rPr>
          <w:rFonts w:ascii="Book Antiqua" w:hAnsi="Book Antiqua"/>
          <w:vertAlign w:val="superscript"/>
        </w:rPr>
        <w:t>[2]</w:t>
      </w:r>
      <w:r w:rsidRPr="00E053E9">
        <w:rPr>
          <w:rFonts w:ascii="Book Antiqua" w:hAnsi="Book Antiqua"/>
        </w:rPr>
        <w:t>.</w:t>
      </w:r>
      <w:r w:rsidR="00C02D8F" w:rsidRPr="00E053E9">
        <w:rPr>
          <w:rFonts w:ascii="Book Antiqua" w:hAnsi="Book Antiqua"/>
        </w:rPr>
        <w:t xml:space="preserve"> </w:t>
      </w:r>
      <w:r w:rsidRPr="00E053E9">
        <w:rPr>
          <w:rFonts w:ascii="Book Antiqua" w:hAnsi="Book Antiqua"/>
        </w:rPr>
        <w:t>Collagen band thickness &lt;</w:t>
      </w:r>
      <w:r w:rsidRPr="00E053E9">
        <w:rPr>
          <w:rFonts w:ascii="Book Antiqua" w:eastAsiaTheme="minorEastAsia" w:hAnsi="Book Antiqua" w:hint="eastAsia"/>
          <w:lang w:eastAsia="zh-CN"/>
        </w:rPr>
        <w:t xml:space="preserve"> </w:t>
      </w:r>
      <w:r w:rsidRPr="00E053E9">
        <w:rPr>
          <w:rFonts w:ascii="Book Antiqua" w:hAnsi="Book Antiqua"/>
        </w:rPr>
        <w:t>3 μm is considered normal</w:t>
      </w:r>
      <w:r w:rsidRPr="00E053E9">
        <w:rPr>
          <w:rFonts w:ascii="Book Antiqua" w:hAnsi="Book Antiqua"/>
          <w:vertAlign w:val="superscript"/>
        </w:rPr>
        <w:t>[2]</w:t>
      </w:r>
      <w:r w:rsidRPr="00E053E9">
        <w:rPr>
          <w:rFonts w:ascii="Book Antiqua" w:eastAsiaTheme="minorEastAsia" w:hAnsi="Book Antiqua" w:hint="eastAsia"/>
          <w:lang w:eastAsia="zh-CN"/>
        </w:rPr>
        <w:t>;</w:t>
      </w:r>
      <w:r w:rsidR="00C02D8F" w:rsidRPr="00E053E9">
        <w:rPr>
          <w:rFonts w:ascii="Book Antiqua" w:hAnsi="Book Antiqua"/>
        </w:rPr>
        <w:t xml:space="preserve"> </w:t>
      </w:r>
      <w:r w:rsidRPr="00E053E9">
        <w:rPr>
          <w:rFonts w:ascii="Book Antiqua" w:hAnsi="Book Antiqua"/>
        </w:rPr>
        <w:t>C</w:t>
      </w:r>
      <w:r w:rsidRPr="00E053E9">
        <w:rPr>
          <w:rFonts w:ascii="Book Antiqua" w:eastAsiaTheme="minorEastAsia" w:hAnsi="Book Antiqua" w:hint="eastAsia"/>
          <w:lang w:eastAsia="zh-CN"/>
        </w:rPr>
        <w:t>:</w:t>
      </w:r>
      <w:r w:rsidRPr="00E053E9">
        <w:rPr>
          <w:rFonts w:ascii="Book Antiqua" w:hAnsi="Book Antiqua"/>
        </w:rPr>
        <w:t xml:space="preserve"> Collagenous colitis, trichrome stain.</w:t>
      </w:r>
      <w:r w:rsidR="00C02D8F" w:rsidRPr="00E053E9">
        <w:rPr>
          <w:rFonts w:ascii="Book Antiqua" w:hAnsi="Book Antiqua"/>
        </w:rPr>
        <w:t xml:space="preserve"> </w:t>
      </w:r>
      <w:r w:rsidRPr="00E053E9">
        <w:rPr>
          <w:rFonts w:ascii="Book Antiqua" w:hAnsi="Book Antiqua"/>
        </w:rPr>
        <w:t>Collagen stains blue on trichrome stain.</w:t>
      </w:r>
      <w:r w:rsidR="00C02D8F" w:rsidRPr="00E053E9">
        <w:rPr>
          <w:rFonts w:ascii="Book Antiqua" w:hAnsi="Book Antiqua"/>
        </w:rPr>
        <w:t xml:space="preserve"> </w:t>
      </w:r>
      <w:r w:rsidRPr="00E053E9">
        <w:rPr>
          <w:rFonts w:ascii="Book Antiqua" w:hAnsi="Book Antiqua"/>
        </w:rPr>
        <w:t>Trichrome stain can be useful when it is difficult to determine the thickness of collagen band on hematoxylin and eosin stain.</w:t>
      </w:r>
      <w:r w:rsidR="00C02D8F" w:rsidRPr="00E053E9">
        <w:rPr>
          <w:rFonts w:ascii="Book Antiqua" w:hAnsi="Book Antiqua"/>
        </w:rPr>
        <w:t xml:space="preserve"> </w:t>
      </w:r>
      <w:r w:rsidRPr="00E053E9">
        <w:rPr>
          <w:rFonts w:ascii="Book Antiqua" w:hAnsi="Book Antiqua"/>
        </w:rPr>
        <w:t xml:space="preserve">This picture demonstrates a thickened subepithelial collagen band. </w:t>
      </w:r>
    </w:p>
    <w:p w:rsidR="00730409" w:rsidRPr="00E053E9" w:rsidRDefault="00730409" w:rsidP="00730409">
      <w:pPr>
        <w:adjustRightInd w:val="0"/>
        <w:snapToGrid w:val="0"/>
        <w:spacing w:line="360" w:lineRule="auto"/>
        <w:jc w:val="both"/>
        <w:rPr>
          <w:rFonts w:ascii="Book Antiqua" w:hAnsi="Book Antiqua"/>
        </w:rPr>
      </w:pPr>
    </w:p>
    <w:p w:rsidR="00730409" w:rsidRPr="00E053E9" w:rsidRDefault="00730409" w:rsidP="00730409">
      <w:pPr>
        <w:adjustRightInd w:val="0"/>
        <w:snapToGrid w:val="0"/>
        <w:spacing w:line="360" w:lineRule="auto"/>
        <w:jc w:val="both"/>
        <w:rPr>
          <w:rFonts w:ascii="Book Antiqua" w:hAnsi="Book Antiqua"/>
        </w:rPr>
      </w:pPr>
    </w:p>
    <w:p w:rsidR="00673E82" w:rsidRPr="00E053E9" w:rsidRDefault="00673E82" w:rsidP="00673E82">
      <w:pPr>
        <w:adjustRightInd w:val="0"/>
        <w:snapToGrid w:val="0"/>
        <w:spacing w:line="360" w:lineRule="auto"/>
        <w:jc w:val="both"/>
        <w:rPr>
          <w:rFonts w:ascii="Book Antiqua" w:eastAsia="SimSun" w:hAnsi="Book Antiqua" w:cs="Times New Roman"/>
          <w:b/>
          <w:lang w:eastAsia="zh-CN"/>
        </w:rPr>
      </w:pPr>
      <w:r w:rsidRPr="00E053E9">
        <w:rPr>
          <w:rFonts w:ascii="Book Antiqua" w:eastAsia="SimSun" w:hAnsi="Book Antiqua" w:cs="Times New Roman"/>
          <w:b/>
        </w:rPr>
        <w:lastRenderedPageBreak/>
        <w:t>Table 1</w:t>
      </w:r>
      <w:r w:rsidR="00C02D8F" w:rsidRPr="00E053E9">
        <w:rPr>
          <w:rFonts w:ascii="Book Antiqua" w:eastAsia="SimSun" w:hAnsi="Book Antiqua" w:cs="Times New Roman"/>
          <w:b/>
        </w:rPr>
        <w:t xml:space="preserve"> </w:t>
      </w:r>
      <w:r w:rsidRPr="00E053E9">
        <w:rPr>
          <w:rFonts w:ascii="Book Antiqua" w:eastAsia="SimSun" w:hAnsi="Book Antiqua" w:cs="Times New Roman"/>
          <w:b/>
        </w:rPr>
        <w:t>Factors associated with microscopic colitis</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856"/>
      </w:tblGrid>
      <w:tr w:rsidR="00673E82" w:rsidRPr="00E053E9" w:rsidTr="00673E82">
        <w:tc>
          <w:tcPr>
            <w:tcW w:w="8856" w:type="dxa"/>
            <w:tcBorders>
              <w:top w:val="single" w:sz="4" w:space="0" w:color="auto"/>
            </w:tcBorders>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Autoimmune disorder (type 1 diabetes, rheumatoid arthritis, celiac disease, thyroid disorders)</w:t>
            </w:r>
          </w:p>
        </w:tc>
      </w:tr>
      <w:tr w:rsidR="00673E82" w:rsidRPr="00E053E9" w:rsidTr="00673E82">
        <w:tc>
          <w:tcPr>
            <w:tcW w:w="8856" w:type="dxa"/>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 xml:space="preserve">Nonsteroidal anti-inflammatory drugs </w:t>
            </w:r>
          </w:p>
        </w:tc>
      </w:tr>
      <w:tr w:rsidR="00673E82" w:rsidRPr="00E053E9" w:rsidTr="00673E82">
        <w:tc>
          <w:tcPr>
            <w:tcW w:w="8856" w:type="dxa"/>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 xml:space="preserve">Proton pump inhibitors </w:t>
            </w:r>
          </w:p>
        </w:tc>
      </w:tr>
      <w:tr w:rsidR="00673E82" w:rsidRPr="00E053E9" w:rsidTr="00673E82">
        <w:tc>
          <w:tcPr>
            <w:tcW w:w="8856" w:type="dxa"/>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 xml:space="preserve">Serotoin reuptake inhibitors </w:t>
            </w:r>
          </w:p>
        </w:tc>
      </w:tr>
      <w:tr w:rsidR="00673E82" w:rsidRPr="00E053E9" w:rsidTr="00673E82">
        <w:tc>
          <w:tcPr>
            <w:tcW w:w="8856" w:type="dxa"/>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Statins</w:t>
            </w:r>
          </w:p>
        </w:tc>
      </w:tr>
      <w:tr w:rsidR="00673E82" w:rsidRPr="00E053E9" w:rsidTr="00673E82">
        <w:tc>
          <w:tcPr>
            <w:tcW w:w="8856" w:type="dxa"/>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 xml:space="preserve">Beta-blockers </w:t>
            </w:r>
          </w:p>
        </w:tc>
      </w:tr>
      <w:tr w:rsidR="00673E82" w:rsidRPr="00E053E9" w:rsidTr="00673E82">
        <w:tc>
          <w:tcPr>
            <w:tcW w:w="8856" w:type="dxa"/>
            <w:tcBorders>
              <w:bottom w:val="single" w:sz="4" w:space="0" w:color="auto"/>
            </w:tcBorders>
          </w:tcPr>
          <w:p w:rsidR="00673E82" w:rsidRPr="00E053E9" w:rsidRDefault="00673E82" w:rsidP="00673E82">
            <w:pPr>
              <w:adjustRightInd w:val="0"/>
              <w:snapToGrid w:val="0"/>
              <w:spacing w:line="360" w:lineRule="auto"/>
              <w:jc w:val="both"/>
              <w:rPr>
                <w:rFonts w:ascii="Book Antiqua" w:hAnsi="Book Antiqua" w:cs="Times New Roman"/>
              </w:rPr>
            </w:pPr>
            <w:r w:rsidRPr="00E053E9">
              <w:rPr>
                <w:rFonts w:ascii="Book Antiqua" w:hAnsi="Book Antiqua" w:cs="Times New Roman"/>
              </w:rPr>
              <w:t>Smoking</w:t>
            </w:r>
          </w:p>
        </w:tc>
      </w:tr>
    </w:tbl>
    <w:p w:rsidR="00673E82" w:rsidRPr="00E053E9" w:rsidRDefault="00673E82" w:rsidP="00673E82">
      <w:pPr>
        <w:adjustRightInd w:val="0"/>
        <w:snapToGrid w:val="0"/>
        <w:spacing w:line="360" w:lineRule="auto"/>
        <w:jc w:val="both"/>
        <w:rPr>
          <w:rFonts w:ascii="Book Antiqua" w:eastAsia="SimSun" w:hAnsi="Book Antiqua" w:cs="Times New Roman"/>
        </w:rPr>
      </w:pPr>
    </w:p>
    <w:p w:rsidR="00673E82" w:rsidRPr="00E053E9" w:rsidRDefault="00673E82" w:rsidP="00673E82">
      <w:pPr>
        <w:adjustRightInd w:val="0"/>
        <w:snapToGrid w:val="0"/>
        <w:spacing w:line="360" w:lineRule="auto"/>
        <w:jc w:val="both"/>
        <w:rPr>
          <w:rFonts w:ascii="Book Antiqua" w:eastAsia="SimSun" w:hAnsi="Book Antiqua" w:cs="Times New Roman"/>
        </w:rPr>
      </w:pPr>
    </w:p>
    <w:p w:rsidR="00673E82" w:rsidRPr="00E053E9" w:rsidRDefault="00673E82" w:rsidP="00673E82">
      <w:pPr>
        <w:adjustRightInd w:val="0"/>
        <w:snapToGrid w:val="0"/>
        <w:spacing w:line="360" w:lineRule="auto"/>
        <w:jc w:val="both"/>
        <w:rPr>
          <w:rFonts w:ascii="Book Antiqua" w:eastAsia="SimSun" w:hAnsi="Book Antiqua" w:cs="Times New Roman"/>
          <w:b/>
          <w:lang w:eastAsia="zh-CN"/>
        </w:rPr>
      </w:pPr>
      <w:r w:rsidRPr="00E053E9">
        <w:rPr>
          <w:rFonts w:ascii="Book Antiqua" w:eastAsia="SimSun" w:hAnsi="Book Antiqua" w:cs="Times New Roman"/>
          <w:b/>
        </w:rPr>
        <w:t>Table 2 Summary of studies demonstrating efficacy of budesonide for treating microscopic colitis</w:t>
      </w:r>
    </w:p>
    <w:tbl>
      <w:tblPr>
        <w:tblW w:w="0" w:type="auto"/>
        <w:tblBorders>
          <w:top w:val="single" w:sz="4" w:space="0" w:color="auto"/>
          <w:bottom w:val="single" w:sz="4" w:space="0" w:color="auto"/>
        </w:tblBorders>
        <w:tblLayout w:type="fixed"/>
        <w:tblLook w:val="00A0" w:firstRow="1" w:lastRow="0" w:firstColumn="1" w:lastColumn="0" w:noHBand="0" w:noVBand="0"/>
      </w:tblPr>
      <w:tblGrid>
        <w:gridCol w:w="1188"/>
        <w:gridCol w:w="1080"/>
        <w:gridCol w:w="630"/>
        <w:gridCol w:w="2700"/>
        <w:gridCol w:w="1782"/>
        <w:gridCol w:w="1476"/>
      </w:tblGrid>
      <w:tr w:rsidR="00673E82" w:rsidRPr="00E053E9" w:rsidTr="00673E82">
        <w:trPr>
          <w:trHeight w:val="617"/>
        </w:trPr>
        <w:tc>
          <w:tcPr>
            <w:tcW w:w="1188" w:type="dxa"/>
          </w:tcPr>
          <w:p w:rsidR="00673E82" w:rsidRPr="00E053E9" w:rsidRDefault="00673E82" w:rsidP="00673E82">
            <w:pPr>
              <w:adjustRightInd w:val="0"/>
              <w:snapToGrid w:val="0"/>
              <w:spacing w:line="360" w:lineRule="auto"/>
              <w:jc w:val="both"/>
              <w:rPr>
                <w:rFonts w:ascii="Book Antiqua" w:eastAsia="SimSun" w:hAnsi="Book Antiqua" w:cs="Arial"/>
                <w:b/>
              </w:rPr>
            </w:pPr>
          </w:p>
        </w:tc>
        <w:tc>
          <w:tcPr>
            <w:tcW w:w="1080" w:type="dxa"/>
          </w:tcPr>
          <w:p w:rsidR="00673E82" w:rsidRPr="00E053E9" w:rsidRDefault="00673E82" w:rsidP="00673E82">
            <w:pPr>
              <w:adjustRightInd w:val="0"/>
              <w:snapToGrid w:val="0"/>
              <w:spacing w:line="360" w:lineRule="auto"/>
              <w:jc w:val="center"/>
              <w:rPr>
                <w:rFonts w:ascii="Book Antiqua" w:eastAsia="SimSun" w:hAnsi="Book Antiqua" w:cs="Arial"/>
                <w:b/>
              </w:rPr>
            </w:pPr>
            <w:r w:rsidRPr="00E053E9">
              <w:rPr>
                <w:rFonts w:ascii="Book Antiqua" w:eastAsia="SimSun" w:hAnsi="Book Antiqua" w:cs="Arial"/>
                <w:b/>
              </w:rPr>
              <w:t>Number of patients</w:t>
            </w:r>
          </w:p>
        </w:tc>
        <w:tc>
          <w:tcPr>
            <w:tcW w:w="630" w:type="dxa"/>
          </w:tcPr>
          <w:p w:rsidR="00673E82" w:rsidRPr="00E053E9" w:rsidRDefault="00673E82" w:rsidP="00673E82">
            <w:pPr>
              <w:adjustRightInd w:val="0"/>
              <w:snapToGrid w:val="0"/>
              <w:spacing w:line="360" w:lineRule="auto"/>
              <w:jc w:val="center"/>
              <w:rPr>
                <w:rFonts w:ascii="Book Antiqua" w:eastAsia="SimSun" w:hAnsi="Book Antiqua" w:cs="Arial"/>
                <w:b/>
                <w:lang w:eastAsia="zh-CN"/>
              </w:rPr>
            </w:pPr>
            <w:r w:rsidRPr="00E053E9">
              <w:rPr>
                <w:rFonts w:ascii="Book Antiqua" w:eastAsia="SimSun" w:hAnsi="Book Antiqua" w:cs="Arial"/>
                <w:b/>
              </w:rPr>
              <w:t xml:space="preserve">Mean </w:t>
            </w:r>
            <w:r w:rsidR="0057487F" w:rsidRPr="00E053E9">
              <w:rPr>
                <w:rFonts w:ascii="Book Antiqua" w:eastAsia="SimSun" w:hAnsi="Book Antiqua" w:cs="Arial"/>
                <w:b/>
              </w:rPr>
              <w:t>age</w:t>
            </w:r>
            <w:r w:rsidR="0057487F" w:rsidRPr="00E053E9">
              <w:rPr>
                <w:rFonts w:ascii="Book Antiqua" w:eastAsia="SimSun" w:hAnsi="Book Antiqua" w:cs="Arial"/>
                <w:b/>
                <w:lang w:eastAsia="zh-CN"/>
              </w:rPr>
              <w:t xml:space="preserve"> </w:t>
            </w:r>
            <w:r w:rsidR="00A4492F" w:rsidRPr="00E053E9">
              <w:rPr>
                <w:rFonts w:ascii="Book Antiqua" w:eastAsia="SimSun" w:hAnsi="Book Antiqua" w:cs="Arial" w:hint="eastAsia"/>
                <w:b/>
                <w:lang w:eastAsia="zh-CN"/>
              </w:rPr>
              <w:t>(yr)</w:t>
            </w:r>
          </w:p>
        </w:tc>
        <w:tc>
          <w:tcPr>
            <w:tcW w:w="2700" w:type="dxa"/>
          </w:tcPr>
          <w:p w:rsidR="00673E82" w:rsidRPr="00E053E9" w:rsidRDefault="00673E82" w:rsidP="00673E82">
            <w:pPr>
              <w:adjustRightInd w:val="0"/>
              <w:snapToGrid w:val="0"/>
              <w:spacing w:line="360" w:lineRule="auto"/>
              <w:jc w:val="center"/>
              <w:rPr>
                <w:rFonts w:ascii="Book Antiqua" w:eastAsia="SimSun" w:hAnsi="Book Antiqua" w:cs="Arial"/>
                <w:b/>
              </w:rPr>
            </w:pPr>
            <w:r w:rsidRPr="00E053E9">
              <w:rPr>
                <w:rFonts w:ascii="Book Antiqua" w:eastAsia="SimSun" w:hAnsi="Book Antiqua" w:cs="Arial"/>
                <w:b/>
              </w:rPr>
              <w:t>Treatment</w:t>
            </w:r>
          </w:p>
        </w:tc>
        <w:tc>
          <w:tcPr>
            <w:tcW w:w="1782" w:type="dxa"/>
          </w:tcPr>
          <w:p w:rsidR="00673E82" w:rsidRPr="00E053E9" w:rsidRDefault="00673E82" w:rsidP="00673E82">
            <w:pPr>
              <w:adjustRightInd w:val="0"/>
              <w:snapToGrid w:val="0"/>
              <w:spacing w:line="360" w:lineRule="auto"/>
              <w:jc w:val="center"/>
              <w:rPr>
                <w:rFonts w:ascii="Book Antiqua" w:eastAsia="SimSun" w:hAnsi="Book Antiqua" w:cs="Arial"/>
                <w:b/>
              </w:rPr>
            </w:pPr>
            <w:r w:rsidRPr="00E053E9">
              <w:rPr>
                <w:rFonts w:ascii="Book Antiqua" w:eastAsia="SimSun" w:hAnsi="Book Antiqua" w:cs="Arial"/>
                <w:b/>
              </w:rPr>
              <w:t>Remission Rate</w:t>
            </w:r>
            <w:r w:rsidRPr="00E053E9">
              <w:rPr>
                <w:rFonts w:ascii="Book Antiqua" w:eastAsia="SimSun" w:hAnsi="Book Antiqua" w:cs="Arial"/>
                <w:b/>
                <w:vertAlign w:val="superscript"/>
              </w:rPr>
              <w:t>1</w:t>
            </w:r>
          </w:p>
        </w:tc>
        <w:tc>
          <w:tcPr>
            <w:tcW w:w="1476" w:type="dxa"/>
          </w:tcPr>
          <w:p w:rsidR="00673E82" w:rsidRPr="00E053E9" w:rsidRDefault="00673E82" w:rsidP="00673E82">
            <w:pPr>
              <w:adjustRightInd w:val="0"/>
              <w:snapToGrid w:val="0"/>
              <w:spacing w:line="360" w:lineRule="auto"/>
              <w:jc w:val="both"/>
              <w:rPr>
                <w:rFonts w:ascii="Book Antiqua" w:eastAsia="SimSun" w:hAnsi="Book Antiqua" w:cs="Arial"/>
                <w:b/>
              </w:rPr>
            </w:pPr>
            <w:r w:rsidRPr="00E053E9">
              <w:rPr>
                <w:rFonts w:ascii="Book Antiqua" w:eastAsia="SimSun" w:hAnsi="Book Antiqua" w:cs="Arial"/>
                <w:b/>
              </w:rPr>
              <w:t>Relapse Rate</w:t>
            </w:r>
            <w:r w:rsidRPr="00E053E9">
              <w:rPr>
                <w:rFonts w:ascii="Book Antiqua" w:eastAsia="SimSun" w:hAnsi="Book Antiqua" w:cs="Arial"/>
                <w:b/>
                <w:vertAlign w:val="superscript"/>
              </w:rPr>
              <w:t>2</w:t>
            </w:r>
          </w:p>
        </w:tc>
      </w:tr>
    </w:tbl>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188"/>
        <w:gridCol w:w="1080"/>
        <w:gridCol w:w="630"/>
        <w:gridCol w:w="2700"/>
        <w:gridCol w:w="1782"/>
        <w:gridCol w:w="1476"/>
      </w:tblGrid>
      <w:tr w:rsidR="00673E82" w:rsidRPr="00E053E9" w:rsidTr="00673E82">
        <w:tc>
          <w:tcPr>
            <w:tcW w:w="1188" w:type="dxa"/>
          </w:tcPr>
          <w:p w:rsidR="00673E82" w:rsidRPr="00E053E9" w:rsidRDefault="00673E82" w:rsidP="00673E82">
            <w:pPr>
              <w:adjustRightInd w:val="0"/>
              <w:snapToGrid w:val="0"/>
              <w:spacing w:line="360" w:lineRule="auto"/>
              <w:jc w:val="both"/>
              <w:rPr>
                <w:rFonts w:ascii="Book Antiqua" w:hAnsi="Book Antiqua" w:cs="Arial"/>
              </w:rPr>
            </w:pPr>
            <w:r w:rsidRPr="00E053E9">
              <w:rPr>
                <w:rFonts w:ascii="Book Antiqua" w:hAnsi="Book Antiqua" w:cs="Arial"/>
              </w:rPr>
              <w:t xml:space="preserve">Miehlke </w:t>
            </w:r>
            <w:r w:rsidRPr="00E053E9">
              <w:rPr>
                <w:rFonts w:ascii="Book Antiqua" w:hAnsi="Book Antiqua" w:cs="Arial"/>
                <w:i/>
              </w:rPr>
              <w:t>et al</w:t>
            </w:r>
            <w:r w:rsidRPr="00E053E9">
              <w:rPr>
                <w:rFonts w:ascii="Book Antiqua" w:hAnsi="Book Antiqua" w:cs="Arial"/>
                <w:vertAlign w:val="superscript"/>
              </w:rPr>
              <w:t>[18]</w:t>
            </w:r>
            <w:r w:rsidRPr="00E053E9">
              <w:rPr>
                <w:rFonts w:ascii="Book Antiqua" w:eastAsia="SimSun" w:hAnsi="Book Antiqua" w:cs="Arial"/>
                <w:lang w:eastAsia="zh-CN"/>
              </w:rPr>
              <w:t>,</w:t>
            </w:r>
            <w:r w:rsidRPr="00E053E9">
              <w:rPr>
                <w:rFonts w:ascii="Book Antiqua" w:hAnsi="Book Antiqua" w:cs="Arial"/>
              </w:rPr>
              <w:t xml:space="preserve"> 2008 </w:t>
            </w:r>
          </w:p>
        </w:tc>
        <w:tc>
          <w:tcPr>
            <w:tcW w:w="1080"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48</w:t>
            </w:r>
          </w:p>
        </w:tc>
        <w:tc>
          <w:tcPr>
            <w:tcW w:w="630"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57.5</w:t>
            </w:r>
          </w:p>
        </w:tc>
        <w:tc>
          <w:tcPr>
            <w:tcW w:w="2700" w:type="dxa"/>
          </w:tcPr>
          <w:p w:rsidR="00673E82" w:rsidRPr="00E053E9" w:rsidRDefault="00673E82" w:rsidP="004930D0">
            <w:pPr>
              <w:adjustRightInd w:val="0"/>
              <w:snapToGrid w:val="0"/>
              <w:spacing w:line="360" w:lineRule="auto"/>
              <w:jc w:val="center"/>
              <w:rPr>
                <w:rFonts w:ascii="Book Antiqua" w:eastAsiaTheme="minorEastAsia" w:hAnsi="Book Antiqua" w:cs="Arial"/>
                <w:lang w:eastAsia="zh-CN"/>
              </w:rPr>
            </w:pPr>
            <w:r w:rsidRPr="00E053E9">
              <w:rPr>
                <w:rFonts w:ascii="Book Antiqua" w:hAnsi="Book Antiqua" w:cs="Arial"/>
              </w:rPr>
              <w:t>Budesonide 9</w:t>
            </w:r>
            <w:r w:rsidR="004930D0" w:rsidRPr="00E053E9">
              <w:rPr>
                <w:rFonts w:ascii="Book Antiqua" w:eastAsiaTheme="minorEastAsia" w:hAnsi="Book Antiqua" w:cs="Arial" w:hint="eastAsia"/>
                <w:lang w:eastAsia="zh-CN"/>
              </w:rPr>
              <w:t xml:space="preserve"> </w:t>
            </w:r>
            <w:r w:rsidRPr="00E053E9">
              <w:rPr>
                <w:rFonts w:ascii="Book Antiqua" w:hAnsi="Book Antiqua" w:cs="Arial"/>
              </w:rPr>
              <w:t>mg/</w:t>
            </w:r>
            <w:r w:rsidR="004930D0" w:rsidRPr="00E053E9">
              <w:rPr>
                <w:rFonts w:ascii="Book Antiqua" w:eastAsiaTheme="minorEastAsia" w:hAnsi="Book Antiqua" w:cs="Arial" w:hint="eastAsia"/>
                <w:lang w:eastAsia="zh-CN"/>
              </w:rPr>
              <w:t>d</w:t>
            </w:r>
            <w:r w:rsidRPr="00E053E9">
              <w:rPr>
                <w:rFonts w:ascii="Book Antiqua" w:hAnsi="Book Antiqua" w:cs="Arial"/>
              </w:rPr>
              <w:t xml:space="preserve"> for 6 </w:t>
            </w:r>
            <w:r w:rsidR="004930D0" w:rsidRPr="00E053E9">
              <w:rPr>
                <w:rFonts w:ascii="Book Antiqua" w:eastAsiaTheme="minorEastAsia" w:hAnsi="Book Antiqua" w:cs="Arial" w:hint="eastAsia"/>
                <w:lang w:eastAsia="zh-CN"/>
              </w:rPr>
              <w:t>wk</w:t>
            </w:r>
            <w:r w:rsidRPr="00E053E9">
              <w:rPr>
                <w:rFonts w:ascii="Book Antiqua" w:hAnsi="Book Antiqua" w:cs="Arial"/>
              </w:rPr>
              <w:t>, followed by budesonide 6</w:t>
            </w:r>
            <w:r w:rsidR="004930D0" w:rsidRPr="00E053E9">
              <w:rPr>
                <w:rFonts w:ascii="Book Antiqua" w:eastAsiaTheme="minorEastAsia" w:hAnsi="Book Antiqua" w:cs="Arial" w:hint="eastAsia"/>
                <w:lang w:eastAsia="zh-CN"/>
              </w:rPr>
              <w:t xml:space="preserve"> </w:t>
            </w:r>
            <w:r w:rsidRPr="00E053E9">
              <w:rPr>
                <w:rFonts w:ascii="Book Antiqua" w:hAnsi="Book Antiqua" w:cs="Arial"/>
              </w:rPr>
              <w:t>mg/</w:t>
            </w:r>
            <w:r w:rsidR="004930D0" w:rsidRPr="00E053E9">
              <w:rPr>
                <w:rFonts w:ascii="Book Antiqua" w:eastAsiaTheme="minorEastAsia" w:hAnsi="Book Antiqua" w:cs="Arial" w:hint="eastAsia"/>
                <w:lang w:eastAsia="zh-CN"/>
              </w:rPr>
              <w:t>d</w:t>
            </w:r>
            <w:r w:rsidRPr="00E053E9">
              <w:rPr>
                <w:rFonts w:ascii="Book Antiqua" w:hAnsi="Book Antiqua" w:cs="Arial"/>
              </w:rPr>
              <w:t xml:space="preserve"> </w:t>
            </w:r>
            <w:r w:rsidRPr="00E053E9">
              <w:rPr>
                <w:rFonts w:ascii="Book Antiqua" w:hAnsi="Book Antiqua" w:cs="Arial"/>
                <w:i/>
              </w:rPr>
              <w:t>vs</w:t>
            </w:r>
            <w:r w:rsidRPr="00E053E9">
              <w:rPr>
                <w:rFonts w:ascii="Book Antiqua" w:hAnsi="Book Antiqua" w:cs="Arial"/>
              </w:rPr>
              <w:t xml:space="preserve"> placebo for 6 </w:t>
            </w:r>
            <w:r w:rsidR="004930D0" w:rsidRPr="00E053E9">
              <w:rPr>
                <w:rFonts w:ascii="Book Antiqua" w:eastAsiaTheme="minorEastAsia" w:hAnsi="Book Antiqua" w:cs="Arial" w:hint="eastAsia"/>
                <w:lang w:eastAsia="zh-CN"/>
              </w:rPr>
              <w:t>mo</w:t>
            </w:r>
          </w:p>
        </w:tc>
        <w:tc>
          <w:tcPr>
            <w:tcW w:w="1782"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Short-term 96%.</w:t>
            </w:r>
          </w:p>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 xml:space="preserve">Long-term 74% </w:t>
            </w:r>
            <w:r w:rsidRPr="00E053E9">
              <w:rPr>
                <w:rFonts w:ascii="Book Antiqua" w:hAnsi="Book Antiqua" w:cs="Arial"/>
                <w:i/>
              </w:rPr>
              <w:t>vs</w:t>
            </w:r>
            <w:r w:rsidRPr="00E053E9">
              <w:rPr>
                <w:rFonts w:ascii="Book Antiqua" w:hAnsi="Book Antiqua" w:cs="Arial"/>
              </w:rPr>
              <w:t xml:space="preserve"> 35% placebo, </w:t>
            </w:r>
            <w:r w:rsidRPr="00E053E9">
              <w:rPr>
                <w:rFonts w:ascii="Book Antiqua" w:hAnsi="Book Antiqua" w:cs="Arial"/>
                <w:i/>
              </w:rPr>
              <w:t xml:space="preserve">P = </w:t>
            </w:r>
            <w:r w:rsidRPr="00E053E9">
              <w:rPr>
                <w:rFonts w:ascii="Book Antiqua" w:hAnsi="Book Antiqua" w:cs="Arial"/>
              </w:rPr>
              <w:t>0.008</w:t>
            </w:r>
          </w:p>
        </w:tc>
        <w:tc>
          <w:tcPr>
            <w:tcW w:w="1476"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 xml:space="preserve">26% </w:t>
            </w:r>
            <w:r w:rsidRPr="00E053E9">
              <w:rPr>
                <w:rFonts w:ascii="Book Antiqua" w:hAnsi="Book Antiqua" w:cs="Arial"/>
                <w:i/>
              </w:rPr>
              <w:t>vs</w:t>
            </w:r>
            <w:r w:rsidRPr="00E053E9">
              <w:rPr>
                <w:rFonts w:ascii="Book Antiqua" w:hAnsi="Book Antiqua" w:cs="Arial"/>
              </w:rPr>
              <w:t xml:space="preserve"> 65% placebo, </w:t>
            </w:r>
            <w:r w:rsidRPr="00E053E9">
              <w:rPr>
                <w:rFonts w:ascii="Book Antiqua" w:hAnsi="Book Antiqua" w:cs="Arial"/>
                <w:i/>
              </w:rPr>
              <w:t xml:space="preserve">P = </w:t>
            </w:r>
            <w:r w:rsidRPr="00E053E9">
              <w:rPr>
                <w:rFonts w:ascii="Book Antiqua" w:hAnsi="Book Antiqua" w:cs="Arial"/>
              </w:rPr>
              <w:t>0.022</w:t>
            </w:r>
          </w:p>
        </w:tc>
      </w:tr>
      <w:tr w:rsidR="00673E82" w:rsidRPr="00E053E9" w:rsidTr="00673E82">
        <w:tc>
          <w:tcPr>
            <w:tcW w:w="1188" w:type="dxa"/>
          </w:tcPr>
          <w:p w:rsidR="00673E82" w:rsidRPr="00E053E9" w:rsidRDefault="00673E82" w:rsidP="00673E82">
            <w:pPr>
              <w:adjustRightInd w:val="0"/>
              <w:snapToGrid w:val="0"/>
              <w:spacing w:line="360" w:lineRule="auto"/>
              <w:jc w:val="both"/>
              <w:rPr>
                <w:rFonts w:ascii="Book Antiqua" w:hAnsi="Book Antiqua" w:cs="Arial"/>
              </w:rPr>
            </w:pPr>
            <w:r w:rsidRPr="00E053E9">
              <w:rPr>
                <w:rFonts w:ascii="Book Antiqua" w:hAnsi="Book Antiqua" w:cs="Arial"/>
              </w:rPr>
              <w:t>Bonderup</w:t>
            </w:r>
            <w:r w:rsidRPr="00E053E9">
              <w:rPr>
                <w:rFonts w:ascii="Book Antiqua" w:hAnsi="Book Antiqua" w:cs="Arial"/>
                <w:i/>
              </w:rPr>
              <w:t xml:space="preserve"> et al</w:t>
            </w:r>
            <w:r w:rsidRPr="00E053E9">
              <w:rPr>
                <w:rFonts w:ascii="Book Antiqua" w:hAnsi="Book Antiqua" w:cs="Arial"/>
                <w:vertAlign w:val="superscript"/>
              </w:rPr>
              <w:t>[16]</w:t>
            </w:r>
            <w:r w:rsidRPr="00E053E9">
              <w:rPr>
                <w:rFonts w:ascii="Book Antiqua" w:hAnsi="Book Antiqua" w:cs="Arial"/>
              </w:rPr>
              <w:t xml:space="preserve">, 2009 </w:t>
            </w:r>
          </w:p>
        </w:tc>
        <w:tc>
          <w:tcPr>
            <w:tcW w:w="1080"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34</w:t>
            </w:r>
          </w:p>
        </w:tc>
        <w:tc>
          <w:tcPr>
            <w:tcW w:w="630"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62.8</w:t>
            </w:r>
          </w:p>
        </w:tc>
        <w:tc>
          <w:tcPr>
            <w:tcW w:w="2700" w:type="dxa"/>
          </w:tcPr>
          <w:p w:rsidR="00673E82" w:rsidRPr="00E053E9" w:rsidRDefault="00673E82" w:rsidP="004930D0">
            <w:pPr>
              <w:adjustRightInd w:val="0"/>
              <w:snapToGrid w:val="0"/>
              <w:spacing w:line="360" w:lineRule="auto"/>
              <w:jc w:val="center"/>
              <w:rPr>
                <w:rFonts w:ascii="Book Antiqua" w:eastAsiaTheme="minorEastAsia" w:hAnsi="Book Antiqua" w:cs="Arial"/>
                <w:lang w:eastAsia="zh-CN"/>
              </w:rPr>
            </w:pPr>
            <w:r w:rsidRPr="00E053E9">
              <w:rPr>
                <w:rFonts w:ascii="Book Antiqua" w:hAnsi="Book Antiqua" w:cs="Arial"/>
              </w:rPr>
              <w:t>Budesonide 9</w:t>
            </w:r>
            <w:r w:rsidR="004930D0" w:rsidRPr="00E053E9">
              <w:rPr>
                <w:rFonts w:ascii="Book Antiqua" w:eastAsiaTheme="minorEastAsia" w:hAnsi="Book Antiqua" w:cs="Arial" w:hint="eastAsia"/>
                <w:lang w:eastAsia="zh-CN"/>
              </w:rPr>
              <w:t xml:space="preserve"> </w:t>
            </w:r>
            <w:r w:rsidRPr="00E053E9">
              <w:rPr>
                <w:rFonts w:ascii="Book Antiqua" w:hAnsi="Book Antiqua" w:cs="Arial"/>
              </w:rPr>
              <w:t>mg/</w:t>
            </w:r>
            <w:r w:rsidR="004930D0" w:rsidRPr="00E053E9">
              <w:rPr>
                <w:rFonts w:ascii="Book Antiqua" w:eastAsiaTheme="minorEastAsia" w:hAnsi="Book Antiqua" w:cs="Arial" w:hint="eastAsia"/>
                <w:lang w:eastAsia="zh-CN"/>
              </w:rPr>
              <w:t>d</w:t>
            </w:r>
            <w:r w:rsidRPr="00E053E9">
              <w:rPr>
                <w:rFonts w:ascii="Book Antiqua" w:hAnsi="Book Antiqua" w:cs="Arial"/>
              </w:rPr>
              <w:t xml:space="preserve"> for 6 </w:t>
            </w:r>
            <w:r w:rsidR="004930D0" w:rsidRPr="00E053E9">
              <w:rPr>
                <w:rFonts w:ascii="Book Antiqua" w:eastAsiaTheme="minorEastAsia" w:hAnsi="Book Antiqua" w:cs="Arial" w:hint="eastAsia"/>
                <w:lang w:eastAsia="zh-CN"/>
              </w:rPr>
              <w:t>wk</w:t>
            </w:r>
            <w:r w:rsidRPr="00E053E9">
              <w:rPr>
                <w:rFonts w:ascii="Book Antiqua" w:hAnsi="Book Antiqua" w:cs="Arial"/>
              </w:rPr>
              <w:t>, followed by budesonide 6</w:t>
            </w:r>
            <w:r w:rsidR="004930D0" w:rsidRPr="00E053E9">
              <w:rPr>
                <w:rFonts w:ascii="Book Antiqua" w:eastAsiaTheme="minorEastAsia" w:hAnsi="Book Antiqua" w:cs="Arial" w:hint="eastAsia"/>
                <w:lang w:eastAsia="zh-CN"/>
              </w:rPr>
              <w:t xml:space="preserve"> </w:t>
            </w:r>
            <w:r w:rsidRPr="00E053E9">
              <w:rPr>
                <w:rFonts w:ascii="Book Antiqua" w:hAnsi="Book Antiqua" w:cs="Arial"/>
              </w:rPr>
              <w:t>mg/</w:t>
            </w:r>
            <w:r w:rsidR="004930D0" w:rsidRPr="00E053E9">
              <w:rPr>
                <w:rFonts w:ascii="Book Antiqua" w:eastAsiaTheme="minorEastAsia" w:hAnsi="Book Antiqua" w:cs="Arial" w:hint="eastAsia"/>
                <w:lang w:eastAsia="zh-CN"/>
              </w:rPr>
              <w:t>d</w:t>
            </w:r>
            <w:r w:rsidRPr="00E053E9">
              <w:rPr>
                <w:rFonts w:ascii="Book Antiqua" w:hAnsi="Book Antiqua" w:cs="Arial"/>
              </w:rPr>
              <w:t xml:space="preserve"> </w:t>
            </w:r>
            <w:r w:rsidRPr="00E053E9">
              <w:rPr>
                <w:rFonts w:ascii="Book Antiqua" w:hAnsi="Book Antiqua" w:cs="Arial"/>
                <w:i/>
              </w:rPr>
              <w:t>vs</w:t>
            </w:r>
            <w:r w:rsidRPr="00E053E9">
              <w:rPr>
                <w:rFonts w:ascii="Book Antiqua" w:hAnsi="Book Antiqua" w:cs="Arial"/>
              </w:rPr>
              <w:t xml:space="preserve"> placebo for 24 </w:t>
            </w:r>
            <w:r w:rsidR="00A4492F" w:rsidRPr="00E053E9">
              <w:rPr>
                <w:rFonts w:ascii="Book Antiqua" w:eastAsiaTheme="minorEastAsia" w:hAnsi="Book Antiqua" w:cs="Arial" w:hint="eastAsia"/>
                <w:lang w:eastAsia="zh-CN"/>
              </w:rPr>
              <w:t>wk</w:t>
            </w:r>
          </w:p>
        </w:tc>
        <w:tc>
          <w:tcPr>
            <w:tcW w:w="1782"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Long-term</w:t>
            </w:r>
          </w:p>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 xml:space="preserve">76.5% </w:t>
            </w:r>
            <w:r w:rsidRPr="00E053E9">
              <w:rPr>
                <w:rFonts w:ascii="Book Antiqua" w:hAnsi="Book Antiqua" w:cs="Arial"/>
                <w:i/>
              </w:rPr>
              <w:t>vs</w:t>
            </w:r>
            <w:r w:rsidRPr="00E053E9">
              <w:rPr>
                <w:rFonts w:ascii="Book Antiqua" w:hAnsi="Book Antiqua" w:cs="Arial"/>
              </w:rPr>
              <w:t xml:space="preserve"> 12% placebo </w:t>
            </w:r>
            <w:r w:rsidRPr="00E053E9">
              <w:rPr>
                <w:rFonts w:ascii="Book Antiqua" w:hAnsi="Book Antiqua" w:cs="Arial"/>
                <w:i/>
              </w:rPr>
              <w:t xml:space="preserve">P &lt; </w:t>
            </w:r>
            <w:r w:rsidRPr="00E053E9">
              <w:rPr>
                <w:rFonts w:ascii="Book Antiqua" w:hAnsi="Book Antiqua" w:cs="Arial"/>
              </w:rPr>
              <w:t>0.001</w:t>
            </w:r>
          </w:p>
        </w:tc>
        <w:tc>
          <w:tcPr>
            <w:tcW w:w="1476"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53%</w:t>
            </w:r>
          </w:p>
        </w:tc>
      </w:tr>
      <w:tr w:rsidR="00673E82" w:rsidRPr="00E053E9" w:rsidTr="00673E82">
        <w:tc>
          <w:tcPr>
            <w:tcW w:w="1188" w:type="dxa"/>
          </w:tcPr>
          <w:p w:rsidR="00673E82" w:rsidRPr="00E053E9" w:rsidRDefault="00673E82" w:rsidP="00673E82">
            <w:pPr>
              <w:adjustRightInd w:val="0"/>
              <w:snapToGrid w:val="0"/>
              <w:spacing w:line="360" w:lineRule="auto"/>
              <w:jc w:val="both"/>
              <w:rPr>
                <w:rFonts w:ascii="Book Antiqua" w:hAnsi="Book Antiqua" w:cs="Arial"/>
              </w:rPr>
            </w:pPr>
            <w:r w:rsidRPr="00E053E9">
              <w:rPr>
                <w:rFonts w:ascii="Book Antiqua" w:hAnsi="Book Antiqua" w:cs="Times New Roman"/>
              </w:rPr>
              <w:t xml:space="preserve">Miehlke </w:t>
            </w:r>
            <w:r w:rsidRPr="00E053E9">
              <w:rPr>
                <w:rFonts w:ascii="Book Antiqua" w:hAnsi="Book Antiqua" w:cs="Times New Roman"/>
                <w:i/>
              </w:rPr>
              <w:t>et al</w:t>
            </w:r>
            <w:r w:rsidRPr="00E053E9">
              <w:rPr>
                <w:rFonts w:ascii="Book Antiqua" w:hAnsi="Book Antiqua" w:cs="Times New Roman"/>
                <w:i/>
                <w:vertAlign w:val="superscript"/>
              </w:rPr>
              <w:t>[12]</w:t>
            </w:r>
            <w:r w:rsidRPr="00E053E9">
              <w:rPr>
                <w:rFonts w:ascii="Book Antiqua" w:hAnsi="Book Antiqua" w:cs="Times New Roman"/>
                <w:i/>
              </w:rPr>
              <w:t>,</w:t>
            </w:r>
            <w:r w:rsidRPr="00E053E9">
              <w:rPr>
                <w:rFonts w:ascii="Book Antiqua" w:hAnsi="Book Antiqua" w:cs="Times New Roman"/>
              </w:rPr>
              <w:t xml:space="preserve"> </w:t>
            </w:r>
            <w:r w:rsidRPr="00E053E9">
              <w:rPr>
                <w:rFonts w:ascii="Book Antiqua" w:hAnsi="Book Antiqua" w:cs="Times New Roman"/>
              </w:rPr>
              <w:lastRenderedPageBreak/>
              <w:t>2014</w:t>
            </w:r>
          </w:p>
        </w:tc>
        <w:tc>
          <w:tcPr>
            <w:tcW w:w="1080"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lastRenderedPageBreak/>
              <w:t>92</w:t>
            </w:r>
          </w:p>
        </w:tc>
        <w:tc>
          <w:tcPr>
            <w:tcW w:w="630"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58.8</w:t>
            </w:r>
          </w:p>
        </w:tc>
        <w:tc>
          <w:tcPr>
            <w:tcW w:w="2700" w:type="dxa"/>
          </w:tcPr>
          <w:p w:rsidR="00673E82" w:rsidRPr="00E053E9" w:rsidRDefault="00673E82" w:rsidP="00A4492F">
            <w:pPr>
              <w:adjustRightInd w:val="0"/>
              <w:snapToGrid w:val="0"/>
              <w:spacing w:line="360" w:lineRule="auto"/>
              <w:jc w:val="center"/>
              <w:rPr>
                <w:rFonts w:ascii="Book Antiqua" w:eastAsiaTheme="minorEastAsia" w:hAnsi="Book Antiqua" w:cs="Arial"/>
                <w:lang w:eastAsia="zh-CN"/>
              </w:rPr>
            </w:pPr>
            <w:r w:rsidRPr="00E053E9">
              <w:rPr>
                <w:rFonts w:ascii="Book Antiqua" w:hAnsi="Book Antiqua" w:cs="Arial"/>
              </w:rPr>
              <w:t>Budesonide 9</w:t>
            </w:r>
            <w:r w:rsidR="00A4492F" w:rsidRPr="00E053E9">
              <w:rPr>
                <w:rFonts w:ascii="Book Antiqua" w:eastAsiaTheme="minorEastAsia" w:hAnsi="Book Antiqua" w:cs="Arial" w:hint="eastAsia"/>
                <w:lang w:eastAsia="zh-CN"/>
              </w:rPr>
              <w:t xml:space="preserve"> </w:t>
            </w:r>
            <w:r w:rsidRPr="00E053E9">
              <w:rPr>
                <w:rFonts w:ascii="Book Antiqua" w:hAnsi="Book Antiqua" w:cs="Arial"/>
              </w:rPr>
              <w:t>mg/</w:t>
            </w:r>
            <w:r w:rsidR="00A4492F" w:rsidRPr="00E053E9">
              <w:rPr>
                <w:rFonts w:ascii="Book Antiqua" w:eastAsiaTheme="minorEastAsia" w:hAnsi="Book Antiqua" w:cs="Arial" w:hint="eastAsia"/>
                <w:lang w:eastAsia="zh-CN"/>
              </w:rPr>
              <w:t>d</w:t>
            </w:r>
            <w:r w:rsidRPr="00E053E9">
              <w:rPr>
                <w:rFonts w:ascii="Book Antiqua" w:hAnsi="Book Antiqua" w:cs="Arial"/>
              </w:rPr>
              <w:t xml:space="preserve"> </w:t>
            </w:r>
            <w:r w:rsidRPr="00E053E9">
              <w:rPr>
                <w:rFonts w:ascii="Book Antiqua" w:hAnsi="Book Antiqua" w:cs="Arial"/>
                <w:i/>
              </w:rPr>
              <w:t>vs</w:t>
            </w:r>
            <w:r w:rsidRPr="00E053E9">
              <w:rPr>
                <w:rFonts w:ascii="Book Antiqua" w:hAnsi="Book Antiqua" w:cs="Arial"/>
              </w:rPr>
              <w:t xml:space="preserve"> placebo for 8 </w:t>
            </w:r>
            <w:r w:rsidRPr="00E053E9">
              <w:rPr>
                <w:rFonts w:ascii="Book Antiqua" w:eastAsiaTheme="minorEastAsia" w:hAnsi="Book Antiqua" w:cs="Arial" w:hint="eastAsia"/>
                <w:lang w:eastAsia="zh-CN"/>
              </w:rPr>
              <w:t>wk</w:t>
            </w:r>
          </w:p>
        </w:tc>
        <w:tc>
          <w:tcPr>
            <w:tcW w:w="1782"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 xml:space="preserve">At 8 </w:t>
            </w:r>
            <w:r w:rsidRPr="00E053E9">
              <w:rPr>
                <w:rFonts w:ascii="Book Antiqua" w:eastAsiaTheme="minorEastAsia" w:hAnsi="Book Antiqua" w:cs="Arial" w:hint="eastAsia"/>
                <w:lang w:eastAsia="zh-CN"/>
              </w:rPr>
              <w:t>wk</w:t>
            </w:r>
            <w:r w:rsidRPr="00E053E9">
              <w:rPr>
                <w:rFonts w:ascii="Book Antiqua" w:hAnsi="Book Antiqua" w:cs="Arial"/>
              </w:rPr>
              <w:t>,</w:t>
            </w:r>
          </w:p>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 xml:space="preserve">80% </w:t>
            </w:r>
            <w:r w:rsidRPr="00E053E9">
              <w:rPr>
                <w:rFonts w:ascii="Book Antiqua" w:hAnsi="Book Antiqua" w:cs="Arial"/>
                <w:i/>
              </w:rPr>
              <w:t>vs</w:t>
            </w:r>
            <w:r w:rsidRPr="00E053E9">
              <w:rPr>
                <w:rFonts w:ascii="Book Antiqua" w:hAnsi="Book Antiqua" w:cs="Arial"/>
              </w:rPr>
              <w:t xml:space="preserve"> 59.5% </w:t>
            </w:r>
            <w:r w:rsidRPr="00E053E9">
              <w:rPr>
                <w:rFonts w:ascii="Book Antiqua" w:hAnsi="Book Antiqua" w:cs="Arial"/>
              </w:rPr>
              <w:lastRenderedPageBreak/>
              <w:t xml:space="preserve">placebo, </w:t>
            </w:r>
            <w:r w:rsidRPr="00E053E9">
              <w:rPr>
                <w:rFonts w:ascii="Book Antiqua" w:hAnsi="Book Antiqua" w:cs="Arial"/>
                <w:i/>
              </w:rPr>
              <w:t xml:space="preserve">P = </w:t>
            </w:r>
            <w:r w:rsidRPr="00E053E9">
              <w:rPr>
                <w:rFonts w:ascii="Book Antiqua" w:hAnsi="Book Antiqua" w:cs="Arial"/>
              </w:rPr>
              <w:t>0.072</w:t>
            </w:r>
          </w:p>
        </w:tc>
        <w:tc>
          <w:tcPr>
            <w:tcW w:w="1476" w:type="dxa"/>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lastRenderedPageBreak/>
              <w:t>35%</w:t>
            </w:r>
          </w:p>
        </w:tc>
      </w:tr>
      <w:tr w:rsidR="00673E82" w:rsidRPr="00E053E9" w:rsidTr="00673E82">
        <w:tc>
          <w:tcPr>
            <w:tcW w:w="1188" w:type="dxa"/>
            <w:tcBorders>
              <w:bottom w:val="single" w:sz="4" w:space="0" w:color="auto"/>
            </w:tcBorders>
          </w:tcPr>
          <w:p w:rsidR="00673E82" w:rsidRPr="00E053E9" w:rsidRDefault="00673E82" w:rsidP="00673E82">
            <w:pPr>
              <w:adjustRightInd w:val="0"/>
              <w:snapToGrid w:val="0"/>
              <w:spacing w:line="360" w:lineRule="auto"/>
              <w:jc w:val="both"/>
              <w:rPr>
                <w:rFonts w:ascii="Book Antiqua" w:hAnsi="Book Antiqua" w:cs="Arial"/>
              </w:rPr>
            </w:pPr>
            <w:r w:rsidRPr="00E053E9">
              <w:rPr>
                <w:rFonts w:ascii="Book Antiqua" w:hAnsi="Book Antiqua" w:cs="Arial"/>
              </w:rPr>
              <w:lastRenderedPageBreak/>
              <w:t xml:space="preserve">Munch </w:t>
            </w:r>
            <w:r w:rsidRPr="00E053E9">
              <w:rPr>
                <w:rFonts w:ascii="Book Antiqua" w:hAnsi="Book Antiqua" w:cs="Arial"/>
                <w:i/>
              </w:rPr>
              <w:t>et al</w:t>
            </w:r>
            <w:r w:rsidRPr="00E053E9">
              <w:rPr>
                <w:rFonts w:ascii="Book Antiqua" w:hAnsi="Book Antiqua" w:cs="Arial"/>
                <w:vertAlign w:val="superscript"/>
              </w:rPr>
              <w:t>[13]</w:t>
            </w:r>
            <w:r w:rsidRPr="00E053E9">
              <w:rPr>
                <w:rFonts w:ascii="Book Antiqua" w:hAnsi="Book Antiqua" w:cs="Arial"/>
              </w:rPr>
              <w:t>, 2014</w:t>
            </w:r>
          </w:p>
        </w:tc>
        <w:tc>
          <w:tcPr>
            <w:tcW w:w="1080" w:type="dxa"/>
            <w:tcBorders>
              <w:bottom w:val="single" w:sz="4" w:space="0" w:color="auto"/>
            </w:tcBorders>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92</w:t>
            </w:r>
          </w:p>
        </w:tc>
        <w:tc>
          <w:tcPr>
            <w:tcW w:w="630" w:type="dxa"/>
            <w:tcBorders>
              <w:bottom w:val="single" w:sz="4" w:space="0" w:color="auto"/>
            </w:tcBorders>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56.7</w:t>
            </w:r>
          </w:p>
        </w:tc>
        <w:tc>
          <w:tcPr>
            <w:tcW w:w="2700" w:type="dxa"/>
            <w:tcBorders>
              <w:bottom w:val="single" w:sz="4" w:space="0" w:color="auto"/>
            </w:tcBorders>
          </w:tcPr>
          <w:p w:rsidR="00673E82" w:rsidRPr="00E053E9" w:rsidRDefault="00673E82" w:rsidP="00A4492F">
            <w:pPr>
              <w:adjustRightInd w:val="0"/>
              <w:snapToGrid w:val="0"/>
              <w:spacing w:line="360" w:lineRule="auto"/>
              <w:jc w:val="center"/>
              <w:rPr>
                <w:rFonts w:ascii="Book Antiqua" w:eastAsiaTheme="minorEastAsia" w:hAnsi="Book Antiqua" w:cs="Arial"/>
                <w:lang w:eastAsia="zh-CN"/>
              </w:rPr>
            </w:pPr>
            <w:r w:rsidRPr="00E053E9">
              <w:rPr>
                <w:rFonts w:ascii="Book Antiqua" w:hAnsi="Book Antiqua" w:cs="Arial"/>
              </w:rPr>
              <w:t>Budesonide 9</w:t>
            </w:r>
            <w:r w:rsidR="00A4492F" w:rsidRPr="00E053E9">
              <w:rPr>
                <w:rFonts w:ascii="Book Antiqua" w:eastAsiaTheme="minorEastAsia" w:hAnsi="Book Antiqua" w:cs="Arial" w:hint="eastAsia"/>
                <w:lang w:eastAsia="zh-CN"/>
              </w:rPr>
              <w:t xml:space="preserve"> </w:t>
            </w:r>
            <w:r w:rsidRPr="00E053E9">
              <w:rPr>
                <w:rFonts w:ascii="Book Antiqua" w:hAnsi="Book Antiqua" w:cs="Arial"/>
              </w:rPr>
              <w:t>mg/</w:t>
            </w:r>
            <w:r w:rsidR="00A4492F" w:rsidRPr="00E053E9">
              <w:rPr>
                <w:rFonts w:ascii="Book Antiqua" w:eastAsiaTheme="minorEastAsia" w:hAnsi="Book Antiqua" w:cs="Arial" w:hint="eastAsia"/>
                <w:lang w:eastAsia="zh-CN"/>
              </w:rPr>
              <w:t>d</w:t>
            </w:r>
            <w:r w:rsidRPr="00E053E9">
              <w:rPr>
                <w:rFonts w:ascii="Book Antiqua" w:hAnsi="Book Antiqua" w:cs="Arial"/>
              </w:rPr>
              <w:t xml:space="preserve"> for 8 </w:t>
            </w:r>
            <w:r w:rsidR="00A4492F" w:rsidRPr="00E053E9">
              <w:rPr>
                <w:rFonts w:ascii="Book Antiqua" w:eastAsiaTheme="minorEastAsia" w:hAnsi="Book Antiqua" w:cs="Arial" w:hint="eastAsia"/>
                <w:lang w:eastAsia="zh-CN"/>
              </w:rPr>
              <w:t>wk</w:t>
            </w:r>
            <w:r w:rsidRPr="00E053E9">
              <w:rPr>
                <w:rFonts w:ascii="Book Antiqua" w:hAnsi="Book Antiqua" w:cs="Arial"/>
              </w:rPr>
              <w:t>, followed by budesonide 4.5</w:t>
            </w:r>
            <w:r w:rsidRPr="00E053E9">
              <w:rPr>
                <w:rFonts w:ascii="Book Antiqua" w:eastAsiaTheme="minorEastAsia" w:hAnsi="Book Antiqua" w:cs="Arial" w:hint="eastAsia"/>
                <w:lang w:eastAsia="zh-CN"/>
              </w:rPr>
              <w:t xml:space="preserve"> </w:t>
            </w:r>
            <w:r w:rsidRPr="00E053E9">
              <w:rPr>
                <w:rFonts w:ascii="Book Antiqua" w:hAnsi="Book Antiqua" w:cs="Arial"/>
              </w:rPr>
              <w:t>mg/</w:t>
            </w:r>
            <w:r w:rsidR="00A4492F" w:rsidRPr="00E053E9">
              <w:rPr>
                <w:rFonts w:ascii="Book Antiqua" w:eastAsiaTheme="minorEastAsia" w:hAnsi="Book Antiqua" w:cs="Arial" w:hint="eastAsia"/>
                <w:lang w:eastAsia="zh-CN"/>
              </w:rPr>
              <w:t>d</w:t>
            </w:r>
            <w:r w:rsidRPr="00E053E9">
              <w:rPr>
                <w:rFonts w:ascii="Book Antiqua" w:hAnsi="Book Antiqua" w:cs="Arial"/>
              </w:rPr>
              <w:t xml:space="preserve"> </w:t>
            </w:r>
            <w:r w:rsidRPr="00E053E9">
              <w:rPr>
                <w:rFonts w:ascii="Book Antiqua" w:hAnsi="Book Antiqua" w:cs="Arial"/>
                <w:i/>
              </w:rPr>
              <w:t>vs</w:t>
            </w:r>
            <w:r w:rsidRPr="00E053E9">
              <w:rPr>
                <w:rFonts w:ascii="Book Antiqua" w:hAnsi="Book Antiqua" w:cs="Arial"/>
              </w:rPr>
              <w:t xml:space="preserve"> placebo for 6 </w:t>
            </w:r>
            <w:r w:rsidRPr="00E053E9">
              <w:rPr>
                <w:rFonts w:ascii="Book Antiqua" w:eastAsiaTheme="minorEastAsia" w:hAnsi="Book Antiqua" w:cs="Arial" w:hint="eastAsia"/>
                <w:lang w:eastAsia="zh-CN"/>
              </w:rPr>
              <w:t>mo</w:t>
            </w:r>
          </w:p>
        </w:tc>
        <w:tc>
          <w:tcPr>
            <w:tcW w:w="1782" w:type="dxa"/>
            <w:tcBorders>
              <w:bottom w:val="single" w:sz="4" w:space="0" w:color="auto"/>
            </w:tcBorders>
          </w:tcPr>
          <w:p w:rsidR="00673E82" w:rsidRPr="00E053E9" w:rsidRDefault="00673E82" w:rsidP="00673E82">
            <w:pPr>
              <w:adjustRightInd w:val="0"/>
              <w:snapToGrid w:val="0"/>
              <w:spacing w:line="360" w:lineRule="auto"/>
              <w:jc w:val="center"/>
              <w:rPr>
                <w:rFonts w:ascii="Book Antiqua" w:hAnsi="Book Antiqua" w:cs="Times New Roman"/>
              </w:rPr>
            </w:pPr>
            <w:r w:rsidRPr="00E053E9">
              <w:rPr>
                <w:rFonts w:ascii="Book Antiqua" w:hAnsi="Book Antiqua" w:cs="Times New Roman"/>
              </w:rPr>
              <w:t>Short-term 84.5%.</w:t>
            </w:r>
          </w:p>
          <w:p w:rsidR="00673E82" w:rsidRPr="00E053E9" w:rsidRDefault="00673E82" w:rsidP="00673E82">
            <w:pPr>
              <w:adjustRightInd w:val="0"/>
              <w:snapToGrid w:val="0"/>
              <w:spacing w:line="360" w:lineRule="auto"/>
              <w:jc w:val="center"/>
              <w:rPr>
                <w:rFonts w:ascii="Book Antiqua" w:hAnsi="Book Antiqua" w:cs="Times New Roman"/>
              </w:rPr>
            </w:pPr>
            <w:r w:rsidRPr="00E053E9">
              <w:rPr>
                <w:rFonts w:ascii="Book Antiqua" w:hAnsi="Book Antiqua" w:cs="Times New Roman"/>
              </w:rPr>
              <w:t>Long-term</w:t>
            </w:r>
          </w:p>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Times New Roman"/>
              </w:rPr>
              <w:t xml:space="preserve">61.4% </w:t>
            </w:r>
            <w:r w:rsidRPr="00E053E9">
              <w:rPr>
                <w:rFonts w:ascii="Book Antiqua" w:hAnsi="Book Antiqua" w:cs="Times New Roman"/>
                <w:i/>
              </w:rPr>
              <w:t>vs</w:t>
            </w:r>
            <w:r w:rsidRPr="00E053E9">
              <w:rPr>
                <w:rFonts w:ascii="Book Antiqua" w:hAnsi="Book Antiqua" w:cs="Times New Roman"/>
              </w:rPr>
              <w:t xml:space="preserve"> 16.7% placebo, </w:t>
            </w:r>
            <w:r w:rsidRPr="00E053E9">
              <w:rPr>
                <w:rFonts w:ascii="Book Antiqua" w:hAnsi="Book Antiqua" w:cs="Times New Roman"/>
                <w:i/>
              </w:rPr>
              <w:t xml:space="preserve">P &lt; </w:t>
            </w:r>
            <w:r w:rsidRPr="00E053E9">
              <w:rPr>
                <w:rFonts w:ascii="Book Antiqua" w:hAnsi="Book Antiqua" w:cs="Times New Roman"/>
              </w:rPr>
              <w:t>0.001</w:t>
            </w:r>
          </w:p>
        </w:tc>
        <w:tc>
          <w:tcPr>
            <w:tcW w:w="1476" w:type="dxa"/>
            <w:tcBorders>
              <w:bottom w:val="single" w:sz="4" w:space="0" w:color="auto"/>
            </w:tcBorders>
          </w:tcPr>
          <w:p w:rsidR="00673E82" w:rsidRPr="00E053E9" w:rsidRDefault="00673E82" w:rsidP="00673E82">
            <w:pPr>
              <w:adjustRightInd w:val="0"/>
              <w:snapToGrid w:val="0"/>
              <w:spacing w:line="360" w:lineRule="auto"/>
              <w:jc w:val="center"/>
              <w:rPr>
                <w:rFonts w:ascii="Book Antiqua" w:hAnsi="Book Antiqua" w:cs="Arial"/>
              </w:rPr>
            </w:pPr>
            <w:r w:rsidRPr="00E053E9">
              <w:rPr>
                <w:rFonts w:ascii="Book Antiqua" w:hAnsi="Book Antiqua" w:cs="Arial"/>
              </w:rPr>
              <w:t xml:space="preserve">82.1% </w:t>
            </w:r>
            <w:r w:rsidRPr="00E053E9">
              <w:rPr>
                <w:rFonts w:ascii="Book Antiqua" w:hAnsi="Book Antiqua" w:cs="Arial"/>
                <w:i/>
              </w:rPr>
              <w:t>vs</w:t>
            </w:r>
            <w:r w:rsidRPr="00E053E9">
              <w:rPr>
                <w:rFonts w:ascii="Book Antiqua" w:hAnsi="Book Antiqua" w:cs="Arial"/>
              </w:rPr>
              <w:t xml:space="preserve"> 12.5% placebo</w:t>
            </w:r>
          </w:p>
        </w:tc>
      </w:tr>
    </w:tbl>
    <w:p w:rsidR="00673E82" w:rsidRPr="00E053E9" w:rsidRDefault="00673E82" w:rsidP="00673E82">
      <w:pPr>
        <w:adjustRightInd w:val="0"/>
        <w:snapToGrid w:val="0"/>
        <w:spacing w:line="360" w:lineRule="auto"/>
        <w:jc w:val="both"/>
        <w:rPr>
          <w:rFonts w:ascii="Book Antiqua" w:eastAsia="SimSun" w:hAnsi="Book Antiqua" w:cs="Arial"/>
          <w:lang w:eastAsia="zh-CN"/>
        </w:rPr>
      </w:pPr>
      <w:r w:rsidRPr="00E053E9">
        <w:rPr>
          <w:rFonts w:ascii="Book Antiqua" w:eastAsia="SimSun" w:hAnsi="Book Antiqua" w:cs="Arial"/>
          <w:vertAlign w:val="superscript"/>
        </w:rPr>
        <w:t>1</w:t>
      </w:r>
      <w:r w:rsidRPr="00E053E9">
        <w:rPr>
          <w:rFonts w:ascii="Book Antiqua" w:eastAsia="SimSun" w:hAnsi="Book Antiqua" w:cs="Arial"/>
        </w:rPr>
        <w:t xml:space="preserve">Short-term remission rate is within 6 </w:t>
      </w:r>
      <w:r w:rsidRPr="00E053E9">
        <w:rPr>
          <w:rFonts w:ascii="Book Antiqua" w:eastAsia="SimSun" w:hAnsi="Book Antiqua" w:cs="Arial" w:hint="eastAsia"/>
          <w:lang w:eastAsia="zh-CN"/>
        </w:rPr>
        <w:t>wk</w:t>
      </w:r>
      <w:r w:rsidRPr="00E053E9">
        <w:rPr>
          <w:rFonts w:ascii="Book Antiqua" w:eastAsia="SimSun" w:hAnsi="Book Antiqua" w:cs="Arial"/>
        </w:rPr>
        <w:t xml:space="preserve"> during induction phase.</w:t>
      </w:r>
      <w:r w:rsidR="00C02D8F" w:rsidRPr="00E053E9">
        <w:rPr>
          <w:rFonts w:ascii="Book Antiqua" w:eastAsia="SimSun" w:hAnsi="Book Antiqua" w:cs="Arial"/>
        </w:rPr>
        <w:t xml:space="preserve"> </w:t>
      </w:r>
      <w:r w:rsidRPr="00E053E9">
        <w:rPr>
          <w:rFonts w:ascii="Book Antiqua" w:eastAsia="SimSun" w:hAnsi="Book Antiqua" w:cs="Arial"/>
        </w:rPr>
        <w:t xml:space="preserve">Long-term remission rate is at 6 </w:t>
      </w:r>
      <w:r w:rsidRPr="00E053E9">
        <w:rPr>
          <w:rFonts w:ascii="Book Antiqua" w:eastAsia="SimSun" w:hAnsi="Book Antiqua" w:cs="Arial" w:hint="eastAsia"/>
          <w:lang w:eastAsia="zh-CN"/>
        </w:rPr>
        <w:t>mo</w:t>
      </w:r>
      <w:r w:rsidRPr="00E053E9">
        <w:rPr>
          <w:rFonts w:ascii="Book Antiqua" w:eastAsia="SimSun" w:hAnsi="Book Antiqua" w:cs="Arial"/>
        </w:rPr>
        <w:t xml:space="preserve"> of maintenance therapy, unless otherwise specified</w:t>
      </w:r>
      <w:r w:rsidRPr="00E053E9">
        <w:rPr>
          <w:rFonts w:ascii="Book Antiqua" w:eastAsia="SimSun" w:hAnsi="Book Antiqua" w:cs="Arial" w:hint="eastAsia"/>
          <w:lang w:eastAsia="zh-CN"/>
        </w:rPr>
        <w:t xml:space="preserve">; </w:t>
      </w:r>
      <w:r w:rsidRPr="00E053E9">
        <w:rPr>
          <w:rFonts w:ascii="Book Antiqua" w:eastAsia="SimSun" w:hAnsi="Book Antiqua" w:cs="Arial"/>
          <w:vertAlign w:val="superscript"/>
        </w:rPr>
        <w:t>2</w:t>
      </w:r>
      <w:r w:rsidRPr="00E053E9">
        <w:rPr>
          <w:rFonts w:ascii="Book Antiqua" w:eastAsia="SimSun" w:hAnsi="Book Antiqua" w:cs="Arial"/>
        </w:rPr>
        <w:t>After discontinuation of therapy</w:t>
      </w:r>
      <w:r w:rsidRPr="00E053E9">
        <w:rPr>
          <w:rFonts w:ascii="Book Antiqua" w:eastAsia="SimSun" w:hAnsi="Book Antiqua" w:cs="Arial" w:hint="eastAsia"/>
          <w:lang w:eastAsia="zh-CN"/>
        </w:rPr>
        <w:t>.</w:t>
      </w:r>
    </w:p>
    <w:p w:rsidR="00673E82" w:rsidRPr="00E053E9" w:rsidRDefault="00673E82" w:rsidP="00673E82">
      <w:pPr>
        <w:adjustRightInd w:val="0"/>
        <w:snapToGrid w:val="0"/>
        <w:spacing w:line="360" w:lineRule="auto"/>
        <w:jc w:val="both"/>
        <w:rPr>
          <w:rFonts w:ascii="Book Antiqua" w:eastAsiaTheme="minorEastAsia" w:hAnsi="Book Antiqua" w:cs="Arial"/>
          <w:lang w:eastAsia="zh-CN"/>
        </w:rPr>
      </w:pPr>
    </w:p>
    <w:p w:rsidR="00673E82" w:rsidRPr="00E053E9" w:rsidRDefault="004930D0" w:rsidP="00673E82">
      <w:pPr>
        <w:adjustRightInd w:val="0"/>
        <w:snapToGrid w:val="0"/>
        <w:spacing w:line="360" w:lineRule="auto"/>
        <w:jc w:val="both"/>
        <w:rPr>
          <w:rFonts w:ascii="Book Antiqua" w:eastAsia="SimSun" w:hAnsi="Book Antiqua" w:cs="Times New Roman"/>
          <w:b/>
        </w:rPr>
      </w:pPr>
      <w:r w:rsidRPr="00E053E9">
        <w:rPr>
          <w:rFonts w:ascii="Book Antiqua" w:eastAsia="SimSun" w:hAnsi="Book Antiqua" w:cs="Times New Roman"/>
          <w:b/>
        </w:rPr>
        <w:t>Table 3</w:t>
      </w:r>
      <w:r w:rsidR="00C02D8F" w:rsidRPr="00E053E9">
        <w:rPr>
          <w:rFonts w:ascii="Book Antiqua" w:eastAsia="SimSun" w:hAnsi="Book Antiqua" w:cs="Times New Roman"/>
          <w:b/>
        </w:rPr>
        <w:t xml:space="preserve"> </w:t>
      </w:r>
      <w:r w:rsidR="00673E82" w:rsidRPr="00E053E9">
        <w:rPr>
          <w:rFonts w:ascii="Book Antiqua" w:eastAsia="SimSun" w:hAnsi="Book Antiqua" w:cs="Times New Roman"/>
          <w:b/>
        </w:rPr>
        <w:t>Response rate to immunomodulators and anti-</w:t>
      </w:r>
      <w:r w:rsidRPr="00E053E9">
        <w:rPr>
          <w:rFonts w:ascii="Book Antiqua" w:eastAsia="SimSun" w:hAnsi="Book Antiqua" w:cs="Times New Roman"/>
          <w:b/>
        </w:rPr>
        <w:t>tumor necrosis factor</w:t>
      </w:r>
      <w:r w:rsidRPr="00E053E9">
        <w:rPr>
          <w:rFonts w:ascii="Book Antiqua" w:eastAsia="SimSun" w:hAnsi="Book Antiqua" w:cs="Times New Roman" w:hint="eastAsia"/>
          <w:b/>
          <w:lang w:eastAsia="zh-CN"/>
        </w:rPr>
        <w:t xml:space="preserve"> </w:t>
      </w:r>
      <w:r w:rsidR="00673E82" w:rsidRPr="00E053E9">
        <w:rPr>
          <w:rFonts w:ascii="Book Antiqua" w:eastAsia="SimSun" w:hAnsi="Book Antiqua" w:cs="Times New Roman"/>
          <w:b/>
        </w:rPr>
        <w:t>for severe or refractory microscopic colitis</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185"/>
        <w:gridCol w:w="843"/>
        <w:gridCol w:w="2673"/>
        <w:gridCol w:w="1524"/>
        <w:gridCol w:w="1270"/>
      </w:tblGrid>
      <w:tr w:rsidR="00E053E9" w:rsidRPr="00E053E9" w:rsidTr="004930D0">
        <w:tc>
          <w:tcPr>
            <w:tcW w:w="1594" w:type="dxa"/>
            <w:tcBorders>
              <w:top w:val="single" w:sz="4" w:space="0" w:color="auto"/>
              <w:bottom w:val="single" w:sz="4" w:space="0" w:color="auto"/>
            </w:tcBorders>
          </w:tcPr>
          <w:p w:rsidR="00673E82" w:rsidRPr="00E053E9" w:rsidRDefault="00673E82" w:rsidP="004930D0">
            <w:pPr>
              <w:adjustRightInd w:val="0"/>
              <w:snapToGrid w:val="0"/>
              <w:spacing w:line="360" w:lineRule="auto"/>
              <w:rPr>
                <w:rFonts w:ascii="Book Antiqua" w:hAnsi="Book Antiqua" w:cs="Times New Roman"/>
                <w:b/>
              </w:rPr>
            </w:pPr>
          </w:p>
        </w:tc>
        <w:tc>
          <w:tcPr>
            <w:tcW w:w="1214" w:type="dxa"/>
            <w:tcBorders>
              <w:top w:val="single" w:sz="4" w:space="0" w:color="auto"/>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b/>
              </w:rPr>
            </w:pPr>
            <w:r w:rsidRPr="00E053E9">
              <w:rPr>
                <w:rFonts w:ascii="Book Antiqua" w:hAnsi="Book Antiqua" w:cs="Times New Roman"/>
                <w:b/>
              </w:rPr>
              <w:t>Number of patients</w:t>
            </w:r>
          </w:p>
        </w:tc>
        <w:tc>
          <w:tcPr>
            <w:tcW w:w="810" w:type="dxa"/>
            <w:tcBorders>
              <w:top w:val="single" w:sz="4" w:space="0" w:color="auto"/>
              <w:bottom w:val="single" w:sz="4" w:space="0" w:color="auto"/>
            </w:tcBorders>
          </w:tcPr>
          <w:p w:rsidR="00673E82" w:rsidRPr="00E053E9" w:rsidRDefault="00673E82" w:rsidP="004930D0">
            <w:pPr>
              <w:adjustRightInd w:val="0"/>
              <w:snapToGrid w:val="0"/>
              <w:spacing w:line="360" w:lineRule="auto"/>
              <w:jc w:val="center"/>
              <w:rPr>
                <w:rFonts w:ascii="Book Antiqua" w:eastAsiaTheme="minorEastAsia" w:hAnsi="Book Antiqua" w:cs="Times New Roman"/>
                <w:b/>
                <w:lang w:eastAsia="zh-CN"/>
              </w:rPr>
            </w:pPr>
            <w:r w:rsidRPr="00E053E9">
              <w:rPr>
                <w:rFonts w:ascii="Book Antiqua" w:hAnsi="Book Antiqua" w:cs="Times New Roman"/>
                <w:b/>
              </w:rPr>
              <w:t xml:space="preserve">Mean </w:t>
            </w:r>
            <w:r w:rsidR="0057487F" w:rsidRPr="00E053E9">
              <w:rPr>
                <w:rFonts w:ascii="Book Antiqua" w:hAnsi="Book Antiqua" w:cs="Times New Roman"/>
                <w:b/>
              </w:rPr>
              <w:t>age</w:t>
            </w:r>
            <w:r w:rsidR="0057487F" w:rsidRPr="00E053E9">
              <w:rPr>
                <w:rFonts w:ascii="Book Antiqua" w:eastAsiaTheme="minorEastAsia" w:hAnsi="Book Antiqua" w:cs="Times New Roman" w:hint="eastAsia"/>
                <w:b/>
                <w:lang w:eastAsia="zh-CN"/>
              </w:rPr>
              <w:t xml:space="preserve"> (yr)</w:t>
            </w:r>
          </w:p>
        </w:tc>
        <w:tc>
          <w:tcPr>
            <w:tcW w:w="3150" w:type="dxa"/>
            <w:tcBorders>
              <w:top w:val="single" w:sz="4" w:space="0" w:color="auto"/>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b/>
              </w:rPr>
            </w:pPr>
            <w:r w:rsidRPr="00E053E9">
              <w:rPr>
                <w:rFonts w:ascii="Book Antiqua" w:hAnsi="Book Antiqua" w:cs="Times New Roman"/>
                <w:b/>
              </w:rPr>
              <w:t>Treatment</w:t>
            </w:r>
          </w:p>
        </w:tc>
        <w:tc>
          <w:tcPr>
            <w:tcW w:w="1710" w:type="dxa"/>
            <w:tcBorders>
              <w:top w:val="single" w:sz="4" w:space="0" w:color="auto"/>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b/>
              </w:rPr>
            </w:pPr>
            <w:r w:rsidRPr="00E053E9">
              <w:rPr>
                <w:rFonts w:ascii="Book Antiqua" w:hAnsi="Book Antiqua" w:cs="Times New Roman"/>
                <w:b/>
              </w:rPr>
              <w:t>Duration of therapy</w:t>
            </w:r>
          </w:p>
        </w:tc>
        <w:tc>
          <w:tcPr>
            <w:tcW w:w="1098" w:type="dxa"/>
            <w:tcBorders>
              <w:top w:val="single" w:sz="4" w:space="0" w:color="auto"/>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b/>
              </w:rPr>
            </w:pPr>
            <w:r w:rsidRPr="00E053E9">
              <w:rPr>
                <w:rFonts w:ascii="Book Antiqua" w:hAnsi="Book Antiqua" w:cs="Times New Roman"/>
                <w:b/>
              </w:rPr>
              <w:t>Response Rate</w:t>
            </w:r>
          </w:p>
        </w:tc>
      </w:tr>
      <w:tr w:rsidR="00E053E9" w:rsidRPr="00E053E9" w:rsidTr="004930D0">
        <w:tc>
          <w:tcPr>
            <w:tcW w:w="1594" w:type="dxa"/>
            <w:tcBorders>
              <w:top w:val="single" w:sz="4" w:space="0" w:color="auto"/>
            </w:tcBorders>
          </w:tcPr>
          <w:p w:rsidR="00673E82" w:rsidRPr="00E053E9" w:rsidRDefault="00673E82" w:rsidP="004930D0">
            <w:pPr>
              <w:adjustRightInd w:val="0"/>
              <w:snapToGrid w:val="0"/>
              <w:spacing w:line="360" w:lineRule="auto"/>
              <w:rPr>
                <w:rFonts w:ascii="Book Antiqua" w:hAnsi="Book Antiqua" w:cs="Times New Roman"/>
              </w:rPr>
            </w:pPr>
            <w:r w:rsidRPr="00E053E9">
              <w:rPr>
                <w:rFonts w:ascii="Book Antiqua" w:hAnsi="Book Antiqua" w:cs="Times New Roman"/>
              </w:rPr>
              <w:t xml:space="preserve">Munch </w:t>
            </w:r>
            <w:r w:rsidRPr="00E053E9">
              <w:rPr>
                <w:rFonts w:ascii="Book Antiqua" w:hAnsi="Book Antiqua" w:cs="Times New Roman"/>
                <w:i/>
              </w:rPr>
              <w:t>et al</w:t>
            </w:r>
            <w:r w:rsidRPr="00E053E9">
              <w:rPr>
                <w:rFonts w:ascii="Book Antiqua" w:hAnsi="Book Antiqua" w:cs="Times New Roman"/>
                <w:vertAlign w:val="superscript"/>
              </w:rPr>
              <w:t>[23]</w:t>
            </w:r>
            <w:r w:rsidRPr="00E053E9">
              <w:rPr>
                <w:rFonts w:ascii="Book Antiqua" w:hAnsi="Book Antiqua" w:cs="Times New Roman"/>
              </w:rPr>
              <w:t>, 2013</w:t>
            </w:r>
          </w:p>
        </w:tc>
        <w:tc>
          <w:tcPr>
            <w:tcW w:w="1214" w:type="dxa"/>
            <w:tcBorders>
              <w:top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46</w:t>
            </w:r>
          </w:p>
        </w:tc>
        <w:tc>
          <w:tcPr>
            <w:tcW w:w="810" w:type="dxa"/>
            <w:tcBorders>
              <w:top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59</w:t>
            </w:r>
          </w:p>
        </w:tc>
        <w:tc>
          <w:tcPr>
            <w:tcW w:w="3150" w:type="dxa"/>
            <w:tcBorders>
              <w:top w:val="single" w:sz="4" w:space="0" w:color="auto"/>
            </w:tcBorders>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Azathioprine or 6-MP 2</w:t>
            </w:r>
            <w:r w:rsidR="0057487F" w:rsidRPr="00E053E9">
              <w:rPr>
                <w:rFonts w:ascii="Book Antiqua" w:eastAsiaTheme="minorEastAsia" w:hAnsi="Book Antiqua" w:cs="Times New Roman" w:hint="eastAsia"/>
                <w:lang w:eastAsia="zh-CN"/>
              </w:rPr>
              <w:t xml:space="preserve"> </w:t>
            </w:r>
            <w:r w:rsidRPr="00E053E9">
              <w:rPr>
                <w:rFonts w:ascii="Book Antiqua" w:hAnsi="Book Antiqua" w:cs="Times New Roman"/>
              </w:rPr>
              <w:t>mg/kg/</w:t>
            </w:r>
            <w:r w:rsidR="0057487F" w:rsidRPr="00E053E9">
              <w:rPr>
                <w:rFonts w:ascii="Book Antiqua" w:eastAsiaTheme="minorEastAsia" w:hAnsi="Book Antiqua" w:cs="Times New Roman" w:hint="eastAsia"/>
                <w:lang w:eastAsia="zh-CN"/>
              </w:rPr>
              <w:t>d</w:t>
            </w:r>
          </w:p>
        </w:tc>
        <w:tc>
          <w:tcPr>
            <w:tcW w:w="1710" w:type="dxa"/>
            <w:tcBorders>
              <w:top w:val="single" w:sz="4" w:space="0" w:color="auto"/>
            </w:tcBorders>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 xml:space="preserve">Variable, 1-57 </w:t>
            </w:r>
            <w:r w:rsidR="0057487F" w:rsidRPr="00E053E9">
              <w:rPr>
                <w:rFonts w:ascii="Book Antiqua" w:eastAsiaTheme="minorEastAsia" w:hAnsi="Book Antiqua" w:cs="Times New Roman" w:hint="eastAsia"/>
                <w:lang w:eastAsia="zh-CN"/>
              </w:rPr>
              <w:t>mo</w:t>
            </w:r>
          </w:p>
        </w:tc>
        <w:tc>
          <w:tcPr>
            <w:tcW w:w="1098" w:type="dxa"/>
            <w:tcBorders>
              <w:top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41%</w:t>
            </w:r>
          </w:p>
        </w:tc>
      </w:tr>
      <w:tr w:rsidR="00E053E9" w:rsidRPr="00E053E9" w:rsidTr="004930D0">
        <w:tc>
          <w:tcPr>
            <w:tcW w:w="1594" w:type="dxa"/>
          </w:tcPr>
          <w:p w:rsidR="00673E82" w:rsidRPr="00E053E9" w:rsidRDefault="00673E82" w:rsidP="004930D0">
            <w:pPr>
              <w:adjustRightInd w:val="0"/>
              <w:snapToGrid w:val="0"/>
              <w:spacing w:line="360" w:lineRule="auto"/>
              <w:rPr>
                <w:rFonts w:ascii="Book Antiqua" w:hAnsi="Book Antiqua" w:cs="Times New Roman"/>
              </w:rPr>
            </w:pPr>
            <w:r w:rsidRPr="00E053E9">
              <w:rPr>
                <w:rFonts w:ascii="Book Antiqua" w:hAnsi="Book Antiqua" w:cs="Times New Roman"/>
              </w:rPr>
              <w:t xml:space="preserve">Pardi </w:t>
            </w:r>
            <w:r w:rsidRPr="00E053E9">
              <w:rPr>
                <w:rFonts w:ascii="Book Antiqua" w:hAnsi="Book Antiqua" w:cs="Times New Roman"/>
                <w:i/>
              </w:rPr>
              <w:t>et al</w:t>
            </w:r>
            <w:r w:rsidRPr="00E053E9">
              <w:rPr>
                <w:rFonts w:ascii="Book Antiqua" w:hAnsi="Book Antiqua" w:cs="Times New Roman"/>
                <w:vertAlign w:val="superscript"/>
              </w:rPr>
              <w:t>[32]</w:t>
            </w:r>
            <w:r w:rsidRPr="00E053E9">
              <w:rPr>
                <w:rFonts w:ascii="Book Antiqua" w:hAnsi="Book Antiqua" w:cs="Times New Roman"/>
              </w:rPr>
              <w:t>,</w:t>
            </w:r>
            <w:r w:rsidR="00C02D8F" w:rsidRPr="00E053E9">
              <w:rPr>
                <w:rFonts w:ascii="Book Antiqua" w:hAnsi="Book Antiqua" w:cs="Times New Roman"/>
              </w:rPr>
              <w:t xml:space="preserve"> </w:t>
            </w:r>
            <w:r w:rsidRPr="00E053E9">
              <w:rPr>
                <w:rFonts w:ascii="Book Antiqua" w:hAnsi="Book Antiqua" w:cs="Times New Roman"/>
              </w:rPr>
              <w:t>2001</w:t>
            </w:r>
          </w:p>
        </w:tc>
        <w:tc>
          <w:tcPr>
            <w:tcW w:w="1214"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9</w:t>
            </w:r>
          </w:p>
        </w:tc>
        <w:tc>
          <w:tcPr>
            <w:tcW w:w="810"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62</w:t>
            </w:r>
          </w:p>
        </w:tc>
        <w:tc>
          <w:tcPr>
            <w:tcW w:w="315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Azathioprine or 6-MP</w:t>
            </w:r>
            <w:r w:rsidR="00C02D8F" w:rsidRPr="00E053E9">
              <w:rPr>
                <w:rFonts w:ascii="Book Antiqua" w:hAnsi="Book Antiqua" w:cs="Times New Roman"/>
              </w:rPr>
              <w:t xml:space="preserve"> </w:t>
            </w:r>
            <w:r w:rsidRPr="00E053E9">
              <w:rPr>
                <w:rFonts w:ascii="Book Antiqua" w:hAnsi="Book Antiqua" w:cs="Times New Roman"/>
              </w:rPr>
              <w:t>2</w:t>
            </w:r>
            <w:r w:rsidR="0057487F" w:rsidRPr="00E053E9">
              <w:rPr>
                <w:rFonts w:ascii="Book Antiqua" w:eastAsiaTheme="minorEastAsia" w:hAnsi="Book Antiqua" w:cs="Times New Roman" w:hint="eastAsia"/>
                <w:lang w:eastAsia="zh-CN"/>
              </w:rPr>
              <w:t xml:space="preserve"> </w:t>
            </w:r>
            <w:r w:rsidRPr="00E053E9">
              <w:rPr>
                <w:rFonts w:ascii="Book Antiqua" w:hAnsi="Book Antiqua" w:cs="Times New Roman"/>
              </w:rPr>
              <w:t>mg/kg/</w:t>
            </w:r>
            <w:r w:rsidR="0057487F" w:rsidRPr="00E053E9">
              <w:rPr>
                <w:rFonts w:ascii="Book Antiqua" w:eastAsiaTheme="minorEastAsia" w:hAnsi="Book Antiqua" w:cs="Times New Roman" w:hint="eastAsia"/>
                <w:lang w:eastAsia="zh-CN"/>
              </w:rPr>
              <w:t>d</w:t>
            </w:r>
          </w:p>
        </w:tc>
        <w:tc>
          <w:tcPr>
            <w:tcW w:w="171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 xml:space="preserve">26 </w:t>
            </w:r>
            <w:r w:rsidR="0057487F" w:rsidRPr="00E053E9">
              <w:rPr>
                <w:rFonts w:ascii="Book Antiqua" w:eastAsiaTheme="minorEastAsia" w:hAnsi="Book Antiqua" w:cs="Times New Roman" w:hint="eastAsia"/>
                <w:lang w:eastAsia="zh-CN"/>
              </w:rPr>
              <w:t>mo</w:t>
            </w:r>
          </w:p>
        </w:tc>
        <w:tc>
          <w:tcPr>
            <w:tcW w:w="1098"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56%</w:t>
            </w:r>
          </w:p>
        </w:tc>
      </w:tr>
      <w:tr w:rsidR="00E053E9" w:rsidRPr="00E053E9" w:rsidTr="004930D0">
        <w:tc>
          <w:tcPr>
            <w:tcW w:w="1594" w:type="dxa"/>
          </w:tcPr>
          <w:p w:rsidR="00673E82" w:rsidRPr="00E053E9" w:rsidRDefault="00673E82" w:rsidP="004930D0">
            <w:pPr>
              <w:adjustRightInd w:val="0"/>
              <w:snapToGrid w:val="0"/>
              <w:spacing w:line="360" w:lineRule="auto"/>
              <w:rPr>
                <w:rFonts w:ascii="Book Antiqua" w:hAnsi="Book Antiqua" w:cs="Times New Roman"/>
              </w:rPr>
            </w:pPr>
            <w:r w:rsidRPr="00E053E9">
              <w:rPr>
                <w:rFonts w:ascii="Book Antiqua" w:hAnsi="Book Antiqua" w:cs="Times New Roman"/>
              </w:rPr>
              <w:t xml:space="preserve">Munch </w:t>
            </w:r>
            <w:r w:rsidRPr="00E053E9">
              <w:rPr>
                <w:rFonts w:ascii="Book Antiqua" w:hAnsi="Book Antiqua" w:cs="Times New Roman"/>
                <w:i/>
              </w:rPr>
              <w:t>et al</w:t>
            </w:r>
            <w:r w:rsidRPr="00E053E9">
              <w:rPr>
                <w:rFonts w:ascii="Book Antiqua" w:hAnsi="Book Antiqua" w:cs="Times New Roman"/>
                <w:vertAlign w:val="superscript"/>
              </w:rPr>
              <w:t>[22]</w:t>
            </w:r>
            <w:r w:rsidRPr="00E053E9">
              <w:rPr>
                <w:rFonts w:ascii="Book Antiqua" w:hAnsi="Book Antiqua" w:cs="Times New Roman"/>
              </w:rPr>
              <w:t>, 2013</w:t>
            </w:r>
          </w:p>
        </w:tc>
        <w:tc>
          <w:tcPr>
            <w:tcW w:w="1214"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9</w:t>
            </w:r>
          </w:p>
        </w:tc>
        <w:tc>
          <w:tcPr>
            <w:tcW w:w="810"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62</w:t>
            </w:r>
          </w:p>
        </w:tc>
        <w:tc>
          <w:tcPr>
            <w:tcW w:w="315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Methotrexate 15-25</w:t>
            </w:r>
            <w:r w:rsidR="0057487F" w:rsidRPr="00E053E9">
              <w:rPr>
                <w:rFonts w:ascii="Book Antiqua" w:eastAsiaTheme="minorEastAsia" w:hAnsi="Book Antiqua" w:cs="Times New Roman" w:hint="eastAsia"/>
                <w:lang w:eastAsia="zh-CN"/>
              </w:rPr>
              <w:t xml:space="preserve"> </w:t>
            </w:r>
            <w:r w:rsidRPr="00E053E9">
              <w:rPr>
                <w:rFonts w:ascii="Book Antiqua" w:hAnsi="Book Antiqua" w:cs="Times New Roman"/>
              </w:rPr>
              <w:t>mg/</w:t>
            </w:r>
            <w:r w:rsidR="0057487F" w:rsidRPr="00E053E9">
              <w:rPr>
                <w:rFonts w:ascii="Book Antiqua" w:eastAsiaTheme="minorEastAsia" w:hAnsi="Book Antiqua" w:cs="Times New Roman" w:hint="eastAsia"/>
                <w:lang w:eastAsia="zh-CN"/>
              </w:rPr>
              <w:t>wk</w:t>
            </w:r>
          </w:p>
        </w:tc>
        <w:tc>
          <w:tcPr>
            <w:tcW w:w="171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 xml:space="preserve">12 </w:t>
            </w:r>
            <w:r w:rsidR="0057487F" w:rsidRPr="00E053E9">
              <w:rPr>
                <w:rFonts w:ascii="Book Antiqua" w:eastAsiaTheme="minorEastAsia" w:hAnsi="Book Antiqua" w:cs="Times New Roman" w:hint="eastAsia"/>
                <w:lang w:eastAsia="zh-CN"/>
              </w:rPr>
              <w:t>wk</w:t>
            </w:r>
          </w:p>
        </w:tc>
        <w:tc>
          <w:tcPr>
            <w:tcW w:w="1098"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0%</w:t>
            </w:r>
          </w:p>
        </w:tc>
      </w:tr>
      <w:tr w:rsidR="00E053E9" w:rsidRPr="00E053E9" w:rsidTr="004930D0">
        <w:tc>
          <w:tcPr>
            <w:tcW w:w="1594" w:type="dxa"/>
          </w:tcPr>
          <w:p w:rsidR="00673E82" w:rsidRPr="00E053E9" w:rsidRDefault="00673E82" w:rsidP="004930D0">
            <w:pPr>
              <w:adjustRightInd w:val="0"/>
              <w:snapToGrid w:val="0"/>
              <w:spacing w:line="360" w:lineRule="auto"/>
              <w:rPr>
                <w:rFonts w:ascii="Book Antiqua" w:hAnsi="Book Antiqua" w:cs="Times New Roman"/>
              </w:rPr>
            </w:pPr>
            <w:r w:rsidRPr="00E053E9">
              <w:rPr>
                <w:rFonts w:ascii="Book Antiqua" w:hAnsi="Book Antiqua" w:cs="Times New Roman"/>
              </w:rPr>
              <w:t xml:space="preserve">Esteve </w:t>
            </w:r>
            <w:r w:rsidRPr="00E053E9">
              <w:rPr>
                <w:rFonts w:ascii="Book Antiqua" w:hAnsi="Book Antiqua" w:cs="Times New Roman"/>
                <w:i/>
              </w:rPr>
              <w:t>et al</w:t>
            </w:r>
            <w:r w:rsidRPr="00E053E9">
              <w:rPr>
                <w:rFonts w:ascii="Book Antiqua" w:hAnsi="Book Antiqua" w:cs="Times New Roman"/>
                <w:vertAlign w:val="superscript"/>
              </w:rPr>
              <w:t>[26]</w:t>
            </w:r>
            <w:r w:rsidRPr="00E053E9">
              <w:rPr>
                <w:rFonts w:ascii="Book Antiqua" w:hAnsi="Book Antiqua" w:cs="Times New Roman"/>
              </w:rPr>
              <w:t>, 2011</w:t>
            </w:r>
          </w:p>
        </w:tc>
        <w:tc>
          <w:tcPr>
            <w:tcW w:w="1214"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4</w:t>
            </w:r>
          </w:p>
        </w:tc>
        <w:tc>
          <w:tcPr>
            <w:tcW w:w="810"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59</w:t>
            </w:r>
          </w:p>
        </w:tc>
        <w:tc>
          <w:tcPr>
            <w:tcW w:w="3150" w:type="dxa"/>
          </w:tcPr>
          <w:p w:rsidR="00673E82" w:rsidRPr="00E053E9" w:rsidRDefault="00673E82" w:rsidP="0057487F">
            <w:pPr>
              <w:adjustRightInd w:val="0"/>
              <w:snapToGrid w:val="0"/>
              <w:spacing w:line="360" w:lineRule="auto"/>
              <w:jc w:val="center"/>
              <w:rPr>
                <w:rFonts w:ascii="Book Antiqua" w:hAnsi="Book Antiqua" w:cs="Times New Roman"/>
              </w:rPr>
            </w:pPr>
            <w:r w:rsidRPr="00E053E9">
              <w:rPr>
                <w:rFonts w:ascii="Book Antiqua" w:hAnsi="Book Antiqua" w:cs="Times New Roman"/>
              </w:rPr>
              <w:t>Infliximab 5</w:t>
            </w:r>
            <w:r w:rsidR="0057487F" w:rsidRPr="00E053E9">
              <w:rPr>
                <w:rFonts w:ascii="Book Antiqua" w:eastAsiaTheme="minorEastAsia" w:hAnsi="Book Antiqua" w:cs="Times New Roman" w:hint="eastAsia"/>
                <w:lang w:eastAsia="zh-CN"/>
              </w:rPr>
              <w:t xml:space="preserve"> </w:t>
            </w:r>
            <w:r w:rsidRPr="00E053E9">
              <w:rPr>
                <w:rFonts w:ascii="Book Antiqua" w:hAnsi="Book Antiqua" w:cs="Times New Roman"/>
              </w:rPr>
              <w:t xml:space="preserve">mg/kg at 0, 2, 6 </w:t>
            </w:r>
            <w:r w:rsidR="0057487F" w:rsidRPr="00E053E9">
              <w:rPr>
                <w:rFonts w:ascii="Book Antiqua" w:eastAsiaTheme="minorEastAsia" w:hAnsi="Book Antiqua" w:cs="Times New Roman" w:hint="eastAsia"/>
                <w:lang w:eastAsia="zh-CN"/>
              </w:rPr>
              <w:t>wk</w:t>
            </w:r>
            <w:r w:rsidRPr="00E053E9">
              <w:rPr>
                <w:rFonts w:ascii="Book Antiqua" w:hAnsi="Book Antiqua" w:cs="Times New Roman"/>
              </w:rPr>
              <w:t xml:space="preserve"> then every 6-8 </w:t>
            </w:r>
            <w:r w:rsidR="0057487F" w:rsidRPr="00E053E9">
              <w:rPr>
                <w:rFonts w:ascii="Book Antiqua" w:eastAsiaTheme="minorEastAsia" w:hAnsi="Book Antiqua" w:cs="Times New Roman" w:hint="eastAsia"/>
                <w:lang w:eastAsia="zh-CN"/>
              </w:rPr>
              <w:t>wk</w:t>
            </w:r>
            <w:r w:rsidRPr="00E053E9">
              <w:rPr>
                <w:rFonts w:ascii="Book Antiqua" w:hAnsi="Book Antiqua" w:cs="Times New Roman"/>
              </w:rPr>
              <w:t xml:space="preserve"> intravenously</w:t>
            </w:r>
          </w:p>
        </w:tc>
        <w:tc>
          <w:tcPr>
            <w:tcW w:w="171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 xml:space="preserve">Variable, 5-14 </w:t>
            </w:r>
            <w:r w:rsidR="0057487F" w:rsidRPr="00E053E9">
              <w:rPr>
                <w:rFonts w:ascii="Book Antiqua" w:eastAsiaTheme="minorEastAsia" w:hAnsi="Book Antiqua" w:cs="Times New Roman" w:hint="eastAsia"/>
                <w:lang w:eastAsia="zh-CN"/>
              </w:rPr>
              <w:t>mo</w:t>
            </w:r>
          </w:p>
        </w:tc>
        <w:tc>
          <w:tcPr>
            <w:tcW w:w="1098"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75%</w:t>
            </w:r>
          </w:p>
        </w:tc>
      </w:tr>
      <w:tr w:rsidR="00E053E9" w:rsidRPr="00E053E9" w:rsidTr="004930D0">
        <w:tc>
          <w:tcPr>
            <w:tcW w:w="1594" w:type="dxa"/>
          </w:tcPr>
          <w:p w:rsidR="00673E82" w:rsidRPr="00E053E9" w:rsidRDefault="00673E82" w:rsidP="004930D0">
            <w:pPr>
              <w:adjustRightInd w:val="0"/>
              <w:snapToGrid w:val="0"/>
              <w:spacing w:line="360" w:lineRule="auto"/>
              <w:rPr>
                <w:rFonts w:ascii="Book Antiqua" w:hAnsi="Book Antiqua" w:cs="Times New Roman"/>
              </w:rPr>
            </w:pPr>
            <w:r w:rsidRPr="00E053E9">
              <w:rPr>
                <w:rFonts w:ascii="Book Antiqua" w:hAnsi="Book Antiqua" w:cs="Times New Roman"/>
              </w:rPr>
              <w:t xml:space="preserve">Munch </w:t>
            </w:r>
            <w:r w:rsidRPr="00E053E9">
              <w:rPr>
                <w:rFonts w:ascii="Book Antiqua" w:hAnsi="Book Antiqua" w:cs="Times New Roman"/>
                <w:i/>
              </w:rPr>
              <w:t>et al</w:t>
            </w:r>
            <w:r w:rsidRPr="00E053E9">
              <w:rPr>
                <w:rFonts w:ascii="Book Antiqua" w:hAnsi="Book Antiqua" w:cs="Times New Roman"/>
                <w:vertAlign w:val="superscript"/>
              </w:rPr>
              <w:t>[27]</w:t>
            </w:r>
            <w:r w:rsidRPr="00E053E9">
              <w:rPr>
                <w:rFonts w:ascii="Book Antiqua" w:hAnsi="Book Antiqua" w:cs="Times New Roman"/>
              </w:rPr>
              <w:t>, 2012</w:t>
            </w:r>
          </w:p>
        </w:tc>
        <w:tc>
          <w:tcPr>
            <w:tcW w:w="1214"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3</w:t>
            </w:r>
          </w:p>
        </w:tc>
        <w:tc>
          <w:tcPr>
            <w:tcW w:w="810"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55</w:t>
            </w:r>
          </w:p>
        </w:tc>
        <w:tc>
          <w:tcPr>
            <w:tcW w:w="315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Adalimumab induction</w:t>
            </w:r>
            <w:r w:rsidRPr="00E053E9">
              <w:rPr>
                <w:rFonts w:ascii="Book Antiqua" w:hAnsi="Book Antiqua" w:cs="Times New Roman"/>
                <w:vertAlign w:val="superscript"/>
              </w:rPr>
              <w:t>1</w:t>
            </w:r>
            <w:r w:rsidRPr="00E053E9">
              <w:rPr>
                <w:rFonts w:ascii="Book Antiqua" w:hAnsi="Book Antiqua" w:cs="Times New Roman"/>
              </w:rPr>
              <w:t xml:space="preserve"> then 40</w:t>
            </w:r>
            <w:r w:rsidR="0057487F" w:rsidRPr="00E053E9">
              <w:rPr>
                <w:rFonts w:ascii="Book Antiqua" w:eastAsiaTheme="minorEastAsia" w:hAnsi="Book Antiqua" w:cs="Times New Roman" w:hint="eastAsia"/>
                <w:lang w:eastAsia="zh-CN"/>
              </w:rPr>
              <w:t xml:space="preserve"> </w:t>
            </w:r>
            <w:r w:rsidRPr="00E053E9">
              <w:rPr>
                <w:rFonts w:ascii="Book Antiqua" w:hAnsi="Book Antiqua" w:cs="Times New Roman"/>
              </w:rPr>
              <w:t>mg subcutaneously</w:t>
            </w:r>
            <w:r w:rsidR="00C02D8F" w:rsidRPr="00E053E9">
              <w:rPr>
                <w:rFonts w:ascii="Book Antiqua" w:hAnsi="Book Antiqua" w:cs="Times New Roman"/>
              </w:rPr>
              <w:t xml:space="preserve"> </w:t>
            </w:r>
            <w:r w:rsidRPr="00E053E9">
              <w:rPr>
                <w:rFonts w:ascii="Book Antiqua" w:hAnsi="Book Antiqua" w:cs="Times New Roman"/>
              </w:rPr>
              <w:t xml:space="preserve">every </w:t>
            </w:r>
            <w:r w:rsidRPr="00E053E9">
              <w:rPr>
                <w:rFonts w:ascii="Book Antiqua" w:hAnsi="Book Antiqua" w:cs="Times New Roman"/>
              </w:rPr>
              <w:lastRenderedPageBreak/>
              <w:t xml:space="preserve">2 </w:t>
            </w:r>
            <w:r w:rsidR="0057487F" w:rsidRPr="00E053E9">
              <w:rPr>
                <w:rFonts w:ascii="Book Antiqua" w:eastAsiaTheme="minorEastAsia" w:hAnsi="Book Antiqua" w:cs="Times New Roman" w:hint="eastAsia"/>
                <w:lang w:eastAsia="zh-CN"/>
              </w:rPr>
              <w:t>wk</w:t>
            </w:r>
          </w:p>
        </w:tc>
        <w:tc>
          <w:tcPr>
            <w:tcW w:w="1710" w:type="dxa"/>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lastRenderedPageBreak/>
              <w:t xml:space="preserve">6 </w:t>
            </w:r>
            <w:r w:rsidR="0057487F" w:rsidRPr="00E053E9">
              <w:rPr>
                <w:rFonts w:ascii="Book Antiqua" w:eastAsiaTheme="minorEastAsia" w:hAnsi="Book Antiqua" w:cs="Times New Roman" w:hint="eastAsia"/>
                <w:lang w:eastAsia="zh-CN"/>
              </w:rPr>
              <w:t>wk</w:t>
            </w:r>
          </w:p>
        </w:tc>
        <w:tc>
          <w:tcPr>
            <w:tcW w:w="1098" w:type="dxa"/>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66%</w:t>
            </w:r>
          </w:p>
        </w:tc>
      </w:tr>
      <w:tr w:rsidR="00E053E9" w:rsidRPr="00E053E9" w:rsidTr="004930D0">
        <w:tc>
          <w:tcPr>
            <w:tcW w:w="1594" w:type="dxa"/>
            <w:tcBorders>
              <w:bottom w:val="single" w:sz="4" w:space="0" w:color="auto"/>
            </w:tcBorders>
          </w:tcPr>
          <w:p w:rsidR="00673E82" w:rsidRPr="00E053E9" w:rsidRDefault="00673E82" w:rsidP="004930D0">
            <w:pPr>
              <w:adjustRightInd w:val="0"/>
              <w:snapToGrid w:val="0"/>
              <w:spacing w:line="360" w:lineRule="auto"/>
              <w:rPr>
                <w:rFonts w:ascii="Book Antiqua" w:hAnsi="Book Antiqua" w:cs="Times New Roman"/>
              </w:rPr>
            </w:pPr>
            <w:r w:rsidRPr="00E053E9">
              <w:rPr>
                <w:rFonts w:ascii="Book Antiqua" w:hAnsi="Book Antiqua" w:cs="Times New Roman"/>
              </w:rPr>
              <w:lastRenderedPageBreak/>
              <w:t>Pola</w:t>
            </w:r>
            <w:r w:rsidRPr="00E053E9">
              <w:rPr>
                <w:rFonts w:ascii="Book Antiqua" w:hAnsi="Book Antiqua" w:cs="Times New Roman"/>
                <w:i/>
              </w:rPr>
              <w:t xml:space="preserve"> et al</w:t>
            </w:r>
            <w:r w:rsidRPr="00E053E9">
              <w:rPr>
                <w:rFonts w:ascii="Book Antiqua" w:hAnsi="Book Antiqua" w:cs="Times New Roman"/>
                <w:vertAlign w:val="superscript"/>
              </w:rPr>
              <w:t>[25]</w:t>
            </w:r>
            <w:r w:rsidRPr="00E053E9">
              <w:rPr>
                <w:rFonts w:ascii="Book Antiqua" w:hAnsi="Book Antiqua" w:cs="Times New Roman"/>
              </w:rPr>
              <w:t>, 2013</w:t>
            </w:r>
          </w:p>
        </w:tc>
        <w:tc>
          <w:tcPr>
            <w:tcW w:w="1214" w:type="dxa"/>
            <w:tcBorders>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1</w:t>
            </w:r>
          </w:p>
        </w:tc>
        <w:tc>
          <w:tcPr>
            <w:tcW w:w="810" w:type="dxa"/>
            <w:tcBorders>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58</w:t>
            </w:r>
          </w:p>
        </w:tc>
        <w:tc>
          <w:tcPr>
            <w:tcW w:w="3150" w:type="dxa"/>
            <w:tcBorders>
              <w:bottom w:val="single" w:sz="4" w:space="0" w:color="auto"/>
            </w:tcBorders>
          </w:tcPr>
          <w:p w:rsidR="00673E82" w:rsidRPr="00E053E9" w:rsidRDefault="00673E82" w:rsidP="0057487F">
            <w:pPr>
              <w:adjustRightInd w:val="0"/>
              <w:snapToGrid w:val="0"/>
              <w:spacing w:line="360" w:lineRule="auto"/>
              <w:jc w:val="center"/>
              <w:rPr>
                <w:rFonts w:ascii="Book Antiqua" w:hAnsi="Book Antiqua" w:cs="Times New Roman"/>
              </w:rPr>
            </w:pPr>
            <w:r w:rsidRPr="00E053E9">
              <w:rPr>
                <w:rFonts w:ascii="Book Antiqua" w:hAnsi="Book Antiqua" w:cs="Times New Roman"/>
              </w:rPr>
              <w:t>Infliximab 5</w:t>
            </w:r>
            <w:r w:rsidR="0057487F" w:rsidRPr="00E053E9">
              <w:rPr>
                <w:rFonts w:ascii="Book Antiqua" w:eastAsiaTheme="minorEastAsia" w:hAnsi="Book Antiqua" w:cs="Times New Roman" w:hint="eastAsia"/>
                <w:lang w:eastAsia="zh-CN"/>
              </w:rPr>
              <w:t xml:space="preserve"> </w:t>
            </w:r>
            <w:r w:rsidRPr="00E053E9">
              <w:rPr>
                <w:rFonts w:ascii="Book Antiqua" w:hAnsi="Book Antiqua" w:cs="Times New Roman"/>
              </w:rPr>
              <w:t xml:space="preserve">mg/kg at 0, 2, 6 </w:t>
            </w:r>
            <w:r w:rsidR="0057487F" w:rsidRPr="00E053E9">
              <w:rPr>
                <w:rFonts w:ascii="Book Antiqua" w:eastAsiaTheme="minorEastAsia" w:hAnsi="Book Antiqua" w:cs="Times New Roman" w:hint="eastAsia"/>
                <w:lang w:eastAsia="zh-CN"/>
              </w:rPr>
              <w:t>wk</w:t>
            </w:r>
            <w:r w:rsidRPr="00E053E9">
              <w:rPr>
                <w:rFonts w:ascii="Book Antiqua" w:hAnsi="Book Antiqua" w:cs="Times New Roman"/>
              </w:rPr>
              <w:t xml:space="preserve"> then every 8 </w:t>
            </w:r>
            <w:r w:rsidR="0057487F" w:rsidRPr="00E053E9">
              <w:rPr>
                <w:rFonts w:ascii="Book Antiqua" w:eastAsiaTheme="minorEastAsia" w:hAnsi="Book Antiqua" w:cs="Times New Roman" w:hint="eastAsia"/>
                <w:lang w:eastAsia="zh-CN"/>
              </w:rPr>
              <w:t>wk</w:t>
            </w:r>
            <w:r w:rsidRPr="00E053E9">
              <w:rPr>
                <w:rFonts w:ascii="Book Antiqua" w:hAnsi="Book Antiqua" w:cs="Times New Roman"/>
              </w:rPr>
              <w:t xml:space="preserve"> intravenously</w:t>
            </w:r>
          </w:p>
        </w:tc>
        <w:tc>
          <w:tcPr>
            <w:tcW w:w="1710" w:type="dxa"/>
            <w:tcBorders>
              <w:bottom w:val="single" w:sz="4" w:space="0" w:color="auto"/>
            </w:tcBorders>
          </w:tcPr>
          <w:p w:rsidR="00673E82" w:rsidRPr="00E053E9" w:rsidRDefault="00673E82" w:rsidP="0057487F">
            <w:pPr>
              <w:adjustRightInd w:val="0"/>
              <w:snapToGrid w:val="0"/>
              <w:spacing w:line="360" w:lineRule="auto"/>
              <w:jc w:val="center"/>
              <w:rPr>
                <w:rFonts w:ascii="Book Antiqua" w:eastAsiaTheme="minorEastAsia" w:hAnsi="Book Antiqua" w:cs="Times New Roman"/>
                <w:lang w:eastAsia="zh-CN"/>
              </w:rPr>
            </w:pPr>
            <w:r w:rsidRPr="00E053E9">
              <w:rPr>
                <w:rFonts w:ascii="Book Antiqua" w:hAnsi="Book Antiqua" w:cs="Times New Roman"/>
              </w:rPr>
              <w:t xml:space="preserve">6 </w:t>
            </w:r>
            <w:r w:rsidR="0057487F" w:rsidRPr="00E053E9">
              <w:rPr>
                <w:rFonts w:ascii="Book Antiqua" w:eastAsiaTheme="minorEastAsia" w:hAnsi="Book Antiqua" w:cs="Times New Roman" w:hint="eastAsia"/>
                <w:lang w:eastAsia="zh-CN"/>
              </w:rPr>
              <w:t>mo</w:t>
            </w:r>
          </w:p>
        </w:tc>
        <w:tc>
          <w:tcPr>
            <w:tcW w:w="1098" w:type="dxa"/>
            <w:tcBorders>
              <w:bottom w:val="single" w:sz="4" w:space="0" w:color="auto"/>
            </w:tcBorders>
          </w:tcPr>
          <w:p w:rsidR="00673E82" w:rsidRPr="00E053E9" w:rsidRDefault="00673E82" w:rsidP="004930D0">
            <w:pPr>
              <w:adjustRightInd w:val="0"/>
              <w:snapToGrid w:val="0"/>
              <w:spacing w:line="360" w:lineRule="auto"/>
              <w:jc w:val="center"/>
              <w:rPr>
                <w:rFonts w:ascii="Book Antiqua" w:hAnsi="Book Antiqua" w:cs="Times New Roman"/>
              </w:rPr>
            </w:pPr>
            <w:r w:rsidRPr="00E053E9">
              <w:rPr>
                <w:rFonts w:ascii="Book Antiqua" w:hAnsi="Book Antiqua" w:cs="Times New Roman"/>
              </w:rPr>
              <w:t>100%</w:t>
            </w:r>
          </w:p>
        </w:tc>
      </w:tr>
    </w:tbl>
    <w:p w:rsidR="00673E82" w:rsidRPr="00E053E9" w:rsidRDefault="00673E82" w:rsidP="00673E82">
      <w:pPr>
        <w:adjustRightInd w:val="0"/>
        <w:snapToGrid w:val="0"/>
        <w:spacing w:line="360" w:lineRule="auto"/>
        <w:jc w:val="both"/>
        <w:rPr>
          <w:rFonts w:ascii="Book Antiqua" w:eastAsia="SimSun" w:hAnsi="Book Antiqua" w:cs="Times New Roman"/>
          <w:lang w:eastAsia="zh-CN"/>
        </w:rPr>
      </w:pPr>
      <w:r w:rsidRPr="00E053E9">
        <w:rPr>
          <w:rFonts w:ascii="Book Antiqua" w:eastAsia="SimSun" w:hAnsi="Book Antiqua" w:cs="Times New Roman"/>
          <w:vertAlign w:val="superscript"/>
        </w:rPr>
        <w:t>1</w:t>
      </w:r>
      <w:r w:rsidRPr="00E053E9">
        <w:rPr>
          <w:rFonts w:ascii="Book Antiqua" w:eastAsia="SimSun" w:hAnsi="Book Antiqua" w:cs="Times New Roman"/>
        </w:rPr>
        <w:t>Adalimumab induction:</w:t>
      </w:r>
      <w:r w:rsidR="00C02D8F" w:rsidRPr="00E053E9">
        <w:rPr>
          <w:rFonts w:ascii="Book Antiqua" w:eastAsia="SimSun" w:hAnsi="Book Antiqua" w:cs="Times New Roman"/>
        </w:rPr>
        <w:t xml:space="preserve"> </w:t>
      </w:r>
      <w:r w:rsidRPr="00E053E9">
        <w:rPr>
          <w:rFonts w:ascii="Book Antiqua" w:eastAsia="SimSun" w:hAnsi="Book Antiqua" w:cs="Times New Roman"/>
        </w:rPr>
        <w:t>160</w:t>
      </w:r>
      <w:r w:rsidR="0057487F" w:rsidRPr="00E053E9">
        <w:rPr>
          <w:rFonts w:ascii="Book Antiqua" w:eastAsia="SimSun" w:hAnsi="Book Antiqua" w:cs="Times New Roman" w:hint="eastAsia"/>
          <w:lang w:eastAsia="zh-CN"/>
        </w:rPr>
        <w:t xml:space="preserve"> </w:t>
      </w:r>
      <w:r w:rsidRPr="00E053E9">
        <w:rPr>
          <w:rFonts w:ascii="Book Antiqua" w:eastAsia="SimSun" w:hAnsi="Book Antiqua" w:cs="Times New Roman"/>
        </w:rPr>
        <w:t>mg (week 0), 80</w:t>
      </w:r>
      <w:r w:rsidR="0057487F" w:rsidRPr="00E053E9">
        <w:rPr>
          <w:rFonts w:ascii="Book Antiqua" w:eastAsia="SimSun" w:hAnsi="Book Antiqua" w:cs="Times New Roman" w:hint="eastAsia"/>
          <w:lang w:eastAsia="zh-CN"/>
        </w:rPr>
        <w:t xml:space="preserve"> </w:t>
      </w:r>
      <w:r w:rsidRPr="00E053E9">
        <w:rPr>
          <w:rFonts w:ascii="Book Antiqua" w:eastAsia="SimSun" w:hAnsi="Book Antiqua" w:cs="Times New Roman"/>
        </w:rPr>
        <w:t>mg (week 2), and 40</w:t>
      </w:r>
      <w:r w:rsidR="0057487F" w:rsidRPr="00E053E9">
        <w:rPr>
          <w:rFonts w:ascii="Book Antiqua" w:eastAsia="SimSun" w:hAnsi="Book Antiqua" w:cs="Times New Roman" w:hint="eastAsia"/>
          <w:lang w:eastAsia="zh-CN"/>
        </w:rPr>
        <w:t xml:space="preserve"> </w:t>
      </w:r>
      <w:r w:rsidRPr="00E053E9">
        <w:rPr>
          <w:rFonts w:ascii="Book Antiqua" w:eastAsia="SimSun" w:hAnsi="Book Antiqua" w:cs="Times New Roman"/>
        </w:rPr>
        <w:t>mg (week 4)</w:t>
      </w:r>
      <w:r w:rsidR="0057487F" w:rsidRPr="00E053E9">
        <w:rPr>
          <w:rFonts w:ascii="Book Antiqua" w:eastAsia="SimSun" w:hAnsi="Book Antiqua" w:cs="Times New Roman" w:hint="eastAsia"/>
          <w:lang w:eastAsia="zh-CN"/>
        </w:rPr>
        <w:t>.</w:t>
      </w:r>
    </w:p>
    <w:p w:rsidR="00673E82" w:rsidRPr="00E053E9" w:rsidRDefault="00673E82" w:rsidP="00673E82">
      <w:pPr>
        <w:adjustRightInd w:val="0"/>
        <w:snapToGrid w:val="0"/>
        <w:spacing w:line="360" w:lineRule="auto"/>
        <w:jc w:val="both"/>
        <w:rPr>
          <w:rFonts w:ascii="Book Antiqua" w:eastAsia="SimSun" w:hAnsi="Book Antiqua" w:cs="Times New Roman"/>
        </w:rPr>
      </w:pPr>
    </w:p>
    <w:p w:rsidR="00673E82" w:rsidRPr="00E053E9" w:rsidRDefault="00673E82" w:rsidP="00673E82">
      <w:pPr>
        <w:adjustRightInd w:val="0"/>
        <w:snapToGrid w:val="0"/>
        <w:spacing w:line="360" w:lineRule="auto"/>
        <w:jc w:val="both"/>
        <w:rPr>
          <w:rFonts w:ascii="Book Antiqua" w:eastAsia="SimSun" w:hAnsi="Book Antiqua" w:cs="Times New Roman"/>
        </w:rPr>
      </w:pPr>
    </w:p>
    <w:p w:rsidR="00673E82" w:rsidRPr="00E053E9" w:rsidRDefault="00673E82" w:rsidP="00673E82">
      <w:pPr>
        <w:rPr>
          <w:rFonts w:ascii="Book Antiqua" w:eastAsia="SimSun" w:hAnsi="Book Antiqua" w:cs="Times New Roman"/>
          <w:sz w:val="20"/>
          <w:szCs w:val="20"/>
        </w:rPr>
      </w:pPr>
    </w:p>
    <w:p w:rsidR="00730409" w:rsidRPr="00E053E9" w:rsidRDefault="00730409" w:rsidP="00730409">
      <w:pPr>
        <w:adjustRightInd w:val="0"/>
        <w:snapToGrid w:val="0"/>
        <w:spacing w:line="360" w:lineRule="auto"/>
        <w:jc w:val="both"/>
        <w:rPr>
          <w:rFonts w:ascii="Book Antiqua" w:hAnsi="Book Antiqua"/>
        </w:rPr>
      </w:pPr>
    </w:p>
    <w:p w:rsidR="00730409" w:rsidRPr="00E053E9" w:rsidRDefault="00730409" w:rsidP="00730409">
      <w:pPr>
        <w:adjustRightInd w:val="0"/>
        <w:snapToGrid w:val="0"/>
        <w:spacing w:line="360" w:lineRule="auto"/>
        <w:jc w:val="both"/>
        <w:rPr>
          <w:rFonts w:ascii="Book Antiqua" w:hAnsi="Book Antiqua"/>
        </w:rPr>
      </w:pPr>
    </w:p>
    <w:p w:rsidR="00BB3BDF" w:rsidRPr="00E053E9" w:rsidRDefault="00730409" w:rsidP="00730409">
      <w:pPr>
        <w:adjustRightInd w:val="0"/>
        <w:snapToGrid w:val="0"/>
        <w:spacing w:line="360" w:lineRule="auto"/>
        <w:jc w:val="both"/>
        <w:rPr>
          <w:rFonts w:ascii="Book Antiqua" w:hAnsi="Book Antiqua"/>
        </w:rPr>
      </w:pPr>
      <w:r w:rsidRPr="00E053E9">
        <w:rPr>
          <w:rFonts w:ascii="Book Antiqua" w:hAnsi="Book Antiqua"/>
        </w:rPr>
        <w:t> </w:t>
      </w:r>
    </w:p>
    <w:sectPr w:rsidR="00BB3BDF" w:rsidRPr="00E053E9" w:rsidSect="00533B6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F32" w:rsidRDefault="005D5F32" w:rsidP="00D11058">
      <w:r>
        <w:separator/>
      </w:r>
    </w:p>
  </w:endnote>
  <w:endnote w:type="continuationSeparator" w:id="0">
    <w:p w:rsidR="005D5F32" w:rsidRDefault="005D5F32" w:rsidP="00D1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ArialMT">
    <w:altName w:val="MS Mincho"/>
    <w:panose1 w:val="00000000000000000000"/>
    <w:charset w:val="80"/>
    <w:family w:val="auto"/>
    <w:notTrueType/>
    <w:pitch w:val="default"/>
    <w:sig w:usb0="00000000" w:usb1="08070000" w:usb2="00000010" w:usb3="00000000" w:csb0="00020000" w:csb1="00000000"/>
  </w:font>
  <w:font w:name="AdvPA0C4">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F32" w:rsidRDefault="005D5F32" w:rsidP="00D11058">
      <w:r>
        <w:separator/>
      </w:r>
    </w:p>
  </w:footnote>
  <w:footnote w:type="continuationSeparator" w:id="0">
    <w:p w:rsidR="005D5F32" w:rsidRDefault="005D5F32" w:rsidP="00D110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1172"/>
    <w:multiLevelType w:val="hybridMultilevel"/>
    <w:tmpl w:val="D6E2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A40CE"/>
    <w:multiLevelType w:val="hybridMultilevel"/>
    <w:tmpl w:val="ABDCAA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1C0B"/>
    <w:multiLevelType w:val="hybridMultilevel"/>
    <w:tmpl w:val="6048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45604A"/>
    <w:multiLevelType w:val="hybridMultilevel"/>
    <w:tmpl w:val="72023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E425C"/>
    <w:multiLevelType w:val="hybridMultilevel"/>
    <w:tmpl w:val="1A8A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7733D6"/>
    <w:multiLevelType w:val="hybridMultilevel"/>
    <w:tmpl w:val="BBCC05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0A5926"/>
    <w:multiLevelType w:val="hybridMultilevel"/>
    <w:tmpl w:val="995AB9E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EF4304B"/>
    <w:multiLevelType w:val="hybridMultilevel"/>
    <w:tmpl w:val="F442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B36AF"/>
    <w:multiLevelType w:val="hybridMultilevel"/>
    <w:tmpl w:val="99B41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0" w15:restartNumberingAfterBreak="0">
    <w:nsid w:val="6FCF1544"/>
    <w:multiLevelType w:val="hybridMultilevel"/>
    <w:tmpl w:val="A5AC5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10"/>
  </w:num>
  <w:num w:numId="4">
    <w:abstractNumId w:val="5"/>
  </w:num>
  <w:num w:numId="5">
    <w:abstractNumId w:val="1"/>
  </w:num>
  <w:num w:numId="6">
    <w:abstractNumId w:val="6"/>
  </w:num>
  <w:num w:numId="7">
    <w:abstractNumId w:val="4"/>
  </w:num>
  <w:num w:numId="8">
    <w:abstractNumId w:val="0"/>
  </w:num>
  <w:num w:numId="9">
    <w:abstractNumId w:val="9"/>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287"/>
    <w:rsid w:val="00001FD5"/>
    <w:rsid w:val="0000259A"/>
    <w:rsid w:val="0000436D"/>
    <w:rsid w:val="00007220"/>
    <w:rsid w:val="00011F98"/>
    <w:rsid w:val="0002217F"/>
    <w:rsid w:val="00023BC2"/>
    <w:rsid w:val="0003538C"/>
    <w:rsid w:val="00035DE1"/>
    <w:rsid w:val="00036734"/>
    <w:rsid w:val="00036F70"/>
    <w:rsid w:val="00040895"/>
    <w:rsid w:val="000453FB"/>
    <w:rsid w:val="00057225"/>
    <w:rsid w:val="000664A0"/>
    <w:rsid w:val="000708A3"/>
    <w:rsid w:val="00070B11"/>
    <w:rsid w:val="000739CD"/>
    <w:rsid w:val="000763DD"/>
    <w:rsid w:val="00081151"/>
    <w:rsid w:val="00081272"/>
    <w:rsid w:val="00085BCF"/>
    <w:rsid w:val="000A72D6"/>
    <w:rsid w:val="000B674E"/>
    <w:rsid w:val="000C1F8C"/>
    <w:rsid w:val="000C329A"/>
    <w:rsid w:val="000C49EA"/>
    <w:rsid w:val="000C54C9"/>
    <w:rsid w:val="000D20C7"/>
    <w:rsid w:val="000D3911"/>
    <w:rsid w:val="000D5EE0"/>
    <w:rsid w:val="000D78B9"/>
    <w:rsid w:val="000E1BE9"/>
    <w:rsid w:val="000E61F9"/>
    <w:rsid w:val="00100EA2"/>
    <w:rsid w:val="00105ABC"/>
    <w:rsid w:val="00116D8B"/>
    <w:rsid w:val="001215E7"/>
    <w:rsid w:val="001225FB"/>
    <w:rsid w:val="00123CE7"/>
    <w:rsid w:val="00124203"/>
    <w:rsid w:val="0013091F"/>
    <w:rsid w:val="00132B4C"/>
    <w:rsid w:val="00134A4A"/>
    <w:rsid w:val="001404C9"/>
    <w:rsid w:val="00152AD2"/>
    <w:rsid w:val="001540A5"/>
    <w:rsid w:val="00162ACB"/>
    <w:rsid w:val="001819E0"/>
    <w:rsid w:val="0018453E"/>
    <w:rsid w:val="00184B0C"/>
    <w:rsid w:val="00191D68"/>
    <w:rsid w:val="001C4B08"/>
    <w:rsid w:val="001C76C9"/>
    <w:rsid w:val="001D1CD1"/>
    <w:rsid w:val="001D4C4F"/>
    <w:rsid w:val="001D626F"/>
    <w:rsid w:val="001E6009"/>
    <w:rsid w:val="001E6BC8"/>
    <w:rsid w:val="001F6359"/>
    <w:rsid w:val="0020100F"/>
    <w:rsid w:val="00202061"/>
    <w:rsid w:val="00211365"/>
    <w:rsid w:val="002157AF"/>
    <w:rsid w:val="00215D34"/>
    <w:rsid w:val="0022075E"/>
    <w:rsid w:val="00221AB9"/>
    <w:rsid w:val="0022311A"/>
    <w:rsid w:val="00224CBA"/>
    <w:rsid w:val="002255DA"/>
    <w:rsid w:val="00232C25"/>
    <w:rsid w:val="00232C94"/>
    <w:rsid w:val="00237FF4"/>
    <w:rsid w:val="00243728"/>
    <w:rsid w:val="002464D9"/>
    <w:rsid w:val="002638CE"/>
    <w:rsid w:val="00266A8E"/>
    <w:rsid w:val="00267EF8"/>
    <w:rsid w:val="00270596"/>
    <w:rsid w:val="00273F73"/>
    <w:rsid w:val="00274326"/>
    <w:rsid w:val="00280622"/>
    <w:rsid w:val="00286163"/>
    <w:rsid w:val="00294D64"/>
    <w:rsid w:val="002A1F53"/>
    <w:rsid w:val="002B3854"/>
    <w:rsid w:val="002B3A77"/>
    <w:rsid w:val="002D0107"/>
    <w:rsid w:val="002D0936"/>
    <w:rsid w:val="002D1A1D"/>
    <w:rsid w:val="002D56F9"/>
    <w:rsid w:val="002D6575"/>
    <w:rsid w:val="002D66EA"/>
    <w:rsid w:val="002F2CEE"/>
    <w:rsid w:val="00306DE1"/>
    <w:rsid w:val="00310698"/>
    <w:rsid w:val="00313B1E"/>
    <w:rsid w:val="00316ADF"/>
    <w:rsid w:val="00325F18"/>
    <w:rsid w:val="00335450"/>
    <w:rsid w:val="00337087"/>
    <w:rsid w:val="00346168"/>
    <w:rsid w:val="00372E6D"/>
    <w:rsid w:val="00375F1D"/>
    <w:rsid w:val="0038363C"/>
    <w:rsid w:val="00385399"/>
    <w:rsid w:val="003944E7"/>
    <w:rsid w:val="003A7BC7"/>
    <w:rsid w:val="003C0BFF"/>
    <w:rsid w:val="003E1AF5"/>
    <w:rsid w:val="003E1E8E"/>
    <w:rsid w:val="003E30C9"/>
    <w:rsid w:val="003E424D"/>
    <w:rsid w:val="003F10AF"/>
    <w:rsid w:val="00416142"/>
    <w:rsid w:val="004174EE"/>
    <w:rsid w:val="0042374B"/>
    <w:rsid w:val="00423CF8"/>
    <w:rsid w:val="00427EAC"/>
    <w:rsid w:val="00431A0C"/>
    <w:rsid w:val="004362CD"/>
    <w:rsid w:val="00437A68"/>
    <w:rsid w:val="004549A6"/>
    <w:rsid w:val="004559A5"/>
    <w:rsid w:val="004624AB"/>
    <w:rsid w:val="004638EE"/>
    <w:rsid w:val="00475A2D"/>
    <w:rsid w:val="004779BF"/>
    <w:rsid w:val="004816A5"/>
    <w:rsid w:val="004840C4"/>
    <w:rsid w:val="0049262F"/>
    <w:rsid w:val="00492B91"/>
    <w:rsid w:val="004930D0"/>
    <w:rsid w:val="004976A5"/>
    <w:rsid w:val="004A7210"/>
    <w:rsid w:val="004B06BE"/>
    <w:rsid w:val="004B2650"/>
    <w:rsid w:val="004B34EF"/>
    <w:rsid w:val="004B3F8B"/>
    <w:rsid w:val="004B59DC"/>
    <w:rsid w:val="004C1053"/>
    <w:rsid w:val="004C3987"/>
    <w:rsid w:val="004C43F1"/>
    <w:rsid w:val="004C585B"/>
    <w:rsid w:val="004C63B7"/>
    <w:rsid w:val="004C703B"/>
    <w:rsid w:val="004C754D"/>
    <w:rsid w:val="004D2391"/>
    <w:rsid w:val="004E0B1B"/>
    <w:rsid w:val="004F3A54"/>
    <w:rsid w:val="00533B68"/>
    <w:rsid w:val="005402DD"/>
    <w:rsid w:val="005547EA"/>
    <w:rsid w:val="00555798"/>
    <w:rsid w:val="00555800"/>
    <w:rsid w:val="005573D9"/>
    <w:rsid w:val="0057487F"/>
    <w:rsid w:val="00574A0D"/>
    <w:rsid w:val="00581FCE"/>
    <w:rsid w:val="0058460E"/>
    <w:rsid w:val="00593AD7"/>
    <w:rsid w:val="00595BE3"/>
    <w:rsid w:val="005A0C51"/>
    <w:rsid w:val="005A4D17"/>
    <w:rsid w:val="005B3B08"/>
    <w:rsid w:val="005B5AA6"/>
    <w:rsid w:val="005C082F"/>
    <w:rsid w:val="005D170E"/>
    <w:rsid w:val="005D4B03"/>
    <w:rsid w:val="005D5F32"/>
    <w:rsid w:val="005D672C"/>
    <w:rsid w:val="005E50A9"/>
    <w:rsid w:val="005F18C1"/>
    <w:rsid w:val="005F38DF"/>
    <w:rsid w:val="005F3B4D"/>
    <w:rsid w:val="0060793D"/>
    <w:rsid w:val="00632630"/>
    <w:rsid w:val="00642EC3"/>
    <w:rsid w:val="00647875"/>
    <w:rsid w:val="006502F2"/>
    <w:rsid w:val="0065078C"/>
    <w:rsid w:val="00673E82"/>
    <w:rsid w:val="006773E4"/>
    <w:rsid w:val="00687886"/>
    <w:rsid w:val="00690FC5"/>
    <w:rsid w:val="00691AE6"/>
    <w:rsid w:val="00695842"/>
    <w:rsid w:val="006960FC"/>
    <w:rsid w:val="006A16D7"/>
    <w:rsid w:val="006A2660"/>
    <w:rsid w:val="006A31FE"/>
    <w:rsid w:val="006B1DB8"/>
    <w:rsid w:val="006B4A74"/>
    <w:rsid w:val="006B5428"/>
    <w:rsid w:val="006C3B41"/>
    <w:rsid w:val="006C6899"/>
    <w:rsid w:val="006D0672"/>
    <w:rsid w:val="006D1523"/>
    <w:rsid w:val="006D4B18"/>
    <w:rsid w:val="006D6E80"/>
    <w:rsid w:val="006E2B07"/>
    <w:rsid w:val="006F0FD6"/>
    <w:rsid w:val="006F54DE"/>
    <w:rsid w:val="006F60AE"/>
    <w:rsid w:val="00715102"/>
    <w:rsid w:val="00721BA5"/>
    <w:rsid w:val="0072219A"/>
    <w:rsid w:val="007227DD"/>
    <w:rsid w:val="00722C49"/>
    <w:rsid w:val="007265D6"/>
    <w:rsid w:val="0072696A"/>
    <w:rsid w:val="00730409"/>
    <w:rsid w:val="00742A5D"/>
    <w:rsid w:val="00742F48"/>
    <w:rsid w:val="007722DA"/>
    <w:rsid w:val="0077444C"/>
    <w:rsid w:val="00784921"/>
    <w:rsid w:val="0078608E"/>
    <w:rsid w:val="007A0469"/>
    <w:rsid w:val="007B6862"/>
    <w:rsid w:val="007C3A0E"/>
    <w:rsid w:val="007C4E5D"/>
    <w:rsid w:val="007D36A9"/>
    <w:rsid w:val="007E0F23"/>
    <w:rsid w:val="00800905"/>
    <w:rsid w:val="00814E56"/>
    <w:rsid w:val="0083519E"/>
    <w:rsid w:val="00844287"/>
    <w:rsid w:val="008455D7"/>
    <w:rsid w:val="00853309"/>
    <w:rsid w:val="008602AF"/>
    <w:rsid w:val="0086119C"/>
    <w:rsid w:val="00885FF1"/>
    <w:rsid w:val="008949FE"/>
    <w:rsid w:val="008A37BF"/>
    <w:rsid w:val="008A5DEB"/>
    <w:rsid w:val="008B6369"/>
    <w:rsid w:val="008B75AC"/>
    <w:rsid w:val="008C1484"/>
    <w:rsid w:val="008C7106"/>
    <w:rsid w:val="008D6D50"/>
    <w:rsid w:val="008D7A62"/>
    <w:rsid w:val="008E1833"/>
    <w:rsid w:val="008E4BD2"/>
    <w:rsid w:val="008E61BE"/>
    <w:rsid w:val="008F31E6"/>
    <w:rsid w:val="0090567F"/>
    <w:rsid w:val="00912D69"/>
    <w:rsid w:val="00914E4C"/>
    <w:rsid w:val="0092746C"/>
    <w:rsid w:val="0093012C"/>
    <w:rsid w:val="00952192"/>
    <w:rsid w:val="009638CD"/>
    <w:rsid w:val="00963902"/>
    <w:rsid w:val="009660D2"/>
    <w:rsid w:val="00967D0A"/>
    <w:rsid w:val="00974766"/>
    <w:rsid w:val="009824E7"/>
    <w:rsid w:val="0098676B"/>
    <w:rsid w:val="00986A4E"/>
    <w:rsid w:val="009913B7"/>
    <w:rsid w:val="0099322D"/>
    <w:rsid w:val="009A3C3B"/>
    <w:rsid w:val="009A4752"/>
    <w:rsid w:val="009B6E7E"/>
    <w:rsid w:val="009C5278"/>
    <w:rsid w:val="009D58B3"/>
    <w:rsid w:val="009D6C2D"/>
    <w:rsid w:val="009E0BD7"/>
    <w:rsid w:val="009F52FF"/>
    <w:rsid w:val="00A036D7"/>
    <w:rsid w:val="00A07E6D"/>
    <w:rsid w:val="00A1344E"/>
    <w:rsid w:val="00A16A64"/>
    <w:rsid w:val="00A177B3"/>
    <w:rsid w:val="00A355C7"/>
    <w:rsid w:val="00A37EFE"/>
    <w:rsid w:val="00A4492F"/>
    <w:rsid w:val="00A503DF"/>
    <w:rsid w:val="00A544DD"/>
    <w:rsid w:val="00A61568"/>
    <w:rsid w:val="00A65734"/>
    <w:rsid w:val="00A72832"/>
    <w:rsid w:val="00A77784"/>
    <w:rsid w:val="00A839A9"/>
    <w:rsid w:val="00A84C14"/>
    <w:rsid w:val="00A921DA"/>
    <w:rsid w:val="00A93B2B"/>
    <w:rsid w:val="00A97A1E"/>
    <w:rsid w:val="00AA0AB5"/>
    <w:rsid w:val="00AA33FB"/>
    <w:rsid w:val="00AA4B58"/>
    <w:rsid w:val="00AB1418"/>
    <w:rsid w:val="00AB25B2"/>
    <w:rsid w:val="00AB5021"/>
    <w:rsid w:val="00AB6F05"/>
    <w:rsid w:val="00AB70D9"/>
    <w:rsid w:val="00AC08BF"/>
    <w:rsid w:val="00AC12D2"/>
    <w:rsid w:val="00AC586A"/>
    <w:rsid w:val="00AD1502"/>
    <w:rsid w:val="00AD32FF"/>
    <w:rsid w:val="00AD5CCA"/>
    <w:rsid w:val="00AF4C8C"/>
    <w:rsid w:val="00AF5BAD"/>
    <w:rsid w:val="00AF77E2"/>
    <w:rsid w:val="00AF7AD3"/>
    <w:rsid w:val="00AF7C0E"/>
    <w:rsid w:val="00B10990"/>
    <w:rsid w:val="00B24E6B"/>
    <w:rsid w:val="00B3128A"/>
    <w:rsid w:val="00B33CC0"/>
    <w:rsid w:val="00B43283"/>
    <w:rsid w:val="00B501C1"/>
    <w:rsid w:val="00B5248D"/>
    <w:rsid w:val="00B5384B"/>
    <w:rsid w:val="00B646CB"/>
    <w:rsid w:val="00B8796E"/>
    <w:rsid w:val="00B87F8A"/>
    <w:rsid w:val="00B93035"/>
    <w:rsid w:val="00BA0E24"/>
    <w:rsid w:val="00BA1EA9"/>
    <w:rsid w:val="00BA456D"/>
    <w:rsid w:val="00BA7A91"/>
    <w:rsid w:val="00BB3BDF"/>
    <w:rsid w:val="00BC4E81"/>
    <w:rsid w:val="00BD6ABE"/>
    <w:rsid w:val="00BD7972"/>
    <w:rsid w:val="00BE0943"/>
    <w:rsid w:val="00BF0F69"/>
    <w:rsid w:val="00BF70DE"/>
    <w:rsid w:val="00C02D8F"/>
    <w:rsid w:val="00C03C29"/>
    <w:rsid w:val="00C04E8A"/>
    <w:rsid w:val="00C1114C"/>
    <w:rsid w:val="00C31AC8"/>
    <w:rsid w:val="00C33E6F"/>
    <w:rsid w:val="00C41F1B"/>
    <w:rsid w:val="00C57C98"/>
    <w:rsid w:val="00C6062F"/>
    <w:rsid w:val="00C67595"/>
    <w:rsid w:val="00C72E75"/>
    <w:rsid w:val="00C74279"/>
    <w:rsid w:val="00C86714"/>
    <w:rsid w:val="00C92224"/>
    <w:rsid w:val="00C95741"/>
    <w:rsid w:val="00C9598E"/>
    <w:rsid w:val="00C9689F"/>
    <w:rsid w:val="00CA5377"/>
    <w:rsid w:val="00CB2AF2"/>
    <w:rsid w:val="00CB72E7"/>
    <w:rsid w:val="00CC00BB"/>
    <w:rsid w:val="00CC052A"/>
    <w:rsid w:val="00CC5E0B"/>
    <w:rsid w:val="00CE2D19"/>
    <w:rsid w:val="00CE3A6A"/>
    <w:rsid w:val="00CE4D00"/>
    <w:rsid w:val="00CF27D4"/>
    <w:rsid w:val="00CF37ED"/>
    <w:rsid w:val="00CF47BD"/>
    <w:rsid w:val="00CF506B"/>
    <w:rsid w:val="00D023BC"/>
    <w:rsid w:val="00D03D19"/>
    <w:rsid w:val="00D104D1"/>
    <w:rsid w:val="00D11058"/>
    <w:rsid w:val="00D2454F"/>
    <w:rsid w:val="00D30155"/>
    <w:rsid w:val="00D36723"/>
    <w:rsid w:val="00D439F1"/>
    <w:rsid w:val="00D5469E"/>
    <w:rsid w:val="00D60D80"/>
    <w:rsid w:val="00D65B46"/>
    <w:rsid w:val="00D77638"/>
    <w:rsid w:val="00D80A41"/>
    <w:rsid w:val="00D81D96"/>
    <w:rsid w:val="00DA2087"/>
    <w:rsid w:val="00DB55DD"/>
    <w:rsid w:val="00DB7BDF"/>
    <w:rsid w:val="00DC2FFA"/>
    <w:rsid w:val="00DD58FA"/>
    <w:rsid w:val="00DE60EC"/>
    <w:rsid w:val="00E053E9"/>
    <w:rsid w:val="00E06BF7"/>
    <w:rsid w:val="00E07DE7"/>
    <w:rsid w:val="00E26E89"/>
    <w:rsid w:val="00E27909"/>
    <w:rsid w:val="00E27BB1"/>
    <w:rsid w:val="00E3490F"/>
    <w:rsid w:val="00E43678"/>
    <w:rsid w:val="00E47A6D"/>
    <w:rsid w:val="00E5136C"/>
    <w:rsid w:val="00E53051"/>
    <w:rsid w:val="00E537B3"/>
    <w:rsid w:val="00E610FD"/>
    <w:rsid w:val="00E705E4"/>
    <w:rsid w:val="00E71921"/>
    <w:rsid w:val="00E72B97"/>
    <w:rsid w:val="00E72BB4"/>
    <w:rsid w:val="00E81DB6"/>
    <w:rsid w:val="00E913E0"/>
    <w:rsid w:val="00EA02B4"/>
    <w:rsid w:val="00EA1FF7"/>
    <w:rsid w:val="00EA3A36"/>
    <w:rsid w:val="00EA7830"/>
    <w:rsid w:val="00EB2561"/>
    <w:rsid w:val="00EC1BCB"/>
    <w:rsid w:val="00EE3515"/>
    <w:rsid w:val="00EE3642"/>
    <w:rsid w:val="00F06591"/>
    <w:rsid w:val="00F069B5"/>
    <w:rsid w:val="00F10795"/>
    <w:rsid w:val="00F3188C"/>
    <w:rsid w:val="00F33341"/>
    <w:rsid w:val="00F4524E"/>
    <w:rsid w:val="00F52923"/>
    <w:rsid w:val="00F60E76"/>
    <w:rsid w:val="00F648B0"/>
    <w:rsid w:val="00F6561D"/>
    <w:rsid w:val="00F65D59"/>
    <w:rsid w:val="00F74CE4"/>
    <w:rsid w:val="00F776B8"/>
    <w:rsid w:val="00F7776A"/>
    <w:rsid w:val="00F92ABC"/>
    <w:rsid w:val="00FB1B65"/>
    <w:rsid w:val="00FB43FE"/>
    <w:rsid w:val="00FB4E55"/>
    <w:rsid w:val="00FB5B9F"/>
    <w:rsid w:val="00FB5DAD"/>
    <w:rsid w:val="00FB5E66"/>
    <w:rsid w:val="00FC1BC6"/>
    <w:rsid w:val="00FC39B3"/>
    <w:rsid w:val="00FC3F51"/>
    <w:rsid w:val="00FD0B8E"/>
    <w:rsid w:val="00FD29F1"/>
    <w:rsid w:val="00FD2BF8"/>
    <w:rsid w:val="00FD3482"/>
    <w:rsid w:val="00FF46C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7A79A7-548E-40FD-8A3E-389851BE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287"/>
    <w:rPr>
      <w:rFonts w:eastAsia="Bat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4287"/>
    <w:rPr>
      <w:color w:val="0000FF" w:themeColor="hyperlink"/>
      <w:u w:val="single"/>
    </w:rPr>
  </w:style>
  <w:style w:type="paragraph" w:styleId="ListParagraph">
    <w:name w:val="List Paragraph"/>
    <w:basedOn w:val="Normal"/>
    <w:uiPriority w:val="34"/>
    <w:qFormat/>
    <w:rsid w:val="00844287"/>
    <w:pPr>
      <w:ind w:left="720"/>
      <w:contextualSpacing/>
    </w:pPr>
  </w:style>
  <w:style w:type="table" w:styleId="TableGrid">
    <w:name w:val="Table Grid"/>
    <w:basedOn w:val="TableNormal"/>
    <w:uiPriority w:val="59"/>
    <w:rsid w:val="00844287"/>
    <w:rPr>
      <w:rFonts w:eastAsia="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hievement">
    <w:name w:val="Achievement"/>
    <w:next w:val="ListParagraph"/>
    <w:rsid w:val="00D439F1"/>
    <w:pPr>
      <w:numPr>
        <w:numId w:val="9"/>
      </w:numPr>
      <w:spacing w:after="60" w:line="220" w:lineRule="atLeast"/>
      <w:jc w:val="both"/>
    </w:pPr>
    <w:rPr>
      <w:rFonts w:ascii="Arial" w:hAnsi="Arial" w:cs="Times New Roman"/>
      <w:spacing w:val="-5"/>
      <w:sz w:val="20"/>
      <w:szCs w:val="20"/>
    </w:rPr>
  </w:style>
  <w:style w:type="paragraph" w:customStyle="1" w:styleId="Institution">
    <w:name w:val="Institution"/>
    <w:basedOn w:val="Normal"/>
    <w:next w:val="Achievement"/>
    <w:autoRedefine/>
    <w:rsid w:val="00BA0E24"/>
    <w:pPr>
      <w:tabs>
        <w:tab w:val="left" w:pos="2160"/>
        <w:tab w:val="right" w:pos="6480"/>
      </w:tabs>
      <w:spacing w:before="240" w:after="60" w:line="220" w:lineRule="atLeast"/>
    </w:pPr>
    <w:rPr>
      <w:rFonts w:ascii="Arial" w:hAnsi="Arial" w:cs="Times New Roman"/>
      <w:sz w:val="20"/>
      <w:szCs w:val="20"/>
    </w:rPr>
  </w:style>
  <w:style w:type="character" w:customStyle="1" w:styleId="bf">
    <w:name w:val="bf"/>
    <w:basedOn w:val="DefaultParagraphFont"/>
    <w:rsid w:val="00D439F1"/>
  </w:style>
  <w:style w:type="character" w:customStyle="1" w:styleId="hit">
    <w:name w:val="hit"/>
    <w:basedOn w:val="DefaultParagraphFont"/>
    <w:rsid w:val="00D439F1"/>
  </w:style>
  <w:style w:type="character" w:styleId="Strong">
    <w:name w:val="Strong"/>
    <w:basedOn w:val="DefaultParagraphFont"/>
    <w:qFormat/>
    <w:rsid w:val="00D439F1"/>
    <w:rPr>
      <w:b/>
      <w:bCs/>
    </w:rPr>
  </w:style>
  <w:style w:type="paragraph" w:styleId="BodyText">
    <w:name w:val="Body Text"/>
    <w:basedOn w:val="Normal"/>
    <w:link w:val="BodyTextChar"/>
    <w:uiPriority w:val="99"/>
    <w:semiHidden/>
    <w:unhideWhenUsed/>
    <w:rsid w:val="00D439F1"/>
    <w:pPr>
      <w:spacing w:after="120"/>
    </w:pPr>
  </w:style>
  <w:style w:type="character" w:customStyle="1" w:styleId="BodyTextChar">
    <w:name w:val="Body Text Char"/>
    <w:basedOn w:val="DefaultParagraphFont"/>
    <w:link w:val="BodyText"/>
    <w:uiPriority w:val="99"/>
    <w:semiHidden/>
    <w:rsid w:val="00D439F1"/>
    <w:rPr>
      <w:rFonts w:eastAsia="Batang"/>
    </w:rPr>
  </w:style>
  <w:style w:type="paragraph" w:styleId="BalloonText">
    <w:name w:val="Balloon Text"/>
    <w:basedOn w:val="Normal"/>
    <w:link w:val="BalloonTextChar"/>
    <w:uiPriority w:val="99"/>
    <w:semiHidden/>
    <w:unhideWhenUsed/>
    <w:rsid w:val="006B5428"/>
    <w:rPr>
      <w:rFonts w:ascii="Lucida Grande" w:hAnsi="Lucida Grande"/>
      <w:sz w:val="18"/>
      <w:szCs w:val="18"/>
    </w:rPr>
  </w:style>
  <w:style w:type="character" w:customStyle="1" w:styleId="BalloonTextChar">
    <w:name w:val="Balloon Text Char"/>
    <w:basedOn w:val="DefaultParagraphFont"/>
    <w:link w:val="BalloonText"/>
    <w:uiPriority w:val="99"/>
    <w:semiHidden/>
    <w:rsid w:val="006B5428"/>
    <w:rPr>
      <w:rFonts w:ascii="Lucida Grande" w:eastAsia="Batang" w:hAnsi="Lucida Grande"/>
      <w:sz w:val="18"/>
      <w:szCs w:val="18"/>
    </w:rPr>
  </w:style>
  <w:style w:type="paragraph" w:styleId="PlainText">
    <w:name w:val="Plain Text"/>
    <w:basedOn w:val="Normal"/>
    <w:link w:val="PlainTextChar"/>
    <w:rsid w:val="00853309"/>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853309"/>
    <w:rPr>
      <w:rFonts w:ascii="SimSun" w:eastAsia="SimSun" w:hAnsi="Courier New" w:cs="Courier New"/>
      <w:kern w:val="2"/>
      <w:sz w:val="21"/>
      <w:szCs w:val="21"/>
      <w:lang w:eastAsia="zh-CN"/>
    </w:rPr>
  </w:style>
  <w:style w:type="character" w:styleId="CommentReference">
    <w:name w:val="annotation reference"/>
    <w:basedOn w:val="DefaultParagraphFont"/>
    <w:uiPriority w:val="99"/>
    <w:semiHidden/>
    <w:unhideWhenUsed/>
    <w:rsid w:val="00853309"/>
    <w:rPr>
      <w:sz w:val="21"/>
      <w:szCs w:val="21"/>
    </w:rPr>
  </w:style>
  <w:style w:type="paragraph" w:styleId="CommentText">
    <w:name w:val="annotation text"/>
    <w:basedOn w:val="Normal"/>
    <w:link w:val="CommentTextChar"/>
    <w:uiPriority w:val="99"/>
    <w:unhideWhenUsed/>
    <w:rsid w:val="00853309"/>
  </w:style>
  <w:style w:type="character" w:customStyle="1" w:styleId="CommentTextChar">
    <w:name w:val="Comment Text Char"/>
    <w:basedOn w:val="DefaultParagraphFont"/>
    <w:link w:val="CommentText"/>
    <w:uiPriority w:val="99"/>
    <w:semiHidden/>
    <w:rsid w:val="00853309"/>
    <w:rPr>
      <w:rFonts w:eastAsia="Batang"/>
    </w:rPr>
  </w:style>
  <w:style w:type="paragraph" w:styleId="CommentSubject">
    <w:name w:val="annotation subject"/>
    <w:basedOn w:val="CommentText"/>
    <w:next w:val="CommentText"/>
    <w:link w:val="CommentSubjectChar"/>
    <w:uiPriority w:val="99"/>
    <w:semiHidden/>
    <w:unhideWhenUsed/>
    <w:rsid w:val="00853309"/>
    <w:rPr>
      <w:b/>
      <w:bCs/>
    </w:rPr>
  </w:style>
  <w:style w:type="character" w:customStyle="1" w:styleId="CommentSubjectChar">
    <w:name w:val="Comment Subject Char"/>
    <w:basedOn w:val="CommentTextChar"/>
    <w:link w:val="CommentSubject"/>
    <w:uiPriority w:val="99"/>
    <w:semiHidden/>
    <w:rsid w:val="00853309"/>
    <w:rPr>
      <w:rFonts w:eastAsia="Batang"/>
      <w:b/>
      <w:bCs/>
    </w:rPr>
  </w:style>
  <w:style w:type="paragraph" w:styleId="Revision">
    <w:name w:val="Revision"/>
    <w:hidden/>
    <w:uiPriority w:val="99"/>
    <w:semiHidden/>
    <w:rsid w:val="00853309"/>
    <w:rPr>
      <w:rFonts w:eastAsia="Batang"/>
    </w:rPr>
  </w:style>
  <w:style w:type="character" w:customStyle="1" w:styleId="Char1">
    <w:name w:val="批注文字 Char1"/>
    <w:uiPriority w:val="99"/>
    <w:rsid w:val="00853309"/>
    <w:rPr>
      <w:rFonts w:eastAsia="SimSun"/>
      <w:kern w:val="2"/>
      <w:sz w:val="21"/>
      <w:szCs w:val="24"/>
      <w:lang w:val="en-US" w:eastAsia="zh-CN" w:bidi="ar-SA"/>
    </w:rPr>
  </w:style>
  <w:style w:type="character" w:customStyle="1" w:styleId="trans">
    <w:name w:val="trans"/>
    <w:basedOn w:val="DefaultParagraphFont"/>
    <w:rsid w:val="00853309"/>
  </w:style>
  <w:style w:type="character" w:customStyle="1" w:styleId="highlight2">
    <w:name w:val="highlight2"/>
    <w:basedOn w:val="DefaultParagraphFont"/>
    <w:rsid w:val="0077444C"/>
  </w:style>
  <w:style w:type="paragraph" w:customStyle="1" w:styleId="desc2">
    <w:name w:val="desc2"/>
    <w:basedOn w:val="Normal"/>
    <w:rsid w:val="00A177B3"/>
    <w:rPr>
      <w:rFonts w:ascii="Times New Roman" w:eastAsia="Times New Roman" w:hAnsi="Times New Roman" w:cs="Times New Roman"/>
      <w:sz w:val="26"/>
      <w:szCs w:val="26"/>
    </w:rPr>
  </w:style>
  <w:style w:type="paragraph" w:customStyle="1" w:styleId="details1">
    <w:name w:val="details1"/>
    <w:basedOn w:val="Normal"/>
    <w:rsid w:val="00A177B3"/>
    <w:rPr>
      <w:rFonts w:ascii="Times New Roman" w:eastAsia="Times New Roman" w:hAnsi="Times New Roman" w:cs="Times New Roman"/>
      <w:sz w:val="22"/>
      <w:szCs w:val="22"/>
    </w:rPr>
  </w:style>
  <w:style w:type="character" w:customStyle="1" w:styleId="jrnl">
    <w:name w:val="jrnl"/>
    <w:basedOn w:val="DefaultParagraphFont"/>
    <w:rsid w:val="00A177B3"/>
  </w:style>
  <w:style w:type="paragraph" w:styleId="Header">
    <w:name w:val="header"/>
    <w:basedOn w:val="Normal"/>
    <w:link w:val="HeaderChar"/>
    <w:uiPriority w:val="99"/>
    <w:unhideWhenUsed/>
    <w:rsid w:val="00D1105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11058"/>
    <w:rPr>
      <w:rFonts w:eastAsia="Batang"/>
      <w:sz w:val="18"/>
      <w:szCs w:val="18"/>
    </w:rPr>
  </w:style>
  <w:style w:type="paragraph" w:styleId="Footer">
    <w:name w:val="footer"/>
    <w:basedOn w:val="Normal"/>
    <w:link w:val="FooterChar"/>
    <w:uiPriority w:val="99"/>
    <w:unhideWhenUsed/>
    <w:rsid w:val="00D1105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11058"/>
    <w:rPr>
      <w:rFonts w:eastAsia="Batang"/>
      <w:sz w:val="18"/>
      <w:szCs w:val="18"/>
    </w:rPr>
  </w:style>
  <w:style w:type="table" w:customStyle="1" w:styleId="1">
    <w:name w:val="网格型1"/>
    <w:basedOn w:val="TableNormal"/>
    <w:next w:val="TableGrid"/>
    <w:uiPriority w:val="59"/>
    <w:rsid w:val="00673E82"/>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79378">
      <w:bodyDiv w:val="1"/>
      <w:marLeft w:val="0"/>
      <w:marRight w:val="0"/>
      <w:marTop w:val="0"/>
      <w:marBottom w:val="0"/>
      <w:divBdr>
        <w:top w:val="none" w:sz="0" w:space="0" w:color="auto"/>
        <w:left w:val="none" w:sz="0" w:space="0" w:color="auto"/>
        <w:bottom w:val="none" w:sz="0" w:space="0" w:color="auto"/>
        <w:right w:val="none" w:sz="0" w:space="0" w:color="auto"/>
      </w:divBdr>
      <w:divsChild>
        <w:div w:id="38092701">
          <w:marLeft w:val="0"/>
          <w:marRight w:val="0"/>
          <w:marTop w:val="0"/>
          <w:marBottom w:val="0"/>
          <w:divBdr>
            <w:top w:val="none" w:sz="0" w:space="0" w:color="auto"/>
            <w:left w:val="none" w:sz="0" w:space="0" w:color="auto"/>
            <w:bottom w:val="none" w:sz="0" w:space="0" w:color="auto"/>
            <w:right w:val="none" w:sz="0" w:space="0" w:color="auto"/>
          </w:divBdr>
          <w:divsChild>
            <w:div w:id="1359817708">
              <w:marLeft w:val="0"/>
              <w:marRight w:val="0"/>
              <w:marTop w:val="0"/>
              <w:marBottom w:val="0"/>
              <w:divBdr>
                <w:top w:val="none" w:sz="0" w:space="0" w:color="auto"/>
                <w:left w:val="none" w:sz="0" w:space="0" w:color="auto"/>
                <w:bottom w:val="none" w:sz="0" w:space="0" w:color="auto"/>
                <w:right w:val="none" w:sz="0" w:space="0" w:color="auto"/>
              </w:divBdr>
              <w:divsChild>
                <w:div w:id="28770666">
                  <w:marLeft w:val="0"/>
                  <w:marRight w:val="0"/>
                  <w:marTop w:val="0"/>
                  <w:marBottom w:val="0"/>
                  <w:divBdr>
                    <w:top w:val="none" w:sz="0" w:space="0" w:color="auto"/>
                    <w:left w:val="none" w:sz="0" w:space="0" w:color="auto"/>
                    <w:bottom w:val="none" w:sz="0" w:space="0" w:color="auto"/>
                    <w:right w:val="none" w:sz="0" w:space="0" w:color="auto"/>
                  </w:divBdr>
                  <w:divsChild>
                    <w:div w:id="839469028">
                      <w:marLeft w:val="0"/>
                      <w:marRight w:val="0"/>
                      <w:marTop w:val="0"/>
                      <w:marBottom w:val="0"/>
                      <w:divBdr>
                        <w:top w:val="none" w:sz="0" w:space="0" w:color="auto"/>
                        <w:left w:val="none" w:sz="0" w:space="0" w:color="auto"/>
                        <w:bottom w:val="none" w:sz="0" w:space="0" w:color="auto"/>
                        <w:right w:val="none" w:sz="0" w:space="0" w:color="auto"/>
                      </w:divBdr>
                      <w:divsChild>
                        <w:div w:id="99616136">
                          <w:marLeft w:val="120"/>
                          <w:marRight w:val="0"/>
                          <w:marTop w:val="120"/>
                          <w:marBottom w:val="120"/>
                          <w:divBdr>
                            <w:top w:val="none" w:sz="0" w:space="0" w:color="auto"/>
                            <w:left w:val="none" w:sz="0" w:space="0" w:color="auto"/>
                            <w:bottom w:val="none" w:sz="0" w:space="0" w:color="auto"/>
                            <w:right w:val="none" w:sz="0" w:space="0" w:color="auto"/>
                          </w:divBdr>
                          <w:divsChild>
                            <w:div w:id="3445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499140">
      <w:bodyDiv w:val="1"/>
      <w:marLeft w:val="0"/>
      <w:marRight w:val="0"/>
      <w:marTop w:val="0"/>
      <w:marBottom w:val="0"/>
      <w:divBdr>
        <w:top w:val="none" w:sz="0" w:space="0" w:color="auto"/>
        <w:left w:val="none" w:sz="0" w:space="0" w:color="auto"/>
        <w:bottom w:val="none" w:sz="0" w:space="0" w:color="auto"/>
        <w:right w:val="none" w:sz="0" w:space="0" w:color="auto"/>
      </w:divBdr>
      <w:divsChild>
        <w:div w:id="335305434">
          <w:marLeft w:val="0"/>
          <w:marRight w:val="1"/>
          <w:marTop w:val="0"/>
          <w:marBottom w:val="0"/>
          <w:divBdr>
            <w:top w:val="none" w:sz="0" w:space="0" w:color="auto"/>
            <w:left w:val="none" w:sz="0" w:space="0" w:color="auto"/>
            <w:bottom w:val="none" w:sz="0" w:space="0" w:color="auto"/>
            <w:right w:val="none" w:sz="0" w:space="0" w:color="auto"/>
          </w:divBdr>
          <w:divsChild>
            <w:div w:id="1706245695">
              <w:marLeft w:val="0"/>
              <w:marRight w:val="0"/>
              <w:marTop w:val="0"/>
              <w:marBottom w:val="0"/>
              <w:divBdr>
                <w:top w:val="none" w:sz="0" w:space="0" w:color="auto"/>
                <w:left w:val="none" w:sz="0" w:space="0" w:color="auto"/>
                <w:bottom w:val="none" w:sz="0" w:space="0" w:color="auto"/>
                <w:right w:val="none" w:sz="0" w:space="0" w:color="auto"/>
              </w:divBdr>
              <w:divsChild>
                <w:div w:id="429670060">
                  <w:marLeft w:val="0"/>
                  <w:marRight w:val="1"/>
                  <w:marTop w:val="0"/>
                  <w:marBottom w:val="0"/>
                  <w:divBdr>
                    <w:top w:val="none" w:sz="0" w:space="0" w:color="auto"/>
                    <w:left w:val="none" w:sz="0" w:space="0" w:color="auto"/>
                    <w:bottom w:val="none" w:sz="0" w:space="0" w:color="auto"/>
                    <w:right w:val="none" w:sz="0" w:space="0" w:color="auto"/>
                  </w:divBdr>
                  <w:divsChild>
                    <w:div w:id="918516915">
                      <w:marLeft w:val="0"/>
                      <w:marRight w:val="0"/>
                      <w:marTop w:val="0"/>
                      <w:marBottom w:val="0"/>
                      <w:divBdr>
                        <w:top w:val="none" w:sz="0" w:space="0" w:color="auto"/>
                        <w:left w:val="none" w:sz="0" w:space="0" w:color="auto"/>
                        <w:bottom w:val="none" w:sz="0" w:space="0" w:color="auto"/>
                        <w:right w:val="none" w:sz="0" w:space="0" w:color="auto"/>
                      </w:divBdr>
                      <w:divsChild>
                        <w:div w:id="447310974">
                          <w:marLeft w:val="0"/>
                          <w:marRight w:val="0"/>
                          <w:marTop w:val="0"/>
                          <w:marBottom w:val="0"/>
                          <w:divBdr>
                            <w:top w:val="none" w:sz="0" w:space="0" w:color="auto"/>
                            <w:left w:val="none" w:sz="0" w:space="0" w:color="auto"/>
                            <w:bottom w:val="none" w:sz="0" w:space="0" w:color="auto"/>
                            <w:right w:val="none" w:sz="0" w:space="0" w:color="auto"/>
                          </w:divBdr>
                          <w:divsChild>
                            <w:div w:id="649334549">
                              <w:marLeft w:val="0"/>
                              <w:marRight w:val="0"/>
                              <w:marTop w:val="120"/>
                              <w:marBottom w:val="360"/>
                              <w:divBdr>
                                <w:top w:val="none" w:sz="0" w:space="0" w:color="auto"/>
                                <w:left w:val="none" w:sz="0" w:space="0" w:color="auto"/>
                                <w:bottom w:val="none" w:sz="0" w:space="0" w:color="auto"/>
                                <w:right w:val="none" w:sz="0" w:space="0" w:color="auto"/>
                              </w:divBdr>
                              <w:divsChild>
                                <w:div w:id="10579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207314">
      <w:bodyDiv w:val="1"/>
      <w:marLeft w:val="0"/>
      <w:marRight w:val="0"/>
      <w:marTop w:val="0"/>
      <w:marBottom w:val="0"/>
      <w:divBdr>
        <w:top w:val="none" w:sz="0" w:space="0" w:color="auto"/>
        <w:left w:val="none" w:sz="0" w:space="0" w:color="auto"/>
        <w:bottom w:val="none" w:sz="0" w:space="0" w:color="auto"/>
        <w:right w:val="none" w:sz="0" w:space="0" w:color="auto"/>
      </w:divBdr>
      <w:divsChild>
        <w:div w:id="1384939292">
          <w:marLeft w:val="0"/>
          <w:marRight w:val="1"/>
          <w:marTop w:val="0"/>
          <w:marBottom w:val="0"/>
          <w:divBdr>
            <w:top w:val="none" w:sz="0" w:space="0" w:color="auto"/>
            <w:left w:val="none" w:sz="0" w:space="0" w:color="auto"/>
            <w:bottom w:val="none" w:sz="0" w:space="0" w:color="auto"/>
            <w:right w:val="none" w:sz="0" w:space="0" w:color="auto"/>
          </w:divBdr>
          <w:divsChild>
            <w:div w:id="1336496029">
              <w:marLeft w:val="0"/>
              <w:marRight w:val="0"/>
              <w:marTop w:val="0"/>
              <w:marBottom w:val="0"/>
              <w:divBdr>
                <w:top w:val="none" w:sz="0" w:space="0" w:color="auto"/>
                <w:left w:val="none" w:sz="0" w:space="0" w:color="auto"/>
                <w:bottom w:val="none" w:sz="0" w:space="0" w:color="auto"/>
                <w:right w:val="none" w:sz="0" w:space="0" w:color="auto"/>
              </w:divBdr>
              <w:divsChild>
                <w:div w:id="2092654397">
                  <w:marLeft w:val="0"/>
                  <w:marRight w:val="1"/>
                  <w:marTop w:val="0"/>
                  <w:marBottom w:val="0"/>
                  <w:divBdr>
                    <w:top w:val="none" w:sz="0" w:space="0" w:color="auto"/>
                    <w:left w:val="none" w:sz="0" w:space="0" w:color="auto"/>
                    <w:bottom w:val="none" w:sz="0" w:space="0" w:color="auto"/>
                    <w:right w:val="none" w:sz="0" w:space="0" w:color="auto"/>
                  </w:divBdr>
                  <w:divsChild>
                    <w:div w:id="1845054419">
                      <w:marLeft w:val="0"/>
                      <w:marRight w:val="0"/>
                      <w:marTop w:val="0"/>
                      <w:marBottom w:val="0"/>
                      <w:divBdr>
                        <w:top w:val="none" w:sz="0" w:space="0" w:color="auto"/>
                        <w:left w:val="none" w:sz="0" w:space="0" w:color="auto"/>
                        <w:bottom w:val="none" w:sz="0" w:space="0" w:color="auto"/>
                        <w:right w:val="none" w:sz="0" w:space="0" w:color="auto"/>
                      </w:divBdr>
                      <w:divsChild>
                        <w:div w:id="1952661902">
                          <w:marLeft w:val="0"/>
                          <w:marRight w:val="0"/>
                          <w:marTop w:val="0"/>
                          <w:marBottom w:val="0"/>
                          <w:divBdr>
                            <w:top w:val="none" w:sz="0" w:space="0" w:color="auto"/>
                            <w:left w:val="none" w:sz="0" w:space="0" w:color="auto"/>
                            <w:bottom w:val="none" w:sz="0" w:space="0" w:color="auto"/>
                            <w:right w:val="none" w:sz="0" w:space="0" w:color="auto"/>
                          </w:divBdr>
                          <w:divsChild>
                            <w:div w:id="1086222460">
                              <w:marLeft w:val="0"/>
                              <w:marRight w:val="0"/>
                              <w:marTop w:val="120"/>
                              <w:marBottom w:val="360"/>
                              <w:divBdr>
                                <w:top w:val="none" w:sz="0" w:space="0" w:color="auto"/>
                                <w:left w:val="none" w:sz="0" w:space="0" w:color="auto"/>
                                <w:bottom w:val="none" w:sz="0" w:space="0" w:color="auto"/>
                                <w:right w:val="none" w:sz="0" w:space="0" w:color="auto"/>
                              </w:divBdr>
                              <w:divsChild>
                                <w:div w:id="856579207">
                                  <w:marLeft w:val="0"/>
                                  <w:marRight w:val="0"/>
                                  <w:marTop w:val="0"/>
                                  <w:marBottom w:val="0"/>
                                  <w:divBdr>
                                    <w:top w:val="none" w:sz="0" w:space="0" w:color="auto"/>
                                    <w:left w:val="none" w:sz="0" w:space="0" w:color="auto"/>
                                    <w:bottom w:val="none" w:sz="0" w:space="0" w:color="auto"/>
                                    <w:right w:val="none" w:sz="0" w:space="0" w:color="auto"/>
                                  </w:divBdr>
                                  <w:divsChild>
                                    <w:div w:id="4551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976789">
      <w:bodyDiv w:val="1"/>
      <w:marLeft w:val="0"/>
      <w:marRight w:val="0"/>
      <w:marTop w:val="0"/>
      <w:marBottom w:val="0"/>
      <w:divBdr>
        <w:top w:val="none" w:sz="0" w:space="0" w:color="auto"/>
        <w:left w:val="none" w:sz="0" w:space="0" w:color="auto"/>
        <w:bottom w:val="none" w:sz="0" w:space="0" w:color="auto"/>
        <w:right w:val="none" w:sz="0" w:space="0" w:color="auto"/>
      </w:divBdr>
      <w:divsChild>
        <w:div w:id="1936016456">
          <w:marLeft w:val="0"/>
          <w:marRight w:val="1"/>
          <w:marTop w:val="0"/>
          <w:marBottom w:val="0"/>
          <w:divBdr>
            <w:top w:val="none" w:sz="0" w:space="0" w:color="auto"/>
            <w:left w:val="none" w:sz="0" w:space="0" w:color="auto"/>
            <w:bottom w:val="none" w:sz="0" w:space="0" w:color="auto"/>
            <w:right w:val="none" w:sz="0" w:space="0" w:color="auto"/>
          </w:divBdr>
          <w:divsChild>
            <w:div w:id="1038626735">
              <w:marLeft w:val="0"/>
              <w:marRight w:val="0"/>
              <w:marTop w:val="0"/>
              <w:marBottom w:val="0"/>
              <w:divBdr>
                <w:top w:val="none" w:sz="0" w:space="0" w:color="auto"/>
                <w:left w:val="none" w:sz="0" w:space="0" w:color="auto"/>
                <w:bottom w:val="none" w:sz="0" w:space="0" w:color="auto"/>
                <w:right w:val="none" w:sz="0" w:space="0" w:color="auto"/>
              </w:divBdr>
              <w:divsChild>
                <w:div w:id="1213494915">
                  <w:marLeft w:val="0"/>
                  <w:marRight w:val="1"/>
                  <w:marTop w:val="0"/>
                  <w:marBottom w:val="0"/>
                  <w:divBdr>
                    <w:top w:val="none" w:sz="0" w:space="0" w:color="auto"/>
                    <w:left w:val="none" w:sz="0" w:space="0" w:color="auto"/>
                    <w:bottom w:val="none" w:sz="0" w:space="0" w:color="auto"/>
                    <w:right w:val="none" w:sz="0" w:space="0" w:color="auto"/>
                  </w:divBdr>
                  <w:divsChild>
                    <w:div w:id="1815373162">
                      <w:marLeft w:val="0"/>
                      <w:marRight w:val="0"/>
                      <w:marTop w:val="0"/>
                      <w:marBottom w:val="0"/>
                      <w:divBdr>
                        <w:top w:val="none" w:sz="0" w:space="0" w:color="auto"/>
                        <w:left w:val="none" w:sz="0" w:space="0" w:color="auto"/>
                        <w:bottom w:val="none" w:sz="0" w:space="0" w:color="auto"/>
                        <w:right w:val="none" w:sz="0" w:space="0" w:color="auto"/>
                      </w:divBdr>
                      <w:divsChild>
                        <w:div w:id="207880658">
                          <w:marLeft w:val="0"/>
                          <w:marRight w:val="0"/>
                          <w:marTop w:val="0"/>
                          <w:marBottom w:val="0"/>
                          <w:divBdr>
                            <w:top w:val="none" w:sz="0" w:space="0" w:color="auto"/>
                            <w:left w:val="none" w:sz="0" w:space="0" w:color="auto"/>
                            <w:bottom w:val="none" w:sz="0" w:space="0" w:color="auto"/>
                            <w:right w:val="none" w:sz="0" w:space="0" w:color="auto"/>
                          </w:divBdr>
                          <w:divsChild>
                            <w:div w:id="1896088099">
                              <w:marLeft w:val="0"/>
                              <w:marRight w:val="0"/>
                              <w:marTop w:val="120"/>
                              <w:marBottom w:val="360"/>
                              <w:divBdr>
                                <w:top w:val="none" w:sz="0" w:space="0" w:color="auto"/>
                                <w:left w:val="none" w:sz="0" w:space="0" w:color="auto"/>
                                <w:bottom w:val="none" w:sz="0" w:space="0" w:color="auto"/>
                                <w:right w:val="none" w:sz="0" w:space="0" w:color="auto"/>
                              </w:divBdr>
                              <w:divsChild>
                                <w:div w:id="1151604097">
                                  <w:marLeft w:val="0"/>
                                  <w:marRight w:val="0"/>
                                  <w:marTop w:val="0"/>
                                  <w:marBottom w:val="0"/>
                                  <w:divBdr>
                                    <w:top w:val="none" w:sz="0" w:space="0" w:color="auto"/>
                                    <w:left w:val="none" w:sz="0" w:space="0" w:color="auto"/>
                                    <w:bottom w:val="none" w:sz="0" w:space="0" w:color="auto"/>
                                    <w:right w:val="none" w:sz="0" w:space="0" w:color="auto"/>
                                  </w:divBdr>
                                  <w:divsChild>
                                    <w:div w:id="16462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217443">
      <w:bodyDiv w:val="1"/>
      <w:marLeft w:val="0"/>
      <w:marRight w:val="0"/>
      <w:marTop w:val="0"/>
      <w:marBottom w:val="0"/>
      <w:divBdr>
        <w:top w:val="none" w:sz="0" w:space="0" w:color="auto"/>
        <w:left w:val="none" w:sz="0" w:space="0" w:color="auto"/>
        <w:bottom w:val="none" w:sz="0" w:space="0" w:color="auto"/>
        <w:right w:val="none" w:sz="0" w:space="0" w:color="auto"/>
      </w:divBdr>
      <w:divsChild>
        <w:div w:id="819080476">
          <w:marLeft w:val="0"/>
          <w:marRight w:val="1"/>
          <w:marTop w:val="0"/>
          <w:marBottom w:val="0"/>
          <w:divBdr>
            <w:top w:val="none" w:sz="0" w:space="0" w:color="auto"/>
            <w:left w:val="none" w:sz="0" w:space="0" w:color="auto"/>
            <w:bottom w:val="none" w:sz="0" w:space="0" w:color="auto"/>
            <w:right w:val="none" w:sz="0" w:space="0" w:color="auto"/>
          </w:divBdr>
          <w:divsChild>
            <w:div w:id="213662655">
              <w:marLeft w:val="0"/>
              <w:marRight w:val="0"/>
              <w:marTop w:val="0"/>
              <w:marBottom w:val="0"/>
              <w:divBdr>
                <w:top w:val="none" w:sz="0" w:space="0" w:color="auto"/>
                <w:left w:val="none" w:sz="0" w:space="0" w:color="auto"/>
                <w:bottom w:val="none" w:sz="0" w:space="0" w:color="auto"/>
                <w:right w:val="none" w:sz="0" w:space="0" w:color="auto"/>
              </w:divBdr>
              <w:divsChild>
                <w:div w:id="1953629825">
                  <w:marLeft w:val="0"/>
                  <w:marRight w:val="1"/>
                  <w:marTop w:val="0"/>
                  <w:marBottom w:val="0"/>
                  <w:divBdr>
                    <w:top w:val="none" w:sz="0" w:space="0" w:color="auto"/>
                    <w:left w:val="none" w:sz="0" w:space="0" w:color="auto"/>
                    <w:bottom w:val="none" w:sz="0" w:space="0" w:color="auto"/>
                    <w:right w:val="none" w:sz="0" w:space="0" w:color="auto"/>
                  </w:divBdr>
                  <w:divsChild>
                    <w:div w:id="126166208">
                      <w:marLeft w:val="0"/>
                      <w:marRight w:val="0"/>
                      <w:marTop w:val="0"/>
                      <w:marBottom w:val="0"/>
                      <w:divBdr>
                        <w:top w:val="none" w:sz="0" w:space="0" w:color="auto"/>
                        <w:left w:val="none" w:sz="0" w:space="0" w:color="auto"/>
                        <w:bottom w:val="none" w:sz="0" w:space="0" w:color="auto"/>
                        <w:right w:val="none" w:sz="0" w:space="0" w:color="auto"/>
                      </w:divBdr>
                      <w:divsChild>
                        <w:div w:id="658077367">
                          <w:marLeft w:val="0"/>
                          <w:marRight w:val="0"/>
                          <w:marTop w:val="0"/>
                          <w:marBottom w:val="0"/>
                          <w:divBdr>
                            <w:top w:val="none" w:sz="0" w:space="0" w:color="auto"/>
                            <w:left w:val="none" w:sz="0" w:space="0" w:color="auto"/>
                            <w:bottom w:val="none" w:sz="0" w:space="0" w:color="auto"/>
                            <w:right w:val="none" w:sz="0" w:space="0" w:color="auto"/>
                          </w:divBdr>
                          <w:divsChild>
                            <w:div w:id="561447520">
                              <w:marLeft w:val="0"/>
                              <w:marRight w:val="0"/>
                              <w:marTop w:val="120"/>
                              <w:marBottom w:val="360"/>
                              <w:divBdr>
                                <w:top w:val="none" w:sz="0" w:space="0" w:color="auto"/>
                                <w:left w:val="none" w:sz="0" w:space="0" w:color="auto"/>
                                <w:bottom w:val="none" w:sz="0" w:space="0" w:color="auto"/>
                                <w:right w:val="none" w:sz="0" w:space="0" w:color="auto"/>
                              </w:divBdr>
                              <w:divsChild>
                                <w:div w:id="299268372">
                                  <w:marLeft w:val="336"/>
                                  <w:marRight w:val="0"/>
                                  <w:marTop w:val="0"/>
                                  <w:marBottom w:val="0"/>
                                  <w:divBdr>
                                    <w:top w:val="none" w:sz="0" w:space="0" w:color="auto"/>
                                    <w:left w:val="none" w:sz="0" w:space="0" w:color="auto"/>
                                    <w:bottom w:val="none" w:sz="0" w:space="0" w:color="auto"/>
                                    <w:right w:val="none" w:sz="0" w:space="0" w:color="auto"/>
                                  </w:divBdr>
                                  <w:divsChild>
                                    <w:div w:id="9890146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308760">
      <w:bodyDiv w:val="1"/>
      <w:marLeft w:val="0"/>
      <w:marRight w:val="0"/>
      <w:marTop w:val="0"/>
      <w:marBottom w:val="0"/>
      <w:divBdr>
        <w:top w:val="none" w:sz="0" w:space="0" w:color="auto"/>
        <w:left w:val="none" w:sz="0" w:space="0" w:color="auto"/>
        <w:bottom w:val="none" w:sz="0" w:space="0" w:color="auto"/>
        <w:right w:val="none" w:sz="0" w:space="0" w:color="auto"/>
      </w:divBdr>
      <w:divsChild>
        <w:div w:id="1002513432">
          <w:marLeft w:val="0"/>
          <w:marRight w:val="1"/>
          <w:marTop w:val="0"/>
          <w:marBottom w:val="0"/>
          <w:divBdr>
            <w:top w:val="none" w:sz="0" w:space="0" w:color="auto"/>
            <w:left w:val="none" w:sz="0" w:space="0" w:color="auto"/>
            <w:bottom w:val="none" w:sz="0" w:space="0" w:color="auto"/>
            <w:right w:val="none" w:sz="0" w:space="0" w:color="auto"/>
          </w:divBdr>
          <w:divsChild>
            <w:div w:id="1469129985">
              <w:marLeft w:val="0"/>
              <w:marRight w:val="0"/>
              <w:marTop w:val="0"/>
              <w:marBottom w:val="0"/>
              <w:divBdr>
                <w:top w:val="none" w:sz="0" w:space="0" w:color="auto"/>
                <w:left w:val="none" w:sz="0" w:space="0" w:color="auto"/>
                <w:bottom w:val="none" w:sz="0" w:space="0" w:color="auto"/>
                <w:right w:val="none" w:sz="0" w:space="0" w:color="auto"/>
              </w:divBdr>
              <w:divsChild>
                <w:div w:id="1500317298">
                  <w:marLeft w:val="0"/>
                  <w:marRight w:val="1"/>
                  <w:marTop w:val="0"/>
                  <w:marBottom w:val="0"/>
                  <w:divBdr>
                    <w:top w:val="none" w:sz="0" w:space="0" w:color="auto"/>
                    <w:left w:val="none" w:sz="0" w:space="0" w:color="auto"/>
                    <w:bottom w:val="none" w:sz="0" w:space="0" w:color="auto"/>
                    <w:right w:val="none" w:sz="0" w:space="0" w:color="auto"/>
                  </w:divBdr>
                  <w:divsChild>
                    <w:div w:id="1028947035">
                      <w:marLeft w:val="0"/>
                      <w:marRight w:val="0"/>
                      <w:marTop w:val="0"/>
                      <w:marBottom w:val="0"/>
                      <w:divBdr>
                        <w:top w:val="none" w:sz="0" w:space="0" w:color="auto"/>
                        <w:left w:val="none" w:sz="0" w:space="0" w:color="auto"/>
                        <w:bottom w:val="none" w:sz="0" w:space="0" w:color="auto"/>
                        <w:right w:val="none" w:sz="0" w:space="0" w:color="auto"/>
                      </w:divBdr>
                      <w:divsChild>
                        <w:div w:id="1837837834">
                          <w:marLeft w:val="0"/>
                          <w:marRight w:val="0"/>
                          <w:marTop w:val="0"/>
                          <w:marBottom w:val="0"/>
                          <w:divBdr>
                            <w:top w:val="none" w:sz="0" w:space="0" w:color="auto"/>
                            <w:left w:val="none" w:sz="0" w:space="0" w:color="auto"/>
                            <w:bottom w:val="none" w:sz="0" w:space="0" w:color="auto"/>
                            <w:right w:val="none" w:sz="0" w:space="0" w:color="auto"/>
                          </w:divBdr>
                          <w:divsChild>
                            <w:div w:id="1390567997">
                              <w:marLeft w:val="0"/>
                              <w:marRight w:val="0"/>
                              <w:marTop w:val="120"/>
                              <w:marBottom w:val="360"/>
                              <w:divBdr>
                                <w:top w:val="none" w:sz="0" w:space="0" w:color="auto"/>
                                <w:left w:val="none" w:sz="0" w:space="0" w:color="auto"/>
                                <w:bottom w:val="none" w:sz="0" w:space="0" w:color="auto"/>
                                <w:right w:val="none" w:sz="0" w:space="0" w:color="auto"/>
                              </w:divBdr>
                              <w:divsChild>
                                <w:div w:id="8023377">
                                  <w:marLeft w:val="0"/>
                                  <w:marRight w:val="0"/>
                                  <w:marTop w:val="0"/>
                                  <w:marBottom w:val="0"/>
                                  <w:divBdr>
                                    <w:top w:val="none" w:sz="0" w:space="0" w:color="auto"/>
                                    <w:left w:val="none" w:sz="0" w:space="0" w:color="auto"/>
                                    <w:bottom w:val="none" w:sz="0" w:space="0" w:color="auto"/>
                                    <w:right w:val="none" w:sz="0" w:space="0" w:color="auto"/>
                                  </w:divBdr>
                                  <w:divsChild>
                                    <w:div w:id="4695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913072">
      <w:bodyDiv w:val="1"/>
      <w:marLeft w:val="0"/>
      <w:marRight w:val="0"/>
      <w:marTop w:val="0"/>
      <w:marBottom w:val="0"/>
      <w:divBdr>
        <w:top w:val="none" w:sz="0" w:space="0" w:color="auto"/>
        <w:left w:val="none" w:sz="0" w:space="0" w:color="auto"/>
        <w:bottom w:val="none" w:sz="0" w:space="0" w:color="auto"/>
        <w:right w:val="none" w:sz="0" w:space="0" w:color="auto"/>
      </w:divBdr>
      <w:divsChild>
        <w:div w:id="313337623">
          <w:marLeft w:val="0"/>
          <w:marRight w:val="1"/>
          <w:marTop w:val="0"/>
          <w:marBottom w:val="0"/>
          <w:divBdr>
            <w:top w:val="none" w:sz="0" w:space="0" w:color="auto"/>
            <w:left w:val="none" w:sz="0" w:space="0" w:color="auto"/>
            <w:bottom w:val="none" w:sz="0" w:space="0" w:color="auto"/>
            <w:right w:val="none" w:sz="0" w:space="0" w:color="auto"/>
          </w:divBdr>
          <w:divsChild>
            <w:div w:id="86120310">
              <w:marLeft w:val="0"/>
              <w:marRight w:val="0"/>
              <w:marTop w:val="0"/>
              <w:marBottom w:val="0"/>
              <w:divBdr>
                <w:top w:val="none" w:sz="0" w:space="0" w:color="auto"/>
                <w:left w:val="none" w:sz="0" w:space="0" w:color="auto"/>
                <w:bottom w:val="none" w:sz="0" w:space="0" w:color="auto"/>
                <w:right w:val="none" w:sz="0" w:space="0" w:color="auto"/>
              </w:divBdr>
              <w:divsChild>
                <w:div w:id="801269817">
                  <w:marLeft w:val="0"/>
                  <w:marRight w:val="1"/>
                  <w:marTop w:val="0"/>
                  <w:marBottom w:val="0"/>
                  <w:divBdr>
                    <w:top w:val="none" w:sz="0" w:space="0" w:color="auto"/>
                    <w:left w:val="none" w:sz="0" w:space="0" w:color="auto"/>
                    <w:bottom w:val="none" w:sz="0" w:space="0" w:color="auto"/>
                    <w:right w:val="none" w:sz="0" w:space="0" w:color="auto"/>
                  </w:divBdr>
                  <w:divsChild>
                    <w:div w:id="709913462">
                      <w:marLeft w:val="0"/>
                      <w:marRight w:val="0"/>
                      <w:marTop w:val="0"/>
                      <w:marBottom w:val="0"/>
                      <w:divBdr>
                        <w:top w:val="none" w:sz="0" w:space="0" w:color="auto"/>
                        <w:left w:val="none" w:sz="0" w:space="0" w:color="auto"/>
                        <w:bottom w:val="none" w:sz="0" w:space="0" w:color="auto"/>
                        <w:right w:val="none" w:sz="0" w:space="0" w:color="auto"/>
                      </w:divBdr>
                      <w:divsChild>
                        <w:div w:id="531380099">
                          <w:marLeft w:val="0"/>
                          <w:marRight w:val="0"/>
                          <w:marTop w:val="0"/>
                          <w:marBottom w:val="0"/>
                          <w:divBdr>
                            <w:top w:val="none" w:sz="0" w:space="0" w:color="auto"/>
                            <w:left w:val="none" w:sz="0" w:space="0" w:color="auto"/>
                            <w:bottom w:val="none" w:sz="0" w:space="0" w:color="auto"/>
                            <w:right w:val="none" w:sz="0" w:space="0" w:color="auto"/>
                          </w:divBdr>
                          <w:divsChild>
                            <w:div w:id="1902985275">
                              <w:marLeft w:val="0"/>
                              <w:marRight w:val="0"/>
                              <w:marTop w:val="120"/>
                              <w:marBottom w:val="360"/>
                              <w:divBdr>
                                <w:top w:val="none" w:sz="0" w:space="0" w:color="auto"/>
                                <w:left w:val="none" w:sz="0" w:space="0" w:color="auto"/>
                                <w:bottom w:val="none" w:sz="0" w:space="0" w:color="auto"/>
                                <w:right w:val="none" w:sz="0" w:space="0" w:color="auto"/>
                              </w:divBdr>
                              <w:divsChild>
                                <w:div w:id="15547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05630">
      <w:bodyDiv w:val="1"/>
      <w:marLeft w:val="0"/>
      <w:marRight w:val="0"/>
      <w:marTop w:val="0"/>
      <w:marBottom w:val="0"/>
      <w:divBdr>
        <w:top w:val="none" w:sz="0" w:space="0" w:color="auto"/>
        <w:left w:val="none" w:sz="0" w:space="0" w:color="auto"/>
        <w:bottom w:val="none" w:sz="0" w:space="0" w:color="auto"/>
        <w:right w:val="none" w:sz="0" w:space="0" w:color="auto"/>
      </w:divBdr>
      <w:divsChild>
        <w:div w:id="1476528717">
          <w:marLeft w:val="1"/>
          <w:marRight w:val="0"/>
          <w:marTop w:val="0"/>
          <w:marBottom w:val="0"/>
          <w:divBdr>
            <w:top w:val="single" w:sz="4" w:space="0" w:color="FFFFFF"/>
            <w:left w:val="none" w:sz="0" w:space="0" w:color="auto"/>
            <w:bottom w:val="none" w:sz="0" w:space="0" w:color="auto"/>
            <w:right w:val="none" w:sz="0" w:space="0" w:color="auto"/>
          </w:divBdr>
          <w:divsChild>
            <w:div w:id="3234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9106">
      <w:bodyDiv w:val="1"/>
      <w:marLeft w:val="0"/>
      <w:marRight w:val="0"/>
      <w:marTop w:val="0"/>
      <w:marBottom w:val="0"/>
      <w:divBdr>
        <w:top w:val="none" w:sz="0" w:space="0" w:color="auto"/>
        <w:left w:val="none" w:sz="0" w:space="0" w:color="auto"/>
        <w:bottom w:val="none" w:sz="0" w:space="0" w:color="auto"/>
        <w:right w:val="none" w:sz="0" w:space="0" w:color="auto"/>
      </w:divBdr>
      <w:divsChild>
        <w:div w:id="326058511">
          <w:marLeft w:val="0"/>
          <w:marRight w:val="1"/>
          <w:marTop w:val="0"/>
          <w:marBottom w:val="0"/>
          <w:divBdr>
            <w:top w:val="none" w:sz="0" w:space="0" w:color="auto"/>
            <w:left w:val="none" w:sz="0" w:space="0" w:color="auto"/>
            <w:bottom w:val="none" w:sz="0" w:space="0" w:color="auto"/>
            <w:right w:val="none" w:sz="0" w:space="0" w:color="auto"/>
          </w:divBdr>
          <w:divsChild>
            <w:div w:id="1662731509">
              <w:marLeft w:val="0"/>
              <w:marRight w:val="0"/>
              <w:marTop w:val="0"/>
              <w:marBottom w:val="0"/>
              <w:divBdr>
                <w:top w:val="none" w:sz="0" w:space="0" w:color="auto"/>
                <w:left w:val="none" w:sz="0" w:space="0" w:color="auto"/>
                <w:bottom w:val="none" w:sz="0" w:space="0" w:color="auto"/>
                <w:right w:val="none" w:sz="0" w:space="0" w:color="auto"/>
              </w:divBdr>
              <w:divsChild>
                <w:div w:id="1475633698">
                  <w:marLeft w:val="0"/>
                  <w:marRight w:val="1"/>
                  <w:marTop w:val="0"/>
                  <w:marBottom w:val="0"/>
                  <w:divBdr>
                    <w:top w:val="none" w:sz="0" w:space="0" w:color="auto"/>
                    <w:left w:val="none" w:sz="0" w:space="0" w:color="auto"/>
                    <w:bottom w:val="none" w:sz="0" w:space="0" w:color="auto"/>
                    <w:right w:val="none" w:sz="0" w:space="0" w:color="auto"/>
                  </w:divBdr>
                  <w:divsChild>
                    <w:div w:id="2139519881">
                      <w:marLeft w:val="0"/>
                      <w:marRight w:val="0"/>
                      <w:marTop w:val="0"/>
                      <w:marBottom w:val="0"/>
                      <w:divBdr>
                        <w:top w:val="none" w:sz="0" w:space="0" w:color="auto"/>
                        <w:left w:val="none" w:sz="0" w:space="0" w:color="auto"/>
                        <w:bottom w:val="none" w:sz="0" w:space="0" w:color="auto"/>
                        <w:right w:val="none" w:sz="0" w:space="0" w:color="auto"/>
                      </w:divBdr>
                      <w:divsChild>
                        <w:div w:id="1316837322">
                          <w:marLeft w:val="0"/>
                          <w:marRight w:val="0"/>
                          <w:marTop w:val="0"/>
                          <w:marBottom w:val="0"/>
                          <w:divBdr>
                            <w:top w:val="none" w:sz="0" w:space="0" w:color="auto"/>
                            <w:left w:val="none" w:sz="0" w:space="0" w:color="auto"/>
                            <w:bottom w:val="none" w:sz="0" w:space="0" w:color="auto"/>
                            <w:right w:val="none" w:sz="0" w:space="0" w:color="auto"/>
                          </w:divBdr>
                          <w:divsChild>
                            <w:div w:id="2008047675">
                              <w:marLeft w:val="0"/>
                              <w:marRight w:val="0"/>
                              <w:marTop w:val="120"/>
                              <w:marBottom w:val="360"/>
                              <w:divBdr>
                                <w:top w:val="none" w:sz="0" w:space="0" w:color="auto"/>
                                <w:left w:val="none" w:sz="0" w:space="0" w:color="auto"/>
                                <w:bottom w:val="none" w:sz="0" w:space="0" w:color="auto"/>
                                <w:right w:val="none" w:sz="0" w:space="0" w:color="auto"/>
                              </w:divBdr>
                              <w:divsChild>
                                <w:div w:id="108859243">
                                  <w:marLeft w:val="0"/>
                                  <w:marRight w:val="0"/>
                                  <w:marTop w:val="0"/>
                                  <w:marBottom w:val="0"/>
                                  <w:divBdr>
                                    <w:top w:val="none" w:sz="0" w:space="0" w:color="auto"/>
                                    <w:left w:val="none" w:sz="0" w:space="0" w:color="auto"/>
                                    <w:bottom w:val="none" w:sz="0" w:space="0" w:color="auto"/>
                                    <w:right w:val="none" w:sz="0" w:space="0" w:color="auto"/>
                                  </w:divBdr>
                                  <w:divsChild>
                                    <w:div w:id="9749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532087">
      <w:bodyDiv w:val="1"/>
      <w:marLeft w:val="0"/>
      <w:marRight w:val="0"/>
      <w:marTop w:val="0"/>
      <w:marBottom w:val="0"/>
      <w:divBdr>
        <w:top w:val="none" w:sz="0" w:space="0" w:color="auto"/>
        <w:left w:val="none" w:sz="0" w:space="0" w:color="auto"/>
        <w:bottom w:val="none" w:sz="0" w:space="0" w:color="auto"/>
        <w:right w:val="none" w:sz="0" w:space="0" w:color="auto"/>
      </w:divBdr>
      <w:divsChild>
        <w:div w:id="1974945225">
          <w:marLeft w:val="0"/>
          <w:marRight w:val="1"/>
          <w:marTop w:val="0"/>
          <w:marBottom w:val="0"/>
          <w:divBdr>
            <w:top w:val="none" w:sz="0" w:space="0" w:color="auto"/>
            <w:left w:val="none" w:sz="0" w:space="0" w:color="auto"/>
            <w:bottom w:val="none" w:sz="0" w:space="0" w:color="auto"/>
            <w:right w:val="none" w:sz="0" w:space="0" w:color="auto"/>
          </w:divBdr>
          <w:divsChild>
            <w:div w:id="1531920952">
              <w:marLeft w:val="0"/>
              <w:marRight w:val="0"/>
              <w:marTop w:val="0"/>
              <w:marBottom w:val="0"/>
              <w:divBdr>
                <w:top w:val="none" w:sz="0" w:space="0" w:color="auto"/>
                <w:left w:val="none" w:sz="0" w:space="0" w:color="auto"/>
                <w:bottom w:val="none" w:sz="0" w:space="0" w:color="auto"/>
                <w:right w:val="none" w:sz="0" w:space="0" w:color="auto"/>
              </w:divBdr>
              <w:divsChild>
                <w:div w:id="1054112992">
                  <w:marLeft w:val="0"/>
                  <w:marRight w:val="1"/>
                  <w:marTop w:val="0"/>
                  <w:marBottom w:val="0"/>
                  <w:divBdr>
                    <w:top w:val="none" w:sz="0" w:space="0" w:color="auto"/>
                    <w:left w:val="none" w:sz="0" w:space="0" w:color="auto"/>
                    <w:bottom w:val="none" w:sz="0" w:space="0" w:color="auto"/>
                    <w:right w:val="none" w:sz="0" w:space="0" w:color="auto"/>
                  </w:divBdr>
                  <w:divsChild>
                    <w:div w:id="1101796682">
                      <w:marLeft w:val="0"/>
                      <w:marRight w:val="0"/>
                      <w:marTop w:val="0"/>
                      <w:marBottom w:val="0"/>
                      <w:divBdr>
                        <w:top w:val="none" w:sz="0" w:space="0" w:color="auto"/>
                        <w:left w:val="none" w:sz="0" w:space="0" w:color="auto"/>
                        <w:bottom w:val="none" w:sz="0" w:space="0" w:color="auto"/>
                        <w:right w:val="none" w:sz="0" w:space="0" w:color="auto"/>
                      </w:divBdr>
                      <w:divsChild>
                        <w:div w:id="809785629">
                          <w:marLeft w:val="0"/>
                          <w:marRight w:val="0"/>
                          <w:marTop w:val="0"/>
                          <w:marBottom w:val="0"/>
                          <w:divBdr>
                            <w:top w:val="none" w:sz="0" w:space="0" w:color="auto"/>
                            <w:left w:val="none" w:sz="0" w:space="0" w:color="auto"/>
                            <w:bottom w:val="none" w:sz="0" w:space="0" w:color="auto"/>
                            <w:right w:val="none" w:sz="0" w:space="0" w:color="auto"/>
                          </w:divBdr>
                          <w:divsChild>
                            <w:div w:id="910775603">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73779">
      <w:bodyDiv w:val="1"/>
      <w:marLeft w:val="0"/>
      <w:marRight w:val="0"/>
      <w:marTop w:val="0"/>
      <w:marBottom w:val="0"/>
      <w:divBdr>
        <w:top w:val="none" w:sz="0" w:space="0" w:color="auto"/>
        <w:left w:val="none" w:sz="0" w:space="0" w:color="auto"/>
        <w:bottom w:val="none" w:sz="0" w:space="0" w:color="auto"/>
        <w:right w:val="none" w:sz="0" w:space="0" w:color="auto"/>
      </w:divBdr>
      <w:divsChild>
        <w:div w:id="1732002813">
          <w:marLeft w:val="0"/>
          <w:marRight w:val="1"/>
          <w:marTop w:val="0"/>
          <w:marBottom w:val="0"/>
          <w:divBdr>
            <w:top w:val="none" w:sz="0" w:space="0" w:color="auto"/>
            <w:left w:val="none" w:sz="0" w:space="0" w:color="auto"/>
            <w:bottom w:val="none" w:sz="0" w:space="0" w:color="auto"/>
            <w:right w:val="none" w:sz="0" w:space="0" w:color="auto"/>
          </w:divBdr>
          <w:divsChild>
            <w:div w:id="3631761">
              <w:marLeft w:val="0"/>
              <w:marRight w:val="0"/>
              <w:marTop w:val="0"/>
              <w:marBottom w:val="0"/>
              <w:divBdr>
                <w:top w:val="none" w:sz="0" w:space="0" w:color="auto"/>
                <w:left w:val="none" w:sz="0" w:space="0" w:color="auto"/>
                <w:bottom w:val="none" w:sz="0" w:space="0" w:color="auto"/>
                <w:right w:val="none" w:sz="0" w:space="0" w:color="auto"/>
              </w:divBdr>
              <w:divsChild>
                <w:div w:id="281497118">
                  <w:marLeft w:val="0"/>
                  <w:marRight w:val="1"/>
                  <w:marTop w:val="0"/>
                  <w:marBottom w:val="0"/>
                  <w:divBdr>
                    <w:top w:val="none" w:sz="0" w:space="0" w:color="auto"/>
                    <w:left w:val="none" w:sz="0" w:space="0" w:color="auto"/>
                    <w:bottom w:val="none" w:sz="0" w:space="0" w:color="auto"/>
                    <w:right w:val="none" w:sz="0" w:space="0" w:color="auto"/>
                  </w:divBdr>
                  <w:divsChild>
                    <w:div w:id="296644413">
                      <w:marLeft w:val="0"/>
                      <w:marRight w:val="0"/>
                      <w:marTop w:val="0"/>
                      <w:marBottom w:val="0"/>
                      <w:divBdr>
                        <w:top w:val="none" w:sz="0" w:space="0" w:color="auto"/>
                        <w:left w:val="none" w:sz="0" w:space="0" w:color="auto"/>
                        <w:bottom w:val="none" w:sz="0" w:space="0" w:color="auto"/>
                        <w:right w:val="none" w:sz="0" w:space="0" w:color="auto"/>
                      </w:divBdr>
                      <w:divsChild>
                        <w:div w:id="1779063508">
                          <w:marLeft w:val="0"/>
                          <w:marRight w:val="0"/>
                          <w:marTop w:val="0"/>
                          <w:marBottom w:val="0"/>
                          <w:divBdr>
                            <w:top w:val="none" w:sz="0" w:space="0" w:color="auto"/>
                            <w:left w:val="none" w:sz="0" w:space="0" w:color="auto"/>
                            <w:bottom w:val="none" w:sz="0" w:space="0" w:color="auto"/>
                            <w:right w:val="none" w:sz="0" w:space="0" w:color="auto"/>
                          </w:divBdr>
                          <w:divsChild>
                            <w:div w:id="737284897">
                              <w:marLeft w:val="0"/>
                              <w:marRight w:val="0"/>
                              <w:marTop w:val="120"/>
                              <w:marBottom w:val="360"/>
                              <w:divBdr>
                                <w:top w:val="none" w:sz="0" w:space="0" w:color="auto"/>
                                <w:left w:val="none" w:sz="0" w:space="0" w:color="auto"/>
                                <w:bottom w:val="none" w:sz="0" w:space="0" w:color="auto"/>
                                <w:right w:val="none" w:sz="0" w:space="0" w:color="auto"/>
                              </w:divBdr>
                              <w:divsChild>
                                <w:div w:id="625965563">
                                  <w:marLeft w:val="0"/>
                                  <w:marRight w:val="0"/>
                                  <w:marTop w:val="0"/>
                                  <w:marBottom w:val="0"/>
                                  <w:divBdr>
                                    <w:top w:val="none" w:sz="0" w:space="0" w:color="auto"/>
                                    <w:left w:val="none" w:sz="0" w:space="0" w:color="auto"/>
                                    <w:bottom w:val="none" w:sz="0" w:space="0" w:color="auto"/>
                                    <w:right w:val="none" w:sz="0" w:space="0" w:color="auto"/>
                                  </w:divBdr>
                                  <w:divsChild>
                                    <w:div w:id="10375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389484">
      <w:bodyDiv w:val="1"/>
      <w:marLeft w:val="0"/>
      <w:marRight w:val="0"/>
      <w:marTop w:val="0"/>
      <w:marBottom w:val="0"/>
      <w:divBdr>
        <w:top w:val="none" w:sz="0" w:space="0" w:color="auto"/>
        <w:left w:val="none" w:sz="0" w:space="0" w:color="auto"/>
        <w:bottom w:val="none" w:sz="0" w:space="0" w:color="auto"/>
        <w:right w:val="none" w:sz="0" w:space="0" w:color="auto"/>
      </w:divBdr>
      <w:divsChild>
        <w:div w:id="305621612">
          <w:marLeft w:val="0"/>
          <w:marRight w:val="1"/>
          <w:marTop w:val="0"/>
          <w:marBottom w:val="0"/>
          <w:divBdr>
            <w:top w:val="none" w:sz="0" w:space="0" w:color="auto"/>
            <w:left w:val="none" w:sz="0" w:space="0" w:color="auto"/>
            <w:bottom w:val="none" w:sz="0" w:space="0" w:color="auto"/>
            <w:right w:val="none" w:sz="0" w:space="0" w:color="auto"/>
          </w:divBdr>
          <w:divsChild>
            <w:div w:id="402608851">
              <w:marLeft w:val="0"/>
              <w:marRight w:val="0"/>
              <w:marTop w:val="0"/>
              <w:marBottom w:val="0"/>
              <w:divBdr>
                <w:top w:val="none" w:sz="0" w:space="0" w:color="auto"/>
                <w:left w:val="none" w:sz="0" w:space="0" w:color="auto"/>
                <w:bottom w:val="none" w:sz="0" w:space="0" w:color="auto"/>
                <w:right w:val="none" w:sz="0" w:space="0" w:color="auto"/>
              </w:divBdr>
              <w:divsChild>
                <w:div w:id="923493684">
                  <w:marLeft w:val="0"/>
                  <w:marRight w:val="1"/>
                  <w:marTop w:val="0"/>
                  <w:marBottom w:val="0"/>
                  <w:divBdr>
                    <w:top w:val="none" w:sz="0" w:space="0" w:color="auto"/>
                    <w:left w:val="none" w:sz="0" w:space="0" w:color="auto"/>
                    <w:bottom w:val="none" w:sz="0" w:space="0" w:color="auto"/>
                    <w:right w:val="none" w:sz="0" w:space="0" w:color="auto"/>
                  </w:divBdr>
                  <w:divsChild>
                    <w:div w:id="44107077">
                      <w:marLeft w:val="0"/>
                      <w:marRight w:val="0"/>
                      <w:marTop w:val="0"/>
                      <w:marBottom w:val="0"/>
                      <w:divBdr>
                        <w:top w:val="none" w:sz="0" w:space="0" w:color="auto"/>
                        <w:left w:val="none" w:sz="0" w:space="0" w:color="auto"/>
                        <w:bottom w:val="none" w:sz="0" w:space="0" w:color="auto"/>
                        <w:right w:val="none" w:sz="0" w:space="0" w:color="auto"/>
                      </w:divBdr>
                      <w:divsChild>
                        <w:div w:id="447358552">
                          <w:marLeft w:val="0"/>
                          <w:marRight w:val="0"/>
                          <w:marTop w:val="0"/>
                          <w:marBottom w:val="0"/>
                          <w:divBdr>
                            <w:top w:val="none" w:sz="0" w:space="0" w:color="auto"/>
                            <w:left w:val="none" w:sz="0" w:space="0" w:color="auto"/>
                            <w:bottom w:val="none" w:sz="0" w:space="0" w:color="auto"/>
                            <w:right w:val="none" w:sz="0" w:space="0" w:color="auto"/>
                          </w:divBdr>
                          <w:divsChild>
                            <w:div w:id="603809289">
                              <w:marLeft w:val="0"/>
                              <w:marRight w:val="0"/>
                              <w:marTop w:val="120"/>
                              <w:marBottom w:val="360"/>
                              <w:divBdr>
                                <w:top w:val="none" w:sz="0" w:space="0" w:color="auto"/>
                                <w:left w:val="none" w:sz="0" w:space="0" w:color="auto"/>
                                <w:bottom w:val="none" w:sz="0" w:space="0" w:color="auto"/>
                                <w:right w:val="none" w:sz="0" w:space="0" w:color="auto"/>
                              </w:divBdr>
                              <w:divsChild>
                                <w:div w:id="15453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864063">
      <w:bodyDiv w:val="1"/>
      <w:marLeft w:val="0"/>
      <w:marRight w:val="0"/>
      <w:marTop w:val="0"/>
      <w:marBottom w:val="0"/>
      <w:divBdr>
        <w:top w:val="none" w:sz="0" w:space="0" w:color="auto"/>
        <w:left w:val="none" w:sz="0" w:space="0" w:color="auto"/>
        <w:bottom w:val="none" w:sz="0" w:space="0" w:color="auto"/>
        <w:right w:val="none" w:sz="0" w:space="0" w:color="auto"/>
      </w:divBdr>
      <w:divsChild>
        <w:div w:id="962613369">
          <w:marLeft w:val="0"/>
          <w:marRight w:val="1"/>
          <w:marTop w:val="0"/>
          <w:marBottom w:val="0"/>
          <w:divBdr>
            <w:top w:val="none" w:sz="0" w:space="0" w:color="auto"/>
            <w:left w:val="none" w:sz="0" w:space="0" w:color="auto"/>
            <w:bottom w:val="none" w:sz="0" w:space="0" w:color="auto"/>
            <w:right w:val="none" w:sz="0" w:space="0" w:color="auto"/>
          </w:divBdr>
          <w:divsChild>
            <w:div w:id="524443546">
              <w:marLeft w:val="0"/>
              <w:marRight w:val="0"/>
              <w:marTop w:val="0"/>
              <w:marBottom w:val="0"/>
              <w:divBdr>
                <w:top w:val="none" w:sz="0" w:space="0" w:color="auto"/>
                <w:left w:val="none" w:sz="0" w:space="0" w:color="auto"/>
                <w:bottom w:val="none" w:sz="0" w:space="0" w:color="auto"/>
                <w:right w:val="none" w:sz="0" w:space="0" w:color="auto"/>
              </w:divBdr>
              <w:divsChild>
                <w:div w:id="1719282975">
                  <w:marLeft w:val="0"/>
                  <w:marRight w:val="1"/>
                  <w:marTop w:val="0"/>
                  <w:marBottom w:val="0"/>
                  <w:divBdr>
                    <w:top w:val="none" w:sz="0" w:space="0" w:color="auto"/>
                    <w:left w:val="none" w:sz="0" w:space="0" w:color="auto"/>
                    <w:bottom w:val="none" w:sz="0" w:space="0" w:color="auto"/>
                    <w:right w:val="none" w:sz="0" w:space="0" w:color="auto"/>
                  </w:divBdr>
                  <w:divsChild>
                    <w:div w:id="1089733541">
                      <w:marLeft w:val="0"/>
                      <w:marRight w:val="0"/>
                      <w:marTop w:val="0"/>
                      <w:marBottom w:val="0"/>
                      <w:divBdr>
                        <w:top w:val="none" w:sz="0" w:space="0" w:color="auto"/>
                        <w:left w:val="none" w:sz="0" w:space="0" w:color="auto"/>
                        <w:bottom w:val="none" w:sz="0" w:space="0" w:color="auto"/>
                        <w:right w:val="none" w:sz="0" w:space="0" w:color="auto"/>
                      </w:divBdr>
                      <w:divsChild>
                        <w:div w:id="1722443101">
                          <w:marLeft w:val="0"/>
                          <w:marRight w:val="0"/>
                          <w:marTop w:val="0"/>
                          <w:marBottom w:val="0"/>
                          <w:divBdr>
                            <w:top w:val="none" w:sz="0" w:space="0" w:color="auto"/>
                            <w:left w:val="none" w:sz="0" w:space="0" w:color="auto"/>
                            <w:bottom w:val="none" w:sz="0" w:space="0" w:color="auto"/>
                            <w:right w:val="none" w:sz="0" w:space="0" w:color="auto"/>
                          </w:divBdr>
                          <w:divsChild>
                            <w:div w:id="315643626">
                              <w:marLeft w:val="0"/>
                              <w:marRight w:val="0"/>
                              <w:marTop w:val="120"/>
                              <w:marBottom w:val="360"/>
                              <w:divBdr>
                                <w:top w:val="none" w:sz="0" w:space="0" w:color="auto"/>
                                <w:left w:val="none" w:sz="0" w:space="0" w:color="auto"/>
                                <w:bottom w:val="none" w:sz="0" w:space="0" w:color="auto"/>
                                <w:right w:val="none" w:sz="0" w:space="0" w:color="auto"/>
                              </w:divBdr>
                              <w:divsChild>
                                <w:div w:id="610627599">
                                  <w:marLeft w:val="336"/>
                                  <w:marRight w:val="0"/>
                                  <w:marTop w:val="0"/>
                                  <w:marBottom w:val="0"/>
                                  <w:divBdr>
                                    <w:top w:val="none" w:sz="0" w:space="0" w:color="auto"/>
                                    <w:left w:val="none" w:sz="0" w:space="0" w:color="auto"/>
                                    <w:bottom w:val="none" w:sz="0" w:space="0" w:color="auto"/>
                                    <w:right w:val="none" w:sz="0" w:space="0" w:color="auto"/>
                                  </w:divBdr>
                                  <w:divsChild>
                                    <w:div w:id="1408579082">
                                      <w:marLeft w:val="0"/>
                                      <w:marRight w:val="0"/>
                                      <w:marTop w:val="34"/>
                                      <w:marBottom w:val="34"/>
                                      <w:divBdr>
                                        <w:top w:val="none" w:sz="0" w:space="0" w:color="auto"/>
                                        <w:left w:val="none" w:sz="0" w:space="0" w:color="auto"/>
                                        <w:bottom w:val="none" w:sz="0" w:space="0" w:color="auto"/>
                                        <w:right w:val="none" w:sz="0" w:space="0" w:color="auto"/>
                                      </w:divBdr>
                                    </w:div>
                                    <w:div w:id="1233857486">
                                      <w:marLeft w:val="0"/>
                                      <w:marRight w:val="0"/>
                                      <w:marTop w:val="0"/>
                                      <w:marBottom w:val="0"/>
                                      <w:divBdr>
                                        <w:top w:val="none" w:sz="0" w:space="0" w:color="auto"/>
                                        <w:left w:val="none" w:sz="0" w:space="0" w:color="auto"/>
                                        <w:bottom w:val="none" w:sz="0" w:space="0" w:color="auto"/>
                                        <w:right w:val="none" w:sz="0" w:space="0" w:color="auto"/>
                                      </w:divBdr>
                                      <w:divsChild>
                                        <w:div w:id="9835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291783">
      <w:bodyDiv w:val="1"/>
      <w:marLeft w:val="0"/>
      <w:marRight w:val="0"/>
      <w:marTop w:val="0"/>
      <w:marBottom w:val="0"/>
      <w:divBdr>
        <w:top w:val="none" w:sz="0" w:space="0" w:color="auto"/>
        <w:left w:val="none" w:sz="0" w:space="0" w:color="auto"/>
        <w:bottom w:val="none" w:sz="0" w:space="0" w:color="auto"/>
        <w:right w:val="none" w:sz="0" w:space="0" w:color="auto"/>
      </w:divBdr>
      <w:divsChild>
        <w:div w:id="83378677">
          <w:marLeft w:val="0"/>
          <w:marRight w:val="1"/>
          <w:marTop w:val="0"/>
          <w:marBottom w:val="0"/>
          <w:divBdr>
            <w:top w:val="none" w:sz="0" w:space="0" w:color="auto"/>
            <w:left w:val="none" w:sz="0" w:space="0" w:color="auto"/>
            <w:bottom w:val="none" w:sz="0" w:space="0" w:color="auto"/>
            <w:right w:val="none" w:sz="0" w:space="0" w:color="auto"/>
          </w:divBdr>
          <w:divsChild>
            <w:div w:id="105009675">
              <w:marLeft w:val="0"/>
              <w:marRight w:val="0"/>
              <w:marTop w:val="0"/>
              <w:marBottom w:val="0"/>
              <w:divBdr>
                <w:top w:val="none" w:sz="0" w:space="0" w:color="auto"/>
                <w:left w:val="none" w:sz="0" w:space="0" w:color="auto"/>
                <w:bottom w:val="none" w:sz="0" w:space="0" w:color="auto"/>
                <w:right w:val="none" w:sz="0" w:space="0" w:color="auto"/>
              </w:divBdr>
              <w:divsChild>
                <w:div w:id="1262572416">
                  <w:marLeft w:val="0"/>
                  <w:marRight w:val="1"/>
                  <w:marTop w:val="0"/>
                  <w:marBottom w:val="0"/>
                  <w:divBdr>
                    <w:top w:val="none" w:sz="0" w:space="0" w:color="auto"/>
                    <w:left w:val="none" w:sz="0" w:space="0" w:color="auto"/>
                    <w:bottom w:val="none" w:sz="0" w:space="0" w:color="auto"/>
                    <w:right w:val="none" w:sz="0" w:space="0" w:color="auto"/>
                  </w:divBdr>
                  <w:divsChild>
                    <w:div w:id="2129931416">
                      <w:marLeft w:val="0"/>
                      <w:marRight w:val="0"/>
                      <w:marTop w:val="0"/>
                      <w:marBottom w:val="0"/>
                      <w:divBdr>
                        <w:top w:val="none" w:sz="0" w:space="0" w:color="auto"/>
                        <w:left w:val="none" w:sz="0" w:space="0" w:color="auto"/>
                        <w:bottom w:val="none" w:sz="0" w:space="0" w:color="auto"/>
                        <w:right w:val="none" w:sz="0" w:space="0" w:color="auto"/>
                      </w:divBdr>
                      <w:divsChild>
                        <w:div w:id="745759074">
                          <w:marLeft w:val="0"/>
                          <w:marRight w:val="0"/>
                          <w:marTop w:val="0"/>
                          <w:marBottom w:val="0"/>
                          <w:divBdr>
                            <w:top w:val="none" w:sz="0" w:space="0" w:color="auto"/>
                            <w:left w:val="none" w:sz="0" w:space="0" w:color="auto"/>
                            <w:bottom w:val="none" w:sz="0" w:space="0" w:color="auto"/>
                            <w:right w:val="none" w:sz="0" w:space="0" w:color="auto"/>
                          </w:divBdr>
                          <w:divsChild>
                            <w:div w:id="1002242733">
                              <w:marLeft w:val="0"/>
                              <w:marRight w:val="0"/>
                              <w:marTop w:val="120"/>
                              <w:marBottom w:val="360"/>
                              <w:divBdr>
                                <w:top w:val="none" w:sz="0" w:space="0" w:color="auto"/>
                                <w:left w:val="none" w:sz="0" w:space="0" w:color="auto"/>
                                <w:bottom w:val="none" w:sz="0" w:space="0" w:color="auto"/>
                                <w:right w:val="none" w:sz="0" w:space="0" w:color="auto"/>
                              </w:divBdr>
                              <w:divsChild>
                                <w:div w:id="623511380">
                                  <w:marLeft w:val="0"/>
                                  <w:marRight w:val="0"/>
                                  <w:marTop w:val="0"/>
                                  <w:marBottom w:val="0"/>
                                  <w:divBdr>
                                    <w:top w:val="none" w:sz="0" w:space="0" w:color="auto"/>
                                    <w:left w:val="none" w:sz="0" w:space="0" w:color="auto"/>
                                    <w:bottom w:val="none" w:sz="0" w:space="0" w:color="auto"/>
                                    <w:right w:val="none" w:sz="0" w:space="0" w:color="auto"/>
                                  </w:divBdr>
                                  <w:divsChild>
                                    <w:div w:id="11151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883612">
      <w:bodyDiv w:val="1"/>
      <w:marLeft w:val="0"/>
      <w:marRight w:val="0"/>
      <w:marTop w:val="0"/>
      <w:marBottom w:val="0"/>
      <w:divBdr>
        <w:top w:val="none" w:sz="0" w:space="0" w:color="auto"/>
        <w:left w:val="none" w:sz="0" w:space="0" w:color="auto"/>
        <w:bottom w:val="none" w:sz="0" w:space="0" w:color="auto"/>
        <w:right w:val="none" w:sz="0" w:space="0" w:color="auto"/>
      </w:divBdr>
      <w:divsChild>
        <w:div w:id="1449399137">
          <w:marLeft w:val="0"/>
          <w:marRight w:val="0"/>
          <w:marTop w:val="0"/>
          <w:marBottom w:val="0"/>
          <w:divBdr>
            <w:top w:val="none" w:sz="0" w:space="0" w:color="auto"/>
            <w:left w:val="none" w:sz="0" w:space="0" w:color="auto"/>
            <w:bottom w:val="none" w:sz="0" w:space="0" w:color="auto"/>
            <w:right w:val="none" w:sz="0" w:space="0" w:color="auto"/>
          </w:divBdr>
          <w:divsChild>
            <w:div w:id="651175634">
              <w:marLeft w:val="300"/>
              <w:marRight w:val="300"/>
              <w:marTop w:val="150"/>
              <w:marBottom w:val="150"/>
              <w:divBdr>
                <w:top w:val="none" w:sz="0" w:space="0" w:color="auto"/>
                <w:left w:val="none" w:sz="0" w:space="0" w:color="auto"/>
                <w:bottom w:val="none" w:sz="0" w:space="0" w:color="auto"/>
                <w:right w:val="none" w:sz="0" w:space="0" w:color="auto"/>
              </w:divBdr>
              <w:divsChild>
                <w:div w:id="1016348571">
                  <w:marLeft w:val="0"/>
                  <w:marRight w:val="0"/>
                  <w:marTop w:val="0"/>
                  <w:marBottom w:val="0"/>
                  <w:divBdr>
                    <w:top w:val="none" w:sz="0" w:space="0" w:color="auto"/>
                    <w:left w:val="none" w:sz="0" w:space="0" w:color="auto"/>
                    <w:bottom w:val="none" w:sz="0" w:space="0" w:color="auto"/>
                    <w:right w:val="none" w:sz="0" w:space="0" w:color="auto"/>
                  </w:divBdr>
                  <w:divsChild>
                    <w:div w:id="47535268">
                      <w:marLeft w:val="0"/>
                      <w:marRight w:val="0"/>
                      <w:marTop w:val="0"/>
                      <w:marBottom w:val="0"/>
                      <w:divBdr>
                        <w:top w:val="none" w:sz="0" w:space="0" w:color="auto"/>
                        <w:left w:val="none" w:sz="0" w:space="0" w:color="auto"/>
                        <w:bottom w:val="none" w:sz="0" w:space="0" w:color="auto"/>
                        <w:right w:val="none" w:sz="0" w:space="0" w:color="auto"/>
                      </w:divBdr>
                      <w:divsChild>
                        <w:div w:id="974525775">
                          <w:marLeft w:val="0"/>
                          <w:marRight w:val="0"/>
                          <w:marTop w:val="225"/>
                          <w:marBottom w:val="0"/>
                          <w:divBdr>
                            <w:top w:val="none" w:sz="0" w:space="0" w:color="auto"/>
                            <w:left w:val="none" w:sz="0" w:space="0" w:color="auto"/>
                            <w:bottom w:val="none" w:sz="0" w:space="0" w:color="auto"/>
                            <w:right w:val="none" w:sz="0" w:space="0" w:color="auto"/>
                          </w:divBdr>
                          <w:divsChild>
                            <w:div w:id="402483622">
                              <w:marLeft w:val="0"/>
                              <w:marRight w:val="0"/>
                              <w:marTop w:val="0"/>
                              <w:marBottom w:val="0"/>
                              <w:divBdr>
                                <w:top w:val="none" w:sz="0" w:space="0" w:color="auto"/>
                                <w:left w:val="none" w:sz="0" w:space="0" w:color="auto"/>
                                <w:bottom w:val="none" w:sz="0" w:space="0" w:color="auto"/>
                                <w:right w:val="none" w:sz="0" w:space="0" w:color="auto"/>
                              </w:divBdr>
                              <w:divsChild>
                                <w:div w:id="1821995964">
                                  <w:marLeft w:val="0"/>
                                  <w:marRight w:val="0"/>
                                  <w:marTop w:val="0"/>
                                  <w:marBottom w:val="255"/>
                                  <w:divBdr>
                                    <w:top w:val="none" w:sz="0" w:space="0" w:color="auto"/>
                                    <w:left w:val="none" w:sz="0" w:space="0" w:color="auto"/>
                                    <w:bottom w:val="none" w:sz="0" w:space="0" w:color="auto"/>
                                    <w:right w:val="none" w:sz="0" w:space="0" w:color="auto"/>
                                  </w:divBdr>
                                  <w:divsChild>
                                    <w:div w:id="516580091">
                                      <w:marLeft w:val="0"/>
                                      <w:marRight w:val="0"/>
                                      <w:marTop w:val="0"/>
                                      <w:marBottom w:val="0"/>
                                      <w:divBdr>
                                        <w:top w:val="none" w:sz="0" w:space="0" w:color="auto"/>
                                        <w:left w:val="none" w:sz="0" w:space="0" w:color="auto"/>
                                        <w:bottom w:val="none" w:sz="0" w:space="0" w:color="auto"/>
                                        <w:right w:val="none" w:sz="0" w:space="0" w:color="auto"/>
                                      </w:divBdr>
                                      <w:divsChild>
                                        <w:div w:id="5275668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467649">
      <w:bodyDiv w:val="1"/>
      <w:marLeft w:val="0"/>
      <w:marRight w:val="0"/>
      <w:marTop w:val="0"/>
      <w:marBottom w:val="0"/>
      <w:divBdr>
        <w:top w:val="none" w:sz="0" w:space="0" w:color="auto"/>
        <w:left w:val="none" w:sz="0" w:space="0" w:color="auto"/>
        <w:bottom w:val="none" w:sz="0" w:space="0" w:color="auto"/>
        <w:right w:val="none" w:sz="0" w:space="0" w:color="auto"/>
      </w:divBdr>
      <w:divsChild>
        <w:div w:id="1263412473">
          <w:marLeft w:val="0"/>
          <w:marRight w:val="0"/>
          <w:marTop w:val="0"/>
          <w:marBottom w:val="0"/>
          <w:divBdr>
            <w:top w:val="none" w:sz="0" w:space="0" w:color="auto"/>
            <w:left w:val="none" w:sz="0" w:space="0" w:color="auto"/>
            <w:bottom w:val="none" w:sz="0" w:space="0" w:color="auto"/>
            <w:right w:val="none" w:sz="0" w:space="0" w:color="auto"/>
          </w:divBdr>
          <w:divsChild>
            <w:div w:id="604195964">
              <w:marLeft w:val="0"/>
              <w:marRight w:val="0"/>
              <w:marTop w:val="0"/>
              <w:marBottom w:val="0"/>
              <w:divBdr>
                <w:top w:val="none" w:sz="0" w:space="0" w:color="auto"/>
                <w:left w:val="none" w:sz="0" w:space="0" w:color="auto"/>
                <w:bottom w:val="none" w:sz="0" w:space="0" w:color="auto"/>
                <w:right w:val="none" w:sz="0" w:space="0" w:color="auto"/>
              </w:divBdr>
            </w:div>
            <w:div w:id="1262684729">
              <w:marLeft w:val="0"/>
              <w:marRight w:val="0"/>
              <w:marTop w:val="0"/>
              <w:marBottom w:val="0"/>
              <w:divBdr>
                <w:top w:val="none" w:sz="0" w:space="0" w:color="auto"/>
                <w:left w:val="none" w:sz="0" w:space="0" w:color="auto"/>
                <w:bottom w:val="none" w:sz="0" w:space="0" w:color="auto"/>
                <w:right w:val="none" w:sz="0" w:space="0" w:color="auto"/>
              </w:divBdr>
            </w:div>
            <w:div w:id="897400717">
              <w:marLeft w:val="0"/>
              <w:marRight w:val="0"/>
              <w:marTop w:val="0"/>
              <w:marBottom w:val="0"/>
              <w:divBdr>
                <w:top w:val="none" w:sz="0" w:space="0" w:color="auto"/>
                <w:left w:val="none" w:sz="0" w:space="0" w:color="auto"/>
                <w:bottom w:val="none" w:sz="0" w:space="0" w:color="auto"/>
                <w:right w:val="none" w:sz="0" w:space="0" w:color="auto"/>
              </w:divBdr>
            </w:div>
            <w:div w:id="710808514">
              <w:marLeft w:val="0"/>
              <w:marRight w:val="0"/>
              <w:marTop w:val="0"/>
              <w:marBottom w:val="0"/>
              <w:divBdr>
                <w:top w:val="none" w:sz="0" w:space="0" w:color="auto"/>
                <w:left w:val="none" w:sz="0" w:space="0" w:color="auto"/>
                <w:bottom w:val="none" w:sz="0" w:space="0" w:color="auto"/>
                <w:right w:val="none" w:sz="0" w:space="0" w:color="auto"/>
              </w:divBdr>
            </w:div>
            <w:div w:id="390273794">
              <w:marLeft w:val="0"/>
              <w:marRight w:val="0"/>
              <w:marTop w:val="0"/>
              <w:marBottom w:val="0"/>
              <w:divBdr>
                <w:top w:val="none" w:sz="0" w:space="0" w:color="auto"/>
                <w:left w:val="none" w:sz="0" w:space="0" w:color="auto"/>
                <w:bottom w:val="none" w:sz="0" w:space="0" w:color="auto"/>
                <w:right w:val="none" w:sz="0" w:space="0" w:color="auto"/>
              </w:divBdr>
            </w:div>
            <w:div w:id="737872071">
              <w:marLeft w:val="0"/>
              <w:marRight w:val="0"/>
              <w:marTop w:val="0"/>
              <w:marBottom w:val="0"/>
              <w:divBdr>
                <w:top w:val="none" w:sz="0" w:space="0" w:color="auto"/>
                <w:left w:val="none" w:sz="0" w:space="0" w:color="auto"/>
                <w:bottom w:val="none" w:sz="0" w:space="0" w:color="auto"/>
                <w:right w:val="none" w:sz="0" w:space="0" w:color="auto"/>
              </w:divBdr>
            </w:div>
            <w:div w:id="971637882">
              <w:marLeft w:val="0"/>
              <w:marRight w:val="0"/>
              <w:marTop w:val="0"/>
              <w:marBottom w:val="0"/>
              <w:divBdr>
                <w:top w:val="none" w:sz="0" w:space="0" w:color="auto"/>
                <w:left w:val="none" w:sz="0" w:space="0" w:color="auto"/>
                <w:bottom w:val="none" w:sz="0" w:space="0" w:color="auto"/>
                <w:right w:val="none" w:sz="0" w:space="0" w:color="auto"/>
              </w:divBdr>
            </w:div>
            <w:div w:id="1439132052">
              <w:marLeft w:val="0"/>
              <w:marRight w:val="0"/>
              <w:marTop w:val="0"/>
              <w:marBottom w:val="0"/>
              <w:divBdr>
                <w:top w:val="none" w:sz="0" w:space="0" w:color="auto"/>
                <w:left w:val="none" w:sz="0" w:space="0" w:color="auto"/>
                <w:bottom w:val="none" w:sz="0" w:space="0" w:color="auto"/>
                <w:right w:val="none" w:sz="0" w:space="0" w:color="auto"/>
              </w:divBdr>
            </w:div>
            <w:div w:id="2063483051">
              <w:marLeft w:val="0"/>
              <w:marRight w:val="0"/>
              <w:marTop w:val="0"/>
              <w:marBottom w:val="0"/>
              <w:divBdr>
                <w:top w:val="none" w:sz="0" w:space="0" w:color="auto"/>
                <w:left w:val="none" w:sz="0" w:space="0" w:color="auto"/>
                <w:bottom w:val="none" w:sz="0" w:space="0" w:color="auto"/>
                <w:right w:val="none" w:sz="0" w:space="0" w:color="auto"/>
              </w:divBdr>
            </w:div>
            <w:div w:id="112595316">
              <w:marLeft w:val="0"/>
              <w:marRight w:val="0"/>
              <w:marTop w:val="0"/>
              <w:marBottom w:val="0"/>
              <w:divBdr>
                <w:top w:val="none" w:sz="0" w:space="0" w:color="auto"/>
                <w:left w:val="none" w:sz="0" w:space="0" w:color="auto"/>
                <w:bottom w:val="none" w:sz="0" w:space="0" w:color="auto"/>
                <w:right w:val="none" w:sz="0" w:space="0" w:color="auto"/>
              </w:divBdr>
            </w:div>
            <w:div w:id="173687276">
              <w:marLeft w:val="0"/>
              <w:marRight w:val="0"/>
              <w:marTop w:val="0"/>
              <w:marBottom w:val="0"/>
              <w:divBdr>
                <w:top w:val="none" w:sz="0" w:space="0" w:color="auto"/>
                <w:left w:val="none" w:sz="0" w:space="0" w:color="auto"/>
                <w:bottom w:val="none" w:sz="0" w:space="0" w:color="auto"/>
                <w:right w:val="none" w:sz="0" w:space="0" w:color="auto"/>
              </w:divBdr>
            </w:div>
            <w:div w:id="257913246">
              <w:marLeft w:val="0"/>
              <w:marRight w:val="0"/>
              <w:marTop w:val="0"/>
              <w:marBottom w:val="0"/>
              <w:divBdr>
                <w:top w:val="none" w:sz="0" w:space="0" w:color="auto"/>
                <w:left w:val="none" w:sz="0" w:space="0" w:color="auto"/>
                <w:bottom w:val="none" w:sz="0" w:space="0" w:color="auto"/>
                <w:right w:val="none" w:sz="0" w:space="0" w:color="auto"/>
              </w:divBdr>
            </w:div>
            <w:div w:id="1877618885">
              <w:marLeft w:val="0"/>
              <w:marRight w:val="0"/>
              <w:marTop w:val="0"/>
              <w:marBottom w:val="0"/>
              <w:divBdr>
                <w:top w:val="none" w:sz="0" w:space="0" w:color="auto"/>
                <w:left w:val="none" w:sz="0" w:space="0" w:color="auto"/>
                <w:bottom w:val="none" w:sz="0" w:space="0" w:color="auto"/>
                <w:right w:val="none" w:sz="0" w:space="0" w:color="auto"/>
              </w:divBdr>
            </w:div>
            <w:div w:id="445009378">
              <w:marLeft w:val="0"/>
              <w:marRight w:val="0"/>
              <w:marTop w:val="0"/>
              <w:marBottom w:val="0"/>
              <w:divBdr>
                <w:top w:val="none" w:sz="0" w:space="0" w:color="auto"/>
                <w:left w:val="none" w:sz="0" w:space="0" w:color="auto"/>
                <w:bottom w:val="none" w:sz="0" w:space="0" w:color="auto"/>
                <w:right w:val="none" w:sz="0" w:space="0" w:color="auto"/>
              </w:divBdr>
            </w:div>
            <w:div w:id="1916553277">
              <w:marLeft w:val="0"/>
              <w:marRight w:val="0"/>
              <w:marTop w:val="0"/>
              <w:marBottom w:val="0"/>
              <w:divBdr>
                <w:top w:val="none" w:sz="0" w:space="0" w:color="auto"/>
                <w:left w:val="none" w:sz="0" w:space="0" w:color="auto"/>
                <w:bottom w:val="none" w:sz="0" w:space="0" w:color="auto"/>
                <w:right w:val="none" w:sz="0" w:space="0" w:color="auto"/>
              </w:divBdr>
            </w:div>
            <w:div w:id="2050102171">
              <w:marLeft w:val="0"/>
              <w:marRight w:val="0"/>
              <w:marTop w:val="0"/>
              <w:marBottom w:val="0"/>
              <w:divBdr>
                <w:top w:val="none" w:sz="0" w:space="0" w:color="auto"/>
                <w:left w:val="none" w:sz="0" w:space="0" w:color="auto"/>
                <w:bottom w:val="none" w:sz="0" w:space="0" w:color="auto"/>
                <w:right w:val="none" w:sz="0" w:space="0" w:color="auto"/>
              </w:divBdr>
            </w:div>
            <w:div w:id="664162087">
              <w:marLeft w:val="0"/>
              <w:marRight w:val="0"/>
              <w:marTop w:val="0"/>
              <w:marBottom w:val="0"/>
              <w:divBdr>
                <w:top w:val="none" w:sz="0" w:space="0" w:color="auto"/>
                <w:left w:val="none" w:sz="0" w:space="0" w:color="auto"/>
                <w:bottom w:val="none" w:sz="0" w:space="0" w:color="auto"/>
                <w:right w:val="none" w:sz="0" w:space="0" w:color="auto"/>
              </w:divBdr>
            </w:div>
            <w:div w:id="994259915">
              <w:marLeft w:val="0"/>
              <w:marRight w:val="0"/>
              <w:marTop w:val="0"/>
              <w:marBottom w:val="0"/>
              <w:divBdr>
                <w:top w:val="none" w:sz="0" w:space="0" w:color="auto"/>
                <w:left w:val="none" w:sz="0" w:space="0" w:color="auto"/>
                <w:bottom w:val="none" w:sz="0" w:space="0" w:color="auto"/>
                <w:right w:val="none" w:sz="0" w:space="0" w:color="auto"/>
              </w:divBdr>
            </w:div>
            <w:div w:id="79109353">
              <w:marLeft w:val="0"/>
              <w:marRight w:val="0"/>
              <w:marTop w:val="0"/>
              <w:marBottom w:val="0"/>
              <w:divBdr>
                <w:top w:val="none" w:sz="0" w:space="0" w:color="auto"/>
                <w:left w:val="none" w:sz="0" w:space="0" w:color="auto"/>
                <w:bottom w:val="none" w:sz="0" w:space="0" w:color="auto"/>
                <w:right w:val="none" w:sz="0" w:space="0" w:color="auto"/>
              </w:divBdr>
            </w:div>
            <w:div w:id="383413534">
              <w:marLeft w:val="0"/>
              <w:marRight w:val="0"/>
              <w:marTop w:val="0"/>
              <w:marBottom w:val="0"/>
              <w:divBdr>
                <w:top w:val="none" w:sz="0" w:space="0" w:color="auto"/>
                <w:left w:val="none" w:sz="0" w:space="0" w:color="auto"/>
                <w:bottom w:val="none" w:sz="0" w:space="0" w:color="auto"/>
                <w:right w:val="none" w:sz="0" w:space="0" w:color="auto"/>
              </w:divBdr>
            </w:div>
            <w:div w:id="1378503902">
              <w:marLeft w:val="0"/>
              <w:marRight w:val="0"/>
              <w:marTop w:val="0"/>
              <w:marBottom w:val="0"/>
              <w:divBdr>
                <w:top w:val="none" w:sz="0" w:space="0" w:color="auto"/>
                <w:left w:val="none" w:sz="0" w:space="0" w:color="auto"/>
                <w:bottom w:val="none" w:sz="0" w:space="0" w:color="auto"/>
                <w:right w:val="none" w:sz="0" w:space="0" w:color="auto"/>
              </w:divBdr>
            </w:div>
            <w:div w:id="1849833176">
              <w:marLeft w:val="0"/>
              <w:marRight w:val="0"/>
              <w:marTop w:val="0"/>
              <w:marBottom w:val="0"/>
              <w:divBdr>
                <w:top w:val="none" w:sz="0" w:space="0" w:color="auto"/>
                <w:left w:val="none" w:sz="0" w:space="0" w:color="auto"/>
                <w:bottom w:val="none" w:sz="0" w:space="0" w:color="auto"/>
                <w:right w:val="none" w:sz="0" w:space="0" w:color="auto"/>
              </w:divBdr>
            </w:div>
            <w:div w:id="186455091">
              <w:marLeft w:val="0"/>
              <w:marRight w:val="0"/>
              <w:marTop w:val="0"/>
              <w:marBottom w:val="0"/>
              <w:divBdr>
                <w:top w:val="none" w:sz="0" w:space="0" w:color="auto"/>
                <w:left w:val="none" w:sz="0" w:space="0" w:color="auto"/>
                <w:bottom w:val="none" w:sz="0" w:space="0" w:color="auto"/>
                <w:right w:val="none" w:sz="0" w:space="0" w:color="auto"/>
              </w:divBdr>
            </w:div>
            <w:div w:id="1796680625">
              <w:marLeft w:val="0"/>
              <w:marRight w:val="0"/>
              <w:marTop w:val="0"/>
              <w:marBottom w:val="0"/>
              <w:divBdr>
                <w:top w:val="none" w:sz="0" w:space="0" w:color="auto"/>
                <w:left w:val="none" w:sz="0" w:space="0" w:color="auto"/>
                <w:bottom w:val="none" w:sz="0" w:space="0" w:color="auto"/>
                <w:right w:val="none" w:sz="0" w:space="0" w:color="auto"/>
              </w:divBdr>
            </w:div>
            <w:div w:id="1259947368">
              <w:marLeft w:val="0"/>
              <w:marRight w:val="0"/>
              <w:marTop w:val="0"/>
              <w:marBottom w:val="0"/>
              <w:divBdr>
                <w:top w:val="none" w:sz="0" w:space="0" w:color="auto"/>
                <w:left w:val="none" w:sz="0" w:space="0" w:color="auto"/>
                <w:bottom w:val="none" w:sz="0" w:space="0" w:color="auto"/>
                <w:right w:val="none" w:sz="0" w:space="0" w:color="auto"/>
              </w:divBdr>
            </w:div>
            <w:div w:id="1366905939">
              <w:marLeft w:val="0"/>
              <w:marRight w:val="0"/>
              <w:marTop w:val="0"/>
              <w:marBottom w:val="0"/>
              <w:divBdr>
                <w:top w:val="none" w:sz="0" w:space="0" w:color="auto"/>
                <w:left w:val="none" w:sz="0" w:space="0" w:color="auto"/>
                <w:bottom w:val="none" w:sz="0" w:space="0" w:color="auto"/>
                <w:right w:val="none" w:sz="0" w:space="0" w:color="auto"/>
              </w:divBdr>
            </w:div>
            <w:div w:id="624242383">
              <w:marLeft w:val="0"/>
              <w:marRight w:val="0"/>
              <w:marTop w:val="0"/>
              <w:marBottom w:val="0"/>
              <w:divBdr>
                <w:top w:val="none" w:sz="0" w:space="0" w:color="auto"/>
                <w:left w:val="none" w:sz="0" w:space="0" w:color="auto"/>
                <w:bottom w:val="none" w:sz="0" w:space="0" w:color="auto"/>
                <w:right w:val="none" w:sz="0" w:space="0" w:color="auto"/>
              </w:divBdr>
            </w:div>
            <w:div w:id="1674800546">
              <w:marLeft w:val="0"/>
              <w:marRight w:val="0"/>
              <w:marTop w:val="0"/>
              <w:marBottom w:val="0"/>
              <w:divBdr>
                <w:top w:val="none" w:sz="0" w:space="0" w:color="auto"/>
                <w:left w:val="none" w:sz="0" w:space="0" w:color="auto"/>
                <w:bottom w:val="none" w:sz="0" w:space="0" w:color="auto"/>
                <w:right w:val="none" w:sz="0" w:space="0" w:color="auto"/>
              </w:divBdr>
            </w:div>
            <w:div w:id="99691712">
              <w:marLeft w:val="0"/>
              <w:marRight w:val="0"/>
              <w:marTop w:val="0"/>
              <w:marBottom w:val="0"/>
              <w:divBdr>
                <w:top w:val="none" w:sz="0" w:space="0" w:color="auto"/>
                <w:left w:val="none" w:sz="0" w:space="0" w:color="auto"/>
                <w:bottom w:val="none" w:sz="0" w:space="0" w:color="auto"/>
                <w:right w:val="none" w:sz="0" w:space="0" w:color="auto"/>
              </w:divBdr>
            </w:div>
            <w:div w:id="1150900052">
              <w:marLeft w:val="0"/>
              <w:marRight w:val="0"/>
              <w:marTop w:val="0"/>
              <w:marBottom w:val="0"/>
              <w:divBdr>
                <w:top w:val="none" w:sz="0" w:space="0" w:color="auto"/>
                <w:left w:val="none" w:sz="0" w:space="0" w:color="auto"/>
                <w:bottom w:val="none" w:sz="0" w:space="0" w:color="auto"/>
                <w:right w:val="none" w:sz="0" w:space="0" w:color="auto"/>
              </w:divBdr>
            </w:div>
            <w:div w:id="1158301807">
              <w:marLeft w:val="0"/>
              <w:marRight w:val="0"/>
              <w:marTop w:val="0"/>
              <w:marBottom w:val="0"/>
              <w:divBdr>
                <w:top w:val="none" w:sz="0" w:space="0" w:color="auto"/>
                <w:left w:val="none" w:sz="0" w:space="0" w:color="auto"/>
                <w:bottom w:val="none" w:sz="0" w:space="0" w:color="auto"/>
                <w:right w:val="none" w:sz="0" w:space="0" w:color="auto"/>
              </w:divBdr>
            </w:div>
            <w:div w:id="1821338107">
              <w:marLeft w:val="0"/>
              <w:marRight w:val="0"/>
              <w:marTop w:val="0"/>
              <w:marBottom w:val="0"/>
              <w:divBdr>
                <w:top w:val="none" w:sz="0" w:space="0" w:color="auto"/>
                <w:left w:val="none" w:sz="0" w:space="0" w:color="auto"/>
                <w:bottom w:val="none" w:sz="0" w:space="0" w:color="auto"/>
                <w:right w:val="none" w:sz="0" w:space="0" w:color="auto"/>
              </w:divBdr>
            </w:div>
            <w:div w:id="18657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hristopher.Marshall@umassmemoria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D37D0F-C31B-4CB6-95CE-20F6AC0A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5038</Words>
  <Characters>28723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UMassMemorial Health Care</Company>
  <LinksUpToDate>false</LinksUpToDate>
  <CharactersWithSpaces>33694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Park</dc:creator>
  <cp:lastModifiedBy>LS Ma</cp:lastModifiedBy>
  <cp:revision>2</cp:revision>
  <dcterms:created xsi:type="dcterms:W3CDTF">2015-06-15T06:16:00Z</dcterms:created>
  <dcterms:modified xsi:type="dcterms:W3CDTF">2015-06-15T06:16:00Z</dcterms:modified>
</cp:coreProperties>
</file>