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E4" w:rsidRPr="00E14F98" w:rsidRDefault="006E4BE4" w:rsidP="00E14F98">
      <w:pPr>
        <w:spacing w:after="0" w:line="360" w:lineRule="auto"/>
        <w:jc w:val="both"/>
        <w:rPr>
          <w:rFonts w:ascii="Book Antiqua" w:hAnsi="Book Antiqua"/>
          <w:b/>
          <w:sz w:val="24"/>
          <w:szCs w:val="24"/>
          <w:lang w:val="en-US" w:eastAsia="zh-CN"/>
        </w:rPr>
      </w:pPr>
      <w:r w:rsidRPr="00E14F98">
        <w:rPr>
          <w:rFonts w:ascii="Book Antiqua" w:hAnsi="Book Antiqua"/>
          <w:b/>
          <w:sz w:val="24"/>
          <w:szCs w:val="24"/>
          <w:lang w:val="en-US" w:eastAsia="zh-CN"/>
        </w:rPr>
        <w:t xml:space="preserve">Name of Journal: </w:t>
      </w:r>
      <w:r w:rsidRPr="00B93BE0">
        <w:rPr>
          <w:rFonts w:ascii="Book Antiqua" w:hAnsi="Book Antiqua"/>
          <w:b/>
          <w:i/>
          <w:sz w:val="24"/>
          <w:szCs w:val="24"/>
          <w:lang w:val="en-US" w:eastAsia="zh-CN"/>
        </w:rPr>
        <w:t>World Journal of Hepatology</w:t>
      </w:r>
    </w:p>
    <w:p w:rsidR="006E4BE4" w:rsidRPr="00E14F98" w:rsidRDefault="006E4BE4" w:rsidP="00E14F98">
      <w:pPr>
        <w:spacing w:after="0" w:line="360" w:lineRule="auto"/>
        <w:jc w:val="both"/>
        <w:rPr>
          <w:rFonts w:ascii="Book Antiqua" w:hAnsi="Book Antiqua"/>
          <w:b/>
          <w:sz w:val="24"/>
          <w:szCs w:val="24"/>
          <w:lang w:val="en-US" w:eastAsia="zh-CN"/>
        </w:rPr>
      </w:pPr>
      <w:r w:rsidRPr="00E14F98">
        <w:rPr>
          <w:rFonts w:ascii="Book Antiqua" w:hAnsi="Book Antiqua"/>
          <w:b/>
          <w:sz w:val="24"/>
          <w:szCs w:val="24"/>
          <w:lang w:val="en-US" w:eastAsia="zh-CN"/>
        </w:rPr>
        <w:t>ESPS Manuscript NO: 18367</w:t>
      </w:r>
    </w:p>
    <w:p w:rsidR="006E4BE4" w:rsidRPr="00E14F98" w:rsidRDefault="006E4BE4" w:rsidP="00E14F98">
      <w:pPr>
        <w:spacing w:after="0" w:line="360" w:lineRule="auto"/>
        <w:jc w:val="both"/>
        <w:rPr>
          <w:rFonts w:ascii="Book Antiqua" w:hAnsi="Book Antiqua"/>
          <w:b/>
          <w:sz w:val="24"/>
          <w:szCs w:val="24"/>
          <w:lang w:val="en-US" w:eastAsia="zh-CN"/>
        </w:rPr>
      </w:pPr>
      <w:r w:rsidRPr="00E14F98">
        <w:rPr>
          <w:rFonts w:ascii="Book Antiqua" w:hAnsi="Book Antiqua"/>
          <w:b/>
          <w:sz w:val="24"/>
          <w:szCs w:val="24"/>
          <w:lang w:val="en-US" w:eastAsia="zh-CN"/>
        </w:rPr>
        <w:t>Manuscript Type: Review</w:t>
      </w:r>
    </w:p>
    <w:p w:rsidR="006E4BE4" w:rsidRPr="00E14F98" w:rsidRDefault="006E4BE4" w:rsidP="00E14F98">
      <w:pPr>
        <w:spacing w:after="0" w:line="360" w:lineRule="auto"/>
        <w:jc w:val="both"/>
        <w:rPr>
          <w:rFonts w:ascii="Book Antiqua" w:hAnsi="Book Antiqua"/>
          <w:b/>
          <w:sz w:val="24"/>
          <w:szCs w:val="24"/>
          <w:lang w:val="en-US" w:eastAsia="zh-CN"/>
        </w:rPr>
      </w:pPr>
    </w:p>
    <w:p w:rsidR="00810179" w:rsidRPr="00E14F98" w:rsidRDefault="003B1D25" w:rsidP="00E14F98">
      <w:pPr>
        <w:spacing w:after="0" w:line="360" w:lineRule="auto"/>
        <w:jc w:val="both"/>
        <w:rPr>
          <w:rFonts w:ascii="Book Antiqua" w:hAnsi="Book Antiqua"/>
          <w:b/>
          <w:sz w:val="24"/>
          <w:szCs w:val="24"/>
          <w:lang w:val="en-US" w:eastAsia="zh-CN"/>
        </w:rPr>
      </w:pPr>
      <w:r w:rsidRPr="00E14F98">
        <w:rPr>
          <w:rFonts w:ascii="Book Antiqua" w:hAnsi="Book Antiqua"/>
          <w:b/>
          <w:sz w:val="24"/>
          <w:szCs w:val="24"/>
          <w:lang w:val="en-US"/>
        </w:rPr>
        <w:t>T</w:t>
      </w:r>
      <w:r w:rsidR="006E4BE4" w:rsidRPr="00E14F98">
        <w:rPr>
          <w:rFonts w:ascii="Book Antiqua" w:hAnsi="Book Antiqua"/>
          <w:b/>
          <w:sz w:val="24"/>
          <w:szCs w:val="24"/>
          <w:lang w:val="en-US"/>
        </w:rPr>
        <w:t>ransarterial chemoembolization: Evidences from the literature and applications in hepatocellular carcinoma patients</w:t>
      </w:r>
    </w:p>
    <w:p w:rsidR="00AA2BBC" w:rsidRDefault="00AA2BBC" w:rsidP="00E14F98">
      <w:pPr>
        <w:spacing w:after="0" w:line="360" w:lineRule="auto"/>
        <w:jc w:val="both"/>
        <w:rPr>
          <w:rFonts w:ascii="Book Antiqua" w:hAnsi="Book Antiqua"/>
          <w:sz w:val="24"/>
          <w:szCs w:val="24"/>
          <w:lang w:val="en-US" w:eastAsia="zh-CN"/>
        </w:rPr>
      </w:pPr>
    </w:p>
    <w:p w:rsidR="00E14F98" w:rsidRDefault="00E14F98" w:rsidP="00E14F98">
      <w:pPr>
        <w:spacing w:after="0" w:line="360" w:lineRule="auto"/>
        <w:jc w:val="both"/>
        <w:rPr>
          <w:rFonts w:ascii="Book Antiqua" w:hAnsi="Book Antiqua"/>
          <w:sz w:val="24"/>
          <w:szCs w:val="24"/>
          <w:lang w:val="en-US" w:eastAsia="zh-CN"/>
        </w:rPr>
      </w:pPr>
      <w:r w:rsidRPr="00E14F98">
        <w:rPr>
          <w:rFonts w:ascii="Book Antiqua" w:hAnsi="Book Antiqua"/>
          <w:sz w:val="24"/>
          <w:szCs w:val="24"/>
        </w:rPr>
        <w:t>Facciorusso</w:t>
      </w:r>
      <w:r w:rsidRPr="00E14F98">
        <w:rPr>
          <w:rFonts w:ascii="Book Antiqua" w:hAnsi="Book Antiqua" w:cs="Arial"/>
          <w:sz w:val="24"/>
          <w:szCs w:val="24"/>
          <w:lang w:val="en-US"/>
        </w:rPr>
        <w:t xml:space="preserve"> </w:t>
      </w:r>
      <w:r>
        <w:rPr>
          <w:rFonts w:ascii="Book Antiqua" w:hAnsi="Book Antiqua" w:cs="Arial" w:hint="eastAsia"/>
          <w:sz w:val="24"/>
          <w:szCs w:val="24"/>
          <w:lang w:val="en-US" w:eastAsia="zh-CN"/>
        </w:rPr>
        <w:t xml:space="preserve">A </w:t>
      </w:r>
      <w:r w:rsidRPr="00E14F98">
        <w:rPr>
          <w:rFonts w:ascii="Book Antiqua" w:hAnsi="Book Antiqua" w:cs="Arial" w:hint="eastAsia"/>
          <w:i/>
          <w:sz w:val="24"/>
          <w:szCs w:val="24"/>
          <w:lang w:val="en-US" w:eastAsia="zh-CN"/>
        </w:rPr>
        <w:t>et al</w:t>
      </w:r>
      <w:r>
        <w:rPr>
          <w:rFonts w:ascii="Book Antiqua" w:hAnsi="Book Antiqua" w:cs="Arial" w:hint="eastAsia"/>
          <w:sz w:val="24"/>
          <w:szCs w:val="24"/>
          <w:lang w:val="en-US" w:eastAsia="zh-CN"/>
        </w:rPr>
        <w:t xml:space="preserve">. </w:t>
      </w:r>
      <w:r w:rsidRPr="00E14F98">
        <w:rPr>
          <w:rFonts w:ascii="Book Antiqua" w:hAnsi="Book Antiqua" w:cs="Arial"/>
          <w:sz w:val="24"/>
          <w:szCs w:val="24"/>
          <w:lang w:val="en-US"/>
        </w:rPr>
        <w:t>TACE in HCC patients</w:t>
      </w:r>
    </w:p>
    <w:p w:rsidR="00E14F98" w:rsidRPr="00E14F98" w:rsidRDefault="00E14F98" w:rsidP="00E14F98">
      <w:pPr>
        <w:spacing w:after="0" w:line="360" w:lineRule="auto"/>
        <w:jc w:val="both"/>
        <w:rPr>
          <w:rFonts w:ascii="Book Antiqua" w:hAnsi="Book Antiqua"/>
          <w:sz w:val="24"/>
          <w:szCs w:val="24"/>
          <w:lang w:val="en-US" w:eastAsia="zh-CN"/>
        </w:rPr>
      </w:pPr>
    </w:p>
    <w:p w:rsidR="00810179" w:rsidRPr="00E14F98" w:rsidRDefault="000B3920" w:rsidP="00E14F98">
      <w:pPr>
        <w:spacing w:after="0" w:line="360" w:lineRule="auto"/>
        <w:jc w:val="both"/>
        <w:rPr>
          <w:rFonts w:ascii="Book Antiqua" w:hAnsi="Book Antiqua"/>
          <w:b/>
          <w:sz w:val="24"/>
          <w:szCs w:val="24"/>
          <w:lang w:eastAsia="zh-CN"/>
        </w:rPr>
      </w:pPr>
      <w:r w:rsidRPr="00E14F98">
        <w:rPr>
          <w:rFonts w:ascii="Book Antiqua" w:hAnsi="Book Antiqua"/>
          <w:b/>
          <w:sz w:val="24"/>
          <w:szCs w:val="24"/>
        </w:rPr>
        <w:t>Antonio Facciorusso, Raffaele Licinio, Nicola Muscatiello, Alfredo Di Leo, Michele Barone</w:t>
      </w:r>
    </w:p>
    <w:p w:rsidR="00B34103" w:rsidRDefault="00B34103" w:rsidP="00E14F98">
      <w:pPr>
        <w:spacing w:after="0" w:line="360" w:lineRule="auto"/>
        <w:jc w:val="both"/>
        <w:rPr>
          <w:rFonts w:ascii="Book Antiqua" w:hAnsi="Book Antiqua" w:cs="Times New Roman"/>
          <w:sz w:val="24"/>
          <w:szCs w:val="24"/>
          <w:vertAlign w:val="superscript"/>
          <w:lang w:eastAsia="zh-CN"/>
        </w:rPr>
      </w:pPr>
    </w:p>
    <w:p w:rsidR="00E14F98" w:rsidRPr="00E14F98" w:rsidRDefault="00E14F98" w:rsidP="00E14F98">
      <w:pPr>
        <w:spacing w:after="0" w:line="360" w:lineRule="auto"/>
        <w:jc w:val="both"/>
        <w:rPr>
          <w:rFonts w:ascii="Book Antiqua" w:hAnsi="Book Antiqua"/>
          <w:sz w:val="24"/>
          <w:szCs w:val="24"/>
          <w:lang w:eastAsia="zh-CN"/>
        </w:rPr>
      </w:pPr>
      <w:r w:rsidRPr="00E14F98">
        <w:rPr>
          <w:rFonts w:ascii="Book Antiqua" w:hAnsi="Book Antiqua"/>
          <w:b/>
          <w:sz w:val="24"/>
          <w:szCs w:val="24"/>
        </w:rPr>
        <w:t>Antonio Facciorusso, Nicola Muscatiello,</w:t>
      </w:r>
      <w:r w:rsidRPr="00E14F98">
        <w:rPr>
          <w:rFonts w:ascii="Book Antiqua" w:hAnsi="Book Antiqua"/>
          <w:sz w:val="24"/>
          <w:szCs w:val="24"/>
        </w:rPr>
        <w:t xml:space="preserve"> </w:t>
      </w:r>
      <w:r w:rsidRPr="00E14F98">
        <w:rPr>
          <w:rFonts w:ascii="Book Antiqua" w:eastAsia="Calibri" w:hAnsi="Book Antiqua" w:cs="Times New Roman"/>
          <w:sz w:val="24"/>
          <w:szCs w:val="24"/>
          <w:lang w:val="en-US"/>
        </w:rPr>
        <w:t>Gastroenterology Unit, Department of Medical and Surgical Sciences, University of Foggia,</w:t>
      </w:r>
      <w:r>
        <w:rPr>
          <w:rFonts w:ascii="Book Antiqua" w:eastAsia="Calibri" w:hAnsi="Book Antiqua" w:cs="Times New Roman"/>
          <w:sz w:val="24"/>
          <w:szCs w:val="24"/>
          <w:lang w:val="en-US"/>
        </w:rPr>
        <w:t xml:space="preserve"> </w:t>
      </w:r>
      <w:r w:rsidRPr="00E14F98">
        <w:rPr>
          <w:rFonts w:ascii="Book Antiqua" w:eastAsia="Times New Roman" w:hAnsi="Book Antiqua" w:cs="Times New Roman"/>
          <w:color w:val="000000"/>
          <w:sz w:val="24"/>
          <w:szCs w:val="24"/>
          <w:lang w:eastAsia="it-IT"/>
        </w:rPr>
        <w:t>71100 Foggia</w:t>
      </w:r>
      <w:r>
        <w:rPr>
          <w:rFonts w:ascii="Book Antiqua" w:eastAsia="Calibri" w:hAnsi="Book Antiqua" w:cs="Times New Roman"/>
          <w:sz w:val="24"/>
          <w:szCs w:val="24"/>
          <w:lang w:val="en-US"/>
        </w:rPr>
        <w:t>, Italy</w:t>
      </w:r>
    </w:p>
    <w:p w:rsidR="00E14F98" w:rsidRDefault="00E14F98" w:rsidP="00E14F98">
      <w:pPr>
        <w:spacing w:after="0" w:line="360" w:lineRule="auto"/>
        <w:jc w:val="both"/>
        <w:rPr>
          <w:rFonts w:ascii="Book Antiqua" w:hAnsi="Book Antiqua" w:cs="Times New Roman"/>
          <w:sz w:val="24"/>
          <w:szCs w:val="24"/>
          <w:vertAlign w:val="superscript"/>
          <w:lang w:eastAsia="zh-CN"/>
        </w:rPr>
      </w:pPr>
    </w:p>
    <w:p w:rsidR="00AA2BBC" w:rsidRPr="00E14F98" w:rsidRDefault="00E14F98" w:rsidP="00E14F98">
      <w:pPr>
        <w:spacing w:after="0" w:line="360" w:lineRule="auto"/>
        <w:jc w:val="both"/>
        <w:rPr>
          <w:rFonts w:ascii="Book Antiqua" w:hAnsi="Book Antiqua"/>
          <w:sz w:val="24"/>
          <w:szCs w:val="24"/>
          <w:lang w:eastAsia="zh-CN"/>
        </w:rPr>
      </w:pPr>
      <w:r w:rsidRPr="00E14F98">
        <w:rPr>
          <w:rFonts w:ascii="Book Antiqua" w:hAnsi="Book Antiqua"/>
          <w:b/>
          <w:sz w:val="24"/>
          <w:szCs w:val="24"/>
        </w:rPr>
        <w:t>Raffaele Licinio, Alfredo Di Leo, Michele Barone</w:t>
      </w:r>
      <w:r w:rsidRPr="00E14F98">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AA2BBC" w:rsidRPr="00E14F98">
        <w:rPr>
          <w:rFonts w:ascii="Book Antiqua" w:eastAsia="Calibri" w:hAnsi="Book Antiqua" w:cs="Times New Roman"/>
          <w:sz w:val="24"/>
          <w:szCs w:val="24"/>
          <w:lang w:val="en-US"/>
        </w:rPr>
        <w:t xml:space="preserve">Gastroenterology Unit, Department of Emergency and Organ Transplantation, University of Bari, </w:t>
      </w:r>
      <w:r w:rsidRPr="00E14F98">
        <w:rPr>
          <w:rFonts w:ascii="Book Antiqua" w:eastAsia="Calibri" w:hAnsi="Book Antiqua" w:cs="Times New Roman"/>
          <w:sz w:val="24"/>
          <w:szCs w:val="24"/>
          <w:lang w:val="en-US"/>
        </w:rPr>
        <w:t xml:space="preserve">70126 Bari,  </w:t>
      </w:r>
      <w:r w:rsidR="00AA2BBC" w:rsidRPr="00E14F98">
        <w:rPr>
          <w:rFonts w:ascii="Book Antiqua" w:eastAsia="Calibri" w:hAnsi="Book Antiqua" w:cs="Times New Roman"/>
          <w:sz w:val="24"/>
          <w:szCs w:val="24"/>
          <w:lang w:val="en-US"/>
        </w:rPr>
        <w:t>Italy</w:t>
      </w:r>
    </w:p>
    <w:p w:rsidR="00AA2BBC" w:rsidRPr="00E14F98" w:rsidRDefault="00AA2BBC" w:rsidP="00E14F98">
      <w:pPr>
        <w:spacing w:after="0" w:line="360" w:lineRule="auto"/>
        <w:jc w:val="both"/>
        <w:rPr>
          <w:rFonts w:ascii="Book Antiqua" w:hAnsi="Book Antiqua" w:cs="Times New Roman"/>
          <w:sz w:val="24"/>
          <w:szCs w:val="24"/>
          <w:lang w:val="en-US"/>
        </w:rPr>
      </w:pPr>
    </w:p>
    <w:p w:rsidR="00E14F98" w:rsidRDefault="00E14F98" w:rsidP="00E14F98">
      <w:pPr>
        <w:spacing w:after="0" w:line="360" w:lineRule="auto"/>
        <w:jc w:val="both"/>
        <w:rPr>
          <w:rFonts w:ascii="Book Antiqua" w:hAnsi="Book Antiqua" w:cs="Arial"/>
          <w:sz w:val="24"/>
          <w:szCs w:val="24"/>
          <w:lang w:val="en-US" w:eastAsia="zh-CN"/>
        </w:rPr>
      </w:pPr>
      <w:r w:rsidRPr="00E14F98">
        <w:rPr>
          <w:rFonts w:ascii="Book Antiqua" w:hAnsi="Book Antiqua"/>
          <w:b/>
          <w:sz w:val="24"/>
          <w:szCs w:val="24"/>
        </w:rPr>
        <w:t>Author contributions:</w:t>
      </w:r>
      <w:r w:rsidRPr="00E14F98">
        <w:rPr>
          <w:rFonts w:ascii="Book Antiqua" w:hAnsi="Book Antiqua" w:cs="Arial"/>
          <w:sz w:val="24"/>
          <w:szCs w:val="24"/>
          <w:lang w:val="en-US"/>
        </w:rPr>
        <w:t xml:space="preserve"> Licinio </w:t>
      </w:r>
      <w:r>
        <w:rPr>
          <w:rFonts w:ascii="Book Antiqua" w:hAnsi="Book Antiqua" w:cs="Arial" w:hint="eastAsia"/>
          <w:sz w:val="24"/>
          <w:szCs w:val="24"/>
          <w:lang w:val="en-US" w:eastAsia="zh-CN"/>
        </w:rPr>
        <w:t xml:space="preserve">R </w:t>
      </w:r>
      <w:r w:rsidRPr="00E14F98">
        <w:rPr>
          <w:rFonts w:ascii="Book Antiqua" w:hAnsi="Book Antiqua" w:cs="Arial"/>
          <w:sz w:val="24"/>
          <w:szCs w:val="24"/>
          <w:lang w:val="en-US"/>
        </w:rPr>
        <w:t xml:space="preserve">and Muscatiello </w:t>
      </w:r>
      <w:r>
        <w:rPr>
          <w:rFonts w:ascii="Book Antiqua" w:hAnsi="Book Antiqua" w:cs="Arial" w:hint="eastAsia"/>
          <w:sz w:val="24"/>
          <w:szCs w:val="24"/>
          <w:lang w:val="en-US" w:eastAsia="zh-CN"/>
        </w:rPr>
        <w:t xml:space="preserve">N </w:t>
      </w:r>
      <w:r w:rsidRPr="00E14F98">
        <w:rPr>
          <w:rFonts w:ascii="Book Antiqua" w:hAnsi="Book Antiqua" w:cs="Arial"/>
          <w:sz w:val="24"/>
          <w:szCs w:val="24"/>
          <w:lang w:val="en-US"/>
        </w:rPr>
        <w:t xml:space="preserve">performed the bibliographic research; Facciorusso </w:t>
      </w:r>
      <w:r>
        <w:rPr>
          <w:rFonts w:ascii="Book Antiqua" w:hAnsi="Book Antiqua" w:cs="Arial" w:hint="eastAsia"/>
          <w:sz w:val="24"/>
          <w:szCs w:val="24"/>
          <w:lang w:val="en-US" w:eastAsia="zh-CN"/>
        </w:rPr>
        <w:t xml:space="preserve">A </w:t>
      </w:r>
      <w:r w:rsidRPr="00E14F98">
        <w:rPr>
          <w:rFonts w:ascii="Book Antiqua" w:hAnsi="Book Antiqua" w:cs="Arial"/>
          <w:sz w:val="24"/>
          <w:szCs w:val="24"/>
          <w:lang w:val="en-US"/>
        </w:rPr>
        <w:t>wrote the paper; Di Leo</w:t>
      </w:r>
      <w:r>
        <w:rPr>
          <w:rFonts w:ascii="Book Antiqua" w:hAnsi="Book Antiqua" w:cs="Arial" w:hint="eastAsia"/>
          <w:sz w:val="24"/>
          <w:szCs w:val="24"/>
          <w:lang w:val="en-US" w:eastAsia="zh-CN"/>
        </w:rPr>
        <w:t xml:space="preserve"> A</w:t>
      </w:r>
      <w:r w:rsidRPr="00E14F98">
        <w:rPr>
          <w:rFonts w:ascii="Book Antiqua" w:hAnsi="Book Antiqua" w:cs="Arial"/>
          <w:sz w:val="24"/>
          <w:szCs w:val="24"/>
          <w:lang w:val="en-US"/>
        </w:rPr>
        <w:t xml:space="preserve"> and Barone</w:t>
      </w:r>
      <w:r>
        <w:rPr>
          <w:rFonts w:ascii="Book Antiqua" w:hAnsi="Book Antiqua" w:cs="Arial" w:hint="eastAsia"/>
          <w:sz w:val="24"/>
          <w:szCs w:val="24"/>
          <w:lang w:val="en-US" w:eastAsia="zh-CN"/>
        </w:rPr>
        <w:t xml:space="preserve"> M</w:t>
      </w:r>
      <w:r w:rsidRPr="00E14F98">
        <w:rPr>
          <w:rFonts w:ascii="Book Antiqua" w:hAnsi="Book Antiqua" w:cs="Arial"/>
          <w:sz w:val="24"/>
          <w:szCs w:val="24"/>
          <w:lang w:val="en-US"/>
        </w:rPr>
        <w:t xml:space="preserve"> revised the manuscript</w:t>
      </w:r>
      <w:r>
        <w:rPr>
          <w:rFonts w:ascii="Book Antiqua" w:hAnsi="Book Antiqua" w:cs="Arial" w:hint="eastAsia"/>
          <w:sz w:val="24"/>
          <w:szCs w:val="24"/>
          <w:lang w:val="en-US" w:eastAsia="zh-CN"/>
        </w:rPr>
        <w:t>;</w:t>
      </w:r>
      <w:r w:rsidRPr="00E14F98">
        <w:rPr>
          <w:rFonts w:ascii="Book Antiqua" w:hAnsi="Book Antiqua" w:cs="Arial"/>
          <w:sz w:val="24"/>
          <w:szCs w:val="24"/>
          <w:lang w:val="en-US"/>
        </w:rPr>
        <w:t xml:space="preserve"> </w:t>
      </w:r>
      <w:r>
        <w:rPr>
          <w:rFonts w:ascii="Book Antiqua" w:hAnsi="Book Antiqua" w:cs="Arial" w:hint="eastAsia"/>
          <w:sz w:val="24"/>
          <w:szCs w:val="24"/>
          <w:lang w:val="en-US" w:eastAsia="zh-CN"/>
        </w:rPr>
        <w:t>a</w:t>
      </w:r>
      <w:r w:rsidRPr="00E14F98">
        <w:rPr>
          <w:rFonts w:ascii="Book Antiqua" w:hAnsi="Book Antiqua" w:cs="Arial"/>
          <w:sz w:val="24"/>
          <w:szCs w:val="24"/>
          <w:lang w:val="en-US"/>
        </w:rPr>
        <w:t xml:space="preserve">ll the authors contributed to the article. </w:t>
      </w:r>
    </w:p>
    <w:p w:rsidR="00E14F98" w:rsidRDefault="00E14F98" w:rsidP="00E14F98">
      <w:pPr>
        <w:spacing w:after="0" w:line="360" w:lineRule="auto"/>
        <w:jc w:val="both"/>
        <w:rPr>
          <w:rFonts w:ascii="Book Antiqua" w:hAnsi="Book Antiqua" w:cs="Arial"/>
          <w:sz w:val="24"/>
          <w:szCs w:val="24"/>
          <w:lang w:val="en-US" w:eastAsia="zh-CN"/>
        </w:rPr>
      </w:pPr>
    </w:p>
    <w:p w:rsidR="00E14F98" w:rsidRPr="00A157D5" w:rsidRDefault="00E14F98" w:rsidP="00E14F98">
      <w:pPr>
        <w:spacing w:after="0" w:line="360" w:lineRule="auto"/>
        <w:jc w:val="both"/>
        <w:rPr>
          <w:rFonts w:ascii="Book Antiqua" w:hAnsi="Book Antiqua" w:cs="Arial"/>
          <w:sz w:val="24"/>
          <w:szCs w:val="24"/>
          <w:lang w:val="en-US"/>
        </w:rPr>
      </w:pPr>
      <w:r w:rsidRPr="00A157D5">
        <w:rPr>
          <w:rFonts w:ascii="Book Antiqua" w:hAnsi="Book Antiqua"/>
          <w:b/>
          <w:color w:val="000000"/>
          <w:sz w:val="24"/>
          <w:szCs w:val="24"/>
        </w:rPr>
        <w:t>Conflict-of-interest statement</w:t>
      </w:r>
      <w:r w:rsidRPr="00A157D5">
        <w:rPr>
          <w:rFonts w:ascii="Book Antiqua" w:hAnsi="Book Antiqua"/>
          <w:b/>
          <w:sz w:val="24"/>
          <w:szCs w:val="24"/>
        </w:rPr>
        <w:t>:</w:t>
      </w:r>
      <w:r w:rsidRPr="00A157D5">
        <w:rPr>
          <w:rFonts w:ascii="Book Antiqua" w:eastAsia="宋体" w:hAnsi="Book Antiqua" w:cs="TimesNewRomanPS-BoldItalicMT"/>
          <w:b/>
          <w:bCs/>
          <w:iCs/>
          <w:color w:val="000000"/>
          <w:sz w:val="24"/>
          <w:szCs w:val="24"/>
          <w:lang w:eastAsia="zh-CN"/>
        </w:rPr>
        <w:t xml:space="preserve"> </w:t>
      </w:r>
      <w:r w:rsidRPr="00A157D5">
        <w:rPr>
          <w:rFonts w:ascii="Book Antiqua" w:eastAsia="宋体" w:hAnsi="Book Antiqua" w:cs="TimesNewRomanPS-BoldItalicMT" w:hint="eastAsia"/>
          <w:b/>
          <w:bCs/>
          <w:iCs/>
          <w:color w:val="000000"/>
          <w:sz w:val="24"/>
          <w:szCs w:val="24"/>
          <w:lang w:eastAsia="zh-CN"/>
        </w:rPr>
        <w:t xml:space="preserve"> </w:t>
      </w:r>
      <w:r w:rsidRPr="00A157D5">
        <w:rPr>
          <w:rFonts w:ascii="Book Antiqua" w:hAnsi="Book Antiqua" w:cs="Arial"/>
          <w:sz w:val="24"/>
          <w:szCs w:val="24"/>
          <w:lang w:val="en-US"/>
        </w:rPr>
        <w:t>None of the authors has conflicts of interest to declare.</w:t>
      </w:r>
    </w:p>
    <w:p w:rsidR="00197572" w:rsidRPr="00A157D5" w:rsidRDefault="00197572" w:rsidP="00E14F98">
      <w:pPr>
        <w:spacing w:after="0" w:line="360" w:lineRule="auto"/>
        <w:jc w:val="both"/>
        <w:rPr>
          <w:rFonts w:ascii="Book Antiqua" w:hAnsi="Book Antiqua" w:cs="Times New Roman"/>
          <w:sz w:val="24"/>
          <w:szCs w:val="24"/>
          <w:lang w:val="en-US" w:eastAsia="zh-CN"/>
        </w:rPr>
      </w:pPr>
    </w:p>
    <w:p w:rsidR="00A157D5" w:rsidRPr="00A157D5" w:rsidRDefault="00A157D5" w:rsidP="00A157D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157D5">
        <w:rPr>
          <w:rFonts w:ascii="Book Antiqua" w:hAnsi="Book Antiqua"/>
          <w:b/>
          <w:sz w:val="24"/>
          <w:szCs w:val="24"/>
        </w:rPr>
        <w:t xml:space="preserve">Open-Access: </w:t>
      </w:r>
      <w:r w:rsidRPr="00A157D5">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157D5" w:rsidRPr="00A157D5" w:rsidRDefault="00A157D5" w:rsidP="00A157D5">
      <w:pPr>
        <w:pStyle w:val="CommentText"/>
        <w:spacing w:after="0" w:line="360" w:lineRule="auto"/>
        <w:jc w:val="both"/>
        <w:rPr>
          <w:rFonts w:ascii="Book Antiqua" w:eastAsia="宋体" w:hAnsi="Book Antiqua" w:cs="Times New Roman"/>
          <w:bCs/>
          <w:color w:val="000000"/>
          <w:sz w:val="24"/>
          <w:szCs w:val="24"/>
          <w:lang w:eastAsia="zh-CN"/>
        </w:rPr>
      </w:pPr>
    </w:p>
    <w:p w:rsidR="00AA2BBC" w:rsidRPr="00A157D5" w:rsidRDefault="00A157D5" w:rsidP="00A157D5">
      <w:pPr>
        <w:suppressAutoHyphens/>
        <w:autoSpaceDE w:val="0"/>
        <w:spacing w:after="0" w:line="360" w:lineRule="auto"/>
        <w:jc w:val="both"/>
        <w:rPr>
          <w:rFonts w:ascii="Book Antiqua" w:hAnsi="Book Antiqua" w:cs="Times New Roman"/>
          <w:bCs/>
          <w:sz w:val="24"/>
          <w:szCs w:val="24"/>
          <w:lang w:val="en-US" w:eastAsia="zh-CN"/>
        </w:rPr>
      </w:pPr>
      <w:r w:rsidRPr="00A157D5">
        <w:rPr>
          <w:rFonts w:ascii="Book Antiqua" w:hAnsi="Book Antiqua"/>
          <w:b/>
          <w:sz w:val="24"/>
          <w:szCs w:val="24"/>
        </w:rPr>
        <w:lastRenderedPageBreak/>
        <w:t>Correspondence to:</w:t>
      </w:r>
      <w:r w:rsidR="00AA2BBC" w:rsidRPr="00E14F98">
        <w:rPr>
          <w:rFonts w:ascii="Book Antiqua" w:eastAsia="Times New Roman" w:hAnsi="Book Antiqua" w:cs="Times New Roman"/>
          <w:b/>
          <w:bCs/>
          <w:color w:val="000000"/>
          <w:sz w:val="24"/>
          <w:szCs w:val="24"/>
          <w:lang w:val="en-US" w:eastAsia="it-IT"/>
        </w:rPr>
        <w:t xml:space="preserve"> </w:t>
      </w:r>
      <w:r w:rsidRPr="00A157D5">
        <w:rPr>
          <w:rFonts w:ascii="Book Antiqua" w:eastAsia="Times New Roman" w:hAnsi="Book Antiqua" w:cs="Times New Roman"/>
          <w:b/>
          <w:color w:val="000000"/>
          <w:sz w:val="24"/>
          <w:szCs w:val="24"/>
          <w:lang w:val="en-US" w:eastAsia="it-IT"/>
        </w:rPr>
        <w:t xml:space="preserve"> Antonio Facciorusso</w:t>
      </w:r>
      <w:r w:rsidRPr="00A157D5">
        <w:rPr>
          <w:rFonts w:ascii="Book Antiqua" w:hAnsi="Book Antiqua" w:cs="Times New Roman" w:hint="eastAsia"/>
          <w:b/>
          <w:color w:val="000000"/>
          <w:sz w:val="24"/>
          <w:szCs w:val="24"/>
          <w:lang w:val="en-US" w:eastAsia="zh-CN"/>
        </w:rPr>
        <w:t>, MD,</w:t>
      </w:r>
      <w:r>
        <w:rPr>
          <w:rFonts w:ascii="Book Antiqua" w:hAnsi="Book Antiqua" w:cs="Times New Roman" w:hint="eastAsia"/>
          <w:color w:val="000000"/>
          <w:sz w:val="24"/>
          <w:szCs w:val="24"/>
          <w:lang w:val="en-US" w:eastAsia="zh-CN"/>
        </w:rPr>
        <w:t xml:space="preserve"> </w:t>
      </w:r>
      <w:r w:rsidR="00AA2BBC" w:rsidRPr="00E14F98">
        <w:rPr>
          <w:rFonts w:ascii="Book Antiqua" w:eastAsia="Times New Roman" w:hAnsi="Book Antiqua" w:cs="Times New Roman"/>
          <w:color w:val="000000"/>
          <w:sz w:val="24"/>
          <w:szCs w:val="24"/>
          <w:lang w:val="en-US" w:eastAsia="it-IT"/>
        </w:rPr>
        <w:t>Gastroenterology Unit,</w:t>
      </w:r>
      <w:r>
        <w:rPr>
          <w:rFonts w:ascii="Book Antiqua" w:eastAsia="Times New Roman" w:hAnsi="Book Antiqua" w:cs="Times New Roman"/>
          <w:color w:val="000000"/>
          <w:sz w:val="24"/>
          <w:szCs w:val="24"/>
          <w:lang w:val="en-US" w:eastAsia="it-IT"/>
        </w:rPr>
        <w:t xml:space="preserve"> Department of Medical Sciences</w:t>
      </w:r>
      <w:r>
        <w:rPr>
          <w:rFonts w:ascii="Book Antiqua" w:hAnsi="Book Antiqua" w:cs="Times New Roman" w:hint="eastAsia"/>
          <w:color w:val="000000"/>
          <w:sz w:val="24"/>
          <w:szCs w:val="24"/>
          <w:lang w:val="en-US" w:eastAsia="zh-CN"/>
        </w:rPr>
        <w:t xml:space="preserve">, </w:t>
      </w:r>
      <w:r w:rsidR="00AA2BBC" w:rsidRPr="00E14F98">
        <w:rPr>
          <w:rFonts w:ascii="Book Antiqua" w:eastAsia="Times New Roman" w:hAnsi="Book Antiqua" w:cs="Times New Roman"/>
          <w:color w:val="000000"/>
          <w:sz w:val="24"/>
          <w:szCs w:val="24"/>
          <w:lang w:eastAsia="it-IT"/>
        </w:rPr>
        <w:t>University of Foggia</w:t>
      </w:r>
      <w:r>
        <w:rPr>
          <w:rFonts w:ascii="Book Antiqua" w:hAnsi="Book Antiqua" w:cs="Times New Roman" w:hint="eastAsia"/>
          <w:color w:val="000000"/>
          <w:sz w:val="24"/>
          <w:szCs w:val="24"/>
          <w:lang w:eastAsia="zh-CN"/>
        </w:rPr>
        <w:t xml:space="preserve">, </w:t>
      </w:r>
      <w:r w:rsidR="00AA2BBC" w:rsidRPr="00E14F98">
        <w:rPr>
          <w:rFonts w:ascii="Book Antiqua" w:eastAsia="Times New Roman" w:hAnsi="Book Antiqua" w:cs="Times New Roman"/>
          <w:color w:val="000000"/>
          <w:sz w:val="24"/>
          <w:szCs w:val="24"/>
          <w:lang w:eastAsia="it-IT"/>
        </w:rPr>
        <w:t>Viale L.Pinto, 1</w:t>
      </w:r>
      <w:r>
        <w:rPr>
          <w:rFonts w:ascii="Book Antiqua" w:hAnsi="Book Antiqua" w:cs="Times New Roman" w:hint="eastAsia"/>
          <w:color w:val="000000"/>
          <w:sz w:val="24"/>
          <w:szCs w:val="24"/>
          <w:lang w:eastAsia="zh-CN"/>
        </w:rPr>
        <w:t xml:space="preserve">, </w:t>
      </w:r>
      <w:r w:rsidR="00AA2BBC" w:rsidRPr="00E14F98">
        <w:rPr>
          <w:rFonts w:ascii="Book Antiqua" w:eastAsia="Times New Roman" w:hAnsi="Book Antiqua" w:cs="Times New Roman"/>
          <w:color w:val="000000"/>
          <w:sz w:val="24"/>
          <w:szCs w:val="24"/>
          <w:lang w:eastAsia="it-IT"/>
        </w:rPr>
        <w:t>71100 Foggia</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Italy</w:t>
      </w:r>
      <w:r>
        <w:rPr>
          <w:rFonts w:ascii="Book Antiqua" w:hAnsi="Book Antiqua" w:cs="Times New Roman" w:hint="eastAsia"/>
          <w:color w:val="000000"/>
          <w:sz w:val="24"/>
          <w:szCs w:val="24"/>
          <w:lang w:eastAsia="zh-CN"/>
        </w:rPr>
        <w:t xml:space="preserve">. </w:t>
      </w:r>
      <w:r w:rsidRPr="00E14F98">
        <w:rPr>
          <w:rFonts w:ascii="Book Antiqua" w:eastAsia="Times New Roman" w:hAnsi="Book Antiqua" w:cs="Times New Roman"/>
          <w:sz w:val="24"/>
          <w:szCs w:val="24"/>
          <w:lang w:val="en-US" w:eastAsia="ar-SA"/>
        </w:rPr>
        <w:t>antonio.facciorusso@virgilio.it</w:t>
      </w:r>
    </w:p>
    <w:p w:rsidR="00AA2BBC" w:rsidRPr="00A157D5" w:rsidRDefault="00A157D5" w:rsidP="00E14F98">
      <w:pPr>
        <w:autoSpaceDE w:val="0"/>
        <w:autoSpaceDN w:val="0"/>
        <w:adjustRightInd w:val="0"/>
        <w:spacing w:after="0" w:line="360" w:lineRule="auto"/>
        <w:jc w:val="both"/>
        <w:rPr>
          <w:rFonts w:ascii="Book Antiqua" w:eastAsia="Times New Roman" w:hAnsi="Book Antiqua" w:cs="Times New Roman"/>
          <w:color w:val="000000"/>
          <w:sz w:val="24"/>
          <w:szCs w:val="24"/>
          <w:lang w:val="en-US" w:eastAsia="it-IT"/>
        </w:rPr>
      </w:pPr>
      <w:r w:rsidRPr="00A157D5">
        <w:rPr>
          <w:rFonts w:ascii="Book Antiqua" w:hAnsi="Book Antiqua"/>
          <w:b/>
          <w:bCs/>
          <w:color w:val="000000"/>
          <w:sz w:val="24"/>
          <w:szCs w:val="24"/>
        </w:rPr>
        <w:t>Telephone:</w:t>
      </w:r>
      <w:r>
        <w:rPr>
          <w:rFonts w:ascii="Book Antiqua" w:eastAsia="Times New Roman" w:hAnsi="Book Antiqua" w:cs="Times New Roman"/>
          <w:color w:val="000000"/>
          <w:sz w:val="24"/>
          <w:szCs w:val="24"/>
          <w:lang w:val="en-US" w:eastAsia="it-IT"/>
        </w:rPr>
        <w:t xml:space="preserve"> +39</w:t>
      </w:r>
      <w:r>
        <w:rPr>
          <w:rFonts w:ascii="Book Antiqua" w:hAnsi="Book Antiqua" w:cs="Times New Roman" w:hint="eastAsia"/>
          <w:color w:val="000000"/>
          <w:sz w:val="24"/>
          <w:szCs w:val="24"/>
          <w:lang w:val="en-US" w:eastAsia="zh-CN"/>
        </w:rPr>
        <w:t>-</w:t>
      </w:r>
      <w:r w:rsidR="00AA2BBC" w:rsidRPr="00A157D5">
        <w:rPr>
          <w:rFonts w:ascii="Book Antiqua" w:eastAsia="Times New Roman" w:hAnsi="Book Antiqua" w:cs="Times New Roman"/>
          <w:color w:val="000000"/>
          <w:sz w:val="24"/>
          <w:szCs w:val="24"/>
          <w:lang w:val="en-US" w:eastAsia="it-IT"/>
        </w:rPr>
        <w:t>08</w:t>
      </w:r>
      <w:r>
        <w:rPr>
          <w:rFonts w:ascii="Book Antiqua" w:hAnsi="Book Antiqua" w:cs="Times New Roman" w:hint="eastAsia"/>
          <w:color w:val="000000"/>
          <w:sz w:val="24"/>
          <w:szCs w:val="24"/>
          <w:lang w:val="en-US" w:eastAsia="zh-CN"/>
        </w:rPr>
        <w:t>-</w:t>
      </w:r>
      <w:r w:rsidR="00AA2BBC" w:rsidRPr="00A157D5">
        <w:rPr>
          <w:rFonts w:ascii="Book Antiqua" w:eastAsia="Times New Roman" w:hAnsi="Book Antiqua" w:cs="Times New Roman"/>
          <w:color w:val="000000"/>
          <w:sz w:val="24"/>
          <w:szCs w:val="24"/>
          <w:lang w:val="en-US" w:eastAsia="it-IT"/>
        </w:rPr>
        <w:t xml:space="preserve">81732154 </w:t>
      </w:r>
    </w:p>
    <w:p w:rsidR="00AA2BBC" w:rsidRPr="00E14F98" w:rsidRDefault="00A157D5" w:rsidP="00E14F98">
      <w:pPr>
        <w:autoSpaceDE w:val="0"/>
        <w:autoSpaceDN w:val="0"/>
        <w:adjustRightInd w:val="0"/>
        <w:spacing w:after="0" w:line="360" w:lineRule="auto"/>
        <w:jc w:val="both"/>
        <w:rPr>
          <w:rFonts w:ascii="Book Antiqua" w:eastAsia="Times New Roman" w:hAnsi="Book Antiqua" w:cs="Times New Roman"/>
          <w:color w:val="000000"/>
          <w:sz w:val="24"/>
          <w:szCs w:val="24"/>
          <w:lang w:val="en-US" w:eastAsia="it-IT"/>
        </w:rPr>
      </w:pPr>
      <w:r w:rsidRPr="00A157D5">
        <w:rPr>
          <w:rFonts w:ascii="Book Antiqua" w:eastAsia="Times New Roman" w:hAnsi="Book Antiqua" w:cs="Times New Roman"/>
          <w:b/>
          <w:color w:val="000000"/>
          <w:sz w:val="24"/>
          <w:szCs w:val="24"/>
          <w:lang w:val="en-US" w:eastAsia="it-IT"/>
        </w:rPr>
        <w:t xml:space="preserve">Fax: </w:t>
      </w:r>
      <w:r>
        <w:rPr>
          <w:rFonts w:ascii="Book Antiqua" w:eastAsia="Times New Roman" w:hAnsi="Book Antiqua" w:cs="Times New Roman"/>
          <w:color w:val="000000"/>
          <w:sz w:val="24"/>
          <w:szCs w:val="24"/>
          <w:lang w:val="en-US" w:eastAsia="it-IT"/>
        </w:rPr>
        <w:t>+39</w:t>
      </w:r>
      <w:r>
        <w:rPr>
          <w:rFonts w:ascii="Book Antiqua" w:hAnsi="Book Antiqua" w:cs="Times New Roman" w:hint="eastAsia"/>
          <w:color w:val="000000"/>
          <w:sz w:val="24"/>
          <w:szCs w:val="24"/>
          <w:lang w:val="en-US" w:eastAsia="zh-CN"/>
        </w:rPr>
        <w:t>-</w:t>
      </w:r>
      <w:r w:rsidR="00AA2BBC" w:rsidRPr="00A157D5">
        <w:rPr>
          <w:rFonts w:ascii="Book Antiqua" w:eastAsia="Times New Roman" w:hAnsi="Book Antiqua" w:cs="Times New Roman"/>
          <w:color w:val="000000"/>
          <w:sz w:val="24"/>
          <w:szCs w:val="24"/>
          <w:lang w:val="en-US" w:eastAsia="it-IT"/>
        </w:rPr>
        <w:t>08</w:t>
      </w:r>
      <w:r>
        <w:rPr>
          <w:rFonts w:ascii="Book Antiqua" w:hAnsi="Book Antiqua" w:cs="Times New Roman" w:hint="eastAsia"/>
          <w:color w:val="000000"/>
          <w:sz w:val="24"/>
          <w:szCs w:val="24"/>
          <w:lang w:val="en-US" w:eastAsia="zh-CN"/>
        </w:rPr>
        <w:t>-</w:t>
      </w:r>
      <w:r w:rsidR="00AA2BBC" w:rsidRPr="00A157D5">
        <w:rPr>
          <w:rFonts w:ascii="Book Antiqua" w:eastAsia="Times New Roman" w:hAnsi="Book Antiqua" w:cs="Times New Roman"/>
          <w:color w:val="000000"/>
          <w:sz w:val="24"/>
          <w:szCs w:val="24"/>
          <w:lang w:val="en-US" w:eastAsia="it-IT"/>
        </w:rPr>
        <w:t>81</w:t>
      </w:r>
      <w:r w:rsidR="00AA2BBC" w:rsidRPr="00E14F98">
        <w:rPr>
          <w:rFonts w:ascii="Book Antiqua" w:eastAsia="Times New Roman" w:hAnsi="Book Antiqua" w:cs="Times New Roman"/>
          <w:color w:val="000000"/>
          <w:sz w:val="24"/>
          <w:szCs w:val="24"/>
          <w:lang w:val="en-US" w:eastAsia="it-IT"/>
        </w:rPr>
        <w:t xml:space="preserve">732135 </w:t>
      </w:r>
    </w:p>
    <w:p w:rsidR="00810179" w:rsidRDefault="00810179" w:rsidP="00E14F98">
      <w:pPr>
        <w:spacing w:after="0" w:line="360" w:lineRule="auto"/>
        <w:jc w:val="both"/>
        <w:rPr>
          <w:rFonts w:ascii="Book Antiqua" w:hAnsi="Book Antiqua" w:cs="Arial"/>
          <w:b/>
          <w:sz w:val="24"/>
          <w:szCs w:val="24"/>
          <w:lang w:val="en-US" w:eastAsia="zh-CN"/>
        </w:rPr>
      </w:pPr>
    </w:p>
    <w:p w:rsidR="00A157D5" w:rsidRPr="00A157D5" w:rsidRDefault="00A157D5" w:rsidP="00A157D5">
      <w:pPr>
        <w:spacing w:after="0" w:line="360" w:lineRule="auto"/>
        <w:jc w:val="both"/>
        <w:rPr>
          <w:rFonts w:ascii="Book Antiqua" w:hAnsi="Book Antiqua"/>
          <w:sz w:val="24"/>
          <w:szCs w:val="24"/>
        </w:rPr>
      </w:pPr>
      <w:r w:rsidRPr="00A157D5">
        <w:rPr>
          <w:rFonts w:ascii="Book Antiqua" w:hAnsi="Book Antiqua"/>
          <w:b/>
          <w:sz w:val="24"/>
          <w:szCs w:val="24"/>
        </w:rPr>
        <w:t>Received:</w:t>
      </w:r>
      <w:r w:rsidRPr="00A157D5">
        <w:rPr>
          <w:rFonts w:ascii="Book Antiqua" w:eastAsia="宋体" w:hAnsi="Book Antiqua"/>
          <w:b/>
          <w:sz w:val="24"/>
          <w:szCs w:val="24"/>
          <w:lang w:eastAsia="zh-CN"/>
        </w:rPr>
        <w:t xml:space="preserve"> </w:t>
      </w:r>
      <w:r w:rsidRPr="00A157D5">
        <w:rPr>
          <w:rFonts w:ascii="Book Antiqua" w:eastAsia="宋体" w:hAnsi="Book Antiqua" w:hint="eastAsia"/>
          <w:sz w:val="24"/>
          <w:szCs w:val="24"/>
          <w:lang w:eastAsia="zh-CN"/>
        </w:rPr>
        <w:t>April 18, 2015</w:t>
      </w:r>
    </w:p>
    <w:p w:rsidR="00A157D5" w:rsidRPr="00A157D5" w:rsidRDefault="00A157D5" w:rsidP="00A157D5">
      <w:pPr>
        <w:spacing w:after="0" w:line="360" w:lineRule="auto"/>
        <w:jc w:val="both"/>
        <w:rPr>
          <w:rFonts w:ascii="Book Antiqua" w:hAnsi="Book Antiqua"/>
          <w:sz w:val="24"/>
          <w:szCs w:val="24"/>
          <w:lang w:eastAsia="zh-CN"/>
        </w:rPr>
      </w:pPr>
      <w:r w:rsidRPr="00A157D5">
        <w:rPr>
          <w:rFonts w:ascii="Book Antiqua" w:hAnsi="Book Antiqua"/>
          <w:b/>
          <w:sz w:val="24"/>
          <w:szCs w:val="24"/>
        </w:rPr>
        <w:t>Peer-review started:</w:t>
      </w:r>
      <w:r w:rsidRPr="00A157D5">
        <w:rPr>
          <w:rFonts w:ascii="Book Antiqua" w:eastAsia="宋体" w:hAnsi="Book Antiqua"/>
          <w:b/>
          <w:sz w:val="24"/>
          <w:szCs w:val="24"/>
          <w:lang w:eastAsia="zh-CN"/>
        </w:rPr>
        <w:t xml:space="preserve"> </w:t>
      </w:r>
      <w:r w:rsidRPr="00A157D5">
        <w:rPr>
          <w:rFonts w:ascii="Book Antiqua" w:eastAsia="宋体" w:hAnsi="Book Antiqua" w:hint="eastAsia"/>
          <w:sz w:val="24"/>
          <w:szCs w:val="24"/>
          <w:lang w:eastAsia="zh-CN"/>
        </w:rPr>
        <w:t>April 1</w:t>
      </w:r>
      <w:r>
        <w:rPr>
          <w:rFonts w:ascii="Book Antiqua" w:eastAsia="宋体" w:hAnsi="Book Antiqua" w:hint="eastAsia"/>
          <w:sz w:val="24"/>
          <w:szCs w:val="24"/>
          <w:lang w:eastAsia="zh-CN"/>
        </w:rPr>
        <w:t>9</w:t>
      </w:r>
      <w:r w:rsidRPr="00A157D5">
        <w:rPr>
          <w:rFonts w:ascii="Book Antiqua" w:eastAsia="宋体" w:hAnsi="Book Antiqua" w:hint="eastAsia"/>
          <w:sz w:val="24"/>
          <w:szCs w:val="24"/>
          <w:lang w:eastAsia="zh-CN"/>
        </w:rPr>
        <w:t>, 2015</w:t>
      </w:r>
    </w:p>
    <w:p w:rsidR="00A157D5" w:rsidRPr="00A157D5" w:rsidRDefault="00A157D5" w:rsidP="00A157D5">
      <w:pPr>
        <w:spacing w:after="0" w:line="360" w:lineRule="auto"/>
        <w:jc w:val="both"/>
        <w:rPr>
          <w:rFonts w:ascii="Book Antiqua" w:eastAsia="宋体" w:hAnsi="Book Antiqua"/>
          <w:sz w:val="24"/>
          <w:szCs w:val="24"/>
          <w:lang w:eastAsia="zh-CN"/>
        </w:rPr>
      </w:pPr>
      <w:r w:rsidRPr="00A157D5">
        <w:rPr>
          <w:rFonts w:ascii="Book Antiqua" w:hAnsi="Book Antiqua"/>
          <w:b/>
          <w:sz w:val="24"/>
          <w:szCs w:val="24"/>
        </w:rPr>
        <w:t>First decision:</w:t>
      </w:r>
      <w:r w:rsidRPr="00A157D5">
        <w:rPr>
          <w:rFonts w:ascii="Book Antiqua" w:eastAsia="宋体" w:hAnsi="Book Antiqua"/>
          <w:b/>
          <w:sz w:val="24"/>
          <w:szCs w:val="24"/>
          <w:lang w:eastAsia="zh-CN"/>
        </w:rPr>
        <w:t xml:space="preserve"> </w:t>
      </w:r>
      <w:r w:rsidRPr="00A157D5">
        <w:rPr>
          <w:rFonts w:ascii="Book Antiqua" w:eastAsia="宋体" w:hAnsi="Book Antiqua" w:hint="eastAsia"/>
          <w:sz w:val="24"/>
          <w:szCs w:val="24"/>
          <w:lang w:eastAsia="zh-CN"/>
        </w:rPr>
        <w:t>June 25, 2015</w:t>
      </w:r>
    </w:p>
    <w:p w:rsidR="00A157D5" w:rsidRPr="00A157D5" w:rsidRDefault="00A157D5" w:rsidP="00A157D5">
      <w:pPr>
        <w:spacing w:after="0" w:line="360" w:lineRule="auto"/>
        <w:jc w:val="both"/>
        <w:rPr>
          <w:rFonts w:ascii="Book Antiqua" w:eastAsia="宋体" w:hAnsi="Book Antiqua"/>
          <w:sz w:val="24"/>
          <w:szCs w:val="24"/>
          <w:lang w:eastAsia="zh-CN"/>
        </w:rPr>
      </w:pPr>
      <w:r w:rsidRPr="00A157D5">
        <w:rPr>
          <w:rFonts w:ascii="Book Antiqua" w:hAnsi="Book Antiqua"/>
          <w:b/>
          <w:sz w:val="24"/>
          <w:szCs w:val="24"/>
        </w:rPr>
        <w:t xml:space="preserve">Revised: </w:t>
      </w:r>
      <w:r w:rsidRPr="00A157D5">
        <w:rPr>
          <w:rFonts w:ascii="Book Antiqua" w:eastAsia="宋体" w:hAnsi="Book Antiqua" w:hint="eastAsia"/>
          <w:sz w:val="24"/>
          <w:szCs w:val="24"/>
          <w:lang w:eastAsia="zh-CN"/>
        </w:rPr>
        <w:t>June 2</w:t>
      </w:r>
      <w:r>
        <w:rPr>
          <w:rFonts w:ascii="Book Antiqua" w:eastAsia="宋体" w:hAnsi="Book Antiqua" w:hint="eastAsia"/>
          <w:sz w:val="24"/>
          <w:szCs w:val="24"/>
          <w:lang w:eastAsia="zh-CN"/>
        </w:rPr>
        <w:t>6</w:t>
      </w:r>
      <w:r w:rsidRPr="00A157D5">
        <w:rPr>
          <w:rFonts w:ascii="Book Antiqua" w:eastAsia="宋体" w:hAnsi="Book Antiqua" w:hint="eastAsia"/>
          <w:sz w:val="24"/>
          <w:szCs w:val="24"/>
          <w:lang w:eastAsia="zh-CN"/>
        </w:rPr>
        <w:t>, 2015</w:t>
      </w:r>
    </w:p>
    <w:p w:rsidR="00A157D5" w:rsidRPr="00E365A6" w:rsidRDefault="00A157D5" w:rsidP="00A157D5">
      <w:pPr>
        <w:rPr>
          <w:rFonts w:ascii="Book Antiqua" w:hAnsi="Book Antiqua" w:cs="宋体"/>
          <w:sz w:val="24"/>
        </w:rPr>
      </w:pPr>
      <w:r w:rsidRPr="00A157D5">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A157D5">
        <w:rPr>
          <w:rFonts w:ascii="Book Antiqua" w:hAnsi="Book Antiqua"/>
          <w:color w:val="000000"/>
          <w:sz w:val="24"/>
          <w:szCs w:val="24"/>
        </w:rPr>
        <w:t xml:space="preserve"> </w:t>
      </w:r>
      <w:bookmarkEnd w:id="4"/>
      <w:bookmarkEnd w:id="5"/>
      <w:bookmarkEnd w:id="6"/>
      <w:bookmarkEnd w:id="7"/>
      <w:bookmarkEnd w:id="8"/>
      <w:bookmarkEnd w:id="9"/>
      <w:bookmarkEnd w:id="10"/>
      <w:r w:rsidR="00E365A6">
        <w:rPr>
          <w:rFonts w:ascii="Book Antiqua" w:hAnsi="Book Antiqua" w:cs="宋体"/>
          <w:sz w:val="24"/>
        </w:rPr>
        <w:t>July 23</w:t>
      </w:r>
      <w:r w:rsidR="00E365A6" w:rsidRPr="00AF30D4">
        <w:rPr>
          <w:rFonts w:ascii="Book Antiqua" w:hAnsi="Book Antiqua" w:cs="宋体"/>
          <w:sz w:val="24"/>
        </w:rPr>
        <w:t>, 2015</w:t>
      </w:r>
      <w:bookmarkStart w:id="11" w:name="_GoBack"/>
      <w:bookmarkEnd w:id="11"/>
    </w:p>
    <w:p w:rsidR="00A157D5" w:rsidRPr="00A157D5" w:rsidRDefault="00A157D5" w:rsidP="00A157D5">
      <w:pPr>
        <w:spacing w:after="0" w:line="360" w:lineRule="auto"/>
        <w:jc w:val="both"/>
        <w:rPr>
          <w:rFonts w:ascii="Book Antiqua" w:hAnsi="Book Antiqua"/>
          <w:b/>
          <w:sz w:val="24"/>
          <w:szCs w:val="24"/>
        </w:rPr>
      </w:pPr>
      <w:r w:rsidRPr="00A157D5">
        <w:rPr>
          <w:rFonts w:ascii="Book Antiqua" w:hAnsi="Book Antiqua"/>
          <w:b/>
          <w:sz w:val="24"/>
          <w:szCs w:val="24"/>
        </w:rPr>
        <w:t>Article in press:</w:t>
      </w:r>
    </w:p>
    <w:p w:rsidR="00A157D5" w:rsidRPr="00A157D5" w:rsidRDefault="00A157D5" w:rsidP="00A157D5">
      <w:pPr>
        <w:spacing w:after="0" w:line="360" w:lineRule="auto"/>
        <w:jc w:val="both"/>
        <w:rPr>
          <w:rFonts w:ascii="Book Antiqua" w:hAnsi="Book Antiqua"/>
          <w:b/>
          <w:sz w:val="24"/>
          <w:szCs w:val="24"/>
        </w:rPr>
      </w:pPr>
      <w:r w:rsidRPr="00A157D5">
        <w:rPr>
          <w:rFonts w:ascii="Book Antiqua" w:hAnsi="Book Antiqua"/>
          <w:b/>
          <w:sz w:val="24"/>
          <w:szCs w:val="24"/>
        </w:rPr>
        <w:t xml:space="preserve">Published online: </w:t>
      </w:r>
    </w:p>
    <w:p w:rsidR="00A157D5" w:rsidRPr="00A157D5" w:rsidRDefault="00A157D5" w:rsidP="00E14F98">
      <w:pPr>
        <w:spacing w:after="0" w:line="360" w:lineRule="auto"/>
        <w:jc w:val="both"/>
        <w:rPr>
          <w:rFonts w:ascii="Book Antiqua" w:hAnsi="Book Antiqua" w:cs="Arial"/>
          <w:b/>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Pr="00E14F98" w:rsidRDefault="00A157D5" w:rsidP="00E14F98">
      <w:pPr>
        <w:spacing w:after="0" w:line="360" w:lineRule="auto"/>
        <w:jc w:val="both"/>
        <w:rPr>
          <w:rFonts w:ascii="Book Antiqua" w:hAnsi="Book Antiqua"/>
          <w:sz w:val="24"/>
          <w:szCs w:val="24"/>
          <w:lang w:val="en-US" w:eastAsia="zh-CN"/>
        </w:rPr>
      </w:pPr>
    </w:p>
    <w:p w:rsidR="00810179" w:rsidRPr="00E14F98" w:rsidRDefault="000622AD" w:rsidP="00E14F98">
      <w:pPr>
        <w:spacing w:after="0" w:line="360" w:lineRule="auto"/>
        <w:jc w:val="both"/>
        <w:rPr>
          <w:rFonts w:ascii="Book Antiqua" w:hAnsi="Book Antiqua"/>
          <w:b/>
          <w:sz w:val="24"/>
          <w:szCs w:val="24"/>
          <w:lang w:val="en-US"/>
        </w:rPr>
      </w:pPr>
      <w:r w:rsidRPr="00E14F98">
        <w:rPr>
          <w:rFonts w:ascii="Book Antiqua" w:hAnsi="Book Antiqua"/>
          <w:b/>
          <w:sz w:val="24"/>
          <w:szCs w:val="24"/>
          <w:lang w:val="en-US"/>
        </w:rPr>
        <w:t>Abstract</w:t>
      </w:r>
    </w:p>
    <w:p w:rsidR="00810179" w:rsidRPr="00E14F98" w:rsidRDefault="00443BE1"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lastRenderedPageBreak/>
        <w:t>Transarterial chemoembolization (TACE) is the current standard of care for patients with large or multinodular hepatocellular carcinoma (HCC), preserved liver function, abs</w:t>
      </w:r>
      <w:r w:rsidR="00376B6D" w:rsidRPr="00E14F98">
        <w:rPr>
          <w:rFonts w:ascii="Book Antiqua" w:hAnsi="Book Antiqua"/>
          <w:sz w:val="24"/>
          <w:szCs w:val="24"/>
          <w:lang w:val="en-US"/>
        </w:rPr>
        <w:t>ence of cancer-related symptoms</w:t>
      </w:r>
      <w:r w:rsidRPr="00E14F98">
        <w:rPr>
          <w:rFonts w:ascii="Book Antiqua" w:hAnsi="Book Antiqua"/>
          <w:sz w:val="24"/>
          <w:szCs w:val="24"/>
          <w:lang w:val="en-US"/>
        </w:rPr>
        <w:t xml:space="preserve"> and no evidence of vascular invasion or extrahepatic spread (</w:t>
      </w:r>
      <w:r w:rsidRPr="00A157D5">
        <w:rPr>
          <w:rFonts w:ascii="Book Antiqua" w:hAnsi="Book Antiqua"/>
          <w:i/>
          <w:sz w:val="24"/>
          <w:szCs w:val="24"/>
          <w:lang w:val="en-US"/>
        </w:rPr>
        <w:t>i.e.</w:t>
      </w:r>
      <w:r w:rsidRPr="00E14F98">
        <w:rPr>
          <w:rFonts w:ascii="Book Antiqua" w:hAnsi="Book Antiqua"/>
          <w:sz w:val="24"/>
          <w:szCs w:val="24"/>
          <w:lang w:val="en-US"/>
        </w:rPr>
        <w:t xml:space="preserve">, those classified as intermediate stage according to the </w:t>
      </w:r>
      <w:r w:rsidR="00450758" w:rsidRPr="00E14F98">
        <w:rPr>
          <w:rFonts w:ascii="Book Antiqua" w:hAnsi="Book Antiqua"/>
          <w:sz w:val="24"/>
          <w:szCs w:val="24"/>
          <w:lang w:val="en-US"/>
        </w:rPr>
        <w:t>Barcelona Clinic Liver Cancer</w:t>
      </w:r>
      <w:r w:rsidRPr="00E14F98">
        <w:rPr>
          <w:rFonts w:ascii="Book Antiqua" w:hAnsi="Book Antiqua"/>
          <w:sz w:val="24"/>
          <w:szCs w:val="24"/>
          <w:lang w:val="en-US"/>
        </w:rPr>
        <w:t xml:space="preserve"> staging system). The rationale for TACE is that the intra-arterial injection of a chemotherapeutic drug such as doxorubicin or cisplatin followed by embolization of the blood vessel will result in a strong cytotoxic effect enhanced by ischemia</w:t>
      </w:r>
      <w:r w:rsidR="00063066" w:rsidRPr="00E14F98">
        <w:rPr>
          <w:rFonts w:ascii="Book Antiqua" w:hAnsi="Book Antiqua"/>
          <w:sz w:val="24"/>
          <w:szCs w:val="24"/>
          <w:lang w:val="en-US"/>
        </w:rPr>
        <w:t>. However, TACE is a very heterogeneous operative t</w:t>
      </w:r>
      <w:r w:rsidR="00902236" w:rsidRPr="00E14F98">
        <w:rPr>
          <w:rFonts w:ascii="Book Antiqua" w:hAnsi="Book Antiqua"/>
          <w:sz w:val="24"/>
          <w:szCs w:val="24"/>
          <w:lang w:val="en-US"/>
        </w:rPr>
        <w:t>echnique</w:t>
      </w:r>
      <w:r w:rsidR="00063066" w:rsidRPr="00E14F98">
        <w:rPr>
          <w:rFonts w:ascii="Book Antiqua" w:hAnsi="Book Antiqua"/>
          <w:sz w:val="24"/>
          <w:szCs w:val="24"/>
          <w:lang w:val="en-US"/>
        </w:rPr>
        <w:t xml:space="preserve"> and varies in terms of chemotherapeutic agents, treatment devices and schedule. In order to overcome the major drawbacks of </w:t>
      </w:r>
      <w:r w:rsidR="00583EF7" w:rsidRPr="00E14F98">
        <w:rPr>
          <w:rFonts w:ascii="Book Antiqua" w:hAnsi="Book Antiqua"/>
          <w:sz w:val="24"/>
          <w:szCs w:val="24"/>
          <w:lang w:val="en-US"/>
        </w:rPr>
        <w:t>conventional TACE (</w:t>
      </w:r>
      <w:r w:rsidR="00063066" w:rsidRPr="00E14F98">
        <w:rPr>
          <w:rFonts w:ascii="Book Antiqua" w:hAnsi="Book Antiqua"/>
          <w:sz w:val="24"/>
          <w:szCs w:val="24"/>
          <w:lang w:val="en-US"/>
        </w:rPr>
        <w:t>cTACE</w:t>
      </w:r>
      <w:r w:rsidR="00583EF7" w:rsidRPr="00E14F98">
        <w:rPr>
          <w:rFonts w:ascii="Book Antiqua" w:hAnsi="Book Antiqua"/>
          <w:sz w:val="24"/>
          <w:szCs w:val="24"/>
          <w:lang w:val="en-US"/>
        </w:rPr>
        <w:t>)</w:t>
      </w:r>
      <w:r w:rsidR="00063066" w:rsidRPr="00E14F98">
        <w:rPr>
          <w:rFonts w:ascii="Book Antiqua" w:hAnsi="Book Antiqua"/>
          <w:sz w:val="24"/>
          <w:szCs w:val="24"/>
          <w:lang w:val="en-US"/>
        </w:rPr>
        <w:t xml:space="preserve">, non-resorbable </w:t>
      </w:r>
      <w:r w:rsidR="00583EF7" w:rsidRPr="00E14F98">
        <w:rPr>
          <w:rFonts w:ascii="Book Antiqua" w:hAnsi="Book Antiqua"/>
          <w:sz w:val="24"/>
          <w:szCs w:val="24"/>
          <w:lang w:val="en-US"/>
        </w:rPr>
        <w:t>drug-eluting beads (DEBs)</w:t>
      </w:r>
      <w:r w:rsidR="00063066" w:rsidRPr="00E14F98">
        <w:rPr>
          <w:rFonts w:ascii="Book Antiqua" w:hAnsi="Book Antiqua"/>
          <w:sz w:val="24"/>
          <w:szCs w:val="24"/>
          <w:lang w:val="en-US"/>
        </w:rPr>
        <w:t xml:space="preserve"> loaded with cytotoxic </w:t>
      </w:r>
      <w:r w:rsidR="00583EF7" w:rsidRPr="00E14F98">
        <w:rPr>
          <w:rFonts w:ascii="Book Antiqua" w:hAnsi="Book Antiqua"/>
          <w:sz w:val="24"/>
          <w:szCs w:val="24"/>
          <w:lang w:val="en-US"/>
        </w:rPr>
        <w:t>drugs</w:t>
      </w:r>
      <w:r w:rsidR="00063066" w:rsidRPr="00E14F98">
        <w:rPr>
          <w:rFonts w:ascii="Book Antiqua" w:hAnsi="Book Antiqua"/>
          <w:sz w:val="24"/>
          <w:szCs w:val="24"/>
          <w:lang w:val="en-US"/>
        </w:rPr>
        <w:t xml:space="preserve"> have been developed. DEBs are able to slowly release the drug upon injection and increase the intensity and duration of ischemia while enhancing the drug delivery to the tumor.</w:t>
      </w:r>
      <w:r w:rsidR="003A4E1D" w:rsidRPr="00E14F98">
        <w:rPr>
          <w:rFonts w:ascii="Book Antiqua" w:hAnsi="Book Antiqua"/>
          <w:sz w:val="24"/>
          <w:szCs w:val="24"/>
          <w:lang w:val="en-US"/>
        </w:rPr>
        <w:t xml:space="preserve"> Unfortunately, despite the theoretical advantages of this new device and the promising results of the pivotal studies, definitive data in favor of its superiority over cTACE are still lacking. </w:t>
      </w:r>
      <w:r w:rsidR="00453BD8" w:rsidRPr="00E14F98">
        <w:rPr>
          <w:rFonts w:ascii="Book Antiqua" w:hAnsi="Book Antiqua"/>
          <w:sz w:val="24"/>
          <w:szCs w:val="24"/>
          <w:lang w:val="en-US"/>
        </w:rPr>
        <w:t xml:space="preserve">The recommendation for TACE as the standard-of-care for intermediate-stage HCC is based on the demonstration of improved survival compared with best supportive care or suboptimal therapies in a meta-analysis of six randomized controlled trials, but other therapeutic options (namely, surgery and radioembolization) proved competitive in selected subsets of intermediate HCC patients. </w:t>
      </w:r>
      <w:r w:rsidR="00D94583" w:rsidRPr="00E14F98">
        <w:rPr>
          <w:rFonts w:ascii="Book Antiqua" w:hAnsi="Book Antiqua"/>
          <w:sz w:val="24"/>
          <w:szCs w:val="24"/>
          <w:lang w:val="en-US"/>
        </w:rPr>
        <w:t>Other potential fields of application of TACE in hepato-oncology are the pre-transplant setting (as downstaging/bridging treatment)</w:t>
      </w:r>
      <w:r w:rsidR="00F104A8" w:rsidRPr="00E14F98">
        <w:rPr>
          <w:rFonts w:ascii="Book Antiqua" w:hAnsi="Book Antiqua"/>
          <w:sz w:val="24"/>
          <w:szCs w:val="24"/>
          <w:lang w:val="en-US"/>
        </w:rPr>
        <w:t xml:space="preserve"> and </w:t>
      </w:r>
      <w:r w:rsidR="00D94583" w:rsidRPr="00E14F98">
        <w:rPr>
          <w:rFonts w:ascii="Book Antiqua" w:hAnsi="Book Antiqua"/>
          <w:sz w:val="24"/>
          <w:szCs w:val="24"/>
          <w:lang w:val="en-US"/>
        </w:rPr>
        <w:t>the early stage (in patients unsu</w:t>
      </w:r>
      <w:r w:rsidR="00F104A8" w:rsidRPr="00E14F98">
        <w:rPr>
          <w:rFonts w:ascii="Book Antiqua" w:hAnsi="Book Antiqua"/>
          <w:sz w:val="24"/>
          <w:szCs w:val="24"/>
          <w:lang w:val="en-US"/>
        </w:rPr>
        <w:t xml:space="preserve">itable to curative therapy). The potential of TACE in selected advanced patients with segmental portal vein thrombosis and preserved liver function deserves further reports. </w:t>
      </w:r>
    </w:p>
    <w:p w:rsidR="00810179" w:rsidRPr="00E14F98" w:rsidRDefault="00810179" w:rsidP="00E14F98">
      <w:pPr>
        <w:spacing w:after="0" w:line="360" w:lineRule="auto"/>
        <w:jc w:val="both"/>
        <w:rPr>
          <w:rFonts w:ascii="Book Antiqua" w:hAnsi="Book Antiqua"/>
          <w:sz w:val="24"/>
          <w:szCs w:val="24"/>
          <w:lang w:val="en-US"/>
        </w:rPr>
      </w:pPr>
    </w:p>
    <w:p w:rsidR="00514911" w:rsidRPr="00E14F98" w:rsidRDefault="00514911" w:rsidP="00E14F98">
      <w:pPr>
        <w:spacing w:after="0" w:line="360" w:lineRule="auto"/>
        <w:jc w:val="both"/>
        <w:rPr>
          <w:rFonts w:ascii="Book Antiqua" w:hAnsi="Book Antiqua"/>
          <w:sz w:val="24"/>
          <w:szCs w:val="24"/>
          <w:lang w:val="en-US"/>
        </w:rPr>
      </w:pPr>
      <w:r w:rsidRPr="00E14F98">
        <w:rPr>
          <w:rFonts w:ascii="Book Antiqua" w:hAnsi="Book Antiqua"/>
          <w:b/>
          <w:sz w:val="24"/>
          <w:szCs w:val="24"/>
          <w:lang w:val="en-US"/>
        </w:rPr>
        <w:t>Key</w:t>
      </w:r>
      <w:r w:rsidR="00A157D5">
        <w:rPr>
          <w:rFonts w:ascii="Book Antiqua" w:hAnsi="Book Antiqua" w:hint="eastAsia"/>
          <w:b/>
          <w:sz w:val="24"/>
          <w:szCs w:val="24"/>
          <w:lang w:val="en-US" w:eastAsia="zh-CN"/>
        </w:rPr>
        <w:t xml:space="preserve"> </w:t>
      </w:r>
      <w:r w:rsidRPr="00E14F98">
        <w:rPr>
          <w:rFonts w:ascii="Book Antiqua" w:hAnsi="Book Antiqua"/>
          <w:b/>
          <w:sz w:val="24"/>
          <w:szCs w:val="24"/>
          <w:lang w:val="en-US"/>
        </w:rPr>
        <w:t>words:</w:t>
      </w:r>
      <w:r w:rsidR="00A157D5">
        <w:rPr>
          <w:rFonts w:ascii="Book Antiqua" w:hAnsi="Book Antiqua" w:hint="eastAsia"/>
          <w:b/>
          <w:sz w:val="24"/>
          <w:szCs w:val="24"/>
          <w:lang w:val="en-US" w:eastAsia="zh-CN"/>
        </w:rPr>
        <w:t xml:space="preserve"> </w:t>
      </w:r>
      <w:r w:rsidR="00A157D5" w:rsidRPr="00E14F98">
        <w:rPr>
          <w:rFonts w:ascii="Book Antiqua" w:hAnsi="Book Antiqua"/>
          <w:sz w:val="24"/>
          <w:szCs w:val="24"/>
          <w:lang w:val="en-US"/>
        </w:rPr>
        <w:t>Transarterial chemoembolization</w:t>
      </w:r>
      <w:r w:rsidRPr="00E14F98">
        <w:rPr>
          <w:rFonts w:ascii="Book Antiqua" w:hAnsi="Book Antiqua"/>
          <w:sz w:val="24"/>
          <w:szCs w:val="24"/>
          <w:lang w:val="en-US"/>
        </w:rPr>
        <w:t xml:space="preserve">; </w:t>
      </w:r>
      <w:r w:rsidR="00A157D5">
        <w:rPr>
          <w:rFonts w:ascii="Book Antiqua" w:hAnsi="Book Antiqua" w:hint="eastAsia"/>
          <w:sz w:val="24"/>
          <w:szCs w:val="24"/>
          <w:lang w:val="en-US" w:eastAsia="zh-CN"/>
        </w:rPr>
        <w:t>L</w:t>
      </w:r>
      <w:r w:rsidRPr="00E14F98">
        <w:rPr>
          <w:rFonts w:ascii="Book Antiqua" w:hAnsi="Book Antiqua"/>
          <w:sz w:val="24"/>
          <w:szCs w:val="24"/>
          <w:lang w:val="en-US"/>
        </w:rPr>
        <w:t xml:space="preserve">oco-regional treatment; </w:t>
      </w:r>
      <w:r w:rsidR="00A157D5">
        <w:rPr>
          <w:rFonts w:ascii="Book Antiqua" w:hAnsi="Book Antiqua" w:hint="eastAsia"/>
          <w:sz w:val="24"/>
          <w:szCs w:val="24"/>
          <w:lang w:val="en-US" w:eastAsia="zh-CN"/>
        </w:rPr>
        <w:t>H</w:t>
      </w:r>
      <w:r w:rsidR="00A157D5" w:rsidRPr="00E14F98">
        <w:rPr>
          <w:rFonts w:ascii="Book Antiqua" w:hAnsi="Book Antiqua"/>
          <w:sz w:val="24"/>
          <w:szCs w:val="24"/>
          <w:lang w:val="en-US"/>
        </w:rPr>
        <w:t>epatocellular carcinoma</w:t>
      </w:r>
      <w:r w:rsidRPr="00E14F98">
        <w:rPr>
          <w:rFonts w:ascii="Book Antiqua" w:hAnsi="Book Antiqua"/>
          <w:sz w:val="24"/>
          <w:szCs w:val="24"/>
          <w:lang w:val="en-US"/>
        </w:rPr>
        <w:t xml:space="preserve">; </w:t>
      </w:r>
      <w:r w:rsidR="00A157D5">
        <w:rPr>
          <w:rFonts w:ascii="Book Antiqua" w:hAnsi="Book Antiqua" w:hint="eastAsia"/>
          <w:sz w:val="24"/>
          <w:szCs w:val="24"/>
          <w:lang w:val="en-US" w:eastAsia="zh-CN"/>
        </w:rPr>
        <w:t>L</w:t>
      </w:r>
      <w:r w:rsidRPr="00E14F98">
        <w:rPr>
          <w:rFonts w:ascii="Book Antiqua" w:hAnsi="Book Antiqua"/>
          <w:sz w:val="24"/>
          <w:szCs w:val="24"/>
          <w:lang w:val="en-US"/>
        </w:rPr>
        <w:t xml:space="preserve">iver cancer; </w:t>
      </w:r>
      <w:r w:rsidR="00A157D5">
        <w:rPr>
          <w:rFonts w:ascii="Book Antiqua" w:hAnsi="Book Antiqua" w:hint="eastAsia"/>
          <w:sz w:val="24"/>
          <w:szCs w:val="24"/>
          <w:lang w:val="en-US" w:eastAsia="zh-CN"/>
        </w:rPr>
        <w:t>H</w:t>
      </w:r>
      <w:r w:rsidR="003F1543" w:rsidRPr="00E14F98">
        <w:rPr>
          <w:rFonts w:ascii="Book Antiqua" w:hAnsi="Book Antiqua"/>
          <w:sz w:val="24"/>
          <w:szCs w:val="24"/>
          <w:lang w:val="en-US"/>
        </w:rPr>
        <w:t xml:space="preserve">epatocarcinoma; </w:t>
      </w:r>
      <w:r w:rsidR="00A157D5">
        <w:rPr>
          <w:rFonts w:ascii="Book Antiqua" w:hAnsi="Book Antiqua" w:hint="eastAsia"/>
          <w:sz w:val="24"/>
          <w:szCs w:val="24"/>
          <w:lang w:val="en-US" w:eastAsia="zh-CN"/>
        </w:rPr>
        <w:t>R</w:t>
      </w:r>
      <w:r w:rsidR="00A157D5" w:rsidRPr="00E14F98">
        <w:rPr>
          <w:rFonts w:ascii="Book Antiqua" w:hAnsi="Book Antiqua"/>
          <w:sz w:val="24"/>
          <w:szCs w:val="24"/>
          <w:lang w:val="en-US"/>
        </w:rPr>
        <w:t>adiofrequency ablation</w:t>
      </w:r>
      <w:r w:rsidR="003F1543" w:rsidRPr="00E14F98">
        <w:rPr>
          <w:rFonts w:ascii="Book Antiqua" w:hAnsi="Book Antiqua"/>
          <w:sz w:val="24"/>
          <w:szCs w:val="24"/>
          <w:lang w:val="en-US"/>
        </w:rPr>
        <w:t xml:space="preserve"> </w:t>
      </w:r>
    </w:p>
    <w:p w:rsidR="0070151B" w:rsidRDefault="0070151B" w:rsidP="00E14F98">
      <w:pPr>
        <w:spacing w:after="0" w:line="360" w:lineRule="auto"/>
        <w:jc w:val="both"/>
        <w:rPr>
          <w:rFonts w:ascii="Book Antiqua" w:hAnsi="Book Antiqua"/>
          <w:sz w:val="24"/>
          <w:szCs w:val="24"/>
          <w:lang w:val="en-US" w:eastAsia="zh-CN"/>
        </w:rPr>
      </w:pPr>
    </w:p>
    <w:p w:rsidR="00A157D5" w:rsidRPr="00A157D5" w:rsidRDefault="00A157D5" w:rsidP="00A157D5">
      <w:pPr>
        <w:snapToGrid w:val="0"/>
        <w:spacing w:after="0" w:line="360" w:lineRule="auto"/>
        <w:jc w:val="both"/>
        <w:rPr>
          <w:rFonts w:ascii="Book Antiqua" w:hAnsi="Book Antiqua"/>
          <w:sz w:val="24"/>
          <w:szCs w:val="24"/>
        </w:rPr>
      </w:pPr>
      <w:bookmarkStart w:id="12" w:name="OLE_LINK13"/>
      <w:bookmarkStart w:id="13" w:name="OLE_LINK14"/>
      <w:r w:rsidRPr="00A157D5">
        <w:rPr>
          <w:rFonts w:ascii="Book Antiqua" w:hAnsi="Book Antiqua"/>
          <w:sz w:val="24"/>
          <w:szCs w:val="24"/>
        </w:rPr>
        <w:t xml:space="preserve">© </w:t>
      </w:r>
      <w:bookmarkStart w:id="14" w:name="OLE_LINK6"/>
      <w:bookmarkStart w:id="15" w:name="OLE_LINK7"/>
      <w:bookmarkStart w:id="16" w:name="OLE_LINK8"/>
      <w:r w:rsidRPr="00A157D5">
        <w:rPr>
          <w:rFonts w:ascii="Book Antiqua" w:hAnsi="Book Antiqua"/>
          <w:b/>
          <w:sz w:val="24"/>
          <w:szCs w:val="24"/>
        </w:rPr>
        <w:t>The Author(s) 2015</w:t>
      </w:r>
      <w:r w:rsidRPr="00A157D5">
        <w:rPr>
          <w:rFonts w:ascii="Book Antiqua" w:hAnsi="Book Antiqua"/>
          <w:sz w:val="24"/>
          <w:szCs w:val="24"/>
        </w:rPr>
        <w:t>. Published by Baishideng Publishing Group Inc. All rights reserved.</w:t>
      </w:r>
    </w:p>
    <w:bookmarkEnd w:id="12"/>
    <w:bookmarkEnd w:id="13"/>
    <w:bookmarkEnd w:id="14"/>
    <w:bookmarkEnd w:id="15"/>
    <w:bookmarkEnd w:id="16"/>
    <w:p w:rsidR="00A157D5" w:rsidRPr="00E14F98" w:rsidRDefault="00A157D5" w:rsidP="00E14F98">
      <w:pPr>
        <w:spacing w:after="0" w:line="360" w:lineRule="auto"/>
        <w:jc w:val="both"/>
        <w:rPr>
          <w:rFonts w:ascii="Book Antiqua" w:hAnsi="Book Antiqua"/>
          <w:sz w:val="24"/>
          <w:szCs w:val="24"/>
          <w:lang w:val="en-US" w:eastAsia="zh-CN"/>
        </w:rPr>
      </w:pPr>
    </w:p>
    <w:p w:rsidR="0070151B" w:rsidRPr="00E14F98" w:rsidRDefault="0070151B" w:rsidP="00E14F98">
      <w:pPr>
        <w:spacing w:after="0" w:line="360" w:lineRule="auto"/>
        <w:jc w:val="both"/>
        <w:rPr>
          <w:rFonts w:ascii="Book Antiqua" w:hAnsi="Book Antiqua"/>
          <w:sz w:val="24"/>
          <w:szCs w:val="24"/>
          <w:lang w:val="en-US"/>
        </w:rPr>
      </w:pPr>
      <w:r w:rsidRPr="00E14F98">
        <w:rPr>
          <w:rFonts w:ascii="Book Antiqua" w:hAnsi="Book Antiqua"/>
          <w:b/>
          <w:sz w:val="24"/>
          <w:szCs w:val="24"/>
          <w:lang w:val="en-US"/>
        </w:rPr>
        <w:t>Core tip:</w:t>
      </w:r>
      <w:r w:rsidR="00A157D5">
        <w:rPr>
          <w:rFonts w:ascii="Book Antiqua" w:hAnsi="Book Antiqua" w:hint="eastAsia"/>
          <w:b/>
          <w:sz w:val="24"/>
          <w:szCs w:val="24"/>
          <w:lang w:val="en-US" w:eastAsia="zh-CN"/>
        </w:rPr>
        <w:t xml:space="preserve"> </w:t>
      </w:r>
      <w:r w:rsidRPr="00E14F98">
        <w:rPr>
          <w:rFonts w:ascii="Book Antiqua" w:hAnsi="Book Antiqua"/>
          <w:sz w:val="24"/>
          <w:szCs w:val="24"/>
          <w:lang w:val="en-US"/>
        </w:rPr>
        <w:t xml:space="preserve">Transarterial </w:t>
      </w:r>
      <w:r w:rsidR="00111CCF" w:rsidRPr="00E14F98">
        <w:rPr>
          <w:rFonts w:ascii="Book Antiqua" w:hAnsi="Book Antiqua"/>
          <w:sz w:val="24"/>
          <w:szCs w:val="24"/>
          <w:lang w:val="en-US"/>
        </w:rPr>
        <w:t xml:space="preserve">chemoembolization (TACE) represents the </w:t>
      </w:r>
      <w:r w:rsidRPr="00E14F98">
        <w:rPr>
          <w:rFonts w:ascii="Book Antiqua" w:hAnsi="Book Antiqua"/>
          <w:sz w:val="24"/>
          <w:szCs w:val="24"/>
          <w:lang w:val="en-US"/>
        </w:rPr>
        <w:t>standard of care for patients with large or multinodular hepatocellular carcinoma (HCC</w:t>
      </w:r>
      <w:r w:rsidR="00290EA4" w:rsidRPr="00E14F98">
        <w:rPr>
          <w:rFonts w:ascii="Book Antiqua" w:hAnsi="Book Antiqua"/>
          <w:sz w:val="24"/>
          <w:szCs w:val="24"/>
          <w:lang w:val="en-US"/>
        </w:rPr>
        <w:t>).</w:t>
      </w:r>
      <w:r w:rsidRPr="00E14F98">
        <w:rPr>
          <w:rFonts w:ascii="Book Antiqua" w:hAnsi="Book Antiqua"/>
          <w:sz w:val="24"/>
          <w:szCs w:val="24"/>
          <w:lang w:val="en-US"/>
        </w:rPr>
        <w:t xml:space="preserve"> However, TACE is a he</w:t>
      </w:r>
      <w:r w:rsidR="00EE2B9E" w:rsidRPr="00E14F98">
        <w:rPr>
          <w:rFonts w:ascii="Book Antiqua" w:hAnsi="Book Antiqua"/>
          <w:sz w:val="24"/>
          <w:szCs w:val="24"/>
          <w:lang w:val="en-US"/>
        </w:rPr>
        <w:t>terogeneous technique</w:t>
      </w:r>
      <w:r w:rsidRPr="00E14F98">
        <w:rPr>
          <w:rFonts w:ascii="Book Antiqua" w:hAnsi="Book Antiqua"/>
          <w:sz w:val="24"/>
          <w:szCs w:val="24"/>
          <w:lang w:val="en-US"/>
        </w:rPr>
        <w:t xml:space="preserve"> </w:t>
      </w:r>
      <w:r w:rsidR="00CD4E05" w:rsidRPr="00E14F98">
        <w:rPr>
          <w:rFonts w:ascii="Book Antiqua" w:hAnsi="Book Antiqua"/>
          <w:sz w:val="24"/>
          <w:szCs w:val="24"/>
          <w:lang w:val="en-US"/>
        </w:rPr>
        <w:t>varying</w:t>
      </w:r>
      <w:r w:rsidRPr="00E14F98">
        <w:rPr>
          <w:rFonts w:ascii="Book Antiqua" w:hAnsi="Book Antiqua"/>
          <w:sz w:val="24"/>
          <w:szCs w:val="24"/>
          <w:lang w:val="en-US"/>
        </w:rPr>
        <w:t xml:space="preserve"> in terms of chemotherapeutic agents, devices and sch</w:t>
      </w:r>
      <w:r w:rsidR="00CD6158" w:rsidRPr="00E14F98">
        <w:rPr>
          <w:rFonts w:ascii="Book Antiqua" w:hAnsi="Book Antiqua"/>
          <w:sz w:val="24"/>
          <w:szCs w:val="24"/>
          <w:lang w:val="en-US"/>
        </w:rPr>
        <w:t xml:space="preserve">edule. In order to overcome these </w:t>
      </w:r>
      <w:r w:rsidRPr="00E14F98">
        <w:rPr>
          <w:rFonts w:ascii="Book Antiqua" w:hAnsi="Book Antiqua"/>
          <w:sz w:val="24"/>
          <w:szCs w:val="24"/>
          <w:lang w:val="en-US"/>
        </w:rPr>
        <w:t>drawbacks of conventional TACE (cTACE), drug-</w:t>
      </w:r>
      <w:r w:rsidRPr="00E14F98">
        <w:rPr>
          <w:rFonts w:ascii="Book Antiqua" w:hAnsi="Book Antiqua"/>
          <w:sz w:val="24"/>
          <w:szCs w:val="24"/>
          <w:lang w:val="en-US"/>
        </w:rPr>
        <w:lastRenderedPageBreak/>
        <w:t>eluting beads</w:t>
      </w:r>
      <w:r w:rsidR="00C204C9" w:rsidRPr="00E14F98">
        <w:rPr>
          <w:rFonts w:ascii="Book Antiqua" w:hAnsi="Book Antiqua"/>
          <w:sz w:val="24"/>
          <w:szCs w:val="24"/>
          <w:lang w:val="en-US"/>
        </w:rPr>
        <w:t xml:space="preserve"> </w:t>
      </w:r>
      <w:r w:rsidRPr="00E14F98">
        <w:rPr>
          <w:rFonts w:ascii="Book Antiqua" w:hAnsi="Book Antiqua"/>
          <w:sz w:val="24"/>
          <w:szCs w:val="24"/>
          <w:lang w:val="en-US"/>
        </w:rPr>
        <w:t xml:space="preserve">have been developed. </w:t>
      </w:r>
      <w:r w:rsidR="002176EF" w:rsidRPr="00E14F98">
        <w:rPr>
          <w:rFonts w:ascii="Book Antiqua" w:hAnsi="Book Antiqua"/>
          <w:sz w:val="24"/>
          <w:szCs w:val="24"/>
          <w:lang w:val="en-US"/>
        </w:rPr>
        <w:t>Unfortunately, despite its</w:t>
      </w:r>
      <w:r w:rsidRPr="00E14F98">
        <w:rPr>
          <w:rFonts w:ascii="Book Antiqua" w:hAnsi="Book Antiqua"/>
          <w:sz w:val="24"/>
          <w:szCs w:val="24"/>
          <w:lang w:val="en-US"/>
        </w:rPr>
        <w:t xml:space="preserve"> theoretical advantages, definitive data in favor of its superiority over cTACE are still lacking. </w:t>
      </w:r>
      <w:r w:rsidR="00017F67" w:rsidRPr="00E14F98">
        <w:rPr>
          <w:rFonts w:ascii="Book Antiqua" w:hAnsi="Book Antiqua"/>
          <w:sz w:val="24"/>
          <w:szCs w:val="24"/>
          <w:lang w:val="en-US"/>
        </w:rPr>
        <w:t>TACE represents</w:t>
      </w:r>
      <w:r w:rsidRPr="00E14F98">
        <w:rPr>
          <w:rFonts w:ascii="Book Antiqua" w:hAnsi="Book Antiqua"/>
          <w:sz w:val="24"/>
          <w:szCs w:val="24"/>
          <w:lang w:val="en-US"/>
        </w:rPr>
        <w:t xml:space="preserve"> the standard-of-</w:t>
      </w:r>
      <w:r w:rsidR="00017F67" w:rsidRPr="00E14F98">
        <w:rPr>
          <w:rFonts w:ascii="Book Antiqua" w:hAnsi="Book Antiqua"/>
          <w:sz w:val="24"/>
          <w:szCs w:val="24"/>
          <w:lang w:val="en-US"/>
        </w:rPr>
        <w:t xml:space="preserve">care for intermediate-stage HCC, in competition with </w:t>
      </w:r>
      <w:r w:rsidRPr="00E14F98">
        <w:rPr>
          <w:rFonts w:ascii="Book Antiqua" w:hAnsi="Book Antiqua"/>
          <w:sz w:val="24"/>
          <w:szCs w:val="24"/>
          <w:lang w:val="en-US"/>
        </w:rPr>
        <w:t>oth</w:t>
      </w:r>
      <w:r w:rsidR="002C2CCB" w:rsidRPr="00E14F98">
        <w:rPr>
          <w:rFonts w:ascii="Book Antiqua" w:hAnsi="Book Antiqua"/>
          <w:sz w:val="24"/>
          <w:szCs w:val="24"/>
          <w:lang w:val="en-US"/>
        </w:rPr>
        <w:t>er therapeutic options (</w:t>
      </w:r>
      <w:r w:rsidRPr="00E14F98">
        <w:rPr>
          <w:rFonts w:ascii="Book Antiqua" w:hAnsi="Book Antiqua"/>
          <w:sz w:val="24"/>
          <w:szCs w:val="24"/>
          <w:lang w:val="en-US"/>
        </w:rPr>
        <w:t xml:space="preserve">surgery and radioembolization). Other fields of application are the pre-transplant setting and the early stage (in patients unsuitable to curative therapy). </w:t>
      </w:r>
    </w:p>
    <w:p w:rsidR="003F1543" w:rsidRPr="00A157D5" w:rsidRDefault="003F1543" w:rsidP="00E14F98">
      <w:pPr>
        <w:spacing w:after="0" w:line="360" w:lineRule="auto"/>
        <w:jc w:val="both"/>
        <w:rPr>
          <w:rFonts w:ascii="Book Antiqua" w:hAnsi="Book Antiqua"/>
          <w:sz w:val="24"/>
          <w:szCs w:val="24"/>
          <w:lang w:val="en-US" w:eastAsia="zh-CN"/>
        </w:rPr>
      </w:pPr>
    </w:p>
    <w:p w:rsidR="00A157D5" w:rsidRPr="00A157D5" w:rsidRDefault="00A157D5" w:rsidP="00A157D5">
      <w:pPr>
        <w:spacing w:after="0" w:line="360" w:lineRule="auto"/>
        <w:jc w:val="both"/>
        <w:rPr>
          <w:rFonts w:ascii="Book Antiqua" w:hAnsi="Book Antiqua"/>
          <w:sz w:val="24"/>
          <w:szCs w:val="24"/>
          <w:lang w:eastAsia="zh-CN"/>
        </w:rPr>
      </w:pPr>
      <w:r w:rsidRPr="00A157D5">
        <w:rPr>
          <w:rFonts w:ascii="Book Antiqua" w:hAnsi="Book Antiqua"/>
          <w:sz w:val="24"/>
          <w:szCs w:val="24"/>
        </w:rPr>
        <w:t>Facciorusso</w:t>
      </w:r>
      <w:r>
        <w:rPr>
          <w:rFonts w:ascii="Book Antiqua" w:hAnsi="Book Antiqua" w:hint="eastAsia"/>
          <w:sz w:val="24"/>
          <w:szCs w:val="24"/>
          <w:lang w:eastAsia="zh-CN"/>
        </w:rPr>
        <w:t xml:space="preserve"> A</w:t>
      </w:r>
      <w:r w:rsidRPr="00A157D5">
        <w:rPr>
          <w:rFonts w:ascii="Book Antiqua" w:hAnsi="Book Antiqua"/>
          <w:sz w:val="24"/>
          <w:szCs w:val="24"/>
        </w:rPr>
        <w:t>, Licinio</w:t>
      </w:r>
      <w:r>
        <w:rPr>
          <w:rFonts w:ascii="Book Antiqua" w:hAnsi="Book Antiqua" w:hint="eastAsia"/>
          <w:sz w:val="24"/>
          <w:szCs w:val="24"/>
          <w:lang w:eastAsia="zh-CN"/>
        </w:rPr>
        <w:t xml:space="preserve"> R</w:t>
      </w:r>
      <w:r w:rsidRPr="00A157D5">
        <w:rPr>
          <w:rFonts w:ascii="Book Antiqua" w:hAnsi="Book Antiqua"/>
          <w:sz w:val="24"/>
          <w:szCs w:val="24"/>
        </w:rPr>
        <w:t>, Muscatiello</w:t>
      </w:r>
      <w:r>
        <w:rPr>
          <w:rFonts w:ascii="Book Antiqua" w:hAnsi="Book Antiqua" w:hint="eastAsia"/>
          <w:sz w:val="24"/>
          <w:szCs w:val="24"/>
          <w:lang w:eastAsia="zh-CN"/>
        </w:rPr>
        <w:t xml:space="preserve"> N</w:t>
      </w:r>
      <w:r w:rsidRPr="00A157D5">
        <w:rPr>
          <w:rFonts w:ascii="Book Antiqua" w:hAnsi="Book Antiqua"/>
          <w:sz w:val="24"/>
          <w:szCs w:val="24"/>
        </w:rPr>
        <w:t>, Di Leo</w:t>
      </w:r>
      <w:r>
        <w:rPr>
          <w:rFonts w:ascii="Book Antiqua" w:hAnsi="Book Antiqua" w:hint="eastAsia"/>
          <w:sz w:val="24"/>
          <w:szCs w:val="24"/>
          <w:lang w:eastAsia="zh-CN"/>
        </w:rPr>
        <w:t xml:space="preserve"> A</w:t>
      </w:r>
      <w:r w:rsidRPr="00A157D5">
        <w:rPr>
          <w:rFonts w:ascii="Book Antiqua" w:hAnsi="Book Antiqua"/>
          <w:sz w:val="24"/>
          <w:szCs w:val="24"/>
        </w:rPr>
        <w:t>, Barone</w:t>
      </w:r>
      <w:r>
        <w:rPr>
          <w:rFonts w:ascii="Book Antiqua" w:hAnsi="Book Antiqua" w:hint="eastAsia"/>
          <w:sz w:val="24"/>
          <w:szCs w:val="24"/>
          <w:lang w:eastAsia="zh-CN"/>
        </w:rPr>
        <w:t xml:space="preserve"> M. </w:t>
      </w:r>
      <w:r w:rsidRPr="00A157D5">
        <w:rPr>
          <w:rFonts w:ascii="Book Antiqua" w:hAnsi="Book Antiqua"/>
          <w:sz w:val="24"/>
          <w:szCs w:val="24"/>
          <w:lang w:val="en-US"/>
        </w:rPr>
        <w:t>Transarterial chemoembolization: Evidences from the literature and applications in hepatocellular carcinoma patients</w:t>
      </w:r>
      <w:r>
        <w:rPr>
          <w:rFonts w:ascii="Book Antiqua" w:hAnsi="Book Antiqua" w:hint="eastAsia"/>
          <w:sz w:val="24"/>
          <w:szCs w:val="24"/>
          <w:lang w:val="en-US" w:eastAsia="zh-CN"/>
        </w:rPr>
        <w:t xml:space="preserve">. </w:t>
      </w:r>
      <w:r w:rsidRPr="00C341A0">
        <w:rPr>
          <w:rFonts w:ascii="Book Antiqua" w:hAnsi="Book Antiqua"/>
          <w:i/>
          <w:iCs/>
          <w:sz w:val="24"/>
          <w:szCs w:val="24"/>
        </w:rPr>
        <w:t>World J Hepatol</w:t>
      </w:r>
      <w:r>
        <w:rPr>
          <w:rFonts w:ascii="Book Antiqua" w:hAnsi="Book Antiqua" w:hint="eastAsia"/>
          <w:iCs/>
          <w:sz w:val="24"/>
          <w:szCs w:val="24"/>
          <w:lang w:eastAsia="zh-CN"/>
        </w:rPr>
        <w:t xml:space="preserve"> 2015; In press</w:t>
      </w:r>
    </w:p>
    <w:p w:rsidR="00A157D5" w:rsidRPr="00E14F98" w:rsidRDefault="00A157D5" w:rsidP="00A157D5">
      <w:pPr>
        <w:spacing w:after="0" w:line="360" w:lineRule="auto"/>
        <w:jc w:val="both"/>
        <w:rPr>
          <w:rFonts w:ascii="Book Antiqua" w:hAnsi="Book Antiqua"/>
          <w:sz w:val="24"/>
          <w:szCs w:val="24"/>
          <w:lang w:val="en-US" w:eastAsia="zh-CN"/>
        </w:rPr>
      </w:pPr>
    </w:p>
    <w:p w:rsidR="00A157D5" w:rsidRPr="00A157D5" w:rsidRDefault="00A157D5" w:rsidP="00E14F98">
      <w:pPr>
        <w:spacing w:after="0" w:line="360" w:lineRule="auto"/>
        <w:jc w:val="both"/>
        <w:rPr>
          <w:rFonts w:ascii="Book Antiqua" w:hAnsi="Book Antiqua"/>
          <w:sz w:val="24"/>
          <w:szCs w:val="24"/>
          <w:lang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Default="00A157D5" w:rsidP="00E14F98">
      <w:pPr>
        <w:spacing w:after="0" w:line="360" w:lineRule="auto"/>
        <w:jc w:val="both"/>
        <w:rPr>
          <w:rFonts w:ascii="Book Antiqua" w:hAnsi="Book Antiqua"/>
          <w:sz w:val="24"/>
          <w:szCs w:val="24"/>
          <w:lang w:val="en-US" w:eastAsia="zh-CN"/>
        </w:rPr>
      </w:pPr>
    </w:p>
    <w:p w:rsidR="00A157D5" w:rsidRPr="00E14F98" w:rsidRDefault="00A157D5" w:rsidP="00E14F98">
      <w:pPr>
        <w:spacing w:after="0" w:line="360" w:lineRule="auto"/>
        <w:jc w:val="both"/>
        <w:rPr>
          <w:rFonts w:ascii="Book Antiqua" w:hAnsi="Book Antiqua"/>
          <w:sz w:val="24"/>
          <w:szCs w:val="24"/>
          <w:lang w:val="en-US" w:eastAsia="zh-CN"/>
        </w:rPr>
      </w:pPr>
    </w:p>
    <w:p w:rsidR="00443BE1" w:rsidRPr="00E14F98" w:rsidRDefault="00A157D5" w:rsidP="00E14F98">
      <w:pPr>
        <w:spacing w:after="0" w:line="360" w:lineRule="auto"/>
        <w:jc w:val="both"/>
        <w:rPr>
          <w:rFonts w:ascii="Book Antiqua" w:hAnsi="Book Antiqua"/>
          <w:sz w:val="24"/>
          <w:szCs w:val="24"/>
          <w:lang w:val="en-US"/>
        </w:rPr>
      </w:pPr>
      <w:r w:rsidRPr="00E14F98">
        <w:rPr>
          <w:rFonts w:ascii="Book Antiqua" w:hAnsi="Book Antiqua"/>
          <w:b/>
          <w:sz w:val="24"/>
          <w:szCs w:val="24"/>
          <w:lang w:val="en-US"/>
        </w:rPr>
        <w:t>INTRODUCTION</w:t>
      </w:r>
    </w:p>
    <w:p w:rsidR="008A64F6" w:rsidRPr="00E14F98" w:rsidRDefault="00103204"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T</w:t>
      </w:r>
      <w:r w:rsidR="00F66AA8" w:rsidRPr="00E14F98">
        <w:rPr>
          <w:rFonts w:ascii="Book Antiqua" w:hAnsi="Book Antiqua"/>
          <w:sz w:val="24"/>
          <w:szCs w:val="24"/>
          <w:lang w:val="en-US"/>
        </w:rPr>
        <w:t>rans</w:t>
      </w:r>
      <w:r w:rsidR="001A6FEF" w:rsidRPr="00E14F98">
        <w:rPr>
          <w:rFonts w:ascii="Book Antiqua" w:hAnsi="Book Antiqua"/>
          <w:sz w:val="24"/>
          <w:szCs w:val="24"/>
          <w:lang w:val="en-US"/>
        </w:rPr>
        <w:t xml:space="preserve">arterial chemoembolization (TACE) is the current standard of care for patients with large or multinodular </w:t>
      </w:r>
      <w:r w:rsidR="000622AD" w:rsidRPr="00E14F98">
        <w:rPr>
          <w:rFonts w:ascii="Book Antiqua" w:hAnsi="Book Antiqua"/>
          <w:sz w:val="24"/>
          <w:szCs w:val="24"/>
          <w:lang w:val="en-US"/>
        </w:rPr>
        <w:t>hepatocellular carcinoma (</w:t>
      </w:r>
      <w:r w:rsidR="00083C33" w:rsidRPr="00E14F98">
        <w:rPr>
          <w:rFonts w:ascii="Book Antiqua" w:hAnsi="Book Antiqua"/>
          <w:sz w:val="24"/>
          <w:szCs w:val="24"/>
          <w:lang w:val="en-US"/>
        </w:rPr>
        <w:t>HCC</w:t>
      </w:r>
      <w:r w:rsidR="000622AD" w:rsidRPr="00E14F98">
        <w:rPr>
          <w:rFonts w:ascii="Book Antiqua" w:hAnsi="Book Antiqua"/>
          <w:sz w:val="24"/>
          <w:szCs w:val="24"/>
          <w:lang w:val="en-US"/>
        </w:rPr>
        <w:t>)</w:t>
      </w:r>
      <w:r w:rsidR="00083C33" w:rsidRPr="00E14F98">
        <w:rPr>
          <w:rFonts w:ascii="Book Antiqua" w:hAnsi="Book Antiqua"/>
          <w:sz w:val="24"/>
          <w:szCs w:val="24"/>
          <w:lang w:val="en-US"/>
        </w:rPr>
        <w:t xml:space="preserve">, </w:t>
      </w:r>
      <w:r w:rsidR="001A6FEF" w:rsidRPr="00E14F98">
        <w:rPr>
          <w:rFonts w:ascii="Book Antiqua" w:hAnsi="Book Antiqua"/>
          <w:sz w:val="24"/>
          <w:szCs w:val="24"/>
          <w:lang w:val="en-US"/>
        </w:rPr>
        <w:t xml:space="preserve">preserved liver function, absence </w:t>
      </w:r>
      <w:r w:rsidR="001A6FEF" w:rsidRPr="00E14F98">
        <w:rPr>
          <w:rFonts w:ascii="Book Antiqua" w:hAnsi="Book Antiqua"/>
          <w:sz w:val="24"/>
          <w:szCs w:val="24"/>
          <w:lang w:val="en-US"/>
        </w:rPr>
        <w:lastRenderedPageBreak/>
        <w:t xml:space="preserve">of cancer-related symptoms, and no evidence of vascular invasion or extrahepatic spread </w:t>
      </w:r>
      <w:r w:rsidR="00450758">
        <w:rPr>
          <w:rFonts w:ascii="Book Antiqua" w:hAnsi="Book Antiqua" w:hint="eastAsia"/>
          <w:sz w:val="24"/>
          <w:szCs w:val="24"/>
          <w:lang w:val="en-US" w:eastAsia="zh-CN"/>
        </w:rPr>
        <w:t>[</w:t>
      </w:r>
      <w:r w:rsidR="001A6FEF" w:rsidRPr="00450758">
        <w:rPr>
          <w:rFonts w:ascii="Book Antiqua" w:hAnsi="Book Antiqua"/>
          <w:i/>
          <w:sz w:val="24"/>
          <w:szCs w:val="24"/>
          <w:lang w:val="en-US"/>
        </w:rPr>
        <w:t>i.e.</w:t>
      </w:r>
      <w:r w:rsidR="001A6FEF" w:rsidRPr="00E14F98">
        <w:rPr>
          <w:rFonts w:ascii="Book Antiqua" w:hAnsi="Book Antiqua"/>
          <w:sz w:val="24"/>
          <w:szCs w:val="24"/>
          <w:lang w:val="en-US"/>
        </w:rPr>
        <w:t xml:space="preserve">, those classified as intermediate stage according to the </w:t>
      </w:r>
      <w:r w:rsidR="00450758" w:rsidRPr="00E14F98">
        <w:rPr>
          <w:rFonts w:ascii="Book Antiqua" w:hAnsi="Book Antiqua"/>
          <w:sz w:val="24"/>
          <w:szCs w:val="24"/>
          <w:lang w:val="en-US"/>
        </w:rPr>
        <w:t>Barcelona Clinic Liver Cancer</w:t>
      </w:r>
      <w:r w:rsidR="00450758">
        <w:rPr>
          <w:rFonts w:ascii="Book Antiqua" w:hAnsi="Book Antiqua" w:hint="eastAsia"/>
          <w:sz w:val="24"/>
          <w:szCs w:val="24"/>
          <w:lang w:val="en-US" w:eastAsia="zh-CN"/>
        </w:rPr>
        <w:t xml:space="preserve"> (</w:t>
      </w:r>
      <w:r w:rsidR="00450758" w:rsidRPr="00E14F98">
        <w:rPr>
          <w:rFonts w:ascii="Book Antiqua" w:hAnsi="Book Antiqua"/>
          <w:sz w:val="24"/>
          <w:szCs w:val="24"/>
          <w:lang w:val="en-US"/>
        </w:rPr>
        <w:t>BCLC</w:t>
      </w:r>
      <w:r w:rsidR="00450758">
        <w:rPr>
          <w:rFonts w:ascii="Book Antiqua" w:hAnsi="Book Antiqua" w:hint="eastAsia"/>
          <w:sz w:val="24"/>
          <w:szCs w:val="24"/>
          <w:lang w:val="en-US" w:eastAsia="zh-CN"/>
        </w:rPr>
        <w:t xml:space="preserve">) </w:t>
      </w:r>
      <w:r w:rsidR="001A6FEF" w:rsidRPr="00E14F98">
        <w:rPr>
          <w:rFonts w:ascii="Book Antiqua" w:hAnsi="Book Antiqua"/>
          <w:sz w:val="24"/>
          <w:szCs w:val="24"/>
          <w:lang w:val="en-US"/>
        </w:rPr>
        <w:t>staging system</w:t>
      </w:r>
      <w:r w:rsidR="00450758">
        <w:rPr>
          <w:rFonts w:ascii="Book Antiqua" w:hAnsi="Book Antiqua" w:hint="eastAsia"/>
          <w:sz w:val="24"/>
          <w:szCs w:val="24"/>
          <w:lang w:val="en-US" w:eastAsia="zh-CN"/>
        </w:rPr>
        <w:t>]</w:t>
      </w:r>
      <w:r w:rsidR="00083C33" w:rsidRPr="00E14F98">
        <w:rPr>
          <w:rFonts w:ascii="Book Antiqua" w:hAnsi="Book Antiqua"/>
          <w:sz w:val="24"/>
          <w:szCs w:val="24"/>
          <w:vertAlign w:val="superscript"/>
          <w:lang w:val="en-US"/>
        </w:rPr>
        <w:t>[1,2]</w:t>
      </w:r>
      <w:r w:rsidR="001A6FEF" w:rsidRPr="00E14F98">
        <w:rPr>
          <w:rFonts w:ascii="Book Antiqua" w:hAnsi="Book Antiqua"/>
          <w:sz w:val="24"/>
          <w:szCs w:val="24"/>
          <w:lang w:val="en-US"/>
        </w:rPr>
        <w:t xml:space="preserve">. </w:t>
      </w:r>
      <w:r w:rsidR="006725B8" w:rsidRPr="00E14F98">
        <w:rPr>
          <w:rFonts w:ascii="Book Antiqua" w:hAnsi="Book Antiqua"/>
          <w:sz w:val="24"/>
          <w:szCs w:val="24"/>
          <w:lang w:val="en-US"/>
        </w:rPr>
        <w:t>Furthermore, in clinical practice, many patients in the early stage (</w:t>
      </w:r>
      <w:r w:rsidR="006725B8" w:rsidRPr="00A157D5">
        <w:rPr>
          <w:rFonts w:ascii="Book Antiqua" w:hAnsi="Book Antiqua"/>
          <w:i/>
          <w:sz w:val="24"/>
          <w:szCs w:val="24"/>
          <w:lang w:val="en-US"/>
        </w:rPr>
        <w:t>i.e.</w:t>
      </w:r>
      <w:r w:rsidR="00A157D5">
        <w:rPr>
          <w:rFonts w:ascii="Book Antiqua" w:hAnsi="Book Antiqua" w:hint="eastAsia"/>
          <w:sz w:val="24"/>
          <w:szCs w:val="24"/>
          <w:lang w:val="en-US" w:eastAsia="zh-CN"/>
        </w:rPr>
        <w:t>,</w:t>
      </w:r>
      <w:r w:rsidR="006725B8" w:rsidRPr="00E14F98">
        <w:rPr>
          <w:rFonts w:ascii="Book Antiqua" w:hAnsi="Book Antiqua"/>
          <w:sz w:val="24"/>
          <w:szCs w:val="24"/>
          <w:lang w:val="en-US"/>
        </w:rPr>
        <w:t xml:space="preserve"> single nodule or up to 3 nodules under 3 cm) carrying contraindications to curative approaches – liver resection, liver transplantation (LT) or radiofrequency ablation</w:t>
      </w:r>
      <w:r w:rsidR="00605DCB" w:rsidRPr="00E14F98">
        <w:rPr>
          <w:rFonts w:ascii="Book Antiqua" w:hAnsi="Book Antiqua"/>
          <w:sz w:val="24"/>
          <w:szCs w:val="24"/>
          <w:lang w:val="en-US"/>
        </w:rPr>
        <w:t xml:space="preserve"> (RFA)</w:t>
      </w:r>
      <w:r w:rsidR="006725B8" w:rsidRPr="00E14F98">
        <w:rPr>
          <w:rFonts w:ascii="Book Antiqua" w:hAnsi="Book Antiqua"/>
          <w:sz w:val="24"/>
          <w:szCs w:val="24"/>
          <w:lang w:val="en-US"/>
        </w:rPr>
        <w:t xml:space="preserve"> – are treated with TACE. </w:t>
      </w:r>
    </w:p>
    <w:p w:rsidR="00362B42" w:rsidRPr="00E14F98" w:rsidRDefault="001A6FEF" w:rsidP="00A157D5">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The rationale for TACE is that the intra-arterial injection of a chemotherapeutic drug such as doxorubicin or cisplatin followed by embolization of the blood vessel will result in a strong cytotoxic effect enhanced by </w:t>
      </w:r>
      <w:proofErr w:type="gramStart"/>
      <w:r w:rsidRPr="00E14F98">
        <w:rPr>
          <w:rFonts w:ascii="Book Antiqua" w:hAnsi="Book Antiqua"/>
          <w:sz w:val="24"/>
          <w:szCs w:val="24"/>
          <w:lang w:val="en-US"/>
        </w:rPr>
        <w:t>ischemia</w:t>
      </w:r>
      <w:r w:rsidR="00D94437" w:rsidRPr="00E14F98">
        <w:rPr>
          <w:rFonts w:ascii="Book Antiqua" w:hAnsi="Book Antiqua"/>
          <w:sz w:val="24"/>
          <w:szCs w:val="24"/>
          <w:vertAlign w:val="superscript"/>
          <w:lang w:val="en-US"/>
        </w:rPr>
        <w:t>[</w:t>
      </w:r>
      <w:proofErr w:type="gramEnd"/>
      <w:r w:rsidR="00D94437" w:rsidRPr="00E14F98">
        <w:rPr>
          <w:rFonts w:ascii="Book Antiqua" w:hAnsi="Book Antiqua"/>
          <w:sz w:val="24"/>
          <w:szCs w:val="24"/>
          <w:vertAlign w:val="superscript"/>
          <w:lang w:val="en-US"/>
        </w:rPr>
        <w:t>3]</w:t>
      </w:r>
      <w:r w:rsidRPr="00E14F98">
        <w:rPr>
          <w:rFonts w:ascii="Book Antiqua" w:hAnsi="Book Antiqua"/>
          <w:sz w:val="24"/>
          <w:szCs w:val="24"/>
          <w:lang w:val="en-US"/>
        </w:rPr>
        <w:t>.</w:t>
      </w:r>
      <w:r w:rsidR="00B0139B" w:rsidRPr="00E14F98">
        <w:rPr>
          <w:rFonts w:ascii="Book Antiqua" w:hAnsi="Book Antiqua"/>
          <w:sz w:val="24"/>
          <w:szCs w:val="24"/>
          <w:lang w:val="en-US"/>
        </w:rPr>
        <w:t xml:space="preserve"> </w:t>
      </w:r>
      <w:r w:rsidR="00A6156B" w:rsidRPr="00E14F98">
        <w:rPr>
          <w:rFonts w:ascii="Book Antiqua" w:hAnsi="Book Antiqua"/>
          <w:sz w:val="24"/>
          <w:szCs w:val="24"/>
          <w:lang w:val="en-US"/>
        </w:rPr>
        <w:t>The embolization end point is usually defined as stasis in the second- or third-order branches of the lobar hepatic arter</w:t>
      </w:r>
      <w:r w:rsidR="00F966EF" w:rsidRPr="00E14F98">
        <w:rPr>
          <w:rFonts w:ascii="Book Antiqua" w:hAnsi="Book Antiqua"/>
          <w:sz w:val="24"/>
          <w:szCs w:val="24"/>
          <w:lang w:val="en-US"/>
        </w:rPr>
        <w:t>y and injection should be continued until near stasis is observed in the artery directly feeding the tumor (</w:t>
      </w:r>
      <w:r w:rsidR="00F966EF" w:rsidRPr="00A157D5">
        <w:rPr>
          <w:rFonts w:ascii="Book Antiqua" w:hAnsi="Book Antiqua"/>
          <w:i/>
          <w:sz w:val="24"/>
          <w:szCs w:val="24"/>
          <w:lang w:val="en-US"/>
        </w:rPr>
        <w:t>i.e.</w:t>
      </w:r>
      <w:r w:rsidR="00F966EF" w:rsidRPr="00E14F98">
        <w:rPr>
          <w:rFonts w:ascii="Book Antiqua" w:hAnsi="Book Antiqua"/>
          <w:sz w:val="24"/>
          <w:szCs w:val="24"/>
          <w:lang w:val="en-US"/>
        </w:rPr>
        <w:t>, the contrast column shoul</w:t>
      </w:r>
      <w:r w:rsidR="000E6E01" w:rsidRPr="00E14F98">
        <w:rPr>
          <w:rFonts w:ascii="Book Antiqua" w:hAnsi="Book Antiqua"/>
          <w:sz w:val="24"/>
          <w:szCs w:val="24"/>
          <w:lang w:val="en-US"/>
        </w:rPr>
        <w:t>d clear within 2</w:t>
      </w:r>
      <w:r w:rsidR="00A157D5">
        <w:rPr>
          <w:rFonts w:ascii="Book Antiqua" w:hAnsi="Book Antiqua" w:hint="eastAsia"/>
          <w:sz w:val="24"/>
          <w:szCs w:val="24"/>
          <w:lang w:val="en-US" w:eastAsia="zh-CN"/>
        </w:rPr>
        <w:t>-</w:t>
      </w:r>
      <w:r w:rsidR="000E6E01" w:rsidRPr="00E14F98">
        <w:rPr>
          <w:rFonts w:ascii="Book Antiqua" w:hAnsi="Book Antiqua"/>
          <w:sz w:val="24"/>
          <w:szCs w:val="24"/>
          <w:lang w:val="en-US"/>
        </w:rPr>
        <w:t xml:space="preserve">5 </w:t>
      </w:r>
      <w:r w:rsidR="00D86184" w:rsidRPr="00E14F98">
        <w:rPr>
          <w:rFonts w:ascii="Book Antiqua" w:hAnsi="Book Antiqua"/>
          <w:sz w:val="24"/>
          <w:szCs w:val="24"/>
          <w:lang w:val="en-US"/>
        </w:rPr>
        <w:t>heartbeats)</w:t>
      </w:r>
      <w:r w:rsidR="00D86184" w:rsidRPr="00E14F98">
        <w:rPr>
          <w:rFonts w:ascii="Book Antiqua" w:hAnsi="Book Antiqua"/>
          <w:sz w:val="24"/>
          <w:szCs w:val="24"/>
          <w:vertAlign w:val="superscript"/>
          <w:lang w:val="en-US"/>
        </w:rPr>
        <w:t>[4]</w:t>
      </w:r>
      <w:r w:rsidR="000E6E01" w:rsidRPr="00E14F98">
        <w:rPr>
          <w:rFonts w:ascii="Book Antiqua" w:hAnsi="Book Antiqua"/>
          <w:sz w:val="24"/>
          <w:szCs w:val="24"/>
          <w:lang w:val="en-US"/>
        </w:rPr>
        <w:t xml:space="preserve">. </w:t>
      </w:r>
    </w:p>
    <w:p w:rsidR="00EC59F6" w:rsidRPr="00E14F98" w:rsidRDefault="0093453A" w:rsidP="00A157D5">
      <w:pPr>
        <w:spacing w:after="0" w:line="360" w:lineRule="auto"/>
        <w:ind w:firstLineChars="100" w:firstLine="240"/>
        <w:jc w:val="both"/>
        <w:rPr>
          <w:rFonts w:ascii="Book Antiqua" w:hAnsi="Book Antiqua"/>
          <w:sz w:val="24"/>
          <w:szCs w:val="24"/>
          <w:vertAlign w:val="superscript"/>
          <w:lang w:val="en-US"/>
        </w:rPr>
      </w:pPr>
      <w:r w:rsidRPr="00E14F98">
        <w:rPr>
          <w:rFonts w:ascii="Book Antiqua" w:hAnsi="Book Antiqua"/>
          <w:sz w:val="24"/>
          <w:szCs w:val="24"/>
          <w:lang w:val="en-US"/>
        </w:rPr>
        <w:t>TACE is a very he</w:t>
      </w:r>
      <w:r w:rsidR="003E1239" w:rsidRPr="00E14F98">
        <w:rPr>
          <w:rFonts w:ascii="Book Antiqua" w:hAnsi="Book Antiqua"/>
          <w:sz w:val="24"/>
          <w:szCs w:val="24"/>
          <w:lang w:val="en-US"/>
        </w:rPr>
        <w:t>terogeneous operative technique</w:t>
      </w:r>
      <w:r w:rsidRPr="00E14F98">
        <w:rPr>
          <w:rFonts w:ascii="Book Antiqua" w:hAnsi="Book Antiqua"/>
          <w:sz w:val="24"/>
          <w:szCs w:val="24"/>
          <w:lang w:val="en-US"/>
        </w:rPr>
        <w:t xml:space="preserve"> and varies in terms of chemotherapeutic agents, treatment devices and schedule. Such heterogeneity explains the great range in terms of efficacy outcomes: a</w:t>
      </w:r>
      <w:r w:rsidR="007316FA" w:rsidRPr="00E14F98">
        <w:rPr>
          <w:rFonts w:ascii="Book Antiqua" w:hAnsi="Book Antiqua"/>
          <w:sz w:val="24"/>
          <w:szCs w:val="24"/>
          <w:lang w:val="en-US"/>
        </w:rPr>
        <w:t xml:space="preserve"> recent systematic rev</w:t>
      </w:r>
      <w:r w:rsidR="000F3EA5" w:rsidRPr="00E14F98">
        <w:rPr>
          <w:rFonts w:ascii="Book Antiqua" w:hAnsi="Book Antiqua"/>
          <w:sz w:val="24"/>
          <w:szCs w:val="24"/>
          <w:lang w:val="en-US"/>
        </w:rPr>
        <w:t>iew</w:t>
      </w:r>
      <w:r w:rsidR="007316FA" w:rsidRPr="00E14F98">
        <w:rPr>
          <w:rFonts w:ascii="Book Antiqua" w:hAnsi="Book Antiqua"/>
          <w:sz w:val="24"/>
          <w:szCs w:val="24"/>
          <w:lang w:val="en-US"/>
        </w:rPr>
        <w:t xml:space="preserve"> reported mean ove</w:t>
      </w:r>
      <w:r w:rsidR="008D7CA2" w:rsidRPr="00E14F98">
        <w:rPr>
          <w:rFonts w:ascii="Book Antiqua" w:hAnsi="Book Antiqua"/>
          <w:sz w:val="24"/>
          <w:szCs w:val="24"/>
          <w:lang w:val="en-US"/>
        </w:rPr>
        <w:t>rall survival</w:t>
      </w:r>
      <w:r w:rsidR="00BC425E" w:rsidRPr="00E14F98">
        <w:rPr>
          <w:rFonts w:ascii="Book Antiqua" w:hAnsi="Book Antiqua"/>
          <w:sz w:val="24"/>
          <w:szCs w:val="24"/>
          <w:lang w:val="en-US"/>
        </w:rPr>
        <w:t xml:space="preserve"> (OS)</w:t>
      </w:r>
      <w:r w:rsidR="008D7CA2" w:rsidRPr="00E14F98">
        <w:rPr>
          <w:rFonts w:ascii="Book Antiqua" w:hAnsi="Book Antiqua"/>
          <w:sz w:val="24"/>
          <w:szCs w:val="24"/>
          <w:lang w:val="en-US"/>
        </w:rPr>
        <w:t xml:space="preserve"> times of 3.422 up</w:t>
      </w:r>
      <w:r w:rsidR="007316FA" w:rsidRPr="00E14F98">
        <w:rPr>
          <w:rFonts w:ascii="Book Antiqua" w:hAnsi="Book Antiqua"/>
          <w:sz w:val="24"/>
          <w:szCs w:val="24"/>
          <w:lang w:val="en-US"/>
        </w:rPr>
        <w:t xml:space="preserve"> to </w:t>
      </w:r>
      <w:r w:rsidR="00362B42" w:rsidRPr="00E14F98">
        <w:rPr>
          <w:rFonts w:ascii="Book Antiqua" w:hAnsi="Book Antiqua"/>
          <w:sz w:val="24"/>
          <w:szCs w:val="24"/>
          <w:lang w:val="en-US"/>
        </w:rPr>
        <w:t>more than 40 mo</w:t>
      </w:r>
      <w:r w:rsidR="00BC425E" w:rsidRPr="00E14F98">
        <w:rPr>
          <w:rFonts w:ascii="Book Antiqua" w:hAnsi="Book Antiqua"/>
          <w:sz w:val="24"/>
          <w:szCs w:val="24"/>
          <w:lang w:val="en-US"/>
        </w:rPr>
        <w:t xml:space="preserve">, with a median of 16.5 </w:t>
      </w:r>
      <w:proofErr w:type="gramStart"/>
      <w:r w:rsidR="00BC425E" w:rsidRPr="00E14F98">
        <w:rPr>
          <w:rFonts w:ascii="Book Antiqua" w:hAnsi="Book Antiqua"/>
          <w:sz w:val="24"/>
          <w:szCs w:val="24"/>
          <w:lang w:val="en-US"/>
        </w:rPr>
        <w:t>mo</w:t>
      </w:r>
      <w:r w:rsidR="002D575D" w:rsidRPr="00E14F98">
        <w:rPr>
          <w:rFonts w:ascii="Book Antiqua" w:hAnsi="Book Antiqua"/>
          <w:sz w:val="24"/>
          <w:szCs w:val="24"/>
          <w:vertAlign w:val="superscript"/>
          <w:lang w:val="en-US"/>
        </w:rPr>
        <w:t>[</w:t>
      </w:r>
      <w:proofErr w:type="gramEnd"/>
      <w:r w:rsidR="002D575D" w:rsidRPr="00E14F98">
        <w:rPr>
          <w:rFonts w:ascii="Book Antiqua" w:hAnsi="Book Antiqua"/>
          <w:sz w:val="24"/>
          <w:szCs w:val="24"/>
          <w:vertAlign w:val="superscript"/>
          <w:lang w:val="en-US"/>
        </w:rPr>
        <w:t>5]</w:t>
      </w:r>
      <w:r w:rsidR="00362B42" w:rsidRPr="00E14F98">
        <w:rPr>
          <w:rFonts w:ascii="Book Antiqua" w:hAnsi="Book Antiqua"/>
          <w:sz w:val="24"/>
          <w:szCs w:val="24"/>
          <w:lang w:val="en-US"/>
        </w:rPr>
        <w:t xml:space="preserve">. </w:t>
      </w:r>
      <w:r w:rsidR="00BC425E" w:rsidRPr="00E14F98">
        <w:rPr>
          <w:rFonts w:ascii="Book Antiqua" w:hAnsi="Book Antiqua"/>
          <w:sz w:val="24"/>
          <w:szCs w:val="24"/>
          <w:lang w:val="en-US"/>
        </w:rPr>
        <w:t xml:space="preserve">The best outcomes in terms of OS reported so far are </w:t>
      </w:r>
      <w:r w:rsidR="007316FA" w:rsidRPr="00E14F98">
        <w:rPr>
          <w:rFonts w:ascii="Book Antiqua" w:hAnsi="Book Antiqua"/>
          <w:sz w:val="24"/>
          <w:szCs w:val="24"/>
          <w:lang w:val="en-US"/>
        </w:rPr>
        <w:t>48 mo</w:t>
      </w:r>
      <w:r w:rsidR="00BC425E" w:rsidRPr="00E14F98">
        <w:rPr>
          <w:rFonts w:ascii="Book Antiqua" w:hAnsi="Book Antiqua"/>
          <w:sz w:val="24"/>
          <w:szCs w:val="24"/>
          <w:lang w:val="en-US"/>
        </w:rPr>
        <w:t xml:space="preserve"> in a series published by the Barcelona </w:t>
      </w:r>
      <w:proofErr w:type="gramStart"/>
      <w:r w:rsidR="00BC425E" w:rsidRPr="00E14F98">
        <w:rPr>
          <w:rFonts w:ascii="Book Antiqua" w:hAnsi="Book Antiqua"/>
          <w:sz w:val="24"/>
          <w:szCs w:val="24"/>
          <w:lang w:val="en-US"/>
        </w:rPr>
        <w:t>group</w:t>
      </w:r>
      <w:r w:rsidR="00545AF6" w:rsidRPr="00E14F98">
        <w:rPr>
          <w:rFonts w:ascii="Book Antiqua" w:hAnsi="Book Antiqua"/>
          <w:sz w:val="24"/>
          <w:szCs w:val="24"/>
          <w:vertAlign w:val="superscript"/>
          <w:lang w:val="en-US"/>
        </w:rPr>
        <w:t>[</w:t>
      </w:r>
      <w:proofErr w:type="gramEnd"/>
      <w:r w:rsidR="00545AF6" w:rsidRPr="00E14F98">
        <w:rPr>
          <w:rFonts w:ascii="Book Antiqua" w:hAnsi="Book Antiqua"/>
          <w:sz w:val="24"/>
          <w:szCs w:val="24"/>
          <w:vertAlign w:val="superscript"/>
          <w:lang w:val="en-US"/>
        </w:rPr>
        <w:t>6]</w:t>
      </w:r>
      <w:r w:rsidR="007316FA" w:rsidRPr="00E14F98">
        <w:rPr>
          <w:rFonts w:ascii="Book Antiqua" w:hAnsi="Book Antiqua"/>
          <w:sz w:val="24"/>
          <w:szCs w:val="24"/>
          <w:lang w:val="en-US"/>
        </w:rPr>
        <w:t xml:space="preserve">. </w:t>
      </w:r>
    </w:p>
    <w:p w:rsidR="006C403D" w:rsidRPr="00E14F98" w:rsidRDefault="006C403D" w:rsidP="00E14F98">
      <w:pPr>
        <w:spacing w:after="0" w:line="360" w:lineRule="auto"/>
        <w:jc w:val="both"/>
        <w:rPr>
          <w:rFonts w:ascii="Book Antiqua" w:hAnsi="Book Antiqua"/>
          <w:sz w:val="24"/>
          <w:szCs w:val="24"/>
          <w:lang w:val="en-US"/>
        </w:rPr>
      </w:pPr>
    </w:p>
    <w:p w:rsidR="006C403D" w:rsidRPr="00E14F98" w:rsidRDefault="00A157D5" w:rsidP="00E14F98">
      <w:pPr>
        <w:spacing w:after="0" w:line="360" w:lineRule="auto"/>
        <w:jc w:val="both"/>
        <w:rPr>
          <w:rFonts w:ascii="Book Antiqua" w:hAnsi="Book Antiqua"/>
          <w:b/>
          <w:sz w:val="24"/>
          <w:szCs w:val="24"/>
          <w:lang w:val="en-US" w:eastAsia="zh-CN"/>
        </w:rPr>
      </w:pPr>
      <w:r>
        <w:rPr>
          <w:rFonts w:ascii="Book Antiqua" w:hAnsi="Book Antiqua"/>
          <w:b/>
          <w:sz w:val="24"/>
          <w:szCs w:val="24"/>
          <w:lang w:val="en-US"/>
        </w:rPr>
        <w:t>INDICATIONS</w:t>
      </w:r>
    </w:p>
    <w:p w:rsidR="00484B48" w:rsidRPr="00E14F98" w:rsidRDefault="00E62F9A"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 xml:space="preserve">Patients should present </w:t>
      </w:r>
      <w:r w:rsidR="00B02D11" w:rsidRPr="00E14F98">
        <w:rPr>
          <w:rFonts w:ascii="Book Antiqua" w:hAnsi="Book Antiqua"/>
          <w:sz w:val="24"/>
          <w:szCs w:val="24"/>
          <w:lang w:val="en-US"/>
        </w:rPr>
        <w:t>a relatively well preserved liver function, defined as</w:t>
      </w:r>
      <w:r w:rsidR="00320C25" w:rsidRPr="00E14F98">
        <w:rPr>
          <w:rFonts w:ascii="Book Antiqua" w:hAnsi="Book Antiqua"/>
          <w:sz w:val="24"/>
          <w:szCs w:val="24"/>
          <w:lang w:val="en-US"/>
        </w:rPr>
        <w:t xml:space="preserve"> Child–Pugh</w:t>
      </w:r>
      <w:r w:rsidR="00B02D11" w:rsidRPr="00E14F98">
        <w:rPr>
          <w:rFonts w:ascii="Book Antiqua" w:hAnsi="Book Antiqua"/>
          <w:sz w:val="24"/>
          <w:szCs w:val="24"/>
          <w:lang w:val="en-US"/>
        </w:rPr>
        <w:t xml:space="preserve"> (CP)</w:t>
      </w:r>
      <w:r w:rsidR="00320C25" w:rsidRPr="00E14F98">
        <w:rPr>
          <w:rFonts w:ascii="Book Antiqua" w:hAnsi="Book Antiqua"/>
          <w:sz w:val="24"/>
          <w:szCs w:val="24"/>
          <w:lang w:val="en-US"/>
        </w:rPr>
        <w:t xml:space="preserve"> ≤</w:t>
      </w:r>
      <w:r w:rsidRPr="00E14F98">
        <w:rPr>
          <w:rFonts w:ascii="Book Antiqua" w:hAnsi="Book Antiqua"/>
          <w:sz w:val="24"/>
          <w:szCs w:val="24"/>
          <w:lang w:val="en-US"/>
        </w:rPr>
        <w:t xml:space="preserve"> B7 </w:t>
      </w:r>
      <w:r w:rsidR="00B02D11" w:rsidRPr="00E14F98">
        <w:rPr>
          <w:rFonts w:ascii="Book Antiqua" w:hAnsi="Book Antiqua"/>
          <w:sz w:val="24"/>
          <w:szCs w:val="24"/>
          <w:lang w:val="en-US"/>
        </w:rPr>
        <w:t xml:space="preserve">stage </w:t>
      </w:r>
      <w:r w:rsidRPr="00E14F98">
        <w:rPr>
          <w:rFonts w:ascii="Book Antiqua" w:hAnsi="Book Antiqua"/>
          <w:sz w:val="24"/>
          <w:szCs w:val="24"/>
          <w:lang w:val="en-US"/>
        </w:rPr>
        <w:t xml:space="preserve">without ascites according to </w:t>
      </w:r>
      <w:r w:rsidR="00B02D11" w:rsidRPr="00E14F98">
        <w:rPr>
          <w:rFonts w:ascii="Book Antiqua" w:hAnsi="Book Antiqua"/>
          <w:sz w:val="24"/>
          <w:szCs w:val="24"/>
          <w:lang w:val="en-US"/>
        </w:rPr>
        <w:t>European Association for the Study of the Liver (</w:t>
      </w:r>
      <w:r w:rsidRPr="00E14F98">
        <w:rPr>
          <w:rFonts w:ascii="Book Antiqua" w:hAnsi="Book Antiqua"/>
          <w:sz w:val="24"/>
          <w:szCs w:val="24"/>
          <w:lang w:val="en-US"/>
        </w:rPr>
        <w:t>EASL</w:t>
      </w:r>
      <w:r w:rsidR="00B02D11" w:rsidRPr="00E14F98">
        <w:rPr>
          <w:rFonts w:ascii="Book Antiqua" w:hAnsi="Book Antiqua"/>
          <w:sz w:val="24"/>
          <w:szCs w:val="24"/>
          <w:lang w:val="en-US"/>
        </w:rPr>
        <w:t>)</w:t>
      </w:r>
      <w:r w:rsidRPr="00E14F98">
        <w:rPr>
          <w:rFonts w:ascii="Book Antiqua" w:hAnsi="Book Antiqua"/>
          <w:sz w:val="24"/>
          <w:szCs w:val="24"/>
          <w:lang w:val="en-US"/>
        </w:rPr>
        <w:t xml:space="preserve"> </w:t>
      </w:r>
      <w:proofErr w:type="gramStart"/>
      <w:r w:rsidRPr="00E14F98">
        <w:rPr>
          <w:rFonts w:ascii="Book Antiqua" w:hAnsi="Book Antiqua"/>
          <w:sz w:val="24"/>
          <w:szCs w:val="24"/>
          <w:lang w:val="en-US"/>
        </w:rPr>
        <w:t>guidelines</w:t>
      </w:r>
      <w:r w:rsidR="00B02D11" w:rsidRPr="00E14F98">
        <w:rPr>
          <w:rFonts w:ascii="Book Antiqua" w:hAnsi="Book Antiqua"/>
          <w:sz w:val="24"/>
          <w:szCs w:val="24"/>
          <w:vertAlign w:val="superscript"/>
          <w:lang w:val="en-US"/>
        </w:rPr>
        <w:t>[</w:t>
      </w:r>
      <w:proofErr w:type="gramEnd"/>
      <w:r w:rsidR="00B02D11" w:rsidRPr="00E14F98">
        <w:rPr>
          <w:rFonts w:ascii="Book Antiqua" w:hAnsi="Book Antiqua"/>
          <w:sz w:val="24"/>
          <w:szCs w:val="24"/>
          <w:vertAlign w:val="superscript"/>
          <w:lang w:val="en-US"/>
        </w:rPr>
        <w:t>2]</w:t>
      </w:r>
      <w:r w:rsidR="00B02D11" w:rsidRPr="00E14F98">
        <w:rPr>
          <w:rFonts w:ascii="Book Antiqua" w:hAnsi="Book Antiqua"/>
          <w:sz w:val="24"/>
          <w:szCs w:val="24"/>
          <w:lang w:val="en-US"/>
        </w:rPr>
        <w:t xml:space="preserve"> or </w:t>
      </w:r>
      <w:r w:rsidRPr="00E14F98">
        <w:rPr>
          <w:rFonts w:ascii="Book Antiqua" w:hAnsi="Book Antiqua"/>
          <w:sz w:val="24"/>
          <w:szCs w:val="24"/>
          <w:lang w:val="en-US"/>
        </w:rPr>
        <w:t xml:space="preserve">only CP A according to the more conservative </w:t>
      </w:r>
      <w:r w:rsidR="00B02D11" w:rsidRPr="00E14F98">
        <w:rPr>
          <w:rFonts w:ascii="Book Antiqua" w:hAnsi="Book Antiqua"/>
          <w:sz w:val="24"/>
          <w:szCs w:val="24"/>
          <w:lang w:val="en-US"/>
        </w:rPr>
        <w:t>American Association for the Study of Liver Diseases (</w:t>
      </w:r>
      <w:r w:rsidRPr="00E14F98">
        <w:rPr>
          <w:rFonts w:ascii="Book Antiqua" w:hAnsi="Book Antiqua"/>
          <w:sz w:val="24"/>
          <w:szCs w:val="24"/>
          <w:lang w:val="en-US"/>
        </w:rPr>
        <w:t>AASLD</w:t>
      </w:r>
      <w:r w:rsidR="00B02D11" w:rsidRPr="00E14F98">
        <w:rPr>
          <w:rFonts w:ascii="Book Antiqua" w:hAnsi="Book Antiqua"/>
          <w:sz w:val="24"/>
          <w:szCs w:val="24"/>
          <w:lang w:val="en-US"/>
        </w:rPr>
        <w:t>)</w:t>
      </w:r>
      <w:r w:rsidRPr="00E14F98">
        <w:rPr>
          <w:rFonts w:ascii="Book Antiqua" w:hAnsi="Book Antiqua"/>
          <w:sz w:val="24"/>
          <w:szCs w:val="24"/>
          <w:lang w:val="en-US"/>
        </w:rPr>
        <w:t xml:space="preserve"> guidelines</w:t>
      </w:r>
      <w:r w:rsidR="00B02D11" w:rsidRPr="00E14F98">
        <w:rPr>
          <w:rFonts w:ascii="Book Antiqua" w:hAnsi="Book Antiqua"/>
          <w:sz w:val="24"/>
          <w:szCs w:val="24"/>
          <w:vertAlign w:val="superscript"/>
          <w:lang w:val="en-US"/>
        </w:rPr>
        <w:t>[1]</w:t>
      </w:r>
      <w:r w:rsidRPr="00E14F98">
        <w:rPr>
          <w:rFonts w:ascii="Book Antiqua" w:hAnsi="Book Antiqua"/>
          <w:sz w:val="24"/>
          <w:szCs w:val="24"/>
          <w:lang w:val="en-US"/>
        </w:rPr>
        <w:t>.</w:t>
      </w:r>
      <w:r w:rsidR="00EE6F54" w:rsidRPr="00E14F98">
        <w:rPr>
          <w:rFonts w:ascii="Book Antiqua" w:hAnsi="Book Antiqua"/>
          <w:sz w:val="24"/>
          <w:szCs w:val="24"/>
          <w:lang w:val="en-US"/>
        </w:rPr>
        <w:t xml:space="preserve"> </w:t>
      </w:r>
    </w:p>
    <w:p w:rsidR="00484B48" w:rsidRPr="00E14F98" w:rsidRDefault="00484B48" w:rsidP="00A157D5">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Absolute contraindication</w:t>
      </w:r>
      <w:r w:rsidR="0032339B" w:rsidRPr="00E14F98">
        <w:rPr>
          <w:rFonts w:ascii="Book Antiqua" w:hAnsi="Book Antiqua"/>
          <w:sz w:val="24"/>
          <w:szCs w:val="24"/>
          <w:lang w:val="en-US"/>
        </w:rPr>
        <w:t>s</w:t>
      </w:r>
      <w:r w:rsidRPr="00E14F98">
        <w:rPr>
          <w:rFonts w:ascii="Book Antiqua" w:hAnsi="Book Antiqua"/>
          <w:sz w:val="24"/>
          <w:szCs w:val="24"/>
          <w:lang w:val="en-US"/>
        </w:rPr>
        <w:t xml:space="preserve"> to TACE are generally related to decompensated cirrhosis or impaired portal blood </w:t>
      </w:r>
      <w:proofErr w:type="gramStart"/>
      <w:r w:rsidRPr="00E14F98">
        <w:rPr>
          <w:rFonts w:ascii="Book Antiqua" w:hAnsi="Book Antiqua"/>
          <w:sz w:val="24"/>
          <w:szCs w:val="24"/>
          <w:lang w:val="en-US"/>
        </w:rPr>
        <w:t>flow</w:t>
      </w:r>
      <w:r w:rsidR="00B1529A" w:rsidRPr="00E14F98">
        <w:rPr>
          <w:rFonts w:ascii="Book Antiqua" w:hAnsi="Book Antiqua"/>
          <w:sz w:val="24"/>
          <w:szCs w:val="24"/>
          <w:vertAlign w:val="superscript"/>
          <w:lang w:val="en-US"/>
        </w:rPr>
        <w:t>[</w:t>
      </w:r>
      <w:proofErr w:type="gramEnd"/>
      <w:r w:rsidR="00B1529A" w:rsidRPr="00E14F98">
        <w:rPr>
          <w:rFonts w:ascii="Book Antiqua" w:hAnsi="Book Antiqua"/>
          <w:sz w:val="24"/>
          <w:szCs w:val="24"/>
          <w:vertAlign w:val="superscript"/>
          <w:lang w:val="en-US"/>
        </w:rPr>
        <w:t>1,2]</w:t>
      </w:r>
      <w:r w:rsidRPr="00E14F98">
        <w:rPr>
          <w:rFonts w:ascii="Book Antiqua" w:hAnsi="Book Antiqua"/>
          <w:sz w:val="24"/>
          <w:szCs w:val="24"/>
          <w:lang w:val="en-US"/>
        </w:rPr>
        <w:t xml:space="preserve">. Other absolute contraindication, supported by the expert opinion, is represented by extensive tumors massively replacing both entire lobes, whereas a tumor size ≥ 10 cm, the bile-duct occlusion and untreated varices at high risk of bleeding constitute relative contraindication rather than </w:t>
      </w:r>
      <w:r w:rsidR="00334FD3" w:rsidRPr="00E14F98">
        <w:rPr>
          <w:rFonts w:ascii="Book Antiqua" w:hAnsi="Book Antiqua"/>
          <w:sz w:val="24"/>
          <w:szCs w:val="24"/>
          <w:lang w:val="en-US"/>
        </w:rPr>
        <w:t>absolute ones</w:t>
      </w:r>
      <w:r w:rsidR="00B1529A" w:rsidRPr="00E14F98">
        <w:rPr>
          <w:rFonts w:ascii="Book Antiqua" w:hAnsi="Book Antiqua"/>
          <w:sz w:val="24"/>
          <w:szCs w:val="24"/>
          <w:vertAlign w:val="superscript"/>
          <w:lang w:val="en-US"/>
        </w:rPr>
        <w:t>[5]</w:t>
      </w:r>
      <w:r w:rsidR="00334FD3" w:rsidRPr="00E14F98">
        <w:rPr>
          <w:rFonts w:ascii="Book Antiqua" w:hAnsi="Book Antiqua"/>
          <w:sz w:val="24"/>
          <w:szCs w:val="24"/>
          <w:lang w:val="en-US"/>
        </w:rPr>
        <w:t xml:space="preserve">. </w:t>
      </w:r>
      <w:r w:rsidRPr="00E14F98">
        <w:rPr>
          <w:rFonts w:ascii="Book Antiqua" w:hAnsi="Book Antiqua"/>
          <w:sz w:val="24"/>
          <w:szCs w:val="24"/>
          <w:lang w:val="en-US"/>
        </w:rPr>
        <w:t xml:space="preserve">Main absolute and </w:t>
      </w:r>
      <w:r w:rsidR="0086510C" w:rsidRPr="00E14F98">
        <w:rPr>
          <w:rFonts w:ascii="Book Antiqua" w:hAnsi="Book Antiqua"/>
          <w:sz w:val="24"/>
          <w:szCs w:val="24"/>
          <w:lang w:val="en-US"/>
        </w:rPr>
        <w:t xml:space="preserve">relative </w:t>
      </w:r>
      <w:r w:rsidRPr="00E14F98">
        <w:rPr>
          <w:rFonts w:ascii="Book Antiqua" w:hAnsi="Book Antiqua"/>
          <w:sz w:val="24"/>
          <w:szCs w:val="24"/>
          <w:lang w:val="en-US"/>
        </w:rPr>
        <w:t>contraindication</w:t>
      </w:r>
      <w:r w:rsidR="0086510C" w:rsidRPr="00E14F98">
        <w:rPr>
          <w:rFonts w:ascii="Book Antiqua" w:hAnsi="Book Antiqua"/>
          <w:sz w:val="24"/>
          <w:szCs w:val="24"/>
          <w:lang w:val="en-US"/>
        </w:rPr>
        <w:t>s</w:t>
      </w:r>
      <w:r w:rsidRPr="00E14F98">
        <w:rPr>
          <w:rFonts w:ascii="Book Antiqua" w:hAnsi="Book Antiqua"/>
          <w:sz w:val="24"/>
          <w:szCs w:val="24"/>
          <w:lang w:val="en-US"/>
        </w:rPr>
        <w:t xml:space="preserve"> to TACE are reported in </w:t>
      </w:r>
      <w:r w:rsidR="00A157D5">
        <w:rPr>
          <w:rFonts w:ascii="Book Antiqua" w:hAnsi="Book Antiqua" w:hint="eastAsia"/>
          <w:sz w:val="24"/>
          <w:szCs w:val="24"/>
          <w:lang w:val="en-US" w:eastAsia="zh-CN"/>
        </w:rPr>
        <w:t>T</w:t>
      </w:r>
      <w:r w:rsidRPr="00E14F98">
        <w:rPr>
          <w:rFonts w:ascii="Book Antiqua" w:hAnsi="Book Antiqua"/>
          <w:sz w:val="24"/>
          <w:szCs w:val="24"/>
          <w:lang w:val="en-US"/>
        </w:rPr>
        <w:t xml:space="preserve">able 1. </w:t>
      </w:r>
    </w:p>
    <w:p w:rsidR="00EE6F54" w:rsidRPr="00E14F98" w:rsidRDefault="00EE6F54" w:rsidP="00A157D5">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Although the adverse events associated with TACE are generally transient and </w:t>
      </w:r>
      <w:r w:rsidR="00615105" w:rsidRPr="00E14F98">
        <w:rPr>
          <w:rFonts w:ascii="Book Antiqua" w:hAnsi="Book Antiqua"/>
          <w:sz w:val="24"/>
          <w:szCs w:val="24"/>
          <w:lang w:val="en-US"/>
        </w:rPr>
        <w:t xml:space="preserve">easily </w:t>
      </w:r>
      <w:r w:rsidRPr="00E14F98">
        <w:rPr>
          <w:rFonts w:ascii="Book Antiqua" w:hAnsi="Book Antiqua"/>
          <w:sz w:val="24"/>
          <w:szCs w:val="24"/>
          <w:lang w:val="en-US"/>
        </w:rPr>
        <w:t>manageable, they are very common with 35%</w:t>
      </w:r>
      <w:r w:rsidR="00615105" w:rsidRPr="00E14F98">
        <w:rPr>
          <w:rFonts w:ascii="Book Antiqua" w:hAnsi="Book Antiqua"/>
          <w:sz w:val="24"/>
          <w:szCs w:val="24"/>
          <w:vertAlign w:val="superscript"/>
          <w:lang w:val="en-US"/>
        </w:rPr>
        <w:t>[7]</w:t>
      </w:r>
      <w:r w:rsidRPr="00E14F98">
        <w:rPr>
          <w:rFonts w:ascii="Book Antiqua" w:hAnsi="Book Antiqua"/>
          <w:sz w:val="24"/>
          <w:szCs w:val="24"/>
          <w:lang w:val="en-US"/>
        </w:rPr>
        <w:t xml:space="preserve"> to 100%</w:t>
      </w:r>
      <w:r w:rsidR="00615105" w:rsidRPr="00E14F98">
        <w:rPr>
          <w:rFonts w:ascii="Book Antiqua" w:hAnsi="Book Antiqua"/>
          <w:sz w:val="24"/>
          <w:szCs w:val="24"/>
          <w:vertAlign w:val="superscript"/>
          <w:lang w:val="en-US"/>
        </w:rPr>
        <w:t>[8]</w:t>
      </w:r>
      <w:r w:rsidRPr="00E14F98">
        <w:rPr>
          <w:rFonts w:ascii="Book Antiqua" w:hAnsi="Book Antiqua"/>
          <w:sz w:val="24"/>
          <w:szCs w:val="24"/>
          <w:lang w:val="en-US"/>
        </w:rPr>
        <w:t xml:space="preserve"> of treated patients experiencing post-embolization syndrome (</w:t>
      </w:r>
      <w:r w:rsidR="0073133E" w:rsidRPr="00E14F98">
        <w:rPr>
          <w:rFonts w:ascii="Book Antiqua" w:hAnsi="Book Antiqua"/>
          <w:sz w:val="24"/>
          <w:szCs w:val="24"/>
          <w:lang w:val="en-US"/>
        </w:rPr>
        <w:t xml:space="preserve">defined by the occurrence of </w:t>
      </w:r>
      <w:r w:rsidRPr="00E14F98">
        <w:rPr>
          <w:rFonts w:ascii="Book Antiqua" w:hAnsi="Book Antiqua"/>
          <w:sz w:val="24"/>
          <w:szCs w:val="24"/>
          <w:lang w:val="en-US"/>
        </w:rPr>
        <w:t xml:space="preserve">abdominal pain, fever and </w:t>
      </w:r>
      <w:r w:rsidRPr="00E14F98">
        <w:rPr>
          <w:rFonts w:ascii="Book Antiqua" w:hAnsi="Book Antiqua"/>
          <w:sz w:val="24"/>
          <w:szCs w:val="24"/>
          <w:lang w:val="en-US"/>
        </w:rPr>
        <w:lastRenderedPageBreak/>
        <w:t xml:space="preserve">nausea). Treatment-related deaths are expected in less than 2% of cases if proper selection of candidates is in </w:t>
      </w:r>
      <w:proofErr w:type="gramStart"/>
      <w:r w:rsidRPr="00E14F98">
        <w:rPr>
          <w:rFonts w:ascii="Book Antiqua" w:hAnsi="Book Antiqua"/>
          <w:sz w:val="24"/>
          <w:szCs w:val="24"/>
          <w:lang w:val="en-US"/>
        </w:rPr>
        <w:t>place</w:t>
      </w:r>
      <w:r w:rsidR="00DE2769" w:rsidRPr="00E14F98">
        <w:rPr>
          <w:rFonts w:ascii="Book Antiqua" w:hAnsi="Book Antiqua"/>
          <w:sz w:val="24"/>
          <w:szCs w:val="24"/>
          <w:vertAlign w:val="superscript"/>
          <w:lang w:val="en-US"/>
        </w:rPr>
        <w:t>[</w:t>
      </w:r>
      <w:proofErr w:type="gramEnd"/>
      <w:r w:rsidR="00DE2769" w:rsidRPr="00E14F98">
        <w:rPr>
          <w:rFonts w:ascii="Book Antiqua" w:hAnsi="Book Antiqua"/>
          <w:sz w:val="24"/>
          <w:szCs w:val="24"/>
          <w:vertAlign w:val="superscript"/>
          <w:lang w:val="en-US"/>
        </w:rPr>
        <w:t>9]</w:t>
      </w:r>
      <w:r w:rsidRPr="00E14F98">
        <w:rPr>
          <w:rFonts w:ascii="Book Antiqua" w:hAnsi="Book Antiqua"/>
          <w:sz w:val="24"/>
          <w:szCs w:val="24"/>
          <w:lang w:val="en-US"/>
        </w:rPr>
        <w:t>.</w:t>
      </w:r>
      <w:r w:rsidR="00BC58F7" w:rsidRPr="00E14F98">
        <w:rPr>
          <w:rFonts w:ascii="Book Antiqua" w:hAnsi="Book Antiqua"/>
          <w:sz w:val="24"/>
          <w:szCs w:val="24"/>
          <w:lang w:val="en-US"/>
        </w:rPr>
        <w:t xml:space="preserve"> </w:t>
      </w:r>
    </w:p>
    <w:p w:rsidR="00484B48" w:rsidRPr="00E14F98" w:rsidRDefault="009F0463" w:rsidP="00A157D5">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Therefore, TACE appears as a safe treatment in selected candidates, as defined by current guidelines.</w:t>
      </w:r>
    </w:p>
    <w:p w:rsidR="00484B48" w:rsidRPr="00E14F98" w:rsidRDefault="00484B48" w:rsidP="00E14F98">
      <w:pPr>
        <w:spacing w:after="0" w:line="360" w:lineRule="auto"/>
        <w:jc w:val="both"/>
        <w:rPr>
          <w:rFonts w:ascii="Book Antiqua" w:hAnsi="Book Antiqua"/>
          <w:sz w:val="24"/>
          <w:szCs w:val="24"/>
          <w:lang w:val="en-US"/>
        </w:rPr>
      </w:pPr>
    </w:p>
    <w:p w:rsidR="008703C6" w:rsidRPr="00E14F98" w:rsidRDefault="00A157D5" w:rsidP="00E14F98">
      <w:pPr>
        <w:spacing w:after="0" w:line="360" w:lineRule="auto"/>
        <w:jc w:val="both"/>
        <w:rPr>
          <w:rFonts w:ascii="Book Antiqua" w:hAnsi="Book Antiqua"/>
          <w:sz w:val="24"/>
          <w:szCs w:val="24"/>
          <w:lang w:val="en-US" w:eastAsia="zh-CN"/>
        </w:rPr>
      </w:pPr>
      <w:r w:rsidRPr="00E14F98">
        <w:rPr>
          <w:rFonts w:ascii="Book Antiqua" w:hAnsi="Book Antiqua"/>
          <w:b/>
          <w:sz w:val="24"/>
          <w:szCs w:val="24"/>
          <w:lang w:val="en-US"/>
        </w:rPr>
        <w:t>TREATMENT SCHEDULE</w:t>
      </w:r>
    </w:p>
    <w:p w:rsidR="00453E64" w:rsidRPr="00E14F98" w:rsidRDefault="00EC59F6"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Current evide</w:t>
      </w:r>
      <w:r w:rsidR="006F58FB" w:rsidRPr="00E14F98">
        <w:rPr>
          <w:rFonts w:ascii="Book Antiqua" w:hAnsi="Book Antiqua"/>
          <w:sz w:val="24"/>
          <w:szCs w:val="24"/>
          <w:lang w:val="en-US"/>
        </w:rPr>
        <w:t xml:space="preserve">nce suggests that one cycle of TACE may not be </w:t>
      </w:r>
      <w:r w:rsidRPr="00E14F98">
        <w:rPr>
          <w:rFonts w:ascii="Book Antiqua" w:hAnsi="Book Antiqua"/>
          <w:sz w:val="24"/>
          <w:szCs w:val="24"/>
          <w:lang w:val="en-US"/>
        </w:rPr>
        <w:t>sufficient for effective treatment of intermed</w:t>
      </w:r>
      <w:r w:rsidR="006F58FB" w:rsidRPr="00E14F98">
        <w:rPr>
          <w:rFonts w:ascii="Book Antiqua" w:hAnsi="Book Antiqua"/>
          <w:sz w:val="24"/>
          <w:szCs w:val="24"/>
          <w:lang w:val="en-US"/>
        </w:rPr>
        <w:t>iate-stage HCC.</w:t>
      </w:r>
      <w:r w:rsidRPr="00E14F98">
        <w:rPr>
          <w:rFonts w:ascii="Book Antiqua" w:hAnsi="Book Antiqua"/>
          <w:sz w:val="24"/>
          <w:szCs w:val="24"/>
          <w:lang w:val="en-US"/>
        </w:rPr>
        <w:t xml:space="preserve"> </w:t>
      </w:r>
      <w:r w:rsidR="003B3185" w:rsidRPr="00E14F98">
        <w:rPr>
          <w:rFonts w:ascii="Book Antiqua" w:hAnsi="Book Antiqua"/>
          <w:sz w:val="24"/>
          <w:szCs w:val="24"/>
          <w:lang w:val="en-US"/>
        </w:rPr>
        <w:t>On the other hand, there is evidence suggesting</w:t>
      </w:r>
      <w:r w:rsidR="006F58FB" w:rsidRPr="00E14F98">
        <w:rPr>
          <w:rFonts w:ascii="Book Antiqua" w:hAnsi="Book Antiqua"/>
          <w:sz w:val="24"/>
          <w:szCs w:val="24"/>
          <w:lang w:val="en-US"/>
        </w:rPr>
        <w:t xml:space="preserve"> that r</w:t>
      </w:r>
      <w:r w:rsidR="009F0B81" w:rsidRPr="00E14F98">
        <w:rPr>
          <w:rFonts w:ascii="Book Antiqua" w:hAnsi="Book Antiqua"/>
          <w:sz w:val="24"/>
          <w:szCs w:val="24"/>
          <w:lang w:val="en-US"/>
        </w:rPr>
        <w:t>epeating TACE prolongs survival;</w:t>
      </w:r>
      <w:r w:rsidRPr="00E14F98">
        <w:rPr>
          <w:rFonts w:ascii="Book Antiqua" w:hAnsi="Book Antiqua"/>
          <w:sz w:val="24"/>
          <w:szCs w:val="24"/>
          <w:lang w:val="en-US"/>
        </w:rPr>
        <w:t xml:space="preserve"> </w:t>
      </w:r>
      <w:r w:rsidR="00CE2ED7" w:rsidRPr="00E14F98">
        <w:rPr>
          <w:rFonts w:ascii="Book Antiqua" w:hAnsi="Book Antiqua"/>
          <w:sz w:val="24"/>
          <w:szCs w:val="24"/>
          <w:lang w:val="en-US"/>
        </w:rPr>
        <w:t>however, current</w:t>
      </w:r>
      <w:r w:rsidR="006F58FB" w:rsidRPr="00E14F98">
        <w:rPr>
          <w:rFonts w:ascii="Book Antiqua" w:hAnsi="Book Antiqua"/>
          <w:sz w:val="24"/>
          <w:szCs w:val="24"/>
          <w:lang w:val="en-US"/>
        </w:rPr>
        <w:t xml:space="preserve"> guidelines </w:t>
      </w:r>
      <w:r w:rsidRPr="00E14F98">
        <w:rPr>
          <w:rFonts w:ascii="Book Antiqua" w:hAnsi="Book Antiqua"/>
          <w:sz w:val="24"/>
          <w:szCs w:val="24"/>
          <w:lang w:val="en-US"/>
        </w:rPr>
        <w:t>do not spec</w:t>
      </w:r>
      <w:r w:rsidR="006F58FB" w:rsidRPr="00E14F98">
        <w:rPr>
          <w:rFonts w:ascii="Book Antiqua" w:hAnsi="Book Antiqua"/>
          <w:sz w:val="24"/>
          <w:szCs w:val="24"/>
          <w:lang w:val="en-US"/>
        </w:rPr>
        <w:t xml:space="preserve">ify the criteria for </w:t>
      </w:r>
      <w:r w:rsidR="00072B18" w:rsidRPr="00E14F98">
        <w:rPr>
          <w:rFonts w:ascii="Book Antiqua" w:hAnsi="Book Antiqua"/>
          <w:sz w:val="24"/>
          <w:szCs w:val="24"/>
          <w:lang w:val="en-US"/>
        </w:rPr>
        <w:t>treatment repetition.</w:t>
      </w:r>
      <w:r w:rsidR="006F58FB" w:rsidRPr="00E14F98">
        <w:rPr>
          <w:rFonts w:ascii="Book Antiqua" w:hAnsi="Book Antiqua"/>
          <w:sz w:val="24"/>
          <w:szCs w:val="24"/>
          <w:lang w:val="en-US"/>
        </w:rPr>
        <w:t xml:space="preserve"> </w:t>
      </w:r>
      <w:r w:rsidR="00D960BC" w:rsidRPr="00E14F98">
        <w:rPr>
          <w:rFonts w:ascii="Book Antiqua" w:hAnsi="Book Antiqua"/>
          <w:sz w:val="24"/>
          <w:szCs w:val="24"/>
          <w:lang w:val="en-US"/>
        </w:rPr>
        <w:t>In particular, i</w:t>
      </w:r>
      <w:r w:rsidR="00EC71C8" w:rsidRPr="00E14F98">
        <w:rPr>
          <w:rFonts w:ascii="Book Antiqua" w:hAnsi="Book Antiqua"/>
          <w:sz w:val="24"/>
          <w:szCs w:val="24"/>
          <w:lang w:val="en-US"/>
        </w:rPr>
        <w:t>t should be noted that in bilobar t</w:t>
      </w:r>
      <w:r w:rsidR="00A010B7" w:rsidRPr="00E14F98">
        <w:rPr>
          <w:rFonts w:ascii="Book Antiqua" w:hAnsi="Book Antiqua"/>
          <w:sz w:val="24"/>
          <w:szCs w:val="24"/>
          <w:lang w:val="en-US"/>
        </w:rPr>
        <w:t>umors, the two hepatic lobes usually have to</w:t>
      </w:r>
      <w:r w:rsidR="00EC71C8" w:rsidRPr="00E14F98">
        <w:rPr>
          <w:rFonts w:ascii="Book Antiqua" w:hAnsi="Book Antiqua"/>
          <w:sz w:val="24"/>
          <w:szCs w:val="24"/>
          <w:lang w:val="en-US"/>
        </w:rPr>
        <w:t xml:space="preserve"> be treated in separate treatment sessions 2</w:t>
      </w:r>
      <w:r w:rsidR="00450758">
        <w:rPr>
          <w:rFonts w:ascii="Book Antiqua" w:hAnsi="Book Antiqua" w:hint="eastAsia"/>
          <w:sz w:val="24"/>
          <w:szCs w:val="24"/>
          <w:lang w:val="en-US" w:eastAsia="zh-CN"/>
        </w:rPr>
        <w:t>-</w:t>
      </w:r>
      <w:r w:rsidR="00450758">
        <w:rPr>
          <w:rFonts w:ascii="Book Antiqua" w:hAnsi="Book Antiqua"/>
          <w:sz w:val="24"/>
          <w:szCs w:val="24"/>
          <w:lang w:val="en-US"/>
        </w:rPr>
        <w:t>4 wk</w:t>
      </w:r>
      <w:r w:rsidR="00EC71C8" w:rsidRPr="00E14F98">
        <w:rPr>
          <w:rFonts w:ascii="Book Antiqua" w:hAnsi="Book Antiqua"/>
          <w:sz w:val="24"/>
          <w:szCs w:val="24"/>
          <w:lang w:val="en-US"/>
        </w:rPr>
        <w:t xml:space="preserve"> apart. </w:t>
      </w:r>
    </w:p>
    <w:p w:rsidR="006A38D2" w:rsidRPr="00E14F98" w:rsidRDefault="006F58FB" w:rsidP="00450758">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There </w:t>
      </w:r>
      <w:r w:rsidR="00EC59F6" w:rsidRPr="00E14F98">
        <w:rPr>
          <w:rFonts w:ascii="Book Antiqua" w:hAnsi="Book Antiqua"/>
          <w:sz w:val="24"/>
          <w:szCs w:val="24"/>
          <w:lang w:val="en-US"/>
        </w:rPr>
        <w:t xml:space="preserve">are no solid </w:t>
      </w:r>
      <w:r w:rsidRPr="00E14F98">
        <w:rPr>
          <w:rFonts w:ascii="Book Antiqua" w:hAnsi="Book Antiqua"/>
          <w:sz w:val="24"/>
          <w:szCs w:val="24"/>
          <w:lang w:val="en-US"/>
        </w:rPr>
        <w:t xml:space="preserve">data to suggest that </w:t>
      </w:r>
      <w:r w:rsidR="00B94CD9" w:rsidRPr="00E14F98">
        <w:rPr>
          <w:rFonts w:ascii="Book Antiqua" w:hAnsi="Book Antiqua"/>
          <w:sz w:val="24"/>
          <w:szCs w:val="24"/>
          <w:lang w:val="en-US"/>
        </w:rPr>
        <w:t>“</w:t>
      </w:r>
      <w:r w:rsidRPr="00E14F98">
        <w:rPr>
          <w:rFonts w:ascii="Book Antiqua" w:hAnsi="Book Antiqua"/>
          <w:sz w:val="24"/>
          <w:szCs w:val="24"/>
          <w:lang w:val="en-US"/>
        </w:rPr>
        <w:t>on-demand</w:t>
      </w:r>
      <w:r w:rsidR="00B94CD9" w:rsidRPr="00E14F98">
        <w:rPr>
          <w:rFonts w:ascii="Book Antiqua" w:hAnsi="Book Antiqua"/>
          <w:sz w:val="24"/>
          <w:szCs w:val="24"/>
          <w:lang w:val="en-US"/>
        </w:rPr>
        <w:t>”</w:t>
      </w:r>
      <w:r w:rsidRPr="00E14F98">
        <w:rPr>
          <w:rFonts w:ascii="Book Antiqua" w:hAnsi="Book Antiqua"/>
          <w:sz w:val="24"/>
          <w:szCs w:val="24"/>
          <w:lang w:val="en-US"/>
        </w:rPr>
        <w:t xml:space="preserve"> TACE</w:t>
      </w:r>
      <w:r w:rsidR="00B94CD9" w:rsidRPr="00E14F98">
        <w:rPr>
          <w:rFonts w:ascii="Book Antiqua" w:hAnsi="Book Antiqua"/>
          <w:sz w:val="24"/>
          <w:szCs w:val="24"/>
          <w:lang w:val="en-US"/>
        </w:rPr>
        <w:t xml:space="preserve"> (</w:t>
      </w:r>
      <w:r w:rsidR="00B94CD9" w:rsidRPr="00450758">
        <w:rPr>
          <w:rFonts w:ascii="Book Antiqua" w:hAnsi="Book Antiqua"/>
          <w:i/>
          <w:sz w:val="24"/>
          <w:szCs w:val="24"/>
          <w:lang w:val="en-US"/>
        </w:rPr>
        <w:t>i.e.</w:t>
      </w:r>
      <w:r w:rsidR="00450758">
        <w:rPr>
          <w:rFonts w:ascii="Book Antiqua" w:hAnsi="Book Antiqua" w:hint="eastAsia"/>
          <w:sz w:val="24"/>
          <w:szCs w:val="24"/>
          <w:lang w:val="en-US" w:eastAsia="zh-CN"/>
        </w:rPr>
        <w:t>,</w:t>
      </w:r>
      <w:r w:rsidR="00B94CD9" w:rsidRPr="00E14F98">
        <w:rPr>
          <w:rFonts w:ascii="Book Antiqua" w:hAnsi="Book Antiqua"/>
          <w:sz w:val="24"/>
          <w:szCs w:val="24"/>
          <w:lang w:val="en-US"/>
        </w:rPr>
        <w:t xml:space="preserve"> number of sessions on the basis of tumor response after each TACE cycle)</w:t>
      </w:r>
      <w:r w:rsidRPr="00E14F98">
        <w:rPr>
          <w:rFonts w:ascii="Book Antiqua" w:hAnsi="Book Antiqua"/>
          <w:sz w:val="24"/>
          <w:szCs w:val="24"/>
          <w:lang w:val="en-US"/>
        </w:rPr>
        <w:t xml:space="preserve"> is more or less effective than scheduled </w:t>
      </w:r>
      <w:r w:rsidR="00EC59F6" w:rsidRPr="00E14F98">
        <w:rPr>
          <w:rFonts w:ascii="Book Antiqua" w:hAnsi="Book Antiqua"/>
          <w:sz w:val="24"/>
          <w:szCs w:val="24"/>
          <w:lang w:val="en-US"/>
        </w:rPr>
        <w:t>TACE</w:t>
      </w:r>
      <w:r w:rsidR="00B94CD9" w:rsidRPr="00E14F98">
        <w:rPr>
          <w:rFonts w:ascii="Book Antiqua" w:hAnsi="Book Antiqua"/>
          <w:sz w:val="24"/>
          <w:szCs w:val="24"/>
          <w:lang w:val="en-US"/>
        </w:rPr>
        <w:t xml:space="preserve"> (pre-defined number of sessions regardless of </w:t>
      </w:r>
      <w:r w:rsidR="003F1E83" w:rsidRPr="00E14F98">
        <w:rPr>
          <w:rFonts w:ascii="Book Antiqua" w:hAnsi="Book Antiqua"/>
          <w:sz w:val="24"/>
          <w:szCs w:val="24"/>
          <w:lang w:val="en-US"/>
        </w:rPr>
        <w:t>“</w:t>
      </w:r>
      <w:r w:rsidR="00B94CD9" w:rsidRPr="00E14F98">
        <w:rPr>
          <w:rFonts w:ascii="Book Antiqua" w:hAnsi="Book Antiqua"/>
          <w:sz w:val="24"/>
          <w:szCs w:val="24"/>
          <w:lang w:val="en-US"/>
        </w:rPr>
        <w:t>at interim</w:t>
      </w:r>
      <w:r w:rsidR="003F1E83" w:rsidRPr="00E14F98">
        <w:rPr>
          <w:rFonts w:ascii="Book Antiqua" w:hAnsi="Book Antiqua"/>
          <w:sz w:val="24"/>
          <w:szCs w:val="24"/>
          <w:lang w:val="en-US"/>
        </w:rPr>
        <w:t>”</w:t>
      </w:r>
      <w:r w:rsidR="00B94CD9" w:rsidRPr="00E14F98">
        <w:rPr>
          <w:rFonts w:ascii="Book Antiqua" w:hAnsi="Book Antiqua"/>
          <w:sz w:val="24"/>
          <w:szCs w:val="24"/>
          <w:lang w:val="en-US"/>
        </w:rPr>
        <w:t xml:space="preserve"> response or safety evaluations)</w:t>
      </w:r>
      <w:r w:rsidR="00EC59F6" w:rsidRPr="00E14F98">
        <w:rPr>
          <w:rFonts w:ascii="Book Antiqua" w:hAnsi="Book Antiqua"/>
          <w:sz w:val="24"/>
          <w:szCs w:val="24"/>
          <w:lang w:val="en-US"/>
        </w:rPr>
        <w:t xml:space="preserve"> </w:t>
      </w:r>
      <w:r w:rsidRPr="00E14F98">
        <w:rPr>
          <w:rFonts w:ascii="Book Antiqua" w:hAnsi="Book Antiqua"/>
          <w:sz w:val="24"/>
          <w:szCs w:val="24"/>
          <w:lang w:val="en-US"/>
        </w:rPr>
        <w:t xml:space="preserve">for improving patient survival. </w:t>
      </w:r>
      <w:r w:rsidR="00F341AE" w:rsidRPr="00E14F98">
        <w:rPr>
          <w:rFonts w:ascii="Book Antiqua" w:hAnsi="Book Antiqua"/>
          <w:sz w:val="24"/>
          <w:szCs w:val="24"/>
          <w:lang w:val="en-US"/>
        </w:rPr>
        <w:t xml:space="preserve">In fact, </w:t>
      </w:r>
      <w:r w:rsidR="0082051B" w:rsidRPr="00E14F98">
        <w:rPr>
          <w:rFonts w:ascii="Book Antiqua" w:hAnsi="Book Antiqua"/>
          <w:sz w:val="24"/>
          <w:szCs w:val="24"/>
          <w:lang w:val="en-US"/>
        </w:rPr>
        <w:t>although scheduled strategy is more</w:t>
      </w:r>
      <w:r w:rsidR="007E709E" w:rsidRPr="00E14F98">
        <w:rPr>
          <w:rFonts w:ascii="Book Antiqua" w:hAnsi="Book Antiqua"/>
          <w:sz w:val="24"/>
          <w:szCs w:val="24"/>
          <w:lang w:val="en-US"/>
        </w:rPr>
        <w:t xml:space="preserve"> </w:t>
      </w:r>
      <w:r w:rsidR="00DD3589" w:rsidRPr="00E14F98">
        <w:rPr>
          <w:rFonts w:ascii="Book Antiqua" w:hAnsi="Book Antiqua"/>
          <w:sz w:val="24"/>
          <w:szCs w:val="24"/>
          <w:lang w:val="en-US"/>
        </w:rPr>
        <w:t xml:space="preserve">concordant with the general principle of oncologic therapy, which uses </w:t>
      </w:r>
      <w:r w:rsidR="009A5F71" w:rsidRPr="00E14F98">
        <w:rPr>
          <w:rFonts w:ascii="Book Antiqua" w:hAnsi="Book Antiqua"/>
          <w:sz w:val="24"/>
          <w:szCs w:val="24"/>
          <w:lang w:val="en-US"/>
        </w:rPr>
        <w:t>standard chemotherapeutic sessions</w:t>
      </w:r>
      <w:r w:rsidR="00DD3589" w:rsidRPr="00E14F98">
        <w:rPr>
          <w:rFonts w:ascii="Book Antiqua" w:hAnsi="Book Antiqua"/>
          <w:sz w:val="24"/>
          <w:szCs w:val="24"/>
          <w:lang w:val="en-US"/>
        </w:rPr>
        <w:t xml:space="preserve"> based on the cell cycle</w:t>
      </w:r>
      <w:r w:rsidR="007E709E" w:rsidRPr="00E14F98">
        <w:rPr>
          <w:rFonts w:ascii="Book Antiqua" w:hAnsi="Book Antiqua"/>
          <w:sz w:val="24"/>
          <w:szCs w:val="24"/>
          <w:lang w:val="en-US"/>
        </w:rPr>
        <w:t>,</w:t>
      </w:r>
      <w:r w:rsidR="00EC59F6" w:rsidRPr="00E14F98">
        <w:rPr>
          <w:rFonts w:ascii="Book Antiqua" w:hAnsi="Book Antiqua"/>
          <w:sz w:val="24"/>
          <w:szCs w:val="24"/>
          <w:lang w:val="en-US"/>
        </w:rPr>
        <w:t xml:space="preserve"> </w:t>
      </w:r>
      <w:r w:rsidR="0082051B" w:rsidRPr="00E14F98">
        <w:rPr>
          <w:rFonts w:ascii="Book Antiqua" w:hAnsi="Book Antiqua"/>
          <w:sz w:val="24"/>
          <w:szCs w:val="24"/>
          <w:lang w:val="en-US"/>
        </w:rPr>
        <w:t xml:space="preserve">however, </w:t>
      </w:r>
      <w:r w:rsidR="00EC59F6" w:rsidRPr="00E14F98">
        <w:rPr>
          <w:rFonts w:ascii="Book Antiqua" w:hAnsi="Book Antiqua"/>
          <w:sz w:val="24"/>
          <w:szCs w:val="24"/>
          <w:lang w:val="en-US"/>
        </w:rPr>
        <w:t>there is evidence suggesti</w:t>
      </w:r>
      <w:r w:rsidR="00186C4A" w:rsidRPr="00E14F98">
        <w:rPr>
          <w:rFonts w:ascii="Book Antiqua" w:hAnsi="Book Antiqua"/>
          <w:sz w:val="24"/>
          <w:szCs w:val="24"/>
          <w:lang w:val="en-US"/>
        </w:rPr>
        <w:t xml:space="preserve">ng that the repetition of </w:t>
      </w:r>
      <w:r w:rsidRPr="00E14F98">
        <w:rPr>
          <w:rFonts w:ascii="Book Antiqua" w:hAnsi="Book Antiqua"/>
          <w:sz w:val="24"/>
          <w:szCs w:val="24"/>
          <w:lang w:val="en-US"/>
        </w:rPr>
        <w:t xml:space="preserve">TACE </w:t>
      </w:r>
      <w:r w:rsidR="00EC59F6" w:rsidRPr="00E14F98">
        <w:rPr>
          <w:rFonts w:ascii="Book Antiqua" w:hAnsi="Book Antiqua"/>
          <w:sz w:val="24"/>
          <w:szCs w:val="24"/>
          <w:lang w:val="en-US"/>
        </w:rPr>
        <w:t>with an aggressive schedule inc</w:t>
      </w:r>
      <w:r w:rsidR="00ED5AC0" w:rsidRPr="00E14F98">
        <w:rPr>
          <w:rFonts w:ascii="Book Antiqua" w:hAnsi="Book Antiqua"/>
          <w:sz w:val="24"/>
          <w:szCs w:val="24"/>
          <w:lang w:val="en-US"/>
        </w:rPr>
        <w:t xml:space="preserve">reases the incidence of adverse </w:t>
      </w:r>
      <w:proofErr w:type="gramStart"/>
      <w:r w:rsidR="00ED5AC0" w:rsidRPr="00E14F98">
        <w:rPr>
          <w:rFonts w:ascii="Book Antiqua" w:hAnsi="Book Antiqua"/>
          <w:sz w:val="24"/>
          <w:szCs w:val="24"/>
          <w:lang w:val="en-US"/>
        </w:rPr>
        <w:t>events</w:t>
      </w:r>
      <w:r w:rsidR="009A5F71" w:rsidRPr="00E14F98">
        <w:rPr>
          <w:rFonts w:ascii="Book Antiqua" w:hAnsi="Book Antiqua"/>
          <w:sz w:val="24"/>
          <w:szCs w:val="24"/>
          <w:vertAlign w:val="superscript"/>
          <w:lang w:val="en-US"/>
        </w:rPr>
        <w:t>[</w:t>
      </w:r>
      <w:proofErr w:type="gramEnd"/>
      <w:r w:rsidR="009A5F71" w:rsidRPr="00E14F98">
        <w:rPr>
          <w:rFonts w:ascii="Book Antiqua" w:hAnsi="Book Antiqua"/>
          <w:sz w:val="24"/>
          <w:szCs w:val="24"/>
          <w:vertAlign w:val="superscript"/>
          <w:lang w:val="en-US"/>
        </w:rPr>
        <w:t>10]</w:t>
      </w:r>
      <w:r w:rsidR="00ED5AC0" w:rsidRPr="00E14F98">
        <w:rPr>
          <w:rFonts w:ascii="Book Antiqua" w:hAnsi="Book Antiqua"/>
          <w:sz w:val="24"/>
          <w:szCs w:val="24"/>
          <w:lang w:val="en-US"/>
        </w:rPr>
        <w:t>.</w:t>
      </w:r>
      <w:r w:rsidR="00857E20" w:rsidRPr="00E14F98">
        <w:rPr>
          <w:rFonts w:ascii="Book Antiqua" w:hAnsi="Book Antiqua"/>
          <w:sz w:val="24"/>
          <w:szCs w:val="24"/>
          <w:lang w:val="en-US"/>
        </w:rPr>
        <w:t xml:space="preserve"> </w:t>
      </w:r>
      <w:r w:rsidR="00872CE3" w:rsidRPr="00E14F98">
        <w:rPr>
          <w:rFonts w:ascii="Book Antiqua" w:hAnsi="Book Antiqua"/>
          <w:sz w:val="24"/>
          <w:szCs w:val="24"/>
          <w:lang w:val="en-US"/>
        </w:rPr>
        <w:t xml:space="preserve">Therefore, the experts in the field </w:t>
      </w:r>
      <w:r w:rsidR="00F312D1" w:rsidRPr="00E14F98">
        <w:rPr>
          <w:rFonts w:ascii="Book Antiqua" w:hAnsi="Book Antiqua"/>
          <w:sz w:val="24"/>
          <w:szCs w:val="24"/>
          <w:lang w:val="en-US"/>
        </w:rPr>
        <w:t>propose</w:t>
      </w:r>
      <w:r w:rsidR="00EC59F6" w:rsidRPr="00E14F98">
        <w:rPr>
          <w:rFonts w:ascii="Book Antiqua" w:hAnsi="Book Antiqua"/>
          <w:sz w:val="24"/>
          <w:szCs w:val="24"/>
          <w:lang w:val="en-US"/>
        </w:rPr>
        <w:t xml:space="preserve"> </w:t>
      </w:r>
      <w:r w:rsidR="000A5E30" w:rsidRPr="00E14F98">
        <w:rPr>
          <w:rFonts w:ascii="Book Antiqua" w:hAnsi="Book Antiqua"/>
          <w:sz w:val="24"/>
          <w:szCs w:val="24"/>
          <w:lang w:val="en-US"/>
        </w:rPr>
        <w:t>the</w:t>
      </w:r>
      <w:r w:rsidR="00EC59F6" w:rsidRPr="00E14F98">
        <w:rPr>
          <w:rFonts w:ascii="Book Antiqua" w:hAnsi="Book Antiqua"/>
          <w:sz w:val="24"/>
          <w:szCs w:val="24"/>
          <w:lang w:val="en-US"/>
        </w:rPr>
        <w:t xml:space="preserve"> </w:t>
      </w:r>
      <w:r w:rsidR="003C655E" w:rsidRPr="00E14F98">
        <w:rPr>
          <w:rFonts w:ascii="Book Antiqua" w:hAnsi="Book Antiqua"/>
          <w:sz w:val="24"/>
          <w:szCs w:val="24"/>
          <w:lang w:val="en-US"/>
        </w:rPr>
        <w:t>on</w:t>
      </w:r>
      <w:r w:rsidR="002F1305" w:rsidRPr="00E14F98">
        <w:rPr>
          <w:rFonts w:ascii="Book Antiqua" w:hAnsi="Book Antiqua"/>
          <w:sz w:val="24"/>
          <w:szCs w:val="24"/>
          <w:lang w:val="en-US"/>
        </w:rPr>
        <w:t>-</w:t>
      </w:r>
      <w:r w:rsidR="003C655E" w:rsidRPr="00E14F98">
        <w:rPr>
          <w:rFonts w:ascii="Book Antiqua" w:hAnsi="Book Antiqua"/>
          <w:sz w:val="24"/>
          <w:szCs w:val="24"/>
          <w:lang w:val="en-US"/>
        </w:rPr>
        <w:t>demand repetition</w:t>
      </w:r>
      <w:r w:rsidR="00BF5EFF" w:rsidRPr="00E14F98">
        <w:rPr>
          <w:rFonts w:ascii="Book Antiqua" w:hAnsi="Book Antiqua"/>
          <w:sz w:val="24"/>
          <w:szCs w:val="24"/>
          <w:lang w:val="en-US"/>
        </w:rPr>
        <w:t xml:space="preserve"> </w:t>
      </w:r>
      <w:r w:rsidR="00EC59F6" w:rsidRPr="00E14F98">
        <w:rPr>
          <w:rFonts w:ascii="Book Antiqua" w:hAnsi="Book Antiqua"/>
          <w:sz w:val="24"/>
          <w:szCs w:val="24"/>
          <w:lang w:val="en-US"/>
        </w:rPr>
        <w:t>with longer intervals between treatments</w:t>
      </w:r>
      <w:r w:rsidR="00CD2192" w:rsidRPr="00E14F98">
        <w:rPr>
          <w:rFonts w:ascii="Book Antiqua" w:hAnsi="Book Antiqua"/>
          <w:sz w:val="24"/>
          <w:szCs w:val="24"/>
          <w:lang w:val="en-US"/>
        </w:rPr>
        <w:t xml:space="preserve">, rather than a regular predefined </w:t>
      </w:r>
      <w:proofErr w:type="gramStart"/>
      <w:r w:rsidR="00CD2192" w:rsidRPr="00E14F98">
        <w:rPr>
          <w:rFonts w:ascii="Book Antiqua" w:hAnsi="Book Antiqua"/>
          <w:sz w:val="24"/>
          <w:szCs w:val="24"/>
          <w:lang w:val="en-US"/>
        </w:rPr>
        <w:t>schedule</w:t>
      </w:r>
      <w:r w:rsidR="00DE1127" w:rsidRPr="00E14F98">
        <w:rPr>
          <w:rFonts w:ascii="Book Antiqua" w:hAnsi="Book Antiqua"/>
          <w:sz w:val="24"/>
          <w:szCs w:val="24"/>
          <w:vertAlign w:val="superscript"/>
          <w:lang w:val="en-US"/>
        </w:rPr>
        <w:t>[</w:t>
      </w:r>
      <w:proofErr w:type="gramEnd"/>
      <w:r w:rsidR="00DE1127" w:rsidRPr="00E14F98">
        <w:rPr>
          <w:rFonts w:ascii="Book Antiqua" w:hAnsi="Book Antiqua"/>
          <w:sz w:val="24"/>
          <w:szCs w:val="24"/>
          <w:vertAlign w:val="superscript"/>
          <w:lang w:val="en-US"/>
        </w:rPr>
        <w:t>5,11]</w:t>
      </w:r>
      <w:r w:rsidR="00EC59F6" w:rsidRPr="00E14F98">
        <w:rPr>
          <w:rFonts w:ascii="Book Antiqua" w:hAnsi="Book Antiqua"/>
          <w:sz w:val="24"/>
          <w:szCs w:val="24"/>
          <w:lang w:val="en-US"/>
        </w:rPr>
        <w:t>.</w:t>
      </w:r>
      <w:r w:rsidR="005563E3" w:rsidRPr="00E14F98">
        <w:rPr>
          <w:rFonts w:ascii="Book Antiqua" w:hAnsi="Book Antiqua"/>
          <w:sz w:val="24"/>
          <w:szCs w:val="24"/>
          <w:lang w:val="en-US"/>
        </w:rPr>
        <w:t xml:space="preserve"> This has been </w:t>
      </w:r>
      <w:r w:rsidR="00595236" w:rsidRPr="00E14F98">
        <w:rPr>
          <w:rFonts w:ascii="Book Antiqua" w:hAnsi="Book Antiqua"/>
          <w:sz w:val="24"/>
          <w:szCs w:val="24"/>
          <w:lang w:val="en-US"/>
        </w:rPr>
        <w:t>re</w:t>
      </w:r>
      <w:r w:rsidR="00450758">
        <w:rPr>
          <w:rFonts w:ascii="Book Antiqua" w:hAnsi="Book Antiqua"/>
          <w:sz w:val="24"/>
          <w:szCs w:val="24"/>
          <w:lang w:val="en-US"/>
        </w:rPr>
        <w:t xml:space="preserve">cently confirmed by Terzi </w:t>
      </w:r>
      <w:r w:rsidR="00450758" w:rsidRPr="00450758">
        <w:rPr>
          <w:rFonts w:ascii="Book Antiqua" w:hAnsi="Book Antiqua"/>
          <w:i/>
          <w:sz w:val="24"/>
          <w:szCs w:val="24"/>
          <w:lang w:val="en-US"/>
        </w:rPr>
        <w:t xml:space="preserve">et </w:t>
      </w:r>
      <w:proofErr w:type="gramStart"/>
      <w:r w:rsidR="00450758" w:rsidRPr="00450758">
        <w:rPr>
          <w:rFonts w:ascii="Book Antiqua" w:hAnsi="Book Antiqua"/>
          <w:i/>
          <w:sz w:val="24"/>
          <w:szCs w:val="24"/>
          <w:lang w:val="en-US"/>
        </w:rPr>
        <w:t>al</w:t>
      </w:r>
      <w:r w:rsidR="00450758" w:rsidRPr="00E14F98">
        <w:rPr>
          <w:rFonts w:ascii="Book Antiqua" w:hAnsi="Book Antiqua"/>
          <w:sz w:val="24"/>
          <w:szCs w:val="24"/>
          <w:vertAlign w:val="superscript"/>
          <w:lang w:val="en-US"/>
        </w:rPr>
        <w:t>[</w:t>
      </w:r>
      <w:proofErr w:type="gramEnd"/>
      <w:r w:rsidR="00450758" w:rsidRPr="00E14F98">
        <w:rPr>
          <w:rFonts w:ascii="Book Antiqua" w:hAnsi="Book Antiqua"/>
          <w:sz w:val="24"/>
          <w:szCs w:val="24"/>
          <w:vertAlign w:val="superscript"/>
          <w:lang w:val="en-US"/>
        </w:rPr>
        <w:t>12]</w:t>
      </w:r>
      <w:r w:rsidR="00595236" w:rsidRPr="00E14F98">
        <w:rPr>
          <w:rFonts w:ascii="Book Antiqua" w:hAnsi="Book Antiqua"/>
          <w:sz w:val="24"/>
          <w:szCs w:val="24"/>
          <w:lang w:val="en-US"/>
        </w:rPr>
        <w:t xml:space="preserve"> in a series of 1</w:t>
      </w:r>
      <w:r w:rsidR="0004091E" w:rsidRPr="00E14F98">
        <w:rPr>
          <w:rFonts w:ascii="Book Antiqua" w:hAnsi="Book Antiqua"/>
          <w:sz w:val="24"/>
          <w:szCs w:val="24"/>
          <w:lang w:val="en-US"/>
        </w:rPr>
        <w:t xml:space="preserve">51 patients treated with </w:t>
      </w:r>
      <w:r w:rsidR="00595236" w:rsidRPr="00E14F98">
        <w:rPr>
          <w:rFonts w:ascii="Book Antiqua" w:hAnsi="Book Antiqua"/>
          <w:sz w:val="24"/>
          <w:szCs w:val="24"/>
          <w:lang w:val="en-US"/>
        </w:rPr>
        <w:t>on</w:t>
      </w:r>
      <w:r w:rsidR="00DE1127" w:rsidRPr="00E14F98">
        <w:rPr>
          <w:rFonts w:ascii="Book Antiqua" w:hAnsi="Book Antiqua"/>
          <w:sz w:val="24"/>
          <w:szCs w:val="24"/>
          <w:lang w:val="en-US"/>
        </w:rPr>
        <w:t>-</w:t>
      </w:r>
      <w:r w:rsidR="00595236" w:rsidRPr="00E14F98">
        <w:rPr>
          <w:rFonts w:ascii="Book Antiqua" w:hAnsi="Book Antiqua"/>
          <w:sz w:val="24"/>
          <w:szCs w:val="24"/>
          <w:lang w:val="en-US"/>
        </w:rPr>
        <w:t>demand conventional TACE (</w:t>
      </w:r>
      <w:r w:rsidR="0004091E" w:rsidRPr="00E14F98">
        <w:rPr>
          <w:rFonts w:ascii="Book Antiqua" w:hAnsi="Book Antiqua"/>
          <w:sz w:val="24"/>
          <w:szCs w:val="24"/>
          <w:lang w:val="en-US"/>
        </w:rPr>
        <w:t>cTACE</w:t>
      </w:r>
      <w:r w:rsidR="00595236" w:rsidRPr="00E14F98">
        <w:rPr>
          <w:rFonts w:ascii="Book Antiqua" w:hAnsi="Book Antiqua"/>
          <w:sz w:val="24"/>
          <w:szCs w:val="24"/>
          <w:lang w:val="en-US"/>
        </w:rPr>
        <w:t>).</w:t>
      </w:r>
      <w:r w:rsidR="0004091E" w:rsidRPr="00E14F98">
        <w:rPr>
          <w:rFonts w:ascii="Book Antiqua" w:hAnsi="Book Antiqua"/>
          <w:sz w:val="24"/>
          <w:szCs w:val="24"/>
          <w:lang w:val="en-US"/>
        </w:rPr>
        <w:t xml:space="preserve"> </w:t>
      </w:r>
      <w:r w:rsidR="008C525D" w:rsidRPr="00E14F98">
        <w:rPr>
          <w:rFonts w:ascii="Book Antiqua" w:hAnsi="Book Antiqua"/>
          <w:sz w:val="24"/>
          <w:szCs w:val="24"/>
          <w:lang w:val="en-US"/>
        </w:rPr>
        <w:t xml:space="preserve">In their analysis, a second TACE </w:t>
      </w:r>
      <w:r w:rsidR="00A54C0D" w:rsidRPr="00E14F98">
        <w:rPr>
          <w:rFonts w:ascii="Book Antiqua" w:hAnsi="Book Antiqua"/>
          <w:sz w:val="24"/>
          <w:szCs w:val="24"/>
          <w:lang w:val="en-US"/>
        </w:rPr>
        <w:t>course was administered</w:t>
      </w:r>
      <w:r w:rsidR="003B0E23" w:rsidRPr="00E14F98">
        <w:rPr>
          <w:rFonts w:ascii="Book Antiqua" w:hAnsi="Book Antiqua"/>
          <w:sz w:val="24"/>
          <w:szCs w:val="24"/>
          <w:lang w:val="en-US"/>
        </w:rPr>
        <w:t xml:space="preserve"> </w:t>
      </w:r>
      <w:r w:rsidR="008C525D" w:rsidRPr="00E14F98">
        <w:rPr>
          <w:rFonts w:ascii="Book Antiqua" w:hAnsi="Book Antiqua"/>
          <w:sz w:val="24"/>
          <w:szCs w:val="24"/>
          <w:lang w:val="en-US"/>
        </w:rPr>
        <w:t xml:space="preserve">to 65% of patients who </w:t>
      </w:r>
      <w:r w:rsidR="00A54C0D" w:rsidRPr="00E14F98">
        <w:rPr>
          <w:rFonts w:ascii="Book Antiqua" w:hAnsi="Book Antiqua"/>
          <w:sz w:val="24"/>
          <w:szCs w:val="24"/>
          <w:lang w:val="en-US"/>
        </w:rPr>
        <w:t xml:space="preserve">experienced a recurrence after the </w:t>
      </w:r>
      <w:r w:rsidR="008C525D" w:rsidRPr="00E14F98">
        <w:rPr>
          <w:rFonts w:ascii="Book Antiqua" w:hAnsi="Book Antiqua"/>
          <w:sz w:val="24"/>
          <w:szCs w:val="24"/>
          <w:lang w:val="en-US"/>
        </w:rPr>
        <w:t xml:space="preserve">complete response (CR) and </w:t>
      </w:r>
      <w:r w:rsidR="00A54C0D" w:rsidRPr="00E14F98">
        <w:rPr>
          <w:rFonts w:ascii="Book Antiqua" w:hAnsi="Book Antiqua"/>
          <w:sz w:val="24"/>
          <w:szCs w:val="24"/>
          <w:lang w:val="en-US"/>
        </w:rPr>
        <w:t xml:space="preserve">to </w:t>
      </w:r>
      <w:r w:rsidR="008C525D" w:rsidRPr="00E14F98">
        <w:rPr>
          <w:rFonts w:ascii="Book Antiqua" w:hAnsi="Book Antiqua"/>
          <w:sz w:val="24"/>
          <w:szCs w:val="24"/>
          <w:lang w:val="en-US"/>
        </w:rPr>
        <w:t xml:space="preserve">only 41% of </w:t>
      </w:r>
      <w:proofErr w:type="gramStart"/>
      <w:r w:rsidR="008C525D" w:rsidRPr="00E14F98">
        <w:rPr>
          <w:rFonts w:ascii="Book Antiqua" w:hAnsi="Book Antiqua"/>
          <w:sz w:val="24"/>
          <w:szCs w:val="24"/>
          <w:lang w:val="en-US"/>
        </w:rPr>
        <w:t>patients</w:t>
      </w:r>
      <w:proofErr w:type="gramEnd"/>
      <w:r w:rsidR="008C525D" w:rsidRPr="00E14F98">
        <w:rPr>
          <w:rFonts w:ascii="Book Antiqua" w:hAnsi="Book Antiqua"/>
          <w:sz w:val="24"/>
          <w:szCs w:val="24"/>
          <w:lang w:val="en-US"/>
        </w:rPr>
        <w:t xml:space="preserve"> </w:t>
      </w:r>
      <w:r w:rsidR="00A95077" w:rsidRPr="00E14F98">
        <w:rPr>
          <w:rFonts w:ascii="Book Antiqua" w:hAnsi="Book Antiqua"/>
          <w:sz w:val="24"/>
          <w:szCs w:val="24"/>
          <w:lang w:val="en-US"/>
        </w:rPr>
        <w:t>non responder t</w:t>
      </w:r>
      <w:r w:rsidR="008C525D" w:rsidRPr="00E14F98">
        <w:rPr>
          <w:rFonts w:ascii="Book Antiqua" w:hAnsi="Book Antiqua"/>
          <w:sz w:val="24"/>
          <w:szCs w:val="24"/>
          <w:lang w:val="en-US"/>
        </w:rPr>
        <w:t>o the first course. Therefore</w:t>
      </w:r>
      <w:r w:rsidR="00E35893" w:rsidRPr="00E14F98">
        <w:rPr>
          <w:rFonts w:ascii="Book Antiqua" w:hAnsi="Book Antiqua"/>
          <w:sz w:val="24"/>
          <w:szCs w:val="24"/>
          <w:lang w:val="en-US"/>
        </w:rPr>
        <w:t>,</w:t>
      </w:r>
      <w:r w:rsidR="008C525D" w:rsidRPr="00E14F98">
        <w:rPr>
          <w:rFonts w:ascii="Book Antiqua" w:hAnsi="Book Antiqua"/>
          <w:sz w:val="24"/>
          <w:szCs w:val="24"/>
          <w:lang w:val="en-US"/>
        </w:rPr>
        <w:t xml:space="preserve"> the results of this study demonstrate that only approximately half of the patients with incomplete response or recurrences were eligible for repeated TACE</w:t>
      </w:r>
      <w:r w:rsidR="00A4297F" w:rsidRPr="00E14F98">
        <w:rPr>
          <w:rFonts w:ascii="Book Antiqua" w:hAnsi="Book Antiqua"/>
          <w:sz w:val="24"/>
          <w:szCs w:val="24"/>
          <w:lang w:val="en-US"/>
        </w:rPr>
        <w:t>, mainly because of</w:t>
      </w:r>
      <w:r w:rsidR="008C525D" w:rsidRPr="00E14F98">
        <w:rPr>
          <w:rFonts w:ascii="Book Antiqua" w:hAnsi="Book Antiqua"/>
          <w:sz w:val="24"/>
          <w:szCs w:val="24"/>
          <w:lang w:val="en-US"/>
        </w:rPr>
        <w:t xml:space="preserve"> tumor burden growth</w:t>
      </w:r>
      <w:r w:rsidR="00A4297F" w:rsidRPr="00E14F98">
        <w:rPr>
          <w:rFonts w:ascii="Book Antiqua" w:hAnsi="Book Antiqua"/>
          <w:sz w:val="24"/>
          <w:szCs w:val="24"/>
          <w:lang w:val="en-US"/>
        </w:rPr>
        <w:t xml:space="preserve"> and</w:t>
      </w:r>
      <w:r w:rsidR="008C525D" w:rsidRPr="00E14F98">
        <w:rPr>
          <w:rFonts w:ascii="Book Antiqua" w:hAnsi="Book Antiqua"/>
          <w:sz w:val="24"/>
          <w:szCs w:val="24"/>
          <w:lang w:val="en-US"/>
        </w:rPr>
        <w:t xml:space="preserve"> liver function </w:t>
      </w:r>
      <w:proofErr w:type="gramStart"/>
      <w:r w:rsidR="008C525D" w:rsidRPr="00E14F98">
        <w:rPr>
          <w:rFonts w:ascii="Book Antiqua" w:hAnsi="Book Antiqua"/>
          <w:sz w:val="24"/>
          <w:szCs w:val="24"/>
          <w:lang w:val="en-US"/>
        </w:rPr>
        <w:t>impairment</w:t>
      </w:r>
      <w:r w:rsidR="00C267E6" w:rsidRPr="00E14F98">
        <w:rPr>
          <w:rFonts w:ascii="Book Antiqua" w:hAnsi="Book Antiqua"/>
          <w:sz w:val="24"/>
          <w:szCs w:val="24"/>
          <w:vertAlign w:val="superscript"/>
          <w:lang w:val="en-US"/>
        </w:rPr>
        <w:t>[</w:t>
      </w:r>
      <w:proofErr w:type="gramEnd"/>
      <w:r w:rsidR="00C267E6" w:rsidRPr="00E14F98">
        <w:rPr>
          <w:rFonts w:ascii="Book Antiqua" w:hAnsi="Book Antiqua"/>
          <w:sz w:val="24"/>
          <w:szCs w:val="24"/>
          <w:vertAlign w:val="superscript"/>
          <w:lang w:val="en-US"/>
        </w:rPr>
        <w:t>12]</w:t>
      </w:r>
      <w:r w:rsidR="008C525D" w:rsidRPr="00E14F98">
        <w:rPr>
          <w:rFonts w:ascii="Book Antiqua" w:hAnsi="Book Antiqua"/>
          <w:sz w:val="24"/>
          <w:szCs w:val="24"/>
          <w:lang w:val="en-US"/>
        </w:rPr>
        <w:t xml:space="preserve">. </w:t>
      </w:r>
      <w:r w:rsidR="005F735F" w:rsidRPr="00E14F98">
        <w:rPr>
          <w:rFonts w:ascii="Book Antiqua" w:hAnsi="Book Antiqua"/>
          <w:sz w:val="24"/>
          <w:szCs w:val="24"/>
          <w:lang w:val="en-US"/>
        </w:rPr>
        <w:t>These findings stand</w:t>
      </w:r>
      <w:r w:rsidR="008C525D" w:rsidRPr="00E14F98">
        <w:rPr>
          <w:rFonts w:ascii="Book Antiqua" w:hAnsi="Book Antiqua"/>
          <w:sz w:val="24"/>
          <w:szCs w:val="24"/>
          <w:lang w:val="en-US"/>
        </w:rPr>
        <w:t xml:space="preserve"> for a</w:t>
      </w:r>
      <w:r w:rsidR="0054167B" w:rsidRPr="00E14F98">
        <w:rPr>
          <w:rFonts w:ascii="Book Antiqua" w:hAnsi="Book Antiqua"/>
          <w:sz w:val="24"/>
          <w:szCs w:val="24"/>
          <w:lang w:val="en-US"/>
        </w:rPr>
        <w:t>n on-</w:t>
      </w:r>
      <w:r w:rsidR="008C525D" w:rsidRPr="00E14F98">
        <w:rPr>
          <w:rFonts w:ascii="Book Antiqua" w:hAnsi="Book Antiqua"/>
          <w:sz w:val="24"/>
          <w:szCs w:val="24"/>
          <w:lang w:val="en-US"/>
        </w:rPr>
        <w:t xml:space="preserve">demand strategy to be “tailored” according to individual patients’ characteristics. </w:t>
      </w:r>
    </w:p>
    <w:p w:rsidR="00D10A58" w:rsidRPr="00E14F98" w:rsidRDefault="00D10A58" w:rsidP="00E14F98">
      <w:pPr>
        <w:spacing w:after="0" w:line="360" w:lineRule="auto"/>
        <w:jc w:val="both"/>
        <w:rPr>
          <w:rFonts w:ascii="Book Antiqua" w:hAnsi="Book Antiqua"/>
          <w:sz w:val="24"/>
          <w:szCs w:val="24"/>
          <w:lang w:val="en-US"/>
        </w:rPr>
      </w:pPr>
    </w:p>
    <w:p w:rsidR="00D10A58" w:rsidRPr="00E14F98" w:rsidRDefault="00450758" w:rsidP="00E14F98">
      <w:pPr>
        <w:spacing w:after="0" w:line="360" w:lineRule="auto"/>
        <w:jc w:val="both"/>
        <w:rPr>
          <w:rFonts w:ascii="Book Antiqua" w:hAnsi="Book Antiqua"/>
          <w:b/>
          <w:sz w:val="24"/>
          <w:szCs w:val="24"/>
          <w:lang w:val="en-US"/>
        </w:rPr>
      </w:pPr>
      <w:r w:rsidRPr="00E14F98">
        <w:rPr>
          <w:rFonts w:ascii="Book Antiqua" w:hAnsi="Book Antiqua"/>
          <w:b/>
          <w:sz w:val="24"/>
          <w:szCs w:val="24"/>
          <w:lang w:val="en-US"/>
        </w:rPr>
        <w:t>REPEATED TACE: IS IT POSSIBLE A SCORE FOR ALL SEASONS?</w:t>
      </w:r>
    </w:p>
    <w:p w:rsidR="00B8412B" w:rsidRPr="00E14F98" w:rsidRDefault="008F5C3A"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What remains</w:t>
      </w:r>
      <w:r w:rsidR="00F1436F" w:rsidRPr="00E14F98">
        <w:rPr>
          <w:rFonts w:ascii="Book Antiqua" w:hAnsi="Book Antiqua"/>
          <w:sz w:val="24"/>
          <w:szCs w:val="24"/>
          <w:lang w:val="en-US"/>
        </w:rPr>
        <w:t xml:space="preserve"> </w:t>
      </w:r>
      <w:r w:rsidRPr="00E14F98">
        <w:rPr>
          <w:rFonts w:ascii="Book Antiqua" w:hAnsi="Book Antiqua"/>
          <w:sz w:val="24"/>
          <w:szCs w:val="24"/>
          <w:lang w:val="en-US"/>
        </w:rPr>
        <w:t xml:space="preserve">to be </w:t>
      </w:r>
      <w:r w:rsidR="001D556E" w:rsidRPr="00E14F98">
        <w:rPr>
          <w:rFonts w:ascii="Book Antiqua" w:hAnsi="Book Antiqua"/>
          <w:sz w:val="24"/>
          <w:szCs w:val="24"/>
          <w:lang w:val="en-US"/>
        </w:rPr>
        <w:t xml:space="preserve">definitively </w:t>
      </w:r>
      <w:r w:rsidRPr="00E14F98">
        <w:rPr>
          <w:rFonts w:ascii="Book Antiqua" w:hAnsi="Book Antiqua"/>
          <w:sz w:val="24"/>
          <w:szCs w:val="24"/>
          <w:lang w:val="en-US"/>
        </w:rPr>
        <w:t>established is the maximum number of</w:t>
      </w:r>
      <w:r w:rsidR="00F1436F" w:rsidRPr="00E14F98">
        <w:rPr>
          <w:rFonts w:ascii="Book Antiqua" w:hAnsi="Book Antiqua"/>
          <w:sz w:val="24"/>
          <w:szCs w:val="24"/>
          <w:lang w:val="en-US"/>
        </w:rPr>
        <w:t xml:space="preserve"> </w:t>
      </w:r>
      <w:r w:rsidRPr="00E14F98">
        <w:rPr>
          <w:rFonts w:ascii="Book Antiqua" w:hAnsi="Book Antiqua"/>
          <w:sz w:val="24"/>
          <w:szCs w:val="24"/>
          <w:lang w:val="en-US"/>
        </w:rPr>
        <w:t>repeated TACE procedures that should be administered before</w:t>
      </w:r>
      <w:r w:rsidR="00F1436F" w:rsidRPr="00E14F98">
        <w:rPr>
          <w:rFonts w:ascii="Book Antiqua" w:hAnsi="Book Antiqua"/>
          <w:sz w:val="24"/>
          <w:szCs w:val="24"/>
          <w:lang w:val="en-US"/>
        </w:rPr>
        <w:t xml:space="preserve"> </w:t>
      </w:r>
      <w:r w:rsidR="00EB3B80" w:rsidRPr="00E14F98">
        <w:rPr>
          <w:rFonts w:ascii="Book Antiqua" w:hAnsi="Book Antiqua"/>
          <w:sz w:val="24"/>
          <w:szCs w:val="24"/>
          <w:lang w:val="en-US"/>
        </w:rPr>
        <w:t>switching to another therapeutic option</w:t>
      </w:r>
      <w:r w:rsidRPr="00E14F98">
        <w:rPr>
          <w:rFonts w:ascii="Book Antiqua" w:hAnsi="Book Antiqua"/>
          <w:sz w:val="24"/>
          <w:szCs w:val="24"/>
          <w:lang w:val="en-US"/>
        </w:rPr>
        <w:t xml:space="preserve"> or stopping treatment.</w:t>
      </w:r>
      <w:r w:rsidR="00F1436F" w:rsidRPr="00E14F98">
        <w:rPr>
          <w:rFonts w:ascii="Book Antiqua" w:hAnsi="Book Antiqua"/>
          <w:sz w:val="24"/>
          <w:szCs w:val="24"/>
          <w:lang w:val="en-US"/>
        </w:rPr>
        <w:t xml:space="preserve"> </w:t>
      </w:r>
      <w:r w:rsidR="00C375B9" w:rsidRPr="00E14F98">
        <w:rPr>
          <w:rFonts w:ascii="Book Antiqua" w:hAnsi="Book Antiqua"/>
          <w:sz w:val="24"/>
          <w:szCs w:val="24"/>
          <w:lang w:val="en-US"/>
        </w:rPr>
        <w:t>Applying TACE procedures up to 3 to 4 times per year</w:t>
      </w:r>
      <w:r w:rsidR="00B224D7" w:rsidRPr="00E14F98">
        <w:rPr>
          <w:rFonts w:ascii="Book Antiqua" w:hAnsi="Book Antiqua"/>
          <w:sz w:val="24"/>
          <w:szCs w:val="24"/>
          <w:vertAlign w:val="superscript"/>
          <w:lang w:val="en-US"/>
        </w:rPr>
        <w:t>[11]</w:t>
      </w:r>
      <w:r w:rsidR="00C375B9" w:rsidRPr="00E14F98">
        <w:rPr>
          <w:rFonts w:ascii="Book Antiqua" w:hAnsi="Book Antiqua"/>
          <w:sz w:val="24"/>
          <w:szCs w:val="24"/>
          <w:lang w:val="en-US"/>
        </w:rPr>
        <w:t xml:space="preserve"> and </w:t>
      </w:r>
      <w:r w:rsidR="00C375B9" w:rsidRPr="00E14F98">
        <w:rPr>
          <w:rFonts w:ascii="Book Antiqua" w:hAnsi="Book Antiqua"/>
          <w:sz w:val="24"/>
          <w:szCs w:val="24"/>
          <w:lang w:val="en-US"/>
        </w:rPr>
        <w:lastRenderedPageBreak/>
        <w:t>s</w:t>
      </w:r>
      <w:r w:rsidR="00943738" w:rsidRPr="00E14F98">
        <w:rPr>
          <w:rFonts w:ascii="Book Antiqua" w:hAnsi="Book Antiqua"/>
          <w:sz w:val="24"/>
          <w:szCs w:val="24"/>
          <w:lang w:val="en-US"/>
        </w:rPr>
        <w:t>witching in absence of response to at least 2 sessions</w:t>
      </w:r>
      <w:r w:rsidR="00B224D7" w:rsidRPr="00E14F98">
        <w:rPr>
          <w:rFonts w:ascii="Book Antiqua" w:hAnsi="Book Antiqua"/>
          <w:sz w:val="24"/>
          <w:szCs w:val="24"/>
          <w:vertAlign w:val="superscript"/>
          <w:lang w:val="en-US"/>
        </w:rPr>
        <w:t>[5]</w:t>
      </w:r>
      <w:r w:rsidR="00943738" w:rsidRPr="00E14F98">
        <w:rPr>
          <w:rFonts w:ascii="Book Antiqua" w:hAnsi="Book Antiqua"/>
          <w:sz w:val="24"/>
          <w:szCs w:val="24"/>
          <w:lang w:val="en-US"/>
        </w:rPr>
        <w:t xml:space="preserve"> </w:t>
      </w:r>
      <w:r w:rsidR="004E647A" w:rsidRPr="00E14F98">
        <w:rPr>
          <w:rFonts w:ascii="Book Antiqua" w:hAnsi="Book Antiqua"/>
          <w:sz w:val="24"/>
          <w:szCs w:val="24"/>
          <w:lang w:val="en-US"/>
        </w:rPr>
        <w:t>has been recommended in</w:t>
      </w:r>
      <w:r w:rsidRPr="00E14F98">
        <w:rPr>
          <w:rFonts w:ascii="Book Antiqua" w:hAnsi="Book Antiqua"/>
          <w:sz w:val="24"/>
          <w:szCs w:val="24"/>
          <w:lang w:val="en-US"/>
        </w:rPr>
        <w:t xml:space="preserve"> absence of definitive evidence</w:t>
      </w:r>
      <w:r w:rsidR="00F1436F" w:rsidRPr="00E14F98">
        <w:rPr>
          <w:rFonts w:ascii="Book Antiqua" w:hAnsi="Book Antiqua"/>
          <w:sz w:val="24"/>
          <w:szCs w:val="24"/>
          <w:lang w:val="en-US"/>
        </w:rPr>
        <w:t xml:space="preserve"> </w:t>
      </w:r>
      <w:r w:rsidRPr="00E14F98">
        <w:rPr>
          <w:rFonts w:ascii="Book Antiqua" w:hAnsi="Book Antiqua"/>
          <w:sz w:val="24"/>
          <w:szCs w:val="24"/>
          <w:lang w:val="en-US"/>
        </w:rPr>
        <w:t>of an optimal re</w:t>
      </w:r>
      <w:r w:rsidR="004E647A" w:rsidRPr="00E14F98">
        <w:rPr>
          <w:rFonts w:ascii="Book Antiqua" w:hAnsi="Book Antiqua"/>
          <w:sz w:val="24"/>
          <w:szCs w:val="24"/>
          <w:lang w:val="en-US"/>
        </w:rPr>
        <w:t xml:space="preserve">treatment strategy because more </w:t>
      </w:r>
      <w:r w:rsidRPr="00E14F98">
        <w:rPr>
          <w:rFonts w:ascii="Book Antiqua" w:hAnsi="Book Antiqua"/>
          <w:sz w:val="24"/>
          <w:szCs w:val="24"/>
          <w:lang w:val="en-US"/>
        </w:rPr>
        <w:t>intensive</w:t>
      </w:r>
      <w:r w:rsidR="00F1436F" w:rsidRPr="00E14F98">
        <w:rPr>
          <w:rFonts w:ascii="Book Antiqua" w:hAnsi="Book Antiqua"/>
          <w:sz w:val="24"/>
          <w:szCs w:val="24"/>
          <w:lang w:val="en-US"/>
        </w:rPr>
        <w:t xml:space="preserve"> </w:t>
      </w:r>
      <w:r w:rsidRPr="00E14F98">
        <w:rPr>
          <w:rFonts w:ascii="Book Antiqua" w:hAnsi="Book Antiqua"/>
          <w:sz w:val="24"/>
          <w:szCs w:val="24"/>
          <w:lang w:val="en-US"/>
        </w:rPr>
        <w:t>regimens might induce liver failure in an unacceptable proportion</w:t>
      </w:r>
      <w:r w:rsidR="00F1436F" w:rsidRPr="00E14F98">
        <w:rPr>
          <w:rFonts w:ascii="Book Antiqua" w:hAnsi="Book Antiqua"/>
          <w:sz w:val="24"/>
          <w:szCs w:val="24"/>
          <w:lang w:val="en-US"/>
        </w:rPr>
        <w:t xml:space="preserve"> </w:t>
      </w:r>
      <w:r w:rsidRPr="00E14F98">
        <w:rPr>
          <w:rFonts w:ascii="Book Antiqua" w:hAnsi="Book Antiqua"/>
          <w:sz w:val="24"/>
          <w:szCs w:val="24"/>
          <w:lang w:val="en-US"/>
        </w:rPr>
        <w:t>of patients.</w:t>
      </w:r>
      <w:r w:rsidR="000A3385" w:rsidRPr="00E14F98">
        <w:rPr>
          <w:rFonts w:ascii="Book Antiqua" w:hAnsi="Book Antiqua"/>
          <w:sz w:val="24"/>
          <w:szCs w:val="24"/>
          <w:lang w:val="en-US"/>
        </w:rPr>
        <w:t xml:space="preserve"> </w:t>
      </w:r>
      <w:r w:rsidR="0096493F" w:rsidRPr="00E14F98">
        <w:rPr>
          <w:rFonts w:ascii="Book Antiqua" w:hAnsi="Book Antiqua"/>
          <w:sz w:val="24"/>
          <w:szCs w:val="24"/>
          <w:lang w:val="en-US"/>
        </w:rPr>
        <w:t>A review of cohort and randomized</w:t>
      </w:r>
      <w:r w:rsidR="00DA7FF2" w:rsidRPr="00E14F98">
        <w:rPr>
          <w:rFonts w:ascii="Book Antiqua" w:hAnsi="Book Antiqua"/>
          <w:sz w:val="24"/>
          <w:szCs w:val="24"/>
          <w:lang w:val="en-US"/>
        </w:rPr>
        <w:t xml:space="preserve"> controlled</w:t>
      </w:r>
      <w:r w:rsidR="0096493F" w:rsidRPr="00E14F98">
        <w:rPr>
          <w:rFonts w:ascii="Book Antiqua" w:hAnsi="Book Antiqua"/>
          <w:sz w:val="24"/>
          <w:szCs w:val="24"/>
          <w:lang w:val="en-US"/>
        </w:rPr>
        <w:t xml:space="preserve"> trials</w:t>
      </w:r>
      <w:r w:rsidR="00DA7FF2" w:rsidRPr="00E14F98">
        <w:rPr>
          <w:rFonts w:ascii="Book Antiqua" w:hAnsi="Book Antiqua"/>
          <w:sz w:val="24"/>
          <w:szCs w:val="24"/>
          <w:lang w:val="en-US"/>
        </w:rPr>
        <w:t xml:space="preserve"> (RCTs)</w:t>
      </w:r>
      <w:r w:rsidR="0096493F" w:rsidRPr="00E14F98">
        <w:rPr>
          <w:rFonts w:ascii="Book Antiqua" w:hAnsi="Book Antiqua"/>
          <w:sz w:val="24"/>
          <w:szCs w:val="24"/>
          <w:lang w:val="en-US"/>
        </w:rPr>
        <w:t xml:space="preserve"> reported a mean number of TACE courses of 2.5</w:t>
      </w:r>
      <w:r w:rsidR="004E647A" w:rsidRPr="00E14F98">
        <w:rPr>
          <w:rFonts w:ascii="Book Antiqua" w:hAnsi="Book Antiqua"/>
          <w:sz w:val="24"/>
          <w:szCs w:val="24"/>
          <w:lang w:val="en-US"/>
        </w:rPr>
        <w:t xml:space="preserve"> ±</w:t>
      </w:r>
      <w:r w:rsidR="0096493F" w:rsidRPr="00E14F98">
        <w:rPr>
          <w:rFonts w:ascii="Book Antiqua" w:hAnsi="Book Antiqua"/>
          <w:sz w:val="24"/>
          <w:szCs w:val="24"/>
          <w:lang w:val="en-US"/>
        </w:rPr>
        <w:t xml:space="preserve"> 1.5 per </w:t>
      </w:r>
      <w:proofErr w:type="gramStart"/>
      <w:r w:rsidR="0096493F" w:rsidRPr="00E14F98">
        <w:rPr>
          <w:rFonts w:ascii="Book Antiqua" w:hAnsi="Book Antiqua"/>
          <w:sz w:val="24"/>
          <w:szCs w:val="24"/>
          <w:lang w:val="en-US"/>
        </w:rPr>
        <w:t>patient</w:t>
      </w:r>
      <w:r w:rsidR="0098257B" w:rsidRPr="00E14F98">
        <w:rPr>
          <w:rFonts w:ascii="Book Antiqua" w:hAnsi="Book Antiqua"/>
          <w:sz w:val="24"/>
          <w:szCs w:val="24"/>
          <w:vertAlign w:val="superscript"/>
          <w:lang w:val="en-US"/>
        </w:rPr>
        <w:t>[</w:t>
      </w:r>
      <w:proofErr w:type="gramEnd"/>
      <w:r w:rsidR="0098257B" w:rsidRPr="00E14F98">
        <w:rPr>
          <w:rFonts w:ascii="Book Antiqua" w:hAnsi="Book Antiqua"/>
          <w:sz w:val="24"/>
          <w:szCs w:val="24"/>
          <w:vertAlign w:val="superscript"/>
          <w:lang w:val="en-US"/>
        </w:rPr>
        <w:t>13]</w:t>
      </w:r>
      <w:r w:rsidR="0098257B" w:rsidRPr="00E14F98">
        <w:rPr>
          <w:rFonts w:ascii="Book Antiqua" w:hAnsi="Book Antiqua"/>
          <w:sz w:val="24"/>
          <w:szCs w:val="24"/>
          <w:lang w:val="en-US"/>
        </w:rPr>
        <w:t>, but in the common clinical practice an even greater number of repeated sessions is undertaken</w:t>
      </w:r>
      <w:r w:rsidR="0096493F" w:rsidRPr="00E14F98">
        <w:rPr>
          <w:rFonts w:ascii="Book Antiqua" w:hAnsi="Book Antiqua"/>
          <w:sz w:val="24"/>
          <w:szCs w:val="24"/>
          <w:lang w:val="en-US"/>
        </w:rPr>
        <w:t>.</w:t>
      </w:r>
      <w:r w:rsidR="000D563C" w:rsidRPr="00E14F98">
        <w:rPr>
          <w:rFonts w:ascii="Book Antiqua" w:hAnsi="Book Antiqua"/>
          <w:sz w:val="24"/>
          <w:szCs w:val="24"/>
          <w:lang w:val="en-US"/>
        </w:rPr>
        <w:t xml:space="preserve"> </w:t>
      </w:r>
    </w:p>
    <w:p w:rsidR="00065A05" w:rsidRPr="00E14F98" w:rsidRDefault="003C4A97" w:rsidP="00450758">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To help the hepatologists to select approp</w:t>
      </w:r>
      <w:r w:rsidR="00CE6DDE" w:rsidRPr="00E14F98">
        <w:rPr>
          <w:rFonts w:ascii="Book Antiqua" w:hAnsi="Book Antiqua"/>
          <w:sz w:val="24"/>
          <w:szCs w:val="24"/>
          <w:lang w:val="en-US"/>
        </w:rPr>
        <w:t xml:space="preserve">riate candidates for starting </w:t>
      </w:r>
      <w:r w:rsidRPr="00E14F98">
        <w:rPr>
          <w:rFonts w:ascii="Book Antiqua" w:hAnsi="Book Antiqua"/>
          <w:sz w:val="24"/>
          <w:szCs w:val="24"/>
          <w:lang w:val="en-US"/>
        </w:rPr>
        <w:t>or repeat</w:t>
      </w:r>
      <w:r w:rsidR="00CE6DDE" w:rsidRPr="00E14F98">
        <w:rPr>
          <w:rFonts w:ascii="Book Antiqua" w:hAnsi="Book Antiqua"/>
          <w:sz w:val="24"/>
          <w:szCs w:val="24"/>
          <w:lang w:val="en-US"/>
        </w:rPr>
        <w:t>ing</w:t>
      </w:r>
      <w:r w:rsidRPr="00E14F98">
        <w:rPr>
          <w:rFonts w:ascii="Book Antiqua" w:hAnsi="Book Antiqua"/>
          <w:sz w:val="24"/>
          <w:szCs w:val="24"/>
          <w:lang w:val="en-US"/>
        </w:rPr>
        <w:t xml:space="preserve"> TACE, s</w:t>
      </w:r>
      <w:r w:rsidR="000721A8" w:rsidRPr="00E14F98">
        <w:rPr>
          <w:rFonts w:ascii="Book Antiqua" w:hAnsi="Book Antiqua"/>
          <w:sz w:val="24"/>
          <w:szCs w:val="24"/>
          <w:lang w:val="en-US"/>
        </w:rPr>
        <w:t>everal prognostic indices were</w:t>
      </w:r>
      <w:r w:rsidRPr="00E14F98">
        <w:rPr>
          <w:rFonts w:ascii="Book Antiqua" w:hAnsi="Book Antiqua"/>
          <w:sz w:val="24"/>
          <w:szCs w:val="24"/>
          <w:lang w:val="en-US"/>
        </w:rPr>
        <w:t xml:space="preserve"> </w:t>
      </w:r>
      <w:r w:rsidR="000721A8" w:rsidRPr="00E14F98">
        <w:rPr>
          <w:rFonts w:ascii="Book Antiqua" w:hAnsi="Book Antiqua"/>
          <w:sz w:val="24"/>
          <w:szCs w:val="24"/>
          <w:lang w:val="en-US"/>
        </w:rPr>
        <w:t>introduced in the past</w:t>
      </w:r>
      <w:r w:rsidR="003F0C2E" w:rsidRPr="00E14F98">
        <w:rPr>
          <w:rFonts w:ascii="Book Antiqua" w:hAnsi="Book Antiqua"/>
          <w:sz w:val="24"/>
          <w:szCs w:val="24"/>
          <w:lang w:val="en-US"/>
        </w:rPr>
        <w:t xml:space="preserve">, but none of them were universally accepted </w:t>
      </w:r>
      <w:r w:rsidR="003953C5" w:rsidRPr="00E14F98">
        <w:rPr>
          <w:rFonts w:ascii="Book Antiqua" w:hAnsi="Book Antiqua"/>
          <w:sz w:val="24"/>
          <w:szCs w:val="24"/>
          <w:lang w:val="en-US"/>
        </w:rPr>
        <w:t>since they resulted</w:t>
      </w:r>
      <w:r w:rsidRPr="00E14F98">
        <w:rPr>
          <w:rFonts w:ascii="Book Antiqua" w:hAnsi="Book Antiqua"/>
          <w:sz w:val="24"/>
          <w:szCs w:val="24"/>
          <w:lang w:val="en-US"/>
        </w:rPr>
        <w:t xml:space="preserve"> difficult to implement o</w:t>
      </w:r>
      <w:r w:rsidR="00C13225" w:rsidRPr="00E14F98">
        <w:rPr>
          <w:rFonts w:ascii="Book Antiqua" w:hAnsi="Book Antiqua"/>
          <w:sz w:val="24"/>
          <w:szCs w:val="24"/>
          <w:lang w:val="en-US"/>
        </w:rPr>
        <w:t>r insufficiently discriminatory</w:t>
      </w:r>
      <w:r w:rsidR="00585BEE" w:rsidRPr="00E14F98">
        <w:rPr>
          <w:rFonts w:ascii="Book Antiqua" w:hAnsi="Book Antiqua"/>
          <w:sz w:val="24"/>
          <w:szCs w:val="24"/>
          <w:vertAlign w:val="superscript"/>
          <w:lang w:val="en-US"/>
        </w:rPr>
        <w:t>[14,15]</w:t>
      </w:r>
      <w:r w:rsidR="001B1AE0" w:rsidRPr="00E14F98">
        <w:rPr>
          <w:rFonts w:ascii="Book Antiqua" w:hAnsi="Book Antiqua"/>
          <w:sz w:val="24"/>
          <w:szCs w:val="24"/>
          <w:lang w:val="en-US"/>
        </w:rPr>
        <w:t>.</w:t>
      </w:r>
      <w:r w:rsidRPr="00E14F98">
        <w:rPr>
          <w:rFonts w:ascii="Book Antiqua" w:hAnsi="Book Antiqua"/>
          <w:sz w:val="24"/>
          <w:szCs w:val="24"/>
          <w:lang w:val="en-US"/>
        </w:rPr>
        <w:t xml:space="preserve"> </w:t>
      </w:r>
      <w:r w:rsidR="000721A8" w:rsidRPr="00E14F98">
        <w:rPr>
          <w:rFonts w:ascii="Book Antiqua" w:hAnsi="Book Antiqua"/>
          <w:sz w:val="24"/>
          <w:szCs w:val="24"/>
          <w:lang w:val="en-US"/>
        </w:rPr>
        <w:t>More recently, a number of other scores and nomograms have been proposed</w:t>
      </w:r>
      <w:r w:rsidR="00CC2E1F" w:rsidRPr="00E14F98">
        <w:rPr>
          <w:rFonts w:ascii="Book Antiqua" w:hAnsi="Book Antiqua"/>
          <w:sz w:val="24"/>
          <w:szCs w:val="24"/>
          <w:lang w:val="en-US"/>
        </w:rPr>
        <w:t>, particularly:</w:t>
      </w:r>
      <w:r w:rsidRPr="00E14F98">
        <w:rPr>
          <w:rFonts w:ascii="Book Antiqua" w:hAnsi="Book Antiqua"/>
          <w:sz w:val="24"/>
          <w:szCs w:val="24"/>
          <w:lang w:val="en-US"/>
        </w:rPr>
        <w:t xml:space="preserve"> the hepatoma arterial-embolization prognostic (HAP) score published by Kadalayil</w:t>
      </w:r>
      <w:r w:rsidRPr="00450758">
        <w:rPr>
          <w:rFonts w:ascii="Book Antiqua" w:hAnsi="Book Antiqua"/>
          <w:i/>
          <w:sz w:val="24"/>
          <w:szCs w:val="24"/>
          <w:lang w:val="en-US"/>
        </w:rPr>
        <w:t xml:space="preserve"> et al</w:t>
      </w:r>
      <w:r w:rsidR="00450758" w:rsidRPr="00E14F98">
        <w:rPr>
          <w:rFonts w:ascii="Book Antiqua" w:hAnsi="Book Antiqua"/>
          <w:sz w:val="24"/>
          <w:szCs w:val="24"/>
          <w:vertAlign w:val="superscript"/>
          <w:lang w:val="en-US"/>
        </w:rPr>
        <w:t>[16]</w:t>
      </w:r>
      <w:r w:rsidRPr="00E14F98">
        <w:rPr>
          <w:rFonts w:ascii="Book Antiqua" w:hAnsi="Book Antiqua"/>
          <w:sz w:val="24"/>
          <w:szCs w:val="24"/>
          <w:lang w:val="en-US"/>
        </w:rPr>
        <w:t xml:space="preserve"> in 2013</w:t>
      </w:r>
      <w:r w:rsidR="00CC2E1F" w:rsidRPr="00E14F98">
        <w:rPr>
          <w:rFonts w:ascii="Book Antiqua" w:hAnsi="Book Antiqua"/>
          <w:sz w:val="24"/>
          <w:szCs w:val="24"/>
          <w:lang w:val="en-US"/>
        </w:rPr>
        <w:t xml:space="preserve">, based on </w:t>
      </w:r>
      <w:r w:rsidRPr="00E14F98">
        <w:rPr>
          <w:rFonts w:ascii="Book Antiqua" w:hAnsi="Book Antiqua"/>
          <w:sz w:val="24"/>
          <w:szCs w:val="24"/>
          <w:lang w:val="en-US"/>
        </w:rPr>
        <w:t>albumin</w:t>
      </w:r>
      <w:r w:rsidR="00CC2E1F" w:rsidRPr="00E14F98">
        <w:rPr>
          <w:rFonts w:ascii="Book Antiqua" w:hAnsi="Book Antiqua"/>
          <w:sz w:val="24"/>
          <w:szCs w:val="24"/>
          <w:lang w:val="en-US"/>
        </w:rPr>
        <w:t>, bilirubin, alpha-fetoprotein (AFP)</w:t>
      </w:r>
      <w:r w:rsidRPr="00E14F98">
        <w:rPr>
          <w:rFonts w:ascii="Book Antiqua" w:hAnsi="Book Antiqua"/>
          <w:sz w:val="24"/>
          <w:szCs w:val="24"/>
          <w:lang w:val="en-US"/>
        </w:rPr>
        <w:t xml:space="preserve"> and tumour</w:t>
      </w:r>
      <w:r w:rsidR="00CC2E1F" w:rsidRPr="00E14F98">
        <w:rPr>
          <w:rFonts w:ascii="Book Antiqua" w:hAnsi="Book Antiqua"/>
          <w:sz w:val="24"/>
          <w:szCs w:val="24"/>
          <w:lang w:val="en-US"/>
        </w:rPr>
        <w:t xml:space="preserve"> size</w:t>
      </w:r>
      <w:r w:rsidR="00065A05" w:rsidRPr="00E14F98">
        <w:rPr>
          <w:rFonts w:ascii="Book Antiqua" w:hAnsi="Book Antiqua"/>
          <w:sz w:val="24"/>
          <w:szCs w:val="24"/>
          <w:lang w:val="en-US"/>
        </w:rPr>
        <w:t>;</w:t>
      </w:r>
      <w:r w:rsidRPr="00E14F98">
        <w:rPr>
          <w:rFonts w:ascii="Book Antiqua" w:hAnsi="Book Antiqua"/>
          <w:sz w:val="24"/>
          <w:szCs w:val="24"/>
          <w:lang w:val="en-US"/>
        </w:rPr>
        <w:t xml:space="preserve"> </w:t>
      </w:r>
      <w:r w:rsidR="00065A05" w:rsidRPr="00E14F98">
        <w:rPr>
          <w:rFonts w:ascii="Book Antiqua" w:hAnsi="Book Antiqua"/>
          <w:sz w:val="24"/>
          <w:szCs w:val="24"/>
          <w:lang w:val="en-US"/>
        </w:rPr>
        <w:t>the assessment for retreatment with TACE (ART) score prop</w:t>
      </w:r>
      <w:r w:rsidR="00450758">
        <w:rPr>
          <w:rFonts w:ascii="Book Antiqua" w:hAnsi="Book Antiqua"/>
          <w:sz w:val="24"/>
          <w:szCs w:val="24"/>
          <w:lang w:val="en-US"/>
        </w:rPr>
        <w:t xml:space="preserve">osed by Sieghart </w:t>
      </w:r>
      <w:r w:rsidR="00BB5DE1" w:rsidRPr="00450758">
        <w:rPr>
          <w:rFonts w:ascii="Book Antiqua" w:hAnsi="Book Antiqua"/>
          <w:i/>
          <w:sz w:val="24"/>
          <w:szCs w:val="24"/>
          <w:lang w:val="en-US"/>
        </w:rPr>
        <w:t>et al</w:t>
      </w:r>
      <w:r w:rsidR="00450758" w:rsidRPr="00E14F98">
        <w:rPr>
          <w:rFonts w:ascii="Book Antiqua" w:hAnsi="Book Antiqua"/>
          <w:sz w:val="24"/>
          <w:szCs w:val="24"/>
          <w:vertAlign w:val="superscript"/>
          <w:lang w:val="en-US"/>
        </w:rPr>
        <w:t>[17]</w:t>
      </w:r>
      <w:r w:rsidR="00BB5DE1" w:rsidRPr="00E14F98">
        <w:rPr>
          <w:rFonts w:ascii="Book Antiqua" w:hAnsi="Book Antiqua"/>
          <w:sz w:val="24"/>
          <w:szCs w:val="24"/>
          <w:lang w:val="en-US"/>
        </w:rPr>
        <w:t xml:space="preserve"> in 2013, considering aspartate transaminase (AST) and CP increase after the first session together with tumor response</w:t>
      </w:r>
      <w:r w:rsidR="00D165B0" w:rsidRPr="00E14F98">
        <w:rPr>
          <w:rFonts w:ascii="Book Antiqua" w:hAnsi="Book Antiqua"/>
          <w:sz w:val="24"/>
          <w:szCs w:val="24"/>
          <w:lang w:val="en-US"/>
        </w:rPr>
        <w:t xml:space="preserve">; </w:t>
      </w:r>
      <w:r w:rsidR="00D50355" w:rsidRPr="00E14F98">
        <w:rPr>
          <w:rFonts w:ascii="Book Antiqua" w:hAnsi="Book Antiqua"/>
          <w:sz w:val="24"/>
          <w:szCs w:val="24"/>
          <w:lang w:val="en-US"/>
        </w:rPr>
        <w:t xml:space="preserve">the ABCR score published by Adhoute </w:t>
      </w:r>
      <w:r w:rsidR="00D50355" w:rsidRPr="00450758">
        <w:rPr>
          <w:rFonts w:ascii="Book Antiqua" w:hAnsi="Book Antiqua"/>
          <w:i/>
          <w:sz w:val="24"/>
          <w:szCs w:val="24"/>
          <w:lang w:val="en-US"/>
        </w:rPr>
        <w:t>et al</w:t>
      </w:r>
      <w:r w:rsidR="00450758" w:rsidRPr="00E14F98">
        <w:rPr>
          <w:rFonts w:ascii="Book Antiqua" w:hAnsi="Book Antiqua"/>
          <w:sz w:val="24"/>
          <w:szCs w:val="24"/>
          <w:vertAlign w:val="superscript"/>
          <w:lang w:val="en-US"/>
        </w:rPr>
        <w:t>[18]</w:t>
      </w:r>
      <w:r w:rsidR="00D50355" w:rsidRPr="00E14F98">
        <w:rPr>
          <w:rFonts w:ascii="Book Antiqua" w:hAnsi="Book Antiqua"/>
          <w:sz w:val="24"/>
          <w:szCs w:val="24"/>
          <w:lang w:val="en-US"/>
        </w:rPr>
        <w:t xml:space="preserve"> in 2014 on the basis of AFP and </w:t>
      </w:r>
      <w:r w:rsidR="00450758">
        <w:rPr>
          <w:rFonts w:ascii="Book Antiqua" w:hAnsi="Book Antiqua"/>
          <w:sz w:val="24"/>
          <w:szCs w:val="24"/>
          <w:lang w:val="en-US"/>
        </w:rPr>
        <w:t>BCLC</w:t>
      </w:r>
      <w:r w:rsidR="00D50355" w:rsidRPr="00E14F98">
        <w:rPr>
          <w:rFonts w:ascii="Book Antiqua" w:hAnsi="Book Antiqua"/>
          <w:sz w:val="24"/>
          <w:szCs w:val="24"/>
          <w:lang w:val="en-US"/>
        </w:rPr>
        <w:t xml:space="preserve"> stage at baseline together with CP increase and tumor response  after TACE; </w:t>
      </w:r>
      <w:r w:rsidR="0036724B" w:rsidRPr="00E14F98">
        <w:rPr>
          <w:rFonts w:ascii="Book Antiqua" w:hAnsi="Book Antiqua"/>
          <w:sz w:val="24"/>
          <w:szCs w:val="24"/>
          <w:lang w:val="en-US"/>
        </w:rPr>
        <w:t xml:space="preserve">the </w:t>
      </w:r>
      <w:r w:rsidR="00065A05" w:rsidRPr="00E14F98">
        <w:rPr>
          <w:rFonts w:ascii="Book Antiqua" w:hAnsi="Book Antiqua"/>
          <w:sz w:val="24"/>
          <w:szCs w:val="24"/>
          <w:lang w:val="en-US"/>
        </w:rPr>
        <w:t>inflammation based index (IBI) score</w:t>
      </w:r>
      <w:r w:rsidR="0036724B" w:rsidRPr="00E14F98">
        <w:rPr>
          <w:rFonts w:ascii="Book Antiqua" w:hAnsi="Book Antiqua"/>
          <w:sz w:val="24"/>
          <w:szCs w:val="24"/>
          <w:lang w:val="en-US"/>
        </w:rPr>
        <w:t xml:space="preserve">, that combines C-reactive protein (CRP) and serum albumin, </w:t>
      </w:r>
      <w:r w:rsidR="00065A05" w:rsidRPr="00E14F98">
        <w:rPr>
          <w:rFonts w:ascii="Book Antiqua" w:hAnsi="Book Antiqua"/>
          <w:sz w:val="24"/>
          <w:szCs w:val="24"/>
          <w:lang w:val="en-US"/>
        </w:rPr>
        <w:t xml:space="preserve"> proposed by Pinato</w:t>
      </w:r>
      <w:r w:rsidR="00065A05" w:rsidRPr="00450758">
        <w:rPr>
          <w:rFonts w:ascii="Book Antiqua" w:hAnsi="Book Antiqua"/>
          <w:i/>
          <w:sz w:val="24"/>
          <w:szCs w:val="24"/>
          <w:lang w:val="en-US"/>
        </w:rPr>
        <w:t xml:space="preserve"> et al</w:t>
      </w:r>
      <w:r w:rsidR="00450758" w:rsidRPr="00E14F98">
        <w:rPr>
          <w:rFonts w:ascii="Book Antiqua" w:hAnsi="Book Antiqua"/>
          <w:sz w:val="24"/>
          <w:szCs w:val="24"/>
          <w:vertAlign w:val="superscript"/>
          <w:lang w:val="en-US"/>
        </w:rPr>
        <w:t>[19]</w:t>
      </w:r>
      <w:r w:rsidR="00065A05" w:rsidRPr="00E14F98">
        <w:rPr>
          <w:rFonts w:ascii="Book Antiqua" w:hAnsi="Book Antiqua"/>
          <w:sz w:val="24"/>
          <w:szCs w:val="24"/>
          <w:lang w:val="en-US"/>
        </w:rPr>
        <w:t xml:space="preserve"> and applied to TACE patients in </w:t>
      </w:r>
      <w:r w:rsidR="0036724B" w:rsidRPr="00E14F98">
        <w:rPr>
          <w:rFonts w:ascii="Book Antiqua" w:hAnsi="Book Antiqua"/>
          <w:sz w:val="24"/>
          <w:szCs w:val="24"/>
          <w:lang w:val="en-US"/>
        </w:rPr>
        <w:t>2015</w:t>
      </w:r>
      <w:r w:rsidR="00510E12" w:rsidRPr="00E14F98">
        <w:rPr>
          <w:rFonts w:ascii="Book Antiqua" w:hAnsi="Book Antiqua"/>
          <w:sz w:val="24"/>
          <w:szCs w:val="24"/>
          <w:lang w:val="en-US"/>
        </w:rPr>
        <w:t xml:space="preserve">. </w:t>
      </w:r>
      <w:r w:rsidR="00224433" w:rsidRPr="00E14F98">
        <w:rPr>
          <w:rFonts w:ascii="Book Antiqua" w:hAnsi="Book Antiqua"/>
          <w:sz w:val="24"/>
          <w:szCs w:val="24"/>
          <w:lang w:val="en-US"/>
        </w:rPr>
        <w:t xml:space="preserve">Other proposed scores and nomograms are reported in </w:t>
      </w:r>
      <w:r w:rsidR="00450758">
        <w:rPr>
          <w:rFonts w:ascii="Book Antiqua" w:hAnsi="Book Antiqua" w:hint="eastAsia"/>
          <w:sz w:val="24"/>
          <w:szCs w:val="24"/>
          <w:lang w:val="en-US" w:eastAsia="zh-CN"/>
        </w:rPr>
        <w:t>T</w:t>
      </w:r>
      <w:r w:rsidR="00224433" w:rsidRPr="00E14F98">
        <w:rPr>
          <w:rFonts w:ascii="Book Antiqua" w:hAnsi="Book Antiqua"/>
          <w:sz w:val="24"/>
          <w:szCs w:val="24"/>
          <w:lang w:val="en-US"/>
        </w:rPr>
        <w:t>able 2</w:t>
      </w:r>
      <w:r w:rsidR="007E4AEC" w:rsidRPr="00E14F98">
        <w:rPr>
          <w:rFonts w:ascii="Book Antiqua" w:hAnsi="Book Antiqua"/>
          <w:sz w:val="24"/>
          <w:szCs w:val="24"/>
          <w:vertAlign w:val="superscript"/>
          <w:lang w:val="en-US"/>
        </w:rPr>
        <w:t>[20-2</w:t>
      </w:r>
      <w:r w:rsidR="00701D1C" w:rsidRPr="00E14F98">
        <w:rPr>
          <w:rFonts w:ascii="Book Antiqua" w:hAnsi="Book Antiqua"/>
          <w:sz w:val="24"/>
          <w:szCs w:val="24"/>
          <w:vertAlign w:val="superscript"/>
          <w:lang w:val="en-US"/>
        </w:rPr>
        <w:t>2</w:t>
      </w:r>
      <w:r w:rsidR="007E4AEC" w:rsidRPr="00E14F98">
        <w:rPr>
          <w:rFonts w:ascii="Book Antiqua" w:hAnsi="Book Antiqua"/>
          <w:sz w:val="24"/>
          <w:szCs w:val="24"/>
          <w:vertAlign w:val="superscript"/>
          <w:lang w:val="en-US"/>
        </w:rPr>
        <w:t>]</w:t>
      </w:r>
      <w:r w:rsidR="00224433" w:rsidRPr="00E14F98">
        <w:rPr>
          <w:rFonts w:ascii="Book Antiqua" w:hAnsi="Book Antiqua"/>
          <w:sz w:val="24"/>
          <w:szCs w:val="24"/>
          <w:lang w:val="en-US"/>
        </w:rPr>
        <w:t xml:space="preserve">. </w:t>
      </w:r>
    </w:p>
    <w:p w:rsidR="00A9100F" w:rsidRPr="00E14F98" w:rsidRDefault="007D6C00" w:rsidP="00450758">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Unfortunately, none of these new prognostic systems have been unequivocally confirmed in clinical </w:t>
      </w:r>
      <w:proofErr w:type="gramStart"/>
      <w:r w:rsidRPr="00E14F98">
        <w:rPr>
          <w:rFonts w:ascii="Book Antiqua" w:hAnsi="Book Antiqua"/>
          <w:sz w:val="24"/>
          <w:szCs w:val="24"/>
          <w:lang w:val="en-US"/>
        </w:rPr>
        <w:t>practice</w:t>
      </w:r>
      <w:r w:rsidR="00701D1C" w:rsidRPr="00E14F98">
        <w:rPr>
          <w:rFonts w:ascii="Book Antiqua" w:hAnsi="Book Antiqua"/>
          <w:sz w:val="24"/>
          <w:szCs w:val="24"/>
          <w:vertAlign w:val="superscript"/>
          <w:lang w:val="en-US"/>
        </w:rPr>
        <w:t>[</w:t>
      </w:r>
      <w:proofErr w:type="gramEnd"/>
      <w:r w:rsidR="00701D1C" w:rsidRPr="00E14F98">
        <w:rPr>
          <w:rFonts w:ascii="Book Antiqua" w:hAnsi="Book Antiqua"/>
          <w:sz w:val="24"/>
          <w:szCs w:val="24"/>
          <w:vertAlign w:val="superscript"/>
          <w:lang w:val="en-US"/>
        </w:rPr>
        <w:t>23-26</w:t>
      </w:r>
      <w:r w:rsidR="00717ECA" w:rsidRPr="00E14F98">
        <w:rPr>
          <w:rFonts w:ascii="Book Antiqua" w:hAnsi="Book Antiqua"/>
          <w:sz w:val="24"/>
          <w:szCs w:val="24"/>
          <w:vertAlign w:val="superscript"/>
          <w:lang w:val="en-US"/>
        </w:rPr>
        <w:t>]</w:t>
      </w:r>
      <w:r w:rsidRPr="00E14F98">
        <w:rPr>
          <w:rFonts w:ascii="Book Antiqua" w:hAnsi="Book Antiqua"/>
          <w:sz w:val="24"/>
          <w:szCs w:val="24"/>
          <w:lang w:val="en-US"/>
        </w:rPr>
        <w:t xml:space="preserve">. </w:t>
      </w:r>
      <w:r w:rsidR="001247D5" w:rsidRPr="00E14F98">
        <w:rPr>
          <w:rFonts w:ascii="Book Antiqua" w:hAnsi="Book Antiqua"/>
          <w:sz w:val="24"/>
          <w:szCs w:val="24"/>
          <w:lang w:val="en-US"/>
        </w:rPr>
        <w:t>In fact, a</w:t>
      </w:r>
      <w:r w:rsidRPr="00E14F98">
        <w:rPr>
          <w:rFonts w:ascii="Book Antiqua" w:hAnsi="Book Antiqua"/>
          <w:sz w:val="24"/>
          <w:szCs w:val="24"/>
          <w:lang w:val="en-US"/>
        </w:rPr>
        <w:t xml:space="preserve">ll these efforts, although properly conducted, suffer from overfitting: a phenomenon occurring when a model maximizes its performance on some set of data but its predictive performance is not confirmed elsewhere due to random fluctuations of patients’ characteristics in different clinical and demographical backgrounds. The very fact that so different scores keep on being proposed confirms </w:t>
      </w:r>
      <w:r w:rsidR="00E423A1" w:rsidRPr="00E14F98">
        <w:rPr>
          <w:rFonts w:ascii="Book Antiqua" w:hAnsi="Book Antiqua"/>
          <w:sz w:val="24"/>
          <w:szCs w:val="24"/>
          <w:lang w:val="en-US"/>
        </w:rPr>
        <w:t>and gives proof of this concept</w:t>
      </w:r>
      <w:r w:rsidRPr="00E14F98">
        <w:rPr>
          <w:rFonts w:ascii="Book Antiqua" w:hAnsi="Book Antiqua"/>
          <w:sz w:val="24"/>
          <w:szCs w:val="24"/>
          <w:lang w:val="en-US"/>
        </w:rPr>
        <w:t xml:space="preserve">. </w:t>
      </w:r>
      <w:r w:rsidR="0031469E" w:rsidRPr="00E14F98">
        <w:rPr>
          <w:rFonts w:ascii="Book Antiqua" w:hAnsi="Book Antiqua"/>
          <w:sz w:val="24"/>
          <w:szCs w:val="24"/>
          <w:lang w:val="en-US"/>
        </w:rPr>
        <w:t>When a model is built, a</w:t>
      </w:r>
      <w:r w:rsidRPr="00E14F98">
        <w:rPr>
          <w:rFonts w:ascii="Book Antiqua" w:hAnsi="Book Antiqua"/>
          <w:sz w:val="24"/>
          <w:szCs w:val="24"/>
          <w:lang w:val="en-US"/>
        </w:rPr>
        <w:t xml:space="preserve">s in the case of the </w:t>
      </w:r>
      <w:r w:rsidR="0031469E" w:rsidRPr="00E14F98">
        <w:rPr>
          <w:rFonts w:ascii="Book Antiqua" w:hAnsi="Book Antiqua"/>
          <w:sz w:val="24"/>
          <w:szCs w:val="24"/>
          <w:lang w:val="en-US"/>
        </w:rPr>
        <w:t>aforementioned studies</w:t>
      </w:r>
      <w:r w:rsidRPr="00E14F98">
        <w:rPr>
          <w:rFonts w:ascii="Book Antiqua" w:hAnsi="Book Antiqua"/>
          <w:sz w:val="24"/>
          <w:szCs w:val="24"/>
          <w:lang w:val="en-US"/>
        </w:rPr>
        <w:t xml:space="preserve">, the score is tested in a different but “plausibly related” cohort and that is </w:t>
      </w:r>
      <w:r w:rsidR="00546EC1" w:rsidRPr="00E14F98">
        <w:rPr>
          <w:rFonts w:ascii="Book Antiqua" w:hAnsi="Book Antiqua"/>
          <w:sz w:val="24"/>
          <w:szCs w:val="24"/>
          <w:lang w:val="en-US"/>
        </w:rPr>
        <w:t>called external validation; unfortunately,</w:t>
      </w:r>
      <w:r w:rsidRPr="00E14F98">
        <w:rPr>
          <w:rFonts w:ascii="Book Antiqua" w:hAnsi="Book Antiqua"/>
          <w:sz w:val="24"/>
          <w:szCs w:val="24"/>
          <w:lang w:val="en-US"/>
        </w:rPr>
        <w:t xml:space="preserve"> external validation </w:t>
      </w:r>
      <w:r w:rsidR="00546EC1" w:rsidRPr="00E14F98">
        <w:rPr>
          <w:rFonts w:ascii="Book Antiqua" w:hAnsi="Book Antiqua"/>
          <w:sz w:val="24"/>
          <w:szCs w:val="24"/>
          <w:lang w:val="en-US"/>
        </w:rPr>
        <w:t>has been found to show</w:t>
      </w:r>
      <w:r w:rsidRPr="00E14F98">
        <w:rPr>
          <w:rFonts w:ascii="Book Antiqua" w:hAnsi="Book Antiqua"/>
          <w:sz w:val="24"/>
          <w:szCs w:val="24"/>
          <w:lang w:val="en-US"/>
        </w:rPr>
        <w:t xml:space="preserve"> sufficient power to detect clinically important changes in performance only when substantial sample sizes are available</w:t>
      </w:r>
      <w:r w:rsidR="00142B91" w:rsidRPr="00E14F98">
        <w:rPr>
          <w:rFonts w:ascii="Book Antiqua" w:hAnsi="Book Antiqua"/>
          <w:sz w:val="24"/>
          <w:szCs w:val="24"/>
          <w:lang w:val="en-US"/>
        </w:rPr>
        <w:t xml:space="preserve">, that is not common in clinical </w:t>
      </w:r>
      <w:proofErr w:type="gramStart"/>
      <w:r w:rsidR="00142B91" w:rsidRPr="00E14F98">
        <w:rPr>
          <w:rFonts w:ascii="Book Antiqua" w:hAnsi="Book Antiqua"/>
          <w:sz w:val="24"/>
          <w:szCs w:val="24"/>
          <w:lang w:val="en-US"/>
        </w:rPr>
        <w:t>research</w:t>
      </w:r>
      <w:r w:rsidR="00450758" w:rsidRPr="00E14F98">
        <w:rPr>
          <w:rFonts w:ascii="Book Antiqua" w:hAnsi="Book Antiqua"/>
          <w:sz w:val="24"/>
          <w:szCs w:val="24"/>
          <w:vertAlign w:val="superscript"/>
          <w:lang w:val="en-US"/>
        </w:rPr>
        <w:t>[</w:t>
      </w:r>
      <w:proofErr w:type="gramEnd"/>
      <w:r w:rsidR="00450758" w:rsidRPr="00E14F98">
        <w:rPr>
          <w:rFonts w:ascii="Book Antiqua" w:hAnsi="Book Antiqua"/>
          <w:sz w:val="24"/>
          <w:szCs w:val="24"/>
          <w:vertAlign w:val="superscript"/>
          <w:lang w:val="en-US"/>
        </w:rPr>
        <w:t>27]</w:t>
      </w:r>
      <w:r w:rsidRPr="00E14F98">
        <w:rPr>
          <w:rFonts w:ascii="Book Antiqua" w:hAnsi="Book Antiqua"/>
          <w:sz w:val="24"/>
          <w:szCs w:val="24"/>
          <w:lang w:val="en-US"/>
        </w:rPr>
        <w:t>.</w:t>
      </w:r>
      <w:r w:rsidR="00142B91" w:rsidRPr="00E14F98">
        <w:rPr>
          <w:rFonts w:ascii="Book Antiqua" w:hAnsi="Book Antiqua"/>
          <w:sz w:val="24"/>
          <w:szCs w:val="24"/>
          <w:lang w:val="en-US"/>
        </w:rPr>
        <w:t xml:space="preserve"> </w:t>
      </w:r>
      <w:r w:rsidR="007E3ACE" w:rsidRPr="00E14F98">
        <w:rPr>
          <w:rFonts w:ascii="Book Antiqua" w:hAnsi="Book Antiqua"/>
          <w:sz w:val="24"/>
          <w:szCs w:val="24"/>
          <w:lang w:val="en-US"/>
        </w:rPr>
        <w:t xml:space="preserve">With smaller series, as in the case of most of the above reported papers, </w:t>
      </w:r>
      <w:r w:rsidRPr="00E14F98">
        <w:rPr>
          <w:rFonts w:ascii="Book Antiqua" w:hAnsi="Book Antiqua"/>
          <w:sz w:val="24"/>
          <w:szCs w:val="24"/>
          <w:lang w:val="en-US"/>
        </w:rPr>
        <w:t>the s</w:t>
      </w:r>
      <w:r w:rsidR="007E3ACE" w:rsidRPr="00E14F98">
        <w:rPr>
          <w:rFonts w:ascii="Book Antiqua" w:hAnsi="Book Antiqua"/>
          <w:sz w:val="24"/>
          <w:szCs w:val="24"/>
          <w:lang w:val="en-US"/>
        </w:rPr>
        <w:t>ole external validation may</w:t>
      </w:r>
      <w:r w:rsidRPr="00E14F98">
        <w:rPr>
          <w:rFonts w:ascii="Book Antiqua" w:hAnsi="Book Antiqua"/>
          <w:sz w:val="24"/>
          <w:szCs w:val="24"/>
          <w:lang w:val="en-US"/>
        </w:rPr>
        <w:t xml:space="preserve"> le</w:t>
      </w:r>
      <w:r w:rsidR="007E3ACE" w:rsidRPr="00E14F98">
        <w:rPr>
          <w:rFonts w:ascii="Book Antiqua" w:hAnsi="Book Antiqua"/>
          <w:sz w:val="24"/>
          <w:szCs w:val="24"/>
          <w:lang w:val="en-US"/>
        </w:rPr>
        <w:t>a</w:t>
      </w:r>
      <w:r w:rsidRPr="00E14F98">
        <w:rPr>
          <w:rFonts w:ascii="Book Antiqua" w:hAnsi="Book Antiqua"/>
          <w:sz w:val="24"/>
          <w:szCs w:val="24"/>
          <w:lang w:val="en-US"/>
        </w:rPr>
        <w:t xml:space="preserve">d to an overestimation of the performance of the model. </w:t>
      </w:r>
      <w:r w:rsidR="007E3ACE" w:rsidRPr="00E14F98">
        <w:rPr>
          <w:rFonts w:ascii="Book Antiqua" w:hAnsi="Book Antiqua"/>
          <w:sz w:val="24"/>
          <w:szCs w:val="24"/>
          <w:lang w:val="en-US"/>
        </w:rPr>
        <w:t xml:space="preserve">In attendance </w:t>
      </w:r>
      <w:r w:rsidR="007E3ACE" w:rsidRPr="00E14F98">
        <w:rPr>
          <w:rFonts w:ascii="Book Antiqua" w:hAnsi="Book Antiqua"/>
          <w:sz w:val="24"/>
          <w:szCs w:val="24"/>
          <w:lang w:val="en-US"/>
        </w:rPr>
        <w:lastRenderedPageBreak/>
        <w:t>of larger multicenter series and more reliable statistical tools (for instance bootstrap sampling or internal validation)</w:t>
      </w:r>
      <w:r w:rsidR="00701D1C" w:rsidRPr="00E14F98">
        <w:rPr>
          <w:rFonts w:ascii="Book Antiqua" w:hAnsi="Book Antiqua"/>
          <w:sz w:val="24"/>
          <w:szCs w:val="24"/>
          <w:vertAlign w:val="superscript"/>
          <w:lang w:val="en-US"/>
        </w:rPr>
        <w:t>[28</w:t>
      </w:r>
      <w:r w:rsidR="007E3ACE" w:rsidRPr="00E14F98">
        <w:rPr>
          <w:rFonts w:ascii="Book Antiqua" w:hAnsi="Book Antiqua"/>
          <w:sz w:val="24"/>
          <w:szCs w:val="24"/>
          <w:vertAlign w:val="superscript"/>
          <w:lang w:val="en-US"/>
        </w:rPr>
        <w:t>]</w:t>
      </w:r>
      <w:r w:rsidR="009E1C59" w:rsidRPr="00E14F98">
        <w:rPr>
          <w:rFonts w:ascii="Book Antiqua" w:hAnsi="Book Antiqua"/>
          <w:sz w:val="24"/>
          <w:szCs w:val="24"/>
          <w:lang w:val="en-US"/>
        </w:rPr>
        <w:t xml:space="preserve">, </w:t>
      </w:r>
      <w:r w:rsidR="00DD6F1E" w:rsidRPr="00E14F98">
        <w:rPr>
          <w:rFonts w:ascii="Book Antiqua" w:hAnsi="Book Antiqua"/>
          <w:sz w:val="24"/>
          <w:szCs w:val="24"/>
          <w:lang w:val="en-US"/>
        </w:rPr>
        <w:t>an unequivocally accepted prognostic system able to guide the decision of TACE repetition remains an unmet need</w:t>
      </w:r>
      <w:r w:rsidRPr="00E14F98">
        <w:rPr>
          <w:rFonts w:ascii="Book Antiqua" w:hAnsi="Book Antiqua"/>
          <w:sz w:val="24"/>
          <w:szCs w:val="24"/>
          <w:lang w:val="en-US"/>
        </w:rPr>
        <w:t>.</w:t>
      </w:r>
      <w:r w:rsidR="000251DB" w:rsidRPr="00E14F98">
        <w:rPr>
          <w:rFonts w:ascii="Book Antiqua" w:hAnsi="Book Antiqua"/>
          <w:sz w:val="24"/>
          <w:szCs w:val="24"/>
          <w:lang w:val="en-US"/>
        </w:rPr>
        <w:t xml:space="preserve"> The detailed list of the proposed scoring systems for HCC patients undergoing TACE is reported in </w:t>
      </w:r>
      <w:r w:rsidR="00450758">
        <w:rPr>
          <w:rFonts w:ascii="Book Antiqua" w:hAnsi="Book Antiqua" w:hint="eastAsia"/>
          <w:sz w:val="24"/>
          <w:szCs w:val="24"/>
          <w:lang w:val="en-US" w:eastAsia="zh-CN"/>
        </w:rPr>
        <w:t>T</w:t>
      </w:r>
      <w:r w:rsidR="000251DB" w:rsidRPr="00E14F98">
        <w:rPr>
          <w:rFonts w:ascii="Book Antiqua" w:hAnsi="Book Antiqua"/>
          <w:sz w:val="24"/>
          <w:szCs w:val="24"/>
          <w:lang w:val="en-US"/>
        </w:rPr>
        <w:t xml:space="preserve">able 2. </w:t>
      </w:r>
    </w:p>
    <w:p w:rsidR="007D6C00" w:rsidRPr="00E14F98" w:rsidRDefault="007D6C00" w:rsidP="00E14F98">
      <w:pPr>
        <w:spacing w:after="0" w:line="360" w:lineRule="auto"/>
        <w:jc w:val="both"/>
        <w:rPr>
          <w:rFonts w:ascii="Book Antiqua" w:hAnsi="Book Antiqua"/>
          <w:sz w:val="24"/>
          <w:szCs w:val="24"/>
          <w:lang w:val="en-US"/>
        </w:rPr>
      </w:pPr>
    </w:p>
    <w:p w:rsidR="00B60A2C" w:rsidRPr="00E14F98" w:rsidRDefault="00450758" w:rsidP="00E14F98">
      <w:pPr>
        <w:spacing w:after="0" w:line="360" w:lineRule="auto"/>
        <w:jc w:val="both"/>
        <w:rPr>
          <w:rFonts w:ascii="Book Antiqua" w:hAnsi="Book Antiqua"/>
          <w:b/>
          <w:sz w:val="24"/>
          <w:szCs w:val="24"/>
          <w:lang w:val="en-US"/>
        </w:rPr>
      </w:pPr>
      <w:r w:rsidRPr="00E14F98">
        <w:rPr>
          <w:rFonts w:ascii="Book Antiqua" w:hAnsi="Book Antiqua"/>
          <w:b/>
          <w:sz w:val="24"/>
          <w:szCs w:val="24"/>
          <w:lang w:val="en-US"/>
        </w:rPr>
        <w:t>USEFULNESS OF DRUG INJECTION</w:t>
      </w:r>
    </w:p>
    <w:p w:rsidR="00A957E0" w:rsidRPr="00E14F98" w:rsidRDefault="00644ACE"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Robust data in f</w:t>
      </w:r>
      <w:r w:rsidR="00830E16" w:rsidRPr="00E14F98">
        <w:rPr>
          <w:rFonts w:ascii="Book Antiqua" w:hAnsi="Book Antiqua"/>
          <w:sz w:val="24"/>
          <w:szCs w:val="24"/>
          <w:lang w:val="en-US"/>
        </w:rPr>
        <w:t xml:space="preserve">avor of a clear superiority of conventional </w:t>
      </w:r>
      <w:r w:rsidRPr="00E14F98">
        <w:rPr>
          <w:rFonts w:ascii="Book Antiqua" w:hAnsi="Book Antiqua"/>
          <w:sz w:val="24"/>
          <w:szCs w:val="24"/>
          <w:lang w:val="en-US"/>
        </w:rPr>
        <w:t xml:space="preserve">TACE over </w:t>
      </w:r>
      <w:r w:rsidR="00830E16" w:rsidRPr="00E14F98">
        <w:rPr>
          <w:rFonts w:ascii="Book Antiqua" w:hAnsi="Book Antiqua"/>
          <w:sz w:val="24"/>
          <w:szCs w:val="24"/>
          <w:lang w:val="en-US"/>
        </w:rPr>
        <w:t>transarterial embolization (</w:t>
      </w:r>
      <w:r w:rsidRPr="00E14F98">
        <w:rPr>
          <w:rFonts w:ascii="Book Antiqua" w:hAnsi="Book Antiqua"/>
          <w:sz w:val="24"/>
          <w:szCs w:val="24"/>
          <w:lang w:val="en-US"/>
        </w:rPr>
        <w:t>TAE</w:t>
      </w:r>
      <w:r w:rsidR="00830E16" w:rsidRPr="00E14F98">
        <w:rPr>
          <w:rFonts w:ascii="Book Antiqua" w:hAnsi="Book Antiqua"/>
          <w:sz w:val="24"/>
          <w:szCs w:val="24"/>
          <w:lang w:val="en-US"/>
        </w:rPr>
        <w:t>)</w:t>
      </w:r>
      <w:r w:rsidRPr="00E14F98">
        <w:rPr>
          <w:rFonts w:ascii="Book Antiqua" w:hAnsi="Book Antiqua"/>
          <w:sz w:val="24"/>
          <w:szCs w:val="24"/>
          <w:lang w:val="en-US"/>
        </w:rPr>
        <w:t xml:space="preserve"> are </w:t>
      </w:r>
      <w:proofErr w:type="gramStart"/>
      <w:r w:rsidRPr="00E14F98">
        <w:rPr>
          <w:rFonts w:ascii="Book Antiqua" w:hAnsi="Book Antiqua"/>
          <w:sz w:val="24"/>
          <w:szCs w:val="24"/>
          <w:lang w:val="en-US"/>
        </w:rPr>
        <w:t>lacking</w:t>
      </w:r>
      <w:r w:rsidR="00005347" w:rsidRPr="00E14F98">
        <w:rPr>
          <w:rFonts w:ascii="Book Antiqua" w:hAnsi="Book Antiqua"/>
          <w:sz w:val="24"/>
          <w:szCs w:val="24"/>
          <w:vertAlign w:val="superscript"/>
          <w:lang w:val="en-US"/>
        </w:rPr>
        <w:t>[</w:t>
      </w:r>
      <w:proofErr w:type="gramEnd"/>
      <w:r w:rsidR="00005347" w:rsidRPr="00E14F98">
        <w:rPr>
          <w:rFonts w:ascii="Book Antiqua" w:hAnsi="Book Antiqua"/>
          <w:sz w:val="24"/>
          <w:szCs w:val="24"/>
          <w:vertAlign w:val="superscript"/>
          <w:lang w:val="en-US"/>
        </w:rPr>
        <w:t>29]</w:t>
      </w:r>
      <w:r w:rsidR="00E675D8" w:rsidRPr="00E14F98">
        <w:rPr>
          <w:rFonts w:ascii="Book Antiqua" w:hAnsi="Book Antiqua"/>
          <w:sz w:val="24"/>
          <w:szCs w:val="24"/>
          <w:lang w:val="en-US"/>
        </w:rPr>
        <w:t xml:space="preserve">. A </w:t>
      </w:r>
      <w:r w:rsidRPr="00E14F98">
        <w:rPr>
          <w:rFonts w:ascii="Book Antiqua" w:hAnsi="Book Antiqua"/>
          <w:sz w:val="24"/>
          <w:szCs w:val="24"/>
          <w:lang w:val="en-US"/>
        </w:rPr>
        <w:t xml:space="preserve">RCT comparing cTACE, TAE and </w:t>
      </w:r>
      <w:r w:rsidR="00E675D8" w:rsidRPr="00E14F98">
        <w:rPr>
          <w:rFonts w:ascii="Book Antiqua" w:hAnsi="Book Antiqua"/>
          <w:sz w:val="24"/>
          <w:szCs w:val="24"/>
          <w:lang w:val="en-US"/>
        </w:rPr>
        <w:t>best supportive care (</w:t>
      </w:r>
      <w:r w:rsidRPr="00E14F98">
        <w:rPr>
          <w:rFonts w:ascii="Book Antiqua" w:hAnsi="Book Antiqua"/>
          <w:sz w:val="24"/>
          <w:szCs w:val="24"/>
          <w:lang w:val="en-US"/>
        </w:rPr>
        <w:t>BSC</w:t>
      </w:r>
      <w:r w:rsidR="00E675D8" w:rsidRPr="00E14F98">
        <w:rPr>
          <w:rFonts w:ascii="Book Antiqua" w:hAnsi="Book Antiqua"/>
          <w:sz w:val="24"/>
          <w:szCs w:val="24"/>
          <w:lang w:val="en-US"/>
        </w:rPr>
        <w:t>)</w:t>
      </w:r>
      <w:r w:rsidRPr="00E14F98">
        <w:rPr>
          <w:rFonts w:ascii="Book Antiqua" w:hAnsi="Book Antiqua"/>
          <w:sz w:val="24"/>
          <w:szCs w:val="24"/>
          <w:lang w:val="en-US"/>
        </w:rPr>
        <w:t xml:space="preserve"> was prematurely terminated due to the superiority of cTACE over BSC</w:t>
      </w:r>
      <w:r w:rsidR="00504A97" w:rsidRPr="00E14F98">
        <w:rPr>
          <w:rFonts w:ascii="Book Antiqua" w:hAnsi="Book Antiqua"/>
          <w:sz w:val="24"/>
          <w:szCs w:val="24"/>
          <w:lang w:val="en-US"/>
        </w:rPr>
        <w:t xml:space="preserve"> (see below)</w:t>
      </w:r>
      <w:r w:rsidR="002E0FAD" w:rsidRPr="00E14F98">
        <w:rPr>
          <w:rFonts w:ascii="Book Antiqua" w:hAnsi="Book Antiqua"/>
          <w:sz w:val="24"/>
          <w:szCs w:val="24"/>
          <w:vertAlign w:val="superscript"/>
          <w:lang w:val="en-US"/>
        </w:rPr>
        <w:t>[30]</w:t>
      </w:r>
      <w:r w:rsidRPr="00E14F98">
        <w:rPr>
          <w:rFonts w:ascii="Book Antiqua" w:hAnsi="Book Antiqua"/>
          <w:sz w:val="24"/>
          <w:szCs w:val="24"/>
          <w:lang w:val="en-US"/>
        </w:rPr>
        <w:t xml:space="preserve">. </w:t>
      </w:r>
      <w:r w:rsidR="00673B9C" w:rsidRPr="00E14F98">
        <w:rPr>
          <w:rFonts w:ascii="Book Antiqua" w:hAnsi="Book Antiqua"/>
          <w:sz w:val="24"/>
          <w:szCs w:val="24"/>
          <w:lang w:val="en-US"/>
        </w:rPr>
        <w:t xml:space="preserve">Unfortunately, this prevented the possibility to verify the efficacy of TAE, which could be hypothesized based on the trend observed in </w:t>
      </w:r>
      <w:proofErr w:type="gramStart"/>
      <w:r w:rsidR="00673B9C" w:rsidRPr="00E14F98">
        <w:rPr>
          <w:rFonts w:ascii="Book Antiqua" w:hAnsi="Book Antiqua"/>
          <w:sz w:val="24"/>
          <w:szCs w:val="24"/>
          <w:lang w:val="en-US"/>
        </w:rPr>
        <w:t>OS</w:t>
      </w:r>
      <w:r w:rsidR="00DB2F5C" w:rsidRPr="00E14F98">
        <w:rPr>
          <w:rFonts w:ascii="Book Antiqua" w:hAnsi="Book Antiqua"/>
          <w:sz w:val="24"/>
          <w:szCs w:val="24"/>
          <w:vertAlign w:val="superscript"/>
          <w:lang w:val="en-US"/>
        </w:rPr>
        <w:t>[</w:t>
      </w:r>
      <w:proofErr w:type="gramEnd"/>
      <w:r w:rsidR="00DB2F5C" w:rsidRPr="00E14F98">
        <w:rPr>
          <w:rFonts w:ascii="Book Antiqua" w:hAnsi="Book Antiqua"/>
          <w:sz w:val="24"/>
          <w:szCs w:val="24"/>
          <w:vertAlign w:val="superscript"/>
          <w:lang w:val="en-US"/>
        </w:rPr>
        <w:t>30]</w:t>
      </w:r>
      <w:r w:rsidR="00673B9C" w:rsidRPr="00E14F98">
        <w:rPr>
          <w:rFonts w:ascii="Book Antiqua" w:hAnsi="Book Antiqua"/>
          <w:sz w:val="24"/>
          <w:szCs w:val="24"/>
          <w:lang w:val="en-US"/>
        </w:rPr>
        <w:t xml:space="preserve">. </w:t>
      </w:r>
      <w:r w:rsidR="00705765" w:rsidRPr="00E14F98">
        <w:rPr>
          <w:rFonts w:ascii="Book Antiqua" w:hAnsi="Book Antiqua"/>
          <w:sz w:val="24"/>
          <w:szCs w:val="24"/>
          <w:lang w:val="en-US"/>
        </w:rPr>
        <w:t>Similarly, no d</w:t>
      </w:r>
      <w:r w:rsidR="00C815AE" w:rsidRPr="00E14F98">
        <w:rPr>
          <w:rFonts w:ascii="Book Antiqua" w:hAnsi="Book Antiqua"/>
          <w:sz w:val="24"/>
          <w:szCs w:val="24"/>
          <w:lang w:val="en-US"/>
        </w:rPr>
        <w:t>ifference in terms of survival rates was reported between cisplatin-based</w:t>
      </w:r>
      <w:r w:rsidR="00705765" w:rsidRPr="00E14F98">
        <w:rPr>
          <w:rFonts w:ascii="Book Antiqua" w:hAnsi="Book Antiqua"/>
          <w:sz w:val="24"/>
          <w:szCs w:val="24"/>
          <w:lang w:val="en-US"/>
        </w:rPr>
        <w:t xml:space="preserve"> TACE and TAE in a small </w:t>
      </w:r>
      <w:r w:rsidR="00C815AE" w:rsidRPr="00E14F98">
        <w:rPr>
          <w:rFonts w:ascii="Book Antiqua" w:hAnsi="Book Antiqua"/>
          <w:sz w:val="24"/>
          <w:szCs w:val="24"/>
          <w:lang w:val="en-US"/>
        </w:rPr>
        <w:t xml:space="preserve">Chinese </w:t>
      </w:r>
      <w:proofErr w:type="gramStart"/>
      <w:r w:rsidR="00C815AE" w:rsidRPr="00E14F98">
        <w:rPr>
          <w:rFonts w:ascii="Book Antiqua" w:hAnsi="Book Antiqua"/>
          <w:sz w:val="24"/>
          <w:szCs w:val="24"/>
          <w:lang w:val="en-US"/>
        </w:rPr>
        <w:t>RCT</w:t>
      </w:r>
      <w:r w:rsidR="00277A72" w:rsidRPr="00E14F98">
        <w:rPr>
          <w:rFonts w:ascii="Book Antiqua" w:hAnsi="Book Antiqua"/>
          <w:sz w:val="24"/>
          <w:szCs w:val="24"/>
          <w:vertAlign w:val="superscript"/>
          <w:lang w:val="en-US"/>
        </w:rPr>
        <w:t>[</w:t>
      </w:r>
      <w:proofErr w:type="gramEnd"/>
      <w:r w:rsidR="00277A72" w:rsidRPr="00E14F98">
        <w:rPr>
          <w:rFonts w:ascii="Book Antiqua" w:hAnsi="Book Antiqua"/>
          <w:sz w:val="24"/>
          <w:szCs w:val="24"/>
          <w:vertAlign w:val="superscript"/>
          <w:lang w:val="en-US"/>
        </w:rPr>
        <w:t>31]</w:t>
      </w:r>
      <w:r w:rsidR="00705765" w:rsidRPr="00E14F98">
        <w:rPr>
          <w:rFonts w:ascii="Book Antiqua" w:hAnsi="Book Antiqua"/>
          <w:sz w:val="24"/>
          <w:szCs w:val="24"/>
          <w:lang w:val="en-US"/>
        </w:rPr>
        <w:t xml:space="preserve">. </w:t>
      </w:r>
      <w:r w:rsidR="005B4200" w:rsidRPr="00E14F98">
        <w:rPr>
          <w:rFonts w:ascii="Book Antiqua" w:hAnsi="Book Antiqua"/>
          <w:sz w:val="24"/>
          <w:szCs w:val="24"/>
          <w:lang w:val="en-US"/>
        </w:rPr>
        <w:t>On the other hand, t</w:t>
      </w:r>
      <w:r w:rsidR="00436CD7" w:rsidRPr="00E14F98">
        <w:rPr>
          <w:rFonts w:ascii="Book Antiqua" w:hAnsi="Book Antiqua"/>
          <w:sz w:val="24"/>
          <w:szCs w:val="24"/>
          <w:lang w:val="en-US"/>
        </w:rPr>
        <w:t xml:space="preserve">he added value of </w:t>
      </w:r>
      <w:r w:rsidR="00040020" w:rsidRPr="00E14F98">
        <w:rPr>
          <w:rFonts w:ascii="Book Antiqua" w:hAnsi="Book Antiqua"/>
          <w:sz w:val="24"/>
          <w:szCs w:val="24"/>
          <w:lang w:val="en-US"/>
        </w:rPr>
        <w:t xml:space="preserve">the </w:t>
      </w:r>
      <w:r w:rsidR="00436CD7" w:rsidRPr="00E14F98">
        <w:rPr>
          <w:rFonts w:ascii="Book Antiqua" w:hAnsi="Book Antiqua"/>
          <w:sz w:val="24"/>
          <w:szCs w:val="24"/>
          <w:lang w:val="en-US"/>
        </w:rPr>
        <w:t>chemotherapeutic agent</w:t>
      </w:r>
      <w:r w:rsidR="00040020" w:rsidRPr="00E14F98">
        <w:rPr>
          <w:rFonts w:ascii="Book Antiqua" w:hAnsi="Book Antiqua"/>
          <w:sz w:val="24"/>
          <w:szCs w:val="24"/>
          <w:lang w:val="en-US"/>
        </w:rPr>
        <w:t xml:space="preserve"> (doxorubicin)</w:t>
      </w:r>
      <w:r w:rsidR="00300894" w:rsidRPr="00E14F98">
        <w:rPr>
          <w:rFonts w:ascii="Book Antiqua" w:hAnsi="Book Antiqua"/>
          <w:sz w:val="24"/>
          <w:szCs w:val="24"/>
          <w:lang w:val="en-US"/>
        </w:rPr>
        <w:t xml:space="preserve"> in </w:t>
      </w:r>
      <w:r w:rsidR="00040020" w:rsidRPr="00E14F98">
        <w:rPr>
          <w:rFonts w:ascii="Book Antiqua" w:hAnsi="Book Antiqua"/>
          <w:sz w:val="24"/>
          <w:szCs w:val="24"/>
          <w:lang w:val="en-US"/>
        </w:rPr>
        <w:t>drug-eluting bead (</w:t>
      </w:r>
      <w:r w:rsidR="00300894" w:rsidRPr="00E14F98">
        <w:rPr>
          <w:rFonts w:ascii="Book Antiqua" w:hAnsi="Book Antiqua"/>
          <w:sz w:val="24"/>
          <w:szCs w:val="24"/>
          <w:lang w:val="en-US"/>
        </w:rPr>
        <w:t>DEB</w:t>
      </w:r>
      <w:r w:rsidR="00040020" w:rsidRPr="00E14F98">
        <w:rPr>
          <w:rFonts w:ascii="Book Antiqua" w:hAnsi="Book Antiqua"/>
          <w:sz w:val="24"/>
          <w:szCs w:val="24"/>
          <w:lang w:val="en-US"/>
        </w:rPr>
        <w:t>)</w:t>
      </w:r>
      <w:r w:rsidR="00300894" w:rsidRPr="00E14F98">
        <w:rPr>
          <w:rFonts w:ascii="Book Antiqua" w:hAnsi="Book Antiqua"/>
          <w:sz w:val="24"/>
          <w:szCs w:val="24"/>
          <w:lang w:val="en-US"/>
        </w:rPr>
        <w:t>-TACE</w:t>
      </w:r>
      <w:r w:rsidR="00436CD7" w:rsidRPr="00E14F98">
        <w:rPr>
          <w:rFonts w:ascii="Book Antiqua" w:hAnsi="Book Antiqua"/>
          <w:sz w:val="24"/>
          <w:szCs w:val="24"/>
          <w:lang w:val="en-US"/>
        </w:rPr>
        <w:t xml:space="preserve"> over bland TAE has been </w:t>
      </w:r>
      <w:r w:rsidR="00040020" w:rsidRPr="00E14F98">
        <w:rPr>
          <w:rFonts w:ascii="Book Antiqua" w:hAnsi="Book Antiqua"/>
          <w:sz w:val="24"/>
          <w:szCs w:val="24"/>
          <w:lang w:val="en-US"/>
        </w:rPr>
        <w:t>recently demonstrated in</w:t>
      </w:r>
      <w:r w:rsidR="00436CD7" w:rsidRPr="00E14F98">
        <w:rPr>
          <w:rFonts w:ascii="Book Antiqua" w:hAnsi="Book Antiqua"/>
          <w:sz w:val="24"/>
          <w:szCs w:val="24"/>
          <w:lang w:val="en-US"/>
        </w:rPr>
        <w:t xml:space="preserve"> a </w:t>
      </w:r>
      <w:r w:rsidR="00040020" w:rsidRPr="00E14F98">
        <w:rPr>
          <w:rFonts w:ascii="Book Antiqua" w:hAnsi="Book Antiqua"/>
          <w:sz w:val="24"/>
          <w:szCs w:val="24"/>
          <w:lang w:val="en-US"/>
        </w:rPr>
        <w:t>Greek RCT, which found an increase in time to progression (</w:t>
      </w:r>
      <w:r w:rsidR="00436CD7" w:rsidRPr="00E14F98">
        <w:rPr>
          <w:rFonts w:ascii="Book Antiqua" w:hAnsi="Book Antiqua"/>
          <w:sz w:val="24"/>
          <w:szCs w:val="24"/>
          <w:lang w:val="en-US"/>
        </w:rPr>
        <w:t>TTP</w:t>
      </w:r>
      <w:r w:rsidR="00040020" w:rsidRPr="00E14F98">
        <w:rPr>
          <w:rFonts w:ascii="Book Antiqua" w:hAnsi="Book Antiqua"/>
          <w:sz w:val="24"/>
          <w:szCs w:val="24"/>
          <w:lang w:val="en-US"/>
        </w:rPr>
        <w:t>) from 36.2</w:t>
      </w:r>
      <w:r w:rsidR="00450758">
        <w:rPr>
          <w:rFonts w:ascii="Book Antiqua" w:hAnsi="Book Antiqua" w:hint="eastAsia"/>
          <w:sz w:val="24"/>
          <w:szCs w:val="24"/>
          <w:lang w:val="en-US" w:eastAsia="zh-CN"/>
        </w:rPr>
        <w:t xml:space="preserve"> </w:t>
      </w:r>
      <w:r w:rsidR="00040020" w:rsidRPr="00E14F98">
        <w:rPr>
          <w:rFonts w:ascii="Book Antiqua" w:hAnsi="Book Antiqua"/>
          <w:sz w:val="24"/>
          <w:szCs w:val="24"/>
          <w:lang w:val="en-US"/>
        </w:rPr>
        <w:t>±</w:t>
      </w:r>
      <w:r w:rsidR="00450758">
        <w:rPr>
          <w:rFonts w:ascii="Book Antiqua" w:hAnsi="Book Antiqua" w:hint="eastAsia"/>
          <w:sz w:val="24"/>
          <w:szCs w:val="24"/>
          <w:lang w:val="en-US" w:eastAsia="zh-CN"/>
        </w:rPr>
        <w:t xml:space="preserve"> </w:t>
      </w:r>
      <w:r w:rsidR="00040020" w:rsidRPr="00E14F98">
        <w:rPr>
          <w:rFonts w:ascii="Book Antiqua" w:hAnsi="Book Antiqua"/>
          <w:sz w:val="24"/>
          <w:szCs w:val="24"/>
          <w:lang w:val="en-US"/>
        </w:rPr>
        <w:t>9 w</w:t>
      </w:r>
      <w:r w:rsidR="00450758">
        <w:rPr>
          <w:rFonts w:ascii="Book Antiqua" w:hAnsi="Book Antiqua" w:hint="eastAsia"/>
          <w:sz w:val="24"/>
          <w:szCs w:val="24"/>
          <w:lang w:val="en-US" w:eastAsia="zh-CN"/>
        </w:rPr>
        <w:t>k</w:t>
      </w:r>
      <w:r w:rsidR="00040020" w:rsidRPr="00E14F98">
        <w:rPr>
          <w:rFonts w:ascii="Book Antiqua" w:hAnsi="Book Antiqua"/>
          <w:sz w:val="24"/>
          <w:szCs w:val="24"/>
          <w:lang w:val="en-US"/>
        </w:rPr>
        <w:t xml:space="preserve"> up to 42.4</w:t>
      </w:r>
      <w:r w:rsidR="00450758">
        <w:rPr>
          <w:rFonts w:ascii="Book Antiqua" w:hAnsi="Book Antiqua" w:hint="eastAsia"/>
          <w:sz w:val="24"/>
          <w:szCs w:val="24"/>
          <w:lang w:val="en-US" w:eastAsia="zh-CN"/>
        </w:rPr>
        <w:t xml:space="preserve"> </w:t>
      </w:r>
      <w:r w:rsidR="00040020" w:rsidRPr="00E14F98">
        <w:rPr>
          <w:rFonts w:ascii="Book Antiqua" w:hAnsi="Book Antiqua"/>
          <w:sz w:val="24"/>
          <w:szCs w:val="24"/>
          <w:lang w:val="en-US"/>
        </w:rPr>
        <w:t>±</w:t>
      </w:r>
      <w:r w:rsidR="00450758">
        <w:rPr>
          <w:rFonts w:ascii="Book Antiqua" w:hAnsi="Book Antiqua" w:hint="eastAsia"/>
          <w:sz w:val="24"/>
          <w:szCs w:val="24"/>
          <w:lang w:val="en-US" w:eastAsia="zh-CN"/>
        </w:rPr>
        <w:t xml:space="preserve"> </w:t>
      </w:r>
      <w:r w:rsidR="00436CD7" w:rsidRPr="00E14F98">
        <w:rPr>
          <w:rFonts w:ascii="Book Antiqua" w:hAnsi="Book Antiqua"/>
          <w:sz w:val="24"/>
          <w:szCs w:val="24"/>
          <w:lang w:val="en-US"/>
        </w:rPr>
        <w:t>9.5 w</w:t>
      </w:r>
      <w:r w:rsidR="00450758">
        <w:rPr>
          <w:rFonts w:ascii="Book Antiqua" w:hAnsi="Book Antiqua"/>
          <w:sz w:val="24"/>
          <w:szCs w:val="24"/>
          <w:lang w:val="en-US"/>
        </w:rPr>
        <w:t>k</w:t>
      </w:r>
      <w:r w:rsidR="00436CD7" w:rsidRPr="00E14F98">
        <w:rPr>
          <w:rFonts w:ascii="Book Antiqua" w:hAnsi="Book Antiqua"/>
          <w:sz w:val="24"/>
          <w:szCs w:val="24"/>
          <w:lang w:val="en-US"/>
        </w:rPr>
        <w:t xml:space="preserve"> (</w:t>
      </w:r>
      <w:r w:rsidR="00450758" w:rsidRPr="00450758">
        <w:rPr>
          <w:rFonts w:ascii="Book Antiqua" w:hAnsi="Book Antiqua" w:hint="eastAsia"/>
          <w:i/>
          <w:sz w:val="24"/>
          <w:szCs w:val="24"/>
          <w:lang w:val="en-US" w:eastAsia="zh-CN"/>
        </w:rPr>
        <w:t xml:space="preserve">P </w:t>
      </w:r>
      <w:r w:rsidR="00436CD7" w:rsidRPr="00E14F98">
        <w:rPr>
          <w:rFonts w:ascii="Book Antiqua" w:hAnsi="Book Antiqua"/>
          <w:sz w:val="24"/>
          <w:szCs w:val="24"/>
          <w:lang w:val="en-US"/>
        </w:rPr>
        <w:t xml:space="preserve">= </w:t>
      </w:r>
      <w:r w:rsidR="00AC776C" w:rsidRPr="00E14F98">
        <w:rPr>
          <w:rFonts w:ascii="Book Antiqua" w:hAnsi="Book Antiqua"/>
          <w:sz w:val="24"/>
          <w:szCs w:val="24"/>
          <w:lang w:val="en-US"/>
        </w:rPr>
        <w:t>0.008)</w:t>
      </w:r>
      <w:r w:rsidR="00F83D8E" w:rsidRPr="00E14F98">
        <w:rPr>
          <w:rFonts w:ascii="Book Antiqua" w:hAnsi="Book Antiqua"/>
          <w:sz w:val="24"/>
          <w:szCs w:val="24"/>
          <w:lang w:val="en-US"/>
        </w:rPr>
        <w:t xml:space="preserve"> in DEB-TACE patients</w:t>
      </w:r>
      <w:r w:rsidR="00D81548" w:rsidRPr="00E14F98">
        <w:rPr>
          <w:rFonts w:ascii="Book Antiqua" w:hAnsi="Book Antiqua"/>
          <w:sz w:val="24"/>
          <w:szCs w:val="24"/>
          <w:vertAlign w:val="superscript"/>
          <w:lang w:val="en-US"/>
        </w:rPr>
        <w:t>[32]</w:t>
      </w:r>
      <w:r w:rsidR="00FE6711" w:rsidRPr="00E14F98">
        <w:rPr>
          <w:rFonts w:ascii="Book Antiqua" w:hAnsi="Book Antiqua"/>
          <w:sz w:val="24"/>
          <w:szCs w:val="24"/>
          <w:lang w:val="en-US"/>
        </w:rPr>
        <w:t>.</w:t>
      </w:r>
      <w:r w:rsidR="00AC776C" w:rsidRPr="00E14F98">
        <w:rPr>
          <w:rFonts w:ascii="Book Antiqua" w:hAnsi="Book Antiqua"/>
          <w:sz w:val="24"/>
          <w:szCs w:val="24"/>
          <w:lang w:val="en-US"/>
        </w:rPr>
        <w:t xml:space="preserve"> </w:t>
      </w:r>
      <w:r w:rsidR="00FE6711" w:rsidRPr="00E14F98">
        <w:rPr>
          <w:rFonts w:ascii="Book Antiqua" w:hAnsi="Book Antiqua"/>
          <w:sz w:val="24"/>
          <w:szCs w:val="24"/>
          <w:lang w:val="en-US"/>
        </w:rPr>
        <w:t xml:space="preserve">Another investigation assessed the degree of necrosis in explanted livers after </w:t>
      </w:r>
      <w:r w:rsidR="00CE134C" w:rsidRPr="00E14F98">
        <w:rPr>
          <w:rFonts w:ascii="Book Antiqua" w:hAnsi="Book Antiqua"/>
          <w:sz w:val="24"/>
          <w:szCs w:val="24"/>
          <w:lang w:val="en-US"/>
        </w:rPr>
        <w:t>epirubicin DEB-</w:t>
      </w:r>
      <w:r w:rsidR="00FE6711" w:rsidRPr="00E14F98">
        <w:rPr>
          <w:rFonts w:ascii="Book Antiqua" w:hAnsi="Book Antiqua"/>
          <w:sz w:val="24"/>
          <w:szCs w:val="24"/>
          <w:lang w:val="en-US"/>
        </w:rPr>
        <w:t xml:space="preserve">TACE </w:t>
      </w:r>
      <w:r w:rsidR="002C3920" w:rsidRPr="00E14F98">
        <w:rPr>
          <w:rFonts w:ascii="Book Antiqua" w:hAnsi="Book Antiqua"/>
          <w:sz w:val="24"/>
          <w:szCs w:val="24"/>
          <w:lang w:val="en-US"/>
        </w:rPr>
        <w:t>versus TAE and fo</w:t>
      </w:r>
      <w:r w:rsidR="00F41DF6" w:rsidRPr="00E14F98">
        <w:rPr>
          <w:rFonts w:ascii="Book Antiqua" w:hAnsi="Book Antiqua"/>
          <w:sz w:val="24"/>
          <w:szCs w:val="24"/>
          <w:lang w:val="en-US"/>
        </w:rPr>
        <w:t xml:space="preserve">und tripled </w:t>
      </w:r>
      <w:r w:rsidR="00FE6711" w:rsidRPr="00E14F98">
        <w:rPr>
          <w:rFonts w:ascii="Book Antiqua" w:hAnsi="Book Antiqua"/>
          <w:sz w:val="24"/>
          <w:szCs w:val="24"/>
          <w:lang w:val="en-US"/>
        </w:rPr>
        <w:t xml:space="preserve">complete necrosis </w:t>
      </w:r>
      <w:r w:rsidR="00450758">
        <w:rPr>
          <w:rFonts w:ascii="Book Antiqua" w:hAnsi="Book Antiqua"/>
          <w:sz w:val="24"/>
          <w:szCs w:val="24"/>
          <w:lang w:val="en-US"/>
        </w:rPr>
        <w:t xml:space="preserve">rates (77% </w:t>
      </w:r>
      <w:r w:rsidR="00450758" w:rsidRPr="00450758">
        <w:rPr>
          <w:rFonts w:ascii="Book Antiqua" w:hAnsi="Book Antiqua"/>
          <w:i/>
          <w:sz w:val="24"/>
          <w:szCs w:val="24"/>
          <w:lang w:val="en-US"/>
        </w:rPr>
        <w:t>v</w:t>
      </w:r>
      <w:r w:rsidR="00F41DF6" w:rsidRPr="00450758">
        <w:rPr>
          <w:rFonts w:ascii="Book Antiqua" w:hAnsi="Book Antiqua"/>
          <w:i/>
          <w:sz w:val="24"/>
          <w:szCs w:val="24"/>
          <w:lang w:val="en-US"/>
        </w:rPr>
        <w:t xml:space="preserve">s </w:t>
      </w:r>
      <w:r w:rsidR="00FE6711" w:rsidRPr="00E14F98">
        <w:rPr>
          <w:rFonts w:ascii="Book Antiqua" w:hAnsi="Book Antiqua"/>
          <w:sz w:val="24"/>
          <w:szCs w:val="24"/>
          <w:lang w:val="en-US"/>
        </w:rPr>
        <w:t>27% of lesions</w:t>
      </w:r>
      <w:r w:rsidR="00F41DF6" w:rsidRPr="00E14F98">
        <w:rPr>
          <w:rFonts w:ascii="Book Antiqua" w:hAnsi="Book Antiqua"/>
          <w:sz w:val="24"/>
          <w:szCs w:val="24"/>
          <w:lang w:val="en-US"/>
        </w:rPr>
        <w:t xml:space="preserve">) in the DEB-TACE </w:t>
      </w:r>
      <w:proofErr w:type="gramStart"/>
      <w:r w:rsidR="00F41DF6" w:rsidRPr="00E14F98">
        <w:rPr>
          <w:rFonts w:ascii="Book Antiqua" w:hAnsi="Book Antiqua"/>
          <w:sz w:val="24"/>
          <w:szCs w:val="24"/>
          <w:lang w:val="en-US"/>
        </w:rPr>
        <w:t>group</w:t>
      </w:r>
      <w:r w:rsidR="00F67E60" w:rsidRPr="00E14F98">
        <w:rPr>
          <w:rFonts w:ascii="Book Antiqua" w:hAnsi="Book Antiqua"/>
          <w:sz w:val="24"/>
          <w:szCs w:val="24"/>
          <w:vertAlign w:val="superscript"/>
          <w:lang w:val="en-US"/>
        </w:rPr>
        <w:t>[</w:t>
      </w:r>
      <w:proofErr w:type="gramEnd"/>
      <w:r w:rsidR="00F67E60" w:rsidRPr="00E14F98">
        <w:rPr>
          <w:rFonts w:ascii="Book Antiqua" w:hAnsi="Book Antiqua"/>
          <w:sz w:val="24"/>
          <w:szCs w:val="24"/>
          <w:vertAlign w:val="superscript"/>
          <w:lang w:val="en-US"/>
        </w:rPr>
        <w:t>33]</w:t>
      </w:r>
      <w:r w:rsidR="00FE6711" w:rsidRPr="00E14F98">
        <w:rPr>
          <w:rFonts w:ascii="Book Antiqua" w:hAnsi="Book Antiqua"/>
          <w:sz w:val="24"/>
          <w:szCs w:val="24"/>
          <w:lang w:val="en-US"/>
        </w:rPr>
        <w:t>.</w:t>
      </w:r>
      <w:r w:rsidR="00E75124" w:rsidRPr="00E14F98">
        <w:rPr>
          <w:rFonts w:ascii="Book Antiqua" w:hAnsi="Book Antiqua"/>
          <w:sz w:val="24"/>
          <w:szCs w:val="24"/>
          <w:lang w:val="en-US"/>
        </w:rPr>
        <w:t xml:space="preserve"> </w:t>
      </w:r>
    </w:p>
    <w:p w:rsidR="00CF2986" w:rsidRPr="00E14F98" w:rsidRDefault="00B0139B" w:rsidP="00450758">
      <w:pPr>
        <w:spacing w:after="0" w:line="360" w:lineRule="auto"/>
        <w:ind w:firstLineChars="100" w:firstLine="240"/>
        <w:jc w:val="both"/>
        <w:rPr>
          <w:rFonts w:ascii="Book Antiqua" w:hAnsi="Book Antiqua"/>
          <w:sz w:val="24"/>
          <w:szCs w:val="24"/>
          <w:vertAlign w:val="superscript"/>
          <w:lang w:val="en-US"/>
        </w:rPr>
      </w:pPr>
      <w:r w:rsidRPr="00E14F98">
        <w:rPr>
          <w:rFonts w:ascii="Book Antiqua" w:hAnsi="Book Antiqua"/>
          <w:sz w:val="24"/>
          <w:szCs w:val="24"/>
          <w:lang w:val="en-US"/>
        </w:rPr>
        <w:t>There is no consensus on the optimal chemotherapeutic</w:t>
      </w:r>
      <w:r w:rsidR="00EC59F6" w:rsidRPr="00E14F98">
        <w:rPr>
          <w:rFonts w:ascii="Book Antiqua" w:hAnsi="Book Antiqua"/>
          <w:sz w:val="24"/>
          <w:szCs w:val="24"/>
          <w:lang w:val="en-US"/>
        </w:rPr>
        <w:t xml:space="preserve"> </w:t>
      </w:r>
      <w:r w:rsidRPr="00E14F98">
        <w:rPr>
          <w:rFonts w:ascii="Book Antiqua" w:hAnsi="Book Antiqua"/>
          <w:sz w:val="24"/>
          <w:szCs w:val="24"/>
          <w:lang w:val="en-US"/>
        </w:rPr>
        <w:t>agent to use in TACE. Worldwide, the most pop</w:t>
      </w:r>
      <w:r w:rsidR="00827E00" w:rsidRPr="00E14F98">
        <w:rPr>
          <w:rFonts w:ascii="Book Antiqua" w:hAnsi="Book Antiqua"/>
          <w:sz w:val="24"/>
          <w:szCs w:val="24"/>
          <w:lang w:val="en-US"/>
        </w:rPr>
        <w:t xml:space="preserve">ular anticancer drug injected </w:t>
      </w:r>
      <w:r w:rsidRPr="00E14F98">
        <w:rPr>
          <w:rFonts w:ascii="Book Antiqua" w:hAnsi="Book Antiqua"/>
          <w:sz w:val="24"/>
          <w:szCs w:val="24"/>
          <w:lang w:val="en-US"/>
        </w:rPr>
        <w:t xml:space="preserve">is doxorubicin. </w:t>
      </w:r>
      <w:r w:rsidR="00FC0968" w:rsidRPr="00E14F98">
        <w:rPr>
          <w:rFonts w:ascii="Book Antiqua" w:hAnsi="Book Antiqua"/>
          <w:sz w:val="24"/>
          <w:szCs w:val="24"/>
          <w:lang w:val="en-US"/>
        </w:rPr>
        <w:t>In cTACE, t</w:t>
      </w:r>
      <w:r w:rsidR="00941459" w:rsidRPr="00E14F98">
        <w:rPr>
          <w:rFonts w:ascii="Book Antiqua" w:hAnsi="Book Antiqua"/>
          <w:sz w:val="24"/>
          <w:szCs w:val="24"/>
          <w:lang w:val="en-US"/>
        </w:rPr>
        <w:t>he dose of doxorubicin typically ranges from 30 to 75</w:t>
      </w:r>
      <w:r w:rsidR="00E07618" w:rsidRPr="00E14F98">
        <w:rPr>
          <w:rFonts w:ascii="Book Antiqua" w:hAnsi="Book Antiqua"/>
          <w:sz w:val="24"/>
          <w:szCs w:val="24"/>
          <w:lang w:val="en-US"/>
        </w:rPr>
        <w:t xml:space="preserve"> mg</w:t>
      </w:r>
      <w:r w:rsidR="00FC0968" w:rsidRPr="00E14F98">
        <w:rPr>
          <w:rFonts w:ascii="Book Antiqua" w:hAnsi="Book Antiqua"/>
          <w:sz w:val="24"/>
          <w:szCs w:val="24"/>
          <w:lang w:val="en-US"/>
        </w:rPr>
        <w:t>/m</w:t>
      </w:r>
      <w:r w:rsidR="00FC0968" w:rsidRPr="00450758">
        <w:rPr>
          <w:rFonts w:ascii="Book Antiqua" w:hAnsi="Book Antiqua"/>
          <w:sz w:val="24"/>
          <w:szCs w:val="24"/>
          <w:vertAlign w:val="superscript"/>
          <w:lang w:val="en-US"/>
        </w:rPr>
        <w:t xml:space="preserve">2 </w:t>
      </w:r>
      <w:r w:rsidR="00FC0968" w:rsidRPr="00E14F98">
        <w:rPr>
          <w:rFonts w:ascii="Book Antiqua" w:hAnsi="Book Antiqua"/>
          <w:sz w:val="24"/>
          <w:szCs w:val="24"/>
          <w:lang w:val="en-US"/>
        </w:rPr>
        <w:t>(</w:t>
      </w:r>
      <w:r w:rsidR="00941459" w:rsidRPr="00E14F98">
        <w:rPr>
          <w:rFonts w:ascii="Book Antiqua" w:hAnsi="Book Antiqua"/>
          <w:sz w:val="24"/>
          <w:szCs w:val="24"/>
          <w:lang w:val="en-US"/>
        </w:rPr>
        <w:t>to a maximum of 150 mg</w:t>
      </w:r>
      <w:r w:rsidR="00FC0968" w:rsidRPr="00E14F98">
        <w:rPr>
          <w:rFonts w:ascii="Book Antiqua" w:hAnsi="Book Antiqua"/>
          <w:sz w:val="24"/>
          <w:szCs w:val="24"/>
          <w:lang w:val="en-US"/>
        </w:rPr>
        <w:t>)</w:t>
      </w:r>
      <w:r w:rsidR="00941459" w:rsidRPr="00E14F98">
        <w:rPr>
          <w:rFonts w:ascii="Book Antiqua" w:hAnsi="Book Antiqua"/>
          <w:sz w:val="24"/>
          <w:szCs w:val="24"/>
          <w:lang w:val="en-US"/>
        </w:rPr>
        <w:t xml:space="preserve"> mixed with 5 to 20 mL of lipiodol</w:t>
      </w:r>
      <w:r w:rsidR="00FC0968" w:rsidRPr="00E14F98">
        <w:rPr>
          <w:rFonts w:ascii="Book Antiqua" w:hAnsi="Book Antiqua"/>
          <w:sz w:val="24"/>
          <w:szCs w:val="24"/>
          <w:lang w:val="en-US"/>
        </w:rPr>
        <w:t>, fol</w:t>
      </w:r>
      <w:r w:rsidRPr="00E14F98">
        <w:rPr>
          <w:rFonts w:ascii="Book Antiqua" w:hAnsi="Book Antiqua"/>
          <w:sz w:val="24"/>
          <w:szCs w:val="24"/>
          <w:lang w:val="en-US"/>
        </w:rPr>
        <w:t xml:space="preserve">lowed by mechanical embolization with an embolic agent, as </w:t>
      </w:r>
      <w:proofErr w:type="gramStart"/>
      <w:r w:rsidRPr="00E14F98">
        <w:rPr>
          <w:rFonts w:ascii="Book Antiqua" w:hAnsi="Book Antiqua"/>
          <w:sz w:val="24"/>
          <w:szCs w:val="24"/>
          <w:lang w:val="en-US"/>
        </w:rPr>
        <w:t>Gelfoam</w:t>
      </w:r>
      <w:r w:rsidR="00FF35B0" w:rsidRPr="00E14F98">
        <w:rPr>
          <w:rFonts w:ascii="Book Antiqua" w:hAnsi="Book Antiqua"/>
          <w:sz w:val="24"/>
          <w:szCs w:val="24"/>
          <w:vertAlign w:val="superscript"/>
          <w:lang w:val="en-US"/>
        </w:rPr>
        <w:t>[</w:t>
      </w:r>
      <w:proofErr w:type="gramEnd"/>
      <w:r w:rsidR="00FF35B0" w:rsidRPr="00E14F98">
        <w:rPr>
          <w:rFonts w:ascii="Book Antiqua" w:hAnsi="Book Antiqua"/>
          <w:sz w:val="24"/>
          <w:szCs w:val="24"/>
          <w:vertAlign w:val="superscript"/>
          <w:lang w:val="en-US"/>
        </w:rPr>
        <w:t>4]</w:t>
      </w:r>
      <w:r w:rsidRPr="00E14F98">
        <w:rPr>
          <w:rFonts w:ascii="Book Antiqua" w:hAnsi="Book Antiqua"/>
          <w:sz w:val="24"/>
          <w:szCs w:val="24"/>
          <w:lang w:val="en-US"/>
        </w:rPr>
        <w:t xml:space="preserve">. </w:t>
      </w:r>
      <w:r w:rsidR="00D26218" w:rsidRPr="00E14F98">
        <w:rPr>
          <w:rFonts w:ascii="Book Antiqua" w:hAnsi="Book Antiqua"/>
          <w:sz w:val="24"/>
          <w:szCs w:val="24"/>
          <w:lang w:val="en-US"/>
        </w:rPr>
        <w:t>In DEB-TACE</w:t>
      </w:r>
      <w:r w:rsidR="00BA72B0" w:rsidRPr="00E14F98">
        <w:rPr>
          <w:rFonts w:ascii="Book Antiqua" w:hAnsi="Book Antiqua"/>
          <w:sz w:val="24"/>
          <w:szCs w:val="24"/>
          <w:lang w:val="en-US"/>
        </w:rPr>
        <w:t>,</w:t>
      </w:r>
      <w:r w:rsidR="00D26218" w:rsidRPr="00E14F98">
        <w:rPr>
          <w:rFonts w:ascii="Book Antiqua" w:hAnsi="Book Antiqua"/>
          <w:sz w:val="24"/>
          <w:szCs w:val="24"/>
          <w:lang w:val="en-US"/>
        </w:rPr>
        <w:t xml:space="preserve"> </w:t>
      </w:r>
      <w:r w:rsidR="00BA72B0" w:rsidRPr="00E14F98">
        <w:rPr>
          <w:rFonts w:ascii="Book Antiqua" w:hAnsi="Book Antiqua"/>
          <w:sz w:val="24"/>
          <w:szCs w:val="24"/>
          <w:lang w:val="en-US"/>
        </w:rPr>
        <w:t>t</w:t>
      </w:r>
      <w:r w:rsidR="00D26218" w:rsidRPr="00E14F98">
        <w:rPr>
          <w:rFonts w:ascii="Book Antiqua" w:hAnsi="Book Antiqua"/>
          <w:sz w:val="24"/>
          <w:szCs w:val="24"/>
          <w:lang w:val="en-US"/>
        </w:rPr>
        <w:t>he planned dose of doxorubicin should depend on the extent of the liver tu</w:t>
      </w:r>
      <w:r w:rsidR="00507496" w:rsidRPr="00E14F98">
        <w:rPr>
          <w:rFonts w:ascii="Book Antiqua" w:hAnsi="Book Antiqua"/>
          <w:sz w:val="24"/>
          <w:szCs w:val="24"/>
          <w:lang w:val="en-US"/>
        </w:rPr>
        <w:t>mor burden:</w:t>
      </w:r>
      <w:r w:rsidR="00D26218" w:rsidRPr="00E14F98">
        <w:rPr>
          <w:rFonts w:ascii="Book Antiqua" w:hAnsi="Book Antiqua"/>
          <w:sz w:val="24"/>
          <w:szCs w:val="24"/>
          <w:lang w:val="en-US"/>
        </w:rPr>
        <w:t xml:space="preserve"> </w:t>
      </w:r>
      <w:r w:rsidR="00507496" w:rsidRPr="00E14F98">
        <w:rPr>
          <w:rFonts w:ascii="Book Antiqua" w:hAnsi="Book Antiqua"/>
          <w:sz w:val="24"/>
          <w:szCs w:val="24"/>
          <w:lang w:val="en-US"/>
        </w:rPr>
        <w:t>a</w:t>
      </w:r>
      <w:r w:rsidR="00D26218" w:rsidRPr="00E14F98">
        <w:rPr>
          <w:rFonts w:ascii="Book Antiqua" w:hAnsi="Book Antiqua"/>
          <w:sz w:val="24"/>
          <w:szCs w:val="24"/>
          <w:lang w:val="en-US"/>
        </w:rPr>
        <w:t xml:space="preserve">s a general rule, </w:t>
      </w:r>
      <w:r w:rsidR="00507496" w:rsidRPr="00E14F98">
        <w:rPr>
          <w:rFonts w:ascii="Book Antiqua" w:hAnsi="Book Antiqua"/>
          <w:sz w:val="24"/>
          <w:szCs w:val="24"/>
          <w:lang w:val="en-US"/>
        </w:rPr>
        <w:t>for</w:t>
      </w:r>
      <w:r w:rsidR="00D26218" w:rsidRPr="00E14F98">
        <w:rPr>
          <w:rFonts w:ascii="Book Antiqua" w:hAnsi="Book Antiqua"/>
          <w:sz w:val="24"/>
          <w:szCs w:val="24"/>
          <w:lang w:val="en-US"/>
        </w:rPr>
        <w:t xml:space="preserve"> disease within the Milan criteria each single treatment should include a planned dose of up to 75 mg doxorubicin </w:t>
      </w:r>
      <w:r w:rsidR="0065622F" w:rsidRPr="00E14F98">
        <w:rPr>
          <w:rFonts w:ascii="Book Antiqua" w:hAnsi="Book Antiqua"/>
          <w:sz w:val="24"/>
          <w:szCs w:val="24"/>
          <w:lang w:val="en-US"/>
        </w:rPr>
        <w:t>loaded into one vial of DC Bead, whereas f</w:t>
      </w:r>
      <w:r w:rsidR="00D26218" w:rsidRPr="00E14F98">
        <w:rPr>
          <w:rFonts w:ascii="Book Antiqua" w:hAnsi="Book Antiqua"/>
          <w:sz w:val="24"/>
          <w:szCs w:val="24"/>
          <w:lang w:val="en-US"/>
        </w:rPr>
        <w:t xml:space="preserve">or disease beyond the Milan criteria, </w:t>
      </w:r>
      <w:r w:rsidR="00525FD5" w:rsidRPr="00E14F98">
        <w:rPr>
          <w:rFonts w:ascii="Book Antiqua" w:hAnsi="Book Antiqua"/>
          <w:sz w:val="24"/>
          <w:szCs w:val="24"/>
          <w:lang w:val="en-US"/>
        </w:rPr>
        <w:t>the</w:t>
      </w:r>
      <w:r w:rsidR="00D26218" w:rsidRPr="00E14F98">
        <w:rPr>
          <w:rFonts w:ascii="Book Antiqua" w:hAnsi="Book Antiqua"/>
          <w:sz w:val="24"/>
          <w:szCs w:val="24"/>
          <w:lang w:val="en-US"/>
        </w:rPr>
        <w:t xml:space="preserve"> dose </w:t>
      </w:r>
      <w:r w:rsidR="00525FD5" w:rsidRPr="00E14F98">
        <w:rPr>
          <w:rFonts w:ascii="Book Antiqua" w:hAnsi="Book Antiqua"/>
          <w:sz w:val="24"/>
          <w:szCs w:val="24"/>
          <w:lang w:val="en-US"/>
        </w:rPr>
        <w:t xml:space="preserve">should be </w:t>
      </w:r>
      <w:r w:rsidR="00D26218" w:rsidRPr="00E14F98">
        <w:rPr>
          <w:rFonts w:ascii="Book Antiqua" w:hAnsi="Book Antiqua"/>
          <w:sz w:val="24"/>
          <w:szCs w:val="24"/>
          <w:lang w:val="en-US"/>
        </w:rPr>
        <w:t xml:space="preserve">of up to 150 mg loaded into two vials of DC </w:t>
      </w:r>
      <w:proofErr w:type="gramStart"/>
      <w:r w:rsidR="00D26218" w:rsidRPr="00E14F98">
        <w:rPr>
          <w:rFonts w:ascii="Book Antiqua" w:hAnsi="Book Antiqua"/>
          <w:sz w:val="24"/>
          <w:szCs w:val="24"/>
          <w:lang w:val="en-US"/>
        </w:rPr>
        <w:t>Bead</w:t>
      </w:r>
      <w:r w:rsidR="0074482A" w:rsidRPr="00E14F98">
        <w:rPr>
          <w:rFonts w:ascii="Book Antiqua" w:hAnsi="Book Antiqua"/>
          <w:sz w:val="24"/>
          <w:szCs w:val="24"/>
          <w:vertAlign w:val="superscript"/>
          <w:lang w:val="en-US"/>
        </w:rPr>
        <w:t>[</w:t>
      </w:r>
      <w:proofErr w:type="gramEnd"/>
      <w:r w:rsidR="0074482A" w:rsidRPr="00E14F98">
        <w:rPr>
          <w:rFonts w:ascii="Book Antiqua" w:hAnsi="Book Antiqua"/>
          <w:sz w:val="24"/>
          <w:szCs w:val="24"/>
          <w:vertAlign w:val="superscript"/>
          <w:lang w:val="en-US"/>
        </w:rPr>
        <w:t>4]</w:t>
      </w:r>
      <w:r w:rsidR="00D26218" w:rsidRPr="00E14F98">
        <w:rPr>
          <w:rFonts w:ascii="Book Antiqua" w:hAnsi="Book Antiqua"/>
          <w:sz w:val="24"/>
          <w:szCs w:val="24"/>
          <w:lang w:val="en-US"/>
        </w:rPr>
        <w:t>.</w:t>
      </w:r>
    </w:p>
    <w:p w:rsidR="00913AA9" w:rsidRPr="00E14F98" w:rsidRDefault="00913AA9" w:rsidP="00E14F98">
      <w:pPr>
        <w:spacing w:after="0" w:line="360" w:lineRule="auto"/>
        <w:jc w:val="both"/>
        <w:rPr>
          <w:rFonts w:ascii="Book Antiqua" w:hAnsi="Book Antiqua"/>
          <w:sz w:val="24"/>
          <w:szCs w:val="24"/>
          <w:lang w:val="en-US"/>
        </w:rPr>
      </w:pPr>
    </w:p>
    <w:p w:rsidR="00FF0D85" w:rsidRPr="00E14F98" w:rsidRDefault="00450758" w:rsidP="00E14F98">
      <w:pPr>
        <w:spacing w:after="0" w:line="360" w:lineRule="auto"/>
        <w:jc w:val="both"/>
        <w:rPr>
          <w:rFonts w:ascii="Book Antiqua" w:hAnsi="Book Antiqua"/>
          <w:b/>
          <w:sz w:val="24"/>
          <w:szCs w:val="24"/>
          <w:lang w:val="en-US" w:eastAsia="zh-CN"/>
        </w:rPr>
      </w:pPr>
      <w:r>
        <w:rPr>
          <w:rFonts w:ascii="Book Antiqua" w:hAnsi="Book Antiqua"/>
          <w:b/>
          <w:sz w:val="24"/>
          <w:szCs w:val="24"/>
          <w:lang w:val="en-US"/>
        </w:rPr>
        <w:t>DEB-TACE</w:t>
      </w:r>
      <w:r w:rsidRPr="00450758">
        <w:rPr>
          <w:rFonts w:ascii="Book Antiqua" w:hAnsi="Book Antiqua"/>
          <w:b/>
          <w:i/>
          <w:sz w:val="24"/>
          <w:szCs w:val="24"/>
          <w:lang w:val="en-US"/>
        </w:rPr>
        <w:t xml:space="preserve"> VS </w:t>
      </w:r>
      <w:r>
        <w:rPr>
          <w:rFonts w:ascii="Book Antiqua" w:hAnsi="Book Antiqua"/>
          <w:b/>
          <w:sz w:val="24"/>
          <w:szCs w:val="24"/>
          <w:lang w:val="en-US"/>
        </w:rPr>
        <w:t>CTACE</w:t>
      </w:r>
    </w:p>
    <w:p w:rsidR="00AA002E" w:rsidRPr="00E14F98" w:rsidRDefault="00951C17"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 xml:space="preserve">Ideally, the injected chemotherapeutic should be retained in the tumor and be gradually released to avoid systemic toxicity. However, even if suspended in lipiodol as in the case of cTACE, its selective injection is associated to significant passage into the systemic </w:t>
      </w:r>
      <w:r w:rsidRPr="00E14F98">
        <w:rPr>
          <w:rFonts w:ascii="Book Antiqua" w:hAnsi="Book Antiqua"/>
          <w:sz w:val="24"/>
          <w:szCs w:val="24"/>
          <w:lang w:val="en-US"/>
        </w:rPr>
        <w:lastRenderedPageBreak/>
        <w:t>circulation. Other</w:t>
      </w:r>
      <w:r w:rsidR="00346013" w:rsidRPr="00E14F98">
        <w:rPr>
          <w:rFonts w:ascii="Book Antiqua" w:hAnsi="Book Antiqua"/>
          <w:sz w:val="24"/>
          <w:szCs w:val="24"/>
          <w:lang w:val="en-US"/>
        </w:rPr>
        <w:t xml:space="preserve"> </w:t>
      </w:r>
      <w:r w:rsidR="001A6FEF" w:rsidRPr="00E14F98">
        <w:rPr>
          <w:rFonts w:ascii="Book Antiqua" w:hAnsi="Book Antiqua"/>
          <w:sz w:val="24"/>
          <w:szCs w:val="24"/>
          <w:lang w:val="en-US"/>
        </w:rPr>
        <w:t>important limitation of conventional TACE has been the</w:t>
      </w:r>
      <w:r w:rsidR="00346013" w:rsidRPr="00E14F98">
        <w:rPr>
          <w:rFonts w:ascii="Book Antiqua" w:hAnsi="Book Antiqua"/>
          <w:sz w:val="24"/>
          <w:szCs w:val="24"/>
          <w:lang w:val="en-US"/>
        </w:rPr>
        <w:t xml:space="preserve"> lack of standardization of </w:t>
      </w:r>
      <w:r w:rsidR="00CF2986" w:rsidRPr="00E14F98">
        <w:rPr>
          <w:rFonts w:ascii="Book Antiqua" w:hAnsi="Book Antiqua"/>
          <w:sz w:val="24"/>
          <w:szCs w:val="24"/>
          <w:lang w:val="en-US"/>
        </w:rPr>
        <w:t>the technique</w:t>
      </w:r>
      <w:r w:rsidR="00203804" w:rsidRPr="00E14F98">
        <w:rPr>
          <w:rFonts w:ascii="Book Antiqua" w:hAnsi="Book Antiqua"/>
          <w:sz w:val="24"/>
          <w:szCs w:val="24"/>
          <w:lang w:val="en-US"/>
        </w:rPr>
        <w:t xml:space="preserve">. </w:t>
      </w:r>
      <w:r w:rsidR="00B26D30" w:rsidRPr="00E14F98">
        <w:rPr>
          <w:rFonts w:ascii="Book Antiqua" w:hAnsi="Book Antiqua"/>
          <w:sz w:val="24"/>
          <w:szCs w:val="24"/>
          <w:lang w:val="en-US"/>
        </w:rPr>
        <w:t>In fact, the emulsification of the drug and lipiodol is prepared extemporaneously and hence is operator-dependent (not standardize</w:t>
      </w:r>
      <w:r w:rsidR="00E85BE2" w:rsidRPr="00E14F98">
        <w:rPr>
          <w:rFonts w:ascii="Book Antiqua" w:hAnsi="Book Antiqua"/>
          <w:sz w:val="24"/>
          <w:szCs w:val="24"/>
          <w:lang w:val="en-US"/>
        </w:rPr>
        <w:t>d</w:t>
      </w:r>
      <w:r w:rsidR="00B26D30" w:rsidRPr="00E14F98">
        <w:rPr>
          <w:rFonts w:ascii="Book Antiqua" w:hAnsi="Book Antiqua"/>
          <w:sz w:val="24"/>
          <w:szCs w:val="24"/>
          <w:lang w:val="en-US"/>
        </w:rPr>
        <w:t xml:space="preserve">) and is unstable. </w:t>
      </w:r>
      <w:r w:rsidR="00FB49DE" w:rsidRPr="00E14F98">
        <w:rPr>
          <w:rFonts w:ascii="Book Antiqua" w:hAnsi="Book Antiqua"/>
          <w:sz w:val="24"/>
          <w:szCs w:val="24"/>
          <w:lang w:val="en-US"/>
        </w:rPr>
        <w:t>Therefore, to overcome the major drawbacks of cTACE, non-resorbable</w:t>
      </w:r>
      <w:r w:rsidR="00B26D30" w:rsidRPr="00E14F98">
        <w:rPr>
          <w:rFonts w:ascii="Book Antiqua" w:hAnsi="Book Antiqua"/>
          <w:sz w:val="24"/>
          <w:szCs w:val="24"/>
          <w:lang w:val="en-US"/>
        </w:rPr>
        <w:t xml:space="preserve"> embolic microspheres loaded with cytotoxic drugs (DEBs) </w:t>
      </w:r>
      <w:r w:rsidR="00FB49DE" w:rsidRPr="00E14F98">
        <w:rPr>
          <w:rFonts w:ascii="Book Antiqua" w:hAnsi="Book Antiqua"/>
          <w:sz w:val="24"/>
          <w:szCs w:val="24"/>
          <w:lang w:val="en-US"/>
        </w:rPr>
        <w:t>have been developed</w:t>
      </w:r>
      <w:r w:rsidR="00B26D30" w:rsidRPr="00E14F98">
        <w:rPr>
          <w:rFonts w:ascii="Book Antiqua" w:hAnsi="Book Antiqua"/>
          <w:sz w:val="24"/>
          <w:szCs w:val="24"/>
          <w:lang w:val="en-US"/>
        </w:rPr>
        <w:t xml:space="preserve">. </w:t>
      </w:r>
      <w:r w:rsidR="00FF2D70" w:rsidRPr="00E14F98">
        <w:rPr>
          <w:rFonts w:ascii="Book Antiqua" w:hAnsi="Book Antiqua"/>
          <w:sz w:val="24"/>
          <w:szCs w:val="24"/>
          <w:lang w:val="en-US"/>
        </w:rPr>
        <w:t xml:space="preserve">In fact, </w:t>
      </w:r>
      <w:r w:rsidR="00AB68DD" w:rsidRPr="00E14F98">
        <w:rPr>
          <w:rFonts w:ascii="Book Antiqua" w:hAnsi="Book Antiqua"/>
          <w:sz w:val="24"/>
          <w:szCs w:val="24"/>
          <w:lang w:val="en-US"/>
        </w:rPr>
        <w:t xml:space="preserve">DEBs </w:t>
      </w:r>
      <w:r w:rsidR="00AD77B0" w:rsidRPr="00E14F98">
        <w:rPr>
          <w:rFonts w:ascii="Book Antiqua" w:hAnsi="Book Antiqua"/>
          <w:sz w:val="24"/>
          <w:szCs w:val="24"/>
          <w:lang w:val="en-US"/>
        </w:rPr>
        <w:t>are able to s</w:t>
      </w:r>
      <w:r w:rsidR="00AB68DD" w:rsidRPr="00E14F98">
        <w:rPr>
          <w:rFonts w:ascii="Book Antiqua" w:hAnsi="Book Antiqua"/>
          <w:sz w:val="24"/>
          <w:szCs w:val="24"/>
          <w:lang w:val="en-US"/>
        </w:rPr>
        <w:t xml:space="preserve">lowly release </w:t>
      </w:r>
      <w:r w:rsidR="004A6BAE" w:rsidRPr="00E14F98">
        <w:rPr>
          <w:rFonts w:ascii="Book Antiqua" w:hAnsi="Book Antiqua"/>
          <w:sz w:val="24"/>
          <w:szCs w:val="24"/>
          <w:lang w:val="en-US"/>
        </w:rPr>
        <w:t xml:space="preserve">the drug </w:t>
      </w:r>
      <w:r w:rsidR="00AB68DD" w:rsidRPr="00E14F98">
        <w:rPr>
          <w:rFonts w:ascii="Book Antiqua" w:hAnsi="Book Antiqua"/>
          <w:sz w:val="24"/>
          <w:szCs w:val="24"/>
          <w:lang w:val="en-US"/>
        </w:rPr>
        <w:t xml:space="preserve">upon injection and increase the intensity and duration of ischemia while enhancing the drug delivery to the </w:t>
      </w:r>
      <w:proofErr w:type="gramStart"/>
      <w:r w:rsidR="00AB68DD" w:rsidRPr="00E14F98">
        <w:rPr>
          <w:rFonts w:ascii="Book Antiqua" w:hAnsi="Book Antiqua"/>
          <w:sz w:val="24"/>
          <w:szCs w:val="24"/>
          <w:lang w:val="en-US"/>
        </w:rPr>
        <w:t>tumor</w:t>
      </w:r>
      <w:r w:rsidR="004F7CD1" w:rsidRPr="00E14F98">
        <w:rPr>
          <w:rFonts w:ascii="Book Antiqua" w:hAnsi="Book Antiqua"/>
          <w:sz w:val="24"/>
          <w:szCs w:val="24"/>
          <w:vertAlign w:val="superscript"/>
          <w:lang w:val="en-US"/>
        </w:rPr>
        <w:t>[</w:t>
      </w:r>
      <w:proofErr w:type="gramEnd"/>
      <w:r w:rsidR="004F7CD1" w:rsidRPr="00E14F98">
        <w:rPr>
          <w:rFonts w:ascii="Book Antiqua" w:hAnsi="Book Antiqua"/>
          <w:sz w:val="24"/>
          <w:szCs w:val="24"/>
          <w:vertAlign w:val="superscript"/>
          <w:lang w:val="en-US"/>
        </w:rPr>
        <w:t>4]</w:t>
      </w:r>
      <w:r w:rsidR="00AB68DD" w:rsidRPr="00E14F98">
        <w:rPr>
          <w:rFonts w:ascii="Book Antiqua" w:hAnsi="Book Antiqua"/>
          <w:sz w:val="24"/>
          <w:szCs w:val="24"/>
          <w:lang w:val="en-US"/>
        </w:rPr>
        <w:t>.</w:t>
      </w:r>
      <w:r w:rsidR="004A6BAE" w:rsidRPr="00E14F98">
        <w:rPr>
          <w:rFonts w:ascii="Book Antiqua" w:hAnsi="Book Antiqua"/>
          <w:sz w:val="24"/>
          <w:szCs w:val="24"/>
          <w:lang w:val="en-US"/>
        </w:rPr>
        <w:t xml:space="preserve"> </w:t>
      </w:r>
    </w:p>
    <w:p w:rsidR="00BA2B55" w:rsidRPr="00E14F98" w:rsidRDefault="00BC3CA2" w:rsidP="00450758">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The first report on the efficacy of DEB</w:t>
      </w:r>
      <w:r w:rsidR="00E6466E" w:rsidRPr="00E14F98">
        <w:rPr>
          <w:rFonts w:ascii="Book Antiqua" w:hAnsi="Book Antiqua"/>
          <w:sz w:val="24"/>
          <w:szCs w:val="24"/>
          <w:lang w:val="en-US"/>
        </w:rPr>
        <w:t>-TACE</w:t>
      </w:r>
      <w:r w:rsidRPr="00E14F98">
        <w:rPr>
          <w:rFonts w:ascii="Book Antiqua" w:hAnsi="Book Antiqua"/>
          <w:sz w:val="24"/>
          <w:szCs w:val="24"/>
          <w:lang w:val="en-US"/>
        </w:rPr>
        <w:t xml:space="preserve"> was th</w:t>
      </w:r>
      <w:r w:rsidR="00686A5E" w:rsidRPr="00E14F98">
        <w:rPr>
          <w:rFonts w:ascii="Book Antiqua" w:hAnsi="Book Antiqua"/>
          <w:sz w:val="24"/>
          <w:szCs w:val="24"/>
          <w:lang w:val="en-US"/>
        </w:rPr>
        <w:t>e phase II study</w:t>
      </w:r>
      <w:r w:rsidR="00E6466E" w:rsidRPr="00E14F98">
        <w:rPr>
          <w:rFonts w:ascii="Book Antiqua" w:hAnsi="Book Antiqua"/>
          <w:sz w:val="24"/>
          <w:szCs w:val="24"/>
          <w:lang w:val="en-US"/>
        </w:rPr>
        <w:t xml:space="preserve"> by Varela </w:t>
      </w:r>
      <w:r w:rsidR="00E6466E" w:rsidRPr="00450758">
        <w:rPr>
          <w:rFonts w:ascii="Book Antiqua" w:hAnsi="Book Antiqua"/>
          <w:i/>
          <w:sz w:val="24"/>
          <w:szCs w:val="24"/>
          <w:lang w:val="en-US"/>
        </w:rPr>
        <w:t xml:space="preserve">et </w:t>
      </w:r>
      <w:proofErr w:type="gramStart"/>
      <w:r w:rsidR="00E6466E" w:rsidRPr="00450758">
        <w:rPr>
          <w:rFonts w:ascii="Book Antiqua" w:hAnsi="Book Antiqua"/>
          <w:i/>
          <w:sz w:val="24"/>
          <w:szCs w:val="24"/>
          <w:lang w:val="en-US"/>
        </w:rPr>
        <w:t>al</w:t>
      </w:r>
      <w:r w:rsidR="00843DE1" w:rsidRPr="00E14F98">
        <w:rPr>
          <w:rFonts w:ascii="Book Antiqua" w:hAnsi="Book Antiqua"/>
          <w:sz w:val="24"/>
          <w:szCs w:val="24"/>
          <w:vertAlign w:val="superscript"/>
          <w:lang w:val="en-US"/>
        </w:rPr>
        <w:t>[</w:t>
      </w:r>
      <w:proofErr w:type="gramEnd"/>
      <w:r w:rsidR="00843DE1" w:rsidRPr="00E14F98">
        <w:rPr>
          <w:rFonts w:ascii="Book Antiqua" w:hAnsi="Book Antiqua"/>
          <w:sz w:val="24"/>
          <w:szCs w:val="24"/>
          <w:vertAlign w:val="superscript"/>
          <w:lang w:val="en-US"/>
        </w:rPr>
        <w:t>34]</w:t>
      </w:r>
      <w:r w:rsidRPr="00E14F98">
        <w:rPr>
          <w:rFonts w:ascii="Book Antiqua" w:hAnsi="Book Antiqua"/>
          <w:sz w:val="24"/>
          <w:szCs w:val="24"/>
          <w:lang w:val="en-US"/>
        </w:rPr>
        <w:t xml:space="preserve">. In this pivotal paper, 27 Child-Pugh A </w:t>
      </w:r>
      <w:r w:rsidR="00C3521B" w:rsidRPr="00E14F98">
        <w:rPr>
          <w:rFonts w:ascii="Book Antiqua" w:hAnsi="Book Antiqua"/>
          <w:sz w:val="24"/>
          <w:szCs w:val="24"/>
          <w:lang w:val="en-US"/>
        </w:rPr>
        <w:t>HCC</w:t>
      </w:r>
      <w:r w:rsidR="00B24198" w:rsidRPr="00E14F98">
        <w:rPr>
          <w:rFonts w:ascii="Book Antiqua" w:hAnsi="Book Antiqua"/>
          <w:sz w:val="24"/>
          <w:szCs w:val="24"/>
          <w:lang w:val="en-US"/>
        </w:rPr>
        <w:t xml:space="preserve"> </w:t>
      </w:r>
      <w:r w:rsidRPr="00E14F98">
        <w:rPr>
          <w:rFonts w:ascii="Book Antiqua" w:hAnsi="Book Antiqua"/>
          <w:sz w:val="24"/>
          <w:szCs w:val="24"/>
          <w:lang w:val="en-US"/>
        </w:rPr>
        <w:t xml:space="preserve">patients received </w:t>
      </w:r>
      <w:r w:rsidR="00C3521B" w:rsidRPr="00E14F98">
        <w:rPr>
          <w:rFonts w:ascii="Book Antiqua" w:hAnsi="Book Antiqua"/>
          <w:sz w:val="24"/>
          <w:szCs w:val="24"/>
          <w:lang w:val="en-US"/>
        </w:rPr>
        <w:t>two DEB-TACE (500-700 µm particles) sessions</w:t>
      </w:r>
      <w:r w:rsidR="007D6A56" w:rsidRPr="00E14F98">
        <w:rPr>
          <w:rFonts w:ascii="Book Antiqua" w:hAnsi="Book Antiqua"/>
          <w:sz w:val="24"/>
          <w:szCs w:val="24"/>
          <w:lang w:val="en-US"/>
        </w:rPr>
        <w:t xml:space="preserve"> </w:t>
      </w:r>
      <w:r w:rsidR="00C3521B" w:rsidRPr="00E14F98">
        <w:rPr>
          <w:rFonts w:ascii="Book Antiqua" w:hAnsi="Book Antiqua"/>
          <w:sz w:val="24"/>
          <w:szCs w:val="24"/>
          <w:lang w:val="en-US"/>
        </w:rPr>
        <w:t xml:space="preserve">at </w:t>
      </w:r>
      <w:r w:rsidR="007D6A56" w:rsidRPr="00E14F98">
        <w:rPr>
          <w:rFonts w:ascii="Book Antiqua" w:hAnsi="Book Antiqua"/>
          <w:sz w:val="24"/>
          <w:szCs w:val="24"/>
          <w:lang w:val="en-US"/>
        </w:rPr>
        <w:t>2</w:t>
      </w:r>
      <w:r w:rsidR="00CA1474" w:rsidRPr="00E14F98">
        <w:rPr>
          <w:rFonts w:ascii="Book Antiqua" w:hAnsi="Book Antiqua"/>
          <w:sz w:val="24"/>
          <w:szCs w:val="24"/>
          <w:lang w:val="en-US"/>
        </w:rPr>
        <w:t>-mo interval</w:t>
      </w:r>
      <w:r w:rsidR="00925B18" w:rsidRPr="00E14F98">
        <w:rPr>
          <w:rFonts w:ascii="Book Antiqua" w:hAnsi="Book Antiqua"/>
          <w:sz w:val="24"/>
          <w:szCs w:val="24"/>
          <w:lang w:val="en-US"/>
        </w:rPr>
        <w:t>s</w:t>
      </w:r>
      <w:r w:rsidR="00CA1474" w:rsidRPr="00E14F98">
        <w:rPr>
          <w:rFonts w:ascii="Book Antiqua" w:hAnsi="Book Antiqua"/>
          <w:sz w:val="24"/>
          <w:szCs w:val="24"/>
          <w:lang w:val="en-US"/>
        </w:rPr>
        <w:t xml:space="preserve">: </w:t>
      </w:r>
      <w:r w:rsidR="007D6A56" w:rsidRPr="00E14F98">
        <w:rPr>
          <w:rFonts w:ascii="Book Antiqua" w:hAnsi="Book Antiqua"/>
          <w:sz w:val="24"/>
          <w:szCs w:val="24"/>
          <w:lang w:val="en-US"/>
        </w:rPr>
        <w:t xml:space="preserve"> </w:t>
      </w:r>
      <w:r w:rsidR="00CA1474" w:rsidRPr="00E14F98">
        <w:rPr>
          <w:rFonts w:ascii="Book Antiqua" w:hAnsi="Book Antiqua"/>
          <w:sz w:val="24"/>
          <w:szCs w:val="24"/>
          <w:lang w:val="en-US"/>
        </w:rPr>
        <w:t xml:space="preserve">objective response rate (ORR) </w:t>
      </w:r>
      <w:r w:rsidR="00134B4E" w:rsidRPr="00E14F98">
        <w:rPr>
          <w:rFonts w:ascii="Book Antiqua" w:hAnsi="Book Antiqua"/>
          <w:sz w:val="24"/>
          <w:szCs w:val="24"/>
          <w:lang w:val="en-US"/>
        </w:rPr>
        <w:t>was</w:t>
      </w:r>
      <w:r w:rsidR="00246AC9" w:rsidRPr="00E14F98">
        <w:rPr>
          <w:rFonts w:ascii="Book Antiqua" w:hAnsi="Book Antiqua"/>
          <w:sz w:val="24"/>
          <w:szCs w:val="24"/>
          <w:lang w:val="en-US"/>
        </w:rPr>
        <w:t xml:space="preserve"> 66.6% </w:t>
      </w:r>
      <w:r w:rsidR="00CA1474" w:rsidRPr="00E14F98">
        <w:rPr>
          <w:rFonts w:ascii="Book Antiqua" w:hAnsi="Book Antiqua"/>
          <w:sz w:val="24"/>
          <w:szCs w:val="24"/>
          <w:lang w:val="en-US"/>
        </w:rPr>
        <w:t>(</w:t>
      </w:r>
      <w:r w:rsidR="00246AC9" w:rsidRPr="00E14F98">
        <w:rPr>
          <w:rFonts w:ascii="Book Antiqua" w:hAnsi="Book Antiqua"/>
          <w:sz w:val="24"/>
          <w:szCs w:val="24"/>
          <w:lang w:val="en-US"/>
        </w:rPr>
        <w:t xml:space="preserve">whereof 26% </w:t>
      </w:r>
      <w:r w:rsidR="00CA1474" w:rsidRPr="00E14F98">
        <w:rPr>
          <w:rFonts w:ascii="Book Antiqua" w:hAnsi="Book Antiqua"/>
          <w:sz w:val="24"/>
          <w:szCs w:val="24"/>
          <w:lang w:val="en-US"/>
        </w:rPr>
        <w:t xml:space="preserve">were </w:t>
      </w:r>
      <w:r w:rsidR="00246AC9" w:rsidRPr="00E14F98">
        <w:rPr>
          <w:rFonts w:ascii="Book Antiqua" w:hAnsi="Book Antiqua"/>
          <w:sz w:val="24"/>
          <w:szCs w:val="24"/>
          <w:lang w:val="en-US"/>
        </w:rPr>
        <w:t>complete</w:t>
      </w:r>
      <w:r w:rsidR="00CA1474" w:rsidRPr="00E14F98">
        <w:rPr>
          <w:rFonts w:ascii="Book Antiqua" w:hAnsi="Book Antiqua"/>
          <w:sz w:val="24"/>
          <w:szCs w:val="24"/>
          <w:lang w:val="en-US"/>
        </w:rPr>
        <w:t xml:space="preserve"> responses)</w:t>
      </w:r>
      <w:r w:rsidR="00246AC9" w:rsidRPr="00E14F98">
        <w:rPr>
          <w:rFonts w:ascii="Book Antiqua" w:hAnsi="Book Antiqua"/>
          <w:sz w:val="24"/>
          <w:szCs w:val="24"/>
          <w:lang w:val="en-US"/>
        </w:rPr>
        <w:t xml:space="preserve">. </w:t>
      </w:r>
      <w:r w:rsidRPr="00E14F98">
        <w:rPr>
          <w:rFonts w:ascii="Book Antiqua" w:hAnsi="Book Antiqua"/>
          <w:sz w:val="24"/>
          <w:szCs w:val="24"/>
          <w:lang w:val="en-US"/>
        </w:rPr>
        <w:t xml:space="preserve">Serial blood samples were obtained in 13 patients to determine doxorubicin </w:t>
      </w:r>
      <w:r w:rsidR="00B5650A" w:rsidRPr="00E14F98">
        <w:rPr>
          <w:rFonts w:ascii="Book Antiqua" w:hAnsi="Book Antiqua"/>
          <w:sz w:val="24"/>
          <w:szCs w:val="24"/>
          <w:lang w:val="en-US"/>
        </w:rPr>
        <w:t>maximal concentration (</w:t>
      </w:r>
      <w:r w:rsidRPr="00E14F98">
        <w:rPr>
          <w:rFonts w:ascii="Book Antiqua" w:hAnsi="Book Antiqua"/>
          <w:sz w:val="24"/>
          <w:szCs w:val="24"/>
          <w:lang w:val="en-US"/>
        </w:rPr>
        <w:t>Cmax</w:t>
      </w:r>
      <w:r w:rsidR="00B5650A" w:rsidRPr="00E14F98">
        <w:rPr>
          <w:rFonts w:ascii="Book Antiqua" w:hAnsi="Book Antiqua"/>
          <w:sz w:val="24"/>
          <w:szCs w:val="24"/>
          <w:lang w:val="en-US"/>
        </w:rPr>
        <w:t>)</w:t>
      </w:r>
      <w:r w:rsidRPr="00E14F98">
        <w:rPr>
          <w:rFonts w:ascii="Book Antiqua" w:hAnsi="Book Antiqua"/>
          <w:sz w:val="24"/>
          <w:szCs w:val="24"/>
          <w:lang w:val="en-US"/>
        </w:rPr>
        <w:t xml:space="preserve"> and </w:t>
      </w:r>
      <w:r w:rsidR="00B5650A" w:rsidRPr="00E14F98">
        <w:rPr>
          <w:rFonts w:ascii="Book Antiqua" w:hAnsi="Book Antiqua"/>
          <w:sz w:val="24"/>
          <w:szCs w:val="24"/>
          <w:lang w:val="en-US"/>
        </w:rPr>
        <w:t>area under the curve (</w:t>
      </w:r>
      <w:r w:rsidRPr="00E14F98">
        <w:rPr>
          <w:rFonts w:ascii="Book Antiqua" w:hAnsi="Book Antiqua"/>
          <w:sz w:val="24"/>
          <w:szCs w:val="24"/>
          <w:lang w:val="en-US"/>
        </w:rPr>
        <w:t>AUC</w:t>
      </w:r>
      <w:r w:rsidR="00B5650A" w:rsidRPr="00E14F98">
        <w:rPr>
          <w:rFonts w:ascii="Book Antiqua" w:hAnsi="Book Antiqua"/>
          <w:sz w:val="24"/>
          <w:szCs w:val="24"/>
          <w:lang w:val="en-US"/>
        </w:rPr>
        <w:t xml:space="preserve">), which resulted </w:t>
      </w:r>
      <w:r w:rsidRPr="00E14F98">
        <w:rPr>
          <w:rFonts w:ascii="Book Antiqua" w:hAnsi="Book Antiqua"/>
          <w:sz w:val="24"/>
          <w:szCs w:val="24"/>
          <w:lang w:val="en-US"/>
        </w:rPr>
        <w:t xml:space="preserve"> </w:t>
      </w:r>
      <w:r w:rsidR="00B5650A" w:rsidRPr="00E14F98">
        <w:rPr>
          <w:rFonts w:ascii="Book Antiqua" w:hAnsi="Book Antiqua"/>
          <w:sz w:val="24"/>
          <w:szCs w:val="24"/>
          <w:lang w:val="en-US"/>
        </w:rPr>
        <w:t>significantly lower in DEB-TACE patients as compared to an historical cohort of cTACE patients (</w:t>
      </w:r>
      <w:r w:rsidR="00450758" w:rsidRPr="00450758">
        <w:rPr>
          <w:rFonts w:ascii="Book Antiqua" w:hAnsi="Book Antiqua" w:hint="eastAsia"/>
          <w:i/>
          <w:sz w:val="24"/>
          <w:szCs w:val="24"/>
          <w:lang w:val="en-US" w:eastAsia="zh-CN"/>
        </w:rPr>
        <w:t>P</w:t>
      </w:r>
      <w:r w:rsidR="00B5650A" w:rsidRPr="00E14F98">
        <w:rPr>
          <w:rFonts w:ascii="Book Antiqua" w:hAnsi="Book Antiqua"/>
          <w:sz w:val="24"/>
          <w:szCs w:val="24"/>
          <w:lang w:val="en-US"/>
        </w:rPr>
        <w:t xml:space="preserve"> = 0.00002 and </w:t>
      </w:r>
      <w:r w:rsidR="00450758" w:rsidRPr="00450758">
        <w:rPr>
          <w:rFonts w:ascii="Book Antiqua" w:hAnsi="Book Antiqua" w:hint="eastAsia"/>
          <w:i/>
          <w:sz w:val="24"/>
          <w:szCs w:val="24"/>
          <w:lang w:val="en-US" w:eastAsia="zh-CN"/>
        </w:rPr>
        <w:t>P</w:t>
      </w:r>
      <w:r w:rsidR="00B5650A" w:rsidRPr="00E14F98">
        <w:rPr>
          <w:rFonts w:ascii="Book Antiqua" w:hAnsi="Book Antiqua"/>
          <w:sz w:val="24"/>
          <w:szCs w:val="24"/>
          <w:lang w:val="en-US"/>
        </w:rPr>
        <w:t xml:space="preserve"> = 0.001, respectively). </w:t>
      </w:r>
      <w:r w:rsidR="00853B25" w:rsidRPr="00E14F98">
        <w:rPr>
          <w:rFonts w:ascii="Book Antiqua" w:hAnsi="Book Antiqua"/>
          <w:sz w:val="24"/>
          <w:szCs w:val="24"/>
          <w:lang w:val="en-US"/>
        </w:rPr>
        <w:t xml:space="preserve">Furthermore, DEB-TACE was well tolerated with </w:t>
      </w:r>
      <w:r w:rsidRPr="00E14F98">
        <w:rPr>
          <w:rFonts w:ascii="Book Antiqua" w:hAnsi="Book Antiqua"/>
          <w:sz w:val="24"/>
          <w:szCs w:val="24"/>
          <w:lang w:val="en-US"/>
        </w:rPr>
        <w:t>only two cases</w:t>
      </w:r>
      <w:r w:rsidR="00853B25" w:rsidRPr="00E14F98">
        <w:rPr>
          <w:rFonts w:ascii="Book Antiqua" w:hAnsi="Book Antiqua"/>
          <w:sz w:val="24"/>
          <w:szCs w:val="24"/>
          <w:lang w:val="en-US"/>
        </w:rPr>
        <w:t xml:space="preserve"> of severe adverse events (namely, </w:t>
      </w:r>
      <w:r w:rsidRPr="00E14F98">
        <w:rPr>
          <w:rFonts w:ascii="Book Antiqua" w:hAnsi="Book Antiqua"/>
          <w:sz w:val="24"/>
          <w:szCs w:val="24"/>
          <w:lang w:val="en-US"/>
        </w:rPr>
        <w:t>liver abscess</w:t>
      </w:r>
      <w:r w:rsidR="00853B25" w:rsidRPr="00E14F98">
        <w:rPr>
          <w:rFonts w:ascii="Book Antiqua" w:hAnsi="Book Antiqua"/>
          <w:sz w:val="24"/>
          <w:szCs w:val="24"/>
          <w:lang w:val="en-US"/>
        </w:rPr>
        <w:t>es)</w:t>
      </w:r>
      <w:r w:rsidR="00A06724" w:rsidRPr="00E14F98">
        <w:rPr>
          <w:rFonts w:ascii="Book Antiqua" w:hAnsi="Book Antiqua"/>
          <w:sz w:val="24"/>
          <w:szCs w:val="24"/>
          <w:vertAlign w:val="superscript"/>
          <w:lang w:val="en-US"/>
        </w:rPr>
        <w:t>[34]</w:t>
      </w:r>
      <w:r w:rsidR="00853B25" w:rsidRPr="00E14F98">
        <w:rPr>
          <w:rFonts w:ascii="Book Antiqua" w:hAnsi="Book Antiqua"/>
          <w:sz w:val="24"/>
          <w:szCs w:val="24"/>
          <w:lang w:val="en-US"/>
        </w:rPr>
        <w:t>.</w:t>
      </w:r>
      <w:r w:rsidRPr="00E14F98">
        <w:rPr>
          <w:rFonts w:ascii="Book Antiqua" w:hAnsi="Book Antiqua"/>
          <w:sz w:val="24"/>
          <w:szCs w:val="24"/>
          <w:lang w:val="en-US"/>
        </w:rPr>
        <w:t xml:space="preserve"> </w:t>
      </w:r>
      <w:r w:rsidR="0021426F" w:rsidRPr="00E14F98">
        <w:rPr>
          <w:rFonts w:ascii="Book Antiqua" w:hAnsi="Book Antiqua"/>
          <w:sz w:val="24"/>
          <w:szCs w:val="24"/>
          <w:lang w:val="en-US"/>
        </w:rPr>
        <w:t>These</w:t>
      </w:r>
      <w:r w:rsidR="000A7363" w:rsidRPr="00E14F98">
        <w:rPr>
          <w:rFonts w:ascii="Book Antiqua" w:hAnsi="Book Antiqua"/>
          <w:sz w:val="24"/>
          <w:szCs w:val="24"/>
          <w:lang w:val="en-US"/>
        </w:rPr>
        <w:t xml:space="preserve"> result</w:t>
      </w:r>
      <w:r w:rsidR="0021426F" w:rsidRPr="00E14F98">
        <w:rPr>
          <w:rFonts w:ascii="Book Antiqua" w:hAnsi="Book Antiqua"/>
          <w:sz w:val="24"/>
          <w:szCs w:val="24"/>
          <w:lang w:val="en-US"/>
        </w:rPr>
        <w:t>s were</w:t>
      </w:r>
      <w:r w:rsidR="000A7363" w:rsidRPr="00E14F98">
        <w:rPr>
          <w:rFonts w:ascii="Book Antiqua" w:hAnsi="Book Antiqua"/>
          <w:sz w:val="24"/>
          <w:szCs w:val="24"/>
          <w:lang w:val="en-US"/>
        </w:rPr>
        <w:t xml:space="preserve"> confirmed by P</w:t>
      </w:r>
      <w:r w:rsidR="0056132B" w:rsidRPr="00E14F98">
        <w:rPr>
          <w:rFonts w:ascii="Book Antiqua" w:hAnsi="Book Antiqua"/>
          <w:sz w:val="24"/>
          <w:szCs w:val="24"/>
          <w:lang w:val="en-US"/>
        </w:rPr>
        <w:t xml:space="preserve">oon </w:t>
      </w:r>
      <w:r w:rsidR="0056132B" w:rsidRPr="00450758">
        <w:rPr>
          <w:rFonts w:ascii="Book Antiqua" w:hAnsi="Book Antiqua"/>
          <w:i/>
          <w:sz w:val="24"/>
          <w:szCs w:val="24"/>
          <w:lang w:val="en-US"/>
        </w:rPr>
        <w:t xml:space="preserve">et </w:t>
      </w:r>
      <w:proofErr w:type="gramStart"/>
      <w:r w:rsidR="0056132B" w:rsidRPr="00450758">
        <w:rPr>
          <w:rFonts w:ascii="Book Antiqua" w:hAnsi="Book Antiqua"/>
          <w:i/>
          <w:sz w:val="24"/>
          <w:szCs w:val="24"/>
          <w:lang w:val="en-US"/>
        </w:rPr>
        <w:t>al</w:t>
      </w:r>
      <w:r w:rsidR="00450758" w:rsidRPr="00E14F98">
        <w:rPr>
          <w:rFonts w:ascii="Book Antiqua" w:hAnsi="Book Antiqua"/>
          <w:sz w:val="24"/>
          <w:szCs w:val="24"/>
          <w:vertAlign w:val="superscript"/>
          <w:lang w:val="en-US"/>
        </w:rPr>
        <w:t>[</w:t>
      </w:r>
      <w:proofErr w:type="gramEnd"/>
      <w:r w:rsidR="00450758" w:rsidRPr="00E14F98">
        <w:rPr>
          <w:rFonts w:ascii="Book Antiqua" w:hAnsi="Book Antiqua"/>
          <w:sz w:val="24"/>
          <w:szCs w:val="24"/>
          <w:vertAlign w:val="superscript"/>
          <w:lang w:val="en-US"/>
        </w:rPr>
        <w:t>35]</w:t>
      </w:r>
      <w:r w:rsidR="0056132B" w:rsidRPr="00E14F98">
        <w:rPr>
          <w:rFonts w:ascii="Book Antiqua" w:hAnsi="Book Antiqua"/>
          <w:sz w:val="24"/>
          <w:szCs w:val="24"/>
          <w:lang w:val="en-US"/>
        </w:rPr>
        <w:t>,</w:t>
      </w:r>
      <w:r w:rsidR="00DF2812" w:rsidRPr="00E14F98">
        <w:rPr>
          <w:rFonts w:ascii="Book Antiqua" w:hAnsi="Book Antiqua"/>
          <w:sz w:val="24"/>
          <w:szCs w:val="24"/>
          <w:lang w:val="en-US"/>
        </w:rPr>
        <w:t xml:space="preserve"> who used the highest dose possible </w:t>
      </w:r>
      <w:r w:rsidR="0021426F" w:rsidRPr="00E14F98">
        <w:rPr>
          <w:rFonts w:ascii="Book Antiqua" w:hAnsi="Book Antiqua"/>
          <w:sz w:val="24"/>
          <w:szCs w:val="24"/>
          <w:lang w:val="en-US"/>
        </w:rPr>
        <w:t xml:space="preserve">of doxorubicin </w:t>
      </w:r>
      <w:r w:rsidR="00DF2812" w:rsidRPr="00E14F98">
        <w:rPr>
          <w:rFonts w:ascii="Book Antiqua" w:hAnsi="Book Antiqua"/>
          <w:sz w:val="24"/>
          <w:szCs w:val="24"/>
          <w:lang w:val="en-US"/>
        </w:rPr>
        <w:t>(150 mg)</w:t>
      </w:r>
      <w:r w:rsidR="000A7363" w:rsidRPr="00E14F98">
        <w:rPr>
          <w:rFonts w:ascii="Book Antiqua" w:hAnsi="Book Antiqua"/>
          <w:sz w:val="24"/>
          <w:szCs w:val="24"/>
          <w:lang w:val="en-US"/>
        </w:rPr>
        <w:t xml:space="preserve">. </w:t>
      </w:r>
      <w:r w:rsidR="00BE34F5" w:rsidRPr="00E14F98">
        <w:rPr>
          <w:rFonts w:ascii="Book Antiqua" w:hAnsi="Book Antiqua"/>
          <w:sz w:val="24"/>
          <w:szCs w:val="24"/>
          <w:lang w:val="en-US"/>
        </w:rPr>
        <w:t>In both studies, n</w:t>
      </w:r>
      <w:r w:rsidR="008D4B07" w:rsidRPr="00E14F98">
        <w:rPr>
          <w:rFonts w:ascii="Book Antiqua" w:hAnsi="Book Antiqua"/>
          <w:sz w:val="24"/>
          <w:szCs w:val="24"/>
          <w:lang w:val="en-US"/>
        </w:rPr>
        <w:t>one of</w:t>
      </w:r>
      <w:r w:rsidR="00615CB3" w:rsidRPr="00E14F98">
        <w:rPr>
          <w:rFonts w:ascii="Book Antiqua" w:hAnsi="Book Antiqua"/>
          <w:sz w:val="24"/>
          <w:szCs w:val="24"/>
          <w:lang w:val="en-US"/>
        </w:rPr>
        <w:t xml:space="preserve"> </w:t>
      </w:r>
      <w:r w:rsidR="00BE34F5" w:rsidRPr="00E14F98">
        <w:rPr>
          <w:rFonts w:ascii="Book Antiqua" w:hAnsi="Book Antiqua"/>
          <w:sz w:val="24"/>
          <w:szCs w:val="24"/>
          <w:lang w:val="en-US"/>
        </w:rPr>
        <w:t xml:space="preserve">treated </w:t>
      </w:r>
      <w:r w:rsidR="00615CB3" w:rsidRPr="00E14F98">
        <w:rPr>
          <w:rFonts w:ascii="Book Antiqua" w:hAnsi="Book Antiqua"/>
          <w:sz w:val="24"/>
          <w:szCs w:val="24"/>
          <w:lang w:val="en-US"/>
        </w:rPr>
        <w:t xml:space="preserve">patients presented </w:t>
      </w:r>
      <w:r w:rsidR="00BE34F5" w:rsidRPr="00E14F98">
        <w:rPr>
          <w:rFonts w:ascii="Book Antiqua" w:hAnsi="Book Antiqua"/>
          <w:sz w:val="24"/>
          <w:szCs w:val="24"/>
          <w:lang w:val="en-US"/>
        </w:rPr>
        <w:t xml:space="preserve">doxorubicin-related </w:t>
      </w:r>
      <w:r w:rsidR="00615CB3" w:rsidRPr="00E14F98">
        <w:rPr>
          <w:rFonts w:ascii="Book Antiqua" w:hAnsi="Book Antiqua"/>
          <w:sz w:val="24"/>
          <w:szCs w:val="24"/>
          <w:lang w:val="en-US"/>
        </w:rPr>
        <w:t>systemic toxicity (</w:t>
      </w:r>
      <w:r w:rsidRPr="00E14F98">
        <w:rPr>
          <w:rFonts w:ascii="Book Antiqua" w:hAnsi="Book Antiqua"/>
          <w:sz w:val="24"/>
          <w:szCs w:val="24"/>
          <w:lang w:val="en-US"/>
        </w:rPr>
        <w:t>alopecia, bone</w:t>
      </w:r>
      <w:r w:rsidR="00615CB3" w:rsidRPr="00E14F98">
        <w:rPr>
          <w:rFonts w:ascii="Book Antiqua" w:hAnsi="Book Antiqua"/>
          <w:sz w:val="24"/>
          <w:szCs w:val="24"/>
          <w:lang w:val="en-US"/>
        </w:rPr>
        <w:t xml:space="preserve"> </w:t>
      </w:r>
      <w:r w:rsidRPr="00E14F98">
        <w:rPr>
          <w:rFonts w:ascii="Book Antiqua" w:hAnsi="Book Antiqua"/>
          <w:sz w:val="24"/>
          <w:szCs w:val="24"/>
          <w:lang w:val="en-US"/>
        </w:rPr>
        <w:t>marrow toxicity, dyspnea or pulmonary embolism</w:t>
      </w:r>
      <w:r w:rsidR="00615CB3" w:rsidRPr="00E14F98">
        <w:rPr>
          <w:rFonts w:ascii="Book Antiqua" w:hAnsi="Book Antiqua"/>
          <w:sz w:val="24"/>
          <w:szCs w:val="24"/>
          <w:lang w:val="en-US"/>
        </w:rPr>
        <w:t>)</w:t>
      </w:r>
      <w:r w:rsidR="001A4850" w:rsidRPr="00E14F98">
        <w:rPr>
          <w:rFonts w:ascii="Book Antiqua" w:hAnsi="Book Antiqua"/>
          <w:sz w:val="24"/>
          <w:szCs w:val="24"/>
          <w:vertAlign w:val="superscript"/>
          <w:lang w:val="en-US"/>
        </w:rPr>
        <w:t>[34,35]</w:t>
      </w:r>
      <w:r w:rsidR="005334A5" w:rsidRPr="00E14F98">
        <w:rPr>
          <w:rFonts w:ascii="Book Antiqua" w:hAnsi="Book Antiqua"/>
          <w:sz w:val="24"/>
          <w:szCs w:val="24"/>
          <w:lang w:val="en-US"/>
        </w:rPr>
        <w:t xml:space="preserve">. </w:t>
      </w:r>
    </w:p>
    <w:p w:rsidR="00CA6DCA" w:rsidRPr="00E14F98" w:rsidRDefault="00CA6DCA" w:rsidP="00450758">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In light of successive clinical and in-animal studies</w:t>
      </w:r>
      <w:r w:rsidR="00450758" w:rsidRPr="00E14F98">
        <w:rPr>
          <w:rFonts w:ascii="Book Antiqua" w:hAnsi="Book Antiqua"/>
          <w:sz w:val="24"/>
          <w:szCs w:val="24"/>
          <w:vertAlign w:val="superscript"/>
          <w:lang w:val="en-US"/>
        </w:rPr>
        <w:t>[36,37]</w:t>
      </w:r>
      <w:r w:rsidRPr="00E14F98">
        <w:rPr>
          <w:rFonts w:ascii="Book Antiqua" w:hAnsi="Book Antiqua"/>
          <w:sz w:val="24"/>
          <w:szCs w:val="24"/>
          <w:lang w:val="en-US"/>
        </w:rPr>
        <w:t>, use of 100–300 µm beads is actually recommended, based on the demonstration that such small particles are delivered inside the tumor or in close proximity to the tumor margin</w:t>
      </w:r>
      <w:r w:rsidR="00077AEE" w:rsidRPr="00E14F98">
        <w:rPr>
          <w:rFonts w:ascii="Book Antiqua" w:hAnsi="Book Antiqua"/>
          <w:sz w:val="24"/>
          <w:szCs w:val="24"/>
          <w:lang w:val="en-US"/>
        </w:rPr>
        <w:t>s</w:t>
      </w:r>
      <w:r w:rsidRPr="00E14F98">
        <w:rPr>
          <w:rFonts w:ascii="Book Antiqua" w:hAnsi="Book Antiqua"/>
          <w:sz w:val="24"/>
          <w:szCs w:val="24"/>
          <w:lang w:val="en-US"/>
        </w:rPr>
        <w:t xml:space="preserve"> and thus are ideal for drug delivery or precise embolization</w:t>
      </w:r>
      <w:r w:rsidR="007231B5" w:rsidRPr="00E14F98">
        <w:rPr>
          <w:rFonts w:ascii="Book Antiqua" w:hAnsi="Book Antiqua"/>
          <w:sz w:val="24"/>
          <w:szCs w:val="24"/>
          <w:vertAlign w:val="superscript"/>
          <w:lang w:val="en-US"/>
        </w:rPr>
        <w:t>[4]</w:t>
      </w:r>
      <w:r w:rsidRPr="00E14F98">
        <w:rPr>
          <w:rFonts w:ascii="Book Antiqua" w:hAnsi="Book Antiqua"/>
          <w:sz w:val="24"/>
          <w:szCs w:val="24"/>
          <w:lang w:val="en-US"/>
        </w:rPr>
        <w:t xml:space="preserve">. </w:t>
      </w:r>
    </w:p>
    <w:p w:rsidR="007873AD" w:rsidRPr="00E14F98" w:rsidRDefault="003473FB" w:rsidP="00450758">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Despite the promising results of these preliminary studies and the aforementioned theoretical advantages of DEB-TACE, a clear superiority of one technique over the other is still lacking. </w:t>
      </w:r>
    </w:p>
    <w:p w:rsidR="007474C6" w:rsidRPr="00E14F98" w:rsidRDefault="008E60B7" w:rsidP="00450758">
      <w:pPr>
        <w:spacing w:after="0" w:line="360" w:lineRule="auto"/>
        <w:ind w:firstLineChars="100" w:firstLine="240"/>
        <w:jc w:val="both"/>
        <w:rPr>
          <w:rFonts w:ascii="Book Antiqua" w:hAnsi="Book Antiqua"/>
          <w:sz w:val="24"/>
          <w:szCs w:val="24"/>
          <w:vertAlign w:val="superscript"/>
          <w:lang w:val="en-US"/>
        </w:rPr>
      </w:pPr>
      <w:r w:rsidRPr="00E14F98">
        <w:rPr>
          <w:rFonts w:ascii="Book Antiqua" w:hAnsi="Book Antiqua"/>
          <w:sz w:val="24"/>
          <w:szCs w:val="24"/>
          <w:lang w:val="en-US"/>
        </w:rPr>
        <w:t>The comparison between cTACE and DEB</w:t>
      </w:r>
      <w:r w:rsidR="007D6015" w:rsidRPr="00E14F98">
        <w:rPr>
          <w:rFonts w:ascii="Book Antiqua" w:hAnsi="Book Antiqua"/>
          <w:sz w:val="24"/>
          <w:szCs w:val="24"/>
          <w:lang w:val="en-US"/>
        </w:rPr>
        <w:t>s</w:t>
      </w:r>
      <w:r w:rsidRPr="00E14F98">
        <w:rPr>
          <w:rFonts w:ascii="Book Antiqua" w:hAnsi="Book Antiqua"/>
          <w:sz w:val="24"/>
          <w:szCs w:val="24"/>
          <w:lang w:val="en-US"/>
        </w:rPr>
        <w:t xml:space="preserve"> has been object of 1</w:t>
      </w:r>
      <w:r w:rsidR="00CF4E6A" w:rsidRPr="00E14F98">
        <w:rPr>
          <w:rFonts w:ascii="Book Antiqua" w:hAnsi="Book Antiqua"/>
          <w:sz w:val="24"/>
          <w:szCs w:val="24"/>
          <w:lang w:val="en-US"/>
        </w:rPr>
        <w:t>2</w:t>
      </w:r>
      <w:r w:rsidR="005E79FB" w:rsidRPr="00E14F98">
        <w:rPr>
          <w:rFonts w:ascii="Book Antiqua" w:hAnsi="Book Antiqua"/>
          <w:sz w:val="24"/>
          <w:szCs w:val="24"/>
          <w:lang w:val="en-US"/>
        </w:rPr>
        <w:t xml:space="preserve"> studies (whereof 4 RCTs)</w:t>
      </w:r>
      <w:r w:rsidR="00CF4E6A" w:rsidRPr="00E14F98">
        <w:rPr>
          <w:rFonts w:ascii="Book Antiqua" w:hAnsi="Book Antiqua"/>
          <w:sz w:val="24"/>
          <w:szCs w:val="24"/>
          <w:vertAlign w:val="superscript"/>
          <w:lang w:val="en-US"/>
        </w:rPr>
        <w:t>[38-49</w:t>
      </w:r>
      <w:r w:rsidR="00CB4891" w:rsidRPr="00E14F98">
        <w:rPr>
          <w:rFonts w:ascii="Book Antiqua" w:hAnsi="Book Antiqua"/>
          <w:sz w:val="24"/>
          <w:szCs w:val="24"/>
          <w:vertAlign w:val="superscript"/>
          <w:lang w:val="en-US"/>
        </w:rPr>
        <w:t>]</w:t>
      </w:r>
      <w:r w:rsidR="005E79FB" w:rsidRPr="00E14F98">
        <w:rPr>
          <w:rFonts w:ascii="Book Antiqua" w:hAnsi="Book Antiqua"/>
          <w:sz w:val="24"/>
          <w:szCs w:val="24"/>
          <w:lang w:val="en-US"/>
        </w:rPr>
        <w:t xml:space="preserve"> and 3 recent</w:t>
      </w:r>
      <w:r w:rsidRPr="00E14F98">
        <w:rPr>
          <w:rFonts w:ascii="Book Antiqua" w:hAnsi="Book Antiqua"/>
          <w:sz w:val="24"/>
          <w:szCs w:val="24"/>
          <w:lang w:val="en-US"/>
        </w:rPr>
        <w:t xml:space="preserve"> meta-</w:t>
      </w:r>
      <w:proofErr w:type="gramStart"/>
      <w:r w:rsidRPr="00E14F98">
        <w:rPr>
          <w:rFonts w:ascii="Book Antiqua" w:hAnsi="Book Antiqua"/>
          <w:sz w:val="24"/>
          <w:szCs w:val="24"/>
          <w:lang w:val="en-US"/>
        </w:rPr>
        <w:t>analyses</w:t>
      </w:r>
      <w:r w:rsidR="00CF4E6A" w:rsidRPr="00E14F98">
        <w:rPr>
          <w:rFonts w:ascii="Book Antiqua" w:hAnsi="Book Antiqua"/>
          <w:sz w:val="24"/>
          <w:szCs w:val="24"/>
          <w:vertAlign w:val="superscript"/>
          <w:lang w:val="en-US"/>
        </w:rPr>
        <w:t>[</w:t>
      </w:r>
      <w:proofErr w:type="gramEnd"/>
      <w:r w:rsidR="00CF4E6A" w:rsidRPr="00E14F98">
        <w:rPr>
          <w:rFonts w:ascii="Book Antiqua" w:hAnsi="Book Antiqua"/>
          <w:sz w:val="24"/>
          <w:szCs w:val="24"/>
          <w:vertAlign w:val="superscript"/>
          <w:lang w:val="en-US"/>
        </w:rPr>
        <w:t>50-52</w:t>
      </w:r>
      <w:r w:rsidR="005E79FB" w:rsidRPr="00E14F98">
        <w:rPr>
          <w:rFonts w:ascii="Book Antiqua" w:hAnsi="Book Antiqua"/>
          <w:sz w:val="24"/>
          <w:szCs w:val="24"/>
          <w:vertAlign w:val="superscript"/>
          <w:lang w:val="en-US"/>
        </w:rPr>
        <w:t>]</w:t>
      </w:r>
      <w:r w:rsidR="0028506F" w:rsidRPr="00E14F98">
        <w:rPr>
          <w:rFonts w:ascii="Book Antiqua" w:hAnsi="Book Antiqua"/>
          <w:sz w:val="24"/>
          <w:szCs w:val="24"/>
          <w:lang w:val="en-US"/>
        </w:rPr>
        <w:t xml:space="preserve"> (</w:t>
      </w:r>
      <w:r w:rsidR="00450758">
        <w:rPr>
          <w:rFonts w:ascii="Book Antiqua" w:hAnsi="Book Antiqua" w:hint="eastAsia"/>
          <w:sz w:val="24"/>
          <w:szCs w:val="24"/>
          <w:lang w:val="en-US" w:eastAsia="zh-CN"/>
        </w:rPr>
        <w:t>T</w:t>
      </w:r>
      <w:r w:rsidR="0028506F" w:rsidRPr="00E14F98">
        <w:rPr>
          <w:rFonts w:ascii="Book Antiqua" w:hAnsi="Book Antiqua"/>
          <w:sz w:val="24"/>
          <w:szCs w:val="24"/>
          <w:lang w:val="en-US"/>
        </w:rPr>
        <w:t>able 3).</w:t>
      </w:r>
      <w:r w:rsidRPr="00E14F98">
        <w:rPr>
          <w:rFonts w:ascii="Book Antiqua" w:hAnsi="Book Antiqua"/>
          <w:sz w:val="24"/>
          <w:szCs w:val="24"/>
          <w:lang w:val="en-US"/>
        </w:rPr>
        <w:t xml:space="preserve"> In the most recent meta-analysis</w:t>
      </w:r>
      <w:r w:rsidR="00361DF1" w:rsidRPr="00E14F98">
        <w:rPr>
          <w:rFonts w:ascii="Book Antiqua" w:hAnsi="Book Antiqua"/>
          <w:sz w:val="24"/>
          <w:szCs w:val="24"/>
          <w:lang w:val="en-US"/>
        </w:rPr>
        <w:t>, a s</w:t>
      </w:r>
      <w:r w:rsidRPr="00E14F98">
        <w:rPr>
          <w:rFonts w:ascii="Book Antiqua" w:hAnsi="Book Antiqua"/>
          <w:sz w:val="24"/>
          <w:szCs w:val="24"/>
          <w:lang w:val="en-US"/>
        </w:rPr>
        <w:t xml:space="preserve">ignificantly better objective tumor response </w:t>
      </w:r>
      <w:r w:rsidR="00361DF1" w:rsidRPr="00E14F98">
        <w:rPr>
          <w:rFonts w:ascii="Book Antiqua" w:hAnsi="Book Antiqua"/>
          <w:sz w:val="24"/>
          <w:szCs w:val="24"/>
          <w:lang w:val="en-US"/>
        </w:rPr>
        <w:t>rate</w:t>
      </w:r>
      <w:r w:rsidRPr="00E14F98">
        <w:rPr>
          <w:rFonts w:ascii="Book Antiqua" w:hAnsi="Book Antiqua"/>
          <w:sz w:val="24"/>
          <w:szCs w:val="24"/>
          <w:lang w:val="en-US"/>
        </w:rPr>
        <w:t xml:space="preserve"> was found for DEB-T</w:t>
      </w:r>
      <w:r w:rsidR="00361DF1" w:rsidRPr="00E14F98">
        <w:rPr>
          <w:rFonts w:ascii="Book Antiqua" w:hAnsi="Book Antiqua"/>
          <w:sz w:val="24"/>
          <w:szCs w:val="24"/>
          <w:lang w:val="en-US"/>
        </w:rPr>
        <w:t>ACE than for conventional TACE [odds ratio (</w:t>
      </w:r>
      <w:r w:rsidRPr="00E14F98">
        <w:rPr>
          <w:rFonts w:ascii="Book Antiqua" w:hAnsi="Book Antiqua"/>
          <w:sz w:val="24"/>
          <w:szCs w:val="24"/>
          <w:lang w:val="en-US"/>
        </w:rPr>
        <w:t>OR</w:t>
      </w:r>
      <w:r w:rsidR="00361DF1" w:rsidRPr="00E14F98">
        <w:rPr>
          <w:rFonts w:ascii="Book Antiqua" w:hAnsi="Book Antiqua"/>
          <w:sz w:val="24"/>
          <w:szCs w:val="24"/>
          <w:lang w:val="en-US"/>
        </w:rPr>
        <w:t>)</w:t>
      </w:r>
      <w:r w:rsidRPr="00E14F98">
        <w:rPr>
          <w:rFonts w:ascii="Book Antiqua" w:hAnsi="Book Antiqua"/>
          <w:sz w:val="24"/>
          <w:szCs w:val="24"/>
          <w:lang w:val="en-US"/>
        </w:rPr>
        <w:t xml:space="preserve"> = 1.84,</w:t>
      </w:r>
      <w:r w:rsidR="00361DF1" w:rsidRPr="00E14F98">
        <w:rPr>
          <w:rFonts w:ascii="Book Antiqua" w:hAnsi="Book Antiqua"/>
          <w:sz w:val="24"/>
          <w:szCs w:val="24"/>
          <w:lang w:val="en-US"/>
        </w:rPr>
        <w:t xml:space="preserve"> 95%</w:t>
      </w:r>
      <w:r w:rsidR="00450758">
        <w:rPr>
          <w:rFonts w:ascii="Book Antiqua" w:hAnsi="Book Antiqua"/>
          <w:sz w:val="24"/>
          <w:szCs w:val="24"/>
          <w:lang w:val="en-US"/>
        </w:rPr>
        <w:t>CI</w:t>
      </w:r>
      <w:r w:rsidR="007D6015" w:rsidRPr="00E14F98">
        <w:rPr>
          <w:rFonts w:ascii="Book Antiqua" w:hAnsi="Book Antiqua"/>
          <w:sz w:val="24"/>
          <w:szCs w:val="24"/>
          <w:lang w:val="en-US"/>
        </w:rPr>
        <w:t xml:space="preserve">: 1.02-3.33; </w:t>
      </w:r>
      <w:r w:rsidR="00450758" w:rsidRPr="00450758">
        <w:rPr>
          <w:rFonts w:ascii="Book Antiqua" w:hAnsi="Book Antiqua" w:hint="eastAsia"/>
          <w:i/>
          <w:sz w:val="24"/>
          <w:szCs w:val="24"/>
          <w:lang w:val="en-US" w:eastAsia="zh-CN"/>
        </w:rPr>
        <w:t>P</w:t>
      </w:r>
      <w:r w:rsidR="00361DF1" w:rsidRPr="00450758">
        <w:rPr>
          <w:rFonts w:ascii="Book Antiqua" w:hAnsi="Book Antiqua"/>
          <w:i/>
          <w:sz w:val="24"/>
          <w:szCs w:val="24"/>
          <w:lang w:val="en-US"/>
        </w:rPr>
        <w:t xml:space="preserve"> </w:t>
      </w:r>
      <w:r w:rsidR="00361DF1" w:rsidRPr="00E14F98">
        <w:rPr>
          <w:rFonts w:ascii="Book Antiqua" w:hAnsi="Book Antiqua"/>
          <w:sz w:val="24"/>
          <w:szCs w:val="24"/>
          <w:lang w:val="en-US"/>
        </w:rPr>
        <w:t>= 0.04], but</w:t>
      </w:r>
      <w:r w:rsidRPr="00E14F98">
        <w:rPr>
          <w:rFonts w:ascii="Book Antiqua" w:hAnsi="Book Antiqua"/>
          <w:sz w:val="24"/>
          <w:szCs w:val="24"/>
          <w:lang w:val="en-US"/>
        </w:rPr>
        <w:t xml:space="preserve"> </w:t>
      </w:r>
      <w:r w:rsidR="00807196" w:rsidRPr="00E14F98">
        <w:rPr>
          <w:rFonts w:ascii="Book Antiqua" w:hAnsi="Book Antiqua"/>
          <w:sz w:val="24"/>
          <w:szCs w:val="24"/>
          <w:lang w:val="en-US"/>
        </w:rPr>
        <w:t>Mantel-Haenzel</w:t>
      </w:r>
      <w:r w:rsidRPr="00E14F98">
        <w:rPr>
          <w:rFonts w:ascii="Book Antiqua" w:hAnsi="Book Antiqua"/>
          <w:sz w:val="24"/>
          <w:szCs w:val="24"/>
          <w:lang w:val="en-US"/>
        </w:rPr>
        <w:t xml:space="preserve"> OR</w:t>
      </w:r>
      <w:r w:rsidR="00807196" w:rsidRPr="00E14F98">
        <w:rPr>
          <w:rFonts w:ascii="Book Antiqua" w:hAnsi="Book Antiqua"/>
          <w:sz w:val="24"/>
          <w:szCs w:val="24"/>
          <w:lang w:val="en-US"/>
        </w:rPr>
        <w:t xml:space="preserve"> for</w:t>
      </w:r>
      <w:r w:rsidRPr="00E14F98">
        <w:rPr>
          <w:rFonts w:ascii="Book Antiqua" w:hAnsi="Book Antiqua"/>
          <w:sz w:val="24"/>
          <w:szCs w:val="24"/>
          <w:lang w:val="en-US"/>
        </w:rPr>
        <w:t xml:space="preserve"> 3-year survival (</w:t>
      </w:r>
      <w:r w:rsidR="00807196" w:rsidRPr="00E14F98">
        <w:rPr>
          <w:rFonts w:ascii="Book Antiqua" w:hAnsi="Book Antiqua"/>
          <w:sz w:val="24"/>
          <w:szCs w:val="24"/>
          <w:lang w:val="en-US"/>
        </w:rPr>
        <w:t>reported in 4 studies) was non significant (</w:t>
      </w:r>
      <w:r w:rsidR="00005A66" w:rsidRPr="00E14F98">
        <w:rPr>
          <w:rFonts w:ascii="Book Antiqua" w:hAnsi="Book Antiqua"/>
          <w:sz w:val="24"/>
          <w:szCs w:val="24"/>
          <w:lang w:val="en-US"/>
        </w:rPr>
        <w:t>0.77, CI</w:t>
      </w:r>
      <w:r w:rsidR="00450758">
        <w:rPr>
          <w:rFonts w:ascii="Book Antiqua" w:hAnsi="Book Antiqua" w:hint="eastAsia"/>
          <w:sz w:val="24"/>
          <w:szCs w:val="24"/>
          <w:lang w:val="en-US" w:eastAsia="zh-CN"/>
        </w:rPr>
        <w:t>:</w:t>
      </w:r>
      <w:r w:rsidR="00005A66" w:rsidRPr="00E14F98">
        <w:rPr>
          <w:rFonts w:ascii="Book Antiqua" w:hAnsi="Book Antiqua"/>
          <w:sz w:val="24"/>
          <w:szCs w:val="24"/>
          <w:lang w:val="en-US"/>
        </w:rPr>
        <w:t xml:space="preserve"> 0.55-1.06</w:t>
      </w:r>
      <w:r w:rsidR="00807196" w:rsidRPr="00E14F98">
        <w:rPr>
          <w:rFonts w:ascii="Book Antiqua" w:hAnsi="Book Antiqua"/>
          <w:sz w:val="24"/>
          <w:szCs w:val="24"/>
          <w:lang w:val="en-US"/>
        </w:rPr>
        <w:t xml:space="preserve">, </w:t>
      </w:r>
      <w:r w:rsidR="00450758" w:rsidRPr="00450758">
        <w:rPr>
          <w:rFonts w:ascii="Book Antiqua" w:hAnsi="Book Antiqua" w:hint="eastAsia"/>
          <w:i/>
          <w:sz w:val="24"/>
          <w:szCs w:val="24"/>
          <w:lang w:val="en-US" w:eastAsia="zh-CN"/>
        </w:rPr>
        <w:t>P</w:t>
      </w:r>
      <w:r w:rsidR="00005A66" w:rsidRPr="00450758">
        <w:rPr>
          <w:rFonts w:ascii="Book Antiqua" w:hAnsi="Book Antiqua"/>
          <w:i/>
          <w:sz w:val="24"/>
          <w:szCs w:val="24"/>
          <w:lang w:val="en-US"/>
        </w:rPr>
        <w:t xml:space="preserve"> </w:t>
      </w:r>
      <w:r w:rsidR="00005A66" w:rsidRPr="00E14F98">
        <w:rPr>
          <w:rFonts w:ascii="Book Antiqua" w:hAnsi="Book Antiqua"/>
          <w:sz w:val="24"/>
          <w:szCs w:val="24"/>
          <w:lang w:val="en-US"/>
        </w:rPr>
        <w:t>= 0.11)</w:t>
      </w:r>
      <w:r w:rsidR="007549F0" w:rsidRPr="00E14F98">
        <w:rPr>
          <w:rFonts w:ascii="Book Antiqua" w:hAnsi="Book Antiqua"/>
          <w:sz w:val="24"/>
          <w:szCs w:val="24"/>
          <w:vertAlign w:val="superscript"/>
          <w:lang w:val="en-US"/>
        </w:rPr>
        <w:t>[50]</w:t>
      </w:r>
      <w:r w:rsidR="00005A66" w:rsidRPr="00E14F98">
        <w:rPr>
          <w:rFonts w:ascii="Book Antiqua" w:hAnsi="Book Antiqua"/>
          <w:sz w:val="24"/>
          <w:szCs w:val="24"/>
          <w:lang w:val="en-US"/>
        </w:rPr>
        <w:t xml:space="preserve">. </w:t>
      </w:r>
      <w:r w:rsidR="00304E95" w:rsidRPr="00E14F98">
        <w:rPr>
          <w:rFonts w:ascii="Book Antiqua" w:hAnsi="Book Antiqua"/>
          <w:sz w:val="24"/>
          <w:szCs w:val="24"/>
          <w:lang w:val="en-US"/>
        </w:rPr>
        <w:t>With regard to toxicity, either overall and severe a</w:t>
      </w:r>
      <w:r w:rsidRPr="00E14F98">
        <w:rPr>
          <w:rFonts w:ascii="Book Antiqua" w:hAnsi="Book Antiqua"/>
          <w:sz w:val="24"/>
          <w:szCs w:val="24"/>
          <w:lang w:val="en-US"/>
        </w:rPr>
        <w:t xml:space="preserve">dverse </w:t>
      </w:r>
      <w:r w:rsidR="00304E95" w:rsidRPr="00E14F98">
        <w:rPr>
          <w:rFonts w:ascii="Book Antiqua" w:hAnsi="Book Antiqua"/>
          <w:sz w:val="24"/>
          <w:szCs w:val="24"/>
          <w:lang w:val="en-US"/>
        </w:rPr>
        <w:t>events</w:t>
      </w:r>
      <w:r w:rsidRPr="00E14F98">
        <w:rPr>
          <w:rFonts w:ascii="Book Antiqua" w:hAnsi="Book Antiqua"/>
          <w:sz w:val="24"/>
          <w:szCs w:val="24"/>
          <w:lang w:val="en-US"/>
        </w:rPr>
        <w:t xml:space="preserve"> were similar in both groups, with post</w:t>
      </w:r>
      <w:r w:rsidR="009B7C67" w:rsidRPr="00E14F98">
        <w:rPr>
          <w:rFonts w:ascii="Book Antiqua" w:hAnsi="Book Antiqua"/>
          <w:sz w:val="24"/>
          <w:szCs w:val="24"/>
          <w:lang w:val="en-US"/>
        </w:rPr>
        <w:t>-</w:t>
      </w:r>
      <w:r w:rsidRPr="00E14F98">
        <w:rPr>
          <w:rFonts w:ascii="Book Antiqua" w:hAnsi="Book Antiqua"/>
          <w:sz w:val="24"/>
          <w:szCs w:val="24"/>
          <w:lang w:val="en-US"/>
        </w:rPr>
        <w:t xml:space="preserve">embolization syndrome occurring most </w:t>
      </w:r>
      <w:proofErr w:type="gramStart"/>
      <w:r w:rsidRPr="00E14F98">
        <w:rPr>
          <w:rFonts w:ascii="Book Antiqua" w:hAnsi="Book Antiqua"/>
          <w:sz w:val="24"/>
          <w:szCs w:val="24"/>
          <w:lang w:val="en-US"/>
        </w:rPr>
        <w:t>commonly</w:t>
      </w:r>
      <w:r w:rsidR="00DD7AAD" w:rsidRPr="00E14F98">
        <w:rPr>
          <w:rFonts w:ascii="Book Antiqua" w:hAnsi="Book Antiqua"/>
          <w:sz w:val="24"/>
          <w:szCs w:val="24"/>
          <w:vertAlign w:val="superscript"/>
          <w:lang w:val="en-US"/>
        </w:rPr>
        <w:t>[</w:t>
      </w:r>
      <w:proofErr w:type="gramEnd"/>
      <w:r w:rsidR="00DD7AAD" w:rsidRPr="00E14F98">
        <w:rPr>
          <w:rFonts w:ascii="Book Antiqua" w:hAnsi="Book Antiqua"/>
          <w:sz w:val="24"/>
          <w:szCs w:val="24"/>
          <w:vertAlign w:val="superscript"/>
          <w:lang w:val="en-US"/>
        </w:rPr>
        <w:t>50,51]</w:t>
      </w:r>
      <w:r w:rsidRPr="00E14F98">
        <w:rPr>
          <w:rFonts w:ascii="Book Antiqua" w:hAnsi="Book Antiqua"/>
          <w:sz w:val="24"/>
          <w:szCs w:val="24"/>
          <w:lang w:val="en-US"/>
        </w:rPr>
        <w:t>.</w:t>
      </w:r>
    </w:p>
    <w:p w:rsidR="00C413FD" w:rsidRPr="00E14F98" w:rsidRDefault="00BB5F11" w:rsidP="00450758">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lastRenderedPageBreak/>
        <w:t xml:space="preserve">Although a clear superiority of DEB-TACE is still lacking, new micro-particles have been recently introduced in the clinical practice. </w:t>
      </w:r>
      <w:r w:rsidR="001B40FA" w:rsidRPr="00E14F98">
        <w:rPr>
          <w:rFonts w:ascii="Book Antiqua" w:hAnsi="Book Antiqua"/>
          <w:sz w:val="24"/>
          <w:szCs w:val="24"/>
          <w:lang w:val="en-US"/>
        </w:rPr>
        <w:t>As previously mentioned, s</w:t>
      </w:r>
      <w:r w:rsidR="00AF10E1" w:rsidRPr="00E14F98">
        <w:rPr>
          <w:rFonts w:ascii="Book Antiqua" w:hAnsi="Book Antiqua"/>
          <w:sz w:val="24"/>
          <w:szCs w:val="24"/>
          <w:lang w:val="en-US"/>
        </w:rPr>
        <w:t xml:space="preserve">mall diameter beads have been </w:t>
      </w:r>
      <w:r w:rsidR="00D42400" w:rsidRPr="00E14F98">
        <w:rPr>
          <w:rFonts w:ascii="Book Antiqua" w:hAnsi="Book Antiqua"/>
          <w:sz w:val="24"/>
          <w:szCs w:val="24"/>
          <w:lang w:val="en-US"/>
        </w:rPr>
        <w:t xml:space="preserve">shown to inflict pan-necrosis of </w:t>
      </w:r>
      <w:r w:rsidR="00AF10E1" w:rsidRPr="00E14F98">
        <w:rPr>
          <w:rFonts w:ascii="Book Antiqua" w:hAnsi="Book Antiqua"/>
          <w:sz w:val="24"/>
          <w:szCs w:val="24"/>
          <w:lang w:val="en-US"/>
        </w:rPr>
        <w:t xml:space="preserve">the target lesion since smaller </w:t>
      </w:r>
      <w:r w:rsidR="00D42400" w:rsidRPr="00E14F98">
        <w:rPr>
          <w:rFonts w:ascii="Book Antiqua" w:hAnsi="Book Antiqua"/>
          <w:sz w:val="24"/>
          <w:szCs w:val="24"/>
          <w:lang w:val="en-US"/>
        </w:rPr>
        <w:t>bead diameters achieve a more</w:t>
      </w:r>
      <w:r w:rsidR="00AF10E1" w:rsidRPr="00E14F98">
        <w:rPr>
          <w:rFonts w:ascii="Book Antiqua" w:hAnsi="Book Antiqua"/>
          <w:sz w:val="24"/>
          <w:szCs w:val="24"/>
          <w:lang w:val="en-US"/>
        </w:rPr>
        <w:t xml:space="preserve"> distal embolization, thus also </w:t>
      </w:r>
      <w:r w:rsidR="00D42400" w:rsidRPr="00E14F98">
        <w:rPr>
          <w:rFonts w:ascii="Book Antiqua" w:hAnsi="Book Antiqua"/>
          <w:sz w:val="24"/>
          <w:szCs w:val="24"/>
          <w:lang w:val="en-US"/>
        </w:rPr>
        <w:t>obst</w:t>
      </w:r>
      <w:r w:rsidR="00AF10E1" w:rsidRPr="00E14F98">
        <w:rPr>
          <w:rFonts w:ascii="Book Antiqua" w:hAnsi="Book Antiqua"/>
          <w:sz w:val="24"/>
          <w:szCs w:val="24"/>
          <w:lang w:val="en-US"/>
        </w:rPr>
        <w:t xml:space="preserve">ructing collateral </w:t>
      </w:r>
      <w:proofErr w:type="gramStart"/>
      <w:r w:rsidR="00AF10E1" w:rsidRPr="00E14F98">
        <w:rPr>
          <w:rFonts w:ascii="Book Antiqua" w:hAnsi="Book Antiqua"/>
          <w:sz w:val="24"/>
          <w:szCs w:val="24"/>
          <w:lang w:val="en-US"/>
        </w:rPr>
        <w:t>channels</w:t>
      </w:r>
      <w:r w:rsidR="00F923C1" w:rsidRPr="00E14F98">
        <w:rPr>
          <w:rFonts w:ascii="Book Antiqua" w:hAnsi="Book Antiqua"/>
          <w:sz w:val="24"/>
          <w:szCs w:val="24"/>
          <w:vertAlign w:val="superscript"/>
          <w:lang w:val="en-US"/>
        </w:rPr>
        <w:t>[</w:t>
      </w:r>
      <w:proofErr w:type="gramEnd"/>
      <w:r w:rsidR="00F923C1" w:rsidRPr="00E14F98">
        <w:rPr>
          <w:rFonts w:ascii="Book Antiqua" w:hAnsi="Book Antiqua"/>
          <w:sz w:val="24"/>
          <w:szCs w:val="24"/>
          <w:vertAlign w:val="superscript"/>
          <w:lang w:val="en-US"/>
        </w:rPr>
        <w:t>35-37]</w:t>
      </w:r>
      <w:r w:rsidR="00F2618B" w:rsidRPr="00E14F98">
        <w:rPr>
          <w:rFonts w:ascii="Book Antiqua" w:hAnsi="Book Antiqua"/>
          <w:sz w:val="24"/>
          <w:szCs w:val="24"/>
          <w:lang w:val="en-US"/>
        </w:rPr>
        <w:t>.</w:t>
      </w:r>
      <w:r w:rsidR="008512AA" w:rsidRPr="00E14F98">
        <w:rPr>
          <w:rFonts w:ascii="Book Antiqua" w:hAnsi="Book Antiqua"/>
          <w:sz w:val="24"/>
          <w:szCs w:val="24"/>
          <w:lang w:val="en-US"/>
        </w:rPr>
        <w:t xml:space="preserve"> </w:t>
      </w:r>
      <w:r w:rsidR="002E1A00" w:rsidRPr="00E14F98">
        <w:rPr>
          <w:rFonts w:ascii="Book Antiqua" w:hAnsi="Book Antiqua"/>
          <w:sz w:val="24"/>
          <w:szCs w:val="24"/>
          <w:lang w:val="en-US"/>
        </w:rPr>
        <w:t>Therefore, smaller particl</w:t>
      </w:r>
      <w:r w:rsidR="00974861" w:rsidRPr="00E14F98">
        <w:rPr>
          <w:rFonts w:ascii="Book Antiqua" w:hAnsi="Book Antiqua"/>
          <w:sz w:val="24"/>
          <w:szCs w:val="24"/>
          <w:lang w:val="en-US"/>
        </w:rPr>
        <w:t xml:space="preserve">es have been recently tested with promising </w:t>
      </w:r>
      <w:proofErr w:type="gramStart"/>
      <w:r w:rsidR="00974861" w:rsidRPr="00E14F98">
        <w:rPr>
          <w:rFonts w:ascii="Book Antiqua" w:hAnsi="Book Antiqua"/>
          <w:sz w:val="24"/>
          <w:szCs w:val="24"/>
          <w:lang w:val="en-US"/>
        </w:rPr>
        <w:t>results</w:t>
      </w:r>
      <w:r w:rsidR="00450758" w:rsidRPr="00E14F98">
        <w:rPr>
          <w:rFonts w:ascii="Book Antiqua" w:hAnsi="Book Antiqua"/>
          <w:sz w:val="24"/>
          <w:szCs w:val="24"/>
          <w:vertAlign w:val="superscript"/>
          <w:lang w:val="en-US"/>
        </w:rPr>
        <w:t>[</w:t>
      </w:r>
      <w:proofErr w:type="gramEnd"/>
      <w:r w:rsidR="00450758" w:rsidRPr="00E14F98">
        <w:rPr>
          <w:rFonts w:ascii="Book Antiqua" w:hAnsi="Book Antiqua"/>
          <w:sz w:val="24"/>
          <w:szCs w:val="24"/>
          <w:vertAlign w:val="superscript"/>
          <w:lang w:val="en-US"/>
        </w:rPr>
        <w:t>53-55]</w:t>
      </w:r>
      <w:r w:rsidR="00A63840" w:rsidRPr="00E14F98">
        <w:rPr>
          <w:rFonts w:ascii="Book Antiqua" w:hAnsi="Book Antiqua"/>
          <w:sz w:val="24"/>
          <w:szCs w:val="24"/>
          <w:lang w:val="en-US"/>
        </w:rPr>
        <w:t>,</w:t>
      </w:r>
      <w:r w:rsidR="00974861" w:rsidRPr="00E14F98">
        <w:rPr>
          <w:rFonts w:ascii="Book Antiqua" w:hAnsi="Book Antiqua"/>
          <w:sz w:val="24"/>
          <w:szCs w:val="24"/>
          <w:lang w:val="en-US"/>
        </w:rPr>
        <w:t xml:space="preserve"> </w:t>
      </w:r>
      <w:r w:rsidR="00A63840" w:rsidRPr="00E14F98">
        <w:rPr>
          <w:rFonts w:ascii="Book Antiqua" w:hAnsi="Book Antiqua"/>
          <w:sz w:val="24"/>
          <w:szCs w:val="24"/>
          <w:lang w:val="en-US"/>
        </w:rPr>
        <w:t>but b</w:t>
      </w:r>
      <w:r w:rsidR="00F6605A" w:rsidRPr="00E14F98">
        <w:rPr>
          <w:rFonts w:ascii="Book Antiqua" w:hAnsi="Book Antiqua"/>
          <w:sz w:val="24"/>
          <w:szCs w:val="24"/>
          <w:lang w:val="en-US"/>
        </w:rPr>
        <w:t xml:space="preserve">roader cohort studies and RCTs are warranted to validate such findings. </w:t>
      </w:r>
    </w:p>
    <w:p w:rsidR="00963D88" w:rsidRPr="00E14F98" w:rsidRDefault="00963D88" w:rsidP="00E14F98">
      <w:pPr>
        <w:spacing w:after="0" w:line="360" w:lineRule="auto"/>
        <w:jc w:val="both"/>
        <w:rPr>
          <w:rFonts w:ascii="Book Antiqua" w:hAnsi="Book Antiqua"/>
          <w:sz w:val="24"/>
          <w:szCs w:val="24"/>
          <w:lang w:val="en-US"/>
        </w:rPr>
      </w:pPr>
    </w:p>
    <w:p w:rsidR="00963D88" w:rsidRPr="00E14F98" w:rsidRDefault="00450758" w:rsidP="00E14F98">
      <w:pPr>
        <w:spacing w:after="0" w:line="360" w:lineRule="auto"/>
        <w:jc w:val="both"/>
        <w:rPr>
          <w:rFonts w:ascii="Book Antiqua" w:hAnsi="Book Antiqua"/>
          <w:b/>
          <w:sz w:val="24"/>
          <w:szCs w:val="24"/>
          <w:lang w:val="en-US"/>
        </w:rPr>
      </w:pPr>
      <w:r w:rsidRPr="00E14F98">
        <w:rPr>
          <w:rFonts w:ascii="Book Antiqua" w:hAnsi="Book Antiqua"/>
          <w:b/>
          <w:sz w:val="24"/>
          <w:szCs w:val="24"/>
          <w:lang w:val="en-US"/>
        </w:rPr>
        <w:t>APPLICATIONS OF TACE IN HEPATO-ONCOLOGY</w:t>
      </w:r>
    </w:p>
    <w:p w:rsidR="00B840BF" w:rsidRPr="00450758" w:rsidRDefault="00473708" w:rsidP="00E14F98">
      <w:pPr>
        <w:spacing w:after="0" w:line="360" w:lineRule="auto"/>
        <w:jc w:val="both"/>
        <w:rPr>
          <w:rFonts w:ascii="Book Antiqua" w:hAnsi="Book Antiqua"/>
          <w:b/>
          <w:i/>
          <w:sz w:val="24"/>
          <w:szCs w:val="24"/>
          <w:lang w:val="en-US"/>
        </w:rPr>
      </w:pPr>
      <w:r w:rsidRPr="00450758">
        <w:rPr>
          <w:rFonts w:ascii="Book Antiqua" w:hAnsi="Book Antiqua"/>
          <w:b/>
          <w:i/>
          <w:sz w:val="24"/>
          <w:szCs w:val="24"/>
          <w:lang w:val="en-US"/>
        </w:rPr>
        <w:t>Intermediate stage</w:t>
      </w:r>
    </w:p>
    <w:p w:rsidR="00AE5353" w:rsidRPr="00E14F98" w:rsidRDefault="00B840BF"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 xml:space="preserve">The recommendation for TACE as the standard-of-care for intermediate-stage HCC is based on the demonstration of improved survival compared with best supportive care or suboptimal therapies in a meta-analysis </w:t>
      </w:r>
      <w:r w:rsidR="00120195" w:rsidRPr="00E14F98">
        <w:rPr>
          <w:rFonts w:ascii="Book Antiqua" w:hAnsi="Book Antiqua"/>
          <w:sz w:val="24"/>
          <w:szCs w:val="24"/>
          <w:lang w:val="en-US"/>
        </w:rPr>
        <w:t xml:space="preserve">of six </w:t>
      </w:r>
      <w:proofErr w:type="gramStart"/>
      <w:r w:rsidR="00120195" w:rsidRPr="00E14F98">
        <w:rPr>
          <w:rFonts w:ascii="Book Antiqua" w:hAnsi="Book Antiqua"/>
          <w:sz w:val="24"/>
          <w:szCs w:val="24"/>
          <w:lang w:val="en-US"/>
        </w:rPr>
        <w:t>RCTs</w:t>
      </w:r>
      <w:r w:rsidR="0052233C" w:rsidRPr="00E14F98">
        <w:rPr>
          <w:rFonts w:ascii="Book Antiqua" w:hAnsi="Book Antiqua"/>
          <w:sz w:val="24"/>
          <w:szCs w:val="24"/>
          <w:vertAlign w:val="superscript"/>
          <w:lang w:val="en-US"/>
        </w:rPr>
        <w:t>[</w:t>
      </w:r>
      <w:proofErr w:type="gramEnd"/>
      <w:r w:rsidR="0052233C" w:rsidRPr="00E14F98">
        <w:rPr>
          <w:rFonts w:ascii="Book Antiqua" w:hAnsi="Book Antiqua"/>
          <w:sz w:val="24"/>
          <w:szCs w:val="24"/>
          <w:vertAlign w:val="superscript"/>
          <w:lang w:val="en-US"/>
        </w:rPr>
        <w:t>56]</w:t>
      </w:r>
      <w:r w:rsidR="00120195" w:rsidRPr="00E14F98">
        <w:rPr>
          <w:rFonts w:ascii="Book Antiqua" w:hAnsi="Book Antiqua"/>
          <w:sz w:val="24"/>
          <w:szCs w:val="24"/>
          <w:lang w:val="en-US"/>
        </w:rPr>
        <w:t>.</w:t>
      </w:r>
      <w:r w:rsidRPr="00E14F98">
        <w:rPr>
          <w:rFonts w:ascii="Book Antiqua" w:hAnsi="Book Antiqua"/>
          <w:sz w:val="24"/>
          <w:szCs w:val="24"/>
          <w:lang w:val="en-US"/>
        </w:rPr>
        <w:t xml:space="preserve"> However, there was considerable heterogeneity between the individual study designs (including patient populations and TACE technique) as well as t</w:t>
      </w:r>
      <w:r w:rsidR="00245983" w:rsidRPr="00E14F98">
        <w:rPr>
          <w:rFonts w:ascii="Book Antiqua" w:hAnsi="Book Antiqua"/>
          <w:sz w:val="24"/>
          <w:szCs w:val="24"/>
          <w:lang w:val="en-US"/>
        </w:rPr>
        <w:t>he study results, with only two</w:t>
      </w:r>
      <w:r w:rsidR="00450627" w:rsidRPr="00E14F98">
        <w:rPr>
          <w:rFonts w:ascii="Book Antiqua" w:hAnsi="Book Antiqua"/>
          <w:sz w:val="24"/>
          <w:szCs w:val="24"/>
          <w:vertAlign w:val="superscript"/>
          <w:lang w:val="en-US"/>
        </w:rPr>
        <w:t>[30,57</w:t>
      </w:r>
      <w:r w:rsidR="00245983" w:rsidRPr="00E14F98">
        <w:rPr>
          <w:rFonts w:ascii="Book Antiqua" w:hAnsi="Book Antiqua"/>
          <w:sz w:val="24"/>
          <w:szCs w:val="24"/>
          <w:vertAlign w:val="superscript"/>
          <w:lang w:val="en-US"/>
        </w:rPr>
        <w:t>]</w:t>
      </w:r>
      <w:r w:rsidR="00245983" w:rsidRPr="00E14F98">
        <w:rPr>
          <w:rFonts w:ascii="Book Antiqua" w:hAnsi="Book Antiqua"/>
          <w:sz w:val="24"/>
          <w:szCs w:val="24"/>
          <w:lang w:val="en-US"/>
        </w:rPr>
        <w:t xml:space="preserve"> </w:t>
      </w:r>
      <w:r w:rsidRPr="00E14F98">
        <w:rPr>
          <w:rFonts w:ascii="Book Antiqua" w:hAnsi="Book Antiqua"/>
          <w:sz w:val="24"/>
          <w:szCs w:val="24"/>
          <w:lang w:val="en-US"/>
        </w:rPr>
        <w:t xml:space="preserve">of the six individual studies that reported 2-year survival </w:t>
      </w:r>
      <w:r w:rsidR="005E7B8E" w:rsidRPr="00E14F98">
        <w:rPr>
          <w:rFonts w:ascii="Book Antiqua" w:hAnsi="Book Antiqua"/>
          <w:sz w:val="24"/>
          <w:szCs w:val="24"/>
          <w:lang w:val="en-US"/>
        </w:rPr>
        <w:t xml:space="preserve">rates </w:t>
      </w:r>
      <w:r w:rsidRPr="00E14F98">
        <w:rPr>
          <w:rFonts w:ascii="Book Antiqua" w:hAnsi="Book Antiqua"/>
          <w:sz w:val="24"/>
          <w:szCs w:val="24"/>
          <w:lang w:val="en-US"/>
        </w:rPr>
        <w:t>showing a statistically significant improvement compared with conservative management (relative risk of death after 2 years: 0.</w:t>
      </w:r>
      <w:r w:rsidR="00471FDD" w:rsidRPr="00E14F98">
        <w:rPr>
          <w:rFonts w:ascii="Book Antiqua" w:hAnsi="Book Antiqua"/>
          <w:sz w:val="24"/>
          <w:szCs w:val="24"/>
          <w:lang w:val="en-US"/>
        </w:rPr>
        <w:t xml:space="preserve">53, </w:t>
      </w:r>
      <w:r w:rsidR="00450758" w:rsidRPr="00450758">
        <w:rPr>
          <w:rFonts w:ascii="Book Antiqua" w:hAnsi="Book Antiqua" w:hint="eastAsia"/>
          <w:i/>
          <w:sz w:val="24"/>
          <w:szCs w:val="24"/>
          <w:lang w:val="en-US" w:eastAsia="zh-CN"/>
        </w:rPr>
        <w:t>P</w:t>
      </w:r>
      <w:r w:rsidR="00471FDD" w:rsidRPr="00E14F98">
        <w:rPr>
          <w:rFonts w:ascii="Book Antiqua" w:hAnsi="Book Antiqua"/>
          <w:sz w:val="24"/>
          <w:szCs w:val="24"/>
          <w:lang w:val="en-US"/>
        </w:rPr>
        <w:t xml:space="preserve"> = 0.017). Results from</w:t>
      </w:r>
      <w:r w:rsidRPr="00E14F98">
        <w:rPr>
          <w:rFonts w:ascii="Book Antiqua" w:hAnsi="Book Antiqua"/>
          <w:sz w:val="24"/>
          <w:szCs w:val="24"/>
          <w:lang w:val="en-US"/>
        </w:rPr>
        <w:t xml:space="preserve"> other two meta-analyses confirmed that TACE improved survival outcomes compared with conservative management, however, both meta-analyses also concluded that there were other treatment options</w:t>
      </w:r>
      <w:r w:rsidR="00471FDD" w:rsidRPr="00E14F98">
        <w:rPr>
          <w:rFonts w:ascii="Book Antiqua" w:hAnsi="Book Antiqua"/>
          <w:sz w:val="24"/>
          <w:szCs w:val="24"/>
          <w:lang w:val="en-US"/>
        </w:rPr>
        <w:t xml:space="preserve"> (such as TAE or ethanol injection)</w:t>
      </w:r>
      <w:r w:rsidRPr="00E14F98">
        <w:rPr>
          <w:rFonts w:ascii="Book Antiqua" w:hAnsi="Book Antiqua"/>
          <w:sz w:val="24"/>
          <w:szCs w:val="24"/>
          <w:lang w:val="en-US"/>
        </w:rPr>
        <w:t xml:space="preserve"> as effective as, if not superior to, TACE for the treatment of unresectable HCC</w:t>
      </w:r>
      <w:r w:rsidR="00E966D4" w:rsidRPr="00E14F98">
        <w:rPr>
          <w:rFonts w:ascii="Book Antiqua" w:hAnsi="Book Antiqua"/>
          <w:sz w:val="24"/>
          <w:szCs w:val="24"/>
          <w:vertAlign w:val="superscript"/>
          <w:lang w:val="en-US"/>
        </w:rPr>
        <w:t>[58,59]</w:t>
      </w:r>
      <w:r w:rsidRPr="00E14F98">
        <w:rPr>
          <w:rFonts w:ascii="Book Antiqua" w:hAnsi="Book Antiqua"/>
          <w:sz w:val="24"/>
          <w:szCs w:val="24"/>
          <w:lang w:val="en-US"/>
        </w:rPr>
        <w:t>. Furthermore, intermediate-stage HCC includes a heterogeneous population of patients varying widely in terms of tumour burd</w:t>
      </w:r>
      <w:r w:rsidR="00014AD8" w:rsidRPr="00E14F98">
        <w:rPr>
          <w:rFonts w:ascii="Book Antiqua" w:hAnsi="Book Antiqua"/>
          <w:sz w:val="24"/>
          <w:szCs w:val="24"/>
          <w:lang w:val="en-US"/>
        </w:rPr>
        <w:t xml:space="preserve">en, liver function and disease </w:t>
      </w:r>
      <w:proofErr w:type="gramStart"/>
      <w:r w:rsidRPr="00E14F98">
        <w:rPr>
          <w:rFonts w:ascii="Book Antiqua" w:hAnsi="Book Antiqua"/>
          <w:sz w:val="24"/>
          <w:szCs w:val="24"/>
          <w:lang w:val="en-US"/>
        </w:rPr>
        <w:t>etiology</w:t>
      </w:r>
      <w:r w:rsidR="00601071" w:rsidRPr="00E14F98">
        <w:rPr>
          <w:rFonts w:ascii="Book Antiqua" w:hAnsi="Book Antiqua"/>
          <w:sz w:val="24"/>
          <w:szCs w:val="24"/>
          <w:vertAlign w:val="superscript"/>
          <w:lang w:val="en-US"/>
        </w:rPr>
        <w:t>[</w:t>
      </w:r>
      <w:proofErr w:type="gramEnd"/>
      <w:r w:rsidR="00601071" w:rsidRPr="00E14F98">
        <w:rPr>
          <w:rFonts w:ascii="Book Antiqua" w:hAnsi="Book Antiqua"/>
          <w:sz w:val="24"/>
          <w:szCs w:val="24"/>
          <w:vertAlign w:val="superscript"/>
          <w:lang w:val="en-US"/>
        </w:rPr>
        <w:t>11]</w:t>
      </w:r>
      <w:r w:rsidRPr="00E14F98">
        <w:rPr>
          <w:rFonts w:ascii="Book Antiqua" w:hAnsi="Book Antiqua"/>
          <w:sz w:val="24"/>
          <w:szCs w:val="24"/>
          <w:lang w:val="en-US"/>
        </w:rPr>
        <w:t>. In fact, it should be noted that the previously mentioned studies</w:t>
      </w:r>
      <w:r w:rsidR="007E161B" w:rsidRPr="00E14F98">
        <w:rPr>
          <w:rFonts w:ascii="Book Antiqua" w:hAnsi="Book Antiqua"/>
          <w:sz w:val="24"/>
          <w:szCs w:val="24"/>
          <w:lang w:val="en-US"/>
        </w:rPr>
        <w:t xml:space="preserve"> included</w:t>
      </w:r>
      <w:r w:rsidR="00452FB3" w:rsidRPr="00E14F98">
        <w:rPr>
          <w:rFonts w:ascii="Book Antiqua" w:hAnsi="Book Antiqua"/>
          <w:sz w:val="24"/>
          <w:szCs w:val="24"/>
          <w:lang w:val="en-US"/>
        </w:rPr>
        <w:t xml:space="preserve"> </w:t>
      </w:r>
      <w:r w:rsidRPr="00E14F98">
        <w:rPr>
          <w:rFonts w:ascii="Book Antiqua" w:hAnsi="Book Antiqua"/>
          <w:sz w:val="24"/>
          <w:szCs w:val="24"/>
          <w:lang w:val="en-US"/>
        </w:rPr>
        <w:t xml:space="preserve">patients with HCC described as ‘‘unresectable” rather than those with HCC classified as intermediate according to the BCLC schema. </w:t>
      </w:r>
    </w:p>
    <w:p w:rsidR="00E66ACF" w:rsidRPr="00E14F98" w:rsidRDefault="00B840BF" w:rsidP="00450758">
      <w:pPr>
        <w:spacing w:after="0" w:line="360" w:lineRule="auto"/>
        <w:ind w:firstLineChars="100" w:firstLine="240"/>
        <w:jc w:val="both"/>
        <w:rPr>
          <w:rFonts w:ascii="Book Antiqua" w:hAnsi="Book Antiqua"/>
          <w:sz w:val="24"/>
          <w:szCs w:val="24"/>
          <w:vertAlign w:val="superscript"/>
          <w:lang w:val="en-US"/>
        </w:rPr>
      </w:pPr>
      <w:r w:rsidRPr="00E14F98">
        <w:rPr>
          <w:rFonts w:ascii="Book Antiqua" w:hAnsi="Book Antiqua"/>
          <w:sz w:val="24"/>
          <w:szCs w:val="24"/>
          <w:lang w:val="en-US"/>
        </w:rPr>
        <w:t xml:space="preserve">Overall, the expected survival for </w:t>
      </w:r>
      <w:r w:rsidR="00F6572C" w:rsidRPr="00E14F98">
        <w:rPr>
          <w:rFonts w:ascii="Book Antiqua" w:hAnsi="Book Antiqua"/>
          <w:sz w:val="24"/>
          <w:szCs w:val="24"/>
          <w:lang w:val="en-US"/>
        </w:rPr>
        <w:t xml:space="preserve">untreated </w:t>
      </w:r>
      <w:r w:rsidRPr="00E14F98">
        <w:rPr>
          <w:rFonts w:ascii="Book Antiqua" w:hAnsi="Book Antiqua"/>
          <w:sz w:val="24"/>
          <w:szCs w:val="24"/>
          <w:lang w:val="en-US"/>
        </w:rPr>
        <w:t xml:space="preserve">intermediate HCC is 16 months, whereas after TACE increased up to 20 in the first </w:t>
      </w:r>
      <w:proofErr w:type="gramStart"/>
      <w:r w:rsidRPr="00E14F98">
        <w:rPr>
          <w:rFonts w:ascii="Book Antiqua" w:hAnsi="Book Antiqua"/>
          <w:sz w:val="24"/>
          <w:szCs w:val="24"/>
          <w:lang w:val="en-US"/>
        </w:rPr>
        <w:t>studies</w:t>
      </w:r>
      <w:r w:rsidR="00BD4DD0" w:rsidRPr="00E14F98">
        <w:rPr>
          <w:rFonts w:ascii="Book Antiqua" w:hAnsi="Book Antiqua"/>
          <w:sz w:val="24"/>
          <w:szCs w:val="24"/>
          <w:vertAlign w:val="superscript"/>
          <w:lang w:val="en-US"/>
        </w:rPr>
        <w:t>[</w:t>
      </w:r>
      <w:proofErr w:type="gramEnd"/>
      <w:r w:rsidR="00BD4DD0" w:rsidRPr="00E14F98">
        <w:rPr>
          <w:rFonts w:ascii="Book Antiqua" w:hAnsi="Book Antiqua"/>
          <w:sz w:val="24"/>
          <w:szCs w:val="24"/>
          <w:vertAlign w:val="superscript"/>
          <w:lang w:val="en-US"/>
        </w:rPr>
        <w:t>56]</w:t>
      </w:r>
      <w:r w:rsidRPr="00E14F98">
        <w:rPr>
          <w:rFonts w:ascii="Book Antiqua" w:hAnsi="Book Antiqua"/>
          <w:sz w:val="24"/>
          <w:szCs w:val="24"/>
          <w:lang w:val="en-US"/>
        </w:rPr>
        <w:t>. However, these studies compared TACE to BSC and not to other treatment modalities such as surgery. Several reports on expandin</w:t>
      </w:r>
      <w:r w:rsidR="005E360B" w:rsidRPr="00E14F98">
        <w:rPr>
          <w:rFonts w:ascii="Book Antiqua" w:hAnsi="Book Antiqua"/>
          <w:sz w:val="24"/>
          <w:szCs w:val="24"/>
          <w:lang w:val="en-US"/>
        </w:rPr>
        <w:t>g criteria for resection in HCC</w:t>
      </w:r>
      <w:r w:rsidRPr="00E14F98">
        <w:rPr>
          <w:rFonts w:ascii="Book Antiqua" w:hAnsi="Book Antiqua"/>
          <w:sz w:val="24"/>
          <w:szCs w:val="24"/>
          <w:lang w:val="en-US"/>
        </w:rPr>
        <w:t xml:space="preserve"> have been published in the last years. In fact, two retrospective </w:t>
      </w:r>
      <w:proofErr w:type="gramStart"/>
      <w:r w:rsidRPr="00E14F98">
        <w:rPr>
          <w:rFonts w:ascii="Book Antiqua" w:hAnsi="Book Antiqua"/>
          <w:sz w:val="24"/>
          <w:szCs w:val="24"/>
          <w:lang w:val="en-US"/>
        </w:rPr>
        <w:t>studies</w:t>
      </w:r>
      <w:r w:rsidR="0065107D" w:rsidRPr="00E14F98">
        <w:rPr>
          <w:rFonts w:ascii="Book Antiqua" w:hAnsi="Book Antiqua"/>
          <w:sz w:val="24"/>
          <w:szCs w:val="24"/>
          <w:vertAlign w:val="superscript"/>
          <w:lang w:val="en-US"/>
        </w:rPr>
        <w:t>[</w:t>
      </w:r>
      <w:proofErr w:type="gramEnd"/>
      <w:r w:rsidR="0065107D" w:rsidRPr="00E14F98">
        <w:rPr>
          <w:rFonts w:ascii="Book Antiqua" w:hAnsi="Book Antiqua"/>
          <w:sz w:val="24"/>
          <w:szCs w:val="24"/>
          <w:vertAlign w:val="superscript"/>
          <w:lang w:val="en-US"/>
        </w:rPr>
        <w:t>60,61]</w:t>
      </w:r>
      <w:r w:rsidRPr="00E14F98">
        <w:rPr>
          <w:rFonts w:ascii="Book Antiqua" w:hAnsi="Book Antiqua"/>
          <w:sz w:val="24"/>
          <w:szCs w:val="24"/>
          <w:lang w:val="en-US"/>
        </w:rPr>
        <w:t xml:space="preserve"> and</w:t>
      </w:r>
      <w:r w:rsidR="00423D12" w:rsidRPr="00E14F98">
        <w:rPr>
          <w:rFonts w:ascii="Book Antiqua" w:hAnsi="Book Antiqua"/>
          <w:sz w:val="24"/>
          <w:szCs w:val="24"/>
          <w:lang w:val="en-US"/>
        </w:rPr>
        <w:t>,</w:t>
      </w:r>
      <w:r w:rsidRPr="00E14F98">
        <w:rPr>
          <w:rFonts w:ascii="Book Antiqua" w:hAnsi="Book Antiqua"/>
          <w:sz w:val="24"/>
          <w:szCs w:val="24"/>
          <w:lang w:val="en-US"/>
        </w:rPr>
        <w:t xml:space="preserve"> above all</w:t>
      </w:r>
      <w:r w:rsidR="00423D12" w:rsidRPr="00E14F98">
        <w:rPr>
          <w:rFonts w:ascii="Book Antiqua" w:hAnsi="Book Antiqua"/>
          <w:sz w:val="24"/>
          <w:szCs w:val="24"/>
          <w:lang w:val="en-US"/>
        </w:rPr>
        <w:t>,</w:t>
      </w:r>
      <w:r w:rsidRPr="00E14F98">
        <w:rPr>
          <w:rFonts w:ascii="Book Antiqua" w:hAnsi="Book Antiqua"/>
          <w:sz w:val="24"/>
          <w:szCs w:val="24"/>
          <w:lang w:val="en-US"/>
        </w:rPr>
        <w:t xml:space="preserve"> a RCT</w:t>
      </w:r>
      <w:r w:rsidR="0065107D" w:rsidRPr="00E14F98">
        <w:rPr>
          <w:rFonts w:ascii="Book Antiqua" w:hAnsi="Book Antiqua"/>
          <w:sz w:val="24"/>
          <w:szCs w:val="24"/>
          <w:vertAlign w:val="superscript"/>
          <w:lang w:val="en-US"/>
        </w:rPr>
        <w:t xml:space="preserve">[62] </w:t>
      </w:r>
      <w:r w:rsidRPr="00E14F98">
        <w:rPr>
          <w:rFonts w:ascii="Book Antiqua" w:hAnsi="Book Antiqua"/>
          <w:sz w:val="24"/>
          <w:szCs w:val="24"/>
          <w:lang w:val="en-US"/>
        </w:rPr>
        <w:t xml:space="preserve">explored the comparative effectiveness of surgery (partial hepatectomy) with respect to cTACE for intermediate patients. </w:t>
      </w:r>
      <w:r w:rsidR="008A447B" w:rsidRPr="00E14F98">
        <w:rPr>
          <w:rFonts w:ascii="Book Antiqua" w:hAnsi="Book Antiqua"/>
          <w:sz w:val="24"/>
          <w:szCs w:val="24"/>
          <w:lang w:val="en-US"/>
        </w:rPr>
        <w:t>In the Chinese RCT, median survival was</w:t>
      </w:r>
      <w:r w:rsidRPr="00E14F98">
        <w:rPr>
          <w:rFonts w:ascii="Book Antiqua" w:hAnsi="Book Antiqua"/>
          <w:sz w:val="24"/>
          <w:szCs w:val="24"/>
          <w:lang w:val="en-US"/>
        </w:rPr>
        <w:t xml:space="preserve"> </w:t>
      </w:r>
      <w:proofErr w:type="gramStart"/>
      <w:r w:rsidRPr="00E14F98">
        <w:rPr>
          <w:rFonts w:ascii="Book Antiqua" w:hAnsi="Book Antiqua"/>
          <w:sz w:val="24"/>
          <w:szCs w:val="24"/>
          <w:lang w:val="en-US"/>
        </w:rPr>
        <w:t>41 mo</w:t>
      </w:r>
      <w:proofErr w:type="gramEnd"/>
      <w:r w:rsidRPr="00E14F98">
        <w:rPr>
          <w:rFonts w:ascii="Book Antiqua" w:hAnsi="Book Antiqua"/>
          <w:sz w:val="24"/>
          <w:szCs w:val="24"/>
          <w:lang w:val="en-US"/>
        </w:rPr>
        <w:t xml:space="preserve"> (range 1</w:t>
      </w:r>
      <w:r w:rsidR="00450758">
        <w:rPr>
          <w:rFonts w:ascii="Book Antiqua" w:hAnsi="Book Antiqua" w:hint="eastAsia"/>
          <w:sz w:val="24"/>
          <w:szCs w:val="24"/>
          <w:lang w:val="en-US" w:eastAsia="zh-CN"/>
        </w:rPr>
        <w:t>-</w:t>
      </w:r>
      <w:r w:rsidRPr="00E14F98">
        <w:rPr>
          <w:rFonts w:ascii="Book Antiqua" w:hAnsi="Book Antiqua"/>
          <w:sz w:val="24"/>
          <w:szCs w:val="24"/>
          <w:lang w:val="en-US"/>
        </w:rPr>
        <w:t xml:space="preserve">50 mo) </w:t>
      </w:r>
      <w:r w:rsidR="008A447B" w:rsidRPr="00E14F98">
        <w:rPr>
          <w:rFonts w:ascii="Book Antiqua" w:hAnsi="Book Antiqua"/>
          <w:sz w:val="24"/>
          <w:szCs w:val="24"/>
          <w:lang w:val="en-US"/>
        </w:rPr>
        <w:t>after surgery</w:t>
      </w:r>
      <w:r w:rsidR="008A447B" w:rsidRPr="00450758">
        <w:rPr>
          <w:rFonts w:ascii="Book Antiqua" w:hAnsi="Book Antiqua"/>
          <w:i/>
          <w:sz w:val="24"/>
          <w:szCs w:val="24"/>
          <w:lang w:val="en-US"/>
        </w:rPr>
        <w:t xml:space="preserve"> vs</w:t>
      </w:r>
      <w:r w:rsidR="008A447B" w:rsidRPr="00E14F98">
        <w:rPr>
          <w:rFonts w:ascii="Book Antiqua" w:hAnsi="Book Antiqua"/>
          <w:sz w:val="24"/>
          <w:szCs w:val="24"/>
          <w:lang w:val="en-US"/>
        </w:rPr>
        <w:t xml:space="preserve"> only </w:t>
      </w:r>
      <w:r w:rsidRPr="00E14F98">
        <w:rPr>
          <w:rFonts w:ascii="Book Antiqua" w:hAnsi="Book Antiqua"/>
          <w:sz w:val="24"/>
          <w:szCs w:val="24"/>
          <w:lang w:val="en-US"/>
        </w:rPr>
        <w:t>14 mo (range 5</w:t>
      </w:r>
      <w:r w:rsidR="00450758">
        <w:rPr>
          <w:rFonts w:ascii="Book Antiqua" w:hAnsi="Book Antiqua" w:hint="eastAsia"/>
          <w:sz w:val="24"/>
          <w:szCs w:val="24"/>
          <w:lang w:val="en-US" w:eastAsia="zh-CN"/>
        </w:rPr>
        <w:t>-</w:t>
      </w:r>
      <w:r w:rsidRPr="00E14F98">
        <w:rPr>
          <w:rFonts w:ascii="Book Antiqua" w:hAnsi="Book Antiqua"/>
          <w:sz w:val="24"/>
          <w:szCs w:val="24"/>
          <w:lang w:val="en-US"/>
        </w:rPr>
        <w:t>47 mo)</w:t>
      </w:r>
      <w:r w:rsidR="008A447B" w:rsidRPr="00E14F98">
        <w:rPr>
          <w:rFonts w:ascii="Book Antiqua" w:hAnsi="Book Antiqua"/>
          <w:sz w:val="24"/>
          <w:szCs w:val="24"/>
          <w:lang w:val="en-US"/>
        </w:rPr>
        <w:t xml:space="preserve"> after TACE (</w:t>
      </w:r>
      <w:r w:rsidR="00450758" w:rsidRPr="00450758">
        <w:rPr>
          <w:rFonts w:ascii="Book Antiqua" w:hAnsi="Book Antiqua" w:hint="eastAsia"/>
          <w:i/>
          <w:sz w:val="24"/>
          <w:szCs w:val="24"/>
          <w:lang w:val="en-US" w:eastAsia="zh-CN"/>
        </w:rPr>
        <w:t>P</w:t>
      </w:r>
      <w:r w:rsidR="00450758">
        <w:rPr>
          <w:rFonts w:ascii="Book Antiqua" w:hAnsi="Book Antiqua" w:hint="eastAsia"/>
          <w:sz w:val="24"/>
          <w:szCs w:val="24"/>
          <w:lang w:val="en-US" w:eastAsia="zh-CN"/>
        </w:rPr>
        <w:t xml:space="preserve"> </w:t>
      </w:r>
      <w:r w:rsidR="008A447B" w:rsidRPr="00E14F98">
        <w:rPr>
          <w:rFonts w:ascii="Book Antiqua" w:hAnsi="Book Antiqua"/>
          <w:sz w:val="24"/>
          <w:szCs w:val="24"/>
          <w:lang w:val="en-US"/>
        </w:rPr>
        <w:t>&lt;</w:t>
      </w:r>
      <w:r w:rsidR="00450758">
        <w:rPr>
          <w:rFonts w:ascii="Book Antiqua" w:hAnsi="Book Antiqua" w:hint="eastAsia"/>
          <w:sz w:val="24"/>
          <w:szCs w:val="24"/>
          <w:lang w:val="en-US" w:eastAsia="zh-CN"/>
        </w:rPr>
        <w:t xml:space="preserve"> </w:t>
      </w:r>
      <w:r w:rsidR="008A447B" w:rsidRPr="00E14F98">
        <w:rPr>
          <w:rFonts w:ascii="Book Antiqua" w:hAnsi="Book Antiqua"/>
          <w:sz w:val="24"/>
          <w:szCs w:val="24"/>
          <w:lang w:val="en-US"/>
        </w:rPr>
        <w:t>0.001)</w:t>
      </w:r>
      <w:r w:rsidRPr="00E14F98">
        <w:rPr>
          <w:rFonts w:ascii="Book Antiqua" w:hAnsi="Book Antiqua"/>
          <w:sz w:val="24"/>
          <w:szCs w:val="24"/>
          <w:lang w:val="en-US"/>
        </w:rPr>
        <w:t xml:space="preserve">. </w:t>
      </w:r>
      <w:r w:rsidR="003C5B18" w:rsidRPr="00E14F98">
        <w:rPr>
          <w:rFonts w:ascii="Book Antiqua" w:hAnsi="Book Antiqua"/>
          <w:sz w:val="24"/>
          <w:szCs w:val="24"/>
          <w:lang w:val="en-US"/>
        </w:rPr>
        <w:t>However, i</w:t>
      </w:r>
      <w:r w:rsidRPr="00E14F98">
        <w:rPr>
          <w:rFonts w:ascii="Book Antiqua" w:hAnsi="Book Antiqua"/>
          <w:sz w:val="24"/>
          <w:szCs w:val="24"/>
          <w:lang w:val="en-US"/>
        </w:rPr>
        <w:t xml:space="preserve">t should be noticed that </w:t>
      </w:r>
      <w:r w:rsidR="00E66ACF" w:rsidRPr="00E14F98">
        <w:rPr>
          <w:rFonts w:ascii="Book Antiqua" w:hAnsi="Book Antiqua"/>
          <w:sz w:val="24"/>
          <w:szCs w:val="24"/>
          <w:lang w:val="en-US"/>
        </w:rPr>
        <w:t xml:space="preserve">in both study </w:t>
      </w:r>
      <w:r w:rsidR="00E66ACF" w:rsidRPr="00E14F98">
        <w:rPr>
          <w:rFonts w:ascii="Book Antiqua" w:hAnsi="Book Antiqua"/>
          <w:sz w:val="24"/>
          <w:szCs w:val="24"/>
          <w:lang w:val="en-US"/>
        </w:rPr>
        <w:lastRenderedPageBreak/>
        <w:t>groups</w:t>
      </w:r>
      <w:r w:rsidR="00715EC8" w:rsidRPr="00E14F98">
        <w:rPr>
          <w:rFonts w:ascii="Book Antiqua" w:hAnsi="Book Antiqua"/>
          <w:sz w:val="24"/>
          <w:szCs w:val="24"/>
          <w:lang w:val="en-US"/>
        </w:rPr>
        <w:t>,</w:t>
      </w:r>
      <w:r w:rsidR="00E66ACF" w:rsidRPr="00E14F98">
        <w:rPr>
          <w:rFonts w:ascii="Book Antiqua" w:hAnsi="Book Antiqua"/>
          <w:sz w:val="24"/>
          <w:szCs w:val="24"/>
          <w:lang w:val="en-US"/>
        </w:rPr>
        <w:t xml:space="preserve"> median tumor size was beyond 7 cm, a value representing a suboptimal indication to </w:t>
      </w:r>
      <w:proofErr w:type="gramStart"/>
      <w:r w:rsidR="00E66ACF" w:rsidRPr="00E14F98">
        <w:rPr>
          <w:rFonts w:ascii="Book Antiqua" w:hAnsi="Book Antiqua"/>
          <w:sz w:val="24"/>
          <w:szCs w:val="24"/>
          <w:lang w:val="en-US"/>
        </w:rPr>
        <w:t>TACE</w:t>
      </w:r>
      <w:r w:rsidR="00D37B76" w:rsidRPr="00E14F98">
        <w:rPr>
          <w:rFonts w:ascii="Book Antiqua" w:hAnsi="Book Antiqua"/>
          <w:sz w:val="24"/>
          <w:szCs w:val="24"/>
          <w:vertAlign w:val="superscript"/>
          <w:lang w:val="en-US"/>
        </w:rPr>
        <w:t>[</w:t>
      </w:r>
      <w:proofErr w:type="gramEnd"/>
      <w:r w:rsidR="00D37B76" w:rsidRPr="00E14F98">
        <w:rPr>
          <w:rFonts w:ascii="Book Antiqua" w:hAnsi="Book Antiqua"/>
          <w:sz w:val="24"/>
          <w:szCs w:val="24"/>
          <w:vertAlign w:val="superscript"/>
          <w:lang w:val="en-US"/>
        </w:rPr>
        <w:t>62]</w:t>
      </w:r>
      <w:r w:rsidR="00E66ACF" w:rsidRPr="00E14F98">
        <w:rPr>
          <w:rFonts w:ascii="Book Antiqua" w:hAnsi="Book Antiqua"/>
          <w:sz w:val="24"/>
          <w:szCs w:val="24"/>
          <w:lang w:val="en-US"/>
        </w:rPr>
        <w:t>.</w:t>
      </w:r>
      <w:r w:rsidR="00131D9B" w:rsidRPr="00E14F98">
        <w:rPr>
          <w:rFonts w:ascii="Book Antiqua" w:hAnsi="Book Antiqua"/>
          <w:sz w:val="24"/>
          <w:szCs w:val="24"/>
          <w:vertAlign w:val="superscript"/>
          <w:lang w:val="en-US"/>
        </w:rPr>
        <w:t xml:space="preserve"> </w:t>
      </w:r>
      <w:r w:rsidR="00131D9B" w:rsidRPr="00E14F98">
        <w:rPr>
          <w:rFonts w:ascii="Book Antiqua" w:hAnsi="Book Antiqua"/>
          <w:sz w:val="24"/>
          <w:szCs w:val="24"/>
          <w:lang w:val="en-US"/>
        </w:rPr>
        <w:t xml:space="preserve">This may explain the relatively poor outcomes observed in TACE patients, </w:t>
      </w:r>
      <w:r w:rsidR="00835415" w:rsidRPr="00E14F98">
        <w:rPr>
          <w:rFonts w:ascii="Book Antiqua" w:hAnsi="Book Antiqua"/>
          <w:sz w:val="24"/>
          <w:szCs w:val="24"/>
          <w:lang w:val="en-US"/>
        </w:rPr>
        <w:t xml:space="preserve">that resulted </w:t>
      </w:r>
      <w:r w:rsidR="00AF4CB2" w:rsidRPr="00E14F98">
        <w:rPr>
          <w:rFonts w:ascii="Book Antiqua" w:hAnsi="Book Antiqua"/>
          <w:sz w:val="24"/>
          <w:szCs w:val="24"/>
          <w:lang w:val="en-US"/>
        </w:rPr>
        <w:t xml:space="preserve">very far from the most recent studies in the </w:t>
      </w:r>
      <w:proofErr w:type="gramStart"/>
      <w:r w:rsidR="00AF4CB2" w:rsidRPr="00E14F98">
        <w:rPr>
          <w:rFonts w:ascii="Book Antiqua" w:hAnsi="Book Antiqua"/>
          <w:sz w:val="24"/>
          <w:szCs w:val="24"/>
          <w:lang w:val="en-US"/>
        </w:rPr>
        <w:t>field</w:t>
      </w:r>
      <w:r w:rsidR="00342AC2" w:rsidRPr="00E14F98">
        <w:rPr>
          <w:rFonts w:ascii="Book Antiqua" w:hAnsi="Book Antiqua"/>
          <w:sz w:val="24"/>
          <w:szCs w:val="24"/>
          <w:vertAlign w:val="superscript"/>
          <w:lang w:val="en-US"/>
        </w:rPr>
        <w:t>[</w:t>
      </w:r>
      <w:proofErr w:type="gramEnd"/>
      <w:r w:rsidR="00342AC2" w:rsidRPr="00E14F98">
        <w:rPr>
          <w:rFonts w:ascii="Book Antiqua" w:hAnsi="Book Antiqua"/>
          <w:sz w:val="24"/>
          <w:szCs w:val="24"/>
          <w:vertAlign w:val="superscript"/>
          <w:lang w:val="en-US"/>
        </w:rPr>
        <w:t>6,63]</w:t>
      </w:r>
      <w:r w:rsidR="00AF4CB2" w:rsidRPr="00E14F98">
        <w:rPr>
          <w:rFonts w:ascii="Book Antiqua" w:hAnsi="Book Antiqua"/>
          <w:sz w:val="24"/>
          <w:szCs w:val="24"/>
          <w:lang w:val="en-US"/>
        </w:rPr>
        <w:t>.</w:t>
      </w:r>
    </w:p>
    <w:p w:rsidR="00B840BF" w:rsidRPr="00E14F98" w:rsidRDefault="00B840BF"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On the other hand, besides the attempt to expand criteria for radica</w:t>
      </w:r>
      <w:r w:rsidR="00881FD2" w:rsidRPr="00E14F98">
        <w:rPr>
          <w:rFonts w:ascii="Book Antiqua" w:hAnsi="Book Antiqua"/>
          <w:sz w:val="24"/>
          <w:szCs w:val="24"/>
          <w:lang w:val="en-US"/>
        </w:rPr>
        <w:t xml:space="preserve">l treatments, also the recently </w:t>
      </w:r>
      <w:r w:rsidRPr="00E14F98">
        <w:rPr>
          <w:rFonts w:ascii="Book Antiqua" w:hAnsi="Book Antiqua"/>
          <w:sz w:val="24"/>
          <w:szCs w:val="24"/>
          <w:lang w:val="en-US"/>
        </w:rPr>
        <w:t xml:space="preserve">developed new </w:t>
      </w:r>
      <w:r w:rsidR="00731ADC" w:rsidRPr="00E14F98">
        <w:rPr>
          <w:rFonts w:ascii="Book Antiqua" w:hAnsi="Book Antiqua"/>
          <w:sz w:val="24"/>
          <w:szCs w:val="24"/>
          <w:lang w:val="en-US"/>
        </w:rPr>
        <w:t xml:space="preserve">loco-regional </w:t>
      </w:r>
      <w:r w:rsidRPr="00E14F98">
        <w:rPr>
          <w:rFonts w:ascii="Book Antiqua" w:hAnsi="Book Antiqua"/>
          <w:sz w:val="24"/>
          <w:szCs w:val="24"/>
          <w:lang w:val="en-US"/>
        </w:rPr>
        <w:t xml:space="preserve">techniques have challenged the assumption of TACE as standard of care for BCLC B patients. </w:t>
      </w:r>
      <w:r w:rsidR="009D5AA8" w:rsidRPr="00E14F98">
        <w:rPr>
          <w:rFonts w:ascii="Book Antiqua" w:hAnsi="Book Antiqua"/>
          <w:sz w:val="24"/>
          <w:szCs w:val="24"/>
          <w:lang w:val="en-US"/>
        </w:rPr>
        <w:t>Transarterial radioembolization (</w:t>
      </w:r>
      <w:r w:rsidRPr="00E14F98">
        <w:rPr>
          <w:rFonts w:ascii="Book Antiqua" w:hAnsi="Book Antiqua"/>
          <w:bCs/>
          <w:sz w:val="24"/>
          <w:szCs w:val="24"/>
          <w:lang w:val="en-US"/>
        </w:rPr>
        <w:t>TARE</w:t>
      </w:r>
      <w:r w:rsidR="009D5AA8" w:rsidRPr="00E14F98">
        <w:rPr>
          <w:rFonts w:ascii="Book Antiqua" w:hAnsi="Book Antiqua"/>
          <w:bCs/>
          <w:sz w:val="24"/>
          <w:szCs w:val="24"/>
          <w:lang w:val="en-US"/>
        </w:rPr>
        <w:t>) with yttrium 90</w:t>
      </w:r>
      <w:r w:rsidRPr="00E14F98">
        <w:rPr>
          <w:rFonts w:ascii="Book Antiqua" w:hAnsi="Book Antiqua"/>
          <w:bCs/>
          <w:sz w:val="24"/>
          <w:szCs w:val="24"/>
          <w:lang w:val="en-US"/>
        </w:rPr>
        <w:t xml:space="preserve"> has gained increasing attention for intermediate and advanced patients in the last </w:t>
      </w:r>
      <w:proofErr w:type="gramStart"/>
      <w:r w:rsidRPr="00E14F98">
        <w:rPr>
          <w:rFonts w:ascii="Book Antiqua" w:hAnsi="Book Antiqua"/>
          <w:bCs/>
          <w:sz w:val="24"/>
          <w:szCs w:val="24"/>
          <w:lang w:val="en-US"/>
        </w:rPr>
        <w:t>years</w:t>
      </w:r>
      <w:r w:rsidR="00EA318D" w:rsidRPr="00E14F98">
        <w:rPr>
          <w:rFonts w:ascii="Book Antiqua" w:hAnsi="Book Antiqua"/>
          <w:bCs/>
          <w:sz w:val="24"/>
          <w:szCs w:val="24"/>
          <w:vertAlign w:val="superscript"/>
          <w:lang w:val="en-US"/>
        </w:rPr>
        <w:t>[</w:t>
      </w:r>
      <w:proofErr w:type="gramEnd"/>
      <w:r w:rsidR="00EA318D" w:rsidRPr="00E14F98">
        <w:rPr>
          <w:rFonts w:ascii="Book Antiqua" w:hAnsi="Book Antiqua"/>
          <w:bCs/>
          <w:sz w:val="24"/>
          <w:szCs w:val="24"/>
          <w:vertAlign w:val="superscript"/>
          <w:lang w:val="en-US"/>
        </w:rPr>
        <w:t>64-66]</w:t>
      </w:r>
      <w:r w:rsidRPr="00E14F98">
        <w:rPr>
          <w:rFonts w:ascii="Book Antiqua" w:hAnsi="Book Antiqua"/>
          <w:bCs/>
          <w:sz w:val="24"/>
          <w:szCs w:val="24"/>
          <w:lang w:val="en-US"/>
        </w:rPr>
        <w:t xml:space="preserve">. Salem et </w:t>
      </w:r>
      <w:r w:rsidR="009A2180" w:rsidRPr="00E14F98">
        <w:rPr>
          <w:rFonts w:ascii="Book Antiqua" w:hAnsi="Book Antiqua"/>
          <w:bCs/>
          <w:sz w:val="24"/>
          <w:szCs w:val="24"/>
          <w:lang w:val="en-US"/>
        </w:rPr>
        <w:t>al</w:t>
      </w:r>
      <w:r w:rsidR="00EA318D" w:rsidRPr="00E14F98">
        <w:rPr>
          <w:rFonts w:ascii="Book Antiqua" w:hAnsi="Book Antiqua"/>
          <w:bCs/>
          <w:sz w:val="24"/>
          <w:szCs w:val="24"/>
          <w:lang w:val="en-US"/>
        </w:rPr>
        <w:t>.</w:t>
      </w:r>
      <w:r w:rsidR="009A2180" w:rsidRPr="00E14F98">
        <w:rPr>
          <w:rFonts w:ascii="Book Antiqua" w:hAnsi="Book Antiqua"/>
          <w:bCs/>
          <w:sz w:val="24"/>
          <w:szCs w:val="24"/>
          <w:lang w:val="en-US"/>
        </w:rPr>
        <w:t xml:space="preserve"> retrospectively compared</w:t>
      </w:r>
      <w:r w:rsidRPr="00E14F98">
        <w:rPr>
          <w:rFonts w:ascii="Book Antiqua" w:hAnsi="Book Antiqua"/>
          <w:bCs/>
          <w:sz w:val="24"/>
          <w:szCs w:val="24"/>
          <w:lang w:val="en-US"/>
        </w:rPr>
        <w:t xml:space="preserve"> </w:t>
      </w:r>
      <w:r w:rsidRPr="00E14F98">
        <w:rPr>
          <w:rFonts w:ascii="Book Antiqua" w:hAnsi="Book Antiqua"/>
          <w:sz w:val="24"/>
          <w:szCs w:val="24"/>
          <w:lang w:val="en-US"/>
        </w:rPr>
        <w:t xml:space="preserve">data from 245 patients (122 who received chemoembolization and 123 </w:t>
      </w:r>
      <w:r w:rsidR="009A2180" w:rsidRPr="00E14F98">
        <w:rPr>
          <w:rFonts w:ascii="Book Antiqua" w:hAnsi="Book Antiqua"/>
          <w:sz w:val="24"/>
          <w:szCs w:val="24"/>
          <w:lang w:val="en-US"/>
        </w:rPr>
        <w:t>who received radioembolization) and reported</w:t>
      </w:r>
      <w:r w:rsidRPr="00E14F98">
        <w:rPr>
          <w:rFonts w:ascii="Book Antiqua" w:hAnsi="Book Antiqua"/>
          <w:sz w:val="24"/>
          <w:szCs w:val="24"/>
          <w:lang w:val="en-US"/>
        </w:rPr>
        <w:t xml:space="preserve"> </w:t>
      </w:r>
      <w:r w:rsidR="009A2180" w:rsidRPr="00E14F98">
        <w:rPr>
          <w:rFonts w:ascii="Book Antiqua" w:hAnsi="Book Antiqua"/>
          <w:sz w:val="24"/>
          <w:szCs w:val="24"/>
          <w:lang w:val="en-US"/>
        </w:rPr>
        <w:t xml:space="preserve">longer </w:t>
      </w:r>
      <w:r w:rsidRPr="00E14F98">
        <w:rPr>
          <w:rFonts w:ascii="Book Antiqua" w:hAnsi="Book Antiqua"/>
          <w:sz w:val="24"/>
          <w:szCs w:val="24"/>
          <w:lang w:val="en-US"/>
        </w:rPr>
        <w:t>TTP following radioembolization than che</w:t>
      </w:r>
      <w:r w:rsidR="00186AE1" w:rsidRPr="00E14F98">
        <w:rPr>
          <w:rFonts w:ascii="Book Antiqua" w:hAnsi="Book Antiqua"/>
          <w:sz w:val="24"/>
          <w:szCs w:val="24"/>
          <w:lang w:val="en-US"/>
        </w:rPr>
        <w:t xml:space="preserve">moembolization (13.3 mo </w:t>
      </w:r>
      <w:r w:rsidR="00186AE1" w:rsidRPr="0093586C">
        <w:rPr>
          <w:rFonts w:ascii="Book Antiqua" w:hAnsi="Book Antiqua"/>
          <w:i/>
          <w:sz w:val="24"/>
          <w:szCs w:val="24"/>
          <w:lang w:val="en-US"/>
        </w:rPr>
        <w:t>vs</w:t>
      </w:r>
      <w:r w:rsidR="00186AE1" w:rsidRPr="00E14F98">
        <w:rPr>
          <w:rFonts w:ascii="Book Antiqua" w:hAnsi="Book Antiqua"/>
          <w:sz w:val="24"/>
          <w:szCs w:val="24"/>
          <w:lang w:val="en-US"/>
        </w:rPr>
        <w:t xml:space="preserve"> 9</w:t>
      </w:r>
      <w:r w:rsidRPr="00E14F98">
        <w:rPr>
          <w:rFonts w:ascii="Book Antiqua" w:hAnsi="Book Antiqua"/>
          <w:sz w:val="24"/>
          <w:szCs w:val="24"/>
          <w:lang w:val="en-US"/>
        </w:rPr>
        <w:t xml:space="preserve">.4 mo, </w:t>
      </w:r>
      <w:r w:rsidR="0093586C" w:rsidRPr="0093586C">
        <w:rPr>
          <w:rFonts w:ascii="Book Antiqua" w:hAnsi="Book Antiqua" w:hint="eastAsia"/>
          <w:i/>
          <w:iCs/>
          <w:sz w:val="24"/>
          <w:szCs w:val="24"/>
          <w:lang w:val="en-US" w:eastAsia="zh-CN"/>
        </w:rPr>
        <w:t>P</w:t>
      </w:r>
      <w:r w:rsidR="0093586C">
        <w:rPr>
          <w:rFonts w:ascii="Book Antiqua" w:hAnsi="Book Antiqua" w:hint="eastAsia"/>
          <w:iCs/>
          <w:sz w:val="24"/>
          <w:szCs w:val="24"/>
          <w:lang w:val="en-US" w:eastAsia="zh-CN"/>
        </w:rPr>
        <w:t xml:space="preserve"> </w:t>
      </w:r>
      <w:r w:rsidR="00186AE1" w:rsidRPr="00E14F98">
        <w:rPr>
          <w:rFonts w:ascii="Book Antiqua" w:hAnsi="Book Antiqua"/>
          <w:sz w:val="24"/>
          <w:szCs w:val="24"/>
          <w:lang w:val="en-US"/>
        </w:rPr>
        <w:t>=</w:t>
      </w:r>
      <w:r w:rsidR="0093586C">
        <w:rPr>
          <w:rFonts w:ascii="Book Antiqua" w:hAnsi="Book Antiqua" w:hint="eastAsia"/>
          <w:sz w:val="24"/>
          <w:szCs w:val="24"/>
          <w:lang w:val="en-US" w:eastAsia="zh-CN"/>
        </w:rPr>
        <w:t xml:space="preserve"> </w:t>
      </w:r>
      <w:r w:rsidR="00186AE1" w:rsidRPr="00E14F98">
        <w:rPr>
          <w:rFonts w:ascii="Book Antiqua" w:hAnsi="Book Antiqua"/>
          <w:sz w:val="24"/>
          <w:szCs w:val="24"/>
          <w:lang w:val="en-US"/>
        </w:rPr>
        <w:t>0.047</w:t>
      </w:r>
      <w:r w:rsidR="009A2180" w:rsidRPr="00E14F98">
        <w:rPr>
          <w:rFonts w:ascii="Book Antiqua" w:hAnsi="Book Antiqua"/>
          <w:sz w:val="24"/>
          <w:szCs w:val="24"/>
          <w:lang w:val="en-US"/>
        </w:rPr>
        <w:t xml:space="preserve">) but similar </w:t>
      </w:r>
      <w:r w:rsidRPr="00E14F98">
        <w:rPr>
          <w:rFonts w:ascii="Book Antiqua" w:hAnsi="Book Antiqua"/>
          <w:sz w:val="24"/>
          <w:szCs w:val="24"/>
          <w:lang w:val="en-US"/>
        </w:rPr>
        <w:t xml:space="preserve">median </w:t>
      </w:r>
      <w:r w:rsidR="009A2180" w:rsidRPr="00E14F98">
        <w:rPr>
          <w:rFonts w:ascii="Book Antiqua" w:hAnsi="Book Antiqua"/>
          <w:sz w:val="24"/>
          <w:szCs w:val="24"/>
          <w:lang w:val="en-US"/>
        </w:rPr>
        <w:t>OS</w:t>
      </w:r>
      <w:r w:rsidR="00F30ABA" w:rsidRPr="00E14F98">
        <w:rPr>
          <w:rFonts w:ascii="Book Antiqua" w:hAnsi="Book Antiqua"/>
          <w:sz w:val="24"/>
          <w:szCs w:val="24"/>
          <w:lang w:val="en-US"/>
        </w:rPr>
        <w:t xml:space="preserve"> (17.5 mo </w:t>
      </w:r>
      <w:r w:rsidR="00F30ABA" w:rsidRPr="0093586C">
        <w:rPr>
          <w:rFonts w:ascii="Book Antiqua" w:hAnsi="Book Antiqua"/>
          <w:i/>
          <w:sz w:val="24"/>
          <w:szCs w:val="24"/>
          <w:lang w:val="en-US"/>
        </w:rPr>
        <w:t xml:space="preserve">vs </w:t>
      </w:r>
      <w:r w:rsidR="00F30ABA" w:rsidRPr="00E14F98">
        <w:rPr>
          <w:rFonts w:ascii="Book Antiqua" w:hAnsi="Book Antiqua"/>
          <w:sz w:val="24"/>
          <w:szCs w:val="24"/>
          <w:lang w:val="en-US"/>
        </w:rPr>
        <w:t>17.2</w:t>
      </w:r>
      <w:r w:rsidRPr="00E14F98">
        <w:rPr>
          <w:rFonts w:ascii="Book Antiqua" w:hAnsi="Book Antiqua"/>
          <w:sz w:val="24"/>
          <w:szCs w:val="24"/>
          <w:lang w:val="en-US"/>
        </w:rPr>
        <w:t xml:space="preserve"> mo, </w:t>
      </w:r>
      <w:r w:rsidR="0093586C" w:rsidRPr="0093586C">
        <w:rPr>
          <w:rFonts w:ascii="Book Antiqua" w:hAnsi="Book Antiqua"/>
          <w:i/>
          <w:iCs/>
          <w:sz w:val="24"/>
          <w:szCs w:val="24"/>
          <w:lang w:val="en-US"/>
        </w:rPr>
        <w:t>P</w:t>
      </w:r>
      <w:r w:rsidR="0093586C">
        <w:rPr>
          <w:rFonts w:ascii="Book Antiqua" w:hAnsi="Book Antiqua"/>
          <w:iCs/>
          <w:sz w:val="24"/>
          <w:szCs w:val="24"/>
          <w:lang w:val="en-US"/>
        </w:rPr>
        <w:t xml:space="preserve"> = </w:t>
      </w:r>
      <w:r w:rsidR="00F30ABA" w:rsidRPr="00E14F98">
        <w:rPr>
          <w:rFonts w:ascii="Book Antiqua" w:hAnsi="Book Antiqua"/>
          <w:sz w:val="24"/>
          <w:szCs w:val="24"/>
          <w:lang w:val="en-US"/>
        </w:rPr>
        <w:t>0.42</w:t>
      </w:r>
      <w:r w:rsidRPr="00E14F98">
        <w:rPr>
          <w:rFonts w:ascii="Book Antiqua" w:hAnsi="Book Antiqua"/>
          <w:sz w:val="24"/>
          <w:szCs w:val="24"/>
          <w:lang w:val="en-US"/>
        </w:rPr>
        <w:t>)</w:t>
      </w:r>
      <w:r w:rsidR="009A2180" w:rsidRPr="00E14F98">
        <w:rPr>
          <w:rFonts w:ascii="Book Antiqua" w:hAnsi="Book Antiqua"/>
          <w:sz w:val="24"/>
          <w:szCs w:val="24"/>
          <w:lang w:val="en-US"/>
        </w:rPr>
        <w:t xml:space="preserve"> in BCLC B </w:t>
      </w:r>
      <w:proofErr w:type="gramStart"/>
      <w:r w:rsidR="009A2180" w:rsidRPr="00E14F98">
        <w:rPr>
          <w:rFonts w:ascii="Book Antiqua" w:hAnsi="Book Antiqua"/>
          <w:sz w:val="24"/>
          <w:szCs w:val="24"/>
          <w:lang w:val="en-US"/>
        </w:rPr>
        <w:t>patient</w:t>
      </w:r>
      <w:r w:rsidR="00FE6DF3" w:rsidRPr="00E14F98">
        <w:rPr>
          <w:rFonts w:ascii="Book Antiqua" w:hAnsi="Book Antiqua"/>
          <w:sz w:val="24"/>
          <w:szCs w:val="24"/>
          <w:lang w:val="en-US"/>
        </w:rPr>
        <w:t>s</w:t>
      </w:r>
      <w:r w:rsidR="00FE6DF3" w:rsidRPr="00E14F98">
        <w:rPr>
          <w:rFonts w:ascii="Book Antiqua" w:hAnsi="Book Antiqua"/>
          <w:sz w:val="24"/>
          <w:szCs w:val="24"/>
          <w:vertAlign w:val="superscript"/>
          <w:lang w:val="en-US"/>
        </w:rPr>
        <w:t>[</w:t>
      </w:r>
      <w:proofErr w:type="gramEnd"/>
      <w:r w:rsidR="00FE6DF3" w:rsidRPr="00E14F98">
        <w:rPr>
          <w:rFonts w:ascii="Book Antiqua" w:hAnsi="Book Antiqua"/>
          <w:sz w:val="24"/>
          <w:szCs w:val="24"/>
          <w:vertAlign w:val="superscript"/>
          <w:lang w:val="en-US"/>
        </w:rPr>
        <w:t>67]</w:t>
      </w:r>
      <w:r w:rsidRPr="00E14F98">
        <w:rPr>
          <w:rFonts w:ascii="Book Antiqua" w:hAnsi="Book Antiqua"/>
          <w:sz w:val="24"/>
          <w:szCs w:val="24"/>
          <w:lang w:val="en-US"/>
        </w:rPr>
        <w:t xml:space="preserve">. </w:t>
      </w:r>
      <w:r w:rsidR="00F30ABA" w:rsidRPr="00E14F98">
        <w:rPr>
          <w:rFonts w:ascii="Book Antiqua" w:hAnsi="Book Antiqua"/>
          <w:sz w:val="24"/>
          <w:szCs w:val="24"/>
          <w:lang w:val="en-US"/>
        </w:rPr>
        <w:t xml:space="preserve">Therefore, in this landmark paper by the Chicago group, TARE </w:t>
      </w:r>
      <w:r w:rsidRPr="00E14F98">
        <w:rPr>
          <w:rFonts w:ascii="Book Antiqua" w:hAnsi="Book Antiqua"/>
          <w:sz w:val="24"/>
          <w:szCs w:val="24"/>
          <w:lang w:val="en-US"/>
        </w:rPr>
        <w:t xml:space="preserve">resulted in longer time-to-progression and less toxicity than </w:t>
      </w:r>
      <w:proofErr w:type="gramStart"/>
      <w:r w:rsidRPr="00E14F98">
        <w:rPr>
          <w:rFonts w:ascii="Book Antiqua" w:hAnsi="Book Antiqua"/>
          <w:sz w:val="24"/>
          <w:szCs w:val="24"/>
          <w:lang w:val="en-US"/>
        </w:rPr>
        <w:t>chemoembolization</w:t>
      </w:r>
      <w:r w:rsidR="002F7FBB" w:rsidRPr="00E14F98">
        <w:rPr>
          <w:rFonts w:ascii="Book Antiqua" w:hAnsi="Book Antiqua"/>
          <w:sz w:val="24"/>
          <w:szCs w:val="24"/>
          <w:vertAlign w:val="superscript"/>
          <w:lang w:val="en-US"/>
        </w:rPr>
        <w:t>[</w:t>
      </w:r>
      <w:proofErr w:type="gramEnd"/>
      <w:r w:rsidR="002F7FBB" w:rsidRPr="00E14F98">
        <w:rPr>
          <w:rFonts w:ascii="Book Antiqua" w:hAnsi="Book Antiqua"/>
          <w:sz w:val="24"/>
          <w:szCs w:val="24"/>
          <w:vertAlign w:val="superscript"/>
          <w:lang w:val="en-US"/>
        </w:rPr>
        <w:t>67]</w:t>
      </w:r>
      <w:r w:rsidRPr="00E14F98">
        <w:rPr>
          <w:rFonts w:ascii="Book Antiqua" w:hAnsi="Book Antiqua"/>
          <w:sz w:val="24"/>
          <w:szCs w:val="24"/>
          <w:lang w:val="en-US"/>
        </w:rPr>
        <w:t>. Post-hoc analyses of sample size indicated that a randomized study with &gt;</w:t>
      </w:r>
      <w:r w:rsidR="0093586C">
        <w:rPr>
          <w:rFonts w:ascii="Book Antiqua" w:hAnsi="Book Antiqua" w:hint="eastAsia"/>
          <w:sz w:val="24"/>
          <w:szCs w:val="24"/>
          <w:lang w:val="en-US" w:eastAsia="zh-CN"/>
        </w:rPr>
        <w:t xml:space="preserve"> </w:t>
      </w:r>
      <w:r w:rsidRPr="00E14F98">
        <w:rPr>
          <w:rFonts w:ascii="Book Antiqua" w:hAnsi="Book Antiqua"/>
          <w:sz w:val="24"/>
          <w:szCs w:val="24"/>
          <w:lang w:val="en-US"/>
        </w:rPr>
        <w:t>1000 patients would be required to establish equivalence of survival times between patient</w:t>
      </w:r>
      <w:r w:rsidR="00683E52" w:rsidRPr="00E14F98">
        <w:rPr>
          <w:rFonts w:ascii="Book Antiqua" w:hAnsi="Book Antiqua"/>
          <w:sz w:val="24"/>
          <w:szCs w:val="24"/>
          <w:lang w:val="en-US"/>
        </w:rPr>
        <w:t xml:space="preserve">s given the different therapies, a cohort not easy to collect in the clinical </w:t>
      </w:r>
      <w:proofErr w:type="gramStart"/>
      <w:r w:rsidR="00683E52" w:rsidRPr="00E14F98">
        <w:rPr>
          <w:rFonts w:ascii="Book Antiqua" w:hAnsi="Book Antiqua"/>
          <w:sz w:val="24"/>
          <w:szCs w:val="24"/>
          <w:lang w:val="en-US"/>
        </w:rPr>
        <w:t>practice</w:t>
      </w:r>
      <w:r w:rsidR="002F7FBB" w:rsidRPr="00E14F98">
        <w:rPr>
          <w:rFonts w:ascii="Book Antiqua" w:hAnsi="Book Antiqua"/>
          <w:sz w:val="24"/>
          <w:szCs w:val="24"/>
          <w:vertAlign w:val="superscript"/>
          <w:lang w:val="en-US"/>
        </w:rPr>
        <w:t>[</w:t>
      </w:r>
      <w:proofErr w:type="gramEnd"/>
      <w:r w:rsidR="002F7FBB" w:rsidRPr="00E14F98">
        <w:rPr>
          <w:rFonts w:ascii="Book Antiqua" w:hAnsi="Book Antiqua"/>
          <w:sz w:val="24"/>
          <w:szCs w:val="24"/>
          <w:vertAlign w:val="superscript"/>
          <w:lang w:val="en-US"/>
        </w:rPr>
        <w:t>67,68]</w:t>
      </w:r>
      <w:r w:rsidR="00683E52" w:rsidRPr="00E14F98">
        <w:rPr>
          <w:rFonts w:ascii="Book Antiqua" w:hAnsi="Book Antiqua"/>
          <w:sz w:val="24"/>
          <w:szCs w:val="24"/>
          <w:lang w:val="en-US"/>
        </w:rPr>
        <w:t>.</w:t>
      </w:r>
      <w:r w:rsidRPr="00E14F98">
        <w:rPr>
          <w:rFonts w:ascii="Book Antiqua" w:hAnsi="Book Antiqua"/>
          <w:sz w:val="24"/>
          <w:szCs w:val="24"/>
          <w:lang w:val="en-US"/>
        </w:rPr>
        <w:t xml:space="preserve"> </w:t>
      </w:r>
      <w:r w:rsidR="006D4440" w:rsidRPr="00E14F98">
        <w:rPr>
          <w:rFonts w:ascii="Book Antiqua" w:hAnsi="Book Antiqua"/>
          <w:sz w:val="24"/>
          <w:szCs w:val="24"/>
          <w:lang w:val="en-US"/>
        </w:rPr>
        <w:t>Other retrospecti</w:t>
      </w:r>
      <w:r w:rsidR="00455525" w:rsidRPr="00E14F98">
        <w:rPr>
          <w:rFonts w:ascii="Book Antiqua" w:hAnsi="Book Antiqua"/>
          <w:sz w:val="24"/>
          <w:szCs w:val="24"/>
          <w:lang w:val="en-US"/>
        </w:rPr>
        <w:t>ve reports and a small RCT</w:t>
      </w:r>
      <w:r w:rsidR="00344992" w:rsidRPr="00E14F98">
        <w:rPr>
          <w:rFonts w:ascii="Book Antiqua" w:hAnsi="Book Antiqua"/>
          <w:sz w:val="24"/>
          <w:szCs w:val="24"/>
          <w:lang w:val="en-US"/>
        </w:rPr>
        <w:t>s</w:t>
      </w:r>
      <w:r w:rsidR="00455525" w:rsidRPr="00E14F98">
        <w:rPr>
          <w:rFonts w:ascii="Book Antiqua" w:hAnsi="Book Antiqua"/>
          <w:sz w:val="24"/>
          <w:szCs w:val="24"/>
          <w:lang w:val="en-US"/>
        </w:rPr>
        <w:t xml:space="preserve"> </w:t>
      </w:r>
      <w:r w:rsidR="006D4440" w:rsidRPr="00E14F98">
        <w:rPr>
          <w:rFonts w:ascii="Book Antiqua" w:hAnsi="Book Antiqua"/>
          <w:sz w:val="24"/>
          <w:szCs w:val="24"/>
          <w:lang w:val="en-US"/>
        </w:rPr>
        <w:t xml:space="preserve">confirmed the non significant superiority of one technique over the </w:t>
      </w:r>
      <w:proofErr w:type="gramStart"/>
      <w:r w:rsidR="006D4440" w:rsidRPr="0093586C">
        <w:rPr>
          <w:rFonts w:ascii="Book Antiqua" w:hAnsi="Book Antiqua"/>
          <w:sz w:val="24"/>
          <w:szCs w:val="24"/>
          <w:lang w:val="en-US"/>
        </w:rPr>
        <w:t>other</w:t>
      </w:r>
      <w:r w:rsidR="00C55A62" w:rsidRPr="00E14F98">
        <w:rPr>
          <w:rFonts w:ascii="Book Antiqua" w:hAnsi="Book Antiqua"/>
          <w:sz w:val="24"/>
          <w:szCs w:val="24"/>
          <w:vertAlign w:val="superscript"/>
          <w:lang w:val="en-US"/>
        </w:rPr>
        <w:t>[</w:t>
      </w:r>
      <w:proofErr w:type="gramEnd"/>
      <w:r w:rsidR="00C55A62" w:rsidRPr="00E14F98">
        <w:rPr>
          <w:rFonts w:ascii="Book Antiqua" w:hAnsi="Book Antiqua"/>
          <w:sz w:val="24"/>
          <w:szCs w:val="24"/>
          <w:vertAlign w:val="superscript"/>
          <w:lang w:val="en-US"/>
        </w:rPr>
        <w:t>69-71]</w:t>
      </w:r>
      <w:r w:rsidR="006D4440" w:rsidRPr="00E14F98">
        <w:rPr>
          <w:rFonts w:ascii="Book Antiqua" w:hAnsi="Book Antiqua"/>
          <w:sz w:val="24"/>
          <w:szCs w:val="24"/>
          <w:lang w:val="en-US"/>
        </w:rPr>
        <w:t xml:space="preserve">. </w:t>
      </w:r>
    </w:p>
    <w:p w:rsidR="00E97D4F" w:rsidRPr="00E14F98" w:rsidRDefault="00FD4B47"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In conclusion, in absence of further solid data provided by large RCTs, TACE remains the standard of care for intermediate HCC patients, with surgery and TARE as competitive options in case of compensated cirrhosis (CP A) or more advanced tumor burden, respectively. </w:t>
      </w:r>
    </w:p>
    <w:p w:rsidR="00F71787" w:rsidRPr="00E14F98" w:rsidRDefault="00F71787" w:rsidP="00E14F98">
      <w:pPr>
        <w:spacing w:after="0" w:line="360" w:lineRule="auto"/>
        <w:jc w:val="both"/>
        <w:rPr>
          <w:rFonts w:ascii="Book Antiqua" w:hAnsi="Book Antiqua"/>
          <w:sz w:val="24"/>
          <w:szCs w:val="24"/>
          <w:lang w:val="en-US"/>
        </w:rPr>
      </w:pPr>
    </w:p>
    <w:p w:rsidR="00C62063" w:rsidRPr="0093586C" w:rsidRDefault="005C2CC0" w:rsidP="00E14F98">
      <w:pPr>
        <w:spacing w:after="0" w:line="360" w:lineRule="auto"/>
        <w:jc w:val="both"/>
        <w:rPr>
          <w:rFonts w:ascii="Book Antiqua" w:hAnsi="Book Antiqua"/>
          <w:b/>
          <w:i/>
          <w:sz w:val="24"/>
          <w:szCs w:val="24"/>
          <w:lang w:val="en-US"/>
        </w:rPr>
      </w:pPr>
      <w:r w:rsidRPr="0093586C">
        <w:rPr>
          <w:rFonts w:ascii="Book Antiqua" w:hAnsi="Book Antiqua"/>
          <w:b/>
          <w:i/>
          <w:sz w:val="24"/>
          <w:szCs w:val="24"/>
          <w:lang w:val="en-US"/>
        </w:rPr>
        <w:t>Early stage</w:t>
      </w:r>
    </w:p>
    <w:p w:rsidR="00057EA3" w:rsidRPr="00E14F98" w:rsidRDefault="0049226B" w:rsidP="00E14F98">
      <w:pPr>
        <w:spacing w:after="0" w:line="360" w:lineRule="auto"/>
        <w:jc w:val="both"/>
        <w:rPr>
          <w:rFonts w:ascii="Book Antiqua" w:hAnsi="Book Antiqua"/>
          <w:sz w:val="24"/>
          <w:szCs w:val="24"/>
          <w:vertAlign w:val="superscript"/>
          <w:lang w:val="en-US"/>
        </w:rPr>
      </w:pPr>
      <w:r w:rsidRPr="00E14F98">
        <w:rPr>
          <w:rFonts w:ascii="Book Antiqua" w:hAnsi="Book Antiqua"/>
          <w:sz w:val="24"/>
          <w:szCs w:val="24"/>
          <w:lang w:val="en-US"/>
        </w:rPr>
        <w:t>Th</w:t>
      </w:r>
      <w:r w:rsidR="00CE4B17" w:rsidRPr="00E14F98">
        <w:rPr>
          <w:rFonts w:ascii="Book Antiqua" w:hAnsi="Book Antiqua"/>
          <w:sz w:val="24"/>
          <w:szCs w:val="24"/>
          <w:lang w:val="en-US"/>
        </w:rPr>
        <w:t xml:space="preserve">e </w:t>
      </w:r>
      <w:r w:rsidRPr="00E14F98">
        <w:rPr>
          <w:rFonts w:ascii="Book Antiqua" w:hAnsi="Book Antiqua"/>
          <w:sz w:val="24"/>
          <w:szCs w:val="24"/>
          <w:lang w:val="en-US"/>
        </w:rPr>
        <w:t xml:space="preserve">EASL and AASLD </w:t>
      </w:r>
      <w:r w:rsidR="00BD69B5" w:rsidRPr="00E14F98">
        <w:rPr>
          <w:rFonts w:ascii="Book Antiqua" w:hAnsi="Book Antiqua"/>
          <w:sz w:val="24"/>
          <w:szCs w:val="24"/>
          <w:lang w:val="en-US"/>
        </w:rPr>
        <w:t>guidelines recommend that the fi</w:t>
      </w:r>
      <w:r w:rsidR="00CE4B17" w:rsidRPr="00E14F98">
        <w:rPr>
          <w:rFonts w:ascii="Book Antiqua" w:hAnsi="Book Antiqua"/>
          <w:sz w:val="24"/>
          <w:szCs w:val="24"/>
          <w:lang w:val="en-US"/>
        </w:rPr>
        <w:t xml:space="preserve">rst option for </w:t>
      </w:r>
      <w:r w:rsidR="00F43F70" w:rsidRPr="00E14F98">
        <w:rPr>
          <w:rFonts w:ascii="Book Antiqua" w:hAnsi="Book Antiqua"/>
          <w:sz w:val="24"/>
          <w:szCs w:val="24"/>
          <w:lang w:val="en-US"/>
        </w:rPr>
        <w:t xml:space="preserve">HCC </w:t>
      </w:r>
      <w:r w:rsidR="00CE4B17" w:rsidRPr="00E14F98">
        <w:rPr>
          <w:rFonts w:ascii="Book Antiqua" w:hAnsi="Book Antiqua"/>
          <w:sz w:val="24"/>
          <w:szCs w:val="24"/>
          <w:lang w:val="en-US"/>
        </w:rPr>
        <w:t>patients</w:t>
      </w:r>
      <w:r w:rsidR="00BD69B5" w:rsidRPr="00E14F98">
        <w:rPr>
          <w:rFonts w:ascii="Book Antiqua" w:hAnsi="Book Antiqua"/>
          <w:sz w:val="24"/>
          <w:szCs w:val="24"/>
          <w:lang w:val="en-US"/>
        </w:rPr>
        <w:t xml:space="preserve"> </w:t>
      </w:r>
      <w:r w:rsidR="00CE4B17" w:rsidRPr="00E14F98">
        <w:rPr>
          <w:rFonts w:ascii="Book Antiqua" w:hAnsi="Book Antiqua"/>
          <w:sz w:val="24"/>
          <w:szCs w:val="24"/>
          <w:lang w:val="en-US"/>
        </w:rPr>
        <w:t>with</w:t>
      </w:r>
      <w:r w:rsidR="00F43F70" w:rsidRPr="00E14F98">
        <w:rPr>
          <w:rFonts w:ascii="Book Antiqua" w:hAnsi="Book Antiqua"/>
          <w:sz w:val="24"/>
          <w:szCs w:val="24"/>
          <w:lang w:val="en-US"/>
        </w:rPr>
        <w:t xml:space="preserve">in Milan criteria </w:t>
      </w:r>
      <w:r w:rsidR="00CE4B17" w:rsidRPr="00E14F98">
        <w:rPr>
          <w:rFonts w:ascii="Book Antiqua" w:hAnsi="Book Antiqua"/>
          <w:sz w:val="24"/>
          <w:szCs w:val="24"/>
          <w:lang w:val="en-US"/>
        </w:rPr>
        <w:t>should be hepatic resection</w:t>
      </w:r>
      <w:r w:rsidR="006529D5" w:rsidRPr="00E14F98">
        <w:rPr>
          <w:rFonts w:ascii="Book Antiqua" w:hAnsi="Book Antiqua"/>
          <w:sz w:val="24"/>
          <w:szCs w:val="24"/>
          <w:lang w:val="en-US"/>
        </w:rPr>
        <w:t xml:space="preserve"> or </w:t>
      </w:r>
      <w:proofErr w:type="gramStart"/>
      <w:r w:rsidR="00096FCA" w:rsidRPr="00E14F98">
        <w:rPr>
          <w:rFonts w:ascii="Book Antiqua" w:hAnsi="Book Antiqua"/>
          <w:sz w:val="24"/>
          <w:szCs w:val="24"/>
          <w:lang w:val="en-US"/>
        </w:rPr>
        <w:t>LT</w:t>
      </w:r>
      <w:r w:rsidR="00726B4A" w:rsidRPr="00E14F98">
        <w:rPr>
          <w:rFonts w:ascii="Book Antiqua" w:hAnsi="Book Antiqua"/>
          <w:sz w:val="24"/>
          <w:szCs w:val="24"/>
          <w:vertAlign w:val="superscript"/>
          <w:lang w:val="en-US"/>
        </w:rPr>
        <w:t>[</w:t>
      </w:r>
      <w:proofErr w:type="gramEnd"/>
      <w:r w:rsidR="00726B4A" w:rsidRPr="00E14F98">
        <w:rPr>
          <w:rFonts w:ascii="Book Antiqua" w:hAnsi="Book Antiqua"/>
          <w:sz w:val="24"/>
          <w:szCs w:val="24"/>
          <w:vertAlign w:val="superscript"/>
          <w:lang w:val="en-US"/>
        </w:rPr>
        <w:t>1,2]</w:t>
      </w:r>
      <w:r w:rsidR="00CE4B17" w:rsidRPr="00E14F98">
        <w:rPr>
          <w:rFonts w:ascii="Book Antiqua" w:hAnsi="Book Antiqua"/>
          <w:sz w:val="24"/>
          <w:szCs w:val="24"/>
          <w:lang w:val="en-US"/>
        </w:rPr>
        <w:t>. Nevertheless,</w:t>
      </w:r>
      <w:r w:rsidR="008A46FE" w:rsidRPr="00E14F98">
        <w:rPr>
          <w:rFonts w:ascii="Book Antiqua" w:hAnsi="Book Antiqua"/>
          <w:sz w:val="24"/>
          <w:szCs w:val="24"/>
          <w:lang w:val="en-US"/>
        </w:rPr>
        <w:t xml:space="preserve"> s</w:t>
      </w:r>
      <w:r w:rsidR="00CE4B17" w:rsidRPr="00E14F98">
        <w:rPr>
          <w:rFonts w:ascii="Book Antiqua" w:hAnsi="Book Antiqua"/>
          <w:sz w:val="24"/>
          <w:szCs w:val="24"/>
          <w:lang w:val="en-US"/>
        </w:rPr>
        <w:t>ome</w:t>
      </w:r>
      <w:r w:rsidR="00FD05FE" w:rsidRPr="00E14F98">
        <w:rPr>
          <w:rFonts w:ascii="Book Antiqua" w:hAnsi="Book Antiqua"/>
          <w:sz w:val="24"/>
          <w:szCs w:val="24"/>
          <w:lang w:val="en-US"/>
        </w:rPr>
        <w:t xml:space="preserve"> </w:t>
      </w:r>
      <w:r w:rsidR="00CE4B17" w:rsidRPr="00E14F98">
        <w:rPr>
          <w:rFonts w:ascii="Book Antiqua" w:hAnsi="Book Antiqua"/>
          <w:sz w:val="24"/>
          <w:szCs w:val="24"/>
          <w:lang w:val="en-US"/>
        </w:rPr>
        <w:t xml:space="preserve">patients </w:t>
      </w:r>
      <w:r w:rsidR="00FD05FE" w:rsidRPr="00E14F98">
        <w:rPr>
          <w:rFonts w:ascii="Book Antiqua" w:hAnsi="Book Antiqua"/>
          <w:sz w:val="24"/>
          <w:szCs w:val="24"/>
          <w:lang w:val="en-US"/>
        </w:rPr>
        <w:t>may be poor surgical candidates and the</w:t>
      </w:r>
      <w:r w:rsidR="00CE4B17" w:rsidRPr="00E14F98">
        <w:rPr>
          <w:rFonts w:ascii="Book Antiqua" w:hAnsi="Book Antiqua"/>
          <w:sz w:val="24"/>
          <w:szCs w:val="24"/>
          <w:lang w:val="en-US"/>
        </w:rPr>
        <w:t xml:space="preserve"> alternative is a variety of</w:t>
      </w:r>
      <w:r w:rsidR="007D1FB4" w:rsidRPr="00E14F98">
        <w:rPr>
          <w:rFonts w:ascii="Book Antiqua" w:hAnsi="Book Antiqua"/>
          <w:sz w:val="24"/>
          <w:szCs w:val="24"/>
          <w:lang w:val="en-US"/>
        </w:rPr>
        <w:t xml:space="preserve"> </w:t>
      </w:r>
      <w:r w:rsidR="00CE4B17" w:rsidRPr="00E14F98">
        <w:rPr>
          <w:rFonts w:ascii="Book Antiqua" w:hAnsi="Book Antiqua"/>
          <w:sz w:val="24"/>
          <w:szCs w:val="24"/>
          <w:lang w:val="en-US"/>
        </w:rPr>
        <w:t>loco</w:t>
      </w:r>
      <w:r w:rsidR="00FD4716" w:rsidRPr="00E14F98">
        <w:rPr>
          <w:rFonts w:ascii="Book Antiqua" w:hAnsi="Book Antiqua"/>
          <w:sz w:val="24"/>
          <w:szCs w:val="24"/>
          <w:lang w:val="en-US"/>
        </w:rPr>
        <w:t>-regional</w:t>
      </w:r>
      <w:r w:rsidR="006A6660" w:rsidRPr="00E14F98">
        <w:rPr>
          <w:rFonts w:ascii="Book Antiqua" w:hAnsi="Book Antiqua"/>
          <w:sz w:val="24"/>
          <w:szCs w:val="24"/>
          <w:lang w:val="en-US"/>
        </w:rPr>
        <w:t xml:space="preserve"> ablation</w:t>
      </w:r>
      <w:r w:rsidR="00CE4B17" w:rsidRPr="00E14F98">
        <w:rPr>
          <w:rFonts w:ascii="Book Antiqua" w:hAnsi="Book Antiqua"/>
          <w:sz w:val="24"/>
          <w:szCs w:val="24"/>
          <w:lang w:val="en-US"/>
        </w:rPr>
        <w:t xml:space="preserve"> techniques. O</w:t>
      </w:r>
      <w:r w:rsidR="007D1FB4" w:rsidRPr="00E14F98">
        <w:rPr>
          <w:rFonts w:ascii="Book Antiqua" w:hAnsi="Book Antiqua"/>
          <w:sz w:val="24"/>
          <w:szCs w:val="24"/>
          <w:lang w:val="en-US"/>
        </w:rPr>
        <w:t xml:space="preserve">f these, </w:t>
      </w:r>
      <w:r w:rsidR="00CE4B17" w:rsidRPr="00E14F98">
        <w:rPr>
          <w:rFonts w:ascii="Book Antiqua" w:hAnsi="Book Antiqua"/>
          <w:sz w:val="24"/>
          <w:szCs w:val="24"/>
          <w:lang w:val="en-US"/>
        </w:rPr>
        <w:t xml:space="preserve">RFA is considered the treatment of choice for </w:t>
      </w:r>
      <w:r w:rsidR="007D1FB4" w:rsidRPr="00E14F98">
        <w:rPr>
          <w:rFonts w:ascii="Book Antiqua" w:hAnsi="Book Antiqua"/>
          <w:sz w:val="24"/>
          <w:szCs w:val="24"/>
          <w:lang w:val="en-US"/>
        </w:rPr>
        <w:t xml:space="preserve">these </w:t>
      </w:r>
      <w:r w:rsidR="00CE4B17" w:rsidRPr="00E14F98">
        <w:rPr>
          <w:rFonts w:ascii="Book Antiqua" w:hAnsi="Book Antiqua"/>
          <w:sz w:val="24"/>
          <w:szCs w:val="24"/>
          <w:lang w:val="en-US"/>
        </w:rPr>
        <w:t>patients</w:t>
      </w:r>
      <w:r w:rsidR="00392B07" w:rsidRPr="00E14F98">
        <w:rPr>
          <w:rFonts w:ascii="Book Antiqua" w:hAnsi="Book Antiqua"/>
          <w:sz w:val="24"/>
          <w:szCs w:val="24"/>
          <w:lang w:val="en-US"/>
        </w:rPr>
        <w:t>,</w:t>
      </w:r>
      <w:r w:rsidR="007D1FB4" w:rsidRPr="00E14F98">
        <w:rPr>
          <w:rFonts w:ascii="Book Antiqua" w:hAnsi="Book Antiqua"/>
          <w:sz w:val="24"/>
          <w:szCs w:val="24"/>
          <w:lang w:val="en-US"/>
        </w:rPr>
        <w:t xml:space="preserve"> r</w:t>
      </w:r>
      <w:r w:rsidR="00CE4B17" w:rsidRPr="00E14F98">
        <w:rPr>
          <w:rFonts w:ascii="Book Antiqua" w:hAnsi="Book Antiqua"/>
          <w:sz w:val="24"/>
          <w:szCs w:val="24"/>
          <w:lang w:val="en-US"/>
        </w:rPr>
        <w:t>ecently</w:t>
      </w:r>
      <w:r w:rsidR="007D1FB4" w:rsidRPr="00E14F98">
        <w:rPr>
          <w:rFonts w:ascii="Book Antiqua" w:hAnsi="Book Antiqua"/>
          <w:sz w:val="24"/>
          <w:szCs w:val="24"/>
          <w:lang w:val="en-US"/>
        </w:rPr>
        <w:t xml:space="preserve"> reported to be as eff</w:t>
      </w:r>
      <w:r w:rsidR="00CE4B17" w:rsidRPr="00E14F98">
        <w:rPr>
          <w:rFonts w:ascii="Book Antiqua" w:hAnsi="Book Antiqua"/>
          <w:sz w:val="24"/>
          <w:szCs w:val="24"/>
          <w:lang w:val="en-US"/>
        </w:rPr>
        <w:t>ective for</w:t>
      </w:r>
      <w:r w:rsidR="007D1FB4" w:rsidRPr="00E14F98">
        <w:rPr>
          <w:rFonts w:ascii="Book Antiqua" w:hAnsi="Book Antiqua"/>
          <w:sz w:val="24"/>
          <w:szCs w:val="24"/>
          <w:lang w:val="en-US"/>
        </w:rPr>
        <w:t xml:space="preserve"> </w:t>
      </w:r>
      <w:r w:rsidR="00CE4B17" w:rsidRPr="00E14F98">
        <w:rPr>
          <w:rFonts w:ascii="Book Antiqua" w:hAnsi="Book Antiqua"/>
          <w:sz w:val="24"/>
          <w:szCs w:val="24"/>
          <w:lang w:val="en-US"/>
        </w:rPr>
        <w:t>s</w:t>
      </w:r>
      <w:r w:rsidR="007D1FB4" w:rsidRPr="00E14F98">
        <w:rPr>
          <w:rFonts w:ascii="Book Antiqua" w:hAnsi="Book Antiqua"/>
          <w:sz w:val="24"/>
          <w:szCs w:val="24"/>
          <w:lang w:val="en-US"/>
        </w:rPr>
        <w:t xml:space="preserve">mall HCCs </w:t>
      </w:r>
      <w:r w:rsidR="00542EB9" w:rsidRPr="00E14F98">
        <w:rPr>
          <w:rFonts w:ascii="Book Antiqua" w:hAnsi="Book Antiqua"/>
          <w:sz w:val="24"/>
          <w:szCs w:val="24"/>
          <w:lang w:val="en-US"/>
        </w:rPr>
        <w:t xml:space="preserve">(BCLC 0) </w:t>
      </w:r>
      <w:r w:rsidR="007D1FB4" w:rsidRPr="00E14F98">
        <w:rPr>
          <w:rFonts w:ascii="Book Antiqua" w:hAnsi="Book Antiqua"/>
          <w:sz w:val="24"/>
          <w:szCs w:val="24"/>
          <w:lang w:val="en-US"/>
        </w:rPr>
        <w:t xml:space="preserve">as surgical </w:t>
      </w:r>
      <w:proofErr w:type="gramStart"/>
      <w:r w:rsidR="007D1FB4" w:rsidRPr="00E14F98">
        <w:rPr>
          <w:rFonts w:ascii="Book Antiqua" w:hAnsi="Book Antiqua"/>
          <w:sz w:val="24"/>
          <w:szCs w:val="24"/>
          <w:lang w:val="en-US"/>
        </w:rPr>
        <w:t>resection</w:t>
      </w:r>
      <w:r w:rsidR="00430190" w:rsidRPr="00E14F98">
        <w:rPr>
          <w:rFonts w:ascii="Book Antiqua" w:hAnsi="Book Antiqua"/>
          <w:sz w:val="24"/>
          <w:szCs w:val="24"/>
          <w:vertAlign w:val="superscript"/>
          <w:lang w:val="en-US"/>
        </w:rPr>
        <w:t>[</w:t>
      </w:r>
      <w:proofErr w:type="gramEnd"/>
      <w:r w:rsidR="00430190" w:rsidRPr="00E14F98">
        <w:rPr>
          <w:rFonts w:ascii="Book Antiqua" w:hAnsi="Book Antiqua"/>
          <w:sz w:val="24"/>
          <w:szCs w:val="24"/>
          <w:vertAlign w:val="superscript"/>
          <w:lang w:val="en-US"/>
        </w:rPr>
        <w:t>72-74]</w:t>
      </w:r>
      <w:r w:rsidR="007D1FB4" w:rsidRPr="00E14F98">
        <w:rPr>
          <w:rFonts w:ascii="Book Antiqua" w:hAnsi="Book Antiqua"/>
          <w:sz w:val="24"/>
          <w:szCs w:val="24"/>
          <w:lang w:val="en-US"/>
        </w:rPr>
        <w:t xml:space="preserve">. </w:t>
      </w:r>
      <w:r w:rsidR="00CE4B17" w:rsidRPr="00E14F98">
        <w:rPr>
          <w:rFonts w:ascii="Book Antiqua" w:hAnsi="Book Antiqua"/>
          <w:sz w:val="24"/>
          <w:szCs w:val="24"/>
          <w:lang w:val="en-US"/>
        </w:rPr>
        <w:t>However, some tumors with a subcapsular or dome location and</w:t>
      </w:r>
      <w:r w:rsidR="0099313C" w:rsidRPr="00E14F98">
        <w:rPr>
          <w:rFonts w:ascii="Book Antiqua" w:hAnsi="Book Antiqua"/>
          <w:sz w:val="24"/>
          <w:szCs w:val="24"/>
          <w:lang w:val="en-US"/>
        </w:rPr>
        <w:t xml:space="preserve"> </w:t>
      </w:r>
      <w:r w:rsidR="00CE4B17" w:rsidRPr="00E14F98">
        <w:rPr>
          <w:rFonts w:ascii="Book Antiqua" w:hAnsi="Book Antiqua"/>
          <w:sz w:val="24"/>
          <w:szCs w:val="24"/>
          <w:lang w:val="en-US"/>
        </w:rPr>
        <w:t>tumors adjacent to intestinal loops or the main bile duct may be</w:t>
      </w:r>
      <w:r w:rsidR="008953EE" w:rsidRPr="00E14F98">
        <w:rPr>
          <w:rFonts w:ascii="Book Antiqua" w:hAnsi="Book Antiqua"/>
          <w:sz w:val="24"/>
          <w:szCs w:val="24"/>
          <w:lang w:val="en-US"/>
        </w:rPr>
        <w:t xml:space="preserve"> </w:t>
      </w:r>
      <w:r w:rsidR="00CE4B17" w:rsidRPr="00E14F98">
        <w:rPr>
          <w:rFonts w:ascii="Book Antiqua" w:hAnsi="Book Antiqua"/>
          <w:sz w:val="24"/>
          <w:szCs w:val="24"/>
          <w:lang w:val="en-US"/>
        </w:rPr>
        <w:t xml:space="preserve">unsuitable for RFA </w:t>
      </w:r>
      <w:r w:rsidR="008953EE" w:rsidRPr="00E14F98">
        <w:rPr>
          <w:rFonts w:ascii="Book Antiqua" w:hAnsi="Book Antiqua"/>
          <w:sz w:val="24"/>
          <w:szCs w:val="24"/>
          <w:lang w:val="en-US"/>
        </w:rPr>
        <w:t>and</w:t>
      </w:r>
      <w:r w:rsidR="00CE4B17" w:rsidRPr="00E14F98">
        <w:rPr>
          <w:rFonts w:ascii="Book Antiqua" w:hAnsi="Book Antiqua"/>
          <w:sz w:val="24"/>
          <w:szCs w:val="24"/>
          <w:lang w:val="en-US"/>
        </w:rPr>
        <w:t xml:space="preserve"> </w:t>
      </w:r>
      <w:r w:rsidR="008953EE" w:rsidRPr="00E14F98">
        <w:rPr>
          <w:rFonts w:ascii="Book Antiqua" w:hAnsi="Book Antiqua"/>
          <w:sz w:val="24"/>
          <w:szCs w:val="24"/>
          <w:lang w:val="en-US"/>
        </w:rPr>
        <w:t xml:space="preserve">in such </w:t>
      </w:r>
      <w:r w:rsidR="00CE4B17" w:rsidRPr="00E14F98">
        <w:rPr>
          <w:rFonts w:ascii="Book Antiqua" w:hAnsi="Book Antiqua"/>
          <w:sz w:val="24"/>
          <w:szCs w:val="24"/>
          <w:lang w:val="en-US"/>
        </w:rPr>
        <w:t xml:space="preserve">cases </w:t>
      </w:r>
      <w:r w:rsidR="008953EE" w:rsidRPr="00E14F98">
        <w:rPr>
          <w:rFonts w:ascii="Book Antiqua" w:hAnsi="Book Antiqua"/>
          <w:sz w:val="24"/>
          <w:szCs w:val="24"/>
          <w:lang w:val="en-US"/>
        </w:rPr>
        <w:t>TACE</w:t>
      </w:r>
      <w:r w:rsidR="00CE4B17" w:rsidRPr="00E14F98">
        <w:rPr>
          <w:rFonts w:ascii="Book Antiqua" w:hAnsi="Book Antiqua"/>
          <w:sz w:val="24"/>
          <w:szCs w:val="24"/>
          <w:lang w:val="en-US"/>
        </w:rPr>
        <w:t xml:space="preserve"> can be used as</w:t>
      </w:r>
      <w:r w:rsidR="008953EE" w:rsidRPr="00E14F98">
        <w:rPr>
          <w:rFonts w:ascii="Book Antiqua" w:hAnsi="Book Antiqua"/>
          <w:sz w:val="24"/>
          <w:szCs w:val="24"/>
          <w:lang w:val="en-US"/>
        </w:rPr>
        <w:t xml:space="preserve"> therapy</w:t>
      </w:r>
      <w:r w:rsidR="00CE4B17" w:rsidRPr="00E14F98">
        <w:rPr>
          <w:rFonts w:ascii="Book Antiqua" w:hAnsi="Book Antiqua"/>
          <w:sz w:val="24"/>
          <w:szCs w:val="24"/>
          <w:lang w:val="en-US"/>
        </w:rPr>
        <w:t xml:space="preserve">. </w:t>
      </w:r>
      <w:r w:rsidR="000236C7" w:rsidRPr="00E14F98">
        <w:rPr>
          <w:rFonts w:ascii="Book Antiqua" w:hAnsi="Book Antiqua"/>
          <w:sz w:val="24"/>
          <w:szCs w:val="24"/>
          <w:lang w:val="en-US"/>
        </w:rPr>
        <w:t xml:space="preserve">Recently, Hsu </w:t>
      </w:r>
      <w:r w:rsidR="00091FE5" w:rsidRPr="0093586C">
        <w:rPr>
          <w:rFonts w:ascii="Book Antiqua" w:hAnsi="Book Antiqua"/>
          <w:i/>
          <w:sz w:val="24"/>
          <w:szCs w:val="24"/>
          <w:lang w:val="en-US"/>
        </w:rPr>
        <w:t xml:space="preserve">et </w:t>
      </w:r>
      <w:proofErr w:type="gramStart"/>
      <w:r w:rsidR="00091FE5" w:rsidRPr="0093586C">
        <w:rPr>
          <w:rFonts w:ascii="Book Antiqua" w:hAnsi="Book Antiqua"/>
          <w:i/>
          <w:sz w:val="24"/>
          <w:szCs w:val="24"/>
          <w:lang w:val="en-US"/>
        </w:rPr>
        <w:t>al</w:t>
      </w:r>
      <w:r w:rsidR="0093586C" w:rsidRPr="00E14F98">
        <w:rPr>
          <w:rFonts w:ascii="Book Antiqua" w:hAnsi="Book Antiqua"/>
          <w:sz w:val="24"/>
          <w:szCs w:val="24"/>
          <w:vertAlign w:val="superscript"/>
          <w:lang w:val="en-US"/>
        </w:rPr>
        <w:t>[</w:t>
      </w:r>
      <w:proofErr w:type="gramEnd"/>
      <w:r w:rsidR="0093586C" w:rsidRPr="00E14F98">
        <w:rPr>
          <w:rFonts w:ascii="Book Antiqua" w:hAnsi="Book Antiqua"/>
          <w:sz w:val="24"/>
          <w:szCs w:val="24"/>
          <w:vertAlign w:val="superscript"/>
          <w:lang w:val="en-US"/>
        </w:rPr>
        <w:t>75]</w:t>
      </w:r>
      <w:r w:rsidR="00091FE5" w:rsidRPr="00E14F98">
        <w:rPr>
          <w:rFonts w:ascii="Book Antiqua" w:hAnsi="Book Antiqua"/>
          <w:sz w:val="24"/>
          <w:szCs w:val="24"/>
          <w:lang w:val="en-US"/>
        </w:rPr>
        <w:t xml:space="preserve"> </w:t>
      </w:r>
      <w:r w:rsidR="000236C7" w:rsidRPr="00E14F98">
        <w:rPr>
          <w:rFonts w:ascii="Book Antiqua" w:hAnsi="Book Antiqua"/>
          <w:sz w:val="24"/>
          <w:szCs w:val="24"/>
          <w:lang w:val="en-US"/>
        </w:rPr>
        <w:t xml:space="preserve">investigated the clinical outcomes of </w:t>
      </w:r>
      <w:r w:rsidR="00DA2B65" w:rsidRPr="00E14F98">
        <w:rPr>
          <w:rFonts w:ascii="Book Antiqua" w:hAnsi="Book Antiqua"/>
          <w:sz w:val="24"/>
          <w:szCs w:val="24"/>
          <w:lang w:val="en-US"/>
        </w:rPr>
        <w:t xml:space="preserve">Milan-in HCC </w:t>
      </w:r>
      <w:r w:rsidR="000236C7" w:rsidRPr="00E14F98">
        <w:rPr>
          <w:rFonts w:ascii="Book Antiqua" w:hAnsi="Book Antiqua"/>
          <w:sz w:val="24"/>
          <w:szCs w:val="24"/>
          <w:lang w:val="en-US"/>
        </w:rPr>
        <w:t xml:space="preserve">patients </w:t>
      </w:r>
      <w:r w:rsidR="00DA2B65" w:rsidRPr="00E14F98">
        <w:rPr>
          <w:rFonts w:ascii="Book Antiqua" w:hAnsi="Book Antiqua"/>
          <w:sz w:val="24"/>
          <w:szCs w:val="24"/>
          <w:lang w:val="en-US"/>
        </w:rPr>
        <w:t>undergoing</w:t>
      </w:r>
      <w:r w:rsidR="0093586C">
        <w:rPr>
          <w:rFonts w:ascii="Book Antiqua" w:hAnsi="Book Antiqua"/>
          <w:sz w:val="24"/>
          <w:szCs w:val="24"/>
          <w:lang w:val="en-US"/>
        </w:rPr>
        <w:t xml:space="preserve"> RFA (</w:t>
      </w:r>
      <w:r w:rsidR="000236C7" w:rsidRPr="0093586C">
        <w:rPr>
          <w:rFonts w:ascii="Book Antiqua" w:hAnsi="Book Antiqua"/>
          <w:i/>
          <w:iCs/>
          <w:sz w:val="24"/>
          <w:szCs w:val="24"/>
          <w:lang w:val="en-US"/>
        </w:rPr>
        <w:t>n</w:t>
      </w:r>
      <w:r w:rsidR="000236C7" w:rsidRPr="00E14F98">
        <w:rPr>
          <w:rFonts w:ascii="Book Antiqua" w:hAnsi="Book Antiqua"/>
          <w:i/>
          <w:iCs/>
          <w:sz w:val="24"/>
          <w:szCs w:val="24"/>
          <w:lang w:val="en-US"/>
        </w:rPr>
        <w:t xml:space="preserve"> </w:t>
      </w:r>
      <w:r w:rsidR="0093586C">
        <w:rPr>
          <w:rFonts w:ascii="Book Antiqua" w:hAnsi="Book Antiqua"/>
          <w:sz w:val="24"/>
          <w:szCs w:val="24"/>
          <w:lang w:val="en-US"/>
        </w:rPr>
        <w:t>= 315) or cTACE (</w:t>
      </w:r>
      <w:r w:rsidR="000236C7" w:rsidRPr="0093586C">
        <w:rPr>
          <w:rFonts w:ascii="Book Antiqua" w:hAnsi="Book Antiqua"/>
          <w:i/>
          <w:iCs/>
          <w:sz w:val="24"/>
          <w:szCs w:val="24"/>
          <w:lang w:val="en-US"/>
        </w:rPr>
        <w:t>n</w:t>
      </w:r>
      <w:r w:rsidR="000236C7" w:rsidRPr="00E14F98">
        <w:rPr>
          <w:rFonts w:ascii="Book Antiqua" w:hAnsi="Book Antiqua"/>
          <w:i/>
          <w:iCs/>
          <w:sz w:val="24"/>
          <w:szCs w:val="24"/>
          <w:lang w:val="en-US"/>
        </w:rPr>
        <w:t xml:space="preserve"> </w:t>
      </w:r>
      <w:r w:rsidR="000236C7" w:rsidRPr="00E14F98">
        <w:rPr>
          <w:rFonts w:ascii="Book Antiqua" w:hAnsi="Book Antiqua"/>
          <w:sz w:val="24"/>
          <w:szCs w:val="24"/>
          <w:lang w:val="en-US"/>
        </w:rPr>
        <w:t>= 215). In the univariate survival analysis, the RFA group had a significantly better long-term survival than the TACE group (the 1-, 3-, and 5-</w:t>
      </w:r>
      <w:r w:rsidR="000236C7" w:rsidRPr="00E14F98">
        <w:rPr>
          <w:rFonts w:ascii="Book Antiqua" w:hAnsi="Book Antiqua"/>
          <w:sz w:val="24"/>
          <w:szCs w:val="24"/>
          <w:lang w:val="en-US"/>
        </w:rPr>
        <w:lastRenderedPageBreak/>
        <w:t>year survival rates were 93</w:t>
      </w:r>
      <w:r w:rsidR="00A70BAE" w:rsidRPr="00E14F98">
        <w:rPr>
          <w:rFonts w:ascii="Book Antiqua" w:hAnsi="Book Antiqua"/>
          <w:sz w:val="24"/>
          <w:szCs w:val="24"/>
          <w:lang w:val="en-US"/>
        </w:rPr>
        <w:t>%</w:t>
      </w:r>
      <w:r w:rsidR="000236C7" w:rsidRPr="00E14F98">
        <w:rPr>
          <w:rFonts w:ascii="Book Antiqua" w:hAnsi="Book Antiqua"/>
          <w:sz w:val="24"/>
          <w:szCs w:val="24"/>
          <w:lang w:val="en-US"/>
        </w:rPr>
        <w:t>, 89</w:t>
      </w:r>
      <w:r w:rsidR="00A70BAE" w:rsidRPr="00E14F98">
        <w:rPr>
          <w:rFonts w:ascii="Book Antiqua" w:hAnsi="Book Antiqua"/>
          <w:sz w:val="24"/>
          <w:szCs w:val="24"/>
          <w:lang w:val="en-US"/>
        </w:rPr>
        <w:t>%, and 72</w:t>
      </w:r>
      <w:r w:rsidR="000236C7" w:rsidRPr="00E14F98">
        <w:rPr>
          <w:rFonts w:ascii="Book Antiqua" w:hAnsi="Book Antiqua"/>
          <w:sz w:val="24"/>
          <w:szCs w:val="24"/>
          <w:lang w:val="en-US"/>
        </w:rPr>
        <w:t>% for RFA, and 63</w:t>
      </w:r>
      <w:r w:rsidR="00A70BAE" w:rsidRPr="00E14F98">
        <w:rPr>
          <w:rFonts w:ascii="Book Antiqua" w:hAnsi="Book Antiqua"/>
          <w:sz w:val="24"/>
          <w:szCs w:val="24"/>
          <w:lang w:val="en-US"/>
        </w:rPr>
        <w:t>%</w:t>
      </w:r>
      <w:r w:rsidR="000236C7" w:rsidRPr="00E14F98">
        <w:rPr>
          <w:rFonts w:ascii="Book Antiqua" w:hAnsi="Book Antiqua"/>
          <w:sz w:val="24"/>
          <w:szCs w:val="24"/>
          <w:lang w:val="en-US"/>
        </w:rPr>
        <w:t>, 55</w:t>
      </w:r>
      <w:r w:rsidR="00A70BAE" w:rsidRPr="00E14F98">
        <w:rPr>
          <w:rFonts w:ascii="Book Antiqua" w:hAnsi="Book Antiqua"/>
          <w:sz w:val="24"/>
          <w:szCs w:val="24"/>
          <w:lang w:val="en-US"/>
        </w:rPr>
        <w:t>%</w:t>
      </w:r>
      <w:r w:rsidR="000236C7" w:rsidRPr="00E14F98">
        <w:rPr>
          <w:rFonts w:ascii="Book Antiqua" w:hAnsi="Book Antiqua"/>
          <w:sz w:val="24"/>
          <w:szCs w:val="24"/>
          <w:lang w:val="en-US"/>
        </w:rPr>
        <w:t xml:space="preserve">, and 43 % for TACE, </w:t>
      </w:r>
      <w:r w:rsidR="0093586C" w:rsidRPr="0093586C">
        <w:rPr>
          <w:rFonts w:ascii="Book Antiqua" w:hAnsi="Book Antiqua" w:hint="eastAsia"/>
          <w:i/>
          <w:iCs/>
          <w:sz w:val="24"/>
          <w:szCs w:val="24"/>
          <w:lang w:val="en-US" w:eastAsia="zh-CN"/>
        </w:rPr>
        <w:t>P</w:t>
      </w:r>
      <w:r w:rsidR="000236C7" w:rsidRPr="00E14F98">
        <w:rPr>
          <w:rFonts w:ascii="Book Antiqua" w:hAnsi="Book Antiqua"/>
          <w:i/>
          <w:iCs/>
          <w:sz w:val="24"/>
          <w:szCs w:val="24"/>
          <w:lang w:val="en-US"/>
        </w:rPr>
        <w:t xml:space="preserve"> </w:t>
      </w:r>
      <w:r w:rsidR="00176D45" w:rsidRPr="00E14F98">
        <w:rPr>
          <w:rFonts w:ascii="Book Antiqua" w:hAnsi="Book Antiqua"/>
          <w:sz w:val="24"/>
          <w:szCs w:val="24"/>
          <w:lang w:val="en-US"/>
        </w:rPr>
        <w:t>= 0.048), but a</w:t>
      </w:r>
      <w:r w:rsidR="000236C7" w:rsidRPr="00E14F98">
        <w:rPr>
          <w:rFonts w:ascii="Book Antiqua" w:hAnsi="Book Antiqua"/>
          <w:sz w:val="24"/>
          <w:szCs w:val="24"/>
          <w:lang w:val="en-US"/>
        </w:rPr>
        <w:t>fter propensity</w:t>
      </w:r>
      <w:r w:rsidR="00176D45" w:rsidRPr="00E14F98">
        <w:rPr>
          <w:rFonts w:ascii="Book Antiqua" w:hAnsi="Book Antiqua"/>
          <w:sz w:val="24"/>
          <w:szCs w:val="24"/>
          <w:lang w:val="en-US"/>
        </w:rPr>
        <w:t xml:space="preserve">-score matching (selecting </w:t>
      </w:r>
      <w:r w:rsidR="000236C7" w:rsidRPr="00E14F98">
        <w:rPr>
          <w:rFonts w:ascii="Book Antiqua" w:hAnsi="Book Antiqua"/>
          <w:sz w:val="24"/>
          <w:szCs w:val="24"/>
          <w:lang w:val="en-US"/>
        </w:rPr>
        <w:t>101 patients from each treatment arm</w:t>
      </w:r>
      <w:r w:rsidR="00176D45" w:rsidRPr="00E14F98">
        <w:rPr>
          <w:rFonts w:ascii="Book Antiqua" w:hAnsi="Book Antiqua"/>
          <w:sz w:val="24"/>
          <w:szCs w:val="24"/>
          <w:lang w:val="en-US"/>
        </w:rPr>
        <w:t xml:space="preserve">) </w:t>
      </w:r>
      <w:r w:rsidR="00A9777B" w:rsidRPr="00E14F98">
        <w:rPr>
          <w:rFonts w:ascii="Book Antiqua" w:hAnsi="Book Antiqua"/>
          <w:sz w:val="24"/>
          <w:szCs w:val="24"/>
          <w:lang w:val="en-US"/>
        </w:rPr>
        <w:t>such a difference was lost (</w:t>
      </w:r>
      <w:r w:rsidR="000236C7" w:rsidRPr="00E14F98">
        <w:rPr>
          <w:rFonts w:ascii="Book Antiqua" w:hAnsi="Book Antiqua"/>
          <w:sz w:val="24"/>
          <w:szCs w:val="24"/>
          <w:lang w:val="en-US"/>
        </w:rPr>
        <w:t>1-, 3-, and 5-year survival rates were 85</w:t>
      </w:r>
      <w:r w:rsidR="00AC638D" w:rsidRPr="00E14F98">
        <w:rPr>
          <w:rFonts w:ascii="Book Antiqua" w:hAnsi="Book Antiqua"/>
          <w:sz w:val="24"/>
          <w:szCs w:val="24"/>
          <w:lang w:val="en-US"/>
        </w:rPr>
        <w:t>%</w:t>
      </w:r>
      <w:r w:rsidR="000236C7" w:rsidRPr="00E14F98">
        <w:rPr>
          <w:rFonts w:ascii="Book Antiqua" w:hAnsi="Book Antiqua"/>
          <w:sz w:val="24"/>
          <w:szCs w:val="24"/>
          <w:lang w:val="en-US"/>
        </w:rPr>
        <w:t>, 60</w:t>
      </w:r>
      <w:r w:rsidR="00AC638D" w:rsidRPr="00E14F98">
        <w:rPr>
          <w:rFonts w:ascii="Book Antiqua" w:hAnsi="Book Antiqua"/>
          <w:sz w:val="24"/>
          <w:szCs w:val="24"/>
          <w:lang w:val="en-US"/>
        </w:rPr>
        <w:t>%, and 41</w:t>
      </w:r>
      <w:r w:rsidR="000236C7" w:rsidRPr="00E14F98">
        <w:rPr>
          <w:rFonts w:ascii="Book Antiqua" w:hAnsi="Book Antiqua"/>
          <w:sz w:val="24"/>
          <w:szCs w:val="24"/>
          <w:lang w:val="en-US"/>
        </w:rPr>
        <w:t>% for RFA, and 86</w:t>
      </w:r>
      <w:r w:rsidR="00AC638D" w:rsidRPr="00E14F98">
        <w:rPr>
          <w:rFonts w:ascii="Book Antiqua" w:hAnsi="Book Antiqua"/>
          <w:sz w:val="24"/>
          <w:szCs w:val="24"/>
          <w:lang w:val="en-US"/>
        </w:rPr>
        <w:t>%</w:t>
      </w:r>
      <w:r w:rsidR="000236C7" w:rsidRPr="00E14F98">
        <w:rPr>
          <w:rFonts w:ascii="Book Antiqua" w:hAnsi="Book Antiqua"/>
          <w:sz w:val="24"/>
          <w:szCs w:val="24"/>
          <w:lang w:val="en-US"/>
        </w:rPr>
        <w:t>, 55</w:t>
      </w:r>
      <w:r w:rsidR="00AC638D" w:rsidRPr="00E14F98">
        <w:rPr>
          <w:rFonts w:ascii="Book Antiqua" w:hAnsi="Book Antiqua"/>
          <w:sz w:val="24"/>
          <w:szCs w:val="24"/>
          <w:lang w:val="en-US"/>
        </w:rPr>
        <w:t>%, and 36</w:t>
      </w:r>
      <w:r w:rsidR="000236C7" w:rsidRPr="00E14F98">
        <w:rPr>
          <w:rFonts w:ascii="Book Antiqua" w:hAnsi="Book Antiqua"/>
          <w:sz w:val="24"/>
          <w:szCs w:val="24"/>
          <w:lang w:val="en-US"/>
        </w:rPr>
        <w:t xml:space="preserve">% for TACE; </w:t>
      </w:r>
      <w:r w:rsidR="0093586C" w:rsidRPr="0093586C">
        <w:rPr>
          <w:rFonts w:ascii="Book Antiqua" w:hAnsi="Book Antiqua" w:hint="eastAsia"/>
          <w:i/>
          <w:iCs/>
          <w:sz w:val="24"/>
          <w:szCs w:val="24"/>
          <w:lang w:val="en-US" w:eastAsia="zh-CN"/>
        </w:rPr>
        <w:t>P</w:t>
      </w:r>
      <w:r w:rsidR="000236C7" w:rsidRPr="00E14F98">
        <w:rPr>
          <w:rFonts w:ascii="Book Antiqua" w:hAnsi="Book Antiqua"/>
          <w:iCs/>
          <w:sz w:val="24"/>
          <w:szCs w:val="24"/>
          <w:lang w:val="en-US"/>
        </w:rPr>
        <w:t xml:space="preserve"> </w:t>
      </w:r>
      <w:r w:rsidR="00BF034A" w:rsidRPr="00E14F98">
        <w:rPr>
          <w:rFonts w:ascii="Book Antiqua" w:hAnsi="Book Antiqua"/>
          <w:sz w:val="24"/>
          <w:szCs w:val="24"/>
          <w:lang w:val="en-US"/>
        </w:rPr>
        <w:t>= 0.476)</w:t>
      </w:r>
      <w:r w:rsidR="00995A2C" w:rsidRPr="00E14F98">
        <w:rPr>
          <w:rFonts w:ascii="Book Antiqua" w:hAnsi="Book Antiqua"/>
          <w:sz w:val="24"/>
          <w:szCs w:val="24"/>
          <w:vertAlign w:val="superscript"/>
          <w:lang w:val="en-US"/>
        </w:rPr>
        <w:t>[75]</w:t>
      </w:r>
      <w:r w:rsidR="00093335" w:rsidRPr="00E14F98">
        <w:rPr>
          <w:rFonts w:ascii="Book Antiqua" w:hAnsi="Book Antiqua"/>
          <w:sz w:val="24"/>
          <w:szCs w:val="24"/>
          <w:lang w:val="en-US"/>
        </w:rPr>
        <w:t xml:space="preserve">. However, </w:t>
      </w:r>
      <w:r w:rsidR="00BF034A" w:rsidRPr="00E14F98">
        <w:rPr>
          <w:rFonts w:ascii="Book Antiqua" w:hAnsi="Book Antiqua"/>
          <w:sz w:val="24"/>
          <w:szCs w:val="24"/>
          <w:lang w:val="en-US"/>
        </w:rPr>
        <w:t>patients underg</w:t>
      </w:r>
      <w:r w:rsidR="006B7FE8" w:rsidRPr="00E14F98">
        <w:rPr>
          <w:rFonts w:ascii="Book Antiqua" w:hAnsi="Book Antiqua"/>
          <w:sz w:val="24"/>
          <w:szCs w:val="24"/>
          <w:lang w:val="en-US"/>
        </w:rPr>
        <w:t>oing TACE</w:t>
      </w:r>
      <w:r w:rsidR="00BF034A" w:rsidRPr="00E14F98">
        <w:rPr>
          <w:rFonts w:ascii="Book Antiqua" w:hAnsi="Book Antiqua"/>
          <w:sz w:val="24"/>
          <w:szCs w:val="24"/>
          <w:lang w:val="en-US"/>
        </w:rPr>
        <w:t xml:space="preserve"> had a significantly higher cumulative recurrence rate</w:t>
      </w:r>
      <w:r w:rsidR="005A6C28" w:rsidRPr="00E14F98">
        <w:rPr>
          <w:rFonts w:ascii="Book Antiqua" w:hAnsi="Book Antiqua"/>
          <w:sz w:val="24"/>
          <w:szCs w:val="24"/>
          <w:lang w:val="en-US"/>
        </w:rPr>
        <w:t xml:space="preserve"> than patients undergoing RFA (</w:t>
      </w:r>
      <w:r w:rsidR="0093586C" w:rsidRPr="0093586C">
        <w:rPr>
          <w:rFonts w:ascii="Book Antiqua" w:hAnsi="Book Antiqua" w:hint="eastAsia"/>
          <w:i/>
          <w:sz w:val="24"/>
          <w:szCs w:val="24"/>
          <w:lang w:val="en-US" w:eastAsia="zh-CN"/>
        </w:rPr>
        <w:t>P</w:t>
      </w:r>
      <w:r w:rsidR="00BF034A" w:rsidRPr="00E14F98">
        <w:rPr>
          <w:rFonts w:ascii="Book Antiqua" w:hAnsi="Book Antiqua"/>
          <w:sz w:val="24"/>
          <w:szCs w:val="24"/>
          <w:lang w:val="en-US"/>
        </w:rPr>
        <w:t xml:space="preserve"> = 0.023)</w:t>
      </w:r>
      <w:r w:rsidR="001C7542" w:rsidRPr="00E14F98">
        <w:rPr>
          <w:rFonts w:ascii="Book Antiqua" w:hAnsi="Book Antiqua"/>
          <w:sz w:val="24"/>
          <w:szCs w:val="24"/>
          <w:lang w:val="en-US"/>
        </w:rPr>
        <w:t>, hence, t</w:t>
      </w:r>
      <w:r w:rsidR="000236C7" w:rsidRPr="00E14F98">
        <w:rPr>
          <w:rFonts w:ascii="Book Antiqua" w:hAnsi="Book Antiqua"/>
          <w:sz w:val="24"/>
          <w:szCs w:val="24"/>
          <w:lang w:val="en-US"/>
        </w:rPr>
        <w:t>his study indicates that TACE and RFA lead to com</w:t>
      </w:r>
      <w:r w:rsidR="000D316F" w:rsidRPr="00E14F98">
        <w:rPr>
          <w:rFonts w:ascii="Book Antiqua" w:hAnsi="Book Antiqua"/>
          <w:sz w:val="24"/>
          <w:szCs w:val="24"/>
          <w:lang w:val="en-US"/>
        </w:rPr>
        <w:t>parable long-term survival</w:t>
      </w:r>
      <w:r w:rsidR="000236C7" w:rsidRPr="00E14F98">
        <w:rPr>
          <w:rFonts w:ascii="Book Antiqua" w:hAnsi="Book Antiqua"/>
          <w:sz w:val="24"/>
          <w:szCs w:val="24"/>
          <w:lang w:val="en-US"/>
        </w:rPr>
        <w:t xml:space="preserve"> </w:t>
      </w:r>
      <w:r w:rsidR="008E4133" w:rsidRPr="00E14F98">
        <w:rPr>
          <w:rFonts w:ascii="Book Antiqua" w:hAnsi="Book Antiqua"/>
          <w:sz w:val="24"/>
          <w:szCs w:val="24"/>
          <w:lang w:val="en-US"/>
        </w:rPr>
        <w:t xml:space="preserve">but differ in recurrence rate </w:t>
      </w:r>
      <w:r w:rsidR="000236C7" w:rsidRPr="00E14F98">
        <w:rPr>
          <w:rFonts w:ascii="Book Antiqua" w:hAnsi="Book Antiqua"/>
          <w:sz w:val="24"/>
          <w:szCs w:val="24"/>
          <w:lang w:val="en-US"/>
        </w:rPr>
        <w:t>for HCC patients within the Milan criteria</w:t>
      </w:r>
      <w:r w:rsidR="009F2480" w:rsidRPr="00E14F98">
        <w:rPr>
          <w:rFonts w:ascii="Book Antiqua" w:hAnsi="Book Antiqua"/>
          <w:sz w:val="24"/>
          <w:szCs w:val="24"/>
          <w:vertAlign w:val="superscript"/>
          <w:lang w:val="en-US"/>
        </w:rPr>
        <w:t>[75]</w:t>
      </w:r>
      <w:r w:rsidR="000236C7" w:rsidRPr="00E14F98">
        <w:rPr>
          <w:rFonts w:ascii="Book Antiqua" w:hAnsi="Book Antiqua"/>
          <w:sz w:val="24"/>
          <w:szCs w:val="24"/>
          <w:lang w:val="en-US"/>
        </w:rPr>
        <w:t xml:space="preserve">. </w:t>
      </w:r>
      <w:r w:rsidR="005515B1" w:rsidRPr="00E14F98">
        <w:rPr>
          <w:rFonts w:ascii="Book Antiqua" w:hAnsi="Book Antiqua"/>
          <w:sz w:val="24"/>
          <w:szCs w:val="24"/>
          <w:lang w:val="en-US"/>
        </w:rPr>
        <w:t>In s</w:t>
      </w:r>
      <w:r w:rsidR="0058744E" w:rsidRPr="00E14F98">
        <w:rPr>
          <w:rFonts w:ascii="Book Antiqua" w:hAnsi="Book Antiqua"/>
          <w:sz w:val="24"/>
          <w:szCs w:val="24"/>
          <w:lang w:val="en-US"/>
        </w:rPr>
        <w:t>ubgroup analysis, p</w:t>
      </w:r>
      <w:r w:rsidR="00EA4FBC" w:rsidRPr="00E14F98">
        <w:rPr>
          <w:rFonts w:ascii="Book Antiqua" w:hAnsi="Book Antiqua"/>
          <w:sz w:val="24"/>
          <w:szCs w:val="24"/>
          <w:lang w:val="en-US"/>
        </w:rPr>
        <w:t>atients with a smaller total tumor volume (&lt;</w:t>
      </w:r>
      <w:r w:rsidR="0093586C">
        <w:rPr>
          <w:rFonts w:ascii="Book Antiqua" w:hAnsi="Book Antiqua" w:hint="eastAsia"/>
          <w:sz w:val="24"/>
          <w:szCs w:val="24"/>
          <w:lang w:val="en-US" w:eastAsia="zh-CN"/>
        </w:rPr>
        <w:t xml:space="preserve"> </w:t>
      </w:r>
      <w:r w:rsidR="00EA4FBC" w:rsidRPr="00E14F98">
        <w:rPr>
          <w:rFonts w:ascii="Book Antiqua" w:hAnsi="Book Antiqua"/>
          <w:sz w:val="24"/>
          <w:szCs w:val="24"/>
          <w:lang w:val="en-US"/>
        </w:rPr>
        <w:t>11 cm</w:t>
      </w:r>
      <w:r w:rsidR="00EA4FBC" w:rsidRPr="00E14F98">
        <w:rPr>
          <w:rFonts w:ascii="Book Antiqua" w:hAnsi="Book Antiqua"/>
          <w:sz w:val="24"/>
          <w:szCs w:val="24"/>
          <w:vertAlign w:val="superscript"/>
          <w:lang w:val="en-US"/>
        </w:rPr>
        <w:t>3</w:t>
      </w:r>
      <w:r w:rsidR="006771EB" w:rsidRPr="00E14F98">
        <w:rPr>
          <w:rFonts w:ascii="Book Antiqua" w:hAnsi="Book Antiqua"/>
          <w:sz w:val="24"/>
          <w:szCs w:val="24"/>
          <w:lang w:val="en-US"/>
        </w:rPr>
        <w:t>, equivalent to a single nodule 2.8 cm in diameter</w:t>
      </w:r>
      <w:r w:rsidR="00E7026C" w:rsidRPr="00E14F98">
        <w:rPr>
          <w:rFonts w:ascii="Book Antiqua" w:hAnsi="Book Antiqua"/>
          <w:sz w:val="24"/>
          <w:szCs w:val="24"/>
          <w:lang w:val="en-US"/>
        </w:rPr>
        <w:t>) were found</w:t>
      </w:r>
      <w:r w:rsidR="00EA4FBC" w:rsidRPr="00E14F98">
        <w:rPr>
          <w:rFonts w:ascii="Book Antiqua" w:hAnsi="Book Antiqua"/>
          <w:sz w:val="24"/>
          <w:szCs w:val="24"/>
          <w:lang w:val="en-US"/>
        </w:rPr>
        <w:t xml:space="preserve"> likely to </w:t>
      </w:r>
      <w:r w:rsidR="00FE1DFE" w:rsidRPr="00E14F98">
        <w:rPr>
          <w:rFonts w:ascii="Book Antiqua" w:hAnsi="Book Antiqua"/>
          <w:sz w:val="24"/>
          <w:szCs w:val="24"/>
          <w:lang w:val="en-US"/>
        </w:rPr>
        <w:t>benefit more from RFA</w:t>
      </w:r>
      <w:r w:rsidR="001C5149" w:rsidRPr="00E14F98">
        <w:rPr>
          <w:rFonts w:ascii="Book Antiqua" w:hAnsi="Book Antiqua"/>
          <w:sz w:val="24"/>
          <w:szCs w:val="24"/>
          <w:lang w:val="en-US"/>
        </w:rPr>
        <w:t xml:space="preserve"> </w:t>
      </w:r>
      <w:r w:rsidR="00FE1DFE" w:rsidRPr="00E14F98">
        <w:rPr>
          <w:rFonts w:ascii="Book Antiqua" w:hAnsi="Book Antiqua"/>
          <w:sz w:val="24"/>
          <w:szCs w:val="24"/>
          <w:lang w:val="en-US"/>
        </w:rPr>
        <w:t>with respect to</w:t>
      </w:r>
      <w:r w:rsidR="00EA4FBC" w:rsidRPr="00E14F98">
        <w:rPr>
          <w:rFonts w:ascii="Book Antiqua" w:hAnsi="Book Antiqua"/>
          <w:sz w:val="24"/>
          <w:szCs w:val="24"/>
          <w:lang w:val="en-US"/>
        </w:rPr>
        <w:t xml:space="preserve"> </w:t>
      </w:r>
      <w:proofErr w:type="gramStart"/>
      <w:r w:rsidR="00EA4FBC" w:rsidRPr="00E14F98">
        <w:rPr>
          <w:rFonts w:ascii="Book Antiqua" w:hAnsi="Book Antiqua"/>
          <w:sz w:val="24"/>
          <w:szCs w:val="24"/>
          <w:lang w:val="en-US"/>
        </w:rPr>
        <w:t>TACE</w:t>
      </w:r>
      <w:r w:rsidR="006607B1" w:rsidRPr="00E14F98">
        <w:rPr>
          <w:rFonts w:ascii="Book Antiqua" w:hAnsi="Book Antiqua"/>
          <w:sz w:val="24"/>
          <w:szCs w:val="24"/>
          <w:vertAlign w:val="superscript"/>
          <w:lang w:val="en-US"/>
        </w:rPr>
        <w:t>[</w:t>
      </w:r>
      <w:proofErr w:type="gramEnd"/>
      <w:r w:rsidR="006607B1" w:rsidRPr="00E14F98">
        <w:rPr>
          <w:rFonts w:ascii="Book Antiqua" w:hAnsi="Book Antiqua"/>
          <w:sz w:val="24"/>
          <w:szCs w:val="24"/>
          <w:vertAlign w:val="superscript"/>
          <w:lang w:val="en-US"/>
        </w:rPr>
        <w:t>75]</w:t>
      </w:r>
      <w:r w:rsidR="00EA4FBC" w:rsidRPr="00E14F98">
        <w:rPr>
          <w:rFonts w:ascii="Book Antiqua" w:hAnsi="Book Antiqua"/>
          <w:sz w:val="24"/>
          <w:szCs w:val="24"/>
          <w:lang w:val="en-US"/>
        </w:rPr>
        <w:t>. A pr</w:t>
      </w:r>
      <w:r w:rsidR="00A236A1" w:rsidRPr="00E14F98">
        <w:rPr>
          <w:rFonts w:ascii="Book Antiqua" w:hAnsi="Book Antiqua"/>
          <w:sz w:val="24"/>
          <w:szCs w:val="24"/>
          <w:lang w:val="en-US"/>
        </w:rPr>
        <w:t>obable reason for these results</w:t>
      </w:r>
      <w:r w:rsidR="00EA4FBC" w:rsidRPr="00E14F98">
        <w:rPr>
          <w:rFonts w:ascii="Book Antiqua" w:hAnsi="Book Antiqua"/>
          <w:sz w:val="24"/>
          <w:szCs w:val="24"/>
          <w:lang w:val="en-US"/>
        </w:rPr>
        <w:t xml:space="preserve"> is that RFA has a less satisfactory effect on medium tumors (3.1-5 cm in diameter) and multiple </w:t>
      </w:r>
      <w:proofErr w:type="gramStart"/>
      <w:r w:rsidR="00EA4FBC" w:rsidRPr="00E14F98">
        <w:rPr>
          <w:rFonts w:ascii="Book Antiqua" w:hAnsi="Book Antiqua"/>
          <w:sz w:val="24"/>
          <w:szCs w:val="24"/>
          <w:lang w:val="en-US"/>
        </w:rPr>
        <w:t>tumors</w:t>
      </w:r>
      <w:r w:rsidR="00C34D24" w:rsidRPr="00E14F98">
        <w:rPr>
          <w:rFonts w:ascii="Book Antiqua" w:hAnsi="Book Antiqua"/>
          <w:sz w:val="24"/>
          <w:szCs w:val="24"/>
          <w:vertAlign w:val="superscript"/>
          <w:lang w:val="en-US"/>
        </w:rPr>
        <w:t>[</w:t>
      </w:r>
      <w:proofErr w:type="gramEnd"/>
      <w:r w:rsidR="00C34D24" w:rsidRPr="00E14F98">
        <w:rPr>
          <w:rFonts w:ascii="Book Antiqua" w:hAnsi="Book Antiqua"/>
          <w:sz w:val="24"/>
          <w:szCs w:val="24"/>
          <w:vertAlign w:val="superscript"/>
          <w:lang w:val="en-US"/>
        </w:rPr>
        <w:t>76-78]</w:t>
      </w:r>
      <w:r w:rsidR="008D3A43" w:rsidRPr="00E14F98">
        <w:rPr>
          <w:rFonts w:ascii="Book Antiqua" w:hAnsi="Book Antiqua"/>
          <w:sz w:val="24"/>
          <w:szCs w:val="24"/>
          <w:lang w:val="en-US"/>
        </w:rPr>
        <w:t>.</w:t>
      </w:r>
    </w:p>
    <w:p w:rsidR="00C058B6" w:rsidRPr="00E14F98" w:rsidRDefault="0019240C"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Follow</w:t>
      </w:r>
      <w:r w:rsidR="00057EA3" w:rsidRPr="00E14F98">
        <w:rPr>
          <w:rFonts w:ascii="Book Antiqua" w:hAnsi="Book Antiqua"/>
          <w:sz w:val="24"/>
          <w:szCs w:val="24"/>
          <w:lang w:val="en-US"/>
        </w:rPr>
        <w:t xml:space="preserve">ing the conclusions of </w:t>
      </w:r>
      <w:r w:rsidR="005F2149" w:rsidRPr="00E14F98">
        <w:rPr>
          <w:rFonts w:ascii="Book Antiqua" w:hAnsi="Book Antiqua"/>
          <w:sz w:val="24"/>
          <w:szCs w:val="24"/>
          <w:lang w:val="en-US"/>
        </w:rPr>
        <w:t>this paper</w:t>
      </w:r>
      <w:r w:rsidRPr="00E14F98">
        <w:rPr>
          <w:rFonts w:ascii="Book Antiqua" w:hAnsi="Book Antiqua"/>
          <w:sz w:val="24"/>
          <w:szCs w:val="24"/>
          <w:lang w:val="en-US"/>
        </w:rPr>
        <w:t xml:space="preserve">, </w:t>
      </w:r>
      <w:r w:rsidR="0093586C">
        <w:rPr>
          <w:rFonts w:ascii="Book Antiqua" w:hAnsi="Book Antiqua"/>
          <w:sz w:val="24"/>
          <w:szCs w:val="24"/>
          <w:lang w:val="en-US"/>
        </w:rPr>
        <w:t xml:space="preserve">Kim </w:t>
      </w:r>
      <w:r w:rsidR="0093586C" w:rsidRPr="0093586C">
        <w:rPr>
          <w:rFonts w:ascii="Book Antiqua" w:hAnsi="Book Antiqua"/>
          <w:i/>
          <w:sz w:val="24"/>
          <w:szCs w:val="24"/>
          <w:lang w:val="en-US"/>
        </w:rPr>
        <w:t xml:space="preserve">et </w:t>
      </w:r>
      <w:proofErr w:type="gramStart"/>
      <w:r w:rsidR="0093586C" w:rsidRPr="0093586C">
        <w:rPr>
          <w:rFonts w:ascii="Book Antiqua" w:hAnsi="Book Antiqua"/>
          <w:i/>
          <w:sz w:val="24"/>
          <w:szCs w:val="24"/>
          <w:lang w:val="en-US"/>
        </w:rPr>
        <w:t>al</w:t>
      </w:r>
      <w:r w:rsidR="0093586C" w:rsidRPr="00E14F98">
        <w:rPr>
          <w:rFonts w:ascii="Book Antiqua" w:hAnsi="Book Antiqua"/>
          <w:sz w:val="24"/>
          <w:szCs w:val="24"/>
          <w:vertAlign w:val="superscript"/>
          <w:lang w:val="en-US"/>
        </w:rPr>
        <w:t>[</w:t>
      </w:r>
      <w:proofErr w:type="gramEnd"/>
      <w:r w:rsidR="0093586C" w:rsidRPr="00E14F98">
        <w:rPr>
          <w:rFonts w:ascii="Book Antiqua" w:hAnsi="Book Antiqua"/>
          <w:sz w:val="24"/>
          <w:szCs w:val="24"/>
          <w:vertAlign w:val="superscript"/>
          <w:lang w:val="en-US"/>
        </w:rPr>
        <w:t>79]</w:t>
      </w:r>
      <w:r w:rsidR="00230710" w:rsidRPr="00E14F98">
        <w:rPr>
          <w:rFonts w:ascii="Book Antiqua" w:hAnsi="Book Antiqua"/>
          <w:sz w:val="24"/>
          <w:szCs w:val="24"/>
          <w:lang w:val="en-US"/>
        </w:rPr>
        <w:t xml:space="preserve"> </w:t>
      </w:r>
      <w:r w:rsidRPr="00E14F98">
        <w:rPr>
          <w:rFonts w:ascii="Book Antiqua" w:hAnsi="Book Antiqua"/>
          <w:sz w:val="24"/>
          <w:szCs w:val="24"/>
          <w:lang w:val="en-US"/>
        </w:rPr>
        <w:t xml:space="preserve">have recently </w:t>
      </w:r>
      <w:r w:rsidR="009D75D7" w:rsidRPr="00E14F98">
        <w:rPr>
          <w:rFonts w:ascii="Book Antiqua" w:hAnsi="Book Antiqua"/>
          <w:sz w:val="24"/>
          <w:szCs w:val="24"/>
          <w:lang w:val="en-US"/>
        </w:rPr>
        <w:t xml:space="preserve">compared the two treatments in </w:t>
      </w:r>
      <w:r w:rsidR="00230710" w:rsidRPr="00E14F98">
        <w:rPr>
          <w:rFonts w:ascii="Book Antiqua" w:hAnsi="Book Antiqua"/>
          <w:sz w:val="24"/>
          <w:szCs w:val="24"/>
          <w:lang w:val="en-US"/>
        </w:rPr>
        <w:t xml:space="preserve"> </w:t>
      </w:r>
      <w:r w:rsidR="009D75D7" w:rsidRPr="00E14F98">
        <w:rPr>
          <w:rFonts w:ascii="Book Antiqua" w:hAnsi="Book Antiqua"/>
          <w:sz w:val="24"/>
          <w:szCs w:val="24"/>
          <w:lang w:val="en-US"/>
        </w:rPr>
        <w:t>287 very early (BCLC 0) HCC patients (122 and 165 patients treated with cTACE and RFA</w:t>
      </w:r>
      <w:r w:rsidR="00E636D0" w:rsidRPr="00E14F98">
        <w:rPr>
          <w:rFonts w:ascii="Book Antiqua" w:hAnsi="Book Antiqua"/>
          <w:sz w:val="24"/>
          <w:szCs w:val="24"/>
          <w:lang w:val="en-US"/>
        </w:rPr>
        <w:t>, respectively</w:t>
      </w:r>
      <w:r w:rsidR="009D75D7" w:rsidRPr="00E14F98">
        <w:rPr>
          <w:rFonts w:ascii="Book Antiqua" w:hAnsi="Book Antiqua"/>
          <w:sz w:val="24"/>
          <w:szCs w:val="24"/>
          <w:lang w:val="en-US"/>
        </w:rPr>
        <w:t>).</w:t>
      </w:r>
      <w:r w:rsidR="00CE4B17" w:rsidRPr="00E14F98">
        <w:rPr>
          <w:rFonts w:ascii="Book Antiqua" w:hAnsi="Book Antiqua"/>
          <w:sz w:val="24"/>
          <w:szCs w:val="24"/>
          <w:lang w:val="en-US"/>
        </w:rPr>
        <w:t xml:space="preserve"> </w:t>
      </w:r>
      <w:r w:rsidR="00863217" w:rsidRPr="00E14F98">
        <w:rPr>
          <w:rFonts w:ascii="Book Antiqua" w:hAnsi="Book Antiqua"/>
          <w:sz w:val="24"/>
          <w:szCs w:val="24"/>
          <w:lang w:val="en-US"/>
        </w:rPr>
        <w:t xml:space="preserve">In this study, RFA and </w:t>
      </w:r>
      <w:r w:rsidR="00E44C34" w:rsidRPr="00E14F98">
        <w:rPr>
          <w:rFonts w:ascii="Book Antiqua" w:hAnsi="Book Antiqua"/>
          <w:sz w:val="24"/>
          <w:szCs w:val="24"/>
          <w:lang w:val="en-US"/>
        </w:rPr>
        <w:t>TACE did not differ signifi</w:t>
      </w:r>
      <w:r w:rsidR="00CE4B17" w:rsidRPr="00E14F98">
        <w:rPr>
          <w:rFonts w:ascii="Book Antiqua" w:hAnsi="Book Antiqua"/>
          <w:sz w:val="24"/>
          <w:szCs w:val="24"/>
          <w:lang w:val="en-US"/>
        </w:rPr>
        <w:t>cantly</w:t>
      </w:r>
      <w:r w:rsidR="00863217" w:rsidRPr="00E14F98">
        <w:rPr>
          <w:rFonts w:ascii="Book Antiqua" w:hAnsi="Book Antiqua"/>
          <w:sz w:val="24"/>
          <w:szCs w:val="24"/>
          <w:lang w:val="en-US"/>
        </w:rPr>
        <w:t xml:space="preserve"> in terms of mean survival (</w:t>
      </w:r>
      <w:r w:rsidR="0093586C">
        <w:rPr>
          <w:rFonts w:ascii="Book Antiqua" w:hAnsi="Book Antiqua"/>
          <w:sz w:val="24"/>
          <w:szCs w:val="24"/>
          <w:lang w:val="en-US"/>
        </w:rPr>
        <w:t>80.0 ± 2.3 mo</w:t>
      </w:r>
      <w:r w:rsidR="00863217" w:rsidRPr="00E14F98">
        <w:rPr>
          <w:rFonts w:ascii="Book Antiqua" w:hAnsi="Book Antiqua"/>
          <w:sz w:val="24"/>
          <w:szCs w:val="24"/>
          <w:lang w:val="en-US"/>
        </w:rPr>
        <w:t xml:space="preserve"> and 72.1 ± 3.2 mo, respectively;</w:t>
      </w:r>
      <w:r w:rsidR="00CE4B17" w:rsidRPr="00E14F98">
        <w:rPr>
          <w:rFonts w:ascii="Book Antiqua" w:hAnsi="Book Antiqua"/>
          <w:sz w:val="24"/>
          <w:szCs w:val="24"/>
          <w:lang w:val="en-US"/>
        </w:rPr>
        <w:t xml:space="preserve"> </w:t>
      </w:r>
      <w:r w:rsidR="0093586C" w:rsidRPr="0093586C">
        <w:rPr>
          <w:rFonts w:ascii="Book Antiqua" w:hAnsi="Book Antiqua" w:hint="eastAsia"/>
          <w:i/>
          <w:iCs/>
          <w:sz w:val="24"/>
          <w:szCs w:val="24"/>
          <w:lang w:val="en-US" w:eastAsia="zh-CN"/>
        </w:rPr>
        <w:t>P</w:t>
      </w:r>
      <w:r w:rsidR="00CE4B17" w:rsidRPr="00E14F98">
        <w:rPr>
          <w:rFonts w:ascii="Book Antiqua" w:hAnsi="Book Antiqua"/>
          <w:i/>
          <w:iCs/>
          <w:sz w:val="24"/>
          <w:szCs w:val="24"/>
          <w:lang w:val="en-US"/>
        </w:rPr>
        <w:t xml:space="preserve"> </w:t>
      </w:r>
      <w:r w:rsidR="002E6FBE" w:rsidRPr="00E14F98">
        <w:rPr>
          <w:rFonts w:ascii="Book Antiqua" w:hAnsi="Book Antiqua"/>
          <w:sz w:val="24"/>
          <w:szCs w:val="24"/>
          <w:lang w:val="en-US"/>
        </w:rPr>
        <w:t>= 0.079</w:t>
      </w:r>
      <w:r w:rsidR="00F83010" w:rsidRPr="00E14F98">
        <w:rPr>
          <w:rFonts w:ascii="Book Antiqua" w:hAnsi="Book Antiqua"/>
          <w:sz w:val="24"/>
          <w:szCs w:val="24"/>
          <w:lang w:val="en-US"/>
        </w:rPr>
        <w:t>)</w:t>
      </w:r>
      <w:r w:rsidR="007A6E17" w:rsidRPr="00E14F98">
        <w:rPr>
          <w:rFonts w:ascii="Book Antiqua" w:hAnsi="Book Antiqua"/>
          <w:sz w:val="24"/>
          <w:szCs w:val="24"/>
          <w:lang w:val="en-US"/>
        </w:rPr>
        <w:t>, but</w:t>
      </w:r>
      <w:r w:rsidR="00D80D7D" w:rsidRPr="00E14F98">
        <w:rPr>
          <w:rFonts w:ascii="Book Antiqua" w:hAnsi="Book Antiqua"/>
          <w:sz w:val="24"/>
          <w:szCs w:val="24"/>
          <w:lang w:val="en-US"/>
        </w:rPr>
        <w:t xml:space="preserve"> objective response rate</w:t>
      </w:r>
      <w:r w:rsidR="00F83010" w:rsidRPr="00E14F98">
        <w:rPr>
          <w:rFonts w:ascii="Book Antiqua" w:hAnsi="Book Antiqua"/>
          <w:sz w:val="24"/>
          <w:szCs w:val="24"/>
          <w:lang w:val="en-US"/>
        </w:rPr>
        <w:t xml:space="preserve"> (</w:t>
      </w:r>
      <w:r w:rsidR="00CE4B17" w:rsidRPr="00E14F98">
        <w:rPr>
          <w:rFonts w:ascii="Book Antiqua" w:hAnsi="Book Antiqua"/>
          <w:sz w:val="24"/>
          <w:szCs w:val="24"/>
          <w:lang w:val="en-US"/>
        </w:rPr>
        <w:t>100 % and 95.9 % in the RFA and T</w:t>
      </w:r>
      <w:r w:rsidR="00F83010" w:rsidRPr="00E14F98">
        <w:rPr>
          <w:rFonts w:ascii="Book Antiqua" w:hAnsi="Book Antiqua"/>
          <w:sz w:val="24"/>
          <w:szCs w:val="24"/>
          <w:lang w:val="en-US"/>
        </w:rPr>
        <w:t xml:space="preserve">ACE group, respectively; </w:t>
      </w:r>
      <w:r w:rsidR="0093586C" w:rsidRPr="0093586C">
        <w:rPr>
          <w:rFonts w:ascii="Book Antiqua" w:hAnsi="Book Antiqua"/>
          <w:i/>
          <w:sz w:val="24"/>
          <w:szCs w:val="24"/>
          <w:lang w:val="en-US"/>
        </w:rPr>
        <w:t>P</w:t>
      </w:r>
      <w:r w:rsidR="0093586C">
        <w:rPr>
          <w:rFonts w:ascii="Book Antiqua" w:hAnsi="Book Antiqua"/>
          <w:sz w:val="24"/>
          <w:szCs w:val="24"/>
          <w:lang w:val="en-US"/>
        </w:rPr>
        <w:t xml:space="preserve"> = </w:t>
      </w:r>
      <w:r w:rsidR="007A6E17" w:rsidRPr="00E14F98">
        <w:rPr>
          <w:rFonts w:ascii="Book Antiqua" w:hAnsi="Book Antiqua"/>
          <w:sz w:val="24"/>
          <w:szCs w:val="24"/>
          <w:lang w:val="en-US"/>
        </w:rPr>
        <w:t>0.013) and</w:t>
      </w:r>
      <w:r w:rsidR="00B94B72" w:rsidRPr="00E14F98">
        <w:rPr>
          <w:rFonts w:ascii="Book Antiqua" w:hAnsi="Book Antiqua"/>
          <w:sz w:val="24"/>
          <w:szCs w:val="24"/>
          <w:lang w:val="en-US"/>
        </w:rPr>
        <w:t xml:space="preserve"> median</w:t>
      </w:r>
      <w:r w:rsidR="007A6E17" w:rsidRPr="00E14F98">
        <w:rPr>
          <w:rFonts w:ascii="Book Antiqua" w:hAnsi="Book Antiqua"/>
          <w:sz w:val="24"/>
          <w:szCs w:val="24"/>
          <w:lang w:val="en-US"/>
        </w:rPr>
        <w:t xml:space="preserve"> TTP were significantly in favor of RFA</w:t>
      </w:r>
      <w:r w:rsidR="00B94B72" w:rsidRPr="00E14F98">
        <w:rPr>
          <w:rFonts w:ascii="Book Antiqua" w:hAnsi="Book Antiqua"/>
          <w:sz w:val="24"/>
          <w:szCs w:val="24"/>
          <w:lang w:val="en-US"/>
        </w:rPr>
        <w:t xml:space="preserve"> </w:t>
      </w:r>
      <w:r w:rsidR="007A6E17" w:rsidRPr="00E14F98">
        <w:rPr>
          <w:rFonts w:ascii="Book Antiqua" w:hAnsi="Book Antiqua"/>
          <w:sz w:val="24"/>
          <w:szCs w:val="24"/>
          <w:lang w:val="en-US"/>
        </w:rPr>
        <w:t>(</w:t>
      </w:r>
      <w:r w:rsidR="00B94B72" w:rsidRPr="00E14F98">
        <w:rPr>
          <w:rFonts w:ascii="Book Antiqua" w:hAnsi="Book Antiqua"/>
          <w:sz w:val="24"/>
          <w:szCs w:val="24"/>
          <w:lang w:val="en-US"/>
        </w:rPr>
        <w:t xml:space="preserve">27.0 ± 3.8 </w:t>
      </w:r>
      <w:r w:rsidR="00CE4B17" w:rsidRPr="00E14F98">
        <w:rPr>
          <w:rFonts w:ascii="Book Antiqua" w:hAnsi="Book Antiqua"/>
          <w:sz w:val="24"/>
          <w:szCs w:val="24"/>
          <w:lang w:val="en-US"/>
        </w:rPr>
        <w:t>mo</w:t>
      </w:r>
      <w:r w:rsidR="007A6E17" w:rsidRPr="00E14F98">
        <w:rPr>
          <w:rFonts w:ascii="Book Antiqua" w:hAnsi="Book Antiqua"/>
          <w:sz w:val="24"/>
          <w:szCs w:val="24"/>
          <w:lang w:val="en-US"/>
        </w:rPr>
        <w:t xml:space="preserve"> after RFA and 18.0</w:t>
      </w:r>
      <w:r w:rsidR="0093586C">
        <w:rPr>
          <w:rFonts w:ascii="Book Antiqua" w:hAnsi="Book Antiqua" w:hint="eastAsia"/>
          <w:sz w:val="24"/>
          <w:szCs w:val="24"/>
          <w:lang w:val="en-US" w:eastAsia="zh-CN"/>
        </w:rPr>
        <w:t xml:space="preserve"> </w:t>
      </w:r>
      <w:r w:rsidR="007A6E17" w:rsidRPr="00E14F98">
        <w:rPr>
          <w:rFonts w:ascii="Book Antiqua" w:hAnsi="Book Antiqua"/>
          <w:sz w:val="24"/>
          <w:szCs w:val="24"/>
          <w:lang w:val="en-US"/>
        </w:rPr>
        <w:t xml:space="preserve">± 2.9 mo after TACE; </w:t>
      </w:r>
      <w:r w:rsidR="0093586C" w:rsidRPr="0093586C">
        <w:rPr>
          <w:rFonts w:ascii="Book Antiqua" w:hAnsi="Book Antiqua"/>
          <w:i/>
          <w:sz w:val="24"/>
          <w:szCs w:val="24"/>
          <w:lang w:val="en-US"/>
        </w:rPr>
        <w:t xml:space="preserve">P </w:t>
      </w:r>
      <w:r w:rsidR="0093586C">
        <w:rPr>
          <w:rFonts w:ascii="Book Antiqua" w:hAnsi="Book Antiqua"/>
          <w:sz w:val="24"/>
          <w:szCs w:val="24"/>
          <w:lang w:val="en-US"/>
        </w:rPr>
        <w:t xml:space="preserve">= </w:t>
      </w:r>
      <w:r w:rsidR="009519F7" w:rsidRPr="00E14F98">
        <w:rPr>
          <w:rFonts w:ascii="Book Antiqua" w:hAnsi="Book Antiqua"/>
          <w:sz w:val="24"/>
          <w:szCs w:val="24"/>
          <w:lang w:val="en-US"/>
        </w:rPr>
        <w:t>0.034</w:t>
      </w:r>
      <w:r w:rsidR="005523CF" w:rsidRPr="00E14F98">
        <w:rPr>
          <w:rFonts w:ascii="Book Antiqua" w:hAnsi="Book Antiqua"/>
          <w:sz w:val="24"/>
          <w:szCs w:val="24"/>
          <w:lang w:val="en-US"/>
        </w:rPr>
        <w:t>)</w:t>
      </w:r>
      <w:r w:rsidR="003D2ED8" w:rsidRPr="00E14F98">
        <w:rPr>
          <w:rFonts w:ascii="Book Antiqua" w:hAnsi="Book Antiqua"/>
          <w:sz w:val="24"/>
          <w:szCs w:val="24"/>
          <w:vertAlign w:val="superscript"/>
          <w:lang w:val="en-US"/>
        </w:rPr>
        <w:t xml:space="preserve"> [79]</w:t>
      </w:r>
      <w:r w:rsidR="005523CF" w:rsidRPr="00E14F98">
        <w:rPr>
          <w:rFonts w:ascii="Book Antiqua" w:hAnsi="Book Antiqua"/>
          <w:sz w:val="24"/>
          <w:szCs w:val="24"/>
          <w:lang w:val="en-US"/>
        </w:rPr>
        <w:t xml:space="preserve">. </w:t>
      </w:r>
      <w:r w:rsidR="007A6E17" w:rsidRPr="00E14F98">
        <w:rPr>
          <w:rFonts w:ascii="Book Antiqua" w:hAnsi="Book Antiqua"/>
          <w:sz w:val="24"/>
          <w:szCs w:val="24"/>
          <w:lang w:val="en-US"/>
        </w:rPr>
        <w:t>Therefore, a</w:t>
      </w:r>
      <w:r w:rsidR="00335989" w:rsidRPr="00E14F98">
        <w:rPr>
          <w:rFonts w:ascii="Book Antiqua" w:hAnsi="Book Antiqua"/>
          <w:sz w:val="24"/>
          <w:szCs w:val="24"/>
          <w:lang w:val="en-US"/>
        </w:rPr>
        <w:t>lthough t</w:t>
      </w:r>
      <w:r w:rsidR="0055648A" w:rsidRPr="00E14F98">
        <w:rPr>
          <w:rFonts w:ascii="Book Antiqua" w:hAnsi="Book Antiqua"/>
          <w:sz w:val="24"/>
          <w:szCs w:val="24"/>
          <w:lang w:val="en-US"/>
        </w:rPr>
        <w:t xml:space="preserve">he study by Kim </w:t>
      </w:r>
      <w:r w:rsidR="00335989" w:rsidRPr="0093586C">
        <w:rPr>
          <w:rFonts w:ascii="Book Antiqua" w:hAnsi="Book Antiqua"/>
          <w:i/>
          <w:sz w:val="24"/>
          <w:szCs w:val="24"/>
          <w:lang w:val="en-US"/>
        </w:rPr>
        <w:t>et al</w:t>
      </w:r>
      <w:r w:rsidR="0093586C" w:rsidRPr="00E14F98">
        <w:rPr>
          <w:rFonts w:ascii="Book Antiqua" w:hAnsi="Book Antiqua"/>
          <w:sz w:val="24"/>
          <w:szCs w:val="24"/>
          <w:vertAlign w:val="superscript"/>
          <w:lang w:val="en-US"/>
        </w:rPr>
        <w:t>[79]</w:t>
      </w:r>
      <w:r w:rsidR="00CE4B17" w:rsidRPr="00E14F98">
        <w:rPr>
          <w:rFonts w:ascii="Book Antiqua" w:hAnsi="Book Antiqua"/>
          <w:sz w:val="24"/>
          <w:szCs w:val="24"/>
          <w:lang w:val="en-US"/>
        </w:rPr>
        <w:t xml:space="preserve"> does not strongly support the superiority</w:t>
      </w:r>
      <w:r w:rsidR="0055648A" w:rsidRPr="00E14F98">
        <w:rPr>
          <w:rFonts w:ascii="Book Antiqua" w:hAnsi="Book Antiqua"/>
          <w:sz w:val="24"/>
          <w:szCs w:val="24"/>
          <w:lang w:val="en-US"/>
        </w:rPr>
        <w:t xml:space="preserve"> </w:t>
      </w:r>
      <w:r w:rsidR="00335989" w:rsidRPr="00E14F98">
        <w:rPr>
          <w:rFonts w:ascii="Book Antiqua" w:hAnsi="Book Antiqua"/>
          <w:sz w:val="24"/>
          <w:szCs w:val="24"/>
          <w:lang w:val="en-US"/>
        </w:rPr>
        <w:t>of RFA over</w:t>
      </w:r>
      <w:r w:rsidR="00CE4B17" w:rsidRPr="00E14F98">
        <w:rPr>
          <w:rFonts w:ascii="Book Antiqua" w:hAnsi="Book Antiqua"/>
          <w:sz w:val="24"/>
          <w:szCs w:val="24"/>
          <w:lang w:val="en-US"/>
        </w:rPr>
        <w:t xml:space="preserve"> T</w:t>
      </w:r>
      <w:r w:rsidR="0055648A" w:rsidRPr="00E14F98">
        <w:rPr>
          <w:rFonts w:ascii="Book Antiqua" w:hAnsi="Book Antiqua"/>
          <w:sz w:val="24"/>
          <w:szCs w:val="24"/>
          <w:lang w:val="en-US"/>
        </w:rPr>
        <w:t>ACE as no statistically significant diff</w:t>
      </w:r>
      <w:r w:rsidR="00EB7731" w:rsidRPr="00E14F98">
        <w:rPr>
          <w:rFonts w:ascii="Book Antiqua" w:hAnsi="Book Antiqua"/>
          <w:sz w:val="24"/>
          <w:szCs w:val="24"/>
          <w:lang w:val="en-US"/>
        </w:rPr>
        <w:t xml:space="preserve">erence was </w:t>
      </w:r>
      <w:r w:rsidR="00CE4B17" w:rsidRPr="00E14F98">
        <w:rPr>
          <w:rFonts w:ascii="Book Antiqua" w:hAnsi="Book Antiqua"/>
          <w:sz w:val="24"/>
          <w:szCs w:val="24"/>
          <w:lang w:val="en-US"/>
        </w:rPr>
        <w:t xml:space="preserve">noted in </w:t>
      </w:r>
      <w:r w:rsidR="00025681" w:rsidRPr="00E14F98">
        <w:rPr>
          <w:rFonts w:ascii="Book Antiqua" w:hAnsi="Book Antiqua"/>
          <w:sz w:val="24"/>
          <w:szCs w:val="24"/>
          <w:lang w:val="en-US"/>
        </w:rPr>
        <w:t xml:space="preserve">terms of </w:t>
      </w:r>
      <w:r w:rsidR="00EB7731" w:rsidRPr="00E14F98">
        <w:rPr>
          <w:rFonts w:ascii="Book Antiqua" w:hAnsi="Book Antiqua"/>
          <w:sz w:val="24"/>
          <w:szCs w:val="24"/>
          <w:lang w:val="en-US"/>
        </w:rPr>
        <w:t>OS</w:t>
      </w:r>
      <w:r w:rsidR="00C058B6" w:rsidRPr="00E14F98">
        <w:rPr>
          <w:rFonts w:ascii="Book Antiqua" w:hAnsi="Book Antiqua"/>
          <w:sz w:val="24"/>
          <w:szCs w:val="24"/>
          <w:lang w:val="en-US"/>
        </w:rPr>
        <w:t>, h</w:t>
      </w:r>
      <w:r w:rsidR="00BC4266" w:rsidRPr="00E14F98">
        <w:rPr>
          <w:rFonts w:ascii="Book Antiqua" w:hAnsi="Book Antiqua"/>
          <w:sz w:val="24"/>
          <w:szCs w:val="24"/>
          <w:lang w:val="en-US"/>
        </w:rPr>
        <w:t>owever, RFA led to</w:t>
      </w:r>
      <w:r w:rsidR="00CE4B17" w:rsidRPr="00E14F98">
        <w:rPr>
          <w:rFonts w:ascii="Book Antiqua" w:hAnsi="Book Antiqua"/>
          <w:sz w:val="24"/>
          <w:szCs w:val="24"/>
          <w:lang w:val="en-US"/>
        </w:rPr>
        <w:t xml:space="preserve"> better tu</w:t>
      </w:r>
      <w:r w:rsidR="00EB7731" w:rsidRPr="00E14F98">
        <w:rPr>
          <w:rFonts w:ascii="Book Antiqua" w:hAnsi="Book Antiqua"/>
          <w:sz w:val="24"/>
          <w:szCs w:val="24"/>
          <w:lang w:val="en-US"/>
        </w:rPr>
        <w:t>mor response</w:t>
      </w:r>
      <w:r w:rsidR="00BC4266" w:rsidRPr="00E14F98">
        <w:rPr>
          <w:rFonts w:ascii="Book Antiqua" w:hAnsi="Book Antiqua"/>
          <w:sz w:val="24"/>
          <w:szCs w:val="24"/>
          <w:lang w:val="en-US"/>
        </w:rPr>
        <w:t>s</w:t>
      </w:r>
      <w:r w:rsidR="00EB7731" w:rsidRPr="00E14F98">
        <w:rPr>
          <w:rFonts w:ascii="Book Antiqua" w:hAnsi="Book Antiqua"/>
          <w:sz w:val="24"/>
          <w:szCs w:val="24"/>
          <w:lang w:val="en-US"/>
        </w:rPr>
        <w:t xml:space="preserve"> and was associated </w:t>
      </w:r>
      <w:r w:rsidR="00CE4B17" w:rsidRPr="00E14F98">
        <w:rPr>
          <w:rFonts w:ascii="Book Antiqua" w:hAnsi="Book Antiqua"/>
          <w:sz w:val="24"/>
          <w:szCs w:val="24"/>
          <w:lang w:val="en-US"/>
        </w:rPr>
        <w:t xml:space="preserve">with delayed tumor </w:t>
      </w:r>
      <w:r w:rsidR="00EB7731" w:rsidRPr="00E14F98">
        <w:rPr>
          <w:rFonts w:ascii="Book Antiqua" w:hAnsi="Book Antiqua"/>
          <w:sz w:val="24"/>
          <w:szCs w:val="24"/>
          <w:lang w:val="en-US"/>
        </w:rPr>
        <w:t xml:space="preserve">progression compared </w:t>
      </w:r>
      <w:r w:rsidR="00C058B6" w:rsidRPr="00E14F98">
        <w:rPr>
          <w:rFonts w:ascii="Book Antiqua" w:hAnsi="Book Antiqua"/>
          <w:sz w:val="24"/>
          <w:szCs w:val="24"/>
          <w:lang w:val="en-US"/>
        </w:rPr>
        <w:t xml:space="preserve">with TACE. </w:t>
      </w:r>
    </w:p>
    <w:p w:rsidR="00C058B6" w:rsidRPr="00E14F98" w:rsidRDefault="00C058B6"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The aforementioned study suggest</w:t>
      </w:r>
      <w:r w:rsidR="00D82CE5" w:rsidRPr="00E14F98">
        <w:rPr>
          <w:rFonts w:ascii="Book Antiqua" w:hAnsi="Book Antiqua"/>
          <w:sz w:val="24"/>
          <w:szCs w:val="24"/>
          <w:lang w:val="en-US"/>
        </w:rPr>
        <w:t>s</w:t>
      </w:r>
      <w:r w:rsidRPr="00E14F98">
        <w:rPr>
          <w:rFonts w:ascii="Book Antiqua" w:hAnsi="Book Antiqua"/>
          <w:sz w:val="24"/>
          <w:szCs w:val="24"/>
          <w:lang w:val="en-US"/>
        </w:rPr>
        <w:t xml:space="preserve"> RFA as first-line treatment for unresectable early/very early HCC patients, whereas</w:t>
      </w:r>
      <w:r w:rsidR="00CE4B17" w:rsidRPr="00E14F98">
        <w:rPr>
          <w:rFonts w:ascii="Book Antiqua" w:hAnsi="Book Antiqua"/>
          <w:sz w:val="24"/>
          <w:szCs w:val="24"/>
          <w:lang w:val="en-US"/>
        </w:rPr>
        <w:t xml:space="preserve"> TACE </w:t>
      </w:r>
      <w:r w:rsidR="003632DE" w:rsidRPr="00E14F98">
        <w:rPr>
          <w:rFonts w:ascii="Book Antiqua" w:hAnsi="Book Antiqua"/>
          <w:sz w:val="24"/>
          <w:szCs w:val="24"/>
          <w:lang w:val="en-US"/>
        </w:rPr>
        <w:t xml:space="preserve">may be considered a </w:t>
      </w:r>
      <w:r w:rsidRPr="00E14F98">
        <w:rPr>
          <w:rFonts w:ascii="Book Antiqua" w:hAnsi="Book Antiqua"/>
          <w:sz w:val="24"/>
          <w:szCs w:val="24"/>
          <w:lang w:val="en-US"/>
        </w:rPr>
        <w:t>viable alternative</w:t>
      </w:r>
      <w:r w:rsidR="007A4BEF" w:rsidRPr="00E14F98">
        <w:rPr>
          <w:rFonts w:ascii="Book Antiqua" w:hAnsi="Book Antiqua"/>
          <w:sz w:val="24"/>
          <w:szCs w:val="24"/>
          <w:lang w:val="en-US"/>
        </w:rPr>
        <w:t xml:space="preserve"> </w:t>
      </w:r>
      <w:r w:rsidR="00CE4B17" w:rsidRPr="00E14F98">
        <w:rPr>
          <w:rFonts w:ascii="Book Antiqua" w:hAnsi="Book Antiqua"/>
          <w:sz w:val="24"/>
          <w:szCs w:val="24"/>
          <w:lang w:val="en-US"/>
        </w:rPr>
        <w:t>when RFA is not feasible.</w:t>
      </w:r>
      <w:r w:rsidR="0030121A" w:rsidRPr="00E14F98">
        <w:rPr>
          <w:rFonts w:ascii="Book Antiqua" w:hAnsi="Book Antiqua"/>
          <w:sz w:val="24"/>
          <w:szCs w:val="24"/>
          <w:lang w:val="en-US"/>
        </w:rPr>
        <w:t xml:space="preserve"> </w:t>
      </w:r>
    </w:p>
    <w:p w:rsidR="00C058B6" w:rsidRPr="00E14F98" w:rsidRDefault="00C058B6" w:rsidP="00E14F98">
      <w:pPr>
        <w:spacing w:after="0" w:line="360" w:lineRule="auto"/>
        <w:jc w:val="both"/>
        <w:rPr>
          <w:rFonts w:ascii="Book Antiqua" w:hAnsi="Book Antiqua"/>
          <w:sz w:val="24"/>
          <w:szCs w:val="24"/>
          <w:lang w:val="en-US"/>
        </w:rPr>
      </w:pPr>
    </w:p>
    <w:p w:rsidR="009A5B45" w:rsidRPr="0093586C" w:rsidRDefault="003F2237" w:rsidP="00E14F98">
      <w:pPr>
        <w:spacing w:after="0" w:line="360" w:lineRule="auto"/>
        <w:jc w:val="both"/>
        <w:rPr>
          <w:rFonts w:ascii="Book Antiqua" w:hAnsi="Book Antiqua"/>
          <w:b/>
          <w:i/>
          <w:sz w:val="24"/>
          <w:szCs w:val="24"/>
          <w:lang w:val="en-US"/>
        </w:rPr>
      </w:pPr>
      <w:r w:rsidRPr="0093586C">
        <w:rPr>
          <w:rFonts w:ascii="Book Antiqua" w:hAnsi="Book Antiqua"/>
          <w:b/>
          <w:i/>
          <w:sz w:val="24"/>
          <w:szCs w:val="24"/>
          <w:lang w:val="en-US"/>
        </w:rPr>
        <w:t>Downstaging/Bridging</w:t>
      </w:r>
    </w:p>
    <w:p w:rsidR="00E755BD" w:rsidRPr="00E14F98" w:rsidRDefault="002A4D3B"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TACE is the most used treatment for pat</w:t>
      </w:r>
      <w:r w:rsidR="003E43B6" w:rsidRPr="00E14F98">
        <w:rPr>
          <w:rFonts w:ascii="Book Antiqua" w:hAnsi="Book Antiqua"/>
          <w:sz w:val="24"/>
          <w:szCs w:val="24"/>
          <w:lang w:val="en-US"/>
        </w:rPr>
        <w:t xml:space="preserve">ients in waiting list for </w:t>
      </w:r>
      <w:proofErr w:type="gramStart"/>
      <w:r w:rsidR="00902B6D" w:rsidRPr="00E14F98">
        <w:rPr>
          <w:rFonts w:ascii="Book Antiqua" w:hAnsi="Book Antiqua"/>
          <w:sz w:val="24"/>
          <w:szCs w:val="24"/>
          <w:lang w:val="en-US"/>
        </w:rPr>
        <w:t>LT</w:t>
      </w:r>
      <w:r w:rsidR="001709EC" w:rsidRPr="00E14F98">
        <w:rPr>
          <w:rFonts w:ascii="Book Antiqua" w:hAnsi="Book Antiqua"/>
          <w:sz w:val="24"/>
          <w:szCs w:val="24"/>
          <w:vertAlign w:val="superscript"/>
          <w:lang w:val="en-US"/>
        </w:rPr>
        <w:t>[</w:t>
      </w:r>
      <w:proofErr w:type="gramEnd"/>
      <w:r w:rsidR="001709EC" w:rsidRPr="00E14F98">
        <w:rPr>
          <w:rFonts w:ascii="Book Antiqua" w:hAnsi="Book Antiqua"/>
          <w:sz w:val="24"/>
          <w:szCs w:val="24"/>
          <w:vertAlign w:val="superscript"/>
          <w:lang w:val="en-US"/>
        </w:rPr>
        <w:t>80]</w:t>
      </w:r>
      <w:r w:rsidR="00902B6D" w:rsidRPr="00E14F98">
        <w:rPr>
          <w:rFonts w:ascii="Book Antiqua" w:hAnsi="Book Antiqua"/>
          <w:sz w:val="24"/>
          <w:szCs w:val="24"/>
          <w:lang w:val="en-US"/>
        </w:rPr>
        <w:t xml:space="preserve">. </w:t>
      </w:r>
    </w:p>
    <w:p w:rsidR="00BE54F2" w:rsidRPr="00E14F98" w:rsidRDefault="002A4D3B"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The aims of bridging</w:t>
      </w:r>
      <w:r w:rsidR="00902B6D" w:rsidRPr="00E14F98">
        <w:rPr>
          <w:rFonts w:ascii="Book Antiqua" w:hAnsi="Book Antiqua"/>
          <w:sz w:val="24"/>
          <w:szCs w:val="24"/>
          <w:lang w:val="en-US"/>
        </w:rPr>
        <w:t xml:space="preserve"> </w:t>
      </w:r>
      <w:r w:rsidRPr="00E14F98">
        <w:rPr>
          <w:rFonts w:ascii="Book Antiqua" w:hAnsi="Book Antiqua"/>
          <w:sz w:val="24"/>
          <w:szCs w:val="24"/>
          <w:lang w:val="en-US"/>
        </w:rPr>
        <w:t>treatments include decreasing the waiting list dropout</w:t>
      </w:r>
      <w:r w:rsidR="00902B6D" w:rsidRPr="00E14F98">
        <w:rPr>
          <w:rFonts w:ascii="Book Antiqua" w:hAnsi="Book Antiqua"/>
          <w:sz w:val="24"/>
          <w:szCs w:val="24"/>
          <w:lang w:val="en-US"/>
        </w:rPr>
        <w:t xml:space="preserve"> </w:t>
      </w:r>
      <w:r w:rsidRPr="00E14F98">
        <w:rPr>
          <w:rFonts w:ascii="Book Antiqua" w:hAnsi="Book Antiqua"/>
          <w:sz w:val="24"/>
          <w:szCs w:val="24"/>
          <w:lang w:val="en-US"/>
        </w:rPr>
        <w:t>rate before transplantation, reducing HCC recurrence</w:t>
      </w:r>
      <w:r w:rsidR="00902B6D" w:rsidRPr="00E14F98">
        <w:rPr>
          <w:rFonts w:ascii="Book Antiqua" w:hAnsi="Book Antiqua"/>
          <w:sz w:val="24"/>
          <w:szCs w:val="24"/>
          <w:lang w:val="en-US"/>
        </w:rPr>
        <w:t xml:space="preserve"> </w:t>
      </w:r>
      <w:r w:rsidRPr="00E14F98">
        <w:rPr>
          <w:rFonts w:ascii="Book Antiqua" w:hAnsi="Book Antiqua"/>
          <w:sz w:val="24"/>
          <w:szCs w:val="24"/>
          <w:lang w:val="en-US"/>
        </w:rPr>
        <w:t xml:space="preserve">after </w:t>
      </w:r>
      <w:r w:rsidR="00902B6D" w:rsidRPr="00E14F98">
        <w:rPr>
          <w:rFonts w:ascii="Book Antiqua" w:hAnsi="Book Antiqua"/>
          <w:sz w:val="24"/>
          <w:szCs w:val="24"/>
          <w:lang w:val="en-US"/>
        </w:rPr>
        <w:t>LT</w:t>
      </w:r>
      <w:r w:rsidRPr="00E14F98">
        <w:rPr>
          <w:rFonts w:ascii="Book Antiqua" w:hAnsi="Book Antiqua"/>
          <w:sz w:val="24"/>
          <w:szCs w:val="24"/>
          <w:lang w:val="en-US"/>
        </w:rPr>
        <w:t xml:space="preserve"> and improving post-transplant</w:t>
      </w:r>
      <w:r w:rsidR="00902B6D" w:rsidRPr="00E14F98">
        <w:rPr>
          <w:rFonts w:ascii="Book Antiqua" w:hAnsi="Book Antiqua"/>
          <w:sz w:val="24"/>
          <w:szCs w:val="24"/>
          <w:lang w:val="en-US"/>
        </w:rPr>
        <w:t xml:space="preserve"> </w:t>
      </w:r>
      <w:r w:rsidR="00BE54F2" w:rsidRPr="00E14F98">
        <w:rPr>
          <w:rFonts w:ascii="Book Antiqua" w:hAnsi="Book Antiqua"/>
          <w:sz w:val="24"/>
          <w:szCs w:val="24"/>
          <w:lang w:val="en-US"/>
        </w:rPr>
        <w:t xml:space="preserve">overall survival. </w:t>
      </w:r>
    </w:p>
    <w:p w:rsidR="00DB5343" w:rsidRPr="00E14F98" w:rsidRDefault="002A4D3B"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TACE has been ex</w:t>
      </w:r>
      <w:r w:rsidR="00280791" w:rsidRPr="00E14F98">
        <w:rPr>
          <w:rFonts w:ascii="Book Antiqua" w:hAnsi="Book Antiqua"/>
          <w:sz w:val="24"/>
          <w:szCs w:val="24"/>
          <w:lang w:val="en-US"/>
        </w:rPr>
        <w:t xml:space="preserve">tensively used in the past as a </w:t>
      </w:r>
      <w:r w:rsidRPr="00E14F98">
        <w:rPr>
          <w:rFonts w:ascii="Book Antiqua" w:hAnsi="Book Antiqua"/>
          <w:sz w:val="24"/>
          <w:szCs w:val="24"/>
          <w:lang w:val="en-US"/>
        </w:rPr>
        <w:t>bridging treatment to L</w:t>
      </w:r>
      <w:r w:rsidR="00C23B34" w:rsidRPr="00E14F98">
        <w:rPr>
          <w:rFonts w:ascii="Book Antiqua" w:hAnsi="Book Antiqua"/>
          <w:sz w:val="24"/>
          <w:szCs w:val="24"/>
          <w:lang w:val="en-US"/>
        </w:rPr>
        <w:t>T</w:t>
      </w:r>
      <w:r w:rsidR="00280791" w:rsidRPr="00E14F98">
        <w:rPr>
          <w:rFonts w:ascii="Book Antiqua" w:hAnsi="Book Antiqua"/>
          <w:sz w:val="24"/>
          <w:szCs w:val="24"/>
          <w:lang w:val="en-US"/>
        </w:rPr>
        <w:t xml:space="preserve"> and a number of studies have </w:t>
      </w:r>
      <w:r w:rsidRPr="00E14F98">
        <w:rPr>
          <w:rFonts w:ascii="Book Antiqua" w:hAnsi="Book Antiqua"/>
          <w:sz w:val="24"/>
          <w:szCs w:val="24"/>
          <w:lang w:val="en-US"/>
        </w:rPr>
        <w:t>shown that it is an effecti</w:t>
      </w:r>
      <w:r w:rsidR="00280791" w:rsidRPr="00E14F98">
        <w:rPr>
          <w:rFonts w:ascii="Book Antiqua" w:hAnsi="Book Antiqua"/>
          <w:sz w:val="24"/>
          <w:szCs w:val="24"/>
          <w:lang w:val="en-US"/>
        </w:rPr>
        <w:t xml:space="preserve">ve therapy in terms of adequate </w:t>
      </w:r>
      <w:r w:rsidRPr="00E14F98">
        <w:rPr>
          <w:rFonts w:ascii="Book Antiqua" w:hAnsi="Book Antiqua"/>
          <w:sz w:val="24"/>
          <w:szCs w:val="24"/>
          <w:lang w:val="en-US"/>
        </w:rPr>
        <w:t xml:space="preserve">tumor necrosis </w:t>
      </w:r>
      <w:r w:rsidRPr="00E14F98">
        <w:rPr>
          <w:rFonts w:ascii="Book Antiqua" w:hAnsi="Book Antiqua"/>
          <w:sz w:val="24"/>
          <w:szCs w:val="24"/>
          <w:lang w:val="en-US"/>
        </w:rPr>
        <w:lastRenderedPageBreak/>
        <w:t>achievement</w:t>
      </w:r>
      <w:r w:rsidR="00280791" w:rsidRPr="00E14F98">
        <w:rPr>
          <w:rFonts w:ascii="Book Antiqua" w:hAnsi="Book Antiqua"/>
          <w:sz w:val="24"/>
          <w:szCs w:val="24"/>
          <w:lang w:val="en-US"/>
        </w:rPr>
        <w:t xml:space="preserve"> at explant analysis</w:t>
      </w:r>
      <w:r w:rsidR="00C23B34" w:rsidRPr="00E14F98">
        <w:rPr>
          <w:rFonts w:ascii="Book Antiqua" w:hAnsi="Book Antiqua"/>
          <w:sz w:val="24"/>
          <w:szCs w:val="24"/>
          <w:lang w:val="en-US"/>
        </w:rPr>
        <w:t xml:space="preserve"> with </w:t>
      </w:r>
      <w:r w:rsidR="00280791" w:rsidRPr="00E14F98">
        <w:rPr>
          <w:rFonts w:ascii="Book Antiqua" w:hAnsi="Book Antiqua"/>
          <w:sz w:val="24"/>
          <w:szCs w:val="24"/>
          <w:lang w:val="en-US"/>
        </w:rPr>
        <w:t xml:space="preserve">complete tumor necrosis </w:t>
      </w:r>
      <w:r w:rsidR="00C23B34" w:rsidRPr="00E14F98">
        <w:rPr>
          <w:rFonts w:ascii="Book Antiqua" w:hAnsi="Book Antiqua"/>
          <w:sz w:val="24"/>
          <w:szCs w:val="24"/>
          <w:lang w:val="en-US"/>
        </w:rPr>
        <w:t>rates r</w:t>
      </w:r>
      <w:r w:rsidRPr="00E14F98">
        <w:rPr>
          <w:rFonts w:ascii="Book Antiqua" w:hAnsi="Book Antiqua"/>
          <w:sz w:val="24"/>
          <w:szCs w:val="24"/>
          <w:lang w:val="en-US"/>
        </w:rPr>
        <w:t xml:space="preserve">anging between 27% and </w:t>
      </w:r>
      <w:r w:rsidR="006A691E" w:rsidRPr="00E14F98">
        <w:rPr>
          <w:rFonts w:ascii="Book Antiqua" w:hAnsi="Book Antiqua"/>
          <w:sz w:val="24"/>
          <w:szCs w:val="24"/>
          <w:lang w:val="en-US"/>
        </w:rPr>
        <w:t xml:space="preserve">57% in patients within Milan </w:t>
      </w:r>
      <w:proofErr w:type="gramStart"/>
      <w:r w:rsidR="006A691E" w:rsidRPr="00E14F98">
        <w:rPr>
          <w:rFonts w:ascii="Book Antiqua" w:hAnsi="Book Antiqua"/>
          <w:sz w:val="24"/>
          <w:szCs w:val="24"/>
          <w:lang w:val="en-US"/>
        </w:rPr>
        <w:t>criteria</w:t>
      </w:r>
      <w:r w:rsidR="009B0005" w:rsidRPr="00E14F98">
        <w:rPr>
          <w:rFonts w:ascii="Book Antiqua" w:hAnsi="Book Antiqua"/>
          <w:sz w:val="24"/>
          <w:szCs w:val="24"/>
          <w:vertAlign w:val="superscript"/>
          <w:lang w:val="en-US"/>
        </w:rPr>
        <w:t>[</w:t>
      </w:r>
      <w:proofErr w:type="gramEnd"/>
      <w:r w:rsidR="009B0005" w:rsidRPr="00E14F98">
        <w:rPr>
          <w:rFonts w:ascii="Book Antiqua" w:hAnsi="Book Antiqua"/>
          <w:sz w:val="24"/>
          <w:szCs w:val="24"/>
          <w:vertAlign w:val="superscript"/>
          <w:lang w:val="en-US"/>
        </w:rPr>
        <w:t>81,82]</w:t>
      </w:r>
      <w:r w:rsidR="006A691E" w:rsidRPr="00E14F98">
        <w:rPr>
          <w:rFonts w:ascii="Book Antiqua" w:hAnsi="Book Antiqua"/>
          <w:sz w:val="24"/>
          <w:szCs w:val="24"/>
          <w:lang w:val="en-US"/>
        </w:rPr>
        <w:t>.</w:t>
      </w:r>
      <w:r w:rsidR="00DB5343" w:rsidRPr="00E14F98">
        <w:rPr>
          <w:rFonts w:ascii="Book Antiqua" w:hAnsi="Book Antiqua"/>
          <w:sz w:val="24"/>
          <w:szCs w:val="24"/>
          <w:lang w:val="en-US"/>
        </w:rPr>
        <w:t xml:space="preserve"> </w:t>
      </w:r>
    </w:p>
    <w:p w:rsidR="00120438" w:rsidRPr="00E14F98" w:rsidRDefault="00120438"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These results are certainly of interest, considering that RFA leads to superior</w:t>
      </w:r>
      <w:r w:rsidR="002A4D3B" w:rsidRPr="00E14F98">
        <w:rPr>
          <w:rFonts w:ascii="Book Antiqua" w:hAnsi="Book Antiqua"/>
          <w:sz w:val="24"/>
          <w:szCs w:val="24"/>
          <w:lang w:val="en-US"/>
        </w:rPr>
        <w:t xml:space="preserve"> complete </w:t>
      </w:r>
      <w:r w:rsidR="004C0D6C" w:rsidRPr="00E14F98">
        <w:rPr>
          <w:rFonts w:ascii="Book Antiqua" w:hAnsi="Book Antiqua"/>
          <w:sz w:val="24"/>
          <w:szCs w:val="24"/>
          <w:lang w:val="en-US"/>
        </w:rPr>
        <w:t>necrosis</w:t>
      </w:r>
      <w:r w:rsidRPr="00E14F98">
        <w:rPr>
          <w:rFonts w:ascii="Book Antiqua" w:hAnsi="Book Antiqua"/>
          <w:sz w:val="24"/>
          <w:szCs w:val="24"/>
          <w:lang w:val="en-US"/>
        </w:rPr>
        <w:t xml:space="preserve"> rates</w:t>
      </w:r>
      <w:r w:rsidR="00017379" w:rsidRPr="00E14F98">
        <w:rPr>
          <w:rFonts w:ascii="Book Antiqua" w:hAnsi="Book Antiqua"/>
          <w:sz w:val="24"/>
          <w:szCs w:val="24"/>
          <w:lang w:val="en-US"/>
        </w:rPr>
        <w:t xml:space="preserve"> (</w:t>
      </w:r>
      <w:r w:rsidR="004C0D6C" w:rsidRPr="00E14F98">
        <w:rPr>
          <w:rFonts w:ascii="Book Antiqua" w:hAnsi="Book Antiqua"/>
          <w:sz w:val="24"/>
          <w:szCs w:val="24"/>
          <w:lang w:val="en-US"/>
        </w:rPr>
        <w:t xml:space="preserve">between 50% and </w:t>
      </w:r>
      <w:r w:rsidR="002A4D3B" w:rsidRPr="00E14F98">
        <w:rPr>
          <w:rFonts w:ascii="Book Antiqua" w:hAnsi="Book Antiqua"/>
          <w:sz w:val="24"/>
          <w:szCs w:val="24"/>
          <w:lang w:val="en-US"/>
        </w:rPr>
        <w:t>78%</w:t>
      </w:r>
      <w:r w:rsidR="00017379" w:rsidRPr="00E14F98">
        <w:rPr>
          <w:rFonts w:ascii="Book Antiqua" w:hAnsi="Book Antiqua"/>
          <w:sz w:val="24"/>
          <w:szCs w:val="24"/>
          <w:lang w:val="en-US"/>
        </w:rPr>
        <w:t>)</w:t>
      </w:r>
      <w:r w:rsidR="002A4D3B" w:rsidRPr="00E14F98">
        <w:rPr>
          <w:rFonts w:ascii="Book Antiqua" w:hAnsi="Book Antiqua"/>
          <w:sz w:val="24"/>
          <w:szCs w:val="24"/>
          <w:lang w:val="en-US"/>
        </w:rPr>
        <w:t xml:space="preserve"> in </w:t>
      </w:r>
      <w:r w:rsidR="00017379" w:rsidRPr="00E14F98">
        <w:rPr>
          <w:rFonts w:ascii="Book Antiqua" w:hAnsi="Book Antiqua"/>
          <w:sz w:val="24"/>
          <w:szCs w:val="24"/>
          <w:lang w:val="en-US"/>
        </w:rPr>
        <w:t xml:space="preserve">single </w:t>
      </w:r>
      <w:r w:rsidR="002A4D3B" w:rsidRPr="00E14F98">
        <w:rPr>
          <w:rFonts w:ascii="Book Antiqua" w:hAnsi="Book Antiqua"/>
          <w:sz w:val="24"/>
          <w:szCs w:val="24"/>
          <w:lang w:val="en-US"/>
        </w:rPr>
        <w:t xml:space="preserve">HCCs up to </w:t>
      </w:r>
      <w:r w:rsidR="004C0D6C" w:rsidRPr="00E14F98">
        <w:rPr>
          <w:rFonts w:ascii="Book Antiqua" w:hAnsi="Book Antiqua"/>
          <w:sz w:val="24"/>
          <w:szCs w:val="24"/>
          <w:lang w:val="en-US"/>
        </w:rPr>
        <w:t>3 cm</w:t>
      </w:r>
      <w:r w:rsidR="00017379" w:rsidRPr="00E14F98">
        <w:rPr>
          <w:rFonts w:ascii="Book Antiqua" w:hAnsi="Book Antiqua"/>
          <w:sz w:val="24"/>
          <w:szCs w:val="24"/>
          <w:lang w:val="en-US"/>
        </w:rPr>
        <w:t xml:space="preserve">, but significantly </w:t>
      </w:r>
      <w:r w:rsidR="00A119A1" w:rsidRPr="00E14F98">
        <w:rPr>
          <w:rFonts w:ascii="Book Antiqua" w:hAnsi="Book Antiqua"/>
          <w:sz w:val="24"/>
          <w:szCs w:val="24"/>
          <w:lang w:val="en-US"/>
        </w:rPr>
        <w:t xml:space="preserve">poorer outcomes in larger or multiple neoplasms (necrosis rate </w:t>
      </w:r>
      <w:r w:rsidR="004C0D6C" w:rsidRPr="00E14F98">
        <w:rPr>
          <w:rFonts w:ascii="Book Antiqua" w:hAnsi="Book Antiqua"/>
          <w:sz w:val="24"/>
          <w:szCs w:val="24"/>
          <w:lang w:val="en-US"/>
        </w:rPr>
        <w:t>between 13% and 43%</w:t>
      </w:r>
      <w:r w:rsidR="00A119A1" w:rsidRPr="00E14F98">
        <w:rPr>
          <w:rFonts w:ascii="Book Antiqua" w:hAnsi="Book Antiqua"/>
          <w:sz w:val="24"/>
          <w:szCs w:val="24"/>
          <w:lang w:val="en-US"/>
        </w:rPr>
        <w:t>)</w:t>
      </w:r>
      <w:r w:rsidR="00A30237" w:rsidRPr="00E14F98">
        <w:rPr>
          <w:rFonts w:ascii="Book Antiqua" w:hAnsi="Book Antiqua"/>
          <w:sz w:val="24"/>
          <w:szCs w:val="24"/>
          <w:vertAlign w:val="superscript"/>
          <w:lang w:val="en-US"/>
        </w:rPr>
        <w:t>[83-85]</w:t>
      </w:r>
      <w:r w:rsidR="00AA0FFE" w:rsidRPr="00E14F98">
        <w:rPr>
          <w:rFonts w:ascii="Book Antiqua" w:hAnsi="Book Antiqua"/>
          <w:sz w:val="24"/>
          <w:szCs w:val="24"/>
          <w:lang w:val="en-US"/>
        </w:rPr>
        <w:t>.</w:t>
      </w:r>
      <w:r w:rsidR="004C0D6C" w:rsidRPr="00E14F98">
        <w:rPr>
          <w:rFonts w:ascii="Book Antiqua" w:hAnsi="Book Antiqua"/>
          <w:sz w:val="24"/>
          <w:szCs w:val="24"/>
          <w:lang w:val="en-US"/>
        </w:rPr>
        <w:t xml:space="preserve"> </w:t>
      </w:r>
    </w:p>
    <w:p w:rsidR="00F059BF" w:rsidRPr="00E14F98" w:rsidRDefault="002A4D3B"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The effectiveness of </w:t>
      </w:r>
      <w:r w:rsidR="00E25AFF" w:rsidRPr="00E14F98">
        <w:rPr>
          <w:rFonts w:ascii="Book Antiqua" w:hAnsi="Book Antiqua"/>
          <w:sz w:val="24"/>
          <w:szCs w:val="24"/>
          <w:lang w:val="en-US"/>
        </w:rPr>
        <w:t>TARE</w:t>
      </w:r>
      <w:r w:rsidR="009D1750" w:rsidRPr="00E14F98">
        <w:rPr>
          <w:rFonts w:ascii="Book Antiqua" w:hAnsi="Book Antiqua"/>
          <w:sz w:val="24"/>
          <w:szCs w:val="24"/>
          <w:lang w:val="en-US"/>
        </w:rPr>
        <w:t xml:space="preserve"> has recently been </w:t>
      </w:r>
      <w:r w:rsidRPr="00E14F98">
        <w:rPr>
          <w:rFonts w:ascii="Book Antiqua" w:hAnsi="Book Antiqua"/>
          <w:sz w:val="24"/>
          <w:szCs w:val="24"/>
          <w:lang w:val="en-US"/>
        </w:rPr>
        <w:t xml:space="preserve">evaluated by Riaz </w:t>
      </w:r>
      <w:r w:rsidRPr="0093586C">
        <w:rPr>
          <w:rFonts w:ascii="Book Antiqua" w:hAnsi="Book Antiqua"/>
          <w:i/>
          <w:iCs/>
          <w:sz w:val="24"/>
          <w:szCs w:val="24"/>
          <w:lang w:val="en-US"/>
        </w:rPr>
        <w:t xml:space="preserve">et </w:t>
      </w:r>
      <w:proofErr w:type="gramStart"/>
      <w:r w:rsidRPr="0093586C">
        <w:rPr>
          <w:rFonts w:ascii="Book Antiqua" w:hAnsi="Book Antiqua"/>
          <w:i/>
          <w:iCs/>
          <w:sz w:val="24"/>
          <w:szCs w:val="24"/>
          <w:lang w:val="en-US"/>
        </w:rPr>
        <w:t>al</w:t>
      </w:r>
      <w:r w:rsidR="0093586C" w:rsidRPr="00E14F98">
        <w:rPr>
          <w:rFonts w:ascii="Book Antiqua" w:hAnsi="Book Antiqua"/>
          <w:sz w:val="24"/>
          <w:szCs w:val="24"/>
          <w:vertAlign w:val="superscript"/>
          <w:lang w:val="en-US"/>
        </w:rPr>
        <w:t>[</w:t>
      </w:r>
      <w:proofErr w:type="gramEnd"/>
      <w:r w:rsidR="0093586C" w:rsidRPr="00E14F98">
        <w:rPr>
          <w:rFonts w:ascii="Book Antiqua" w:hAnsi="Book Antiqua"/>
          <w:sz w:val="24"/>
          <w:szCs w:val="24"/>
          <w:vertAlign w:val="superscript"/>
          <w:lang w:val="en-US"/>
        </w:rPr>
        <w:t>86]</w:t>
      </w:r>
      <w:r w:rsidR="008D3D1B" w:rsidRPr="00E14F98">
        <w:rPr>
          <w:rFonts w:ascii="Book Antiqua" w:hAnsi="Book Antiqua"/>
          <w:sz w:val="24"/>
          <w:szCs w:val="24"/>
          <w:lang w:val="en-US"/>
        </w:rPr>
        <w:t xml:space="preserve">, who studied 38 nodules in 35 </w:t>
      </w:r>
      <w:r w:rsidRPr="00E14F98">
        <w:rPr>
          <w:rFonts w:ascii="Book Antiqua" w:hAnsi="Book Antiqua"/>
          <w:sz w:val="24"/>
          <w:szCs w:val="24"/>
          <w:lang w:val="en-US"/>
        </w:rPr>
        <w:t>patients</w:t>
      </w:r>
      <w:r w:rsidR="00616310" w:rsidRPr="00E14F98">
        <w:rPr>
          <w:rFonts w:ascii="Book Antiqua" w:hAnsi="Book Antiqua"/>
          <w:sz w:val="24"/>
          <w:szCs w:val="24"/>
          <w:lang w:val="en-US"/>
        </w:rPr>
        <w:t xml:space="preserve"> treated with radioembolization before LT</w:t>
      </w:r>
      <w:r w:rsidRPr="00E14F98">
        <w:rPr>
          <w:rFonts w:ascii="Book Antiqua" w:hAnsi="Book Antiqua"/>
          <w:sz w:val="24"/>
          <w:szCs w:val="24"/>
          <w:lang w:val="en-US"/>
        </w:rPr>
        <w:t xml:space="preserve">. </w:t>
      </w:r>
      <w:r w:rsidR="00362D37" w:rsidRPr="00E14F98">
        <w:rPr>
          <w:rFonts w:ascii="Book Antiqua" w:hAnsi="Book Antiqua"/>
          <w:sz w:val="24"/>
          <w:szCs w:val="24"/>
          <w:lang w:val="en-US"/>
        </w:rPr>
        <w:t xml:space="preserve">In this study, </w:t>
      </w:r>
      <w:r w:rsidR="00743729" w:rsidRPr="00E14F98">
        <w:rPr>
          <w:rFonts w:ascii="Book Antiqua" w:hAnsi="Book Antiqua"/>
          <w:sz w:val="24"/>
          <w:szCs w:val="24"/>
          <w:lang w:val="en-US"/>
        </w:rPr>
        <w:t>a</w:t>
      </w:r>
      <w:r w:rsidR="008D3D1B" w:rsidRPr="00E14F98">
        <w:rPr>
          <w:rFonts w:ascii="Book Antiqua" w:hAnsi="Book Antiqua"/>
          <w:sz w:val="24"/>
          <w:szCs w:val="24"/>
          <w:lang w:val="en-US"/>
        </w:rPr>
        <w:t xml:space="preserve">t explant </w:t>
      </w:r>
      <w:r w:rsidRPr="00E14F98">
        <w:rPr>
          <w:rFonts w:ascii="Book Antiqua" w:hAnsi="Book Antiqua"/>
          <w:sz w:val="24"/>
          <w:szCs w:val="24"/>
          <w:lang w:val="en-US"/>
        </w:rPr>
        <w:t>analysis, 23 of the</w:t>
      </w:r>
      <w:r w:rsidR="008D3D1B" w:rsidRPr="00E14F98">
        <w:rPr>
          <w:rFonts w:ascii="Book Antiqua" w:hAnsi="Book Antiqua"/>
          <w:sz w:val="24"/>
          <w:szCs w:val="24"/>
          <w:lang w:val="en-US"/>
        </w:rPr>
        <w:t xml:space="preserve"> 38 target lesions (61%) showed </w:t>
      </w:r>
      <w:r w:rsidR="00601875" w:rsidRPr="00E14F98">
        <w:rPr>
          <w:rFonts w:ascii="Book Antiqua" w:hAnsi="Book Antiqua"/>
          <w:sz w:val="24"/>
          <w:szCs w:val="24"/>
          <w:lang w:val="en-US"/>
        </w:rPr>
        <w:t>complete tumor necrosis; in particular, complete tumor ablation was detected in</w:t>
      </w:r>
      <w:r w:rsidR="008D3D1B" w:rsidRPr="00E14F98">
        <w:rPr>
          <w:rFonts w:ascii="Book Antiqua" w:hAnsi="Book Antiqua"/>
          <w:sz w:val="24"/>
          <w:szCs w:val="24"/>
          <w:lang w:val="en-US"/>
        </w:rPr>
        <w:t xml:space="preserve"> 89%, 65%, and 33% of lesions </w:t>
      </w:r>
      <w:r w:rsidRPr="00E14F98">
        <w:rPr>
          <w:rFonts w:ascii="Book Antiqua" w:hAnsi="Book Antiqua"/>
          <w:sz w:val="24"/>
          <w:szCs w:val="24"/>
          <w:lang w:val="en-US"/>
        </w:rPr>
        <w:t>smaller than 3 cm, betw</w:t>
      </w:r>
      <w:r w:rsidR="008D3D1B" w:rsidRPr="00E14F98">
        <w:rPr>
          <w:rFonts w:ascii="Book Antiqua" w:hAnsi="Book Antiqua"/>
          <w:sz w:val="24"/>
          <w:szCs w:val="24"/>
          <w:lang w:val="en-US"/>
        </w:rPr>
        <w:t xml:space="preserve">een 3 and 5 cm, and larger than </w:t>
      </w:r>
      <w:r w:rsidR="00797E00" w:rsidRPr="00E14F98">
        <w:rPr>
          <w:rFonts w:ascii="Book Antiqua" w:hAnsi="Book Antiqua"/>
          <w:sz w:val="24"/>
          <w:szCs w:val="24"/>
          <w:lang w:val="en-US"/>
        </w:rPr>
        <w:t xml:space="preserve">5 cm, </w:t>
      </w:r>
      <w:proofErr w:type="gramStart"/>
      <w:r w:rsidR="00797E00" w:rsidRPr="00E14F98">
        <w:rPr>
          <w:rFonts w:ascii="Book Antiqua" w:hAnsi="Book Antiqua"/>
          <w:sz w:val="24"/>
          <w:szCs w:val="24"/>
          <w:lang w:val="en-US"/>
        </w:rPr>
        <w:t>respectively</w:t>
      </w:r>
      <w:r w:rsidR="00A31EF2" w:rsidRPr="00E14F98">
        <w:rPr>
          <w:rFonts w:ascii="Book Antiqua" w:hAnsi="Book Antiqua"/>
          <w:sz w:val="24"/>
          <w:szCs w:val="24"/>
          <w:vertAlign w:val="superscript"/>
          <w:lang w:val="en-US"/>
        </w:rPr>
        <w:t>[</w:t>
      </w:r>
      <w:proofErr w:type="gramEnd"/>
      <w:r w:rsidR="00A31EF2" w:rsidRPr="00E14F98">
        <w:rPr>
          <w:rFonts w:ascii="Book Antiqua" w:hAnsi="Book Antiqua"/>
          <w:sz w:val="24"/>
          <w:szCs w:val="24"/>
          <w:vertAlign w:val="superscript"/>
          <w:lang w:val="en-US"/>
        </w:rPr>
        <w:t>86]</w:t>
      </w:r>
      <w:r w:rsidR="00797E00" w:rsidRPr="00E14F98">
        <w:rPr>
          <w:rFonts w:ascii="Book Antiqua" w:hAnsi="Book Antiqua"/>
          <w:sz w:val="24"/>
          <w:szCs w:val="24"/>
          <w:lang w:val="en-US"/>
        </w:rPr>
        <w:t xml:space="preserve">. </w:t>
      </w:r>
      <w:r w:rsidR="000760C9" w:rsidRPr="00E14F98">
        <w:rPr>
          <w:rFonts w:ascii="Book Antiqua" w:hAnsi="Book Antiqua"/>
          <w:sz w:val="24"/>
          <w:szCs w:val="24"/>
          <w:lang w:val="en-US"/>
        </w:rPr>
        <w:t>The same G</w:t>
      </w:r>
      <w:r w:rsidR="007C3BBE" w:rsidRPr="00E14F98">
        <w:rPr>
          <w:rFonts w:ascii="Book Antiqua" w:hAnsi="Book Antiqua"/>
          <w:sz w:val="24"/>
          <w:szCs w:val="24"/>
          <w:lang w:val="en-US"/>
        </w:rPr>
        <w:t xml:space="preserve">roup retrospectively </w:t>
      </w:r>
      <w:r w:rsidR="006D64C5" w:rsidRPr="00E14F98">
        <w:rPr>
          <w:rFonts w:ascii="Book Antiqua" w:hAnsi="Book Antiqua"/>
          <w:sz w:val="24"/>
          <w:szCs w:val="24"/>
          <w:lang w:val="en-US"/>
        </w:rPr>
        <w:t xml:space="preserve">compared effectiveness of TACE and TARE in T3 </w:t>
      </w:r>
      <w:r w:rsidR="007C3BBE" w:rsidRPr="00E14F98">
        <w:rPr>
          <w:rFonts w:ascii="Book Antiqua" w:hAnsi="Book Antiqua"/>
          <w:sz w:val="24"/>
          <w:szCs w:val="24"/>
          <w:lang w:val="en-US"/>
        </w:rPr>
        <w:t xml:space="preserve">HCC </w:t>
      </w:r>
      <w:r w:rsidR="006D64C5" w:rsidRPr="00E14F98">
        <w:rPr>
          <w:rFonts w:ascii="Book Antiqua" w:hAnsi="Book Antiqua"/>
          <w:sz w:val="24"/>
          <w:szCs w:val="24"/>
          <w:lang w:val="en-US"/>
        </w:rPr>
        <w:t>patients</w:t>
      </w:r>
      <w:r w:rsidR="007C3BBE" w:rsidRPr="00E14F98">
        <w:rPr>
          <w:rFonts w:ascii="Book Antiqua" w:hAnsi="Book Antiqua"/>
          <w:sz w:val="24"/>
          <w:szCs w:val="24"/>
          <w:lang w:val="en-US"/>
        </w:rPr>
        <w:t xml:space="preserve"> (</w:t>
      </w:r>
      <w:r w:rsidR="007C3BBE" w:rsidRPr="0093586C">
        <w:rPr>
          <w:rFonts w:ascii="Book Antiqua" w:hAnsi="Book Antiqua"/>
          <w:i/>
          <w:sz w:val="24"/>
          <w:szCs w:val="24"/>
          <w:lang w:val="en-US"/>
        </w:rPr>
        <w:t>i.e.</w:t>
      </w:r>
      <w:r w:rsidR="0093586C">
        <w:rPr>
          <w:rFonts w:ascii="Book Antiqua" w:hAnsi="Book Antiqua" w:hint="eastAsia"/>
          <w:sz w:val="24"/>
          <w:szCs w:val="24"/>
          <w:lang w:val="en-US" w:eastAsia="zh-CN"/>
        </w:rPr>
        <w:t>,</w:t>
      </w:r>
      <w:r w:rsidR="007C3BBE" w:rsidRPr="00E14F98">
        <w:rPr>
          <w:rFonts w:ascii="Book Antiqua" w:hAnsi="Book Antiqua"/>
          <w:sz w:val="24"/>
          <w:szCs w:val="24"/>
          <w:lang w:val="en-US"/>
        </w:rPr>
        <w:t xml:space="preserve"> beyond conventional criteria)</w:t>
      </w:r>
      <w:r w:rsidR="00A90557" w:rsidRPr="00E14F98">
        <w:rPr>
          <w:rFonts w:ascii="Book Antiqua" w:hAnsi="Book Antiqua"/>
          <w:sz w:val="24"/>
          <w:szCs w:val="24"/>
          <w:lang w:val="en-US"/>
        </w:rPr>
        <w:t>: down-</w:t>
      </w:r>
      <w:r w:rsidR="006D64C5" w:rsidRPr="00E14F98">
        <w:rPr>
          <w:rFonts w:ascii="Book Antiqua" w:hAnsi="Book Antiqua"/>
          <w:sz w:val="24"/>
          <w:szCs w:val="24"/>
          <w:lang w:val="en-US"/>
        </w:rPr>
        <w:t xml:space="preserve">staging rate was 58% </w:t>
      </w:r>
      <w:r w:rsidR="0093586C">
        <w:rPr>
          <w:rFonts w:ascii="Book Antiqua" w:hAnsi="Book Antiqua"/>
          <w:sz w:val="24"/>
          <w:szCs w:val="24"/>
          <w:lang w:val="en-US"/>
        </w:rPr>
        <w:t xml:space="preserve">after TARE </w:t>
      </w:r>
      <w:r w:rsidR="0093586C" w:rsidRPr="0093586C">
        <w:rPr>
          <w:rFonts w:ascii="Book Antiqua" w:hAnsi="Book Antiqua"/>
          <w:i/>
          <w:sz w:val="24"/>
          <w:szCs w:val="24"/>
          <w:lang w:val="en-US"/>
        </w:rPr>
        <w:t>v</w:t>
      </w:r>
      <w:r w:rsidR="00A90557" w:rsidRPr="0093586C">
        <w:rPr>
          <w:rFonts w:ascii="Book Antiqua" w:hAnsi="Book Antiqua"/>
          <w:i/>
          <w:sz w:val="24"/>
          <w:szCs w:val="24"/>
          <w:lang w:val="en-US"/>
        </w:rPr>
        <w:t>s</w:t>
      </w:r>
      <w:r w:rsidR="006D64C5" w:rsidRPr="0093586C">
        <w:rPr>
          <w:rFonts w:ascii="Book Antiqua" w:hAnsi="Book Antiqua"/>
          <w:i/>
          <w:sz w:val="24"/>
          <w:szCs w:val="24"/>
          <w:lang w:val="en-US"/>
        </w:rPr>
        <w:t xml:space="preserve"> </w:t>
      </w:r>
      <w:r w:rsidR="006D64C5" w:rsidRPr="00E14F98">
        <w:rPr>
          <w:rFonts w:ascii="Book Antiqua" w:hAnsi="Book Antiqua"/>
          <w:sz w:val="24"/>
          <w:szCs w:val="24"/>
          <w:lang w:val="en-US"/>
        </w:rPr>
        <w:t xml:space="preserve">31% </w:t>
      </w:r>
      <w:r w:rsidR="00A90557" w:rsidRPr="00E14F98">
        <w:rPr>
          <w:rFonts w:ascii="Book Antiqua" w:hAnsi="Book Antiqua"/>
          <w:sz w:val="24"/>
          <w:szCs w:val="24"/>
          <w:lang w:val="en-US"/>
        </w:rPr>
        <w:t xml:space="preserve">after TACE </w:t>
      </w:r>
      <w:r w:rsidR="006D64C5" w:rsidRPr="00E14F98">
        <w:rPr>
          <w:rFonts w:ascii="Book Antiqua" w:hAnsi="Book Antiqua"/>
          <w:sz w:val="24"/>
          <w:szCs w:val="24"/>
          <w:lang w:val="en-US"/>
        </w:rPr>
        <w:t>(</w:t>
      </w:r>
      <w:r w:rsidR="0093586C" w:rsidRPr="0093586C">
        <w:rPr>
          <w:rFonts w:ascii="Book Antiqua" w:hAnsi="Book Antiqua" w:hint="eastAsia"/>
          <w:i/>
          <w:sz w:val="24"/>
          <w:szCs w:val="24"/>
          <w:lang w:val="en-US" w:eastAsia="zh-CN"/>
        </w:rPr>
        <w:t>P</w:t>
      </w:r>
      <w:r w:rsidR="0093586C">
        <w:rPr>
          <w:rFonts w:ascii="Book Antiqua" w:hAnsi="Book Antiqua" w:hint="eastAsia"/>
          <w:sz w:val="24"/>
          <w:szCs w:val="24"/>
          <w:lang w:val="en-US" w:eastAsia="zh-CN"/>
        </w:rPr>
        <w:t xml:space="preserve"> </w:t>
      </w:r>
      <w:r w:rsidR="006D64C5" w:rsidRPr="00E14F98">
        <w:rPr>
          <w:rFonts w:ascii="Book Antiqua" w:hAnsi="Book Antiqua"/>
          <w:sz w:val="24"/>
          <w:szCs w:val="24"/>
          <w:lang w:val="en-US"/>
        </w:rPr>
        <w:t>&lt;</w:t>
      </w:r>
      <w:r w:rsidR="0093586C">
        <w:rPr>
          <w:rFonts w:ascii="Book Antiqua" w:hAnsi="Book Antiqua" w:hint="eastAsia"/>
          <w:sz w:val="24"/>
          <w:szCs w:val="24"/>
          <w:lang w:val="en-US" w:eastAsia="zh-CN"/>
        </w:rPr>
        <w:t xml:space="preserve"> </w:t>
      </w:r>
      <w:r w:rsidR="006D64C5" w:rsidRPr="00E14F98">
        <w:rPr>
          <w:rFonts w:ascii="Book Antiqua" w:hAnsi="Book Antiqua"/>
          <w:sz w:val="24"/>
          <w:szCs w:val="24"/>
          <w:lang w:val="en-US"/>
        </w:rPr>
        <w:t>0.05)</w:t>
      </w:r>
      <w:r w:rsidR="00D53DCC" w:rsidRPr="00E14F98">
        <w:rPr>
          <w:rFonts w:ascii="Book Antiqua" w:hAnsi="Book Antiqua"/>
          <w:sz w:val="24"/>
          <w:szCs w:val="24"/>
          <w:vertAlign w:val="superscript"/>
          <w:lang w:val="en-US"/>
        </w:rPr>
        <w:t xml:space="preserve"> [87]</w:t>
      </w:r>
      <w:r w:rsidR="006D64C5" w:rsidRPr="00E14F98">
        <w:rPr>
          <w:rFonts w:ascii="Book Antiqua" w:hAnsi="Book Antiqua"/>
          <w:sz w:val="24"/>
          <w:szCs w:val="24"/>
          <w:lang w:val="en-US"/>
        </w:rPr>
        <w:t xml:space="preserve">. </w:t>
      </w:r>
    </w:p>
    <w:p w:rsidR="005B50F2" w:rsidRPr="00E14F98" w:rsidRDefault="00797E00"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In con</w:t>
      </w:r>
      <w:r w:rsidR="00516BB9" w:rsidRPr="00E14F98">
        <w:rPr>
          <w:rFonts w:ascii="Book Antiqua" w:hAnsi="Book Antiqua"/>
          <w:sz w:val="24"/>
          <w:szCs w:val="24"/>
          <w:lang w:val="en-US"/>
        </w:rPr>
        <w:t>c</w:t>
      </w:r>
      <w:r w:rsidRPr="00E14F98">
        <w:rPr>
          <w:rFonts w:ascii="Book Antiqua" w:hAnsi="Book Antiqua"/>
          <w:sz w:val="24"/>
          <w:szCs w:val="24"/>
          <w:lang w:val="en-US"/>
        </w:rPr>
        <w:t xml:space="preserve">lusion, no </w:t>
      </w:r>
      <w:r w:rsidR="00F059BF" w:rsidRPr="00E14F98">
        <w:rPr>
          <w:rFonts w:ascii="Book Antiqua" w:hAnsi="Book Antiqua"/>
          <w:sz w:val="24"/>
          <w:szCs w:val="24"/>
          <w:lang w:val="en-US"/>
        </w:rPr>
        <w:t xml:space="preserve">definitive </w:t>
      </w:r>
      <w:r w:rsidRPr="00E14F98">
        <w:rPr>
          <w:rFonts w:ascii="Book Antiqua" w:hAnsi="Book Antiqua"/>
          <w:sz w:val="24"/>
          <w:szCs w:val="24"/>
          <w:lang w:val="en-US"/>
        </w:rPr>
        <w:t xml:space="preserve">recommendation </w:t>
      </w:r>
      <w:r w:rsidR="002A4D3B" w:rsidRPr="00E14F98">
        <w:rPr>
          <w:rFonts w:ascii="Book Antiqua" w:hAnsi="Book Antiqua"/>
          <w:sz w:val="24"/>
          <w:szCs w:val="24"/>
          <w:lang w:val="en-US"/>
        </w:rPr>
        <w:t>can be ma</w:t>
      </w:r>
      <w:r w:rsidRPr="00E14F98">
        <w:rPr>
          <w:rFonts w:ascii="Book Antiqua" w:hAnsi="Book Antiqua"/>
          <w:sz w:val="24"/>
          <w:szCs w:val="24"/>
          <w:lang w:val="en-US"/>
        </w:rPr>
        <w:t>de for one type of loco</w:t>
      </w:r>
      <w:r w:rsidR="00D11732" w:rsidRPr="00E14F98">
        <w:rPr>
          <w:rFonts w:ascii="Book Antiqua" w:hAnsi="Book Antiqua"/>
          <w:sz w:val="24"/>
          <w:szCs w:val="24"/>
          <w:lang w:val="en-US"/>
        </w:rPr>
        <w:t>-</w:t>
      </w:r>
      <w:r w:rsidRPr="00E14F98">
        <w:rPr>
          <w:rFonts w:ascii="Book Antiqua" w:hAnsi="Book Antiqua"/>
          <w:sz w:val="24"/>
          <w:szCs w:val="24"/>
          <w:lang w:val="en-US"/>
        </w:rPr>
        <w:t xml:space="preserve">regional </w:t>
      </w:r>
      <w:r w:rsidR="002A4D3B" w:rsidRPr="00E14F98">
        <w:rPr>
          <w:rFonts w:ascii="Book Antiqua" w:hAnsi="Book Antiqua"/>
          <w:sz w:val="24"/>
          <w:szCs w:val="24"/>
          <w:lang w:val="en-US"/>
        </w:rPr>
        <w:t xml:space="preserve">therapy </w:t>
      </w:r>
      <w:r w:rsidRPr="00E14F98">
        <w:rPr>
          <w:rFonts w:ascii="Book Antiqua" w:hAnsi="Book Antiqua"/>
          <w:sz w:val="24"/>
          <w:szCs w:val="24"/>
          <w:lang w:val="en-US"/>
        </w:rPr>
        <w:t xml:space="preserve">over others </w:t>
      </w:r>
      <w:r w:rsidR="00F059BF" w:rsidRPr="00E14F98">
        <w:rPr>
          <w:rFonts w:ascii="Book Antiqua" w:hAnsi="Book Antiqua"/>
          <w:sz w:val="24"/>
          <w:szCs w:val="24"/>
          <w:lang w:val="en-US"/>
        </w:rPr>
        <w:t>in the pre-transplant setting</w:t>
      </w:r>
      <w:r w:rsidR="002A4D3B" w:rsidRPr="00E14F98">
        <w:rPr>
          <w:rFonts w:ascii="Book Antiqua" w:hAnsi="Book Antiqua"/>
          <w:sz w:val="24"/>
          <w:szCs w:val="24"/>
          <w:lang w:val="en-US"/>
        </w:rPr>
        <w:t>. Howe</w:t>
      </w:r>
      <w:r w:rsidR="00272F15" w:rsidRPr="00E14F98">
        <w:rPr>
          <w:rFonts w:ascii="Book Antiqua" w:hAnsi="Book Antiqua"/>
          <w:sz w:val="24"/>
          <w:szCs w:val="24"/>
          <w:lang w:val="en-US"/>
        </w:rPr>
        <w:t xml:space="preserve">ver, </w:t>
      </w:r>
      <w:r w:rsidR="009A401F" w:rsidRPr="00E14F98">
        <w:rPr>
          <w:rFonts w:ascii="Book Antiqua" w:hAnsi="Book Antiqua"/>
          <w:sz w:val="24"/>
          <w:szCs w:val="24"/>
          <w:lang w:val="en-US"/>
        </w:rPr>
        <w:t xml:space="preserve">on the basis of the aforementioned studies, </w:t>
      </w:r>
      <w:r w:rsidR="00272F15" w:rsidRPr="00E14F98">
        <w:rPr>
          <w:rFonts w:ascii="Book Antiqua" w:hAnsi="Book Antiqua"/>
          <w:sz w:val="24"/>
          <w:szCs w:val="24"/>
          <w:lang w:val="en-US"/>
        </w:rPr>
        <w:t xml:space="preserve">RFA could be </w:t>
      </w:r>
      <w:r w:rsidR="009A401F" w:rsidRPr="00E14F98">
        <w:rPr>
          <w:rFonts w:ascii="Book Antiqua" w:hAnsi="Book Antiqua"/>
          <w:sz w:val="24"/>
          <w:szCs w:val="24"/>
          <w:lang w:val="en-US"/>
        </w:rPr>
        <w:t xml:space="preserve">considered as </w:t>
      </w:r>
      <w:r w:rsidR="00272F15" w:rsidRPr="00E14F98">
        <w:rPr>
          <w:rFonts w:ascii="Book Antiqua" w:hAnsi="Book Antiqua"/>
          <w:sz w:val="24"/>
          <w:szCs w:val="24"/>
          <w:lang w:val="en-US"/>
        </w:rPr>
        <w:t>the first</w:t>
      </w:r>
      <w:r w:rsidR="009A401F" w:rsidRPr="00E14F98">
        <w:rPr>
          <w:rFonts w:ascii="Book Antiqua" w:hAnsi="Book Antiqua"/>
          <w:sz w:val="24"/>
          <w:szCs w:val="24"/>
          <w:lang w:val="en-US"/>
        </w:rPr>
        <w:t>-</w:t>
      </w:r>
      <w:r w:rsidR="00272F15" w:rsidRPr="00E14F98">
        <w:rPr>
          <w:rFonts w:ascii="Book Antiqua" w:hAnsi="Book Antiqua"/>
          <w:sz w:val="24"/>
          <w:szCs w:val="24"/>
          <w:lang w:val="en-US"/>
        </w:rPr>
        <w:t xml:space="preserve">line </w:t>
      </w:r>
      <w:r w:rsidR="002A4D3B" w:rsidRPr="00E14F98">
        <w:rPr>
          <w:rFonts w:ascii="Book Antiqua" w:hAnsi="Book Antiqua"/>
          <w:sz w:val="24"/>
          <w:szCs w:val="24"/>
          <w:lang w:val="en-US"/>
        </w:rPr>
        <w:t xml:space="preserve">treatment for </w:t>
      </w:r>
      <w:r w:rsidR="00141489" w:rsidRPr="00E14F98">
        <w:rPr>
          <w:rFonts w:ascii="Book Antiqua" w:hAnsi="Book Antiqua"/>
          <w:sz w:val="24"/>
          <w:szCs w:val="24"/>
          <w:lang w:val="en-US"/>
        </w:rPr>
        <w:t xml:space="preserve">single </w:t>
      </w:r>
      <w:r w:rsidR="002A4D3B" w:rsidRPr="00E14F98">
        <w:rPr>
          <w:rFonts w:ascii="Book Antiqua" w:hAnsi="Book Antiqua"/>
          <w:sz w:val="24"/>
          <w:szCs w:val="24"/>
          <w:lang w:val="en-US"/>
        </w:rPr>
        <w:t>lesions up to 3 cm, in which complete</w:t>
      </w:r>
      <w:r w:rsidR="00272F15" w:rsidRPr="00E14F98">
        <w:rPr>
          <w:rFonts w:ascii="Book Antiqua" w:hAnsi="Book Antiqua"/>
          <w:sz w:val="24"/>
          <w:szCs w:val="24"/>
          <w:lang w:val="en-US"/>
        </w:rPr>
        <w:t xml:space="preserve"> </w:t>
      </w:r>
      <w:r w:rsidR="002A4D3B" w:rsidRPr="00E14F98">
        <w:rPr>
          <w:rFonts w:ascii="Book Antiqua" w:hAnsi="Book Antiqua"/>
          <w:sz w:val="24"/>
          <w:szCs w:val="24"/>
          <w:lang w:val="en-US"/>
        </w:rPr>
        <w:t>tumor necrosis has been shown in more than 50% of</w:t>
      </w:r>
      <w:r w:rsidR="00272F15" w:rsidRPr="00E14F98">
        <w:rPr>
          <w:rFonts w:ascii="Book Antiqua" w:hAnsi="Book Antiqua"/>
          <w:sz w:val="24"/>
          <w:szCs w:val="24"/>
          <w:lang w:val="en-US"/>
        </w:rPr>
        <w:t xml:space="preserve"> </w:t>
      </w:r>
      <w:r w:rsidR="002A4D3B" w:rsidRPr="00E14F98">
        <w:rPr>
          <w:rFonts w:ascii="Book Antiqua" w:hAnsi="Book Antiqua"/>
          <w:sz w:val="24"/>
          <w:szCs w:val="24"/>
          <w:lang w:val="en-US"/>
        </w:rPr>
        <w:t xml:space="preserve">cases at explant </w:t>
      </w:r>
      <w:proofErr w:type="gramStart"/>
      <w:r w:rsidR="002A4D3B" w:rsidRPr="00E14F98">
        <w:rPr>
          <w:rFonts w:ascii="Book Antiqua" w:hAnsi="Book Antiqua"/>
          <w:sz w:val="24"/>
          <w:szCs w:val="24"/>
          <w:lang w:val="en-US"/>
        </w:rPr>
        <w:t>analysis</w:t>
      </w:r>
      <w:r w:rsidR="00AC5FB1" w:rsidRPr="00E14F98">
        <w:rPr>
          <w:rFonts w:ascii="Book Antiqua" w:hAnsi="Book Antiqua"/>
          <w:sz w:val="24"/>
          <w:szCs w:val="24"/>
          <w:vertAlign w:val="superscript"/>
          <w:lang w:val="en-US"/>
        </w:rPr>
        <w:t>[</w:t>
      </w:r>
      <w:proofErr w:type="gramEnd"/>
      <w:r w:rsidR="00AC5FB1" w:rsidRPr="00E14F98">
        <w:rPr>
          <w:rFonts w:ascii="Book Antiqua" w:hAnsi="Book Antiqua"/>
          <w:sz w:val="24"/>
          <w:szCs w:val="24"/>
          <w:vertAlign w:val="superscript"/>
          <w:lang w:val="en-US"/>
        </w:rPr>
        <w:t>83-85]</w:t>
      </w:r>
      <w:r w:rsidR="002A4D3B" w:rsidRPr="00E14F98">
        <w:rPr>
          <w:rFonts w:ascii="Book Antiqua" w:hAnsi="Book Antiqua"/>
          <w:sz w:val="24"/>
          <w:szCs w:val="24"/>
          <w:lang w:val="en-US"/>
        </w:rPr>
        <w:t>. TACE s</w:t>
      </w:r>
      <w:r w:rsidR="00272F15" w:rsidRPr="00E14F98">
        <w:rPr>
          <w:rFonts w:ascii="Book Antiqua" w:hAnsi="Book Antiqua"/>
          <w:sz w:val="24"/>
          <w:szCs w:val="24"/>
          <w:lang w:val="en-US"/>
        </w:rPr>
        <w:t xml:space="preserve">hould be preferred for treating </w:t>
      </w:r>
      <w:r w:rsidR="002A4D3B" w:rsidRPr="00E14F98">
        <w:rPr>
          <w:rFonts w:ascii="Book Antiqua" w:hAnsi="Book Antiqua"/>
          <w:sz w:val="24"/>
          <w:szCs w:val="24"/>
          <w:lang w:val="en-US"/>
        </w:rPr>
        <w:t xml:space="preserve">lesions &gt; 3 cm because </w:t>
      </w:r>
      <w:r w:rsidR="00272F15" w:rsidRPr="00E14F98">
        <w:rPr>
          <w:rFonts w:ascii="Book Antiqua" w:hAnsi="Book Antiqua"/>
          <w:sz w:val="24"/>
          <w:szCs w:val="24"/>
          <w:lang w:val="en-US"/>
        </w:rPr>
        <w:t xml:space="preserve">its effectiveness appears to be </w:t>
      </w:r>
      <w:r w:rsidR="002A4D3B" w:rsidRPr="00E14F98">
        <w:rPr>
          <w:rFonts w:ascii="Book Antiqua" w:hAnsi="Book Antiqua"/>
          <w:sz w:val="24"/>
          <w:szCs w:val="24"/>
          <w:lang w:val="en-US"/>
        </w:rPr>
        <w:t>better in well-vascularized tumo</w:t>
      </w:r>
      <w:r w:rsidR="00272F15" w:rsidRPr="00E14F98">
        <w:rPr>
          <w:rFonts w:ascii="Book Antiqua" w:hAnsi="Book Antiqua"/>
          <w:sz w:val="24"/>
          <w:szCs w:val="24"/>
          <w:lang w:val="en-US"/>
        </w:rPr>
        <w:t>r</w:t>
      </w:r>
      <w:r w:rsidR="004C2AEB" w:rsidRPr="00E14F98">
        <w:rPr>
          <w:rFonts w:ascii="Book Antiqua" w:hAnsi="Book Antiqua"/>
          <w:sz w:val="24"/>
          <w:szCs w:val="24"/>
          <w:lang w:val="en-US"/>
        </w:rPr>
        <w:t xml:space="preserve">s with large feeding arteries.  </w:t>
      </w:r>
    </w:p>
    <w:p w:rsidR="005B50F2" w:rsidRPr="00E14F98" w:rsidRDefault="005B50F2" w:rsidP="00E14F98">
      <w:pPr>
        <w:spacing w:after="0" w:line="360" w:lineRule="auto"/>
        <w:jc w:val="both"/>
        <w:rPr>
          <w:rFonts w:ascii="Book Antiqua" w:hAnsi="Book Antiqua"/>
          <w:sz w:val="24"/>
          <w:szCs w:val="24"/>
          <w:lang w:val="en-US"/>
        </w:rPr>
      </w:pPr>
    </w:p>
    <w:p w:rsidR="00C95210" w:rsidRPr="0093586C" w:rsidRDefault="00C35440" w:rsidP="00E14F98">
      <w:pPr>
        <w:spacing w:after="0" w:line="360" w:lineRule="auto"/>
        <w:jc w:val="both"/>
        <w:rPr>
          <w:rFonts w:ascii="Book Antiqua" w:hAnsi="Book Antiqua"/>
          <w:b/>
          <w:i/>
          <w:sz w:val="24"/>
          <w:szCs w:val="24"/>
          <w:lang w:val="en-US"/>
        </w:rPr>
      </w:pPr>
      <w:r w:rsidRPr="0093586C">
        <w:rPr>
          <w:rFonts w:ascii="Book Antiqua" w:hAnsi="Book Antiqua"/>
          <w:b/>
          <w:i/>
          <w:sz w:val="24"/>
          <w:szCs w:val="24"/>
          <w:lang w:val="en-US"/>
        </w:rPr>
        <w:t>Advanced stage</w:t>
      </w:r>
    </w:p>
    <w:p w:rsidR="00700CBB" w:rsidRPr="00E14F98" w:rsidRDefault="002B42EA"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Advanced HCC (</w:t>
      </w:r>
      <w:r w:rsidRPr="0093586C">
        <w:rPr>
          <w:rFonts w:ascii="Book Antiqua" w:hAnsi="Book Antiqua"/>
          <w:i/>
          <w:sz w:val="24"/>
          <w:szCs w:val="24"/>
          <w:lang w:val="en-US"/>
        </w:rPr>
        <w:t>i</w:t>
      </w:r>
      <w:r w:rsidR="00F16E69" w:rsidRPr="0093586C">
        <w:rPr>
          <w:rFonts w:ascii="Book Antiqua" w:hAnsi="Book Antiqua"/>
          <w:i/>
          <w:sz w:val="24"/>
          <w:szCs w:val="24"/>
          <w:lang w:val="en-US"/>
        </w:rPr>
        <w:t>.</w:t>
      </w:r>
      <w:r w:rsidRPr="0093586C">
        <w:rPr>
          <w:rFonts w:ascii="Book Antiqua" w:hAnsi="Book Antiqua"/>
          <w:i/>
          <w:sz w:val="24"/>
          <w:szCs w:val="24"/>
          <w:lang w:val="en-US"/>
        </w:rPr>
        <w:t>e</w:t>
      </w:r>
      <w:r w:rsidR="00F16E69" w:rsidRPr="0093586C">
        <w:rPr>
          <w:rFonts w:ascii="Book Antiqua" w:hAnsi="Book Antiqua"/>
          <w:i/>
          <w:sz w:val="24"/>
          <w:szCs w:val="24"/>
          <w:lang w:val="en-US"/>
        </w:rPr>
        <w:t>.</w:t>
      </w:r>
      <w:r w:rsidR="00F16E69" w:rsidRPr="00E14F98">
        <w:rPr>
          <w:rFonts w:ascii="Book Antiqua" w:hAnsi="Book Antiqua"/>
          <w:sz w:val="24"/>
          <w:szCs w:val="24"/>
          <w:lang w:val="en-US"/>
        </w:rPr>
        <w:t>,</w:t>
      </w:r>
      <w:r w:rsidRPr="00E14F98">
        <w:rPr>
          <w:rFonts w:ascii="Book Antiqua" w:hAnsi="Book Antiqua"/>
          <w:sz w:val="24"/>
          <w:szCs w:val="24"/>
          <w:lang w:val="en-US"/>
        </w:rPr>
        <w:t xml:space="preserve"> BCLC stage C) is characterized by an Eastern Cooperative Oncology Group (ECOG) performance status of 1</w:t>
      </w:r>
      <w:r w:rsidR="0093586C">
        <w:rPr>
          <w:rFonts w:ascii="Book Antiqua" w:hAnsi="Book Antiqua" w:hint="eastAsia"/>
          <w:sz w:val="24"/>
          <w:szCs w:val="24"/>
          <w:lang w:val="en-US" w:eastAsia="zh-CN"/>
        </w:rPr>
        <w:t>-</w:t>
      </w:r>
      <w:r w:rsidRPr="00E14F98">
        <w:rPr>
          <w:rFonts w:ascii="Book Antiqua" w:hAnsi="Book Antiqua"/>
          <w:sz w:val="24"/>
          <w:szCs w:val="24"/>
          <w:lang w:val="en-US"/>
        </w:rPr>
        <w:t xml:space="preserve">2 and/or the presence of </w:t>
      </w:r>
      <w:r w:rsidR="008E6A7C" w:rsidRPr="00E14F98">
        <w:rPr>
          <w:rFonts w:ascii="Book Antiqua" w:hAnsi="Book Antiqua"/>
          <w:sz w:val="24"/>
          <w:szCs w:val="24"/>
          <w:lang w:val="en-US"/>
        </w:rPr>
        <w:t xml:space="preserve">portal vein thrombosis (PVT) </w:t>
      </w:r>
      <w:r w:rsidR="00A3392E" w:rsidRPr="00E14F98">
        <w:rPr>
          <w:rFonts w:ascii="Book Antiqua" w:hAnsi="Book Antiqua"/>
          <w:sz w:val="24"/>
          <w:szCs w:val="24"/>
          <w:lang w:val="en-US"/>
        </w:rPr>
        <w:t>or extrahepatic metastase</w:t>
      </w:r>
      <w:r w:rsidRPr="00E14F98">
        <w:rPr>
          <w:rFonts w:ascii="Book Antiqua" w:hAnsi="Book Antiqua"/>
          <w:sz w:val="24"/>
          <w:szCs w:val="24"/>
          <w:lang w:val="en-US"/>
        </w:rPr>
        <w:t xml:space="preserve">s. </w:t>
      </w:r>
      <w:r w:rsidR="006441EB" w:rsidRPr="00E14F98">
        <w:rPr>
          <w:rFonts w:ascii="Book Antiqua" w:hAnsi="Book Antiqua"/>
          <w:sz w:val="24"/>
          <w:szCs w:val="24"/>
          <w:lang w:val="en-US"/>
        </w:rPr>
        <w:t xml:space="preserve">According to current guidelines, </w:t>
      </w:r>
      <w:r w:rsidR="00007441" w:rsidRPr="00E14F98">
        <w:rPr>
          <w:rFonts w:ascii="Book Antiqua" w:hAnsi="Book Antiqua"/>
          <w:sz w:val="24"/>
          <w:szCs w:val="24"/>
          <w:lang w:val="en-US"/>
        </w:rPr>
        <w:t xml:space="preserve">advanced </w:t>
      </w:r>
      <w:r w:rsidR="006441EB" w:rsidRPr="00E14F98">
        <w:rPr>
          <w:rFonts w:ascii="Book Antiqua" w:hAnsi="Book Antiqua"/>
          <w:sz w:val="24"/>
          <w:szCs w:val="24"/>
          <w:lang w:val="en-US"/>
        </w:rPr>
        <w:t xml:space="preserve">HCC patients can only receive sorafenib </w:t>
      </w:r>
      <w:r w:rsidR="00AC1FF8" w:rsidRPr="00E14F98">
        <w:rPr>
          <w:rFonts w:ascii="Book Antiqua" w:hAnsi="Book Antiqua"/>
          <w:sz w:val="24"/>
          <w:szCs w:val="24"/>
          <w:lang w:val="en-US"/>
        </w:rPr>
        <w:t>while</w:t>
      </w:r>
      <w:r w:rsidR="006441EB" w:rsidRPr="00E14F98">
        <w:rPr>
          <w:rFonts w:ascii="Book Antiqua" w:hAnsi="Book Antiqua"/>
          <w:sz w:val="24"/>
          <w:szCs w:val="24"/>
          <w:lang w:val="en-US"/>
        </w:rPr>
        <w:t xml:space="preserve"> it is generally</w:t>
      </w:r>
      <w:r w:rsidR="00E67E98" w:rsidRPr="00E14F98">
        <w:rPr>
          <w:rFonts w:ascii="Book Antiqua" w:hAnsi="Book Antiqua"/>
          <w:sz w:val="24"/>
          <w:szCs w:val="24"/>
          <w:lang w:val="en-US"/>
        </w:rPr>
        <w:t xml:space="preserve"> </w:t>
      </w:r>
      <w:r w:rsidR="006441EB" w:rsidRPr="00E14F98">
        <w:rPr>
          <w:rFonts w:ascii="Book Antiqua" w:hAnsi="Book Antiqua"/>
          <w:sz w:val="24"/>
          <w:szCs w:val="24"/>
          <w:lang w:val="en-US"/>
        </w:rPr>
        <w:t>accepted that TACE is not recommended in cases of</w:t>
      </w:r>
      <w:r w:rsidR="00A607AF" w:rsidRPr="00E14F98">
        <w:rPr>
          <w:rFonts w:ascii="Book Antiqua" w:hAnsi="Book Antiqua"/>
          <w:sz w:val="24"/>
          <w:szCs w:val="24"/>
          <w:lang w:val="en-US"/>
        </w:rPr>
        <w:t xml:space="preserve"> </w:t>
      </w:r>
      <w:r w:rsidR="006441EB" w:rsidRPr="00E14F98">
        <w:rPr>
          <w:rFonts w:ascii="Book Antiqua" w:hAnsi="Book Antiqua"/>
          <w:sz w:val="24"/>
          <w:szCs w:val="24"/>
          <w:lang w:val="en-US"/>
        </w:rPr>
        <w:t>macroscopic portal vein invasion because of the</w:t>
      </w:r>
      <w:r w:rsidR="00A607AF" w:rsidRPr="00E14F98">
        <w:rPr>
          <w:rFonts w:ascii="Book Antiqua" w:hAnsi="Book Antiqua"/>
          <w:sz w:val="24"/>
          <w:szCs w:val="24"/>
          <w:lang w:val="en-US"/>
        </w:rPr>
        <w:t xml:space="preserve"> </w:t>
      </w:r>
      <w:r w:rsidR="006441EB" w:rsidRPr="00E14F98">
        <w:rPr>
          <w:rFonts w:ascii="Book Antiqua" w:hAnsi="Book Antiqua"/>
          <w:sz w:val="24"/>
          <w:szCs w:val="24"/>
          <w:lang w:val="en-US"/>
        </w:rPr>
        <w:t>potentially i</w:t>
      </w:r>
      <w:r w:rsidR="00A607AF" w:rsidRPr="00E14F98">
        <w:rPr>
          <w:rFonts w:ascii="Book Antiqua" w:hAnsi="Book Antiqua"/>
          <w:sz w:val="24"/>
          <w:szCs w:val="24"/>
          <w:lang w:val="en-US"/>
        </w:rPr>
        <w:t xml:space="preserve">ncreased risk of liver </w:t>
      </w:r>
      <w:proofErr w:type="gramStart"/>
      <w:r w:rsidR="00A607AF" w:rsidRPr="00E14F98">
        <w:rPr>
          <w:rFonts w:ascii="Book Antiqua" w:hAnsi="Book Antiqua"/>
          <w:sz w:val="24"/>
          <w:szCs w:val="24"/>
          <w:lang w:val="en-US"/>
        </w:rPr>
        <w:t>failure</w:t>
      </w:r>
      <w:r w:rsidR="00651905" w:rsidRPr="00E14F98">
        <w:rPr>
          <w:rFonts w:ascii="Book Antiqua" w:hAnsi="Book Antiqua"/>
          <w:sz w:val="24"/>
          <w:szCs w:val="24"/>
          <w:vertAlign w:val="superscript"/>
          <w:lang w:val="en-US"/>
        </w:rPr>
        <w:t>[</w:t>
      </w:r>
      <w:proofErr w:type="gramEnd"/>
      <w:r w:rsidR="00651905" w:rsidRPr="00E14F98">
        <w:rPr>
          <w:rFonts w:ascii="Book Antiqua" w:hAnsi="Book Antiqua"/>
          <w:sz w:val="24"/>
          <w:szCs w:val="24"/>
          <w:vertAlign w:val="superscript"/>
          <w:lang w:val="en-US"/>
        </w:rPr>
        <w:t>1,2]</w:t>
      </w:r>
      <w:r w:rsidR="00A607AF" w:rsidRPr="00E14F98">
        <w:rPr>
          <w:rFonts w:ascii="Book Antiqua" w:hAnsi="Book Antiqua"/>
          <w:sz w:val="24"/>
          <w:szCs w:val="24"/>
          <w:lang w:val="en-US"/>
        </w:rPr>
        <w:t xml:space="preserve">. </w:t>
      </w:r>
      <w:r w:rsidR="006441EB" w:rsidRPr="00E14F98">
        <w:rPr>
          <w:rFonts w:ascii="Book Antiqua" w:hAnsi="Book Antiqua"/>
          <w:sz w:val="24"/>
          <w:szCs w:val="24"/>
          <w:lang w:val="en-US"/>
        </w:rPr>
        <w:t>Recently, however, some</w:t>
      </w:r>
      <w:r w:rsidR="00A607AF" w:rsidRPr="00E14F98">
        <w:rPr>
          <w:rFonts w:ascii="Book Antiqua" w:hAnsi="Book Antiqua"/>
          <w:sz w:val="24"/>
          <w:szCs w:val="24"/>
          <w:lang w:val="en-US"/>
        </w:rPr>
        <w:t xml:space="preserve"> </w:t>
      </w:r>
      <w:r w:rsidR="006441EB" w:rsidRPr="00E14F98">
        <w:rPr>
          <w:rFonts w:ascii="Book Antiqua" w:hAnsi="Book Antiqua"/>
          <w:sz w:val="24"/>
          <w:szCs w:val="24"/>
          <w:lang w:val="en-US"/>
        </w:rPr>
        <w:t>prospective controlled trials have shown the survival</w:t>
      </w:r>
      <w:r w:rsidR="00A607AF" w:rsidRPr="00E14F98">
        <w:rPr>
          <w:rFonts w:ascii="Book Antiqua" w:hAnsi="Book Antiqua"/>
          <w:sz w:val="24"/>
          <w:szCs w:val="24"/>
          <w:lang w:val="en-US"/>
        </w:rPr>
        <w:t xml:space="preserve"> </w:t>
      </w:r>
      <w:r w:rsidR="007776DE" w:rsidRPr="00E14F98">
        <w:rPr>
          <w:rFonts w:ascii="Book Antiqua" w:hAnsi="Book Antiqua"/>
          <w:sz w:val="24"/>
          <w:szCs w:val="24"/>
          <w:lang w:val="en-US"/>
        </w:rPr>
        <w:t>benefit</w:t>
      </w:r>
      <w:r w:rsidR="006441EB" w:rsidRPr="00E14F98">
        <w:rPr>
          <w:rFonts w:ascii="Book Antiqua" w:hAnsi="Book Antiqua"/>
          <w:sz w:val="24"/>
          <w:szCs w:val="24"/>
          <w:lang w:val="en-US"/>
        </w:rPr>
        <w:t xml:space="preserve"> of TACE </w:t>
      </w:r>
      <w:r w:rsidR="00B529FE" w:rsidRPr="00E14F98">
        <w:rPr>
          <w:rFonts w:ascii="Book Antiqua" w:hAnsi="Book Antiqua"/>
          <w:sz w:val="24"/>
          <w:szCs w:val="24"/>
          <w:lang w:val="en-US"/>
        </w:rPr>
        <w:t xml:space="preserve">over BSC </w:t>
      </w:r>
      <w:r w:rsidR="00A607AF" w:rsidRPr="00E14F98">
        <w:rPr>
          <w:rFonts w:ascii="Book Antiqua" w:hAnsi="Book Antiqua"/>
          <w:sz w:val="24"/>
          <w:szCs w:val="24"/>
          <w:lang w:val="en-US"/>
        </w:rPr>
        <w:t xml:space="preserve">in advanced HCC </w:t>
      </w:r>
      <w:r w:rsidR="00B529FE" w:rsidRPr="00E14F98">
        <w:rPr>
          <w:rFonts w:ascii="Book Antiqua" w:hAnsi="Book Antiqua"/>
          <w:sz w:val="24"/>
          <w:szCs w:val="24"/>
          <w:lang w:val="en-US"/>
        </w:rPr>
        <w:t xml:space="preserve">patients </w:t>
      </w:r>
      <w:r w:rsidR="00A607AF" w:rsidRPr="00E14F98">
        <w:rPr>
          <w:rFonts w:ascii="Book Antiqua" w:hAnsi="Book Antiqua"/>
          <w:sz w:val="24"/>
          <w:szCs w:val="24"/>
          <w:lang w:val="en-US"/>
        </w:rPr>
        <w:t xml:space="preserve">with </w:t>
      </w:r>
      <w:proofErr w:type="gramStart"/>
      <w:r w:rsidR="00A607AF" w:rsidRPr="00E14F98">
        <w:rPr>
          <w:rFonts w:ascii="Book Antiqua" w:hAnsi="Book Antiqua"/>
          <w:sz w:val="24"/>
          <w:szCs w:val="24"/>
          <w:lang w:val="en-US"/>
        </w:rPr>
        <w:t>PVT</w:t>
      </w:r>
      <w:r w:rsidR="007776DE" w:rsidRPr="00E14F98">
        <w:rPr>
          <w:rFonts w:ascii="Book Antiqua" w:hAnsi="Book Antiqua"/>
          <w:sz w:val="24"/>
          <w:szCs w:val="24"/>
          <w:vertAlign w:val="superscript"/>
          <w:lang w:val="en-US"/>
        </w:rPr>
        <w:t>[</w:t>
      </w:r>
      <w:proofErr w:type="gramEnd"/>
      <w:r w:rsidR="007776DE" w:rsidRPr="00E14F98">
        <w:rPr>
          <w:rFonts w:ascii="Book Antiqua" w:hAnsi="Book Antiqua"/>
          <w:sz w:val="24"/>
          <w:szCs w:val="24"/>
          <w:vertAlign w:val="superscript"/>
          <w:lang w:val="en-US"/>
        </w:rPr>
        <w:t>88,89]</w:t>
      </w:r>
      <w:r w:rsidR="006623CE" w:rsidRPr="00E14F98">
        <w:rPr>
          <w:rFonts w:ascii="Book Antiqua" w:hAnsi="Book Antiqua"/>
          <w:sz w:val="24"/>
          <w:szCs w:val="24"/>
          <w:lang w:val="en-US"/>
        </w:rPr>
        <w:t>.</w:t>
      </w:r>
      <w:r w:rsidR="00A607AF" w:rsidRPr="00E14F98">
        <w:rPr>
          <w:rFonts w:ascii="Book Antiqua" w:hAnsi="Book Antiqua"/>
          <w:sz w:val="24"/>
          <w:szCs w:val="24"/>
          <w:lang w:val="en-US"/>
        </w:rPr>
        <w:t xml:space="preserve"> </w:t>
      </w:r>
      <w:r w:rsidR="006441EB" w:rsidRPr="00E14F98">
        <w:rPr>
          <w:rFonts w:ascii="Book Antiqua" w:hAnsi="Book Antiqua"/>
          <w:sz w:val="24"/>
          <w:szCs w:val="24"/>
          <w:lang w:val="en-US"/>
        </w:rPr>
        <w:t>Therefore, the clear effects and safety of TACE in</w:t>
      </w:r>
      <w:r w:rsidR="00E34102" w:rsidRPr="00E14F98">
        <w:rPr>
          <w:rFonts w:ascii="Book Antiqua" w:hAnsi="Book Antiqua"/>
          <w:sz w:val="24"/>
          <w:szCs w:val="24"/>
          <w:lang w:val="en-US"/>
        </w:rPr>
        <w:t xml:space="preserve"> </w:t>
      </w:r>
      <w:r w:rsidR="006441EB" w:rsidRPr="00E14F98">
        <w:rPr>
          <w:rFonts w:ascii="Book Antiqua" w:hAnsi="Book Antiqua"/>
          <w:sz w:val="24"/>
          <w:szCs w:val="24"/>
          <w:lang w:val="en-US"/>
        </w:rPr>
        <w:t>these patients remain controversial.</w:t>
      </w:r>
      <w:r w:rsidR="00E34102" w:rsidRPr="00E14F98">
        <w:rPr>
          <w:rFonts w:ascii="Book Antiqua" w:hAnsi="Book Antiqua"/>
          <w:sz w:val="24"/>
          <w:szCs w:val="24"/>
          <w:lang w:val="en-US"/>
        </w:rPr>
        <w:t xml:space="preserve"> A recent meta-analysis</w:t>
      </w:r>
      <w:r w:rsidR="00860A6C" w:rsidRPr="00E14F98">
        <w:rPr>
          <w:rFonts w:ascii="Book Antiqua" w:hAnsi="Book Antiqua"/>
          <w:sz w:val="24"/>
          <w:szCs w:val="24"/>
          <w:lang w:val="en-US"/>
        </w:rPr>
        <w:t xml:space="preserve"> of 8 studies</w:t>
      </w:r>
      <w:r w:rsidR="00E34102" w:rsidRPr="00E14F98">
        <w:rPr>
          <w:rFonts w:ascii="Book Antiqua" w:hAnsi="Book Antiqua"/>
          <w:sz w:val="24"/>
          <w:szCs w:val="24"/>
          <w:lang w:val="en-US"/>
        </w:rPr>
        <w:t xml:space="preserve"> </w:t>
      </w:r>
      <w:r w:rsidR="0080799A" w:rsidRPr="00E14F98">
        <w:rPr>
          <w:rFonts w:ascii="Book Antiqua" w:hAnsi="Book Antiqua"/>
          <w:sz w:val="24"/>
          <w:szCs w:val="24"/>
          <w:lang w:val="en-US"/>
        </w:rPr>
        <w:t xml:space="preserve">(whereof 3 prospective) </w:t>
      </w:r>
      <w:r w:rsidR="00E34102" w:rsidRPr="00E14F98">
        <w:rPr>
          <w:rFonts w:ascii="Book Antiqua" w:hAnsi="Book Antiqua"/>
          <w:sz w:val="24"/>
          <w:szCs w:val="24"/>
          <w:lang w:val="en-US"/>
        </w:rPr>
        <w:t>has summarized the published results on this regard</w:t>
      </w:r>
      <w:r w:rsidR="003B055E" w:rsidRPr="00E14F98">
        <w:rPr>
          <w:rFonts w:ascii="Book Antiqua" w:hAnsi="Book Antiqua"/>
          <w:sz w:val="24"/>
          <w:szCs w:val="24"/>
          <w:lang w:val="en-US"/>
        </w:rPr>
        <w:t>:</w:t>
      </w:r>
      <w:r w:rsidR="00E34102" w:rsidRPr="00E14F98">
        <w:rPr>
          <w:rFonts w:ascii="Book Antiqua" w:hAnsi="Book Antiqua"/>
          <w:sz w:val="24"/>
          <w:szCs w:val="24"/>
          <w:lang w:val="en-US"/>
        </w:rPr>
        <w:t xml:space="preserve"> </w:t>
      </w:r>
      <w:r w:rsidR="001331CD" w:rsidRPr="00E14F98">
        <w:rPr>
          <w:rFonts w:ascii="Book Antiqua" w:hAnsi="Book Antiqua"/>
          <w:sz w:val="24"/>
          <w:szCs w:val="24"/>
          <w:lang w:val="en-US"/>
        </w:rPr>
        <w:t>TACE resulted</w:t>
      </w:r>
      <w:r w:rsidR="006441EB" w:rsidRPr="00E14F98">
        <w:rPr>
          <w:rFonts w:ascii="Book Antiqua" w:hAnsi="Book Antiqua"/>
          <w:sz w:val="24"/>
          <w:szCs w:val="24"/>
          <w:lang w:val="en-US"/>
        </w:rPr>
        <w:t xml:space="preserve"> potentially</w:t>
      </w:r>
      <w:r w:rsidR="00FA2D7F" w:rsidRPr="00E14F98">
        <w:rPr>
          <w:rFonts w:ascii="Book Antiqua" w:hAnsi="Book Antiqua"/>
          <w:sz w:val="24"/>
          <w:szCs w:val="24"/>
          <w:lang w:val="en-US"/>
        </w:rPr>
        <w:t xml:space="preserve"> </w:t>
      </w:r>
      <w:r w:rsidR="006441EB" w:rsidRPr="00E14F98">
        <w:rPr>
          <w:rFonts w:ascii="Book Antiqua" w:hAnsi="Book Antiqua"/>
          <w:sz w:val="24"/>
          <w:szCs w:val="24"/>
          <w:lang w:val="en-US"/>
        </w:rPr>
        <w:t>suitable and</w:t>
      </w:r>
      <w:r w:rsidR="00FA2D7F" w:rsidRPr="00E14F98">
        <w:rPr>
          <w:rFonts w:ascii="Book Antiqua" w:hAnsi="Book Antiqua"/>
          <w:sz w:val="24"/>
          <w:szCs w:val="24"/>
          <w:lang w:val="en-US"/>
        </w:rPr>
        <w:t xml:space="preserve"> safe for advanced HCC</w:t>
      </w:r>
      <w:r w:rsidR="0080799A" w:rsidRPr="00E14F98">
        <w:rPr>
          <w:rFonts w:ascii="Book Antiqua" w:hAnsi="Book Antiqua"/>
          <w:sz w:val="24"/>
          <w:szCs w:val="24"/>
          <w:lang w:val="en-US"/>
        </w:rPr>
        <w:t xml:space="preserve"> patients</w:t>
      </w:r>
      <w:r w:rsidR="00FA2D7F" w:rsidRPr="00E14F98">
        <w:rPr>
          <w:rFonts w:ascii="Book Antiqua" w:hAnsi="Book Antiqua"/>
          <w:sz w:val="24"/>
          <w:szCs w:val="24"/>
          <w:lang w:val="en-US"/>
        </w:rPr>
        <w:t xml:space="preserve"> with PVT</w:t>
      </w:r>
      <w:r w:rsidR="006567ED" w:rsidRPr="00E14F98">
        <w:rPr>
          <w:rFonts w:ascii="Book Antiqua" w:hAnsi="Book Antiqua"/>
          <w:sz w:val="24"/>
          <w:szCs w:val="24"/>
          <w:lang w:val="en-US"/>
        </w:rPr>
        <w:t xml:space="preserve"> with a low</w:t>
      </w:r>
      <w:r w:rsidR="006441EB" w:rsidRPr="00E14F98">
        <w:rPr>
          <w:rFonts w:ascii="Book Antiqua" w:hAnsi="Book Antiqua"/>
          <w:sz w:val="24"/>
          <w:szCs w:val="24"/>
          <w:lang w:val="en-US"/>
        </w:rPr>
        <w:t xml:space="preserve"> rate of fatal </w:t>
      </w:r>
      <w:proofErr w:type="gramStart"/>
      <w:r w:rsidR="006441EB" w:rsidRPr="00E14F98">
        <w:rPr>
          <w:rFonts w:ascii="Book Antiqua" w:hAnsi="Book Antiqua"/>
          <w:sz w:val="24"/>
          <w:szCs w:val="24"/>
          <w:lang w:val="en-US"/>
        </w:rPr>
        <w:t>complications</w:t>
      </w:r>
      <w:r w:rsidR="006567ED" w:rsidRPr="00E14F98">
        <w:rPr>
          <w:rFonts w:ascii="Book Antiqua" w:hAnsi="Book Antiqua"/>
          <w:sz w:val="24"/>
          <w:szCs w:val="24"/>
          <w:vertAlign w:val="superscript"/>
          <w:lang w:val="en-US"/>
        </w:rPr>
        <w:t>[</w:t>
      </w:r>
      <w:proofErr w:type="gramEnd"/>
      <w:r w:rsidR="006567ED" w:rsidRPr="00E14F98">
        <w:rPr>
          <w:rFonts w:ascii="Book Antiqua" w:hAnsi="Book Antiqua"/>
          <w:sz w:val="24"/>
          <w:szCs w:val="24"/>
          <w:vertAlign w:val="superscript"/>
          <w:lang w:val="en-US"/>
        </w:rPr>
        <w:t>90]</w:t>
      </w:r>
      <w:r w:rsidR="00122EF6" w:rsidRPr="00E14F98">
        <w:rPr>
          <w:rFonts w:ascii="Book Antiqua" w:hAnsi="Book Antiqua"/>
          <w:sz w:val="24"/>
          <w:szCs w:val="24"/>
          <w:lang w:val="en-US"/>
        </w:rPr>
        <w:t>.</w:t>
      </w:r>
      <w:r w:rsidR="00FA2D7F" w:rsidRPr="00E14F98">
        <w:rPr>
          <w:rFonts w:ascii="Book Antiqua" w:hAnsi="Book Antiqua"/>
          <w:sz w:val="24"/>
          <w:szCs w:val="24"/>
          <w:lang w:val="en-US"/>
        </w:rPr>
        <w:t xml:space="preserve"> </w:t>
      </w:r>
      <w:r w:rsidR="00C84022" w:rsidRPr="00E14F98">
        <w:rPr>
          <w:rFonts w:ascii="Book Antiqua" w:hAnsi="Book Antiqua"/>
          <w:sz w:val="24"/>
          <w:szCs w:val="24"/>
          <w:lang w:val="en-US"/>
        </w:rPr>
        <w:t>Furthermore, f</w:t>
      </w:r>
      <w:r w:rsidR="006441EB" w:rsidRPr="00E14F98">
        <w:rPr>
          <w:rFonts w:ascii="Book Antiqua" w:hAnsi="Book Antiqua"/>
          <w:sz w:val="24"/>
          <w:szCs w:val="24"/>
          <w:lang w:val="en-US"/>
        </w:rPr>
        <w:t>or</w:t>
      </w:r>
      <w:r w:rsidR="00C84022" w:rsidRPr="00E14F98">
        <w:rPr>
          <w:rFonts w:ascii="Book Antiqua" w:hAnsi="Book Antiqua"/>
          <w:sz w:val="24"/>
          <w:szCs w:val="24"/>
          <w:lang w:val="en-US"/>
        </w:rPr>
        <w:t xml:space="preserve"> </w:t>
      </w:r>
      <w:r w:rsidR="008B73A3" w:rsidRPr="00E14F98">
        <w:rPr>
          <w:rFonts w:ascii="Book Antiqua" w:hAnsi="Book Antiqua"/>
          <w:sz w:val="24"/>
          <w:szCs w:val="24"/>
          <w:lang w:val="en-US"/>
        </w:rPr>
        <w:t>selected patients (</w:t>
      </w:r>
      <w:r w:rsidR="006441EB" w:rsidRPr="00E14F98">
        <w:rPr>
          <w:rFonts w:ascii="Book Antiqua" w:hAnsi="Book Antiqua"/>
          <w:sz w:val="24"/>
          <w:szCs w:val="24"/>
          <w:lang w:val="en-US"/>
        </w:rPr>
        <w:t>those</w:t>
      </w:r>
      <w:r w:rsidR="00C84022" w:rsidRPr="00E14F98">
        <w:rPr>
          <w:rFonts w:ascii="Book Antiqua" w:hAnsi="Book Antiqua"/>
          <w:sz w:val="24"/>
          <w:szCs w:val="24"/>
          <w:lang w:val="en-US"/>
        </w:rPr>
        <w:t xml:space="preserve"> </w:t>
      </w:r>
      <w:r w:rsidR="006441EB" w:rsidRPr="00E14F98">
        <w:rPr>
          <w:rFonts w:ascii="Book Antiqua" w:hAnsi="Book Antiqua"/>
          <w:sz w:val="24"/>
          <w:szCs w:val="24"/>
          <w:lang w:val="en-US"/>
        </w:rPr>
        <w:t>with established collateral circulation and good liver function</w:t>
      </w:r>
      <w:r w:rsidR="008B73A3" w:rsidRPr="00E14F98">
        <w:rPr>
          <w:rFonts w:ascii="Book Antiqua" w:hAnsi="Book Antiqua"/>
          <w:sz w:val="24"/>
          <w:szCs w:val="24"/>
          <w:lang w:val="en-US"/>
        </w:rPr>
        <w:t>)</w:t>
      </w:r>
      <w:r w:rsidR="00633A04" w:rsidRPr="00E14F98">
        <w:rPr>
          <w:rFonts w:ascii="Book Antiqua" w:hAnsi="Book Antiqua"/>
          <w:sz w:val="24"/>
          <w:szCs w:val="24"/>
          <w:lang w:val="en-US"/>
        </w:rPr>
        <w:t xml:space="preserve">, </w:t>
      </w:r>
      <w:r w:rsidR="00633A04" w:rsidRPr="00E14F98">
        <w:rPr>
          <w:rFonts w:ascii="Book Antiqua" w:hAnsi="Book Antiqua"/>
          <w:sz w:val="24"/>
          <w:szCs w:val="24"/>
          <w:lang w:val="en-US"/>
        </w:rPr>
        <w:lastRenderedPageBreak/>
        <w:t>TACE treatment</w:t>
      </w:r>
      <w:r w:rsidR="006441EB" w:rsidRPr="00E14F98">
        <w:rPr>
          <w:rFonts w:ascii="Book Antiqua" w:hAnsi="Book Antiqua"/>
          <w:sz w:val="24"/>
          <w:szCs w:val="24"/>
          <w:lang w:val="en-US"/>
        </w:rPr>
        <w:t xml:space="preserve"> prolong</w:t>
      </w:r>
      <w:r w:rsidR="00633A04" w:rsidRPr="00E14F98">
        <w:rPr>
          <w:rFonts w:ascii="Book Antiqua" w:hAnsi="Book Antiqua"/>
          <w:sz w:val="24"/>
          <w:szCs w:val="24"/>
          <w:lang w:val="en-US"/>
        </w:rPr>
        <w:t>ed</w:t>
      </w:r>
      <w:r w:rsidR="006441EB" w:rsidRPr="00E14F98">
        <w:rPr>
          <w:rFonts w:ascii="Book Antiqua" w:hAnsi="Book Antiqua"/>
          <w:sz w:val="24"/>
          <w:szCs w:val="24"/>
          <w:lang w:val="en-US"/>
        </w:rPr>
        <w:t xml:space="preserve"> </w:t>
      </w:r>
      <w:proofErr w:type="gramStart"/>
      <w:r w:rsidR="006441EB" w:rsidRPr="00E14F98">
        <w:rPr>
          <w:rFonts w:ascii="Book Antiqua" w:hAnsi="Book Antiqua"/>
          <w:sz w:val="24"/>
          <w:szCs w:val="24"/>
          <w:lang w:val="en-US"/>
        </w:rPr>
        <w:t>survival</w:t>
      </w:r>
      <w:r w:rsidR="00DF16AD" w:rsidRPr="00E14F98">
        <w:rPr>
          <w:rFonts w:ascii="Book Antiqua" w:hAnsi="Book Antiqua"/>
          <w:sz w:val="24"/>
          <w:szCs w:val="24"/>
          <w:vertAlign w:val="superscript"/>
          <w:lang w:val="en-US"/>
        </w:rPr>
        <w:t>[</w:t>
      </w:r>
      <w:proofErr w:type="gramEnd"/>
      <w:r w:rsidR="00DF16AD" w:rsidRPr="00E14F98">
        <w:rPr>
          <w:rFonts w:ascii="Book Antiqua" w:hAnsi="Book Antiqua"/>
          <w:sz w:val="24"/>
          <w:szCs w:val="24"/>
          <w:vertAlign w:val="superscript"/>
          <w:lang w:val="en-US"/>
        </w:rPr>
        <w:t>90]</w:t>
      </w:r>
      <w:r w:rsidR="006441EB" w:rsidRPr="00E14F98">
        <w:rPr>
          <w:rFonts w:ascii="Book Antiqua" w:hAnsi="Book Antiqua"/>
          <w:sz w:val="24"/>
          <w:szCs w:val="24"/>
          <w:lang w:val="en-US"/>
        </w:rPr>
        <w:t>.</w:t>
      </w:r>
      <w:r w:rsidR="00315F74" w:rsidRPr="00E14F98">
        <w:rPr>
          <w:rFonts w:ascii="Book Antiqua" w:hAnsi="Book Antiqua"/>
          <w:sz w:val="24"/>
          <w:szCs w:val="24"/>
          <w:lang w:val="en-US"/>
        </w:rPr>
        <w:t xml:space="preserve"> </w:t>
      </w:r>
      <w:r w:rsidR="008729B5" w:rsidRPr="00E14F98">
        <w:rPr>
          <w:rFonts w:ascii="Book Antiqua" w:hAnsi="Book Antiqua"/>
          <w:sz w:val="24"/>
          <w:szCs w:val="24"/>
          <w:lang w:val="en-US"/>
        </w:rPr>
        <w:t>However, the results of this meta-analysis should be interpreted with caution because all the included studies we</w:t>
      </w:r>
      <w:r w:rsidR="005E1995" w:rsidRPr="00E14F98">
        <w:rPr>
          <w:rFonts w:ascii="Book Antiqua" w:hAnsi="Book Antiqua"/>
          <w:sz w:val="24"/>
          <w:szCs w:val="24"/>
          <w:lang w:val="en-US"/>
        </w:rPr>
        <w:t>re conducted in Asia (hence, it i</w:t>
      </w:r>
      <w:r w:rsidR="008729B5" w:rsidRPr="00E14F98">
        <w:rPr>
          <w:rFonts w:ascii="Book Antiqua" w:hAnsi="Book Antiqua"/>
          <w:sz w:val="24"/>
          <w:szCs w:val="24"/>
          <w:lang w:val="en-US"/>
        </w:rPr>
        <w:t>s uncertain the applicab</w:t>
      </w:r>
      <w:r w:rsidR="0000604C" w:rsidRPr="00E14F98">
        <w:rPr>
          <w:rFonts w:ascii="Book Antiqua" w:hAnsi="Book Antiqua"/>
          <w:sz w:val="24"/>
          <w:szCs w:val="24"/>
          <w:lang w:val="en-US"/>
        </w:rPr>
        <w:t>ility of these findings to Western</w:t>
      </w:r>
      <w:r w:rsidR="008729B5" w:rsidRPr="00E14F98">
        <w:rPr>
          <w:rFonts w:ascii="Book Antiqua" w:hAnsi="Book Antiqua"/>
          <w:sz w:val="24"/>
          <w:szCs w:val="24"/>
          <w:lang w:val="en-US"/>
        </w:rPr>
        <w:t xml:space="preserve"> settings) and p</w:t>
      </w:r>
      <w:r w:rsidR="006441EB" w:rsidRPr="00E14F98">
        <w:rPr>
          <w:rFonts w:ascii="Book Antiqua" w:hAnsi="Book Antiqua"/>
          <w:sz w:val="24"/>
          <w:szCs w:val="24"/>
          <w:lang w:val="en-US"/>
        </w:rPr>
        <w:t>atients with better liver</w:t>
      </w:r>
      <w:r w:rsidR="004937A5" w:rsidRPr="00E14F98">
        <w:rPr>
          <w:rFonts w:ascii="Book Antiqua" w:hAnsi="Book Antiqua"/>
          <w:sz w:val="24"/>
          <w:szCs w:val="24"/>
          <w:lang w:val="en-US"/>
        </w:rPr>
        <w:t xml:space="preserve"> </w:t>
      </w:r>
      <w:r w:rsidR="006441EB" w:rsidRPr="00E14F98">
        <w:rPr>
          <w:rFonts w:ascii="Book Antiqua" w:hAnsi="Book Antiqua"/>
          <w:sz w:val="24"/>
          <w:szCs w:val="24"/>
          <w:lang w:val="en-US"/>
        </w:rPr>
        <w:t>function tended to be selected into the TACE group,</w:t>
      </w:r>
      <w:r w:rsidR="004937A5" w:rsidRPr="00E14F98">
        <w:rPr>
          <w:rFonts w:ascii="Book Antiqua" w:hAnsi="Book Antiqua"/>
          <w:sz w:val="24"/>
          <w:szCs w:val="24"/>
          <w:lang w:val="en-US"/>
        </w:rPr>
        <w:t xml:space="preserve"> </w:t>
      </w:r>
      <w:r w:rsidR="000D5581" w:rsidRPr="00E14F98">
        <w:rPr>
          <w:rFonts w:ascii="Book Antiqua" w:hAnsi="Book Antiqua"/>
          <w:sz w:val="24"/>
          <w:szCs w:val="24"/>
          <w:lang w:val="en-US"/>
        </w:rPr>
        <w:t xml:space="preserve">whereas those decompensated tended to be treated with BSC. </w:t>
      </w:r>
      <w:r w:rsidR="00E066FC" w:rsidRPr="00E14F98">
        <w:rPr>
          <w:rFonts w:ascii="Book Antiqua" w:hAnsi="Book Antiqua"/>
          <w:sz w:val="24"/>
          <w:szCs w:val="24"/>
          <w:lang w:val="en-US"/>
        </w:rPr>
        <w:t xml:space="preserve">Moreover, sorafenib, and </w:t>
      </w:r>
      <w:r w:rsidR="00FB6697" w:rsidRPr="00E14F98">
        <w:rPr>
          <w:rFonts w:ascii="Book Antiqua" w:hAnsi="Book Antiqua"/>
          <w:sz w:val="24"/>
          <w:szCs w:val="24"/>
          <w:lang w:val="en-US"/>
        </w:rPr>
        <w:t xml:space="preserve">not </w:t>
      </w:r>
      <w:r w:rsidR="00E066FC" w:rsidRPr="00E14F98">
        <w:rPr>
          <w:rFonts w:ascii="Book Antiqua" w:hAnsi="Book Antiqua"/>
          <w:sz w:val="24"/>
          <w:szCs w:val="24"/>
          <w:lang w:val="en-US"/>
        </w:rPr>
        <w:t>BSC</w:t>
      </w:r>
      <w:r w:rsidR="00FB6697" w:rsidRPr="00E14F98">
        <w:rPr>
          <w:rFonts w:ascii="Book Antiqua" w:hAnsi="Book Antiqua"/>
          <w:sz w:val="24"/>
          <w:szCs w:val="24"/>
          <w:lang w:val="en-US"/>
        </w:rPr>
        <w:t>, is the reference standard treatment for advanced-stage HCC</w:t>
      </w:r>
      <w:r w:rsidR="00E066FC" w:rsidRPr="00E14F98">
        <w:rPr>
          <w:rFonts w:ascii="Book Antiqua" w:hAnsi="Book Antiqua"/>
          <w:sz w:val="24"/>
          <w:szCs w:val="24"/>
          <w:lang w:val="en-US"/>
        </w:rPr>
        <w:t>, hence, direct comparisons between the two therapies are needed</w:t>
      </w:r>
      <w:r w:rsidR="00FB6697" w:rsidRPr="00E14F98">
        <w:rPr>
          <w:rFonts w:ascii="Book Antiqua" w:hAnsi="Book Antiqua"/>
          <w:sz w:val="24"/>
          <w:szCs w:val="24"/>
          <w:lang w:val="en-US"/>
        </w:rPr>
        <w:t xml:space="preserve">. </w:t>
      </w:r>
    </w:p>
    <w:p w:rsidR="00BB650A" w:rsidRPr="00E14F98" w:rsidRDefault="00EF290A"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The only head-to-head comparison between the two treatments published so far, is a retrospective European study delivered by the Vienna </w:t>
      </w:r>
      <w:proofErr w:type="gramStart"/>
      <w:r w:rsidRPr="00E14F98">
        <w:rPr>
          <w:rFonts w:ascii="Book Antiqua" w:hAnsi="Book Antiqua"/>
          <w:sz w:val="24"/>
          <w:szCs w:val="24"/>
          <w:lang w:val="en-US"/>
        </w:rPr>
        <w:t>group</w:t>
      </w:r>
      <w:r w:rsidR="003C4D9C" w:rsidRPr="00E14F98">
        <w:rPr>
          <w:rFonts w:ascii="Book Antiqua" w:hAnsi="Book Antiqua"/>
          <w:sz w:val="24"/>
          <w:szCs w:val="24"/>
          <w:vertAlign w:val="superscript"/>
          <w:lang w:val="en-US"/>
        </w:rPr>
        <w:t>[</w:t>
      </w:r>
      <w:proofErr w:type="gramEnd"/>
      <w:r w:rsidR="003C4D9C" w:rsidRPr="00E14F98">
        <w:rPr>
          <w:rFonts w:ascii="Book Antiqua" w:hAnsi="Book Antiqua"/>
          <w:sz w:val="24"/>
          <w:szCs w:val="24"/>
          <w:vertAlign w:val="superscript"/>
          <w:lang w:val="en-US"/>
        </w:rPr>
        <w:t>91]</w:t>
      </w:r>
      <w:r w:rsidRPr="00E14F98">
        <w:rPr>
          <w:rFonts w:ascii="Book Antiqua" w:hAnsi="Book Antiqua"/>
          <w:sz w:val="24"/>
          <w:szCs w:val="24"/>
          <w:lang w:val="en-US"/>
        </w:rPr>
        <w:t xml:space="preserve">. </w:t>
      </w:r>
      <w:r w:rsidR="00842C4E" w:rsidRPr="00E14F98">
        <w:rPr>
          <w:rFonts w:ascii="Book Antiqua" w:hAnsi="Book Antiqua"/>
          <w:sz w:val="24"/>
          <w:szCs w:val="24"/>
          <w:lang w:val="en-US"/>
        </w:rPr>
        <w:t>By the way</w:t>
      </w:r>
      <w:r w:rsidR="00F8434E" w:rsidRPr="00E14F98">
        <w:rPr>
          <w:rFonts w:ascii="Book Antiqua" w:hAnsi="Book Antiqua"/>
          <w:sz w:val="24"/>
          <w:szCs w:val="24"/>
          <w:lang w:val="en-US"/>
        </w:rPr>
        <w:t xml:space="preserve">, even in this well written paper, an underlying selection bias can be detected, as thrombosis of the main trunk of portal vein (well-known as at poorer prognosis) </w:t>
      </w:r>
      <w:r w:rsidR="00EA3BD6" w:rsidRPr="00E14F98">
        <w:rPr>
          <w:rFonts w:ascii="Book Antiqua" w:hAnsi="Book Antiqua"/>
          <w:sz w:val="24"/>
          <w:szCs w:val="24"/>
          <w:lang w:val="en-US"/>
        </w:rPr>
        <w:t>was more frequently present in the sorafenib group than in the TACE group</w:t>
      </w:r>
      <w:r w:rsidR="0093586C">
        <w:rPr>
          <w:rFonts w:ascii="Book Antiqua" w:hAnsi="Book Antiqua"/>
          <w:sz w:val="24"/>
          <w:szCs w:val="24"/>
          <w:lang w:val="en-US"/>
        </w:rPr>
        <w:t xml:space="preserve"> (25% </w:t>
      </w:r>
      <w:r w:rsidR="0093586C" w:rsidRPr="0093586C">
        <w:rPr>
          <w:rFonts w:ascii="Book Antiqua" w:hAnsi="Book Antiqua"/>
          <w:i/>
          <w:sz w:val="24"/>
          <w:szCs w:val="24"/>
          <w:lang w:val="en-US"/>
        </w:rPr>
        <w:t>v</w:t>
      </w:r>
      <w:r w:rsidR="00F8434E" w:rsidRPr="0093586C">
        <w:rPr>
          <w:rFonts w:ascii="Book Antiqua" w:hAnsi="Book Antiqua"/>
          <w:i/>
          <w:sz w:val="24"/>
          <w:szCs w:val="24"/>
          <w:lang w:val="en-US"/>
        </w:rPr>
        <w:t>s</w:t>
      </w:r>
      <w:r w:rsidR="00F8434E" w:rsidRPr="00E14F98">
        <w:rPr>
          <w:rFonts w:ascii="Book Antiqua" w:hAnsi="Book Antiqua"/>
          <w:sz w:val="24"/>
          <w:szCs w:val="24"/>
          <w:lang w:val="en-US"/>
        </w:rPr>
        <w:t xml:space="preserve"> 3%)</w:t>
      </w:r>
      <w:r w:rsidR="00EA3BD6" w:rsidRPr="00E14F98">
        <w:rPr>
          <w:rFonts w:ascii="Book Antiqua" w:hAnsi="Book Antiqua"/>
          <w:sz w:val="24"/>
          <w:szCs w:val="24"/>
          <w:lang w:val="en-US"/>
        </w:rPr>
        <w:t xml:space="preserve">. </w:t>
      </w:r>
      <w:r w:rsidR="00AC1FA9" w:rsidRPr="00E14F98">
        <w:rPr>
          <w:rFonts w:ascii="Book Antiqua" w:hAnsi="Book Antiqua"/>
          <w:sz w:val="24"/>
          <w:szCs w:val="24"/>
          <w:lang w:val="en-US"/>
        </w:rPr>
        <w:t>Median TTP</w:t>
      </w:r>
      <w:r w:rsidR="00315438" w:rsidRPr="00E14F98">
        <w:rPr>
          <w:rFonts w:ascii="Book Antiqua" w:hAnsi="Book Antiqua"/>
          <w:sz w:val="24"/>
          <w:szCs w:val="24"/>
          <w:lang w:val="en-US"/>
        </w:rPr>
        <w:t xml:space="preserve"> was similar between the two treatment</w:t>
      </w:r>
      <w:r w:rsidR="00D15CDE" w:rsidRPr="00E14F98">
        <w:rPr>
          <w:rFonts w:ascii="Book Antiqua" w:hAnsi="Book Antiqua"/>
          <w:sz w:val="24"/>
          <w:szCs w:val="24"/>
          <w:lang w:val="en-US"/>
        </w:rPr>
        <w:t xml:space="preserve"> </w:t>
      </w:r>
      <w:r w:rsidR="00315438" w:rsidRPr="00E14F98">
        <w:rPr>
          <w:rFonts w:ascii="Book Antiqua" w:hAnsi="Book Antiqua"/>
          <w:sz w:val="24"/>
          <w:szCs w:val="24"/>
          <w:lang w:val="en-US"/>
        </w:rPr>
        <w:t>groups (</w:t>
      </w:r>
      <w:r w:rsidR="0093586C" w:rsidRPr="0093586C">
        <w:rPr>
          <w:rFonts w:ascii="Book Antiqua" w:hAnsi="Book Antiqua"/>
          <w:i/>
          <w:iCs/>
          <w:sz w:val="24"/>
          <w:szCs w:val="24"/>
          <w:lang w:val="en-US"/>
        </w:rPr>
        <w:t>P</w:t>
      </w:r>
      <w:r w:rsidR="0093586C">
        <w:rPr>
          <w:rFonts w:ascii="Book Antiqua" w:hAnsi="Book Antiqua"/>
          <w:iCs/>
          <w:sz w:val="24"/>
          <w:szCs w:val="24"/>
          <w:lang w:val="en-US"/>
        </w:rPr>
        <w:t xml:space="preserve"> =</w:t>
      </w:r>
      <w:r w:rsidR="00315438" w:rsidRPr="00E14F98">
        <w:rPr>
          <w:rFonts w:ascii="Book Antiqua" w:hAnsi="Book Antiqua"/>
          <w:sz w:val="24"/>
          <w:szCs w:val="24"/>
          <w:lang w:val="en-US"/>
        </w:rPr>
        <w:t xml:space="preserve"> </w:t>
      </w:r>
      <w:r w:rsidR="00D15CDE" w:rsidRPr="00E14F98">
        <w:rPr>
          <w:rFonts w:ascii="Book Antiqua" w:hAnsi="Book Antiqua"/>
          <w:sz w:val="24"/>
          <w:szCs w:val="24"/>
          <w:lang w:val="en-US"/>
        </w:rPr>
        <w:t>0</w:t>
      </w:r>
      <w:r w:rsidR="00AC1FA9" w:rsidRPr="00E14F98">
        <w:rPr>
          <w:rFonts w:ascii="Book Antiqua" w:hAnsi="Book Antiqua"/>
          <w:sz w:val="24"/>
          <w:szCs w:val="24"/>
          <w:lang w:val="en-US"/>
        </w:rPr>
        <w:t>.737) as well as median OS (</w:t>
      </w:r>
      <w:r w:rsidR="00315438" w:rsidRPr="00E14F98">
        <w:rPr>
          <w:rFonts w:ascii="Book Antiqua" w:hAnsi="Book Antiqua"/>
          <w:sz w:val="24"/>
          <w:szCs w:val="24"/>
          <w:lang w:val="en-US"/>
        </w:rPr>
        <w:t>9.2</w:t>
      </w:r>
      <w:r w:rsidR="00D15CDE" w:rsidRPr="00E14F98">
        <w:rPr>
          <w:rFonts w:ascii="Book Antiqua" w:hAnsi="Book Antiqua"/>
          <w:sz w:val="24"/>
          <w:szCs w:val="24"/>
          <w:lang w:val="en-US"/>
        </w:rPr>
        <w:t xml:space="preserve"> </w:t>
      </w:r>
      <w:r w:rsidR="00315438" w:rsidRPr="00E14F98">
        <w:rPr>
          <w:rFonts w:ascii="Book Antiqua" w:hAnsi="Book Antiqua"/>
          <w:sz w:val="24"/>
          <w:szCs w:val="24"/>
          <w:lang w:val="en-US"/>
        </w:rPr>
        <w:t>mo</w:t>
      </w:r>
      <w:r w:rsidR="0093586C">
        <w:rPr>
          <w:rFonts w:ascii="Book Antiqua" w:hAnsi="Book Antiqua"/>
          <w:sz w:val="24"/>
          <w:szCs w:val="24"/>
          <w:lang w:val="en-US"/>
        </w:rPr>
        <w:t>, 95%</w:t>
      </w:r>
      <w:r w:rsidR="00AC1FA9" w:rsidRPr="00E14F98">
        <w:rPr>
          <w:rFonts w:ascii="Book Antiqua" w:hAnsi="Book Antiqua"/>
          <w:sz w:val="24"/>
          <w:szCs w:val="24"/>
          <w:lang w:val="en-US"/>
        </w:rPr>
        <w:t>CI: 6.1-</w:t>
      </w:r>
      <w:r w:rsidR="00315438" w:rsidRPr="00E14F98">
        <w:rPr>
          <w:rFonts w:ascii="Book Antiqua" w:hAnsi="Book Antiqua"/>
          <w:sz w:val="24"/>
          <w:szCs w:val="24"/>
          <w:lang w:val="en-US"/>
        </w:rPr>
        <w:t>12.3 mo</w:t>
      </w:r>
      <w:r w:rsidR="00AC1FA9" w:rsidRPr="00E14F98">
        <w:rPr>
          <w:rFonts w:ascii="Book Antiqua" w:hAnsi="Book Antiqua"/>
          <w:sz w:val="24"/>
          <w:szCs w:val="24"/>
          <w:lang w:val="en-US"/>
        </w:rPr>
        <w:t xml:space="preserve"> after TACE </w:t>
      </w:r>
      <w:r w:rsidR="00AC1FA9" w:rsidRPr="0093586C">
        <w:rPr>
          <w:rFonts w:ascii="Book Antiqua" w:hAnsi="Book Antiqua"/>
          <w:i/>
          <w:sz w:val="24"/>
          <w:szCs w:val="24"/>
          <w:lang w:val="en-US"/>
        </w:rPr>
        <w:t>vs</w:t>
      </w:r>
      <w:r w:rsidR="00AC1FA9" w:rsidRPr="00E14F98">
        <w:rPr>
          <w:rFonts w:ascii="Book Antiqua" w:hAnsi="Book Antiqua"/>
          <w:sz w:val="24"/>
          <w:szCs w:val="24"/>
          <w:lang w:val="en-US"/>
        </w:rPr>
        <w:t xml:space="preserve"> 7.4 mo</w:t>
      </w:r>
      <w:r w:rsidR="0093586C">
        <w:rPr>
          <w:rFonts w:ascii="Book Antiqua" w:hAnsi="Book Antiqua"/>
          <w:sz w:val="24"/>
          <w:szCs w:val="24"/>
          <w:lang w:val="en-US"/>
        </w:rPr>
        <w:t>, 95%</w:t>
      </w:r>
      <w:r w:rsidR="00AC1FA9" w:rsidRPr="00E14F98">
        <w:rPr>
          <w:rFonts w:ascii="Book Antiqua" w:hAnsi="Book Antiqua"/>
          <w:sz w:val="24"/>
          <w:szCs w:val="24"/>
          <w:lang w:val="en-US"/>
        </w:rPr>
        <w:t>CI: 5.6-</w:t>
      </w:r>
      <w:r w:rsidR="00315438" w:rsidRPr="00E14F98">
        <w:rPr>
          <w:rFonts w:ascii="Book Antiqua" w:hAnsi="Book Antiqua"/>
          <w:sz w:val="24"/>
          <w:szCs w:val="24"/>
          <w:lang w:val="en-US"/>
        </w:rPr>
        <w:t>9.2 mo</w:t>
      </w:r>
      <w:r w:rsidR="00AC1FA9" w:rsidRPr="00E14F98">
        <w:rPr>
          <w:rFonts w:ascii="Book Antiqua" w:hAnsi="Book Antiqua"/>
          <w:sz w:val="24"/>
          <w:szCs w:val="24"/>
          <w:lang w:val="en-US"/>
        </w:rPr>
        <w:t xml:space="preserve"> in patients treated with sorafenib,</w:t>
      </w:r>
      <w:r w:rsidR="00672EDE" w:rsidRPr="00E14F98">
        <w:rPr>
          <w:rFonts w:ascii="Book Antiqua" w:hAnsi="Book Antiqua"/>
          <w:sz w:val="24"/>
          <w:szCs w:val="24"/>
          <w:lang w:val="en-US"/>
        </w:rPr>
        <w:t xml:space="preserve"> </w:t>
      </w:r>
      <w:r w:rsidR="0093586C" w:rsidRPr="0093586C">
        <w:rPr>
          <w:rFonts w:ascii="Book Antiqua" w:hAnsi="Book Antiqua"/>
          <w:i/>
          <w:sz w:val="24"/>
          <w:szCs w:val="24"/>
          <w:lang w:val="en-US"/>
        </w:rPr>
        <w:t>P</w:t>
      </w:r>
      <w:r w:rsidR="0093586C">
        <w:rPr>
          <w:rFonts w:ascii="Book Antiqua" w:hAnsi="Book Antiqua"/>
          <w:sz w:val="24"/>
          <w:szCs w:val="24"/>
          <w:lang w:val="en-US"/>
        </w:rPr>
        <w:t xml:space="preserve"> = </w:t>
      </w:r>
      <w:r w:rsidR="00D15CDE" w:rsidRPr="00E14F98">
        <w:rPr>
          <w:rFonts w:ascii="Book Antiqua" w:hAnsi="Book Antiqua"/>
          <w:sz w:val="24"/>
          <w:szCs w:val="24"/>
          <w:lang w:val="en-US"/>
        </w:rPr>
        <w:t>0</w:t>
      </w:r>
      <w:r w:rsidR="00315438" w:rsidRPr="00E14F98">
        <w:rPr>
          <w:rFonts w:ascii="Book Antiqua" w:hAnsi="Book Antiqua"/>
          <w:sz w:val="24"/>
          <w:szCs w:val="24"/>
          <w:lang w:val="en-US"/>
        </w:rPr>
        <w:t>.377)</w:t>
      </w:r>
      <w:r w:rsidR="002B1739" w:rsidRPr="00E14F98">
        <w:rPr>
          <w:rFonts w:ascii="Book Antiqua" w:hAnsi="Book Antiqua"/>
          <w:sz w:val="24"/>
          <w:szCs w:val="24"/>
          <w:vertAlign w:val="superscript"/>
          <w:lang w:val="en-US"/>
        </w:rPr>
        <w:t>[91]</w:t>
      </w:r>
      <w:r w:rsidR="00315438" w:rsidRPr="00E14F98">
        <w:rPr>
          <w:rFonts w:ascii="Book Antiqua" w:hAnsi="Book Antiqua"/>
          <w:sz w:val="24"/>
          <w:szCs w:val="24"/>
          <w:lang w:val="en-US"/>
        </w:rPr>
        <w:t xml:space="preserve">. </w:t>
      </w:r>
      <w:r w:rsidR="002B409E" w:rsidRPr="00E14F98">
        <w:rPr>
          <w:rFonts w:ascii="Book Antiqua" w:hAnsi="Book Antiqua"/>
          <w:sz w:val="24"/>
          <w:szCs w:val="24"/>
          <w:lang w:val="en-US"/>
        </w:rPr>
        <w:t xml:space="preserve">Interestingly, </w:t>
      </w:r>
      <w:r w:rsidR="001B7BC7" w:rsidRPr="00E14F98">
        <w:rPr>
          <w:rFonts w:ascii="Book Antiqua" w:hAnsi="Book Antiqua"/>
          <w:sz w:val="24"/>
          <w:szCs w:val="24"/>
          <w:lang w:val="en-US"/>
        </w:rPr>
        <w:t xml:space="preserve">in the Austrian study, </w:t>
      </w:r>
      <w:r w:rsidR="002B409E" w:rsidRPr="00E14F98">
        <w:rPr>
          <w:rFonts w:ascii="Book Antiqua" w:hAnsi="Book Antiqua"/>
          <w:sz w:val="24"/>
          <w:szCs w:val="24"/>
          <w:lang w:val="en-US"/>
        </w:rPr>
        <w:t xml:space="preserve">TACE achieved </w:t>
      </w:r>
      <w:r w:rsidR="00315438" w:rsidRPr="00E14F98">
        <w:rPr>
          <w:rFonts w:ascii="Book Antiqua" w:hAnsi="Book Antiqua"/>
          <w:sz w:val="24"/>
          <w:szCs w:val="24"/>
          <w:lang w:val="en-US"/>
        </w:rPr>
        <w:t>promising outcome</w:t>
      </w:r>
      <w:r w:rsidR="002B409E" w:rsidRPr="00E14F98">
        <w:rPr>
          <w:rFonts w:ascii="Book Antiqua" w:hAnsi="Book Antiqua"/>
          <w:sz w:val="24"/>
          <w:szCs w:val="24"/>
          <w:lang w:val="en-US"/>
        </w:rPr>
        <w:t>s</w:t>
      </w:r>
      <w:r w:rsidR="00315438" w:rsidRPr="00E14F98">
        <w:rPr>
          <w:rFonts w:ascii="Book Antiqua" w:hAnsi="Book Antiqua"/>
          <w:sz w:val="24"/>
          <w:szCs w:val="24"/>
          <w:lang w:val="en-US"/>
        </w:rPr>
        <w:t xml:space="preserve"> </w:t>
      </w:r>
      <w:r w:rsidR="002B409E" w:rsidRPr="00E14F98">
        <w:rPr>
          <w:rFonts w:ascii="Book Antiqua" w:hAnsi="Book Antiqua"/>
          <w:sz w:val="24"/>
          <w:szCs w:val="24"/>
          <w:lang w:val="en-US"/>
        </w:rPr>
        <w:t xml:space="preserve">(median OS of 14 mo) </w:t>
      </w:r>
      <w:r w:rsidR="00315438" w:rsidRPr="00E14F98">
        <w:rPr>
          <w:rFonts w:ascii="Book Antiqua" w:hAnsi="Book Antiqua"/>
          <w:sz w:val="24"/>
          <w:szCs w:val="24"/>
          <w:lang w:val="en-US"/>
        </w:rPr>
        <w:t>in select</w:t>
      </w:r>
      <w:r w:rsidR="002B409E" w:rsidRPr="00E14F98">
        <w:rPr>
          <w:rFonts w:ascii="Book Antiqua" w:hAnsi="Book Antiqua"/>
          <w:sz w:val="24"/>
          <w:szCs w:val="24"/>
          <w:lang w:val="en-US"/>
        </w:rPr>
        <w:t>ed</w:t>
      </w:r>
      <w:r w:rsidR="00315438" w:rsidRPr="00E14F98">
        <w:rPr>
          <w:rFonts w:ascii="Book Antiqua" w:hAnsi="Book Antiqua"/>
          <w:sz w:val="24"/>
          <w:szCs w:val="24"/>
          <w:lang w:val="en-US"/>
        </w:rPr>
        <w:t xml:space="preserve"> </w:t>
      </w:r>
      <w:r w:rsidR="002B409E" w:rsidRPr="00E14F98">
        <w:rPr>
          <w:rFonts w:ascii="Book Antiqua" w:hAnsi="Book Antiqua"/>
          <w:sz w:val="24"/>
          <w:szCs w:val="24"/>
          <w:lang w:val="en-US"/>
        </w:rPr>
        <w:t xml:space="preserve">advanced </w:t>
      </w:r>
      <w:r w:rsidR="00315438" w:rsidRPr="00E14F98">
        <w:rPr>
          <w:rFonts w:ascii="Book Antiqua" w:hAnsi="Book Antiqua"/>
          <w:sz w:val="24"/>
          <w:szCs w:val="24"/>
          <w:lang w:val="en-US"/>
        </w:rPr>
        <w:t>patients</w:t>
      </w:r>
      <w:r w:rsidR="002B409E" w:rsidRPr="00E14F98">
        <w:rPr>
          <w:rFonts w:ascii="Book Antiqua" w:hAnsi="Book Antiqua"/>
          <w:sz w:val="24"/>
          <w:szCs w:val="24"/>
          <w:lang w:val="en-US"/>
        </w:rPr>
        <w:t xml:space="preserve"> (CP A and segmental PVT)</w:t>
      </w:r>
      <w:r w:rsidR="00BB650A" w:rsidRPr="00E14F98">
        <w:rPr>
          <w:rFonts w:ascii="Book Antiqua" w:hAnsi="Book Antiqua"/>
          <w:sz w:val="24"/>
          <w:szCs w:val="24"/>
          <w:lang w:val="en-US"/>
        </w:rPr>
        <w:t>, a result confirme</w:t>
      </w:r>
      <w:r w:rsidR="00020BF3" w:rsidRPr="00E14F98">
        <w:rPr>
          <w:rFonts w:ascii="Book Antiqua" w:hAnsi="Book Antiqua"/>
          <w:sz w:val="24"/>
          <w:szCs w:val="24"/>
          <w:lang w:val="en-US"/>
        </w:rPr>
        <w:t xml:space="preserve">d in other retrospective </w:t>
      </w:r>
      <w:proofErr w:type="gramStart"/>
      <w:r w:rsidR="00020BF3" w:rsidRPr="00E14F98">
        <w:rPr>
          <w:rFonts w:ascii="Book Antiqua" w:hAnsi="Book Antiqua"/>
          <w:sz w:val="24"/>
          <w:szCs w:val="24"/>
          <w:lang w:val="en-US"/>
        </w:rPr>
        <w:t>reports</w:t>
      </w:r>
      <w:r w:rsidR="00F17AAA" w:rsidRPr="00E14F98">
        <w:rPr>
          <w:rFonts w:ascii="Book Antiqua" w:hAnsi="Book Antiqua"/>
          <w:sz w:val="24"/>
          <w:szCs w:val="24"/>
          <w:vertAlign w:val="superscript"/>
          <w:lang w:val="en-US"/>
        </w:rPr>
        <w:t>[</w:t>
      </w:r>
      <w:proofErr w:type="gramEnd"/>
      <w:r w:rsidR="00F17AAA" w:rsidRPr="00E14F98">
        <w:rPr>
          <w:rFonts w:ascii="Book Antiqua" w:hAnsi="Book Antiqua"/>
          <w:sz w:val="24"/>
          <w:szCs w:val="24"/>
          <w:vertAlign w:val="superscript"/>
          <w:lang w:val="en-US"/>
        </w:rPr>
        <w:t>92]</w:t>
      </w:r>
      <w:r w:rsidR="00315438" w:rsidRPr="00E14F98">
        <w:rPr>
          <w:rFonts w:ascii="Book Antiqua" w:hAnsi="Book Antiqua"/>
          <w:sz w:val="24"/>
          <w:szCs w:val="24"/>
          <w:lang w:val="en-US"/>
        </w:rPr>
        <w:t>.</w:t>
      </w:r>
      <w:r w:rsidR="002B409E" w:rsidRPr="00E14F98">
        <w:rPr>
          <w:rFonts w:ascii="Book Antiqua" w:hAnsi="Book Antiqua"/>
          <w:sz w:val="24"/>
          <w:szCs w:val="24"/>
          <w:lang w:val="en-US"/>
        </w:rPr>
        <w:t xml:space="preserve"> However, </w:t>
      </w:r>
      <w:r w:rsidR="00517827" w:rsidRPr="00E14F98">
        <w:rPr>
          <w:rFonts w:ascii="Book Antiqua" w:hAnsi="Book Antiqua"/>
          <w:sz w:val="24"/>
          <w:szCs w:val="24"/>
          <w:lang w:val="en-US"/>
        </w:rPr>
        <w:t xml:space="preserve">in the TACE group, 13 patients experienced </w:t>
      </w:r>
      <w:r w:rsidR="002B409E" w:rsidRPr="00E14F98">
        <w:rPr>
          <w:rFonts w:ascii="Book Antiqua" w:hAnsi="Book Antiqua"/>
          <w:sz w:val="24"/>
          <w:szCs w:val="24"/>
          <w:lang w:val="en-US"/>
        </w:rPr>
        <w:t>severe</w:t>
      </w:r>
      <w:r w:rsidR="00AB063D" w:rsidRPr="00E14F98">
        <w:rPr>
          <w:rFonts w:ascii="Book Antiqua" w:hAnsi="Book Antiqua"/>
          <w:sz w:val="24"/>
          <w:szCs w:val="24"/>
          <w:lang w:val="en-US"/>
        </w:rPr>
        <w:t xml:space="preserve"> adverse events </w:t>
      </w:r>
      <w:r w:rsidR="00EA3BD6" w:rsidRPr="00E14F98">
        <w:rPr>
          <w:rFonts w:ascii="Book Antiqua" w:hAnsi="Book Antiqua"/>
          <w:sz w:val="24"/>
          <w:szCs w:val="24"/>
          <w:lang w:val="en-US"/>
        </w:rPr>
        <w:t xml:space="preserve">and 4 </w:t>
      </w:r>
      <w:r w:rsidR="00517827" w:rsidRPr="00E14F98">
        <w:rPr>
          <w:rFonts w:ascii="Book Antiqua" w:hAnsi="Book Antiqua"/>
          <w:sz w:val="24"/>
          <w:szCs w:val="24"/>
          <w:lang w:val="en-US"/>
        </w:rPr>
        <w:t>treatment</w:t>
      </w:r>
      <w:r w:rsidR="00EA3BD6" w:rsidRPr="00E14F98">
        <w:rPr>
          <w:rFonts w:ascii="Book Antiqua" w:hAnsi="Book Antiqua"/>
          <w:sz w:val="24"/>
          <w:szCs w:val="24"/>
          <w:lang w:val="en-US"/>
        </w:rPr>
        <w:t>-related deaths</w:t>
      </w:r>
      <w:r w:rsidR="0011610C" w:rsidRPr="00E14F98">
        <w:rPr>
          <w:rFonts w:ascii="Book Antiqua" w:hAnsi="Book Antiqua"/>
          <w:sz w:val="24"/>
          <w:szCs w:val="24"/>
          <w:lang w:val="en-US"/>
        </w:rPr>
        <w:t xml:space="preserve">, thus pointing out serious concerns on the safety of TACE in this </w:t>
      </w:r>
      <w:proofErr w:type="gramStart"/>
      <w:r w:rsidR="0011610C" w:rsidRPr="00E14F98">
        <w:rPr>
          <w:rFonts w:ascii="Book Antiqua" w:hAnsi="Book Antiqua"/>
          <w:sz w:val="24"/>
          <w:szCs w:val="24"/>
          <w:lang w:val="en-US"/>
        </w:rPr>
        <w:t>setting</w:t>
      </w:r>
      <w:r w:rsidR="0093586C" w:rsidRPr="00E14F98">
        <w:rPr>
          <w:rFonts w:ascii="Book Antiqua" w:hAnsi="Book Antiqua"/>
          <w:sz w:val="24"/>
          <w:szCs w:val="24"/>
          <w:vertAlign w:val="superscript"/>
          <w:lang w:val="en-US"/>
        </w:rPr>
        <w:t>[</w:t>
      </w:r>
      <w:proofErr w:type="gramEnd"/>
      <w:r w:rsidR="0093586C" w:rsidRPr="00E14F98">
        <w:rPr>
          <w:rFonts w:ascii="Book Antiqua" w:hAnsi="Book Antiqua"/>
          <w:sz w:val="24"/>
          <w:szCs w:val="24"/>
          <w:vertAlign w:val="superscript"/>
          <w:lang w:val="en-US"/>
        </w:rPr>
        <w:t>91]</w:t>
      </w:r>
      <w:r w:rsidR="00AB063D" w:rsidRPr="00E14F98">
        <w:rPr>
          <w:rFonts w:ascii="Book Antiqua" w:hAnsi="Book Antiqua"/>
          <w:sz w:val="24"/>
          <w:szCs w:val="24"/>
          <w:lang w:val="en-US"/>
        </w:rPr>
        <w:t xml:space="preserve">. </w:t>
      </w:r>
    </w:p>
    <w:p w:rsidR="00F23740" w:rsidRPr="00E14F98" w:rsidRDefault="00AB063D"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t xml:space="preserve">Therefore, </w:t>
      </w:r>
      <w:r w:rsidR="00315438" w:rsidRPr="00E14F98">
        <w:rPr>
          <w:rFonts w:ascii="Book Antiqua" w:hAnsi="Book Antiqua"/>
          <w:sz w:val="24"/>
          <w:szCs w:val="24"/>
          <w:lang w:val="en-US"/>
        </w:rPr>
        <w:t>TACE might be a reasonable alternative</w:t>
      </w:r>
      <w:r w:rsidRPr="00E14F98">
        <w:rPr>
          <w:rFonts w:ascii="Book Antiqua" w:hAnsi="Book Antiqua"/>
          <w:sz w:val="24"/>
          <w:szCs w:val="24"/>
          <w:lang w:val="en-US"/>
        </w:rPr>
        <w:t xml:space="preserve"> </w:t>
      </w:r>
      <w:r w:rsidR="00315438" w:rsidRPr="00E14F98">
        <w:rPr>
          <w:rFonts w:ascii="Book Antiqua" w:hAnsi="Book Antiqua"/>
          <w:sz w:val="24"/>
          <w:szCs w:val="24"/>
          <w:lang w:val="en-US"/>
        </w:rPr>
        <w:t>for select</w:t>
      </w:r>
      <w:r w:rsidR="00EA4BF6" w:rsidRPr="00E14F98">
        <w:rPr>
          <w:rFonts w:ascii="Book Antiqua" w:hAnsi="Book Antiqua"/>
          <w:sz w:val="24"/>
          <w:szCs w:val="24"/>
          <w:lang w:val="en-US"/>
        </w:rPr>
        <w:t>ed</w:t>
      </w:r>
      <w:r w:rsidR="00315438" w:rsidRPr="00E14F98">
        <w:rPr>
          <w:rFonts w:ascii="Book Antiqua" w:hAnsi="Book Antiqua"/>
          <w:sz w:val="24"/>
          <w:szCs w:val="24"/>
          <w:lang w:val="en-US"/>
        </w:rPr>
        <w:t xml:space="preserve"> </w:t>
      </w:r>
      <w:r w:rsidR="005557FE" w:rsidRPr="00E14F98">
        <w:rPr>
          <w:rFonts w:ascii="Book Antiqua" w:hAnsi="Book Antiqua"/>
          <w:sz w:val="24"/>
          <w:szCs w:val="24"/>
          <w:lang w:val="en-US"/>
        </w:rPr>
        <w:t xml:space="preserve">advanced </w:t>
      </w:r>
      <w:r w:rsidR="00315438" w:rsidRPr="00E14F98">
        <w:rPr>
          <w:rFonts w:ascii="Book Antiqua" w:hAnsi="Book Antiqua"/>
          <w:sz w:val="24"/>
          <w:szCs w:val="24"/>
          <w:lang w:val="en-US"/>
        </w:rPr>
        <w:t xml:space="preserve">patients </w:t>
      </w:r>
      <w:r w:rsidR="005557FE" w:rsidRPr="00E14F98">
        <w:rPr>
          <w:rFonts w:ascii="Book Antiqua" w:hAnsi="Book Antiqua"/>
          <w:sz w:val="24"/>
          <w:szCs w:val="24"/>
          <w:lang w:val="en-US"/>
        </w:rPr>
        <w:t xml:space="preserve">(segmental PVT and CP A) </w:t>
      </w:r>
      <w:r w:rsidR="00315438" w:rsidRPr="00E14F98">
        <w:rPr>
          <w:rFonts w:ascii="Book Antiqua" w:hAnsi="Book Antiqua"/>
          <w:sz w:val="24"/>
          <w:szCs w:val="24"/>
          <w:lang w:val="en-US"/>
        </w:rPr>
        <w:t>who do not</w:t>
      </w:r>
      <w:r w:rsidRPr="00E14F98">
        <w:rPr>
          <w:rFonts w:ascii="Book Antiqua" w:hAnsi="Book Antiqua"/>
          <w:sz w:val="24"/>
          <w:szCs w:val="24"/>
          <w:lang w:val="en-US"/>
        </w:rPr>
        <w:t xml:space="preserve"> </w:t>
      </w:r>
      <w:r w:rsidR="00315438" w:rsidRPr="00E14F98">
        <w:rPr>
          <w:rFonts w:ascii="Book Antiqua" w:hAnsi="Book Antiqua"/>
          <w:sz w:val="24"/>
          <w:szCs w:val="24"/>
          <w:lang w:val="en-US"/>
        </w:rPr>
        <w:t>have access</w:t>
      </w:r>
      <w:r w:rsidR="00F23740" w:rsidRPr="00E14F98">
        <w:rPr>
          <w:rFonts w:ascii="Book Antiqua" w:hAnsi="Book Antiqua"/>
          <w:sz w:val="24"/>
          <w:szCs w:val="24"/>
          <w:lang w:val="en-US"/>
        </w:rPr>
        <w:t xml:space="preserve"> or are intolerant</w:t>
      </w:r>
      <w:r w:rsidR="005557FE" w:rsidRPr="00E14F98">
        <w:rPr>
          <w:rFonts w:ascii="Book Antiqua" w:hAnsi="Book Antiqua"/>
          <w:sz w:val="24"/>
          <w:szCs w:val="24"/>
          <w:lang w:val="en-US"/>
        </w:rPr>
        <w:t>/unsuitable</w:t>
      </w:r>
      <w:r w:rsidR="00F23740" w:rsidRPr="00E14F98">
        <w:rPr>
          <w:rFonts w:ascii="Book Antiqua" w:hAnsi="Book Antiqua"/>
          <w:sz w:val="24"/>
          <w:szCs w:val="24"/>
          <w:lang w:val="en-US"/>
        </w:rPr>
        <w:t xml:space="preserve"> to sorafenib</w:t>
      </w:r>
      <w:r w:rsidR="005557FE" w:rsidRPr="00E14F98">
        <w:rPr>
          <w:rFonts w:ascii="Book Antiqua" w:hAnsi="Book Antiqua"/>
          <w:sz w:val="24"/>
          <w:szCs w:val="24"/>
          <w:lang w:val="en-US"/>
        </w:rPr>
        <w:t xml:space="preserve"> or TARE</w:t>
      </w:r>
      <w:r w:rsidR="00735B5D" w:rsidRPr="00E14F98">
        <w:rPr>
          <w:rFonts w:ascii="Book Antiqua" w:hAnsi="Book Antiqua"/>
          <w:sz w:val="24"/>
          <w:szCs w:val="24"/>
          <w:lang w:val="en-US"/>
        </w:rPr>
        <w:t xml:space="preserve">, but the particular attention to be paid to the safety profile restricts this therapeutic opportunity to highly-experienced Centers. </w:t>
      </w:r>
    </w:p>
    <w:p w:rsidR="00F23740" w:rsidRPr="00E14F98" w:rsidRDefault="00F23740" w:rsidP="00E14F98">
      <w:pPr>
        <w:spacing w:after="0" w:line="360" w:lineRule="auto"/>
        <w:jc w:val="both"/>
        <w:rPr>
          <w:rFonts w:ascii="Book Antiqua" w:hAnsi="Book Antiqua"/>
          <w:sz w:val="24"/>
          <w:szCs w:val="24"/>
          <w:lang w:val="en-US"/>
        </w:rPr>
      </w:pPr>
    </w:p>
    <w:p w:rsidR="00DA05F6" w:rsidRPr="0093586C" w:rsidRDefault="006266B7" w:rsidP="00E14F98">
      <w:pPr>
        <w:spacing w:after="0" w:line="360" w:lineRule="auto"/>
        <w:jc w:val="both"/>
        <w:rPr>
          <w:rFonts w:ascii="Book Antiqua" w:hAnsi="Book Antiqua"/>
          <w:b/>
          <w:i/>
          <w:sz w:val="24"/>
          <w:szCs w:val="24"/>
          <w:lang w:val="en-US"/>
        </w:rPr>
      </w:pPr>
      <w:r w:rsidRPr="0093586C">
        <w:rPr>
          <w:rFonts w:ascii="Book Antiqua" w:hAnsi="Book Antiqua"/>
          <w:b/>
          <w:i/>
          <w:sz w:val="24"/>
          <w:szCs w:val="24"/>
          <w:lang w:val="en-US"/>
        </w:rPr>
        <w:t>Combined regimens</w:t>
      </w:r>
    </w:p>
    <w:p w:rsidR="00DA05F6" w:rsidRPr="00E14F98" w:rsidRDefault="00452D13"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A meta-analysis of 10 randomized trials and 18 observational studies including 2497 patients</w:t>
      </w:r>
      <w:r w:rsidR="006F34FC" w:rsidRPr="00E14F98">
        <w:rPr>
          <w:rFonts w:ascii="Book Antiqua" w:hAnsi="Book Antiqua"/>
          <w:sz w:val="24"/>
          <w:szCs w:val="24"/>
          <w:lang w:val="en-US"/>
        </w:rPr>
        <w:t xml:space="preserve"> </w:t>
      </w:r>
      <w:r w:rsidRPr="00E14F98">
        <w:rPr>
          <w:rFonts w:ascii="Book Antiqua" w:hAnsi="Book Antiqua"/>
          <w:sz w:val="24"/>
          <w:szCs w:val="24"/>
          <w:lang w:val="en-US"/>
        </w:rPr>
        <w:t xml:space="preserve">showed that the combination of TACE </w:t>
      </w:r>
      <w:r w:rsidR="00856F6B" w:rsidRPr="00E14F98">
        <w:rPr>
          <w:rFonts w:ascii="Book Antiqua" w:hAnsi="Book Antiqua"/>
          <w:sz w:val="24"/>
          <w:szCs w:val="24"/>
          <w:lang w:val="en-US"/>
        </w:rPr>
        <w:t>with other treatments</w:t>
      </w:r>
      <w:r w:rsidR="00B0434A" w:rsidRPr="00E14F98">
        <w:rPr>
          <w:rFonts w:ascii="Book Antiqua" w:hAnsi="Book Antiqua"/>
          <w:sz w:val="24"/>
          <w:szCs w:val="24"/>
          <w:lang w:val="en-US"/>
        </w:rPr>
        <w:t xml:space="preserve">, such as ethanol injection, external radiotherapy </w:t>
      </w:r>
      <w:r w:rsidRPr="00E14F98">
        <w:rPr>
          <w:rFonts w:ascii="Book Antiqua" w:hAnsi="Book Antiqua"/>
          <w:sz w:val="24"/>
          <w:szCs w:val="24"/>
          <w:lang w:val="en-US"/>
        </w:rPr>
        <w:t xml:space="preserve">and </w:t>
      </w:r>
      <w:r w:rsidR="00856F6B" w:rsidRPr="00E14F98">
        <w:rPr>
          <w:rFonts w:ascii="Book Antiqua" w:hAnsi="Book Antiqua"/>
          <w:sz w:val="24"/>
          <w:szCs w:val="24"/>
          <w:lang w:val="en-US"/>
        </w:rPr>
        <w:t>h</w:t>
      </w:r>
      <w:r w:rsidR="00B0434A" w:rsidRPr="00E14F98">
        <w:rPr>
          <w:rFonts w:ascii="Book Antiqua" w:hAnsi="Book Antiqua"/>
          <w:sz w:val="24"/>
          <w:szCs w:val="24"/>
          <w:lang w:val="en-US"/>
        </w:rPr>
        <w:t xml:space="preserve">igh-intensity focused ultrasound (HIFU), result in better survival outcomes </w:t>
      </w:r>
      <w:r w:rsidR="004F3F11" w:rsidRPr="00E14F98">
        <w:rPr>
          <w:rFonts w:ascii="Book Antiqua" w:hAnsi="Book Antiqua"/>
          <w:sz w:val="24"/>
          <w:szCs w:val="24"/>
          <w:lang w:val="en-US"/>
        </w:rPr>
        <w:t xml:space="preserve">and similar side effects </w:t>
      </w:r>
      <w:r w:rsidR="00B0434A" w:rsidRPr="00E14F98">
        <w:rPr>
          <w:rFonts w:ascii="Book Antiqua" w:hAnsi="Book Antiqua"/>
          <w:sz w:val="24"/>
          <w:szCs w:val="24"/>
          <w:lang w:val="en-US"/>
        </w:rPr>
        <w:t xml:space="preserve">than TACE </w:t>
      </w:r>
      <w:proofErr w:type="gramStart"/>
      <w:r w:rsidR="00B0434A" w:rsidRPr="00E14F98">
        <w:rPr>
          <w:rFonts w:ascii="Book Antiqua" w:hAnsi="Book Antiqua"/>
          <w:sz w:val="24"/>
          <w:szCs w:val="24"/>
          <w:lang w:val="en-US"/>
        </w:rPr>
        <w:t>alone</w:t>
      </w:r>
      <w:r w:rsidR="002860BD" w:rsidRPr="00E14F98">
        <w:rPr>
          <w:rFonts w:ascii="Book Antiqua" w:hAnsi="Book Antiqua"/>
          <w:sz w:val="24"/>
          <w:szCs w:val="24"/>
          <w:vertAlign w:val="superscript"/>
          <w:lang w:val="en-US"/>
        </w:rPr>
        <w:t>[</w:t>
      </w:r>
      <w:proofErr w:type="gramEnd"/>
      <w:r w:rsidR="002860BD" w:rsidRPr="00E14F98">
        <w:rPr>
          <w:rFonts w:ascii="Book Antiqua" w:hAnsi="Book Antiqua"/>
          <w:sz w:val="24"/>
          <w:szCs w:val="24"/>
          <w:vertAlign w:val="superscript"/>
          <w:lang w:val="en-US"/>
        </w:rPr>
        <w:t>93]</w:t>
      </w:r>
      <w:r w:rsidR="00B0434A" w:rsidRPr="00E14F98">
        <w:rPr>
          <w:rFonts w:ascii="Book Antiqua" w:hAnsi="Book Antiqua"/>
          <w:sz w:val="24"/>
          <w:szCs w:val="24"/>
          <w:lang w:val="en-US"/>
        </w:rPr>
        <w:t xml:space="preserve">. </w:t>
      </w:r>
      <w:r w:rsidR="00826935" w:rsidRPr="00E14F98">
        <w:rPr>
          <w:rFonts w:ascii="Book Antiqua" w:hAnsi="Book Antiqua"/>
          <w:sz w:val="24"/>
          <w:szCs w:val="24"/>
          <w:lang w:val="en-US"/>
        </w:rPr>
        <w:t xml:space="preserve">However, for each combination, the number of studies </w:t>
      </w:r>
      <w:r w:rsidRPr="00E14F98">
        <w:rPr>
          <w:rFonts w:ascii="Book Antiqua" w:hAnsi="Book Antiqua"/>
          <w:sz w:val="24"/>
          <w:szCs w:val="24"/>
          <w:lang w:val="en-US"/>
        </w:rPr>
        <w:t>were</w:t>
      </w:r>
      <w:r w:rsidR="00D67FA0" w:rsidRPr="00E14F98">
        <w:rPr>
          <w:rFonts w:ascii="Book Antiqua" w:hAnsi="Book Antiqua"/>
          <w:sz w:val="24"/>
          <w:szCs w:val="24"/>
          <w:lang w:val="en-US"/>
        </w:rPr>
        <w:t xml:space="preserve"> </w:t>
      </w:r>
      <w:r w:rsidR="00826935" w:rsidRPr="00E14F98">
        <w:rPr>
          <w:rFonts w:ascii="Book Antiqua" w:hAnsi="Book Antiqua"/>
          <w:sz w:val="24"/>
          <w:szCs w:val="24"/>
          <w:lang w:val="en-US"/>
        </w:rPr>
        <w:t>mostly inadequate to provide a definitive recommendation</w:t>
      </w:r>
      <w:r w:rsidRPr="00E14F98">
        <w:rPr>
          <w:rFonts w:ascii="Book Antiqua" w:hAnsi="Book Antiqua"/>
          <w:sz w:val="24"/>
          <w:szCs w:val="24"/>
          <w:lang w:val="en-US"/>
        </w:rPr>
        <w:t>, thus further well-organized</w:t>
      </w:r>
      <w:r w:rsidR="00D67FA0" w:rsidRPr="00E14F98">
        <w:rPr>
          <w:rFonts w:ascii="Book Antiqua" w:hAnsi="Book Antiqua"/>
          <w:sz w:val="24"/>
          <w:szCs w:val="24"/>
          <w:lang w:val="en-US"/>
        </w:rPr>
        <w:t xml:space="preserve"> </w:t>
      </w:r>
      <w:r w:rsidR="00826935" w:rsidRPr="00E14F98">
        <w:rPr>
          <w:rFonts w:ascii="Book Antiqua" w:hAnsi="Book Antiqua"/>
          <w:sz w:val="24"/>
          <w:szCs w:val="24"/>
          <w:lang w:val="en-US"/>
        </w:rPr>
        <w:t>randomized trials are</w:t>
      </w:r>
      <w:r w:rsidRPr="00E14F98">
        <w:rPr>
          <w:rFonts w:ascii="Book Antiqua" w:hAnsi="Book Antiqua"/>
          <w:sz w:val="24"/>
          <w:szCs w:val="24"/>
          <w:lang w:val="en-US"/>
        </w:rPr>
        <w:t xml:space="preserve"> needed to confirm these findings.</w:t>
      </w:r>
    </w:p>
    <w:p w:rsidR="00490C64" w:rsidRPr="00E14F98" w:rsidRDefault="007D278A" w:rsidP="0093586C">
      <w:pPr>
        <w:spacing w:after="0" w:line="360" w:lineRule="auto"/>
        <w:ind w:firstLineChars="100" w:firstLine="240"/>
        <w:jc w:val="both"/>
        <w:rPr>
          <w:rFonts w:ascii="Book Antiqua" w:hAnsi="Book Antiqua"/>
          <w:sz w:val="24"/>
          <w:szCs w:val="24"/>
          <w:lang w:val="en-US"/>
        </w:rPr>
      </w:pPr>
      <w:r w:rsidRPr="00E14F98">
        <w:rPr>
          <w:rFonts w:ascii="Book Antiqua" w:hAnsi="Book Antiqua"/>
          <w:sz w:val="24"/>
          <w:szCs w:val="24"/>
          <w:lang w:val="en-US"/>
        </w:rPr>
        <w:lastRenderedPageBreak/>
        <w:t>TACE is ass</w:t>
      </w:r>
      <w:r w:rsidR="00E55A76" w:rsidRPr="00E14F98">
        <w:rPr>
          <w:rFonts w:ascii="Book Antiqua" w:hAnsi="Book Antiqua"/>
          <w:sz w:val="24"/>
          <w:szCs w:val="24"/>
          <w:lang w:val="en-US"/>
        </w:rPr>
        <w:t>ociated with local and systemic increase</w:t>
      </w:r>
      <w:r w:rsidRPr="00E14F98">
        <w:rPr>
          <w:rFonts w:ascii="Book Antiqua" w:hAnsi="Book Antiqua"/>
          <w:sz w:val="24"/>
          <w:szCs w:val="24"/>
          <w:lang w:val="en-US"/>
        </w:rPr>
        <w:t xml:space="preserve"> in vascular endothelial growth factor (VEGF), since embolization interrupts blood supply to the tumor,</w:t>
      </w:r>
      <w:r w:rsidR="005818B3" w:rsidRPr="00E14F98">
        <w:rPr>
          <w:rFonts w:ascii="Book Antiqua" w:hAnsi="Book Antiqua"/>
          <w:sz w:val="24"/>
          <w:szCs w:val="24"/>
          <w:lang w:val="en-US"/>
        </w:rPr>
        <w:t xml:space="preserve"> inducing hypoxia and </w:t>
      </w:r>
      <w:proofErr w:type="gramStart"/>
      <w:r w:rsidR="005818B3" w:rsidRPr="00E14F98">
        <w:rPr>
          <w:rFonts w:ascii="Book Antiqua" w:hAnsi="Book Antiqua"/>
          <w:sz w:val="24"/>
          <w:szCs w:val="24"/>
          <w:lang w:val="en-US"/>
        </w:rPr>
        <w:t>necrosis</w:t>
      </w:r>
      <w:r w:rsidR="00CA03C4" w:rsidRPr="00E14F98">
        <w:rPr>
          <w:rFonts w:ascii="Book Antiqua" w:hAnsi="Book Antiqua"/>
          <w:sz w:val="24"/>
          <w:szCs w:val="24"/>
          <w:vertAlign w:val="superscript"/>
          <w:lang w:val="en-US"/>
        </w:rPr>
        <w:t>[</w:t>
      </w:r>
      <w:proofErr w:type="gramEnd"/>
      <w:r w:rsidR="00CA03C4" w:rsidRPr="00E14F98">
        <w:rPr>
          <w:rFonts w:ascii="Book Antiqua" w:hAnsi="Book Antiqua"/>
          <w:sz w:val="24"/>
          <w:szCs w:val="24"/>
          <w:vertAlign w:val="superscript"/>
          <w:lang w:val="en-US"/>
        </w:rPr>
        <w:t>94]</w:t>
      </w:r>
      <w:r w:rsidR="005818B3" w:rsidRPr="00E14F98">
        <w:rPr>
          <w:rFonts w:ascii="Book Antiqua" w:hAnsi="Book Antiqua"/>
          <w:sz w:val="24"/>
          <w:szCs w:val="24"/>
          <w:lang w:val="en-US"/>
        </w:rPr>
        <w:t>.</w:t>
      </w:r>
      <w:r w:rsidR="00715DCE" w:rsidRPr="00E14F98">
        <w:rPr>
          <w:rFonts w:ascii="Book Antiqua" w:hAnsi="Book Antiqua"/>
          <w:sz w:val="24"/>
          <w:szCs w:val="24"/>
          <w:vertAlign w:val="superscript"/>
          <w:lang w:val="en-US"/>
        </w:rPr>
        <w:t xml:space="preserve"> </w:t>
      </w:r>
      <w:r w:rsidR="00321A67" w:rsidRPr="00E14F98">
        <w:rPr>
          <w:rFonts w:ascii="Book Antiqua" w:hAnsi="Book Antiqua"/>
          <w:sz w:val="24"/>
          <w:szCs w:val="24"/>
          <w:lang w:val="en-US"/>
        </w:rPr>
        <w:t xml:space="preserve">These observations suggest that an antiangiogenetic agent (namely, sorafenib) may counteract TACE-induced angiogenesis, thus improving the post-procedural </w:t>
      </w:r>
      <w:proofErr w:type="gramStart"/>
      <w:r w:rsidR="00321A67" w:rsidRPr="00E14F98">
        <w:rPr>
          <w:rFonts w:ascii="Book Antiqua" w:hAnsi="Book Antiqua"/>
          <w:sz w:val="24"/>
          <w:szCs w:val="24"/>
          <w:lang w:val="en-US"/>
        </w:rPr>
        <w:t>outcomes</w:t>
      </w:r>
      <w:r w:rsidR="00D73BCD" w:rsidRPr="00E14F98">
        <w:rPr>
          <w:rFonts w:ascii="Book Antiqua" w:hAnsi="Book Antiqua"/>
          <w:sz w:val="24"/>
          <w:szCs w:val="24"/>
          <w:vertAlign w:val="superscript"/>
          <w:lang w:val="en-US"/>
        </w:rPr>
        <w:t>[</w:t>
      </w:r>
      <w:proofErr w:type="gramEnd"/>
      <w:r w:rsidR="00D73BCD" w:rsidRPr="00E14F98">
        <w:rPr>
          <w:rFonts w:ascii="Book Antiqua" w:hAnsi="Book Antiqua"/>
          <w:sz w:val="24"/>
          <w:szCs w:val="24"/>
          <w:vertAlign w:val="superscript"/>
          <w:lang w:val="en-US"/>
        </w:rPr>
        <w:t>95,96]</w:t>
      </w:r>
      <w:r w:rsidR="00321A67" w:rsidRPr="00E14F98">
        <w:rPr>
          <w:rFonts w:ascii="Book Antiqua" w:hAnsi="Book Antiqua"/>
          <w:sz w:val="24"/>
          <w:szCs w:val="24"/>
          <w:lang w:val="en-US"/>
        </w:rPr>
        <w:t xml:space="preserve">. </w:t>
      </w:r>
      <w:r w:rsidR="004E5D38" w:rsidRPr="00E14F98">
        <w:rPr>
          <w:rFonts w:ascii="Book Antiqua" w:hAnsi="Book Antiqua"/>
          <w:sz w:val="24"/>
          <w:szCs w:val="24"/>
          <w:lang w:val="en-US"/>
        </w:rPr>
        <w:t>Two important RCTs have explored the feasibility and the efficacy of the combined regimen</w:t>
      </w:r>
      <w:r w:rsidR="00C86CF3" w:rsidRPr="00E14F98">
        <w:rPr>
          <w:rFonts w:ascii="Book Antiqua" w:hAnsi="Book Antiqua"/>
          <w:sz w:val="24"/>
          <w:szCs w:val="24"/>
          <w:lang w:val="en-US"/>
        </w:rPr>
        <w:t xml:space="preserve">, without finding any definitive evidence in favor of the association of sorafenib with </w:t>
      </w:r>
      <w:proofErr w:type="gramStart"/>
      <w:r w:rsidR="00C86CF3" w:rsidRPr="00E14F98">
        <w:rPr>
          <w:rFonts w:ascii="Book Antiqua" w:hAnsi="Book Antiqua"/>
          <w:sz w:val="24"/>
          <w:szCs w:val="24"/>
          <w:lang w:val="en-US"/>
        </w:rPr>
        <w:t>TACE</w:t>
      </w:r>
      <w:r w:rsidR="00D73BCD" w:rsidRPr="00E14F98">
        <w:rPr>
          <w:rFonts w:ascii="Book Antiqua" w:hAnsi="Book Antiqua"/>
          <w:sz w:val="24"/>
          <w:szCs w:val="24"/>
          <w:vertAlign w:val="superscript"/>
          <w:lang w:val="en-US"/>
        </w:rPr>
        <w:t>[</w:t>
      </w:r>
      <w:proofErr w:type="gramEnd"/>
      <w:r w:rsidR="00D73BCD" w:rsidRPr="00E14F98">
        <w:rPr>
          <w:rFonts w:ascii="Book Antiqua" w:hAnsi="Book Antiqua"/>
          <w:sz w:val="24"/>
          <w:szCs w:val="24"/>
          <w:vertAlign w:val="superscript"/>
          <w:lang w:val="en-US"/>
        </w:rPr>
        <w:t>97,98</w:t>
      </w:r>
      <w:r w:rsidR="004E5D38" w:rsidRPr="00E14F98">
        <w:rPr>
          <w:rFonts w:ascii="Book Antiqua" w:hAnsi="Book Antiqua"/>
          <w:sz w:val="24"/>
          <w:szCs w:val="24"/>
          <w:vertAlign w:val="superscript"/>
          <w:lang w:val="en-US"/>
        </w:rPr>
        <w:t>]</w:t>
      </w:r>
      <w:r w:rsidR="00C86CF3" w:rsidRPr="00E14F98">
        <w:rPr>
          <w:rFonts w:ascii="Book Antiqua" w:hAnsi="Book Antiqua"/>
          <w:sz w:val="24"/>
          <w:szCs w:val="24"/>
          <w:lang w:val="en-US"/>
        </w:rPr>
        <w:t>.</w:t>
      </w:r>
      <w:r w:rsidR="002E30F8" w:rsidRPr="00E14F98">
        <w:rPr>
          <w:rFonts w:ascii="Book Antiqua" w:hAnsi="Book Antiqua"/>
          <w:sz w:val="24"/>
          <w:szCs w:val="24"/>
          <w:lang w:val="en-US"/>
        </w:rPr>
        <w:t xml:space="preserve"> However, since other smaller RCTs and retrospective studies provided discordant results, combined regimens between antiangiogenetic agents and TACE remain an interesting field of </w:t>
      </w:r>
      <w:r w:rsidR="00721E98" w:rsidRPr="00E14F98">
        <w:rPr>
          <w:rFonts w:ascii="Book Antiqua" w:hAnsi="Book Antiqua"/>
          <w:sz w:val="24"/>
          <w:szCs w:val="24"/>
          <w:lang w:val="en-US"/>
        </w:rPr>
        <w:t>research in hepato-</w:t>
      </w:r>
      <w:proofErr w:type="gramStart"/>
      <w:r w:rsidR="00721E98" w:rsidRPr="00E14F98">
        <w:rPr>
          <w:rFonts w:ascii="Book Antiqua" w:hAnsi="Book Antiqua"/>
          <w:sz w:val="24"/>
          <w:szCs w:val="24"/>
          <w:lang w:val="en-US"/>
        </w:rPr>
        <w:t>oncology</w:t>
      </w:r>
      <w:r w:rsidR="00D73BCD" w:rsidRPr="00E14F98">
        <w:rPr>
          <w:rFonts w:ascii="Book Antiqua" w:hAnsi="Book Antiqua"/>
          <w:sz w:val="24"/>
          <w:szCs w:val="24"/>
          <w:vertAlign w:val="superscript"/>
          <w:lang w:val="en-US"/>
        </w:rPr>
        <w:t>[</w:t>
      </w:r>
      <w:proofErr w:type="gramEnd"/>
      <w:r w:rsidR="00D73BCD" w:rsidRPr="00E14F98">
        <w:rPr>
          <w:rFonts w:ascii="Book Antiqua" w:hAnsi="Book Antiqua"/>
          <w:sz w:val="24"/>
          <w:szCs w:val="24"/>
          <w:vertAlign w:val="superscript"/>
          <w:lang w:val="en-US"/>
        </w:rPr>
        <w:t>99-102</w:t>
      </w:r>
      <w:r w:rsidR="00721E98" w:rsidRPr="00E14F98">
        <w:rPr>
          <w:rFonts w:ascii="Book Antiqua" w:hAnsi="Book Antiqua"/>
          <w:sz w:val="24"/>
          <w:szCs w:val="24"/>
          <w:vertAlign w:val="superscript"/>
          <w:lang w:val="en-US"/>
        </w:rPr>
        <w:t>]</w:t>
      </w:r>
      <w:r w:rsidR="00721E98" w:rsidRPr="00E14F98">
        <w:rPr>
          <w:rFonts w:ascii="Book Antiqua" w:hAnsi="Book Antiqua"/>
          <w:sz w:val="24"/>
          <w:szCs w:val="24"/>
          <w:lang w:val="en-US"/>
        </w:rPr>
        <w:t>.</w:t>
      </w:r>
    </w:p>
    <w:p w:rsidR="00A17AD3" w:rsidRPr="00E14F98" w:rsidRDefault="00A17AD3" w:rsidP="00E14F98">
      <w:pPr>
        <w:spacing w:after="0" w:line="360" w:lineRule="auto"/>
        <w:jc w:val="both"/>
        <w:rPr>
          <w:rFonts w:ascii="Book Antiqua" w:hAnsi="Book Antiqua"/>
          <w:sz w:val="24"/>
          <w:szCs w:val="24"/>
          <w:lang w:val="en-US"/>
        </w:rPr>
      </w:pPr>
    </w:p>
    <w:p w:rsidR="00252A8B" w:rsidRPr="00E14F98" w:rsidRDefault="0093586C" w:rsidP="00E14F98">
      <w:pPr>
        <w:spacing w:after="0" w:line="360" w:lineRule="auto"/>
        <w:jc w:val="both"/>
        <w:rPr>
          <w:rFonts w:ascii="Book Antiqua" w:hAnsi="Book Antiqua"/>
          <w:b/>
          <w:sz w:val="24"/>
          <w:szCs w:val="24"/>
          <w:lang w:val="en-US"/>
        </w:rPr>
      </w:pPr>
      <w:r w:rsidRPr="00E14F98">
        <w:rPr>
          <w:rFonts w:ascii="Book Antiqua" w:hAnsi="Book Antiqua"/>
          <w:b/>
          <w:sz w:val="24"/>
          <w:szCs w:val="24"/>
          <w:lang w:val="en-US"/>
        </w:rPr>
        <w:t>CONCLUSION</w:t>
      </w:r>
    </w:p>
    <w:p w:rsidR="00B20308" w:rsidRPr="00E14F98" w:rsidRDefault="00252A8B" w:rsidP="00E14F98">
      <w:pPr>
        <w:spacing w:after="0" w:line="360" w:lineRule="auto"/>
        <w:jc w:val="both"/>
        <w:rPr>
          <w:rFonts w:ascii="Book Antiqua" w:hAnsi="Book Antiqua"/>
          <w:sz w:val="24"/>
          <w:szCs w:val="24"/>
          <w:lang w:val="en-US"/>
        </w:rPr>
      </w:pPr>
      <w:r w:rsidRPr="00E14F98">
        <w:rPr>
          <w:rFonts w:ascii="Book Antiqua" w:hAnsi="Book Antiqua"/>
          <w:sz w:val="24"/>
          <w:szCs w:val="24"/>
          <w:lang w:val="en-US"/>
        </w:rPr>
        <w:t xml:space="preserve">TACE covers a broad spectrum of therapeutic indications in hepato-oncology and, if the proper selection of candidates is followed, represents a safe and effective treatment. </w:t>
      </w:r>
      <w:r w:rsidR="00B20308" w:rsidRPr="00E14F98">
        <w:rPr>
          <w:rFonts w:ascii="Book Antiqua" w:hAnsi="Book Antiqua"/>
          <w:sz w:val="24"/>
          <w:szCs w:val="24"/>
          <w:lang w:val="en-US"/>
        </w:rPr>
        <w:t xml:space="preserve">Further studies are needed to correctly expand treatment indications and </w:t>
      </w:r>
      <w:r w:rsidR="00A13375" w:rsidRPr="00E14F98">
        <w:rPr>
          <w:rFonts w:ascii="Book Antiqua" w:hAnsi="Book Antiqua"/>
          <w:sz w:val="24"/>
          <w:szCs w:val="24"/>
          <w:lang w:val="en-US"/>
        </w:rPr>
        <w:t xml:space="preserve">define the more appropriate combined regimens with other loco-regional therapies or systemic drugs. </w:t>
      </w:r>
    </w:p>
    <w:p w:rsidR="00252A8B" w:rsidRPr="00E14F98" w:rsidRDefault="00252A8B" w:rsidP="00E14F98">
      <w:pPr>
        <w:spacing w:after="0" w:line="360" w:lineRule="auto"/>
        <w:jc w:val="both"/>
        <w:rPr>
          <w:rFonts w:ascii="Book Antiqua" w:hAnsi="Book Antiqua"/>
          <w:b/>
          <w:sz w:val="24"/>
          <w:szCs w:val="24"/>
          <w:lang w:val="en-US"/>
        </w:rPr>
      </w:pPr>
    </w:p>
    <w:p w:rsidR="00A17AD3" w:rsidRPr="00B93BE0" w:rsidRDefault="0093586C" w:rsidP="00B93BE0">
      <w:pPr>
        <w:spacing w:after="0" w:line="360" w:lineRule="auto"/>
        <w:jc w:val="both"/>
        <w:rPr>
          <w:rFonts w:ascii="Book Antiqua" w:hAnsi="Book Antiqua"/>
          <w:b/>
          <w:sz w:val="24"/>
          <w:szCs w:val="24"/>
          <w:lang w:val="en-US" w:eastAsia="zh-CN"/>
        </w:rPr>
      </w:pPr>
      <w:r w:rsidRPr="00B93BE0">
        <w:rPr>
          <w:rFonts w:ascii="Book Antiqua" w:hAnsi="Book Antiqua"/>
          <w:b/>
          <w:sz w:val="24"/>
          <w:szCs w:val="24"/>
          <w:lang w:val="en-US"/>
        </w:rPr>
        <w:t>REFERENCES</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1 </w:t>
      </w:r>
      <w:r w:rsidRPr="00B93BE0">
        <w:rPr>
          <w:rFonts w:ascii="Book Antiqua" w:eastAsia="宋体" w:hAnsi="Book Antiqua" w:cs="宋体"/>
          <w:b/>
          <w:bCs/>
          <w:color w:val="000000"/>
          <w:sz w:val="24"/>
          <w:szCs w:val="24"/>
          <w:lang w:val="en-US" w:eastAsia="zh-CN"/>
        </w:rPr>
        <w:t>Bruix J</w:t>
      </w:r>
      <w:r w:rsidRPr="00B93BE0">
        <w:rPr>
          <w:rFonts w:ascii="Book Antiqua" w:eastAsia="宋体" w:hAnsi="Book Antiqua" w:cs="宋体"/>
          <w:color w:val="000000"/>
          <w:sz w:val="24"/>
          <w:szCs w:val="24"/>
          <w:lang w:val="en-US" w:eastAsia="zh-CN"/>
        </w:rPr>
        <w:t>, Sherman M. Management of hepatocellular carcinoma: an update.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53</w:t>
      </w:r>
      <w:r w:rsidRPr="00B93BE0">
        <w:rPr>
          <w:rFonts w:ascii="Book Antiqua" w:eastAsia="宋体" w:hAnsi="Book Antiqua" w:cs="宋体"/>
          <w:color w:val="000000"/>
          <w:sz w:val="24"/>
          <w:szCs w:val="24"/>
          <w:lang w:val="en-US" w:eastAsia="zh-CN"/>
        </w:rPr>
        <w:t>: 1020-1022 [PMID: 21374666 DOI: 10.1002/hep.24199</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 xml:space="preserve">2 </w:t>
      </w:r>
      <w:hyperlink r:id="rId9" w:history="1">
        <w:r w:rsidR="00773E67" w:rsidRPr="00773E67">
          <w:rPr>
            <w:rFonts w:ascii="Book Antiqua" w:eastAsia="宋体" w:hAnsi="Book Antiqua" w:cs="宋体"/>
            <w:color w:val="000000"/>
            <w:sz w:val="24"/>
            <w:szCs w:val="24"/>
            <w:lang w:val="en-US" w:eastAsia="zh-CN"/>
          </w:rPr>
          <w:t>European Association For The Study Of The Liver</w:t>
        </w:r>
      </w:hyperlink>
      <w:r w:rsidR="00773E67" w:rsidRPr="00773E67">
        <w:rPr>
          <w:rFonts w:ascii="Book Antiqua" w:eastAsia="宋体" w:hAnsi="Book Antiqua" w:cs="宋体"/>
          <w:color w:val="000000"/>
          <w:sz w:val="24"/>
          <w:szCs w:val="24"/>
          <w:lang w:val="en-US" w:eastAsia="zh-CN"/>
        </w:rPr>
        <w:t>1;</w:t>
      </w:r>
      <w:r w:rsidR="00773E67" w:rsidRPr="00773E67">
        <w:rPr>
          <w:rFonts w:ascii="Book Antiqua" w:eastAsia="宋体" w:hAnsi="Book Antiqua" w:cs="宋体"/>
          <w:sz w:val="24"/>
          <w:szCs w:val="24"/>
          <w:lang w:val="en-US" w:eastAsia="zh-CN"/>
        </w:rPr>
        <w:t> </w:t>
      </w:r>
      <w:hyperlink r:id="rId10" w:history="1">
        <w:r w:rsidR="00773E67" w:rsidRPr="00773E67">
          <w:rPr>
            <w:rFonts w:ascii="Book Antiqua" w:eastAsia="宋体" w:hAnsi="Book Antiqua" w:cs="宋体"/>
            <w:color w:val="000000"/>
            <w:sz w:val="24"/>
            <w:szCs w:val="24"/>
            <w:lang w:val="en-US" w:eastAsia="zh-CN"/>
          </w:rPr>
          <w:t>European Organisation For Research And Treatment Of Cancer</w:t>
        </w:r>
      </w:hyperlink>
      <w:r w:rsidR="00773E67" w:rsidRPr="00773E67">
        <w:rPr>
          <w:rFonts w:ascii="Book Antiqua" w:eastAsia="宋体" w:hAnsi="Book Antiqua" w:cs="宋体"/>
          <w:color w:val="000000"/>
          <w:sz w:val="24"/>
          <w:szCs w:val="24"/>
          <w:lang w:val="en-US" w:eastAsia="zh-CN"/>
        </w:rPr>
        <w:t>.</w:t>
      </w:r>
      <w:r w:rsidR="00773E67">
        <w:rPr>
          <w:rFonts w:ascii="Book Antiqua" w:eastAsia="宋体" w:hAnsi="Book Antiqua" w:cs="宋体" w:hint="eastAsia"/>
          <w:color w:val="000000"/>
          <w:sz w:val="24"/>
          <w:szCs w:val="24"/>
          <w:lang w:val="en-US" w:eastAsia="zh-CN"/>
        </w:rPr>
        <w:t xml:space="preserve"> </w:t>
      </w:r>
      <w:r w:rsidRPr="00B93BE0">
        <w:rPr>
          <w:rFonts w:ascii="Book Antiqua" w:eastAsia="宋体" w:hAnsi="Book Antiqua" w:cs="宋体"/>
          <w:color w:val="000000"/>
          <w:sz w:val="24"/>
          <w:szCs w:val="24"/>
          <w:lang w:val="en-US" w:eastAsia="zh-CN"/>
        </w:rPr>
        <w:t>EASL-EORTC clinical practice guidelines: management of hepatocellular carcinoma.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56</w:t>
      </w:r>
      <w:r w:rsidRPr="00B93BE0">
        <w:rPr>
          <w:rFonts w:ascii="Book Antiqua" w:eastAsia="宋体" w:hAnsi="Book Antiqua" w:cs="宋体"/>
          <w:color w:val="000000"/>
          <w:sz w:val="24"/>
          <w:szCs w:val="24"/>
          <w:lang w:val="en-US" w:eastAsia="zh-CN"/>
        </w:rPr>
        <w:t>: 908-943 [PMID: 22424438 DOI: 10.1016/j.jhep.2011.12.001</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3 </w:t>
      </w:r>
      <w:r w:rsidRPr="00B93BE0">
        <w:rPr>
          <w:rFonts w:ascii="Book Antiqua" w:eastAsia="宋体" w:hAnsi="Book Antiqua" w:cs="宋体"/>
          <w:b/>
          <w:bCs/>
          <w:color w:val="000000"/>
          <w:sz w:val="24"/>
          <w:szCs w:val="24"/>
          <w:lang w:val="en-US" w:eastAsia="zh-CN"/>
        </w:rPr>
        <w:t>Lencioni R</w:t>
      </w:r>
      <w:r w:rsidRPr="00B93BE0">
        <w:rPr>
          <w:rFonts w:ascii="Book Antiqua" w:eastAsia="宋体" w:hAnsi="Book Antiqua" w:cs="宋体"/>
          <w:color w:val="000000"/>
          <w:sz w:val="24"/>
          <w:szCs w:val="24"/>
          <w:lang w:val="en-US" w:eastAsia="zh-CN"/>
        </w:rPr>
        <w:t>, Petruzzi P, Crocetti L. Chemoembolization of hepatocellular carcinoma. </w:t>
      </w:r>
      <w:r w:rsidRPr="00B93BE0">
        <w:rPr>
          <w:rFonts w:ascii="Book Antiqua" w:eastAsia="宋体" w:hAnsi="Book Antiqua" w:cs="宋体"/>
          <w:i/>
          <w:iCs/>
          <w:color w:val="000000"/>
          <w:sz w:val="24"/>
          <w:szCs w:val="24"/>
          <w:lang w:val="en-US" w:eastAsia="zh-CN"/>
        </w:rPr>
        <w:t>Semin Intervent Radiol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30</w:t>
      </w:r>
      <w:r w:rsidRPr="00B93BE0">
        <w:rPr>
          <w:rFonts w:ascii="Book Antiqua" w:eastAsia="宋体" w:hAnsi="Book Antiqua" w:cs="宋体"/>
          <w:color w:val="000000"/>
          <w:sz w:val="24"/>
          <w:szCs w:val="24"/>
          <w:lang w:val="en-US" w:eastAsia="zh-CN"/>
        </w:rPr>
        <w:t>: 3-11 [PMID: 24436512 DOI: 10.1055/s-0033-1333648</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4 </w:t>
      </w:r>
      <w:r w:rsidRPr="00B93BE0">
        <w:rPr>
          <w:rFonts w:ascii="Book Antiqua" w:eastAsia="宋体" w:hAnsi="Book Antiqua" w:cs="宋体"/>
          <w:b/>
          <w:bCs/>
          <w:color w:val="000000"/>
          <w:sz w:val="24"/>
          <w:szCs w:val="24"/>
          <w:lang w:val="en-US" w:eastAsia="zh-CN"/>
        </w:rPr>
        <w:t>Lencioni R</w:t>
      </w:r>
      <w:r w:rsidRPr="00B93BE0">
        <w:rPr>
          <w:rFonts w:ascii="Book Antiqua" w:eastAsia="宋体" w:hAnsi="Book Antiqua" w:cs="宋体"/>
          <w:color w:val="000000"/>
          <w:sz w:val="24"/>
          <w:szCs w:val="24"/>
          <w:lang w:val="en-US" w:eastAsia="zh-CN"/>
        </w:rPr>
        <w:t>, de Baere T, Burrel M, Caridi JG, Lammer J, Malagari K, Martin RC, O'Grady E, Real MI, Vogl TJ, Watkinson A, Geschwind JF. Transcatheter treatment of hepatocellular carcinoma with Doxorubicin-loaded DC Bead (DEBDOX): technical recommendations.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35</w:t>
      </w:r>
      <w:r w:rsidRPr="00B93BE0">
        <w:rPr>
          <w:rFonts w:ascii="Book Antiqua" w:eastAsia="宋体" w:hAnsi="Book Antiqua" w:cs="宋体"/>
          <w:color w:val="000000"/>
          <w:sz w:val="24"/>
          <w:szCs w:val="24"/>
          <w:lang w:val="en-US" w:eastAsia="zh-CN"/>
        </w:rPr>
        <w:t>: 980-985 [PMID: 22009576]</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5 </w:t>
      </w:r>
      <w:r w:rsidRPr="00B93BE0">
        <w:rPr>
          <w:rFonts w:ascii="Book Antiqua" w:eastAsia="宋体" w:hAnsi="Book Antiqua" w:cs="宋体"/>
          <w:b/>
          <w:bCs/>
          <w:color w:val="000000"/>
          <w:sz w:val="24"/>
          <w:szCs w:val="24"/>
          <w:lang w:val="en-US" w:eastAsia="zh-CN"/>
        </w:rPr>
        <w:t>Raoul JL</w:t>
      </w:r>
      <w:r w:rsidRPr="00B93BE0">
        <w:rPr>
          <w:rFonts w:ascii="Book Antiqua" w:eastAsia="宋体" w:hAnsi="Book Antiqua" w:cs="宋体"/>
          <w:color w:val="000000"/>
          <w:sz w:val="24"/>
          <w:szCs w:val="24"/>
          <w:lang w:val="en-US" w:eastAsia="zh-CN"/>
        </w:rPr>
        <w:t xml:space="preserve">, Sangro B, Forner A, Mazzaferro V, Piscaglia F, Bolondi L, Lencioni R. Evolving strategies for the management of intermediate-stage hepatocellular carcinoma: available </w:t>
      </w:r>
      <w:r w:rsidRPr="00B93BE0">
        <w:rPr>
          <w:rFonts w:ascii="Book Antiqua" w:eastAsia="宋体" w:hAnsi="Book Antiqua" w:cs="宋体"/>
          <w:color w:val="000000"/>
          <w:sz w:val="24"/>
          <w:szCs w:val="24"/>
          <w:lang w:val="en-US" w:eastAsia="zh-CN"/>
        </w:rPr>
        <w:lastRenderedPageBreak/>
        <w:t>evidence and expert opinion on the use of transarterial chemoembolization. </w:t>
      </w:r>
      <w:r w:rsidRPr="00B93BE0">
        <w:rPr>
          <w:rFonts w:ascii="Book Antiqua" w:eastAsia="宋体" w:hAnsi="Book Antiqua" w:cs="宋体"/>
          <w:i/>
          <w:iCs/>
          <w:color w:val="000000"/>
          <w:sz w:val="24"/>
          <w:szCs w:val="24"/>
          <w:lang w:val="en-US" w:eastAsia="zh-CN"/>
        </w:rPr>
        <w:t>Cancer Treat Rev</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37</w:t>
      </w:r>
      <w:r w:rsidRPr="00B93BE0">
        <w:rPr>
          <w:rFonts w:ascii="Book Antiqua" w:eastAsia="宋体" w:hAnsi="Book Antiqua" w:cs="宋体"/>
          <w:color w:val="000000"/>
          <w:sz w:val="24"/>
          <w:szCs w:val="24"/>
          <w:lang w:val="en-US" w:eastAsia="zh-CN"/>
        </w:rPr>
        <w:t>: 212-220 [PMID: 20724077 DOI: 10.1016/j.ctrv.2010.07.006</w:t>
      </w:r>
      <w:r>
        <w:rPr>
          <w:rFonts w:ascii="Book Antiqua" w:eastAsia="宋体" w:hAnsi="Book Antiqua" w:cs="宋体"/>
          <w:color w:val="000000"/>
          <w:sz w:val="24"/>
          <w:szCs w:val="24"/>
          <w:lang w:val="en-US" w:eastAsia="zh-CN"/>
        </w:rPr>
        <w:t>]</w:t>
      </w:r>
    </w:p>
    <w:p w:rsidR="00773E67" w:rsidRPr="00E14F98" w:rsidRDefault="00773E67" w:rsidP="00773E67">
      <w:pPr>
        <w:pStyle w:val="ListParagraph"/>
        <w:spacing w:after="0" w:line="360" w:lineRule="auto"/>
        <w:ind w:left="0"/>
        <w:jc w:val="both"/>
        <w:rPr>
          <w:rFonts w:ascii="Book Antiqua" w:hAnsi="Book Antiqua"/>
          <w:sz w:val="24"/>
          <w:szCs w:val="24"/>
          <w:lang w:val="en-US" w:eastAsia="zh-CN"/>
        </w:rPr>
      </w:pPr>
      <w:r w:rsidRPr="00773E67">
        <w:rPr>
          <w:rFonts w:ascii="Book Antiqua" w:hAnsi="Book Antiqua" w:hint="eastAsia"/>
          <w:sz w:val="24"/>
          <w:szCs w:val="24"/>
          <w:lang w:val="en-US" w:eastAsia="zh-CN"/>
        </w:rPr>
        <w:t>6</w:t>
      </w:r>
      <w:r>
        <w:rPr>
          <w:rFonts w:ascii="Book Antiqua" w:hAnsi="Book Antiqua" w:hint="eastAsia"/>
          <w:b/>
          <w:sz w:val="24"/>
          <w:szCs w:val="24"/>
          <w:lang w:val="en-US" w:eastAsia="zh-CN"/>
        </w:rPr>
        <w:t xml:space="preserve"> </w:t>
      </w:r>
      <w:r w:rsidRPr="00E14F98">
        <w:rPr>
          <w:rFonts w:ascii="Book Antiqua" w:hAnsi="Book Antiqua"/>
          <w:b/>
          <w:sz w:val="24"/>
          <w:szCs w:val="24"/>
          <w:lang w:val="en-US"/>
        </w:rPr>
        <w:t>Burrel M</w:t>
      </w:r>
      <w:r w:rsidRPr="00E14F98">
        <w:rPr>
          <w:rFonts w:ascii="Book Antiqua" w:hAnsi="Book Antiqua"/>
          <w:sz w:val="24"/>
          <w:szCs w:val="24"/>
          <w:lang w:val="en-US"/>
        </w:rPr>
        <w:t xml:space="preserve">, Reig M, Forner A, Barrufet M, de Lope CR, Tremosini S, Ayuso C, Llovet JM, Real MI, Bruix J. Survival of patients with hepatocellular carcinoma treated by transarterial chemoembolisation (TACE) using Drug Eluting Beads. </w:t>
      </w:r>
      <w:proofErr w:type="gramStart"/>
      <w:r w:rsidRPr="00E14F98">
        <w:rPr>
          <w:rFonts w:ascii="Book Antiqua" w:hAnsi="Book Antiqua"/>
          <w:sz w:val="24"/>
          <w:szCs w:val="24"/>
          <w:lang w:val="en-US"/>
        </w:rPr>
        <w:t>Implications for clinical pract</w:t>
      </w:r>
      <w:r>
        <w:rPr>
          <w:rFonts w:ascii="Book Antiqua" w:hAnsi="Book Antiqua"/>
          <w:sz w:val="24"/>
          <w:szCs w:val="24"/>
          <w:lang w:val="en-US"/>
        </w:rPr>
        <w:t>ice and trial design.</w:t>
      </w:r>
      <w:proofErr w:type="gramEnd"/>
      <w:r>
        <w:rPr>
          <w:rFonts w:ascii="Book Antiqua" w:hAnsi="Book Antiqua"/>
          <w:sz w:val="24"/>
          <w:szCs w:val="24"/>
          <w:lang w:val="en-US"/>
        </w:rPr>
        <w:t xml:space="preserve"> </w:t>
      </w:r>
      <w:r w:rsidRPr="00773E67">
        <w:rPr>
          <w:rFonts w:ascii="Book Antiqua" w:hAnsi="Book Antiqua"/>
          <w:i/>
          <w:sz w:val="24"/>
          <w:szCs w:val="24"/>
          <w:lang w:val="en-US"/>
        </w:rPr>
        <w:t xml:space="preserve">J Hepatol </w:t>
      </w:r>
      <w:r w:rsidRPr="00E14F98">
        <w:rPr>
          <w:rFonts w:ascii="Book Antiqua" w:hAnsi="Book Antiqua"/>
          <w:sz w:val="24"/>
          <w:szCs w:val="24"/>
          <w:lang w:val="en-US"/>
        </w:rPr>
        <w:t>2012;</w:t>
      </w:r>
      <w:r>
        <w:rPr>
          <w:rFonts w:ascii="Book Antiqua" w:hAnsi="Book Antiqua" w:hint="eastAsia"/>
          <w:sz w:val="24"/>
          <w:szCs w:val="24"/>
          <w:lang w:val="en-US" w:eastAsia="zh-CN"/>
        </w:rPr>
        <w:t xml:space="preserve"> </w:t>
      </w:r>
      <w:r w:rsidRPr="00773E67">
        <w:rPr>
          <w:rFonts w:ascii="Book Antiqua" w:hAnsi="Book Antiqua"/>
          <w:b/>
          <w:sz w:val="24"/>
          <w:szCs w:val="24"/>
          <w:lang w:val="en-US"/>
        </w:rPr>
        <w:t>56:</w:t>
      </w:r>
      <w:r>
        <w:rPr>
          <w:rFonts w:ascii="Book Antiqua" w:hAnsi="Book Antiqua" w:hint="eastAsia"/>
          <w:sz w:val="24"/>
          <w:szCs w:val="24"/>
          <w:lang w:val="en-US" w:eastAsia="zh-CN"/>
        </w:rPr>
        <w:t xml:space="preserve"> </w:t>
      </w:r>
      <w:r w:rsidRPr="00E14F98">
        <w:rPr>
          <w:rFonts w:ascii="Book Antiqua" w:hAnsi="Book Antiqua"/>
          <w:sz w:val="24"/>
          <w:szCs w:val="24"/>
          <w:lang w:val="en-US"/>
        </w:rPr>
        <w:t xml:space="preserve">1330-1335 </w:t>
      </w:r>
      <w:r>
        <w:rPr>
          <w:rFonts w:ascii="Book Antiqua" w:hAnsi="Book Antiqua" w:hint="eastAsia"/>
          <w:sz w:val="24"/>
          <w:szCs w:val="24"/>
          <w:lang w:val="en-US" w:eastAsia="zh-CN"/>
        </w:rPr>
        <w:t>[</w:t>
      </w:r>
      <w:r w:rsidRPr="00E14F98">
        <w:rPr>
          <w:rFonts w:ascii="Book Antiqua" w:hAnsi="Book Antiqua"/>
          <w:sz w:val="24"/>
          <w:szCs w:val="24"/>
          <w:lang w:val="en-US"/>
        </w:rPr>
        <w:t>PMID: 22314428</w:t>
      </w:r>
      <w:r>
        <w:rPr>
          <w:rFonts w:ascii="Book Antiqua" w:hAnsi="Book Antiqua" w:hint="eastAsia"/>
          <w:sz w:val="24"/>
          <w:szCs w:val="24"/>
          <w:lang w:val="en-US" w:eastAsia="zh-CN"/>
        </w:rPr>
        <w:t xml:space="preserve"> DOI</w:t>
      </w:r>
      <w:r w:rsidRPr="00E14F98">
        <w:rPr>
          <w:rFonts w:ascii="Book Antiqua" w:hAnsi="Book Antiqua"/>
          <w:sz w:val="24"/>
          <w:szCs w:val="24"/>
          <w:lang w:val="en-US"/>
        </w:rPr>
        <w:t>: 10.1016/j.jhep.2012.01.008</w:t>
      </w:r>
      <w:r>
        <w:rPr>
          <w:rFonts w:ascii="Book Antiqua" w:hAnsi="Book Antiqua" w:hint="eastAsia"/>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7 </w:t>
      </w:r>
      <w:r w:rsidRPr="00B93BE0">
        <w:rPr>
          <w:rFonts w:ascii="Book Antiqua" w:eastAsia="宋体" w:hAnsi="Book Antiqua" w:cs="宋体"/>
          <w:b/>
          <w:bCs/>
          <w:color w:val="000000"/>
          <w:sz w:val="24"/>
          <w:szCs w:val="24"/>
          <w:lang w:val="en-US" w:eastAsia="zh-CN"/>
        </w:rPr>
        <w:t>Bruix J</w:t>
      </w:r>
      <w:r w:rsidRPr="00B93BE0">
        <w:rPr>
          <w:rFonts w:ascii="Book Antiqua" w:eastAsia="宋体" w:hAnsi="Book Antiqua" w:cs="宋体"/>
          <w:color w:val="000000"/>
          <w:sz w:val="24"/>
          <w:szCs w:val="24"/>
          <w:lang w:val="en-US" w:eastAsia="zh-CN"/>
        </w:rPr>
        <w:t>, Llovet JM, Castells A, Montañá X, Brú C, Ayuso MC, Vilana R, Rodés J. Transarterial embolization versus symptomatic treatment in patients with advanced hepatocellular carcinoma: results of a randomized, controlled trial in a single institution.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1998; </w:t>
      </w:r>
      <w:r w:rsidRPr="00B93BE0">
        <w:rPr>
          <w:rFonts w:ascii="Book Antiqua" w:eastAsia="宋体" w:hAnsi="Book Antiqua" w:cs="宋体"/>
          <w:b/>
          <w:bCs/>
          <w:color w:val="000000"/>
          <w:sz w:val="24"/>
          <w:szCs w:val="24"/>
          <w:lang w:val="en-US" w:eastAsia="zh-CN"/>
        </w:rPr>
        <w:t>27</w:t>
      </w:r>
      <w:r w:rsidRPr="00B93BE0">
        <w:rPr>
          <w:rFonts w:ascii="Book Antiqua" w:eastAsia="宋体" w:hAnsi="Book Antiqua" w:cs="宋体"/>
          <w:color w:val="000000"/>
          <w:sz w:val="24"/>
          <w:szCs w:val="24"/>
          <w:lang w:val="en-US" w:eastAsia="zh-CN"/>
        </w:rPr>
        <w:t>: 1578-1583 [PMID: 9620330]</w:t>
      </w:r>
    </w:p>
    <w:p w:rsidR="00773E67" w:rsidRPr="00E14F98" w:rsidRDefault="00773E67" w:rsidP="00773E67">
      <w:pPr>
        <w:pStyle w:val="ListParagraph"/>
        <w:spacing w:after="0" w:line="360" w:lineRule="auto"/>
        <w:ind w:left="0"/>
        <w:jc w:val="both"/>
        <w:rPr>
          <w:rFonts w:ascii="Book Antiqua" w:hAnsi="Book Antiqua"/>
          <w:sz w:val="24"/>
          <w:szCs w:val="24"/>
          <w:lang w:val="en-US" w:eastAsia="zh-CN"/>
        </w:rPr>
      </w:pPr>
      <w:r w:rsidRPr="00773E67">
        <w:rPr>
          <w:rFonts w:ascii="Book Antiqua" w:hAnsi="Book Antiqua" w:hint="eastAsia"/>
          <w:sz w:val="24"/>
          <w:szCs w:val="24"/>
          <w:lang w:val="en-US" w:eastAsia="zh-CN"/>
        </w:rPr>
        <w:t xml:space="preserve">8 </w:t>
      </w:r>
      <w:r w:rsidRPr="00E14F98">
        <w:rPr>
          <w:rFonts w:ascii="Book Antiqua" w:hAnsi="Book Antiqua"/>
          <w:b/>
          <w:sz w:val="24"/>
          <w:szCs w:val="24"/>
          <w:lang w:val="en-US"/>
        </w:rPr>
        <w:t>Bayraktar Y</w:t>
      </w:r>
      <w:r w:rsidRPr="00E14F98">
        <w:rPr>
          <w:rFonts w:ascii="Book Antiqua" w:hAnsi="Book Antiqua"/>
          <w:sz w:val="24"/>
          <w:szCs w:val="24"/>
          <w:lang w:val="en-US"/>
        </w:rPr>
        <w:t xml:space="preserve">, Balkanci F, Kayhan B, Uzunalimoglu B, Gokoz A, Ozisik Y, Gurakar A, Van Thiel DH, Firat D. </w:t>
      </w:r>
      <w:proofErr w:type="gramStart"/>
      <w:r w:rsidRPr="00E14F98">
        <w:rPr>
          <w:rFonts w:ascii="Book Antiqua" w:hAnsi="Book Antiqua"/>
          <w:sz w:val="24"/>
          <w:szCs w:val="24"/>
          <w:lang w:val="en-US"/>
        </w:rPr>
        <w:t>A comparison of chemoembolization with conventional chemotherapy and symptomatic treatment in cirrhotic patients with hepatocellular carcinoma.</w:t>
      </w:r>
      <w:proofErr w:type="gramEnd"/>
      <w:r w:rsidRPr="00E14F98">
        <w:rPr>
          <w:rFonts w:ascii="Book Antiqua" w:hAnsi="Book Antiqua"/>
          <w:sz w:val="24"/>
          <w:szCs w:val="24"/>
          <w:lang w:val="en-US"/>
        </w:rPr>
        <w:t xml:space="preserve"> </w:t>
      </w:r>
      <w:r w:rsidRPr="00773E67">
        <w:rPr>
          <w:rFonts w:ascii="Book Antiqua" w:hAnsi="Book Antiqua"/>
          <w:i/>
          <w:sz w:val="24"/>
          <w:szCs w:val="24"/>
          <w:lang w:val="en-US"/>
        </w:rPr>
        <w:t>Hepatogastroenterology</w:t>
      </w:r>
      <w:r w:rsidRPr="00E14F98">
        <w:rPr>
          <w:rFonts w:ascii="Book Antiqua" w:hAnsi="Book Antiqua"/>
          <w:sz w:val="24"/>
          <w:szCs w:val="24"/>
          <w:lang w:val="en-US"/>
        </w:rPr>
        <w:t xml:space="preserve"> 1996;</w:t>
      </w:r>
      <w:r>
        <w:rPr>
          <w:rFonts w:ascii="Book Antiqua" w:hAnsi="Book Antiqua" w:hint="eastAsia"/>
          <w:sz w:val="24"/>
          <w:szCs w:val="24"/>
          <w:lang w:val="en-US" w:eastAsia="zh-CN"/>
        </w:rPr>
        <w:t xml:space="preserve"> </w:t>
      </w:r>
      <w:r w:rsidRPr="00773E67">
        <w:rPr>
          <w:rFonts w:ascii="Book Antiqua" w:hAnsi="Book Antiqua"/>
          <w:b/>
          <w:sz w:val="24"/>
          <w:szCs w:val="24"/>
          <w:lang w:val="en-US"/>
        </w:rPr>
        <w:t>43:</w:t>
      </w:r>
      <w:r w:rsidRPr="00773E67">
        <w:rPr>
          <w:rFonts w:ascii="Book Antiqua" w:hAnsi="Book Antiqua" w:hint="eastAsia"/>
          <w:b/>
          <w:sz w:val="24"/>
          <w:szCs w:val="24"/>
          <w:lang w:val="en-US" w:eastAsia="zh-CN"/>
        </w:rPr>
        <w:t xml:space="preserve"> </w:t>
      </w:r>
      <w:r w:rsidRPr="00E14F98">
        <w:rPr>
          <w:rFonts w:ascii="Book Antiqua" w:hAnsi="Book Antiqua"/>
          <w:sz w:val="24"/>
          <w:szCs w:val="24"/>
          <w:lang w:val="en-US"/>
        </w:rPr>
        <w:t xml:space="preserve">681-687 </w:t>
      </w:r>
      <w:r>
        <w:rPr>
          <w:rFonts w:ascii="Book Antiqua" w:hAnsi="Book Antiqua" w:hint="eastAsia"/>
          <w:sz w:val="24"/>
          <w:szCs w:val="24"/>
          <w:lang w:val="en-US" w:eastAsia="zh-CN"/>
        </w:rPr>
        <w:t>[</w:t>
      </w:r>
      <w:r w:rsidRPr="00E14F98">
        <w:rPr>
          <w:rFonts w:ascii="Book Antiqua" w:hAnsi="Book Antiqua"/>
          <w:sz w:val="24"/>
          <w:szCs w:val="24"/>
          <w:lang w:val="en-US"/>
        </w:rPr>
        <w:t>PMID: 8799415</w:t>
      </w:r>
      <w:r>
        <w:rPr>
          <w:rFonts w:ascii="Book Antiqua" w:hAnsi="Book Antiqua" w:hint="eastAsia"/>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proofErr w:type="gramStart"/>
      <w:r w:rsidRPr="00B93BE0">
        <w:rPr>
          <w:rFonts w:ascii="Book Antiqua" w:eastAsia="宋体" w:hAnsi="Book Antiqua" w:cs="宋体"/>
          <w:color w:val="000000"/>
          <w:sz w:val="24"/>
          <w:szCs w:val="24"/>
          <w:lang w:val="en-US" w:eastAsia="zh-CN"/>
        </w:rPr>
        <w:t>9 </w:t>
      </w:r>
      <w:r w:rsidRPr="00B93BE0">
        <w:rPr>
          <w:rFonts w:ascii="Book Antiqua" w:eastAsia="宋体" w:hAnsi="Book Antiqua" w:cs="宋体"/>
          <w:b/>
          <w:bCs/>
          <w:color w:val="000000"/>
          <w:sz w:val="24"/>
          <w:szCs w:val="24"/>
          <w:lang w:val="en-US" w:eastAsia="zh-CN"/>
        </w:rPr>
        <w:t>Lencioni R</w:t>
      </w:r>
      <w:r w:rsidRPr="00B93BE0">
        <w:rPr>
          <w:rFonts w:ascii="Book Antiqua" w:eastAsia="宋体" w:hAnsi="Book Antiqua" w:cs="宋体"/>
          <w:color w:val="000000"/>
          <w:sz w:val="24"/>
          <w:szCs w:val="24"/>
          <w:lang w:val="en-US" w:eastAsia="zh-CN"/>
        </w:rPr>
        <w:t>. Chemoembolization for hepatocellular carcinoma.</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Semin Oncol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39</w:t>
      </w:r>
      <w:r w:rsidRPr="00B93BE0">
        <w:rPr>
          <w:rFonts w:ascii="Book Antiqua" w:eastAsia="宋体" w:hAnsi="Book Antiqua" w:cs="宋体"/>
          <w:color w:val="000000"/>
          <w:sz w:val="24"/>
          <w:szCs w:val="24"/>
          <w:lang w:val="en-US" w:eastAsia="zh-CN"/>
        </w:rPr>
        <w:t>: 503-509 [PMID: 22846867 DOI: 10.1053/j.seminoncol.2012.05.004</w:t>
      </w:r>
      <w:r>
        <w:rPr>
          <w:rFonts w:ascii="Book Antiqua" w:eastAsia="宋体" w:hAnsi="Book Antiqua" w:cs="宋体"/>
          <w:color w:val="000000"/>
          <w:sz w:val="24"/>
          <w:szCs w:val="24"/>
          <w:lang w:val="en-US" w:eastAsia="zh-CN"/>
        </w:rPr>
        <w:t>]</w:t>
      </w:r>
    </w:p>
    <w:p w:rsidR="00773E67" w:rsidRPr="00E14F98" w:rsidRDefault="00773E67" w:rsidP="00773E67">
      <w:pPr>
        <w:pStyle w:val="ListParagraph"/>
        <w:spacing w:after="0" w:line="360" w:lineRule="auto"/>
        <w:ind w:left="0"/>
        <w:jc w:val="both"/>
        <w:rPr>
          <w:rFonts w:ascii="Book Antiqua" w:hAnsi="Book Antiqua"/>
          <w:sz w:val="24"/>
          <w:szCs w:val="24"/>
          <w:lang w:val="en-US" w:eastAsia="zh-CN"/>
        </w:rPr>
      </w:pPr>
      <w:r w:rsidRPr="00773E67">
        <w:rPr>
          <w:rFonts w:ascii="Book Antiqua" w:hAnsi="Book Antiqua" w:hint="eastAsia"/>
          <w:sz w:val="24"/>
          <w:szCs w:val="24"/>
          <w:lang w:val="en-US" w:eastAsia="zh-CN"/>
        </w:rPr>
        <w:t>10</w:t>
      </w:r>
      <w:r>
        <w:rPr>
          <w:rFonts w:ascii="Book Antiqua" w:hAnsi="Book Antiqua" w:hint="eastAsia"/>
          <w:b/>
          <w:sz w:val="24"/>
          <w:szCs w:val="24"/>
          <w:lang w:val="en-US" w:eastAsia="zh-CN"/>
        </w:rPr>
        <w:t xml:space="preserve"> </w:t>
      </w:r>
      <w:r w:rsidRPr="00E14F98">
        <w:rPr>
          <w:rFonts w:ascii="Book Antiqua" w:hAnsi="Book Antiqua"/>
          <w:b/>
          <w:sz w:val="24"/>
          <w:szCs w:val="24"/>
          <w:lang w:val="en-US"/>
        </w:rPr>
        <w:t xml:space="preserve">Ernst O, </w:t>
      </w:r>
      <w:r w:rsidRPr="00E14F98">
        <w:rPr>
          <w:rFonts w:ascii="Book Antiqua" w:hAnsi="Book Antiqua"/>
          <w:sz w:val="24"/>
          <w:szCs w:val="24"/>
          <w:lang w:val="en-US"/>
        </w:rPr>
        <w:t xml:space="preserve">Sergent G, Mizrahi D, Delemazure O, Paris JC, L'Herminé C. Treatment of hepatocellular carcinoma by transcatheter arterial chemoembolization: comparison of planned periodic chemoembolization and chemoembolization based on tumor response. </w:t>
      </w:r>
      <w:r w:rsidRPr="00773E67">
        <w:rPr>
          <w:rFonts w:ascii="Book Antiqua" w:hAnsi="Book Antiqua"/>
          <w:i/>
          <w:sz w:val="24"/>
          <w:szCs w:val="24"/>
          <w:lang w:val="en-US"/>
        </w:rPr>
        <w:t>AJR Am J Roentgenol</w:t>
      </w:r>
      <w:r w:rsidRPr="00E14F98">
        <w:rPr>
          <w:rFonts w:ascii="Book Antiqua" w:hAnsi="Book Antiqua"/>
          <w:sz w:val="24"/>
          <w:szCs w:val="24"/>
          <w:lang w:val="en-US"/>
        </w:rPr>
        <w:t xml:space="preserve"> 1999;</w:t>
      </w:r>
      <w:r>
        <w:rPr>
          <w:rFonts w:ascii="Book Antiqua" w:hAnsi="Book Antiqua" w:hint="eastAsia"/>
          <w:sz w:val="24"/>
          <w:szCs w:val="24"/>
          <w:lang w:val="en-US" w:eastAsia="zh-CN"/>
        </w:rPr>
        <w:t xml:space="preserve"> </w:t>
      </w:r>
      <w:r w:rsidRPr="00773E67">
        <w:rPr>
          <w:rFonts w:ascii="Book Antiqua" w:hAnsi="Book Antiqua"/>
          <w:b/>
          <w:sz w:val="24"/>
          <w:szCs w:val="24"/>
          <w:lang w:val="en-US"/>
        </w:rPr>
        <w:t>172:</w:t>
      </w:r>
      <w:r w:rsidRPr="00773E67">
        <w:rPr>
          <w:rFonts w:ascii="Book Antiqua" w:hAnsi="Book Antiqua" w:hint="eastAsia"/>
          <w:b/>
          <w:sz w:val="24"/>
          <w:szCs w:val="24"/>
          <w:lang w:val="en-US" w:eastAsia="zh-CN"/>
        </w:rPr>
        <w:t xml:space="preserve"> </w:t>
      </w:r>
      <w:r w:rsidRPr="00E14F98">
        <w:rPr>
          <w:rFonts w:ascii="Book Antiqua" w:hAnsi="Book Antiqua"/>
          <w:sz w:val="24"/>
          <w:szCs w:val="24"/>
          <w:lang w:val="en-US"/>
        </w:rPr>
        <w:t xml:space="preserve">59-64 </w:t>
      </w:r>
      <w:r>
        <w:rPr>
          <w:rFonts w:ascii="Book Antiqua" w:hAnsi="Book Antiqua" w:hint="eastAsia"/>
          <w:sz w:val="24"/>
          <w:szCs w:val="24"/>
          <w:lang w:val="en-US" w:eastAsia="zh-CN"/>
        </w:rPr>
        <w:t>[</w:t>
      </w:r>
      <w:r w:rsidRPr="00E14F98">
        <w:rPr>
          <w:rFonts w:ascii="Book Antiqua" w:hAnsi="Book Antiqua"/>
          <w:sz w:val="24"/>
          <w:szCs w:val="24"/>
          <w:lang w:val="en-US"/>
        </w:rPr>
        <w:t>PMID: 9888740</w:t>
      </w:r>
      <w:r>
        <w:rPr>
          <w:rFonts w:ascii="Book Antiqua" w:hAnsi="Book Antiqua" w:hint="eastAsia"/>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11 </w:t>
      </w:r>
      <w:r w:rsidRPr="00B93BE0">
        <w:rPr>
          <w:rFonts w:ascii="Book Antiqua" w:eastAsia="宋体" w:hAnsi="Book Antiqua" w:cs="宋体"/>
          <w:b/>
          <w:bCs/>
          <w:color w:val="000000"/>
          <w:sz w:val="24"/>
          <w:szCs w:val="24"/>
          <w:lang w:val="en-US" w:eastAsia="zh-CN"/>
        </w:rPr>
        <w:t>Bolondi L</w:t>
      </w:r>
      <w:r w:rsidRPr="00B93BE0">
        <w:rPr>
          <w:rFonts w:ascii="Book Antiqua" w:eastAsia="宋体" w:hAnsi="Book Antiqua" w:cs="宋体"/>
          <w:color w:val="000000"/>
          <w:sz w:val="24"/>
          <w:szCs w:val="24"/>
          <w:lang w:val="en-US" w:eastAsia="zh-CN"/>
        </w:rPr>
        <w:t>, Burroughs A, Dufour JF, Galle PR, Mazzaferro V, Piscaglia F, Raoul JL, Sangro B. Heterogeneity of patients with intermediate (BCLC B) Hepatocellular Carcinoma: proposal for a subclassification to facilitate treatment decisions. </w:t>
      </w:r>
      <w:r w:rsidRPr="00B93BE0">
        <w:rPr>
          <w:rFonts w:ascii="Book Antiqua" w:eastAsia="宋体" w:hAnsi="Book Antiqua" w:cs="宋体"/>
          <w:i/>
          <w:iCs/>
          <w:color w:val="000000"/>
          <w:sz w:val="24"/>
          <w:szCs w:val="24"/>
          <w:lang w:val="en-US" w:eastAsia="zh-CN"/>
        </w:rPr>
        <w:t>Semin Liver Dis</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32</w:t>
      </w:r>
      <w:r w:rsidRPr="00B93BE0">
        <w:rPr>
          <w:rFonts w:ascii="Book Antiqua" w:eastAsia="宋体" w:hAnsi="Book Antiqua" w:cs="宋体"/>
          <w:color w:val="000000"/>
          <w:sz w:val="24"/>
          <w:szCs w:val="24"/>
          <w:lang w:val="en-US" w:eastAsia="zh-CN"/>
        </w:rPr>
        <w:t>: 348-359 [PMID: 23397536 DOI: 10.1055/s-0032-1329906</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12 </w:t>
      </w:r>
      <w:r w:rsidRPr="00B93BE0">
        <w:rPr>
          <w:rFonts w:ascii="Book Antiqua" w:eastAsia="宋体" w:hAnsi="Book Antiqua" w:cs="宋体"/>
          <w:b/>
          <w:bCs/>
          <w:color w:val="000000"/>
          <w:sz w:val="24"/>
          <w:szCs w:val="24"/>
          <w:lang w:val="en-US" w:eastAsia="zh-CN"/>
        </w:rPr>
        <w:t>Terzi E</w:t>
      </w:r>
      <w:r w:rsidRPr="00B93BE0">
        <w:rPr>
          <w:rFonts w:ascii="Book Antiqua" w:eastAsia="宋体" w:hAnsi="Book Antiqua" w:cs="宋体"/>
          <w:color w:val="000000"/>
          <w:sz w:val="24"/>
          <w:szCs w:val="24"/>
          <w:lang w:val="en-US" w:eastAsia="zh-CN"/>
        </w:rPr>
        <w:t>, Golfieri R, Piscaglia F, Galassi M, Dazzi A, Leoni S, Giampalma E, Renzulli M, Bolondi L. Response rate and clinical outcome of HCC after first and repeated cTACE performed "on demand".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57</w:t>
      </w:r>
      <w:r w:rsidRPr="00B93BE0">
        <w:rPr>
          <w:rFonts w:ascii="Book Antiqua" w:eastAsia="宋体" w:hAnsi="Book Antiqua" w:cs="宋体"/>
          <w:color w:val="000000"/>
          <w:sz w:val="24"/>
          <w:szCs w:val="24"/>
          <w:lang w:val="en-US" w:eastAsia="zh-CN"/>
        </w:rPr>
        <w:t>: 1258-1267 [PMID: 22871502 DOI: 10.1016/j.jhep.2012.07.025</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13 </w:t>
      </w:r>
      <w:r w:rsidRPr="00B93BE0">
        <w:rPr>
          <w:rFonts w:ascii="Book Antiqua" w:eastAsia="宋体" w:hAnsi="Book Antiqua" w:cs="宋体"/>
          <w:b/>
          <w:bCs/>
          <w:color w:val="000000"/>
          <w:sz w:val="24"/>
          <w:szCs w:val="24"/>
          <w:lang w:val="en-US" w:eastAsia="zh-CN"/>
        </w:rPr>
        <w:t>Forner A</w:t>
      </w:r>
      <w:r w:rsidRPr="00B93BE0">
        <w:rPr>
          <w:rFonts w:ascii="Book Antiqua" w:eastAsia="宋体" w:hAnsi="Book Antiqua" w:cs="宋体"/>
          <w:color w:val="000000"/>
          <w:sz w:val="24"/>
          <w:szCs w:val="24"/>
          <w:lang w:val="en-US" w:eastAsia="zh-CN"/>
        </w:rPr>
        <w:t>, Ayuso C, Varela M, Rimola J, Hessheimer AJ, de Lope CR, Reig M, Bianchi L, Llovet JM, Bruix J. Evaluation of tumor response after locoregional therapies in hepatocellular carcinoma: are response evaluation criteria in solid tumors reliable? </w:t>
      </w:r>
      <w:r w:rsidRPr="00B93BE0">
        <w:rPr>
          <w:rFonts w:ascii="Book Antiqua" w:eastAsia="宋体" w:hAnsi="Book Antiqua" w:cs="宋体"/>
          <w:i/>
          <w:iCs/>
          <w:color w:val="000000"/>
          <w:sz w:val="24"/>
          <w:szCs w:val="24"/>
          <w:lang w:val="en-US" w:eastAsia="zh-CN"/>
        </w:rPr>
        <w:t>Cancer</w:t>
      </w:r>
      <w:r w:rsidRPr="00B93BE0">
        <w:rPr>
          <w:rFonts w:ascii="Book Antiqua" w:eastAsia="宋体" w:hAnsi="Book Antiqua" w:cs="宋体"/>
          <w:color w:val="000000"/>
          <w:sz w:val="24"/>
          <w:szCs w:val="24"/>
          <w:lang w:val="en-US" w:eastAsia="zh-CN"/>
        </w:rPr>
        <w:t> 2009; </w:t>
      </w:r>
      <w:r w:rsidRPr="00B93BE0">
        <w:rPr>
          <w:rFonts w:ascii="Book Antiqua" w:eastAsia="宋体" w:hAnsi="Book Antiqua" w:cs="宋体"/>
          <w:b/>
          <w:bCs/>
          <w:color w:val="000000"/>
          <w:sz w:val="24"/>
          <w:szCs w:val="24"/>
          <w:lang w:val="en-US" w:eastAsia="zh-CN"/>
        </w:rPr>
        <w:t>115</w:t>
      </w:r>
      <w:r w:rsidRPr="00B93BE0">
        <w:rPr>
          <w:rFonts w:ascii="Book Antiqua" w:eastAsia="宋体" w:hAnsi="Book Antiqua" w:cs="宋体"/>
          <w:color w:val="000000"/>
          <w:sz w:val="24"/>
          <w:szCs w:val="24"/>
          <w:lang w:val="en-US" w:eastAsia="zh-CN"/>
        </w:rPr>
        <w:t>: 616-623 [PMID: 19117042 DOI: 10.1002/cncr.24050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lastRenderedPageBreak/>
        <w:t>14 </w:t>
      </w:r>
      <w:r w:rsidRPr="00B93BE0">
        <w:rPr>
          <w:rFonts w:ascii="Book Antiqua" w:eastAsia="宋体" w:hAnsi="Book Antiqua" w:cs="宋体"/>
          <w:b/>
          <w:bCs/>
          <w:color w:val="000000"/>
          <w:sz w:val="24"/>
          <w:szCs w:val="24"/>
          <w:lang w:val="en-US" w:eastAsia="zh-CN"/>
        </w:rPr>
        <w:t>Dumortier J</w:t>
      </w:r>
      <w:r w:rsidRPr="00B93BE0">
        <w:rPr>
          <w:rFonts w:ascii="Book Antiqua" w:eastAsia="宋体" w:hAnsi="Book Antiqua" w:cs="宋体"/>
          <w:color w:val="000000"/>
          <w:sz w:val="24"/>
          <w:szCs w:val="24"/>
          <w:lang w:val="en-US" w:eastAsia="zh-CN"/>
        </w:rPr>
        <w:t>, Chapuis F, Borson O, Davril B, Scoazec JY, Poncet G, Henry L, Boillot O, Mion F, Berger F, Partensky C, Paliard P, Valette PJ. Unresectable hepatocellular carcinoma: survival and prognostic factors after lipiodol chemoembolisation in 89 patients. </w:t>
      </w:r>
      <w:r w:rsidRPr="00B93BE0">
        <w:rPr>
          <w:rFonts w:ascii="Book Antiqua" w:eastAsia="宋体" w:hAnsi="Book Antiqua" w:cs="宋体"/>
          <w:i/>
          <w:iCs/>
          <w:color w:val="000000"/>
          <w:sz w:val="24"/>
          <w:szCs w:val="24"/>
          <w:lang w:val="en-US" w:eastAsia="zh-CN"/>
        </w:rPr>
        <w:t>Dig Liver Dis</w:t>
      </w:r>
      <w:r w:rsidRPr="00B93BE0">
        <w:rPr>
          <w:rFonts w:ascii="Book Antiqua" w:eastAsia="宋体" w:hAnsi="Book Antiqua" w:cs="宋体"/>
          <w:color w:val="000000"/>
          <w:sz w:val="24"/>
          <w:szCs w:val="24"/>
          <w:lang w:val="en-US" w:eastAsia="zh-CN"/>
        </w:rPr>
        <w:t> 2006; </w:t>
      </w:r>
      <w:r w:rsidRPr="00B93BE0">
        <w:rPr>
          <w:rFonts w:ascii="Book Antiqua" w:eastAsia="宋体" w:hAnsi="Book Antiqua" w:cs="宋体"/>
          <w:b/>
          <w:bCs/>
          <w:color w:val="000000"/>
          <w:sz w:val="24"/>
          <w:szCs w:val="24"/>
          <w:lang w:val="en-US" w:eastAsia="zh-CN"/>
        </w:rPr>
        <w:t>38</w:t>
      </w:r>
      <w:r w:rsidRPr="00B93BE0">
        <w:rPr>
          <w:rFonts w:ascii="Book Antiqua" w:eastAsia="宋体" w:hAnsi="Book Antiqua" w:cs="宋体"/>
          <w:color w:val="000000"/>
          <w:sz w:val="24"/>
          <w:szCs w:val="24"/>
          <w:lang w:val="en-US" w:eastAsia="zh-CN"/>
        </w:rPr>
        <w:t>: 125-133 [PMID: 16389002]</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15 </w:t>
      </w:r>
      <w:r w:rsidRPr="00B93BE0">
        <w:rPr>
          <w:rFonts w:ascii="Book Antiqua" w:eastAsia="宋体" w:hAnsi="Book Antiqua" w:cs="宋体"/>
          <w:b/>
          <w:bCs/>
          <w:color w:val="000000"/>
          <w:sz w:val="24"/>
          <w:szCs w:val="24"/>
          <w:lang w:val="en-US" w:eastAsia="zh-CN"/>
        </w:rPr>
        <w:t>Lladó L</w:t>
      </w:r>
      <w:r w:rsidRPr="00B93BE0">
        <w:rPr>
          <w:rFonts w:ascii="Book Antiqua" w:eastAsia="宋体" w:hAnsi="Book Antiqua" w:cs="宋体"/>
          <w:color w:val="000000"/>
          <w:sz w:val="24"/>
          <w:szCs w:val="24"/>
          <w:lang w:val="en-US" w:eastAsia="zh-CN"/>
        </w:rPr>
        <w:t xml:space="preserve">, Virgili J, Figueras J, Valls C, Dominguez J, Rafecas A, Torras J, Fabregat J, Guardiola J, Jaurrieta E. </w:t>
      </w:r>
      <w:proofErr w:type="gramStart"/>
      <w:r w:rsidRPr="00B93BE0">
        <w:rPr>
          <w:rFonts w:ascii="Book Antiqua" w:eastAsia="宋体" w:hAnsi="Book Antiqua" w:cs="宋体"/>
          <w:color w:val="000000"/>
          <w:sz w:val="24"/>
          <w:szCs w:val="24"/>
          <w:lang w:val="en-US" w:eastAsia="zh-CN"/>
        </w:rPr>
        <w:t>A prognostic index of the survival of patients with unresectable hepatocellular carcinoma after transcatheter arterial chemoembolization.</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Cancer</w:t>
      </w:r>
      <w:r w:rsidRPr="00B93BE0">
        <w:rPr>
          <w:rFonts w:ascii="Book Antiqua" w:eastAsia="宋体" w:hAnsi="Book Antiqua" w:cs="宋体"/>
          <w:color w:val="000000"/>
          <w:sz w:val="24"/>
          <w:szCs w:val="24"/>
          <w:lang w:val="en-US" w:eastAsia="zh-CN"/>
        </w:rPr>
        <w:t> 2000; </w:t>
      </w:r>
      <w:r w:rsidRPr="00B93BE0">
        <w:rPr>
          <w:rFonts w:ascii="Book Antiqua" w:eastAsia="宋体" w:hAnsi="Book Antiqua" w:cs="宋体"/>
          <w:b/>
          <w:bCs/>
          <w:color w:val="000000"/>
          <w:sz w:val="24"/>
          <w:szCs w:val="24"/>
          <w:lang w:val="en-US" w:eastAsia="zh-CN"/>
        </w:rPr>
        <w:t>88</w:t>
      </w:r>
      <w:r w:rsidRPr="00B93BE0">
        <w:rPr>
          <w:rFonts w:ascii="Book Antiqua" w:eastAsia="宋体" w:hAnsi="Book Antiqua" w:cs="宋体"/>
          <w:color w:val="000000"/>
          <w:sz w:val="24"/>
          <w:szCs w:val="24"/>
          <w:lang w:val="en-US" w:eastAsia="zh-CN"/>
        </w:rPr>
        <w:t>: 50-57 [PMID: 10618605]</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16 </w:t>
      </w:r>
      <w:r w:rsidRPr="00B93BE0">
        <w:rPr>
          <w:rFonts w:ascii="Book Antiqua" w:eastAsia="宋体" w:hAnsi="Book Antiqua" w:cs="宋体"/>
          <w:b/>
          <w:bCs/>
          <w:color w:val="000000"/>
          <w:sz w:val="24"/>
          <w:szCs w:val="24"/>
          <w:lang w:val="en-US" w:eastAsia="zh-CN"/>
        </w:rPr>
        <w:t>Kadalayil L</w:t>
      </w:r>
      <w:r w:rsidRPr="00B93BE0">
        <w:rPr>
          <w:rFonts w:ascii="Book Antiqua" w:eastAsia="宋体" w:hAnsi="Book Antiqua" w:cs="宋体"/>
          <w:color w:val="000000"/>
          <w:sz w:val="24"/>
          <w:szCs w:val="24"/>
          <w:lang w:val="en-US" w:eastAsia="zh-CN"/>
        </w:rPr>
        <w:t xml:space="preserve">, Benini R, Pallan L, O'Beirne J, Marelli L, Yu D, Hackshaw A, Fox R, Johnson P, Burroughs AK, Palmer DH, Meyer T. </w:t>
      </w:r>
      <w:proofErr w:type="gramStart"/>
      <w:r w:rsidRPr="00B93BE0">
        <w:rPr>
          <w:rFonts w:ascii="Book Antiqua" w:eastAsia="宋体" w:hAnsi="Book Antiqua" w:cs="宋体"/>
          <w:color w:val="000000"/>
          <w:sz w:val="24"/>
          <w:szCs w:val="24"/>
          <w:lang w:val="en-US" w:eastAsia="zh-CN"/>
        </w:rPr>
        <w:t>A simple prognostic scoring system for patients receiving transarterial embolisation for hepatocellular cancer.</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Ann Oncol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24</w:t>
      </w:r>
      <w:r w:rsidRPr="00B93BE0">
        <w:rPr>
          <w:rFonts w:ascii="Book Antiqua" w:eastAsia="宋体" w:hAnsi="Book Antiqua" w:cs="宋体"/>
          <w:color w:val="000000"/>
          <w:sz w:val="24"/>
          <w:szCs w:val="24"/>
          <w:lang w:val="en-US" w:eastAsia="zh-CN"/>
        </w:rPr>
        <w:t>: 2565-2570 [PMID: 23857958 DOI: 10.1093/annonc/mdt247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17 </w:t>
      </w:r>
      <w:r w:rsidRPr="00B93BE0">
        <w:rPr>
          <w:rFonts w:ascii="Book Antiqua" w:eastAsia="宋体" w:hAnsi="Book Antiqua" w:cs="宋体"/>
          <w:b/>
          <w:bCs/>
          <w:color w:val="000000"/>
          <w:sz w:val="24"/>
          <w:szCs w:val="24"/>
          <w:lang w:val="en-US" w:eastAsia="zh-CN"/>
        </w:rPr>
        <w:t>Sieghart W</w:t>
      </w:r>
      <w:r w:rsidRPr="00B93BE0">
        <w:rPr>
          <w:rFonts w:ascii="Book Antiqua" w:eastAsia="宋体" w:hAnsi="Book Antiqua" w:cs="宋体"/>
          <w:color w:val="000000"/>
          <w:sz w:val="24"/>
          <w:szCs w:val="24"/>
          <w:lang w:val="en-US" w:eastAsia="zh-CN"/>
        </w:rPr>
        <w:t>, Hucke F, Pinter M, Graziadei I, Vogel W, Müller C, Heinzl H, Trauner M, Peck-Radosavljevic M. The ART of decision making: retreatment with transarterial chemoembolization in patients with hepatocellular carcinoma.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57</w:t>
      </w:r>
      <w:r w:rsidRPr="00B93BE0">
        <w:rPr>
          <w:rFonts w:ascii="Book Antiqua" w:eastAsia="宋体" w:hAnsi="Book Antiqua" w:cs="宋体"/>
          <w:color w:val="000000"/>
          <w:sz w:val="24"/>
          <w:szCs w:val="24"/>
          <w:lang w:val="en-US" w:eastAsia="zh-CN"/>
        </w:rPr>
        <w:t>: 2261-2273 [PMID: 23316013 DOI: 10.1002/hep.26256</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18 </w:t>
      </w:r>
      <w:r w:rsidRPr="00B93BE0">
        <w:rPr>
          <w:rFonts w:ascii="Book Antiqua" w:eastAsia="宋体" w:hAnsi="Book Antiqua" w:cs="宋体"/>
          <w:b/>
          <w:bCs/>
          <w:color w:val="000000"/>
          <w:sz w:val="24"/>
          <w:szCs w:val="24"/>
          <w:lang w:val="en-US" w:eastAsia="zh-CN"/>
        </w:rPr>
        <w:t>Adhoute X</w:t>
      </w:r>
      <w:r w:rsidRPr="00B93BE0">
        <w:rPr>
          <w:rFonts w:ascii="Book Antiqua" w:eastAsia="宋体" w:hAnsi="Book Antiqua" w:cs="宋体"/>
          <w:color w:val="000000"/>
          <w:sz w:val="24"/>
          <w:szCs w:val="24"/>
          <w:lang w:val="en-US" w:eastAsia="zh-CN"/>
        </w:rPr>
        <w:t>, Penaranda G, Naude S, Raoul JL, Perrier H, Bayle O, Monnet O, Beaurain P, Bazin C, Pol B, Folgoc GL, Castellani P, Bronowicki JP, Bourlière M. Retreatment with TACE: the ABCR SCORE, an aid to the decision-making process.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62</w:t>
      </w:r>
      <w:r w:rsidRPr="00B93BE0">
        <w:rPr>
          <w:rFonts w:ascii="Book Antiqua" w:eastAsia="宋体" w:hAnsi="Book Antiqua" w:cs="宋体"/>
          <w:color w:val="000000"/>
          <w:sz w:val="24"/>
          <w:szCs w:val="24"/>
          <w:lang w:val="en-US" w:eastAsia="zh-CN"/>
        </w:rPr>
        <w:t>: 855-862 [PMID: 25463541 DOI: 10.1016/j.jhep.2014.11.014</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19 </w:t>
      </w:r>
      <w:r w:rsidRPr="00B93BE0">
        <w:rPr>
          <w:rFonts w:ascii="Book Antiqua" w:eastAsia="宋体" w:hAnsi="Book Antiqua" w:cs="宋体"/>
          <w:b/>
          <w:bCs/>
          <w:color w:val="000000"/>
          <w:sz w:val="24"/>
          <w:szCs w:val="24"/>
          <w:lang w:val="en-US" w:eastAsia="zh-CN"/>
        </w:rPr>
        <w:t>Pinato DJ</w:t>
      </w:r>
      <w:r w:rsidRPr="00B93BE0">
        <w:rPr>
          <w:rFonts w:ascii="Book Antiqua" w:eastAsia="宋体" w:hAnsi="Book Antiqua" w:cs="宋体"/>
          <w:color w:val="000000"/>
          <w:sz w:val="24"/>
          <w:szCs w:val="24"/>
          <w:lang w:val="en-US" w:eastAsia="zh-CN"/>
        </w:rPr>
        <w:t>, Karamanakos G, Arizumi T, Adjogatse D, Kim YW, Stebbing J, Kudo M, Jang JW, Sharma R. Dynamic changes of the inflammation-based index predict mortality following chemoembolisation for hepatocellular carcinoma: a prospective study. </w:t>
      </w:r>
      <w:r w:rsidRPr="00B93BE0">
        <w:rPr>
          <w:rFonts w:ascii="Book Antiqua" w:eastAsia="宋体" w:hAnsi="Book Antiqua" w:cs="宋体"/>
          <w:i/>
          <w:iCs/>
          <w:color w:val="000000"/>
          <w:sz w:val="24"/>
          <w:szCs w:val="24"/>
          <w:lang w:val="en-US" w:eastAsia="zh-CN"/>
        </w:rPr>
        <w:t>Aliment Pharmacol Ther</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40</w:t>
      </w:r>
      <w:r w:rsidRPr="00B93BE0">
        <w:rPr>
          <w:rFonts w:ascii="Book Antiqua" w:eastAsia="宋体" w:hAnsi="Book Antiqua" w:cs="宋体"/>
          <w:color w:val="000000"/>
          <w:sz w:val="24"/>
          <w:szCs w:val="24"/>
          <w:lang w:val="en-US" w:eastAsia="zh-CN"/>
        </w:rPr>
        <w:t>: 1270-1281 [PMID: 25327965 DOI: 10.1111/apt.12992</w:t>
      </w:r>
      <w:r>
        <w:rPr>
          <w:rFonts w:ascii="Book Antiqua" w:eastAsia="宋体" w:hAnsi="Book Antiqua" w:cs="宋体"/>
          <w:color w:val="000000"/>
          <w:sz w:val="24"/>
          <w:szCs w:val="24"/>
          <w:lang w:val="en-US" w:eastAsia="zh-CN"/>
        </w:rPr>
        <w:t>]</w:t>
      </w:r>
    </w:p>
    <w:p w:rsidR="00B93BE0" w:rsidRPr="00B93BE0" w:rsidRDefault="00773E67" w:rsidP="00B93BE0">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20</w:t>
      </w:r>
      <w:r w:rsidR="00B93BE0" w:rsidRPr="00773E67">
        <w:rPr>
          <w:rFonts w:ascii="Book Antiqua" w:eastAsia="宋体" w:hAnsi="Book Antiqua" w:cs="宋体"/>
          <w:b/>
          <w:color w:val="000000"/>
          <w:sz w:val="24"/>
          <w:szCs w:val="24"/>
          <w:lang w:val="en-US" w:eastAsia="zh-CN"/>
        </w:rPr>
        <w:t xml:space="preserve"> Hucke F,</w:t>
      </w:r>
      <w:r w:rsidR="00B93BE0" w:rsidRPr="00B93BE0">
        <w:rPr>
          <w:rFonts w:ascii="Book Antiqua" w:eastAsia="宋体" w:hAnsi="Book Antiqua" w:cs="宋体"/>
          <w:color w:val="000000"/>
          <w:sz w:val="24"/>
          <w:szCs w:val="24"/>
          <w:lang w:val="en-US" w:eastAsia="zh-CN"/>
        </w:rPr>
        <w:t xml:space="preserve"> Pinter M, Graziadei I, Bota S, Vogel W, M</w:t>
      </w:r>
      <w:r w:rsidRPr="00E14F98">
        <w:rPr>
          <w:rFonts w:ascii="Book Antiqua" w:hAnsi="Book Antiqua"/>
          <w:sz w:val="24"/>
          <w:szCs w:val="24"/>
          <w:lang w:val="en-US"/>
        </w:rPr>
        <w:t>ü</w:t>
      </w:r>
      <w:r w:rsidR="00B93BE0" w:rsidRPr="00B93BE0">
        <w:rPr>
          <w:rFonts w:ascii="Book Antiqua" w:eastAsia="宋体" w:hAnsi="Book Antiqua" w:cs="宋体"/>
          <w:color w:val="000000"/>
          <w:sz w:val="24"/>
          <w:szCs w:val="24"/>
          <w:lang w:val="en-US" w:eastAsia="zh-CN"/>
        </w:rPr>
        <w:t>ller C, Heinzl H, Waneck F, Trauner M, Peck-Radosavljevic M, Sieghart W. How to STATE suitability and START transarterial chemoembolization in patients with intermediate stage hepa</w:t>
      </w:r>
      <w:r>
        <w:rPr>
          <w:rFonts w:ascii="Book Antiqua" w:eastAsia="宋体" w:hAnsi="Book Antiqua" w:cs="宋体"/>
          <w:color w:val="000000"/>
          <w:sz w:val="24"/>
          <w:szCs w:val="24"/>
          <w:lang w:val="en-US" w:eastAsia="zh-CN"/>
        </w:rPr>
        <w:t>tocellular carcinoma.</w:t>
      </w:r>
      <w:r w:rsidRPr="00773E67">
        <w:rPr>
          <w:rFonts w:ascii="Book Antiqua" w:eastAsia="宋体" w:hAnsi="Book Antiqua" w:cs="宋体"/>
          <w:i/>
          <w:color w:val="000000"/>
          <w:sz w:val="24"/>
          <w:szCs w:val="24"/>
          <w:lang w:val="en-US" w:eastAsia="zh-CN"/>
        </w:rPr>
        <w:t xml:space="preserve"> J Hepatol</w:t>
      </w:r>
      <w:r w:rsidR="00B93BE0" w:rsidRPr="00B93BE0">
        <w:rPr>
          <w:rFonts w:ascii="Book Antiqua" w:eastAsia="宋体" w:hAnsi="Book Antiqua" w:cs="宋体"/>
          <w:color w:val="000000"/>
          <w:sz w:val="24"/>
          <w:szCs w:val="24"/>
          <w:lang w:val="en-US" w:eastAsia="zh-CN"/>
        </w:rPr>
        <w:t xml:space="preserve"> 2014; </w:t>
      </w:r>
      <w:r w:rsidR="00B93BE0" w:rsidRPr="00773E67">
        <w:rPr>
          <w:rFonts w:ascii="Book Antiqua" w:eastAsia="宋体" w:hAnsi="Book Antiqua" w:cs="宋体"/>
          <w:b/>
          <w:color w:val="000000"/>
          <w:sz w:val="24"/>
          <w:szCs w:val="24"/>
          <w:lang w:val="en-US" w:eastAsia="zh-CN"/>
        </w:rPr>
        <w:t>61:</w:t>
      </w:r>
      <w:r>
        <w:rPr>
          <w:rFonts w:ascii="Book Antiqua" w:eastAsia="宋体" w:hAnsi="Book Antiqua" w:cs="宋体"/>
          <w:color w:val="000000"/>
          <w:sz w:val="24"/>
          <w:szCs w:val="24"/>
          <w:lang w:val="en-US" w:eastAsia="zh-CN"/>
        </w:rPr>
        <w:t xml:space="preserve"> 1287-96</w:t>
      </w:r>
      <w:r w:rsidR="00B93BE0" w:rsidRPr="00B93BE0">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[DOI</w:t>
      </w:r>
      <w:r w:rsidR="00B93BE0" w:rsidRPr="00B93BE0">
        <w:rPr>
          <w:rFonts w:ascii="Book Antiqua" w:eastAsia="宋体" w:hAnsi="Book Antiqua" w:cs="宋体"/>
          <w:color w:val="000000"/>
          <w:sz w:val="24"/>
          <w:szCs w:val="24"/>
          <w:lang w:val="en-US" w:eastAsia="zh-CN"/>
        </w:rPr>
        <w:t>: 10.1016/j.jhep.2014.07.002</w:t>
      </w:r>
      <w:r>
        <w:rPr>
          <w:rFonts w:ascii="Book Antiqua" w:eastAsia="宋体" w:hAnsi="Book Antiqua" w:cs="宋体" w:hint="eastAsia"/>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21 </w:t>
      </w:r>
      <w:r w:rsidRPr="00B93BE0">
        <w:rPr>
          <w:rFonts w:ascii="Book Antiqua" w:eastAsia="宋体" w:hAnsi="Book Antiqua" w:cs="宋体"/>
          <w:b/>
          <w:bCs/>
          <w:color w:val="000000"/>
          <w:sz w:val="24"/>
          <w:szCs w:val="24"/>
          <w:lang w:val="en-US" w:eastAsia="zh-CN"/>
        </w:rPr>
        <w:t>Xu L</w:t>
      </w:r>
      <w:r w:rsidRPr="00B93BE0">
        <w:rPr>
          <w:rFonts w:ascii="Book Antiqua" w:eastAsia="宋体" w:hAnsi="Book Antiqua" w:cs="宋体"/>
          <w:color w:val="000000"/>
          <w:sz w:val="24"/>
          <w:szCs w:val="24"/>
          <w:lang w:val="en-US" w:eastAsia="zh-CN"/>
        </w:rPr>
        <w:t xml:space="preserve">, Peng ZW, Chen MS, Shi M, Zhang YJ, Guo RP, Lin XJ, Lau WY. </w:t>
      </w:r>
      <w:proofErr w:type="gramStart"/>
      <w:r w:rsidRPr="00B93BE0">
        <w:rPr>
          <w:rFonts w:ascii="Book Antiqua" w:eastAsia="宋体" w:hAnsi="Book Antiqua" w:cs="宋体"/>
          <w:color w:val="000000"/>
          <w:sz w:val="24"/>
          <w:szCs w:val="24"/>
          <w:lang w:val="en-US" w:eastAsia="zh-CN"/>
        </w:rPr>
        <w:t>Prognostic nomogram for patients with unresectable hepatocellular carcinoma after transcatheter arterial chemoembolization.</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63</w:t>
      </w:r>
      <w:r w:rsidRPr="00B93BE0">
        <w:rPr>
          <w:rFonts w:ascii="Book Antiqua" w:eastAsia="宋体" w:hAnsi="Book Antiqua" w:cs="宋体"/>
          <w:color w:val="000000"/>
          <w:sz w:val="24"/>
          <w:szCs w:val="24"/>
          <w:lang w:val="en-US" w:eastAsia="zh-CN"/>
        </w:rPr>
        <w:t>: 122-130 [PMID: 25725438 DOI: 10.1016/j.jhep.2015.02.034</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lastRenderedPageBreak/>
        <w:t xml:space="preserve">22 </w:t>
      </w:r>
      <w:r w:rsidR="00773E67" w:rsidRPr="00E14F98">
        <w:rPr>
          <w:rFonts w:ascii="Book Antiqua" w:hAnsi="Book Antiqua"/>
          <w:b/>
          <w:sz w:val="24"/>
          <w:szCs w:val="24"/>
        </w:rPr>
        <w:t>Sciarra A</w:t>
      </w:r>
      <w:r w:rsidR="00773E67" w:rsidRPr="00E14F98">
        <w:rPr>
          <w:rFonts w:ascii="Book Antiqua" w:hAnsi="Book Antiqua"/>
          <w:sz w:val="24"/>
          <w:szCs w:val="24"/>
        </w:rPr>
        <w:t>, Ronot M, Di Tommaso L, Raschioni C, Castera L, Belghiti J, Bedossa P, Vi</w:t>
      </w:r>
      <w:r w:rsidR="00773E67">
        <w:rPr>
          <w:rFonts w:ascii="Book Antiqua" w:hAnsi="Book Antiqua"/>
          <w:sz w:val="24"/>
          <w:szCs w:val="24"/>
        </w:rPr>
        <w:t>lgrain V, Roncalli M, Paradis V</w:t>
      </w:r>
      <w:r w:rsidRPr="00B93BE0">
        <w:rPr>
          <w:rFonts w:ascii="Book Antiqua" w:eastAsia="宋体" w:hAnsi="Book Antiqua" w:cs="宋体"/>
          <w:color w:val="000000"/>
          <w:sz w:val="24"/>
          <w:szCs w:val="24"/>
          <w:lang w:val="en-US" w:eastAsia="zh-CN"/>
        </w:rPr>
        <w:t>. TRIP: a pathological score for transarterial chemoembolization resistance individualized prediction in hepatocellular carcinoma. </w:t>
      </w:r>
      <w:r w:rsidRPr="00B93BE0">
        <w:rPr>
          <w:rFonts w:ascii="Book Antiqua" w:eastAsia="宋体" w:hAnsi="Book Antiqua" w:cs="宋体"/>
          <w:i/>
          <w:iCs/>
          <w:color w:val="000000"/>
          <w:sz w:val="24"/>
          <w:szCs w:val="24"/>
          <w:lang w:val="en-US" w:eastAsia="zh-CN"/>
        </w:rPr>
        <w:t>Liver Int</w:t>
      </w:r>
      <w:r w:rsidRPr="00B93BE0">
        <w:rPr>
          <w:rFonts w:ascii="Book Antiqua" w:eastAsia="宋体" w:hAnsi="Book Antiqua" w:cs="宋体"/>
          <w:color w:val="000000"/>
          <w:sz w:val="24"/>
          <w:szCs w:val="24"/>
          <w:lang w:val="en-US" w:eastAsia="zh-CN"/>
        </w:rPr>
        <w:t> 2015</w:t>
      </w:r>
      <w:r w:rsidR="00773E67">
        <w:rPr>
          <w:rFonts w:ascii="Book Antiqua" w:eastAsia="宋体" w:hAnsi="Book Antiqua" w:cs="宋体" w:hint="eastAsia"/>
          <w:color w:val="000000"/>
          <w:sz w:val="24"/>
          <w:szCs w:val="24"/>
          <w:lang w:val="en-US" w:eastAsia="zh-CN"/>
        </w:rPr>
        <w:t xml:space="preserve">; </w:t>
      </w:r>
      <w:proofErr w:type="gramStart"/>
      <w:r w:rsidR="00773E67">
        <w:rPr>
          <w:rFonts w:ascii="Book Antiqua" w:eastAsia="宋体" w:hAnsi="Book Antiqua" w:cs="宋体" w:hint="eastAsia"/>
          <w:color w:val="000000"/>
          <w:sz w:val="24"/>
          <w:szCs w:val="24"/>
          <w:lang w:val="en-US" w:eastAsia="zh-CN"/>
        </w:rPr>
        <w:t>In</w:t>
      </w:r>
      <w:proofErr w:type="gramEnd"/>
      <w:r w:rsidR="00773E67">
        <w:rPr>
          <w:rFonts w:ascii="Book Antiqua" w:eastAsia="宋体" w:hAnsi="Book Antiqua" w:cs="宋体" w:hint="eastAsia"/>
          <w:color w:val="000000"/>
          <w:sz w:val="24"/>
          <w:szCs w:val="24"/>
          <w:lang w:val="en-US" w:eastAsia="zh-CN"/>
        </w:rPr>
        <w:t xml:space="preserve"> press</w:t>
      </w:r>
      <w:r w:rsidRPr="00B93BE0">
        <w:rPr>
          <w:rFonts w:ascii="Book Antiqua" w:eastAsia="宋体" w:hAnsi="Book Antiqua" w:cs="宋体"/>
          <w:color w:val="000000"/>
          <w:sz w:val="24"/>
          <w:szCs w:val="24"/>
          <w:lang w:val="en-US" w:eastAsia="zh-CN"/>
        </w:rPr>
        <w:t xml:space="preserve"> [PMID: 25865109 DOI: 10.1111/liv.12844</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23 </w:t>
      </w:r>
      <w:r w:rsidRPr="00B93BE0">
        <w:rPr>
          <w:rFonts w:ascii="Book Antiqua" w:eastAsia="宋体" w:hAnsi="Book Antiqua" w:cs="宋体"/>
          <w:b/>
          <w:bCs/>
          <w:color w:val="000000"/>
          <w:sz w:val="24"/>
          <w:szCs w:val="24"/>
          <w:lang w:val="en-US" w:eastAsia="zh-CN"/>
        </w:rPr>
        <w:t>Kudo M</w:t>
      </w:r>
      <w:r w:rsidRPr="00B93BE0">
        <w:rPr>
          <w:rFonts w:ascii="Book Antiqua" w:eastAsia="宋体" w:hAnsi="Book Antiqua" w:cs="宋体"/>
          <w:color w:val="000000"/>
          <w:sz w:val="24"/>
          <w:szCs w:val="24"/>
          <w:lang w:val="en-US" w:eastAsia="zh-CN"/>
        </w:rPr>
        <w:t>, Arizumi T, Ueshima K. Assessment for retreatment (ART) score for repeated transarterial chemoembolization in patients with hepatocellular carcinoma.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59</w:t>
      </w:r>
      <w:r w:rsidRPr="00B93BE0">
        <w:rPr>
          <w:rFonts w:ascii="Book Antiqua" w:eastAsia="宋体" w:hAnsi="Book Antiqua" w:cs="宋体"/>
          <w:color w:val="000000"/>
          <w:sz w:val="24"/>
          <w:szCs w:val="24"/>
          <w:lang w:val="en-US" w:eastAsia="zh-CN"/>
        </w:rPr>
        <w:t>: 2424-2425 [PMID: 24114720 DOI: 10.1002/hep.26760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24 </w:t>
      </w:r>
      <w:r w:rsidRPr="00B93BE0">
        <w:rPr>
          <w:rFonts w:ascii="Book Antiqua" w:eastAsia="宋体" w:hAnsi="Book Antiqua" w:cs="宋体"/>
          <w:b/>
          <w:bCs/>
          <w:color w:val="000000"/>
          <w:sz w:val="24"/>
          <w:szCs w:val="24"/>
          <w:lang w:val="en-US" w:eastAsia="zh-CN"/>
        </w:rPr>
        <w:t>Terzi E</w:t>
      </w:r>
      <w:r w:rsidRPr="00B93BE0">
        <w:rPr>
          <w:rFonts w:ascii="Book Antiqua" w:eastAsia="宋体" w:hAnsi="Book Antiqua" w:cs="宋体"/>
          <w:color w:val="000000"/>
          <w:sz w:val="24"/>
          <w:szCs w:val="24"/>
          <w:lang w:val="en-US" w:eastAsia="zh-CN"/>
        </w:rPr>
        <w:t>, Terenzi L, Venerandi L, Croci L, Renzulli M, Mosconi C, Allegretti G, Granito A, Golfieri R, Bolondi L, Piscaglia F. The ART score is not effective to select patients for transarterial chemoembolization retreatment in an Italian series. </w:t>
      </w:r>
      <w:r w:rsidRPr="00B93BE0">
        <w:rPr>
          <w:rFonts w:ascii="Book Antiqua" w:eastAsia="宋体" w:hAnsi="Book Antiqua" w:cs="宋体"/>
          <w:i/>
          <w:iCs/>
          <w:color w:val="000000"/>
          <w:sz w:val="24"/>
          <w:szCs w:val="24"/>
          <w:lang w:val="en-US" w:eastAsia="zh-CN"/>
        </w:rPr>
        <w:t>Dig Dis</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32</w:t>
      </w:r>
      <w:r w:rsidRPr="00B93BE0">
        <w:rPr>
          <w:rFonts w:ascii="Book Antiqua" w:eastAsia="宋体" w:hAnsi="Book Antiqua" w:cs="宋体"/>
          <w:color w:val="000000"/>
          <w:sz w:val="24"/>
          <w:szCs w:val="24"/>
          <w:lang w:val="en-US" w:eastAsia="zh-CN"/>
        </w:rPr>
        <w:t>: 711-716 [PMID: 25376288 DOI: 10.1159/000368007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25 </w:t>
      </w:r>
      <w:r w:rsidRPr="00B93BE0">
        <w:rPr>
          <w:rFonts w:ascii="Book Antiqua" w:eastAsia="宋体" w:hAnsi="Book Antiqua" w:cs="宋体"/>
          <w:b/>
          <w:bCs/>
          <w:color w:val="000000"/>
          <w:sz w:val="24"/>
          <w:szCs w:val="24"/>
          <w:lang w:val="en-US" w:eastAsia="zh-CN"/>
        </w:rPr>
        <w:t>Facciorusso A</w:t>
      </w:r>
      <w:r w:rsidRPr="00B93BE0">
        <w:rPr>
          <w:rFonts w:ascii="Book Antiqua" w:eastAsia="宋体" w:hAnsi="Book Antiqua" w:cs="宋体"/>
          <w:color w:val="000000"/>
          <w:sz w:val="24"/>
          <w:szCs w:val="24"/>
          <w:lang w:val="en-US" w:eastAsia="zh-CN"/>
        </w:rPr>
        <w:t>, Muscatiello N, Barone M. Letter: prognostic scoring systems for hepatocellular carcinoma patients--the jury is still out. </w:t>
      </w:r>
      <w:r w:rsidRPr="00B93BE0">
        <w:rPr>
          <w:rFonts w:ascii="Book Antiqua" w:eastAsia="宋体" w:hAnsi="Book Antiqua" w:cs="宋体"/>
          <w:i/>
          <w:iCs/>
          <w:color w:val="000000"/>
          <w:sz w:val="24"/>
          <w:szCs w:val="24"/>
          <w:lang w:val="en-US" w:eastAsia="zh-CN"/>
        </w:rPr>
        <w:t>Aliment Pharmacol Ther</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41</w:t>
      </w:r>
      <w:r w:rsidRPr="00B93BE0">
        <w:rPr>
          <w:rFonts w:ascii="Book Antiqua" w:eastAsia="宋体" w:hAnsi="Book Antiqua" w:cs="宋体"/>
          <w:color w:val="000000"/>
          <w:sz w:val="24"/>
          <w:szCs w:val="24"/>
          <w:lang w:val="en-US" w:eastAsia="zh-CN"/>
        </w:rPr>
        <w:t>: 596-597 [PMID: 25659216 DOI: 10.1111/apt.13078</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26 </w:t>
      </w:r>
      <w:r w:rsidRPr="00B93BE0">
        <w:rPr>
          <w:rFonts w:ascii="Book Antiqua" w:eastAsia="宋体" w:hAnsi="Book Antiqua" w:cs="宋体"/>
          <w:b/>
          <w:bCs/>
          <w:color w:val="000000"/>
          <w:sz w:val="24"/>
          <w:szCs w:val="24"/>
          <w:lang w:val="en-US" w:eastAsia="zh-CN"/>
        </w:rPr>
        <w:t>Facciorusso A</w:t>
      </w:r>
      <w:r w:rsidRPr="00B93BE0">
        <w:rPr>
          <w:rFonts w:ascii="Book Antiqua" w:eastAsia="宋体" w:hAnsi="Book Antiqua" w:cs="宋体"/>
          <w:color w:val="000000"/>
          <w:sz w:val="24"/>
          <w:szCs w:val="24"/>
          <w:lang w:val="en-US" w:eastAsia="zh-CN"/>
        </w:rPr>
        <w:t>, Bhoori S, Sposito C, Mazzaferro V. Repeated transarterial chemoembolization: An overfitting effort?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62</w:t>
      </w:r>
      <w:r w:rsidRPr="00B93BE0">
        <w:rPr>
          <w:rFonts w:ascii="Book Antiqua" w:eastAsia="宋体" w:hAnsi="Book Antiqua" w:cs="宋体"/>
          <w:color w:val="000000"/>
          <w:sz w:val="24"/>
          <w:szCs w:val="24"/>
          <w:lang w:val="en-US" w:eastAsia="zh-CN"/>
        </w:rPr>
        <w:t>: 1440-1442 [PMID: 25678386 DOI: 10.1016/j.jhep.2015.01.033</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27 </w:t>
      </w:r>
      <w:r w:rsidRPr="00B93BE0">
        <w:rPr>
          <w:rFonts w:ascii="Book Antiqua" w:eastAsia="宋体" w:hAnsi="Book Antiqua" w:cs="宋体"/>
          <w:b/>
          <w:bCs/>
          <w:color w:val="000000"/>
          <w:sz w:val="24"/>
          <w:szCs w:val="24"/>
          <w:lang w:val="en-US" w:eastAsia="zh-CN"/>
        </w:rPr>
        <w:t>Steyerberg EW</w:t>
      </w:r>
      <w:r w:rsidRPr="00B93BE0">
        <w:rPr>
          <w:rFonts w:ascii="Book Antiqua" w:eastAsia="宋体" w:hAnsi="Book Antiqua" w:cs="宋体"/>
          <w:color w:val="000000"/>
          <w:sz w:val="24"/>
          <w:szCs w:val="24"/>
          <w:lang w:val="en-US" w:eastAsia="zh-CN"/>
        </w:rPr>
        <w:t>, Bleeker SE, Moll HA, Grobbee DE, Moons KG. Internal and external validation of predictive models: a simulation study of bias and precision in small samples. </w:t>
      </w:r>
      <w:r w:rsidRPr="00B93BE0">
        <w:rPr>
          <w:rFonts w:ascii="Book Antiqua" w:eastAsia="宋体" w:hAnsi="Book Antiqua" w:cs="宋体"/>
          <w:i/>
          <w:iCs/>
          <w:color w:val="000000"/>
          <w:sz w:val="24"/>
          <w:szCs w:val="24"/>
          <w:lang w:val="en-US" w:eastAsia="zh-CN"/>
        </w:rPr>
        <w:t>J Clin Epidemiol</w:t>
      </w:r>
      <w:r w:rsidRPr="00B93BE0">
        <w:rPr>
          <w:rFonts w:ascii="Book Antiqua" w:eastAsia="宋体" w:hAnsi="Book Antiqua" w:cs="宋体"/>
          <w:color w:val="000000"/>
          <w:sz w:val="24"/>
          <w:szCs w:val="24"/>
          <w:lang w:val="en-US" w:eastAsia="zh-CN"/>
        </w:rPr>
        <w:t> 2003; </w:t>
      </w:r>
      <w:r w:rsidRPr="00B93BE0">
        <w:rPr>
          <w:rFonts w:ascii="Book Antiqua" w:eastAsia="宋体" w:hAnsi="Book Antiqua" w:cs="宋体"/>
          <w:b/>
          <w:bCs/>
          <w:color w:val="000000"/>
          <w:sz w:val="24"/>
          <w:szCs w:val="24"/>
          <w:lang w:val="en-US" w:eastAsia="zh-CN"/>
        </w:rPr>
        <w:t>56</w:t>
      </w:r>
      <w:r w:rsidRPr="00B93BE0">
        <w:rPr>
          <w:rFonts w:ascii="Book Antiqua" w:eastAsia="宋体" w:hAnsi="Book Antiqua" w:cs="宋体"/>
          <w:color w:val="000000"/>
          <w:sz w:val="24"/>
          <w:szCs w:val="24"/>
          <w:lang w:val="en-US" w:eastAsia="zh-CN"/>
        </w:rPr>
        <w:t>: 441-447 [PMID: 12812818]</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proofErr w:type="gramStart"/>
      <w:r w:rsidRPr="00B93BE0">
        <w:rPr>
          <w:rFonts w:ascii="Book Antiqua" w:eastAsia="宋体" w:hAnsi="Book Antiqua" w:cs="宋体"/>
          <w:color w:val="000000"/>
          <w:sz w:val="24"/>
          <w:szCs w:val="24"/>
          <w:lang w:val="en-US" w:eastAsia="zh-CN"/>
        </w:rPr>
        <w:t>28 </w:t>
      </w:r>
      <w:r w:rsidRPr="00B93BE0">
        <w:rPr>
          <w:rFonts w:ascii="Book Antiqua" w:eastAsia="宋体" w:hAnsi="Book Antiqua" w:cs="宋体"/>
          <w:b/>
          <w:bCs/>
          <w:color w:val="000000"/>
          <w:sz w:val="24"/>
          <w:szCs w:val="24"/>
          <w:lang w:val="en-US" w:eastAsia="zh-CN"/>
        </w:rPr>
        <w:t>Altman DG</w:t>
      </w:r>
      <w:r w:rsidRPr="00B93BE0">
        <w:rPr>
          <w:rFonts w:ascii="Book Antiqua" w:eastAsia="宋体" w:hAnsi="Book Antiqua" w:cs="宋体"/>
          <w:color w:val="000000"/>
          <w:sz w:val="24"/>
          <w:szCs w:val="24"/>
          <w:lang w:val="en-US" w:eastAsia="zh-CN"/>
        </w:rPr>
        <w:t>, Andersen PK. Bootstrap investigation of the stability of a Cox regression model.</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Stat Med</w:t>
      </w:r>
      <w:r w:rsidRPr="00B93BE0">
        <w:rPr>
          <w:rFonts w:ascii="Book Antiqua" w:eastAsia="宋体" w:hAnsi="Book Antiqua" w:cs="宋体"/>
          <w:color w:val="000000"/>
          <w:sz w:val="24"/>
          <w:szCs w:val="24"/>
          <w:lang w:val="en-US" w:eastAsia="zh-CN"/>
        </w:rPr>
        <w:t> 1989; </w:t>
      </w:r>
      <w:r w:rsidRPr="00B93BE0">
        <w:rPr>
          <w:rFonts w:ascii="Book Antiqua" w:eastAsia="宋体" w:hAnsi="Book Antiqua" w:cs="宋体"/>
          <w:b/>
          <w:bCs/>
          <w:color w:val="000000"/>
          <w:sz w:val="24"/>
          <w:szCs w:val="24"/>
          <w:lang w:val="en-US" w:eastAsia="zh-CN"/>
        </w:rPr>
        <w:t>8</w:t>
      </w:r>
      <w:r w:rsidRPr="00B93BE0">
        <w:rPr>
          <w:rFonts w:ascii="Book Antiqua" w:eastAsia="宋体" w:hAnsi="Book Antiqua" w:cs="宋体"/>
          <w:color w:val="000000"/>
          <w:sz w:val="24"/>
          <w:szCs w:val="24"/>
          <w:lang w:val="en-US" w:eastAsia="zh-CN"/>
        </w:rPr>
        <w:t>: 771-783 [PMID: 2672226]</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29 </w:t>
      </w:r>
      <w:r w:rsidRPr="00B93BE0">
        <w:rPr>
          <w:rFonts w:ascii="Book Antiqua" w:eastAsia="宋体" w:hAnsi="Book Antiqua" w:cs="宋体"/>
          <w:b/>
          <w:bCs/>
          <w:color w:val="000000"/>
          <w:sz w:val="24"/>
          <w:szCs w:val="24"/>
          <w:lang w:val="en-US" w:eastAsia="zh-CN"/>
        </w:rPr>
        <w:t>Tsochatzis EA</w:t>
      </w:r>
      <w:r w:rsidRPr="00B93BE0">
        <w:rPr>
          <w:rFonts w:ascii="Book Antiqua" w:eastAsia="宋体" w:hAnsi="Book Antiqua" w:cs="宋体"/>
          <w:color w:val="000000"/>
          <w:sz w:val="24"/>
          <w:szCs w:val="24"/>
          <w:lang w:val="en-US" w:eastAsia="zh-CN"/>
        </w:rPr>
        <w:t xml:space="preserve">, Fatourou E, O'Beirne J, Meyer T, Burroughs AK. </w:t>
      </w:r>
      <w:proofErr w:type="gramStart"/>
      <w:r w:rsidRPr="00B93BE0">
        <w:rPr>
          <w:rFonts w:ascii="Book Antiqua" w:eastAsia="宋体" w:hAnsi="Book Antiqua" w:cs="宋体"/>
          <w:color w:val="000000"/>
          <w:sz w:val="24"/>
          <w:szCs w:val="24"/>
          <w:lang w:val="en-US" w:eastAsia="zh-CN"/>
        </w:rPr>
        <w:t>Transarterial chemoembolization and bland embolization for hepatocellular carcinoma.</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World J Gastroenterol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20</w:t>
      </w:r>
      <w:r w:rsidRPr="00B93BE0">
        <w:rPr>
          <w:rFonts w:ascii="Book Antiqua" w:eastAsia="宋体" w:hAnsi="Book Antiqua" w:cs="宋体"/>
          <w:color w:val="000000"/>
          <w:sz w:val="24"/>
          <w:szCs w:val="24"/>
          <w:lang w:val="en-US" w:eastAsia="zh-CN"/>
        </w:rPr>
        <w:t>: 3069-3077 [PMID: 24695579 DOI: 10.3748/wjg.v20.i12.3069</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30 </w:t>
      </w:r>
      <w:r w:rsidRPr="00B93BE0">
        <w:rPr>
          <w:rFonts w:ascii="Book Antiqua" w:eastAsia="宋体" w:hAnsi="Book Antiqua" w:cs="宋体"/>
          <w:b/>
          <w:bCs/>
          <w:color w:val="000000"/>
          <w:sz w:val="24"/>
          <w:szCs w:val="24"/>
          <w:lang w:val="en-US" w:eastAsia="zh-CN"/>
        </w:rPr>
        <w:t>Llovet JM</w:t>
      </w:r>
      <w:r w:rsidRPr="00B93BE0">
        <w:rPr>
          <w:rFonts w:ascii="Book Antiqua" w:eastAsia="宋体" w:hAnsi="Book Antiqua" w:cs="宋体"/>
          <w:color w:val="000000"/>
          <w:sz w:val="24"/>
          <w:szCs w:val="24"/>
          <w:lang w:val="en-US" w:eastAsia="zh-CN"/>
        </w:rPr>
        <w:t>, Real MI, Montaña X, Planas R, Coll S, Aponte J, Ayuso C, Sala M, Muchart J, Solà R, Rodés J, Bruix J. Arterial embolisation or chemoembolisation versus symptomatic treatment in patients with unresectable hepatocellular carcinoma: a randomised controlled trial. </w:t>
      </w:r>
      <w:r w:rsidRPr="00B93BE0">
        <w:rPr>
          <w:rFonts w:ascii="Book Antiqua" w:eastAsia="宋体" w:hAnsi="Book Antiqua" w:cs="宋体"/>
          <w:i/>
          <w:iCs/>
          <w:color w:val="000000"/>
          <w:sz w:val="24"/>
          <w:szCs w:val="24"/>
          <w:lang w:val="en-US" w:eastAsia="zh-CN"/>
        </w:rPr>
        <w:t>Lancet</w:t>
      </w:r>
      <w:r w:rsidRPr="00B93BE0">
        <w:rPr>
          <w:rFonts w:ascii="Book Antiqua" w:eastAsia="宋体" w:hAnsi="Book Antiqua" w:cs="宋体"/>
          <w:color w:val="000000"/>
          <w:sz w:val="24"/>
          <w:szCs w:val="24"/>
          <w:lang w:val="en-US" w:eastAsia="zh-CN"/>
        </w:rPr>
        <w:t> 2002; </w:t>
      </w:r>
      <w:r w:rsidRPr="00B93BE0">
        <w:rPr>
          <w:rFonts w:ascii="Book Antiqua" w:eastAsia="宋体" w:hAnsi="Book Antiqua" w:cs="宋体"/>
          <w:b/>
          <w:bCs/>
          <w:color w:val="000000"/>
          <w:sz w:val="24"/>
          <w:szCs w:val="24"/>
          <w:lang w:val="en-US" w:eastAsia="zh-CN"/>
        </w:rPr>
        <w:t>359</w:t>
      </w:r>
      <w:r w:rsidRPr="00B93BE0">
        <w:rPr>
          <w:rFonts w:ascii="Book Antiqua" w:eastAsia="宋体" w:hAnsi="Book Antiqua" w:cs="宋体"/>
          <w:color w:val="000000"/>
          <w:sz w:val="24"/>
          <w:szCs w:val="24"/>
          <w:lang w:val="en-US" w:eastAsia="zh-CN"/>
        </w:rPr>
        <w:t>: 1734-1739 [PMID: 12049862]</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proofErr w:type="gramStart"/>
      <w:r w:rsidRPr="00B93BE0">
        <w:rPr>
          <w:rFonts w:ascii="Book Antiqua" w:eastAsia="宋体" w:hAnsi="Book Antiqua" w:cs="宋体"/>
          <w:color w:val="000000"/>
          <w:sz w:val="24"/>
          <w:szCs w:val="24"/>
          <w:lang w:val="en-US" w:eastAsia="zh-CN"/>
        </w:rPr>
        <w:t>31 </w:t>
      </w:r>
      <w:r w:rsidRPr="00B93BE0">
        <w:rPr>
          <w:rFonts w:ascii="Book Antiqua" w:eastAsia="宋体" w:hAnsi="Book Antiqua" w:cs="宋体"/>
          <w:b/>
          <w:bCs/>
          <w:color w:val="000000"/>
          <w:sz w:val="24"/>
          <w:szCs w:val="24"/>
          <w:lang w:val="en-US" w:eastAsia="zh-CN"/>
        </w:rPr>
        <w:t>Chang JM</w:t>
      </w:r>
      <w:r w:rsidRPr="00B93BE0">
        <w:rPr>
          <w:rFonts w:ascii="Book Antiqua" w:eastAsia="宋体" w:hAnsi="Book Antiqua" w:cs="宋体"/>
          <w:color w:val="000000"/>
          <w:sz w:val="24"/>
          <w:szCs w:val="24"/>
          <w:lang w:val="en-US" w:eastAsia="zh-CN"/>
        </w:rPr>
        <w:t>, Tzeng WS, Pan HB, Yang CF, Lai KH.</w:t>
      </w:r>
      <w:proofErr w:type="gramEnd"/>
      <w:r w:rsidRPr="00B93BE0">
        <w:rPr>
          <w:rFonts w:ascii="Book Antiqua" w:eastAsia="宋体" w:hAnsi="Book Antiqua" w:cs="宋体"/>
          <w:color w:val="000000"/>
          <w:sz w:val="24"/>
          <w:szCs w:val="24"/>
          <w:lang w:val="en-US" w:eastAsia="zh-CN"/>
        </w:rPr>
        <w:t xml:space="preserve"> </w:t>
      </w:r>
      <w:proofErr w:type="gramStart"/>
      <w:r w:rsidRPr="00B93BE0">
        <w:rPr>
          <w:rFonts w:ascii="Book Antiqua" w:eastAsia="宋体" w:hAnsi="Book Antiqua" w:cs="宋体"/>
          <w:color w:val="000000"/>
          <w:sz w:val="24"/>
          <w:szCs w:val="24"/>
          <w:lang w:val="en-US" w:eastAsia="zh-CN"/>
        </w:rPr>
        <w:t>Transcatheter arterial embolization with or without cisplatin treatment of hepatocellular carcinoma.</w:t>
      </w:r>
      <w:proofErr w:type="gramEnd"/>
      <w:r w:rsidRPr="00B93BE0">
        <w:rPr>
          <w:rFonts w:ascii="Book Antiqua" w:eastAsia="宋体" w:hAnsi="Book Antiqua" w:cs="宋体"/>
          <w:color w:val="000000"/>
          <w:sz w:val="24"/>
          <w:szCs w:val="24"/>
          <w:lang w:val="en-US" w:eastAsia="zh-CN"/>
        </w:rPr>
        <w:t xml:space="preserve"> A randomized controlled study. </w:t>
      </w:r>
      <w:r w:rsidRPr="00B93BE0">
        <w:rPr>
          <w:rFonts w:ascii="Book Antiqua" w:eastAsia="宋体" w:hAnsi="Book Antiqua" w:cs="宋体"/>
          <w:i/>
          <w:iCs/>
          <w:color w:val="000000"/>
          <w:sz w:val="24"/>
          <w:szCs w:val="24"/>
          <w:lang w:val="en-US" w:eastAsia="zh-CN"/>
        </w:rPr>
        <w:t>Cancer</w:t>
      </w:r>
      <w:r w:rsidRPr="00B93BE0">
        <w:rPr>
          <w:rFonts w:ascii="Book Antiqua" w:eastAsia="宋体" w:hAnsi="Book Antiqua" w:cs="宋体"/>
          <w:color w:val="000000"/>
          <w:sz w:val="24"/>
          <w:szCs w:val="24"/>
          <w:lang w:val="en-US" w:eastAsia="zh-CN"/>
        </w:rPr>
        <w:t> 1994; </w:t>
      </w:r>
      <w:r w:rsidRPr="00B93BE0">
        <w:rPr>
          <w:rFonts w:ascii="Book Antiqua" w:eastAsia="宋体" w:hAnsi="Book Antiqua" w:cs="宋体"/>
          <w:b/>
          <w:bCs/>
          <w:color w:val="000000"/>
          <w:sz w:val="24"/>
          <w:szCs w:val="24"/>
          <w:lang w:val="en-US" w:eastAsia="zh-CN"/>
        </w:rPr>
        <w:t>74</w:t>
      </w:r>
      <w:r w:rsidRPr="00B93BE0">
        <w:rPr>
          <w:rFonts w:ascii="Book Antiqua" w:eastAsia="宋体" w:hAnsi="Book Antiqua" w:cs="宋体"/>
          <w:color w:val="000000"/>
          <w:sz w:val="24"/>
          <w:szCs w:val="24"/>
          <w:lang w:val="en-US" w:eastAsia="zh-CN"/>
        </w:rPr>
        <w:t>: 2449-2453 [PMID: 7922999]</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lastRenderedPageBreak/>
        <w:t>32 </w:t>
      </w:r>
      <w:r w:rsidRPr="00B93BE0">
        <w:rPr>
          <w:rFonts w:ascii="Book Antiqua" w:eastAsia="宋体" w:hAnsi="Book Antiqua" w:cs="宋体"/>
          <w:b/>
          <w:bCs/>
          <w:color w:val="000000"/>
          <w:sz w:val="24"/>
          <w:szCs w:val="24"/>
          <w:lang w:val="en-US" w:eastAsia="zh-CN"/>
        </w:rPr>
        <w:t>Malagari K</w:t>
      </w:r>
      <w:r w:rsidRPr="00B93BE0">
        <w:rPr>
          <w:rFonts w:ascii="Book Antiqua" w:eastAsia="宋体" w:hAnsi="Book Antiqua" w:cs="宋体"/>
          <w:color w:val="000000"/>
          <w:sz w:val="24"/>
          <w:szCs w:val="24"/>
          <w:lang w:val="en-US" w:eastAsia="zh-CN"/>
        </w:rPr>
        <w:t>, Pomoni M, Kelekis A, Pomoni A, Dourakis S, Spyridopoulos T, Moschouris H, Emmanouil E, Rizos S, Kelekis D. Prospective randomized comparison of chemoembolization with doxorubicin-eluting beads and bland embolization with BeadBlock for hepatocellular carcinoma.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2010; </w:t>
      </w:r>
      <w:r w:rsidRPr="00B93BE0">
        <w:rPr>
          <w:rFonts w:ascii="Book Antiqua" w:eastAsia="宋体" w:hAnsi="Book Antiqua" w:cs="宋体"/>
          <w:b/>
          <w:bCs/>
          <w:color w:val="000000"/>
          <w:sz w:val="24"/>
          <w:szCs w:val="24"/>
          <w:lang w:val="en-US" w:eastAsia="zh-CN"/>
        </w:rPr>
        <w:t>33</w:t>
      </w:r>
      <w:r w:rsidRPr="00B93BE0">
        <w:rPr>
          <w:rFonts w:ascii="Book Antiqua" w:eastAsia="宋体" w:hAnsi="Book Antiqua" w:cs="宋体"/>
          <w:color w:val="000000"/>
          <w:sz w:val="24"/>
          <w:szCs w:val="24"/>
          <w:lang w:val="en-US" w:eastAsia="zh-CN"/>
        </w:rPr>
        <w:t>: 541-551 [PMID: 19937027 DOI: 10.1007/s00270-009-9750-0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33 </w:t>
      </w:r>
      <w:r w:rsidRPr="00B93BE0">
        <w:rPr>
          <w:rFonts w:ascii="Book Antiqua" w:eastAsia="宋体" w:hAnsi="Book Antiqua" w:cs="宋体"/>
          <w:b/>
          <w:bCs/>
          <w:color w:val="000000"/>
          <w:sz w:val="24"/>
          <w:szCs w:val="24"/>
          <w:lang w:val="en-US" w:eastAsia="zh-CN"/>
        </w:rPr>
        <w:t>Nicolini A</w:t>
      </w:r>
      <w:r w:rsidRPr="00B93BE0">
        <w:rPr>
          <w:rFonts w:ascii="Book Antiqua" w:eastAsia="宋体" w:hAnsi="Book Antiqua" w:cs="宋体"/>
          <w:color w:val="000000"/>
          <w:sz w:val="24"/>
          <w:szCs w:val="24"/>
          <w:lang w:val="en-US" w:eastAsia="zh-CN"/>
        </w:rPr>
        <w:t>, Martinetti L, Crespi S, Maggioni M, Sangiovanni A. Transarterial chemoembolization with epirubicin-eluting beads versus transarterial embolization before liver transplantation for hepatocellular carcinoma. </w:t>
      </w:r>
      <w:r w:rsidRPr="00B93BE0">
        <w:rPr>
          <w:rFonts w:ascii="Book Antiqua" w:eastAsia="宋体" w:hAnsi="Book Antiqua" w:cs="宋体"/>
          <w:i/>
          <w:iCs/>
          <w:color w:val="000000"/>
          <w:sz w:val="24"/>
          <w:szCs w:val="24"/>
          <w:lang w:val="en-US" w:eastAsia="zh-CN"/>
        </w:rPr>
        <w:t>J Vasc Interv Radiol</w:t>
      </w:r>
      <w:r w:rsidRPr="00B93BE0">
        <w:rPr>
          <w:rFonts w:ascii="Book Antiqua" w:eastAsia="宋体" w:hAnsi="Book Antiqua" w:cs="宋体"/>
          <w:color w:val="000000"/>
          <w:sz w:val="24"/>
          <w:szCs w:val="24"/>
          <w:lang w:val="en-US" w:eastAsia="zh-CN"/>
        </w:rPr>
        <w:t> 2010; </w:t>
      </w:r>
      <w:r w:rsidRPr="00B93BE0">
        <w:rPr>
          <w:rFonts w:ascii="Book Antiqua" w:eastAsia="宋体" w:hAnsi="Book Antiqua" w:cs="宋体"/>
          <w:b/>
          <w:bCs/>
          <w:color w:val="000000"/>
          <w:sz w:val="24"/>
          <w:szCs w:val="24"/>
          <w:lang w:val="en-US" w:eastAsia="zh-CN"/>
        </w:rPr>
        <w:t>21</w:t>
      </w:r>
      <w:r w:rsidRPr="00B93BE0">
        <w:rPr>
          <w:rFonts w:ascii="Book Antiqua" w:eastAsia="宋体" w:hAnsi="Book Antiqua" w:cs="宋体"/>
          <w:color w:val="000000"/>
          <w:sz w:val="24"/>
          <w:szCs w:val="24"/>
          <w:lang w:val="en-US" w:eastAsia="zh-CN"/>
        </w:rPr>
        <w:t>: 327-332 [PMID: 20097098 DOI: 10.1016/j.jvir.2009.10.038</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34 </w:t>
      </w:r>
      <w:r w:rsidRPr="00B93BE0">
        <w:rPr>
          <w:rFonts w:ascii="Book Antiqua" w:eastAsia="宋体" w:hAnsi="Book Antiqua" w:cs="宋体"/>
          <w:b/>
          <w:bCs/>
          <w:color w:val="000000"/>
          <w:sz w:val="24"/>
          <w:szCs w:val="24"/>
          <w:lang w:val="en-US" w:eastAsia="zh-CN"/>
        </w:rPr>
        <w:t>Varela M</w:t>
      </w:r>
      <w:r w:rsidRPr="00B93BE0">
        <w:rPr>
          <w:rFonts w:ascii="Book Antiqua" w:eastAsia="宋体" w:hAnsi="Book Antiqua" w:cs="宋体"/>
          <w:color w:val="000000"/>
          <w:sz w:val="24"/>
          <w:szCs w:val="24"/>
          <w:lang w:val="en-US" w:eastAsia="zh-CN"/>
        </w:rPr>
        <w:t>, Real MI, Burrel M, Forner A, Sala M, Brunet M, Ayuso C, Castells L, Montañá X, Llovet JM, Bruix J. Chemoembolization of hepatocellular carcinoma with drug eluting beads: efficacy and doxorubicin pharmacokinetics.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2007; </w:t>
      </w:r>
      <w:r w:rsidRPr="00B93BE0">
        <w:rPr>
          <w:rFonts w:ascii="Book Antiqua" w:eastAsia="宋体" w:hAnsi="Book Antiqua" w:cs="宋体"/>
          <w:b/>
          <w:bCs/>
          <w:color w:val="000000"/>
          <w:sz w:val="24"/>
          <w:szCs w:val="24"/>
          <w:lang w:val="en-US" w:eastAsia="zh-CN"/>
        </w:rPr>
        <w:t>46</w:t>
      </w:r>
      <w:r w:rsidRPr="00B93BE0">
        <w:rPr>
          <w:rFonts w:ascii="Book Antiqua" w:eastAsia="宋体" w:hAnsi="Book Antiqua" w:cs="宋体"/>
          <w:color w:val="000000"/>
          <w:sz w:val="24"/>
          <w:szCs w:val="24"/>
          <w:lang w:val="en-US" w:eastAsia="zh-CN"/>
        </w:rPr>
        <w:t>: 474-481 [PMID: 17239480]</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35 </w:t>
      </w:r>
      <w:r w:rsidRPr="00B93BE0">
        <w:rPr>
          <w:rFonts w:ascii="Book Antiqua" w:eastAsia="宋体" w:hAnsi="Book Antiqua" w:cs="宋体"/>
          <w:b/>
          <w:bCs/>
          <w:color w:val="000000"/>
          <w:sz w:val="24"/>
          <w:szCs w:val="24"/>
          <w:lang w:val="en-US" w:eastAsia="zh-CN"/>
        </w:rPr>
        <w:t>Poon RT</w:t>
      </w:r>
      <w:r w:rsidRPr="00B93BE0">
        <w:rPr>
          <w:rFonts w:ascii="Book Antiqua" w:eastAsia="宋体" w:hAnsi="Book Antiqua" w:cs="宋体"/>
          <w:color w:val="000000"/>
          <w:sz w:val="24"/>
          <w:szCs w:val="24"/>
          <w:lang w:val="en-US" w:eastAsia="zh-CN"/>
        </w:rPr>
        <w:t>, Tso WK, Pang RW, Ng KK, Woo R, Tai KS, Fan ST. A phase I/II trial of chemoembolization for hepatocellular carcinoma using a novel intra-arterial drug-eluting bead. </w:t>
      </w:r>
      <w:r w:rsidRPr="00B93BE0">
        <w:rPr>
          <w:rFonts w:ascii="Book Antiqua" w:eastAsia="宋体" w:hAnsi="Book Antiqua" w:cs="宋体"/>
          <w:i/>
          <w:iCs/>
          <w:color w:val="000000"/>
          <w:sz w:val="24"/>
          <w:szCs w:val="24"/>
          <w:lang w:val="en-US" w:eastAsia="zh-CN"/>
        </w:rPr>
        <w:t>Clin Gastroenterol Hepatol</w:t>
      </w:r>
      <w:r w:rsidRPr="00B93BE0">
        <w:rPr>
          <w:rFonts w:ascii="Book Antiqua" w:eastAsia="宋体" w:hAnsi="Book Antiqua" w:cs="宋体"/>
          <w:color w:val="000000"/>
          <w:sz w:val="24"/>
          <w:szCs w:val="24"/>
          <w:lang w:val="en-US" w:eastAsia="zh-CN"/>
        </w:rPr>
        <w:t> 2007; </w:t>
      </w:r>
      <w:r w:rsidRPr="00B93BE0">
        <w:rPr>
          <w:rFonts w:ascii="Book Antiqua" w:eastAsia="宋体" w:hAnsi="Book Antiqua" w:cs="宋体"/>
          <w:b/>
          <w:bCs/>
          <w:color w:val="000000"/>
          <w:sz w:val="24"/>
          <w:szCs w:val="24"/>
          <w:lang w:val="en-US" w:eastAsia="zh-CN"/>
        </w:rPr>
        <w:t>5</w:t>
      </w:r>
      <w:r w:rsidRPr="00B93BE0">
        <w:rPr>
          <w:rFonts w:ascii="Book Antiqua" w:eastAsia="宋体" w:hAnsi="Book Antiqua" w:cs="宋体"/>
          <w:color w:val="000000"/>
          <w:sz w:val="24"/>
          <w:szCs w:val="24"/>
          <w:lang w:val="en-US" w:eastAsia="zh-CN"/>
        </w:rPr>
        <w:t>: 1100-1108 [PMID: 17627902]</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proofErr w:type="gramStart"/>
      <w:r w:rsidRPr="00B93BE0">
        <w:rPr>
          <w:rFonts w:ascii="Book Antiqua" w:eastAsia="宋体" w:hAnsi="Book Antiqua" w:cs="宋体"/>
          <w:color w:val="000000"/>
          <w:sz w:val="24"/>
          <w:szCs w:val="24"/>
          <w:lang w:val="en-US" w:eastAsia="zh-CN"/>
        </w:rPr>
        <w:t>36 </w:t>
      </w:r>
      <w:r w:rsidRPr="00B93BE0">
        <w:rPr>
          <w:rFonts w:ascii="Book Antiqua" w:eastAsia="宋体" w:hAnsi="Book Antiqua" w:cs="宋体"/>
          <w:b/>
          <w:bCs/>
          <w:color w:val="000000"/>
          <w:sz w:val="24"/>
          <w:szCs w:val="24"/>
          <w:lang w:val="en-US" w:eastAsia="zh-CN"/>
        </w:rPr>
        <w:t>Lee KH</w:t>
      </w:r>
      <w:r w:rsidRPr="00B93BE0">
        <w:rPr>
          <w:rFonts w:ascii="Book Antiqua" w:eastAsia="宋体" w:hAnsi="Book Antiqua" w:cs="宋体"/>
          <w:color w:val="000000"/>
          <w:sz w:val="24"/>
          <w:szCs w:val="24"/>
          <w:lang w:val="en-US" w:eastAsia="zh-CN"/>
        </w:rPr>
        <w:t>, Liapi E, Ventura VP, Buijs M, Vossen JA, Vali M, Geschwind JF.</w:t>
      </w:r>
      <w:proofErr w:type="gramEnd"/>
      <w:r w:rsidRPr="00B93BE0">
        <w:rPr>
          <w:rFonts w:ascii="Book Antiqua" w:eastAsia="宋体" w:hAnsi="Book Antiqua" w:cs="宋体"/>
          <w:color w:val="000000"/>
          <w:sz w:val="24"/>
          <w:szCs w:val="24"/>
          <w:lang w:val="en-US" w:eastAsia="zh-CN"/>
        </w:rPr>
        <w:t xml:space="preserve"> Evaluation of different calibrated spherical polyvinyl alcohol microspheres in transcatheter arterial chemoembolization: VX2 tumor model in rabbit liver. </w:t>
      </w:r>
      <w:r w:rsidRPr="00B93BE0">
        <w:rPr>
          <w:rFonts w:ascii="Book Antiqua" w:eastAsia="宋体" w:hAnsi="Book Antiqua" w:cs="宋体"/>
          <w:i/>
          <w:iCs/>
          <w:color w:val="000000"/>
          <w:sz w:val="24"/>
          <w:szCs w:val="24"/>
          <w:lang w:val="en-US" w:eastAsia="zh-CN"/>
        </w:rPr>
        <w:t>J Vasc Interv Radiol</w:t>
      </w:r>
      <w:r w:rsidRPr="00B93BE0">
        <w:rPr>
          <w:rFonts w:ascii="Book Antiqua" w:eastAsia="宋体" w:hAnsi="Book Antiqua" w:cs="宋体"/>
          <w:color w:val="000000"/>
          <w:sz w:val="24"/>
          <w:szCs w:val="24"/>
          <w:lang w:val="en-US" w:eastAsia="zh-CN"/>
        </w:rPr>
        <w:t> 2008; </w:t>
      </w:r>
      <w:r w:rsidRPr="00B93BE0">
        <w:rPr>
          <w:rFonts w:ascii="Book Antiqua" w:eastAsia="宋体" w:hAnsi="Book Antiqua" w:cs="宋体"/>
          <w:b/>
          <w:bCs/>
          <w:color w:val="000000"/>
          <w:sz w:val="24"/>
          <w:szCs w:val="24"/>
          <w:lang w:val="en-US" w:eastAsia="zh-CN"/>
        </w:rPr>
        <w:t>19</w:t>
      </w:r>
      <w:r w:rsidRPr="00B93BE0">
        <w:rPr>
          <w:rFonts w:ascii="Book Antiqua" w:eastAsia="宋体" w:hAnsi="Book Antiqua" w:cs="宋体"/>
          <w:color w:val="000000"/>
          <w:sz w:val="24"/>
          <w:szCs w:val="24"/>
          <w:lang w:val="en-US" w:eastAsia="zh-CN"/>
        </w:rPr>
        <w:t>: 1065-1069 [PMID: 18589321 DOI: 10.1016/j.jvir.2008.02.023</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proofErr w:type="gramStart"/>
      <w:r w:rsidRPr="00B93BE0">
        <w:rPr>
          <w:rFonts w:ascii="Book Antiqua" w:eastAsia="宋体" w:hAnsi="Book Antiqua" w:cs="宋体"/>
          <w:color w:val="000000"/>
          <w:sz w:val="24"/>
          <w:szCs w:val="24"/>
          <w:lang w:val="en-US" w:eastAsia="zh-CN"/>
        </w:rPr>
        <w:t>37 </w:t>
      </w:r>
      <w:r w:rsidRPr="00B93BE0">
        <w:rPr>
          <w:rFonts w:ascii="Book Antiqua" w:eastAsia="宋体" w:hAnsi="Book Antiqua" w:cs="宋体"/>
          <w:b/>
          <w:bCs/>
          <w:color w:val="000000"/>
          <w:sz w:val="24"/>
          <w:szCs w:val="24"/>
          <w:lang w:val="en-US" w:eastAsia="zh-CN"/>
        </w:rPr>
        <w:t>Lewis AL</w:t>
      </w:r>
      <w:r w:rsidRPr="00B93BE0">
        <w:rPr>
          <w:rFonts w:ascii="Book Antiqua" w:eastAsia="宋体" w:hAnsi="Book Antiqua" w:cs="宋体"/>
          <w:color w:val="000000"/>
          <w:sz w:val="24"/>
          <w:szCs w:val="24"/>
          <w:lang w:val="en-US" w:eastAsia="zh-CN"/>
        </w:rPr>
        <w:t>, Taylor RR, Hall B, Gonzalez MV, Willis SL, Stratford PW.</w:t>
      </w:r>
      <w:proofErr w:type="gramEnd"/>
      <w:r w:rsidRPr="00B93BE0">
        <w:rPr>
          <w:rFonts w:ascii="Book Antiqua" w:eastAsia="宋体" w:hAnsi="Book Antiqua" w:cs="宋体"/>
          <w:color w:val="000000"/>
          <w:sz w:val="24"/>
          <w:szCs w:val="24"/>
          <w:lang w:val="en-US" w:eastAsia="zh-CN"/>
        </w:rPr>
        <w:t xml:space="preserve"> Pharmacokinetic and safety study of doxorubicin-eluting beads in a porcine model of hepatic arterial embolization. </w:t>
      </w:r>
      <w:r w:rsidRPr="00B93BE0">
        <w:rPr>
          <w:rFonts w:ascii="Book Antiqua" w:eastAsia="宋体" w:hAnsi="Book Antiqua" w:cs="宋体"/>
          <w:i/>
          <w:iCs/>
          <w:color w:val="000000"/>
          <w:sz w:val="24"/>
          <w:szCs w:val="24"/>
          <w:lang w:val="en-US" w:eastAsia="zh-CN"/>
        </w:rPr>
        <w:t>J Vasc Interv Radiol</w:t>
      </w:r>
      <w:r w:rsidRPr="00B93BE0">
        <w:rPr>
          <w:rFonts w:ascii="Book Antiqua" w:eastAsia="宋体" w:hAnsi="Book Antiqua" w:cs="宋体"/>
          <w:color w:val="000000"/>
          <w:sz w:val="24"/>
          <w:szCs w:val="24"/>
          <w:lang w:val="en-US" w:eastAsia="zh-CN"/>
        </w:rPr>
        <w:t> 2006; </w:t>
      </w:r>
      <w:r w:rsidRPr="00B93BE0">
        <w:rPr>
          <w:rFonts w:ascii="Book Antiqua" w:eastAsia="宋体" w:hAnsi="Book Antiqua" w:cs="宋体"/>
          <w:b/>
          <w:bCs/>
          <w:color w:val="000000"/>
          <w:sz w:val="24"/>
          <w:szCs w:val="24"/>
          <w:lang w:val="en-US" w:eastAsia="zh-CN"/>
        </w:rPr>
        <w:t>17</w:t>
      </w:r>
      <w:r w:rsidRPr="00B93BE0">
        <w:rPr>
          <w:rFonts w:ascii="Book Antiqua" w:eastAsia="宋体" w:hAnsi="Book Antiqua" w:cs="宋体"/>
          <w:color w:val="000000"/>
          <w:sz w:val="24"/>
          <w:szCs w:val="24"/>
          <w:lang w:val="en-US" w:eastAsia="zh-CN"/>
        </w:rPr>
        <w:t>: 1335-1343 [PMID: 16923981]</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38 </w:t>
      </w:r>
      <w:r w:rsidRPr="00B93BE0">
        <w:rPr>
          <w:rFonts w:ascii="Book Antiqua" w:eastAsia="宋体" w:hAnsi="Book Antiqua" w:cs="宋体"/>
          <w:b/>
          <w:bCs/>
          <w:color w:val="000000"/>
          <w:sz w:val="24"/>
          <w:szCs w:val="24"/>
          <w:lang w:val="en-US" w:eastAsia="zh-CN"/>
        </w:rPr>
        <w:t>Nicolini D</w:t>
      </w:r>
      <w:r w:rsidRPr="00B93BE0">
        <w:rPr>
          <w:rFonts w:ascii="Book Antiqua" w:eastAsia="宋体" w:hAnsi="Book Antiqua" w:cs="宋体"/>
          <w:color w:val="000000"/>
          <w:sz w:val="24"/>
          <w:szCs w:val="24"/>
          <w:lang w:val="en-US" w:eastAsia="zh-CN"/>
        </w:rPr>
        <w:t>, Svegliati-Baroni G, Candelari R, Mincarelli C, Mandolesi A, Bearzi I, Mocchegiani F, Vecchi A, Montalti R, Benedetti A, Risaliti A, Vivarelli M. Doxorubicin-eluting bead vs conventional transcatheter arterial chemoembolization for hepatocellular carcinoma before liver transplantation. </w:t>
      </w:r>
      <w:r w:rsidRPr="00B93BE0">
        <w:rPr>
          <w:rFonts w:ascii="Book Antiqua" w:eastAsia="宋体" w:hAnsi="Book Antiqua" w:cs="宋体"/>
          <w:i/>
          <w:iCs/>
          <w:color w:val="000000"/>
          <w:sz w:val="24"/>
          <w:szCs w:val="24"/>
          <w:lang w:val="en-US" w:eastAsia="zh-CN"/>
        </w:rPr>
        <w:t>World J Gastroenterol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19</w:t>
      </w:r>
      <w:r w:rsidRPr="00B93BE0">
        <w:rPr>
          <w:rFonts w:ascii="Book Antiqua" w:eastAsia="宋体" w:hAnsi="Book Antiqua" w:cs="宋体"/>
          <w:color w:val="000000"/>
          <w:sz w:val="24"/>
          <w:szCs w:val="24"/>
          <w:lang w:val="en-US" w:eastAsia="zh-CN"/>
        </w:rPr>
        <w:t>: 5622-5632 [PMID: 24039354 DOI: 10.3748/wjg.v19.i34.5622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39 </w:t>
      </w:r>
      <w:r w:rsidRPr="00B93BE0">
        <w:rPr>
          <w:rFonts w:ascii="Book Antiqua" w:eastAsia="宋体" w:hAnsi="Book Antiqua" w:cs="宋体"/>
          <w:b/>
          <w:bCs/>
          <w:color w:val="000000"/>
          <w:sz w:val="24"/>
          <w:szCs w:val="24"/>
          <w:lang w:val="en-US" w:eastAsia="zh-CN"/>
        </w:rPr>
        <w:t>Frenette CT</w:t>
      </w:r>
      <w:r w:rsidRPr="00B93BE0">
        <w:rPr>
          <w:rFonts w:ascii="Book Antiqua" w:eastAsia="宋体" w:hAnsi="Book Antiqua" w:cs="宋体"/>
          <w:color w:val="000000"/>
          <w:sz w:val="24"/>
          <w:szCs w:val="24"/>
          <w:lang w:val="en-US" w:eastAsia="zh-CN"/>
        </w:rPr>
        <w:t>, Osorio RC, Stark J, Fok B, Boktour MR, Guy J, Rhee J, Osorio RW. Conventional TACE and drug-eluting bead TACE as locoregional therapy before orthotopic liver transplantation: comparison of explant pathologic response. </w:t>
      </w:r>
      <w:r w:rsidRPr="00B93BE0">
        <w:rPr>
          <w:rFonts w:ascii="Book Antiqua" w:eastAsia="宋体" w:hAnsi="Book Antiqua" w:cs="宋体"/>
          <w:i/>
          <w:iCs/>
          <w:color w:val="000000"/>
          <w:sz w:val="24"/>
          <w:szCs w:val="24"/>
          <w:lang w:val="en-US" w:eastAsia="zh-CN"/>
        </w:rPr>
        <w:t>Transplantation</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98</w:t>
      </w:r>
      <w:r w:rsidRPr="00B93BE0">
        <w:rPr>
          <w:rFonts w:ascii="Book Antiqua" w:eastAsia="宋体" w:hAnsi="Book Antiqua" w:cs="宋体"/>
          <w:color w:val="000000"/>
          <w:sz w:val="24"/>
          <w:szCs w:val="24"/>
          <w:lang w:val="en-US" w:eastAsia="zh-CN"/>
        </w:rPr>
        <w:t>: 781-787 [PMID: 24825513 DOI: 10.1097/TP.0000000000000121</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lastRenderedPageBreak/>
        <w:t>40 </w:t>
      </w:r>
      <w:r w:rsidRPr="00B93BE0">
        <w:rPr>
          <w:rFonts w:ascii="Book Antiqua" w:eastAsia="宋体" w:hAnsi="Book Antiqua" w:cs="宋体"/>
          <w:b/>
          <w:bCs/>
          <w:color w:val="000000"/>
          <w:sz w:val="24"/>
          <w:szCs w:val="24"/>
          <w:lang w:val="en-US" w:eastAsia="zh-CN"/>
        </w:rPr>
        <w:t>Song MJ</w:t>
      </w:r>
      <w:r w:rsidRPr="00B93BE0">
        <w:rPr>
          <w:rFonts w:ascii="Book Antiqua" w:eastAsia="宋体" w:hAnsi="Book Antiqua" w:cs="宋体"/>
          <w:color w:val="000000"/>
          <w:sz w:val="24"/>
          <w:szCs w:val="24"/>
          <w:lang w:val="en-US" w:eastAsia="zh-CN"/>
        </w:rPr>
        <w:t>, Chun HJ, Song do S, Kim HY, Yoo SH, Park CH, Bae SH, Choi JY, Chang UI, Yang JM, Lee HG, Yoon SK. Comparative study between doxorubicin-eluting beads and conventional transarterial chemoembolization for treatment of hepatocellular carcinoma.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57</w:t>
      </w:r>
      <w:r w:rsidRPr="00B93BE0">
        <w:rPr>
          <w:rFonts w:ascii="Book Antiqua" w:eastAsia="宋体" w:hAnsi="Book Antiqua" w:cs="宋体"/>
          <w:color w:val="000000"/>
          <w:sz w:val="24"/>
          <w:szCs w:val="24"/>
          <w:lang w:val="en-US" w:eastAsia="zh-CN"/>
        </w:rPr>
        <w:t>: 1244-1250 [PMID: 22824821 DOI: 10.1016/j.jhep.2012.07.017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41 </w:t>
      </w:r>
      <w:r w:rsidRPr="00B93BE0">
        <w:rPr>
          <w:rFonts w:ascii="Book Antiqua" w:eastAsia="宋体" w:hAnsi="Book Antiqua" w:cs="宋体"/>
          <w:b/>
          <w:bCs/>
          <w:color w:val="000000"/>
          <w:sz w:val="24"/>
          <w:szCs w:val="24"/>
          <w:lang w:val="en-US" w:eastAsia="zh-CN"/>
        </w:rPr>
        <w:t>Sacco R</w:t>
      </w:r>
      <w:r w:rsidRPr="00B93BE0">
        <w:rPr>
          <w:rFonts w:ascii="Book Antiqua" w:eastAsia="宋体" w:hAnsi="Book Antiqua" w:cs="宋体"/>
          <w:color w:val="000000"/>
          <w:sz w:val="24"/>
          <w:szCs w:val="24"/>
          <w:lang w:val="en-US" w:eastAsia="zh-CN"/>
        </w:rPr>
        <w:t>, Bargellini I, Bertini M, Bozzi E, Romano A, Petruzzi P, Tumino E, Ginanni B, Federici G, Cioni R, Metrangolo S, Bertoni M, Bresci G, Parisi G, Altomare E, Capria A, Bartolozzi C. Conventional versus doxorubicin-eluting bead transarterial chemoembolization for hepatocellular carcinoma. </w:t>
      </w:r>
      <w:r w:rsidRPr="00B93BE0">
        <w:rPr>
          <w:rFonts w:ascii="Book Antiqua" w:eastAsia="宋体" w:hAnsi="Book Antiqua" w:cs="宋体"/>
          <w:i/>
          <w:iCs/>
          <w:color w:val="000000"/>
          <w:sz w:val="24"/>
          <w:szCs w:val="24"/>
          <w:lang w:val="en-US" w:eastAsia="zh-CN"/>
        </w:rPr>
        <w:t>J Vasc Interv Radiol</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22</w:t>
      </w:r>
      <w:r w:rsidRPr="00B93BE0">
        <w:rPr>
          <w:rFonts w:ascii="Book Antiqua" w:eastAsia="宋体" w:hAnsi="Book Antiqua" w:cs="宋体"/>
          <w:color w:val="000000"/>
          <w:sz w:val="24"/>
          <w:szCs w:val="24"/>
          <w:lang w:val="en-US" w:eastAsia="zh-CN"/>
        </w:rPr>
        <w:t>: 1545-1552 [PMID: 21849247 DOI: 10.1016/j.jvir.2011.07.002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42 </w:t>
      </w:r>
      <w:r w:rsidRPr="00B93BE0">
        <w:rPr>
          <w:rFonts w:ascii="Book Antiqua" w:eastAsia="宋体" w:hAnsi="Book Antiqua" w:cs="宋体"/>
          <w:b/>
          <w:bCs/>
          <w:color w:val="000000"/>
          <w:sz w:val="24"/>
          <w:szCs w:val="24"/>
          <w:lang w:val="en-US" w:eastAsia="zh-CN"/>
        </w:rPr>
        <w:t>van Malenstein H</w:t>
      </w:r>
      <w:r w:rsidRPr="00B93BE0">
        <w:rPr>
          <w:rFonts w:ascii="Book Antiqua" w:eastAsia="宋体" w:hAnsi="Book Antiqua" w:cs="宋体"/>
          <w:color w:val="000000"/>
          <w:sz w:val="24"/>
          <w:szCs w:val="24"/>
          <w:lang w:val="en-US" w:eastAsia="zh-CN"/>
        </w:rPr>
        <w:t>, Maleux G, Vandecaveye V, Heye S, Laleman W, van Pelt J, Vaninbroukx J, Nevens F, Verslype C. A randomized phase II study of drug-eluting beads versus transarterial chemoembolization for unresectable hepatocellular carcinoma. </w:t>
      </w:r>
      <w:r w:rsidRPr="00B93BE0">
        <w:rPr>
          <w:rFonts w:ascii="Book Antiqua" w:eastAsia="宋体" w:hAnsi="Book Antiqua" w:cs="宋体"/>
          <w:i/>
          <w:iCs/>
          <w:color w:val="000000"/>
          <w:sz w:val="24"/>
          <w:szCs w:val="24"/>
          <w:lang w:val="en-US" w:eastAsia="zh-CN"/>
        </w:rPr>
        <w:t>Onkologie</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34</w:t>
      </w:r>
      <w:r w:rsidRPr="00B93BE0">
        <w:rPr>
          <w:rFonts w:ascii="Book Antiqua" w:eastAsia="宋体" w:hAnsi="Book Antiqua" w:cs="宋体"/>
          <w:color w:val="000000"/>
          <w:sz w:val="24"/>
          <w:szCs w:val="24"/>
          <w:lang w:val="en-US" w:eastAsia="zh-CN"/>
        </w:rPr>
        <w:t>: 368-376 [PMID: 21734423 DOI: 10.1159/000329602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43 </w:t>
      </w:r>
      <w:r w:rsidRPr="00B93BE0">
        <w:rPr>
          <w:rFonts w:ascii="Book Antiqua" w:eastAsia="宋体" w:hAnsi="Book Antiqua" w:cs="宋体"/>
          <w:b/>
          <w:bCs/>
          <w:color w:val="000000"/>
          <w:sz w:val="24"/>
          <w:szCs w:val="24"/>
          <w:lang w:val="en-US" w:eastAsia="zh-CN"/>
        </w:rPr>
        <w:t>Lammer J</w:t>
      </w:r>
      <w:r w:rsidRPr="00B93BE0">
        <w:rPr>
          <w:rFonts w:ascii="Book Antiqua" w:eastAsia="宋体" w:hAnsi="Book Antiqua" w:cs="宋体"/>
          <w:color w:val="000000"/>
          <w:sz w:val="24"/>
          <w:szCs w:val="24"/>
          <w:lang w:val="en-US" w:eastAsia="zh-CN"/>
        </w:rPr>
        <w:t>,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2010; </w:t>
      </w:r>
      <w:r w:rsidRPr="00B93BE0">
        <w:rPr>
          <w:rFonts w:ascii="Book Antiqua" w:eastAsia="宋体" w:hAnsi="Book Antiqua" w:cs="宋体"/>
          <w:b/>
          <w:bCs/>
          <w:color w:val="000000"/>
          <w:sz w:val="24"/>
          <w:szCs w:val="24"/>
          <w:lang w:val="en-US" w:eastAsia="zh-CN"/>
        </w:rPr>
        <w:t>33</w:t>
      </w:r>
      <w:r w:rsidRPr="00B93BE0">
        <w:rPr>
          <w:rFonts w:ascii="Book Antiqua" w:eastAsia="宋体" w:hAnsi="Book Antiqua" w:cs="宋体"/>
          <w:color w:val="000000"/>
          <w:sz w:val="24"/>
          <w:szCs w:val="24"/>
          <w:lang w:val="en-US" w:eastAsia="zh-CN"/>
        </w:rPr>
        <w:t>: 41-52 [PMID: 19908093 DOI: 10.1007/s00270-009-9711-7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44 </w:t>
      </w:r>
      <w:r w:rsidRPr="00B93BE0">
        <w:rPr>
          <w:rFonts w:ascii="Book Antiqua" w:eastAsia="宋体" w:hAnsi="Book Antiqua" w:cs="宋体"/>
          <w:b/>
          <w:bCs/>
          <w:color w:val="000000"/>
          <w:sz w:val="24"/>
          <w:szCs w:val="24"/>
          <w:lang w:val="en-US" w:eastAsia="zh-CN"/>
        </w:rPr>
        <w:t>Golfieri R</w:t>
      </w:r>
      <w:r w:rsidRPr="00B93BE0">
        <w:rPr>
          <w:rFonts w:ascii="Book Antiqua" w:eastAsia="宋体" w:hAnsi="Book Antiqua" w:cs="宋体"/>
          <w:color w:val="000000"/>
          <w:sz w:val="24"/>
          <w:szCs w:val="24"/>
          <w:lang w:val="en-US" w:eastAsia="zh-CN"/>
        </w:rPr>
        <w:t>, Giampalma E, Renzulli M, Cioni R, Bargellini I, Bartolozzi C, Breatta AD, Gandini G, Nani R, Gasparini D, Cucchetti A, Bolondi L, Trevisani F. Randomised controlled trial of doxorubicin-eluting beads vs conventional chemoembolisation for hepatocellular carcinoma. </w:t>
      </w:r>
      <w:r w:rsidRPr="00B93BE0">
        <w:rPr>
          <w:rFonts w:ascii="Book Antiqua" w:eastAsia="宋体" w:hAnsi="Book Antiqua" w:cs="宋体"/>
          <w:i/>
          <w:iCs/>
          <w:color w:val="000000"/>
          <w:sz w:val="24"/>
          <w:szCs w:val="24"/>
          <w:lang w:val="en-US" w:eastAsia="zh-CN"/>
        </w:rPr>
        <w:t>Br J Cancer</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111</w:t>
      </w:r>
      <w:r w:rsidRPr="00B93BE0">
        <w:rPr>
          <w:rFonts w:ascii="Book Antiqua" w:eastAsia="宋体" w:hAnsi="Book Antiqua" w:cs="宋体"/>
          <w:color w:val="000000"/>
          <w:sz w:val="24"/>
          <w:szCs w:val="24"/>
          <w:lang w:val="en-US" w:eastAsia="zh-CN"/>
        </w:rPr>
        <w:t>: 255-264 [PMID: 24937669 DOI: 10.1038/bjc.2014.199</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45 </w:t>
      </w:r>
      <w:r w:rsidRPr="00B93BE0">
        <w:rPr>
          <w:rFonts w:ascii="Book Antiqua" w:eastAsia="宋体" w:hAnsi="Book Antiqua" w:cs="宋体"/>
          <w:b/>
          <w:bCs/>
          <w:color w:val="000000"/>
          <w:sz w:val="24"/>
          <w:szCs w:val="24"/>
          <w:lang w:val="en-US" w:eastAsia="zh-CN"/>
        </w:rPr>
        <w:t>Ferrer Puchol MD</w:t>
      </w:r>
      <w:r w:rsidRPr="00B93BE0">
        <w:rPr>
          <w:rFonts w:ascii="Book Antiqua" w:eastAsia="宋体" w:hAnsi="Book Antiqua" w:cs="宋体"/>
          <w:color w:val="000000"/>
          <w:sz w:val="24"/>
          <w:szCs w:val="24"/>
          <w:lang w:val="en-US" w:eastAsia="zh-CN"/>
        </w:rPr>
        <w:t>, la Parra C, Esteban E, Vaño M, Forment M, Vera A, Cosín O. [Comparison of doxorubicin-eluting bead transarterial chemoembolization (DEB-TACE) with conventional transarterial chemoembolization (TACE) for the treatment of hepatocellular carcinoma]. </w:t>
      </w:r>
      <w:r w:rsidRPr="00B93BE0">
        <w:rPr>
          <w:rFonts w:ascii="Book Antiqua" w:eastAsia="宋体" w:hAnsi="Book Antiqua" w:cs="宋体"/>
          <w:i/>
          <w:iCs/>
          <w:color w:val="000000"/>
          <w:sz w:val="24"/>
          <w:szCs w:val="24"/>
          <w:lang w:val="en-US" w:eastAsia="zh-CN"/>
        </w:rPr>
        <w:t>Radiologia</w:t>
      </w:r>
      <w:r w:rsidRPr="00B93BE0">
        <w:rPr>
          <w:rFonts w:ascii="Book Antiqua" w:eastAsia="宋体" w:hAnsi="Book Antiqua" w:cs="宋体"/>
          <w:color w:val="000000"/>
          <w:sz w:val="24"/>
          <w:szCs w:val="24"/>
          <w:lang w:val="en-US" w:eastAsia="zh-CN"/>
        </w:rPr>
        <w:t> </w:t>
      </w:r>
      <w:r w:rsidR="00773E67">
        <w:rPr>
          <w:rFonts w:ascii="Book Antiqua" w:eastAsia="宋体" w:hAnsi="Book Antiqua" w:cs="宋体" w:hint="eastAsia"/>
          <w:color w:val="000000"/>
          <w:sz w:val="24"/>
          <w:szCs w:val="24"/>
          <w:lang w:val="en-US" w:eastAsia="zh-CN"/>
        </w:rPr>
        <w:t>2011</w:t>
      </w:r>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b/>
          <w:bCs/>
          <w:color w:val="000000"/>
          <w:sz w:val="24"/>
          <w:szCs w:val="24"/>
          <w:lang w:val="en-US" w:eastAsia="zh-CN"/>
        </w:rPr>
        <w:t>53</w:t>
      </w:r>
      <w:r w:rsidRPr="00B93BE0">
        <w:rPr>
          <w:rFonts w:ascii="Book Antiqua" w:eastAsia="宋体" w:hAnsi="Book Antiqua" w:cs="宋体"/>
          <w:color w:val="000000"/>
          <w:sz w:val="24"/>
          <w:szCs w:val="24"/>
          <w:lang w:val="en-US" w:eastAsia="zh-CN"/>
        </w:rPr>
        <w:t>: 246-253 [PMID: 21295802 DOI: 10.1016/j.rx.2010.07.010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proofErr w:type="gramStart"/>
      <w:r w:rsidRPr="00B93BE0">
        <w:rPr>
          <w:rFonts w:ascii="Book Antiqua" w:eastAsia="宋体" w:hAnsi="Book Antiqua" w:cs="宋体"/>
          <w:color w:val="000000"/>
          <w:sz w:val="24"/>
          <w:szCs w:val="24"/>
          <w:lang w:val="en-US" w:eastAsia="zh-CN"/>
        </w:rPr>
        <w:t>46 </w:t>
      </w:r>
      <w:r w:rsidRPr="00B93BE0">
        <w:rPr>
          <w:rFonts w:ascii="Book Antiqua" w:eastAsia="宋体" w:hAnsi="Book Antiqua" w:cs="宋体"/>
          <w:b/>
          <w:bCs/>
          <w:color w:val="000000"/>
          <w:sz w:val="24"/>
          <w:szCs w:val="24"/>
          <w:lang w:val="en-US" w:eastAsia="zh-CN"/>
        </w:rPr>
        <w:t>Dhanasekaran R</w:t>
      </w:r>
      <w:r w:rsidRPr="00B93BE0">
        <w:rPr>
          <w:rFonts w:ascii="Book Antiqua" w:eastAsia="宋体" w:hAnsi="Book Antiqua" w:cs="宋体"/>
          <w:color w:val="000000"/>
          <w:sz w:val="24"/>
          <w:szCs w:val="24"/>
          <w:lang w:val="en-US" w:eastAsia="zh-CN"/>
        </w:rPr>
        <w:t>, Kooby DA, Staley CA, Kauh JS, Khanna V, Kim HS.</w:t>
      </w:r>
      <w:proofErr w:type="gramEnd"/>
      <w:r w:rsidRPr="00B93BE0">
        <w:rPr>
          <w:rFonts w:ascii="Book Antiqua" w:eastAsia="宋体" w:hAnsi="Book Antiqua" w:cs="宋体"/>
          <w:color w:val="000000"/>
          <w:sz w:val="24"/>
          <w:szCs w:val="24"/>
          <w:lang w:val="en-US" w:eastAsia="zh-CN"/>
        </w:rPr>
        <w:t xml:space="preserve"> Comparison of conventional transarterial chemoembolization (TACE) and chemoembolization with doxorubicin drug eluting beads (DEB) for unresectable hepatocelluar carcinoma (HCC). </w:t>
      </w:r>
      <w:r w:rsidRPr="00B93BE0">
        <w:rPr>
          <w:rFonts w:ascii="Book Antiqua" w:eastAsia="宋体" w:hAnsi="Book Antiqua" w:cs="宋体"/>
          <w:i/>
          <w:iCs/>
          <w:color w:val="000000"/>
          <w:sz w:val="24"/>
          <w:szCs w:val="24"/>
          <w:lang w:val="en-US" w:eastAsia="zh-CN"/>
        </w:rPr>
        <w:t>J Surg Oncol</w:t>
      </w:r>
      <w:r w:rsidRPr="00B93BE0">
        <w:rPr>
          <w:rFonts w:ascii="Book Antiqua" w:eastAsia="宋体" w:hAnsi="Book Antiqua" w:cs="宋体"/>
          <w:color w:val="000000"/>
          <w:sz w:val="24"/>
          <w:szCs w:val="24"/>
          <w:lang w:val="en-US" w:eastAsia="zh-CN"/>
        </w:rPr>
        <w:t> 2010; </w:t>
      </w:r>
      <w:r w:rsidRPr="00B93BE0">
        <w:rPr>
          <w:rFonts w:ascii="Book Antiqua" w:eastAsia="宋体" w:hAnsi="Book Antiqua" w:cs="宋体"/>
          <w:b/>
          <w:bCs/>
          <w:color w:val="000000"/>
          <w:sz w:val="24"/>
          <w:szCs w:val="24"/>
          <w:lang w:val="en-US" w:eastAsia="zh-CN"/>
        </w:rPr>
        <w:t>101</w:t>
      </w:r>
      <w:r w:rsidRPr="00B93BE0">
        <w:rPr>
          <w:rFonts w:ascii="Book Antiqua" w:eastAsia="宋体" w:hAnsi="Book Antiqua" w:cs="宋体"/>
          <w:color w:val="000000"/>
          <w:sz w:val="24"/>
          <w:szCs w:val="24"/>
          <w:lang w:val="en-US" w:eastAsia="zh-CN"/>
        </w:rPr>
        <w:t>: 476-480 [PMID: 20213741 DOI: 10.1002/jso.21522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lastRenderedPageBreak/>
        <w:t>47 </w:t>
      </w:r>
      <w:r w:rsidRPr="00B93BE0">
        <w:rPr>
          <w:rFonts w:ascii="Book Antiqua" w:eastAsia="宋体" w:hAnsi="Book Antiqua" w:cs="宋体"/>
          <w:b/>
          <w:bCs/>
          <w:color w:val="000000"/>
          <w:sz w:val="24"/>
          <w:szCs w:val="24"/>
          <w:lang w:val="en-US" w:eastAsia="zh-CN"/>
        </w:rPr>
        <w:t>Wiggermann P</w:t>
      </w:r>
      <w:r w:rsidRPr="00B93BE0">
        <w:rPr>
          <w:rFonts w:ascii="Book Antiqua" w:eastAsia="宋体" w:hAnsi="Book Antiqua" w:cs="宋体"/>
          <w:color w:val="000000"/>
          <w:sz w:val="24"/>
          <w:szCs w:val="24"/>
          <w:lang w:val="en-US" w:eastAsia="zh-CN"/>
        </w:rPr>
        <w:t>, Sieron D, Brosche C, Brauer T, Scheer F, Platzek I, Wawrzynek W, Stroszczynski C. Transarterial Chemoembolization of Child-A hepatocellular carcinoma: drug-eluting bead TACE (DEB TACE) vs. TACE with cisplatin/lipiodol (cTACE). </w:t>
      </w:r>
      <w:r w:rsidRPr="00B93BE0">
        <w:rPr>
          <w:rFonts w:ascii="Book Antiqua" w:eastAsia="宋体" w:hAnsi="Book Antiqua" w:cs="宋体"/>
          <w:i/>
          <w:iCs/>
          <w:color w:val="000000"/>
          <w:sz w:val="24"/>
          <w:szCs w:val="24"/>
          <w:lang w:val="en-US" w:eastAsia="zh-CN"/>
        </w:rPr>
        <w:t>Med Sci Monit</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17</w:t>
      </w:r>
      <w:r w:rsidRPr="00B93BE0">
        <w:rPr>
          <w:rFonts w:ascii="Book Antiqua" w:eastAsia="宋体" w:hAnsi="Book Antiqua" w:cs="宋体"/>
          <w:color w:val="000000"/>
          <w:sz w:val="24"/>
          <w:szCs w:val="24"/>
          <w:lang w:val="en-US" w:eastAsia="zh-CN"/>
        </w:rPr>
        <w:t>: CR189-CR195 [PMID: 21455104]</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48 </w:t>
      </w:r>
      <w:r w:rsidRPr="00B93BE0">
        <w:rPr>
          <w:rFonts w:ascii="Book Antiqua" w:eastAsia="宋体" w:hAnsi="Book Antiqua" w:cs="宋体"/>
          <w:b/>
          <w:bCs/>
          <w:color w:val="000000"/>
          <w:sz w:val="24"/>
          <w:szCs w:val="24"/>
          <w:lang w:val="en-US" w:eastAsia="zh-CN"/>
        </w:rPr>
        <w:t>Recchia F</w:t>
      </w:r>
      <w:r w:rsidRPr="00B93BE0">
        <w:rPr>
          <w:rFonts w:ascii="Book Antiqua" w:eastAsia="宋体" w:hAnsi="Book Antiqua" w:cs="宋体"/>
          <w:color w:val="000000"/>
          <w:sz w:val="24"/>
          <w:szCs w:val="24"/>
          <w:lang w:val="en-US" w:eastAsia="zh-CN"/>
        </w:rPr>
        <w:t>, Passalacqua G, Filauri P, Doddi M, Boscarato P, Candeloro G, Necozione S, Desideri G, Rea S. Chemoembolization of unresectable hepatocellular carcinoma: Decreased toxicity with slow-release doxorubicin</w:t>
      </w:r>
      <w:r w:rsidRPr="00B93BE0">
        <w:rPr>
          <w:rFonts w:ascii="Book Antiqua" w:eastAsia="宋体" w:hAnsi="Book Antiqua" w:cs="宋体"/>
          <w:color w:val="000000"/>
          <w:sz w:val="24"/>
          <w:szCs w:val="24"/>
          <w:lang w:val="en-US" w:eastAsia="zh-CN"/>
        </w:rPr>
        <w:noBreakHyphen/>
        <w:t>eluting beads compared with lipiodol. </w:t>
      </w:r>
      <w:r w:rsidRPr="00B93BE0">
        <w:rPr>
          <w:rFonts w:ascii="Book Antiqua" w:eastAsia="宋体" w:hAnsi="Book Antiqua" w:cs="宋体"/>
          <w:i/>
          <w:iCs/>
          <w:color w:val="000000"/>
          <w:sz w:val="24"/>
          <w:szCs w:val="24"/>
          <w:lang w:val="en-US" w:eastAsia="zh-CN"/>
        </w:rPr>
        <w:t>Oncol Rep</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27</w:t>
      </w:r>
      <w:r w:rsidRPr="00B93BE0">
        <w:rPr>
          <w:rFonts w:ascii="Book Antiqua" w:eastAsia="宋体" w:hAnsi="Book Antiqua" w:cs="宋体"/>
          <w:color w:val="000000"/>
          <w:sz w:val="24"/>
          <w:szCs w:val="24"/>
          <w:lang w:val="en-US" w:eastAsia="zh-CN"/>
        </w:rPr>
        <w:t>: 1377-1383 [PMID: 22294036 DOI: 10.3892/or.2012.1651</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 xml:space="preserve">49 </w:t>
      </w:r>
      <w:r w:rsidR="00773E67" w:rsidRPr="00E14F98">
        <w:rPr>
          <w:rFonts w:ascii="Book Antiqua" w:hAnsi="Book Antiqua"/>
          <w:b/>
          <w:sz w:val="24"/>
          <w:szCs w:val="24"/>
          <w:lang w:val="en-US"/>
        </w:rPr>
        <w:t>Megías Vericat JE</w:t>
      </w:r>
      <w:r w:rsidR="00773E67" w:rsidRPr="00E14F98">
        <w:rPr>
          <w:rFonts w:ascii="Book Antiqua" w:hAnsi="Book Antiqua"/>
          <w:sz w:val="24"/>
          <w:szCs w:val="24"/>
          <w:lang w:val="en-US"/>
        </w:rPr>
        <w:t>, García Marcos R, López Briz E, Gómez Muñoz F, Ramos Ruiz J, Martín</w:t>
      </w:r>
      <w:r w:rsidR="00773E67">
        <w:rPr>
          <w:rFonts w:ascii="Book Antiqua" w:hAnsi="Book Antiqua"/>
          <w:sz w:val="24"/>
          <w:szCs w:val="24"/>
          <w:lang w:val="en-US"/>
        </w:rPr>
        <w:t>ez Rodrigo JJ, Poveda Andrés JL</w:t>
      </w:r>
      <w:r w:rsidRPr="00B93BE0">
        <w:rPr>
          <w:rFonts w:ascii="Book Antiqua" w:eastAsia="宋体" w:hAnsi="Book Antiqua" w:cs="宋体"/>
          <w:color w:val="000000"/>
          <w:sz w:val="24"/>
          <w:szCs w:val="24"/>
          <w:lang w:val="en-US" w:eastAsia="zh-CN"/>
        </w:rPr>
        <w:t>. Trans-arterial Chemoembolization with Doxorubicin-eluting Particles versus Conventional Trans-arterial Chemoembolization in Unresectable Hepatocellular Carcinoma: a Study of Effectiveness, Safety and Costs. </w:t>
      </w:r>
      <w:r w:rsidRPr="00B93BE0">
        <w:rPr>
          <w:rFonts w:ascii="Book Antiqua" w:eastAsia="宋体" w:hAnsi="Book Antiqua" w:cs="宋体"/>
          <w:i/>
          <w:iCs/>
          <w:color w:val="000000"/>
          <w:sz w:val="24"/>
          <w:szCs w:val="24"/>
          <w:lang w:val="en-US" w:eastAsia="zh-CN"/>
        </w:rPr>
        <w:t>Radiologia</w:t>
      </w:r>
      <w:r w:rsidRPr="00B93BE0">
        <w:rPr>
          <w:rFonts w:ascii="Book Antiqua" w:eastAsia="宋体" w:hAnsi="Book Antiqua" w:cs="宋体"/>
          <w:color w:val="000000"/>
          <w:sz w:val="24"/>
          <w:szCs w:val="24"/>
          <w:lang w:val="en-US" w:eastAsia="zh-CN"/>
        </w:rPr>
        <w:t> 2015;</w:t>
      </w:r>
      <w:r w:rsidR="00773E67">
        <w:rPr>
          <w:rFonts w:ascii="Book Antiqua" w:eastAsia="宋体" w:hAnsi="Book Antiqua" w:cs="宋体" w:hint="eastAsia"/>
          <w:color w:val="000000"/>
          <w:sz w:val="24"/>
          <w:szCs w:val="24"/>
          <w:lang w:val="en-US" w:eastAsia="zh-CN"/>
        </w:rPr>
        <w:t xml:space="preserve"> </w:t>
      </w:r>
      <w:proofErr w:type="gramStart"/>
      <w:r w:rsidR="00773E67">
        <w:rPr>
          <w:rFonts w:ascii="Book Antiqua" w:eastAsia="宋体" w:hAnsi="Book Antiqua" w:cs="宋体" w:hint="eastAsia"/>
          <w:color w:val="000000"/>
          <w:sz w:val="24"/>
          <w:szCs w:val="24"/>
          <w:lang w:val="en-US" w:eastAsia="zh-CN"/>
        </w:rPr>
        <w:t>In</w:t>
      </w:r>
      <w:proofErr w:type="gramEnd"/>
      <w:r w:rsidR="00773E67">
        <w:rPr>
          <w:rFonts w:ascii="Book Antiqua" w:eastAsia="宋体" w:hAnsi="Book Antiqua" w:cs="宋体" w:hint="eastAsia"/>
          <w:color w:val="000000"/>
          <w:sz w:val="24"/>
          <w:szCs w:val="24"/>
          <w:lang w:val="en-US" w:eastAsia="zh-CN"/>
        </w:rPr>
        <w:t xml:space="preserve"> press</w:t>
      </w:r>
      <w:r w:rsidRPr="00B93BE0">
        <w:rPr>
          <w:rFonts w:ascii="Book Antiqua" w:eastAsia="宋体" w:hAnsi="Book Antiqua" w:cs="宋体"/>
          <w:color w:val="000000"/>
          <w:sz w:val="24"/>
          <w:szCs w:val="24"/>
          <w:lang w:val="en-US" w:eastAsia="zh-CN"/>
        </w:rPr>
        <w:t xml:space="preserve"> [PMID: 25857250 DOI: 10.1016/j.rx.2015.01.008</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50 </w:t>
      </w:r>
      <w:r w:rsidRPr="00B93BE0">
        <w:rPr>
          <w:rFonts w:ascii="Book Antiqua" w:eastAsia="宋体" w:hAnsi="Book Antiqua" w:cs="宋体"/>
          <w:b/>
          <w:bCs/>
          <w:color w:val="000000"/>
          <w:sz w:val="24"/>
          <w:szCs w:val="24"/>
          <w:lang w:val="en-US" w:eastAsia="zh-CN"/>
        </w:rPr>
        <w:t>Huang K</w:t>
      </w:r>
      <w:r w:rsidRPr="00B93BE0">
        <w:rPr>
          <w:rFonts w:ascii="Book Antiqua" w:eastAsia="宋体" w:hAnsi="Book Antiqua" w:cs="宋体"/>
          <w:color w:val="000000"/>
          <w:sz w:val="24"/>
          <w:szCs w:val="24"/>
          <w:lang w:val="en-US" w:eastAsia="zh-CN"/>
        </w:rPr>
        <w:t>, Zhou Q, Wang R, Cheng D, Ma Y. Doxorubicin-eluting beads versus conventional transarterial chemoembolization for the treatment of hepatocellular carcinoma. </w:t>
      </w:r>
      <w:r w:rsidRPr="00B93BE0">
        <w:rPr>
          <w:rFonts w:ascii="Book Antiqua" w:eastAsia="宋体" w:hAnsi="Book Antiqua" w:cs="宋体"/>
          <w:i/>
          <w:iCs/>
          <w:color w:val="000000"/>
          <w:sz w:val="24"/>
          <w:szCs w:val="24"/>
          <w:lang w:val="en-US" w:eastAsia="zh-CN"/>
        </w:rPr>
        <w:t>J Gastroenterol Hepatol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29</w:t>
      </w:r>
      <w:r w:rsidRPr="00B93BE0">
        <w:rPr>
          <w:rFonts w:ascii="Book Antiqua" w:eastAsia="宋体" w:hAnsi="Book Antiqua" w:cs="宋体"/>
          <w:color w:val="000000"/>
          <w:sz w:val="24"/>
          <w:szCs w:val="24"/>
          <w:lang w:val="en-US" w:eastAsia="zh-CN"/>
        </w:rPr>
        <w:t>: 920-925 [PMID: 24224722 DOI: 10.1111/jgh.12439</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51 </w:t>
      </w:r>
      <w:r w:rsidRPr="00B93BE0">
        <w:rPr>
          <w:rFonts w:ascii="Book Antiqua" w:eastAsia="宋体" w:hAnsi="Book Antiqua" w:cs="宋体"/>
          <w:b/>
          <w:bCs/>
          <w:color w:val="000000"/>
          <w:sz w:val="24"/>
          <w:szCs w:val="24"/>
          <w:lang w:val="en-US" w:eastAsia="zh-CN"/>
        </w:rPr>
        <w:t>Han S</w:t>
      </w:r>
      <w:r w:rsidRPr="00B93BE0">
        <w:rPr>
          <w:rFonts w:ascii="Book Antiqua" w:eastAsia="宋体" w:hAnsi="Book Antiqua" w:cs="宋体"/>
          <w:color w:val="000000"/>
          <w:sz w:val="24"/>
          <w:szCs w:val="24"/>
          <w:lang w:val="en-US" w:eastAsia="zh-CN"/>
        </w:rPr>
        <w:t>, Zhang X, Zou L, Lu C, Zhang J, Li J, Li M. Does drug-eluting bead transcatheter arterial chemoembolization improve the management of patients with hepatocellular carcinoma? A meta-analysis. </w:t>
      </w:r>
      <w:r w:rsidRPr="00B93BE0">
        <w:rPr>
          <w:rFonts w:ascii="Book Antiqua" w:eastAsia="宋体" w:hAnsi="Book Antiqua" w:cs="宋体"/>
          <w:i/>
          <w:iCs/>
          <w:color w:val="000000"/>
          <w:sz w:val="24"/>
          <w:szCs w:val="24"/>
          <w:lang w:val="en-US" w:eastAsia="zh-CN"/>
        </w:rPr>
        <w:t>PLoS One</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9</w:t>
      </w:r>
      <w:r w:rsidRPr="00B93BE0">
        <w:rPr>
          <w:rFonts w:ascii="Book Antiqua" w:eastAsia="宋体" w:hAnsi="Book Antiqua" w:cs="宋体"/>
          <w:color w:val="000000"/>
          <w:sz w:val="24"/>
          <w:szCs w:val="24"/>
          <w:lang w:val="en-US" w:eastAsia="zh-CN"/>
        </w:rPr>
        <w:t>: e102686 [PMID: 25083860 DOI: 10.1371/journal.pone.0102686</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52 </w:t>
      </w:r>
      <w:r w:rsidRPr="00B93BE0">
        <w:rPr>
          <w:rFonts w:ascii="Book Antiqua" w:eastAsia="宋体" w:hAnsi="Book Antiqua" w:cs="宋体"/>
          <w:b/>
          <w:bCs/>
          <w:color w:val="000000"/>
          <w:sz w:val="24"/>
          <w:szCs w:val="24"/>
          <w:lang w:val="en-US" w:eastAsia="zh-CN"/>
        </w:rPr>
        <w:t>Xie ZB</w:t>
      </w:r>
      <w:r w:rsidRPr="00B93BE0">
        <w:rPr>
          <w:rFonts w:ascii="Book Antiqua" w:eastAsia="宋体" w:hAnsi="Book Antiqua" w:cs="宋体"/>
          <w:color w:val="000000"/>
          <w:sz w:val="24"/>
          <w:szCs w:val="24"/>
          <w:lang w:val="en-US" w:eastAsia="zh-CN"/>
        </w:rPr>
        <w:t>, Wang XB, Peng YC, Zhu SL, Ma L, Xiang BD, Gong WF, Chen J, You XM, Jiang JH, Li LQ, Zhong JH. Systematic review comparing the safety and efficacy of conventional and drug-eluting bead transarterial chemoembolization for inoperable hepatocellular carcinoma. </w:t>
      </w:r>
      <w:r w:rsidRPr="00B93BE0">
        <w:rPr>
          <w:rFonts w:ascii="Book Antiqua" w:eastAsia="宋体" w:hAnsi="Book Antiqua" w:cs="宋体"/>
          <w:i/>
          <w:iCs/>
          <w:color w:val="000000"/>
          <w:sz w:val="24"/>
          <w:szCs w:val="24"/>
          <w:lang w:val="en-US" w:eastAsia="zh-CN"/>
        </w:rPr>
        <w:t>Hepatol Res</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45</w:t>
      </w:r>
      <w:r w:rsidRPr="00B93BE0">
        <w:rPr>
          <w:rFonts w:ascii="Book Antiqua" w:eastAsia="宋体" w:hAnsi="Book Antiqua" w:cs="宋体"/>
          <w:color w:val="000000"/>
          <w:sz w:val="24"/>
          <w:szCs w:val="24"/>
          <w:lang w:val="en-US" w:eastAsia="zh-CN"/>
        </w:rPr>
        <w:t>: 190-200 [PMID: 25388603 DOI: 10.1111/hepr.12450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53 </w:t>
      </w:r>
      <w:r w:rsidRPr="00B93BE0">
        <w:rPr>
          <w:rFonts w:ascii="Book Antiqua" w:eastAsia="宋体" w:hAnsi="Book Antiqua" w:cs="宋体"/>
          <w:b/>
          <w:bCs/>
          <w:color w:val="000000"/>
          <w:sz w:val="24"/>
          <w:szCs w:val="24"/>
          <w:lang w:val="en-US" w:eastAsia="zh-CN"/>
        </w:rPr>
        <w:t>Malagari K</w:t>
      </w:r>
      <w:r w:rsidRPr="00B93BE0">
        <w:rPr>
          <w:rFonts w:ascii="Book Antiqua" w:eastAsia="宋体" w:hAnsi="Book Antiqua" w:cs="宋体"/>
          <w:color w:val="000000"/>
          <w:sz w:val="24"/>
          <w:szCs w:val="24"/>
          <w:lang w:val="en-US" w:eastAsia="zh-CN"/>
        </w:rPr>
        <w:t xml:space="preserve">, Pomoni M, Moschouris H, Kelekis A, Charokopakis A, Bouma E, Spyridopoulos T, Chatziioannou A, Sotirchos V, Karampelas T, Tamvakopoulos C, Filippiadis D, Karagiannis E, Marinis A, Koskinas J, Kelekis DA. </w:t>
      </w:r>
      <w:proofErr w:type="gramStart"/>
      <w:r w:rsidRPr="00B93BE0">
        <w:rPr>
          <w:rFonts w:ascii="Book Antiqua" w:eastAsia="宋体" w:hAnsi="Book Antiqua" w:cs="宋体"/>
          <w:color w:val="000000"/>
          <w:sz w:val="24"/>
          <w:szCs w:val="24"/>
          <w:lang w:val="en-US" w:eastAsia="zh-CN"/>
        </w:rPr>
        <w:t>Chemoembolization of hepatocellular carcinoma with HepaSphere 30-60 μm.</w:t>
      </w:r>
      <w:proofErr w:type="gramEnd"/>
      <w:r w:rsidRPr="00B93BE0">
        <w:rPr>
          <w:rFonts w:ascii="Book Antiqua" w:eastAsia="宋体" w:hAnsi="Book Antiqua" w:cs="宋体"/>
          <w:color w:val="000000"/>
          <w:sz w:val="24"/>
          <w:szCs w:val="24"/>
          <w:lang w:val="en-US" w:eastAsia="zh-CN"/>
        </w:rPr>
        <w:t xml:space="preserve"> Safety and efficacy study.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37</w:t>
      </w:r>
      <w:r w:rsidRPr="00B93BE0">
        <w:rPr>
          <w:rFonts w:ascii="Book Antiqua" w:eastAsia="宋体" w:hAnsi="Book Antiqua" w:cs="宋体"/>
          <w:color w:val="000000"/>
          <w:sz w:val="24"/>
          <w:szCs w:val="24"/>
          <w:lang w:val="en-US" w:eastAsia="zh-CN"/>
        </w:rPr>
        <w:t>: 165-175 [PMID: 24263774 DOI: 10.1007/s00270-013-0777-x</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54 </w:t>
      </w:r>
      <w:r w:rsidRPr="00B93BE0">
        <w:rPr>
          <w:rFonts w:ascii="Book Antiqua" w:eastAsia="宋体" w:hAnsi="Book Antiqua" w:cs="宋体"/>
          <w:b/>
          <w:bCs/>
          <w:color w:val="000000"/>
          <w:sz w:val="24"/>
          <w:szCs w:val="24"/>
          <w:lang w:val="en-US" w:eastAsia="zh-CN"/>
        </w:rPr>
        <w:t>Spreafico C</w:t>
      </w:r>
      <w:r w:rsidRPr="00B93BE0">
        <w:rPr>
          <w:rFonts w:ascii="Book Antiqua" w:eastAsia="宋体" w:hAnsi="Book Antiqua" w:cs="宋体"/>
          <w:color w:val="000000"/>
          <w:sz w:val="24"/>
          <w:szCs w:val="24"/>
          <w:lang w:val="en-US" w:eastAsia="zh-CN"/>
        </w:rPr>
        <w:t xml:space="preserve">, Cascella T, Facciorusso A, Sposito C, Rodolfo L, Morosi C, Civelli EM, Vaiani M, Bhoori S, Pellegrinelli A, Marchianò A, Mazzaferro V. Transarterial </w:t>
      </w:r>
      <w:r w:rsidRPr="00B93BE0">
        <w:rPr>
          <w:rFonts w:ascii="Book Antiqua" w:eastAsia="宋体" w:hAnsi="Book Antiqua" w:cs="宋体"/>
          <w:color w:val="000000"/>
          <w:sz w:val="24"/>
          <w:szCs w:val="24"/>
          <w:lang w:val="en-US" w:eastAsia="zh-CN"/>
        </w:rPr>
        <w:lastRenderedPageBreak/>
        <w:t>chemoembolization for hepatocellular carcinoma with a new generation of beads: clinical-radiological outcomes and safety profile.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38</w:t>
      </w:r>
      <w:r w:rsidRPr="00B93BE0">
        <w:rPr>
          <w:rFonts w:ascii="Book Antiqua" w:eastAsia="宋体" w:hAnsi="Book Antiqua" w:cs="宋体"/>
          <w:color w:val="000000"/>
          <w:sz w:val="24"/>
          <w:szCs w:val="24"/>
          <w:lang w:val="en-US" w:eastAsia="zh-CN"/>
        </w:rPr>
        <w:t>: 129-134 [PMID: 24870698 DOI: 10.1007/s00270-014-0907-0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55 </w:t>
      </w:r>
      <w:r w:rsidRPr="00B93BE0">
        <w:rPr>
          <w:rFonts w:ascii="Book Antiqua" w:eastAsia="宋体" w:hAnsi="Book Antiqua" w:cs="宋体"/>
          <w:b/>
          <w:bCs/>
          <w:color w:val="000000"/>
          <w:sz w:val="24"/>
          <w:szCs w:val="24"/>
          <w:lang w:val="en-US" w:eastAsia="zh-CN"/>
        </w:rPr>
        <w:t>Deipolyi AR</w:t>
      </w:r>
      <w:r w:rsidRPr="00B93BE0">
        <w:rPr>
          <w:rFonts w:ascii="Book Antiqua" w:eastAsia="宋体" w:hAnsi="Book Antiqua" w:cs="宋体"/>
          <w:color w:val="000000"/>
          <w:sz w:val="24"/>
          <w:szCs w:val="24"/>
          <w:lang w:val="en-US" w:eastAsia="zh-CN"/>
        </w:rPr>
        <w:t>, Oklu R, Al-Ansari S, Zhu AX, Goyal L, Ganguli S. Safety and efficacy of 70-150 μm and 100-300 μm drug-eluting bead transarterial chemoembolization for hepatocellular carcinoma. </w:t>
      </w:r>
      <w:r w:rsidRPr="00B93BE0">
        <w:rPr>
          <w:rFonts w:ascii="Book Antiqua" w:eastAsia="宋体" w:hAnsi="Book Antiqua" w:cs="宋体"/>
          <w:i/>
          <w:iCs/>
          <w:color w:val="000000"/>
          <w:sz w:val="24"/>
          <w:szCs w:val="24"/>
          <w:lang w:val="en-US" w:eastAsia="zh-CN"/>
        </w:rPr>
        <w:t>J Vasc Interv Radiol</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26</w:t>
      </w:r>
      <w:r w:rsidRPr="00B93BE0">
        <w:rPr>
          <w:rFonts w:ascii="Book Antiqua" w:eastAsia="宋体" w:hAnsi="Book Antiqua" w:cs="宋体"/>
          <w:color w:val="000000"/>
          <w:sz w:val="24"/>
          <w:szCs w:val="24"/>
          <w:lang w:val="en-US" w:eastAsia="zh-CN"/>
        </w:rPr>
        <w:t>: 516-522 [PMID: 25704226 DOI: 10.1016/j.jvir.2014.12.020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56 </w:t>
      </w:r>
      <w:r w:rsidRPr="00B93BE0">
        <w:rPr>
          <w:rFonts w:ascii="Book Antiqua" w:eastAsia="宋体" w:hAnsi="Book Antiqua" w:cs="宋体"/>
          <w:b/>
          <w:bCs/>
          <w:color w:val="000000"/>
          <w:sz w:val="24"/>
          <w:szCs w:val="24"/>
          <w:lang w:val="en-US" w:eastAsia="zh-CN"/>
        </w:rPr>
        <w:t>Llovet JM</w:t>
      </w:r>
      <w:r w:rsidRPr="00B93BE0">
        <w:rPr>
          <w:rFonts w:ascii="Book Antiqua" w:eastAsia="宋体" w:hAnsi="Book Antiqua" w:cs="宋体"/>
          <w:color w:val="000000"/>
          <w:sz w:val="24"/>
          <w:szCs w:val="24"/>
          <w:lang w:val="en-US" w:eastAsia="zh-CN"/>
        </w:rPr>
        <w:t>, Bruix J. Systematic review of randomized trials for unresectable hepatocellular carcinoma: Chemoembolization improves survival.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2003; </w:t>
      </w:r>
      <w:r w:rsidRPr="00B93BE0">
        <w:rPr>
          <w:rFonts w:ascii="Book Antiqua" w:eastAsia="宋体" w:hAnsi="Book Antiqua" w:cs="宋体"/>
          <w:b/>
          <w:bCs/>
          <w:color w:val="000000"/>
          <w:sz w:val="24"/>
          <w:szCs w:val="24"/>
          <w:lang w:val="en-US" w:eastAsia="zh-CN"/>
        </w:rPr>
        <w:t>37</w:t>
      </w:r>
      <w:r w:rsidRPr="00B93BE0">
        <w:rPr>
          <w:rFonts w:ascii="Book Antiqua" w:eastAsia="宋体" w:hAnsi="Book Antiqua" w:cs="宋体"/>
          <w:color w:val="000000"/>
          <w:sz w:val="24"/>
          <w:szCs w:val="24"/>
          <w:lang w:val="en-US" w:eastAsia="zh-CN"/>
        </w:rPr>
        <w:t>: 429-442 [PMID: 12540794]</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57 </w:t>
      </w:r>
      <w:r w:rsidRPr="00B93BE0">
        <w:rPr>
          <w:rFonts w:ascii="Book Antiqua" w:eastAsia="宋体" w:hAnsi="Book Antiqua" w:cs="宋体"/>
          <w:b/>
          <w:bCs/>
          <w:color w:val="000000"/>
          <w:sz w:val="24"/>
          <w:szCs w:val="24"/>
          <w:lang w:val="en-US" w:eastAsia="zh-CN"/>
        </w:rPr>
        <w:t>Lo CM</w:t>
      </w:r>
      <w:r w:rsidRPr="00B93BE0">
        <w:rPr>
          <w:rFonts w:ascii="Book Antiqua" w:eastAsia="宋体" w:hAnsi="Book Antiqua" w:cs="宋体"/>
          <w:color w:val="000000"/>
          <w:sz w:val="24"/>
          <w:szCs w:val="24"/>
          <w:lang w:val="en-US" w:eastAsia="zh-CN"/>
        </w:rPr>
        <w:t>, Ngan H, Tso WK, Liu CL, Lam CM, Poon RT, Fan ST, Wong J. Randomized controlled trial of transarterial lipiodol chemoembolization for unresectable hepatocellular carcinoma.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2002; </w:t>
      </w:r>
      <w:r w:rsidRPr="00B93BE0">
        <w:rPr>
          <w:rFonts w:ascii="Book Antiqua" w:eastAsia="宋体" w:hAnsi="Book Antiqua" w:cs="宋体"/>
          <w:b/>
          <w:bCs/>
          <w:color w:val="000000"/>
          <w:sz w:val="24"/>
          <w:szCs w:val="24"/>
          <w:lang w:val="en-US" w:eastAsia="zh-CN"/>
        </w:rPr>
        <w:t>35</w:t>
      </w:r>
      <w:r w:rsidRPr="00B93BE0">
        <w:rPr>
          <w:rFonts w:ascii="Book Antiqua" w:eastAsia="宋体" w:hAnsi="Book Antiqua" w:cs="宋体"/>
          <w:color w:val="000000"/>
          <w:sz w:val="24"/>
          <w:szCs w:val="24"/>
          <w:lang w:val="en-US" w:eastAsia="zh-CN"/>
        </w:rPr>
        <w:t>: 1164-1171 [PMID: 11981766]</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58 </w:t>
      </w:r>
      <w:r w:rsidRPr="00B93BE0">
        <w:rPr>
          <w:rFonts w:ascii="Book Antiqua" w:eastAsia="宋体" w:hAnsi="Book Antiqua" w:cs="宋体"/>
          <w:b/>
          <w:bCs/>
          <w:color w:val="000000"/>
          <w:sz w:val="24"/>
          <w:szCs w:val="24"/>
          <w:lang w:val="en-US" w:eastAsia="zh-CN"/>
        </w:rPr>
        <w:t>Cammà C</w:t>
      </w:r>
      <w:r w:rsidRPr="00B93BE0">
        <w:rPr>
          <w:rFonts w:ascii="Book Antiqua" w:eastAsia="宋体" w:hAnsi="Book Antiqua" w:cs="宋体"/>
          <w:color w:val="000000"/>
          <w:sz w:val="24"/>
          <w:szCs w:val="24"/>
          <w:lang w:val="en-US" w:eastAsia="zh-CN"/>
        </w:rPr>
        <w:t>, Schepis F, Orlando A, Albanese M, Shahied L, Trevisani F, Andreone P, Craxì A, Cottone M. Transarterial chemoembolization for unresectable hepatocellular carcinoma: meta-analysis of randomized controlled trials. </w:t>
      </w:r>
      <w:r w:rsidRPr="00B93BE0">
        <w:rPr>
          <w:rFonts w:ascii="Book Antiqua" w:eastAsia="宋体" w:hAnsi="Book Antiqua" w:cs="宋体"/>
          <w:i/>
          <w:iCs/>
          <w:color w:val="000000"/>
          <w:sz w:val="24"/>
          <w:szCs w:val="24"/>
          <w:lang w:val="en-US" w:eastAsia="zh-CN"/>
        </w:rPr>
        <w:t>Radiology</w:t>
      </w:r>
      <w:r w:rsidRPr="00B93BE0">
        <w:rPr>
          <w:rFonts w:ascii="Book Antiqua" w:eastAsia="宋体" w:hAnsi="Book Antiqua" w:cs="宋体"/>
          <w:color w:val="000000"/>
          <w:sz w:val="24"/>
          <w:szCs w:val="24"/>
          <w:lang w:val="en-US" w:eastAsia="zh-CN"/>
        </w:rPr>
        <w:t> 2002; </w:t>
      </w:r>
      <w:r w:rsidRPr="00B93BE0">
        <w:rPr>
          <w:rFonts w:ascii="Book Antiqua" w:eastAsia="宋体" w:hAnsi="Book Antiqua" w:cs="宋体"/>
          <w:b/>
          <w:bCs/>
          <w:color w:val="000000"/>
          <w:sz w:val="24"/>
          <w:szCs w:val="24"/>
          <w:lang w:val="en-US" w:eastAsia="zh-CN"/>
        </w:rPr>
        <w:t>224</w:t>
      </w:r>
      <w:r w:rsidRPr="00B93BE0">
        <w:rPr>
          <w:rFonts w:ascii="Book Antiqua" w:eastAsia="宋体" w:hAnsi="Book Antiqua" w:cs="宋体"/>
          <w:color w:val="000000"/>
          <w:sz w:val="24"/>
          <w:szCs w:val="24"/>
          <w:lang w:val="en-US" w:eastAsia="zh-CN"/>
        </w:rPr>
        <w:t>: 47-54 [PMID: 12091661]</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proofErr w:type="gramStart"/>
      <w:r w:rsidRPr="00B93BE0">
        <w:rPr>
          <w:rFonts w:ascii="Book Antiqua" w:eastAsia="宋体" w:hAnsi="Book Antiqua" w:cs="宋体"/>
          <w:color w:val="000000"/>
          <w:sz w:val="24"/>
          <w:szCs w:val="24"/>
          <w:lang w:val="en-US" w:eastAsia="zh-CN"/>
        </w:rPr>
        <w:t>59 </w:t>
      </w:r>
      <w:r w:rsidRPr="00B93BE0">
        <w:rPr>
          <w:rFonts w:ascii="Book Antiqua" w:eastAsia="宋体" w:hAnsi="Book Antiqua" w:cs="宋体"/>
          <w:b/>
          <w:bCs/>
          <w:color w:val="000000"/>
          <w:sz w:val="24"/>
          <w:szCs w:val="24"/>
          <w:lang w:val="en-US" w:eastAsia="zh-CN"/>
        </w:rPr>
        <w:t>Befeler AS</w:t>
      </w:r>
      <w:r w:rsidRPr="00B93BE0">
        <w:rPr>
          <w:rFonts w:ascii="Book Antiqua" w:eastAsia="宋体" w:hAnsi="Book Antiqua" w:cs="宋体"/>
          <w:color w:val="000000"/>
          <w:sz w:val="24"/>
          <w:szCs w:val="24"/>
          <w:lang w:val="en-US" w:eastAsia="zh-CN"/>
        </w:rPr>
        <w:t>.</w:t>
      </w:r>
      <w:proofErr w:type="gramEnd"/>
      <w:r w:rsidRPr="00B93BE0">
        <w:rPr>
          <w:rFonts w:ascii="Book Antiqua" w:eastAsia="宋体" w:hAnsi="Book Antiqua" w:cs="宋体"/>
          <w:color w:val="000000"/>
          <w:sz w:val="24"/>
          <w:szCs w:val="24"/>
          <w:lang w:val="en-US" w:eastAsia="zh-CN"/>
        </w:rPr>
        <w:t xml:space="preserve"> Chemoembolization and bland embolization: a critical appraisal. </w:t>
      </w:r>
      <w:r w:rsidRPr="00B93BE0">
        <w:rPr>
          <w:rFonts w:ascii="Book Antiqua" w:eastAsia="宋体" w:hAnsi="Book Antiqua" w:cs="宋体"/>
          <w:i/>
          <w:iCs/>
          <w:color w:val="000000"/>
          <w:sz w:val="24"/>
          <w:szCs w:val="24"/>
          <w:lang w:val="en-US" w:eastAsia="zh-CN"/>
        </w:rPr>
        <w:t>Clin Liver Dis</w:t>
      </w:r>
      <w:r w:rsidRPr="00B93BE0">
        <w:rPr>
          <w:rFonts w:ascii="Book Antiqua" w:eastAsia="宋体" w:hAnsi="Book Antiqua" w:cs="宋体"/>
          <w:color w:val="000000"/>
          <w:sz w:val="24"/>
          <w:szCs w:val="24"/>
          <w:lang w:val="en-US" w:eastAsia="zh-CN"/>
        </w:rPr>
        <w:t> 2005; </w:t>
      </w:r>
      <w:r w:rsidRPr="00B93BE0">
        <w:rPr>
          <w:rFonts w:ascii="Book Antiqua" w:eastAsia="宋体" w:hAnsi="Book Antiqua" w:cs="宋体"/>
          <w:b/>
          <w:bCs/>
          <w:color w:val="000000"/>
          <w:sz w:val="24"/>
          <w:szCs w:val="24"/>
          <w:lang w:val="en-US" w:eastAsia="zh-CN"/>
        </w:rPr>
        <w:t>9</w:t>
      </w:r>
      <w:r w:rsidRPr="00B93BE0">
        <w:rPr>
          <w:rFonts w:ascii="Book Antiqua" w:eastAsia="宋体" w:hAnsi="Book Antiqua" w:cs="宋体"/>
          <w:color w:val="000000"/>
          <w:sz w:val="24"/>
          <w:szCs w:val="24"/>
          <w:lang w:val="en-US" w:eastAsia="zh-CN"/>
        </w:rPr>
        <w:t>: 287-300, vii [PMID: 15831274]</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60 </w:t>
      </w:r>
      <w:r w:rsidRPr="00B93BE0">
        <w:rPr>
          <w:rFonts w:ascii="Book Antiqua" w:eastAsia="宋体" w:hAnsi="Book Antiqua" w:cs="宋体"/>
          <w:b/>
          <w:bCs/>
          <w:color w:val="000000"/>
          <w:sz w:val="24"/>
          <w:szCs w:val="24"/>
          <w:lang w:val="en-US" w:eastAsia="zh-CN"/>
        </w:rPr>
        <w:t>Zhong JH</w:t>
      </w:r>
      <w:r w:rsidRPr="00B93BE0">
        <w:rPr>
          <w:rFonts w:ascii="Book Antiqua" w:eastAsia="宋体" w:hAnsi="Book Antiqua" w:cs="宋体"/>
          <w:color w:val="000000"/>
          <w:sz w:val="24"/>
          <w:szCs w:val="24"/>
          <w:lang w:val="en-US" w:eastAsia="zh-CN"/>
        </w:rPr>
        <w:t>, Xiang BD, Gong WF, Ke Y, Mo QG, Ma L, Liu X, Li LQ. Comparison of long-term survival of patients with BCLC stage B hepatocellular carcinoma after liver resection or transarterial chemoembolization. </w:t>
      </w:r>
      <w:r w:rsidRPr="00B93BE0">
        <w:rPr>
          <w:rFonts w:ascii="Book Antiqua" w:eastAsia="宋体" w:hAnsi="Book Antiqua" w:cs="宋体"/>
          <w:i/>
          <w:iCs/>
          <w:color w:val="000000"/>
          <w:sz w:val="24"/>
          <w:szCs w:val="24"/>
          <w:lang w:val="en-US" w:eastAsia="zh-CN"/>
        </w:rPr>
        <w:t>PLoS One</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8</w:t>
      </w:r>
      <w:r w:rsidRPr="00B93BE0">
        <w:rPr>
          <w:rFonts w:ascii="Book Antiqua" w:eastAsia="宋体" w:hAnsi="Book Antiqua" w:cs="宋体"/>
          <w:color w:val="000000"/>
          <w:sz w:val="24"/>
          <w:szCs w:val="24"/>
          <w:lang w:val="en-US" w:eastAsia="zh-CN"/>
        </w:rPr>
        <w:t>: e68193 [PMID: 23874536 DOI: 10.1371/journal.pone.0068193</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61 </w:t>
      </w:r>
      <w:r w:rsidRPr="00B93BE0">
        <w:rPr>
          <w:rFonts w:ascii="Book Antiqua" w:eastAsia="宋体" w:hAnsi="Book Antiqua" w:cs="宋体"/>
          <w:b/>
          <w:bCs/>
          <w:color w:val="000000"/>
          <w:sz w:val="24"/>
          <w:szCs w:val="24"/>
          <w:lang w:val="en-US" w:eastAsia="zh-CN"/>
        </w:rPr>
        <w:t>Choi SH</w:t>
      </w:r>
      <w:r w:rsidRPr="00B93BE0">
        <w:rPr>
          <w:rFonts w:ascii="Book Antiqua" w:eastAsia="宋体" w:hAnsi="Book Antiqua" w:cs="宋体"/>
          <w:color w:val="000000"/>
          <w:sz w:val="24"/>
          <w:szCs w:val="24"/>
          <w:lang w:val="en-US" w:eastAsia="zh-CN"/>
        </w:rPr>
        <w:t xml:space="preserve">, Choi GH, Kim SU, Park JY, Joo DJ, Ju MK, Kim MS, Choi JS, Han KH, Kim SI. </w:t>
      </w:r>
      <w:proofErr w:type="gramStart"/>
      <w:r w:rsidRPr="00B93BE0">
        <w:rPr>
          <w:rFonts w:ascii="Book Antiqua" w:eastAsia="宋体" w:hAnsi="Book Antiqua" w:cs="宋体"/>
          <w:color w:val="000000"/>
          <w:sz w:val="24"/>
          <w:szCs w:val="24"/>
          <w:lang w:val="en-US" w:eastAsia="zh-CN"/>
        </w:rPr>
        <w:t>Role of surgical resection for multiple hepatocellular carcinomas.</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World J Gastroenterol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19</w:t>
      </w:r>
      <w:r w:rsidRPr="00B93BE0">
        <w:rPr>
          <w:rFonts w:ascii="Book Antiqua" w:eastAsia="宋体" w:hAnsi="Book Antiqua" w:cs="宋体"/>
          <w:color w:val="000000"/>
          <w:sz w:val="24"/>
          <w:szCs w:val="24"/>
          <w:lang w:val="en-US" w:eastAsia="zh-CN"/>
        </w:rPr>
        <w:t>: 366-374 [PMID: 23372359 DOI: 10.3748/wjg.v19.i3.366</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62 </w:t>
      </w:r>
      <w:r w:rsidRPr="00B93BE0">
        <w:rPr>
          <w:rFonts w:ascii="Book Antiqua" w:eastAsia="宋体" w:hAnsi="Book Antiqua" w:cs="宋体"/>
          <w:b/>
          <w:bCs/>
          <w:color w:val="000000"/>
          <w:sz w:val="24"/>
          <w:szCs w:val="24"/>
          <w:lang w:val="en-US" w:eastAsia="zh-CN"/>
        </w:rPr>
        <w:t>Yin L</w:t>
      </w:r>
      <w:r w:rsidRPr="00B93BE0">
        <w:rPr>
          <w:rFonts w:ascii="Book Antiqua" w:eastAsia="宋体" w:hAnsi="Book Antiqua" w:cs="宋体"/>
          <w:color w:val="000000"/>
          <w:sz w:val="24"/>
          <w:szCs w:val="24"/>
          <w:lang w:val="en-US" w:eastAsia="zh-CN"/>
        </w:rPr>
        <w:t>, Li H, Li AJ, Lau WY, Pan ZY, Lai EC, Wu MC, Zhou WP. Partial hepatectomy vs. transcatheter arterial chemoembolization for resectable multiple hepatocellular carcinoma beyond Milan Criteria: a RCT.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61</w:t>
      </w:r>
      <w:r w:rsidRPr="00B93BE0">
        <w:rPr>
          <w:rFonts w:ascii="Book Antiqua" w:eastAsia="宋体" w:hAnsi="Book Antiqua" w:cs="宋体"/>
          <w:color w:val="000000"/>
          <w:sz w:val="24"/>
          <w:szCs w:val="24"/>
          <w:lang w:val="en-US" w:eastAsia="zh-CN"/>
        </w:rPr>
        <w:t>: 82-88 [PMID: 24650695 DOI: 10.1016/j.jhep.2014.03.012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63 </w:t>
      </w:r>
      <w:r w:rsidRPr="00B93BE0">
        <w:rPr>
          <w:rFonts w:ascii="Book Antiqua" w:eastAsia="宋体" w:hAnsi="Book Antiqua" w:cs="宋体"/>
          <w:b/>
          <w:bCs/>
          <w:color w:val="000000"/>
          <w:sz w:val="24"/>
          <w:szCs w:val="24"/>
          <w:lang w:val="en-US" w:eastAsia="zh-CN"/>
        </w:rPr>
        <w:t>Malagari K</w:t>
      </w:r>
      <w:r w:rsidRPr="00B93BE0">
        <w:rPr>
          <w:rFonts w:ascii="Book Antiqua" w:eastAsia="宋体" w:hAnsi="Book Antiqua" w:cs="宋体"/>
          <w:color w:val="000000"/>
          <w:sz w:val="24"/>
          <w:szCs w:val="24"/>
          <w:lang w:val="en-US" w:eastAsia="zh-CN"/>
        </w:rPr>
        <w:t xml:space="preserve">, Pomoni M, Moschouris H, Bouma E, Koskinas J, Stefaniotou A, Marinis A, Kelekis A, Alexopoulou E, Chatziioannou A, Chatzimichael K, Dourakis S, Kelekis N, Rizos S, Kelekis D. Chemoembolization with doxorubicin-eluting beads for unresectable </w:t>
      </w:r>
      <w:r w:rsidRPr="00B93BE0">
        <w:rPr>
          <w:rFonts w:ascii="Book Antiqua" w:eastAsia="宋体" w:hAnsi="Book Antiqua" w:cs="宋体"/>
          <w:color w:val="000000"/>
          <w:sz w:val="24"/>
          <w:szCs w:val="24"/>
          <w:lang w:val="en-US" w:eastAsia="zh-CN"/>
        </w:rPr>
        <w:lastRenderedPageBreak/>
        <w:t>hepatocellular carcinoma: five-year survival analysis.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35</w:t>
      </w:r>
      <w:r w:rsidRPr="00B93BE0">
        <w:rPr>
          <w:rFonts w:ascii="Book Antiqua" w:eastAsia="宋体" w:hAnsi="Book Antiqua" w:cs="宋体"/>
          <w:color w:val="000000"/>
          <w:sz w:val="24"/>
          <w:szCs w:val="24"/>
          <w:lang w:val="en-US" w:eastAsia="zh-CN"/>
        </w:rPr>
        <w:t>: 1119-1128 [PMID: 22614031]</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64 </w:t>
      </w:r>
      <w:r w:rsidRPr="00B93BE0">
        <w:rPr>
          <w:rFonts w:ascii="Book Antiqua" w:eastAsia="宋体" w:hAnsi="Book Antiqua" w:cs="宋体"/>
          <w:b/>
          <w:bCs/>
          <w:color w:val="000000"/>
          <w:sz w:val="24"/>
          <w:szCs w:val="24"/>
          <w:lang w:val="en-US" w:eastAsia="zh-CN"/>
        </w:rPr>
        <w:t>Salem R</w:t>
      </w:r>
      <w:r w:rsidRPr="00B93BE0">
        <w:rPr>
          <w:rFonts w:ascii="Book Antiqua" w:eastAsia="宋体" w:hAnsi="Book Antiqua" w:cs="宋体"/>
          <w:color w:val="000000"/>
          <w:sz w:val="24"/>
          <w:szCs w:val="24"/>
          <w:lang w:val="en-US" w:eastAsia="zh-CN"/>
        </w:rPr>
        <w:t>,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B93BE0">
        <w:rPr>
          <w:rFonts w:ascii="Book Antiqua" w:eastAsia="宋体" w:hAnsi="Book Antiqua" w:cs="宋体"/>
          <w:i/>
          <w:iCs/>
          <w:color w:val="000000"/>
          <w:sz w:val="24"/>
          <w:szCs w:val="24"/>
          <w:lang w:val="en-US" w:eastAsia="zh-CN"/>
        </w:rPr>
        <w:t>Gastroenterology</w:t>
      </w:r>
      <w:r w:rsidRPr="00B93BE0">
        <w:rPr>
          <w:rFonts w:ascii="Book Antiqua" w:eastAsia="宋体" w:hAnsi="Book Antiqua" w:cs="宋体"/>
          <w:color w:val="000000"/>
          <w:sz w:val="24"/>
          <w:szCs w:val="24"/>
          <w:lang w:val="en-US" w:eastAsia="zh-CN"/>
        </w:rPr>
        <w:t> 2010; </w:t>
      </w:r>
      <w:r w:rsidRPr="00B93BE0">
        <w:rPr>
          <w:rFonts w:ascii="Book Antiqua" w:eastAsia="宋体" w:hAnsi="Book Antiqua" w:cs="宋体"/>
          <w:b/>
          <w:bCs/>
          <w:color w:val="000000"/>
          <w:sz w:val="24"/>
          <w:szCs w:val="24"/>
          <w:lang w:val="en-US" w:eastAsia="zh-CN"/>
        </w:rPr>
        <w:t>138</w:t>
      </w:r>
      <w:r w:rsidRPr="00B93BE0">
        <w:rPr>
          <w:rFonts w:ascii="Book Antiqua" w:eastAsia="宋体" w:hAnsi="Book Antiqua" w:cs="宋体"/>
          <w:color w:val="000000"/>
          <w:sz w:val="24"/>
          <w:szCs w:val="24"/>
          <w:lang w:val="en-US" w:eastAsia="zh-CN"/>
        </w:rPr>
        <w:t>: 52-64 [PMID: 19766639 DOI: 10.1053/j.gastro.2009.09.006</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65 </w:t>
      </w:r>
      <w:r w:rsidRPr="00B93BE0">
        <w:rPr>
          <w:rFonts w:ascii="Book Antiqua" w:eastAsia="宋体" w:hAnsi="Book Antiqua" w:cs="宋体"/>
          <w:b/>
          <w:bCs/>
          <w:color w:val="000000"/>
          <w:sz w:val="24"/>
          <w:szCs w:val="24"/>
          <w:lang w:val="en-US" w:eastAsia="zh-CN"/>
        </w:rPr>
        <w:t>Mazzaferro V</w:t>
      </w:r>
      <w:r w:rsidRPr="00B93BE0">
        <w:rPr>
          <w:rFonts w:ascii="Book Antiqua" w:eastAsia="宋体" w:hAnsi="Book Antiqua" w:cs="宋体"/>
          <w:color w:val="000000"/>
          <w:sz w:val="24"/>
          <w:szCs w:val="24"/>
          <w:lang w:val="en-US" w:eastAsia="zh-CN"/>
        </w:rPr>
        <w:t>, Sposito C, Bhoori S, Romito R, Chiesa C, Morosi C, Maccauro M, Marchianò A, Bongini M, Lanocita R, Civelli E, Bombardieri E, Camerini T, Spreafico C. Yttrium-90 radioembolization for intermediate-advanced hepatocellular carcinoma: a phase 2 study.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57</w:t>
      </w:r>
      <w:r w:rsidRPr="00B93BE0">
        <w:rPr>
          <w:rFonts w:ascii="Book Antiqua" w:eastAsia="宋体" w:hAnsi="Book Antiqua" w:cs="宋体"/>
          <w:color w:val="000000"/>
          <w:sz w:val="24"/>
          <w:szCs w:val="24"/>
          <w:lang w:val="en-US" w:eastAsia="zh-CN"/>
        </w:rPr>
        <w:t>: 1826-1837 [PMID: 22911442 DOI: 10.1002/hep.26014</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66 </w:t>
      </w:r>
      <w:r w:rsidRPr="00B93BE0">
        <w:rPr>
          <w:rFonts w:ascii="Book Antiqua" w:eastAsia="宋体" w:hAnsi="Book Antiqua" w:cs="宋体"/>
          <w:b/>
          <w:bCs/>
          <w:color w:val="000000"/>
          <w:sz w:val="24"/>
          <w:szCs w:val="24"/>
          <w:lang w:val="en-US" w:eastAsia="zh-CN"/>
        </w:rPr>
        <w:t>Sangro B</w:t>
      </w:r>
      <w:r w:rsidRPr="00B93BE0">
        <w:rPr>
          <w:rFonts w:ascii="Book Antiqua" w:eastAsia="宋体" w:hAnsi="Book Antiqua" w:cs="宋体"/>
          <w:color w:val="000000"/>
          <w:sz w:val="24"/>
          <w:szCs w:val="24"/>
          <w:lang w:val="en-US" w:eastAsia="zh-CN"/>
        </w:rPr>
        <w:t>,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54</w:t>
      </w:r>
      <w:r w:rsidRPr="00B93BE0">
        <w:rPr>
          <w:rFonts w:ascii="Book Antiqua" w:eastAsia="宋体" w:hAnsi="Book Antiqua" w:cs="宋体"/>
          <w:color w:val="000000"/>
          <w:sz w:val="24"/>
          <w:szCs w:val="24"/>
          <w:lang w:val="en-US" w:eastAsia="zh-CN"/>
        </w:rPr>
        <w:t>: 868-878 [PMID: 21618574 DOI: 10.1002/hep.24451</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67 </w:t>
      </w:r>
      <w:r w:rsidRPr="00B93BE0">
        <w:rPr>
          <w:rFonts w:ascii="Book Antiqua" w:eastAsia="宋体" w:hAnsi="Book Antiqua" w:cs="宋体"/>
          <w:b/>
          <w:bCs/>
          <w:color w:val="000000"/>
          <w:sz w:val="24"/>
          <w:szCs w:val="24"/>
          <w:lang w:val="en-US" w:eastAsia="zh-CN"/>
        </w:rPr>
        <w:t>Salem R</w:t>
      </w:r>
      <w:r w:rsidRPr="00B93BE0">
        <w:rPr>
          <w:rFonts w:ascii="Book Antiqua" w:eastAsia="宋体" w:hAnsi="Book Antiqua" w:cs="宋体"/>
          <w:color w:val="000000"/>
          <w:sz w:val="24"/>
          <w:szCs w:val="24"/>
          <w:lang w:val="en-US" w:eastAsia="zh-CN"/>
        </w:rPr>
        <w:t>, Lewandowski RJ, Kulik L, Wang E, Riaz A, Ryu RK, Sato KT, Gupta R, Nikolaidis P, Miller FH, Yaghmai V, Ibrahim SM, Senthilnathan S, Baker T, Gates VL, Atassi B, Newman S, Memon K, Chen R, Vogelzang RL, Nemcek AA, Resnick SA, Chrisman HB, Carr J, Omary RA, Abecassis M, Benson AB, Mulcahy MF. Radioembolization results in longer time-to-progression and reduced toxicity compared with chemoembolization in patients with hepatocellular carcinoma. </w:t>
      </w:r>
      <w:r w:rsidRPr="00B93BE0">
        <w:rPr>
          <w:rFonts w:ascii="Book Antiqua" w:eastAsia="宋体" w:hAnsi="Book Antiqua" w:cs="宋体"/>
          <w:i/>
          <w:iCs/>
          <w:color w:val="000000"/>
          <w:sz w:val="24"/>
          <w:szCs w:val="24"/>
          <w:lang w:val="en-US" w:eastAsia="zh-CN"/>
        </w:rPr>
        <w:t>Gastroenterology</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140</w:t>
      </w:r>
      <w:r w:rsidRPr="00B93BE0">
        <w:rPr>
          <w:rFonts w:ascii="Book Antiqua" w:eastAsia="宋体" w:hAnsi="Book Antiqua" w:cs="宋体"/>
          <w:color w:val="000000"/>
          <w:sz w:val="24"/>
          <w:szCs w:val="24"/>
          <w:lang w:val="en-US" w:eastAsia="zh-CN"/>
        </w:rPr>
        <w:t>: 497-507.e2 [PMID: 21044630 DOI: 10.1053/j.gastro.2010.10.049</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68 </w:t>
      </w:r>
      <w:r w:rsidRPr="00B93BE0">
        <w:rPr>
          <w:rFonts w:ascii="Book Antiqua" w:eastAsia="宋体" w:hAnsi="Book Antiqua" w:cs="宋体"/>
          <w:b/>
          <w:bCs/>
          <w:color w:val="000000"/>
          <w:sz w:val="24"/>
          <w:szCs w:val="24"/>
          <w:lang w:val="en-US" w:eastAsia="zh-CN"/>
        </w:rPr>
        <w:t>Salem R</w:t>
      </w:r>
      <w:r w:rsidRPr="00B93BE0">
        <w:rPr>
          <w:rFonts w:ascii="Book Antiqua" w:eastAsia="宋体" w:hAnsi="Book Antiqua" w:cs="宋体"/>
          <w:color w:val="000000"/>
          <w:sz w:val="24"/>
          <w:szCs w:val="24"/>
          <w:lang w:val="en-US" w:eastAsia="zh-CN"/>
        </w:rPr>
        <w:t>, Mazzaferro V, Sangro B. Yttrium 90 radioembolization for the treatment of hepatocellular carcinoma: biological lessons, current challenges, and clinical perspectives.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58</w:t>
      </w:r>
      <w:r w:rsidRPr="00B93BE0">
        <w:rPr>
          <w:rFonts w:ascii="Book Antiqua" w:eastAsia="宋体" w:hAnsi="Book Antiqua" w:cs="宋体"/>
          <w:color w:val="000000"/>
          <w:sz w:val="24"/>
          <w:szCs w:val="24"/>
          <w:lang w:val="en-US" w:eastAsia="zh-CN"/>
        </w:rPr>
        <w:t>: 2188-2197 [PMID: 23512791 DOI: 10.1002/hep.26382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69 </w:t>
      </w:r>
      <w:r w:rsidRPr="00B93BE0">
        <w:rPr>
          <w:rFonts w:ascii="Book Antiqua" w:eastAsia="宋体" w:hAnsi="Book Antiqua" w:cs="宋体"/>
          <w:b/>
          <w:bCs/>
          <w:color w:val="000000"/>
          <w:sz w:val="24"/>
          <w:szCs w:val="24"/>
          <w:lang w:val="en-US" w:eastAsia="zh-CN"/>
        </w:rPr>
        <w:t>Moreno-Luna LE</w:t>
      </w:r>
      <w:r w:rsidRPr="00B93BE0">
        <w:rPr>
          <w:rFonts w:ascii="Book Antiqua" w:eastAsia="宋体" w:hAnsi="Book Antiqua" w:cs="宋体"/>
          <w:color w:val="000000"/>
          <w:sz w:val="24"/>
          <w:szCs w:val="24"/>
          <w:lang w:val="en-US" w:eastAsia="zh-CN"/>
        </w:rPr>
        <w:t xml:space="preserve">, Yang JD, Sanchez W, Paz-Fumagalli R, Harnois DM, Mettler TA, Gansen DN, de Groen PC, Lazaridis KN, Narayanan Menon KV, Larusso NF, Alberts SR, Gores GJ, Fleming CJ, Slettedahl SW, Harmsen WS, Therneau TM, Wiseman GA, Andrews JC, Roberts LR. </w:t>
      </w:r>
      <w:proofErr w:type="gramStart"/>
      <w:r w:rsidRPr="00B93BE0">
        <w:rPr>
          <w:rFonts w:ascii="Book Antiqua" w:eastAsia="宋体" w:hAnsi="Book Antiqua" w:cs="宋体"/>
          <w:color w:val="000000"/>
          <w:sz w:val="24"/>
          <w:szCs w:val="24"/>
          <w:lang w:val="en-US" w:eastAsia="zh-CN"/>
        </w:rPr>
        <w:t xml:space="preserve">Efficacy and safety of transarterial radioembolization versus </w:t>
      </w:r>
      <w:r w:rsidRPr="00B93BE0">
        <w:rPr>
          <w:rFonts w:ascii="Book Antiqua" w:eastAsia="宋体" w:hAnsi="Book Antiqua" w:cs="宋体"/>
          <w:color w:val="000000"/>
          <w:sz w:val="24"/>
          <w:szCs w:val="24"/>
          <w:lang w:val="en-US" w:eastAsia="zh-CN"/>
        </w:rPr>
        <w:lastRenderedPageBreak/>
        <w:t>chemoembolization in patients with hepatocellular carcinoma.</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36</w:t>
      </w:r>
      <w:r w:rsidRPr="00B93BE0">
        <w:rPr>
          <w:rFonts w:ascii="Book Antiqua" w:eastAsia="宋体" w:hAnsi="Book Antiqua" w:cs="宋体"/>
          <w:color w:val="000000"/>
          <w:sz w:val="24"/>
          <w:szCs w:val="24"/>
          <w:lang w:val="en-US" w:eastAsia="zh-CN"/>
        </w:rPr>
        <w:t>: 714-723 [PMID: 23093355 DOI: 10.1007/s00270-012-0481-2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70 </w:t>
      </w:r>
      <w:r w:rsidRPr="00B93BE0">
        <w:rPr>
          <w:rFonts w:ascii="Book Antiqua" w:eastAsia="宋体" w:hAnsi="Book Antiqua" w:cs="宋体"/>
          <w:b/>
          <w:bCs/>
          <w:color w:val="000000"/>
          <w:sz w:val="24"/>
          <w:szCs w:val="24"/>
          <w:lang w:val="en-US" w:eastAsia="zh-CN"/>
        </w:rPr>
        <w:t>El Fouly A</w:t>
      </w:r>
      <w:r w:rsidRPr="00B93BE0">
        <w:rPr>
          <w:rFonts w:ascii="Book Antiqua" w:eastAsia="宋体" w:hAnsi="Book Antiqua" w:cs="宋体"/>
          <w:color w:val="000000"/>
          <w:sz w:val="24"/>
          <w:szCs w:val="24"/>
          <w:lang w:val="en-US" w:eastAsia="zh-CN"/>
        </w:rPr>
        <w:t>, Ertle J, El Dorry A, Shaker MK, Dechêne A, Abdella H, Mueller S, Barakat E, Lauenstein T, Bockisch A, Gerken G, Schlaak JF. In intermediate stage hepatocellular carcinoma: radioembolization with yttrium 90 or chemoembolization? </w:t>
      </w:r>
      <w:r w:rsidRPr="00B93BE0">
        <w:rPr>
          <w:rFonts w:ascii="Book Antiqua" w:eastAsia="宋体" w:hAnsi="Book Antiqua" w:cs="宋体"/>
          <w:i/>
          <w:iCs/>
          <w:color w:val="000000"/>
          <w:sz w:val="24"/>
          <w:szCs w:val="24"/>
          <w:lang w:val="en-US" w:eastAsia="zh-CN"/>
        </w:rPr>
        <w:t>Liver Int</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35</w:t>
      </w:r>
      <w:r w:rsidRPr="00B93BE0">
        <w:rPr>
          <w:rFonts w:ascii="Book Antiqua" w:eastAsia="宋体" w:hAnsi="Book Antiqua" w:cs="宋体"/>
          <w:color w:val="000000"/>
          <w:sz w:val="24"/>
          <w:szCs w:val="24"/>
          <w:lang w:val="en-US" w:eastAsia="zh-CN"/>
        </w:rPr>
        <w:t>: 627-635 [PMID: 25040497 DOI: 10.1111/liv.12637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71 </w:t>
      </w:r>
      <w:r w:rsidRPr="00B93BE0">
        <w:rPr>
          <w:rFonts w:ascii="Book Antiqua" w:eastAsia="宋体" w:hAnsi="Book Antiqua" w:cs="宋体"/>
          <w:b/>
          <w:bCs/>
          <w:color w:val="000000"/>
          <w:sz w:val="24"/>
          <w:szCs w:val="24"/>
          <w:lang w:val="en-US" w:eastAsia="zh-CN"/>
        </w:rPr>
        <w:t>Pitton MB</w:t>
      </w:r>
      <w:r w:rsidRPr="00B93BE0">
        <w:rPr>
          <w:rFonts w:ascii="Book Antiqua" w:eastAsia="宋体" w:hAnsi="Book Antiqua" w:cs="宋体"/>
          <w:color w:val="000000"/>
          <w:sz w:val="24"/>
          <w:szCs w:val="24"/>
          <w:lang w:val="en-US" w:eastAsia="zh-CN"/>
        </w:rPr>
        <w:t>, Kloeckner R, Ruckes C, Wirth GM, Eichhorn W, Wörns MA, Weinmann A, Schreckenberger M, Galle PR, Otto G, Dueber C. Randomized comparison of selective internal radiotherapy (SIRT) versus drug-eluting bead transarterial chemoembolization (DEB-TACE) for the treatment of hepatocellular carcinoma.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38</w:t>
      </w:r>
      <w:r w:rsidRPr="00B93BE0">
        <w:rPr>
          <w:rFonts w:ascii="Book Antiqua" w:eastAsia="宋体" w:hAnsi="Book Antiqua" w:cs="宋体"/>
          <w:color w:val="000000"/>
          <w:sz w:val="24"/>
          <w:szCs w:val="24"/>
          <w:lang w:val="en-US" w:eastAsia="zh-CN"/>
        </w:rPr>
        <w:t>: 352-360 [PMID: 25373796 DOI: 10.1007/s00270-014-1012-0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72 </w:t>
      </w:r>
      <w:r w:rsidRPr="00B93BE0">
        <w:rPr>
          <w:rFonts w:ascii="Book Antiqua" w:eastAsia="宋体" w:hAnsi="Book Antiqua" w:cs="宋体"/>
          <w:b/>
          <w:bCs/>
          <w:color w:val="000000"/>
          <w:sz w:val="24"/>
          <w:szCs w:val="24"/>
          <w:lang w:val="en-US" w:eastAsia="zh-CN"/>
        </w:rPr>
        <w:t>Pompili M</w:t>
      </w:r>
      <w:r w:rsidRPr="00B93BE0">
        <w:rPr>
          <w:rFonts w:ascii="Book Antiqua" w:eastAsia="宋体" w:hAnsi="Book Antiqua" w:cs="宋体"/>
          <w:color w:val="000000"/>
          <w:sz w:val="24"/>
          <w:szCs w:val="24"/>
          <w:lang w:val="en-US" w:eastAsia="zh-CN"/>
        </w:rPr>
        <w:t>, Saviano A, de Matthaeis N, Cucchetti A, Ardito F, Federico B, Brunello F, Pinna AD, Giorgio A, Giulini SM, De Sio I, Torzilli G, Fornari F, Capussotti L, Guglielmi A, Piscaglia F, Aldrighetti L, Caturelli E, Calise F, Nuzzo G, Rapaccini GL, Giuliante F. Long-term effectiveness of resection and radiofrequency ablation for single hepatocellular carcinoma ≤3 cm. Results of a multicenter Italian survey.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59</w:t>
      </w:r>
      <w:r w:rsidRPr="00B93BE0">
        <w:rPr>
          <w:rFonts w:ascii="Book Antiqua" w:eastAsia="宋体" w:hAnsi="Book Antiqua" w:cs="宋体"/>
          <w:color w:val="000000"/>
          <w:sz w:val="24"/>
          <w:szCs w:val="24"/>
          <w:lang w:val="en-US" w:eastAsia="zh-CN"/>
        </w:rPr>
        <w:t>: 89-97 [PMID: 23523578 DOI: 10.1016/j.jhep.2013.03.009</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73 </w:t>
      </w:r>
      <w:r w:rsidRPr="00B93BE0">
        <w:rPr>
          <w:rFonts w:ascii="Book Antiqua" w:eastAsia="宋体" w:hAnsi="Book Antiqua" w:cs="宋体"/>
          <w:b/>
          <w:bCs/>
          <w:color w:val="000000"/>
          <w:sz w:val="24"/>
          <w:szCs w:val="24"/>
          <w:lang w:val="en-US" w:eastAsia="zh-CN"/>
        </w:rPr>
        <w:t>Feng K</w:t>
      </w:r>
      <w:r w:rsidRPr="00B93BE0">
        <w:rPr>
          <w:rFonts w:ascii="Book Antiqua" w:eastAsia="宋体" w:hAnsi="Book Antiqua" w:cs="宋体"/>
          <w:color w:val="000000"/>
          <w:sz w:val="24"/>
          <w:szCs w:val="24"/>
          <w:lang w:val="en-US" w:eastAsia="zh-CN"/>
        </w:rPr>
        <w:t>, Yan J, Li X, Xia F, Ma K, Wang S, Bie P, Dong J. A randomized controlled trial of radiofrequency ablation and surgical resection in the treatment of small hepatocellular carcinoma. </w:t>
      </w:r>
      <w:r w:rsidRPr="00B93BE0">
        <w:rPr>
          <w:rFonts w:ascii="Book Antiqua" w:eastAsia="宋体" w:hAnsi="Book Antiqua" w:cs="宋体"/>
          <w:i/>
          <w:iCs/>
          <w:color w:val="000000"/>
          <w:sz w:val="24"/>
          <w:szCs w:val="24"/>
          <w:lang w:val="en-US" w:eastAsia="zh-CN"/>
        </w:rPr>
        <w:t>J Hepatol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57</w:t>
      </w:r>
      <w:r w:rsidRPr="00B93BE0">
        <w:rPr>
          <w:rFonts w:ascii="Book Antiqua" w:eastAsia="宋体" w:hAnsi="Book Antiqua" w:cs="宋体"/>
          <w:color w:val="000000"/>
          <w:sz w:val="24"/>
          <w:szCs w:val="24"/>
          <w:lang w:val="en-US" w:eastAsia="zh-CN"/>
        </w:rPr>
        <w:t>: 794-802 [PMID: 22634125 DOI: 10.1016/j.jhep.2012.05.007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74 </w:t>
      </w:r>
      <w:r w:rsidRPr="00B93BE0">
        <w:rPr>
          <w:rFonts w:ascii="Book Antiqua" w:eastAsia="宋体" w:hAnsi="Book Antiqua" w:cs="宋体"/>
          <w:b/>
          <w:bCs/>
          <w:color w:val="000000"/>
          <w:sz w:val="24"/>
          <w:szCs w:val="24"/>
          <w:lang w:val="en-US" w:eastAsia="zh-CN"/>
        </w:rPr>
        <w:t>Facciorusso A</w:t>
      </w:r>
      <w:r w:rsidRPr="00B93BE0">
        <w:rPr>
          <w:rFonts w:ascii="Book Antiqua" w:eastAsia="宋体" w:hAnsi="Book Antiqua" w:cs="宋体"/>
          <w:color w:val="000000"/>
          <w:sz w:val="24"/>
          <w:szCs w:val="24"/>
          <w:lang w:val="en-US" w:eastAsia="zh-CN"/>
        </w:rPr>
        <w:t>, Del Prete V, Antonino M, Neve V, Crucinio N, Di Leo A, Carr BI, Barone M. Serum ferritin as a new prognostic factor in hepatocellular carcinoma patients treated with radiofrequency ablation. </w:t>
      </w:r>
      <w:r w:rsidRPr="00B93BE0">
        <w:rPr>
          <w:rFonts w:ascii="Book Antiqua" w:eastAsia="宋体" w:hAnsi="Book Antiqua" w:cs="宋体"/>
          <w:i/>
          <w:iCs/>
          <w:color w:val="000000"/>
          <w:sz w:val="24"/>
          <w:szCs w:val="24"/>
          <w:lang w:val="en-US" w:eastAsia="zh-CN"/>
        </w:rPr>
        <w:t>J Gastroenterol Hepatol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29</w:t>
      </w:r>
      <w:r w:rsidRPr="00B93BE0">
        <w:rPr>
          <w:rFonts w:ascii="Book Antiqua" w:eastAsia="宋体" w:hAnsi="Book Antiqua" w:cs="宋体"/>
          <w:color w:val="000000"/>
          <w:sz w:val="24"/>
          <w:szCs w:val="24"/>
          <w:lang w:val="en-US" w:eastAsia="zh-CN"/>
        </w:rPr>
        <w:t>: 1905-1910 [PMID: 24731153 DOI: 10.1111/jgh.12618</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75 </w:t>
      </w:r>
      <w:r w:rsidRPr="00B93BE0">
        <w:rPr>
          <w:rFonts w:ascii="Book Antiqua" w:eastAsia="宋体" w:hAnsi="Book Antiqua" w:cs="宋体"/>
          <w:b/>
          <w:bCs/>
          <w:color w:val="000000"/>
          <w:sz w:val="24"/>
          <w:szCs w:val="24"/>
          <w:lang w:val="en-US" w:eastAsia="zh-CN"/>
        </w:rPr>
        <w:t>Hsu CY</w:t>
      </w:r>
      <w:r w:rsidRPr="00B93BE0">
        <w:rPr>
          <w:rFonts w:ascii="Book Antiqua" w:eastAsia="宋体" w:hAnsi="Book Antiqua" w:cs="宋体"/>
          <w:color w:val="000000"/>
          <w:sz w:val="24"/>
          <w:szCs w:val="24"/>
          <w:lang w:val="en-US" w:eastAsia="zh-CN"/>
        </w:rPr>
        <w:t>, Huang YH, Chiou YY, Su CW, Lin HC, Lee RC, Chiang JH, Huo TI, Lee FY, Lee SD. Comparison of radiofrequency ablation and transarterial chemoembolization for hepatocellular carcinoma within the Milan criteria: a propensity score analysis. </w:t>
      </w:r>
      <w:r w:rsidRPr="00B93BE0">
        <w:rPr>
          <w:rFonts w:ascii="Book Antiqua" w:eastAsia="宋体" w:hAnsi="Book Antiqua" w:cs="宋体"/>
          <w:i/>
          <w:iCs/>
          <w:color w:val="000000"/>
          <w:sz w:val="24"/>
          <w:szCs w:val="24"/>
          <w:lang w:val="en-US" w:eastAsia="zh-CN"/>
        </w:rPr>
        <w:t>Liver Transpl</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17</w:t>
      </w:r>
      <w:r w:rsidRPr="00B93BE0">
        <w:rPr>
          <w:rFonts w:ascii="Book Antiqua" w:eastAsia="宋体" w:hAnsi="Book Antiqua" w:cs="宋体"/>
          <w:color w:val="000000"/>
          <w:sz w:val="24"/>
          <w:szCs w:val="24"/>
          <w:lang w:val="en-US" w:eastAsia="zh-CN"/>
        </w:rPr>
        <w:t>: 556-566 [PMID: 21506244 DOI: 10.1002/lt.22273</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76 </w:t>
      </w:r>
      <w:r w:rsidRPr="00B93BE0">
        <w:rPr>
          <w:rFonts w:ascii="Book Antiqua" w:eastAsia="宋体" w:hAnsi="Book Antiqua" w:cs="宋体"/>
          <w:b/>
          <w:bCs/>
          <w:color w:val="000000"/>
          <w:sz w:val="24"/>
          <w:szCs w:val="24"/>
          <w:lang w:val="en-US" w:eastAsia="zh-CN"/>
        </w:rPr>
        <w:t>N'Kontchou G</w:t>
      </w:r>
      <w:r w:rsidRPr="00B93BE0">
        <w:rPr>
          <w:rFonts w:ascii="Book Antiqua" w:eastAsia="宋体" w:hAnsi="Book Antiqua" w:cs="宋体"/>
          <w:color w:val="000000"/>
          <w:sz w:val="24"/>
          <w:szCs w:val="24"/>
          <w:lang w:val="en-US" w:eastAsia="zh-CN"/>
        </w:rPr>
        <w:t>, Mahamoudi A, Aout M, Ganne-Carrié N, Grando V, Coderc E, Vicaut E, Trinchet JC, Sellier N, Beaugrand M, Seror O. Radiofrequency ablation of hepatocellular carcinoma: long-term results and prognostic factors in 235 Western patients with cirrhosis.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2009; </w:t>
      </w:r>
      <w:r w:rsidRPr="00B93BE0">
        <w:rPr>
          <w:rFonts w:ascii="Book Antiqua" w:eastAsia="宋体" w:hAnsi="Book Antiqua" w:cs="宋体"/>
          <w:b/>
          <w:bCs/>
          <w:color w:val="000000"/>
          <w:sz w:val="24"/>
          <w:szCs w:val="24"/>
          <w:lang w:val="en-US" w:eastAsia="zh-CN"/>
        </w:rPr>
        <w:t>50</w:t>
      </w:r>
      <w:r w:rsidRPr="00B93BE0">
        <w:rPr>
          <w:rFonts w:ascii="Book Antiqua" w:eastAsia="宋体" w:hAnsi="Book Antiqua" w:cs="宋体"/>
          <w:color w:val="000000"/>
          <w:sz w:val="24"/>
          <w:szCs w:val="24"/>
          <w:lang w:val="en-US" w:eastAsia="zh-CN"/>
        </w:rPr>
        <w:t>: 1475-1483 [PMID: 19731239 DOI: 10.1002/hep.23181</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lastRenderedPageBreak/>
        <w:t>77 </w:t>
      </w:r>
      <w:r w:rsidRPr="00B93BE0">
        <w:rPr>
          <w:rFonts w:ascii="Book Antiqua" w:eastAsia="宋体" w:hAnsi="Book Antiqua" w:cs="宋体"/>
          <w:b/>
          <w:bCs/>
          <w:color w:val="000000"/>
          <w:sz w:val="24"/>
          <w:szCs w:val="24"/>
          <w:lang w:val="en-US" w:eastAsia="zh-CN"/>
        </w:rPr>
        <w:t>Lencioni R</w:t>
      </w:r>
      <w:r w:rsidRPr="00B93BE0">
        <w:rPr>
          <w:rFonts w:ascii="Book Antiqua" w:eastAsia="宋体" w:hAnsi="Book Antiqua" w:cs="宋体"/>
          <w:color w:val="000000"/>
          <w:sz w:val="24"/>
          <w:szCs w:val="24"/>
          <w:lang w:val="en-US" w:eastAsia="zh-CN"/>
        </w:rPr>
        <w:t>, Cioni D, Crocetti L, Franchini C, Pina CD, Lera J, Bartolozzi C. Early-stage hepatocellular carcinoma in patients with cirrhosis: long-term results of percutaneous image-guided radiofrequency ablation. </w:t>
      </w:r>
      <w:r w:rsidRPr="00B93BE0">
        <w:rPr>
          <w:rFonts w:ascii="Book Antiqua" w:eastAsia="宋体" w:hAnsi="Book Antiqua" w:cs="宋体"/>
          <w:i/>
          <w:iCs/>
          <w:color w:val="000000"/>
          <w:sz w:val="24"/>
          <w:szCs w:val="24"/>
          <w:lang w:val="en-US" w:eastAsia="zh-CN"/>
        </w:rPr>
        <w:t>Radiology</w:t>
      </w:r>
      <w:r w:rsidRPr="00B93BE0">
        <w:rPr>
          <w:rFonts w:ascii="Book Antiqua" w:eastAsia="宋体" w:hAnsi="Book Antiqua" w:cs="宋体"/>
          <w:color w:val="000000"/>
          <w:sz w:val="24"/>
          <w:szCs w:val="24"/>
          <w:lang w:val="en-US" w:eastAsia="zh-CN"/>
        </w:rPr>
        <w:t> 2005; </w:t>
      </w:r>
      <w:r w:rsidRPr="00B93BE0">
        <w:rPr>
          <w:rFonts w:ascii="Book Antiqua" w:eastAsia="宋体" w:hAnsi="Book Antiqua" w:cs="宋体"/>
          <w:b/>
          <w:bCs/>
          <w:color w:val="000000"/>
          <w:sz w:val="24"/>
          <w:szCs w:val="24"/>
          <w:lang w:val="en-US" w:eastAsia="zh-CN"/>
        </w:rPr>
        <w:t>234</w:t>
      </w:r>
      <w:r w:rsidRPr="00B93BE0">
        <w:rPr>
          <w:rFonts w:ascii="Book Antiqua" w:eastAsia="宋体" w:hAnsi="Book Antiqua" w:cs="宋体"/>
          <w:color w:val="000000"/>
          <w:sz w:val="24"/>
          <w:szCs w:val="24"/>
          <w:lang w:val="en-US" w:eastAsia="zh-CN"/>
        </w:rPr>
        <w:t>: 961-967 [PMID: 15665226]</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78 </w:t>
      </w:r>
      <w:r w:rsidRPr="00B93BE0">
        <w:rPr>
          <w:rFonts w:ascii="Book Antiqua" w:eastAsia="宋体" w:hAnsi="Book Antiqua" w:cs="宋体"/>
          <w:b/>
          <w:bCs/>
          <w:color w:val="000000"/>
          <w:sz w:val="24"/>
          <w:szCs w:val="24"/>
          <w:lang w:val="en-US" w:eastAsia="zh-CN"/>
        </w:rPr>
        <w:t>Facciorusso A</w:t>
      </w:r>
      <w:r w:rsidRPr="00B93BE0">
        <w:rPr>
          <w:rFonts w:ascii="Book Antiqua" w:eastAsia="宋体" w:hAnsi="Book Antiqua" w:cs="宋体"/>
          <w:color w:val="000000"/>
          <w:sz w:val="24"/>
          <w:szCs w:val="24"/>
          <w:lang w:val="en-US" w:eastAsia="zh-CN"/>
        </w:rPr>
        <w:t>, Del Prete V, Antonino M, Crucinio N, Neve V, Di Leo A, Carr BI, Barone M. Post-recurrence survival in hepatocellular carcinoma after percutaneous radiofrequency ablation. </w:t>
      </w:r>
      <w:r w:rsidRPr="00B93BE0">
        <w:rPr>
          <w:rFonts w:ascii="Book Antiqua" w:eastAsia="宋体" w:hAnsi="Book Antiqua" w:cs="宋体"/>
          <w:i/>
          <w:iCs/>
          <w:color w:val="000000"/>
          <w:sz w:val="24"/>
          <w:szCs w:val="24"/>
          <w:lang w:val="en-US" w:eastAsia="zh-CN"/>
        </w:rPr>
        <w:t>Dig Liver Dis</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46</w:t>
      </w:r>
      <w:r w:rsidRPr="00B93BE0">
        <w:rPr>
          <w:rFonts w:ascii="Book Antiqua" w:eastAsia="宋体" w:hAnsi="Book Antiqua" w:cs="宋体"/>
          <w:color w:val="000000"/>
          <w:sz w:val="24"/>
          <w:szCs w:val="24"/>
          <w:lang w:val="en-US" w:eastAsia="zh-CN"/>
        </w:rPr>
        <w:t>: 1014-1019 [PMID: 25085684 DOI: 10.1016/j.dld.2014.07.012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79 </w:t>
      </w:r>
      <w:r w:rsidRPr="00B93BE0">
        <w:rPr>
          <w:rFonts w:ascii="Book Antiqua" w:eastAsia="宋体" w:hAnsi="Book Antiqua" w:cs="宋体"/>
          <w:b/>
          <w:bCs/>
          <w:color w:val="000000"/>
          <w:sz w:val="24"/>
          <w:szCs w:val="24"/>
          <w:lang w:val="en-US" w:eastAsia="zh-CN"/>
        </w:rPr>
        <w:t>Kim JW</w:t>
      </w:r>
      <w:r w:rsidRPr="00B93BE0">
        <w:rPr>
          <w:rFonts w:ascii="Book Antiqua" w:eastAsia="宋体" w:hAnsi="Book Antiqua" w:cs="宋体"/>
          <w:color w:val="000000"/>
          <w:sz w:val="24"/>
          <w:szCs w:val="24"/>
          <w:lang w:val="en-US" w:eastAsia="zh-CN"/>
        </w:rPr>
        <w:t xml:space="preserve">, Kim JH, Sung KB, Ko HK, Shin JH, Kim PN, Choi HK, Ko GY, Yoon HK, Chun SY, Gwon DI. </w:t>
      </w:r>
      <w:proofErr w:type="gramStart"/>
      <w:r w:rsidRPr="00B93BE0">
        <w:rPr>
          <w:rFonts w:ascii="Book Antiqua" w:eastAsia="宋体" w:hAnsi="Book Antiqua" w:cs="宋体"/>
          <w:color w:val="000000"/>
          <w:sz w:val="24"/>
          <w:szCs w:val="24"/>
          <w:lang w:val="en-US" w:eastAsia="zh-CN"/>
        </w:rPr>
        <w:t>Transarterial chemoembolization vs. radiofrequency ablation for the treatment of single hepatocellular carcinoma 2 cm or smaller.</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Am J Gastroenterol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109</w:t>
      </w:r>
      <w:r w:rsidRPr="00B93BE0">
        <w:rPr>
          <w:rFonts w:ascii="Book Antiqua" w:eastAsia="宋体" w:hAnsi="Book Antiqua" w:cs="宋体"/>
          <w:color w:val="000000"/>
          <w:sz w:val="24"/>
          <w:szCs w:val="24"/>
          <w:lang w:val="en-US" w:eastAsia="zh-CN"/>
        </w:rPr>
        <w:t>: 1234-1240 [PMID: 24935276 DOI: 10.1038/ajg.2014.152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80 </w:t>
      </w:r>
      <w:r w:rsidRPr="00B93BE0">
        <w:rPr>
          <w:rFonts w:ascii="Book Antiqua" w:eastAsia="宋体" w:hAnsi="Book Antiqua" w:cs="宋体"/>
          <w:b/>
          <w:bCs/>
          <w:color w:val="000000"/>
          <w:sz w:val="24"/>
          <w:szCs w:val="24"/>
          <w:lang w:val="en-US" w:eastAsia="zh-CN"/>
        </w:rPr>
        <w:t>Clavien PA</w:t>
      </w:r>
      <w:r w:rsidRPr="00B93BE0">
        <w:rPr>
          <w:rFonts w:ascii="Book Antiqua" w:eastAsia="宋体" w:hAnsi="Book Antiqua" w:cs="宋体"/>
          <w:color w:val="000000"/>
          <w:sz w:val="24"/>
          <w:szCs w:val="24"/>
          <w:lang w:val="en-US" w:eastAsia="zh-CN"/>
        </w:rPr>
        <w:t>, Lesurtel M, Bossuyt PM, Gores GJ, Langer B, Perrier A. Recommendations for liver transplantation for hepatocellular carcinoma: an international consensus conference report. </w:t>
      </w:r>
      <w:r w:rsidRPr="00B93BE0">
        <w:rPr>
          <w:rFonts w:ascii="Book Antiqua" w:eastAsia="宋体" w:hAnsi="Book Antiqua" w:cs="宋体"/>
          <w:i/>
          <w:iCs/>
          <w:color w:val="000000"/>
          <w:sz w:val="24"/>
          <w:szCs w:val="24"/>
          <w:lang w:val="en-US" w:eastAsia="zh-CN"/>
        </w:rPr>
        <w:t>Lancet Oncol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13</w:t>
      </w:r>
      <w:r w:rsidRPr="00B93BE0">
        <w:rPr>
          <w:rFonts w:ascii="Book Antiqua" w:eastAsia="宋体" w:hAnsi="Book Antiqua" w:cs="宋体"/>
          <w:color w:val="000000"/>
          <w:sz w:val="24"/>
          <w:szCs w:val="24"/>
          <w:lang w:val="en-US" w:eastAsia="zh-CN"/>
        </w:rPr>
        <w:t>: e11-e22 [PMID: 22047762 DOI: 10.1016/S1470-2045(11)70175-9</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81 </w:t>
      </w:r>
      <w:r w:rsidRPr="00B93BE0">
        <w:rPr>
          <w:rFonts w:ascii="Book Antiqua" w:eastAsia="宋体" w:hAnsi="Book Antiqua" w:cs="宋体"/>
          <w:b/>
          <w:bCs/>
          <w:color w:val="000000"/>
          <w:sz w:val="24"/>
          <w:szCs w:val="24"/>
          <w:lang w:val="en-US" w:eastAsia="zh-CN"/>
        </w:rPr>
        <w:t>Majno PE</w:t>
      </w:r>
      <w:r w:rsidRPr="00B93BE0">
        <w:rPr>
          <w:rFonts w:ascii="Book Antiqua" w:eastAsia="宋体" w:hAnsi="Book Antiqua" w:cs="宋体"/>
          <w:color w:val="000000"/>
          <w:sz w:val="24"/>
          <w:szCs w:val="24"/>
          <w:lang w:val="en-US" w:eastAsia="zh-CN"/>
        </w:rPr>
        <w:t>, Adam R, Bismuth H, Castaing D, Ariche A, Krissat J, Perrin H, Azoulay D. Influence of preoperative transarterial lipiodol chemoembolization on resection and transplantation for hepatocellular carcinoma in patients with cirrhosis. </w:t>
      </w:r>
      <w:r w:rsidRPr="00B93BE0">
        <w:rPr>
          <w:rFonts w:ascii="Book Antiqua" w:eastAsia="宋体" w:hAnsi="Book Antiqua" w:cs="宋体"/>
          <w:i/>
          <w:iCs/>
          <w:color w:val="000000"/>
          <w:sz w:val="24"/>
          <w:szCs w:val="24"/>
          <w:lang w:val="en-US" w:eastAsia="zh-CN"/>
        </w:rPr>
        <w:t>Ann Surg</w:t>
      </w:r>
      <w:r w:rsidRPr="00B93BE0">
        <w:rPr>
          <w:rFonts w:ascii="Book Antiqua" w:eastAsia="宋体" w:hAnsi="Book Antiqua" w:cs="宋体"/>
          <w:color w:val="000000"/>
          <w:sz w:val="24"/>
          <w:szCs w:val="24"/>
          <w:lang w:val="en-US" w:eastAsia="zh-CN"/>
        </w:rPr>
        <w:t> 1997; </w:t>
      </w:r>
      <w:r w:rsidRPr="00B93BE0">
        <w:rPr>
          <w:rFonts w:ascii="Book Antiqua" w:eastAsia="宋体" w:hAnsi="Book Antiqua" w:cs="宋体"/>
          <w:b/>
          <w:bCs/>
          <w:color w:val="000000"/>
          <w:sz w:val="24"/>
          <w:szCs w:val="24"/>
          <w:lang w:val="en-US" w:eastAsia="zh-CN"/>
        </w:rPr>
        <w:t>226</w:t>
      </w:r>
      <w:r w:rsidRPr="00B93BE0">
        <w:rPr>
          <w:rFonts w:ascii="Book Antiqua" w:eastAsia="宋体" w:hAnsi="Book Antiqua" w:cs="宋体"/>
          <w:color w:val="000000"/>
          <w:sz w:val="24"/>
          <w:szCs w:val="24"/>
          <w:lang w:val="en-US" w:eastAsia="zh-CN"/>
        </w:rPr>
        <w:t>: 688-701; discussion 701-3 [PMID: 9409568]</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82 </w:t>
      </w:r>
      <w:r w:rsidRPr="00B93BE0">
        <w:rPr>
          <w:rFonts w:ascii="Book Antiqua" w:eastAsia="宋体" w:hAnsi="Book Antiqua" w:cs="宋体"/>
          <w:b/>
          <w:bCs/>
          <w:color w:val="000000"/>
          <w:sz w:val="24"/>
          <w:szCs w:val="24"/>
          <w:lang w:val="en-US" w:eastAsia="zh-CN"/>
        </w:rPr>
        <w:t>Golfieri R</w:t>
      </w:r>
      <w:r w:rsidRPr="00B93BE0">
        <w:rPr>
          <w:rFonts w:ascii="Book Antiqua" w:eastAsia="宋体" w:hAnsi="Book Antiqua" w:cs="宋体"/>
          <w:color w:val="000000"/>
          <w:sz w:val="24"/>
          <w:szCs w:val="24"/>
          <w:lang w:val="en-US" w:eastAsia="zh-CN"/>
        </w:rPr>
        <w:t>, Cappelli A, Cucchetti A, Piscaglia F, Carpenzano M, Peri E, Ravaioli M, D'Errico-Grigioni A, Pinna AD, Bolondi L. Efficacy of selective transarterial chemoembolization in inducing tumor necrosis in small (&amp; lt; 5 cm) hepatocellular carcinomas.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53</w:t>
      </w:r>
      <w:r w:rsidRPr="00B93BE0">
        <w:rPr>
          <w:rFonts w:ascii="Book Antiqua" w:eastAsia="宋体" w:hAnsi="Book Antiqua" w:cs="宋体"/>
          <w:color w:val="000000"/>
          <w:sz w:val="24"/>
          <w:szCs w:val="24"/>
          <w:lang w:val="en-US" w:eastAsia="zh-CN"/>
        </w:rPr>
        <w:t>: 1580-1589 [PMID: 21351114 DOI: 10.1002/hep.24246</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83 </w:t>
      </w:r>
      <w:r w:rsidRPr="00B93BE0">
        <w:rPr>
          <w:rFonts w:ascii="Book Antiqua" w:eastAsia="宋体" w:hAnsi="Book Antiqua" w:cs="宋体"/>
          <w:b/>
          <w:bCs/>
          <w:color w:val="000000"/>
          <w:sz w:val="24"/>
          <w:szCs w:val="24"/>
          <w:lang w:val="en-US" w:eastAsia="zh-CN"/>
        </w:rPr>
        <w:t>Mazzaferro V</w:t>
      </w:r>
      <w:r w:rsidRPr="00B93BE0">
        <w:rPr>
          <w:rFonts w:ascii="Book Antiqua" w:eastAsia="宋体" w:hAnsi="Book Antiqua" w:cs="宋体"/>
          <w:color w:val="000000"/>
          <w:sz w:val="24"/>
          <w:szCs w:val="24"/>
          <w:lang w:val="en-US" w:eastAsia="zh-CN"/>
        </w:rPr>
        <w:t>, Battiston C, Perrone S, Pulvirenti A, Regalia E, Romito R, Sarli D, Schiavo M, Garbagnati F, Marchianò A, Spreafico C, Camerini T, Mariani L, Miceli R, Andreola S. Radiofrequency ablation of small hepatocellular carcinoma in cirrhotic patients awaiting liver transplantation: a prospective study. </w:t>
      </w:r>
      <w:r w:rsidRPr="00B93BE0">
        <w:rPr>
          <w:rFonts w:ascii="Book Antiqua" w:eastAsia="宋体" w:hAnsi="Book Antiqua" w:cs="宋体"/>
          <w:i/>
          <w:iCs/>
          <w:color w:val="000000"/>
          <w:sz w:val="24"/>
          <w:szCs w:val="24"/>
          <w:lang w:val="en-US" w:eastAsia="zh-CN"/>
        </w:rPr>
        <w:t>Ann Surg</w:t>
      </w:r>
      <w:r w:rsidRPr="00B93BE0">
        <w:rPr>
          <w:rFonts w:ascii="Book Antiqua" w:eastAsia="宋体" w:hAnsi="Book Antiqua" w:cs="宋体"/>
          <w:color w:val="000000"/>
          <w:sz w:val="24"/>
          <w:szCs w:val="24"/>
          <w:lang w:val="en-US" w:eastAsia="zh-CN"/>
        </w:rPr>
        <w:t> 2004; </w:t>
      </w:r>
      <w:r w:rsidRPr="00B93BE0">
        <w:rPr>
          <w:rFonts w:ascii="Book Antiqua" w:eastAsia="宋体" w:hAnsi="Book Antiqua" w:cs="宋体"/>
          <w:b/>
          <w:bCs/>
          <w:color w:val="000000"/>
          <w:sz w:val="24"/>
          <w:szCs w:val="24"/>
          <w:lang w:val="en-US" w:eastAsia="zh-CN"/>
        </w:rPr>
        <w:t>240</w:t>
      </w:r>
      <w:r w:rsidRPr="00B93BE0">
        <w:rPr>
          <w:rFonts w:ascii="Book Antiqua" w:eastAsia="宋体" w:hAnsi="Book Antiqua" w:cs="宋体"/>
          <w:color w:val="000000"/>
          <w:sz w:val="24"/>
          <w:szCs w:val="24"/>
          <w:lang w:val="en-US" w:eastAsia="zh-CN"/>
        </w:rPr>
        <w:t>: 900-909 [PMID: 15492574]</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84 </w:t>
      </w:r>
      <w:r w:rsidRPr="00B93BE0">
        <w:rPr>
          <w:rFonts w:ascii="Book Antiqua" w:eastAsia="宋体" w:hAnsi="Book Antiqua" w:cs="宋体"/>
          <w:b/>
          <w:bCs/>
          <w:color w:val="000000"/>
          <w:sz w:val="24"/>
          <w:szCs w:val="24"/>
          <w:lang w:val="en-US" w:eastAsia="zh-CN"/>
        </w:rPr>
        <w:t>Lu DS</w:t>
      </w:r>
      <w:r w:rsidRPr="00B93BE0">
        <w:rPr>
          <w:rFonts w:ascii="Book Antiqua" w:eastAsia="宋体" w:hAnsi="Book Antiqua" w:cs="宋体"/>
          <w:color w:val="000000"/>
          <w:sz w:val="24"/>
          <w:szCs w:val="24"/>
          <w:lang w:val="en-US" w:eastAsia="zh-CN"/>
        </w:rPr>
        <w:t xml:space="preserve">, Yu NC, Raman SS, Lassman C, Tong MJ, Britten C, Durazo F, Saab S, Han S, Finn R, Hiatt JR, Busuttil RW. </w:t>
      </w:r>
      <w:proofErr w:type="gramStart"/>
      <w:r w:rsidRPr="00B93BE0">
        <w:rPr>
          <w:rFonts w:ascii="Book Antiqua" w:eastAsia="宋体" w:hAnsi="Book Antiqua" w:cs="宋体"/>
          <w:color w:val="000000"/>
          <w:sz w:val="24"/>
          <w:szCs w:val="24"/>
          <w:lang w:val="en-US" w:eastAsia="zh-CN"/>
        </w:rPr>
        <w:t>Percutaneous radiofrequency ablation of hepatocellular carcinoma as a bridge to liver transplantation.</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2005; </w:t>
      </w:r>
      <w:r w:rsidRPr="00B93BE0">
        <w:rPr>
          <w:rFonts w:ascii="Book Antiqua" w:eastAsia="宋体" w:hAnsi="Book Antiqua" w:cs="宋体"/>
          <w:b/>
          <w:bCs/>
          <w:color w:val="000000"/>
          <w:sz w:val="24"/>
          <w:szCs w:val="24"/>
          <w:lang w:val="en-US" w:eastAsia="zh-CN"/>
        </w:rPr>
        <w:t>41</w:t>
      </w:r>
      <w:r w:rsidRPr="00B93BE0">
        <w:rPr>
          <w:rFonts w:ascii="Book Antiqua" w:eastAsia="宋体" w:hAnsi="Book Antiqua" w:cs="宋体"/>
          <w:color w:val="000000"/>
          <w:sz w:val="24"/>
          <w:szCs w:val="24"/>
          <w:lang w:val="en-US" w:eastAsia="zh-CN"/>
        </w:rPr>
        <w:t>: 1130-1137 [PMID: 15841454]</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lastRenderedPageBreak/>
        <w:t>85 </w:t>
      </w:r>
      <w:r w:rsidRPr="00B93BE0">
        <w:rPr>
          <w:rFonts w:ascii="Book Antiqua" w:eastAsia="宋体" w:hAnsi="Book Antiqua" w:cs="宋体"/>
          <w:b/>
          <w:bCs/>
          <w:color w:val="000000"/>
          <w:sz w:val="24"/>
          <w:szCs w:val="24"/>
          <w:lang w:val="en-US" w:eastAsia="zh-CN"/>
        </w:rPr>
        <w:t>Pompili M</w:t>
      </w:r>
      <w:r w:rsidRPr="00B93BE0">
        <w:rPr>
          <w:rFonts w:ascii="Book Antiqua" w:eastAsia="宋体" w:hAnsi="Book Antiqua" w:cs="宋体"/>
          <w:color w:val="000000"/>
          <w:sz w:val="24"/>
          <w:szCs w:val="24"/>
          <w:lang w:val="en-US" w:eastAsia="zh-CN"/>
        </w:rPr>
        <w:t>, Mirante VG, Rondinara G, Fassati LR, Piscaglia F, Agnes S, Covino M, Ravaioli M, Fagiuoli S, Gasbarrini G, Rapaccini GL. Percutaneous ablation procedures in cirrhotic patients with hepatocellular carcinoma submitted to liver transplantation: Assessment of efficacy at explant analysis and of safety for tumor recurrence. </w:t>
      </w:r>
      <w:r w:rsidRPr="00B93BE0">
        <w:rPr>
          <w:rFonts w:ascii="Book Antiqua" w:eastAsia="宋体" w:hAnsi="Book Antiqua" w:cs="宋体"/>
          <w:i/>
          <w:iCs/>
          <w:color w:val="000000"/>
          <w:sz w:val="24"/>
          <w:szCs w:val="24"/>
          <w:lang w:val="en-US" w:eastAsia="zh-CN"/>
        </w:rPr>
        <w:t>Liver Transpl</w:t>
      </w:r>
      <w:r w:rsidRPr="00B93BE0">
        <w:rPr>
          <w:rFonts w:ascii="Book Antiqua" w:eastAsia="宋体" w:hAnsi="Book Antiqua" w:cs="宋体"/>
          <w:color w:val="000000"/>
          <w:sz w:val="24"/>
          <w:szCs w:val="24"/>
          <w:lang w:val="en-US" w:eastAsia="zh-CN"/>
        </w:rPr>
        <w:t> 2005; </w:t>
      </w:r>
      <w:r w:rsidRPr="00B93BE0">
        <w:rPr>
          <w:rFonts w:ascii="Book Antiqua" w:eastAsia="宋体" w:hAnsi="Book Antiqua" w:cs="宋体"/>
          <w:b/>
          <w:bCs/>
          <w:color w:val="000000"/>
          <w:sz w:val="24"/>
          <w:szCs w:val="24"/>
          <w:lang w:val="en-US" w:eastAsia="zh-CN"/>
        </w:rPr>
        <w:t>11</w:t>
      </w:r>
      <w:r w:rsidRPr="00B93BE0">
        <w:rPr>
          <w:rFonts w:ascii="Book Antiqua" w:eastAsia="宋体" w:hAnsi="Book Antiqua" w:cs="宋体"/>
          <w:color w:val="000000"/>
          <w:sz w:val="24"/>
          <w:szCs w:val="24"/>
          <w:lang w:val="en-US" w:eastAsia="zh-CN"/>
        </w:rPr>
        <w:t>: 1117-1126 [PMID: 16123960]</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86 </w:t>
      </w:r>
      <w:r w:rsidRPr="00B93BE0">
        <w:rPr>
          <w:rFonts w:ascii="Book Antiqua" w:eastAsia="宋体" w:hAnsi="Book Antiqua" w:cs="宋体"/>
          <w:b/>
          <w:bCs/>
          <w:color w:val="000000"/>
          <w:sz w:val="24"/>
          <w:szCs w:val="24"/>
          <w:lang w:val="en-US" w:eastAsia="zh-CN"/>
        </w:rPr>
        <w:t>Riaz A</w:t>
      </w:r>
      <w:r w:rsidRPr="00B93BE0">
        <w:rPr>
          <w:rFonts w:ascii="Book Antiqua" w:eastAsia="宋体" w:hAnsi="Book Antiqua" w:cs="宋体"/>
          <w:color w:val="000000"/>
          <w:sz w:val="24"/>
          <w:szCs w:val="24"/>
          <w:lang w:val="en-US" w:eastAsia="zh-CN"/>
        </w:rPr>
        <w:t>, Kulik L, Lewandowski RJ, Ryu RK, Giakoumis Spear G, Mulcahy MF, Abecassis M, Baker T, Gates V, Nayar R, Miller FH, Sato KT, Omary RA, Salem R. Radiologic-pathologic correlation of hepatocellular carcinoma treated with internal radiation using yttrium-90 microspheres. </w:t>
      </w:r>
      <w:r w:rsidRPr="00B93BE0">
        <w:rPr>
          <w:rFonts w:ascii="Book Antiqua" w:eastAsia="宋体" w:hAnsi="Book Antiqua" w:cs="宋体"/>
          <w:i/>
          <w:iCs/>
          <w:color w:val="000000"/>
          <w:sz w:val="24"/>
          <w:szCs w:val="24"/>
          <w:lang w:val="en-US" w:eastAsia="zh-CN"/>
        </w:rPr>
        <w:t>Hepatology</w:t>
      </w:r>
      <w:r w:rsidRPr="00B93BE0">
        <w:rPr>
          <w:rFonts w:ascii="Book Antiqua" w:eastAsia="宋体" w:hAnsi="Book Antiqua" w:cs="宋体"/>
          <w:color w:val="000000"/>
          <w:sz w:val="24"/>
          <w:szCs w:val="24"/>
          <w:lang w:val="en-US" w:eastAsia="zh-CN"/>
        </w:rPr>
        <w:t> 2009; </w:t>
      </w:r>
      <w:r w:rsidRPr="00B93BE0">
        <w:rPr>
          <w:rFonts w:ascii="Book Antiqua" w:eastAsia="宋体" w:hAnsi="Book Antiqua" w:cs="宋体"/>
          <w:b/>
          <w:bCs/>
          <w:color w:val="000000"/>
          <w:sz w:val="24"/>
          <w:szCs w:val="24"/>
          <w:lang w:val="en-US" w:eastAsia="zh-CN"/>
        </w:rPr>
        <w:t>49</w:t>
      </w:r>
      <w:r w:rsidRPr="00B93BE0">
        <w:rPr>
          <w:rFonts w:ascii="Book Antiqua" w:eastAsia="宋体" w:hAnsi="Book Antiqua" w:cs="宋体"/>
          <w:color w:val="000000"/>
          <w:sz w:val="24"/>
          <w:szCs w:val="24"/>
          <w:lang w:val="en-US" w:eastAsia="zh-CN"/>
        </w:rPr>
        <w:t>: 1185-1193 [PMID: 19133645 DOI: 10.1002/hep.22747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87 </w:t>
      </w:r>
      <w:r w:rsidRPr="00B93BE0">
        <w:rPr>
          <w:rFonts w:ascii="Book Antiqua" w:eastAsia="宋体" w:hAnsi="Book Antiqua" w:cs="宋体"/>
          <w:b/>
          <w:bCs/>
          <w:color w:val="000000"/>
          <w:sz w:val="24"/>
          <w:szCs w:val="24"/>
          <w:lang w:val="en-US" w:eastAsia="zh-CN"/>
        </w:rPr>
        <w:t>Lewandowski RJ</w:t>
      </w:r>
      <w:r w:rsidRPr="00B93BE0">
        <w:rPr>
          <w:rFonts w:ascii="Book Antiqua" w:eastAsia="宋体" w:hAnsi="Book Antiqua" w:cs="宋体"/>
          <w:color w:val="000000"/>
          <w:sz w:val="24"/>
          <w:szCs w:val="24"/>
          <w:lang w:val="en-US" w:eastAsia="zh-CN"/>
        </w:rPr>
        <w:t>, Kulik LM, Riaz A, Senthilnathan S, Mulcahy MF, Ryu RK, Ibrahim SM, Sato KT, Baker T, Miller FH, Omary R, Abecassis M, Salem R. A comparative analysis of transarterial downstaging for hepatocellular carcinoma: chemoembolization versus radioembolization. </w:t>
      </w:r>
      <w:r w:rsidRPr="00B93BE0">
        <w:rPr>
          <w:rFonts w:ascii="Book Antiqua" w:eastAsia="宋体" w:hAnsi="Book Antiqua" w:cs="宋体"/>
          <w:i/>
          <w:iCs/>
          <w:color w:val="000000"/>
          <w:sz w:val="24"/>
          <w:szCs w:val="24"/>
          <w:lang w:val="en-US" w:eastAsia="zh-CN"/>
        </w:rPr>
        <w:t>Am J Transplant</w:t>
      </w:r>
      <w:r w:rsidRPr="00B93BE0">
        <w:rPr>
          <w:rFonts w:ascii="Book Antiqua" w:eastAsia="宋体" w:hAnsi="Book Antiqua" w:cs="宋体"/>
          <w:color w:val="000000"/>
          <w:sz w:val="24"/>
          <w:szCs w:val="24"/>
          <w:lang w:val="en-US" w:eastAsia="zh-CN"/>
        </w:rPr>
        <w:t> 2009; </w:t>
      </w:r>
      <w:r w:rsidRPr="00B93BE0">
        <w:rPr>
          <w:rFonts w:ascii="Book Antiqua" w:eastAsia="宋体" w:hAnsi="Book Antiqua" w:cs="宋体"/>
          <w:b/>
          <w:bCs/>
          <w:color w:val="000000"/>
          <w:sz w:val="24"/>
          <w:szCs w:val="24"/>
          <w:lang w:val="en-US" w:eastAsia="zh-CN"/>
        </w:rPr>
        <w:t>9</w:t>
      </w:r>
      <w:r w:rsidRPr="00B93BE0">
        <w:rPr>
          <w:rFonts w:ascii="Book Antiqua" w:eastAsia="宋体" w:hAnsi="Book Antiqua" w:cs="宋体"/>
          <w:color w:val="000000"/>
          <w:sz w:val="24"/>
          <w:szCs w:val="24"/>
          <w:lang w:val="en-US" w:eastAsia="zh-CN"/>
        </w:rPr>
        <w:t>: 1920-1928 [PMID: 19552767 DOI: 10.1111/j.1600-6143.2009.02695.x</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88 </w:t>
      </w:r>
      <w:r w:rsidRPr="00B93BE0">
        <w:rPr>
          <w:rFonts w:ascii="Book Antiqua" w:eastAsia="宋体" w:hAnsi="Book Antiqua" w:cs="宋体"/>
          <w:b/>
          <w:bCs/>
          <w:color w:val="000000"/>
          <w:sz w:val="24"/>
          <w:szCs w:val="24"/>
          <w:lang w:val="en-US" w:eastAsia="zh-CN"/>
        </w:rPr>
        <w:t>Luo J</w:t>
      </w:r>
      <w:r w:rsidRPr="00B93BE0">
        <w:rPr>
          <w:rFonts w:ascii="Book Antiqua" w:eastAsia="宋体" w:hAnsi="Book Antiqua" w:cs="宋体"/>
          <w:color w:val="000000"/>
          <w:sz w:val="24"/>
          <w:szCs w:val="24"/>
          <w:lang w:val="en-US" w:eastAsia="zh-CN"/>
        </w:rPr>
        <w:t>, Guo RP, Lai EC, Zhang YJ, Lau WY, Chen MS, Shi M. Transarterial chemoembolization for unresectable hepatocellular carcinoma with portal vein tumor thrombosis: a prospective comparative study. </w:t>
      </w:r>
      <w:r w:rsidRPr="00B93BE0">
        <w:rPr>
          <w:rFonts w:ascii="Book Antiqua" w:eastAsia="宋体" w:hAnsi="Book Antiqua" w:cs="宋体"/>
          <w:i/>
          <w:iCs/>
          <w:color w:val="000000"/>
          <w:sz w:val="24"/>
          <w:szCs w:val="24"/>
          <w:lang w:val="en-US" w:eastAsia="zh-CN"/>
        </w:rPr>
        <w:t>Ann Surg Oncol</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18</w:t>
      </w:r>
      <w:r w:rsidRPr="00B93BE0">
        <w:rPr>
          <w:rFonts w:ascii="Book Antiqua" w:eastAsia="宋体" w:hAnsi="Book Antiqua" w:cs="宋体"/>
          <w:color w:val="000000"/>
          <w:sz w:val="24"/>
          <w:szCs w:val="24"/>
          <w:lang w:val="en-US" w:eastAsia="zh-CN"/>
        </w:rPr>
        <w:t>: 413-420 [PMID: 20839057 DOI: 10.1245/s10434-010-1321-8</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89 </w:t>
      </w:r>
      <w:r w:rsidRPr="00B93BE0">
        <w:rPr>
          <w:rFonts w:ascii="Book Antiqua" w:eastAsia="宋体" w:hAnsi="Book Antiqua" w:cs="宋体"/>
          <w:b/>
          <w:bCs/>
          <w:color w:val="000000"/>
          <w:sz w:val="24"/>
          <w:szCs w:val="24"/>
          <w:lang w:val="en-US" w:eastAsia="zh-CN"/>
        </w:rPr>
        <w:t>Niu ZJ</w:t>
      </w:r>
      <w:r w:rsidRPr="00B93BE0">
        <w:rPr>
          <w:rFonts w:ascii="Book Antiqua" w:eastAsia="宋体" w:hAnsi="Book Antiqua" w:cs="宋体"/>
          <w:color w:val="000000"/>
          <w:sz w:val="24"/>
          <w:szCs w:val="24"/>
          <w:lang w:val="en-US" w:eastAsia="zh-CN"/>
        </w:rPr>
        <w:t>, Ma YL, Kang P, Ou SQ, Meng ZB, Li ZK, Qi F, Zhao C. Transarterial chemoembolization compared with conservative treatment for advanced hepatocellular carcinoma with portal vein tumor thrombus: using a new classification. </w:t>
      </w:r>
      <w:r w:rsidRPr="00B93BE0">
        <w:rPr>
          <w:rFonts w:ascii="Book Antiqua" w:eastAsia="宋体" w:hAnsi="Book Antiqua" w:cs="宋体"/>
          <w:i/>
          <w:iCs/>
          <w:color w:val="000000"/>
          <w:sz w:val="24"/>
          <w:szCs w:val="24"/>
          <w:lang w:val="en-US" w:eastAsia="zh-CN"/>
        </w:rPr>
        <w:t>Med Oncol</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29</w:t>
      </w:r>
      <w:r w:rsidRPr="00B93BE0">
        <w:rPr>
          <w:rFonts w:ascii="Book Antiqua" w:eastAsia="宋体" w:hAnsi="Book Antiqua" w:cs="宋体"/>
          <w:color w:val="000000"/>
          <w:sz w:val="24"/>
          <w:szCs w:val="24"/>
          <w:lang w:val="en-US" w:eastAsia="zh-CN"/>
        </w:rPr>
        <w:t>: 2992-2997 [PMID: 22200992 DOI: 10.1007/s12032-011-0145-0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90 </w:t>
      </w:r>
      <w:r w:rsidRPr="00B93BE0">
        <w:rPr>
          <w:rFonts w:ascii="Book Antiqua" w:eastAsia="宋体" w:hAnsi="Book Antiqua" w:cs="宋体"/>
          <w:b/>
          <w:bCs/>
          <w:color w:val="000000"/>
          <w:sz w:val="24"/>
          <w:szCs w:val="24"/>
          <w:lang w:val="en-US" w:eastAsia="zh-CN"/>
        </w:rPr>
        <w:t>Xue TC</w:t>
      </w:r>
      <w:r w:rsidRPr="00B93BE0">
        <w:rPr>
          <w:rFonts w:ascii="Book Antiqua" w:eastAsia="宋体" w:hAnsi="Book Antiqua" w:cs="宋体"/>
          <w:color w:val="000000"/>
          <w:sz w:val="24"/>
          <w:szCs w:val="24"/>
          <w:lang w:val="en-US" w:eastAsia="zh-CN"/>
        </w:rPr>
        <w:t>, Xie XY, Zhang L, Yin X, Zhang BH, Ren ZG. Transarterial chemoembolization for hepatocellular carcinoma with portal vein tumor thrombus: a meta-analysis. </w:t>
      </w:r>
      <w:r w:rsidRPr="00B93BE0">
        <w:rPr>
          <w:rFonts w:ascii="Book Antiqua" w:eastAsia="宋体" w:hAnsi="Book Antiqua" w:cs="宋体"/>
          <w:i/>
          <w:iCs/>
          <w:color w:val="000000"/>
          <w:sz w:val="24"/>
          <w:szCs w:val="24"/>
          <w:lang w:val="en-US" w:eastAsia="zh-CN"/>
        </w:rPr>
        <w:t>BMC Gastroenterol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13</w:t>
      </w:r>
      <w:r w:rsidRPr="00B93BE0">
        <w:rPr>
          <w:rFonts w:ascii="Book Antiqua" w:eastAsia="宋体" w:hAnsi="Book Antiqua" w:cs="宋体"/>
          <w:color w:val="000000"/>
          <w:sz w:val="24"/>
          <w:szCs w:val="24"/>
          <w:lang w:val="en-US" w:eastAsia="zh-CN"/>
        </w:rPr>
        <w:t>: 60 [PMID: 23566041 DOI: 10.1186/1471-230X-13-60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91 </w:t>
      </w:r>
      <w:r w:rsidRPr="00B93BE0">
        <w:rPr>
          <w:rFonts w:ascii="Book Antiqua" w:eastAsia="宋体" w:hAnsi="Book Antiqua" w:cs="宋体"/>
          <w:b/>
          <w:bCs/>
          <w:color w:val="000000"/>
          <w:sz w:val="24"/>
          <w:szCs w:val="24"/>
          <w:lang w:val="en-US" w:eastAsia="zh-CN"/>
        </w:rPr>
        <w:t>Pinter M</w:t>
      </w:r>
      <w:r w:rsidRPr="00B93BE0">
        <w:rPr>
          <w:rFonts w:ascii="Book Antiqua" w:eastAsia="宋体" w:hAnsi="Book Antiqua" w:cs="宋体"/>
          <w:color w:val="000000"/>
          <w:sz w:val="24"/>
          <w:szCs w:val="24"/>
          <w:lang w:val="en-US" w:eastAsia="zh-CN"/>
        </w:rPr>
        <w:t>, Hucke F, Graziadei I, Vogel W, Maieron A, Königsberg R, Stauber R, Grünberger B, Müller C, Kölblinger C, Peck-Radosavljevic M, Sieghart W. Advanced-stage hepatocellular carcinoma: transarterial chemoembolization versus sorafenib. </w:t>
      </w:r>
      <w:r w:rsidRPr="00B93BE0">
        <w:rPr>
          <w:rFonts w:ascii="Book Antiqua" w:eastAsia="宋体" w:hAnsi="Book Antiqua" w:cs="宋体"/>
          <w:i/>
          <w:iCs/>
          <w:color w:val="000000"/>
          <w:sz w:val="24"/>
          <w:szCs w:val="24"/>
          <w:lang w:val="en-US" w:eastAsia="zh-CN"/>
        </w:rPr>
        <w:t>Radiology</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263</w:t>
      </w:r>
      <w:r w:rsidRPr="00B93BE0">
        <w:rPr>
          <w:rFonts w:ascii="Book Antiqua" w:eastAsia="宋体" w:hAnsi="Book Antiqua" w:cs="宋体"/>
          <w:color w:val="000000"/>
          <w:sz w:val="24"/>
          <w:szCs w:val="24"/>
          <w:lang w:val="en-US" w:eastAsia="zh-CN"/>
        </w:rPr>
        <w:t>: 590-599 [PMID: 22438359 DOI: 10.1148/radiol.12111550</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92 </w:t>
      </w:r>
      <w:r w:rsidRPr="00B93BE0">
        <w:rPr>
          <w:rFonts w:ascii="Book Antiqua" w:eastAsia="宋体" w:hAnsi="Book Antiqua" w:cs="宋体"/>
          <w:b/>
          <w:bCs/>
          <w:color w:val="000000"/>
          <w:sz w:val="24"/>
          <w:szCs w:val="24"/>
          <w:lang w:val="en-US" w:eastAsia="zh-CN"/>
        </w:rPr>
        <w:t>Kalva SP</w:t>
      </w:r>
      <w:r w:rsidRPr="00B93BE0">
        <w:rPr>
          <w:rFonts w:ascii="Book Antiqua" w:eastAsia="宋体" w:hAnsi="Book Antiqua" w:cs="宋体"/>
          <w:color w:val="000000"/>
          <w:sz w:val="24"/>
          <w:szCs w:val="24"/>
          <w:lang w:val="en-US" w:eastAsia="zh-CN"/>
        </w:rPr>
        <w:t xml:space="preserve">, Pectasides M, Liu R, Rachamreddy N, Surakanti S, Yeddula K, Ganguli S, Wicky S, Blaszkowsky LS, Zhu AX. </w:t>
      </w:r>
      <w:proofErr w:type="gramStart"/>
      <w:r w:rsidRPr="00B93BE0">
        <w:rPr>
          <w:rFonts w:ascii="Book Antiqua" w:eastAsia="宋体" w:hAnsi="Book Antiqua" w:cs="宋体"/>
          <w:color w:val="000000"/>
          <w:sz w:val="24"/>
          <w:szCs w:val="24"/>
          <w:lang w:val="en-US" w:eastAsia="zh-CN"/>
        </w:rPr>
        <w:t xml:space="preserve">Safety and effectiveness of chemoembolization with </w:t>
      </w:r>
      <w:r w:rsidRPr="00B93BE0">
        <w:rPr>
          <w:rFonts w:ascii="Book Antiqua" w:eastAsia="宋体" w:hAnsi="Book Antiqua" w:cs="宋体"/>
          <w:color w:val="000000"/>
          <w:sz w:val="24"/>
          <w:szCs w:val="24"/>
          <w:lang w:val="en-US" w:eastAsia="zh-CN"/>
        </w:rPr>
        <w:lastRenderedPageBreak/>
        <w:t>drug-eluting beads for advanced-stage hepatocellular carcinoma.</w:t>
      </w:r>
      <w:proofErr w:type="gramEnd"/>
      <w:r w:rsidRPr="00B93BE0">
        <w:rPr>
          <w:rFonts w:ascii="Book Antiqua" w:eastAsia="宋体" w:hAnsi="Book Antiqua" w:cs="宋体"/>
          <w:color w:val="000000"/>
          <w:sz w:val="24"/>
          <w:szCs w:val="24"/>
          <w:lang w:val="en-US" w:eastAsia="zh-CN"/>
        </w:rPr>
        <w:t> </w:t>
      </w:r>
      <w:r w:rsidRPr="00B93BE0">
        <w:rPr>
          <w:rFonts w:ascii="Book Antiqua" w:eastAsia="宋体" w:hAnsi="Book Antiqua" w:cs="宋体"/>
          <w:i/>
          <w:iCs/>
          <w:color w:val="000000"/>
          <w:sz w:val="24"/>
          <w:szCs w:val="24"/>
          <w:lang w:val="en-US" w:eastAsia="zh-CN"/>
        </w:rPr>
        <w:t>Cardiovasc Intervent Radiol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37</w:t>
      </w:r>
      <w:r w:rsidRPr="00B93BE0">
        <w:rPr>
          <w:rFonts w:ascii="Book Antiqua" w:eastAsia="宋体" w:hAnsi="Book Antiqua" w:cs="宋体"/>
          <w:color w:val="000000"/>
          <w:sz w:val="24"/>
          <w:szCs w:val="24"/>
          <w:lang w:val="en-US" w:eastAsia="zh-CN"/>
        </w:rPr>
        <w:t>: 381-387 [PMID: 23754191 DOI: 10.1007/s00270-013-0654-7</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93 </w:t>
      </w:r>
      <w:r w:rsidRPr="00B93BE0">
        <w:rPr>
          <w:rFonts w:ascii="Book Antiqua" w:eastAsia="宋体" w:hAnsi="Book Antiqua" w:cs="宋体"/>
          <w:b/>
          <w:bCs/>
          <w:color w:val="000000"/>
          <w:sz w:val="24"/>
          <w:szCs w:val="24"/>
          <w:lang w:val="en-US" w:eastAsia="zh-CN"/>
        </w:rPr>
        <w:t>Liao M</w:t>
      </w:r>
      <w:r w:rsidRPr="00B93BE0">
        <w:rPr>
          <w:rFonts w:ascii="Book Antiqua" w:eastAsia="宋体" w:hAnsi="Book Antiqua" w:cs="宋体"/>
          <w:color w:val="000000"/>
          <w:sz w:val="24"/>
          <w:szCs w:val="24"/>
          <w:lang w:val="en-US" w:eastAsia="zh-CN"/>
        </w:rPr>
        <w:t>, Huang J, Zhang T, Wu H. Transarterial chemoembolization in combination with local therapies for hepatocellular carcinoma: a meta-analysis. </w:t>
      </w:r>
      <w:r w:rsidRPr="00B93BE0">
        <w:rPr>
          <w:rFonts w:ascii="Book Antiqua" w:eastAsia="宋体" w:hAnsi="Book Antiqua" w:cs="宋体"/>
          <w:i/>
          <w:iCs/>
          <w:color w:val="000000"/>
          <w:sz w:val="24"/>
          <w:szCs w:val="24"/>
          <w:lang w:val="en-US" w:eastAsia="zh-CN"/>
        </w:rPr>
        <w:t>PLoS One</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8</w:t>
      </w:r>
      <w:r w:rsidRPr="00B93BE0">
        <w:rPr>
          <w:rFonts w:ascii="Book Antiqua" w:eastAsia="宋体" w:hAnsi="Book Antiqua" w:cs="宋体"/>
          <w:color w:val="000000"/>
          <w:sz w:val="24"/>
          <w:szCs w:val="24"/>
          <w:lang w:val="en-US" w:eastAsia="zh-CN"/>
        </w:rPr>
        <w:t>: e68453 [PMID: 23844203 DOI: 10.1371/journal.pone.0068453</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94 </w:t>
      </w:r>
      <w:r w:rsidRPr="00B93BE0">
        <w:rPr>
          <w:rFonts w:ascii="Book Antiqua" w:eastAsia="宋体" w:hAnsi="Book Antiqua" w:cs="宋体"/>
          <w:b/>
          <w:bCs/>
          <w:color w:val="000000"/>
          <w:sz w:val="24"/>
          <w:szCs w:val="24"/>
          <w:lang w:val="en-US" w:eastAsia="zh-CN"/>
        </w:rPr>
        <w:t>Weintraub JL</w:t>
      </w:r>
      <w:r w:rsidRPr="00B93BE0">
        <w:rPr>
          <w:rFonts w:ascii="Book Antiqua" w:eastAsia="宋体" w:hAnsi="Book Antiqua" w:cs="宋体"/>
          <w:color w:val="000000"/>
          <w:sz w:val="24"/>
          <w:szCs w:val="24"/>
          <w:lang w:val="en-US" w:eastAsia="zh-CN"/>
        </w:rPr>
        <w:t>, Salem R. Treatment of hepatocellular carcinoma combining sorafenib and transarterial locoregional therapy: state of the science. </w:t>
      </w:r>
      <w:r w:rsidRPr="00B93BE0">
        <w:rPr>
          <w:rFonts w:ascii="Book Antiqua" w:eastAsia="宋体" w:hAnsi="Book Antiqua" w:cs="宋体"/>
          <w:i/>
          <w:iCs/>
          <w:color w:val="000000"/>
          <w:sz w:val="24"/>
          <w:szCs w:val="24"/>
          <w:lang w:val="en-US" w:eastAsia="zh-CN"/>
        </w:rPr>
        <w:t>J Vasc Interv Radiol</w:t>
      </w:r>
      <w:r w:rsidRPr="00B93BE0">
        <w:rPr>
          <w:rFonts w:ascii="Book Antiqua" w:eastAsia="宋体" w:hAnsi="Book Antiqua" w:cs="宋体"/>
          <w:color w:val="000000"/>
          <w:sz w:val="24"/>
          <w:szCs w:val="24"/>
          <w:lang w:val="en-US" w:eastAsia="zh-CN"/>
        </w:rPr>
        <w:t> 2013; </w:t>
      </w:r>
      <w:r w:rsidRPr="00B93BE0">
        <w:rPr>
          <w:rFonts w:ascii="Book Antiqua" w:eastAsia="宋体" w:hAnsi="Book Antiqua" w:cs="宋体"/>
          <w:b/>
          <w:bCs/>
          <w:color w:val="000000"/>
          <w:sz w:val="24"/>
          <w:szCs w:val="24"/>
          <w:lang w:val="en-US" w:eastAsia="zh-CN"/>
        </w:rPr>
        <w:t>24</w:t>
      </w:r>
      <w:r w:rsidRPr="00B93BE0">
        <w:rPr>
          <w:rFonts w:ascii="Book Antiqua" w:eastAsia="宋体" w:hAnsi="Book Antiqua" w:cs="宋体"/>
          <w:color w:val="000000"/>
          <w:sz w:val="24"/>
          <w:szCs w:val="24"/>
          <w:lang w:val="en-US" w:eastAsia="zh-CN"/>
        </w:rPr>
        <w:t>: 1123-1134 [PMID: 23562168 DOI: 10.1016/j.jvir.2013.01.494</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95 </w:t>
      </w:r>
      <w:r w:rsidRPr="00B93BE0">
        <w:rPr>
          <w:rFonts w:ascii="Book Antiqua" w:eastAsia="宋体" w:hAnsi="Book Antiqua" w:cs="宋体"/>
          <w:b/>
          <w:bCs/>
          <w:color w:val="000000"/>
          <w:sz w:val="24"/>
          <w:szCs w:val="24"/>
          <w:lang w:val="en-US" w:eastAsia="zh-CN"/>
        </w:rPr>
        <w:t>Facciorusso A</w:t>
      </w:r>
      <w:r w:rsidRPr="00B93BE0">
        <w:rPr>
          <w:rFonts w:ascii="Book Antiqua" w:eastAsia="宋体" w:hAnsi="Book Antiqua" w:cs="宋体"/>
          <w:color w:val="000000"/>
          <w:sz w:val="24"/>
          <w:szCs w:val="24"/>
          <w:lang w:val="en-US" w:eastAsia="zh-CN"/>
        </w:rPr>
        <w:t>, Licinio R, Carr BI, Di Leo A, Barone M. MEK 1/2 inhibitors in the treatment of hepatocellular carcinoma. </w:t>
      </w:r>
      <w:r w:rsidRPr="00B93BE0">
        <w:rPr>
          <w:rFonts w:ascii="Book Antiqua" w:eastAsia="宋体" w:hAnsi="Book Antiqua" w:cs="宋体"/>
          <w:i/>
          <w:iCs/>
          <w:color w:val="000000"/>
          <w:sz w:val="24"/>
          <w:szCs w:val="24"/>
          <w:lang w:val="en-US" w:eastAsia="zh-CN"/>
        </w:rPr>
        <w:t>Expert Rev Gastroenterol Hepatol</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9</w:t>
      </w:r>
      <w:r w:rsidRPr="00B93BE0">
        <w:rPr>
          <w:rFonts w:ascii="Book Antiqua" w:eastAsia="宋体" w:hAnsi="Book Antiqua" w:cs="宋体"/>
          <w:color w:val="000000"/>
          <w:sz w:val="24"/>
          <w:szCs w:val="24"/>
          <w:lang w:val="en-US" w:eastAsia="zh-CN"/>
        </w:rPr>
        <w:t>: 993-1003 [PMID: 25915713 DOI: 10.1586/17474124.2015.1040763</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96 </w:t>
      </w:r>
      <w:r w:rsidRPr="00B93BE0">
        <w:rPr>
          <w:rFonts w:ascii="Book Antiqua" w:eastAsia="宋体" w:hAnsi="Book Antiqua" w:cs="宋体"/>
          <w:b/>
          <w:bCs/>
          <w:color w:val="000000"/>
          <w:sz w:val="24"/>
          <w:szCs w:val="24"/>
          <w:lang w:val="en-US" w:eastAsia="zh-CN"/>
        </w:rPr>
        <w:t>Facciorusso A</w:t>
      </w:r>
      <w:r w:rsidRPr="00B93BE0">
        <w:rPr>
          <w:rFonts w:ascii="Book Antiqua" w:eastAsia="宋体" w:hAnsi="Book Antiqua" w:cs="宋体"/>
          <w:color w:val="000000"/>
          <w:sz w:val="24"/>
          <w:szCs w:val="24"/>
          <w:lang w:val="en-US" w:eastAsia="zh-CN"/>
        </w:rPr>
        <w:t>, Antonino M, Del Prete V, Neve V, Scavo MP, Barone M. Are hematopoietic stem cells involved in hepatocarcinogenesis? </w:t>
      </w:r>
      <w:r w:rsidRPr="00B93BE0">
        <w:rPr>
          <w:rFonts w:ascii="Book Antiqua" w:eastAsia="宋体" w:hAnsi="Book Antiqua" w:cs="宋体"/>
          <w:i/>
          <w:iCs/>
          <w:color w:val="000000"/>
          <w:sz w:val="24"/>
          <w:szCs w:val="24"/>
          <w:lang w:val="en-US" w:eastAsia="zh-CN"/>
        </w:rPr>
        <w:t>Hepatobiliary Surg Nutr</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3</w:t>
      </w:r>
      <w:r w:rsidRPr="00B93BE0">
        <w:rPr>
          <w:rFonts w:ascii="Book Antiqua" w:eastAsia="宋体" w:hAnsi="Book Antiqua" w:cs="宋体"/>
          <w:color w:val="000000"/>
          <w:sz w:val="24"/>
          <w:szCs w:val="24"/>
          <w:lang w:val="en-US" w:eastAsia="zh-CN"/>
        </w:rPr>
        <w:t>: 199-206 [PMID: 25202697 DOI: 10.3978/j.issn.2304-3881.2014.06.02</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97 </w:t>
      </w:r>
      <w:r w:rsidRPr="00B93BE0">
        <w:rPr>
          <w:rFonts w:ascii="Book Antiqua" w:eastAsia="宋体" w:hAnsi="Book Antiqua" w:cs="宋体"/>
          <w:b/>
          <w:bCs/>
          <w:color w:val="000000"/>
          <w:sz w:val="24"/>
          <w:szCs w:val="24"/>
          <w:lang w:val="en-US" w:eastAsia="zh-CN"/>
        </w:rPr>
        <w:t>Kudo M</w:t>
      </w:r>
      <w:r w:rsidRPr="00B93BE0">
        <w:rPr>
          <w:rFonts w:ascii="Book Antiqua" w:eastAsia="宋体" w:hAnsi="Book Antiqua" w:cs="宋体"/>
          <w:color w:val="000000"/>
          <w:sz w:val="24"/>
          <w:szCs w:val="24"/>
          <w:lang w:val="en-US" w:eastAsia="zh-CN"/>
        </w:rPr>
        <w:t>, Imanaka K, Chida N, Nakachi K, Tak WY, Takayama T, Yoon JH, Hori T, Kumada H, Hayashi N, Kaneko S, Tsubouchi H, Suh DJ, Furuse J, Okusaka T, Tanaka K, Matsui O, Wada M, Yamaguchi I, Ohya T, Meinhardt G, Okita K. Phase III study of sorafenib after transarterial chemoembolisation in Japanese and Korean patients with unresectable hepatocellular carcinoma. </w:t>
      </w:r>
      <w:r w:rsidRPr="00B93BE0">
        <w:rPr>
          <w:rFonts w:ascii="Book Antiqua" w:eastAsia="宋体" w:hAnsi="Book Antiqua" w:cs="宋体"/>
          <w:i/>
          <w:iCs/>
          <w:color w:val="000000"/>
          <w:sz w:val="24"/>
          <w:szCs w:val="24"/>
          <w:lang w:val="en-US" w:eastAsia="zh-CN"/>
        </w:rPr>
        <w:t>Eur J Cancer</w:t>
      </w:r>
      <w:r w:rsidRPr="00B93BE0">
        <w:rPr>
          <w:rFonts w:ascii="Book Antiqua" w:eastAsia="宋体" w:hAnsi="Book Antiqua" w:cs="宋体"/>
          <w:color w:val="000000"/>
          <w:sz w:val="24"/>
          <w:szCs w:val="24"/>
          <w:lang w:val="en-US" w:eastAsia="zh-CN"/>
        </w:rPr>
        <w:t> 2011; </w:t>
      </w:r>
      <w:r w:rsidRPr="00B93BE0">
        <w:rPr>
          <w:rFonts w:ascii="Book Antiqua" w:eastAsia="宋体" w:hAnsi="Book Antiqua" w:cs="宋体"/>
          <w:b/>
          <w:bCs/>
          <w:color w:val="000000"/>
          <w:sz w:val="24"/>
          <w:szCs w:val="24"/>
          <w:lang w:val="en-US" w:eastAsia="zh-CN"/>
        </w:rPr>
        <w:t>47</w:t>
      </w:r>
      <w:r w:rsidRPr="00B93BE0">
        <w:rPr>
          <w:rFonts w:ascii="Book Antiqua" w:eastAsia="宋体" w:hAnsi="Book Antiqua" w:cs="宋体"/>
          <w:color w:val="000000"/>
          <w:sz w:val="24"/>
          <w:szCs w:val="24"/>
          <w:lang w:val="en-US" w:eastAsia="zh-CN"/>
        </w:rPr>
        <w:t>: 2117-2127 [PMID: 21664811 DOI: 10.1016/j.ejca.2011.05.007</w:t>
      </w:r>
      <w:r>
        <w:rPr>
          <w:rFonts w:ascii="Book Antiqua" w:eastAsia="宋体" w:hAnsi="Book Antiqua" w:cs="宋体"/>
          <w:color w:val="000000"/>
          <w:sz w:val="24"/>
          <w:szCs w:val="24"/>
          <w:lang w:val="en-US" w:eastAsia="zh-CN"/>
        </w:rPr>
        <w:t>]</w:t>
      </w:r>
    </w:p>
    <w:p w:rsidR="00B93BE0" w:rsidRPr="00B93BE0" w:rsidRDefault="00773E67" w:rsidP="00B93BE0">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98</w:t>
      </w:r>
      <w:r w:rsidR="00B93BE0" w:rsidRPr="00773E67">
        <w:rPr>
          <w:rFonts w:ascii="Book Antiqua" w:eastAsia="宋体" w:hAnsi="Book Antiqua" w:cs="宋体"/>
          <w:b/>
          <w:color w:val="000000"/>
          <w:sz w:val="24"/>
          <w:szCs w:val="24"/>
          <w:lang w:val="en-US" w:eastAsia="zh-CN"/>
        </w:rPr>
        <w:t xml:space="preserve"> Lencioni R, </w:t>
      </w:r>
      <w:r w:rsidR="00B93BE0" w:rsidRPr="00B93BE0">
        <w:rPr>
          <w:rFonts w:ascii="Book Antiqua" w:eastAsia="宋体" w:hAnsi="Book Antiqua" w:cs="宋体"/>
          <w:color w:val="000000"/>
          <w:sz w:val="24"/>
          <w:szCs w:val="24"/>
          <w:lang w:val="en-US" w:eastAsia="zh-CN"/>
        </w:rPr>
        <w:t>Llovet JM, Han G, Tak WJ, Yang J, Leberre MA, Niu W, Nicholson K, Meinhardt G, Bruix J. Sorafenib or placebo in combination with transarterial chemoembolization (TACE) with doxorubicin-eluting beads (DEBDOX) for intermediate-stage hepatocellular carcinoma (HCC): Phase II, randomized, double-blind SPACE trial.</w:t>
      </w:r>
      <w:r w:rsidR="00B93BE0" w:rsidRPr="00773E67">
        <w:rPr>
          <w:rFonts w:ascii="Book Antiqua" w:eastAsia="宋体" w:hAnsi="Book Antiqua" w:cs="宋体"/>
          <w:i/>
          <w:color w:val="000000"/>
          <w:sz w:val="24"/>
          <w:szCs w:val="24"/>
          <w:lang w:val="en-US" w:eastAsia="zh-CN"/>
        </w:rPr>
        <w:t xml:space="preserve"> J Clin Oncol</w:t>
      </w:r>
      <w:r w:rsidR="00B93BE0" w:rsidRPr="00B93BE0">
        <w:rPr>
          <w:rFonts w:ascii="Book Antiqua" w:eastAsia="宋体" w:hAnsi="Book Antiqua" w:cs="宋体"/>
          <w:color w:val="000000"/>
          <w:sz w:val="24"/>
          <w:szCs w:val="24"/>
          <w:lang w:val="en-US" w:eastAsia="zh-CN"/>
        </w:rPr>
        <w:t xml:space="preserve"> 2012 (suppl 4; abstr LBA154^)</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99 </w:t>
      </w:r>
      <w:r w:rsidRPr="00B93BE0">
        <w:rPr>
          <w:rFonts w:ascii="Book Antiqua" w:eastAsia="宋体" w:hAnsi="Book Antiqua" w:cs="宋体"/>
          <w:b/>
          <w:bCs/>
          <w:color w:val="000000"/>
          <w:sz w:val="24"/>
          <w:szCs w:val="24"/>
          <w:lang w:val="en-US" w:eastAsia="zh-CN"/>
        </w:rPr>
        <w:t>Sansonno D</w:t>
      </w:r>
      <w:r w:rsidRPr="00B93BE0">
        <w:rPr>
          <w:rFonts w:ascii="Book Antiqua" w:eastAsia="宋体" w:hAnsi="Book Antiqua" w:cs="宋体"/>
          <w:color w:val="000000"/>
          <w:sz w:val="24"/>
          <w:szCs w:val="24"/>
          <w:lang w:val="en-US" w:eastAsia="zh-CN"/>
        </w:rPr>
        <w:t>, Lauletta G, Russi S, Conteduca V, Sansonno L, Dammacco F. Transarterial chemoembolization plus sorafenib: a sequential therapeutic scheme for HCV-related intermediate-stage hepatocellular carcinoma: a randomized clinical trial. </w:t>
      </w:r>
      <w:r w:rsidRPr="00B93BE0">
        <w:rPr>
          <w:rFonts w:ascii="Book Antiqua" w:eastAsia="宋体" w:hAnsi="Book Antiqua" w:cs="宋体"/>
          <w:i/>
          <w:iCs/>
          <w:color w:val="000000"/>
          <w:sz w:val="24"/>
          <w:szCs w:val="24"/>
          <w:lang w:val="en-US" w:eastAsia="zh-CN"/>
        </w:rPr>
        <w:t>Oncologist</w:t>
      </w:r>
      <w:r w:rsidRPr="00B93BE0">
        <w:rPr>
          <w:rFonts w:ascii="Book Antiqua" w:eastAsia="宋体" w:hAnsi="Book Antiqua" w:cs="宋体"/>
          <w:color w:val="000000"/>
          <w:sz w:val="24"/>
          <w:szCs w:val="24"/>
          <w:lang w:val="en-US" w:eastAsia="zh-CN"/>
        </w:rPr>
        <w:t> 2012; </w:t>
      </w:r>
      <w:r w:rsidRPr="00B93BE0">
        <w:rPr>
          <w:rFonts w:ascii="Book Antiqua" w:eastAsia="宋体" w:hAnsi="Book Antiqua" w:cs="宋体"/>
          <w:b/>
          <w:bCs/>
          <w:color w:val="000000"/>
          <w:sz w:val="24"/>
          <w:szCs w:val="24"/>
          <w:lang w:val="en-US" w:eastAsia="zh-CN"/>
        </w:rPr>
        <w:t>17</w:t>
      </w:r>
      <w:r w:rsidRPr="00B93BE0">
        <w:rPr>
          <w:rFonts w:ascii="Book Antiqua" w:eastAsia="宋体" w:hAnsi="Book Antiqua" w:cs="宋体"/>
          <w:color w:val="000000"/>
          <w:sz w:val="24"/>
          <w:szCs w:val="24"/>
          <w:lang w:val="en-US" w:eastAsia="zh-CN"/>
        </w:rPr>
        <w:t>: 359-366 [PMID: 22334456 DOI: 10.1634/theoncologist.2011-0313</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100 </w:t>
      </w:r>
      <w:r w:rsidRPr="00B93BE0">
        <w:rPr>
          <w:rFonts w:ascii="Book Antiqua" w:eastAsia="宋体" w:hAnsi="Book Antiqua" w:cs="宋体"/>
          <w:b/>
          <w:bCs/>
          <w:color w:val="000000"/>
          <w:sz w:val="24"/>
          <w:szCs w:val="24"/>
          <w:lang w:val="en-US" w:eastAsia="zh-CN"/>
        </w:rPr>
        <w:t>Erhardt A</w:t>
      </w:r>
      <w:r w:rsidRPr="00B93BE0">
        <w:rPr>
          <w:rFonts w:ascii="Book Antiqua" w:eastAsia="宋体" w:hAnsi="Book Antiqua" w:cs="宋体"/>
          <w:color w:val="000000"/>
          <w:sz w:val="24"/>
          <w:szCs w:val="24"/>
          <w:lang w:val="en-US" w:eastAsia="zh-CN"/>
        </w:rPr>
        <w:t xml:space="preserve">, Kolligs F, Dollinger M, Schott E, Wege H, Bitzer M, Gog C, Lammert F, Schuchmann M, Walter C, Blondin D, Ohmann C, Häussinger D. TACE plus sorafenib for the treatment of hepatocellular carcinoma: results of the multicenter, phase II SOCRATES </w:t>
      </w:r>
      <w:r w:rsidRPr="00B93BE0">
        <w:rPr>
          <w:rFonts w:ascii="Book Antiqua" w:eastAsia="宋体" w:hAnsi="Book Antiqua" w:cs="宋体"/>
          <w:color w:val="000000"/>
          <w:sz w:val="24"/>
          <w:szCs w:val="24"/>
          <w:lang w:val="en-US" w:eastAsia="zh-CN"/>
        </w:rPr>
        <w:lastRenderedPageBreak/>
        <w:t>trial. </w:t>
      </w:r>
      <w:r w:rsidRPr="00B93BE0">
        <w:rPr>
          <w:rFonts w:ascii="Book Antiqua" w:eastAsia="宋体" w:hAnsi="Book Antiqua" w:cs="宋体"/>
          <w:i/>
          <w:iCs/>
          <w:color w:val="000000"/>
          <w:sz w:val="24"/>
          <w:szCs w:val="24"/>
          <w:lang w:val="en-US" w:eastAsia="zh-CN"/>
        </w:rPr>
        <w:t>Cancer Chemother Pharmacol</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74</w:t>
      </w:r>
      <w:r w:rsidRPr="00B93BE0">
        <w:rPr>
          <w:rFonts w:ascii="Book Antiqua" w:eastAsia="宋体" w:hAnsi="Book Antiqua" w:cs="宋体"/>
          <w:color w:val="000000"/>
          <w:sz w:val="24"/>
          <w:szCs w:val="24"/>
          <w:lang w:val="en-US" w:eastAsia="zh-CN"/>
        </w:rPr>
        <w:t>: 947-954 [PMID: 25173458 DOI: 10.1007/s00280-014-2568-8</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101 </w:t>
      </w:r>
      <w:r w:rsidRPr="00B93BE0">
        <w:rPr>
          <w:rFonts w:ascii="Book Antiqua" w:eastAsia="宋体" w:hAnsi="Book Antiqua" w:cs="宋体"/>
          <w:b/>
          <w:bCs/>
          <w:color w:val="000000"/>
          <w:sz w:val="24"/>
          <w:szCs w:val="24"/>
          <w:lang w:val="en-US" w:eastAsia="zh-CN"/>
        </w:rPr>
        <w:t>Chao Y</w:t>
      </w:r>
      <w:r w:rsidRPr="00B93BE0">
        <w:rPr>
          <w:rFonts w:ascii="Book Antiqua" w:eastAsia="宋体" w:hAnsi="Book Antiqua" w:cs="宋体"/>
          <w:color w:val="000000"/>
          <w:sz w:val="24"/>
          <w:szCs w:val="24"/>
          <w:lang w:val="en-US" w:eastAsia="zh-CN"/>
        </w:rPr>
        <w:t>, Chung YH, Han G, Yoon JH, Yang J, Wang J, Shao GL, Kim BI, Lee TY. The combination of transcatheter arterial chemoembolization and sorafenib is well tolerated and effective in Asian patients with hepatocellular carcinoma: final results of the START trial. </w:t>
      </w:r>
      <w:r w:rsidRPr="00B93BE0">
        <w:rPr>
          <w:rFonts w:ascii="Book Antiqua" w:eastAsia="宋体" w:hAnsi="Book Antiqua" w:cs="宋体"/>
          <w:i/>
          <w:iCs/>
          <w:color w:val="000000"/>
          <w:sz w:val="24"/>
          <w:szCs w:val="24"/>
          <w:lang w:val="en-US" w:eastAsia="zh-CN"/>
        </w:rPr>
        <w:t>Int J Cancer</w:t>
      </w:r>
      <w:r w:rsidRPr="00B93BE0">
        <w:rPr>
          <w:rFonts w:ascii="Book Antiqua" w:eastAsia="宋体" w:hAnsi="Book Antiqua" w:cs="宋体"/>
          <w:color w:val="000000"/>
          <w:sz w:val="24"/>
          <w:szCs w:val="24"/>
          <w:lang w:val="en-US" w:eastAsia="zh-CN"/>
        </w:rPr>
        <w:t> 2015; </w:t>
      </w:r>
      <w:r w:rsidRPr="00B93BE0">
        <w:rPr>
          <w:rFonts w:ascii="Book Antiqua" w:eastAsia="宋体" w:hAnsi="Book Antiqua" w:cs="宋体"/>
          <w:b/>
          <w:bCs/>
          <w:color w:val="000000"/>
          <w:sz w:val="24"/>
          <w:szCs w:val="24"/>
          <w:lang w:val="en-US" w:eastAsia="zh-CN"/>
        </w:rPr>
        <w:t>136</w:t>
      </w:r>
      <w:r w:rsidRPr="00B93BE0">
        <w:rPr>
          <w:rFonts w:ascii="Book Antiqua" w:eastAsia="宋体" w:hAnsi="Book Antiqua" w:cs="宋体"/>
          <w:color w:val="000000"/>
          <w:sz w:val="24"/>
          <w:szCs w:val="24"/>
          <w:lang w:val="en-US" w:eastAsia="zh-CN"/>
        </w:rPr>
        <w:t>: 1458-1467 [PMID: 25099027 DOI: 10.1002/ijc.29126</w:t>
      </w:r>
      <w:r>
        <w:rPr>
          <w:rFonts w:ascii="Book Antiqua" w:eastAsia="宋体" w:hAnsi="Book Antiqua" w:cs="宋体"/>
          <w:color w:val="000000"/>
          <w:sz w:val="24"/>
          <w:szCs w:val="24"/>
          <w:lang w:val="en-US" w:eastAsia="zh-CN"/>
        </w:rPr>
        <w:t>]</w:t>
      </w:r>
    </w:p>
    <w:p w:rsidR="00B93BE0" w:rsidRPr="00B93BE0" w:rsidRDefault="00B93BE0" w:rsidP="00B93BE0">
      <w:pPr>
        <w:spacing w:after="0" w:line="360" w:lineRule="auto"/>
        <w:jc w:val="both"/>
        <w:rPr>
          <w:rFonts w:ascii="Book Antiqua" w:eastAsia="宋体" w:hAnsi="Book Antiqua" w:cs="宋体"/>
          <w:color w:val="000000"/>
          <w:sz w:val="24"/>
          <w:szCs w:val="24"/>
          <w:lang w:val="en-US" w:eastAsia="zh-CN"/>
        </w:rPr>
      </w:pPr>
      <w:r w:rsidRPr="00B93BE0">
        <w:rPr>
          <w:rFonts w:ascii="Book Antiqua" w:eastAsia="宋体" w:hAnsi="Book Antiqua" w:cs="宋体"/>
          <w:color w:val="000000"/>
          <w:sz w:val="24"/>
          <w:szCs w:val="24"/>
          <w:lang w:val="en-US" w:eastAsia="zh-CN"/>
        </w:rPr>
        <w:t>102 </w:t>
      </w:r>
      <w:r w:rsidRPr="00B93BE0">
        <w:rPr>
          <w:rFonts w:ascii="Book Antiqua" w:eastAsia="宋体" w:hAnsi="Book Antiqua" w:cs="宋体"/>
          <w:b/>
          <w:bCs/>
          <w:color w:val="000000"/>
          <w:sz w:val="24"/>
          <w:szCs w:val="24"/>
          <w:lang w:val="en-US" w:eastAsia="zh-CN"/>
        </w:rPr>
        <w:t>Zhang L</w:t>
      </w:r>
      <w:r w:rsidRPr="00B93BE0">
        <w:rPr>
          <w:rFonts w:ascii="Book Antiqua" w:eastAsia="宋体" w:hAnsi="Book Antiqua" w:cs="宋体"/>
          <w:color w:val="000000"/>
          <w:sz w:val="24"/>
          <w:szCs w:val="24"/>
          <w:lang w:val="en-US" w:eastAsia="zh-CN"/>
        </w:rPr>
        <w:t>, Hu P, Chen X, Bie P. Transarterial chemoembolization (TACE) plus sorafenib versus TACE for intermediate or advanced stage hepatocellular carcinoma: a meta-analysis. </w:t>
      </w:r>
      <w:r w:rsidRPr="00B93BE0">
        <w:rPr>
          <w:rFonts w:ascii="Book Antiqua" w:eastAsia="宋体" w:hAnsi="Book Antiqua" w:cs="宋体"/>
          <w:i/>
          <w:iCs/>
          <w:color w:val="000000"/>
          <w:sz w:val="24"/>
          <w:szCs w:val="24"/>
          <w:lang w:val="en-US" w:eastAsia="zh-CN"/>
        </w:rPr>
        <w:t>PLoS One</w:t>
      </w:r>
      <w:r w:rsidRPr="00B93BE0">
        <w:rPr>
          <w:rFonts w:ascii="Book Antiqua" w:eastAsia="宋体" w:hAnsi="Book Antiqua" w:cs="宋体"/>
          <w:color w:val="000000"/>
          <w:sz w:val="24"/>
          <w:szCs w:val="24"/>
          <w:lang w:val="en-US" w:eastAsia="zh-CN"/>
        </w:rPr>
        <w:t> 2014; </w:t>
      </w:r>
      <w:r w:rsidRPr="00B93BE0">
        <w:rPr>
          <w:rFonts w:ascii="Book Antiqua" w:eastAsia="宋体" w:hAnsi="Book Antiqua" w:cs="宋体"/>
          <w:b/>
          <w:bCs/>
          <w:color w:val="000000"/>
          <w:sz w:val="24"/>
          <w:szCs w:val="24"/>
          <w:lang w:val="en-US" w:eastAsia="zh-CN"/>
        </w:rPr>
        <w:t>9</w:t>
      </w:r>
      <w:r w:rsidRPr="00B93BE0">
        <w:rPr>
          <w:rFonts w:ascii="Book Antiqua" w:eastAsia="宋体" w:hAnsi="Book Antiqua" w:cs="宋体"/>
          <w:color w:val="000000"/>
          <w:sz w:val="24"/>
          <w:szCs w:val="24"/>
          <w:lang w:val="en-US" w:eastAsia="zh-CN"/>
        </w:rPr>
        <w:t>: e100305 [PMID: 24945380 DOI: 10.1371/journal.pone.0100305</w:t>
      </w:r>
      <w:r>
        <w:rPr>
          <w:rFonts w:ascii="Book Antiqua" w:eastAsia="宋体" w:hAnsi="Book Antiqua" w:cs="宋体"/>
          <w:color w:val="000000"/>
          <w:sz w:val="24"/>
          <w:szCs w:val="24"/>
          <w:lang w:val="en-US" w:eastAsia="zh-CN"/>
        </w:rPr>
        <w:t>]</w:t>
      </w:r>
    </w:p>
    <w:p w:rsidR="0093586C" w:rsidRPr="00773E67" w:rsidRDefault="0093586C" w:rsidP="00B93BE0">
      <w:pPr>
        <w:spacing w:after="0" w:line="360" w:lineRule="auto"/>
        <w:jc w:val="both"/>
        <w:rPr>
          <w:rFonts w:ascii="Book Antiqua" w:hAnsi="Book Antiqua"/>
          <w:b/>
          <w:sz w:val="24"/>
          <w:szCs w:val="24"/>
          <w:lang w:val="en-US" w:eastAsia="zh-CN"/>
        </w:rPr>
      </w:pPr>
    </w:p>
    <w:p w:rsidR="00773E67" w:rsidRPr="00773E67" w:rsidRDefault="00773E67" w:rsidP="00773E67">
      <w:pPr>
        <w:wordWrap w:val="0"/>
        <w:spacing w:after="0" w:line="360" w:lineRule="auto"/>
        <w:jc w:val="right"/>
        <w:rPr>
          <w:rFonts w:ascii="Book Antiqua" w:hAnsi="Book Antiqua"/>
          <w:b/>
          <w:sz w:val="24"/>
          <w:szCs w:val="24"/>
        </w:rPr>
      </w:pPr>
      <w:r w:rsidRPr="00773E67">
        <w:rPr>
          <w:rFonts w:ascii="Book Antiqua" w:hAnsi="Book Antiqua"/>
          <w:b/>
          <w:sz w:val="24"/>
          <w:szCs w:val="24"/>
        </w:rPr>
        <w:t>P- Reviewer:</w:t>
      </w:r>
      <w:r w:rsidRPr="00773E67">
        <w:rPr>
          <w:rFonts w:ascii="Book Antiqua" w:eastAsia="宋体" w:hAnsi="Book Antiqua"/>
          <w:b/>
          <w:sz w:val="24"/>
          <w:szCs w:val="24"/>
          <w:lang w:eastAsia="zh-CN"/>
        </w:rPr>
        <w:t xml:space="preserve"> </w:t>
      </w:r>
      <w:r w:rsidRPr="00773E67">
        <w:rPr>
          <w:rFonts w:ascii="Book Antiqua" w:eastAsia="宋体" w:hAnsi="Book Antiqua" w:hint="eastAsia"/>
          <w:sz w:val="24"/>
          <w:szCs w:val="24"/>
          <w:lang w:eastAsia="zh-CN"/>
        </w:rPr>
        <w:t>Qin JM</w:t>
      </w:r>
      <w:r>
        <w:rPr>
          <w:rFonts w:ascii="Book Antiqua" w:eastAsia="宋体" w:hAnsi="Book Antiqua" w:hint="eastAsia"/>
          <w:b/>
          <w:sz w:val="24"/>
          <w:szCs w:val="24"/>
          <w:lang w:eastAsia="zh-CN"/>
        </w:rPr>
        <w:t xml:space="preserve"> </w:t>
      </w:r>
      <w:r w:rsidRPr="00773E67">
        <w:rPr>
          <w:rFonts w:ascii="Book Antiqua" w:hAnsi="Book Antiqua"/>
          <w:b/>
          <w:sz w:val="24"/>
          <w:szCs w:val="24"/>
        </w:rPr>
        <w:t>S- Editor:</w:t>
      </w:r>
      <w:r w:rsidRPr="00773E67">
        <w:rPr>
          <w:rFonts w:ascii="Book Antiqua" w:hAnsi="Book Antiqua"/>
          <w:sz w:val="24"/>
          <w:szCs w:val="24"/>
        </w:rPr>
        <w:t xml:space="preserve"> </w:t>
      </w:r>
      <w:r>
        <w:rPr>
          <w:rFonts w:ascii="Book Antiqua" w:hAnsi="Book Antiqua" w:hint="eastAsia"/>
          <w:sz w:val="24"/>
          <w:szCs w:val="24"/>
          <w:lang w:eastAsia="zh-CN"/>
        </w:rPr>
        <w:t xml:space="preserve">Song XX </w:t>
      </w:r>
      <w:r w:rsidRPr="00773E67">
        <w:rPr>
          <w:rFonts w:ascii="Book Antiqua" w:hAnsi="Book Antiqua"/>
          <w:b/>
          <w:sz w:val="24"/>
          <w:szCs w:val="24"/>
        </w:rPr>
        <w:t>L- Editor:</w:t>
      </w:r>
      <w:r w:rsidRPr="00773E67">
        <w:rPr>
          <w:rFonts w:ascii="Book Antiqua" w:hAnsi="Book Antiqua"/>
          <w:sz w:val="24"/>
          <w:szCs w:val="24"/>
        </w:rPr>
        <w:t xml:space="preserve"> </w:t>
      </w:r>
      <w:r w:rsidRPr="00773E67">
        <w:rPr>
          <w:rFonts w:ascii="Book Antiqua" w:hAnsi="Book Antiqua"/>
          <w:b/>
          <w:sz w:val="24"/>
          <w:szCs w:val="24"/>
        </w:rPr>
        <w:t>E- Editor:</w:t>
      </w:r>
    </w:p>
    <w:p w:rsidR="0093586C" w:rsidRPr="00773E67" w:rsidRDefault="0093586C" w:rsidP="00E14F98">
      <w:pPr>
        <w:spacing w:after="0" w:line="360" w:lineRule="auto"/>
        <w:jc w:val="both"/>
        <w:rPr>
          <w:rFonts w:ascii="Book Antiqua" w:hAnsi="Book Antiqua"/>
          <w:b/>
          <w:sz w:val="24"/>
          <w:szCs w:val="24"/>
          <w:lang w:eastAsia="zh-CN"/>
        </w:rPr>
      </w:pPr>
    </w:p>
    <w:p w:rsidR="0093586C" w:rsidRPr="00773E67" w:rsidRDefault="0093586C" w:rsidP="00E14F98">
      <w:pPr>
        <w:spacing w:after="0" w:line="360" w:lineRule="auto"/>
        <w:jc w:val="both"/>
        <w:rPr>
          <w:rFonts w:ascii="Book Antiqua" w:hAnsi="Book Antiqua"/>
          <w:b/>
          <w:sz w:val="24"/>
          <w:szCs w:val="24"/>
          <w:lang w:val="en-US" w:eastAsia="zh-CN"/>
        </w:rPr>
      </w:pPr>
    </w:p>
    <w:p w:rsidR="0093586C" w:rsidRPr="00773E67" w:rsidRDefault="0093586C" w:rsidP="00E14F98">
      <w:pPr>
        <w:spacing w:after="0" w:line="360" w:lineRule="auto"/>
        <w:jc w:val="both"/>
        <w:rPr>
          <w:rFonts w:ascii="Book Antiqua" w:hAnsi="Book Antiqua"/>
          <w:b/>
          <w:sz w:val="24"/>
          <w:szCs w:val="24"/>
          <w:lang w:val="en-US" w:eastAsia="zh-CN"/>
        </w:rPr>
      </w:pPr>
    </w:p>
    <w:p w:rsidR="0093586C" w:rsidRPr="00773E67" w:rsidRDefault="0093586C" w:rsidP="00E14F98">
      <w:pPr>
        <w:spacing w:after="0" w:line="360" w:lineRule="auto"/>
        <w:jc w:val="both"/>
        <w:rPr>
          <w:rFonts w:ascii="Book Antiqua" w:hAnsi="Book Antiqua"/>
          <w:b/>
          <w:sz w:val="24"/>
          <w:szCs w:val="24"/>
          <w:lang w:val="en-US" w:eastAsia="zh-CN"/>
        </w:rPr>
      </w:pPr>
    </w:p>
    <w:p w:rsidR="0093586C" w:rsidRPr="00E14F98" w:rsidRDefault="0093586C" w:rsidP="00E14F98">
      <w:pPr>
        <w:spacing w:after="0" w:line="360" w:lineRule="auto"/>
        <w:jc w:val="both"/>
        <w:rPr>
          <w:rFonts w:ascii="Book Antiqua" w:hAnsi="Book Antiqua"/>
          <w:b/>
          <w:sz w:val="24"/>
          <w:szCs w:val="24"/>
          <w:lang w:val="en-US" w:eastAsia="zh-CN"/>
        </w:rPr>
      </w:pPr>
    </w:p>
    <w:p w:rsidR="00FA7A41" w:rsidRDefault="00FA7A41"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Pr="00E14F98" w:rsidRDefault="0093586C" w:rsidP="00E14F98">
      <w:pPr>
        <w:spacing w:after="0" w:line="360" w:lineRule="auto"/>
        <w:jc w:val="both"/>
        <w:rPr>
          <w:rFonts w:ascii="Book Antiqua" w:hAnsi="Book Antiqua"/>
          <w:sz w:val="24"/>
          <w:szCs w:val="24"/>
          <w:lang w:val="en-US" w:eastAsia="zh-CN"/>
        </w:rPr>
      </w:pPr>
    </w:p>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773E67" w:rsidRPr="00E14F98" w:rsidRDefault="00773E67" w:rsidP="00773E67">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Table 1</w:t>
      </w:r>
      <w:r>
        <w:rPr>
          <w:rFonts w:ascii="Book Antiqua" w:hAnsi="Book Antiqua" w:cs="Times New Roman" w:hint="eastAsia"/>
          <w:b/>
          <w:sz w:val="24"/>
          <w:szCs w:val="24"/>
          <w:lang w:val="en-US" w:eastAsia="zh-CN"/>
        </w:rPr>
        <w:t xml:space="preserve"> </w:t>
      </w:r>
      <w:r w:rsidRPr="0093586C">
        <w:rPr>
          <w:rFonts w:ascii="Book Antiqua" w:hAnsi="Book Antiqua" w:cs="Times New Roman"/>
          <w:b/>
          <w:sz w:val="24"/>
          <w:szCs w:val="24"/>
          <w:lang w:val="en-US"/>
        </w:rPr>
        <w:t>Absolute and relative contraindications to transarterial chemoembolization</w:t>
      </w:r>
    </w:p>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0669E6" w:rsidRDefault="000669E6" w:rsidP="00E14F98">
      <w:pPr>
        <w:spacing w:after="0" w:line="360" w:lineRule="auto"/>
        <w:jc w:val="both"/>
        <w:rPr>
          <w:rFonts w:ascii="Book Antiqua" w:hAnsi="Book Antiqua"/>
          <w:sz w:val="24"/>
          <w:szCs w:val="24"/>
          <w:lang w:val="en-US" w:eastAsia="zh-CN"/>
        </w:rPr>
      </w:pPr>
    </w:p>
    <w:p w:rsidR="0093586C" w:rsidRDefault="0093586C" w:rsidP="00E14F98">
      <w:pPr>
        <w:spacing w:after="0" w:line="360" w:lineRule="auto"/>
        <w:jc w:val="both"/>
        <w:rPr>
          <w:rFonts w:ascii="Book Antiqua" w:hAnsi="Book Antiqua"/>
          <w:sz w:val="24"/>
          <w:szCs w:val="24"/>
          <w:lang w:val="en-US" w:eastAsia="zh-CN"/>
        </w:rPr>
      </w:pPr>
    </w:p>
    <w:p w:rsidR="0093586C" w:rsidRPr="00E14F98" w:rsidRDefault="0093586C" w:rsidP="00E14F98">
      <w:pPr>
        <w:spacing w:after="0" w:line="360" w:lineRule="auto"/>
        <w:jc w:val="both"/>
        <w:rPr>
          <w:rFonts w:ascii="Book Antiqua" w:hAnsi="Book Antiqua"/>
          <w:sz w:val="24"/>
          <w:szCs w:val="24"/>
          <w:lang w:val="en-US" w:eastAsia="zh-CN"/>
        </w:rPr>
      </w:pPr>
    </w:p>
    <w:p w:rsidR="000669E6" w:rsidRPr="00E14F98" w:rsidRDefault="000669E6" w:rsidP="00E14F98">
      <w:pPr>
        <w:spacing w:after="0" w:line="360" w:lineRule="auto"/>
        <w:jc w:val="both"/>
        <w:rPr>
          <w:rFonts w:ascii="Book Antiqua" w:hAnsi="Book Antiqua"/>
          <w:sz w:val="24"/>
          <w:szCs w:val="24"/>
          <w:lang w:val="en-US"/>
        </w:rPr>
      </w:pPr>
    </w:p>
    <w:tbl>
      <w:tblPr>
        <w:tblStyle w:val="TableGrid"/>
        <w:tblpPr w:leftFromText="141" w:rightFromText="141" w:vertAnchor="page" w:horzAnchor="margin" w:tblpY="2521"/>
        <w:tblW w:w="0" w:type="auto"/>
        <w:tblLook w:val="04A0" w:firstRow="1" w:lastRow="0" w:firstColumn="1" w:lastColumn="0" w:noHBand="0" w:noVBand="1"/>
      </w:tblPr>
      <w:tblGrid>
        <w:gridCol w:w="9778"/>
      </w:tblGrid>
      <w:tr w:rsidR="000669E6" w:rsidRPr="00E14F98" w:rsidTr="000669E6">
        <w:tc>
          <w:tcPr>
            <w:tcW w:w="9778" w:type="dxa"/>
          </w:tcPr>
          <w:p w:rsidR="000669E6" w:rsidRPr="00E14F98" w:rsidRDefault="000669E6" w:rsidP="00E14F98">
            <w:pPr>
              <w:spacing w:line="360" w:lineRule="auto"/>
              <w:jc w:val="both"/>
              <w:rPr>
                <w:rFonts w:ascii="Book Antiqua" w:hAnsi="Book Antiqua" w:cs="Times New Roman"/>
                <w:sz w:val="24"/>
                <w:szCs w:val="24"/>
              </w:rPr>
            </w:pPr>
            <w:r w:rsidRPr="00E14F98">
              <w:rPr>
                <w:rFonts w:ascii="Book Antiqua" w:hAnsi="Book Antiqua" w:cs="Times New Roman"/>
                <w:sz w:val="24"/>
                <w:szCs w:val="24"/>
              </w:rPr>
              <w:t>Absolute contraindications</w:t>
            </w:r>
          </w:p>
        </w:tc>
      </w:tr>
      <w:tr w:rsidR="000669E6" w:rsidRPr="00E14F98" w:rsidTr="000669E6">
        <w:tc>
          <w:tcPr>
            <w:tcW w:w="9778" w:type="dxa"/>
          </w:tcPr>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Decompensated cirrhosis (Child-Pugh ≥ B8)</w:t>
            </w:r>
          </w:p>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Extensive tumor with massive replacement of both entire lobes</w:t>
            </w:r>
          </w:p>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Severely reduced portal vein flow</w:t>
            </w:r>
          </w:p>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 xml:space="preserve">Technical impediments to hepatic intra-arterial treatment </w:t>
            </w:r>
          </w:p>
        </w:tc>
      </w:tr>
      <w:tr w:rsidR="000669E6" w:rsidRPr="00E14F98" w:rsidTr="000669E6">
        <w:tc>
          <w:tcPr>
            <w:tcW w:w="9778" w:type="dxa"/>
          </w:tcPr>
          <w:p w:rsidR="000669E6" w:rsidRPr="00E14F98" w:rsidRDefault="000669E6"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Relative contraindications</w:t>
            </w:r>
          </w:p>
        </w:tc>
      </w:tr>
      <w:tr w:rsidR="000669E6" w:rsidRPr="00E14F98" w:rsidTr="000669E6">
        <w:tc>
          <w:tcPr>
            <w:tcW w:w="9778" w:type="dxa"/>
          </w:tcPr>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 xml:space="preserve">Kidney failure </w:t>
            </w:r>
          </w:p>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Severe cardiopulmonary comorbidities</w:t>
            </w:r>
          </w:p>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Tumor size ≥ 10 cm</w:t>
            </w:r>
          </w:p>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t>Untreated varices at high risk of bleeding</w:t>
            </w:r>
          </w:p>
          <w:p w:rsidR="000669E6" w:rsidRPr="00E14F98" w:rsidRDefault="000669E6" w:rsidP="0093586C">
            <w:pPr>
              <w:pStyle w:val="ListParagraph"/>
              <w:spacing w:line="360" w:lineRule="auto"/>
              <w:ind w:left="0" w:firstLineChars="50" w:firstLine="120"/>
              <w:jc w:val="both"/>
              <w:rPr>
                <w:rFonts w:ascii="Book Antiqua" w:hAnsi="Book Antiqua" w:cs="Times New Roman"/>
                <w:sz w:val="24"/>
                <w:szCs w:val="24"/>
                <w:lang w:val="en-US"/>
              </w:rPr>
            </w:pPr>
            <w:r w:rsidRPr="00E14F98">
              <w:rPr>
                <w:rFonts w:ascii="Book Antiqua" w:hAnsi="Book Antiqua" w:cs="Times New Roman"/>
                <w:sz w:val="24"/>
                <w:szCs w:val="24"/>
                <w:lang w:val="en-US"/>
              </w:rPr>
              <w:lastRenderedPageBreak/>
              <w:t xml:space="preserve">Bile-duct occlusion </w:t>
            </w:r>
          </w:p>
        </w:tc>
      </w:tr>
    </w:tbl>
    <w:p w:rsidR="000669E6" w:rsidRPr="00E14F98" w:rsidRDefault="000669E6" w:rsidP="00E14F98">
      <w:pPr>
        <w:spacing w:after="0" w:line="360" w:lineRule="auto"/>
        <w:jc w:val="both"/>
        <w:rPr>
          <w:rFonts w:ascii="Book Antiqua" w:hAnsi="Book Antiqua"/>
          <w:sz w:val="24"/>
          <w:szCs w:val="24"/>
          <w:lang w:val="en-US"/>
        </w:rPr>
      </w:pPr>
    </w:p>
    <w:p w:rsidR="000669E6" w:rsidRPr="00E14F98" w:rsidRDefault="000669E6"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A34BDB" w:rsidP="00E14F98">
      <w:pPr>
        <w:spacing w:after="0" w:line="360" w:lineRule="auto"/>
        <w:jc w:val="both"/>
        <w:rPr>
          <w:rFonts w:ascii="Book Antiqua" w:hAnsi="Book Antiqua"/>
          <w:sz w:val="24"/>
          <w:szCs w:val="24"/>
          <w:lang w:val="en-US"/>
        </w:rPr>
      </w:pPr>
    </w:p>
    <w:p w:rsidR="00A34BDB" w:rsidRPr="00E14F98" w:rsidRDefault="0093586C" w:rsidP="00E14F98">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Table 2</w:t>
      </w:r>
      <w:r w:rsidR="00A34BDB" w:rsidRPr="00E14F98">
        <w:rPr>
          <w:rFonts w:ascii="Book Antiqua" w:hAnsi="Book Antiqua" w:cs="Times New Roman"/>
          <w:b/>
          <w:sz w:val="24"/>
          <w:szCs w:val="24"/>
          <w:lang w:val="en-US"/>
        </w:rPr>
        <w:t xml:space="preserve"> </w:t>
      </w:r>
      <w:r w:rsidR="00A34BDB" w:rsidRPr="0093586C">
        <w:rPr>
          <w:rFonts w:ascii="Book Antiqua" w:hAnsi="Book Antiqua" w:cs="Times New Roman"/>
          <w:b/>
          <w:sz w:val="24"/>
          <w:szCs w:val="24"/>
          <w:lang w:val="en-US"/>
        </w:rPr>
        <w:t>Proposed scoring systems for hepatocellular carcinoma patients undergoing transarterial chemoembolization</w:t>
      </w:r>
    </w:p>
    <w:p w:rsidR="00A34BDB" w:rsidRPr="00E14F98" w:rsidRDefault="00A34BDB" w:rsidP="00E14F98">
      <w:pPr>
        <w:spacing w:after="0" w:line="360" w:lineRule="auto"/>
        <w:jc w:val="both"/>
        <w:rPr>
          <w:rFonts w:ascii="Book Antiqua" w:hAnsi="Book Antiqua" w:cs="Times New Roman"/>
          <w:sz w:val="24"/>
          <w:szCs w:val="24"/>
          <w:lang w:val="en-US"/>
        </w:rPr>
      </w:pPr>
    </w:p>
    <w:tbl>
      <w:tblPr>
        <w:tblStyle w:val="TableGrid"/>
        <w:tblW w:w="11199" w:type="dxa"/>
        <w:tblInd w:w="-601" w:type="dxa"/>
        <w:tblLook w:val="04A0" w:firstRow="1" w:lastRow="0" w:firstColumn="1" w:lastColumn="0" w:noHBand="0" w:noVBand="1"/>
      </w:tblPr>
      <w:tblGrid>
        <w:gridCol w:w="1843"/>
        <w:gridCol w:w="6804"/>
        <w:gridCol w:w="2552"/>
      </w:tblGrid>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b/>
                <w:sz w:val="24"/>
                <w:szCs w:val="24"/>
                <w:lang w:val="en-US"/>
              </w:rPr>
            </w:pPr>
            <w:r w:rsidRPr="00E14F98">
              <w:rPr>
                <w:rFonts w:ascii="Book Antiqua" w:hAnsi="Book Antiqua" w:cs="Times New Roman"/>
                <w:b/>
                <w:sz w:val="24"/>
                <w:szCs w:val="24"/>
                <w:lang w:val="en-US"/>
              </w:rPr>
              <w:t>Score</w:t>
            </w:r>
          </w:p>
        </w:tc>
        <w:tc>
          <w:tcPr>
            <w:tcW w:w="6804" w:type="dxa"/>
          </w:tcPr>
          <w:p w:rsidR="00A34BDB" w:rsidRPr="00E14F98" w:rsidRDefault="00A34BDB" w:rsidP="00E14F98">
            <w:pPr>
              <w:spacing w:line="360" w:lineRule="auto"/>
              <w:jc w:val="both"/>
              <w:rPr>
                <w:rFonts w:ascii="Book Antiqua" w:hAnsi="Book Antiqua" w:cs="Times New Roman"/>
                <w:b/>
                <w:sz w:val="24"/>
                <w:szCs w:val="24"/>
                <w:lang w:val="en-US"/>
              </w:rPr>
            </w:pPr>
            <w:r w:rsidRPr="00E14F98">
              <w:rPr>
                <w:rFonts w:ascii="Book Antiqua" w:hAnsi="Book Antiqua" w:cs="Times New Roman"/>
                <w:b/>
                <w:sz w:val="24"/>
                <w:szCs w:val="24"/>
                <w:lang w:val="en-US"/>
              </w:rPr>
              <w:t>Variables considered</w:t>
            </w:r>
          </w:p>
        </w:tc>
        <w:tc>
          <w:tcPr>
            <w:tcW w:w="2552" w:type="dxa"/>
          </w:tcPr>
          <w:p w:rsidR="00A34BDB" w:rsidRPr="00E14F98" w:rsidRDefault="00A34BDB" w:rsidP="00E14F98">
            <w:pPr>
              <w:spacing w:line="360" w:lineRule="auto"/>
              <w:jc w:val="both"/>
              <w:rPr>
                <w:rFonts w:ascii="Book Antiqua" w:hAnsi="Book Antiqua" w:cs="Times New Roman"/>
                <w:b/>
                <w:sz w:val="24"/>
                <w:szCs w:val="24"/>
                <w:lang w:val="en-US"/>
              </w:rPr>
            </w:pPr>
            <w:r w:rsidRPr="00E14F98">
              <w:rPr>
                <w:rFonts w:ascii="Book Antiqua" w:hAnsi="Book Antiqua" w:cs="Times New Roman"/>
                <w:b/>
                <w:sz w:val="24"/>
                <w:szCs w:val="24"/>
                <w:lang w:val="en-US"/>
              </w:rPr>
              <w:t>Aim</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Lladò</w:t>
            </w:r>
            <w:r w:rsidRPr="00E14F98">
              <w:rPr>
                <w:rFonts w:ascii="Book Antiqua" w:hAnsi="Book Antiqua" w:cs="Times New Roman"/>
                <w:sz w:val="24"/>
                <w:szCs w:val="24"/>
                <w:vertAlign w:val="superscript"/>
                <w:lang w:val="en-US"/>
              </w:rPr>
              <w:t>[15]</w:t>
            </w:r>
          </w:p>
        </w:tc>
        <w:tc>
          <w:tcPr>
            <w:tcW w:w="6804"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AFP (&gt;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400 UI/L), tumor size (&gt;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50%) and CP score</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selection</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Kadalayil</w:t>
            </w:r>
            <w:r w:rsidRPr="00E14F98">
              <w:rPr>
                <w:rFonts w:ascii="Book Antiqua" w:hAnsi="Book Antiqua" w:cs="Times New Roman"/>
                <w:sz w:val="24"/>
                <w:szCs w:val="24"/>
                <w:vertAlign w:val="superscript"/>
                <w:lang w:val="en-US"/>
              </w:rPr>
              <w:t>[16]</w:t>
            </w:r>
          </w:p>
        </w:tc>
        <w:tc>
          <w:tcPr>
            <w:tcW w:w="6804" w:type="dxa"/>
          </w:tcPr>
          <w:p w:rsidR="00A34BDB" w:rsidRPr="00E14F98" w:rsidRDefault="00A34BDB" w:rsidP="00B93BE0">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Albumin &lt;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3.6 g/L, bilirubin &gt;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17 μmol/</w:t>
            </w:r>
            <w:r w:rsidR="00B93BE0">
              <w:rPr>
                <w:rFonts w:ascii="Book Antiqua" w:hAnsi="Book Antiqua" w:cs="Times New Roman" w:hint="eastAsia"/>
                <w:sz w:val="24"/>
                <w:szCs w:val="24"/>
                <w:lang w:val="en-US" w:eastAsia="zh-CN"/>
              </w:rPr>
              <w:t>L</w:t>
            </w:r>
            <w:r w:rsidRPr="00E14F98">
              <w:rPr>
                <w:rFonts w:ascii="Book Antiqua" w:hAnsi="Book Antiqua" w:cs="Times New Roman"/>
                <w:sz w:val="24"/>
                <w:szCs w:val="24"/>
                <w:lang w:val="en-US"/>
              </w:rPr>
              <w:t>, AFP &gt;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400 ng/m</w:t>
            </w:r>
            <w:r w:rsidR="00B93BE0">
              <w:rPr>
                <w:rFonts w:ascii="Book Antiqua" w:hAnsi="Book Antiqua" w:cs="Times New Roman" w:hint="eastAsia"/>
                <w:sz w:val="24"/>
                <w:szCs w:val="24"/>
                <w:lang w:val="en-US" w:eastAsia="zh-CN"/>
              </w:rPr>
              <w:t xml:space="preserve">L </w:t>
            </w:r>
            <w:r w:rsidRPr="00E14F98">
              <w:rPr>
                <w:rFonts w:ascii="Book Antiqua" w:hAnsi="Book Antiqua" w:cs="Times New Roman"/>
                <w:sz w:val="24"/>
                <w:szCs w:val="24"/>
                <w:lang w:val="en-US"/>
              </w:rPr>
              <w:t>and dominant tumor size &gt;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7 cm</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selection</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Sieghart</w:t>
            </w:r>
            <w:r w:rsidRPr="00E14F98">
              <w:rPr>
                <w:rFonts w:ascii="Book Antiqua" w:hAnsi="Book Antiqua" w:cs="Times New Roman"/>
                <w:sz w:val="24"/>
                <w:szCs w:val="24"/>
                <w:vertAlign w:val="superscript"/>
                <w:lang w:val="en-US"/>
              </w:rPr>
              <w:t>[17]</w:t>
            </w:r>
          </w:p>
        </w:tc>
        <w:tc>
          <w:tcPr>
            <w:tcW w:w="6804"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Increase of AST by &gt;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 xml:space="preserve">25% and of CP score from baseline, tumor response </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repetition</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Adhoute</w:t>
            </w:r>
            <w:r w:rsidRPr="00E14F98">
              <w:rPr>
                <w:rFonts w:ascii="Book Antiqua" w:hAnsi="Book Antiqua" w:cs="Times New Roman"/>
                <w:sz w:val="24"/>
                <w:szCs w:val="24"/>
                <w:vertAlign w:val="superscript"/>
                <w:lang w:val="en-US"/>
              </w:rPr>
              <w:t>[18]</w:t>
            </w:r>
          </w:p>
        </w:tc>
        <w:tc>
          <w:tcPr>
            <w:tcW w:w="6804" w:type="dxa"/>
          </w:tcPr>
          <w:p w:rsidR="00A34BDB" w:rsidRPr="00E14F98" w:rsidRDefault="00A34BDB" w:rsidP="00B93BE0">
            <w:pPr>
              <w:spacing w:line="360" w:lineRule="auto"/>
              <w:jc w:val="both"/>
              <w:rPr>
                <w:rFonts w:ascii="Book Antiqua" w:hAnsi="Book Antiqua" w:cs="Times New Roman"/>
                <w:sz w:val="24"/>
                <w:szCs w:val="24"/>
                <w:lang w:val="en-US" w:eastAsia="zh-CN"/>
              </w:rPr>
            </w:pPr>
            <w:r w:rsidRPr="00E14F98">
              <w:rPr>
                <w:rFonts w:ascii="Book Antiqua" w:hAnsi="Book Antiqua" w:cs="Times New Roman"/>
                <w:sz w:val="24"/>
                <w:szCs w:val="24"/>
                <w:lang w:val="en-US"/>
              </w:rPr>
              <w:t>BCLC, AFP (&gt;</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200</w:t>
            </w:r>
            <w:r w:rsidR="00B93BE0">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ng/m</w:t>
            </w:r>
            <w:r w:rsidR="00B93BE0">
              <w:rPr>
                <w:rFonts w:ascii="Book Antiqua" w:hAnsi="Book Antiqua" w:cs="Times New Roman" w:hint="eastAsia"/>
                <w:sz w:val="24"/>
                <w:szCs w:val="24"/>
                <w:lang w:val="en-US" w:eastAsia="zh-CN"/>
              </w:rPr>
              <w:t>L</w:t>
            </w:r>
            <w:r w:rsidRPr="00E14F98">
              <w:rPr>
                <w:rFonts w:ascii="Book Antiqua" w:hAnsi="Book Antiqua" w:cs="Times New Roman"/>
                <w:sz w:val="24"/>
                <w:szCs w:val="24"/>
                <w:lang w:val="en-US"/>
              </w:rPr>
              <w:t xml:space="preserve">), increase in CP score by </w:t>
            </w:r>
            <w:r w:rsidR="00B93BE0">
              <w:rPr>
                <w:rFonts w:ascii="宋体" w:eastAsia="宋体" w:hAnsi="宋体" w:cs="Cambria Math" w:hint="eastAsia"/>
                <w:sz w:val="24"/>
                <w:szCs w:val="24"/>
                <w:lang w:val="en-US"/>
              </w:rPr>
              <w:t>≥</w:t>
            </w:r>
            <w:r w:rsidR="00B93BE0">
              <w:rPr>
                <w:rFonts w:ascii="Cambria Math" w:hAnsi="Cambria Math" w:cs="Cambria Math" w:hint="eastAsia"/>
                <w:sz w:val="24"/>
                <w:szCs w:val="24"/>
                <w:lang w:val="en-US" w:eastAsia="zh-CN"/>
              </w:rPr>
              <w:t xml:space="preserve"> </w:t>
            </w:r>
            <w:r w:rsidRPr="00E14F98">
              <w:rPr>
                <w:rFonts w:ascii="Book Antiqua" w:hAnsi="Book Antiqua" w:cs="Times New Roman"/>
                <w:sz w:val="24"/>
                <w:szCs w:val="24"/>
                <w:lang w:val="en-US"/>
              </w:rPr>
              <w:t>2 f</w:t>
            </w:r>
            <w:r w:rsidR="00B93BE0">
              <w:rPr>
                <w:rFonts w:ascii="Book Antiqua" w:hAnsi="Book Antiqua" w:cs="Times New Roman"/>
                <w:sz w:val="24"/>
                <w:szCs w:val="24"/>
                <w:lang w:val="en-US"/>
              </w:rPr>
              <w:t>rom baseline and tumor response</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repetition</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Pinato</w:t>
            </w:r>
            <w:r w:rsidRPr="00E14F98">
              <w:rPr>
                <w:rFonts w:ascii="Book Antiqua" w:hAnsi="Book Antiqua" w:cs="Times New Roman"/>
                <w:sz w:val="24"/>
                <w:szCs w:val="24"/>
                <w:vertAlign w:val="superscript"/>
                <w:lang w:val="en-US"/>
              </w:rPr>
              <w:t>[19]</w:t>
            </w:r>
          </w:p>
        </w:tc>
        <w:tc>
          <w:tcPr>
            <w:tcW w:w="6804"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Normalization of CRP and serum albumin after TACE</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repetition</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Hucke</w:t>
            </w:r>
            <w:r w:rsidRPr="00E14F98">
              <w:rPr>
                <w:rFonts w:ascii="Book Antiqua" w:hAnsi="Book Antiqua" w:cs="Times New Roman"/>
                <w:sz w:val="24"/>
                <w:szCs w:val="24"/>
                <w:vertAlign w:val="superscript"/>
                <w:lang w:val="en-US"/>
              </w:rPr>
              <w:t>[20]</w:t>
            </w:r>
          </w:p>
        </w:tc>
        <w:tc>
          <w:tcPr>
            <w:tcW w:w="6804" w:type="dxa"/>
          </w:tcPr>
          <w:p w:rsidR="00A34BDB" w:rsidRPr="00E14F98" w:rsidRDefault="00A34BDB" w:rsidP="00B93BE0">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Albumin level, tumour burden (reference: up-to-7 criteria) and CRP(</w:t>
            </w:r>
            <w:r w:rsidR="00B93BE0">
              <w:rPr>
                <w:rFonts w:ascii="宋体" w:eastAsia="宋体" w:hAnsi="宋体" w:cs="Cambria Math" w:hint="eastAsia"/>
                <w:sz w:val="24"/>
                <w:szCs w:val="24"/>
                <w:lang w:val="en-US"/>
              </w:rPr>
              <w:t>≥</w:t>
            </w:r>
            <w:r w:rsidR="00B93BE0">
              <w:rPr>
                <w:rFonts w:ascii="宋体" w:eastAsia="宋体" w:hAnsi="宋体" w:cs="Cambria Math" w:hint="eastAsia"/>
                <w:sz w:val="24"/>
                <w:szCs w:val="24"/>
                <w:lang w:val="en-US" w:eastAsia="zh-CN"/>
              </w:rPr>
              <w:t xml:space="preserve"> </w:t>
            </w:r>
            <w:r w:rsidRPr="00E14F98">
              <w:rPr>
                <w:rFonts w:ascii="Book Antiqua" w:hAnsi="Book Antiqua" w:cs="Times New Roman"/>
                <w:sz w:val="24"/>
                <w:szCs w:val="24"/>
                <w:lang w:val="en-US"/>
              </w:rPr>
              <w:t>1 mg/d</w:t>
            </w:r>
            <w:r w:rsidR="00B93BE0">
              <w:rPr>
                <w:rFonts w:ascii="Book Antiqua" w:hAnsi="Book Antiqua" w:cs="Times New Roman" w:hint="eastAsia"/>
                <w:sz w:val="24"/>
                <w:szCs w:val="24"/>
                <w:lang w:val="en-US" w:eastAsia="zh-CN"/>
              </w:rPr>
              <w:t>L</w:t>
            </w:r>
            <w:r w:rsidRPr="00E14F98">
              <w:rPr>
                <w:rFonts w:ascii="Book Antiqua" w:hAnsi="Book Antiqua" w:cs="Times New Roman"/>
                <w:sz w:val="24"/>
                <w:szCs w:val="24"/>
                <w:lang w:val="en-US"/>
              </w:rPr>
              <w:t>)</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selection</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Xu</w:t>
            </w:r>
            <w:r w:rsidRPr="00E14F98">
              <w:rPr>
                <w:rFonts w:ascii="Book Antiqua" w:hAnsi="Book Antiqua" w:cs="Times New Roman"/>
                <w:sz w:val="24"/>
                <w:szCs w:val="24"/>
                <w:vertAlign w:val="superscript"/>
                <w:lang w:val="en-US"/>
              </w:rPr>
              <w:t>[21]</w:t>
            </w:r>
          </w:p>
        </w:tc>
        <w:tc>
          <w:tcPr>
            <w:tcW w:w="6804"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PVT, tumor number, tumor capsule, AFP, AST and ICR</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selection</w:t>
            </w:r>
          </w:p>
        </w:tc>
      </w:tr>
      <w:tr w:rsidR="00A34BDB" w:rsidRPr="00E14F98" w:rsidTr="00A157D5">
        <w:tc>
          <w:tcPr>
            <w:tcW w:w="1843" w:type="dxa"/>
          </w:tcPr>
          <w:p w:rsidR="00A34BDB" w:rsidRPr="00E14F98" w:rsidRDefault="00A34BDB" w:rsidP="00E14F98">
            <w:pPr>
              <w:spacing w:line="360" w:lineRule="auto"/>
              <w:jc w:val="both"/>
              <w:rPr>
                <w:rFonts w:ascii="Book Antiqua" w:hAnsi="Book Antiqua" w:cs="Times New Roman"/>
                <w:sz w:val="24"/>
                <w:szCs w:val="24"/>
                <w:vertAlign w:val="superscript"/>
                <w:lang w:val="en-US"/>
              </w:rPr>
            </w:pPr>
            <w:r w:rsidRPr="00E14F98">
              <w:rPr>
                <w:rFonts w:ascii="Book Antiqua" w:hAnsi="Book Antiqua" w:cs="Times New Roman"/>
                <w:sz w:val="24"/>
                <w:szCs w:val="24"/>
                <w:lang w:val="en-US"/>
              </w:rPr>
              <w:t>Sciarra</w:t>
            </w:r>
            <w:r w:rsidRPr="00E14F98">
              <w:rPr>
                <w:rFonts w:ascii="Book Antiqua" w:hAnsi="Book Antiqua" w:cs="Times New Roman"/>
                <w:sz w:val="24"/>
                <w:szCs w:val="24"/>
                <w:vertAlign w:val="superscript"/>
                <w:lang w:val="en-US"/>
              </w:rPr>
              <w:t>[22]</w:t>
            </w:r>
          </w:p>
        </w:tc>
        <w:tc>
          <w:tcPr>
            <w:tcW w:w="6804" w:type="dxa"/>
          </w:tcPr>
          <w:p w:rsidR="00A34BDB" w:rsidRPr="00E14F98" w:rsidRDefault="00A34BDB" w:rsidP="00B93BE0">
            <w:pPr>
              <w:spacing w:line="360" w:lineRule="auto"/>
              <w:jc w:val="both"/>
              <w:rPr>
                <w:rFonts w:ascii="Book Antiqua" w:hAnsi="Book Antiqua" w:cs="Times New Roman"/>
                <w:sz w:val="24"/>
                <w:szCs w:val="24"/>
                <w:lang w:val="en-US" w:eastAsia="zh-CN"/>
              </w:rPr>
            </w:pPr>
            <w:r w:rsidRPr="00E14F98">
              <w:rPr>
                <w:rFonts w:ascii="Book Antiqua" w:hAnsi="Book Antiqua" w:cs="Times New Roman"/>
                <w:sz w:val="24"/>
                <w:szCs w:val="24"/>
                <w:lang w:val="en-US"/>
              </w:rPr>
              <w:t>CD34 and VEGF staining</w:t>
            </w:r>
            <w:r w:rsidR="00B93BE0">
              <w:rPr>
                <w:rFonts w:ascii="Book Antiqua" w:hAnsi="Book Antiqua" w:cs="Times New Roman" w:hint="eastAsia"/>
                <w:sz w:val="24"/>
                <w:szCs w:val="24"/>
                <w:vertAlign w:val="superscript"/>
                <w:lang w:val="en-US" w:eastAsia="zh-CN"/>
              </w:rPr>
              <w:t>1</w:t>
            </w:r>
          </w:p>
        </w:tc>
        <w:tc>
          <w:tcPr>
            <w:tcW w:w="2552" w:type="dxa"/>
          </w:tcPr>
          <w:p w:rsidR="00A34BDB" w:rsidRPr="00E14F98" w:rsidRDefault="00A34BDB" w:rsidP="00E14F98">
            <w:pPr>
              <w:spacing w:line="360" w:lineRule="auto"/>
              <w:jc w:val="both"/>
              <w:rPr>
                <w:rFonts w:ascii="Book Antiqua" w:hAnsi="Book Antiqua" w:cs="Times New Roman"/>
                <w:sz w:val="24"/>
                <w:szCs w:val="24"/>
                <w:lang w:val="en-US"/>
              </w:rPr>
            </w:pPr>
            <w:r w:rsidRPr="00E14F98">
              <w:rPr>
                <w:rFonts w:ascii="Book Antiqua" w:hAnsi="Book Antiqua" w:cs="Times New Roman"/>
                <w:sz w:val="24"/>
                <w:szCs w:val="24"/>
                <w:lang w:val="en-US"/>
              </w:rPr>
              <w:t>Treatment selection</w:t>
            </w:r>
          </w:p>
        </w:tc>
      </w:tr>
    </w:tbl>
    <w:p w:rsidR="00A34BDB" w:rsidRPr="00E14F98" w:rsidRDefault="00B93BE0" w:rsidP="00B93BE0">
      <w:pPr>
        <w:spacing w:after="0" w:line="360" w:lineRule="auto"/>
        <w:jc w:val="both"/>
        <w:rPr>
          <w:rFonts w:ascii="Book Antiqua" w:hAnsi="Book Antiqua" w:cs="Times New Roman"/>
          <w:sz w:val="24"/>
          <w:szCs w:val="24"/>
          <w:lang w:val="en-US" w:eastAsia="zh-CN"/>
        </w:rPr>
      </w:pPr>
      <w:proofErr w:type="gramStart"/>
      <w:r>
        <w:rPr>
          <w:rFonts w:ascii="Book Antiqua" w:hAnsi="Book Antiqua" w:cs="Times New Roman" w:hint="eastAsia"/>
          <w:sz w:val="24"/>
          <w:szCs w:val="24"/>
          <w:vertAlign w:val="superscript"/>
          <w:lang w:val="en-US" w:eastAsia="zh-CN"/>
        </w:rPr>
        <w:t>1</w:t>
      </w:r>
      <w:r w:rsidRPr="00E14F98">
        <w:rPr>
          <w:rFonts w:ascii="Book Antiqua" w:hAnsi="Book Antiqua" w:cs="Times New Roman"/>
          <w:sz w:val="24"/>
          <w:szCs w:val="24"/>
          <w:lang w:val="en-US"/>
        </w:rPr>
        <w:t>Assessed in tumor biopsy</w:t>
      </w:r>
      <w:r>
        <w:rPr>
          <w:rFonts w:ascii="Book Antiqua" w:hAnsi="Book Antiqua" w:cs="Times New Roman" w:hint="eastAsia"/>
          <w:sz w:val="24"/>
          <w:szCs w:val="24"/>
          <w:lang w:val="en-US" w:eastAsia="zh-CN"/>
        </w:rPr>
        <w:t>.</w:t>
      </w:r>
      <w:proofErr w:type="gramEnd"/>
      <w:r>
        <w:rPr>
          <w:rFonts w:ascii="Book Antiqua" w:hAnsi="Book Antiqua" w:cs="Times New Roman" w:hint="eastAsia"/>
          <w:sz w:val="24"/>
          <w:szCs w:val="24"/>
          <w:lang w:val="en-US" w:eastAsia="zh-CN"/>
        </w:rPr>
        <w:t xml:space="preserve"> </w:t>
      </w:r>
      <w:r w:rsidRPr="00E14F98">
        <w:rPr>
          <w:rFonts w:ascii="Book Antiqua" w:hAnsi="Book Antiqua" w:cs="Times New Roman"/>
          <w:sz w:val="24"/>
          <w:szCs w:val="24"/>
          <w:lang w:val="en-US"/>
        </w:rPr>
        <w:t>AFP</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A</w:t>
      </w:r>
      <w:r w:rsidRPr="00E14F98">
        <w:rPr>
          <w:rFonts w:ascii="Book Antiqua" w:hAnsi="Book Antiqua" w:cs="Times New Roman"/>
          <w:sz w:val="24"/>
          <w:szCs w:val="24"/>
          <w:lang w:val="en-US"/>
        </w:rPr>
        <w:t>lpha-fetoprotein; CP</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Child-Pugh; AST</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A</w:t>
      </w:r>
      <w:r w:rsidRPr="00E14F98">
        <w:rPr>
          <w:rFonts w:ascii="Book Antiqua" w:hAnsi="Book Antiqua" w:cs="Times New Roman"/>
          <w:sz w:val="24"/>
          <w:szCs w:val="24"/>
          <w:lang w:val="en-US"/>
        </w:rPr>
        <w:t>spartate transaminase; BCLC</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Barcelona Clinic Liver Cancer; CRP</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C-reactive protein; TACE</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lastRenderedPageBreak/>
        <w:t>T</w:t>
      </w:r>
      <w:r w:rsidRPr="00E14F98">
        <w:rPr>
          <w:rFonts w:ascii="Book Antiqua" w:hAnsi="Book Antiqua" w:cs="Times New Roman"/>
          <w:sz w:val="24"/>
          <w:szCs w:val="24"/>
          <w:lang w:val="en-US"/>
        </w:rPr>
        <w:t>ransarterial chemoembolization; PVT</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P</w:t>
      </w:r>
      <w:r w:rsidRPr="00E14F98">
        <w:rPr>
          <w:rFonts w:ascii="Book Antiqua" w:hAnsi="Book Antiqua" w:cs="Times New Roman"/>
          <w:sz w:val="24"/>
          <w:szCs w:val="24"/>
          <w:lang w:val="en-US"/>
        </w:rPr>
        <w:t>ortal vein thrombosis; ICR</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Indocyanin retention test; VEGF</w:t>
      </w:r>
      <w:r>
        <w:rPr>
          <w:rFonts w:ascii="Book Antiqua" w:hAnsi="Book Antiqua" w:cs="Times New Roman" w:hint="eastAsia"/>
          <w:sz w:val="24"/>
          <w:szCs w:val="24"/>
          <w:lang w:val="en-US" w:eastAsia="zh-CN"/>
        </w:rPr>
        <w:t>:</w:t>
      </w:r>
      <w:r w:rsidRPr="00E14F9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V</w:t>
      </w:r>
      <w:r w:rsidRPr="00E14F98">
        <w:rPr>
          <w:rFonts w:ascii="Book Antiqua" w:hAnsi="Book Antiqua" w:cs="Times New Roman"/>
          <w:sz w:val="24"/>
          <w:szCs w:val="24"/>
          <w:lang w:val="en-US"/>
        </w:rPr>
        <w:t>ascular endothelial growth factor.</w:t>
      </w:r>
    </w:p>
    <w:p w:rsidR="00A34BDB" w:rsidRPr="00E14F98" w:rsidRDefault="00A34BDB"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C073F2" w:rsidRPr="00E14F98" w:rsidRDefault="00C073F2" w:rsidP="00E14F98">
      <w:pPr>
        <w:spacing w:after="0" w:line="360" w:lineRule="auto"/>
        <w:jc w:val="both"/>
        <w:rPr>
          <w:rFonts w:ascii="Book Antiqua" w:hAnsi="Book Antiqua"/>
          <w:sz w:val="24"/>
          <w:szCs w:val="24"/>
          <w:lang w:val="en-US"/>
        </w:rPr>
      </w:pPr>
    </w:p>
    <w:p w:rsidR="002A117C" w:rsidRPr="00B93BE0" w:rsidRDefault="00B93BE0" w:rsidP="00E14F98">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Table 3</w:t>
      </w:r>
      <w:r w:rsidR="00C073F2" w:rsidRPr="00E14F98">
        <w:rPr>
          <w:rFonts w:ascii="Book Antiqua" w:hAnsi="Book Antiqua" w:cs="Times New Roman"/>
          <w:b/>
          <w:sz w:val="24"/>
          <w:szCs w:val="24"/>
          <w:lang w:val="en-US"/>
        </w:rPr>
        <w:t xml:space="preserve"> </w:t>
      </w:r>
      <w:r w:rsidR="00C073F2" w:rsidRPr="00B93BE0">
        <w:rPr>
          <w:rFonts w:ascii="Book Antiqua" w:hAnsi="Book Antiqua" w:cs="Times New Roman"/>
          <w:b/>
          <w:sz w:val="24"/>
          <w:szCs w:val="24"/>
          <w:lang w:val="en-US"/>
        </w:rPr>
        <w:t>Studies comparing conventional and drug-eluting beads transarterial chemoembolization in he</w:t>
      </w:r>
      <w:r w:rsidRPr="00B93BE0">
        <w:rPr>
          <w:rFonts w:ascii="Book Antiqua" w:hAnsi="Book Antiqua" w:cs="Times New Roman"/>
          <w:b/>
          <w:sz w:val="24"/>
          <w:szCs w:val="24"/>
          <w:lang w:val="en-US"/>
        </w:rPr>
        <w:t>patocellular carcinoma patients</w:t>
      </w:r>
    </w:p>
    <w:tbl>
      <w:tblPr>
        <w:tblStyle w:val="LightShading"/>
        <w:tblpPr w:leftFromText="141" w:rightFromText="141" w:vertAnchor="page" w:horzAnchor="margin" w:tblpXSpec="center" w:tblpY="4081"/>
        <w:tblW w:w="8330" w:type="dxa"/>
        <w:tblLayout w:type="fixed"/>
        <w:tblLook w:val="04A0" w:firstRow="1" w:lastRow="0" w:firstColumn="1" w:lastColumn="0" w:noHBand="0" w:noVBand="1"/>
      </w:tblPr>
      <w:tblGrid>
        <w:gridCol w:w="2127"/>
        <w:gridCol w:w="1276"/>
        <w:gridCol w:w="2126"/>
        <w:gridCol w:w="851"/>
        <w:gridCol w:w="851"/>
        <w:gridCol w:w="1099"/>
      </w:tblGrid>
      <w:tr w:rsidR="00C073F2" w:rsidRPr="00E14F98" w:rsidTr="00B93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sz w:val="24"/>
                <w:szCs w:val="24"/>
              </w:rPr>
            </w:pPr>
            <w:r w:rsidRPr="00E14F98">
              <w:rPr>
                <w:rFonts w:ascii="Book Antiqua" w:hAnsi="Book Antiqua" w:cs="Times New Roman"/>
                <w:sz w:val="24"/>
                <w:szCs w:val="24"/>
              </w:rPr>
              <w:t>Study</w:t>
            </w:r>
          </w:p>
        </w:tc>
        <w:tc>
          <w:tcPr>
            <w:tcW w:w="1276" w:type="dxa"/>
            <w:shd w:val="clear" w:color="auto" w:fill="auto"/>
          </w:tcPr>
          <w:p w:rsidR="00C073F2" w:rsidRPr="00E14F98" w:rsidRDefault="00C073F2" w:rsidP="00E14F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14F98">
              <w:rPr>
                <w:rFonts w:ascii="Book Antiqua" w:hAnsi="Book Antiqua" w:cs="Times New Roman"/>
                <w:sz w:val="24"/>
                <w:szCs w:val="24"/>
              </w:rPr>
              <w:t>Arm</w:t>
            </w:r>
          </w:p>
        </w:tc>
        <w:tc>
          <w:tcPr>
            <w:tcW w:w="2126" w:type="dxa"/>
            <w:shd w:val="clear" w:color="auto" w:fill="auto"/>
          </w:tcPr>
          <w:p w:rsidR="00C073F2" w:rsidRPr="00E14F98" w:rsidRDefault="00C073F2" w:rsidP="00E14F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14F98">
              <w:rPr>
                <w:rFonts w:ascii="Book Antiqua" w:hAnsi="Book Antiqua" w:cs="Times New Roman"/>
                <w:sz w:val="24"/>
                <w:szCs w:val="24"/>
              </w:rPr>
              <w:t>Drug</w:t>
            </w:r>
          </w:p>
        </w:tc>
        <w:tc>
          <w:tcPr>
            <w:tcW w:w="851" w:type="dxa"/>
            <w:shd w:val="clear" w:color="auto" w:fill="auto"/>
          </w:tcPr>
          <w:p w:rsidR="00C073F2" w:rsidRPr="00E14F98" w:rsidRDefault="00C073F2" w:rsidP="00E14F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14F98">
              <w:rPr>
                <w:rFonts w:ascii="Book Antiqua" w:hAnsi="Book Antiqua" w:cs="Times New Roman"/>
                <w:sz w:val="24"/>
                <w:szCs w:val="24"/>
              </w:rPr>
              <w:t>Sample size</w:t>
            </w:r>
          </w:p>
        </w:tc>
        <w:tc>
          <w:tcPr>
            <w:tcW w:w="851" w:type="dxa"/>
            <w:shd w:val="clear" w:color="auto" w:fill="auto"/>
          </w:tcPr>
          <w:p w:rsidR="00C073F2" w:rsidRPr="00E14F98" w:rsidRDefault="00C073F2" w:rsidP="00E14F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14F98">
              <w:rPr>
                <w:rFonts w:ascii="Book Antiqua" w:hAnsi="Book Antiqua" w:cs="Times New Roman"/>
                <w:sz w:val="24"/>
                <w:szCs w:val="24"/>
              </w:rPr>
              <w:t>Study design</w:t>
            </w:r>
          </w:p>
        </w:tc>
        <w:tc>
          <w:tcPr>
            <w:tcW w:w="1099" w:type="dxa"/>
            <w:shd w:val="clear" w:color="auto" w:fill="auto"/>
          </w:tcPr>
          <w:p w:rsidR="00C073F2" w:rsidRPr="00E14F98" w:rsidRDefault="00C073F2" w:rsidP="00E14F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14F98">
              <w:rPr>
                <w:rFonts w:ascii="Book Antiqua" w:hAnsi="Book Antiqua" w:cs="Times New Roman"/>
                <w:sz w:val="24"/>
                <w:szCs w:val="24"/>
              </w:rPr>
              <w:t>Region</w:t>
            </w:r>
          </w:p>
        </w:tc>
      </w:tr>
      <w:tr w:rsidR="00C073F2" w:rsidRPr="00E14F98" w:rsidTr="00B9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B93BE0">
            <w:pPr>
              <w:spacing w:line="360" w:lineRule="auto"/>
              <w:jc w:val="both"/>
              <w:rPr>
                <w:rFonts w:ascii="Book Antiqua" w:hAnsi="Book Antiqua" w:cs="Times New Roman"/>
                <w:b w:val="0"/>
                <w:sz w:val="24"/>
                <w:szCs w:val="24"/>
                <w:vertAlign w:val="superscript"/>
                <w:lang w:val="en-US" w:eastAsia="zh-CN"/>
              </w:rPr>
            </w:pPr>
            <w:r w:rsidRPr="00E14F98">
              <w:rPr>
                <w:rFonts w:ascii="Book Antiqua" w:hAnsi="Book Antiqua" w:cs="Times New Roman"/>
                <w:b w:val="0"/>
                <w:sz w:val="24"/>
                <w:szCs w:val="24"/>
                <w:lang w:val="en-US"/>
              </w:rPr>
              <w:t>Nicolini 2013</w:t>
            </w:r>
            <w:r w:rsidRPr="00E14F98">
              <w:rPr>
                <w:rFonts w:ascii="Book Antiqua" w:hAnsi="Book Antiqua" w:cs="Times New Roman"/>
                <w:b w:val="0"/>
                <w:sz w:val="24"/>
                <w:szCs w:val="24"/>
                <w:vertAlign w:val="superscript"/>
                <w:lang w:val="en-US"/>
              </w:rPr>
              <w:t>[38]</w:t>
            </w:r>
            <w:r w:rsidR="00B93BE0">
              <w:rPr>
                <w:rFonts w:ascii="Book Antiqua" w:hAnsi="Book Antiqua" w:cs="Times New Roman" w:hint="eastAsia"/>
                <w:b w:val="0"/>
                <w:sz w:val="24"/>
                <w:szCs w:val="24"/>
                <w:vertAlign w:val="superscript"/>
                <w:lang w:val="en-US" w:eastAsia="zh-CN"/>
              </w:rPr>
              <w:t>1</w:t>
            </w:r>
          </w:p>
        </w:tc>
        <w:tc>
          <w:tcPr>
            <w:tcW w:w="127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Epirubicin</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22</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16</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w:t>
            </w:r>
          </w:p>
        </w:tc>
        <w:tc>
          <w:tcPr>
            <w:tcW w:w="1099"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Italy</w:t>
            </w:r>
          </w:p>
        </w:tc>
      </w:tr>
      <w:tr w:rsidR="00C073F2" w:rsidRPr="00E14F98" w:rsidTr="00B93BE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B93BE0">
            <w:pPr>
              <w:spacing w:line="360" w:lineRule="auto"/>
              <w:jc w:val="both"/>
              <w:rPr>
                <w:rFonts w:ascii="Book Antiqua" w:hAnsi="Book Antiqua" w:cs="Times New Roman"/>
                <w:b w:val="0"/>
                <w:sz w:val="24"/>
                <w:szCs w:val="24"/>
                <w:vertAlign w:val="superscript"/>
                <w:lang w:val="en-US" w:eastAsia="zh-CN"/>
              </w:rPr>
            </w:pPr>
            <w:r w:rsidRPr="00E14F98">
              <w:rPr>
                <w:rFonts w:ascii="Book Antiqua" w:hAnsi="Book Antiqua" w:cs="Times New Roman"/>
                <w:b w:val="0"/>
                <w:sz w:val="24"/>
                <w:szCs w:val="24"/>
                <w:lang w:val="en-US"/>
              </w:rPr>
              <w:lastRenderedPageBreak/>
              <w:t>Frenette 2014</w:t>
            </w:r>
            <w:r w:rsidRPr="00E14F98">
              <w:rPr>
                <w:rFonts w:ascii="Book Antiqua" w:hAnsi="Book Antiqua" w:cs="Times New Roman"/>
                <w:b w:val="0"/>
                <w:sz w:val="24"/>
                <w:szCs w:val="24"/>
                <w:vertAlign w:val="superscript"/>
                <w:lang w:val="en-US"/>
              </w:rPr>
              <w:t>[39]</w:t>
            </w:r>
            <w:r w:rsidR="00B93BE0">
              <w:rPr>
                <w:rFonts w:ascii="Book Antiqua" w:hAnsi="Book Antiqua" w:cs="Times New Roman" w:hint="eastAsia"/>
                <w:b w:val="0"/>
                <w:sz w:val="24"/>
                <w:szCs w:val="24"/>
                <w:vertAlign w:val="superscript"/>
                <w:lang w:val="en-US" w:eastAsia="zh-CN"/>
              </w:rPr>
              <w:t>1</w:t>
            </w:r>
          </w:p>
        </w:tc>
        <w:tc>
          <w:tcPr>
            <w:tcW w:w="127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35</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76</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w:t>
            </w:r>
          </w:p>
        </w:tc>
        <w:tc>
          <w:tcPr>
            <w:tcW w:w="1099" w:type="dxa"/>
            <w:shd w:val="clear" w:color="auto" w:fill="auto"/>
          </w:tcPr>
          <w:p w:rsidR="00C073F2" w:rsidRPr="00E14F98" w:rsidRDefault="00C073F2" w:rsidP="00B93B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eastAsia="zh-CN"/>
              </w:rPr>
            </w:pPr>
            <w:r w:rsidRPr="00E14F98">
              <w:rPr>
                <w:rFonts w:ascii="Book Antiqua" w:hAnsi="Book Antiqua" w:cs="Times New Roman"/>
                <w:sz w:val="24"/>
                <w:szCs w:val="24"/>
                <w:lang w:val="en-US"/>
              </w:rPr>
              <w:t>U</w:t>
            </w:r>
            <w:r w:rsidR="00B93BE0">
              <w:rPr>
                <w:rFonts w:ascii="Book Antiqua" w:hAnsi="Book Antiqua" w:cs="Times New Roman" w:hint="eastAsia"/>
                <w:sz w:val="24"/>
                <w:szCs w:val="24"/>
                <w:lang w:val="en-US" w:eastAsia="zh-CN"/>
              </w:rPr>
              <w:t>nited States</w:t>
            </w:r>
          </w:p>
        </w:tc>
      </w:tr>
      <w:tr w:rsidR="00C073F2" w:rsidRPr="00E14F98" w:rsidTr="00B9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rPr>
            </w:pPr>
            <w:r w:rsidRPr="00E14F98">
              <w:rPr>
                <w:rFonts w:ascii="Book Antiqua" w:hAnsi="Book Antiqua" w:cs="Times New Roman"/>
                <w:b w:val="0"/>
                <w:sz w:val="24"/>
                <w:szCs w:val="24"/>
              </w:rPr>
              <w:t>Song 2012</w:t>
            </w:r>
            <w:r w:rsidRPr="00E14F98">
              <w:rPr>
                <w:rFonts w:ascii="Book Antiqua" w:hAnsi="Book Antiqua" w:cs="Times New Roman"/>
                <w:b w:val="0"/>
                <w:sz w:val="24"/>
                <w:szCs w:val="24"/>
                <w:vertAlign w:val="superscript"/>
              </w:rPr>
              <w:t>[40]</w:t>
            </w:r>
          </w:p>
        </w:tc>
        <w:tc>
          <w:tcPr>
            <w:tcW w:w="127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14F98">
              <w:rPr>
                <w:rFonts w:ascii="Book Antiqua" w:hAnsi="Book Antiqua" w:cs="Times New Roman"/>
                <w:sz w:val="24"/>
                <w:szCs w:val="24"/>
              </w:rPr>
              <w:t>DEB-TACE</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14F98">
              <w:rPr>
                <w:rFonts w:ascii="Book Antiqua" w:hAnsi="Book Antiqua" w:cs="Times New Roman"/>
                <w:sz w:val="24"/>
                <w:szCs w:val="24"/>
              </w:rPr>
              <w:t>cTACE</w:t>
            </w:r>
          </w:p>
        </w:tc>
        <w:tc>
          <w:tcPr>
            <w:tcW w:w="212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 or Epirubicin/Cisplatin</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60</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69</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w:t>
            </w:r>
          </w:p>
        </w:tc>
        <w:tc>
          <w:tcPr>
            <w:tcW w:w="1099" w:type="dxa"/>
            <w:shd w:val="clear" w:color="auto" w:fill="auto"/>
          </w:tcPr>
          <w:p w:rsidR="00C073F2" w:rsidRPr="00E14F98" w:rsidRDefault="00B93BE0"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Pr>
                <w:rFonts w:ascii="Book Antiqua" w:hAnsi="Book Antiqua" w:cs="Times New Roman" w:hint="eastAsia"/>
                <w:sz w:val="24"/>
                <w:szCs w:val="24"/>
                <w:lang w:val="en-US" w:eastAsia="zh-CN"/>
              </w:rPr>
              <w:t xml:space="preserve">South </w:t>
            </w:r>
            <w:r w:rsidR="00C073F2" w:rsidRPr="00E14F98">
              <w:rPr>
                <w:rFonts w:ascii="Book Antiqua" w:hAnsi="Book Antiqua" w:cs="Times New Roman"/>
                <w:sz w:val="24"/>
                <w:szCs w:val="24"/>
                <w:lang w:val="en-US"/>
              </w:rPr>
              <w:t>Korea</w:t>
            </w:r>
          </w:p>
        </w:tc>
      </w:tr>
      <w:tr w:rsidR="00C073F2" w:rsidRPr="00E14F98" w:rsidTr="00B93BE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Sacco 2011</w:t>
            </w:r>
            <w:r w:rsidRPr="00E14F98">
              <w:rPr>
                <w:rFonts w:ascii="Book Antiqua" w:hAnsi="Book Antiqua" w:cs="Times New Roman"/>
                <w:b w:val="0"/>
                <w:sz w:val="24"/>
                <w:szCs w:val="24"/>
                <w:vertAlign w:val="superscript"/>
                <w:lang w:val="en-US"/>
              </w:rPr>
              <w:t>[41]</w:t>
            </w:r>
          </w:p>
        </w:tc>
        <w:tc>
          <w:tcPr>
            <w:tcW w:w="127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33</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34</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RCT</w:t>
            </w:r>
          </w:p>
        </w:tc>
        <w:tc>
          <w:tcPr>
            <w:tcW w:w="1099"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Italy</w:t>
            </w:r>
          </w:p>
        </w:tc>
      </w:tr>
      <w:tr w:rsidR="00C073F2" w:rsidRPr="00E14F98" w:rsidTr="00B9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Van Malenstein 2011</w:t>
            </w:r>
            <w:r w:rsidRPr="00E14F98">
              <w:rPr>
                <w:rFonts w:ascii="Book Antiqua" w:hAnsi="Book Antiqua" w:cs="Times New Roman"/>
                <w:b w:val="0"/>
                <w:sz w:val="24"/>
                <w:szCs w:val="24"/>
                <w:vertAlign w:val="superscript"/>
                <w:lang w:val="en-US"/>
              </w:rPr>
              <w:t>[42]</w:t>
            </w:r>
          </w:p>
        </w:tc>
        <w:tc>
          <w:tcPr>
            <w:tcW w:w="127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16</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14</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RCT</w:t>
            </w:r>
          </w:p>
        </w:tc>
        <w:tc>
          <w:tcPr>
            <w:tcW w:w="1099"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Belgium</w:t>
            </w:r>
          </w:p>
        </w:tc>
      </w:tr>
      <w:tr w:rsidR="00C073F2" w:rsidRPr="00E14F98" w:rsidTr="00B93BE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Lammer 2010</w:t>
            </w:r>
            <w:r w:rsidRPr="00E14F98">
              <w:rPr>
                <w:rFonts w:ascii="Book Antiqua" w:hAnsi="Book Antiqua" w:cs="Times New Roman"/>
                <w:b w:val="0"/>
                <w:sz w:val="24"/>
                <w:szCs w:val="24"/>
                <w:vertAlign w:val="superscript"/>
                <w:lang w:val="en-US"/>
              </w:rPr>
              <w:t>[43]</w:t>
            </w:r>
          </w:p>
        </w:tc>
        <w:tc>
          <w:tcPr>
            <w:tcW w:w="127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93</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108</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RCT</w:t>
            </w:r>
          </w:p>
        </w:tc>
        <w:tc>
          <w:tcPr>
            <w:tcW w:w="1099"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Europe</w:t>
            </w:r>
          </w:p>
        </w:tc>
      </w:tr>
      <w:tr w:rsidR="00C073F2" w:rsidRPr="00E14F98" w:rsidTr="00B9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Golfieri 2014</w:t>
            </w:r>
            <w:r w:rsidRPr="00E14F98">
              <w:rPr>
                <w:rFonts w:ascii="Book Antiqua" w:hAnsi="Book Antiqua" w:cs="Times New Roman"/>
                <w:b w:val="0"/>
                <w:sz w:val="24"/>
                <w:szCs w:val="24"/>
                <w:vertAlign w:val="superscript"/>
                <w:lang w:val="en-US"/>
              </w:rPr>
              <w:t>[44]</w:t>
            </w:r>
          </w:p>
        </w:tc>
        <w:tc>
          <w:tcPr>
            <w:tcW w:w="127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Epirubicin</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89</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88</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RCT</w:t>
            </w:r>
          </w:p>
        </w:tc>
        <w:tc>
          <w:tcPr>
            <w:tcW w:w="1099"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Italy</w:t>
            </w:r>
          </w:p>
        </w:tc>
      </w:tr>
      <w:tr w:rsidR="00C073F2" w:rsidRPr="00E14F98" w:rsidTr="00B93BE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Ferrer 2011</w:t>
            </w:r>
            <w:r w:rsidRPr="00E14F98">
              <w:rPr>
                <w:rFonts w:ascii="Book Antiqua" w:hAnsi="Book Antiqua" w:cs="Times New Roman"/>
                <w:b w:val="0"/>
                <w:sz w:val="24"/>
                <w:szCs w:val="24"/>
                <w:vertAlign w:val="superscript"/>
                <w:lang w:val="en-US"/>
              </w:rPr>
              <w:t>[45]</w:t>
            </w:r>
          </w:p>
        </w:tc>
        <w:tc>
          <w:tcPr>
            <w:tcW w:w="127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47</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25</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P</w:t>
            </w:r>
          </w:p>
        </w:tc>
        <w:tc>
          <w:tcPr>
            <w:tcW w:w="1099"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Spain</w:t>
            </w:r>
          </w:p>
        </w:tc>
      </w:tr>
      <w:tr w:rsidR="00C073F2" w:rsidRPr="00E14F98" w:rsidTr="00B9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Dhanasekaran 2010</w:t>
            </w:r>
            <w:r w:rsidRPr="00E14F98">
              <w:rPr>
                <w:rFonts w:ascii="Book Antiqua" w:hAnsi="Book Antiqua" w:cs="Times New Roman"/>
                <w:b w:val="0"/>
                <w:sz w:val="24"/>
                <w:szCs w:val="24"/>
                <w:vertAlign w:val="superscript"/>
                <w:lang w:val="en-US"/>
              </w:rPr>
              <w:t>[46]</w:t>
            </w:r>
          </w:p>
        </w:tc>
        <w:tc>
          <w:tcPr>
            <w:tcW w:w="127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Doxorubicin/Cisplatin/Mytomicin-C</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45</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26</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w:t>
            </w:r>
          </w:p>
        </w:tc>
        <w:tc>
          <w:tcPr>
            <w:tcW w:w="1099" w:type="dxa"/>
            <w:shd w:val="clear" w:color="auto" w:fill="auto"/>
          </w:tcPr>
          <w:p w:rsidR="00C073F2" w:rsidRPr="00E14F98" w:rsidRDefault="00C073F2" w:rsidP="00B93B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sidRPr="00E14F98">
              <w:rPr>
                <w:rFonts w:ascii="Book Antiqua" w:hAnsi="Book Antiqua" w:cs="Times New Roman"/>
                <w:sz w:val="24"/>
                <w:szCs w:val="24"/>
                <w:lang w:val="en-US"/>
              </w:rPr>
              <w:t>U</w:t>
            </w:r>
            <w:r w:rsidR="00B93BE0">
              <w:rPr>
                <w:rFonts w:ascii="Book Antiqua" w:hAnsi="Book Antiqua" w:cs="Times New Roman" w:hint="eastAsia"/>
                <w:sz w:val="24"/>
                <w:szCs w:val="24"/>
                <w:lang w:val="en-US" w:eastAsia="zh-CN"/>
              </w:rPr>
              <w:t>nited States</w:t>
            </w:r>
          </w:p>
        </w:tc>
      </w:tr>
      <w:tr w:rsidR="00C073F2" w:rsidRPr="00E14F98" w:rsidTr="00B93BE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Wiggermann 2011</w:t>
            </w:r>
            <w:r w:rsidRPr="00E14F98">
              <w:rPr>
                <w:rFonts w:ascii="Book Antiqua" w:hAnsi="Book Antiqua" w:cs="Times New Roman"/>
                <w:b w:val="0"/>
                <w:sz w:val="24"/>
                <w:szCs w:val="24"/>
                <w:vertAlign w:val="superscript"/>
                <w:lang w:val="en-US"/>
              </w:rPr>
              <w:t>[47]</w:t>
            </w:r>
          </w:p>
        </w:tc>
        <w:tc>
          <w:tcPr>
            <w:tcW w:w="127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Epirubicin</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Cisplatin</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22</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22</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w:t>
            </w:r>
          </w:p>
        </w:tc>
        <w:tc>
          <w:tcPr>
            <w:tcW w:w="1099"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Germany</w:t>
            </w:r>
          </w:p>
        </w:tc>
      </w:tr>
      <w:tr w:rsidR="00C073F2" w:rsidRPr="00E14F98" w:rsidTr="00B9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t>Recchia 2012</w:t>
            </w:r>
            <w:r w:rsidRPr="00E14F98">
              <w:rPr>
                <w:rFonts w:ascii="Book Antiqua" w:hAnsi="Book Antiqua" w:cs="Times New Roman"/>
                <w:b w:val="0"/>
                <w:sz w:val="24"/>
                <w:szCs w:val="24"/>
                <w:vertAlign w:val="superscript"/>
                <w:lang w:val="en-US"/>
              </w:rPr>
              <w:t>[48]</w:t>
            </w:r>
          </w:p>
        </w:tc>
        <w:tc>
          <w:tcPr>
            <w:tcW w:w="127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35</w:t>
            </w:r>
          </w:p>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70</w:t>
            </w:r>
          </w:p>
        </w:tc>
        <w:tc>
          <w:tcPr>
            <w:tcW w:w="851"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P</w:t>
            </w:r>
          </w:p>
        </w:tc>
        <w:tc>
          <w:tcPr>
            <w:tcW w:w="1099" w:type="dxa"/>
            <w:shd w:val="clear" w:color="auto" w:fill="auto"/>
          </w:tcPr>
          <w:p w:rsidR="00C073F2" w:rsidRPr="00E14F98" w:rsidRDefault="00C073F2" w:rsidP="00E14F9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Italy</w:t>
            </w:r>
          </w:p>
        </w:tc>
      </w:tr>
      <w:tr w:rsidR="00C073F2" w:rsidRPr="00E14F98" w:rsidTr="00B93BE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C073F2" w:rsidRPr="00E14F98" w:rsidRDefault="00C073F2" w:rsidP="00E14F98">
            <w:pPr>
              <w:spacing w:line="360" w:lineRule="auto"/>
              <w:jc w:val="both"/>
              <w:rPr>
                <w:rFonts w:ascii="Book Antiqua" w:hAnsi="Book Antiqua" w:cs="Times New Roman"/>
                <w:b w:val="0"/>
                <w:sz w:val="24"/>
                <w:szCs w:val="24"/>
                <w:vertAlign w:val="superscript"/>
                <w:lang w:val="en-US"/>
              </w:rPr>
            </w:pPr>
            <w:r w:rsidRPr="00E14F98">
              <w:rPr>
                <w:rFonts w:ascii="Book Antiqua" w:hAnsi="Book Antiqua" w:cs="Times New Roman"/>
                <w:b w:val="0"/>
                <w:sz w:val="24"/>
                <w:szCs w:val="24"/>
                <w:lang w:val="en-US"/>
              </w:rPr>
              <w:lastRenderedPageBreak/>
              <w:t>Megìas Vericat 2015</w:t>
            </w:r>
            <w:r w:rsidRPr="00E14F98">
              <w:rPr>
                <w:rFonts w:ascii="Book Antiqua" w:hAnsi="Book Antiqua" w:cs="Times New Roman"/>
                <w:b w:val="0"/>
                <w:sz w:val="24"/>
                <w:szCs w:val="24"/>
                <w:vertAlign w:val="superscript"/>
                <w:lang w:val="en-US"/>
              </w:rPr>
              <w:t>[49]</w:t>
            </w:r>
          </w:p>
        </w:tc>
        <w:tc>
          <w:tcPr>
            <w:tcW w:w="127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DEB-TACE</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cTACE</w:t>
            </w:r>
          </w:p>
        </w:tc>
        <w:tc>
          <w:tcPr>
            <w:tcW w:w="2126"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DOxorubicin</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30</w:t>
            </w:r>
          </w:p>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30</w:t>
            </w:r>
          </w:p>
        </w:tc>
        <w:tc>
          <w:tcPr>
            <w:tcW w:w="851"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R</w:t>
            </w:r>
          </w:p>
        </w:tc>
        <w:tc>
          <w:tcPr>
            <w:tcW w:w="1099" w:type="dxa"/>
            <w:shd w:val="clear" w:color="auto" w:fill="auto"/>
          </w:tcPr>
          <w:p w:rsidR="00C073F2" w:rsidRPr="00E14F98" w:rsidRDefault="00C073F2" w:rsidP="00E14F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E14F98">
              <w:rPr>
                <w:rFonts w:ascii="Book Antiqua" w:hAnsi="Book Antiqua" w:cs="Times New Roman"/>
                <w:sz w:val="24"/>
                <w:szCs w:val="24"/>
                <w:lang w:val="en-US"/>
              </w:rPr>
              <w:t>Spain</w:t>
            </w:r>
          </w:p>
        </w:tc>
      </w:tr>
      <w:tr w:rsidR="00C073F2" w:rsidRPr="00E14F98" w:rsidTr="00B9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gridSpan w:val="6"/>
            <w:tcBorders>
              <w:bottom w:val="single" w:sz="8" w:space="0" w:color="000000" w:themeColor="text1"/>
            </w:tcBorders>
            <w:shd w:val="clear" w:color="auto" w:fill="auto"/>
          </w:tcPr>
          <w:p w:rsidR="00C073F2" w:rsidRPr="00E14F98" w:rsidRDefault="00C073F2" w:rsidP="00B93BE0">
            <w:pPr>
              <w:spacing w:line="360" w:lineRule="auto"/>
              <w:jc w:val="both"/>
              <w:rPr>
                <w:rFonts w:ascii="Book Antiqua" w:hAnsi="Book Antiqua" w:cs="Times New Roman"/>
                <w:sz w:val="24"/>
                <w:szCs w:val="24"/>
                <w:lang w:val="en-US" w:eastAsia="zh-CN"/>
              </w:rPr>
            </w:pPr>
          </w:p>
        </w:tc>
      </w:tr>
    </w:tbl>
    <w:p w:rsidR="00B93BE0" w:rsidRPr="00B93BE0" w:rsidRDefault="00B93BE0" w:rsidP="00B93BE0">
      <w:pPr>
        <w:spacing w:line="360" w:lineRule="auto"/>
        <w:jc w:val="both"/>
        <w:rPr>
          <w:rFonts w:ascii="Book Antiqua" w:hAnsi="Book Antiqua"/>
          <w:sz w:val="24"/>
          <w:szCs w:val="24"/>
          <w:lang w:val="en-US"/>
        </w:rPr>
      </w:pPr>
      <w:r>
        <w:rPr>
          <w:rFonts w:ascii="Book Antiqua" w:hAnsi="Book Antiqua" w:hint="eastAsia"/>
          <w:sz w:val="24"/>
          <w:szCs w:val="24"/>
          <w:vertAlign w:val="superscript"/>
          <w:lang w:val="en-US" w:eastAsia="zh-CN"/>
        </w:rPr>
        <w:t>1</w:t>
      </w:r>
      <w:r w:rsidRPr="00B93BE0">
        <w:rPr>
          <w:rFonts w:ascii="Book Antiqua" w:hAnsi="Book Antiqua"/>
          <w:sz w:val="24"/>
          <w:szCs w:val="24"/>
          <w:lang w:val="en-US"/>
        </w:rPr>
        <w:t>Study conducted on transplanted patients</w:t>
      </w:r>
      <w:r>
        <w:rPr>
          <w:rFonts w:ascii="Book Antiqua" w:hAnsi="Book Antiqua" w:hint="eastAsia"/>
          <w:sz w:val="24"/>
          <w:szCs w:val="24"/>
          <w:lang w:val="en-US" w:eastAsia="zh-CN"/>
        </w:rPr>
        <w:t xml:space="preserve">. </w:t>
      </w:r>
      <w:r w:rsidRPr="00B93BE0">
        <w:rPr>
          <w:rFonts w:ascii="Book Antiqua" w:hAnsi="Book Antiqua"/>
          <w:sz w:val="24"/>
          <w:szCs w:val="24"/>
          <w:lang w:val="en-US"/>
        </w:rPr>
        <w:t>DEB-TACE</w:t>
      </w:r>
      <w:r>
        <w:rPr>
          <w:rFonts w:ascii="Book Antiqua" w:hAnsi="Book Antiqua" w:hint="eastAsia"/>
          <w:sz w:val="24"/>
          <w:szCs w:val="24"/>
          <w:lang w:val="en-US" w:eastAsia="zh-CN"/>
        </w:rPr>
        <w:t>:</w:t>
      </w:r>
      <w:r w:rsidRPr="00B93BE0">
        <w:rPr>
          <w:rFonts w:ascii="Book Antiqua" w:hAnsi="Book Antiqua"/>
          <w:sz w:val="24"/>
          <w:szCs w:val="24"/>
          <w:lang w:val="en-US"/>
        </w:rPr>
        <w:t xml:space="preserve"> Drug-eluting beads transarterial chemoembolization; cTACE</w:t>
      </w:r>
      <w:r>
        <w:rPr>
          <w:rFonts w:ascii="Book Antiqua" w:hAnsi="Book Antiqua" w:hint="eastAsia"/>
          <w:sz w:val="24"/>
          <w:szCs w:val="24"/>
          <w:lang w:val="en-US" w:eastAsia="zh-CN"/>
        </w:rPr>
        <w:t>:</w:t>
      </w:r>
      <w:r w:rsidRPr="00B93BE0">
        <w:rPr>
          <w:rFonts w:ascii="Book Antiqua" w:hAnsi="Book Antiqua"/>
          <w:sz w:val="24"/>
          <w:szCs w:val="24"/>
          <w:lang w:val="en-US"/>
        </w:rPr>
        <w:t xml:space="preserve"> </w:t>
      </w:r>
      <w:r>
        <w:rPr>
          <w:rFonts w:ascii="Book Antiqua" w:hAnsi="Book Antiqua" w:hint="eastAsia"/>
          <w:sz w:val="24"/>
          <w:szCs w:val="24"/>
          <w:lang w:val="en-US" w:eastAsia="zh-CN"/>
        </w:rPr>
        <w:t>C</w:t>
      </w:r>
      <w:r w:rsidRPr="00B93BE0">
        <w:rPr>
          <w:rFonts w:ascii="Book Antiqua" w:hAnsi="Book Antiqua"/>
          <w:sz w:val="24"/>
          <w:szCs w:val="24"/>
          <w:lang w:val="en-US"/>
        </w:rPr>
        <w:t>onventional transarterial chemoembolization; R</w:t>
      </w:r>
      <w:r>
        <w:rPr>
          <w:rFonts w:ascii="Book Antiqua" w:hAnsi="Book Antiqua" w:hint="eastAsia"/>
          <w:sz w:val="24"/>
          <w:szCs w:val="24"/>
          <w:lang w:val="en-US" w:eastAsia="zh-CN"/>
        </w:rPr>
        <w:t>:</w:t>
      </w:r>
      <w:r w:rsidRPr="00B93BE0">
        <w:rPr>
          <w:rFonts w:ascii="Book Antiqua" w:hAnsi="Book Antiqua"/>
          <w:sz w:val="24"/>
          <w:szCs w:val="24"/>
          <w:lang w:val="en-US"/>
        </w:rPr>
        <w:t xml:space="preserve"> </w:t>
      </w:r>
      <w:r>
        <w:rPr>
          <w:rFonts w:ascii="Book Antiqua" w:hAnsi="Book Antiqua" w:hint="eastAsia"/>
          <w:sz w:val="24"/>
          <w:szCs w:val="24"/>
          <w:lang w:val="en-US" w:eastAsia="zh-CN"/>
        </w:rPr>
        <w:t>R</w:t>
      </w:r>
      <w:r w:rsidRPr="00B93BE0">
        <w:rPr>
          <w:rFonts w:ascii="Book Antiqua" w:hAnsi="Book Antiqua"/>
          <w:sz w:val="24"/>
          <w:szCs w:val="24"/>
          <w:lang w:val="en-US"/>
        </w:rPr>
        <w:t>etrospective; RCT</w:t>
      </w:r>
      <w:r>
        <w:rPr>
          <w:rFonts w:ascii="Book Antiqua" w:hAnsi="Book Antiqua" w:hint="eastAsia"/>
          <w:sz w:val="24"/>
          <w:szCs w:val="24"/>
          <w:lang w:val="en-US" w:eastAsia="zh-CN"/>
        </w:rPr>
        <w:t>:</w:t>
      </w:r>
      <w:r w:rsidRPr="00B93BE0">
        <w:rPr>
          <w:rFonts w:ascii="Book Antiqua" w:hAnsi="Book Antiqua"/>
          <w:sz w:val="24"/>
          <w:szCs w:val="24"/>
          <w:lang w:val="en-US"/>
        </w:rPr>
        <w:t xml:space="preserve"> </w:t>
      </w:r>
      <w:r>
        <w:rPr>
          <w:rFonts w:ascii="Book Antiqua" w:hAnsi="Book Antiqua" w:hint="eastAsia"/>
          <w:sz w:val="24"/>
          <w:szCs w:val="24"/>
          <w:lang w:val="en-US" w:eastAsia="zh-CN"/>
        </w:rPr>
        <w:t>R</w:t>
      </w:r>
      <w:r w:rsidRPr="00B93BE0">
        <w:rPr>
          <w:rFonts w:ascii="Book Antiqua" w:hAnsi="Book Antiqua"/>
          <w:sz w:val="24"/>
          <w:szCs w:val="24"/>
          <w:lang w:val="en-US"/>
        </w:rPr>
        <w:t>andomizes controlled trial; P</w:t>
      </w:r>
      <w:r>
        <w:rPr>
          <w:rFonts w:ascii="Book Antiqua" w:hAnsi="Book Antiqua" w:hint="eastAsia"/>
          <w:sz w:val="24"/>
          <w:szCs w:val="24"/>
          <w:lang w:val="en-US" w:eastAsia="zh-CN"/>
        </w:rPr>
        <w:t>:</w:t>
      </w:r>
      <w:r w:rsidRPr="00B93BE0">
        <w:rPr>
          <w:rFonts w:ascii="Book Antiqua" w:hAnsi="Book Antiqua"/>
          <w:sz w:val="24"/>
          <w:szCs w:val="24"/>
          <w:lang w:val="en-US"/>
        </w:rPr>
        <w:t xml:space="preserve"> </w:t>
      </w:r>
      <w:r>
        <w:rPr>
          <w:rFonts w:ascii="Book Antiqua" w:hAnsi="Book Antiqua" w:hint="eastAsia"/>
          <w:sz w:val="24"/>
          <w:szCs w:val="24"/>
          <w:lang w:val="en-US" w:eastAsia="zh-CN"/>
        </w:rPr>
        <w:t>P</w:t>
      </w:r>
      <w:r w:rsidRPr="00B93BE0">
        <w:rPr>
          <w:rFonts w:ascii="Book Antiqua" w:hAnsi="Book Antiqua"/>
          <w:sz w:val="24"/>
          <w:szCs w:val="24"/>
          <w:lang w:val="en-US"/>
        </w:rPr>
        <w:t>rospective; CP</w:t>
      </w:r>
      <w:r>
        <w:rPr>
          <w:rFonts w:ascii="Book Antiqua" w:hAnsi="Book Antiqua" w:hint="eastAsia"/>
          <w:sz w:val="24"/>
          <w:szCs w:val="24"/>
          <w:lang w:val="en-US" w:eastAsia="zh-CN"/>
        </w:rPr>
        <w:t>:</w:t>
      </w:r>
      <w:r w:rsidRPr="00B93BE0">
        <w:rPr>
          <w:rFonts w:ascii="Book Antiqua" w:hAnsi="Book Antiqua"/>
          <w:sz w:val="24"/>
          <w:szCs w:val="24"/>
          <w:lang w:val="en-US"/>
        </w:rPr>
        <w:t xml:space="preserve"> Child-Pugh; BCLC</w:t>
      </w:r>
      <w:r>
        <w:rPr>
          <w:rFonts w:ascii="Book Antiqua" w:hAnsi="Book Antiqua" w:hint="eastAsia"/>
          <w:sz w:val="24"/>
          <w:szCs w:val="24"/>
          <w:lang w:val="en-US" w:eastAsia="zh-CN"/>
        </w:rPr>
        <w:t>:</w:t>
      </w:r>
      <w:r w:rsidRPr="00B93BE0">
        <w:rPr>
          <w:rFonts w:ascii="Book Antiqua" w:hAnsi="Book Antiqua"/>
          <w:sz w:val="24"/>
          <w:szCs w:val="24"/>
          <w:lang w:val="en-US"/>
        </w:rPr>
        <w:t xml:space="preserve"> Barcelona Clinic Liver Cancer; NA</w:t>
      </w:r>
      <w:r>
        <w:rPr>
          <w:rFonts w:ascii="Book Antiqua" w:hAnsi="Book Antiqua" w:hint="eastAsia"/>
          <w:sz w:val="24"/>
          <w:szCs w:val="24"/>
          <w:lang w:val="en-US" w:eastAsia="zh-CN"/>
        </w:rPr>
        <w:t>:</w:t>
      </w:r>
      <w:r w:rsidRPr="00B93BE0">
        <w:rPr>
          <w:rFonts w:ascii="Book Antiqua" w:hAnsi="Book Antiqua"/>
          <w:sz w:val="24"/>
          <w:szCs w:val="24"/>
          <w:lang w:val="en-US"/>
        </w:rPr>
        <w:t xml:space="preserve"> </w:t>
      </w:r>
      <w:r>
        <w:rPr>
          <w:rFonts w:ascii="Book Antiqua" w:hAnsi="Book Antiqua" w:hint="eastAsia"/>
          <w:sz w:val="24"/>
          <w:szCs w:val="24"/>
          <w:lang w:val="en-US" w:eastAsia="zh-CN"/>
        </w:rPr>
        <w:t>N</w:t>
      </w:r>
      <w:r w:rsidRPr="00B93BE0">
        <w:rPr>
          <w:rFonts w:ascii="Book Antiqua" w:hAnsi="Book Antiqua"/>
          <w:sz w:val="24"/>
          <w:szCs w:val="24"/>
          <w:lang w:val="en-US"/>
        </w:rPr>
        <w:t>ot available.</w:t>
      </w:r>
    </w:p>
    <w:p w:rsidR="00C073F2" w:rsidRPr="00E14F98" w:rsidRDefault="00C073F2" w:rsidP="00E14F98">
      <w:pPr>
        <w:spacing w:after="0" w:line="360" w:lineRule="auto"/>
        <w:jc w:val="both"/>
        <w:rPr>
          <w:rFonts w:ascii="Book Antiqua" w:hAnsi="Book Antiqua"/>
          <w:sz w:val="24"/>
          <w:szCs w:val="24"/>
          <w:lang w:val="en-US" w:eastAsia="zh-CN"/>
        </w:rPr>
      </w:pPr>
    </w:p>
    <w:sectPr w:rsidR="00C073F2" w:rsidRPr="00E14F9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65" w:rsidRDefault="00D64865" w:rsidP="00810179">
      <w:pPr>
        <w:spacing w:after="0" w:line="240" w:lineRule="auto"/>
      </w:pPr>
      <w:r>
        <w:separator/>
      </w:r>
    </w:p>
  </w:endnote>
  <w:endnote w:type="continuationSeparator" w:id="0">
    <w:p w:rsidR="00D64865" w:rsidRDefault="00D64865" w:rsidP="0081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65" w:rsidRDefault="00D64865" w:rsidP="00810179">
      <w:pPr>
        <w:spacing w:after="0" w:line="240" w:lineRule="auto"/>
      </w:pPr>
      <w:r>
        <w:separator/>
      </w:r>
    </w:p>
  </w:footnote>
  <w:footnote w:type="continuationSeparator" w:id="0">
    <w:p w:rsidR="00D64865" w:rsidRDefault="00D64865" w:rsidP="008101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73699"/>
      <w:docPartObj>
        <w:docPartGallery w:val="Page Numbers (Top of Page)"/>
        <w:docPartUnique/>
      </w:docPartObj>
    </w:sdtPr>
    <w:sdtEndPr/>
    <w:sdtContent>
      <w:p w:rsidR="00B93BE0" w:rsidRDefault="00B93BE0">
        <w:pPr>
          <w:pStyle w:val="Header"/>
          <w:jc w:val="right"/>
        </w:pPr>
        <w:r>
          <w:fldChar w:fldCharType="begin"/>
        </w:r>
        <w:r>
          <w:instrText>PAGE   \* MERGEFORMAT</w:instrText>
        </w:r>
        <w:r>
          <w:fldChar w:fldCharType="separate"/>
        </w:r>
        <w:r w:rsidR="00E365A6">
          <w:rPr>
            <w:noProof/>
          </w:rPr>
          <w:t>33</w:t>
        </w:r>
        <w:r>
          <w:fldChar w:fldCharType="end"/>
        </w:r>
      </w:p>
    </w:sdtContent>
  </w:sdt>
  <w:p w:rsidR="00B93BE0" w:rsidRDefault="00B93B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69D6"/>
    <w:multiLevelType w:val="hybridMultilevel"/>
    <w:tmpl w:val="06C65D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3947C8"/>
    <w:multiLevelType w:val="hybridMultilevel"/>
    <w:tmpl w:val="05C0E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9D45FD"/>
    <w:multiLevelType w:val="hybridMultilevel"/>
    <w:tmpl w:val="9314FB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E0D2A2B"/>
    <w:multiLevelType w:val="hybridMultilevel"/>
    <w:tmpl w:val="D93ED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8A"/>
    <w:rsid w:val="0000215E"/>
    <w:rsid w:val="000038FB"/>
    <w:rsid w:val="00004D20"/>
    <w:rsid w:val="00005347"/>
    <w:rsid w:val="00005A66"/>
    <w:rsid w:val="0000604C"/>
    <w:rsid w:val="00006704"/>
    <w:rsid w:val="00007441"/>
    <w:rsid w:val="00011E66"/>
    <w:rsid w:val="00012CF0"/>
    <w:rsid w:val="00013D60"/>
    <w:rsid w:val="000149A7"/>
    <w:rsid w:val="00014AD8"/>
    <w:rsid w:val="00017379"/>
    <w:rsid w:val="00017F67"/>
    <w:rsid w:val="00020BF3"/>
    <w:rsid w:val="000236C7"/>
    <w:rsid w:val="00023BCD"/>
    <w:rsid w:val="000241E5"/>
    <w:rsid w:val="00024EB3"/>
    <w:rsid w:val="000251DB"/>
    <w:rsid w:val="00025681"/>
    <w:rsid w:val="0003111C"/>
    <w:rsid w:val="000327FF"/>
    <w:rsid w:val="00040020"/>
    <w:rsid w:val="0004091E"/>
    <w:rsid w:val="00042E0B"/>
    <w:rsid w:val="0004349F"/>
    <w:rsid w:val="00044B40"/>
    <w:rsid w:val="00045E60"/>
    <w:rsid w:val="00050CFA"/>
    <w:rsid w:val="00052E54"/>
    <w:rsid w:val="00053940"/>
    <w:rsid w:val="00053DDB"/>
    <w:rsid w:val="000545CE"/>
    <w:rsid w:val="0005523A"/>
    <w:rsid w:val="00055EF9"/>
    <w:rsid w:val="00056D9E"/>
    <w:rsid w:val="00057EA3"/>
    <w:rsid w:val="00061A93"/>
    <w:rsid w:val="000622AD"/>
    <w:rsid w:val="00062FB6"/>
    <w:rsid w:val="00063066"/>
    <w:rsid w:val="000638F1"/>
    <w:rsid w:val="00065A05"/>
    <w:rsid w:val="000669E6"/>
    <w:rsid w:val="00067472"/>
    <w:rsid w:val="000721A8"/>
    <w:rsid w:val="00072B18"/>
    <w:rsid w:val="000760C9"/>
    <w:rsid w:val="0007677B"/>
    <w:rsid w:val="00077AEE"/>
    <w:rsid w:val="00077BFC"/>
    <w:rsid w:val="00083C33"/>
    <w:rsid w:val="00085E42"/>
    <w:rsid w:val="00090EFF"/>
    <w:rsid w:val="0009162C"/>
    <w:rsid w:val="00091FE5"/>
    <w:rsid w:val="00093335"/>
    <w:rsid w:val="00096FCA"/>
    <w:rsid w:val="00097094"/>
    <w:rsid w:val="000A00DC"/>
    <w:rsid w:val="000A09C6"/>
    <w:rsid w:val="000A3385"/>
    <w:rsid w:val="000A349D"/>
    <w:rsid w:val="000A5E30"/>
    <w:rsid w:val="000A7363"/>
    <w:rsid w:val="000B3229"/>
    <w:rsid w:val="000B3920"/>
    <w:rsid w:val="000B4D28"/>
    <w:rsid w:val="000B5174"/>
    <w:rsid w:val="000B5476"/>
    <w:rsid w:val="000B5CF2"/>
    <w:rsid w:val="000B690C"/>
    <w:rsid w:val="000C175F"/>
    <w:rsid w:val="000C3981"/>
    <w:rsid w:val="000C6262"/>
    <w:rsid w:val="000C6B2D"/>
    <w:rsid w:val="000C7B98"/>
    <w:rsid w:val="000D316F"/>
    <w:rsid w:val="000D5581"/>
    <w:rsid w:val="000D563C"/>
    <w:rsid w:val="000D6789"/>
    <w:rsid w:val="000D6D23"/>
    <w:rsid w:val="000E1E3F"/>
    <w:rsid w:val="000E3404"/>
    <w:rsid w:val="000E48E0"/>
    <w:rsid w:val="000E55C1"/>
    <w:rsid w:val="000E5669"/>
    <w:rsid w:val="000E6E01"/>
    <w:rsid w:val="000E78F9"/>
    <w:rsid w:val="000F0594"/>
    <w:rsid w:val="000F3EA5"/>
    <w:rsid w:val="000F4B77"/>
    <w:rsid w:val="000F6597"/>
    <w:rsid w:val="000F72F1"/>
    <w:rsid w:val="000F7765"/>
    <w:rsid w:val="000F7B8F"/>
    <w:rsid w:val="00102133"/>
    <w:rsid w:val="00103204"/>
    <w:rsid w:val="001044E6"/>
    <w:rsid w:val="001057EC"/>
    <w:rsid w:val="001065B7"/>
    <w:rsid w:val="00111B59"/>
    <w:rsid w:val="00111CCF"/>
    <w:rsid w:val="00112740"/>
    <w:rsid w:val="0011610C"/>
    <w:rsid w:val="00117E99"/>
    <w:rsid w:val="00120195"/>
    <w:rsid w:val="00120438"/>
    <w:rsid w:val="00121793"/>
    <w:rsid w:val="00122EF6"/>
    <w:rsid w:val="001247D5"/>
    <w:rsid w:val="00130621"/>
    <w:rsid w:val="00130794"/>
    <w:rsid w:val="00131D9B"/>
    <w:rsid w:val="001326D3"/>
    <w:rsid w:val="001331CD"/>
    <w:rsid w:val="00133921"/>
    <w:rsid w:val="00134B4E"/>
    <w:rsid w:val="001369E7"/>
    <w:rsid w:val="00141392"/>
    <w:rsid w:val="00141489"/>
    <w:rsid w:val="00142B91"/>
    <w:rsid w:val="00152473"/>
    <w:rsid w:val="001538DD"/>
    <w:rsid w:val="0015465F"/>
    <w:rsid w:val="00154A76"/>
    <w:rsid w:val="00155DF9"/>
    <w:rsid w:val="00157240"/>
    <w:rsid w:val="001603B2"/>
    <w:rsid w:val="001605F5"/>
    <w:rsid w:val="00166BD4"/>
    <w:rsid w:val="001671B9"/>
    <w:rsid w:val="0017000A"/>
    <w:rsid w:val="00170761"/>
    <w:rsid w:val="001709EC"/>
    <w:rsid w:val="00171175"/>
    <w:rsid w:val="00176D45"/>
    <w:rsid w:val="001778D6"/>
    <w:rsid w:val="00181E2E"/>
    <w:rsid w:val="00181EBC"/>
    <w:rsid w:val="00183020"/>
    <w:rsid w:val="00184CBB"/>
    <w:rsid w:val="00186AE1"/>
    <w:rsid w:val="00186C4A"/>
    <w:rsid w:val="00190554"/>
    <w:rsid w:val="0019240C"/>
    <w:rsid w:val="001959E5"/>
    <w:rsid w:val="00197572"/>
    <w:rsid w:val="001A100A"/>
    <w:rsid w:val="001A4850"/>
    <w:rsid w:val="001A6FEF"/>
    <w:rsid w:val="001B1AE0"/>
    <w:rsid w:val="001B3D4B"/>
    <w:rsid w:val="001B40FA"/>
    <w:rsid w:val="001B546A"/>
    <w:rsid w:val="001B7BC7"/>
    <w:rsid w:val="001C37CA"/>
    <w:rsid w:val="001C3D94"/>
    <w:rsid w:val="001C5149"/>
    <w:rsid w:val="001C7542"/>
    <w:rsid w:val="001D1655"/>
    <w:rsid w:val="001D2C51"/>
    <w:rsid w:val="001D3FA2"/>
    <w:rsid w:val="001D426C"/>
    <w:rsid w:val="001D5307"/>
    <w:rsid w:val="001D556E"/>
    <w:rsid w:val="001D570A"/>
    <w:rsid w:val="001E1EC1"/>
    <w:rsid w:val="001E2350"/>
    <w:rsid w:val="001F1E3F"/>
    <w:rsid w:val="001F2FB9"/>
    <w:rsid w:val="001F3367"/>
    <w:rsid w:val="001F40E9"/>
    <w:rsid w:val="001F46B6"/>
    <w:rsid w:val="001F4AEC"/>
    <w:rsid w:val="00200063"/>
    <w:rsid w:val="00201B92"/>
    <w:rsid w:val="00203804"/>
    <w:rsid w:val="00203AD8"/>
    <w:rsid w:val="0020673C"/>
    <w:rsid w:val="0021378C"/>
    <w:rsid w:val="0021426F"/>
    <w:rsid w:val="0021578F"/>
    <w:rsid w:val="00216B56"/>
    <w:rsid w:val="0021753C"/>
    <w:rsid w:val="002176EF"/>
    <w:rsid w:val="00221885"/>
    <w:rsid w:val="00221DE9"/>
    <w:rsid w:val="00224433"/>
    <w:rsid w:val="00230710"/>
    <w:rsid w:val="00230ABB"/>
    <w:rsid w:val="00236BC2"/>
    <w:rsid w:val="00237476"/>
    <w:rsid w:val="00244791"/>
    <w:rsid w:val="00245983"/>
    <w:rsid w:val="0024607B"/>
    <w:rsid w:val="00246AC9"/>
    <w:rsid w:val="00252A8B"/>
    <w:rsid w:val="00252E03"/>
    <w:rsid w:val="00254828"/>
    <w:rsid w:val="00254ECA"/>
    <w:rsid w:val="00261A1A"/>
    <w:rsid w:val="0027089C"/>
    <w:rsid w:val="00271614"/>
    <w:rsid w:val="00272F15"/>
    <w:rsid w:val="002739B2"/>
    <w:rsid w:val="00274AAA"/>
    <w:rsid w:val="00274BD2"/>
    <w:rsid w:val="002776B9"/>
    <w:rsid w:val="00277A72"/>
    <w:rsid w:val="00277E5A"/>
    <w:rsid w:val="00280615"/>
    <w:rsid w:val="00280791"/>
    <w:rsid w:val="00280F80"/>
    <w:rsid w:val="00281228"/>
    <w:rsid w:val="00282417"/>
    <w:rsid w:val="00282E7E"/>
    <w:rsid w:val="0028506F"/>
    <w:rsid w:val="00285206"/>
    <w:rsid w:val="002860BD"/>
    <w:rsid w:val="00286C32"/>
    <w:rsid w:val="00287F39"/>
    <w:rsid w:val="00290EA4"/>
    <w:rsid w:val="00291A85"/>
    <w:rsid w:val="0029661A"/>
    <w:rsid w:val="00296B50"/>
    <w:rsid w:val="002A0BFC"/>
    <w:rsid w:val="002A117C"/>
    <w:rsid w:val="002A375C"/>
    <w:rsid w:val="002A3B74"/>
    <w:rsid w:val="002A4D3B"/>
    <w:rsid w:val="002B1739"/>
    <w:rsid w:val="002B1B62"/>
    <w:rsid w:val="002B25D0"/>
    <w:rsid w:val="002B409E"/>
    <w:rsid w:val="002B42EA"/>
    <w:rsid w:val="002B4DFC"/>
    <w:rsid w:val="002B5651"/>
    <w:rsid w:val="002B56FA"/>
    <w:rsid w:val="002B7D3C"/>
    <w:rsid w:val="002C1DBC"/>
    <w:rsid w:val="002C2287"/>
    <w:rsid w:val="002C2CCB"/>
    <w:rsid w:val="002C3920"/>
    <w:rsid w:val="002C4EAB"/>
    <w:rsid w:val="002C6563"/>
    <w:rsid w:val="002C6739"/>
    <w:rsid w:val="002D2867"/>
    <w:rsid w:val="002D52DA"/>
    <w:rsid w:val="002D575D"/>
    <w:rsid w:val="002D5799"/>
    <w:rsid w:val="002D6B5D"/>
    <w:rsid w:val="002E055A"/>
    <w:rsid w:val="002E0FAD"/>
    <w:rsid w:val="002E132D"/>
    <w:rsid w:val="002E1A00"/>
    <w:rsid w:val="002E30F8"/>
    <w:rsid w:val="002E4A18"/>
    <w:rsid w:val="002E5140"/>
    <w:rsid w:val="002E6FBE"/>
    <w:rsid w:val="002E7669"/>
    <w:rsid w:val="002F1305"/>
    <w:rsid w:val="002F1663"/>
    <w:rsid w:val="002F56F9"/>
    <w:rsid w:val="002F7FBB"/>
    <w:rsid w:val="00300894"/>
    <w:rsid w:val="00300A16"/>
    <w:rsid w:val="00300F3B"/>
    <w:rsid w:val="0030121A"/>
    <w:rsid w:val="00302803"/>
    <w:rsid w:val="003033DD"/>
    <w:rsid w:val="00303F71"/>
    <w:rsid w:val="00304E95"/>
    <w:rsid w:val="00305E4B"/>
    <w:rsid w:val="003060C5"/>
    <w:rsid w:val="0031009B"/>
    <w:rsid w:val="00310622"/>
    <w:rsid w:val="0031469E"/>
    <w:rsid w:val="00314A0D"/>
    <w:rsid w:val="00315311"/>
    <w:rsid w:val="00315438"/>
    <w:rsid w:val="00315F74"/>
    <w:rsid w:val="00320C25"/>
    <w:rsid w:val="003215FD"/>
    <w:rsid w:val="00321A67"/>
    <w:rsid w:val="0032339B"/>
    <w:rsid w:val="0032442B"/>
    <w:rsid w:val="003323F4"/>
    <w:rsid w:val="0033321F"/>
    <w:rsid w:val="00334E60"/>
    <w:rsid w:val="00334FD3"/>
    <w:rsid w:val="00335989"/>
    <w:rsid w:val="0034026E"/>
    <w:rsid w:val="003403DE"/>
    <w:rsid w:val="00342AC2"/>
    <w:rsid w:val="00344992"/>
    <w:rsid w:val="00345D23"/>
    <w:rsid w:val="00346013"/>
    <w:rsid w:val="003467C0"/>
    <w:rsid w:val="003473FB"/>
    <w:rsid w:val="003524FE"/>
    <w:rsid w:val="003528BC"/>
    <w:rsid w:val="00354BC4"/>
    <w:rsid w:val="0035571A"/>
    <w:rsid w:val="00357DA2"/>
    <w:rsid w:val="003613E5"/>
    <w:rsid w:val="00361DF1"/>
    <w:rsid w:val="00362B42"/>
    <w:rsid w:val="00362D37"/>
    <w:rsid w:val="003632DE"/>
    <w:rsid w:val="0036724B"/>
    <w:rsid w:val="00376B6D"/>
    <w:rsid w:val="00382361"/>
    <w:rsid w:val="00384609"/>
    <w:rsid w:val="00392B07"/>
    <w:rsid w:val="003931CE"/>
    <w:rsid w:val="003953C5"/>
    <w:rsid w:val="003A0455"/>
    <w:rsid w:val="003A13B9"/>
    <w:rsid w:val="003A1B07"/>
    <w:rsid w:val="003A378F"/>
    <w:rsid w:val="003A4947"/>
    <w:rsid w:val="003A4E1D"/>
    <w:rsid w:val="003A5E08"/>
    <w:rsid w:val="003A705B"/>
    <w:rsid w:val="003B055E"/>
    <w:rsid w:val="003B0E23"/>
    <w:rsid w:val="003B1D25"/>
    <w:rsid w:val="003B2D27"/>
    <w:rsid w:val="003B2E0A"/>
    <w:rsid w:val="003B3185"/>
    <w:rsid w:val="003B5C24"/>
    <w:rsid w:val="003C0777"/>
    <w:rsid w:val="003C4A97"/>
    <w:rsid w:val="003C4D9C"/>
    <w:rsid w:val="003C5B18"/>
    <w:rsid w:val="003C655E"/>
    <w:rsid w:val="003D2ED8"/>
    <w:rsid w:val="003D359B"/>
    <w:rsid w:val="003D4348"/>
    <w:rsid w:val="003D4790"/>
    <w:rsid w:val="003D5866"/>
    <w:rsid w:val="003E1239"/>
    <w:rsid w:val="003E43B6"/>
    <w:rsid w:val="003F0C2E"/>
    <w:rsid w:val="003F1543"/>
    <w:rsid w:val="003F1C77"/>
    <w:rsid w:val="003F1E83"/>
    <w:rsid w:val="003F2237"/>
    <w:rsid w:val="00410401"/>
    <w:rsid w:val="00412A64"/>
    <w:rsid w:val="00412FA6"/>
    <w:rsid w:val="00414B2E"/>
    <w:rsid w:val="00415101"/>
    <w:rsid w:val="00416CE5"/>
    <w:rsid w:val="004217D8"/>
    <w:rsid w:val="00423D12"/>
    <w:rsid w:val="00425953"/>
    <w:rsid w:val="00430190"/>
    <w:rsid w:val="004357E1"/>
    <w:rsid w:val="00436CD7"/>
    <w:rsid w:val="0043705F"/>
    <w:rsid w:val="00437741"/>
    <w:rsid w:val="004377A2"/>
    <w:rsid w:val="00441583"/>
    <w:rsid w:val="004423BB"/>
    <w:rsid w:val="00443BE1"/>
    <w:rsid w:val="00450627"/>
    <w:rsid w:val="00450758"/>
    <w:rsid w:val="00452D13"/>
    <w:rsid w:val="00452FB3"/>
    <w:rsid w:val="004530C2"/>
    <w:rsid w:val="00453BD8"/>
    <w:rsid w:val="00453E64"/>
    <w:rsid w:val="00455525"/>
    <w:rsid w:val="00456611"/>
    <w:rsid w:val="004578DD"/>
    <w:rsid w:val="004648B6"/>
    <w:rsid w:val="00466E7A"/>
    <w:rsid w:val="0047146B"/>
    <w:rsid w:val="00471FDD"/>
    <w:rsid w:val="00473708"/>
    <w:rsid w:val="00477080"/>
    <w:rsid w:val="004806E5"/>
    <w:rsid w:val="004811D8"/>
    <w:rsid w:val="00482F88"/>
    <w:rsid w:val="00484B48"/>
    <w:rsid w:val="00485AF3"/>
    <w:rsid w:val="004862EE"/>
    <w:rsid w:val="00490C64"/>
    <w:rsid w:val="00490EEF"/>
    <w:rsid w:val="00491BDE"/>
    <w:rsid w:val="0049226B"/>
    <w:rsid w:val="0049230E"/>
    <w:rsid w:val="0049378B"/>
    <w:rsid w:val="004937A5"/>
    <w:rsid w:val="004940FA"/>
    <w:rsid w:val="0049544F"/>
    <w:rsid w:val="0049586B"/>
    <w:rsid w:val="00496E90"/>
    <w:rsid w:val="004A2E5C"/>
    <w:rsid w:val="004A6BAE"/>
    <w:rsid w:val="004B4A4E"/>
    <w:rsid w:val="004B4E48"/>
    <w:rsid w:val="004C0C53"/>
    <w:rsid w:val="004C0D6C"/>
    <w:rsid w:val="004C1289"/>
    <w:rsid w:val="004C1CE8"/>
    <w:rsid w:val="004C1E7D"/>
    <w:rsid w:val="004C2AEB"/>
    <w:rsid w:val="004C30E4"/>
    <w:rsid w:val="004D1B3C"/>
    <w:rsid w:val="004D2003"/>
    <w:rsid w:val="004E26F5"/>
    <w:rsid w:val="004E40BC"/>
    <w:rsid w:val="004E5D38"/>
    <w:rsid w:val="004E62F8"/>
    <w:rsid w:val="004E647A"/>
    <w:rsid w:val="004F191B"/>
    <w:rsid w:val="004F2297"/>
    <w:rsid w:val="004F344D"/>
    <w:rsid w:val="004F3B00"/>
    <w:rsid w:val="004F3F11"/>
    <w:rsid w:val="004F62B4"/>
    <w:rsid w:val="004F7CD1"/>
    <w:rsid w:val="0050409F"/>
    <w:rsid w:val="00504A97"/>
    <w:rsid w:val="0050608B"/>
    <w:rsid w:val="00507496"/>
    <w:rsid w:val="00507845"/>
    <w:rsid w:val="00510E12"/>
    <w:rsid w:val="00514911"/>
    <w:rsid w:val="00516BB9"/>
    <w:rsid w:val="00517827"/>
    <w:rsid w:val="00517D0F"/>
    <w:rsid w:val="0052233C"/>
    <w:rsid w:val="00522DA3"/>
    <w:rsid w:val="0052465B"/>
    <w:rsid w:val="00525FD5"/>
    <w:rsid w:val="00527628"/>
    <w:rsid w:val="005334A5"/>
    <w:rsid w:val="0054167B"/>
    <w:rsid w:val="00541E39"/>
    <w:rsid w:val="00542EB9"/>
    <w:rsid w:val="005435D8"/>
    <w:rsid w:val="00545AF6"/>
    <w:rsid w:val="00545BEE"/>
    <w:rsid w:val="00546EC1"/>
    <w:rsid w:val="005515B1"/>
    <w:rsid w:val="005523CF"/>
    <w:rsid w:val="0055472A"/>
    <w:rsid w:val="005557FE"/>
    <w:rsid w:val="00555DB1"/>
    <w:rsid w:val="005563E3"/>
    <w:rsid w:val="0055648A"/>
    <w:rsid w:val="005579B1"/>
    <w:rsid w:val="00561209"/>
    <w:rsid w:val="0056132B"/>
    <w:rsid w:val="00564502"/>
    <w:rsid w:val="005776EF"/>
    <w:rsid w:val="005818B3"/>
    <w:rsid w:val="00581C67"/>
    <w:rsid w:val="00583EF7"/>
    <w:rsid w:val="00585BEE"/>
    <w:rsid w:val="0058744E"/>
    <w:rsid w:val="005938FC"/>
    <w:rsid w:val="005941BD"/>
    <w:rsid w:val="00595236"/>
    <w:rsid w:val="005A389F"/>
    <w:rsid w:val="005A48A0"/>
    <w:rsid w:val="005A56B6"/>
    <w:rsid w:val="005A6C28"/>
    <w:rsid w:val="005A6FAB"/>
    <w:rsid w:val="005B1404"/>
    <w:rsid w:val="005B4200"/>
    <w:rsid w:val="005B50F2"/>
    <w:rsid w:val="005C0DD6"/>
    <w:rsid w:val="005C1A3D"/>
    <w:rsid w:val="005C2CC0"/>
    <w:rsid w:val="005C4659"/>
    <w:rsid w:val="005C6159"/>
    <w:rsid w:val="005D1252"/>
    <w:rsid w:val="005D24C1"/>
    <w:rsid w:val="005D3E57"/>
    <w:rsid w:val="005D4679"/>
    <w:rsid w:val="005D5D64"/>
    <w:rsid w:val="005D7064"/>
    <w:rsid w:val="005D70E5"/>
    <w:rsid w:val="005E0741"/>
    <w:rsid w:val="005E1995"/>
    <w:rsid w:val="005E3545"/>
    <w:rsid w:val="005E360B"/>
    <w:rsid w:val="005E3983"/>
    <w:rsid w:val="005E3ED7"/>
    <w:rsid w:val="005E5DF7"/>
    <w:rsid w:val="005E6B18"/>
    <w:rsid w:val="005E79FB"/>
    <w:rsid w:val="005E7B8E"/>
    <w:rsid w:val="005F2149"/>
    <w:rsid w:val="005F735F"/>
    <w:rsid w:val="00600BD8"/>
    <w:rsid w:val="00601071"/>
    <w:rsid w:val="00601875"/>
    <w:rsid w:val="00605DCB"/>
    <w:rsid w:val="00606312"/>
    <w:rsid w:val="0060666E"/>
    <w:rsid w:val="006067FC"/>
    <w:rsid w:val="00607A16"/>
    <w:rsid w:val="00610506"/>
    <w:rsid w:val="00612A16"/>
    <w:rsid w:val="00615105"/>
    <w:rsid w:val="00615CB3"/>
    <w:rsid w:val="00616310"/>
    <w:rsid w:val="006262D3"/>
    <w:rsid w:val="006266B7"/>
    <w:rsid w:val="00626DD0"/>
    <w:rsid w:val="00631C26"/>
    <w:rsid w:val="00633A04"/>
    <w:rsid w:val="00643F1D"/>
    <w:rsid w:val="006441EB"/>
    <w:rsid w:val="0064431A"/>
    <w:rsid w:val="00644ACE"/>
    <w:rsid w:val="0065107D"/>
    <w:rsid w:val="00651905"/>
    <w:rsid w:val="00652263"/>
    <w:rsid w:val="006529D5"/>
    <w:rsid w:val="0065622F"/>
    <w:rsid w:val="006567ED"/>
    <w:rsid w:val="006607B1"/>
    <w:rsid w:val="006623CE"/>
    <w:rsid w:val="006652D5"/>
    <w:rsid w:val="006670AB"/>
    <w:rsid w:val="006725B8"/>
    <w:rsid w:val="00672EDE"/>
    <w:rsid w:val="00673B9C"/>
    <w:rsid w:val="006771EB"/>
    <w:rsid w:val="00683383"/>
    <w:rsid w:val="00683E52"/>
    <w:rsid w:val="00684F2B"/>
    <w:rsid w:val="00686A5E"/>
    <w:rsid w:val="00690977"/>
    <w:rsid w:val="0069390A"/>
    <w:rsid w:val="00695E57"/>
    <w:rsid w:val="006A050D"/>
    <w:rsid w:val="006A38D2"/>
    <w:rsid w:val="006A4A7E"/>
    <w:rsid w:val="006A4E5C"/>
    <w:rsid w:val="006A6660"/>
    <w:rsid w:val="006A691E"/>
    <w:rsid w:val="006B36B2"/>
    <w:rsid w:val="006B4011"/>
    <w:rsid w:val="006B403A"/>
    <w:rsid w:val="006B4AA7"/>
    <w:rsid w:val="006B7FE8"/>
    <w:rsid w:val="006C2B12"/>
    <w:rsid w:val="006C3961"/>
    <w:rsid w:val="006C403D"/>
    <w:rsid w:val="006C6464"/>
    <w:rsid w:val="006D1A70"/>
    <w:rsid w:val="006D3B56"/>
    <w:rsid w:val="006D4440"/>
    <w:rsid w:val="006D537D"/>
    <w:rsid w:val="006D5901"/>
    <w:rsid w:val="006D64C5"/>
    <w:rsid w:val="006E107B"/>
    <w:rsid w:val="006E33D0"/>
    <w:rsid w:val="006E4BE4"/>
    <w:rsid w:val="006E5EF7"/>
    <w:rsid w:val="006E62AF"/>
    <w:rsid w:val="006F34FC"/>
    <w:rsid w:val="006F490E"/>
    <w:rsid w:val="006F5850"/>
    <w:rsid w:val="006F58FB"/>
    <w:rsid w:val="006F5EBE"/>
    <w:rsid w:val="006F74FA"/>
    <w:rsid w:val="006F7AFE"/>
    <w:rsid w:val="006F7B91"/>
    <w:rsid w:val="0070058C"/>
    <w:rsid w:val="00700980"/>
    <w:rsid w:val="00700CBB"/>
    <w:rsid w:val="0070151B"/>
    <w:rsid w:val="00701D1C"/>
    <w:rsid w:val="00702D75"/>
    <w:rsid w:val="00703031"/>
    <w:rsid w:val="00705765"/>
    <w:rsid w:val="00707477"/>
    <w:rsid w:val="007124C8"/>
    <w:rsid w:val="00713030"/>
    <w:rsid w:val="00713827"/>
    <w:rsid w:val="00715DCE"/>
    <w:rsid w:val="00715EC8"/>
    <w:rsid w:val="00717ECA"/>
    <w:rsid w:val="00721E98"/>
    <w:rsid w:val="007231B5"/>
    <w:rsid w:val="007242AF"/>
    <w:rsid w:val="00725E37"/>
    <w:rsid w:val="00726B4A"/>
    <w:rsid w:val="0073133E"/>
    <w:rsid w:val="007316FA"/>
    <w:rsid w:val="00731ADC"/>
    <w:rsid w:val="00734D14"/>
    <w:rsid w:val="00734F73"/>
    <w:rsid w:val="00735B5D"/>
    <w:rsid w:val="00741E24"/>
    <w:rsid w:val="00743729"/>
    <w:rsid w:val="00743743"/>
    <w:rsid w:val="0074482A"/>
    <w:rsid w:val="00745D01"/>
    <w:rsid w:val="00745DA8"/>
    <w:rsid w:val="007474C6"/>
    <w:rsid w:val="00747C10"/>
    <w:rsid w:val="007513B5"/>
    <w:rsid w:val="007518A1"/>
    <w:rsid w:val="007524EA"/>
    <w:rsid w:val="007549F0"/>
    <w:rsid w:val="00762C08"/>
    <w:rsid w:val="00763036"/>
    <w:rsid w:val="00772402"/>
    <w:rsid w:val="00773E67"/>
    <w:rsid w:val="007750B1"/>
    <w:rsid w:val="007776DE"/>
    <w:rsid w:val="00777AB4"/>
    <w:rsid w:val="007834D0"/>
    <w:rsid w:val="0078512A"/>
    <w:rsid w:val="00785D62"/>
    <w:rsid w:val="007873AD"/>
    <w:rsid w:val="00792B4A"/>
    <w:rsid w:val="00794976"/>
    <w:rsid w:val="00797E00"/>
    <w:rsid w:val="007A4BEF"/>
    <w:rsid w:val="007A6981"/>
    <w:rsid w:val="007A6E17"/>
    <w:rsid w:val="007B0A64"/>
    <w:rsid w:val="007B1DAA"/>
    <w:rsid w:val="007B2AA4"/>
    <w:rsid w:val="007B464E"/>
    <w:rsid w:val="007B60C9"/>
    <w:rsid w:val="007B783D"/>
    <w:rsid w:val="007C1769"/>
    <w:rsid w:val="007C3144"/>
    <w:rsid w:val="007C3BBE"/>
    <w:rsid w:val="007C5D0C"/>
    <w:rsid w:val="007C776D"/>
    <w:rsid w:val="007D1FB4"/>
    <w:rsid w:val="007D278A"/>
    <w:rsid w:val="007D34FB"/>
    <w:rsid w:val="007D6015"/>
    <w:rsid w:val="007D6A56"/>
    <w:rsid w:val="007D6C00"/>
    <w:rsid w:val="007E0237"/>
    <w:rsid w:val="007E161B"/>
    <w:rsid w:val="007E251A"/>
    <w:rsid w:val="007E3ACE"/>
    <w:rsid w:val="007E4AEC"/>
    <w:rsid w:val="007E709E"/>
    <w:rsid w:val="007F2C4F"/>
    <w:rsid w:val="007F30BD"/>
    <w:rsid w:val="00803A3D"/>
    <w:rsid w:val="00807196"/>
    <w:rsid w:val="0080799A"/>
    <w:rsid w:val="00810179"/>
    <w:rsid w:val="008104CC"/>
    <w:rsid w:val="00813881"/>
    <w:rsid w:val="00814F2A"/>
    <w:rsid w:val="0082051B"/>
    <w:rsid w:val="00820B11"/>
    <w:rsid w:val="00820BA2"/>
    <w:rsid w:val="00826935"/>
    <w:rsid w:val="00826CAB"/>
    <w:rsid w:val="00827E00"/>
    <w:rsid w:val="008306E2"/>
    <w:rsid w:val="00830E16"/>
    <w:rsid w:val="00833112"/>
    <w:rsid w:val="00835415"/>
    <w:rsid w:val="008359D8"/>
    <w:rsid w:val="00842C4E"/>
    <w:rsid w:val="00843DE1"/>
    <w:rsid w:val="0084798D"/>
    <w:rsid w:val="00847CFE"/>
    <w:rsid w:val="008512AA"/>
    <w:rsid w:val="00853913"/>
    <w:rsid w:val="00853B25"/>
    <w:rsid w:val="00856F6B"/>
    <w:rsid w:val="00857E20"/>
    <w:rsid w:val="00860A6C"/>
    <w:rsid w:val="00861DCF"/>
    <w:rsid w:val="00863217"/>
    <w:rsid w:val="0086510C"/>
    <w:rsid w:val="00865651"/>
    <w:rsid w:val="008703C6"/>
    <w:rsid w:val="008705C9"/>
    <w:rsid w:val="008720E1"/>
    <w:rsid w:val="0087214F"/>
    <w:rsid w:val="008729B5"/>
    <w:rsid w:val="00872CE3"/>
    <w:rsid w:val="00872E10"/>
    <w:rsid w:val="00873770"/>
    <w:rsid w:val="008759B7"/>
    <w:rsid w:val="00876A0A"/>
    <w:rsid w:val="00876ADA"/>
    <w:rsid w:val="008778A4"/>
    <w:rsid w:val="00881FD2"/>
    <w:rsid w:val="008834D4"/>
    <w:rsid w:val="0089237A"/>
    <w:rsid w:val="008953EE"/>
    <w:rsid w:val="008A1D50"/>
    <w:rsid w:val="008A447B"/>
    <w:rsid w:val="008A46FE"/>
    <w:rsid w:val="008A64F6"/>
    <w:rsid w:val="008B4420"/>
    <w:rsid w:val="008B4B95"/>
    <w:rsid w:val="008B71FA"/>
    <w:rsid w:val="008B73A3"/>
    <w:rsid w:val="008B7562"/>
    <w:rsid w:val="008C3A53"/>
    <w:rsid w:val="008C525D"/>
    <w:rsid w:val="008C798E"/>
    <w:rsid w:val="008D0553"/>
    <w:rsid w:val="008D3A43"/>
    <w:rsid w:val="008D3D1B"/>
    <w:rsid w:val="008D3DDC"/>
    <w:rsid w:val="008D4B07"/>
    <w:rsid w:val="008D5D95"/>
    <w:rsid w:val="008D7CA2"/>
    <w:rsid w:val="008E2E2D"/>
    <w:rsid w:val="008E4133"/>
    <w:rsid w:val="008E4C68"/>
    <w:rsid w:val="008E60B7"/>
    <w:rsid w:val="008E68C2"/>
    <w:rsid w:val="008E6A7C"/>
    <w:rsid w:val="008F0826"/>
    <w:rsid w:val="008F16F7"/>
    <w:rsid w:val="008F258A"/>
    <w:rsid w:val="008F5C3A"/>
    <w:rsid w:val="00902236"/>
    <w:rsid w:val="00902B6D"/>
    <w:rsid w:val="00902D5A"/>
    <w:rsid w:val="00913AA9"/>
    <w:rsid w:val="00915C0D"/>
    <w:rsid w:val="009224AF"/>
    <w:rsid w:val="00923CDF"/>
    <w:rsid w:val="00925AAA"/>
    <w:rsid w:val="00925B18"/>
    <w:rsid w:val="00930A13"/>
    <w:rsid w:val="00930A41"/>
    <w:rsid w:val="0093453A"/>
    <w:rsid w:val="0093586C"/>
    <w:rsid w:val="00936468"/>
    <w:rsid w:val="00936D5D"/>
    <w:rsid w:val="00941459"/>
    <w:rsid w:val="00941FDC"/>
    <w:rsid w:val="00943318"/>
    <w:rsid w:val="00943738"/>
    <w:rsid w:val="00943F0B"/>
    <w:rsid w:val="009508A4"/>
    <w:rsid w:val="009519F7"/>
    <w:rsid w:val="00951C17"/>
    <w:rsid w:val="00955F65"/>
    <w:rsid w:val="00960BC7"/>
    <w:rsid w:val="00962F9E"/>
    <w:rsid w:val="00963384"/>
    <w:rsid w:val="00963D88"/>
    <w:rsid w:val="00963E3D"/>
    <w:rsid w:val="0096493F"/>
    <w:rsid w:val="00966E8F"/>
    <w:rsid w:val="00971DA3"/>
    <w:rsid w:val="00974135"/>
    <w:rsid w:val="00974861"/>
    <w:rsid w:val="00976D16"/>
    <w:rsid w:val="0097726B"/>
    <w:rsid w:val="0098257B"/>
    <w:rsid w:val="009835CC"/>
    <w:rsid w:val="00983F8E"/>
    <w:rsid w:val="00984309"/>
    <w:rsid w:val="009848B1"/>
    <w:rsid w:val="00985EBB"/>
    <w:rsid w:val="009869B2"/>
    <w:rsid w:val="00987479"/>
    <w:rsid w:val="0099313C"/>
    <w:rsid w:val="00993403"/>
    <w:rsid w:val="00995A2C"/>
    <w:rsid w:val="009975DC"/>
    <w:rsid w:val="009A2180"/>
    <w:rsid w:val="009A3027"/>
    <w:rsid w:val="009A401F"/>
    <w:rsid w:val="009A435E"/>
    <w:rsid w:val="009A5B45"/>
    <w:rsid w:val="009A5D83"/>
    <w:rsid w:val="009A5F71"/>
    <w:rsid w:val="009A6D3E"/>
    <w:rsid w:val="009B0005"/>
    <w:rsid w:val="009B6F31"/>
    <w:rsid w:val="009B7C67"/>
    <w:rsid w:val="009C014D"/>
    <w:rsid w:val="009C4B36"/>
    <w:rsid w:val="009C58A4"/>
    <w:rsid w:val="009C699B"/>
    <w:rsid w:val="009D03CB"/>
    <w:rsid w:val="009D04E3"/>
    <w:rsid w:val="009D1750"/>
    <w:rsid w:val="009D1EB0"/>
    <w:rsid w:val="009D391D"/>
    <w:rsid w:val="009D5AA8"/>
    <w:rsid w:val="009D6F2B"/>
    <w:rsid w:val="009D75CA"/>
    <w:rsid w:val="009D75D7"/>
    <w:rsid w:val="009E0222"/>
    <w:rsid w:val="009E1C59"/>
    <w:rsid w:val="009E1DF4"/>
    <w:rsid w:val="009E22C7"/>
    <w:rsid w:val="009E3235"/>
    <w:rsid w:val="009E3918"/>
    <w:rsid w:val="009E3C8E"/>
    <w:rsid w:val="009E5A72"/>
    <w:rsid w:val="009E6A84"/>
    <w:rsid w:val="009F0463"/>
    <w:rsid w:val="009F0B81"/>
    <w:rsid w:val="009F0E64"/>
    <w:rsid w:val="009F2480"/>
    <w:rsid w:val="009F2A93"/>
    <w:rsid w:val="00A010B7"/>
    <w:rsid w:val="00A048CF"/>
    <w:rsid w:val="00A06724"/>
    <w:rsid w:val="00A07A3D"/>
    <w:rsid w:val="00A103CE"/>
    <w:rsid w:val="00A119A1"/>
    <w:rsid w:val="00A12C61"/>
    <w:rsid w:val="00A13375"/>
    <w:rsid w:val="00A157D5"/>
    <w:rsid w:val="00A15D04"/>
    <w:rsid w:val="00A17AD3"/>
    <w:rsid w:val="00A21217"/>
    <w:rsid w:val="00A22E25"/>
    <w:rsid w:val="00A236A1"/>
    <w:rsid w:val="00A23848"/>
    <w:rsid w:val="00A25CAE"/>
    <w:rsid w:val="00A30237"/>
    <w:rsid w:val="00A31EF2"/>
    <w:rsid w:val="00A3392E"/>
    <w:rsid w:val="00A340BE"/>
    <w:rsid w:val="00A34BDB"/>
    <w:rsid w:val="00A418D0"/>
    <w:rsid w:val="00A41E03"/>
    <w:rsid w:val="00A4297F"/>
    <w:rsid w:val="00A53649"/>
    <w:rsid w:val="00A54C0D"/>
    <w:rsid w:val="00A552F8"/>
    <w:rsid w:val="00A56C55"/>
    <w:rsid w:val="00A57577"/>
    <w:rsid w:val="00A57F8E"/>
    <w:rsid w:val="00A606E7"/>
    <w:rsid w:val="00A607AF"/>
    <w:rsid w:val="00A6156B"/>
    <w:rsid w:val="00A621D2"/>
    <w:rsid w:val="00A62E6C"/>
    <w:rsid w:val="00A62FC1"/>
    <w:rsid w:val="00A63840"/>
    <w:rsid w:val="00A70BAE"/>
    <w:rsid w:val="00A71A9D"/>
    <w:rsid w:val="00A7695A"/>
    <w:rsid w:val="00A7746D"/>
    <w:rsid w:val="00A7775F"/>
    <w:rsid w:val="00A811C4"/>
    <w:rsid w:val="00A841BE"/>
    <w:rsid w:val="00A866D4"/>
    <w:rsid w:val="00A86E42"/>
    <w:rsid w:val="00A87444"/>
    <w:rsid w:val="00A90557"/>
    <w:rsid w:val="00A9100F"/>
    <w:rsid w:val="00A9355E"/>
    <w:rsid w:val="00A95077"/>
    <w:rsid w:val="00A957E0"/>
    <w:rsid w:val="00A9777B"/>
    <w:rsid w:val="00A97B69"/>
    <w:rsid w:val="00AA002E"/>
    <w:rsid w:val="00AA0FFE"/>
    <w:rsid w:val="00AA11C1"/>
    <w:rsid w:val="00AA15CE"/>
    <w:rsid w:val="00AA2BBC"/>
    <w:rsid w:val="00AB063D"/>
    <w:rsid w:val="00AB0B2A"/>
    <w:rsid w:val="00AB0DB0"/>
    <w:rsid w:val="00AB510D"/>
    <w:rsid w:val="00AB68DD"/>
    <w:rsid w:val="00AC03AC"/>
    <w:rsid w:val="00AC1FA9"/>
    <w:rsid w:val="00AC1FF8"/>
    <w:rsid w:val="00AC5FB1"/>
    <w:rsid w:val="00AC638D"/>
    <w:rsid w:val="00AC776C"/>
    <w:rsid w:val="00AC7944"/>
    <w:rsid w:val="00AD0267"/>
    <w:rsid w:val="00AD77B0"/>
    <w:rsid w:val="00AE18CD"/>
    <w:rsid w:val="00AE376D"/>
    <w:rsid w:val="00AE3E84"/>
    <w:rsid w:val="00AE4646"/>
    <w:rsid w:val="00AE5353"/>
    <w:rsid w:val="00AE74AD"/>
    <w:rsid w:val="00AF10E1"/>
    <w:rsid w:val="00AF27BB"/>
    <w:rsid w:val="00AF472E"/>
    <w:rsid w:val="00AF4CB2"/>
    <w:rsid w:val="00AF7A2A"/>
    <w:rsid w:val="00B0139B"/>
    <w:rsid w:val="00B02D11"/>
    <w:rsid w:val="00B038C5"/>
    <w:rsid w:val="00B0434A"/>
    <w:rsid w:val="00B05273"/>
    <w:rsid w:val="00B07C04"/>
    <w:rsid w:val="00B10649"/>
    <w:rsid w:val="00B1529A"/>
    <w:rsid w:val="00B15866"/>
    <w:rsid w:val="00B16603"/>
    <w:rsid w:val="00B16645"/>
    <w:rsid w:val="00B20308"/>
    <w:rsid w:val="00B209C7"/>
    <w:rsid w:val="00B224D7"/>
    <w:rsid w:val="00B22AD2"/>
    <w:rsid w:val="00B24198"/>
    <w:rsid w:val="00B247AF"/>
    <w:rsid w:val="00B25081"/>
    <w:rsid w:val="00B269DB"/>
    <w:rsid w:val="00B26D30"/>
    <w:rsid w:val="00B30BE3"/>
    <w:rsid w:val="00B33E4A"/>
    <w:rsid w:val="00B34103"/>
    <w:rsid w:val="00B3426A"/>
    <w:rsid w:val="00B36414"/>
    <w:rsid w:val="00B36AA0"/>
    <w:rsid w:val="00B36AD1"/>
    <w:rsid w:val="00B37443"/>
    <w:rsid w:val="00B44134"/>
    <w:rsid w:val="00B454FD"/>
    <w:rsid w:val="00B50B8F"/>
    <w:rsid w:val="00B529FE"/>
    <w:rsid w:val="00B52F4C"/>
    <w:rsid w:val="00B5650A"/>
    <w:rsid w:val="00B60A2C"/>
    <w:rsid w:val="00B60A5F"/>
    <w:rsid w:val="00B63123"/>
    <w:rsid w:val="00B63BF7"/>
    <w:rsid w:val="00B65026"/>
    <w:rsid w:val="00B65549"/>
    <w:rsid w:val="00B673B1"/>
    <w:rsid w:val="00B67BC5"/>
    <w:rsid w:val="00B730E9"/>
    <w:rsid w:val="00B73C4B"/>
    <w:rsid w:val="00B74697"/>
    <w:rsid w:val="00B77E0F"/>
    <w:rsid w:val="00B840BF"/>
    <w:rsid w:val="00B8412B"/>
    <w:rsid w:val="00B91846"/>
    <w:rsid w:val="00B93A6D"/>
    <w:rsid w:val="00B93BE0"/>
    <w:rsid w:val="00B943BC"/>
    <w:rsid w:val="00B94B72"/>
    <w:rsid w:val="00B94CD9"/>
    <w:rsid w:val="00BA08D9"/>
    <w:rsid w:val="00BA2B55"/>
    <w:rsid w:val="00BA676F"/>
    <w:rsid w:val="00BA72B0"/>
    <w:rsid w:val="00BB51E5"/>
    <w:rsid w:val="00BB5DE1"/>
    <w:rsid w:val="00BB5F11"/>
    <w:rsid w:val="00BB650A"/>
    <w:rsid w:val="00BB6AAE"/>
    <w:rsid w:val="00BC15E0"/>
    <w:rsid w:val="00BC3CA2"/>
    <w:rsid w:val="00BC425E"/>
    <w:rsid w:val="00BC4266"/>
    <w:rsid w:val="00BC4FBC"/>
    <w:rsid w:val="00BC538A"/>
    <w:rsid w:val="00BC58F2"/>
    <w:rsid w:val="00BC58F7"/>
    <w:rsid w:val="00BC6433"/>
    <w:rsid w:val="00BD4C96"/>
    <w:rsid w:val="00BD4DD0"/>
    <w:rsid w:val="00BD69B5"/>
    <w:rsid w:val="00BE34F5"/>
    <w:rsid w:val="00BE54F2"/>
    <w:rsid w:val="00BE6FD7"/>
    <w:rsid w:val="00BF034A"/>
    <w:rsid w:val="00BF5EFF"/>
    <w:rsid w:val="00BF7744"/>
    <w:rsid w:val="00C02C31"/>
    <w:rsid w:val="00C058B6"/>
    <w:rsid w:val="00C068DD"/>
    <w:rsid w:val="00C06DDD"/>
    <w:rsid w:val="00C073F2"/>
    <w:rsid w:val="00C11D24"/>
    <w:rsid w:val="00C13225"/>
    <w:rsid w:val="00C1691E"/>
    <w:rsid w:val="00C204C9"/>
    <w:rsid w:val="00C21512"/>
    <w:rsid w:val="00C21CBB"/>
    <w:rsid w:val="00C2342D"/>
    <w:rsid w:val="00C23482"/>
    <w:rsid w:val="00C23B34"/>
    <w:rsid w:val="00C24530"/>
    <w:rsid w:val="00C267E6"/>
    <w:rsid w:val="00C27328"/>
    <w:rsid w:val="00C31252"/>
    <w:rsid w:val="00C345D3"/>
    <w:rsid w:val="00C34D24"/>
    <w:rsid w:val="00C3521B"/>
    <w:rsid w:val="00C35440"/>
    <w:rsid w:val="00C375B9"/>
    <w:rsid w:val="00C413FD"/>
    <w:rsid w:val="00C4165E"/>
    <w:rsid w:val="00C41BDA"/>
    <w:rsid w:val="00C47421"/>
    <w:rsid w:val="00C50AAC"/>
    <w:rsid w:val="00C55A62"/>
    <w:rsid w:val="00C61692"/>
    <w:rsid w:val="00C62063"/>
    <w:rsid w:val="00C63B8A"/>
    <w:rsid w:val="00C64EB4"/>
    <w:rsid w:val="00C66646"/>
    <w:rsid w:val="00C70A5D"/>
    <w:rsid w:val="00C720D4"/>
    <w:rsid w:val="00C72533"/>
    <w:rsid w:val="00C74407"/>
    <w:rsid w:val="00C753A8"/>
    <w:rsid w:val="00C77025"/>
    <w:rsid w:val="00C815AE"/>
    <w:rsid w:val="00C84022"/>
    <w:rsid w:val="00C844A7"/>
    <w:rsid w:val="00C84591"/>
    <w:rsid w:val="00C86CF3"/>
    <w:rsid w:val="00C87DA0"/>
    <w:rsid w:val="00C918CD"/>
    <w:rsid w:val="00C92E1E"/>
    <w:rsid w:val="00C95210"/>
    <w:rsid w:val="00C95B49"/>
    <w:rsid w:val="00CA03C4"/>
    <w:rsid w:val="00CA1474"/>
    <w:rsid w:val="00CA2EBB"/>
    <w:rsid w:val="00CA6DCA"/>
    <w:rsid w:val="00CB2376"/>
    <w:rsid w:val="00CB2BA0"/>
    <w:rsid w:val="00CB3D6B"/>
    <w:rsid w:val="00CB4891"/>
    <w:rsid w:val="00CB7910"/>
    <w:rsid w:val="00CC1D9D"/>
    <w:rsid w:val="00CC2E1F"/>
    <w:rsid w:val="00CC4957"/>
    <w:rsid w:val="00CC5A12"/>
    <w:rsid w:val="00CC6426"/>
    <w:rsid w:val="00CD2192"/>
    <w:rsid w:val="00CD2CC4"/>
    <w:rsid w:val="00CD4E05"/>
    <w:rsid w:val="00CD6158"/>
    <w:rsid w:val="00CD7931"/>
    <w:rsid w:val="00CE134C"/>
    <w:rsid w:val="00CE2ED7"/>
    <w:rsid w:val="00CE4B17"/>
    <w:rsid w:val="00CE695D"/>
    <w:rsid w:val="00CE6DDE"/>
    <w:rsid w:val="00CE7232"/>
    <w:rsid w:val="00CE745A"/>
    <w:rsid w:val="00CF2986"/>
    <w:rsid w:val="00CF2A3A"/>
    <w:rsid w:val="00CF4E6A"/>
    <w:rsid w:val="00D04EDB"/>
    <w:rsid w:val="00D0535D"/>
    <w:rsid w:val="00D0742F"/>
    <w:rsid w:val="00D10579"/>
    <w:rsid w:val="00D10A58"/>
    <w:rsid w:val="00D11732"/>
    <w:rsid w:val="00D1219F"/>
    <w:rsid w:val="00D1350A"/>
    <w:rsid w:val="00D144AA"/>
    <w:rsid w:val="00D15CDE"/>
    <w:rsid w:val="00D165B0"/>
    <w:rsid w:val="00D2120D"/>
    <w:rsid w:val="00D234DB"/>
    <w:rsid w:val="00D2351C"/>
    <w:rsid w:val="00D26026"/>
    <w:rsid w:val="00D26218"/>
    <w:rsid w:val="00D32690"/>
    <w:rsid w:val="00D35CFA"/>
    <w:rsid w:val="00D37B76"/>
    <w:rsid w:val="00D40BF3"/>
    <w:rsid w:val="00D4238D"/>
    <w:rsid w:val="00D42400"/>
    <w:rsid w:val="00D44065"/>
    <w:rsid w:val="00D44D89"/>
    <w:rsid w:val="00D50355"/>
    <w:rsid w:val="00D53DCC"/>
    <w:rsid w:val="00D549C9"/>
    <w:rsid w:val="00D57561"/>
    <w:rsid w:val="00D64865"/>
    <w:rsid w:val="00D65345"/>
    <w:rsid w:val="00D67FA0"/>
    <w:rsid w:val="00D72905"/>
    <w:rsid w:val="00D73BCD"/>
    <w:rsid w:val="00D762E0"/>
    <w:rsid w:val="00D80D7D"/>
    <w:rsid w:val="00D81548"/>
    <w:rsid w:val="00D82CE5"/>
    <w:rsid w:val="00D86184"/>
    <w:rsid w:val="00D94437"/>
    <w:rsid w:val="00D94583"/>
    <w:rsid w:val="00D960BC"/>
    <w:rsid w:val="00D97226"/>
    <w:rsid w:val="00DA05F6"/>
    <w:rsid w:val="00DA0C1F"/>
    <w:rsid w:val="00DA2B65"/>
    <w:rsid w:val="00DA647C"/>
    <w:rsid w:val="00DA6ABF"/>
    <w:rsid w:val="00DA7FF2"/>
    <w:rsid w:val="00DB0731"/>
    <w:rsid w:val="00DB2F5C"/>
    <w:rsid w:val="00DB4CF1"/>
    <w:rsid w:val="00DB5343"/>
    <w:rsid w:val="00DB63AD"/>
    <w:rsid w:val="00DB6513"/>
    <w:rsid w:val="00DC1177"/>
    <w:rsid w:val="00DC1732"/>
    <w:rsid w:val="00DC1A32"/>
    <w:rsid w:val="00DC2488"/>
    <w:rsid w:val="00DC2809"/>
    <w:rsid w:val="00DC4F53"/>
    <w:rsid w:val="00DC6DA4"/>
    <w:rsid w:val="00DC7977"/>
    <w:rsid w:val="00DD0C83"/>
    <w:rsid w:val="00DD3589"/>
    <w:rsid w:val="00DD6F1E"/>
    <w:rsid w:val="00DD7AAD"/>
    <w:rsid w:val="00DE1127"/>
    <w:rsid w:val="00DE2769"/>
    <w:rsid w:val="00DE65DC"/>
    <w:rsid w:val="00DF1366"/>
    <w:rsid w:val="00DF16AD"/>
    <w:rsid w:val="00DF2812"/>
    <w:rsid w:val="00DF31B9"/>
    <w:rsid w:val="00DF3FFC"/>
    <w:rsid w:val="00DF54E0"/>
    <w:rsid w:val="00DF6F58"/>
    <w:rsid w:val="00DF7D5D"/>
    <w:rsid w:val="00E0008C"/>
    <w:rsid w:val="00E01B7B"/>
    <w:rsid w:val="00E024BC"/>
    <w:rsid w:val="00E025F4"/>
    <w:rsid w:val="00E032AA"/>
    <w:rsid w:val="00E066FC"/>
    <w:rsid w:val="00E07618"/>
    <w:rsid w:val="00E10384"/>
    <w:rsid w:val="00E14B62"/>
    <w:rsid w:val="00E14F98"/>
    <w:rsid w:val="00E20D33"/>
    <w:rsid w:val="00E23A34"/>
    <w:rsid w:val="00E25AFF"/>
    <w:rsid w:val="00E331BE"/>
    <w:rsid w:val="00E3383E"/>
    <w:rsid w:val="00E34102"/>
    <w:rsid w:val="00E34F71"/>
    <w:rsid w:val="00E35893"/>
    <w:rsid w:val="00E360C4"/>
    <w:rsid w:val="00E362E5"/>
    <w:rsid w:val="00E365A6"/>
    <w:rsid w:val="00E3790A"/>
    <w:rsid w:val="00E423A1"/>
    <w:rsid w:val="00E4408A"/>
    <w:rsid w:val="00E44C34"/>
    <w:rsid w:val="00E46955"/>
    <w:rsid w:val="00E514F0"/>
    <w:rsid w:val="00E55A3F"/>
    <w:rsid w:val="00E55A76"/>
    <w:rsid w:val="00E57711"/>
    <w:rsid w:val="00E6233E"/>
    <w:rsid w:val="00E62F9A"/>
    <w:rsid w:val="00E636D0"/>
    <w:rsid w:val="00E6466E"/>
    <w:rsid w:val="00E64C7F"/>
    <w:rsid w:val="00E66ACF"/>
    <w:rsid w:val="00E675D8"/>
    <w:rsid w:val="00E67E98"/>
    <w:rsid w:val="00E7026C"/>
    <w:rsid w:val="00E70A4E"/>
    <w:rsid w:val="00E7199D"/>
    <w:rsid w:val="00E75124"/>
    <w:rsid w:val="00E7513A"/>
    <w:rsid w:val="00E755BD"/>
    <w:rsid w:val="00E811A4"/>
    <w:rsid w:val="00E819D1"/>
    <w:rsid w:val="00E84F0D"/>
    <w:rsid w:val="00E85BE2"/>
    <w:rsid w:val="00E90B4F"/>
    <w:rsid w:val="00E96439"/>
    <w:rsid w:val="00E966D4"/>
    <w:rsid w:val="00E97CD3"/>
    <w:rsid w:val="00E97D4F"/>
    <w:rsid w:val="00EA318D"/>
    <w:rsid w:val="00EA3BD6"/>
    <w:rsid w:val="00EA4BF6"/>
    <w:rsid w:val="00EA4FBC"/>
    <w:rsid w:val="00EA5292"/>
    <w:rsid w:val="00EA5E10"/>
    <w:rsid w:val="00EB3B80"/>
    <w:rsid w:val="00EB4953"/>
    <w:rsid w:val="00EB5742"/>
    <w:rsid w:val="00EB5CCC"/>
    <w:rsid w:val="00EB7731"/>
    <w:rsid w:val="00EC2161"/>
    <w:rsid w:val="00EC2ED1"/>
    <w:rsid w:val="00EC3E32"/>
    <w:rsid w:val="00EC568C"/>
    <w:rsid w:val="00EC59F6"/>
    <w:rsid w:val="00EC71C8"/>
    <w:rsid w:val="00ED3375"/>
    <w:rsid w:val="00ED4EF2"/>
    <w:rsid w:val="00ED5AC0"/>
    <w:rsid w:val="00ED5DB2"/>
    <w:rsid w:val="00ED5EF8"/>
    <w:rsid w:val="00ED6787"/>
    <w:rsid w:val="00EE1ED1"/>
    <w:rsid w:val="00EE2B9E"/>
    <w:rsid w:val="00EE312B"/>
    <w:rsid w:val="00EE5204"/>
    <w:rsid w:val="00EE56B5"/>
    <w:rsid w:val="00EE6F54"/>
    <w:rsid w:val="00EF10DF"/>
    <w:rsid w:val="00EF1E75"/>
    <w:rsid w:val="00EF290A"/>
    <w:rsid w:val="00F01A10"/>
    <w:rsid w:val="00F059BF"/>
    <w:rsid w:val="00F0705A"/>
    <w:rsid w:val="00F10220"/>
    <w:rsid w:val="00F104A8"/>
    <w:rsid w:val="00F120C0"/>
    <w:rsid w:val="00F12A2C"/>
    <w:rsid w:val="00F12C7A"/>
    <w:rsid w:val="00F1436F"/>
    <w:rsid w:val="00F1646F"/>
    <w:rsid w:val="00F16E69"/>
    <w:rsid w:val="00F17AAA"/>
    <w:rsid w:val="00F2229B"/>
    <w:rsid w:val="00F2235D"/>
    <w:rsid w:val="00F230E2"/>
    <w:rsid w:val="00F23740"/>
    <w:rsid w:val="00F23A1D"/>
    <w:rsid w:val="00F23AB0"/>
    <w:rsid w:val="00F2618B"/>
    <w:rsid w:val="00F273EC"/>
    <w:rsid w:val="00F30ABA"/>
    <w:rsid w:val="00F312D1"/>
    <w:rsid w:val="00F3304A"/>
    <w:rsid w:val="00F341AE"/>
    <w:rsid w:val="00F36DC8"/>
    <w:rsid w:val="00F4049D"/>
    <w:rsid w:val="00F41DF6"/>
    <w:rsid w:val="00F43F70"/>
    <w:rsid w:val="00F44827"/>
    <w:rsid w:val="00F453DE"/>
    <w:rsid w:val="00F5206A"/>
    <w:rsid w:val="00F57CE5"/>
    <w:rsid w:val="00F65051"/>
    <w:rsid w:val="00F6572C"/>
    <w:rsid w:val="00F6605A"/>
    <w:rsid w:val="00F661E3"/>
    <w:rsid w:val="00F66AA8"/>
    <w:rsid w:val="00F67D29"/>
    <w:rsid w:val="00F67E60"/>
    <w:rsid w:val="00F71787"/>
    <w:rsid w:val="00F723A4"/>
    <w:rsid w:val="00F76789"/>
    <w:rsid w:val="00F76C30"/>
    <w:rsid w:val="00F776CF"/>
    <w:rsid w:val="00F808A4"/>
    <w:rsid w:val="00F813D1"/>
    <w:rsid w:val="00F82869"/>
    <w:rsid w:val="00F8295D"/>
    <w:rsid w:val="00F83010"/>
    <w:rsid w:val="00F83D8E"/>
    <w:rsid w:val="00F8434E"/>
    <w:rsid w:val="00F84613"/>
    <w:rsid w:val="00F87272"/>
    <w:rsid w:val="00F923C1"/>
    <w:rsid w:val="00F94CF0"/>
    <w:rsid w:val="00F958F6"/>
    <w:rsid w:val="00F966EF"/>
    <w:rsid w:val="00FA11A0"/>
    <w:rsid w:val="00FA2D7F"/>
    <w:rsid w:val="00FA5123"/>
    <w:rsid w:val="00FA65D9"/>
    <w:rsid w:val="00FA7A41"/>
    <w:rsid w:val="00FB1062"/>
    <w:rsid w:val="00FB3231"/>
    <w:rsid w:val="00FB49DE"/>
    <w:rsid w:val="00FB6697"/>
    <w:rsid w:val="00FB69FA"/>
    <w:rsid w:val="00FB6A82"/>
    <w:rsid w:val="00FC0968"/>
    <w:rsid w:val="00FC16E6"/>
    <w:rsid w:val="00FC1E56"/>
    <w:rsid w:val="00FC2B9F"/>
    <w:rsid w:val="00FD05FE"/>
    <w:rsid w:val="00FD06D7"/>
    <w:rsid w:val="00FD0D49"/>
    <w:rsid w:val="00FD1888"/>
    <w:rsid w:val="00FD19C9"/>
    <w:rsid w:val="00FD1FE5"/>
    <w:rsid w:val="00FD22B9"/>
    <w:rsid w:val="00FD273E"/>
    <w:rsid w:val="00FD31DF"/>
    <w:rsid w:val="00FD4716"/>
    <w:rsid w:val="00FD4B29"/>
    <w:rsid w:val="00FD4B47"/>
    <w:rsid w:val="00FE1DFE"/>
    <w:rsid w:val="00FE29A0"/>
    <w:rsid w:val="00FE4B60"/>
    <w:rsid w:val="00FE6711"/>
    <w:rsid w:val="00FE6A02"/>
    <w:rsid w:val="00FE6DF3"/>
    <w:rsid w:val="00FE745D"/>
    <w:rsid w:val="00FF0204"/>
    <w:rsid w:val="00FF0D85"/>
    <w:rsid w:val="00FF17E6"/>
    <w:rsid w:val="00FF2D70"/>
    <w:rsid w:val="00FF329B"/>
    <w:rsid w:val="00FF35B0"/>
    <w:rsid w:val="00FF6906"/>
    <w:rsid w:val="00FF72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CE"/>
    <w:rPr>
      <w:rFonts w:ascii="Tahoma" w:hAnsi="Tahoma" w:cs="Tahoma"/>
      <w:sz w:val="16"/>
      <w:szCs w:val="16"/>
    </w:rPr>
  </w:style>
  <w:style w:type="paragraph" w:styleId="ListParagraph">
    <w:name w:val="List Paragraph"/>
    <w:basedOn w:val="Normal"/>
    <w:uiPriority w:val="34"/>
    <w:qFormat/>
    <w:rsid w:val="00A17AD3"/>
    <w:pPr>
      <w:ind w:left="720"/>
      <w:contextualSpacing/>
    </w:pPr>
  </w:style>
  <w:style w:type="paragraph" w:styleId="Header">
    <w:name w:val="header"/>
    <w:basedOn w:val="Normal"/>
    <w:link w:val="HeaderChar"/>
    <w:uiPriority w:val="99"/>
    <w:unhideWhenUsed/>
    <w:rsid w:val="008101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0179"/>
  </w:style>
  <w:style w:type="paragraph" w:styleId="Footer">
    <w:name w:val="footer"/>
    <w:basedOn w:val="Normal"/>
    <w:link w:val="FooterChar"/>
    <w:uiPriority w:val="99"/>
    <w:unhideWhenUsed/>
    <w:rsid w:val="008101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0179"/>
  </w:style>
  <w:style w:type="table" w:styleId="TableGrid">
    <w:name w:val="Table Grid"/>
    <w:basedOn w:val="TableNormal"/>
    <w:uiPriority w:val="59"/>
    <w:rsid w:val="00FA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073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E4BE4"/>
    <w:rPr>
      <w:sz w:val="21"/>
      <w:szCs w:val="21"/>
    </w:rPr>
  </w:style>
  <w:style w:type="paragraph" w:styleId="CommentText">
    <w:name w:val="annotation text"/>
    <w:basedOn w:val="Normal"/>
    <w:link w:val="CommentTextChar"/>
    <w:semiHidden/>
    <w:unhideWhenUsed/>
    <w:rsid w:val="006E4BE4"/>
  </w:style>
  <w:style w:type="character" w:customStyle="1" w:styleId="CommentTextChar">
    <w:name w:val="Comment Text Char"/>
    <w:basedOn w:val="DefaultParagraphFont"/>
    <w:link w:val="CommentText"/>
    <w:semiHidden/>
    <w:rsid w:val="006E4BE4"/>
  </w:style>
  <w:style w:type="paragraph" w:styleId="CommentSubject">
    <w:name w:val="annotation subject"/>
    <w:basedOn w:val="CommentText"/>
    <w:next w:val="CommentText"/>
    <w:link w:val="CommentSubjectChar"/>
    <w:uiPriority w:val="99"/>
    <w:semiHidden/>
    <w:unhideWhenUsed/>
    <w:rsid w:val="006E4BE4"/>
    <w:rPr>
      <w:b/>
      <w:bCs/>
    </w:rPr>
  </w:style>
  <w:style w:type="character" w:customStyle="1" w:styleId="CommentSubjectChar">
    <w:name w:val="Comment Subject Char"/>
    <w:basedOn w:val="CommentTextChar"/>
    <w:link w:val="CommentSubject"/>
    <w:uiPriority w:val="99"/>
    <w:semiHidden/>
    <w:rsid w:val="006E4BE4"/>
    <w:rPr>
      <w:b/>
      <w:bCs/>
    </w:rPr>
  </w:style>
  <w:style w:type="character" w:customStyle="1" w:styleId="apple-converted-space">
    <w:name w:val="apple-converted-space"/>
    <w:basedOn w:val="DefaultParagraphFont"/>
    <w:rsid w:val="00E14F98"/>
  </w:style>
  <w:style w:type="character" w:styleId="Hyperlink">
    <w:name w:val="Hyperlink"/>
    <w:basedOn w:val="DefaultParagraphFont"/>
    <w:uiPriority w:val="99"/>
    <w:semiHidden/>
    <w:unhideWhenUsed/>
    <w:rsid w:val="00773E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CE"/>
    <w:rPr>
      <w:rFonts w:ascii="Tahoma" w:hAnsi="Tahoma" w:cs="Tahoma"/>
      <w:sz w:val="16"/>
      <w:szCs w:val="16"/>
    </w:rPr>
  </w:style>
  <w:style w:type="paragraph" w:styleId="ListParagraph">
    <w:name w:val="List Paragraph"/>
    <w:basedOn w:val="Normal"/>
    <w:uiPriority w:val="34"/>
    <w:qFormat/>
    <w:rsid w:val="00A17AD3"/>
    <w:pPr>
      <w:ind w:left="720"/>
      <w:contextualSpacing/>
    </w:pPr>
  </w:style>
  <w:style w:type="paragraph" w:styleId="Header">
    <w:name w:val="header"/>
    <w:basedOn w:val="Normal"/>
    <w:link w:val="HeaderChar"/>
    <w:uiPriority w:val="99"/>
    <w:unhideWhenUsed/>
    <w:rsid w:val="008101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0179"/>
  </w:style>
  <w:style w:type="paragraph" w:styleId="Footer">
    <w:name w:val="footer"/>
    <w:basedOn w:val="Normal"/>
    <w:link w:val="FooterChar"/>
    <w:uiPriority w:val="99"/>
    <w:unhideWhenUsed/>
    <w:rsid w:val="008101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0179"/>
  </w:style>
  <w:style w:type="table" w:styleId="TableGrid">
    <w:name w:val="Table Grid"/>
    <w:basedOn w:val="TableNormal"/>
    <w:uiPriority w:val="59"/>
    <w:rsid w:val="00FA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073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E4BE4"/>
    <w:rPr>
      <w:sz w:val="21"/>
      <w:szCs w:val="21"/>
    </w:rPr>
  </w:style>
  <w:style w:type="paragraph" w:styleId="CommentText">
    <w:name w:val="annotation text"/>
    <w:basedOn w:val="Normal"/>
    <w:link w:val="CommentTextChar"/>
    <w:semiHidden/>
    <w:unhideWhenUsed/>
    <w:rsid w:val="006E4BE4"/>
  </w:style>
  <w:style w:type="character" w:customStyle="1" w:styleId="CommentTextChar">
    <w:name w:val="Comment Text Char"/>
    <w:basedOn w:val="DefaultParagraphFont"/>
    <w:link w:val="CommentText"/>
    <w:semiHidden/>
    <w:rsid w:val="006E4BE4"/>
  </w:style>
  <w:style w:type="paragraph" w:styleId="CommentSubject">
    <w:name w:val="annotation subject"/>
    <w:basedOn w:val="CommentText"/>
    <w:next w:val="CommentText"/>
    <w:link w:val="CommentSubjectChar"/>
    <w:uiPriority w:val="99"/>
    <w:semiHidden/>
    <w:unhideWhenUsed/>
    <w:rsid w:val="006E4BE4"/>
    <w:rPr>
      <w:b/>
      <w:bCs/>
    </w:rPr>
  </w:style>
  <w:style w:type="character" w:customStyle="1" w:styleId="CommentSubjectChar">
    <w:name w:val="Comment Subject Char"/>
    <w:basedOn w:val="CommentTextChar"/>
    <w:link w:val="CommentSubject"/>
    <w:uiPriority w:val="99"/>
    <w:semiHidden/>
    <w:rsid w:val="006E4BE4"/>
    <w:rPr>
      <w:b/>
      <w:bCs/>
    </w:rPr>
  </w:style>
  <w:style w:type="character" w:customStyle="1" w:styleId="apple-converted-space">
    <w:name w:val="apple-converted-space"/>
    <w:basedOn w:val="DefaultParagraphFont"/>
    <w:rsid w:val="00E14F98"/>
  </w:style>
  <w:style w:type="character" w:styleId="Hyperlink">
    <w:name w:val="Hyperlink"/>
    <w:basedOn w:val="DefaultParagraphFont"/>
    <w:uiPriority w:val="99"/>
    <w:semiHidden/>
    <w:unhideWhenUsed/>
    <w:rsid w:val="00773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23260">
      <w:bodyDiv w:val="1"/>
      <w:marLeft w:val="0"/>
      <w:marRight w:val="0"/>
      <w:marTop w:val="0"/>
      <w:marBottom w:val="0"/>
      <w:divBdr>
        <w:top w:val="none" w:sz="0" w:space="0" w:color="auto"/>
        <w:left w:val="none" w:sz="0" w:space="0" w:color="auto"/>
        <w:bottom w:val="none" w:sz="0" w:space="0" w:color="auto"/>
        <w:right w:val="none" w:sz="0" w:space="0" w:color="auto"/>
      </w:divBdr>
      <w:divsChild>
        <w:div w:id="564338665">
          <w:marLeft w:val="0"/>
          <w:marRight w:val="0"/>
          <w:marTop w:val="0"/>
          <w:marBottom w:val="0"/>
          <w:divBdr>
            <w:top w:val="none" w:sz="0" w:space="0" w:color="auto"/>
            <w:left w:val="none" w:sz="0" w:space="0" w:color="auto"/>
            <w:bottom w:val="none" w:sz="0" w:space="0" w:color="auto"/>
            <w:right w:val="none" w:sz="0" w:space="0" w:color="auto"/>
          </w:divBdr>
        </w:div>
        <w:div w:id="1153838667">
          <w:marLeft w:val="0"/>
          <w:marRight w:val="0"/>
          <w:marTop w:val="0"/>
          <w:marBottom w:val="0"/>
          <w:divBdr>
            <w:top w:val="none" w:sz="0" w:space="0" w:color="auto"/>
            <w:left w:val="none" w:sz="0" w:space="0" w:color="auto"/>
            <w:bottom w:val="none" w:sz="0" w:space="0" w:color="auto"/>
            <w:right w:val="none" w:sz="0" w:space="0" w:color="auto"/>
          </w:divBdr>
        </w:div>
        <w:div w:id="330642759">
          <w:marLeft w:val="0"/>
          <w:marRight w:val="0"/>
          <w:marTop w:val="0"/>
          <w:marBottom w:val="0"/>
          <w:divBdr>
            <w:top w:val="none" w:sz="0" w:space="0" w:color="auto"/>
            <w:left w:val="none" w:sz="0" w:space="0" w:color="auto"/>
            <w:bottom w:val="none" w:sz="0" w:space="0" w:color="auto"/>
            <w:right w:val="none" w:sz="0" w:space="0" w:color="auto"/>
          </w:divBdr>
        </w:div>
        <w:div w:id="2053576400">
          <w:marLeft w:val="0"/>
          <w:marRight w:val="0"/>
          <w:marTop w:val="0"/>
          <w:marBottom w:val="0"/>
          <w:divBdr>
            <w:top w:val="none" w:sz="0" w:space="0" w:color="auto"/>
            <w:left w:val="none" w:sz="0" w:space="0" w:color="auto"/>
            <w:bottom w:val="none" w:sz="0" w:space="0" w:color="auto"/>
            <w:right w:val="none" w:sz="0" w:space="0" w:color="auto"/>
          </w:divBdr>
        </w:div>
        <w:div w:id="941573809">
          <w:marLeft w:val="0"/>
          <w:marRight w:val="0"/>
          <w:marTop w:val="0"/>
          <w:marBottom w:val="0"/>
          <w:divBdr>
            <w:top w:val="none" w:sz="0" w:space="0" w:color="auto"/>
            <w:left w:val="none" w:sz="0" w:space="0" w:color="auto"/>
            <w:bottom w:val="none" w:sz="0" w:space="0" w:color="auto"/>
            <w:right w:val="none" w:sz="0" w:space="0" w:color="auto"/>
          </w:divBdr>
        </w:div>
        <w:div w:id="424351105">
          <w:marLeft w:val="0"/>
          <w:marRight w:val="0"/>
          <w:marTop w:val="0"/>
          <w:marBottom w:val="0"/>
          <w:divBdr>
            <w:top w:val="none" w:sz="0" w:space="0" w:color="auto"/>
            <w:left w:val="none" w:sz="0" w:space="0" w:color="auto"/>
            <w:bottom w:val="none" w:sz="0" w:space="0" w:color="auto"/>
            <w:right w:val="none" w:sz="0" w:space="0" w:color="auto"/>
          </w:divBdr>
        </w:div>
        <w:div w:id="216744325">
          <w:marLeft w:val="0"/>
          <w:marRight w:val="0"/>
          <w:marTop w:val="0"/>
          <w:marBottom w:val="0"/>
          <w:divBdr>
            <w:top w:val="none" w:sz="0" w:space="0" w:color="auto"/>
            <w:left w:val="none" w:sz="0" w:space="0" w:color="auto"/>
            <w:bottom w:val="none" w:sz="0" w:space="0" w:color="auto"/>
            <w:right w:val="none" w:sz="0" w:space="0" w:color="auto"/>
          </w:divBdr>
        </w:div>
        <w:div w:id="609506915">
          <w:marLeft w:val="0"/>
          <w:marRight w:val="0"/>
          <w:marTop w:val="0"/>
          <w:marBottom w:val="0"/>
          <w:divBdr>
            <w:top w:val="none" w:sz="0" w:space="0" w:color="auto"/>
            <w:left w:val="none" w:sz="0" w:space="0" w:color="auto"/>
            <w:bottom w:val="none" w:sz="0" w:space="0" w:color="auto"/>
            <w:right w:val="none" w:sz="0" w:space="0" w:color="auto"/>
          </w:divBdr>
        </w:div>
        <w:div w:id="837429227">
          <w:marLeft w:val="0"/>
          <w:marRight w:val="0"/>
          <w:marTop w:val="0"/>
          <w:marBottom w:val="0"/>
          <w:divBdr>
            <w:top w:val="none" w:sz="0" w:space="0" w:color="auto"/>
            <w:left w:val="none" w:sz="0" w:space="0" w:color="auto"/>
            <w:bottom w:val="none" w:sz="0" w:space="0" w:color="auto"/>
            <w:right w:val="none" w:sz="0" w:space="0" w:color="auto"/>
          </w:divBdr>
        </w:div>
        <w:div w:id="1985815289">
          <w:marLeft w:val="0"/>
          <w:marRight w:val="0"/>
          <w:marTop w:val="0"/>
          <w:marBottom w:val="0"/>
          <w:divBdr>
            <w:top w:val="none" w:sz="0" w:space="0" w:color="auto"/>
            <w:left w:val="none" w:sz="0" w:space="0" w:color="auto"/>
            <w:bottom w:val="none" w:sz="0" w:space="0" w:color="auto"/>
            <w:right w:val="none" w:sz="0" w:space="0" w:color="auto"/>
          </w:divBdr>
        </w:div>
        <w:div w:id="922103682">
          <w:marLeft w:val="0"/>
          <w:marRight w:val="0"/>
          <w:marTop w:val="0"/>
          <w:marBottom w:val="0"/>
          <w:divBdr>
            <w:top w:val="none" w:sz="0" w:space="0" w:color="auto"/>
            <w:left w:val="none" w:sz="0" w:space="0" w:color="auto"/>
            <w:bottom w:val="none" w:sz="0" w:space="0" w:color="auto"/>
            <w:right w:val="none" w:sz="0" w:space="0" w:color="auto"/>
          </w:divBdr>
        </w:div>
        <w:div w:id="429082085">
          <w:marLeft w:val="0"/>
          <w:marRight w:val="0"/>
          <w:marTop w:val="0"/>
          <w:marBottom w:val="0"/>
          <w:divBdr>
            <w:top w:val="none" w:sz="0" w:space="0" w:color="auto"/>
            <w:left w:val="none" w:sz="0" w:space="0" w:color="auto"/>
            <w:bottom w:val="none" w:sz="0" w:space="0" w:color="auto"/>
            <w:right w:val="none" w:sz="0" w:space="0" w:color="auto"/>
          </w:divBdr>
        </w:div>
        <w:div w:id="1917351080">
          <w:marLeft w:val="0"/>
          <w:marRight w:val="0"/>
          <w:marTop w:val="0"/>
          <w:marBottom w:val="0"/>
          <w:divBdr>
            <w:top w:val="none" w:sz="0" w:space="0" w:color="auto"/>
            <w:left w:val="none" w:sz="0" w:space="0" w:color="auto"/>
            <w:bottom w:val="none" w:sz="0" w:space="0" w:color="auto"/>
            <w:right w:val="none" w:sz="0" w:space="0" w:color="auto"/>
          </w:divBdr>
        </w:div>
        <w:div w:id="1858881911">
          <w:marLeft w:val="0"/>
          <w:marRight w:val="0"/>
          <w:marTop w:val="0"/>
          <w:marBottom w:val="0"/>
          <w:divBdr>
            <w:top w:val="none" w:sz="0" w:space="0" w:color="auto"/>
            <w:left w:val="none" w:sz="0" w:space="0" w:color="auto"/>
            <w:bottom w:val="none" w:sz="0" w:space="0" w:color="auto"/>
            <w:right w:val="none" w:sz="0" w:space="0" w:color="auto"/>
          </w:divBdr>
        </w:div>
        <w:div w:id="2014605499">
          <w:marLeft w:val="0"/>
          <w:marRight w:val="0"/>
          <w:marTop w:val="0"/>
          <w:marBottom w:val="0"/>
          <w:divBdr>
            <w:top w:val="none" w:sz="0" w:space="0" w:color="auto"/>
            <w:left w:val="none" w:sz="0" w:space="0" w:color="auto"/>
            <w:bottom w:val="none" w:sz="0" w:space="0" w:color="auto"/>
            <w:right w:val="none" w:sz="0" w:space="0" w:color="auto"/>
          </w:divBdr>
        </w:div>
        <w:div w:id="1836190913">
          <w:marLeft w:val="0"/>
          <w:marRight w:val="0"/>
          <w:marTop w:val="0"/>
          <w:marBottom w:val="0"/>
          <w:divBdr>
            <w:top w:val="none" w:sz="0" w:space="0" w:color="auto"/>
            <w:left w:val="none" w:sz="0" w:space="0" w:color="auto"/>
            <w:bottom w:val="none" w:sz="0" w:space="0" w:color="auto"/>
            <w:right w:val="none" w:sz="0" w:space="0" w:color="auto"/>
          </w:divBdr>
        </w:div>
        <w:div w:id="1331525556">
          <w:marLeft w:val="0"/>
          <w:marRight w:val="0"/>
          <w:marTop w:val="0"/>
          <w:marBottom w:val="0"/>
          <w:divBdr>
            <w:top w:val="none" w:sz="0" w:space="0" w:color="auto"/>
            <w:left w:val="none" w:sz="0" w:space="0" w:color="auto"/>
            <w:bottom w:val="none" w:sz="0" w:space="0" w:color="auto"/>
            <w:right w:val="none" w:sz="0" w:space="0" w:color="auto"/>
          </w:divBdr>
        </w:div>
        <w:div w:id="1705784032">
          <w:marLeft w:val="0"/>
          <w:marRight w:val="0"/>
          <w:marTop w:val="0"/>
          <w:marBottom w:val="0"/>
          <w:divBdr>
            <w:top w:val="none" w:sz="0" w:space="0" w:color="auto"/>
            <w:left w:val="none" w:sz="0" w:space="0" w:color="auto"/>
            <w:bottom w:val="none" w:sz="0" w:space="0" w:color="auto"/>
            <w:right w:val="none" w:sz="0" w:space="0" w:color="auto"/>
          </w:divBdr>
        </w:div>
        <w:div w:id="1301154678">
          <w:marLeft w:val="0"/>
          <w:marRight w:val="0"/>
          <w:marTop w:val="0"/>
          <w:marBottom w:val="0"/>
          <w:divBdr>
            <w:top w:val="none" w:sz="0" w:space="0" w:color="auto"/>
            <w:left w:val="none" w:sz="0" w:space="0" w:color="auto"/>
            <w:bottom w:val="none" w:sz="0" w:space="0" w:color="auto"/>
            <w:right w:val="none" w:sz="0" w:space="0" w:color="auto"/>
          </w:divBdr>
        </w:div>
        <w:div w:id="947657460">
          <w:marLeft w:val="0"/>
          <w:marRight w:val="0"/>
          <w:marTop w:val="0"/>
          <w:marBottom w:val="0"/>
          <w:divBdr>
            <w:top w:val="none" w:sz="0" w:space="0" w:color="auto"/>
            <w:left w:val="none" w:sz="0" w:space="0" w:color="auto"/>
            <w:bottom w:val="none" w:sz="0" w:space="0" w:color="auto"/>
            <w:right w:val="none" w:sz="0" w:space="0" w:color="auto"/>
          </w:divBdr>
        </w:div>
        <w:div w:id="595796608">
          <w:marLeft w:val="0"/>
          <w:marRight w:val="0"/>
          <w:marTop w:val="0"/>
          <w:marBottom w:val="0"/>
          <w:divBdr>
            <w:top w:val="none" w:sz="0" w:space="0" w:color="auto"/>
            <w:left w:val="none" w:sz="0" w:space="0" w:color="auto"/>
            <w:bottom w:val="none" w:sz="0" w:space="0" w:color="auto"/>
            <w:right w:val="none" w:sz="0" w:space="0" w:color="auto"/>
          </w:divBdr>
        </w:div>
        <w:div w:id="369064372">
          <w:marLeft w:val="0"/>
          <w:marRight w:val="0"/>
          <w:marTop w:val="0"/>
          <w:marBottom w:val="0"/>
          <w:divBdr>
            <w:top w:val="none" w:sz="0" w:space="0" w:color="auto"/>
            <w:left w:val="none" w:sz="0" w:space="0" w:color="auto"/>
            <w:bottom w:val="none" w:sz="0" w:space="0" w:color="auto"/>
            <w:right w:val="none" w:sz="0" w:space="0" w:color="auto"/>
          </w:divBdr>
        </w:div>
        <w:div w:id="239482976">
          <w:marLeft w:val="0"/>
          <w:marRight w:val="0"/>
          <w:marTop w:val="0"/>
          <w:marBottom w:val="0"/>
          <w:divBdr>
            <w:top w:val="none" w:sz="0" w:space="0" w:color="auto"/>
            <w:left w:val="none" w:sz="0" w:space="0" w:color="auto"/>
            <w:bottom w:val="none" w:sz="0" w:space="0" w:color="auto"/>
            <w:right w:val="none" w:sz="0" w:space="0" w:color="auto"/>
          </w:divBdr>
        </w:div>
        <w:div w:id="1111125635">
          <w:marLeft w:val="0"/>
          <w:marRight w:val="0"/>
          <w:marTop w:val="0"/>
          <w:marBottom w:val="0"/>
          <w:divBdr>
            <w:top w:val="none" w:sz="0" w:space="0" w:color="auto"/>
            <w:left w:val="none" w:sz="0" w:space="0" w:color="auto"/>
            <w:bottom w:val="none" w:sz="0" w:space="0" w:color="auto"/>
            <w:right w:val="none" w:sz="0" w:space="0" w:color="auto"/>
          </w:divBdr>
        </w:div>
        <w:div w:id="923609666">
          <w:marLeft w:val="0"/>
          <w:marRight w:val="0"/>
          <w:marTop w:val="0"/>
          <w:marBottom w:val="0"/>
          <w:divBdr>
            <w:top w:val="none" w:sz="0" w:space="0" w:color="auto"/>
            <w:left w:val="none" w:sz="0" w:space="0" w:color="auto"/>
            <w:bottom w:val="none" w:sz="0" w:space="0" w:color="auto"/>
            <w:right w:val="none" w:sz="0" w:space="0" w:color="auto"/>
          </w:divBdr>
        </w:div>
        <w:div w:id="661542514">
          <w:marLeft w:val="0"/>
          <w:marRight w:val="0"/>
          <w:marTop w:val="0"/>
          <w:marBottom w:val="0"/>
          <w:divBdr>
            <w:top w:val="none" w:sz="0" w:space="0" w:color="auto"/>
            <w:left w:val="none" w:sz="0" w:space="0" w:color="auto"/>
            <w:bottom w:val="none" w:sz="0" w:space="0" w:color="auto"/>
            <w:right w:val="none" w:sz="0" w:space="0" w:color="auto"/>
          </w:divBdr>
        </w:div>
        <w:div w:id="1702585440">
          <w:marLeft w:val="0"/>
          <w:marRight w:val="0"/>
          <w:marTop w:val="0"/>
          <w:marBottom w:val="0"/>
          <w:divBdr>
            <w:top w:val="none" w:sz="0" w:space="0" w:color="auto"/>
            <w:left w:val="none" w:sz="0" w:space="0" w:color="auto"/>
            <w:bottom w:val="none" w:sz="0" w:space="0" w:color="auto"/>
            <w:right w:val="none" w:sz="0" w:space="0" w:color="auto"/>
          </w:divBdr>
        </w:div>
        <w:div w:id="1312444152">
          <w:marLeft w:val="0"/>
          <w:marRight w:val="0"/>
          <w:marTop w:val="0"/>
          <w:marBottom w:val="0"/>
          <w:divBdr>
            <w:top w:val="none" w:sz="0" w:space="0" w:color="auto"/>
            <w:left w:val="none" w:sz="0" w:space="0" w:color="auto"/>
            <w:bottom w:val="none" w:sz="0" w:space="0" w:color="auto"/>
            <w:right w:val="none" w:sz="0" w:space="0" w:color="auto"/>
          </w:divBdr>
        </w:div>
        <w:div w:id="608388330">
          <w:marLeft w:val="0"/>
          <w:marRight w:val="0"/>
          <w:marTop w:val="0"/>
          <w:marBottom w:val="0"/>
          <w:divBdr>
            <w:top w:val="none" w:sz="0" w:space="0" w:color="auto"/>
            <w:left w:val="none" w:sz="0" w:space="0" w:color="auto"/>
            <w:bottom w:val="none" w:sz="0" w:space="0" w:color="auto"/>
            <w:right w:val="none" w:sz="0" w:space="0" w:color="auto"/>
          </w:divBdr>
        </w:div>
        <w:div w:id="1930961875">
          <w:marLeft w:val="0"/>
          <w:marRight w:val="0"/>
          <w:marTop w:val="0"/>
          <w:marBottom w:val="0"/>
          <w:divBdr>
            <w:top w:val="none" w:sz="0" w:space="0" w:color="auto"/>
            <w:left w:val="none" w:sz="0" w:space="0" w:color="auto"/>
            <w:bottom w:val="none" w:sz="0" w:space="0" w:color="auto"/>
            <w:right w:val="none" w:sz="0" w:space="0" w:color="auto"/>
          </w:divBdr>
        </w:div>
        <w:div w:id="1643458137">
          <w:marLeft w:val="0"/>
          <w:marRight w:val="0"/>
          <w:marTop w:val="0"/>
          <w:marBottom w:val="0"/>
          <w:divBdr>
            <w:top w:val="none" w:sz="0" w:space="0" w:color="auto"/>
            <w:left w:val="none" w:sz="0" w:space="0" w:color="auto"/>
            <w:bottom w:val="none" w:sz="0" w:space="0" w:color="auto"/>
            <w:right w:val="none" w:sz="0" w:space="0" w:color="auto"/>
          </w:divBdr>
        </w:div>
        <w:div w:id="716927461">
          <w:marLeft w:val="0"/>
          <w:marRight w:val="0"/>
          <w:marTop w:val="0"/>
          <w:marBottom w:val="0"/>
          <w:divBdr>
            <w:top w:val="none" w:sz="0" w:space="0" w:color="auto"/>
            <w:left w:val="none" w:sz="0" w:space="0" w:color="auto"/>
            <w:bottom w:val="none" w:sz="0" w:space="0" w:color="auto"/>
            <w:right w:val="none" w:sz="0" w:space="0" w:color="auto"/>
          </w:divBdr>
        </w:div>
        <w:div w:id="378286699">
          <w:marLeft w:val="0"/>
          <w:marRight w:val="0"/>
          <w:marTop w:val="0"/>
          <w:marBottom w:val="0"/>
          <w:divBdr>
            <w:top w:val="none" w:sz="0" w:space="0" w:color="auto"/>
            <w:left w:val="none" w:sz="0" w:space="0" w:color="auto"/>
            <w:bottom w:val="none" w:sz="0" w:space="0" w:color="auto"/>
            <w:right w:val="none" w:sz="0" w:space="0" w:color="auto"/>
          </w:divBdr>
        </w:div>
        <w:div w:id="1032993575">
          <w:marLeft w:val="0"/>
          <w:marRight w:val="0"/>
          <w:marTop w:val="0"/>
          <w:marBottom w:val="0"/>
          <w:divBdr>
            <w:top w:val="none" w:sz="0" w:space="0" w:color="auto"/>
            <w:left w:val="none" w:sz="0" w:space="0" w:color="auto"/>
            <w:bottom w:val="none" w:sz="0" w:space="0" w:color="auto"/>
            <w:right w:val="none" w:sz="0" w:space="0" w:color="auto"/>
          </w:divBdr>
        </w:div>
        <w:div w:id="1333529285">
          <w:marLeft w:val="0"/>
          <w:marRight w:val="0"/>
          <w:marTop w:val="0"/>
          <w:marBottom w:val="0"/>
          <w:divBdr>
            <w:top w:val="none" w:sz="0" w:space="0" w:color="auto"/>
            <w:left w:val="none" w:sz="0" w:space="0" w:color="auto"/>
            <w:bottom w:val="none" w:sz="0" w:space="0" w:color="auto"/>
            <w:right w:val="none" w:sz="0" w:space="0" w:color="auto"/>
          </w:divBdr>
        </w:div>
        <w:div w:id="684215863">
          <w:marLeft w:val="0"/>
          <w:marRight w:val="0"/>
          <w:marTop w:val="0"/>
          <w:marBottom w:val="0"/>
          <w:divBdr>
            <w:top w:val="none" w:sz="0" w:space="0" w:color="auto"/>
            <w:left w:val="none" w:sz="0" w:space="0" w:color="auto"/>
            <w:bottom w:val="none" w:sz="0" w:space="0" w:color="auto"/>
            <w:right w:val="none" w:sz="0" w:space="0" w:color="auto"/>
          </w:divBdr>
        </w:div>
        <w:div w:id="1077633348">
          <w:marLeft w:val="0"/>
          <w:marRight w:val="0"/>
          <w:marTop w:val="0"/>
          <w:marBottom w:val="0"/>
          <w:divBdr>
            <w:top w:val="none" w:sz="0" w:space="0" w:color="auto"/>
            <w:left w:val="none" w:sz="0" w:space="0" w:color="auto"/>
            <w:bottom w:val="none" w:sz="0" w:space="0" w:color="auto"/>
            <w:right w:val="none" w:sz="0" w:space="0" w:color="auto"/>
          </w:divBdr>
        </w:div>
        <w:div w:id="195655062">
          <w:marLeft w:val="0"/>
          <w:marRight w:val="0"/>
          <w:marTop w:val="0"/>
          <w:marBottom w:val="0"/>
          <w:divBdr>
            <w:top w:val="none" w:sz="0" w:space="0" w:color="auto"/>
            <w:left w:val="none" w:sz="0" w:space="0" w:color="auto"/>
            <w:bottom w:val="none" w:sz="0" w:space="0" w:color="auto"/>
            <w:right w:val="none" w:sz="0" w:space="0" w:color="auto"/>
          </w:divBdr>
        </w:div>
        <w:div w:id="366028730">
          <w:marLeft w:val="0"/>
          <w:marRight w:val="0"/>
          <w:marTop w:val="0"/>
          <w:marBottom w:val="0"/>
          <w:divBdr>
            <w:top w:val="none" w:sz="0" w:space="0" w:color="auto"/>
            <w:left w:val="none" w:sz="0" w:space="0" w:color="auto"/>
            <w:bottom w:val="none" w:sz="0" w:space="0" w:color="auto"/>
            <w:right w:val="none" w:sz="0" w:space="0" w:color="auto"/>
          </w:divBdr>
        </w:div>
        <w:div w:id="704864165">
          <w:marLeft w:val="0"/>
          <w:marRight w:val="0"/>
          <w:marTop w:val="0"/>
          <w:marBottom w:val="0"/>
          <w:divBdr>
            <w:top w:val="none" w:sz="0" w:space="0" w:color="auto"/>
            <w:left w:val="none" w:sz="0" w:space="0" w:color="auto"/>
            <w:bottom w:val="none" w:sz="0" w:space="0" w:color="auto"/>
            <w:right w:val="none" w:sz="0" w:space="0" w:color="auto"/>
          </w:divBdr>
        </w:div>
        <w:div w:id="1651013547">
          <w:marLeft w:val="0"/>
          <w:marRight w:val="0"/>
          <w:marTop w:val="0"/>
          <w:marBottom w:val="0"/>
          <w:divBdr>
            <w:top w:val="none" w:sz="0" w:space="0" w:color="auto"/>
            <w:left w:val="none" w:sz="0" w:space="0" w:color="auto"/>
            <w:bottom w:val="none" w:sz="0" w:space="0" w:color="auto"/>
            <w:right w:val="none" w:sz="0" w:space="0" w:color="auto"/>
          </w:divBdr>
        </w:div>
        <w:div w:id="2122261316">
          <w:marLeft w:val="0"/>
          <w:marRight w:val="0"/>
          <w:marTop w:val="0"/>
          <w:marBottom w:val="0"/>
          <w:divBdr>
            <w:top w:val="none" w:sz="0" w:space="0" w:color="auto"/>
            <w:left w:val="none" w:sz="0" w:space="0" w:color="auto"/>
            <w:bottom w:val="none" w:sz="0" w:space="0" w:color="auto"/>
            <w:right w:val="none" w:sz="0" w:space="0" w:color="auto"/>
          </w:divBdr>
        </w:div>
        <w:div w:id="2051303041">
          <w:marLeft w:val="0"/>
          <w:marRight w:val="0"/>
          <w:marTop w:val="0"/>
          <w:marBottom w:val="0"/>
          <w:divBdr>
            <w:top w:val="none" w:sz="0" w:space="0" w:color="auto"/>
            <w:left w:val="none" w:sz="0" w:space="0" w:color="auto"/>
            <w:bottom w:val="none" w:sz="0" w:space="0" w:color="auto"/>
            <w:right w:val="none" w:sz="0" w:space="0" w:color="auto"/>
          </w:divBdr>
        </w:div>
        <w:div w:id="240146150">
          <w:marLeft w:val="0"/>
          <w:marRight w:val="0"/>
          <w:marTop w:val="0"/>
          <w:marBottom w:val="0"/>
          <w:divBdr>
            <w:top w:val="none" w:sz="0" w:space="0" w:color="auto"/>
            <w:left w:val="none" w:sz="0" w:space="0" w:color="auto"/>
            <w:bottom w:val="none" w:sz="0" w:space="0" w:color="auto"/>
            <w:right w:val="none" w:sz="0" w:space="0" w:color="auto"/>
          </w:divBdr>
        </w:div>
        <w:div w:id="1545093254">
          <w:marLeft w:val="0"/>
          <w:marRight w:val="0"/>
          <w:marTop w:val="0"/>
          <w:marBottom w:val="0"/>
          <w:divBdr>
            <w:top w:val="none" w:sz="0" w:space="0" w:color="auto"/>
            <w:left w:val="none" w:sz="0" w:space="0" w:color="auto"/>
            <w:bottom w:val="none" w:sz="0" w:space="0" w:color="auto"/>
            <w:right w:val="none" w:sz="0" w:space="0" w:color="auto"/>
          </w:divBdr>
        </w:div>
        <w:div w:id="1866097606">
          <w:marLeft w:val="0"/>
          <w:marRight w:val="0"/>
          <w:marTop w:val="0"/>
          <w:marBottom w:val="0"/>
          <w:divBdr>
            <w:top w:val="none" w:sz="0" w:space="0" w:color="auto"/>
            <w:left w:val="none" w:sz="0" w:space="0" w:color="auto"/>
            <w:bottom w:val="none" w:sz="0" w:space="0" w:color="auto"/>
            <w:right w:val="none" w:sz="0" w:space="0" w:color="auto"/>
          </w:divBdr>
        </w:div>
        <w:div w:id="993217323">
          <w:marLeft w:val="0"/>
          <w:marRight w:val="0"/>
          <w:marTop w:val="0"/>
          <w:marBottom w:val="0"/>
          <w:divBdr>
            <w:top w:val="none" w:sz="0" w:space="0" w:color="auto"/>
            <w:left w:val="none" w:sz="0" w:space="0" w:color="auto"/>
            <w:bottom w:val="none" w:sz="0" w:space="0" w:color="auto"/>
            <w:right w:val="none" w:sz="0" w:space="0" w:color="auto"/>
          </w:divBdr>
        </w:div>
        <w:div w:id="1099176030">
          <w:marLeft w:val="0"/>
          <w:marRight w:val="0"/>
          <w:marTop w:val="0"/>
          <w:marBottom w:val="0"/>
          <w:divBdr>
            <w:top w:val="none" w:sz="0" w:space="0" w:color="auto"/>
            <w:left w:val="none" w:sz="0" w:space="0" w:color="auto"/>
            <w:bottom w:val="none" w:sz="0" w:space="0" w:color="auto"/>
            <w:right w:val="none" w:sz="0" w:space="0" w:color="auto"/>
          </w:divBdr>
        </w:div>
        <w:div w:id="1349529581">
          <w:marLeft w:val="0"/>
          <w:marRight w:val="0"/>
          <w:marTop w:val="0"/>
          <w:marBottom w:val="0"/>
          <w:divBdr>
            <w:top w:val="none" w:sz="0" w:space="0" w:color="auto"/>
            <w:left w:val="none" w:sz="0" w:space="0" w:color="auto"/>
            <w:bottom w:val="none" w:sz="0" w:space="0" w:color="auto"/>
            <w:right w:val="none" w:sz="0" w:space="0" w:color="auto"/>
          </w:divBdr>
        </w:div>
        <w:div w:id="834420565">
          <w:marLeft w:val="0"/>
          <w:marRight w:val="0"/>
          <w:marTop w:val="0"/>
          <w:marBottom w:val="0"/>
          <w:divBdr>
            <w:top w:val="none" w:sz="0" w:space="0" w:color="auto"/>
            <w:left w:val="none" w:sz="0" w:space="0" w:color="auto"/>
            <w:bottom w:val="none" w:sz="0" w:space="0" w:color="auto"/>
            <w:right w:val="none" w:sz="0" w:space="0" w:color="auto"/>
          </w:divBdr>
        </w:div>
        <w:div w:id="1236016897">
          <w:marLeft w:val="0"/>
          <w:marRight w:val="0"/>
          <w:marTop w:val="0"/>
          <w:marBottom w:val="0"/>
          <w:divBdr>
            <w:top w:val="none" w:sz="0" w:space="0" w:color="auto"/>
            <w:left w:val="none" w:sz="0" w:space="0" w:color="auto"/>
            <w:bottom w:val="none" w:sz="0" w:space="0" w:color="auto"/>
            <w:right w:val="none" w:sz="0" w:space="0" w:color="auto"/>
          </w:divBdr>
        </w:div>
        <w:div w:id="2006546048">
          <w:marLeft w:val="0"/>
          <w:marRight w:val="0"/>
          <w:marTop w:val="0"/>
          <w:marBottom w:val="0"/>
          <w:divBdr>
            <w:top w:val="none" w:sz="0" w:space="0" w:color="auto"/>
            <w:left w:val="none" w:sz="0" w:space="0" w:color="auto"/>
            <w:bottom w:val="none" w:sz="0" w:space="0" w:color="auto"/>
            <w:right w:val="none" w:sz="0" w:space="0" w:color="auto"/>
          </w:divBdr>
        </w:div>
        <w:div w:id="1027096444">
          <w:marLeft w:val="0"/>
          <w:marRight w:val="0"/>
          <w:marTop w:val="0"/>
          <w:marBottom w:val="0"/>
          <w:divBdr>
            <w:top w:val="none" w:sz="0" w:space="0" w:color="auto"/>
            <w:left w:val="none" w:sz="0" w:space="0" w:color="auto"/>
            <w:bottom w:val="none" w:sz="0" w:space="0" w:color="auto"/>
            <w:right w:val="none" w:sz="0" w:space="0" w:color="auto"/>
          </w:divBdr>
        </w:div>
        <w:div w:id="628170431">
          <w:marLeft w:val="0"/>
          <w:marRight w:val="0"/>
          <w:marTop w:val="0"/>
          <w:marBottom w:val="0"/>
          <w:divBdr>
            <w:top w:val="none" w:sz="0" w:space="0" w:color="auto"/>
            <w:left w:val="none" w:sz="0" w:space="0" w:color="auto"/>
            <w:bottom w:val="none" w:sz="0" w:space="0" w:color="auto"/>
            <w:right w:val="none" w:sz="0" w:space="0" w:color="auto"/>
          </w:divBdr>
        </w:div>
        <w:div w:id="454251053">
          <w:marLeft w:val="0"/>
          <w:marRight w:val="0"/>
          <w:marTop w:val="0"/>
          <w:marBottom w:val="0"/>
          <w:divBdr>
            <w:top w:val="none" w:sz="0" w:space="0" w:color="auto"/>
            <w:left w:val="none" w:sz="0" w:space="0" w:color="auto"/>
            <w:bottom w:val="none" w:sz="0" w:space="0" w:color="auto"/>
            <w:right w:val="none" w:sz="0" w:space="0" w:color="auto"/>
          </w:divBdr>
        </w:div>
        <w:div w:id="976422564">
          <w:marLeft w:val="0"/>
          <w:marRight w:val="0"/>
          <w:marTop w:val="0"/>
          <w:marBottom w:val="0"/>
          <w:divBdr>
            <w:top w:val="none" w:sz="0" w:space="0" w:color="auto"/>
            <w:left w:val="none" w:sz="0" w:space="0" w:color="auto"/>
            <w:bottom w:val="none" w:sz="0" w:space="0" w:color="auto"/>
            <w:right w:val="none" w:sz="0" w:space="0" w:color="auto"/>
          </w:divBdr>
        </w:div>
        <w:div w:id="1049452748">
          <w:marLeft w:val="0"/>
          <w:marRight w:val="0"/>
          <w:marTop w:val="0"/>
          <w:marBottom w:val="0"/>
          <w:divBdr>
            <w:top w:val="none" w:sz="0" w:space="0" w:color="auto"/>
            <w:left w:val="none" w:sz="0" w:space="0" w:color="auto"/>
            <w:bottom w:val="none" w:sz="0" w:space="0" w:color="auto"/>
            <w:right w:val="none" w:sz="0" w:space="0" w:color="auto"/>
          </w:divBdr>
        </w:div>
        <w:div w:id="78257814">
          <w:marLeft w:val="0"/>
          <w:marRight w:val="0"/>
          <w:marTop w:val="0"/>
          <w:marBottom w:val="0"/>
          <w:divBdr>
            <w:top w:val="none" w:sz="0" w:space="0" w:color="auto"/>
            <w:left w:val="none" w:sz="0" w:space="0" w:color="auto"/>
            <w:bottom w:val="none" w:sz="0" w:space="0" w:color="auto"/>
            <w:right w:val="none" w:sz="0" w:space="0" w:color="auto"/>
          </w:divBdr>
        </w:div>
        <w:div w:id="1942570407">
          <w:marLeft w:val="0"/>
          <w:marRight w:val="0"/>
          <w:marTop w:val="0"/>
          <w:marBottom w:val="0"/>
          <w:divBdr>
            <w:top w:val="none" w:sz="0" w:space="0" w:color="auto"/>
            <w:left w:val="none" w:sz="0" w:space="0" w:color="auto"/>
            <w:bottom w:val="none" w:sz="0" w:space="0" w:color="auto"/>
            <w:right w:val="none" w:sz="0" w:space="0" w:color="auto"/>
          </w:divBdr>
        </w:div>
        <w:div w:id="998267846">
          <w:marLeft w:val="0"/>
          <w:marRight w:val="0"/>
          <w:marTop w:val="0"/>
          <w:marBottom w:val="0"/>
          <w:divBdr>
            <w:top w:val="none" w:sz="0" w:space="0" w:color="auto"/>
            <w:left w:val="none" w:sz="0" w:space="0" w:color="auto"/>
            <w:bottom w:val="none" w:sz="0" w:space="0" w:color="auto"/>
            <w:right w:val="none" w:sz="0" w:space="0" w:color="auto"/>
          </w:divBdr>
        </w:div>
        <w:div w:id="1758212661">
          <w:marLeft w:val="0"/>
          <w:marRight w:val="0"/>
          <w:marTop w:val="0"/>
          <w:marBottom w:val="0"/>
          <w:divBdr>
            <w:top w:val="none" w:sz="0" w:space="0" w:color="auto"/>
            <w:left w:val="none" w:sz="0" w:space="0" w:color="auto"/>
            <w:bottom w:val="none" w:sz="0" w:space="0" w:color="auto"/>
            <w:right w:val="none" w:sz="0" w:space="0" w:color="auto"/>
          </w:divBdr>
        </w:div>
        <w:div w:id="909073566">
          <w:marLeft w:val="0"/>
          <w:marRight w:val="0"/>
          <w:marTop w:val="0"/>
          <w:marBottom w:val="0"/>
          <w:divBdr>
            <w:top w:val="none" w:sz="0" w:space="0" w:color="auto"/>
            <w:left w:val="none" w:sz="0" w:space="0" w:color="auto"/>
            <w:bottom w:val="none" w:sz="0" w:space="0" w:color="auto"/>
            <w:right w:val="none" w:sz="0" w:space="0" w:color="auto"/>
          </w:divBdr>
        </w:div>
        <w:div w:id="890731812">
          <w:marLeft w:val="0"/>
          <w:marRight w:val="0"/>
          <w:marTop w:val="0"/>
          <w:marBottom w:val="0"/>
          <w:divBdr>
            <w:top w:val="none" w:sz="0" w:space="0" w:color="auto"/>
            <w:left w:val="none" w:sz="0" w:space="0" w:color="auto"/>
            <w:bottom w:val="none" w:sz="0" w:space="0" w:color="auto"/>
            <w:right w:val="none" w:sz="0" w:space="0" w:color="auto"/>
          </w:divBdr>
        </w:div>
        <w:div w:id="1890460889">
          <w:marLeft w:val="0"/>
          <w:marRight w:val="0"/>
          <w:marTop w:val="0"/>
          <w:marBottom w:val="0"/>
          <w:divBdr>
            <w:top w:val="none" w:sz="0" w:space="0" w:color="auto"/>
            <w:left w:val="none" w:sz="0" w:space="0" w:color="auto"/>
            <w:bottom w:val="none" w:sz="0" w:space="0" w:color="auto"/>
            <w:right w:val="none" w:sz="0" w:space="0" w:color="auto"/>
          </w:divBdr>
        </w:div>
        <w:div w:id="605619376">
          <w:marLeft w:val="0"/>
          <w:marRight w:val="0"/>
          <w:marTop w:val="0"/>
          <w:marBottom w:val="0"/>
          <w:divBdr>
            <w:top w:val="none" w:sz="0" w:space="0" w:color="auto"/>
            <w:left w:val="none" w:sz="0" w:space="0" w:color="auto"/>
            <w:bottom w:val="none" w:sz="0" w:space="0" w:color="auto"/>
            <w:right w:val="none" w:sz="0" w:space="0" w:color="auto"/>
          </w:divBdr>
        </w:div>
        <w:div w:id="1762408171">
          <w:marLeft w:val="0"/>
          <w:marRight w:val="0"/>
          <w:marTop w:val="0"/>
          <w:marBottom w:val="0"/>
          <w:divBdr>
            <w:top w:val="none" w:sz="0" w:space="0" w:color="auto"/>
            <w:left w:val="none" w:sz="0" w:space="0" w:color="auto"/>
            <w:bottom w:val="none" w:sz="0" w:space="0" w:color="auto"/>
            <w:right w:val="none" w:sz="0" w:space="0" w:color="auto"/>
          </w:divBdr>
        </w:div>
        <w:div w:id="2007829256">
          <w:marLeft w:val="0"/>
          <w:marRight w:val="0"/>
          <w:marTop w:val="0"/>
          <w:marBottom w:val="0"/>
          <w:divBdr>
            <w:top w:val="none" w:sz="0" w:space="0" w:color="auto"/>
            <w:left w:val="none" w:sz="0" w:space="0" w:color="auto"/>
            <w:bottom w:val="none" w:sz="0" w:space="0" w:color="auto"/>
            <w:right w:val="none" w:sz="0" w:space="0" w:color="auto"/>
          </w:divBdr>
        </w:div>
        <w:div w:id="772625171">
          <w:marLeft w:val="0"/>
          <w:marRight w:val="0"/>
          <w:marTop w:val="0"/>
          <w:marBottom w:val="0"/>
          <w:divBdr>
            <w:top w:val="none" w:sz="0" w:space="0" w:color="auto"/>
            <w:left w:val="none" w:sz="0" w:space="0" w:color="auto"/>
            <w:bottom w:val="none" w:sz="0" w:space="0" w:color="auto"/>
            <w:right w:val="none" w:sz="0" w:space="0" w:color="auto"/>
          </w:divBdr>
        </w:div>
        <w:div w:id="290942049">
          <w:marLeft w:val="0"/>
          <w:marRight w:val="0"/>
          <w:marTop w:val="0"/>
          <w:marBottom w:val="0"/>
          <w:divBdr>
            <w:top w:val="none" w:sz="0" w:space="0" w:color="auto"/>
            <w:left w:val="none" w:sz="0" w:space="0" w:color="auto"/>
            <w:bottom w:val="none" w:sz="0" w:space="0" w:color="auto"/>
            <w:right w:val="none" w:sz="0" w:space="0" w:color="auto"/>
          </w:divBdr>
        </w:div>
        <w:div w:id="1991902832">
          <w:marLeft w:val="0"/>
          <w:marRight w:val="0"/>
          <w:marTop w:val="0"/>
          <w:marBottom w:val="0"/>
          <w:divBdr>
            <w:top w:val="none" w:sz="0" w:space="0" w:color="auto"/>
            <w:left w:val="none" w:sz="0" w:space="0" w:color="auto"/>
            <w:bottom w:val="none" w:sz="0" w:space="0" w:color="auto"/>
            <w:right w:val="none" w:sz="0" w:space="0" w:color="auto"/>
          </w:divBdr>
        </w:div>
        <w:div w:id="94716200">
          <w:marLeft w:val="0"/>
          <w:marRight w:val="0"/>
          <w:marTop w:val="0"/>
          <w:marBottom w:val="0"/>
          <w:divBdr>
            <w:top w:val="none" w:sz="0" w:space="0" w:color="auto"/>
            <w:left w:val="none" w:sz="0" w:space="0" w:color="auto"/>
            <w:bottom w:val="none" w:sz="0" w:space="0" w:color="auto"/>
            <w:right w:val="none" w:sz="0" w:space="0" w:color="auto"/>
          </w:divBdr>
        </w:div>
        <w:div w:id="1123041389">
          <w:marLeft w:val="0"/>
          <w:marRight w:val="0"/>
          <w:marTop w:val="0"/>
          <w:marBottom w:val="0"/>
          <w:divBdr>
            <w:top w:val="none" w:sz="0" w:space="0" w:color="auto"/>
            <w:left w:val="none" w:sz="0" w:space="0" w:color="auto"/>
            <w:bottom w:val="none" w:sz="0" w:space="0" w:color="auto"/>
            <w:right w:val="none" w:sz="0" w:space="0" w:color="auto"/>
          </w:divBdr>
        </w:div>
        <w:div w:id="778646818">
          <w:marLeft w:val="0"/>
          <w:marRight w:val="0"/>
          <w:marTop w:val="0"/>
          <w:marBottom w:val="0"/>
          <w:divBdr>
            <w:top w:val="none" w:sz="0" w:space="0" w:color="auto"/>
            <w:left w:val="none" w:sz="0" w:space="0" w:color="auto"/>
            <w:bottom w:val="none" w:sz="0" w:space="0" w:color="auto"/>
            <w:right w:val="none" w:sz="0" w:space="0" w:color="auto"/>
          </w:divBdr>
        </w:div>
        <w:div w:id="1670596170">
          <w:marLeft w:val="0"/>
          <w:marRight w:val="0"/>
          <w:marTop w:val="0"/>
          <w:marBottom w:val="0"/>
          <w:divBdr>
            <w:top w:val="none" w:sz="0" w:space="0" w:color="auto"/>
            <w:left w:val="none" w:sz="0" w:space="0" w:color="auto"/>
            <w:bottom w:val="none" w:sz="0" w:space="0" w:color="auto"/>
            <w:right w:val="none" w:sz="0" w:space="0" w:color="auto"/>
          </w:divBdr>
        </w:div>
        <w:div w:id="332102062">
          <w:marLeft w:val="0"/>
          <w:marRight w:val="0"/>
          <w:marTop w:val="0"/>
          <w:marBottom w:val="0"/>
          <w:divBdr>
            <w:top w:val="none" w:sz="0" w:space="0" w:color="auto"/>
            <w:left w:val="none" w:sz="0" w:space="0" w:color="auto"/>
            <w:bottom w:val="none" w:sz="0" w:space="0" w:color="auto"/>
            <w:right w:val="none" w:sz="0" w:space="0" w:color="auto"/>
          </w:divBdr>
        </w:div>
        <w:div w:id="1056005104">
          <w:marLeft w:val="0"/>
          <w:marRight w:val="0"/>
          <w:marTop w:val="0"/>
          <w:marBottom w:val="0"/>
          <w:divBdr>
            <w:top w:val="none" w:sz="0" w:space="0" w:color="auto"/>
            <w:left w:val="none" w:sz="0" w:space="0" w:color="auto"/>
            <w:bottom w:val="none" w:sz="0" w:space="0" w:color="auto"/>
            <w:right w:val="none" w:sz="0" w:space="0" w:color="auto"/>
          </w:divBdr>
        </w:div>
        <w:div w:id="487138979">
          <w:marLeft w:val="0"/>
          <w:marRight w:val="0"/>
          <w:marTop w:val="0"/>
          <w:marBottom w:val="0"/>
          <w:divBdr>
            <w:top w:val="none" w:sz="0" w:space="0" w:color="auto"/>
            <w:left w:val="none" w:sz="0" w:space="0" w:color="auto"/>
            <w:bottom w:val="none" w:sz="0" w:space="0" w:color="auto"/>
            <w:right w:val="none" w:sz="0" w:space="0" w:color="auto"/>
          </w:divBdr>
        </w:div>
        <w:div w:id="1479416631">
          <w:marLeft w:val="0"/>
          <w:marRight w:val="0"/>
          <w:marTop w:val="0"/>
          <w:marBottom w:val="0"/>
          <w:divBdr>
            <w:top w:val="none" w:sz="0" w:space="0" w:color="auto"/>
            <w:left w:val="none" w:sz="0" w:space="0" w:color="auto"/>
            <w:bottom w:val="none" w:sz="0" w:space="0" w:color="auto"/>
            <w:right w:val="none" w:sz="0" w:space="0" w:color="auto"/>
          </w:divBdr>
        </w:div>
        <w:div w:id="771365211">
          <w:marLeft w:val="0"/>
          <w:marRight w:val="0"/>
          <w:marTop w:val="0"/>
          <w:marBottom w:val="0"/>
          <w:divBdr>
            <w:top w:val="none" w:sz="0" w:space="0" w:color="auto"/>
            <w:left w:val="none" w:sz="0" w:space="0" w:color="auto"/>
            <w:bottom w:val="none" w:sz="0" w:space="0" w:color="auto"/>
            <w:right w:val="none" w:sz="0" w:space="0" w:color="auto"/>
          </w:divBdr>
        </w:div>
        <w:div w:id="1511211265">
          <w:marLeft w:val="0"/>
          <w:marRight w:val="0"/>
          <w:marTop w:val="0"/>
          <w:marBottom w:val="0"/>
          <w:divBdr>
            <w:top w:val="none" w:sz="0" w:space="0" w:color="auto"/>
            <w:left w:val="none" w:sz="0" w:space="0" w:color="auto"/>
            <w:bottom w:val="none" w:sz="0" w:space="0" w:color="auto"/>
            <w:right w:val="none" w:sz="0" w:space="0" w:color="auto"/>
          </w:divBdr>
        </w:div>
        <w:div w:id="1790659308">
          <w:marLeft w:val="0"/>
          <w:marRight w:val="0"/>
          <w:marTop w:val="0"/>
          <w:marBottom w:val="0"/>
          <w:divBdr>
            <w:top w:val="none" w:sz="0" w:space="0" w:color="auto"/>
            <w:left w:val="none" w:sz="0" w:space="0" w:color="auto"/>
            <w:bottom w:val="none" w:sz="0" w:space="0" w:color="auto"/>
            <w:right w:val="none" w:sz="0" w:space="0" w:color="auto"/>
          </w:divBdr>
        </w:div>
        <w:div w:id="1444424505">
          <w:marLeft w:val="0"/>
          <w:marRight w:val="0"/>
          <w:marTop w:val="0"/>
          <w:marBottom w:val="0"/>
          <w:divBdr>
            <w:top w:val="none" w:sz="0" w:space="0" w:color="auto"/>
            <w:left w:val="none" w:sz="0" w:space="0" w:color="auto"/>
            <w:bottom w:val="none" w:sz="0" w:space="0" w:color="auto"/>
            <w:right w:val="none" w:sz="0" w:space="0" w:color="auto"/>
          </w:divBdr>
        </w:div>
        <w:div w:id="1039861447">
          <w:marLeft w:val="0"/>
          <w:marRight w:val="0"/>
          <w:marTop w:val="0"/>
          <w:marBottom w:val="0"/>
          <w:divBdr>
            <w:top w:val="none" w:sz="0" w:space="0" w:color="auto"/>
            <w:left w:val="none" w:sz="0" w:space="0" w:color="auto"/>
            <w:bottom w:val="none" w:sz="0" w:space="0" w:color="auto"/>
            <w:right w:val="none" w:sz="0" w:space="0" w:color="auto"/>
          </w:divBdr>
        </w:div>
        <w:div w:id="2059622217">
          <w:marLeft w:val="0"/>
          <w:marRight w:val="0"/>
          <w:marTop w:val="0"/>
          <w:marBottom w:val="0"/>
          <w:divBdr>
            <w:top w:val="none" w:sz="0" w:space="0" w:color="auto"/>
            <w:left w:val="none" w:sz="0" w:space="0" w:color="auto"/>
            <w:bottom w:val="none" w:sz="0" w:space="0" w:color="auto"/>
            <w:right w:val="none" w:sz="0" w:space="0" w:color="auto"/>
          </w:divBdr>
        </w:div>
        <w:div w:id="835337392">
          <w:marLeft w:val="0"/>
          <w:marRight w:val="0"/>
          <w:marTop w:val="0"/>
          <w:marBottom w:val="0"/>
          <w:divBdr>
            <w:top w:val="none" w:sz="0" w:space="0" w:color="auto"/>
            <w:left w:val="none" w:sz="0" w:space="0" w:color="auto"/>
            <w:bottom w:val="none" w:sz="0" w:space="0" w:color="auto"/>
            <w:right w:val="none" w:sz="0" w:space="0" w:color="auto"/>
          </w:divBdr>
        </w:div>
        <w:div w:id="1106005391">
          <w:marLeft w:val="0"/>
          <w:marRight w:val="0"/>
          <w:marTop w:val="0"/>
          <w:marBottom w:val="0"/>
          <w:divBdr>
            <w:top w:val="none" w:sz="0" w:space="0" w:color="auto"/>
            <w:left w:val="none" w:sz="0" w:space="0" w:color="auto"/>
            <w:bottom w:val="none" w:sz="0" w:space="0" w:color="auto"/>
            <w:right w:val="none" w:sz="0" w:space="0" w:color="auto"/>
          </w:divBdr>
        </w:div>
        <w:div w:id="335690690">
          <w:marLeft w:val="0"/>
          <w:marRight w:val="0"/>
          <w:marTop w:val="0"/>
          <w:marBottom w:val="0"/>
          <w:divBdr>
            <w:top w:val="none" w:sz="0" w:space="0" w:color="auto"/>
            <w:left w:val="none" w:sz="0" w:space="0" w:color="auto"/>
            <w:bottom w:val="none" w:sz="0" w:space="0" w:color="auto"/>
            <w:right w:val="none" w:sz="0" w:space="0" w:color="auto"/>
          </w:divBdr>
        </w:div>
        <w:div w:id="192574450">
          <w:marLeft w:val="0"/>
          <w:marRight w:val="0"/>
          <w:marTop w:val="0"/>
          <w:marBottom w:val="0"/>
          <w:divBdr>
            <w:top w:val="none" w:sz="0" w:space="0" w:color="auto"/>
            <w:left w:val="none" w:sz="0" w:space="0" w:color="auto"/>
            <w:bottom w:val="none" w:sz="0" w:space="0" w:color="auto"/>
            <w:right w:val="none" w:sz="0" w:space="0" w:color="auto"/>
          </w:divBdr>
        </w:div>
        <w:div w:id="663750394">
          <w:marLeft w:val="0"/>
          <w:marRight w:val="0"/>
          <w:marTop w:val="0"/>
          <w:marBottom w:val="0"/>
          <w:divBdr>
            <w:top w:val="none" w:sz="0" w:space="0" w:color="auto"/>
            <w:left w:val="none" w:sz="0" w:space="0" w:color="auto"/>
            <w:bottom w:val="none" w:sz="0" w:space="0" w:color="auto"/>
            <w:right w:val="none" w:sz="0" w:space="0" w:color="auto"/>
          </w:divBdr>
        </w:div>
        <w:div w:id="861672711">
          <w:marLeft w:val="0"/>
          <w:marRight w:val="0"/>
          <w:marTop w:val="0"/>
          <w:marBottom w:val="0"/>
          <w:divBdr>
            <w:top w:val="none" w:sz="0" w:space="0" w:color="auto"/>
            <w:left w:val="none" w:sz="0" w:space="0" w:color="auto"/>
            <w:bottom w:val="none" w:sz="0" w:space="0" w:color="auto"/>
            <w:right w:val="none" w:sz="0" w:space="0" w:color="auto"/>
          </w:divBdr>
        </w:div>
        <w:div w:id="723217968">
          <w:marLeft w:val="0"/>
          <w:marRight w:val="0"/>
          <w:marTop w:val="0"/>
          <w:marBottom w:val="0"/>
          <w:divBdr>
            <w:top w:val="none" w:sz="0" w:space="0" w:color="auto"/>
            <w:left w:val="none" w:sz="0" w:space="0" w:color="auto"/>
            <w:bottom w:val="none" w:sz="0" w:space="0" w:color="auto"/>
            <w:right w:val="none" w:sz="0" w:space="0" w:color="auto"/>
          </w:divBdr>
        </w:div>
        <w:div w:id="1251965415">
          <w:marLeft w:val="0"/>
          <w:marRight w:val="0"/>
          <w:marTop w:val="0"/>
          <w:marBottom w:val="0"/>
          <w:divBdr>
            <w:top w:val="none" w:sz="0" w:space="0" w:color="auto"/>
            <w:left w:val="none" w:sz="0" w:space="0" w:color="auto"/>
            <w:bottom w:val="none" w:sz="0" w:space="0" w:color="auto"/>
            <w:right w:val="none" w:sz="0" w:space="0" w:color="auto"/>
          </w:divBdr>
        </w:div>
        <w:div w:id="1329094000">
          <w:marLeft w:val="0"/>
          <w:marRight w:val="0"/>
          <w:marTop w:val="0"/>
          <w:marBottom w:val="0"/>
          <w:divBdr>
            <w:top w:val="none" w:sz="0" w:space="0" w:color="auto"/>
            <w:left w:val="none" w:sz="0" w:space="0" w:color="auto"/>
            <w:bottom w:val="none" w:sz="0" w:space="0" w:color="auto"/>
            <w:right w:val="none" w:sz="0" w:space="0" w:color="auto"/>
          </w:divBdr>
        </w:div>
        <w:div w:id="994602925">
          <w:marLeft w:val="0"/>
          <w:marRight w:val="0"/>
          <w:marTop w:val="0"/>
          <w:marBottom w:val="0"/>
          <w:divBdr>
            <w:top w:val="none" w:sz="0" w:space="0" w:color="auto"/>
            <w:left w:val="none" w:sz="0" w:space="0" w:color="auto"/>
            <w:bottom w:val="none" w:sz="0" w:space="0" w:color="auto"/>
            <w:right w:val="none" w:sz="0" w:space="0" w:color="auto"/>
          </w:divBdr>
        </w:div>
        <w:div w:id="1924876296">
          <w:marLeft w:val="0"/>
          <w:marRight w:val="0"/>
          <w:marTop w:val="0"/>
          <w:marBottom w:val="0"/>
          <w:divBdr>
            <w:top w:val="none" w:sz="0" w:space="0" w:color="auto"/>
            <w:left w:val="none" w:sz="0" w:space="0" w:color="auto"/>
            <w:bottom w:val="none" w:sz="0" w:space="0" w:color="auto"/>
            <w:right w:val="none" w:sz="0" w:space="0" w:color="auto"/>
          </w:divBdr>
        </w:div>
        <w:div w:id="117115982">
          <w:marLeft w:val="0"/>
          <w:marRight w:val="0"/>
          <w:marTop w:val="0"/>
          <w:marBottom w:val="0"/>
          <w:divBdr>
            <w:top w:val="none" w:sz="0" w:space="0" w:color="auto"/>
            <w:left w:val="none" w:sz="0" w:space="0" w:color="auto"/>
            <w:bottom w:val="none" w:sz="0" w:space="0" w:color="auto"/>
            <w:right w:val="none" w:sz="0" w:space="0" w:color="auto"/>
          </w:divBdr>
        </w:div>
        <w:div w:id="347029528">
          <w:marLeft w:val="0"/>
          <w:marRight w:val="0"/>
          <w:marTop w:val="0"/>
          <w:marBottom w:val="0"/>
          <w:divBdr>
            <w:top w:val="none" w:sz="0" w:space="0" w:color="auto"/>
            <w:left w:val="none" w:sz="0" w:space="0" w:color="auto"/>
            <w:bottom w:val="none" w:sz="0" w:space="0" w:color="auto"/>
            <w:right w:val="none" w:sz="0" w:space="0" w:color="auto"/>
          </w:divBdr>
        </w:div>
        <w:div w:id="2040473504">
          <w:marLeft w:val="0"/>
          <w:marRight w:val="0"/>
          <w:marTop w:val="0"/>
          <w:marBottom w:val="0"/>
          <w:divBdr>
            <w:top w:val="none" w:sz="0" w:space="0" w:color="auto"/>
            <w:left w:val="none" w:sz="0" w:space="0" w:color="auto"/>
            <w:bottom w:val="none" w:sz="0" w:space="0" w:color="auto"/>
            <w:right w:val="none" w:sz="0" w:space="0" w:color="auto"/>
          </w:divBdr>
        </w:div>
        <w:div w:id="1090155848">
          <w:marLeft w:val="0"/>
          <w:marRight w:val="0"/>
          <w:marTop w:val="0"/>
          <w:marBottom w:val="0"/>
          <w:divBdr>
            <w:top w:val="none" w:sz="0" w:space="0" w:color="auto"/>
            <w:left w:val="none" w:sz="0" w:space="0" w:color="auto"/>
            <w:bottom w:val="none" w:sz="0" w:space="0" w:color="auto"/>
            <w:right w:val="none" w:sz="0" w:space="0" w:color="auto"/>
          </w:divBdr>
        </w:div>
        <w:div w:id="1676566700">
          <w:marLeft w:val="0"/>
          <w:marRight w:val="0"/>
          <w:marTop w:val="0"/>
          <w:marBottom w:val="0"/>
          <w:divBdr>
            <w:top w:val="none" w:sz="0" w:space="0" w:color="auto"/>
            <w:left w:val="none" w:sz="0" w:space="0" w:color="auto"/>
            <w:bottom w:val="none" w:sz="0" w:space="0" w:color="auto"/>
            <w:right w:val="none" w:sz="0" w:space="0" w:color="auto"/>
          </w:divBdr>
        </w:div>
        <w:div w:id="1576696153">
          <w:marLeft w:val="0"/>
          <w:marRight w:val="0"/>
          <w:marTop w:val="0"/>
          <w:marBottom w:val="0"/>
          <w:divBdr>
            <w:top w:val="none" w:sz="0" w:space="0" w:color="auto"/>
            <w:left w:val="none" w:sz="0" w:space="0" w:color="auto"/>
            <w:bottom w:val="none" w:sz="0" w:space="0" w:color="auto"/>
            <w:right w:val="none" w:sz="0" w:space="0" w:color="auto"/>
          </w:divBdr>
        </w:div>
        <w:div w:id="14601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European%20Association%20For%20The%20Study%20Of%20The%20Liver%5BCorporate%20Author%5D" TargetMode="External"/><Relationship Id="rId10" Type="http://schemas.openxmlformats.org/officeDocument/2006/relationships/hyperlink" Target="http://www.ncbi.nlm.nih.gov/pubmed/?term=European%20Organisation%20For%20Research%20And%20Treatment%20Of%20Cancer%5BCorporate%20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9EFE-BAC2-364C-A0B5-5E00E3FD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9990</Words>
  <Characters>56945</Characters>
  <Application>Microsoft Macintosh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LD0912</dc:creator>
  <cp:lastModifiedBy>Na Ma</cp:lastModifiedBy>
  <cp:revision>2</cp:revision>
  <dcterms:created xsi:type="dcterms:W3CDTF">2015-07-24T02:21:00Z</dcterms:created>
  <dcterms:modified xsi:type="dcterms:W3CDTF">2015-07-24T02:21:00Z</dcterms:modified>
</cp:coreProperties>
</file>