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AC23B" w14:textId="77777777" w:rsidR="00C36D9A" w:rsidRPr="000F1CB4" w:rsidRDefault="00C36D9A" w:rsidP="000F1CB4">
      <w:pPr>
        <w:spacing w:after="0" w:line="360" w:lineRule="auto"/>
        <w:jc w:val="both"/>
        <w:rPr>
          <w:rFonts w:ascii="Book Antiqua" w:hAnsi="Book Antiqua"/>
          <w:b/>
          <w:sz w:val="24"/>
          <w:szCs w:val="24"/>
        </w:rPr>
      </w:pPr>
      <w:r w:rsidRPr="000F1CB4">
        <w:rPr>
          <w:rFonts w:ascii="Book Antiqua" w:hAnsi="Book Antiqua"/>
          <w:b/>
          <w:sz w:val="24"/>
          <w:szCs w:val="24"/>
        </w:rPr>
        <w:t xml:space="preserve">Name of journal: </w:t>
      </w:r>
      <w:r w:rsidRPr="000F1CB4">
        <w:rPr>
          <w:rFonts w:ascii="Book Antiqua" w:hAnsi="Book Antiqua"/>
          <w:b/>
          <w:i/>
          <w:iCs/>
          <w:sz w:val="24"/>
          <w:szCs w:val="24"/>
        </w:rPr>
        <w:t xml:space="preserve">World Journal of </w:t>
      </w:r>
      <w:proofErr w:type="spellStart"/>
      <w:r w:rsidRPr="000F1CB4">
        <w:rPr>
          <w:rFonts w:ascii="Book Antiqua" w:hAnsi="Book Antiqua"/>
          <w:b/>
          <w:i/>
          <w:iCs/>
          <w:sz w:val="24"/>
          <w:szCs w:val="24"/>
        </w:rPr>
        <w:t>Hepatology</w:t>
      </w:r>
      <w:proofErr w:type="spellEnd"/>
    </w:p>
    <w:p w14:paraId="21BA0D27" w14:textId="77777777" w:rsidR="00C36D9A" w:rsidRPr="000F1CB4" w:rsidRDefault="00C36D9A" w:rsidP="000F1CB4">
      <w:pPr>
        <w:spacing w:after="0" w:line="360" w:lineRule="auto"/>
        <w:jc w:val="both"/>
        <w:rPr>
          <w:rFonts w:ascii="Book Antiqua" w:hAnsi="Book Antiqua"/>
          <w:b/>
          <w:sz w:val="24"/>
          <w:szCs w:val="24"/>
          <w:lang w:eastAsia="zh-CN"/>
        </w:rPr>
      </w:pPr>
      <w:r w:rsidRPr="000F1CB4">
        <w:rPr>
          <w:rFonts w:ascii="Book Antiqua" w:hAnsi="Book Antiqua"/>
          <w:b/>
          <w:sz w:val="24"/>
          <w:szCs w:val="24"/>
        </w:rPr>
        <w:t xml:space="preserve">ESPS Manuscript NO: </w:t>
      </w:r>
      <w:r w:rsidRPr="000F1CB4">
        <w:rPr>
          <w:rFonts w:ascii="Book Antiqua" w:hAnsi="Book Antiqua"/>
          <w:b/>
          <w:sz w:val="24"/>
          <w:szCs w:val="24"/>
          <w:lang w:eastAsia="zh-CN"/>
        </w:rPr>
        <w:t>18576</w:t>
      </w:r>
    </w:p>
    <w:p w14:paraId="79976216" w14:textId="77777777" w:rsidR="00C36D9A" w:rsidRPr="000F1CB4" w:rsidRDefault="00C36D9A" w:rsidP="000F1CB4">
      <w:pPr>
        <w:spacing w:after="0" w:line="360" w:lineRule="auto"/>
        <w:jc w:val="both"/>
        <w:rPr>
          <w:rFonts w:ascii="Book Antiqua" w:hAnsi="Book Antiqua"/>
          <w:b/>
          <w:sz w:val="24"/>
          <w:szCs w:val="24"/>
          <w:lang w:eastAsia="zh-CN"/>
        </w:rPr>
      </w:pPr>
      <w:r w:rsidRPr="000F1CB4">
        <w:rPr>
          <w:rFonts w:ascii="Book Antiqua" w:hAnsi="Book Antiqua"/>
          <w:b/>
          <w:sz w:val="24"/>
          <w:szCs w:val="24"/>
        </w:rPr>
        <w:t xml:space="preserve">Manuscript Type: </w:t>
      </w:r>
      <w:r w:rsidRPr="000F1CB4">
        <w:rPr>
          <w:rFonts w:ascii="Book Antiqua" w:hAnsi="Book Antiqua"/>
          <w:b/>
          <w:sz w:val="24"/>
          <w:szCs w:val="24"/>
          <w:lang w:eastAsia="zh-CN"/>
        </w:rPr>
        <w:t>MINIREVIEWS</w:t>
      </w:r>
    </w:p>
    <w:p w14:paraId="3F9AECCA" w14:textId="77777777" w:rsidR="00C36D9A" w:rsidRPr="000F1CB4" w:rsidRDefault="00C36D9A" w:rsidP="000F1CB4">
      <w:pPr>
        <w:spacing w:after="0" w:line="360" w:lineRule="auto"/>
        <w:jc w:val="both"/>
        <w:rPr>
          <w:rFonts w:ascii="Book Antiqua" w:hAnsi="Book Antiqua"/>
          <w:b/>
          <w:sz w:val="24"/>
          <w:szCs w:val="24"/>
          <w:lang w:eastAsia="zh-CN"/>
        </w:rPr>
      </w:pPr>
    </w:p>
    <w:p w14:paraId="357AD288" w14:textId="73C435A3" w:rsidR="00606C22" w:rsidRPr="000F1CB4" w:rsidRDefault="000942B7" w:rsidP="000F1CB4">
      <w:pPr>
        <w:spacing w:after="0" w:line="360" w:lineRule="auto"/>
        <w:jc w:val="both"/>
        <w:rPr>
          <w:rFonts w:ascii="Book Antiqua" w:hAnsi="Book Antiqua" w:cs="Times New Roman"/>
          <w:b/>
          <w:sz w:val="24"/>
          <w:szCs w:val="24"/>
          <w:lang w:eastAsia="zh-CN"/>
        </w:rPr>
      </w:pPr>
      <w:r w:rsidRPr="000F1CB4">
        <w:rPr>
          <w:rFonts w:ascii="Book Antiqua" w:hAnsi="Book Antiqua" w:cs="Times New Roman"/>
          <w:b/>
          <w:sz w:val="24"/>
          <w:szCs w:val="24"/>
        </w:rPr>
        <w:t xml:space="preserve">Advances in </w:t>
      </w:r>
      <w:r w:rsidR="005A201E" w:rsidRPr="000F1CB4">
        <w:rPr>
          <w:rFonts w:ascii="Book Antiqua" w:hAnsi="Book Antiqua" w:cs="Times New Roman"/>
          <w:b/>
          <w:sz w:val="24"/>
          <w:szCs w:val="24"/>
        </w:rPr>
        <w:t>hepatocellular car</w:t>
      </w:r>
      <w:r w:rsidRPr="000F1CB4">
        <w:rPr>
          <w:rFonts w:ascii="Book Antiqua" w:hAnsi="Book Antiqua" w:cs="Times New Roman"/>
          <w:b/>
          <w:sz w:val="24"/>
          <w:szCs w:val="24"/>
        </w:rPr>
        <w:t xml:space="preserve">cinoma: Nonalcoholic </w:t>
      </w:r>
      <w:proofErr w:type="spellStart"/>
      <w:r w:rsidR="005A201E" w:rsidRPr="000F1CB4">
        <w:rPr>
          <w:rFonts w:ascii="Book Antiqua" w:hAnsi="Book Antiqua" w:cs="Times New Roman"/>
          <w:b/>
          <w:sz w:val="24"/>
          <w:szCs w:val="24"/>
        </w:rPr>
        <w:t>steatohepatitis</w:t>
      </w:r>
      <w:proofErr w:type="spellEnd"/>
      <w:r w:rsidR="005A201E" w:rsidRPr="000F1CB4">
        <w:rPr>
          <w:rFonts w:ascii="Book Antiqua" w:hAnsi="Book Antiqua" w:cs="Times New Roman"/>
          <w:b/>
          <w:sz w:val="24"/>
          <w:szCs w:val="24"/>
        </w:rPr>
        <w:t>-related hepatocellular carc</w:t>
      </w:r>
      <w:r w:rsidRPr="000F1CB4">
        <w:rPr>
          <w:rFonts w:ascii="Book Antiqua" w:hAnsi="Book Antiqua" w:cs="Times New Roman"/>
          <w:b/>
          <w:sz w:val="24"/>
          <w:szCs w:val="24"/>
        </w:rPr>
        <w:t>inoma</w:t>
      </w:r>
    </w:p>
    <w:p w14:paraId="5AFA2B5E" w14:textId="77777777" w:rsidR="00D43C0F" w:rsidRPr="000F1CB4" w:rsidRDefault="00D43C0F" w:rsidP="000F1CB4">
      <w:pPr>
        <w:spacing w:after="0" w:line="360" w:lineRule="auto"/>
        <w:jc w:val="both"/>
        <w:rPr>
          <w:rFonts w:ascii="Book Antiqua" w:hAnsi="Book Antiqua" w:cs="Times New Roman"/>
          <w:b/>
          <w:sz w:val="24"/>
          <w:szCs w:val="24"/>
          <w:lang w:eastAsia="zh-CN"/>
        </w:rPr>
      </w:pPr>
    </w:p>
    <w:p w14:paraId="43EB7A61" w14:textId="2539B167" w:rsidR="00FC5BD3" w:rsidRPr="000F1CB4" w:rsidRDefault="00D43C0F" w:rsidP="000F1CB4">
      <w:pPr>
        <w:spacing w:after="0" w:line="360" w:lineRule="auto"/>
        <w:jc w:val="both"/>
        <w:rPr>
          <w:rFonts w:ascii="Book Antiqua" w:hAnsi="Book Antiqua" w:cs="Times New Roman"/>
          <w:sz w:val="24"/>
          <w:szCs w:val="24"/>
          <w:lang w:eastAsia="zh-CN"/>
        </w:rPr>
      </w:pPr>
      <w:r w:rsidRPr="000F1CB4">
        <w:rPr>
          <w:rFonts w:ascii="Book Antiqua" w:hAnsi="Book Antiqua" w:cs="Times New Roman"/>
          <w:sz w:val="24"/>
          <w:szCs w:val="24"/>
        </w:rPr>
        <w:t>Khan</w:t>
      </w:r>
      <w:r w:rsidRPr="000F1CB4">
        <w:rPr>
          <w:rFonts w:ascii="Book Antiqua" w:hAnsi="Book Antiqua" w:cs="Times New Roman"/>
          <w:sz w:val="24"/>
          <w:szCs w:val="24"/>
          <w:lang w:eastAsia="zh-CN"/>
        </w:rPr>
        <w:t xml:space="preserve"> FZ </w:t>
      </w:r>
      <w:r w:rsidRPr="000F1CB4">
        <w:rPr>
          <w:rFonts w:ascii="Book Antiqua" w:hAnsi="Book Antiqua" w:cs="Times New Roman"/>
          <w:i/>
          <w:sz w:val="24"/>
          <w:szCs w:val="24"/>
          <w:lang w:eastAsia="zh-CN"/>
        </w:rPr>
        <w:t xml:space="preserve">et al. </w:t>
      </w:r>
      <w:r w:rsidRPr="000F1CB4">
        <w:rPr>
          <w:rFonts w:ascii="Book Antiqua" w:hAnsi="Book Antiqua" w:cs="Times New Roman"/>
          <w:sz w:val="24"/>
          <w:szCs w:val="24"/>
        </w:rPr>
        <w:t>NASH-related hepatocellular carcinoma</w:t>
      </w:r>
    </w:p>
    <w:p w14:paraId="4A5E91E9" w14:textId="77777777" w:rsidR="00D43C0F" w:rsidRPr="000F1CB4" w:rsidRDefault="00D43C0F" w:rsidP="000F1CB4">
      <w:pPr>
        <w:spacing w:after="0" w:line="360" w:lineRule="auto"/>
        <w:jc w:val="both"/>
        <w:rPr>
          <w:rFonts w:ascii="Book Antiqua" w:hAnsi="Book Antiqua" w:cs="Times New Roman"/>
          <w:b/>
          <w:i/>
          <w:sz w:val="24"/>
          <w:szCs w:val="24"/>
          <w:lang w:eastAsia="zh-CN"/>
        </w:rPr>
      </w:pPr>
    </w:p>
    <w:p w14:paraId="5545C2F8" w14:textId="317E0A63" w:rsidR="005A201E" w:rsidRPr="0099144C" w:rsidRDefault="005A201E" w:rsidP="000F1CB4">
      <w:pPr>
        <w:spacing w:after="0" w:line="360" w:lineRule="auto"/>
        <w:jc w:val="both"/>
        <w:rPr>
          <w:rFonts w:ascii="Book Antiqua" w:hAnsi="Book Antiqua" w:cs="Times New Roman"/>
          <w:b/>
          <w:sz w:val="24"/>
          <w:szCs w:val="24"/>
          <w:vertAlign w:val="superscript"/>
          <w:lang w:eastAsia="zh-CN"/>
        </w:rPr>
      </w:pPr>
      <w:proofErr w:type="spellStart"/>
      <w:r w:rsidRPr="0099144C">
        <w:rPr>
          <w:rFonts w:ascii="Book Antiqua" w:hAnsi="Book Antiqua" w:cs="Times New Roman"/>
          <w:b/>
          <w:sz w:val="24"/>
          <w:szCs w:val="24"/>
        </w:rPr>
        <w:t>Fauzia</w:t>
      </w:r>
      <w:proofErr w:type="spellEnd"/>
      <w:r w:rsidRPr="0099144C">
        <w:rPr>
          <w:rFonts w:ascii="Book Antiqua" w:hAnsi="Book Antiqua" w:cs="Times New Roman"/>
          <w:b/>
          <w:sz w:val="24"/>
          <w:szCs w:val="24"/>
        </w:rPr>
        <w:t xml:space="preserve"> Z Khan, Ryan B </w:t>
      </w:r>
      <w:proofErr w:type="spellStart"/>
      <w:r w:rsidRPr="0099144C">
        <w:rPr>
          <w:rFonts w:ascii="Book Antiqua" w:hAnsi="Book Antiqua" w:cs="Times New Roman"/>
          <w:b/>
          <w:sz w:val="24"/>
          <w:szCs w:val="24"/>
        </w:rPr>
        <w:t>Perumpail</w:t>
      </w:r>
      <w:proofErr w:type="spellEnd"/>
      <w:r w:rsidRPr="0099144C">
        <w:rPr>
          <w:rFonts w:ascii="Book Antiqua" w:hAnsi="Book Antiqua" w:cs="Times New Roman"/>
          <w:b/>
          <w:sz w:val="24"/>
          <w:szCs w:val="24"/>
        </w:rPr>
        <w:t xml:space="preserve">, Robert J Wong, </w:t>
      </w:r>
      <w:proofErr w:type="spellStart"/>
      <w:r w:rsidRPr="0099144C">
        <w:rPr>
          <w:rFonts w:ascii="Book Antiqua" w:hAnsi="Book Antiqua" w:cs="Times New Roman"/>
          <w:b/>
          <w:sz w:val="24"/>
          <w:szCs w:val="24"/>
        </w:rPr>
        <w:t>Aijaz</w:t>
      </w:r>
      <w:proofErr w:type="spellEnd"/>
      <w:r w:rsidRPr="0099144C">
        <w:rPr>
          <w:rFonts w:ascii="Book Antiqua" w:hAnsi="Book Antiqua" w:cs="Times New Roman"/>
          <w:b/>
          <w:sz w:val="24"/>
          <w:szCs w:val="24"/>
        </w:rPr>
        <w:t xml:space="preserve"> Ahmed</w:t>
      </w:r>
    </w:p>
    <w:p w14:paraId="373DB497" w14:textId="77777777" w:rsidR="005A201E" w:rsidRPr="000F1CB4" w:rsidRDefault="005A201E" w:rsidP="000F1CB4">
      <w:pPr>
        <w:spacing w:after="0" w:line="360" w:lineRule="auto"/>
        <w:jc w:val="both"/>
        <w:rPr>
          <w:rFonts w:ascii="Book Antiqua" w:hAnsi="Book Antiqua" w:cs="Times New Roman"/>
          <w:b/>
          <w:sz w:val="24"/>
          <w:szCs w:val="24"/>
          <w:lang w:eastAsia="zh-CN"/>
        </w:rPr>
      </w:pPr>
    </w:p>
    <w:p w14:paraId="1293A06F" w14:textId="6DC377E7" w:rsidR="00606C22" w:rsidRPr="000F1CB4" w:rsidRDefault="00D43C0F" w:rsidP="000F1CB4">
      <w:pPr>
        <w:spacing w:after="0" w:line="360" w:lineRule="auto"/>
        <w:jc w:val="both"/>
        <w:rPr>
          <w:rFonts w:ascii="Book Antiqua" w:hAnsi="Book Antiqua" w:cs="Times New Roman"/>
          <w:sz w:val="24"/>
          <w:szCs w:val="24"/>
          <w:lang w:eastAsia="zh-CN"/>
        </w:rPr>
      </w:pPr>
      <w:proofErr w:type="spellStart"/>
      <w:r w:rsidRPr="000F1CB4">
        <w:rPr>
          <w:rFonts w:ascii="Book Antiqua" w:hAnsi="Book Antiqua" w:cs="Times New Roman"/>
          <w:b/>
          <w:sz w:val="24"/>
          <w:szCs w:val="24"/>
        </w:rPr>
        <w:t>Fauzia</w:t>
      </w:r>
      <w:proofErr w:type="spellEnd"/>
      <w:r w:rsidRPr="000F1CB4">
        <w:rPr>
          <w:rFonts w:ascii="Book Antiqua" w:hAnsi="Book Antiqua" w:cs="Times New Roman"/>
          <w:b/>
          <w:sz w:val="24"/>
          <w:szCs w:val="24"/>
        </w:rPr>
        <w:t xml:space="preserve"> Z Khan, Ryan B </w:t>
      </w:r>
      <w:proofErr w:type="spellStart"/>
      <w:r w:rsidRPr="000F1CB4">
        <w:rPr>
          <w:rFonts w:ascii="Book Antiqua" w:hAnsi="Book Antiqua" w:cs="Times New Roman"/>
          <w:b/>
          <w:sz w:val="24"/>
          <w:szCs w:val="24"/>
        </w:rPr>
        <w:t>Perumpail</w:t>
      </w:r>
      <w:proofErr w:type="spellEnd"/>
      <w:r w:rsidRPr="000F1CB4">
        <w:rPr>
          <w:rFonts w:ascii="Book Antiqua" w:hAnsi="Book Antiqua" w:cs="Times New Roman"/>
          <w:b/>
          <w:sz w:val="24"/>
          <w:szCs w:val="24"/>
        </w:rPr>
        <w:t xml:space="preserve">, </w:t>
      </w:r>
      <w:proofErr w:type="spellStart"/>
      <w:r w:rsidRPr="000F1CB4">
        <w:rPr>
          <w:rFonts w:ascii="Book Antiqua" w:hAnsi="Book Antiqua" w:cs="Times New Roman"/>
          <w:b/>
          <w:sz w:val="24"/>
          <w:szCs w:val="24"/>
        </w:rPr>
        <w:t>Aijaz</w:t>
      </w:r>
      <w:proofErr w:type="spellEnd"/>
      <w:r w:rsidRPr="000F1CB4">
        <w:rPr>
          <w:rFonts w:ascii="Book Antiqua" w:hAnsi="Book Antiqua" w:cs="Times New Roman"/>
          <w:b/>
          <w:sz w:val="24"/>
          <w:szCs w:val="24"/>
        </w:rPr>
        <w:t xml:space="preserve"> Ahmed</w:t>
      </w:r>
      <w:r w:rsidRPr="000F1CB4">
        <w:rPr>
          <w:rFonts w:ascii="Book Antiqua" w:hAnsi="Book Antiqua" w:cs="Times New Roman"/>
          <w:b/>
          <w:sz w:val="24"/>
          <w:szCs w:val="24"/>
          <w:lang w:eastAsia="zh-CN"/>
        </w:rPr>
        <w:t>,</w:t>
      </w:r>
      <w:r w:rsidRPr="000F1CB4">
        <w:rPr>
          <w:rFonts w:ascii="Book Antiqua" w:hAnsi="Book Antiqua" w:cs="Times New Roman"/>
          <w:b/>
          <w:sz w:val="24"/>
          <w:szCs w:val="24"/>
          <w:vertAlign w:val="superscript"/>
          <w:lang w:eastAsia="zh-CN"/>
        </w:rPr>
        <w:t xml:space="preserve"> </w:t>
      </w:r>
      <w:r w:rsidR="00606C22" w:rsidRPr="000F1CB4">
        <w:rPr>
          <w:rFonts w:ascii="Book Antiqua" w:hAnsi="Book Antiqua" w:cs="Times New Roman"/>
          <w:sz w:val="24"/>
          <w:szCs w:val="24"/>
        </w:rPr>
        <w:t xml:space="preserve">Division of Gastroenterology and </w:t>
      </w:r>
      <w:proofErr w:type="spellStart"/>
      <w:r w:rsidR="00606C22" w:rsidRPr="000F1CB4">
        <w:rPr>
          <w:rFonts w:ascii="Book Antiqua" w:hAnsi="Book Antiqua" w:cs="Times New Roman"/>
          <w:sz w:val="24"/>
          <w:szCs w:val="24"/>
        </w:rPr>
        <w:t>Hepatology</w:t>
      </w:r>
      <w:proofErr w:type="spellEnd"/>
      <w:r w:rsidR="00606C22" w:rsidRPr="000F1CB4">
        <w:rPr>
          <w:rFonts w:ascii="Book Antiqua" w:hAnsi="Book Antiqua" w:cs="Times New Roman"/>
          <w:sz w:val="24"/>
          <w:szCs w:val="24"/>
        </w:rPr>
        <w:t>, Stanford University School of Medicine, Stanford, CA</w:t>
      </w:r>
      <w:r w:rsidR="00075918" w:rsidRPr="000F1CB4">
        <w:rPr>
          <w:rFonts w:ascii="Book Antiqua" w:hAnsi="Book Antiqua" w:cs="Times New Roman"/>
          <w:sz w:val="24"/>
          <w:szCs w:val="24"/>
        </w:rPr>
        <w:t xml:space="preserve"> 94305</w:t>
      </w:r>
      <w:r w:rsidRPr="000F1CB4">
        <w:rPr>
          <w:rFonts w:ascii="Book Antiqua" w:hAnsi="Book Antiqua" w:cs="Times New Roman"/>
          <w:sz w:val="24"/>
          <w:szCs w:val="24"/>
          <w:lang w:eastAsia="zh-CN"/>
        </w:rPr>
        <w:t>, United States</w:t>
      </w:r>
    </w:p>
    <w:p w14:paraId="7EDBC2F0" w14:textId="77777777" w:rsidR="00D43C0F" w:rsidRPr="000F1CB4" w:rsidRDefault="00D43C0F" w:rsidP="000F1CB4">
      <w:pPr>
        <w:spacing w:after="0" w:line="360" w:lineRule="auto"/>
        <w:jc w:val="both"/>
        <w:rPr>
          <w:rFonts w:ascii="Book Antiqua" w:hAnsi="Book Antiqua" w:cs="Times New Roman"/>
          <w:b/>
          <w:sz w:val="24"/>
          <w:szCs w:val="24"/>
          <w:vertAlign w:val="superscript"/>
          <w:lang w:eastAsia="zh-CN"/>
        </w:rPr>
      </w:pPr>
    </w:p>
    <w:p w14:paraId="447E73A1" w14:textId="7DA83203" w:rsidR="00064F60" w:rsidRPr="000F1CB4" w:rsidRDefault="00D43C0F" w:rsidP="000F1CB4">
      <w:pPr>
        <w:spacing w:after="0" w:line="360" w:lineRule="auto"/>
        <w:jc w:val="both"/>
        <w:rPr>
          <w:rFonts w:ascii="Book Antiqua" w:hAnsi="Book Antiqua" w:cs="Times New Roman"/>
          <w:sz w:val="24"/>
          <w:szCs w:val="24"/>
          <w:lang w:eastAsia="zh-CN"/>
        </w:rPr>
      </w:pPr>
      <w:r w:rsidRPr="000F1CB4">
        <w:rPr>
          <w:rFonts w:ascii="Book Antiqua" w:hAnsi="Book Antiqua" w:cs="Times New Roman"/>
          <w:b/>
          <w:sz w:val="24"/>
          <w:szCs w:val="24"/>
        </w:rPr>
        <w:t>Robert J Wong,</w:t>
      </w:r>
      <w:r w:rsidRPr="000F1CB4">
        <w:rPr>
          <w:rFonts w:ascii="Book Antiqua" w:hAnsi="Book Antiqua" w:cs="Times New Roman"/>
          <w:b/>
          <w:sz w:val="24"/>
          <w:szCs w:val="24"/>
          <w:lang w:eastAsia="zh-CN"/>
        </w:rPr>
        <w:t xml:space="preserve"> </w:t>
      </w:r>
      <w:r w:rsidR="00064F60" w:rsidRPr="000F1CB4">
        <w:rPr>
          <w:rFonts w:ascii="Book Antiqua" w:hAnsi="Book Antiqua" w:cs="Times New Roman"/>
          <w:sz w:val="24"/>
          <w:szCs w:val="24"/>
        </w:rPr>
        <w:t xml:space="preserve">Division of Gastroenterology and </w:t>
      </w:r>
      <w:proofErr w:type="spellStart"/>
      <w:r w:rsidR="00064F60" w:rsidRPr="000F1CB4">
        <w:rPr>
          <w:rFonts w:ascii="Book Antiqua" w:hAnsi="Book Antiqua" w:cs="Times New Roman"/>
          <w:sz w:val="24"/>
          <w:szCs w:val="24"/>
        </w:rPr>
        <w:t>Hepatology</w:t>
      </w:r>
      <w:proofErr w:type="spellEnd"/>
      <w:r w:rsidR="00064F60" w:rsidRPr="000F1CB4">
        <w:rPr>
          <w:rFonts w:ascii="Book Antiqua" w:hAnsi="Book Antiqua" w:cs="Times New Roman"/>
          <w:sz w:val="24"/>
          <w:szCs w:val="24"/>
        </w:rPr>
        <w:t>, Alameda Health System – Highland Hospital Campus, Oakland, CA</w:t>
      </w:r>
      <w:r w:rsidR="00075918" w:rsidRPr="000F1CB4">
        <w:rPr>
          <w:rFonts w:ascii="Book Antiqua" w:hAnsi="Book Antiqua" w:cs="Times New Roman"/>
          <w:sz w:val="24"/>
          <w:szCs w:val="24"/>
        </w:rPr>
        <w:t xml:space="preserve"> 94602</w:t>
      </w:r>
      <w:r w:rsidRPr="000F1CB4">
        <w:rPr>
          <w:rFonts w:ascii="Book Antiqua" w:hAnsi="Book Antiqua" w:cs="Times New Roman"/>
          <w:sz w:val="24"/>
          <w:szCs w:val="24"/>
          <w:lang w:eastAsia="zh-CN"/>
        </w:rPr>
        <w:t>, United States</w:t>
      </w:r>
    </w:p>
    <w:p w14:paraId="04DF905D" w14:textId="77777777" w:rsidR="00606C22" w:rsidRPr="000F1CB4" w:rsidRDefault="00606C22" w:rsidP="000F1CB4">
      <w:pPr>
        <w:spacing w:after="0" w:line="360" w:lineRule="auto"/>
        <w:jc w:val="both"/>
        <w:rPr>
          <w:rFonts w:ascii="Book Antiqua" w:hAnsi="Book Antiqua" w:cs="Times New Roman"/>
          <w:sz w:val="24"/>
          <w:szCs w:val="24"/>
          <w:lang w:eastAsia="zh-CN"/>
        </w:rPr>
      </w:pPr>
    </w:p>
    <w:p w14:paraId="71BA5931" w14:textId="17822580" w:rsidR="00075918" w:rsidRPr="000F1CB4" w:rsidRDefault="00C36D9A" w:rsidP="000F1CB4">
      <w:pPr>
        <w:spacing w:after="0" w:line="360" w:lineRule="auto"/>
        <w:jc w:val="both"/>
        <w:rPr>
          <w:rFonts w:ascii="Book Antiqua" w:hAnsi="Book Antiqua" w:cs="Times New Roman"/>
          <w:sz w:val="24"/>
          <w:szCs w:val="24"/>
          <w:lang w:eastAsia="zh-CN"/>
        </w:rPr>
      </w:pPr>
      <w:r w:rsidRPr="000F1CB4">
        <w:rPr>
          <w:rFonts w:ascii="Book Antiqua" w:hAnsi="Book Antiqua"/>
          <w:b/>
          <w:sz w:val="24"/>
          <w:szCs w:val="24"/>
        </w:rPr>
        <w:t>Author contributions:</w:t>
      </w:r>
      <w:r w:rsidRPr="000F1CB4">
        <w:rPr>
          <w:rFonts w:ascii="Book Antiqua" w:hAnsi="Book Antiqua"/>
          <w:sz w:val="24"/>
          <w:szCs w:val="24"/>
        </w:rPr>
        <w:t xml:space="preserve"> </w:t>
      </w:r>
      <w:r w:rsidR="00075918" w:rsidRPr="000F1CB4">
        <w:rPr>
          <w:rFonts w:ascii="Book Antiqua" w:hAnsi="Book Antiqua"/>
          <w:sz w:val="24"/>
          <w:szCs w:val="24"/>
        </w:rPr>
        <w:t xml:space="preserve">Khan FZ, </w:t>
      </w:r>
      <w:proofErr w:type="spellStart"/>
      <w:r w:rsidR="00075918" w:rsidRPr="000F1CB4">
        <w:rPr>
          <w:rFonts w:ascii="Book Antiqua" w:hAnsi="Book Antiqua"/>
          <w:sz w:val="24"/>
          <w:szCs w:val="24"/>
        </w:rPr>
        <w:t>Perumpail</w:t>
      </w:r>
      <w:proofErr w:type="spellEnd"/>
      <w:r w:rsidR="00075918" w:rsidRPr="000F1CB4">
        <w:rPr>
          <w:rFonts w:ascii="Book Antiqua" w:hAnsi="Book Antiqua"/>
          <w:sz w:val="24"/>
          <w:szCs w:val="24"/>
        </w:rPr>
        <w:t xml:space="preserve"> RB, Wong RJ</w:t>
      </w:r>
      <w:r w:rsidR="00D43C0F" w:rsidRPr="000F1CB4">
        <w:rPr>
          <w:rFonts w:ascii="Book Antiqua" w:hAnsi="Book Antiqua"/>
          <w:sz w:val="24"/>
          <w:szCs w:val="24"/>
          <w:lang w:eastAsia="zh-CN"/>
        </w:rPr>
        <w:t xml:space="preserve"> and</w:t>
      </w:r>
      <w:r w:rsidR="00075918" w:rsidRPr="000F1CB4">
        <w:rPr>
          <w:rFonts w:ascii="Book Antiqua" w:hAnsi="Book Antiqua"/>
          <w:sz w:val="24"/>
          <w:szCs w:val="24"/>
        </w:rPr>
        <w:t xml:space="preserve"> Ahmed A</w:t>
      </w:r>
      <w:r w:rsidR="00075918" w:rsidRPr="000F1CB4">
        <w:rPr>
          <w:rFonts w:ascii="Book Antiqua" w:hAnsi="Book Antiqua"/>
          <w:b/>
          <w:sz w:val="24"/>
          <w:szCs w:val="24"/>
        </w:rPr>
        <w:t xml:space="preserve"> </w:t>
      </w:r>
      <w:r w:rsidR="00075918" w:rsidRPr="000F1CB4">
        <w:rPr>
          <w:rFonts w:ascii="Book Antiqua" w:hAnsi="Book Antiqua"/>
          <w:sz w:val="24"/>
          <w:szCs w:val="24"/>
        </w:rPr>
        <w:t>designed research;</w:t>
      </w:r>
      <w:r w:rsidR="00075918" w:rsidRPr="000F1CB4">
        <w:rPr>
          <w:rFonts w:ascii="Book Antiqua" w:hAnsi="Book Antiqua"/>
          <w:b/>
          <w:sz w:val="24"/>
          <w:szCs w:val="24"/>
        </w:rPr>
        <w:t xml:space="preserve"> </w:t>
      </w:r>
      <w:r w:rsidR="00075918" w:rsidRPr="000F1CB4">
        <w:rPr>
          <w:rFonts w:ascii="Book Antiqua" w:hAnsi="Book Antiqua"/>
          <w:sz w:val="24"/>
          <w:szCs w:val="24"/>
        </w:rPr>
        <w:t xml:space="preserve">Khan FZ, </w:t>
      </w:r>
      <w:proofErr w:type="spellStart"/>
      <w:r w:rsidR="00075918" w:rsidRPr="000F1CB4">
        <w:rPr>
          <w:rFonts w:ascii="Book Antiqua" w:hAnsi="Book Antiqua"/>
          <w:sz w:val="24"/>
          <w:szCs w:val="24"/>
        </w:rPr>
        <w:t>Perumpail</w:t>
      </w:r>
      <w:proofErr w:type="spellEnd"/>
      <w:r w:rsidR="00075918" w:rsidRPr="000F1CB4">
        <w:rPr>
          <w:rFonts w:ascii="Book Antiqua" w:hAnsi="Book Antiqua"/>
          <w:sz w:val="24"/>
          <w:szCs w:val="24"/>
        </w:rPr>
        <w:t xml:space="preserve"> RB, Wong RJ</w:t>
      </w:r>
      <w:r w:rsidR="00D43C0F" w:rsidRPr="000F1CB4">
        <w:rPr>
          <w:rFonts w:ascii="Book Antiqua" w:hAnsi="Book Antiqua"/>
          <w:sz w:val="24"/>
          <w:szCs w:val="24"/>
          <w:lang w:eastAsia="zh-CN"/>
        </w:rPr>
        <w:t xml:space="preserve"> and</w:t>
      </w:r>
      <w:r w:rsidR="00075918" w:rsidRPr="000F1CB4">
        <w:rPr>
          <w:rFonts w:ascii="Book Antiqua" w:hAnsi="Book Antiqua"/>
          <w:sz w:val="24"/>
          <w:szCs w:val="24"/>
        </w:rPr>
        <w:t xml:space="preserve"> Ahmed A performed research; Khan FZ, </w:t>
      </w:r>
      <w:proofErr w:type="spellStart"/>
      <w:r w:rsidR="00075918" w:rsidRPr="000F1CB4">
        <w:rPr>
          <w:rFonts w:ascii="Book Antiqua" w:hAnsi="Book Antiqua"/>
          <w:sz w:val="24"/>
          <w:szCs w:val="24"/>
        </w:rPr>
        <w:t>Perumpail</w:t>
      </w:r>
      <w:proofErr w:type="spellEnd"/>
      <w:r w:rsidR="00075918" w:rsidRPr="000F1CB4">
        <w:rPr>
          <w:rFonts w:ascii="Book Antiqua" w:hAnsi="Book Antiqua"/>
          <w:sz w:val="24"/>
          <w:szCs w:val="24"/>
        </w:rPr>
        <w:t xml:space="preserve"> RB, Wong RJ</w:t>
      </w:r>
      <w:r w:rsidR="00D43C0F" w:rsidRPr="000F1CB4">
        <w:rPr>
          <w:rFonts w:ascii="Book Antiqua" w:hAnsi="Book Antiqua"/>
          <w:sz w:val="24"/>
          <w:szCs w:val="24"/>
          <w:lang w:eastAsia="zh-CN"/>
        </w:rPr>
        <w:t xml:space="preserve"> and</w:t>
      </w:r>
      <w:r w:rsidR="00075918" w:rsidRPr="000F1CB4">
        <w:rPr>
          <w:rFonts w:ascii="Book Antiqua" w:hAnsi="Book Antiqua"/>
          <w:sz w:val="24"/>
          <w:szCs w:val="24"/>
        </w:rPr>
        <w:t xml:space="preserve"> Ahmed A contributed new reagents or analytic tools; Khan FZ, </w:t>
      </w:r>
      <w:proofErr w:type="spellStart"/>
      <w:r w:rsidR="00075918" w:rsidRPr="000F1CB4">
        <w:rPr>
          <w:rFonts w:ascii="Book Antiqua" w:hAnsi="Book Antiqua"/>
          <w:sz w:val="24"/>
          <w:szCs w:val="24"/>
        </w:rPr>
        <w:t>Perumpail</w:t>
      </w:r>
      <w:proofErr w:type="spellEnd"/>
      <w:r w:rsidR="00075918" w:rsidRPr="000F1CB4">
        <w:rPr>
          <w:rFonts w:ascii="Book Antiqua" w:hAnsi="Book Antiqua"/>
          <w:sz w:val="24"/>
          <w:szCs w:val="24"/>
        </w:rPr>
        <w:t xml:space="preserve"> RB, Wong RJ</w:t>
      </w:r>
      <w:r w:rsidR="00D43C0F" w:rsidRPr="000F1CB4">
        <w:rPr>
          <w:rFonts w:ascii="Book Antiqua" w:hAnsi="Book Antiqua"/>
          <w:sz w:val="24"/>
          <w:szCs w:val="24"/>
          <w:lang w:eastAsia="zh-CN"/>
        </w:rPr>
        <w:t xml:space="preserve"> and</w:t>
      </w:r>
      <w:r w:rsidR="00075918" w:rsidRPr="000F1CB4">
        <w:rPr>
          <w:rFonts w:ascii="Book Antiqua" w:hAnsi="Book Antiqua"/>
          <w:sz w:val="24"/>
          <w:szCs w:val="24"/>
        </w:rPr>
        <w:t xml:space="preserve"> Ahmed A analyzed data; Khan FZ wrote the paper. </w:t>
      </w:r>
    </w:p>
    <w:p w14:paraId="3A0A54C9" w14:textId="77777777" w:rsidR="00C36D9A" w:rsidRPr="000F1CB4" w:rsidRDefault="00C36D9A" w:rsidP="000F1CB4">
      <w:pPr>
        <w:spacing w:after="0" w:line="360" w:lineRule="auto"/>
        <w:jc w:val="both"/>
        <w:rPr>
          <w:rFonts w:ascii="Book Antiqua" w:hAnsi="Book Antiqua" w:cs="Times New Roman"/>
          <w:sz w:val="24"/>
          <w:szCs w:val="24"/>
          <w:lang w:eastAsia="zh-CN"/>
        </w:rPr>
      </w:pPr>
    </w:p>
    <w:p w14:paraId="30085AEE" w14:textId="42130744" w:rsidR="00D43C0F" w:rsidRPr="000F1CB4" w:rsidRDefault="00D43C0F" w:rsidP="000F1CB4">
      <w:pPr>
        <w:spacing w:after="0" w:line="360" w:lineRule="auto"/>
        <w:jc w:val="both"/>
        <w:rPr>
          <w:rFonts w:ascii="Book Antiqua" w:hAnsi="Book Antiqua" w:cs="Garamond"/>
          <w:sz w:val="24"/>
          <w:szCs w:val="24"/>
        </w:rPr>
      </w:pPr>
      <w:r w:rsidRPr="000F1CB4">
        <w:rPr>
          <w:rFonts w:ascii="Book Antiqua" w:hAnsi="Book Antiqua" w:cs="TimesNewRomanPS-BoldItalicMT"/>
          <w:b/>
          <w:bCs/>
          <w:iCs/>
          <w:sz w:val="24"/>
          <w:szCs w:val="24"/>
        </w:rPr>
        <w:t>Conflict-of-interest</w:t>
      </w:r>
      <w:r w:rsidRPr="000F1CB4">
        <w:rPr>
          <w:rFonts w:ascii="Book Antiqua" w:hAnsi="Book Antiqua"/>
          <w:sz w:val="24"/>
          <w:szCs w:val="24"/>
        </w:rPr>
        <w:t xml:space="preserve"> </w:t>
      </w:r>
      <w:r w:rsidRPr="000F1CB4">
        <w:rPr>
          <w:rFonts w:ascii="Book Antiqua" w:hAnsi="Book Antiqua" w:cs="TimesNewRomanPS-BoldItalicMT"/>
          <w:b/>
          <w:bCs/>
          <w:iCs/>
          <w:sz w:val="24"/>
          <w:szCs w:val="24"/>
        </w:rPr>
        <w:t xml:space="preserve">statement: </w:t>
      </w:r>
      <w:r w:rsidRPr="000F1CB4">
        <w:rPr>
          <w:rFonts w:ascii="Book Antiqua" w:hAnsi="Book Antiqua"/>
          <w:sz w:val="24"/>
          <w:szCs w:val="24"/>
        </w:rPr>
        <w:t>We declare that we have no conflicts of interest.</w:t>
      </w:r>
    </w:p>
    <w:p w14:paraId="4B95242B" w14:textId="77777777" w:rsidR="00D43C0F" w:rsidRPr="000F1CB4" w:rsidRDefault="00D43C0F" w:rsidP="000F1CB4">
      <w:pPr>
        <w:spacing w:after="0" w:line="360" w:lineRule="auto"/>
        <w:jc w:val="both"/>
        <w:rPr>
          <w:rFonts w:ascii="Book Antiqua" w:hAnsi="Book Antiqua" w:cs="Garamond"/>
          <w:sz w:val="24"/>
          <w:szCs w:val="24"/>
        </w:rPr>
      </w:pPr>
    </w:p>
    <w:p w14:paraId="339958F1" w14:textId="77777777" w:rsidR="00D43C0F" w:rsidRPr="000F1CB4" w:rsidRDefault="00D43C0F" w:rsidP="000F1CB4">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0F1CB4">
        <w:rPr>
          <w:rFonts w:ascii="Book Antiqua" w:hAnsi="Book Antiqua"/>
          <w:b/>
          <w:sz w:val="24"/>
          <w:szCs w:val="24"/>
        </w:rPr>
        <w:t xml:space="preserve">Open-Access: </w:t>
      </w:r>
      <w:r w:rsidRPr="000F1CB4">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w:t>
      </w:r>
      <w:r w:rsidRPr="000F1CB4">
        <w:rPr>
          <w:rFonts w:ascii="Book Antiqua" w:hAnsi="Book Antiqua"/>
          <w:sz w:val="24"/>
          <w:szCs w:val="24"/>
        </w:rPr>
        <w:lastRenderedPageBreak/>
        <w:t xml:space="preserve">this work non-commercially, and license their derivative works on different terms, provided the original work is properly cited and the use is non-commercial. See: </w:t>
      </w:r>
      <w:hyperlink r:id="rId9" w:history="1">
        <w:r w:rsidRPr="000F1CB4">
          <w:rPr>
            <w:rStyle w:val="a7"/>
            <w:rFonts w:ascii="Book Antiqua" w:hAnsi="Book Antiqua"/>
            <w:color w:val="auto"/>
            <w:sz w:val="24"/>
            <w:szCs w:val="24"/>
          </w:rPr>
          <w:t>http://creativecommons.org/licenses/by-nc/4.0/</w:t>
        </w:r>
      </w:hyperlink>
      <w:bookmarkEnd w:id="0"/>
      <w:bookmarkEnd w:id="1"/>
      <w:bookmarkEnd w:id="2"/>
      <w:bookmarkEnd w:id="3"/>
    </w:p>
    <w:p w14:paraId="589039DB" w14:textId="77777777" w:rsidR="00D43C0F" w:rsidRPr="000F1CB4" w:rsidRDefault="00D43C0F" w:rsidP="000F1CB4">
      <w:pPr>
        <w:spacing w:after="0" w:line="360" w:lineRule="auto"/>
        <w:jc w:val="both"/>
        <w:rPr>
          <w:rFonts w:ascii="Book Antiqua" w:hAnsi="Book Antiqua" w:cs="Times New Roman"/>
          <w:sz w:val="24"/>
          <w:szCs w:val="24"/>
          <w:lang w:eastAsia="zh-CN"/>
        </w:rPr>
      </w:pPr>
    </w:p>
    <w:p w14:paraId="19167BF1" w14:textId="672820E2" w:rsidR="0078082D" w:rsidRPr="000F1CB4" w:rsidRDefault="00D43C0F" w:rsidP="000F1CB4">
      <w:pPr>
        <w:spacing w:after="0" w:line="360" w:lineRule="auto"/>
        <w:contextualSpacing/>
        <w:jc w:val="both"/>
        <w:rPr>
          <w:rFonts w:ascii="Book Antiqua" w:hAnsi="Book Antiqua" w:cs="Times New Roman"/>
          <w:sz w:val="24"/>
          <w:szCs w:val="24"/>
          <w:lang w:eastAsia="zh-CN"/>
        </w:rPr>
      </w:pPr>
      <w:r w:rsidRPr="000F1CB4">
        <w:rPr>
          <w:rFonts w:ascii="Book Antiqua" w:hAnsi="Book Antiqua"/>
          <w:b/>
          <w:sz w:val="24"/>
          <w:szCs w:val="24"/>
        </w:rPr>
        <w:t>Correspondence to:</w:t>
      </w:r>
      <w:r w:rsidRPr="000F1CB4">
        <w:rPr>
          <w:rFonts w:ascii="Book Antiqua" w:hAnsi="Book Antiqua"/>
          <w:b/>
          <w:sz w:val="24"/>
          <w:szCs w:val="24"/>
          <w:lang w:eastAsia="zh-CN"/>
        </w:rPr>
        <w:t xml:space="preserve"> </w:t>
      </w:r>
      <w:proofErr w:type="spellStart"/>
      <w:r w:rsidRPr="000F1CB4">
        <w:rPr>
          <w:rFonts w:ascii="Book Antiqua" w:hAnsi="Book Antiqua" w:cs="Times New Roman"/>
          <w:b/>
          <w:sz w:val="24"/>
          <w:szCs w:val="24"/>
        </w:rPr>
        <w:t>Aijaz</w:t>
      </w:r>
      <w:proofErr w:type="spellEnd"/>
      <w:r w:rsidRPr="000F1CB4">
        <w:rPr>
          <w:rFonts w:ascii="Book Antiqua" w:hAnsi="Book Antiqua" w:cs="Times New Roman"/>
          <w:b/>
          <w:sz w:val="24"/>
          <w:szCs w:val="24"/>
        </w:rPr>
        <w:t xml:space="preserve"> Ahmed, MD</w:t>
      </w:r>
      <w:r w:rsidRPr="000F1CB4">
        <w:rPr>
          <w:rFonts w:ascii="Book Antiqua" w:hAnsi="Book Antiqua" w:cs="Times New Roman"/>
          <w:b/>
          <w:sz w:val="24"/>
          <w:szCs w:val="24"/>
          <w:lang w:eastAsia="zh-CN"/>
        </w:rPr>
        <w:t xml:space="preserve">, </w:t>
      </w:r>
      <w:r w:rsidR="0078082D" w:rsidRPr="000F1CB4">
        <w:rPr>
          <w:rFonts w:ascii="Book Antiqua" w:hAnsi="Book Antiqua" w:cs="Times New Roman"/>
          <w:b/>
          <w:sz w:val="24"/>
          <w:szCs w:val="24"/>
        </w:rPr>
        <w:t>Associate Professor</w:t>
      </w:r>
      <w:r w:rsidR="0078082D" w:rsidRPr="000F1CB4">
        <w:rPr>
          <w:rFonts w:ascii="Book Antiqua" w:hAnsi="Book Antiqua" w:cs="Times New Roman"/>
          <w:sz w:val="24"/>
          <w:szCs w:val="24"/>
        </w:rPr>
        <w:t xml:space="preserve"> of Medicine</w:t>
      </w:r>
      <w:r w:rsidRPr="000F1CB4">
        <w:rPr>
          <w:rFonts w:ascii="Book Antiqua" w:hAnsi="Book Antiqua" w:cs="Times New Roman"/>
          <w:sz w:val="24"/>
          <w:szCs w:val="24"/>
          <w:lang w:eastAsia="zh-CN"/>
        </w:rPr>
        <w:t xml:space="preserve">, </w:t>
      </w:r>
      <w:r w:rsidR="00FC5BD3" w:rsidRPr="000F1CB4">
        <w:rPr>
          <w:rFonts w:ascii="Book Antiqua" w:hAnsi="Book Antiqua" w:cs="Times New Roman"/>
          <w:b/>
          <w:sz w:val="24"/>
          <w:szCs w:val="24"/>
        </w:rPr>
        <w:t>Medical Director</w:t>
      </w:r>
      <w:r w:rsidR="00FC5BD3" w:rsidRPr="000F1CB4">
        <w:rPr>
          <w:rFonts w:ascii="Book Antiqua" w:hAnsi="Book Antiqua" w:cs="Times New Roman"/>
          <w:sz w:val="24"/>
          <w:szCs w:val="24"/>
        </w:rPr>
        <w:t xml:space="preserve"> Liver Transplant Program</w:t>
      </w:r>
      <w:r w:rsidRPr="000F1CB4">
        <w:rPr>
          <w:rFonts w:ascii="Book Antiqua" w:hAnsi="Book Antiqua" w:cs="Times New Roman"/>
          <w:sz w:val="24"/>
          <w:szCs w:val="24"/>
          <w:lang w:eastAsia="zh-CN"/>
        </w:rPr>
        <w:t xml:space="preserve">, </w:t>
      </w:r>
      <w:r w:rsidR="0078082D" w:rsidRPr="000F1CB4">
        <w:rPr>
          <w:rFonts w:ascii="Book Antiqua" w:hAnsi="Book Antiqua" w:cs="Times New Roman"/>
          <w:sz w:val="24"/>
          <w:szCs w:val="24"/>
        </w:rPr>
        <w:t xml:space="preserve">Division of Gastroenterology and </w:t>
      </w:r>
      <w:proofErr w:type="spellStart"/>
      <w:r w:rsidR="0078082D" w:rsidRPr="000F1CB4">
        <w:rPr>
          <w:rFonts w:ascii="Book Antiqua" w:hAnsi="Book Antiqua" w:cs="Times New Roman"/>
          <w:sz w:val="24"/>
          <w:szCs w:val="24"/>
        </w:rPr>
        <w:t>Hepatology</w:t>
      </w:r>
      <w:proofErr w:type="spellEnd"/>
      <w:r w:rsidRPr="000F1CB4">
        <w:rPr>
          <w:rFonts w:ascii="Book Antiqua" w:hAnsi="Book Antiqua" w:cs="Times New Roman"/>
          <w:sz w:val="24"/>
          <w:szCs w:val="24"/>
          <w:lang w:eastAsia="zh-CN"/>
        </w:rPr>
        <w:t xml:space="preserve">, </w:t>
      </w:r>
      <w:r w:rsidR="0078082D" w:rsidRPr="000F1CB4">
        <w:rPr>
          <w:rFonts w:ascii="Book Antiqua" w:hAnsi="Book Antiqua" w:cs="Times New Roman"/>
          <w:sz w:val="24"/>
          <w:szCs w:val="24"/>
        </w:rPr>
        <w:t>Stanford University School of Medicine</w:t>
      </w:r>
      <w:r w:rsidRPr="000F1CB4">
        <w:rPr>
          <w:rFonts w:ascii="Book Antiqua" w:hAnsi="Book Antiqua" w:cs="Times New Roman"/>
          <w:sz w:val="24"/>
          <w:szCs w:val="24"/>
          <w:lang w:eastAsia="zh-CN"/>
        </w:rPr>
        <w:t xml:space="preserve">, </w:t>
      </w:r>
      <w:r w:rsidR="0078082D" w:rsidRPr="000F1CB4">
        <w:rPr>
          <w:rFonts w:ascii="Book Antiqua" w:hAnsi="Book Antiqua" w:cs="Times New Roman"/>
          <w:sz w:val="24"/>
          <w:szCs w:val="24"/>
        </w:rPr>
        <w:t>750 Welch Road, Suite 210</w:t>
      </w:r>
      <w:r w:rsidRPr="000F1CB4">
        <w:rPr>
          <w:rFonts w:ascii="Book Antiqua" w:hAnsi="Book Antiqua" w:cs="Times New Roman"/>
          <w:sz w:val="24"/>
          <w:szCs w:val="24"/>
          <w:lang w:eastAsia="zh-CN"/>
        </w:rPr>
        <w:t xml:space="preserve">, </w:t>
      </w:r>
      <w:r w:rsidR="0078082D" w:rsidRPr="000F1CB4">
        <w:rPr>
          <w:rFonts w:ascii="Book Antiqua" w:hAnsi="Book Antiqua" w:cs="Times New Roman"/>
          <w:sz w:val="24"/>
          <w:szCs w:val="24"/>
        </w:rPr>
        <w:t>Palo Alto,</w:t>
      </w:r>
      <w:r w:rsidRPr="000F1CB4">
        <w:rPr>
          <w:rFonts w:ascii="Book Antiqua" w:hAnsi="Book Antiqua" w:cs="Times New Roman"/>
          <w:sz w:val="24"/>
          <w:szCs w:val="24"/>
        </w:rPr>
        <w:t xml:space="preserve"> Stanford,</w:t>
      </w:r>
      <w:r w:rsidR="0078082D" w:rsidRPr="000F1CB4">
        <w:rPr>
          <w:rFonts w:ascii="Book Antiqua" w:hAnsi="Book Antiqua" w:cs="Times New Roman"/>
          <w:sz w:val="24"/>
          <w:szCs w:val="24"/>
        </w:rPr>
        <w:t xml:space="preserve"> CA 94304</w:t>
      </w:r>
      <w:r w:rsidRPr="000F1CB4">
        <w:rPr>
          <w:rFonts w:ascii="Book Antiqua" w:hAnsi="Book Antiqua" w:cs="Times New Roman"/>
          <w:sz w:val="24"/>
          <w:szCs w:val="24"/>
          <w:lang w:eastAsia="zh-CN"/>
        </w:rPr>
        <w:t>, United States.</w:t>
      </w:r>
      <w:r w:rsidRPr="000F1CB4">
        <w:rPr>
          <w:rFonts w:ascii="Book Antiqua" w:hAnsi="Book Antiqua"/>
          <w:sz w:val="24"/>
          <w:szCs w:val="24"/>
        </w:rPr>
        <w:t xml:space="preserve"> </w:t>
      </w:r>
      <w:hyperlink r:id="rId10" w:history="1">
        <w:r w:rsidRPr="000F1CB4">
          <w:rPr>
            <w:rStyle w:val="a7"/>
            <w:rFonts w:ascii="Book Antiqua" w:hAnsi="Book Antiqua" w:cs="Times New Roman"/>
            <w:color w:val="auto"/>
            <w:sz w:val="24"/>
            <w:szCs w:val="24"/>
            <w:u w:val="none"/>
          </w:rPr>
          <w:t>aijazahmed@stanford.edu</w:t>
        </w:r>
      </w:hyperlink>
    </w:p>
    <w:p w14:paraId="18CB829C" w14:textId="7DE683C6" w:rsidR="00D43C0F" w:rsidRPr="000F1CB4" w:rsidRDefault="00D43C0F" w:rsidP="000F1CB4">
      <w:pPr>
        <w:spacing w:after="0" w:line="360" w:lineRule="auto"/>
        <w:jc w:val="both"/>
        <w:rPr>
          <w:rFonts w:ascii="Book Antiqua" w:hAnsi="Book Antiqua"/>
          <w:b/>
          <w:sz w:val="24"/>
          <w:szCs w:val="24"/>
        </w:rPr>
      </w:pPr>
      <w:r w:rsidRPr="000F1CB4">
        <w:rPr>
          <w:rFonts w:ascii="Book Antiqua" w:hAnsi="Book Antiqua"/>
          <w:b/>
          <w:sz w:val="24"/>
          <w:szCs w:val="24"/>
        </w:rPr>
        <w:t xml:space="preserve">Telephone: </w:t>
      </w:r>
      <w:r w:rsidRPr="000F1CB4">
        <w:rPr>
          <w:rFonts w:ascii="Book Antiqua" w:hAnsi="Book Antiqua" w:cs="Times New Roman"/>
          <w:sz w:val="24"/>
          <w:szCs w:val="24"/>
          <w:lang w:eastAsia="zh-CN"/>
        </w:rPr>
        <w:t>+1-</w:t>
      </w:r>
      <w:r w:rsidRPr="000F1CB4">
        <w:rPr>
          <w:rFonts w:ascii="Book Antiqua" w:hAnsi="Book Antiqua" w:cs="Times New Roman"/>
          <w:sz w:val="24"/>
          <w:szCs w:val="24"/>
        </w:rPr>
        <w:t>650-4986091</w:t>
      </w:r>
    </w:p>
    <w:p w14:paraId="525E5ABC" w14:textId="1801DD38" w:rsidR="00D43C0F" w:rsidRPr="000F1CB4" w:rsidRDefault="00D43C0F" w:rsidP="000F1CB4">
      <w:pPr>
        <w:spacing w:after="0" w:line="360" w:lineRule="auto"/>
        <w:jc w:val="both"/>
        <w:rPr>
          <w:rFonts w:ascii="Book Antiqua" w:hAnsi="Book Antiqua"/>
          <w:b/>
          <w:sz w:val="24"/>
          <w:szCs w:val="24"/>
        </w:rPr>
      </w:pPr>
      <w:r w:rsidRPr="000F1CB4">
        <w:rPr>
          <w:rFonts w:ascii="Book Antiqua" w:hAnsi="Book Antiqua"/>
          <w:b/>
          <w:sz w:val="24"/>
          <w:szCs w:val="24"/>
        </w:rPr>
        <w:t>Fax:</w:t>
      </w:r>
      <w:r w:rsidRPr="000F1CB4">
        <w:rPr>
          <w:rFonts w:ascii="Book Antiqua" w:hAnsi="Book Antiqua" w:cs="Times New Roman"/>
          <w:sz w:val="24"/>
          <w:szCs w:val="24"/>
          <w:lang w:eastAsia="zh-CN"/>
        </w:rPr>
        <w:t xml:space="preserve"> +1-</w:t>
      </w:r>
      <w:r w:rsidRPr="000F1CB4">
        <w:rPr>
          <w:rFonts w:ascii="Book Antiqua" w:hAnsi="Book Antiqua" w:cs="Times New Roman"/>
          <w:sz w:val="24"/>
          <w:szCs w:val="24"/>
        </w:rPr>
        <w:t>650-4985692</w:t>
      </w:r>
    </w:p>
    <w:p w14:paraId="474F3B2B" w14:textId="77777777" w:rsidR="00C36D9A" w:rsidRPr="000F1CB4" w:rsidRDefault="00C36D9A" w:rsidP="000F1CB4">
      <w:pPr>
        <w:spacing w:after="0" w:line="360" w:lineRule="auto"/>
        <w:contextualSpacing/>
        <w:jc w:val="both"/>
        <w:rPr>
          <w:rFonts w:ascii="Book Antiqua" w:hAnsi="Book Antiqua"/>
          <w:b/>
          <w:sz w:val="24"/>
          <w:szCs w:val="24"/>
          <w:lang w:eastAsia="zh-CN"/>
        </w:rPr>
      </w:pPr>
    </w:p>
    <w:p w14:paraId="07DE5A40" w14:textId="1C68B89D" w:rsidR="00D43C0F" w:rsidRPr="000F1CB4" w:rsidRDefault="00D43C0F" w:rsidP="000F1CB4">
      <w:pPr>
        <w:spacing w:after="0" w:line="360" w:lineRule="auto"/>
        <w:jc w:val="both"/>
        <w:rPr>
          <w:rFonts w:ascii="Book Antiqua" w:hAnsi="Book Antiqua"/>
          <w:b/>
          <w:sz w:val="24"/>
          <w:szCs w:val="24"/>
        </w:rPr>
      </w:pPr>
      <w:r w:rsidRPr="000F1CB4">
        <w:rPr>
          <w:rFonts w:ascii="Book Antiqua" w:hAnsi="Book Antiqua"/>
          <w:b/>
          <w:sz w:val="24"/>
          <w:szCs w:val="24"/>
        </w:rPr>
        <w:t xml:space="preserve">Received: </w:t>
      </w:r>
      <w:r w:rsidR="00620122" w:rsidRPr="000F1CB4">
        <w:rPr>
          <w:rFonts w:ascii="Book Antiqua" w:hAnsi="Book Antiqua"/>
          <w:sz w:val="24"/>
          <w:szCs w:val="24"/>
          <w:lang w:eastAsia="zh-CN"/>
        </w:rPr>
        <w:t>April 24, 2015</w:t>
      </w:r>
      <w:r w:rsidRPr="000F1CB4">
        <w:rPr>
          <w:rFonts w:ascii="Book Antiqua" w:hAnsi="Book Antiqua"/>
          <w:sz w:val="24"/>
          <w:szCs w:val="24"/>
        </w:rPr>
        <w:t xml:space="preserve"> </w:t>
      </w:r>
      <w:r w:rsidRPr="000F1CB4">
        <w:rPr>
          <w:rFonts w:ascii="Book Antiqua" w:hAnsi="Book Antiqua"/>
          <w:b/>
          <w:sz w:val="24"/>
          <w:szCs w:val="24"/>
        </w:rPr>
        <w:t xml:space="preserve"> </w:t>
      </w:r>
    </w:p>
    <w:p w14:paraId="7838F23C" w14:textId="6351238D" w:rsidR="00D43C0F" w:rsidRPr="000F1CB4" w:rsidRDefault="00D43C0F" w:rsidP="000F1CB4">
      <w:pPr>
        <w:spacing w:after="0" w:line="360" w:lineRule="auto"/>
        <w:jc w:val="both"/>
        <w:rPr>
          <w:rFonts w:ascii="Book Antiqua" w:hAnsi="Book Antiqua"/>
          <w:b/>
          <w:sz w:val="24"/>
          <w:szCs w:val="24"/>
        </w:rPr>
      </w:pPr>
      <w:r w:rsidRPr="000F1CB4">
        <w:rPr>
          <w:rFonts w:ascii="Book Antiqua" w:hAnsi="Book Antiqua"/>
          <w:b/>
          <w:sz w:val="24"/>
          <w:szCs w:val="24"/>
        </w:rPr>
        <w:t>Peer-review started:</w:t>
      </w:r>
      <w:r w:rsidR="00620122" w:rsidRPr="000F1CB4">
        <w:rPr>
          <w:rFonts w:ascii="Book Antiqua" w:hAnsi="Book Antiqua"/>
          <w:sz w:val="24"/>
          <w:szCs w:val="24"/>
          <w:lang w:eastAsia="zh-CN"/>
        </w:rPr>
        <w:t xml:space="preserve"> April 24, 2015</w:t>
      </w:r>
    </w:p>
    <w:p w14:paraId="3BB1CF59" w14:textId="3ACDB9A1" w:rsidR="00D43C0F" w:rsidRPr="000F1CB4" w:rsidRDefault="00D43C0F" w:rsidP="000F1CB4">
      <w:pPr>
        <w:spacing w:after="0" w:line="360" w:lineRule="auto"/>
        <w:jc w:val="both"/>
        <w:rPr>
          <w:rFonts w:ascii="Book Antiqua" w:hAnsi="Book Antiqua"/>
          <w:b/>
          <w:sz w:val="24"/>
          <w:szCs w:val="24"/>
          <w:lang w:eastAsia="zh-CN"/>
        </w:rPr>
      </w:pPr>
      <w:r w:rsidRPr="000F1CB4">
        <w:rPr>
          <w:rFonts w:ascii="Book Antiqua" w:hAnsi="Book Antiqua"/>
          <w:b/>
          <w:sz w:val="24"/>
          <w:szCs w:val="24"/>
        </w:rPr>
        <w:t>First decision:</w:t>
      </w:r>
      <w:r w:rsidR="00620122" w:rsidRPr="000F1CB4">
        <w:rPr>
          <w:rFonts w:ascii="Book Antiqua" w:hAnsi="Book Antiqua"/>
          <w:b/>
          <w:sz w:val="24"/>
          <w:szCs w:val="24"/>
          <w:lang w:eastAsia="zh-CN"/>
        </w:rPr>
        <w:t xml:space="preserve"> </w:t>
      </w:r>
      <w:r w:rsidR="00620122" w:rsidRPr="000F1CB4">
        <w:rPr>
          <w:rFonts w:ascii="Book Antiqua" w:hAnsi="Book Antiqua"/>
          <w:sz w:val="24"/>
          <w:szCs w:val="24"/>
          <w:lang w:eastAsia="zh-CN"/>
        </w:rPr>
        <w:t>July 17, 2015</w:t>
      </w:r>
    </w:p>
    <w:p w14:paraId="2F6C6439" w14:textId="7B50298F" w:rsidR="00D43C0F" w:rsidRPr="000F1CB4" w:rsidRDefault="00D43C0F" w:rsidP="000F1CB4">
      <w:pPr>
        <w:spacing w:after="0" w:line="360" w:lineRule="auto"/>
        <w:jc w:val="both"/>
        <w:rPr>
          <w:rFonts w:ascii="Book Antiqua" w:hAnsi="Book Antiqua"/>
          <w:b/>
          <w:sz w:val="24"/>
          <w:szCs w:val="24"/>
        </w:rPr>
      </w:pPr>
      <w:r w:rsidRPr="000F1CB4">
        <w:rPr>
          <w:rFonts w:ascii="Book Antiqua" w:hAnsi="Book Antiqua"/>
          <w:b/>
          <w:sz w:val="24"/>
          <w:szCs w:val="24"/>
        </w:rPr>
        <w:t xml:space="preserve">Revised: </w:t>
      </w:r>
      <w:r w:rsidR="00620122" w:rsidRPr="000F1CB4">
        <w:rPr>
          <w:rFonts w:ascii="Book Antiqua" w:hAnsi="Book Antiqua"/>
          <w:sz w:val="24"/>
          <w:szCs w:val="24"/>
          <w:lang w:eastAsia="zh-CN"/>
        </w:rPr>
        <w:t>July 22, 2015</w:t>
      </w:r>
      <w:r w:rsidRPr="000F1CB4">
        <w:rPr>
          <w:rFonts w:ascii="Book Antiqua" w:hAnsi="Book Antiqua"/>
          <w:b/>
          <w:sz w:val="24"/>
          <w:szCs w:val="24"/>
        </w:rPr>
        <w:t xml:space="preserve"> </w:t>
      </w:r>
    </w:p>
    <w:p w14:paraId="6C4D9ED8" w14:textId="37A782CC" w:rsidR="00D43C0F" w:rsidRPr="00D15546" w:rsidRDefault="00D43C0F" w:rsidP="00D15546">
      <w:pPr>
        <w:rPr>
          <w:rFonts w:ascii="Book Antiqua" w:hAnsi="Book Antiqua" w:cs="宋体" w:hint="eastAsia"/>
          <w:sz w:val="24"/>
          <w:lang w:eastAsia="zh-CN"/>
        </w:rPr>
      </w:pPr>
      <w:r w:rsidRPr="000F1CB4">
        <w:rPr>
          <w:rFonts w:ascii="Book Antiqua" w:hAnsi="Book Antiqua"/>
          <w:b/>
          <w:sz w:val="24"/>
          <w:szCs w:val="24"/>
        </w:rPr>
        <w:t xml:space="preserve">Accepted:  </w:t>
      </w:r>
      <w:r w:rsidR="0005591B">
        <w:rPr>
          <w:rFonts w:ascii="Book Antiqua" w:hAnsi="Book Antiqua" w:cs="宋体"/>
          <w:sz w:val="24"/>
        </w:rPr>
        <w:t>August 16</w:t>
      </w:r>
      <w:r w:rsidR="0005591B" w:rsidRPr="00AF30D4">
        <w:rPr>
          <w:rFonts w:ascii="Book Antiqua" w:hAnsi="Book Antiqua" w:cs="宋体"/>
          <w:sz w:val="24"/>
        </w:rPr>
        <w:t>, 2015</w:t>
      </w:r>
      <w:bookmarkStart w:id="4" w:name="_GoBack"/>
      <w:bookmarkEnd w:id="4"/>
    </w:p>
    <w:p w14:paraId="78D3B0E3" w14:textId="77777777" w:rsidR="00D43C0F" w:rsidRPr="000F1CB4" w:rsidRDefault="00D43C0F" w:rsidP="000F1CB4">
      <w:pPr>
        <w:spacing w:after="0" w:line="360" w:lineRule="auto"/>
        <w:jc w:val="both"/>
        <w:rPr>
          <w:rFonts w:ascii="Book Antiqua" w:hAnsi="Book Antiqua"/>
          <w:b/>
          <w:sz w:val="24"/>
          <w:szCs w:val="24"/>
        </w:rPr>
      </w:pPr>
      <w:r w:rsidRPr="000F1CB4">
        <w:rPr>
          <w:rFonts w:ascii="Book Antiqua" w:hAnsi="Book Antiqua"/>
          <w:b/>
          <w:sz w:val="24"/>
          <w:szCs w:val="24"/>
        </w:rPr>
        <w:t>Article in press:</w:t>
      </w:r>
      <w:r w:rsidRPr="000F1CB4">
        <w:rPr>
          <w:rFonts w:ascii="Book Antiqua" w:hAnsi="Book Antiqua"/>
          <w:sz w:val="24"/>
          <w:szCs w:val="24"/>
        </w:rPr>
        <w:t xml:space="preserve">    </w:t>
      </w:r>
    </w:p>
    <w:p w14:paraId="6C35EE5F" w14:textId="77777777" w:rsidR="00D43C0F" w:rsidRPr="000F1CB4" w:rsidRDefault="00D43C0F" w:rsidP="000F1CB4">
      <w:pPr>
        <w:spacing w:after="0" w:line="360" w:lineRule="auto"/>
        <w:jc w:val="both"/>
        <w:rPr>
          <w:rFonts w:ascii="Book Antiqua" w:hAnsi="Book Antiqua"/>
          <w:b/>
          <w:sz w:val="24"/>
          <w:szCs w:val="24"/>
        </w:rPr>
      </w:pPr>
      <w:r w:rsidRPr="000F1CB4">
        <w:rPr>
          <w:rFonts w:ascii="Book Antiqua" w:hAnsi="Book Antiqua"/>
          <w:b/>
          <w:sz w:val="24"/>
          <w:szCs w:val="24"/>
        </w:rPr>
        <w:t xml:space="preserve">Published online: </w:t>
      </w:r>
    </w:p>
    <w:p w14:paraId="6F0A86EE" w14:textId="77777777" w:rsidR="00D43C0F" w:rsidRPr="000F1CB4" w:rsidRDefault="00D43C0F" w:rsidP="000F1CB4">
      <w:pPr>
        <w:spacing w:after="0" w:line="360" w:lineRule="auto"/>
        <w:contextualSpacing/>
        <w:jc w:val="both"/>
        <w:rPr>
          <w:rFonts w:ascii="Book Antiqua" w:hAnsi="Book Antiqua" w:cs="Times New Roman"/>
          <w:sz w:val="24"/>
          <w:szCs w:val="24"/>
          <w:lang w:eastAsia="zh-CN"/>
        </w:rPr>
      </w:pPr>
    </w:p>
    <w:p w14:paraId="26F33563" w14:textId="77777777" w:rsidR="00620122" w:rsidRPr="000F1CB4" w:rsidRDefault="00620122" w:rsidP="000F1CB4">
      <w:pPr>
        <w:spacing w:after="0" w:line="360" w:lineRule="auto"/>
        <w:jc w:val="both"/>
        <w:rPr>
          <w:rFonts w:ascii="Book Antiqua" w:hAnsi="Book Antiqua" w:cs="Times New Roman"/>
          <w:b/>
          <w:sz w:val="24"/>
          <w:szCs w:val="24"/>
        </w:rPr>
      </w:pPr>
      <w:r w:rsidRPr="000F1CB4">
        <w:rPr>
          <w:rFonts w:ascii="Book Antiqua" w:hAnsi="Book Antiqua" w:cs="Times New Roman"/>
          <w:b/>
          <w:sz w:val="24"/>
          <w:szCs w:val="24"/>
        </w:rPr>
        <w:br w:type="page"/>
      </w:r>
    </w:p>
    <w:p w14:paraId="459DC40D" w14:textId="4D573E05" w:rsidR="00063A5D" w:rsidRPr="000F1CB4" w:rsidRDefault="00063A5D" w:rsidP="000F1CB4">
      <w:pPr>
        <w:spacing w:after="0" w:line="360" w:lineRule="auto"/>
        <w:jc w:val="both"/>
        <w:rPr>
          <w:rFonts w:ascii="Book Antiqua" w:hAnsi="Book Antiqua" w:cs="Times New Roman"/>
          <w:b/>
          <w:sz w:val="24"/>
          <w:szCs w:val="24"/>
        </w:rPr>
      </w:pPr>
      <w:r w:rsidRPr="000F1CB4">
        <w:rPr>
          <w:rFonts w:ascii="Book Antiqua" w:hAnsi="Book Antiqua" w:cs="Times New Roman"/>
          <w:b/>
          <w:sz w:val="24"/>
          <w:szCs w:val="24"/>
        </w:rPr>
        <w:lastRenderedPageBreak/>
        <w:t>Abstract</w:t>
      </w:r>
    </w:p>
    <w:p w14:paraId="507701FC" w14:textId="5204E72F" w:rsidR="00063A5D" w:rsidRPr="000F1CB4" w:rsidRDefault="00063A5D" w:rsidP="000F1CB4">
      <w:pPr>
        <w:spacing w:after="0" w:line="360" w:lineRule="auto"/>
        <w:jc w:val="both"/>
        <w:rPr>
          <w:rFonts w:ascii="Book Antiqua" w:hAnsi="Book Antiqua" w:cs="Times New Roman"/>
          <w:sz w:val="24"/>
          <w:szCs w:val="24"/>
        </w:rPr>
      </w:pPr>
      <w:r w:rsidRPr="000F1CB4">
        <w:rPr>
          <w:rFonts w:ascii="Book Antiqua" w:hAnsi="Book Antiqua" w:cs="Times New Roman"/>
          <w:sz w:val="24"/>
          <w:szCs w:val="24"/>
        </w:rPr>
        <w:t xml:space="preserve">An increase in the prevalence of obesity and diabetes mellitus has been associated with the rise in </w:t>
      </w:r>
      <w:r w:rsidR="003C125D" w:rsidRPr="000F1CB4">
        <w:rPr>
          <w:rFonts w:ascii="Book Antiqua" w:hAnsi="Book Antiqua" w:cs="Times New Roman"/>
          <w:sz w:val="24"/>
          <w:szCs w:val="24"/>
        </w:rPr>
        <w:t>nonalcoholic fatty liver disease (</w:t>
      </w:r>
      <w:r w:rsidRPr="000F1CB4">
        <w:rPr>
          <w:rFonts w:ascii="Book Antiqua" w:hAnsi="Book Antiqua" w:cs="Times New Roman"/>
          <w:sz w:val="24"/>
          <w:szCs w:val="24"/>
        </w:rPr>
        <w:t>NAFLD</w:t>
      </w:r>
      <w:r w:rsidR="003C125D" w:rsidRPr="000F1CB4">
        <w:rPr>
          <w:rFonts w:ascii="Book Antiqua" w:hAnsi="Book Antiqua" w:cs="Times New Roman"/>
          <w:sz w:val="24"/>
          <w:szCs w:val="24"/>
        </w:rPr>
        <w:t>)</w:t>
      </w:r>
      <w:r w:rsidRPr="000F1CB4">
        <w:rPr>
          <w:rFonts w:ascii="Book Antiqua" w:hAnsi="Book Antiqua" w:cs="Times New Roman"/>
          <w:sz w:val="24"/>
          <w:szCs w:val="24"/>
        </w:rPr>
        <w:t xml:space="preserve">. Two-thirds of the obese and diabetic populations are estimated to develop NAFLD. Currently, NAFLD is the most common etiology for chronic liver disease globally. The clinical spectrum of NAFLD ranges from simple steatosis, an accumulation of fat greater than 5% of liver weight, to </w:t>
      </w:r>
      <w:r w:rsidR="00D36C84" w:rsidRPr="000F1CB4">
        <w:rPr>
          <w:rFonts w:ascii="Book Antiqua" w:hAnsi="Book Antiqua" w:cs="Times New Roman"/>
          <w:sz w:val="24"/>
          <w:szCs w:val="24"/>
        </w:rPr>
        <w:t xml:space="preserve">nonalcoholic </w:t>
      </w:r>
      <w:proofErr w:type="spellStart"/>
      <w:r w:rsidR="00D36C84" w:rsidRPr="000F1CB4">
        <w:rPr>
          <w:rFonts w:ascii="Book Antiqua" w:hAnsi="Book Antiqua" w:cs="Times New Roman"/>
          <w:sz w:val="24"/>
          <w:szCs w:val="24"/>
        </w:rPr>
        <w:t>steatohepatitis</w:t>
      </w:r>
      <w:proofErr w:type="spellEnd"/>
      <w:r w:rsidRPr="000F1CB4">
        <w:rPr>
          <w:rFonts w:ascii="Book Antiqua" w:hAnsi="Book Antiqua" w:cs="Times New Roman"/>
          <w:sz w:val="24"/>
          <w:szCs w:val="24"/>
        </w:rPr>
        <w:t xml:space="preserve"> (NASH), a more aggressive form with </w:t>
      </w:r>
      <w:proofErr w:type="spellStart"/>
      <w:r w:rsidRPr="000F1CB4">
        <w:rPr>
          <w:rFonts w:ascii="Book Antiqua" w:hAnsi="Book Antiqua" w:cs="Times New Roman"/>
          <w:sz w:val="24"/>
          <w:szCs w:val="24"/>
        </w:rPr>
        <w:t>necroinflammation</w:t>
      </w:r>
      <w:proofErr w:type="spellEnd"/>
      <w:r w:rsidRPr="000F1CB4">
        <w:rPr>
          <w:rFonts w:ascii="Book Antiqua" w:hAnsi="Book Antiqua" w:cs="Times New Roman"/>
          <w:sz w:val="24"/>
          <w:szCs w:val="24"/>
        </w:rPr>
        <w:t xml:space="preserve"> and fibrosis. Among the patients who develop NASH, up to 20% may advance to cirrhosis and are at risk for complications of end-stage liver disease. One of the major complications observed in patients with NASH-related cirrhosis is hepatocellular carcinoma (HCC), which has emerged as the sixth most common cancer and second leading etiology of cancer-related deaths worldwide. The incidence of HCC in the U</w:t>
      </w:r>
      <w:r w:rsidR="00620122" w:rsidRPr="000F1CB4">
        <w:rPr>
          <w:rFonts w:ascii="Book Antiqua" w:hAnsi="Book Antiqua" w:cs="Times New Roman"/>
          <w:sz w:val="24"/>
          <w:szCs w:val="24"/>
          <w:lang w:eastAsia="zh-CN"/>
        </w:rPr>
        <w:t xml:space="preserve">nited </w:t>
      </w:r>
      <w:r w:rsidR="00620122" w:rsidRPr="000F1CB4">
        <w:rPr>
          <w:rFonts w:ascii="Book Antiqua" w:hAnsi="Book Antiqua" w:cs="Times New Roman"/>
          <w:sz w:val="24"/>
          <w:szCs w:val="24"/>
        </w:rPr>
        <w:t>S</w:t>
      </w:r>
      <w:r w:rsidR="00620122" w:rsidRPr="000F1CB4">
        <w:rPr>
          <w:rFonts w:ascii="Book Antiqua" w:hAnsi="Book Antiqua" w:cs="Times New Roman"/>
          <w:sz w:val="24"/>
          <w:szCs w:val="24"/>
          <w:lang w:eastAsia="zh-CN"/>
        </w:rPr>
        <w:t>tates</w:t>
      </w:r>
      <w:r w:rsidRPr="000F1CB4">
        <w:rPr>
          <w:rFonts w:ascii="Book Antiqua" w:hAnsi="Book Antiqua" w:cs="Times New Roman"/>
          <w:sz w:val="24"/>
          <w:szCs w:val="24"/>
        </w:rPr>
        <w:t xml:space="preserve"> alone has tripled over the last three decades. In addition, emerging data are suggesting that a small proportion of patients with NAFLD may be at higher risk for HCC in the absence of cirrhosis – implicating obesity and diabetes mellitus as potential risk factors for HCC. </w:t>
      </w:r>
    </w:p>
    <w:p w14:paraId="00940388" w14:textId="77777777" w:rsidR="00C438E7" w:rsidRPr="000F1CB4" w:rsidRDefault="00C438E7" w:rsidP="000F1CB4">
      <w:pPr>
        <w:spacing w:after="0" w:line="360" w:lineRule="auto"/>
        <w:jc w:val="both"/>
        <w:rPr>
          <w:rFonts w:ascii="Book Antiqua" w:hAnsi="Book Antiqua" w:cs="Times New Roman"/>
          <w:sz w:val="24"/>
          <w:szCs w:val="24"/>
          <w:lang w:eastAsia="zh-CN"/>
        </w:rPr>
      </w:pPr>
    </w:p>
    <w:p w14:paraId="6AE0B9A7" w14:textId="4D09CBA4" w:rsidR="00383379" w:rsidRPr="000F1CB4" w:rsidRDefault="00C36D9A" w:rsidP="000F1CB4">
      <w:pPr>
        <w:spacing w:after="0" w:line="360" w:lineRule="auto"/>
        <w:jc w:val="both"/>
        <w:rPr>
          <w:rFonts w:ascii="Book Antiqua" w:hAnsi="Book Antiqua"/>
          <w:sz w:val="24"/>
          <w:szCs w:val="24"/>
        </w:rPr>
      </w:pPr>
      <w:r w:rsidRPr="000F1CB4">
        <w:rPr>
          <w:rFonts w:ascii="Book Antiqua" w:hAnsi="Book Antiqua"/>
          <w:b/>
          <w:sz w:val="24"/>
          <w:szCs w:val="24"/>
        </w:rPr>
        <w:t>Key words:</w:t>
      </w:r>
      <w:r w:rsidRPr="000F1CB4">
        <w:rPr>
          <w:rFonts w:ascii="Book Antiqua" w:hAnsi="Book Antiqua"/>
          <w:sz w:val="24"/>
          <w:szCs w:val="24"/>
        </w:rPr>
        <w:t xml:space="preserve"> </w:t>
      </w:r>
      <w:r w:rsidR="00383379" w:rsidRPr="000F1CB4">
        <w:rPr>
          <w:rFonts w:ascii="Book Antiqua" w:hAnsi="Book Antiqua" w:cs="Times New Roman"/>
          <w:sz w:val="24"/>
          <w:szCs w:val="24"/>
        </w:rPr>
        <w:t xml:space="preserve">Hepatocellular </w:t>
      </w:r>
      <w:r w:rsidR="00620122" w:rsidRPr="000F1CB4">
        <w:rPr>
          <w:rFonts w:ascii="Book Antiqua" w:hAnsi="Book Antiqua" w:cs="Times New Roman"/>
          <w:sz w:val="24"/>
          <w:szCs w:val="24"/>
        </w:rPr>
        <w:t>c</w:t>
      </w:r>
      <w:r w:rsidR="00383379" w:rsidRPr="000F1CB4">
        <w:rPr>
          <w:rFonts w:ascii="Book Antiqua" w:hAnsi="Book Antiqua" w:cs="Times New Roman"/>
          <w:sz w:val="24"/>
          <w:szCs w:val="24"/>
        </w:rPr>
        <w:t>arcinoma</w:t>
      </w:r>
      <w:r w:rsidR="00620122" w:rsidRPr="000F1CB4">
        <w:rPr>
          <w:rFonts w:ascii="Book Antiqua" w:hAnsi="Book Antiqua" w:cs="Times New Roman"/>
          <w:sz w:val="24"/>
          <w:szCs w:val="24"/>
          <w:lang w:eastAsia="zh-CN"/>
        </w:rPr>
        <w:t xml:space="preserve">; </w:t>
      </w:r>
      <w:r w:rsidR="00383379" w:rsidRPr="000F1CB4">
        <w:rPr>
          <w:rFonts w:ascii="Book Antiqua" w:hAnsi="Book Antiqua" w:cs="Times New Roman"/>
          <w:sz w:val="24"/>
          <w:szCs w:val="24"/>
        </w:rPr>
        <w:t xml:space="preserve">Nonalcoholic </w:t>
      </w:r>
      <w:r w:rsidR="00620122" w:rsidRPr="000F1CB4">
        <w:rPr>
          <w:rFonts w:ascii="Book Antiqua" w:hAnsi="Book Antiqua" w:cs="Times New Roman"/>
          <w:sz w:val="24"/>
          <w:szCs w:val="24"/>
        </w:rPr>
        <w:t>fatty liver d</w:t>
      </w:r>
      <w:r w:rsidR="00383379" w:rsidRPr="000F1CB4">
        <w:rPr>
          <w:rFonts w:ascii="Book Antiqua" w:hAnsi="Book Antiqua" w:cs="Times New Roman"/>
          <w:sz w:val="24"/>
          <w:szCs w:val="24"/>
        </w:rPr>
        <w:t>isease</w:t>
      </w:r>
      <w:r w:rsidR="00620122" w:rsidRPr="000F1CB4">
        <w:rPr>
          <w:rFonts w:ascii="Book Antiqua" w:hAnsi="Book Antiqua" w:cs="Times New Roman"/>
          <w:sz w:val="24"/>
          <w:szCs w:val="24"/>
          <w:lang w:eastAsia="zh-CN"/>
        </w:rPr>
        <w:t xml:space="preserve">; </w:t>
      </w:r>
      <w:r w:rsidR="00383379" w:rsidRPr="000F1CB4">
        <w:rPr>
          <w:rFonts w:ascii="Book Antiqua" w:hAnsi="Book Antiqua" w:cs="Times New Roman"/>
          <w:sz w:val="24"/>
          <w:szCs w:val="24"/>
        </w:rPr>
        <w:t xml:space="preserve">Nonalcoholic </w:t>
      </w:r>
      <w:proofErr w:type="spellStart"/>
      <w:r w:rsidR="00620122" w:rsidRPr="000F1CB4">
        <w:rPr>
          <w:rFonts w:ascii="Book Antiqua" w:hAnsi="Book Antiqua" w:cs="Times New Roman"/>
          <w:sz w:val="24"/>
          <w:szCs w:val="24"/>
        </w:rPr>
        <w:t>s</w:t>
      </w:r>
      <w:r w:rsidR="00383379" w:rsidRPr="000F1CB4">
        <w:rPr>
          <w:rFonts w:ascii="Book Antiqua" w:hAnsi="Book Antiqua" w:cs="Times New Roman"/>
          <w:sz w:val="24"/>
          <w:szCs w:val="24"/>
        </w:rPr>
        <w:t>teatohepatitis</w:t>
      </w:r>
      <w:proofErr w:type="spellEnd"/>
      <w:r w:rsidR="00620122" w:rsidRPr="000F1CB4">
        <w:rPr>
          <w:rFonts w:ascii="Book Antiqua" w:hAnsi="Book Antiqua" w:cs="Times New Roman"/>
          <w:sz w:val="24"/>
          <w:szCs w:val="24"/>
          <w:lang w:eastAsia="zh-CN"/>
        </w:rPr>
        <w:t xml:space="preserve">; </w:t>
      </w:r>
      <w:r w:rsidR="00383379" w:rsidRPr="000F1CB4">
        <w:rPr>
          <w:rFonts w:ascii="Book Antiqua" w:hAnsi="Book Antiqua" w:cs="Times New Roman"/>
          <w:sz w:val="24"/>
          <w:szCs w:val="24"/>
        </w:rPr>
        <w:t>Obesity</w:t>
      </w:r>
      <w:r w:rsidR="00620122" w:rsidRPr="000F1CB4">
        <w:rPr>
          <w:rFonts w:ascii="Book Antiqua" w:hAnsi="Book Antiqua" w:cs="Times New Roman"/>
          <w:sz w:val="24"/>
          <w:szCs w:val="24"/>
          <w:lang w:eastAsia="zh-CN"/>
        </w:rPr>
        <w:t xml:space="preserve">; </w:t>
      </w:r>
      <w:r w:rsidR="00383379" w:rsidRPr="000F1CB4">
        <w:rPr>
          <w:rFonts w:ascii="Book Antiqua" w:hAnsi="Book Antiqua" w:cs="Times New Roman"/>
          <w:sz w:val="24"/>
          <w:szCs w:val="24"/>
        </w:rPr>
        <w:t>Overweight</w:t>
      </w:r>
      <w:r w:rsidR="00620122" w:rsidRPr="000F1CB4">
        <w:rPr>
          <w:rFonts w:ascii="Book Antiqua" w:hAnsi="Book Antiqua" w:cs="Times New Roman"/>
          <w:sz w:val="24"/>
          <w:szCs w:val="24"/>
          <w:lang w:eastAsia="zh-CN"/>
        </w:rPr>
        <w:t xml:space="preserve">; </w:t>
      </w:r>
      <w:r w:rsidR="00383379" w:rsidRPr="000F1CB4">
        <w:rPr>
          <w:rFonts w:ascii="Book Antiqua" w:hAnsi="Book Antiqua" w:cs="Times New Roman"/>
          <w:sz w:val="24"/>
          <w:szCs w:val="24"/>
        </w:rPr>
        <w:t xml:space="preserve">Insulin </w:t>
      </w:r>
      <w:r w:rsidR="00620122" w:rsidRPr="000F1CB4">
        <w:rPr>
          <w:rFonts w:ascii="Book Antiqua" w:hAnsi="Book Antiqua" w:cs="Times New Roman"/>
          <w:sz w:val="24"/>
          <w:szCs w:val="24"/>
        </w:rPr>
        <w:t>r</w:t>
      </w:r>
      <w:r w:rsidR="00383379" w:rsidRPr="000F1CB4">
        <w:rPr>
          <w:rFonts w:ascii="Book Antiqua" w:hAnsi="Book Antiqua" w:cs="Times New Roman"/>
          <w:sz w:val="24"/>
          <w:szCs w:val="24"/>
        </w:rPr>
        <w:t>esistance</w:t>
      </w:r>
    </w:p>
    <w:p w14:paraId="564AB244" w14:textId="77777777" w:rsidR="00C36D9A" w:rsidRPr="000F1CB4" w:rsidRDefault="00C36D9A" w:rsidP="000F1CB4">
      <w:pPr>
        <w:spacing w:after="0" w:line="360" w:lineRule="auto"/>
        <w:jc w:val="both"/>
        <w:rPr>
          <w:rFonts w:ascii="Book Antiqua" w:hAnsi="Book Antiqua" w:cs="Times New Roman"/>
          <w:sz w:val="24"/>
          <w:szCs w:val="24"/>
          <w:lang w:eastAsia="zh-CN"/>
        </w:rPr>
      </w:pPr>
    </w:p>
    <w:p w14:paraId="3765BE78" w14:textId="77777777" w:rsidR="00620122" w:rsidRPr="000F1CB4" w:rsidRDefault="00620122" w:rsidP="000F1CB4">
      <w:pPr>
        <w:spacing w:after="0" w:line="360" w:lineRule="auto"/>
        <w:jc w:val="both"/>
        <w:rPr>
          <w:rFonts w:ascii="Book Antiqua" w:hAnsi="Book Antiqua" w:cs="Arial"/>
          <w:sz w:val="24"/>
          <w:szCs w:val="24"/>
        </w:rPr>
      </w:pPr>
      <w:proofErr w:type="gramStart"/>
      <w:r w:rsidRPr="000F1CB4">
        <w:rPr>
          <w:rFonts w:ascii="Book Antiqua" w:hAnsi="Book Antiqua"/>
          <w:b/>
          <w:sz w:val="24"/>
          <w:szCs w:val="24"/>
        </w:rPr>
        <w:t xml:space="preserve">© </w:t>
      </w:r>
      <w:r w:rsidRPr="000F1CB4">
        <w:rPr>
          <w:rFonts w:ascii="Book Antiqua" w:hAnsi="Book Antiqua" w:cs="Arial"/>
          <w:b/>
          <w:sz w:val="24"/>
          <w:szCs w:val="24"/>
        </w:rPr>
        <w:t>The Author(s) 2015.</w:t>
      </w:r>
      <w:proofErr w:type="gramEnd"/>
      <w:r w:rsidRPr="000F1CB4">
        <w:rPr>
          <w:rFonts w:ascii="Book Antiqua" w:hAnsi="Book Antiqua" w:cs="Arial"/>
          <w:sz w:val="24"/>
          <w:szCs w:val="24"/>
        </w:rPr>
        <w:t xml:space="preserve"> </w:t>
      </w:r>
      <w:proofErr w:type="gramStart"/>
      <w:r w:rsidRPr="000F1CB4">
        <w:rPr>
          <w:rFonts w:ascii="Book Antiqua" w:hAnsi="Book Antiqua" w:cs="Arial"/>
          <w:sz w:val="24"/>
          <w:szCs w:val="24"/>
        </w:rPr>
        <w:t xml:space="preserve">Published by </w:t>
      </w:r>
      <w:proofErr w:type="spellStart"/>
      <w:r w:rsidRPr="000F1CB4">
        <w:rPr>
          <w:rFonts w:ascii="Book Antiqua" w:hAnsi="Book Antiqua" w:cs="Arial"/>
          <w:sz w:val="24"/>
          <w:szCs w:val="24"/>
        </w:rPr>
        <w:t>Baishideng</w:t>
      </w:r>
      <w:proofErr w:type="spellEnd"/>
      <w:r w:rsidRPr="000F1CB4">
        <w:rPr>
          <w:rFonts w:ascii="Book Antiqua" w:hAnsi="Book Antiqua" w:cs="Arial"/>
          <w:sz w:val="24"/>
          <w:szCs w:val="24"/>
        </w:rPr>
        <w:t xml:space="preserve"> Publishing Group Inc.</w:t>
      </w:r>
      <w:proofErr w:type="gramEnd"/>
      <w:r w:rsidRPr="000F1CB4">
        <w:rPr>
          <w:rFonts w:ascii="Book Antiqua" w:hAnsi="Book Antiqua" w:cs="Arial"/>
          <w:sz w:val="24"/>
          <w:szCs w:val="24"/>
        </w:rPr>
        <w:t xml:space="preserve"> All rights reserved.</w:t>
      </w:r>
    </w:p>
    <w:p w14:paraId="1B5B652E" w14:textId="77777777" w:rsidR="006A367D" w:rsidRPr="000F1CB4" w:rsidRDefault="006A367D" w:rsidP="000F1CB4">
      <w:pPr>
        <w:spacing w:after="0" w:line="360" w:lineRule="auto"/>
        <w:jc w:val="both"/>
        <w:rPr>
          <w:rFonts w:ascii="Book Antiqua" w:eastAsia="Arial Unicode MS" w:hAnsi="Book Antiqua" w:cs="Arial Unicode MS"/>
          <w:b/>
          <w:sz w:val="24"/>
          <w:szCs w:val="24"/>
        </w:rPr>
      </w:pPr>
    </w:p>
    <w:p w14:paraId="6847A5BC" w14:textId="79D92478" w:rsidR="00DC6B54" w:rsidRPr="000F1CB4" w:rsidRDefault="00C36D9A" w:rsidP="000F1CB4">
      <w:pPr>
        <w:spacing w:after="0" w:line="360" w:lineRule="auto"/>
        <w:jc w:val="both"/>
        <w:rPr>
          <w:rFonts w:ascii="Book Antiqua" w:eastAsia="Arial Unicode MS" w:hAnsi="Book Antiqua" w:cs="Arial Unicode MS"/>
          <w:b/>
          <w:sz w:val="24"/>
          <w:szCs w:val="24"/>
        </w:rPr>
      </w:pPr>
      <w:r w:rsidRPr="000F1CB4">
        <w:rPr>
          <w:rFonts w:ascii="Book Antiqua" w:eastAsia="Arial Unicode MS" w:hAnsi="Book Antiqua" w:cs="Arial Unicode MS"/>
          <w:b/>
          <w:sz w:val="24"/>
          <w:szCs w:val="24"/>
        </w:rPr>
        <w:t>C</w:t>
      </w:r>
      <w:r w:rsidR="00620122" w:rsidRPr="000F1CB4">
        <w:rPr>
          <w:rFonts w:ascii="Book Antiqua" w:eastAsia="Arial Unicode MS" w:hAnsi="Book Antiqua" w:cs="Arial Unicode MS"/>
          <w:b/>
          <w:sz w:val="24"/>
          <w:szCs w:val="24"/>
        </w:rPr>
        <w:t>ore tip</w:t>
      </w:r>
      <w:r w:rsidR="00620122" w:rsidRPr="000F1CB4">
        <w:rPr>
          <w:rFonts w:ascii="Book Antiqua" w:eastAsia="Arial Unicode MS" w:hAnsi="Book Antiqua" w:cs="Arial Unicode MS"/>
          <w:b/>
          <w:sz w:val="24"/>
          <w:szCs w:val="24"/>
          <w:lang w:eastAsia="zh-CN"/>
        </w:rPr>
        <w:t xml:space="preserve">: </w:t>
      </w:r>
      <w:r w:rsidR="003C125D" w:rsidRPr="000F1CB4">
        <w:rPr>
          <w:rFonts w:ascii="Book Antiqua" w:eastAsia="Calibri" w:hAnsi="Book Antiqua" w:cs="Times New Roman"/>
          <w:sz w:val="24"/>
          <w:szCs w:val="24"/>
        </w:rPr>
        <w:t xml:space="preserve">The worldwide rise in overweight and obesity has been associated with increasing rates of nonalcoholic fatty liver disease (NAFLD), which is now the most common etiology of chronic liver disease. The more aggressive form of NAFLD, nonalcoholic </w:t>
      </w:r>
      <w:proofErr w:type="spellStart"/>
      <w:r w:rsidR="003C125D" w:rsidRPr="000F1CB4">
        <w:rPr>
          <w:rFonts w:ascii="Book Antiqua" w:eastAsia="Calibri" w:hAnsi="Book Antiqua" w:cs="Times New Roman"/>
          <w:sz w:val="24"/>
          <w:szCs w:val="24"/>
        </w:rPr>
        <w:t>steatohepatitis</w:t>
      </w:r>
      <w:proofErr w:type="spellEnd"/>
      <w:r w:rsidR="003C125D" w:rsidRPr="000F1CB4">
        <w:rPr>
          <w:rFonts w:ascii="Book Antiqua" w:eastAsia="Calibri" w:hAnsi="Book Antiqua" w:cs="Times New Roman"/>
          <w:sz w:val="24"/>
          <w:szCs w:val="24"/>
        </w:rPr>
        <w:t xml:space="preserve"> (NASH), promotes the development of hepatocellular carcinoma</w:t>
      </w:r>
      <w:r w:rsidR="00166F97" w:rsidRPr="000F1CB4">
        <w:rPr>
          <w:rFonts w:ascii="Book Antiqua" w:eastAsia="Calibri" w:hAnsi="Book Antiqua" w:cs="Times New Roman"/>
          <w:sz w:val="24"/>
          <w:szCs w:val="24"/>
        </w:rPr>
        <w:t xml:space="preserve"> (HCC)</w:t>
      </w:r>
      <w:r w:rsidR="00DC6B54" w:rsidRPr="000F1CB4">
        <w:rPr>
          <w:rFonts w:ascii="Book Antiqua" w:eastAsia="Calibri" w:hAnsi="Book Antiqua" w:cs="Times New Roman"/>
          <w:sz w:val="24"/>
          <w:szCs w:val="24"/>
        </w:rPr>
        <w:t>.</w:t>
      </w:r>
      <w:r w:rsidR="003C125D" w:rsidRPr="000F1CB4">
        <w:rPr>
          <w:rFonts w:ascii="Book Antiqua" w:eastAsia="Calibri" w:hAnsi="Book Antiqua" w:cs="Times New Roman"/>
          <w:sz w:val="24"/>
          <w:szCs w:val="24"/>
        </w:rPr>
        <w:t xml:space="preserve"> </w:t>
      </w:r>
      <w:r w:rsidR="00DC6B54" w:rsidRPr="000F1CB4">
        <w:rPr>
          <w:rFonts w:ascii="Book Antiqua" w:eastAsia="Calibri" w:hAnsi="Book Antiqua" w:cs="Times New Roman"/>
          <w:sz w:val="24"/>
          <w:szCs w:val="24"/>
        </w:rPr>
        <w:t xml:space="preserve">As NASH-related cirrhosis has emerged as the most rapidly </w:t>
      </w:r>
      <w:r w:rsidR="00DC6B54" w:rsidRPr="000F1CB4">
        <w:rPr>
          <w:rFonts w:ascii="Book Antiqua" w:eastAsia="Calibri" w:hAnsi="Book Antiqua" w:cs="Times New Roman"/>
          <w:sz w:val="24"/>
          <w:szCs w:val="24"/>
        </w:rPr>
        <w:lastRenderedPageBreak/>
        <w:t>increasing indication for HCC-related liver transplantation in the U.S, new strategies for HCC surveillance and targeted therapies in this patient population are warranted.</w:t>
      </w:r>
    </w:p>
    <w:p w14:paraId="171A0E8E" w14:textId="69754EB8" w:rsidR="00620122" w:rsidRPr="000F1CB4" w:rsidRDefault="003C125D" w:rsidP="000F1CB4">
      <w:pPr>
        <w:spacing w:after="0" w:line="360" w:lineRule="auto"/>
        <w:jc w:val="both"/>
        <w:rPr>
          <w:rFonts w:ascii="Book Antiqua" w:hAnsi="Book Antiqua" w:cs="Times New Roman"/>
          <w:sz w:val="24"/>
          <w:szCs w:val="24"/>
          <w:lang w:eastAsia="zh-CN"/>
        </w:rPr>
      </w:pPr>
      <w:r w:rsidRPr="000F1CB4">
        <w:rPr>
          <w:rFonts w:ascii="Book Antiqua" w:eastAsia="Calibri" w:hAnsi="Book Antiqua" w:cs="Times New Roman"/>
          <w:sz w:val="24"/>
          <w:szCs w:val="24"/>
        </w:rPr>
        <w:t xml:space="preserve"> </w:t>
      </w:r>
    </w:p>
    <w:p w14:paraId="72BD3DAD" w14:textId="799311D7" w:rsidR="00620122" w:rsidRPr="000F1CB4" w:rsidRDefault="00620122" w:rsidP="000F1CB4">
      <w:pPr>
        <w:spacing w:after="0" w:line="360" w:lineRule="auto"/>
        <w:jc w:val="both"/>
        <w:rPr>
          <w:rFonts w:ascii="Book Antiqua" w:hAnsi="Book Antiqua" w:cs="Times New Roman"/>
          <w:b/>
          <w:sz w:val="24"/>
          <w:szCs w:val="24"/>
          <w:lang w:eastAsia="zh-CN"/>
        </w:rPr>
      </w:pPr>
      <w:r w:rsidRPr="000F1CB4">
        <w:rPr>
          <w:rFonts w:ascii="Book Antiqua" w:hAnsi="Book Antiqua"/>
          <w:sz w:val="24"/>
          <w:szCs w:val="24"/>
        </w:rPr>
        <w:t xml:space="preserve">Khan FZ, </w:t>
      </w:r>
      <w:proofErr w:type="spellStart"/>
      <w:r w:rsidRPr="000F1CB4">
        <w:rPr>
          <w:rFonts w:ascii="Book Antiqua" w:hAnsi="Book Antiqua"/>
          <w:sz w:val="24"/>
          <w:szCs w:val="24"/>
        </w:rPr>
        <w:t>Perumpail</w:t>
      </w:r>
      <w:proofErr w:type="spellEnd"/>
      <w:r w:rsidRPr="000F1CB4">
        <w:rPr>
          <w:rFonts w:ascii="Book Antiqua" w:hAnsi="Book Antiqua"/>
          <w:sz w:val="24"/>
          <w:szCs w:val="24"/>
        </w:rPr>
        <w:t xml:space="preserve"> RB, Wong RJ</w:t>
      </w:r>
      <w:r w:rsidRPr="000F1CB4">
        <w:rPr>
          <w:rFonts w:ascii="Book Antiqua" w:hAnsi="Book Antiqua"/>
          <w:sz w:val="24"/>
          <w:szCs w:val="24"/>
          <w:lang w:eastAsia="zh-CN"/>
        </w:rPr>
        <w:t>,</w:t>
      </w:r>
      <w:r w:rsidRPr="000F1CB4">
        <w:rPr>
          <w:rFonts w:ascii="Book Antiqua" w:hAnsi="Book Antiqua"/>
          <w:sz w:val="24"/>
          <w:szCs w:val="24"/>
        </w:rPr>
        <w:t xml:space="preserve"> Ahmed A</w:t>
      </w:r>
      <w:r w:rsidRPr="000F1CB4">
        <w:rPr>
          <w:rFonts w:ascii="Book Antiqua" w:hAnsi="Book Antiqua"/>
          <w:sz w:val="24"/>
          <w:szCs w:val="24"/>
          <w:lang w:eastAsia="zh-CN"/>
        </w:rPr>
        <w:t xml:space="preserve">. </w:t>
      </w:r>
      <w:r w:rsidRPr="000F1CB4">
        <w:rPr>
          <w:rFonts w:ascii="Book Antiqua" w:hAnsi="Book Antiqua" w:cs="Times New Roman"/>
          <w:sz w:val="24"/>
          <w:szCs w:val="24"/>
        </w:rPr>
        <w:t xml:space="preserve">Advances in hepatocellular carcinoma: Nonalcoholic </w:t>
      </w:r>
      <w:proofErr w:type="spellStart"/>
      <w:r w:rsidRPr="000F1CB4">
        <w:rPr>
          <w:rFonts w:ascii="Book Antiqua" w:hAnsi="Book Antiqua" w:cs="Times New Roman"/>
          <w:sz w:val="24"/>
          <w:szCs w:val="24"/>
        </w:rPr>
        <w:t>steatohepatitis</w:t>
      </w:r>
      <w:proofErr w:type="spellEnd"/>
      <w:r w:rsidRPr="000F1CB4">
        <w:rPr>
          <w:rFonts w:ascii="Book Antiqua" w:hAnsi="Book Antiqua" w:cs="Times New Roman"/>
          <w:sz w:val="24"/>
          <w:szCs w:val="24"/>
        </w:rPr>
        <w:t>-related hepatocellular carcinoma</w:t>
      </w:r>
      <w:r w:rsidRPr="000F1CB4">
        <w:rPr>
          <w:rFonts w:ascii="Book Antiqua" w:hAnsi="Book Antiqua" w:cs="Times New Roman"/>
          <w:sz w:val="24"/>
          <w:szCs w:val="24"/>
          <w:lang w:eastAsia="zh-CN"/>
        </w:rPr>
        <w:t xml:space="preserve">. </w:t>
      </w:r>
      <w:r w:rsidRPr="000F1CB4">
        <w:rPr>
          <w:rFonts w:ascii="Book Antiqua" w:hAnsi="Book Antiqua"/>
          <w:i/>
          <w:iCs/>
          <w:sz w:val="24"/>
          <w:szCs w:val="24"/>
        </w:rPr>
        <w:t xml:space="preserve">World J </w:t>
      </w:r>
      <w:proofErr w:type="spellStart"/>
      <w:r w:rsidRPr="000F1CB4">
        <w:rPr>
          <w:rFonts w:ascii="Book Antiqua" w:hAnsi="Book Antiqua"/>
          <w:i/>
          <w:iCs/>
          <w:sz w:val="24"/>
          <w:szCs w:val="24"/>
        </w:rPr>
        <w:t>Hepatol</w:t>
      </w:r>
      <w:proofErr w:type="spellEnd"/>
      <w:r w:rsidRPr="000F1CB4">
        <w:rPr>
          <w:rFonts w:ascii="Book Antiqua" w:hAnsi="Book Antiqua"/>
          <w:i/>
          <w:iCs/>
          <w:sz w:val="24"/>
          <w:szCs w:val="24"/>
          <w:lang w:eastAsia="zh-CN"/>
        </w:rPr>
        <w:t xml:space="preserve"> </w:t>
      </w:r>
      <w:r w:rsidRPr="000F1CB4">
        <w:rPr>
          <w:rFonts w:ascii="Book Antiqua" w:hAnsi="Book Antiqua"/>
          <w:iCs/>
          <w:sz w:val="24"/>
          <w:szCs w:val="24"/>
          <w:lang w:eastAsia="zh-CN"/>
        </w:rPr>
        <w:t xml:space="preserve">2015; </w:t>
      </w:r>
      <w:proofErr w:type="gramStart"/>
      <w:r w:rsidRPr="000F1CB4">
        <w:rPr>
          <w:rFonts w:ascii="Book Antiqua" w:hAnsi="Book Antiqua"/>
          <w:iCs/>
          <w:sz w:val="24"/>
          <w:szCs w:val="24"/>
          <w:lang w:eastAsia="zh-CN"/>
        </w:rPr>
        <w:t>In</w:t>
      </w:r>
      <w:proofErr w:type="gramEnd"/>
      <w:r w:rsidRPr="000F1CB4">
        <w:rPr>
          <w:rFonts w:ascii="Book Antiqua" w:hAnsi="Book Antiqua"/>
          <w:iCs/>
          <w:sz w:val="24"/>
          <w:szCs w:val="24"/>
          <w:lang w:eastAsia="zh-CN"/>
        </w:rPr>
        <w:t xml:space="preserve"> press</w:t>
      </w:r>
    </w:p>
    <w:p w14:paraId="46970896" w14:textId="77777777" w:rsidR="00620122" w:rsidRPr="000F1CB4" w:rsidRDefault="00620122" w:rsidP="000F1CB4">
      <w:pPr>
        <w:spacing w:after="0" w:line="360" w:lineRule="auto"/>
        <w:jc w:val="both"/>
        <w:rPr>
          <w:rFonts w:ascii="Book Antiqua" w:hAnsi="Book Antiqua" w:cs="Times New Roman"/>
          <w:b/>
          <w:sz w:val="24"/>
          <w:szCs w:val="24"/>
        </w:rPr>
      </w:pPr>
      <w:r w:rsidRPr="000F1CB4">
        <w:rPr>
          <w:rFonts w:ascii="Book Antiqua" w:hAnsi="Book Antiqua" w:cs="Times New Roman"/>
          <w:b/>
          <w:sz w:val="24"/>
          <w:szCs w:val="24"/>
        </w:rPr>
        <w:br w:type="page"/>
      </w:r>
    </w:p>
    <w:p w14:paraId="10B1A8A7" w14:textId="18A6805C" w:rsidR="00AF132F" w:rsidRPr="000F1CB4" w:rsidRDefault="00620122" w:rsidP="000F1CB4">
      <w:pPr>
        <w:spacing w:after="0" w:line="360" w:lineRule="auto"/>
        <w:contextualSpacing/>
        <w:jc w:val="both"/>
        <w:rPr>
          <w:rFonts w:ascii="Book Antiqua" w:hAnsi="Book Antiqua" w:cs="Times New Roman"/>
          <w:b/>
          <w:sz w:val="24"/>
          <w:szCs w:val="24"/>
        </w:rPr>
      </w:pPr>
      <w:r w:rsidRPr="000F1CB4">
        <w:rPr>
          <w:rFonts w:ascii="Book Antiqua" w:hAnsi="Book Antiqua" w:cs="Times New Roman"/>
          <w:b/>
          <w:sz w:val="24"/>
          <w:szCs w:val="24"/>
        </w:rPr>
        <w:lastRenderedPageBreak/>
        <w:t>INTRODUCTION</w:t>
      </w:r>
    </w:p>
    <w:p w14:paraId="0A9FBA6E" w14:textId="2A688D82" w:rsidR="00AA14EF" w:rsidRPr="000F1CB4" w:rsidRDefault="00693287" w:rsidP="000F1CB4">
      <w:pPr>
        <w:spacing w:after="0" w:line="360" w:lineRule="auto"/>
        <w:jc w:val="both"/>
        <w:rPr>
          <w:rFonts w:ascii="Book Antiqua" w:hAnsi="Book Antiqua" w:cs="Times New Roman"/>
          <w:sz w:val="24"/>
          <w:szCs w:val="24"/>
          <w:vertAlign w:val="superscript"/>
        </w:rPr>
      </w:pPr>
      <w:r w:rsidRPr="000F1CB4">
        <w:rPr>
          <w:rFonts w:ascii="Book Antiqua" w:hAnsi="Book Antiqua" w:cs="Times New Roman"/>
          <w:sz w:val="24"/>
          <w:szCs w:val="24"/>
        </w:rPr>
        <w:t>I</w:t>
      </w:r>
      <w:r w:rsidR="00E67E9E" w:rsidRPr="000F1CB4">
        <w:rPr>
          <w:rFonts w:ascii="Book Antiqua" w:hAnsi="Book Antiqua" w:cs="Times New Roman"/>
          <w:sz w:val="24"/>
          <w:szCs w:val="24"/>
        </w:rPr>
        <w:t>ncrease</w:t>
      </w:r>
      <w:r w:rsidRPr="000F1CB4">
        <w:rPr>
          <w:rFonts w:ascii="Book Antiqua" w:hAnsi="Book Antiqua" w:cs="Times New Roman"/>
          <w:sz w:val="24"/>
          <w:szCs w:val="24"/>
        </w:rPr>
        <w:t>s</w:t>
      </w:r>
      <w:r w:rsidR="00E67E9E" w:rsidRPr="000F1CB4">
        <w:rPr>
          <w:rFonts w:ascii="Book Antiqua" w:hAnsi="Book Antiqua" w:cs="Times New Roman"/>
          <w:sz w:val="24"/>
          <w:szCs w:val="24"/>
        </w:rPr>
        <w:t xml:space="preserve"> in </w:t>
      </w:r>
      <w:r w:rsidR="005760D9" w:rsidRPr="000F1CB4">
        <w:rPr>
          <w:rFonts w:ascii="Book Antiqua" w:hAnsi="Book Antiqua" w:cs="Times New Roman"/>
          <w:sz w:val="24"/>
          <w:szCs w:val="24"/>
        </w:rPr>
        <w:t xml:space="preserve">the </w:t>
      </w:r>
      <w:r w:rsidR="00E67E9E" w:rsidRPr="000F1CB4">
        <w:rPr>
          <w:rFonts w:ascii="Book Antiqua" w:hAnsi="Book Antiqua" w:cs="Times New Roman"/>
          <w:sz w:val="24"/>
          <w:szCs w:val="24"/>
        </w:rPr>
        <w:t>prevalenc</w:t>
      </w:r>
      <w:r w:rsidRPr="000F1CB4">
        <w:rPr>
          <w:rFonts w:ascii="Book Antiqua" w:hAnsi="Book Antiqua" w:cs="Times New Roman"/>
          <w:sz w:val="24"/>
          <w:szCs w:val="24"/>
        </w:rPr>
        <w:t>e</w:t>
      </w:r>
      <w:r w:rsidR="00E67E9E" w:rsidRPr="000F1CB4">
        <w:rPr>
          <w:rFonts w:ascii="Book Antiqua" w:hAnsi="Book Antiqua" w:cs="Times New Roman"/>
          <w:sz w:val="24"/>
          <w:szCs w:val="24"/>
        </w:rPr>
        <w:t xml:space="preserve"> of obesity and diabetes</w:t>
      </w:r>
      <w:r w:rsidR="00E854A0" w:rsidRPr="000F1CB4">
        <w:rPr>
          <w:rFonts w:ascii="Book Antiqua" w:hAnsi="Book Antiqua" w:cs="Times New Roman"/>
          <w:sz w:val="24"/>
          <w:szCs w:val="24"/>
        </w:rPr>
        <w:t xml:space="preserve"> mellitus</w:t>
      </w:r>
      <w:r w:rsidR="005D1AE1" w:rsidRPr="000F1CB4">
        <w:rPr>
          <w:rFonts w:ascii="Book Antiqua" w:hAnsi="Book Antiqua" w:cs="Times New Roman"/>
          <w:sz w:val="24"/>
          <w:szCs w:val="24"/>
        </w:rPr>
        <w:t xml:space="preserve"> (DM)</w:t>
      </w:r>
      <w:r w:rsidR="005760D9" w:rsidRPr="000F1CB4">
        <w:rPr>
          <w:rFonts w:ascii="Book Antiqua" w:hAnsi="Book Antiqua" w:cs="Times New Roman"/>
          <w:sz w:val="24"/>
          <w:szCs w:val="24"/>
        </w:rPr>
        <w:t xml:space="preserve"> ha</w:t>
      </w:r>
      <w:r w:rsidRPr="000F1CB4">
        <w:rPr>
          <w:rFonts w:ascii="Book Antiqua" w:hAnsi="Book Antiqua" w:cs="Times New Roman"/>
          <w:sz w:val="24"/>
          <w:szCs w:val="24"/>
        </w:rPr>
        <w:t>ve</w:t>
      </w:r>
      <w:r w:rsidR="005760D9" w:rsidRPr="000F1CB4">
        <w:rPr>
          <w:rFonts w:ascii="Book Antiqua" w:hAnsi="Book Antiqua" w:cs="Times New Roman"/>
          <w:sz w:val="24"/>
          <w:szCs w:val="24"/>
        </w:rPr>
        <w:t xml:space="preserve"> been associated with </w:t>
      </w:r>
      <w:r w:rsidR="00256D61" w:rsidRPr="000F1CB4">
        <w:rPr>
          <w:rFonts w:ascii="Book Antiqua" w:hAnsi="Book Antiqua" w:cs="Times New Roman"/>
          <w:sz w:val="24"/>
          <w:szCs w:val="24"/>
        </w:rPr>
        <w:t xml:space="preserve">the rise in </w:t>
      </w:r>
      <w:r w:rsidR="00E854A0" w:rsidRPr="000F1CB4">
        <w:rPr>
          <w:rFonts w:ascii="Book Antiqua" w:hAnsi="Book Antiqua" w:cs="Times New Roman"/>
          <w:sz w:val="24"/>
          <w:szCs w:val="24"/>
        </w:rPr>
        <w:t>n</w:t>
      </w:r>
      <w:r w:rsidR="00272257" w:rsidRPr="000F1CB4">
        <w:rPr>
          <w:rFonts w:ascii="Book Antiqua" w:hAnsi="Book Antiqua" w:cs="Times New Roman"/>
          <w:sz w:val="24"/>
          <w:szCs w:val="24"/>
        </w:rPr>
        <w:t>on</w:t>
      </w:r>
      <w:r w:rsidR="00E854A0" w:rsidRPr="000F1CB4">
        <w:rPr>
          <w:rFonts w:ascii="Book Antiqua" w:hAnsi="Book Antiqua" w:cs="Times New Roman"/>
          <w:sz w:val="24"/>
          <w:szCs w:val="24"/>
        </w:rPr>
        <w:t>a</w:t>
      </w:r>
      <w:r w:rsidR="00272257" w:rsidRPr="000F1CB4">
        <w:rPr>
          <w:rFonts w:ascii="Book Antiqua" w:hAnsi="Book Antiqua" w:cs="Times New Roman"/>
          <w:sz w:val="24"/>
          <w:szCs w:val="24"/>
        </w:rPr>
        <w:t xml:space="preserve">lcoholic </w:t>
      </w:r>
      <w:r w:rsidR="005760D9" w:rsidRPr="000F1CB4">
        <w:rPr>
          <w:rFonts w:ascii="Book Antiqua" w:hAnsi="Book Antiqua" w:cs="Times New Roman"/>
          <w:sz w:val="24"/>
          <w:szCs w:val="24"/>
        </w:rPr>
        <w:t xml:space="preserve">fatty liver disease (NAFLD). Currently, NAFLD is the </w:t>
      </w:r>
      <w:r w:rsidR="00E67E9E" w:rsidRPr="000F1CB4">
        <w:rPr>
          <w:rFonts w:ascii="Book Antiqua" w:hAnsi="Book Antiqua" w:cs="Times New Roman"/>
          <w:sz w:val="24"/>
          <w:szCs w:val="24"/>
        </w:rPr>
        <w:t>most common</w:t>
      </w:r>
      <w:r w:rsidR="00E854A0" w:rsidRPr="000F1CB4">
        <w:rPr>
          <w:rFonts w:ascii="Book Antiqua" w:hAnsi="Book Antiqua" w:cs="Times New Roman"/>
          <w:sz w:val="24"/>
          <w:szCs w:val="24"/>
        </w:rPr>
        <w:t xml:space="preserve"> </w:t>
      </w:r>
      <w:r w:rsidRPr="000F1CB4">
        <w:rPr>
          <w:rFonts w:ascii="Book Antiqua" w:hAnsi="Book Antiqua" w:cs="Times New Roman"/>
          <w:sz w:val="24"/>
          <w:szCs w:val="24"/>
        </w:rPr>
        <w:t>cause of</w:t>
      </w:r>
      <w:r w:rsidR="00C53864" w:rsidRPr="000F1CB4">
        <w:rPr>
          <w:rFonts w:ascii="Book Antiqua" w:hAnsi="Book Antiqua" w:cs="Times New Roman"/>
          <w:sz w:val="24"/>
          <w:szCs w:val="24"/>
        </w:rPr>
        <w:t xml:space="preserve"> </w:t>
      </w:r>
      <w:r w:rsidR="004D767B" w:rsidRPr="000F1CB4">
        <w:rPr>
          <w:rFonts w:ascii="Book Antiqua" w:hAnsi="Book Antiqua" w:cs="Times New Roman"/>
          <w:sz w:val="24"/>
          <w:szCs w:val="24"/>
        </w:rPr>
        <w:t>chronic</w:t>
      </w:r>
      <w:r w:rsidR="00E67E9E" w:rsidRPr="000F1CB4">
        <w:rPr>
          <w:rFonts w:ascii="Book Antiqua" w:hAnsi="Book Antiqua" w:cs="Times New Roman"/>
          <w:sz w:val="24"/>
          <w:szCs w:val="24"/>
        </w:rPr>
        <w:t xml:space="preserve"> liver disease</w:t>
      </w:r>
      <w:r w:rsidR="00063A5D" w:rsidRPr="000F1CB4">
        <w:rPr>
          <w:rFonts w:ascii="Book Antiqua" w:hAnsi="Book Antiqua" w:cs="Times New Roman"/>
          <w:sz w:val="24"/>
          <w:szCs w:val="24"/>
        </w:rPr>
        <w:t xml:space="preserve"> </w:t>
      </w:r>
      <w:r w:rsidRPr="000F1CB4">
        <w:rPr>
          <w:rFonts w:ascii="Book Antiqua" w:hAnsi="Book Antiqua" w:cs="Times New Roman"/>
          <w:sz w:val="24"/>
          <w:szCs w:val="24"/>
        </w:rPr>
        <w:t>worldwide</w:t>
      </w:r>
      <w:r w:rsidR="00E67E9E" w:rsidRPr="000F1CB4">
        <w:rPr>
          <w:rFonts w:ascii="Book Antiqua" w:hAnsi="Book Antiqua" w:cs="Times New Roman"/>
          <w:sz w:val="24"/>
          <w:szCs w:val="24"/>
        </w:rPr>
        <w:t xml:space="preserve">. </w:t>
      </w:r>
      <w:r w:rsidR="001B4437" w:rsidRPr="000F1CB4">
        <w:rPr>
          <w:rFonts w:ascii="Book Antiqua" w:hAnsi="Book Antiqua" w:cs="Times New Roman"/>
          <w:sz w:val="24"/>
          <w:szCs w:val="24"/>
        </w:rPr>
        <w:t xml:space="preserve">The clinical spectrum of </w:t>
      </w:r>
      <w:r w:rsidR="00E67E9E" w:rsidRPr="000F1CB4">
        <w:rPr>
          <w:rFonts w:ascii="Book Antiqua" w:hAnsi="Book Antiqua" w:cs="Times New Roman"/>
          <w:sz w:val="24"/>
          <w:szCs w:val="24"/>
        </w:rPr>
        <w:t xml:space="preserve">NAFLD </w:t>
      </w:r>
      <w:r w:rsidR="001B4437" w:rsidRPr="000F1CB4">
        <w:rPr>
          <w:rFonts w:ascii="Book Antiqua" w:hAnsi="Book Antiqua" w:cs="Times New Roman"/>
          <w:sz w:val="24"/>
          <w:szCs w:val="24"/>
        </w:rPr>
        <w:t>ranges from simple steatosis</w:t>
      </w:r>
      <w:r w:rsidR="00FA152B" w:rsidRPr="000F1CB4">
        <w:rPr>
          <w:rFonts w:ascii="Book Antiqua" w:hAnsi="Book Antiqua" w:cs="Times New Roman"/>
          <w:sz w:val="24"/>
          <w:szCs w:val="24"/>
        </w:rPr>
        <w:t xml:space="preserve">, </w:t>
      </w:r>
      <w:r w:rsidR="005F4797" w:rsidRPr="000F1CB4">
        <w:rPr>
          <w:rFonts w:ascii="Book Antiqua" w:hAnsi="Book Antiqua" w:cs="Times New Roman"/>
          <w:sz w:val="24"/>
          <w:szCs w:val="24"/>
        </w:rPr>
        <w:t>an</w:t>
      </w:r>
      <w:r w:rsidR="00FA152B" w:rsidRPr="000F1CB4">
        <w:rPr>
          <w:rFonts w:ascii="Book Antiqua" w:hAnsi="Book Antiqua" w:cs="Times New Roman"/>
          <w:sz w:val="24"/>
          <w:szCs w:val="24"/>
        </w:rPr>
        <w:t xml:space="preserve"> accumulation </w:t>
      </w:r>
      <w:r w:rsidR="005F4797" w:rsidRPr="000F1CB4">
        <w:rPr>
          <w:rFonts w:ascii="Book Antiqua" w:hAnsi="Book Antiqua" w:cs="Times New Roman"/>
          <w:sz w:val="24"/>
          <w:szCs w:val="24"/>
        </w:rPr>
        <w:t xml:space="preserve">of fat </w:t>
      </w:r>
      <w:r w:rsidR="00FA152B" w:rsidRPr="000F1CB4">
        <w:rPr>
          <w:rFonts w:ascii="Book Antiqua" w:hAnsi="Book Antiqua" w:cs="Times New Roman"/>
          <w:sz w:val="24"/>
          <w:szCs w:val="24"/>
        </w:rPr>
        <w:t xml:space="preserve">greater than 5% of </w:t>
      </w:r>
      <w:r w:rsidR="005F4797" w:rsidRPr="000F1CB4">
        <w:rPr>
          <w:rFonts w:ascii="Book Antiqua" w:hAnsi="Book Antiqua" w:cs="Times New Roman"/>
          <w:sz w:val="24"/>
          <w:szCs w:val="24"/>
        </w:rPr>
        <w:t>liver</w:t>
      </w:r>
      <w:r w:rsidR="00FA152B" w:rsidRPr="000F1CB4">
        <w:rPr>
          <w:rFonts w:ascii="Book Antiqua" w:hAnsi="Book Antiqua" w:cs="Times New Roman"/>
          <w:sz w:val="24"/>
          <w:szCs w:val="24"/>
        </w:rPr>
        <w:t xml:space="preserve"> weight,</w:t>
      </w:r>
      <w:r w:rsidR="001B4437" w:rsidRPr="000F1CB4">
        <w:rPr>
          <w:rFonts w:ascii="Book Antiqua" w:hAnsi="Book Antiqua" w:cs="Times New Roman"/>
          <w:sz w:val="24"/>
          <w:szCs w:val="24"/>
        </w:rPr>
        <w:t xml:space="preserve"> </w:t>
      </w:r>
      <w:r w:rsidR="005E6907" w:rsidRPr="000F1CB4">
        <w:rPr>
          <w:rFonts w:ascii="Book Antiqua" w:hAnsi="Book Antiqua" w:cs="Times New Roman"/>
          <w:sz w:val="24"/>
          <w:szCs w:val="24"/>
        </w:rPr>
        <w:t xml:space="preserve">to </w:t>
      </w:r>
      <w:r w:rsidR="00840FDE" w:rsidRPr="000F1CB4">
        <w:rPr>
          <w:rFonts w:ascii="Book Antiqua" w:hAnsi="Book Antiqua" w:cs="Times New Roman"/>
          <w:sz w:val="24"/>
          <w:szCs w:val="24"/>
        </w:rPr>
        <w:t xml:space="preserve">nonalcoholic </w:t>
      </w:r>
      <w:proofErr w:type="spellStart"/>
      <w:r w:rsidR="00840FDE" w:rsidRPr="000F1CB4">
        <w:rPr>
          <w:rFonts w:ascii="Book Antiqua" w:hAnsi="Book Antiqua" w:cs="Times New Roman"/>
          <w:sz w:val="24"/>
          <w:szCs w:val="24"/>
        </w:rPr>
        <w:t>s</w:t>
      </w:r>
      <w:r w:rsidR="00272257" w:rsidRPr="000F1CB4">
        <w:rPr>
          <w:rFonts w:ascii="Book Antiqua" w:hAnsi="Book Antiqua" w:cs="Times New Roman"/>
          <w:sz w:val="24"/>
          <w:szCs w:val="24"/>
        </w:rPr>
        <w:t>teatohepatitis</w:t>
      </w:r>
      <w:proofErr w:type="spellEnd"/>
      <w:r w:rsidR="00840FDE" w:rsidRPr="000F1CB4">
        <w:rPr>
          <w:rFonts w:ascii="Book Antiqua" w:hAnsi="Book Antiqua" w:cs="Times New Roman"/>
          <w:sz w:val="24"/>
          <w:szCs w:val="24"/>
        </w:rPr>
        <w:t xml:space="preserve"> (NASH)</w:t>
      </w:r>
      <w:r w:rsidR="00FA152B" w:rsidRPr="000F1CB4">
        <w:rPr>
          <w:rFonts w:ascii="Book Antiqua" w:hAnsi="Book Antiqua" w:cs="Times New Roman"/>
          <w:sz w:val="24"/>
          <w:szCs w:val="24"/>
        </w:rPr>
        <w:t>,</w:t>
      </w:r>
      <w:r w:rsidR="001B4437" w:rsidRPr="000F1CB4">
        <w:rPr>
          <w:rFonts w:ascii="Book Antiqua" w:hAnsi="Book Antiqua" w:cs="Times New Roman"/>
          <w:sz w:val="24"/>
          <w:szCs w:val="24"/>
        </w:rPr>
        <w:t xml:space="preserve"> a more aggressive form with inflammation</w:t>
      </w:r>
      <w:r w:rsidR="001B43F9" w:rsidRPr="000F1CB4">
        <w:rPr>
          <w:rFonts w:ascii="Book Antiqua" w:hAnsi="Book Antiqua" w:cs="Times New Roman"/>
          <w:sz w:val="24"/>
          <w:szCs w:val="24"/>
        </w:rPr>
        <w:t xml:space="preserve"> and necrosis</w:t>
      </w:r>
      <w:r w:rsidR="001B4437" w:rsidRPr="000F1CB4">
        <w:rPr>
          <w:rFonts w:ascii="Book Antiqua" w:hAnsi="Book Antiqua" w:cs="Times New Roman"/>
          <w:sz w:val="24"/>
          <w:szCs w:val="24"/>
        </w:rPr>
        <w:t>.</w:t>
      </w:r>
      <w:r w:rsidR="00FA152B" w:rsidRPr="000F1CB4">
        <w:rPr>
          <w:rFonts w:ascii="Book Antiqua" w:hAnsi="Book Antiqua" w:cs="Times New Roman"/>
          <w:sz w:val="24"/>
          <w:szCs w:val="24"/>
        </w:rPr>
        <w:t xml:space="preserve"> </w:t>
      </w:r>
      <w:r w:rsidR="00595890" w:rsidRPr="000F1CB4">
        <w:rPr>
          <w:rFonts w:ascii="Book Antiqua" w:hAnsi="Book Antiqua" w:cs="Times New Roman"/>
          <w:sz w:val="24"/>
          <w:szCs w:val="24"/>
        </w:rPr>
        <w:t xml:space="preserve">NAFLD </w:t>
      </w:r>
      <w:r w:rsidR="00BE180B" w:rsidRPr="000F1CB4">
        <w:rPr>
          <w:rFonts w:ascii="Book Antiqua" w:hAnsi="Book Antiqua" w:cs="Times New Roman"/>
          <w:sz w:val="24"/>
          <w:szCs w:val="24"/>
        </w:rPr>
        <w:t>afflicts</w:t>
      </w:r>
      <w:r w:rsidR="00595890" w:rsidRPr="000F1CB4">
        <w:rPr>
          <w:rFonts w:ascii="Book Antiqua" w:hAnsi="Book Antiqua" w:cs="Times New Roman"/>
          <w:sz w:val="24"/>
          <w:szCs w:val="24"/>
        </w:rPr>
        <w:t xml:space="preserve"> an estimated</w:t>
      </w:r>
      <w:r w:rsidR="00FA152B" w:rsidRPr="000F1CB4">
        <w:rPr>
          <w:rFonts w:ascii="Book Antiqua" w:hAnsi="Book Antiqua" w:cs="Times New Roman"/>
          <w:sz w:val="24"/>
          <w:szCs w:val="24"/>
        </w:rPr>
        <w:t xml:space="preserve"> 30</w:t>
      </w:r>
      <w:r w:rsidR="00051C47">
        <w:rPr>
          <w:rFonts w:ascii="Book Antiqua" w:hAnsi="Book Antiqua" w:cs="Times New Roman" w:hint="eastAsia"/>
          <w:sz w:val="24"/>
          <w:szCs w:val="24"/>
          <w:lang w:eastAsia="zh-CN"/>
        </w:rPr>
        <w:t>%</w:t>
      </w:r>
      <w:r w:rsidR="00FA152B" w:rsidRPr="000F1CB4">
        <w:rPr>
          <w:rFonts w:ascii="Book Antiqua" w:hAnsi="Book Antiqua" w:cs="Times New Roman"/>
          <w:sz w:val="24"/>
          <w:szCs w:val="24"/>
        </w:rPr>
        <w:t>-40% of the adult population</w:t>
      </w:r>
      <w:r w:rsidR="00595890" w:rsidRPr="000F1CB4">
        <w:rPr>
          <w:rFonts w:ascii="Book Antiqua" w:hAnsi="Book Antiqua" w:cs="Times New Roman"/>
          <w:sz w:val="24"/>
          <w:szCs w:val="24"/>
        </w:rPr>
        <w:t xml:space="preserve"> in the United States</w:t>
      </w:r>
      <w:r w:rsidR="00FA152B" w:rsidRPr="000F1CB4">
        <w:rPr>
          <w:rFonts w:ascii="Book Antiqua" w:hAnsi="Book Antiqua" w:cs="Times New Roman"/>
          <w:sz w:val="24"/>
          <w:szCs w:val="24"/>
        </w:rPr>
        <w:t>.</w:t>
      </w:r>
      <w:r w:rsidR="001B4437" w:rsidRPr="000F1CB4">
        <w:rPr>
          <w:rFonts w:ascii="Book Antiqua" w:hAnsi="Book Antiqua" w:cs="Times New Roman"/>
          <w:sz w:val="24"/>
          <w:szCs w:val="24"/>
        </w:rPr>
        <w:t xml:space="preserve"> </w:t>
      </w:r>
      <w:r w:rsidR="005F4797" w:rsidRPr="000F1CB4">
        <w:rPr>
          <w:rFonts w:ascii="Book Antiqua" w:hAnsi="Book Antiqua" w:cs="Times New Roman"/>
          <w:sz w:val="24"/>
          <w:szCs w:val="24"/>
        </w:rPr>
        <w:t xml:space="preserve">Even </w:t>
      </w:r>
      <w:r w:rsidR="001B4437" w:rsidRPr="000F1CB4">
        <w:rPr>
          <w:rFonts w:ascii="Book Antiqua" w:hAnsi="Book Antiqua" w:cs="Times New Roman"/>
          <w:sz w:val="24"/>
          <w:szCs w:val="24"/>
        </w:rPr>
        <w:t>though the majority of the</w:t>
      </w:r>
      <w:r w:rsidR="005F4797" w:rsidRPr="000F1CB4">
        <w:rPr>
          <w:rFonts w:ascii="Book Antiqua" w:hAnsi="Book Antiqua" w:cs="Times New Roman"/>
          <w:sz w:val="24"/>
          <w:szCs w:val="24"/>
        </w:rPr>
        <w:t>se</w:t>
      </w:r>
      <w:r w:rsidR="001B4437" w:rsidRPr="000F1CB4">
        <w:rPr>
          <w:rFonts w:ascii="Book Antiqua" w:hAnsi="Book Antiqua" w:cs="Times New Roman"/>
          <w:sz w:val="24"/>
          <w:szCs w:val="24"/>
        </w:rPr>
        <w:t xml:space="preserve"> p</w:t>
      </w:r>
      <w:r w:rsidR="005F4797" w:rsidRPr="000F1CB4">
        <w:rPr>
          <w:rFonts w:ascii="Book Antiqua" w:hAnsi="Book Antiqua" w:cs="Times New Roman"/>
          <w:sz w:val="24"/>
          <w:szCs w:val="24"/>
        </w:rPr>
        <w:t>atients</w:t>
      </w:r>
      <w:r w:rsidR="001B4437" w:rsidRPr="000F1CB4">
        <w:rPr>
          <w:rFonts w:ascii="Book Antiqua" w:hAnsi="Book Antiqua" w:cs="Times New Roman"/>
          <w:sz w:val="24"/>
          <w:szCs w:val="24"/>
        </w:rPr>
        <w:t xml:space="preserve"> remain stable</w:t>
      </w:r>
      <w:r w:rsidR="005E6907" w:rsidRPr="000F1CB4">
        <w:rPr>
          <w:rFonts w:ascii="Book Antiqua" w:hAnsi="Book Antiqua" w:cs="Times New Roman"/>
          <w:sz w:val="24"/>
          <w:szCs w:val="24"/>
        </w:rPr>
        <w:t>,</w:t>
      </w:r>
      <w:r w:rsidR="000942B7" w:rsidRPr="000F1CB4">
        <w:rPr>
          <w:rFonts w:ascii="Book Antiqua" w:hAnsi="Book Antiqua" w:cs="Times New Roman"/>
          <w:sz w:val="24"/>
          <w:szCs w:val="24"/>
        </w:rPr>
        <w:t xml:space="preserve"> up to 25</w:t>
      </w:r>
      <w:r w:rsidR="00FA152B" w:rsidRPr="000F1CB4">
        <w:rPr>
          <w:rFonts w:ascii="Book Antiqua" w:hAnsi="Book Antiqua" w:cs="Times New Roman"/>
          <w:sz w:val="24"/>
          <w:szCs w:val="24"/>
        </w:rPr>
        <w:t>%</w:t>
      </w:r>
      <w:r w:rsidR="00595890" w:rsidRPr="000F1CB4">
        <w:rPr>
          <w:rFonts w:ascii="Book Antiqua" w:hAnsi="Book Antiqua" w:cs="Times New Roman"/>
          <w:sz w:val="24"/>
          <w:szCs w:val="24"/>
        </w:rPr>
        <w:t xml:space="preserve"> </w:t>
      </w:r>
      <w:r w:rsidR="000942B7" w:rsidRPr="000F1CB4">
        <w:rPr>
          <w:rFonts w:ascii="Book Antiqua" w:hAnsi="Book Antiqua" w:cs="Times New Roman"/>
          <w:sz w:val="24"/>
          <w:szCs w:val="24"/>
        </w:rPr>
        <w:t xml:space="preserve">of patients with NAFLD can </w:t>
      </w:r>
      <w:r w:rsidR="00595890" w:rsidRPr="000F1CB4">
        <w:rPr>
          <w:rFonts w:ascii="Book Antiqua" w:hAnsi="Book Antiqua" w:cs="Times New Roman"/>
          <w:sz w:val="24"/>
          <w:szCs w:val="24"/>
        </w:rPr>
        <w:t>progress</w:t>
      </w:r>
      <w:r w:rsidR="004D767B" w:rsidRPr="000F1CB4">
        <w:rPr>
          <w:rFonts w:ascii="Book Antiqua" w:hAnsi="Book Antiqua" w:cs="Times New Roman"/>
          <w:sz w:val="24"/>
          <w:szCs w:val="24"/>
        </w:rPr>
        <w:t xml:space="preserve"> </w:t>
      </w:r>
      <w:r w:rsidR="001B4437" w:rsidRPr="000F1CB4">
        <w:rPr>
          <w:rFonts w:ascii="Book Antiqua" w:hAnsi="Book Antiqua" w:cs="Times New Roman"/>
          <w:sz w:val="24"/>
          <w:szCs w:val="24"/>
        </w:rPr>
        <w:t>to</w:t>
      </w:r>
      <w:r w:rsidR="00FA152B" w:rsidRPr="000F1CB4">
        <w:rPr>
          <w:rFonts w:ascii="Book Antiqua" w:hAnsi="Book Antiqua" w:cs="Times New Roman"/>
          <w:sz w:val="24"/>
          <w:szCs w:val="24"/>
        </w:rPr>
        <w:t xml:space="preserve"> NASH</w:t>
      </w:r>
      <w:r w:rsidR="00595890" w:rsidRPr="000F1CB4">
        <w:rPr>
          <w:rFonts w:ascii="Book Antiqua" w:hAnsi="Book Antiqua" w:cs="Times New Roman"/>
          <w:sz w:val="24"/>
          <w:szCs w:val="24"/>
        </w:rPr>
        <w:t xml:space="preserve">. </w:t>
      </w:r>
      <w:r w:rsidR="005F4797" w:rsidRPr="000F1CB4">
        <w:rPr>
          <w:rFonts w:ascii="Book Antiqua" w:hAnsi="Book Antiqua" w:cs="Times New Roman"/>
          <w:sz w:val="24"/>
          <w:szCs w:val="24"/>
        </w:rPr>
        <w:t>Among</w:t>
      </w:r>
      <w:r w:rsidR="0056708B" w:rsidRPr="000F1CB4">
        <w:rPr>
          <w:rFonts w:ascii="Book Antiqua" w:hAnsi="Book Antiqua" w:cs="Times New Roman"/>
          <w:sz w:val="24"/>
          <w:szCs w:val="24"/>
        </w:rPr>
        <w:t xml:space="preserve"> th</w:t>
      </w:r>
      <w:r w:rsidR="00BE180B" w:rsidRPr="000F1CB4">
        <w:rPr>
          <w:rFonts w:ascii="Book Antiqua" w:hAnsi="Book Antiqua" w:cs="Times New Roman"/>
          <w:sz w:val="24"/>
          <w:szCs w:val="24"/>
        </w:rPr>
        <w:t>e patients who develop</w:t>
      </w:r>
      <w:r w:rsidR="0056708B" w:rsidRPr="000F1CB4">
        <w:rPr>
          <w:rFonts w:ascii="Book Antiqua" w:hAnsi="Book Antiqua" w:cs="Times New Roman"/>
          <w:sz w:val="24"/>
          <w:szCs w:val="24"/>
        </w:rPr>
        <w:t xml:space="preserve"> NASH</w:t>
      </w:r>
      <w:r w:rsidR="00BE180B" w:rsidRPr="000F1CB4">
        <w:rPr>
          <w:rFonts w:ascii="Book Antiqua" w:hAnsi="Book Antiqua" w:cs="Times New Roman"/>
          <w:sz w:val="24"/>
          <w:szCs w:val="24"/>
        </w:rPr>
        <w:t xml:space="preserve">, </w:t>
      </w:r>
      <w:r w:rsidR="0056708B" w:rsidRPr="000F1CB4">
        <w:rPr>
          <w:rFonts w:ascii="Book Antiqua" w:hAnsi="Book Antiqua" w:cs="Times New Roman"/>
          <w:sz w:val="24"/>
          <w:szCs w:val="24"/>
        </w:rPr>
        <w:t>many</w:t>
      </w:r>
      <w:r w:rsidR="00FA152B" w:rsidRPr="000F1CB4">
        <w:rPr>
          <w:rFonts w:ascii="Book Antiqua" w:hAnsi="Book Antiqua" w:cs="Times New Roman"/>
          <w:sz w:val="24"/>
          <w:szCs w:val="24"/>
        </w:rPr>
        <w:t xml:space="preserve"> </w:t>
      </w:r>
      <w:r w:rsidR="00467BB7" w:rsidRPr="000F1CB4">
        <w:rPr>
          <w:rFonts w:ascii="Book Antiqua" w:hAnsi="Book Antiqua" w:cs="Times New Roman"/>
          <w:sz w:val="24"/>
          <w:szCs w:val="24"/>
        </w:rPr>
        <w:t>advance</w:t>
      </w:r>
      <w:r w:rsidR="00BE180B" w:rsidRPr="000F1CB4">
        <w:rPr>
          <w:rFonts w:ascii="Book Antiqua" w:hAnsi="Book Antiqua" w:cs="Times New Roman"/>
          <w:sz w:val="24"/>
          <w:szCs w:val="24"/>
        </w:rPr>
        <w:t xml:space="preserve"> to </w:t>
      </w:r>
      <w:r w:rsidR="001B4437" w:rsidRPr="000F1CB4">
        <w:rPr>
          <w:rFonts w:ascii="Book Antiqua" w:hAnsi="Book Antiqua" w:cs="Times New Roman"/>
          <w:sz w:val="24"/>
          <w:szCs w:val="24"/>
        </w:rPr>
        <w:t>cirrhosis</w:t>
      </w:r>
      <w:r w:rsidR="00256D61" w:rsidRPr="000F1CB4">
        <w:rPr>
          <w:rFonts w:ascii="Book Antiqua" w:hAnsi="Book Antiqua" w:cs="Times New Roman"/>
          <w:sz w:val="24"/>
          <w:szCs w:val="24"/>
        </w:rPr>
        <w:t xml:space="preserve"> and are at risk for </w:t>
      </w:r>
      <w:r w:rsidR="00BE180B" w:rsidRPr="000F1CB4">
        <w:rPr>
          <w:rFonts w:ascii="Book Antiqua" w:hAnsi="Book Antiqua" w:cs="Times New Roman"/>
          <w:sz w:val="24"/>
          <w:szCs w:val="24"/>
        </w:rPr>
        <w:t xml:space="preserve">complications of </w:t>
      </w:r>
      <w:r w:rsidR="00F30A94" w:rsidRPr="000F1CB4">
        <w:rPr>
          <w:rFonts w:ascii="Book Antiqua" w:hAnsi="Book Antiqua" w:cs="Times New Roman"/>
          <w:sz w:val="24"/>
          <w:szCs w:val="24"/>
        </w:rPr>
        <w:t>end-</w:t>
      </w:r>
      <w:r w:rsidR="00AA14EF" w:rsidRPr="000F1CB4">
        <w:rPr>
          <w:rFonts w:ascii="Book Antiqua" w:hAnsi="Book Antiqua" w:cs="Times New Roman"/>
          <w:sz w:val="24"/>
          <w:szCs w:val="24"/>
        </w:rPr>
        <w:t xml:space="preserve">stage </w:t>
      </w:r>
      <w:r w:rsidR="001B4437" w:rsidRPr="000F1CB4">
        <w:rPr>
          <w:rFonts w:ascii="Book Antiqua" w:hAnsi="Book Antiqua" w:cs="Times New Roman"/>
          <w:sz w:val="24"/>
          <w:szCs w:val="24"/>
        </w:rPr>
        <w:t>liver</w:t>
      </w:r>
      <w:r w:rsidR="00BE180B" w:rsidRPr="000F1CB4">
        <w:rPr>
          <w:rFonts w:ascii="Book Antiqua" w:hAnsi="Book Antiqua" w:cs="Times New Roman"/>
          <w:sz w:val="24"/>
          <w:szCs w:val="24"/>
        </w:rPr>
        <w:t xml:space="preserve"> </w:t>
      </w:r>
      <w:proofErr w:type="gramStart"/>
      <w:r w:rsidR="00BE180B" w:rsidRPr="000F1CB4">
        <w:rPr>
          <w:rFonts w:ascii="Book Antiqua" w:hAnsi="Book Antiqua" w:cs="Times New Roman"/>
          <w:sz w:val="24"/>
          <w:szCs w:val="24"/>
        </w:rPr>
        <w:t>disease</w:t>
      </w:r>
      <w:r w:rsidR="00051C47" w:rsidRPr="000F1CB4">
        <w:rPr>
          <w:rFonts w:ascii="Book Antiqua" w:hAnsi="Book Antiqua" w:cs="Times New Roman"/>
          <w:sz w:val="24"/>
          <w:szCs w:val="24"/>
          <w:vertAlign w:val="superscript"/>
        </w:rPr>
        <w:t>[</w:t>
      </w:r>
      <w:proofErr w:type="gramEnd"/>
      <w:r w:rsidR="00051C47" w:rsidRPr="000F1CB4">
        <w:rPr>
          <w:rFonts w:ascii="Book Antiqua" w:hAnsi="Book Antiqua" w:cs="Times New Roman"/>
          <w:sz w:val="24"/>
          <w:szCs w:val="24"/>
          <w:vertAlign w:val="superscript"/>
        </w:rPr>
        <w:t>1-4]</w:t>
      </w:r>
      <w:r w:rsidR="00CB74C6" w:rsidRPr="000F1CB4">
        <w:rPr>
          <w:rFonts w:ascii="Book Antiqua" w:hAnsi="Book Antiqua" w:cs="Times New Roman"/>
          <w:sz w:val="24"/>
          <w:szCs w:val="24"/>
        </w:rPr>
        <w:t>.</w:t>
      </w:r>
      <w:r w:rsidR="00AA14EF" w:rsidRPr="000F1CB4">
        <w:rPr>
          <w:rFonts w:ascii="Book Antiqua" w:hAnsi="Book Antiqua" w:cs="Times New Roman"/>
          <w:sz w:val="24"/>
          <w:szCs w:val="24"/>
        </w:rPr>
        <w:t xml:space="preserve"> One of the</w:t>
      </w:r>
      <w:r w:rsidR="005F4797" w:rsidRPr="000F1CB4">
        <w:rPr>
          <w:rFonts w:ascii="Book Antiqua" w:hAnsi="Book Antiqua" w:cs="Times New Roman"/>
          <w:sz w:val="24"/>
          <w:szCs w:val="24"/>
        </w:rPr>
        <w:t xml:space="preserve"> major</w:t>
      </w:r>
      <w:r w:rsidR="00256D61" w:rsidRPr="000F1CB4">
        <w:rPr>
          <w:rFonts w:ascii="Book Antiqua" w:hAnsi="Book Antiqua" w:cs="Times New Roman"/>
          <w:sz w:val="24"/>
          <w:szCs w:val="24"/>
        </w:rPr>
        <w:t xml:space="preserve"> complications observed</w:t>
      </w:r>
      <w:r w:rsidR="00AA14EF" w:rsidRPr="000F1CB4">
        <w:rPr>
          <w:rFonts w:ascii="Book Antiqua" w:hAnsi="Book Antiqua" w:cs="Times New Roman"/>
          <w:sz w:val="24"/>
          <w:szCs w:val="24"/>
        </w:rPr>
        <w:t xml:space="preserve"> in patients with </w:t>
      </w:r>
      <w:r w:rsidR="0093742F" w:rsidRPr="000F1CB4">
        <w:rPr>
          <w:rFonts w:ascii="Book Antiqua" w:hAnsi="Book Antiqua" w:cs="Times New Roman"/>
          <w:sz w:val="24"/>
          <w:szCs w:val="24"/>
        </w:rPr>
        <w:t>N</w:t>
      </w:r>
      <w:r w:rsidR="00BE180B" w:rsidRPr="000F1CB4">
        <w:rPr>
          <w:rFonts w:ascii="Book Antiqua" w:hAnsi="Book Antiqua" w:cs="Times New Roman"/>
          <w:sz w:val="24"/>
          <w:szCs w:val="24"/>
        </w:rPr>
        <w:t>ASH-</w:t>
      </w:r>
      <w:r w:rsidR="00AA14EF" w:rsidRPr="000F1CB4">
        <w:rPr>
          <w:rFonts w:ascii="Book Antiqua" w:hAnsi="Book Antiqua" w:cs="Times New Roman"/>
          <w:sz w:val="24"/>
          <w:szCs w:val="24"/>
        </w:rPr>
        <w:t>related cirrhos</w:t>
      </w:r>
      <w:r w:rsidR="00595890" w:rsidRPr="000F1CB4">
        <w:rPr>
          <w:rFonts w:ascii="Book Antiqua" w:hAnsi="Book Antiqua" w:cs="Times New Roman"/>
          <w:sz w:val="24"/>
          <w:szCs w:val="24"/>
        </w:rPr>
        <w:t>is is</w:t>
      </w:r>
      <w:r w:rsidR="00BE180B" w:rsidRPr="000F1CB4">
        <w:rPr>
          <w:rFonts w:ascii="Book Antiqua" w:hAnsi="Book Antiqua" w:cs="Times New Roman"/>
          <w:sz w:val="24"/>
          <w:szCs w:val="24"/>
        </w:rPr>
        <w:t xml:space="preserve"> hepatocellular carcinoma</w:t>
      </w:r>
      <w:r w:rsidR="00467BB7" w:rsidRPr="000F1CB4">
        <w:rPr>
          <w:rFonts w:ascii="Book Antiqua" w:hAnsi="Book Antiqua" w:cs="Times New Roman"/>
          <w:sz w:val="24"/>
          <w:szCs w:val="24"/>
        </w:rPr>
        <w:t xml:space="preserve"> (HCC)</w:t>
      </w:r>
      <w:r w:rsidR="00E23474" w:rsidRPr="000F1CB4">
        <w:rPr>
          <w:rFonts w:ascii="Book Antiqua" w:hAnsi="Book Antiqua" w:cs="Times New Roman"/>
          <w:sz w:val="24"/>
          <w:szCs w:val="24"/>
        </w:rPr>
        <w:t>,</w:t>
      </w:r>
      <w:r w:rsidR="008A3E1E" w:rsidRPr="000F1CB4">
        <w:rPr>
          <w:rFonts w:ascii="Book Antiqua" w:hAnsi="Book Antiqua" w:cs="Times New Roman"/>
          <w:sz w:val="24"/>
          <w:szCs w:val="24"/>
        </w:rPr>
        <w:t xml:space="preserve"> </w:t>
      </w:r>
      <w:r w:rsidR="00E23474" w:rsidRPr="000F1CB4">
        <w:rPr>
          <w:rFonts w:ascii="Book Antiqua" w:hAnsi="Book Antiqua" w:cs="Times New Roman"/>
          <w:sz w:val="24"/>
          <w:szCs w:val="24"/>
        </w:rPr>
        <w:t xml:space="preserve">which </w:t>
      </w:r>
      <w:r w:rsidR="005F0370" w:rsidRPr="000F1CB4">
        <w:rPr>
          <w:rFonts w:ascii="Book Antiqua" w:hAnsi="Book Antiqua" w:cs="Times New Roman"/>
          <w:sz w:val="24"/>
          <w:szCs w:val="24"/>
        </w:rPr>
        <w:t>has emerged as the</w:t>
      </w:r>
      <w:r w:rsidR="003C0041" w:rsidRPr="000F1CB4">
        <w:rPr>
          <w:rFonts w:ascii="Book Antiqua" w:hAnsi="Book Antiqua" w:cs="Times New Roman"/>
          <w:sz w:val="24"/>
          <w:szCs w:val="24"/>
        </w:rPr>
        <w:t xml:space="preserve"> sixth most common cancer and</w:t>
      </w:r>
      <w:r w:rsidR="005F0370" w:rsidRPr="000F1CB4">
        <w:rPr>
          <w:rFonts w:ascii="Book Antiqua" w:hAnsi="Book Antiqua" w:cs="Times New Roman"/>
          <w:sz w:val="24"/>
          <w:szCs w:val="24"/>
        </w:rPr>
        <w:t xml:space="preserve"> second leading e</w:t>
      </w:r>
      <w:r w:rsidR="003C0041" w:rsidRPr="000F1CB4">
        <w:rPr>
          <w:rFonts w:ascii="Book Antiqua" w:hAnsi="Book Antiqua" w:cs="Times New Roman"/>
          <w:sz w:val="24"/>
          <w:szCs w:val="24"/>
        </w:rPr>
        <w:t>tiology</w:t>
      </w:r>
      <w:r w:rsidR="005F0370" w:rsidRPr="000F1CB4">
        <w:rPr>
          <w:rFonts w:ascii="Book Antiqua" w:hAnsi="Book Antiqua" w:cs="Times New Roman"/>
          <w:sz w:val="24"/>
          <w:szCs w:val="24"/>
        </w:rPr>
        <w:t xml:space="preserve"> of </w:t>
      </w:r>
      <w:r w:rsidR="00E23474" w:rsidRPr="000F1CB4">
        <w:rPr>
          <w:rFonts w:ascii="Book Antiqua" w:hAnsi="Book Antiqua" w:cs="Times New Roman"/>
          <w:sz w:val="24"/>
          <w:szCs w:val="24"/>
        </w:rPr>
        <w:t>cancer-</w:t>
      </w:r>
      <w:r w:rsidR="005F0370" w:rsidRPr="000F1CB4">
        <w:rPr>
          <w:rFonts w:ascii="Book Antiqua" w:hAnsi="Book Antiqua" w:cs="Times New Roman"/>
          <w:sz w:val="24"/>
          <w:szCs w:val="24"/>
        </w:rPr>
        <w:t xml:space="preserve">related deaths </w:t>
      </w:r>
      <w:proofErr w:type="gramStart"/>
      <w:r w:rsidR="0093742F" w:rsidRPr="000F1CB4">
        <w:rPr>
          <w:rFonts w:ascii="Book Antiqua" w:hAnsi="Book Antiqua" w:cs="Times New Roman"/>
          <w:sz w:val="24"/>
          <w:szCs w:val="24"/>
        </w:rPr>
        <w:t>worldwide</w:t>
      </w:r>
      <w:r w:rsidR="00051C47" w:rsidRPr="000F1CB4">
        <w:rPr>
          <w:rFonts w:ascii="Book Antiqua" w:hAnsi="Book Antiqua" w:cs="Times New Roman"/>
          <w:sz w:val="24"/>
          <w:szCs w:val="24"/>
          <w:vertAlign w:val="superscript"/>
        </w:rPr>
        <w:t>[</w:t>
      </w:r>
      <w:proofErr w:type="gramEnd"/>
      <w:r w:rsidR="00051C47" w:rsidRPr="000F1CB4">
        <w:rPr>
          <w:rFonts w:ascii="Book Antiqua" w:hAnsi="Book Antiqua" w:cs="Times New Roman"/>
          <w:sz w:val="24"/>
          <w:szCs w:val="24"/>
          <w:vertAlign w:val="superscript"/>
        </w:rPr>
        <w:t>5]</w:t>
      </w:r>
      <w:r w:rsidR="00CB74C6" w:rsidRPr="000F1CB4">
        <w:rPr>
          <w:rFonts w:ascii="Book Antiqua" w:hAnsi="Book Antiqua" w:cs="Times New Roman"/>
          <w:sz w:val="24"/>
          <w:szCs w:val="24"/>
        </w:rPr>
        <w:t>.</w:t>
      </w:r>
    </w:p>
    <w:p w14:paraId="2CBFC46F" w14:textId="77777777" w:rsidR="00256D61" w:rsidRPr="000F1CB4" w:rsidRDefault="00256D61" w:rsidP="000F1CB4">
      <w:pPr>
        <w:spacing w:after="0" w:line="360" w:lineRule="auto"/>
        <w:jc w:val="both"/>
        <w:rPr>
          <w:rFonts w:ascii="Book Antiqua" w:hAnsi="Book Antiqua" w:cs="Times New Roman"/>
          <w:sz w:val="24"/>
          <w:szCs w:val="24"/>
        </w:rPr>
      </w:pPr>
    </w:p>
    <w:p w14:paraId="53DFB22F" w14:textId="66BAF111" w:rsidR="003C0041" w:rsidRPr="00051C47" w:rsidRDefault="00051C47" w:rsidP="000F1CB4">
      <w:pPr>
        <w:spacing w:after="0" w:line="360" w:lineRule="auto"/>
        <w:jc w:val="both"/>
        <w:rPr>
          <w:rFonts w:ascii="Book Antiqua" w:hAnsi="Book Antiqua" w:cs="Times New Roman"/>
          <w:b/>
          <w:sz w:val="24"/>
          <w:szCs w:val="24"/>
        </w:rPr>
      </w:pPr>
      <w:r w:rsidRPr="00051C47">
        <w:rPr>
          <w:rFonts w:ascii="Book Antiqua" w:hAnsi="Book Antiqua" w:cs="Times New Roman"/>
          <w:b/>
          <w:sz w:val="24"/>
          <w:szCs w:val="24"/>
        </w:rPr>
        <w:t>NASH AND ITS ASSOCIATION WITH HCC</w:t>
      </w:r>
    </w:p>
    <w:p w14:paraId="47C3A970" w14:textId="3191B872" w:rsidR="00157529" w:rsidRPr="000F1CB4" w:rsidRDefault="00AE7AB2" w:rsidP="000F1CB4">
      <w:pPr>
        <w:spacing w:after="0" w:line="360" w:lineRule="auto"/>
        <w:jc w:val="both"/>
        <w:rPr>
          <w:rFonts w:ascii="Book Antiqua" w:hAnsi="Book Antiqua" w:cs="Times New Roman"/>
          <w:sz w:val="24"/>
          <w:szCs w:val="24"/>
        </w:rPr>
      </w:pPr>
      <w:r w:rsidRPr="000F1CB4">
        <w:rPr>
          <w:rFonts w:ascii="Book Antiqua" w:hAnsi="Book Antiqua" w:cs="Times New Roman"/>
          <w:sz w:val="24"/>
          <w:szCs w:val="24"/>
        </w:rPr>
        <w:t xml:space="preserve">The incidence of </w:t>
      </w:r>
      <w:r w:rsidR="00AA7C52" w:rsidRPr="000F1CB4">
        <w:rPr>
          <w:rFonts w:ascii="Book Antiqua" w:hAnsi="Book Antiqua" w:cs="Times New Roman"/>
          <w:sz w:val="24"/>
          <w:szCs w:val="24"/>
        </w:rPr>
        <w:t xml:space="preserve">HCC </w:t>
      </w:r>
      <w:r w:rsidRPr="000F1CB4">
        <w:rPr>
          <w:rFonts w:ascii="Book Antiqua" w:hAnsi="Book Antiqua" w:cs="Times New Roman"/>
          <w:sz w:val="24"/>
          <w:szCs w:val="24"/>
        </w:rPr>
        <w:t xml:space="preserve">in the </w:t>
      </w:r>
      <w:r w:rsidR="00051C47">
        <w:rPr>
          <w:rFonts w:ascii="Book Antiqua" w:hAnsi="Book Antiqua" w:cs="Times New Roman"/>
          <w:sz w:val="24"/>
          <w:szCs w:val="24"/>
        </w:rPr>
        <w:t>United States</w:t>
      </w:r>
      <w:r w:rsidR="00AA7C52" w:rsidRPr="000F1CB4">
        <w:rPr>
          <w:rFonts w:ascii="Book Antiqua" w:hAnsi="Book Antiqua" w:cs="Times New Roman"/>
          <w:sz w:val="24"/>
          <w:szCs w:val="24"/>
        </w:rPr>
        <w:t xml:space="preserve"> </w:t>
      </w:r>
      <w:r w:rsidRPr="000F1CB4">
        <w:rPr>
          <w:rFonts w:ascii="Book Antiqua" w:hAnsi="Book Antiqua" w:cs="Times New Roman"/>
          <w:sz w:val="24"/>
          <w:szCs w:val="24"/>
        </w:rPr>
        <w:t xml:space="preserve">alone has tripled over the last three decades. A recent study evaluated the trends in the </w:t>
      </w:r>
      <w:r w:rsidR="00AA7C52" w:rsidRPr="000F1CB4">
        <w:rPr>
          <w:rFonts w:ascii="Book Antiqua" w:hAnsi="Book Antiqua" w:cs="Times New Roman"/>
          <w:sz w:val="24"/>
          <w:szCs w:val="24"/>
        </w:rPr>
        <w:t>age-</w:t>
      </w:r>
      <w:r w:rsidRPr="000F1CB4">
        <w:rPr>
          <w:rFonts w:ascii="Book Antiqua" w:hAnsi="Book Antiqua" w:cs="Times New Roman"/>
          <w:sz w:val="24"/>
          <w:szCs w:val="24"/>
        </w:rPr>
        <w:t xml:space="preserve">adjusted </w:t>
      </w:r>
      <w:r w:rsidR="00AA7C52" w:rsidRPr="000F1CB4">
        <w:rPr>
          <w:rFonts w:ascii="Book Antiqua" w:hAnsi="Book Antiqua" w:cs="Times New Roman"/>
          <w:sz w:val="24"/>
          <w:szCs w:val="24"/>
        </w:rPr>
        <w:t xml:space="preserve">incidence </w:t>
      </w:r>
      <w:r w:rsidRPr="000F1CB4">
        <w:rPr>
          <w:rFonts w:ascii="Book Antiqua" w:hAnsi="Book Antiqua" w:cs="Times New Roman"/>
          <w:sz w:val="24"/>
          <w:szCs w:val="24"/>
        </w:rPr>
        <w:t>rates of HCC uti</w:t>
      </w:r>
      <w:r w:rsidR="000E4DA5" w:rsidRPr="000F1CB4">
        <w:rPr>
          <w:rFonts w:ascii="Book Antiqua" w:hAnsi="Book Antiqua" w:cs="Times New Roman"/>
          <w:sz w:val="24"/>
          <w:szCs w:val="24"/>
        </w:rPr>
        <w:t xml:space="preserve">lizing the </w:t>
      </w:r>
      <w:r w:rsidR="00BF5DCF" w:rsidRPr="000F1CB4">
        <w:rPr>
          <w:rFonts w:ascii="Book Antiqua" w:eastAsia="Calibri" w:hAnsi="Book Antiqua" w:cs="Times New Roman"/>
          <w:sz w:val="24"/>
          <w:szCs w:val="24"/>
        </w:rPr>
        <w:t xml:space="preserve">Surveillance, Epidemiology, and End Result (SEER) </w:t>
      </w:r>
      <w:r w:rsidR="000E4DA5" w:rsidRPr="000F1CB4">
        <w:rPr>
          <w:rFonts w:ascii="Book Antiqua" w:hAnsi="Book Antiqua" w:cs="Times New Roman"/>
          <w:sz w:val="24"/>
          <w:szCs w:val="24"/>
        </w:rPr>
        <w:t>database. It</w:t>
      </w:r>
      <w:r w:rsidRPr="000F1CB4">
        <w:rPr>
          <w:rFonts w:ascii="Book Antiqua" w:hAnsi="Book Antiqua" w:cs="Times New Roman"/>
          <w:sz w:val="24"/>
          <w:szCs w:val="24"/>
        </w:rPr>
        <w:t xml:space="preserve"> revealed a r</w:t>
      </w:r>
      <w:r w:rsidR="00B21F21" w:rsidRPr="000F1CB4">
        <w:rPr>
          <w:rFonts w:ascii="Book Antiqua" w:hAnsi="Book Antiqua" w:cs="Times New Roman"/>
          <w:sz w:val="24"/>
          <w:szCs w:val="24"/>
        </w:rPr>
        <w:t>ise in the incidence rate of HCC</w:t>
      </w:r>
      <w:r w:rsidR="00051C47">
        <w:rPr>
          <w:rFonts w:ascii="Book Antiqua" w:hAnsi="Book Antiqua" w:cs="Times New Roman"/>
          <w:sz w:val="24"/>
          <w:szCs w:val="24"/>
        </w:rPr>
        <w:t xml:space="preserve"> from 1.6 per 100000 in 1975 to 4.9 per 100</w:t>
      </w:r>
      <w:r w:rsidRPr="000F1CB4">
        <w:rPr>
          <w:rFonts w:ascii="Book Antiqua" w:hAnsi="Book Antiqua" w:cs="Times New Roman"/>
          <w:sz w:val="24"/>
          <w:szCs w:val="24"/>
        </w:rPr>
        <w:t xml:space="preserve">000 in </w:t>
      </w:r>
      <w:r w:rsidR="00CB74C6" w:rsidRPr="000F1CB4">
        <w:rPr>
          <w:rFonts w:ascii="Book Antiqua" w:hAnsi="Book Antiqua" w:cs="Times New Roman"/>
          <w:sz w:val="24"/>
          <w:szCs w:val="24"/>
        </w:rPr>
        <w:t>2000</w:t>
      </w:r>
      <w:r w:rsidR="00051C47" w:rsidRPr="000F1CB4">
        <w:rPr>
          <w:rFonts w:ascii="Book Antiqua" w:hAnsi="Book Antiqua" w:cs="Times New Roman"/>
          <w:sz w:val="24"/>
          <w:szCs w:val="24"/>
          <w:vertAlign w:val="superscript"/>
        </w:rPr>
        <w:t>[6]</w:t>
      </w:r>
      <w:r w:rsidRPr="000F1CB4">
        <w:rPr>
          <w:rFonts w:ascii="Book Antiqua" w:hAnsi="Book Antiqua" w:cs="Times New Roman"/>
          <w:sz w:val="24"/>
          <w:szCs w:val="24"/>
        </w:rPr>
        <w:t xml:space="preserve">. A </w:t>
      </w:r>
      <w:r w:rsidR="00AA7C52" w:rsidRPr="000F1CB4">
        <w:rPr>
          <w:rFonts w:ascii="Book Antiqua" w:hAnsi="Book Antiqua" w:cs="Times New Roman"/>
          <w:sz w:val="24"/>
          <w:szCs w:val="24"/>
        </w:rPr>
        <w:t>notable</w:t>
      </w:r>
      <w:r w:rsidRPr="000F1CB4">
        <w:rPr>
          <w:rFonts w:ascii="Book Antiqua" w:hAnsi="Book Antiqua" w:cs="Times New Roman"/>
          <w:sz w:val="24"/>
          <w:szCs w:val="24"/>
        </w:rPr>
        <w:t xml:space="preserve"> i</w:t>
      </w:r>
      <w:r w:rsidR="00B21F21" w:rsidRPr="000F1CB4">
        <w:rPr>
          <w:rFonts w:ascii="Book Antiqua" w:hAnsi="Book Antiqua" w:cs="Times New Roman"/>
          <w:sz w:val="24"/>
          <w:szCs w:val="24"/>
        </w:rPr>
        <w:t>ncrease was observed among H</w:t>
      </w:r>
      <w:r w:rsidRPr="000F1CB4">
        <w:rPr>
          <w:rFonts w:ascii="Book Antiqua" w:hAnsi="Book Antiqua" w:cs="Times New Roman"/>
          <w:sz w:val="24"/>
          <w:szCs w:val="24"/>
        </w:rPr>
        <w:t xml:space="preserve">ispanic, </w:t>
      </w:r>
      <w:r w:rsidR="00AA7C52" w:rsidRPr="000F1CB4">
        <w:rPr>
          <w:rFonts w:ascii="Book Antiqua" w:hAnsi="Book Antiqua" w:cs="Times New Roman"/>
          <w:sz w:val="24"/>
          <w:szCs w:val="24"/>
        </w:rPr>
        <w:t xml:space="preserve">Black </w:t>
      </w:r>
      <w:r w:rsidRPr="000F1CB4">
        <w:rPr>
          <w:rFonts w:ascii="Book Antiqua" w:hAnsi="Book Antiqua" w:cs="Times New Roman"/>
          <w:sz w:val="24"/>
          <w:szCs w:val="24"/>
        </w:rPr>
        <w:t xml:space="preserve">and </w:t>
      </w:r>
      <w:r w:rsidR="00AA7C52" w:rsidRPr="000F1CB4">
        <w:rPr>
          <w:rFonts w:ascii="Book Antiqua" w:hAnsi="Book Antiqua" w:cs="Times New Roman"/>
          <w:sz w:val="24"/>
          <w:szCs w:val="24"/>
        </w:rPr>
        <w:t>White males</w:t>
      </w:r>
      <w:r w:rsidR="00256D61" w:rsidRPr="000F1CB4">
        <w:rPr>
          <w:rFonts w:ascii="Book Antiqua" w:hAnsi="Book Antiqua" w:cs="Times New Roman"/>
          <w:sz w:val="24"/>
          <w:szCs w:val="24"/>
        </w:rPr>
        <w:t xml:space="preserve"> (Figure</w:t>
      </w:r>
      <w:r w:rsidR="00500896" w:rsidRPr="000F1CB4">
        <w:rPr>
          <w:rFonts w:ascii="Book Antiqua" w:hAnsi="Book Antiqua" w:cs="Times New Roman"/>
          <w:sz w:val="24"/>
          <w:szCs w:val="24"/>
        </w:rPr>
        <w:t>s</w:t>
      </w:r>
      <w:r w:rsidR="00256D61" w:rsidRPr="000F1CB4">
        <w:rPr>
          <w:rFonts w:ascii="Book Antiqua" w:hAnsi="Book Antiqua" w:cs="Times New Roman"/>
          <w:sz w:val="24"/>
          <w:szCs w:val="24"/>
        </w:rPr>
        <w:t xml:space="preserve"> 1</w:t>
      </w:r>
      <w:r w:rsidR="00500896" w:rsidRPr="000F1CB4">
        <w:rPr>
          <w:rFonts w:ascii="Book Antiqua" w:hAnsi="Book Antiqua" w:cs="Times New Roman"/>
          <w:sz w:val="24"/>
          <w:szCs w:val="24"/>
        </w:rPr>
        <w:t xml:space="preserve"> and 2</w:t>
      </w:r>
      <w:r w:rsidR="00256D61" w:rsidRPr="000F1CB4">
        <w:rPr>
          <w:rFonts w:ascii="Book Antiqua" w:hAnsi="Book Antiqua" w:cs="Times New Roman"/>
          <w:sz w:val="24"/>
          <w:szCs w:val="24"/>
        </w:rPr>
        <w:t>)</w:t>
      </w:r>
      <w:r w:rsidRPr="000F1CB4">
        <w:rPr>
          <w:rFonts w:ascii="Book Antiqua" w:hAnsi="Book Antiqua" w:cs="Times New Roman"/>
          <w:sz w:val="24"/>
          <w:szCs w:val="24"/>
        </w:rPr>
        <w:t>.</w:t>
      </w:r>
      <w:r w:rsidR="00256D61" w:rsidRPr="000F1CB4">
        <w:rPr>
          <w:rFonts w:ascii="Book Antiqua" w:hAnsi="Book Antiqua" w:cs="Times New Roman"/>
          <w:sz w:val="24"/>
          <w:szCs w:val="24"/>
        </w:rPr>
        <w:t xml:space="preserve"> </w:t>
      </w:r>
      <w:r w:rsidR="000275BC" w:rsidRPr="000F1CB4">
        <w:rPr>
          <w:rFonts w:ascii="Book Antiqua" w:hAnsi="Book Antiqua" w:cs="Times New Roman"/>
          <w:sz w:val="24"/>
          <w:szCs w:val="24"/>
        </w:rPr>
        <w:t xml:space="preserve">Historically, the leading etiologies underlying HCC have included hepatitis B virus (HBV), </w:t>
      </w:r>
      <w:r w:rsidR="00782A63" w:rsidRPr="000F1CB4">
        <w:rPr>
          <w:rFonts w:ascii="Book Antiqua" w:hAnsi="Book Antiqua" w:cs="Times New Roman"/>
          <w:sz w:val="24"/>
          <w:szCs w:val="24"/>
        </w:rPr>
        <w:t>hepatitis C virus (</w:t>
      </w:r>
      <w:r w:rsidR="000275BC" w:rsidRPr="000F1CB4">
        <w:rPr>
          <w:rFonts w:ascii="Book Antiqua" w:hAnsi="Book Antiqua" w:cs="Times New Roman"/>
          <w:sz w:val="24"/>
          <w:szCs w:val="24"/>
        </w:rPr>
        <w:t>HCV</w:t>
      </w:r>
      <w:r w:rsidR="00782A63" w:rsidRPr="000F1CB4">
        <w:rPr>
          <w:rFonts w:ascii="Book Antiqua" w:hAnsi="Book Antiqua" w:cs="Times New Roman"/>
          <w:sz w:val="24"/>
          <w:szCs w:val="24"/>
        </w:rPr>
        <w:t>)</w:t>
      </w:r>
      <w:r w:rsidR="000275BC" w:rsidRPr="000F1CB4">
        <w:rPr>
          <w:rFonts w:ascii="Book Antiqua" w:hAnsi="Book Antiqua" w:cs="Times New Roman"/>
          <w:sz w:val="24"/>
          <w:szCs w:val="24"/>
        </w:rPr>
        <w:t xml:space="preserve">, alcoholic liver disease and </w:t>
      </w:r>
      <w:r w:rsidR="00782A63" w:rsidRPr="000F1CB4">
        <w:rPr>
          <w:rFonts w:ascii="Book Antiqua" w:hAnsi="Book Antiqua" w:cs="Times New Roman"/>
          <w:sz w:val="24"/>
          <w:szCs w:val="24"/>
        </w:rPr>
        <w:t xml:space="preserve">other </w:t>
      </w:r>
      <w:r w:rsidR="000275BC" w:rsidRPr="000F1CB4">
        <w:rPr>
          <w:rFonts w:ascii="Book Antiqua" w:hAnsi="Book Antiqua" w:cs="Times New Roman"/>
          <w:sz w:val="24"/>
          <w:szCs w:val="24"/>
        </w:rPr>
        <w:t xml:space="preserve">chronic liver </w:t>
      </w:r>
      <w:proofErr w:type="gramStart"/>
      <w:r w:rsidR="000275BC" w:rsidRPr="000F1CB4">
        <w:rPr>
          <w:rFonts w:ascii="Book Antiqua" w:hAnsi="Book Antiqua" w:cs="Times New Roman"/>
          <w:sz w:val="24"/>
          <w:szCs w:val="24"/>
        </w:rPr>
        <w:t>disease</w:t>
      </w:r>
      <w:r w:rsidR="00782A63" w:rsidRPr="000F1CB4">
        <w:rPr>
          <w:rFonts w:ascii="Book Antiqua" w:hAnsi="Book Antiqua" w:cs="Times New Roman"/>
          <w:sz w:val="24"/>
          <w:szCs w:val="24"/>
        </w:rPr>
        <w:t>s</w:t>
      </w:r>
      <w:r w:rsidR="002244AF" w:rsidRPr="000F1CB4">
        <w:rPr>
          <w:rFonts w:ascii="Book Antiqua" w:hAnsi="Book Antiqua" w:cs="Times New Roman"/>
          <w:sz w:val="24"/>
          <w:szCs w:val="24"/>
          <w:vertAlign w:val="superscript"/>
        </w:rPr>
        <w:t>[</w:t>
      </w:r>
      <w:proofErr w:type="gramEnd"/>
      <w:r w:rsidR="002244AF" w:rsidRPr="000F1CB4">
        <w:rPr>
          <w:rFonts w:ascii="Book Antiqua" w:hAnsi="Book Antiqua" w:cs="Times New Roman"/>
          <w:sz w:val="24"/>
          <w:szCs w:val="24"/>
          <w:vertAlign w:val="superscript"/>
        </w:rPr>
        <w:t>7]</w:t>
      </w:r>
      <w:r w:rsidR="000275BC" w:rsidRPr="000F1CB4">
        <w:rPr>
          <w:rFonts w:ascii="Book Antiqua" w:hAnsi="Book Antiqua" w:cs="Times New Roman"/>
          <w:sz w:val="24"/>
          <w:szCs w:val="24"/>
        </w:rPr>
        <w:t>. In</w:t>
      </w:r>
      <w:r w:rsidR="00BF5DCF" w:rsidRPr="000F1CB4">
        <w:rPr>
          <w:rFonts w:ascii="Book Antiqua" w:hAnsi="Book Antiqua" w:cs="Times New Roman"/>
          <w:sz w:val="24"/>
          <w:szCs w:val="24"/>
        </w:rPr>
        <w:t xml:space="preserve"> the</w:t>
      </w:r>
      <w:r w:rsidR="000275BC" w:rsidRPr="000F1CB4">
        <w:rPr>
          <w:rFonts w:ascii="Book Antiqua" w:hAnsi="Book Antiqua" w:cs="Times New Roman"/>
          <w:sz w:val="24"/>
          <w:szCs w:val="24"/>
        </w:rPr>
        <w:t xml:space="preserve"> majority of cases, HCC develops in the setting of cirrhosis with the exception of HBV. A sig</w:t>
      </w:r>
      <w:r w:rsidR="00782A63" w:rsidRPr="000F1CB4">
        <w:rPr>
          <w:rFonts w:ascii="Book Antiqua" w:hAnsi="Book Antiqua" w:cs="Times New Roman"/>
          <w:sz w:val="24"/>
          <w:szCs w:val="24"/>
        </w:rPr>
        <w:t xml:space="preserve">nificant number of patients with HBV can develop HCC in the absence of cirrhosis </w:t>
      </w:r>
      <w:r w:rsidR="00693287" w:rsidRPr="000F1CB4">
        <w:rPr>
          <w:rFonts w:ascii="Book Antiqua" w:hAnsi="Book Antiqua" w:cs="Times New Roman"/>
          <w:sz w:val="24"/>
          <w:szCs w:val="24"/>
        </w:rPr>
        <w:t xml:space="preserve">because </w:t>
      </w:r>
      <w:r w:rsidR="00782A63" w:rsidRPr="000F1CB4">
        <w:rPr>
          <w:rFonts w:ascii="Book Antiqua" w:hAnsi="Book Antiqua" w:cs="Times New Roman"/>
          <w:sz w:val="24"/>
          <w:szCs w:val="24"/>
        </w:rPr>
        <w:t xml:space="preserve">HBV </w:t>
      </w:r>
      <w:r w:rsidR="00693287" w:rsidRPr="000F1CB4">
        <w:rPr>
          <w:rFonts w:ascii="Book Antiqua" w:hAnsi="Book Antiqua" w:cs="Times New Roman"/>
          <w:sz w:val="24"/>
          <w:szCs w:val="24"/>
        </w:rPr>
        <w:t xml:space="preserve">itself </w:t>
      </w:r>
      <w:r w:rsidR="00782A63" w:rsidRPr="000F1CB4">
        <w:rPr>
          <w:rFonts w:ascii="Book Antiqua" w:hAnsi="Book Antiqua" w:cs="Times New Roman"/>
          <w:sz w:val="24"/>
          <w:szCs w:val="24"/>
        </w:rPr>
        <w:t>is a</w:t>
      </w:r>
      <w:r w:rsidR="00693287" w:rsidRPr="000F1CB4">
        <w:rPr>
          <w:rFonts w:ascii="Book Antiqua" w:hAnsi="Book Antiqua" w:cs="Times New Roman"/>
          <w:sz w:val="24"/>
          <w:szCs w:val="24"/>
        </w:rPr>
        <w:t xml:space="preserve"> known</w:t>
      </w:r>
      <w:r w:rsidR="00782A63" w:rsidRPr="000F1CB4">
        <w:rPr>
          <w:rFonts w:ascii="Book Antiqua" w:hAnsi="Book Antiqua" w:cs="Times New Roman"/>
          <w:sz w:val="24"/>
          <w:szCs w:val="24"/>
        </w:rPr>
        <w:t xml:space="preserve"> carcinogen. Emerging data are suggesting that a small proportion of patients with NAFLD may be at higher risk for HCC in the absence of cirrhosis – implicating obesity as a</w:t>
      </w:r>
      <w:r w:rsidR="00693287" w:rsidRPr="000F1CB4">
        <w:rPr>
          <w:rFonts w:ascii="Book Antiqua" w:hAnsi="Book Antiqua" w:cs="Times New Roman"/>
          <w:sz w:val="24"/>
          <w:szCs w:val="24"/>
        </w:rPr>
        <w:t>n independent</w:t>
      </w:r>
      <w:r w:rsidR="00782A63" w:rsidRPr="000F1CB4">
        <w:rPr>
          <w:rFonts w:ascii="Book Antiqua" w:hAnsi="Book Antiqua" w:cs="Times New Roman"/>
          <w:sz w:val="24"/>
          <w:szCs w:val="24"/>
        </w:rPr>
        <w:t xml:space="preserve"> risk </w:t>
      </w:r>
      <w:r w:rsidR="00BF5DCF" w:rsidRPr="000F1CB4">
        <w:rPr>
          <w:rFonts w:ascii="Book Antiqua" w:hAnsi="Book Antiqua" w:cs="Times New Roman"/>
          <w:sz w:val="24"/>
          <w:szCs w:val="24"/>
        </w:rPr>
        <w:t xml:space="preserve">factor </w:t>
      </w:r>
      <w:r w:rsidR="00782A63" w:rsidRPr="000F1CB4">
        <w:rPr>
          <w:rFonts w:ascii="Book Antiqua" w:hAnsi="Book Antiqua" w:cs="Times New Roman"/>
          <w:sz w:val="24"/>
          <w:szCs w:val="24"/>
        </w:rPr>
        <w:t xml:space="preserve">for </w:t>
      </w:r>
      <w:proofErr w:type="gramStart"/>
      <w:r w:rsidR="00782A63" w:rsidRPr="000F1CB4">
        <w:rPr>
          <w:rFonts w:ascii="Book Antiqua" w:hAnsi="Book Antiqua" w:cs="Times New Roman"/>
          <w:sz w:val="24"/>
          <w:szCs w:val="24"/>
        </w:rPr>
        <w:t>HCC</w:t>
      </w:r>
      <w:r w:rsidR="00377594" w:rsidRPr="000F1CB4">
        <w:rPr>
          <w:rFonts w:ascii="Book Antiqua" w:hAnsi="Book Antiqua" w:cs="Times New Roman"/>
          <w:sz w:val="24"/>
          <w:szCs w:val="24"/>
          <w:vertAlign w:val="superscript"/>
        </w:rPr>
        <w:t>[</w:t>
      </w:r>
      <w:proofErr w:type="gramEnd"/>
      <w:r w:rsidR="00377594" w:rsidRPr="000F1CB4">
        <w:rPr>
          <w:rFonts w:ascii="Book Antiqua" w:hAnsi="Book Antiqua" w:cs="Times New Roman"/>
          <w:sz w:val="24"/>
          <w:szCs w:val="24"/>
          <w:vertAlign w:val="superscript"/>
        </w:rPr>
        <w:t>7-10]</w:t>
      </w:r>
      <w:r w:rsidR="00782A63" w:rsidRPr="000F1CB4">
        <w:rPr>
          <w:rFonts w:ascii="Book Antiqua" w:hAnsi="Book Antiqua" w:cs="Times New Roman"/>
          <w:sz w:val="24"/>
          <w:szCs w:val="24"/>
        </w:rPr>
        <w:t xml:space="preserve">. Globally, HBV-related liver disease is the leading </w:t>
      </w:r>
      <w:r w:rsidR="00693287" w:rsidRPr="000F1CB4">
        <w:rPr>
          <w:rFonts w:ascii="Book Antiqua" w:hAnsi="Book Antiqua" w:cs="Times New Roman"/>
          <w:sz w:val="24"/>
          <w:szCs w:val="24"/>
        </w:rPr>
        <w:t>etiology underlying</w:t>
      </w:r>
      <w:r w:rsidR="00782A63" w:rsidRPr="000F1CB4">
        <w:rPr>
          <w:rFonts w:ascii="Book Antiqua" w:hAnsi="Book Antiqua" w:cs="Times New Roman"/>
          <w:sz w:val="24"/>
          <w:szCs w:val="24"/>
        </w:rPr>
        <w:t xml:space="preserve"> HCC. I</w:t>
      </w:r>
      <w:r w:rsidR="00693287" w:rsidRPr="000F1CB4">
        <w:rPr>
          <w:rFonts w:ascii="Book Antiqua" w:hAnsi="Book Antiqua" w:cs="Times New Roman"/>
          <w:sz w:val="24"/>
          <w:szCs w:val="24"/>
        </w:rPr>
        <w:t xml:space="preserve">n the </w:t>
      </w:r>
      <w:r w:rsidR="00377594">
        <w:rPr>
          <w:rFonts w:ascii="Book Antiqua" w:hAnsi="Book Antiqua" w:cs="Times New Roman"/>
          <w:sz w:val="24"/>
          <w:szCs w:val="24"/>
        </w:rPr>
        <w:t>United States</w:t>
      </w:r>
      <w:r w:rsidR="00693287" w:rsidRPr="000F1CB4">
        <w:rPr>
          <w:rFonts w:ascii="Book Antiqua" w:hAnsi="Book Antiqua" w:cs="Times New Roman"/>
          <w:sz w:val="24"/>
          <w:szCs w:val="24"/>
        </w:rPr>
        <w:t>, the i</w:t>
      </w:r>
      <w:r w:rsidR="002205DF" w:rsidRPr="000F1CB4">
        <w:rPr>
          <w:rFonts w:ascii="Book Antiqua" w:hAnsi="Book Antiqua" w:cs="Times New Roman"/>
          <w:sz w:val="24"/>
          <w:szCs w:val="24"/>
        </w:rPr>
        <w:t>ncrease in the incidence of H</w:t>
      </w:r>
      <w:r w:rsidR="000135FB" w:rsidRPr="000F1CB4">
        <w:rPr>
          <w:rFonts w:ascii="Book Antiqua" w:hAnsi="Book Antiqua" w:cs="Times New Roman"/>
          <w:sz w:val="24"/>
          <w:szCs w:val="24"/>
        </w:rPr>
        <w:t xml:space="preserve">CC </w:t>
      </w:r>
      <w:r w:rsidR="00782A63" w:rsidRPr="000F1CB4">
        <w:rPr>
          <w:rFonts w:ascii="Book Antiqua" w:hAnsi="Book Antiqua" w:cs="Times New Roman"/>
          <w:sz w:val="24"/>
          <w:szCs w:val="24"/>
        </w:rPr>
        <w:t xml:space="preserve">is mainly </w:t>
      </w:r>
      <w:r w:rsidR="002205DF" w:rsidRPr="000F1CB4">
        <w:rPr>
          <w:rFonts w:ascii="Book Antiqua" w:hAnsi="Book Antiqua" w:cs="Times New Roman"/>
          <w:sz w:val="24"/>
          <w:szCs w:val="24"/>
        </w:rPr>
        <w:t xml:space="preserve">attributable to </w:t>
      </w:r>
      <w:r w:rsidR="00007AAD" w:rsidRPr="000F1CB4">
        <w:rPr>
          <w:rFonts w:ascii="Book Antiqua" w:hAnsi="Book Antiqua" w:cs="Times New Roman"/>
          <w:sz w:val="24"/>
          <w:szCs w:val="24"/>
        </w:rPr>
        <w:t xml:space="preserve">chronic HCV infection, </w:t>
      </w:r>
      <w:r w:rsidR="00007AAD" w:rsidRPr="000F1CB4">
        <w:rPr>
          <w:rFonts w:ascii="Book Antiqua" w:hAnsi="Book Antiqua" w:cs="Times New Roman"/>
          <w:sz w:val="24"/>
          <w:szCs w:val="24"/>
        </w:rPr>
        <w:lastRenderedPageBreak/>
        <w:t>particularly as the baby boomer generation ages</w:t>
      </w:r>
      <w:r w:rsidR="000135FB" w:rsidRPr="000F1CB4">
        <w:rPr>
          <w:rFonts w:ascii="Book Antiqua" w:hAnsi="Book Antiqua" w:cs="Times New Roman"/>
          <w:sz w:val="24"/>
          <w:szCs w:val="24"/>
        </w:rPr>
        <w:t xml:space="preserve">. </w:t>
      </w:r>
      <w:r w:rsidR="002205DF" w:rsidRPr="000F1CB4">
        <w:rPr>
          <w:rFonts w:ascii="Book Antiqua" w:hAnsi="Book Antiqua" w:cs="Times New Roman"/>
          <w:sz w:val="24"/>
          <w:szCs w:val="24"/>
        </w:rPr>
        <w:t>However</w:t>
      </w:r>
      <w:r w:rsidR="00B21F21" w:rsidRPr="000F1CB4">
        <w:rPr>
          <w:rFonts w:ascii="Book Antiqua" w:hAnsi="Book Antiqua" w:cs="Times New Roman"/>
          <w:sz w:val="24"/>
          <w:szCs w:val="24"/>
        </w:rPr>
        <w:t>,</w:t>
      </w:r>
      <w:r w:rsidR="002205DF" w:rsidRPr="000F1CB4">
        <w:rPr>
          <w:rFonts w:ascii="Book Antiqua" w:hAnsi="Book Antiqua" w:cs="Times New Roman"/>
          <w:sz w:val="24"/>
          <w:szCs w:val="24"/>
        </w:rPr>
        <w:t xml:space="preserve"> the </w:t>
      </w:r>
      <w:r w:rsidR="00432E8B" w:rsidRPr="000F1CB4">
        <w:rPr>
          <w:rFonts w:ascii="Book Antiqua" w:hAnsi="Book Antiqua" w:cs="Times New Roman"/>
          <w:sz w:val="24"/>
          <w:szCs w:val="24"/>
        </w:rPr>
        <w:t>etiology in a significant proportion</w:t>
      </w:r>
      <w:r w:rsidR="002205DF" w:rsidRPr="000F1CB4">
        <w:rPr>
          <w:rFonts w:ascii="Book Antiqua" w:hAnsi="Book Antiqua" w:cs="Times New Roman"/>
          <w:sz w:val="24"/>
          <w:szCs w:val="24"/>
        </w:rPr>
        <w:t xml:space="preserve"> of cases remains unclear</w:t>
      </w:r>
      <w:r w:rsidR="000135FB" w:rsidRPr="000F1CB4">
        <w:rPr>
          <w:rFonts w:ascii="Book Antiqua" w:hAnsi="Book Antiqua" w:cs="Times New Roman"/>
          <w:sz w:val="24"/>
          <w:szCs w:val="24"/>
        </w:rPr>
        <w:t>,</w:t>
      </w:r>
      <w:r w:rsidR="005E6907" w:rsidRPr="000F1CB4">
        <w:rPr>
          <w:rFonts w:ascii="Book Antiqua" w:hAnsi="Book Antiqua" w:cs="Times New Roman"/>
          <w:sz w:val="24"/>
          <w:szCs w:val="24"/>
        </w:rPr>
        <w:t xml:space="preserve"> indicating </w:t>
      </w:r>
      <w:r w:rsidR="00C664ED" w:rsidRPr="000F1CB4">
        <w:rPr>
          <w:rFonts w:ascii="Book Antiqua" w:hAnsi="Book Antiqua" w:cs="Times New Roman"/>
          <w:sz w:val="24"/>
          <w:szCs w:val="24"/>
        </w:rPr>
        <w:t>that other risk factors play</w:t>
      </w:r>
      <w:r w:rsidR="005E6907" w:rsidRPr="000F1CB4">
        <w:rPr>
          <w:rFonts w:ascii="Book Antiqua" w:hAnsi="Book Antiqua" w:cs="Times New Roman"/>
          <w:sz w:val="24"/>
          <w:szCs w:val="24"/>
        </w:rPr>
        <w:t xml:space="preserve"> an important role</w:t>
      </w:r>
      <w:r w:rsidR="00C664ED" w:rsidRPr="000F1CB4">
        <w:rPr>
          <w:rFonts w:ascii="Book Antiqua" w:hAnsi="Book Antiqua" w:cs="Times New Roman"/>
          <w:sz w:val="24"/>
          <w:szCs w:val="24"/>
        </w:rPr>
        <w:t xml:space="preserve"> as well</w:t>
      </w:r>
      <w:r w:rsidR="005E6907" w:rsidRPr="000F1CB4">
        <w:rPr>
          <w:rFonts w:ascii="Book Antiqua" w:hAnsi="Book Antiqua" w:cs="Times New Roman"/>
          <w:sz w:val="24"/>
          <w:szCs w:val="24"/>
        </w:rPr>
        <w:t xml:space="preserve">. </w:t>
      </w:r>
      <w:r w:rsidR="00926D6E" w:rsidRPr="000F1CB4">
        <w:rPr>
          <w:rFonts w:ascii="Book Antiqua" w:hAnsi="Book Antiqua" w:cs="Times New Roman"/>
          <w:sz w:val="24"/>
          <w:szCs w:val="24"/>
        </w:rPr>
        <w:t xml:space="preserve">Nevertheless, as </w:t>
      </w:r>
      <w:r w:rsidR="00EC414A" w:rsidRPr="000F1CB4">
        <w:rPr>
          <w:rFonts w:ascii="Book Antiqua" w:hAnsi="Book Antiqua" w:cs="Times New Roman"/>
          <w:sz w:val="24"/>
          <w:szCs w:val="24"/>
        </w:rPr>
        <w:t xml:space="preserve">NAFLD </w:t>
      </w:r>
      <w:r w:rsidR="00926D6E" w:rsidRPr="000F1CB4">
        <w:rPr>
          <w:rFonts w:ascii="Book Antiqua" w:hAnsi="Book Antiqua" w:cs="Times New Roman"/>
          <w:sz w:val="24"/>
          <w:szCs w:val="24"/>
        </w:rPr>
        <w:t xml:space="preserve">has become </w:t>
      </w:r>
      <w:r w:rsidR="00EC414A" w:rsidRPr="000F1CB4">
        <w:rPr>
          <w:rFonts w:ascii="Book Antiqua" w:hAnsi="Book Antiqua" w:cs="Times New Roman"/>
          <w:sz w:val="24"/>
          <w:szCs w:val="24"/>
        </w:rPr>
        <w:t xml:space="preserve">the leading cause of chronic liver disease in </w:t>
      </w:r>
      <w:r w:rsidR="00063A5D" w:rsidRPr="000F1CB4">
        <w:rPr>
          <w:rFonts w:ascii="Book Antiqua" w:hAnsi="Book Antiqua" w:cs="Times New Roman"/>
          <w:sz w:val="24"/>
          <w:szCs w:val="24"/>
        </w:rPr>
        <w:t xml:space="preserve">developing and </w:t>
      </w:r>
      <w:r w:rsidR="00EC414A" w:rsidRPr="000F1CB4">
        <w:rPr>
          <w:rFonts w:ascii="Book Antiqua" w:hAnsi="Book Antiqua" w:cs="Times New Roman"/>
          <w:sz w:val="24"/>
          <w:szCs w:val="24"/>
        </w:rPr>
        <w:t>developed countries</w:t>
      </w:r>
      <w:r w:rsidR="00926D6E" w:rsidRPr="000F1CB4">
        <w:rPr>
          <w:rFonts w:ascii="Book Antiqua" w:hAnsi="Book Antiqua" w:cs="Times New Roman"/>
          <w:sz w:val="24"/>
          <w:szCs w:val="24"/>
        </w:rPr>
        <w:t xml:space="preserve"> plagued by rising rates of obesity, </w:t>
      </w:r>
      <w:r w:rsidR="005D1AE1" w:rsidRPr="000F1CB4">
        <w:rPr>
          <w:rFonts w:ascii="Book Antiqua" w:hAnsi="Book Antiqua" w:cs="Times New Roman"/>
          <w:sz w:val="24"/>
          <w:szCs w:val="24"/>
        </w:rPr>
        <w:t xml:space="preserve">DM </w:t>
      </w:r>
      <w:r w:rsidR="00926D6E" w:rsidRPr="000F1CB4">
        <w:rPr>
          <w:rFonts w:ascii="Book Antiqua" w:hAnsi="Book Antiqua" w:cs="Times New Roman"/>
          <w:sz w:val="24"/>
          <w:szCs w:val="24"/>
        </w:rPr>
        <w:t>and the metabolic syndrome, t</w:t>
      </w:r>
      <w:r w:rsidR="00EC414A" w:rsidRPr="000F1CB4">
        <w:rPr>
          <w:rFonts w:ascii="Book Antiqua" w:hAnsi="Book Antiqua" w:cs="Times New Roman"/>
          <w:sz w:val="24"/>
          <w:szCs w:val="24"/>
        </w:rPr>
        <w:t>he prevalence</w:t>
      </w:r>
      <w:r w:rsidR="006D3CC6" w:rsidRPr="000F1CB4">
        <w:rPr>
          <w:rFonts w:ascii="Book Antiqua" w:hAnsi="Book Antiqua" w:cs="Times New Roman"/>
          <w:sz w:val="24"/>
          <w:szCs w:val="24"/>
        </w:rPr>
        <w:t xml:space="preserve"> and impact</w:t>
      </w:r>
      <w:r w:rsidR="00EC414A" w:rsidRPr="000F1CB4">
        <w:rPr>
          <w:rFonts w:ascii="Book Antiqua" w:hAnsi="Book Antiqua" w:cs="Times New Roman"/>
          <w:sz w:val="24"/>
          <w:szCs w:val="24"/>
        </w:rPr>
        <w:t xml:space="preserve"> </w:t>
      </w:r>
      <w:r w:rsidR="00B435C0" w:rsidRPr="000F1CB4">
        <w:rPr>
          <w:rFonts w:ascii="Book Antiqua" w:hAnsi="Book Antiqua" w:cs="Times New Roman"/>
          <w:sz w:val="24"/>
          <w:szCs w:val="24"/>
        </w:rPr>
        <w:t>of NAFLD is expected to rise</w:t>
      </w:r>
      <w:r w:rsidR="00EC414A" w:rsidRPr="000F1CB4">
        <w:rPr>
          <w:rFonts w:ascii="Book Antiqua" w:hAnsi="Book Antiqua" w:cs="Times New Roman"/>
          <w:sz w:val="24"/>
          <w:szCs w:val="24"/>
        </w:rPr>
        <w:t xml:space="preserve"> and drive the epidemic of HCC in the </w:t>
      </w:r>
      <w:r w:rsidR="00377594">
        <w:rPr>
          <w:rFonts w:ascii="Book Antiqua" w:hAnsi="Book Antiqua" w:cs="Times New Roman"/>
          <w:sz w:val="24"/>
          <w:szCs w:val="24"/>
        </w:rPr>
        <w:t>United States</w:t>
      </w:r>
      <w:r w:rsidR="00377594" w:rsidRPr="000F1CB4">
        <w:rPr>
          <w:rFonts w:ascii="Book Antiqua" w:hAnsi="Book Antiqua" w:cs="Times New Roman"/>
          <w:sz w:val="24"/>
          <w:szCs w:val="24"/>
        </w:rPr>
        <w:t xml:space="preserve"> </w:t>
      </w:r>
      <w:r w:rsidR="00926D6E" w:rsidRPr="000F1CB4">
        <w:rPr>
          <w:rFonts w:ascii="Book Antiqua" w:hAnsi="Book Antiqua" w:cs="Times New Roman"/>
          <w:sz w:val="24"/>
          <w:szCs w:val="24"/>
        </w:rPr>
        <w:t>Two-</w:t>
      </w:r>
      <w:r w:rsidR="00EC414A" w:rsidRPr="000F1CB4">
        <w:rPr>
          <w:rFonts w:ascii="Book Antiqua" w:hAnsi="Book Antiqua" w:cs="Times New Roman"/>
          <w:sz w:val="24"/>
          <w:szCs w:val="24"/>
        </w:rPr>
        <w:t>third</w:t>
      </w:r>
      <w:r w:rsidR="00926D6E" w:rsidRPr="000F1CB4">
        <w:rPr>
          <w:rFonts w:ascii="Book Antiqua" w:hAnsi="Book Antiqua" w:cs="Times New Roman"/>
          <w:sz w:val="24"/>
          <w:szCs w:val="24"/>
        </w:rPr>
        <w:t>s</w:t>
      </w:r>
      <w:r w:rsidR="00EC414A" w:rsidRPr="000F1CB4">
        <w:rPr>
          <w:rFonts w:ascii="Book Antiqua" w:hAnsi="Book Antiqua" w:cs="Times New Roman"/>
          <w:sz w:val="24"/>
          <w:szCs w:val="24"/>
        </w:rPr>
        <w:t xml:space="preserve"> of </w:t>
      </w:r>
      <w:r w:rsidR="00007AAD" w:rsidRPr="000F1CB4">
        <w:rPr>
          <w:rFonts w:ascii="Book Antiqua" w:hAnsi="Book Antiqua" w:cs="Times New Roman"/>
          <w:sz w:val="24"/>
          <w:szCs w:val="24"/>
        </w:rPr>
        <w:t>those who suffer from obesity and DM</w:t>
      </w:r>
      <w:r w:rsidR="00EC414A" w:rsidRPr="000F1CB4">
        <w:rPr>
          <w:rFonts w:ascii="Book Antiqua" w:hAnsi="Book Antiqua" w:cs="Times New Roman"/>
          <w:sz w:val="24"/>
          <w:szCs w:val="24"/>
        </w:rPr>
        <w:t xml:space="preserve"> </w:t>
      </w:r>
      <w:r w:rsidR="00926D6E" w:rsidRPr="000F1CB4">
        <w:rPr>
          <w:rFonts w:ascii="Book Antiqua" w:hAnsi="Book Antiqua" w:cs="Times New Roman"/>
          <w:sz w:val="24"/>
          <w:szCs w:val="24"/>
        </w:rPr>
        <w:t xml:space="preserve">are estimated to </w:t>
      </w:r>
      <w:r w:rsidR="00EC414A" w:rsidRPr="000F1CB4">
        <w:rPr>
          <w:rFonts w:ascii="Book Antiqua" w:hAnsi="Book Antiqua" w:cs="Times New Roman"/>
          <w:sz w:val="24"/>
          <w:szCs w:val="24"/>
        </w:rPr>
        <w:t xml:space="preserve">suffer from </w:t>
      </w:r>
      <w:r w:rsidR="00926D6E" w:rsidRPr="000F1CB4">
        <w:rPr>
          <w:rFonts w:ascii="Book Antiqua" w:hAnsi="Book Antiqua" w:cs="Times New Roman"/>
          <w:sz w:val="24"/>
          <w:szCs w:val="24"/>
        </w:rPr>
        <w:t>NAFLD</w:t>
      </w:r>
      <w:r w:rsidR="00007AAD" w:rsidRPr="000F1CB4">
        <w:rPr>
          <w:rFonts w:ascii="Book Antiqua" w:hAnsi="Book Antiqua" w:cs="Times New Roman"/>
          <w:sz w:val="24"/>
          <w:szCs w:val="24"/>
        </w:rPr>
        <w:t xml:space="preserve"> as </w:t>
      </w:r>
      <w:proofErr w:type="gramStart"/>
      <w:r w:rsidR="00007AAD" w:rsidRPr="000F1CB4">
        <w:rPr>
          <w:rFonts w:ascii="Book Antiqua" w:hAnsi="Book Antiqua" w:cs="Times New Roman"/>
          <w:sz w:val="24"/>
          <w:szCs w:val="24"/>
        </w:rPr>
        <w:t>well</w:t>
      </w:r>
      <w:r w:rsidR="00377594">
        <w:rPr>
          <w:rFonts w:ascii="Book Antiqua" w:hAnsi="Book Antiqua" w:cs="Times New Roman"/>
          <w:sz w:val="24"/>
          <w:szCs w:val="24"/>
          <w:vertAlign w:val="superscript"/>
        </w:rPr>
        <w:t>[</w:t>
      </w:r>
      <w:proofErr w:type="gramEnd"/>
      <w:r w:rsidR="00377594">
        <w:rPr>
          <w:rFonts w:ascii="Book Antiqua" w:hAnsi="Book Antiqua" w:cs="Times New Roman"/>
          <w:sz w:val="24"/>
          <w:szCs w:val="24"/>
          <w:vertAlign w:val="superscript"/>
        </w:rPr>
        <w:t>8,</w:t>
      </w:r>
      <w:r w:rsidR="00377594" w:rsidRPr="000F1CB4">
        <w:rPr>
          <w:rFonts w:ascii="Book Antiqua" w:hAnsi="Book Antiqua" w:cs="Times New Roman"/>
          <w:sz w:val="24"/>
          <w:szCs w:val="24"/>
          <w:vertAlign w:val="superscript"/>
        </w:rPr>
        <w:t>9]</w:t>
      </w:r>
      <w:r w:rsidR="00EC414A" w:rsidRPr="000F1CB4">
        <w:rPr>
          <w:rFonts w:ascii="Book Antiqua" w:hAnsi="Book Antiqua" w:cs="Times New Roman"/>
          <w:sz w:val="24"/>
          <w:szCs w:val="24"/>
        </w:rPr>
        <w:t>.</w:t>
      </w:r>
      <w:r w:rsidR="00091310" w:rsidRPr="000F1CB4">
        <w:rPr>
          <w:rFonts w:ascii="Book Antiqua" w:hAnsi="Book Antiqua" w:cs="Times New Roman"/>
          <w:sz w:val="24"/>
          <w:szCs w:val="24"/>
        </w:rPr>
        <w:t xml:space="preserve"> NASH has a pre</w:t>
      </w:r>
      <w:r w:rsidR="003C6080" w:rsidRPr="000F1CB4">
        <w:rPr>
          <w:rFonts w:ascii="Book Antiqua" w:hAnsi="Book Antiqua" w:cs="Times New Roman"/>
          <w:sz w:val="24"/>
          <w:szCs w:val="24"/>
        </w:rPr>
        <w:t>valence of 2</w:t>
      </w:r>
      <w:r w:rsidR="00377594">
        <w:rPr>
          <w:rFonts w:ascii="Book Antiqua" w:hAnsi="Book Antiqua" w:cs="Times New Roman" w:hint="eastAsia"/>
          <w:sz w:val="24"/>
          <w:szCs w:val="24"/>
          <w:lang w:eastAsia="zh-CN"/>
        </w:rPr>
        <w:t>%</w:t>
      </w:r>
      <w:r w:rsidR="003C6080" w:rsidRPr="000F1CB4">
        <w:rPr>
          <w:rFonts w:ascii="Book Antiqua" w:hAnsi="Book Antiqua" w:cs="Times New Roman"/>
          <w:sz w:val="24"/>
          <w:szCs w:val="24"/>
        </w:rPr>
        <w:t xml:space="preserve">-5% in the </w:t>
      </w:r>
      <w:r w:rsidR="00C22041">
        <w:rPr>
          <w:rFonts w:ascii="Book Antiqua" w:hAnsi="Book Antiqua" w:cs="Times New Roman"/>
          <w:sz w:val="24"/>
          <w:szCs w:val="24"/>
        </w:rPr>
        <w:t>United States</w:t>
      </w:r>
      <w:r w:rsidR="00926D6E" w:rsidRPr="000F1CB4">
        <w:rPr>
          <w:rFonts w:ascii="Book Antiqua" w:hAnsi="Book Antiqua" w:cs="Times New Roman"/>
          <w:sz w:val="24"/>
          <w:szCs w:val="24"/>
        </w:rPr>
        <w:t xml:space="preserve">, </w:t>
      </w:r>
      <w:r w:rsidR="00416027" w:rsidRPr="000F1CB4">
        <w:rPr>
          <w:rFonts w:ascii="Book Antiqua" w:hAnsi="Book Antiqua" w:cs="Times New Roman"/>
          <w:sz w:val="24"/>
          <w:szCs w:val="24"/>
        </w:rPr>
        <w:t xml:space="preserve">with up to </w:t>
      </w:r>
      <w:r w:rsidR="00EC7C5A" w:rsidRPr="000F1CB4">
        <w:rPr>
          <w:rFonts w:ascii="Book Antiqua" w:hAnsi="Book Antiqua" w:cs="Times New Roman"/>
          <w:sz w:val="24"/>
          <w:szCs w:val="24"/>
        </w:rPr>
        <w:t xml:space="preserve">20% of </w:t>
      </w:r>
      <w:r w:rsidR="00926D6E" w:rsidRPr="000F1CB4">
        <w:rPr>
          <w:rFonts w:ascii="Book Antiqua" w:hAnsi="Book Antiqua" w:cs="Times New Roman"/>
          <w:sz w:val="24"/>
          <w:szCs w:val="24"/>
        </w:rPr>
        <w:t>p</w:t>
      </w:r>
      <w:r w:rsidR="00416027" w:rsidRPr="000F1CB4">
        <w:rPr>
          <w:rFonts w:ascii="Book Antiqua" w:hAnsi="Book Antiqua" w:cs="Times New Roman"/>
          <w:sz w:val="24"/>
          <w:szCs w:val="24"/>
        </w:rPr>
        <w:t xml:space="preserve">atients exhibiting </w:t>
      </w:r>
      <w:proofErr w:type="gramStart"/>
      <w:r w:rsidR="00EC7C5A" w:rsidRPr="000F1CB4">
        <w:rPr>
          <w:rFonts w:ascii="Book Antiqua" w:hAnsi="Book Antiqua" w:cs="Times New Roman"/>
          <w:sz w:val="24"/>
          <w:szCs w:val="24"/>
        </w:rPr>
        <w:t>cirrhosis</w:t>
      </w:r>
      <w:r w:rsidR="00377594" w:rsidRPr="000F1CB4">
        <w:rPr>
          <w:rFonts w:ascii="Book Antiqua" w:hAnsi="Book Antiqua" w:cs="Times New Roman"/>
          <w:sz w:val="24"/>
          <w:szCs w:val="24"/>
          <w:vertAlign w:val="superscript"/>
        </w:rPr>
        <w:t>[</w:t>
      </w:r>
      <w:proofErr w:type="gramEnd"/>
      <w:r w:rsidR="00377594" w:rsidRPr="000F1CB4">
        <w:rPr>
          <w:rFonts w:ascii="Book Antiqua" w:hAnsi="Book Antiqua" w:cs="Times New Roman"/>
          <w:sz w:val="24"/>
          <w:szCs w:val="24"/>
          <w:vertAlign w:val="superscript"/>
        </w:rPr>
        <w:t>10]</w:t>
      </w:r>
      <w:r w:rsidR="00091310" w:rsidRPr="000F1CB4">
        <w:rPr>
          <w:rFonts w:ascii="Book Antiqua" w:hAnsi="Book Antiqua" w:cs="Times New Roman"/>
          <w:sz w:val="24"/>
          <w:szCs w:val="24"/>
        </w:rPr>
        <w:t>. Similar to HCV patients with cirrhosis, patients with N</w:t>
      </w:r>
      <w:r w:rsidR="00926D6E" w:rsidRPr="000F1CB4">
        <w:rPr>
          <w:rFonts w:ascii="Book Antiqua" w:hAnsi="Book Antiqua" w:cs="Times New Roman"/>
          <w:sz w:val="24"/>
          <w:szCs w:val="24"/>
        </w:rPr>
        <w:t>ASH-related</w:t>
      </w:r>
      <w:r w:rsidR="00091310" w:rsidRPr="000F1CB4">
        <w:rPr>
          <w:rFonts w:ascii="Book Antiqua" w:hAnsi="Book Antiqua" w:cs="Times New Roman"/>
          <w:sz w:val="24"/>
          <w:szCs w:val="24"/>
        </w:rPr>
        <w:t xml:space="preserve"> cirrhosis are also at an increased risk of developing HCC. In a</w:t>
      </w:r>
      <w:r w:rsidR="00926D6E" w:rsidRPr="000F1CB4">
        <w:rPr>
          <w:rFonts w:ascii="Book Antiqua" w:hAnsi="Book Antiqua" w:cs="Times New Roman"/>
          <w:sz w:val="24"/>
          <w:szCs w:val="24"/>
        </w:rPr>
        <w:t xml:space="preserve"> single-center study,</w:t>
      </w:r>
      <w:r w:rsidR="00E15354" w:rsidRPr="000F1CB4">
        <w:rPr>
          <w:rFonts w:ascii="Book Antiqua" w:eastAsia="Calibri" w:hAnsi="Book Antiqua" w:cs="Times New Roman"/>
          <w:sz w:val="24"/>
          <w:szCs w:val="24"/>
        </w:rPr>
        <w:t xml:space="preserve"> </w:t>
      </w:r>
      <w:proofErr w:type="spellStart"/>
      <w:r w:rsidR="00091310" w:rsidRPr="000F1CB4">
        <w:rPr>
          <w:rFonts w:ascii="Book Antiqua" w:eastAsia="Calibri" w:hAnsi="Book Antiqua" w:cs="Times New Roman"/>
          <w:sz w:val="24"/>
          <w:szCs w:val="24"/>
        </w:rPr>
        <w:t>Ascha</w:t>
      </w:r>
      <w:proofErr w:type="spellEnd"/>
      <w:r w:rsidR="00091310" w:rsidRPr="000F1CB4">
        <w:rPr>
          <w:rFonts w:ascii="Book Antiqua" w:eastAsia="Calibri" w:hAnsi="Book Antiqua" w:cs="Times New Roman"/>
          <w:sz w:val="24"/>
          <w:szCs w:val="24"/>
        </w:rPr>
        <w:t xml:space="preserve"> </w:t>
      </w:r>
      <w:r w:rsidR="00091310" w:rsidRPr="004D17D4">
        <w:rPr>
          <w:rFonts w:ascii="Book Antiqua" w:eastAsia="Calibri" w:hAnsi="Book Antiqua" w:cs="Times New Roman"/>
          <w:i/>
          <w:sz w:val="24"/>
          <w:szCs w:val="24"/>
        </w:rPr>
        <w:t xml:space="preserve">et </w:t>
      </w:r>
      <w:proofErr w:type="gramStart"/>
      <w:r w:rsidR="00091310" w:rsidRPr="004D17D4">
        <w:rPr>
          <w:rFonts w:ascii="Book Antiqua" w:eastAsia="Calibri" w:hAnsi="Book Antiqua" w:cs="Times New Roman"/>
          <w:i/>
          <w:sz w:val="24"/>
          <w:szCs w:val="24"/>
        </w:rPr>
        <w:t>al</w:t>
      </w:r>
      <w:r w:rsidR="004D17D4" w:rsidRPr="000F1CB4">
        <w:rPr>
          <w:rFonts w:ascii="Book Antiqua" w:eastAsia="Calibri" w:hAnsi="Book Antiqua" w:cs="Times New Roman"/>
          <w:sz w:val="24"/>
          <w:szCs w:val="24"/>
          <w:vertAlign w:val="superscript"/>
        </w:rPr>
        <w:t>[</w:t>
      </w:r>
      <w:proofErr w:type="gramEnd"/>
      <w:r w:rsidR="004D17D4" w:rsidRPr="000F1CB4">
        <w:rPr>
          <w:rFonts w:ascii="Book Antiqua" w:eastAsia="Calibri" w:hAnsi="Book Antiqua" w:cs="Times New Roman"/>
          <w:sz w:val="24"/>
          <w:szCs w:val="24"/>
          <w:vertAlign w:val="superscript"/>
        </w:rPr>
        <w:t>11]</w:t>
      </w:r>
      <w:r w:rsidR="00091310" w:rsidRPr="000F1CB4">
        <w:rPr>
          <w:rFonts w:ascii="Book Antiqua" w:eastAsia="Calibri" w:hAnsi="Book Antiqua" w:cs="Times New Roman"/>
          <w:sz w:val="24"/>
          <w:szCs w:val="24"/>
        </w:rPr>
        <w:t xml:space="preserve"> </w:t>
      </w:r>
      <w:r w:rsidR="00926D6E" w:rsidRPr="000F1CB4">
        <w:rPr>
          <w:rFonts w:ascii="Book Antiqua" w:eastAsia="Calibri" w:hAnsi="Book Antiqua" w:cs="Times New Roman"/>
          <w:sz w:val="24"/>
          <w:szCs w:val="24"/>
        </w:rPr>
        <w:t>compared the incidence of HCV and NASH-related cirrhosis</w:t>
      </w:r>
      <w:r w:rsidR="00157529" w:rsidRPr="000F1CB4">
        <w:rPr>
          <w:rFonts w:ascii="Book Antiqua" w:eastAsia="Calibri" w:hAnsi="Book Antiqua" w:cs="Times New Roman"/>
          <w:sz w:val="24"/>
          <w:szCs w:val="24"/>
        </w:rPr>
        <w:t>. Among 510 patients</w:t>
      </w:r>
      <w:r w:rsidR="00926D6E" w:rsidRPr="000F1CB4">
        <w:rPr>
          <w:rFonts w:ascii="Book Antiqua" w:eastAsia="Calibri" w:hAnsi="Book Antiqua" w:cs="Times New Roman"/>
          <w:sz w:val="24"/>
          <w:szCs w:val="24"/>
        </w:rPr>
        <w:t xml:space="preserve"> with cirrhosis, </w:t>
      </w:r>
      <w:r w:rsidR="00157529" w:rsidRPr="000F1CB4">
        <w:rPr>
          <w:rFonts w:ascii="Book Antiqua" w:eastAsia="Calibri" w:hAnsi="Book Antiqua" w:cs="Times New Roman"/>
          <w:sz w:val="24"/>
          <w:szCs w:val="24"/>
        </w:rPr>
        <w:t xml:space="preserve">195 had </w:t>
      </w:r>
      <w:r w:rsidR="00926D6E" w:rsidRPr="000F1CB4">
        <w:rPr>
          <w:rFonts w:ascii="Book Antiqua" w:eastAsia="Calibri" w:hAnsi="Book Antiqua" w:cs="Times New Roman"/>
          <w:sz w:val="24"/>
          <w:szCs w:val="24"/>
        </w:rPr>
        <w:t xml:space="preserve">underlying </w:t>
      </w:r>
      <w:r w:rsidR="00157529" w:rsidRPr="000F1CB4">
        <w:rPr>
          <w:rFonts w:ascii="Book Antiqua" w:eastAsia="Calibri" w:hAnsi="Book Antiqua" w:cs="Times New Roman"/>
          <w:sz w:val="24"/>
          <w:szCs w:val="24"/>
        </w:rPr>
        <w:t>NASH</w:t>
      </w:r>
      <w:r w:rsidR="00926D6E" w:rsidRPr="000F1CB4">
        <w:rPr>
          <w:rFonts w:ascii="Book Antiqua" w:eastAsia="Calibri" w:hAnsi="Book Antiqua" w:cs="Times New Roman"/>
          <w:sz w:val="24"/>
          <w:szCs w:val="24"/>
        </w:rPr>
        <w:t>,</w:t>
      </w:r>
      <w:r w:rsidR="00157529" w:rsidRPr="000F1CB4">
        <w:rPr>
          <w:rFonts w:ascii="Book Antiqua" w:eastAsia="Calibri" w:hAnsi="Book Antiqua" w:cs="Times New Roman"/>
          <w:sz w:val="24"/>
          <w:szCs w:val="24"/>
        </w:rPr>
        <w:t xml:space="preserve"> while 315 had </w:t>
      </w:r>
      <w:r w:rsidR="005B19B7" w:rsidRPr="000F1CB4">
        <w:rPr>
          <w:rFonts w:ascii="Book Antiqua" w:eastAsia="Calibri" w:hAnsi="Book Antiqua" w:cs="Times New Roman"/>
          <w:sz w:val="24"/>
          <w:szCs w:val="24"/>
        </w:rPr>
        <w:t>cirrh</w:t>
      </w:r>
      <w:r w:rsidR="00157529" w:rsidRPr="000F1CB4">
        <w:rPr>
          <w:rFonts w:ascii="Book Antiqua" w:eastAsia="Calibri" w:hAnsi="Book Antiqua" w:cs="Times New Roman"/>
          <w:sz w:val="24"/>
          <w:szCs w:val="24"/>
        </w:rPr>
        <w:t>osis</w:t>
      </w:r>
      <w:r w:rsidR="005B19B7" w:rsidRPr="000F1CB4">
        <w:rPr>
          <w:rFonts w:ascii="Book Antiqua" w:eastAsia="Calibri" w:hAnsi="Book Antiqua" w:cs="Times New Roman"/>
          <w:sz w:val="24"/>
          <w:szCs w:val="24"/>
        </w:rPr>
        <w:t xml:space="preserve"> secondary to HCV</w:t>
      </w:r>
      <w:r w:rsidR="00157529" w:rsidRPr="000F1CB4">
        <w:rPr>
          <w:rFonts w:ascii="Book Antiqua" w:eastAsia="Calibri" w:hAnsi="Book Antiqua" w:cs="Times New Roman"/>
          <w:sz w:val="24"/>
          <w:szCs w:val="24"/>
        </w:rPr>
        <w:t xml:space="preserve">. </w:t>
      </w:r>
      <w:r w:rsidR="00926D6E" w:rsidRPr="000F1CB4">
        <w:rPr>
          <w:rFonts w:ascii="Book Antiqua" w:eastAsia="Calibri" w:hAnsi="Book Antiqua" w:cs="Times New Roman"/>
          <w:sz w:val="24"/>
          <w:szCs w:val="24"/>
        </w:rPr>
        <w:t>M</w:t>
      </w:r>
      <w:r w:rsidR="00157529" w:rsidRPr="000F1CB4">
        <w:rPr>
          <w:rFonts w:ascii="Book Antiqua" w:eastAsia="Calibri" w:hAnsi="Book Antiqua" w:cs="Times New Roman"/>
          <w:sz w:val="24"/>
          <w:szCs w:val="24"/>
        </w:rPr>
        <w:t>edian follow</w:t>
      </w:r>
      <w:r w:rsidR="00B21F21" w:rsidRPr="000F1CB4">
        <w:rPr>
          <w:rFonts w:ascii="Book Antiqua" w:eastAsia="Calibri" w:hAnsi="Book Antiqua" w:cs="Times New Roman"/>
          <w:sz w:val="24"/>
          <w:szCs w:val="24"/>
        </w:rPr>
        <w:t>-</w:t>
      </w:r>
      <w:r w:rsidR="00157529" w:rsidRPr="000F1CB4">
        <w:rPr>
          <w:rFonts w:ascii="Book Antiqua" w:eastAsia="Calibri" w:hAnsi="Book Antiqua" w:cs="Times New Roman"/>
          <w:sz w:val="24"/>
          <w:szCs w:val="24"/>
        </w:rPr>
        <w:t xml:space="preserve">up of 3.2 years </w:t>
      </w:r>
      <w:r w:rsidR="00926D6E" w:rsidRPr="000F1CB4">
        <w:rPr>
          <w:rFonts w:ascii="Book Antiqua" w:eastAsia="Calibri" w:hAnsi="Book Antiqua" w:cs="Times New Roman"/>
          <w:sz w:val="24"/>
          <w:szCs w:val="24"/>
        </w:rPr>
        <w:t xml:space="preserve">revealed an </w:t>
      </w:r>
      <w:r w:rsidR="00157529" w:rsidRPr="000F1CB4">
        <w:rPr>
          <w:rFonts w:ascii="Book Antiqua" w:eastAsia="Calibri" w:hAnsi="Book Antiqua" w:cs="Times New Roman"/>
          <w:sz w:val="24"/>
          <w:szCs w:val="24"/>
        </w:rPr>
        <w:t>annual cumu</w:t>
      </w:r>
      <w:r w:rsidR="00F73025" w:rsidRPr="000F1CB4">
        <w:rPr>
          <w:rFonts w:ascii="Book Antiqua" w:eastAsia="Calibri" w:hAnsi="Book Antiqua" w:cs="Times New Roman"/>
          <w:sz w:val="24"/>
          <w:szCs w:val="24"/>
        </w:rPr>
        <w:t xml:space="preserve">lative HCC incidence </w:t>
      </w:r>
      <w:r w:rsidR="00926D6E" w:rsidRPr="000F1CB4">
        <w:rPr>
          <w:rFonts w:ascii="Book Antiqua" w:eastAsia="Calibri" w:hAnsi="Book Antiqua" w:cs="Times New Roman"/>
          <w:sz w:val="24"/>
          <w:szCs w:val="24"/>
        </w:rPr>
        <w:t>of</w:t>
      </w:r>
      <w:r w:rsidR="00F73025" w:rsidRPr="000F1CB4">
        <w:rPr>
          <w:rFonts w:ascii="Book Antiqua" w:eastAsia="Calibri" w:hAnsi="Book Antiqua" w:cs="Times New Roman"/>
          <w:sz w:val="24"/>
          <w:szCs w:val="24"/>
        </w:rPr>
        <w:t xml:space="preserve"> 2.6% for</w:t>
      </w:r>
      <w:r w:rsidR="00157529" w:rsidRPr="000F1CB4">
        <w:rPr>
          <w:rFonts w:ascii="Book Antiqua" w:eastAsia="Calibri" w:hAnsi="Book Antiqua" w:cs="Times New Roman"/>
          <w:sz w:val="24"/>
          <w:szCs w:val="24"/>
        </w:rPr>
        <w:t xml:space="preserve"> NASH</w:t>
      </w:r>
      <w:r w:rsidR="00926D6E" w:rsidRPr="000F1CB4">
        <w:rPr>
          <w:rFonts w:ascii="Book Antiqua" w:eastAsia="Calibri" w:hAnsi="Book Antiqua" w:cs="Times New Roman"/>
          <w:sz w:val="24"/>
          <w:szCs w:val="24"/>
        </w:rPr>
        <w:t>-</w:t>
      </w:r>
      <w:r w:rsidR="00157529" w:rsidRPr="000F1CB4">
        <w:rPr>
          <w:rFonts w:ascii="Book Antiqua" w:eastAsia="Calibri" w:hAnsi="Book Antiqua" w:cs="Times New Roman"/>
          <w:sz w:val="24"/>
          <w:szCs w:val="24"/>
        </w:rPr>
        <w:t xml:space="preserve">related cirrhosis as compared to 4% for </w:t>
      </w:r>
      <w:r w:rsidR="00926D6E" w:rsidRPr="000F1CB4">
        <w:rPr>
          <w:rFonts w:ascii="Book Antiqua" w:eastAsia="Calibri" w:hAnsi="Book Antiqua" w:cs="Times New Roman"/>
          <w:sz w:val="24"/>
          <w:szCs w:val="24"/>
        </w:rPr>
        <w:t>HCV-</w:t>
      </w:r>
      <w:r w:rsidR="00157529" w:rsidRPr="000F1CB4">
        <w:rPr>
          <w:rFonts w:ascii="Book Antiqua" w:eastAsia="Calibri" w:hAnsi="Book Antiqua" w:cs="Times New Roman"/>
          <w:sz w:val="24"/>
          <w:szCs w:val="24"/>
        </w:rPr>
        <w:t>related cirrhosis cases.</w:t>
      </w:r>
      <w:r w:rsidR="00315B2F" w:rsidRPr="000F1CB4">
        <w:rPr>
          <w:rFonts w:ascii="Book Antiqua" w:eastAsia="Calibri" w:hAnsi="Book Antiqua" w:cs="Times New Roman"/>
          <w:sz w:val="24"/>
          <w:szCs w:val="24"/>
        </w:rPr>
        <w:t xml:space="preserve"> Additional large population</w:t>
      </w:r>
      <w:r w:rsidR="00792118" w:rsidRPr="000F1CB4">
        <w:rPr>
          <w:rFonts w:ascii="Book Antiqua" w:eastAsia="Calibri" w:hAnsi="Book Antiqua" w:cs="Times New Roman"/>
          <w:sz w:val="24"/>
          <w:szCs w:val="24"/>
        </w:rPr>
        <w:t>-</w:t>
      </w:r>
      <w:r w:rsidR="00315B2F" w:rsidRPr="000F1CB4">
        <w:rPr>
          <w:rFonts w:ascii="Book Antiqua" w:eastAsia="Calibri" w:hAnsi="Book Antiqua" w:cs="Times New Roman"/>
          <w:sz w:val="24"/>
          <w:szCs w:val="24"/>
        </w:rPr>
        <w:t>based studies with longer</w:t>
      </w:r>
      <w:r w:rsidR="00EC7C5A" w:rsidRPr="000F1CB4">
        <w:rPr>
          <w:rFonts w:ascii="Book Antiqua" w:eastAsia="Calibri" w:hAnsi="Book Antiqua" w:cs="Times New Roman"/>
          <w:sz w:val="24"/>
          <w:szCs w:val="24"/>
        </w:rPr>
        <w:t xml:space="preserve"> duration</w:t>
      </w:r>
      <w:r w:rsidR="00007AAD" w:rsidRPr="000F1CB4">
        <w:rPr>
          <w:rFonts w:ascii="Book Antiqua" w:eastAsia="Calibri" w:hAnsi="Book Antiqua" w:cs="Times New Roman"/>
          <w:sz w:val="24"/>
          <w:szCs w:val="24"/>
        </w:rPr>
        <w:t>s</w:t>
      </w:r>
      <w:r w:rsidR="00EC7C5A" w:rsidRPr="000F1CB4">
        <w:rPr>
          <w:rFonts w:ascii="Book Antiqua" w:eastAsia="Calibri" w:hAnsi="Book Antiqua" w:cs="Times New Roman"/>
          <w:sz w:val="24"/>
          <w:szCs w:val="24"/>
        </w:rPr>
        <w:t xml:space="preserve"> of</w:t>
      </w:r>
      <w:r w:rsidR="00B435C0" w:rsidRPr="000F1CB4">
        <w:rPr>
          <w:rFonts w:ascii="Book Antiqua" w:eastAsia="Calibri" w:hAnsi="Book Antiqua" w:cs="Times New Roman"/>
          <w:sz w:val="24"/>
          <w:szCs w:val="24"/>
        </w:rPr>
        <w:t xml:space="preserve"> follow-up are needed</w:t>
      </w:r>
      <w:r w:rsidR="00315B2F" w:rsidRPr="000F1CB4">
        <w:rPr>
          <w:rFonts w:ascii="Book Antiqua" w:eastAsia="Calibri" w:hAnsi="Book Antiqua" w:cs="Times New Roman"/>
          <w:sz w:val="24"/>
          <w:szCs w:val="24"/>
        </w:rPr>
        <w:t xml:space="preserve"> to </w:t>
      </w:r>
      <w:r w:rsidR="00B435C0" w:rsidRPr="000F1CB4">
        <w:rPr>
          <w:rFonts w:ascii="Book Antiqua" w:eastAsia="Calibri" w:hAnsi="Book Antiqua" w:cs="Times New Roman"/>
          <w:sz w:val="24"/>
          <w:szCs w:val="24"/>
        </w:rPr>
        <w:t xml:space="preserve">re-confirm </w:t>
      </w:r>
      <w:r w:rsidR="00157529" w:rsidRPr="000F1CB4">
        <w:rPr>
          <w:rFonts w:ascii="Book Antiqua" w:eastAsia="Calibri" w:hAnsi="Book Antiqua" w:cs="Times New Roman"/>
          <w:sz w:val="24"/>
          <w:szCs w:val="24"/>
        </w:rPr>
        <w:t>that patients with NASH</w:t>
      </w:r>
      <w:r w:rsidR="00792118" w:rsidRPr="000F1CB4">
        <w:rPr>
          <w:rFonts w:ascii="Book Antiqua" w:eastAsia="Calibri" w:hAnsi="Book Antiqua" w:cs="Times New Roman"/>
          <w:sz w:val="24"/>
          <w:szCs w:val="24"/>
        </w:rPr>
        <w:t>-related</w:t>
      </w:r>
      <w:r w:rsidR="00157529" w:rsidRPr="000F1CB4">
        <w:rPr>
          <w:rFonts w:ascii="Book Antiqua" w:eastAsia="Calibri" w:hAnsi="Book Antiqua" w:cs="Times New Roman"/>
          <w:sz w:val="24"/>
          <w:szCs w:val="24"/>
        </w:rPr>
        <w:t xml:space="preserve"> cirrhosis carry a significant risk of developing HCC and should be closely monitored.</w:t>
      </w:r>
    </w:p>
    <w:p w14:paraId="38480AE6" w14:textId="3B6F511A" w:rsidR="00157529" w:rsidRPr="000F1CB4" w:rsidRDefault="000E3470" w:rsidP="00377594">
      <w:pPr>
        <w:spacing w:after="0" w:line="360" w:lineRule="auto"/>
        <w:ind w:firstLineChars="100" w:firstLine="240"/>
        <w:jc w:val="both"/>
        <w:rPr>
          <w:rFonts w:ascii="Book Antiqua" w:eastAsia="Calibri" w:hAnsi="Book Antiqua" w:cs="Times New Roman"/>
          <w:sz w:val="24"/>
          <w:szCs w:val="24"/>
        </w:rPr>
      </w:pPr>
      <w:r w:rsidRPr="000F1CB4">
        <w:rPr>
          <w:rFonts w:ascii="Book Antiqua" w:eastAsia="Calibri" w:hAnsi="Book Antiqua" w:cs="Times New Roman"/>
          <w:sz w:val="24"/>
          <w:szCs w:val="24"/>
        </w:rPr>
        <w:t xml:space="preserve">Despite the estimated low HCC incidence rate of 2.6% in </w:t>
      </w:r>
      <w:r w:rsidR="00792118" w:rsidRPr="000F1CB4">
        <w:rPr>
          <w:rFonts w:ascii="Book Antiqua" w:eastAsia="Calibri" w:hAnsi="Book Antiqua" w:cs="Times New Roman"/>
          <w:sz w:val="24"/>
          <w:szCs w:val="24"/>
        </w:rPr>
        <w:t xml:space="preserve">patients with </w:t>
      </w:r>
      <w:r w:rsidRPr="000F1CB4">
        <w:rPr>
          <w:rFonts w:ascii="Book Antiqua" w:eastAsia="Calibri" w:hAnsi="Book Antiqua" w:cs="Times New Roman"/>
          <w:sz w:val="24"/>
          <w:szCs w:val="24"/>
        </w:rPr>
        <w:t>NASH</w:t>
      </w:r>
      <w:r w:rsidR="00792118" w:rsidRPr="000F1CB4">
        <w:rPr>
          <w:rFonts w:ascii="Book Antiqua" w:eastAsia="Calibri" w:hAnsi="Book Antiqua" w:cs="Times New Roman"/>
          <w:sz w:val="24"/>
          <w:szCs w:val="24"/>
        </w:rPr>
        <w:t>-related</w:t>
      </w:r>
      <w:r w:rsidRPr="000F1CB4">
        <w:rPr>
          <w:rFonts w:ascii="Book Antiqua" w:eastAsia="Calibri" w:hAnsi="Book Antiqua" w:cs="Times New Roman"/>
          <w:sz w:val="24"/>
          <w:szCs w:val="24"/>
        </w:rPr>
        <w:t xml:space="preserve"> cirrho</w:t>
      </w:r>
      <w:r w:rsidR="00792118" w:rsidRPr="000F1CB4">
        <w:rPr>
          <w:rFonts w:ascii="Book Antiqua" w:eastAsia="Calibri" w:hAnsi="Book Antiqua" w:cs="Times New Roman"/>
          <w:sz w:val="24"/>
          <w:szCs w:val="24"/>
        </w:rPr>
        <w:t>sis</w:t>
      </w:r>
      <w:r w:rsidR="008A3E1E" w:rsidRPr="000F1CB4">
        <w:rPr>
          <w:rFonts w:ascii="Book Antiqua" w:eastAsia="Calibri" w:hAnsi="Book Antiqua" w:cs="Times New Roman"/>
          <w:sz w:val="24"/>
          <w:szCs w:val="24"/>
        </w:rPr>
        <w:t>,</w:t>
      </w:r>
      <w:r w:rsidRPr="000F1CB4">
        <w:rPr>
          <w:rFonts w:ascii="Book Antiqua" w:eastAsia="Calibri" w:hAnsi="Book Antiqua" w:cs="Times New Roman"/>
          <w:sz w:val="24"/>
          <w:szCs w:val="24"/>
        </w:rPr>
        <w:t xml:space="preserve"> </w:t>
      </w:r>
      <w:r w:rsidR="004D767B" w:rsidRPr="000F1CB4">
        <w:rPr>
          <w:rFonts w:ascii="Book Antiqua" w:eastAsia="Calibri" w:hAnsi="Book Antiqua" w:cs="Times New Roman"/>
          <w:sz w:val="24"/>
          <w:szCs w:val="24"/>
        </w:rPr>
        <w:t>the surge</w:t>
      </w:r>
      <w:r w:rsidRPr="000F1CB4">
        <w:rPr>
          <w:rFonts w:ascii="Book Antiqua" w:eastAsia="Calibri" w:hAnsi="Book Antiqua" w:cs="Times New Roman"/>
          <w:sz w:val="24"/>
          <w:szCs w:val="24"/>
        </w:rPr>
        <w:t xml:space="preserve"> in the number of cases with NAFLD</w:t>
      </w:r>
      <w:r w:rsidR="008A3E1E" w:rsidRPr="000F1CB4">
        <w:rPr>
          <w:rFonts w:ascii="Book Antiqua" w:eastAsia="Calibri" w:hAnsi="Book Antiqua" w:cs="Times New Roman"/>
          <w:sz w:val="24"/>
          <w:szCs w:val="24"/>
        </w:rPr>
        <w:t xml:space="preserve"> </w:t>
      </w:r>
      <w:r w:rsidRPr="000F1CB4">
        <w:rPr>
          <w:rFonts w:ascii="Book Antiqua" w:eastAsia="Calibri" w:hAnsi="Book Antiqua" w:cs="Times New Roman"/>
          <w:sz w:val="24"/>
          <w:szCs w:val="24"/>
        </w:rPr>
        <w:t>is projected to lead to an increase in the n</w:t>
      </w:r>
      <w:r w:rsidR="00500896" w:rsidRPr="000F1CB4">
        <w:rPr>
          <w:rFonts w:ascii="Book Antiqua" w:eastAsia="Calibri" w:hAnsi="Book Antiqua" w:cs="Times New Roman"/>
          <w:sz w:val="24"/>
          <w:szCs w:val="24"/>
        </w:rPr>
        <w:t>umber of patients with</w:t>
      </w:r>
      <w:r w:rsidRPr="000F1CB4">
        <w:rPr>
          <w:rFonts w:ascii="Book Antiqua" w:eastAsia="Calibri" w:hAnsi="Book Antiqua" w:cs="Times New Roman"/>
          <w:sz w:val="24"/>
          <w:szCs w:val="24"/>
        </w:rPr>
        <w:t xml:space="preserve"> NASH</w:t>
      </w:r>
      <w:r w:rsidR="00792118" w:rsidRPr="000F1CB4">
        <w:rPr>
          <w:rFonts w:ascii="Book Antiqua" w:eastAsia="Calibri" w:hAnsi="Book Antiqua" w:cs="Times New Roman"/>
          <w:sz w:val="24"/>
          <w:szCs w:val="24"/>
        </w:rPr>
        <w:t>-</w:t>
      </w:r>
      <w:r w:rsidR="00F73025" w:rsidRPr="000F1CB4">
        <w:rPr>
          <w:rFonts w:ascii="Book Antiqua" w:eastAsia="Calibri" w:hAnsi="Book Antiqua" w:cs="Times New Roman"/>
          <w:sz w:val="24"/>
          <w:szCs w:val="24"/>
        </w:rPr>
        <w:t>related HCC</w:t>
      </w:r>
      <w:r w:rsidRPr="000F1CB4">
        <w:rPr>
          <w:rFonts w:ascii="Book Antiqua" w:eastAsia="Calibri" w:hAnsi="Book Antiqua" w:cs="Times New Roman"/>
          <w:sz w:val="24"/>
          <w:szCs w:val="24"/>
        </w:rPr>
        <w:t xml:space="preserve">. </w:t>
      </w:r>
      <w:r w:rsidR="00792118" w:rsidRPr="000F1CB4">
        <w:rPr>
          <w:rFonts w:ascii="Book Antiqua" w:eastAsia="Calibri" w:hAnsi="Book Antiqua" w:cs="Times New Roman"/>
          <w:sz w:val="24"/>
          <w:szCs w:val="24"/>
        </w:rPr>
        <w:t>A</w:t>
      </w:r>
      <w:r w:rsidRPr="000F1CB4">
        <w:rPr>
          <w:rFonts w:ascii="Book Antiqua" w:eastAsia="Calibri" w:hAnsi="Book Antiqua" w:cs="Times New Roman"/>
          <w:sz w:val="24"/>
          <w:szCs w:val="24"/>
        </w:rPr>
        <w:t xml:space="preserve"> recent study by Wong </w:t>
      </w:r>
      <w:r w:rsidRPr="00377594">
        <w:rPr>
          <w:rFonts w:ascii="Book Antiqua" w:eastAsia="Calibri" w:hAnsi="Book Antiqua" w:cs="Times New Roman"/>
          <w:i/>
          <w:sz w:val="24"/>
          <w:szCs w:val="24"/>
        </w:rPr>
        <w:t>et al</w:t>
      </w:r>
      <w:r w:rsidR="00377594">
        <w:rPr>
          <w:rFonts w:ascii="Book Antiqua" w:hAnsi="Book Antiqua" w:cs="Times New Roman" w:hint="eastAsia"/>
          <w:sz w:val="24"/>
          <w:szCs w:val="24"/>
          <w:vertAlign w:val="superscript"/>
          <w:lang w:eastAsia="zh-CN"/>
        </w:rPr>
        <w:t>[12]</w:t>
      </w:r>
      <w:r w:rsidR="00792118" w:rsidRPr="000F1CB4">
        <w:rPr>
          <w:rFonts w:ascii="Book Antiqua" w:eastAsia="Calibri" w:hAnsi="Book Antiqua" w:cs="Times New Roman"/>
          <w:sz w:val="24"/>
          <w:szCs w:val="24"/>
        </w:rPr>
        <w:t xml:space="preserve"> demonstrated a nearly fourfold increase in the </w:t>
      </w:r>
      <w:r w:rsidRPr="000F1CB4">
        <w:rPr>
          <w:rFonts w:ascii="Book Antiqua" w:eastAsia="Calibri" w:hAnsi="Book Antiqua" w:cs="Times New Roman"/>
          <w:sz w:val="24"/>
          <w:szCs w:val="24"/>
        </w:rPr>
        <w:t xml:space="preserve">prevalence of </w:t>
      </w:r>
      <w:r w:rsidR="00792118" w:rsidRPr="000F1CB4">
        <w:rPr>
          <w:rFonts w:ascii="Book Antiqua" w:eastAsia="Calibri" w:hAnsi="Book Antiqua" w:cs="Times New Roman"/>
          <w:sz w:val="24"/>
          <w:szCs w:val="24"/>
        </w:rPr>
        <w:t xml:space="preserve">NASH-related </w:t>
      </w:r>
      <w:r w:rsidRPr="000F1CB4">
        <w:rPr>
          <w:rFonts w:ascii="Book Antiqua" w:eastAsia="Calibri" w:hAnsi="Book Antiqua" w:cs="Times New Roman"/>
          <w:sz w:val="24"/>
          <w:szCs w:val="24"/>
        </w:rPr>
        <w:t xml:space="preserve">HCC cases </w:t>
      </w:r>
      <w:r w:rsidR="008A3E1E" w:rsidRPr="000F1CB4">
        <w:rPr>
          <w:rFonts w:ascii="Book Antiqua" w:eastAsia="Calibri" w:hAnsi="Book Antiqua" w:cs="Times New Roman"/>
          <w:sz w:val="24"/>
          <w:szCs w:val="24"/>
        </w:rPr>
        <w:t xml:space="preserve">among liver transplant recipients </w:t>
      </w:r>
      <w:r w:rsidR="00792118" w:rsidRPr="000F1CB4">
        <w:rPr>
          <w:rFonts w:ascii="Book Antiqua" w:eastAsia="Calibri" w:hAnsi="Book Antiqua" w:cs="Times New Roman"/>
          <w:sz w:val="24"/>
          <w:szCs w:val="24"/>
        </w:rPr>
        <w:t>since implementation of the Model for End-Stage Liver Disease</w:t>
      </w:r>
      <w:r w:rsidR="00917F27" w:rsidRPr="000F1CB4">
        <w:rPr>
          <w:rFonts w:ascii="Book Antiqua" w:eastAsia="Calibri" w:hAnsi="Book Antiqua" w:cs="Times New Roman"/>
          <w:sz w:val="24"/>
          <w:szCs w:val="24"/>
        </w:rPr>
        <w:t xml:space="preserve"> </w:t>
      </w:r>
      <w:r w:rsidR="00500896" w:rsidRPr="000F1CB4">
        <w:rPr>
          <w:rFonts w:ascii="Book Antiqua" w:eastAsia="Calibri" w:hAnsi="Book Antiqua" w:cs="Times New Roman"/>
          <w:sz w:val="24"/>
          <w:szCs w:val="24"/>
        </w:rPr>
        <w:t xml:space="preserve">(MELD) </w:t>
      </w:r>
      <w:r w:rsidR="00917F27" w:rsidRPr="000F1CB4">
        <w:rPr>
          <w:rFonts w:ascii="Book Antiqua" w:eastAsia="Calibri" w:hAnsi="Book Antiqua" w:cs="Times New Roman"/>
          <w:sz w:val="24"/>
          <w:szCs w:val="24"/>
        </w:rPr>
        <w:t>in 2002</w:t>
      </w:r>
      <w:r w:rsidR="00377594" w:rsidRPr="000F1CB4">
        <w:rPr>
          <w:rFonts w:ascii="Book Antiqua" w:eastAsia="Calibri" w:hAnsi="Book Antiqua" w:cs="Times New Roman"/>
          <w:sz w:val="24"/>
          <w:szCs w:val="24"/>
          <w:vertAlign w:val="superscript"/>
        </w:rPr>
        <w:t>[12]</w:t>
      </w:r>
      <w:r w:rsidRPr="000F1CB4">
        <w:rPr>
          <w:rFonts w:ascii="Book Antiqua" w:eastAsia="Calibri" w:hAnsi="Book Antiqua" w:cs="Times New Roman"/>
          <w:sz w:val="24"/>
          <w:szCs w:val="24"/>
        </w:rPr>
        <w:t>.</w:t>
      </w:r>
      <w:r w:rsidR="009402C0" w:rsidRPr="000F1CB4">
        <w:rPr>
          <w:rFonts w:ascii="Book Antiqua" w:eastAsia="Calibri" w:hAnsi="Book Antiqua" w:cs="Times New Roman"/>
          <w:sz w:val="24"/>
          <w:szCs w:val="24"/>
        </w:rPr>
        <w:t xml:space="preserve"> </w:t>
      </w:r>
      <w:r w:rsidR="00157529" w:rsidRPr="000F1CB4">
        <w:rPr>
          <w:rFonts w:ascii="Book Antiqua" w:eastAsia="Calibri" w:hAnsi="Book Antiqua" w:cs="Times New Roman"/>
          <w:sz w:val="24"/>
          <w:szCs w:val="24"/>
        </w:rPr>
        <w:t xml:space="preserve">In a large </w:t>
      </w:r>
      <w:r w:rsidR="00C22041">
        <w:rPr>
          <w:rFonts w:ascii="Book Antiqua" w:eastAsia="Calibri" w:hAnsi="Book Antiqua" w:cs="Times New Roman"/>
          <w:sz w:val="24"/>
          <w:szCs w:val="24"/>
        </w:rPr>
        <w:t>United States</w:t>
      </w:r>
      <w:r w:rsidR="00157529" w:rsidRPr="000F1CB4">
        <w:rPr>
          <w:rFonts w:ascii="Book Antiqua" w:eastAsia="Calibri" w:hAnsi="Book Antiqua" w:cs="Times New Roman"/>
          <w:sz w:val="24"/>
          <w:szCs w:val="24"/>
        </w:rPr>
        <w:t xml:space="preserve"> population</w:t>
      </w:r>
      <w:r w:rsidR="00792118" w:rsidRPr="000F1CB4">
        <w:rPr>
          <w:rFonts w:ascii="Book Antiqua" w:eastAsia="Calibri" w:hAnsi="Book Antiqua" w:cs="Times New Roman"/>
          <w:sz w:val="24"/>
          <w:szCs w:val="24"/>
        </w:rPr>
        <w:t>-based</w:t>
      </w:r>
      <w:r w:rsidR="00157529" w:rsidRPr="000F1CB4">
        <w:rPr>
          <w:rFonts w:ascii="Book Antiqua" w:eastAsia="Calibri" w:hAnsi="Book Antiqua" w:cs="Times New Roman"/>
          <w:sz w:val="24"/>
          <w:szCs w:val="24"/>
        </w:rPr>
        <w:t xml:space="preserve"> study utilizing the</w:t>
      </w:r>
      <w:r w:rsidR="008A3E1E" w:rsidRPr="000F1CB4">
        <w:rPr>
          <w:rFonts w:ascii="Book Antiqua" w:eastAsia="Calibri" w:hAnsi="Book Antiqua" w:cs="Times New Roman"/>
          <w:sz w:val="24"/>
          <w:szCs w:val="24"/>
        </w:rPr>
        <w:t xml:space="preserve"> </w:t>
      </w:r>
      <w:r w:rsidR="00157529" w:rsidRPr="000F1CB4">
        <w:rPr>
          <w:rFonts w:ascii="Book Antiqua" w:eastAsia="Calibri" w:hAnsi="Book Antiqua" w:cs="Times New Roman"/>
          <w:sz w:val="24"/>
          <w:szCs w:val="24"/>
        </w:rPr>
        <w:t>U</w:t>
      </w:r>
      <w:r w:rsidR="00792118" w:rsidRPr="000F1CB4">
        <w:rPr>
          <w:rFonts w:ascii="Book Antiqua" w:eastAsia="Calibri" w:hAnsi="Book Antiqua" w:cs="Times New Roman"/>
          <w:sz w:val="24"/>
          <w:szCs w:val="24"/>
        </w:rPr>
        <w:t xml:space="preserve">nited Network for Organ Sharing (UNOS) </w:t>
      </w:r>
      <w:r w:rsidR="00157529" w:rsidRPr="000F1CB4">
        <w:rPr>
          <w:rFonts w:ascii="Book Antiqua" w:eastAsia="Calibri" w:hAnsi="Book Antiqua" w:cs="Times New Roman"/>
          <w:sz w:val="24"/>
          <w:szCs w:val="24"/>
        </w:rPr>
        <w:t>database</w:t>
      </w:r>
      <w:r w:rsidR="00792118" w:rsidRPr="000F1CB4">
        <w:rPr>
          <w:rFonts w:ascii="Book Antiqua" w:eastAsia="Calibri" w:hAnsi="Book Antiqua" w:cs="Times New Roman"/>
          <w:sz w:val="24"/>
          <w:szCs w:val="24"/>
        </w:rPr>
        <w:t xml:space="preserve"> from 2002-2012</w:t>
      </w:r>
      <w:r w:rsidR="00157529" w:rsidRPr="000F1CB4">
        <w:rPr>
          <w:rFonts w:ascii="Book Antiqua" w:eastAsia="Calibri" w:hAnsi="Book Antiqua" w:cs="Times New Roman"/>
          <w:sz w:val="24"/>
          <w:szCs w:val="24"/>
        </w:rPr>
        <w:t xml:space="preserve">, Wong </w:t>
      </w:r>
      <w:r w:rsidR="00377594" w:rsidRPr="00377594">
        <w:rPr>
          <w:rFonts w:ascii="Book Antiqua" w:eastAsia="Calibri" w:hAnsi="Book Antiqua" w:cs="Times New Roman"/>
          <w:i/>
          <w:sz w:val="24"/>
          <w:szCs w:val="24"/>
        </w:rPr>
        <w:t xml:space="preserve">et </w:t>
      </w:r>
      <w:proofErr w:type="gramStart"/>
      <w:r w:rsidR="00377594" w:rsidRPr="00377594">
        <w:rPr>
          <w:rFonts w:ascii="Book Antiqua" w:eastAsia="Calibri" w:hAnsi="Book Antiqua" w:cs="Times New Roman"/>
          <w:i/>
          <w:sz w:val="24"/>
          <w:szCs w:val="24"/>
        </w:rPr>
        <w:t>al</w:t>
      </w:r>
      <w:r w:rsidR="00377594">
        <w:rPr>
          <w:rFonts w:ascii="Book Antiqua" w:hAnsi="Book Antiqua" w:cs="Times New Roman" w:hint="eastAsia"/>
          <w:sz w:val="24"/>
          <w:szCs w:val="24"/>
          <w:vertAlign w:val="superscript"/>
          <w:lang w:eastAsia="zh-CN"/>
        </w:rPr>
        <w:t>[</w:t>
      </w:r>
      <w:proofErr w:type="gramEnd"/>
      <w:r w:rsidR="00377594">
        <w:rPr>
          <w:rFonts w:ascii="Book Antiqua" w:hAnsi="Book Antiqua" w:cs="Times New Roman" w:hint="eastAsia"/>
          <w:sz w:val="24"/>
          <w:szCs w:val="24"/>
          <w:vertAlign w:val="superscript"/>
          <w:lang w:eastAsia="zh-CN"/>
        </w:rPr>
        <w:t>12]</w:t>
      </w:r>
      <w:r w:rsidR="00157529" w:rsidRPr="000F1CB4">
        <w:rPr>
          <w:rFonts w:ascii="Book Antiqua" w:eastAsia="Calibri" w:hAnsi="Book Antiqua" w:cs="Times New Roman"/>
          <w:sz w:val="24"/>
          <w:szCs w:val="24"/>
        </w:rPr>
        <w:t xml:space="preserve"> </w:t>
      </w:r>
      <w:r w:rsidR="00BE11E9" w:rsidRPr="000F1CB4">
        <w:rPr>
          <w:rFonts w:ascii="Book Antiqua" w:eastAsia="Calibri" w:hAnsi="Book Antiqua" w:cs="Times New Roman"/>
          <w:sz w:val="24"/>
          <w:szCs w:val="24"/>
        </w:rPr>
        <w:t>reported 10,061 patients with HCC a</w:t>
      </w:r>
      <w:r w:rsidR="00377594">
        <w:rPr>
          <w:rFonts w:ascii="Book Antiqua" w:eastAsia="Calibri" w:hAnsi="Book Antiqua" w:cs="Times New Roman"/>
          <w:sz w:val="24"/>
          <w:szCs w:val="24"/>
        </w:rPr>
        <w:t>mong 61</w:t>
      </w:r>
      <w:r w:rsidR="00157529" w:rsidRPr="000F1CB4">
        <w:rPr>
          <w:rFonts w:ascii="Book Antiqua" w:eastAsia="Calibri" w:hAnsi="Book Antiqua" w:cs="Times New Roman"/>
          <w:sz w:val="24"/>
          <w:szCs w:val="24"/>
        </w:rPr>
        <w:t>868 liver transpl</w:t>
      </w:r>
      <w:r w:rsidR="002B0193" w:rsidRPr="000F1CB4">
        <w:rPr>
          <w:rFonts w:ascii="Book Antiqua" w:eastAsia="Calibri" w:hAnsi="Book Antiqua" w:cs="Times New Roman"/>
          <w:sz w:val="24"/>
          <w:szCs w:val="24"/>
        </w:rPr>
        <w:t>ant recipients</w:t>
      </w:r>
      <w:r w:rsidR="00BE11E9" w:rsidRPr="000F1CB4">
        <w:rPr>
          <w:rFonts w:ascii="Book Antiqua" w:eastAsia="Calibri" w:hAnsi="Book Antiqua" w:cs="Times New Roman"/>
          <w:sz w:val="24"/>
          <w:szCs w:val="24"/>
        </w:rPr>
        <w:t xml:space="preserve">. </w:t>
      </w:r>
      <w:r w:rsidR="00157529" w:rsidRPr="000F1CB4">
        <w:rPr>
          <w:rFonts w:ascii="Book Antiqua" w:eastAsia="Calibri" w:hAnsi="Book Antiqua" w:cs="Times New Roman"/>
          <w:sz w:val="24"/>
          <w:szCs w:val="24"/>
        </w:rPr>
        <w:t xml:space="preserve">In order to </w:t>
      </w:r>
      <w:r w:rsidR="00BE11E9" w:rsidRPr="000F1CB4">
        <w:rPr>
          <w:rFonts w:ascii="Book Antiqua" w:eastAsia="Calibri" w:hAnsi="Book Antiqua" w:cs="Times New Roman"/>
          <w:sz w:val="24"/>
          <w:szCs w:val="24"/>
        </w:rPr>
        <w:t xml:space="preserve">achieve a more accurate assessment of </w:t>
      </w:r>
      <w:r w:rsidR="00157529" w:rsidRPr="000F1CB4">
        <w:rPr>
          <w:rFonts w:ascii="Book Antiqua" w:eastAsia="Calibri" w:hAnsi="Book Antiqua" w:cs="Times New Roman"/>
          <w:sz w:val="24"/>
          <w:szCs w:val="24"/>
        </w:rPr>
        <w:t>the true prevalence of NASH</w:t>
      </w:r>
      <w:r w:rsidR="00BE11E9" w:rsidRPr="000F1CB4">
        <w:rPr>
          <w:rFonts w:ascii="Book Antiqua" w:eastAsia="Calibri" w:hAnsi="Book Antiqua" w:cs="Times New Roman"/>
          <w:sz w:val="24"/>
          <w:szCs w:val="24"/>
        </w:rPr>
        <w:t>,</w:t>
      </w:r>
      <w:r w:rsidR="00157529" w:rsidRPr="000F1CB4">
        <w:rPr>
          <w:rFonts w:ascii="Book Antiqua" w:eastAsia="Calibri" w:hAnsi="Book Antiqua" w:cs="Times New Roman"/>
          <w:sz w:val="24"/>
          <w:szCs w:val="24"/>
        </w:rPr>
        <w:t xml:space="preserve"> Wong </w:t>
      </w:r>
      <w:r w:rsidR="00377594" w:rsidRPr="00377594">
        <w:rPr>
          <w:rFonts w:ascii="Book Antiqua" w:eastAsia="Calibri" w:hAnsi="Book Antiqua" w:cs="Times New Roman"/>
          <w:i/>
          <w:sz w:val="24"/>
          <w:szCs w:val="24"/>
        </w:rPr>
        <w:t>et al</w:t>
      </w:r>
      <w:r w:rsidR="00377594">
        <w:rPr>
          <w:rFonts w:ascii="Book Antiqua" w:hAnsi="Book Antiqua" w:cs="Times New Roman" w:hint="eastAsia"/>
          <w:sz w:val="24"/>
          <w:szCs w:val="24"/>
          <w:vertAlign w:val="superscript"/>
          <w:lang w:eastAsia="zh-CN"/>
        </w:rPr>
        <w:t>[12]</w:t>
      </w:r>
      <w:r w:rsidR="00157529" w:rsidRPr="000F1CB4">
        <w:rPr>
          <w:rFonts w:ascii="Book Antiqua" w:eastAsia="Calibri" w:hAnsi="Book Antiqua" w:cs="Times New Roman"/>
          <w:sz w:val="24"/>
          <w:szCs w:val="24"/>
        </w:rPr>
        <w:t xml:space="preserve"> created a modified NASH category</w:t>
      </w:r>
      <w:r w:rsidR="00B21F21" w:rsidRPr="000F1CB4">
        <w:rPr>
          <w:rFonts w:ascii="Book Antiqua" w:eastAsia="Calibri" w:hAnsi="Book Antiqua" w:cs="Times New Roman"/>
          <w:sz w:val="24"/>
          <w:szCs w:val="24"/>
        </w:rPr>
        <w:t>,</w:t>
      </w:r>
      <w:r w:rsidR="00157529" w:rsidRPr="000F1CB4">
        <w:rPr>
          <w:rFonts w:ascii="Book Antiqua" w:eastAsia="Calibri" w:hAnsi="Book Antiqua" w:cs="Times New Roman"/>
          <w:sz w:val="24"/>
          <w:szCs w:val="24"/>
        </w:rPr>
        <w:t xml:space="preserve"> which included patients with</w:t>
      </w:r>
      <w:r w:rsidR="00BE11E9" w:rsidRPr="000F1CB4">
        <w:rPr>
          <w:rFonts w:ascii="Book Antiqua" w:eastAsia="Calibri" w:hAnsi="Book Antiqua" w:cs="Times New Roman"/>
          <w:sz w:val="24"/>
          <w:szCs w:val="24"/>
        </w:rPr>
        <w:t xml:space="preserve"> a formal diagnosis of NASH as well as</w:t>
      </w:r>
      <w:r w:rsidR="002B0193" w:rsidRPr="000F1CB4">
        <w:rPr>
          <w:rFonts w:ascii="Book Antiqua" w:eastAsia="Calibri" w:hAnsi="Book Antiqua" w:cs="Times New Roman"/>
          <w:sz w:val="24"/>
          <w:szCs w:val="24"/>
        </w:rPr>
        <w:t xml:space="preserve"> obese</w:t>
      </w:r>
      <w:r w:rsidR="00BE11E9" w:rsidRPr="000F1CB4">
        <w:rPr>
          <w:rFonts w:ascii="Book Antiqua" w:eastAsia="Calibri" w:hAnsi="Book Antiqua" w:cs="Times New Roman"/>
          <w:sz w:val="24"/>
          <w:szCs w:val="24"/>
        </w:rPr>
        <w:t xml:space="preserve"> patients </w:t>
      </w:r>
      <w:r w:rsidR="00730598" w:rsidRPr="000F1CB4">
        <w:rPr>
          <w:rFonts w:ascii="Book Antiqua" w:eastAsia="Calibri" w:hAnsi="Book Antiqua" w:cs="Times New Roman"/>
          <w:sz w:val="24"/>
          <w:szCs w:val="24"/>
        </w:rPr>
        <w:t>(</w:t>
      </w:r>
      <w:r w:rsidR="00157529" w:rsidRPr="000F1CB4">
        <w:rPr>
          <w:rFonts w:ascii="Book Antiqua" w:eastAsia="Calibri" w:hAnsi="Book Antiqua" w:cs="Times New Roman"/>
          <w:sz w:val="24"/>
          <w:szCs w:val="24"/>
        </w:rPr>
        <w:t>BMI &gt; 30 kg/m</w:t>
      </w:r>
      <w:r w:rsidR="00157529" w:rsidRPr="000F1CB4">
        <w:rPr>
          <w:rFonts w:ascii="Book Antiqua" w:eastAsia="Calibri" w:hAnsi="Book Antiqua" w:cs="Times New Roman"/>
          <w:sz w:val="24"/>
          <w:szCs w:val="24"/>
          <w:vertAlign w:val="superscript"/>
        </w:rPr>
        <w:t>2</w:t>
      </w:r>
      <w:r w:rsidR="00157529" w:rsidRPr="000F1CB4">
        <w:rPr>
          <w:rFonts w:ascii="Book Antiqua" w:eastAsia="Calibri" w:hAnsi="Book Antiqua" w:cs="Times New Roman"/>
          <w:sz w:val="24"/>
          <w:szCs w:val="24"/>
        </w:rPr>
        <w:t>)</w:t>
      </w:r>
      <w:r w:rsidR="00BE11E9" w:rsidRPr="000F1CB4">
        <w:rPr>
          <w:rFonts w:ascii="Book Antiqua" w:eastAsia="Calibri" w:hAnsi="Book Antiqua" w:cs="Times New Roman"/>
          <w:sz w:val="24"/>
          <w:szCs w:val="24"/>
        </w:rPr>
        <w:t xml:space="preserve"> with cryptogenic cirrhosis and obese patients with unknown etiology of HCC. </w:t>
      </w:r>
      <w:r w:rsidR="00917F27" w:rsidRPr="000F1CB4">
        <w:rPr>
          <w:rFonts w:ascii="Book Antiqua" w:eastAsia="Calibri" w:hAnsi="Book Antiqua" w:cs="Times New Roman"/>
          <w:sz w:val="24"/>
          <w:szCs w:val="24"/>
        </w:rPr>
        <w:t>T</w:t>
      </w:r>
      <w:r w:rsidR="00157529" w:rsidRPr="000F1CB4">
        <w:rPr>
          <w:rFonts w:ascii="Book Antiqua" w:eastAsia="Calibri" w:hAnsi="Book Antiqua" w:cs="Times New Roman"/>
          <w:sz w:val="24"/>
          <w:szCs w:val="24"/>
        </w:rPr>
        <w:t xml:space="preserve">he </w:t>
      </w:r>
      <w:r w:rsidR="00157529" w:rsidRPr="000F1CB4">
        <w:rPr>
          <w:rFonts w:ascii="Book Antiqua" w:eastAsia="Calibri" w:hAnsi="Book Antiqua" w:cs="Times New Roman"/>
          <w:sz w:val="24"/>
          <w:szCs w:val="24"/>
        </w:rPr>
        <w:lastRenderedPageBreak/>
        <w:t>proportion of HCC patients undergoing liver transplantation increased from 3.3% in the year 2000 to 23.3% in 2012</w:t>
      </w:r>
      <w:r w:rsidR="00500896" w:rsidRPr="000F1CB4">
        <w:rPr>
          <w:rFonts w:ascii="Book Antiqua" w:eastAsia="Calibri" w:hAnsi="Book Antiqua" w:cs="Times New Roman"/>
          <w:sz w:val="24"/>
          <w:szCs w:val="24"/>
        </w:rPr>
        <w:t xml:space="preserve"> (Table 1)</w:t>
      </w:r>
      <w:r w:rsidR="00157529" w:rsidRPr="000F1CB4">
        <w:rPr>
          <w:rFonts w:ascii="Book Antiqua" w:eastAsia="Calibri" w:hAnsi="Book Antiqua" w:cs="Times New Roman"/>
          <w:sz w:val="24"/>
          <w:szCs w:val="24"/>
        </w:rPr>
        <w:t>. Although HCV remained the leading etiology</w:t>
      </w:r>
      <w:r w:rsidR="00917F27" w:rsidRPr="000F1CB4">
        <w:rPr>
          <w:rFonts w:ascii="Book Antiqua" w:eastAsia="Calibri" w:hAnsi="Book Antiqua" w:cs="Times New Roman"/>
          <w:sz w:val="24"/>
          <w:szCs w:val="24"/>
        </w:rPr>
        <w:t xml:space="preserve"> of HCC</w:t>
      </w:r>
      <w:r w:rsidR="00157529" w:rsidRPr="000F1CB4">
        <w:rPr>
          <w:rFonts w:ascii="Book Antiqua" w:eastAsia="Calibri" w:hAnsi="Book Antiqua" w:cs="Times New Roman"/>
          <w:sz w:val="24"/>
          <w:szCs w:val="24"/>
        </w:rPr>
        <w:t xml:space="preserve">, NASH was found to be the second leading cause of HCC </w:t>
      </w:r>
      <w:r w:rsidR="00917F27" w:rsidRPr="000F1CB4">
        <w:rPr>
          <w:rFonts w:ascii="Book Antiqua" w:eastAsia="Calibri" w:hAnsi="Book Antiqua" w:cs="Times New Roman"/>
          <w:sz w:val="24"/>
          <w:szCs w:val="24"/>
        </w:rPr>
        <w:t xml:space="preserve">in </w:t>
      </w:r>
      <w:r w:rsidR="00157529" w:rsidRPr="000F1CB4">
        <w:rPr>
          <w:rFonts w:ascii="Book Antiqua" w:eastAsia="Calibri" w:hAnsi="Book Antiqua" w:cs="Times New Roman"/>
          <w:sz w:val="24"/>
          <w:szCs w:val="24"/>
        </w:rPr>
        <w:t xml:space="preserve">patients undergoing </w:t>
      </w:r>
      <w:r w:rsidR="00917F27" w:rsidRPr="000F1CB4">
        <w:rPr>
          <w:rFonts w:ascii="Book Antiqua" w:eastAsia="Calibri" w:hAnsi="Book Antiqua" w:cs="Times New Roman"/>
          <w:sz w:val="24"/>
          <w:szCs w:val="24"/>
        </w:rPr>
        <w:t>liver transplantation and the most rapidly growing indication for liver transplantation among patients with HCC</w:t>
      </w:r>
      <w:r w:rsidR="00500896" w:rsidRPr="000F1CB4">
        <w:rPr>
          <w:rFonts w:ascii="Book Antiqua" w:eastAsia="Calibri" w:hAnsi="Book Antiqua" w:cs="Times New Roman"/>
          <w:sz w:val="24"/>
          <w:szCs w:val="24"/>
        </w:rPr>
        <w:t xml:space="preserve"> in</w:t>
      </w:r>
      <w:r w:rsidR="00BF5DCF" w:rsidRPr="000F1CB4">
        <w:rPr>
          <w:rFonts w:ascii="Book Antiqua" w:eastAsia="Calibri" w:hAnsi="Book Antiqua" w:cs="Times New Roman"/>
          <w:sz w:val="24"/>
          <w:szCs w:val="24"/>
        </w:rPr>
        <w:t xml:space="preserve"> the</w:t>
      </w:r>
      <w:r w:rsidR="00500896" w:rsidRPr="000F1CB4">
        <w:rPr>
          <w:rFonts w:ascii="Book Antiqua" w:eastAsia="Calibri" w:hAnsi="Book Antiqua" w:cs="Times New Roman"/>
          <w:sz w:val="24"/>
          <w:szCs w:val="24"/>
        </w:rPr>
        <w:t xml:space="preserve"> </w:t>
      </w:r>
      <w:r w:rsidR="00377594">
        <w:rPr>
          <w:rFonts w:ascii="Book Antiqua" w:eastAsia="Calibri" w:hAnsi="Book Antiqua" w:cs="Times New Roman"/>
          <w:sz w:val="24"/>
          <w:szCs w:val="24"/>
        </w:rPr>
        <w:t>United States</w:t>
      </w:r>
      <w:r w:rsidR="00D36C84">
        <w:rPr>
          <w:rFonts w:ascii="Book Antiqua" w:hAnsi="Book Antiqua" w:cs="Times New Roman" w:hint="eastAsia"/>
          <w:sz w:val="24"/>
          <w:szCs w:val="24"/>
          <w:lang w:eastAsia="zh-CN"/>
        </w:rPr>
        <w:t>.</w:t>
      </w:r>
      <w:r w:rsidR="00377594" w:rsidRPr="000F1CB4">
        <w:rPr>
          <w:rFonts w:ascii="Book Antiqua" w:eastAsia="Calibri" w:hAnsi="Book Antiqua" w:cs="Times New Roman"/>
          <w:sz w:val="24"/>
          <w:szCs w:val="24"/>
        </w:rPr>
        <w:t xml:space="preserve"> </w:t>
      </w:r>
      <w:r w:rsidR="00CB7152" w:rsidRPr="000F1CB4">
        <w:rPr>
          <w:rFonts w:ascii="Book Antiqua" w:eastAsia="Calibri" w:hAnsi="Book Antiqua" w:cs="Times New Roman"/>
          <w:sz w:val="24"/>
          <w:szCs w:val="24"/>
        </w:rPr>
        <w:t>Yet,</w:t>
      </w:r>
      <w:r w:rsidR="00056EE0" w:rsidRPr="000F1CB4">
        <w:rPr>
          <w:rFonts w:ascii="Book Antiqua" w:eastAsia="Calibri" w:hAnsi="Book Antiqua" w:cs="Times New Roman"/>
          <w:sz w:val="24"/>
          <w:szCs w:val="24"/>
        </w:rPr>
        <w:t xml:space="preserve"> despite increased rates of liver transplantation among patients with NASH, these patients have poorer liver transplant waitlist survival and are less likely to undergo liver transplantation than patients with HCV or alcoh</w:t>
      </w:r>
      <w:r w:rsidR="009402C0" w:rsidRPr="000F1CB4">
        <w:rPr>
          <w:rFonts w:ascii="Book Antiqua" w:eastAsia="Calibri" w:hAnsi="Book Antiqua" w:cs="Times New Roman"/>
          <w:sz w:val="24"/>
          <w:szCs w:val="24"/>
        </w:rPr>
        <w:t>olic liver disease</w:t>
      </w:r>
      <w:r w:rsidR="00377594" w:rsidRPr="000F1CB4">
        <w:rPr>
          <w:rFonts w:ascii="Book Antiqua" w:eastAsia="Calibri" w:hAnsi="Book Antiqua" w:cs="Times New Roman"/>
          <w:sz w:val="24"/>
          <w:szCs w:val="24"/>
          <w:vertAlign w:val="superscript"/>
        </w:rPr>
        <w:t>[13]</w:t>
      </w:r>
      <w:r w:rsidR="00500896" w:rsidRPr="000F1CB4">
        <w:rPr>
          <w:rFonts w:ascii="Book Antiqua" w:eastAsia="Calibri" w:hAnsi="Book Antiqua" w:cs="Times New Roman"/>
          <w:sz w:val="24"/>
          <w:szCs w:val="24"/>
        </w:rPr>
        <w:t xml:space="preserve">. </w:t>
      </w:r>
    </w:p>
    <w:p w14:paraId="3ED6F1E5" w14:textId="77777777" w:rsidR="00500896" w:rsidRPr="000F1CB4" w:rsidRDefault="00500896" w:rsidP="000F1CB4">
      <w:pPr>
        <w:spacing w:after="0" w:line="360" w:lineRule="auto"/>
        <w:jc w:val="both"/>
        <w:rPr>
          <w:rFonts w:ascii="Book Antiqua" w:eastAsia="Calibri" w:hAnsi="Book Antiqua" w:cs="Times New Roman"/>
          <w:sz w:val="24"/>
          <w:szCs w:val="24"/>
        </w:rPr>
      </w:pPr>
    </w:p>
    <w:p w14:paraId="570ABDF3" w14:textId="6D0F6692" w:rsidR="00C03C0E" w:rsidRPr="00377594" w:rsidRDefault="00377594" w:rsidP="000F1CB4">
      <w:pPr>
        <w:spacing w:after="0" w:line="360" w:lineRule="auto"/>
        <w:jc w:val="both"/>
        <w:rPr>
          <w:rFonts w:ascii="Book Antiqua" w:hAnsi="Book Antiqua" w:cs="Times New Roman"/>
          <w:b/>
          <w:sz w:val="24"/>
          <w:szCs w:val="24"/>
        </w:rPr>
      </w:pPr>
      <w:r w:rsidRPr="00377594">
        <w:rPr>
          <w:rFonts w:ascii="Book Antiqua" w:eastAsia="Calibri" w:hAnsi="Book Antiqua" w:cs="Times New Roman"/>
          <w:b/>
          <w:sz w:val="24"/>
          <w:szCs w:val="24"/>
        </w:rPr>
        <w:t xml:space="preserve">RISK FACTORS FOR </w:t>
      </w:r>
      <w:r w:rsidRPr="00377594">
        <w:rPr>
          <w:rFonts w:ascii="Book Antiqua" w:hAnsi="Book Antiqua" w:cs="Times New Roman"/>
          <w:b/>
          <w:sz w:val="24"/>
          <w:szCs w:val="24"/>
        </w:rPr>
        <w:t>NASH-RELATED HCC</w:t>
      </w:r>
    </w:p>
    <w:p w14:paraId="5225F25C" w14:textId="7638447B" w:rsidR="00C03C0E" w:rsidRPr="000F1CB4" w:rsidRDefault="00C03C0E" w:rsidP="000F1CB4">
      <w:pPr>
        <w:kinsoku w:val="0"/>
        <w:overflowPunct w:val="0"/>
        <w:spacing w:after="0" w:line="360" w:lineRule="auto"/>
        <w:contextualSpacing/>
        <w:jc w:val="both"/>
        <w:textAlignment w:val="baseline"/>
        <w:rPr>
          <w:rFonts w:ascii="Book Antiqua" w:eastAsia="Times New Roman" w:hAnsi="Book Antiqua" w:cs="Times New Roman"/>
          <w:sz w:val="24"/>
          <w:szCs w:val="24"/>
        </w:rPr>
      </w:pPr>
      <w:r w:rsidRPr="000F1CB4">
        <w:rPr>
          <w:rFonts w:ascii="Book Antiqua" w:hAnsi="Book Antiqua"/>
          <w:sz w:val="24"/>
          <w:szCs w:val="24"/>
        </w:rPr>
        <w:t>The remarkable increase in the number of HCC cases in developed countrie</w:t>
      </w:r>
      <w:r w:rsidR="002B0193" w:rsidRPr="000F1CB4">
        <w:rPr>
          <w:rFonts w:ascii="Book Antiqua" w:hAnsi="Book Antiqua"/>
          <w:sz w:val="24"/>
          <w:szCs w:val="24"/>
        </w:rPr>
        <w:t>s is</w:t>
      </w:r>
      <w:r w:rsidRPr="000F1CB4">
        <w:rPr>
          <w:rFonts w:ascii="Book Antiqua" w:hAnsi="Book Antiqua"/>
          <w:sz w:val="24"/>
          <w:szCs w:val="24"/>
        </w:rPr>
        <w:t xml:space="preserve"> linked to </w:t>
      </w:r>
      <w:r w:rsidR="007D6497" w:rsidRPr="000F1CB4">
        <w:rPr>
          <w:rFonts w:ascii="Book Antiqua" w:hAnsi="Book Antiqua"/>
          <w:sz w:val="24"/>
          <w:szCs w:val="24"/>
        </w:rPr>
        <w:t>several important risk factors. H</w:t>
      </w:r>
      <w:r w:rsidRPr="000F1CB4">
        <w:rPr>
          <w:rFonts w:ascii="Book Antiqua" w:hAnsi="Book Antiqua"/>
          <w:sz w:val="24"/>
          <w:szCs w:val="24"/>
        </w:rPr>
        <w:t xml:space="preserve">alf of the new cases of HCC are </w:t>
      </w:r>
      <w:r w:rsidR="00AF132F" w:rsidRPr="000F1CB4">
        <w:rPr>
          <w:rFonts w:ascii="Book Antiqua" w:hAnsi="Book Antiqua"/>
          <w:sz w:val="24"/>
          <w:szCs w:val="24"/>
        </w:rPr>
        <w:t xml:space="preserve">attributable </w:t>
      </w:r>
      <w:r w:rsidRPr="000F1CB4">
        <w:rPr>
          <w:rFonts w:ascii="Book Antiqua" w:hAnsi="Book Antiqua"/>
          <w:sz w:val="24"/>
          <w:szCs w:val="24"/>
        </w:rPr>
        <w:t>to HCV</w:t>
      </w:r>
      <w:r w:rsidR="00AF132F" w:rsidRPr="000F1CB4">
        <w:rPr>
          <w:rFonts w:ascii="Book Antiqua" w:hAnsi="Book Antiqua"/>
          <w:sz w:val="24"/>
          <w:szCs w:val="24"/>
        </w:rPr>
        <w:t>,</w:t>
      </w:r>
      <w:r w:rsidRPr="000F1CB4">
        <w:rPr>
          <w:rFonts w:ascii="Book Antiqua" w:hAnsi="Book Antiqua"/>
          <w:sz w:val="24"/>
          <w:szCs w:val="24"/>
        </w:rPr>
        <w:t xml:space="preserve"> wh</w:t>
      </w:r>
      <w:r w:rsidR="00AF132F" w:rsidRPr="000F1CB4">
        <w:rPr>
          <w:rFonts w:ascii="Book Antiqua" w:hAnsi="Book Antiqua"/>
          <w:sz w:val="24"/>
          <w:szCs w:val="24"/>
        </w:rPr>
        <w:t>ereas</w:t>
      </w:r>
      <w:r w:rsidRPr="000F1CB4">
        <w:rPr>
          <w:rFonts w:ascii="Book Antiqua" w:hAnsi="Book Antiqua"/>
          <w:sz w:val="24"/>
          <w:szCs w:val="24"/>
        </w:rPr>
        <w:t xml:space="preserve"> the etiology of cirrhosis leading to HCC in 15</w:t>
      </w:r>
      <w:r w:rsidR="00A806C2">
        <w:rPr>
          <w:rFonts w:ascii="Book Antiqua" w:hAnsi="Book Antiqua" w:hint="eastAsia"/>
          <w:sz w:val="24"/>
          <w:szCs w:val="24"/>
          <w:lang w:eastAsia="zh-CN"/>
        </w:rPr>
        <w:t>%</w:t>
      </w:r>
      <w:r w:rsidRPr="000F1CB4">
        <w:rPr>
          <w:rFonts w:ascii="Book Antiqua" w:hAnsi="Book Antiqua"/>
          <w:sz w:val="24"/>
          <w:szCs w:val="24"/>
        </w:rPr>
        <w:t xml:space="preserve">-50% of new cases remains </w:t>
      </w:r>
      <w:proofErr w:type="gramStart"/>
      <w:r w:rsidRPr="000F1CB4">
        <w:rPr>
          <w:rFonts w:ascii="Book Antiqua" w:hAnsi="Book Antiqua"/>
          <w:sz w:val="24"/>
          <w:szCs w:val="24"/>
        </w:rPr>
        <w:t>unclear</w:t>
      </w:r>
      <w:r w:rsidR="00A806C2">
        <w:rPr>
          <w:rFonts w:ascii="Book Antiqua" w:hAnsi="Book Antiqua"/>
          <w:sz w:val="24"/>
          <w:szCs w:val="24"/>
          <w:vertAlign w:val="superscript"/>
        </w:rPr>
        <w:t>[</w:t>
      </w:r>
      <w:proofErr w:type="gramEnd"/>
      <w:r w:rsidR="00A806C2">
        <w:rPr>
          <w:rFonts w:ascii="Book Antiqua" w:hAnsi="Book Antiqua"/>
          <w:sz w:val="24"/>
          <w:szCs w:val="24"/>
          <w:vertAlign w:val="superscript"/>
        </w:rPr>
        <w:t>1,</w:t>
      </w:r>
      <w:r w:rsidR="00A806C2" w:rsidRPr="000F1CB4">
        <w:rPr>
          <w:rFonts w:ascii="Book Antiqua" w:hAnsi="Book Antiqua"/>
          <w:sz w:val="24"/>
          <w:szCs w:val="24"/>
          <w:vertAlign w:val="superscript"/>
        </w:rPr>
        <w:t>6]</w:t>
      </w:r>
      <w:r w:rsidRPr="000F1CB4">
        <w:rPr>
          <w:rFonts w:ascii="Book Antiqua" w:hAnsi="Book Antiqua"/>
          <w:sz w:val="24"/>
          <w:szCs w:val="24"/>
        </w:rPr>
        <w:t xml:space="preserve">. With the growing burden of obesity and </w:t>
      </w:r>
      <w:r w:rsidR="005D1AE1" w:rsidRPr="000F1CB4">
        <w:rPr>
          <w:rFonts w:ascii="Book Antiqua" w:hAnsi="Book Antiqua"/>
          <w:sz w:val="24"/>
          <w:szCs w:val="24"/>
        </w:rPr>
        <w:t xml:space="preserve">DM </w:t>
      </w:r>
      <w:r w:rsidRPr="000F1CB4">
        <w:rPr>
          <w:rFonts w:ascii="Book Antiqua" w:hAnsi="Book Antiqua"/>
          <w:sz w:val="24"/>
          <w:szCs w:val="24"/>
        </w:rPr>
        <w:t xml:space="preserve">in developed countries leading to NAFLD and NASH, there is </w:t>
      </w:r>
      <w:r w:rsidR="00FD60F3" w:rsidRPr="000F1CB4">
        <w:rPr>
          <w:rFonts w:ascii="Book Antiqua" w:hAnsi="Book Antiqua"/>
          <w:sz w:val="24"/>
          <w:szCs w:val="24"/>
        </w:rPr>
        <w:t>cumulative</w:t>
      </w:r>
      <w:r w:rsidR="007D6497" w:rsidRPr="000F1CB4">
        <w:rPr>
          <w:rFonts w:ascii="Book Antiqua" w:hAnsi="Book Antiqua"/>
          <w:sz w:val="24"/>
          <w:szCs w:val="24"/>
        </w:rPr>
        <w:t xml:space="preserve"> evidence suggesting</w:t>
      </w:r>
      <w:r w:rsidRPr="000F1CB4">
        <w:rPr>
          <w:rFonts w:ascii="Book Antiqua" w:hAnsi="Book Antiqua"/>
          <w:sz w:val="24"/>
          <w:szCs w:val="24"/>
        </w:rPr>
        <w:t xml:space="preserve"> that NASH may account for a large proportion of these</w:t>
      </w:r>
      <w:r w:rsidR="00AF132F" w:rsidRPr="000F1CB4">
        <w:rPr>
          <w:rFonts w:ascii="Book Antiqua" w:hAnsi="Book Antiqua"/>
          <w:sz w:val="24"/>
          <w:szCs w:val="24"/>
        </w:rPr>
        <w:t xml:space="preserve"> cases of</w:t>
      </w:r>
      <w:r w:rsidRPr="000F1CB4">
        <w:rPr>
          <w:rFonts w:ascii="Book Antiqua" w:hAnsi="Book Antiqua"/>
          <w:sz w:val="24"/>
          <w:szCs w:val="24"/>
        </w:rPr>
        <w:t xml:space="preserve"> idiopathic or cryptogenic </w:t>
      </w:r>
      <w:proofErr w:type="gramStart"/>
      <w:r w:rsidRPr="000F1CB4">
        <w:rPr>
          <w:rFonts w:ascii="Book Antiqua" w:hAnsi="Book Antiqua"/>
          <w:sz w:val="24"/>
          <w:szCs w:val="24"/>
        </w:rPr>
        <w:t>cirrhosis</w:t>
      </w:r>
      <w:r w:rsidR="002244AF">
        <w:rPr>
          <w:rFonts w:ascii="Book Antiqua" w:hAnsi="Book Antiqua"/>
          <w:sz w:val="24"/>
          <w:szCs w:val="24"/>
          <w:vertAlign w:val="superscript"/>
        </w:rPr>
        <w:t>[</w:t>
      </w:r>
      <w:proofErr w:type="gramEnd"/>
      <w:r w:rsidR="002244AF">
        <w:rPr>
          <w:rFonts w:ascii="Book Antiqua" w:hAnsi="Book Antiqua"/>
          <w:sz w:val="24"/>
          <w:szCs w:val="24"/>
          <w:vertAlign w:val="superscript"/>
        </w:rPr>
        <w:t>1,</w:t>
      </w:r>
      <w:r w:rsidR="002244AF" w:rsidRPr="000F1CB4">
        <w:rPr>
          <w:rFonts w:ascii="Book Antiqua" w:hAnsi="Book Antiqua"/>
          <w:sz w:val="24"/>
          <w:szCs w:val="24"/>
          <w:vertAlign w:val="superscript"/>
        </w:rPr>
        <w:t>14]</w:t>
      </w:r>
      <w:r w:rsidRPr="000F1CB4">
        <w:rPr>
          <w:rFonts w:ascii="Book Antiqua" w:hAnsi="Book Antiqua"/>
          <w:sz w:val="24"/>
          <w:szCs w:val="24"/>
        </w:rPr>
        <w:t>.</w:t>
      </w:r>
      <w:r w:rsidR="00FD78D5" w:rsidRPr="000F1CB4">
        <w:rPr>
          <w:rFonts w:ascii="Book Antiqua" w:hAnsi="Book Antiqua"/>
          <w:sz w:val="24"/>
          <w:szCs w:val="24"/>
        </w:rPr>
        <w:t xml:space="preserve"> </w:t>
      </w:r>
      <w:r w:rsidR="00AF132F" w:rsidRPr="000F1CB4">
        <w:rPr>
          <w:rFonts w:ascii="Book Antiqua" w:hAnsi="Book Antiqua"/>
          <w:sz w:val="24"/>
          <w:szCs w:val="24"/>
        </w:rPr>
        <w:t>NASH-</w:t>
      </w:r>
      <w:r w:rsidR="00CB0D4A" w:rsidRPr="000F1CB4">
        <w:rPr>
          <w:rFonts w:ascii="Book Antiqua" w:hAnsi="Book Antiqua"/>
          <w:sz w:val="24"/>
          <w:szCs w:val="24"/>
        </w:rPr>
        <w:t>related HCC</w:t>
      </w:r>
      <w:r w:rsidR="00FD78D5" w:rsidRPr="000F1CB4">
        <w:rPr>
          <w:rFonts w:ascii="Book Antiqua" w:hAnsi="Book Antiqua"/>
          <w:sz w:val="24"/>
          <w:szCs w:val="24"/>
        </w:rPr>
        <w:t xml:space="preserve"> patients undergoing liver transplantation have significantly higher rates of </w:t>
      </w:r>
      <w:r w:rsidR="005D1AE1" w:rsidRPr="000F1CB4">
        <w:rPr>
          <w:rFonts w:ascii="Book Antiqua" w:hAnsi="Book Antiqua"/>
          <w:sz w:val="24"/>
          <w:szCs w:val="24"/>
        </w:rPr>
        <w:t xml:space="preserve">DM </w:t>
      </w:r>
      <w:r w:rsidR="00FD78D5" w:rsidRPr="000F1CB4">
        <w:rPr>
          <w:rFonts w:ascii="Book Antiqua" w:hAnsi="Book Antiqua"/>
          <w:sz w:val="24"/>
          <w:szCs w:val="24"/>
        </w:rPr>
        <w:t>and higher BMI</w:t>
      </w:r>
      <w:r w:rsidR="00A806C2" w:rsidRPr="000F1CB4">
        <w:rPr>
          <w:rFonts w:ascii="Book Antiqua" w:hAnsi="Book Antiqua"/>
          <w:sz w:val="24"/>
          <w:szCs w:val="24"/>
          <w:vertAlign w:val="superscript"/>
        </w:rPr>
        <w:t>[12]</w:t>
      </w:r>
      <w:r w:rsidR="00FD78D5" w:rsidRPr="000F1CB4">
        <w:rPr>
          <w:rFonts w:ascii="Book Antiqua" w:hAnsi="Book Antiqua"/>
          <w:sz w:val="24"/>
          <w:szCs w:val="24"/>
        </w:rPr>
        <w:t>.</w:t>
      </w:r>
      <w:r w:rsidR="0016261F" w:rsidRPr="000F1CB4">
        <w:rPr>
          <w:rFonts w:ascii="Book Antiqua" w:hAnsi="Book Antiqua"/>
          <w:sz w:val="24"/>
          <w:szCs w:val="24"/>
        </w:rPr>
        <w:t xml:space="preserve"> Similar to </w:t>
      </w:r>
      <w:r w:rsidR="00890A94" w:rsidRPr="000F1CB4">
        <w:rPr>
          <w:rFonts w:ascii="Book Antiqua" w:hAnsi="Book Antiqua"/>
          <w:sz w:val="24"/>
          <w:szCs w:val="24"/>
        </w:rPr>
        <w:t xml:space="preserve">the </w:t>
      </w:r>
      <w:r w:rsidR="0016261F" w:rsidRPr="000F1CB4">
        <w:rPr>
          <w:rFonts w:ascii="Book Antiqua" w:hAnsi="Book Antiqua"/>
          <w:sz w:val="24"/>
          <w:szCs w:val="24"/>
        </w:rPr>
        <w:t>NASH population</w:t>
      </w:r>
      <w:r w:rsidRPr="000F1CB4">
        <w:rPr>
          <w:rFonts w:ascii="Book Antiqua" w:hAnsi="Book Antiqua"/>
          <w:sz w:val="24"/>
          <w:szCs w:val="24"/>
        </w:rPr>
        <w:t xml:space="preserve">, </w:t>
      </w:r>
      <w:r w:rsidR="007D6497" w:rsidRPr="000F1CB4">
        <w:rPr>
          <w:rFonts w:ascii="Book Antiqua" w:hAnsi="Book Antiqua"/>
          <w:sz w:val="24"/>
          <w:szCs w:val="24"/>
        </w:rPr>
        <w:t>p</w:t>
      </w:r>
      <w:r w:rsidRPr="000F1CB4">
        <w:rPr>
          <w:rFonts w:ascii="Book Antiqua" w:hAnsi="Book Antiqua"/>
          <w:sz w:val="24"/>
          <w:szCs w:val="24"/>
        </w:rPr>
        <w:t xml:space="preserve">atients with </w:t>
      </w:r>
      <w:r w:rsidR="00AF132F" w:rsidRPr="000F1CB4">
        <w:rPr>
          <w:rFonts w:ascii="Book Antiqua" w:hAnsi="Book Antiqua"/>
          <w:sz w:val="24"/>
          <w:szCs w:val="24"/>
        </w:rPr>
        <w:t xml:space="preserve">cryptogenic cirrhosis </w:t>
      </w:r>
      <w:r w:rsidRPr="000F1CB4">
        <w:rPr>
          <w:rFonts w:ascii="Book Antiqua" w:hAnsi="Book Antiqua"/>
          <w:sz w:val="24"/>
          <w:szCs w:val="24"/>
        </w:rPr>
        <w:t xml:space="preserve">have a high prevalence of obesity and </w:t>
      </w:r>
      <w:r w:rsidR="005D1AE1" w:rsidRPr="000F1CB4">
        <w:rPr>
          <w:rFonts w:ascii="Book Antiqua" w:hAnsi="Book Antiqua"/>
          <w:sz w:val="24"/>
          <w:szCs w:val="24"/>
        </w:rPr>
        <w:t xml:space="preserve">DM </w:t>
      </w:r>
      <w:r w:rsidR="00FD78D5" w:rsidRPr="000F1CB4">
        <w:rPr>
          <w:rFonts w:ascii="Book Antiqua" w:hAnsi="Book Antiqua"/>
          <w:sz w:val="24"/>
          <w:szCs w:val="24"/>
        </w:rPr>
        <w:t xml:space="preserve">as </w:t>
      </w:r>
      <w:r w:rsidR="00FD78D5" w:rsidRPr="000F1CB4">
        <w:rPr>
          <w:rFonts w:ascii="Book Antiqua" w:hAnsi="Book Antiqua" w:cs="Times New Roman"/>
          <w:sz w:val="24"/>
          <w:szCs w:val="24"/>
        </w:rPr>
        <w:t>well</w:t>
      </w:r>
      <w:r w:rsidR="00793DCD" w:rsidRPr="000F1CB4">
        <w:rPr>
          <w:rFonts w:ascii="Book Antiqua" w:hAnsi="Book Antiqua" w:cs="Times New Roman"/>
          <w:sz w:val="24"/>
          <w:szCs w:val="24"/>
        </w:rPr>
        <w:t xml:space="preserve">. </w:t>
      </w:r>
      <w:r w:rsidR="00504E2A" w:rsidRPr="000F1CB4">
        <w:rPr>
          <w:rFonts w:ascii="Book Antiqua" w:hAnsi="Book Antiqua"/>
          <w:sz w:val="24"/>
          <w:szCs w:val="24"/>
        </w:rPr>
        <w:t>A</w:t>
      </w:r>
      <w:r w:rsidR="00D52E0A" w:rsidRPr="000F1CB4">
        <w:rPr>
          <w:rFonts w:ascii="Book Antiqua" w:hAnsi="Book Antiqua"/>
          <w:sz w:val="24"/>
          <w:szCs w:val="24"/>
        </w:rPr>
        <w:t>dditionally, a</w:t>
      </w:r>
      <w:r w:rsidR="00FF5B02" w:rsidRPr="000F1CB4">
        <w:rPr>
          <w:rFonts w:ascii="Book Antiqua" w:hAnsi="Book Antiqua"/>
          <w:sz w:val="24"/>
          <w:szCs w:val="24"/>
        </w:rPr>
        <w:t xml:space="preserve"> significant number of liver transplant recipients with </w:t>
      </w:r>
      <w:r w:rsidR="00504E2A" w:rsidRPr="000F1CB4">
        <w:rPr>
          <w:rFonts w:ascii="Book Antiqua" w:hAnsi="Book Antiqua"/>
          <w:sz w:val="24"/>
          <w:szCs w:val="24"/>
        </w:rPr>
        <w:t>cryptogeni</w:t>
      </w:r>
      <w:r w:rsidR="00FF5B02" w:rsidRPr="000F1CB4">
        <w:rPr>
          <w:rFonts w:ascii="Book Antiqua" w:hAnsi="Book Antiqua"/>
          <w:sz w:val="24"/>
          <w:szCs w:val="24"/>
        </w:rPr>
        <w:t xml:space="preserve">c cirrhosis </w:t>
      </w:r>
      <w:r w:rsidR="00D52E0A" w:rsidRPr="000F1CB4">
        <w:rPr>
          <w:rFonts w:ascii="Book Antiqua" w:hAnsi="Book Antiqua"/>
          <w:sz w:val="24"/>
          <w:szCs w:val="24"/>
        </w:rPr>
        <w:t xml:space="preserve">develop NAFLD </w:t>
      </w:r>
      <w:r w:rsidR="0002319C" w:rsidRPr="000F1CB4">
        <w:rPr>
          <w:rFonts w:ascii="Book Antiqua" w:hAnsi="Book Antiqua"/>
          <w:sz w:val="24"/>
          <w:szCs w:val="24"/>
        </w:rPr>
        <w:t>(25.4</w:t>
      </w:r>
      <w:r w:rsidR="00D52E0A" w:rsidRPr="000F1CB4">
        <w:rPr>
          <w:rFonts w:ascii="Book Antiqua" w:hAnsi="Book Antiqua"/>
          <w:sz w:val="24"/>
          <w:szCs w:val="24"/>
        </w:rPr>
        <w:t xml:space="preserve"> </w:t>
      </w:r>
      <w:r w:rsidR="0002319C" w:rsidRPr="000F1CB4">
        <w:rPr>
          <w:rFonts w:ascii="Book Antiqua" w:hAnsi="Book Antiqua"/>
          <w:sz w:val="24"/>
          <w:szCs w:val="24"/>
        </w:rPr>
        <w:t>%)</w:t>
      </w:r>
      <w:r w:rsidR="00D52E0A" w:rsidRPr="000F1CB4">
        <w:rPr>
          <w:rFonts w:ascii="Book Antiqua" w:hAnsi="Book Antiqua"/>
          <w:sz w:val="24"/>
          <w:szCs w:val="24"/>
        </w:rPr>
        <w:t xml:space="preserve"> or NASH (15.7</w:t>
      </w:r>
      <w:r w:rsidR="0002319C" w:rsidRPr="000F1CB4">
        <w:rPr>
          <w:rFonts w:ascii="Book Antiqua" w:hAnsi="Book Antiqua"/>
          <w:sz w:val="24"/>
          <w:szCs w:val="24"/>
        </w:rPr>
        <w:t>%)</w:t>
      </w:r>
      <w:r w:rsidR="00FF5B02" w:rsidRPr="000F1CB4">
        <w:rPr>
          <w:rFonts w:ascii="Book Antiqua" w:hAnsi="Book Antiqua"/>
          <w:sz w:val="24"/>
          <w:szCs w:val="24"/>
        </w:rPr>
        <w:t xml:space="preserve"> within </w:t>
      </w:r>
      <w:r w:rsidR="00256749" w:rsidRPr="000F1CB4">
        <w:rPr>
          <w:rFonts w:ascii="Book Antiqua" w:hAnsi="Book Antiqua"/>
          <w:sz w:val="24"/>
          <w:szCs w:val="24"/>
        </w:rPr>
        <w:t>2</w:t>
      </w:r>
      <w:r w:rsidR="00FF5B02" w:rsidRPr="000F1CB4">
        <w:rPr>
          <w:rFonts w:ascii="Book Antiqua" w:hAnsi="Book Antiqua"/>
          <w:sz w:val="24"/>
          <w:szCs w:val="24"/>
        </w:rPr>
        <w:t xml:space="preserve"> years following </w:t>
      </w:r>
      <w:r w:rsidR="0002319C" w:rsidRPr="000F1CB4">
        <w:rPr>
          <w:rFonts w:ascii="Book Antiqua" w:hAnsi="Book Antiqua"/>
          <w:sz w:val="24"/>
          <w:szCs w:val="24"/>
        </w:rPr>
        <w:t>transplant</w:t>
      </w:r>
      <w:r w:rsidR="00256749" w:rsidRPr="000F1CB4">
        <w:rPr>
          <w:rFonts w:ascii="Book Antiqua" w:hAnsi="Book Antiqua"/>
          <w:sz w:val="24"/>
          <w:szCs w:val="24"/>
        </w:rPr>
        <w:t xml:space="preserve"> </w:t>
      </w:r>
      <w:proofErr w:type="gramStart"/>
      <w:r w:rsidR="00256749" w:rsidRPr="000F1CB4">
        <w:rPr>
          <w:rFonts w:ascii="Book Antiqua" w:hAnsi="Book Antiqua"/>
          <w:sz w:val="24"/>
          <w:szCs w:val="24"/>
        </w:rPr>
        <w:t>surgery</w:t>
      </w:r>
      <w:r w:rsidR="00A806C2" w:rsidRPr="000F1CB4">
        <w:rPr>
          <w:rFonts w:ascii="Book Antiqua" w:hAnsi="Book Antiqua"/>
          <w:sz w:val="24"/>
          <w:szCs w:val="24"/>
          <w:vertAlign w:val="superscript"/>
        </w:rPr>
        <w:t>[</w:t>
      </w:r>
      <w:proofErr w:type="gramEnd"/>
      <w:r w:rsidR="00A806C2" w:rsidRPr="000F1CB4">
        <w:rPr>
          <w:rFonts w:ascii="Book Antiqua" w:hAnsi="Book Antiqua"/>
          <w:sz w:val="24"/>
          <w:szCs w:val="24"/>
          <w:vertAlign w:val="superscript"/>
        </w:rPr>
        <w:t>15]</w:t>
      </w:r>
      <w:r w:rsidR="00D52E0A" w:rsidRPr="000F1CB4">
        <w:rPr>
          <w:rFonts w:ascii="Book Antiqua" w:hAnsi="Book Antiqua"/>
          <w:sz w:val="24"/>
          <w:szCs w:val="24"/>
        </w:rPr>
        <w:t xml:space="preserve">. This </w:t>
      </w:r>
      <w:r w:rsidR="00256749" w:rsidRPr="000F1CB4">
        <w:rPr>
          <w:rFonts w:ascii="Book Antiqua" w:hAnsi="Book Antiqua"/>
          <w:sz w:val="24"/>
          <w:szCs w:val="24"/>
        </w:rPr>
        <w:t xml:space="preserve">provides further support </w:t>
      </w:r>
      <w:r w:rsidR="00D52E0A" w:rsidRPr="000F1CB4">
        <w:rPr>
          <w:rFonts w:ascii="Book Antiqua" w:hAnsi="Book Antiqua"/>
          <w:sz w:val="24"/>
          <w:szCs w:val="24"/>
        </w:rPr>
        <w:t xml:space="preserve">that patients with end stage or burned out NASH are potentially being misclassified </w:t>
      </w:r>
      <w:r w:rsidR="00AF132F" w:rsidRPr="000F1CB4">
        <w:rPr>
          <w:rFonts w:ascii="Book Antiqua" w:hAnsi="Book Antiqua"/>
          <w:sz w:val="24"/>
          <w:szCs w:val="24"/>
        </w:rPr>
        <w:t xml:space="preserve">with </w:t>
      </w:r>
      <w:r w:rsidR="00D52E0A" w:rsidRPr="000F1CB4">
        <w:rPr>
          <w:rFonts w:ascii="Book Antiqua" w:hAnsi="Book Antiqua"/>
          <w:sz w:val="24"/>
          <w:szCs w:val="24"/>
        </w:rPr>
        <w:t>cryptogenic cirrhosis.</w:t>
      </w:r>
      <w:r w:rsidR="006026B1" w:rsidRPr="000F1CB4">
        <w:rPr>
          <w:rFonts w:ascii="Book Antiqua" w:hAnsi="Book Antiqua" w:cs="Times New Roman"/>
          <w:sz w:val="24"/>
          <w:szCs w:val="24"/>
        </w:rPr>
        <w:t xml:space="preserve"> Typically, in patients with NASH-related cirrhosis characteristic histologic features of NASH</w:t>
      </w:r>
      <w:r w:rsidR="005B07B4" w:rsidRPr="000F1CB4">
        <w:rPr>
          <w:rFonts w:ascii="Book Antiqua" w:hAnsi="Book Antiqua" w:cs="Times New Roman"/>
          <w:sz w:val="24"/>
          <w:szCs w:val="24"/>
        </w:rPr>
        <w:t xml:space="preserve">, </w:t>
      </w:r>
      <w:r w:rsidR="006026B1" w:rsidRPr="000F1CB4">
        <w:rPr>
          <w:rFonts w:ascii="Book Antiqua" w:hAnsi="Book Antiqua" w:cs="Times New Roman"/>
          <w:sz w:val="24"/>
          <w:szCs w:val="24"/>
        </w:rPr>
        <w:t xml:space="preserve">including </w:t>
      </w:r>
      <w:r w:rsidR="006026B1" w:rsidRPr="000F1CB4">
        <w:rPr>
          <w:rFonts w:ascii="Book Antiqua" w:eastAsia="MS PGothic" w:hAnsi="Book Antiqua" w:cs="Times New Roman"/>
          <w:kern w:val="24"/>
          <w:sz w:val="24"/>
          <w:szCs w:val="24"/>
        </w:rPr>
        <w:t>s</w:t>
      </w:r>
      <w:r w:rsidR="00A23DDC" w:rsidRPr="000F1CB4">
        <w:rPr>
          <w:rFonts w:ascii="Book Antiqua" w:eastAsia="MS PGothic" w:hAnsi="Book Antiqua" w:cs="Times New Roman"/>
          <w:kern w:val="24"/>
          <w:sz w:val="24"/>
          <w:szCs w:val="24"/>
        </w:rPr>
        <w:t xml:space="preserve">teatosis, lobular inflammation, </w:t>
      </w:r>
      <w:r w:rsidR="006026B1" w:rsidRPr="000F1CB4">
        <w:rPr>
          <w:rFonts w:ascii="Book Antiqua" w:eastAsia="MS PGothic" w:hAnsi="Book Antiqua" w:cs="Times New Roman"/>
          <w:bCs/>
          <w:kern w:val="24"/>
          <w:sz w:val="24"/>
          <w:szCs w:val="24"/>
        </w:rPr>
        <w:t>balloon degeneration</w:t>
      </w:r>
      <w:r w:rsidR="00A23DDC" w:rsidRPr="000F1CB4">
        <w:rPr>
          <w:rFonts w:ascii="Book Antiqua" w:eastAsia="MS PGothic" w:hAnsi="Book Antiqua" w:cs="Times New Roman"/>
          <w:kern w:val="24"/>
          <w:sz w:val="24"/>
          <w:szCs w:val="24"/>
        </w:rPr>
        <w:t>, necrosis and M</w:t>
      </w:r>
      <w:r w:rsidR="006026B1" w:rsidRPr="000F1CB4">
        <w:rPr>
          <w:rFonts w:ascii="Book Antiqua" w:eastAsia="MS PGothic" w:hAnsi="Book Antiqua" w:cs="Times New Roman"/>
          <w:kern w:val="24"/>
          <w:sz w:val="24"/>
          <w:szCs w:val="24"/>
        </w:rPr>
        <w:t>allory bodies in zone 3</w:t>
      </w:r>
      <w:r w:rsidR="006026B1" w:rsidRPr="000F1CB4">
        <w:rPr>
          <w:rFonts w:ascii="Book Antiqua" w:eastAsia="Times New Roman" w:hAnsi="Book Antiqua" w:cs="Times New Roman"/>
          <w:sz w:val="24"/>
          <w:szCs w:val="24"/>
        </w:rPr>
        <w:t xml:space="preserve"> are not evident</w:t>
      </w:r>
      <w:r w:rsidR="000D1A4F" w:rsidRPr="000F1CB4">
        <w:rPr>
          <w:rFonts w:ascii="Book Antiqua" w:eastAsia="Times New Roman" w:hAnsi="Book Antiqua" w:cs="Times New Roman"/>
          <w:sz w:val="24"/>
          <w:szCs w:val="24"/>
        </w:rPr>
        <w:t>, and may lead to misdiagnosis</w:t>
      </w:r>
      <w:r w:rsidR="006026B1" w:rsidRPr="000F1CB4">
        <w:rPr>
          <w:rFonts w:ascii="Book Antiqua" w:hAnsi="Book Antiqua"/>
          <w:sz w:val="24"/>
          <w:szCs w:val="24"/>
        </w:rPr>
        <w:t xml:space="preserve">. </w:t>
      </w:r>
      <w:r w:rsidR="00D52E0A" w:rsidRPr="000F1CB4">
        <w:rPr>
          <w:rFonts w:ascii="Book Antiqua" w:hAnsi="Book Antiqua"/>
          <w:sz w:val="24"/>
          <w:szCs w:val="24"/>
        </w:rPr>
        <w:t xml:space="preserve">  </w:t>
      </w:r>
    </w:p>
    <w:p w14:paraId="14CFA085" w14:textId="5EC50ADD" w:rsidR="001F5266" w:rsidRPr="000F1CB4" w:rsidRDefault="008A2A6D" w:rsidP="00A806C2">
      <w:pPr>
        <w:spacing w:after="0" w:line="360" w:lineRule="auto"/>
        <w:ind w:firstLineChars="100" w:firstLine="240"/>
        <w:jc w:val="both"/>
        <w:rPr>
          <w:rFonts w:ascii="Book Antiqua" w:hAnsi="Book Antiqua"/>
          <w:sz w:val="24"/>
          <w:szCs w:val="24"/>
        </w:rPr>
      </w:pPr>
      <w:r w:rsidRPr="000F1CB4">
        <w:rPr>
          <w:rFonts w:ascii="Book Antiqua" w:hAnsi="Book Antiqua"/>
          <w:sz w:val="24"/>
          <w:szCs w:val="24"/>
        </w:rPr>
        <w:t>Regardless of the underlying cause of liver disease, cirrhosis is believed to be a major risk factor for</w:t>
      </w:r>
      <w:r w:rsidR="00AF132F" w:rsidRPr="000F1CB4">
        <w:rPr>
          <w:rFonts w:ascii="Book Antiqua" w:hAnsi="Book Antiqua"/>
          <w:sz w:val="24"/>
          <w:szCs w:val="24"/>
        </w:rPr>
        <w:t xml:space="preserve"> the development of</w:t>
      </w:r>
      <w:r w:rsidRPr="000F1CB4">
        <w:rPr>
          <w:rFonts w:ascii="Book Antiqua" w:hAnsi="Book Antiqua"/>
          <w:sz w:val="24"/>
          <w:szCs w:val="24"/>
        </w:rPr>
        <w:t xml:space="preserve"> HCC.</w:t>
      </w:r>
      <w:r w:rsidR="00154A44" w:rsidRPr="000F1CB4">
        <w:rPr>
          <w:rFonts w:ascii="Book Antiqua" w:hAnsi="Book Antiqua"/>
          <w:sz w:val="24"/>
          <w:szCs w:val="24"/>
        </w:rPr>
        <w:t xml:space="preserve"> </w:t>
      </w:r>
      <w:proofErr w:type="spellStart"/>
      <w:r w:rsidR="00154A44" w:rsidRPr="000F1CB4">
        <w:rPr>
          <w:rFonts w:ascii="Book Antiqua" w:hAnsi="Book Antiqua"/>
          <w:sz w:val="24"/>
          <w:szCs w:val="24"/>
        </w:rPr>
        <w:t>Y</w:t>
      </w:r>
      <w:r w:rsidR="00AF132F" w:rsidRPr="000F1CB4">
        <w:rPr>
          <w:rFonts w:ascii="Book Antiqua" w:hAnsi="Book Antiqua"/>
          <w:sz w:val="24"/>
          <w:szCs w:val="24"/>
        </w:rPr>
        <w:t>a</w:t>
      </w:r>
      <w:r w:rsidR="00154A44" w:rsidRPr="000F1CB4">
        <w:rPr>
          <w:rFonts w:ascii="Book Antiqua" w:hAnsi="Book Antiqua"/>
          <w:sz w:val="24"/>
          <w:szCs w:val="24"/>
        </w:rPr>
        <w:t>sui</w:t>
      </w:r>
      <w:proofErr w:type="spellEnd"/>
      <w:r w:rsidR="00154A44" w:rsidRPr="000F1CB4">
        <w:rPr>
          <w:rFonts w:ascii="Book Antiqua" w:hAnsi="Book Antiqua"/>
          <w:sz w:val="24"/>
          <w:szCs w:val="24"/>
        </w:rPr>
        <w:t xml:space="preserve"> </w:t>
      </w:r>
      <w:r w:rsidR="00154A44" w:rsidRPr="00A806C2">
        <w:rPr>
          <w:rFonts w:ascii="Book Antiqua" w:hAnsi="Book Antiqua"/>
          <w:i/>
          <w:sz w:val="24"/>
          <w:szCs w:val="24"/>
        </w:rPr>
        <w:t xml:space="preserve">et </w:t>
      </w:r>
      <w:proofErr w:type="gramStart"/>
      <w:r w:rsidR="00154A44" w:rsidRPr="00A806C2">
        <w:rPr>
          <w:rFonts w:ascii="Book Antiqua" w:hAnsi="Book Antiqua"/>
          <w:i/>
          <w:sz w:val="24"/>
          <w:szCs w:val="24"/>
        </w:rPr>
        <w:t>al</w:t>
      </w:r>
      <w:r w:rsidR="00A806C2" w:rsidRPr="000F1CB4">
        <w:rPr>
          <w:rFonts w:ascii="Book Antiqua" w:hAnsi="Book Antiqua"/>
          <w:sz w:val="24"/>
          <w:szCs w:val="24"/>
          <w:vertAlign w:val="superscript"/>
        </w:rPr>
        <w:t>[</w:t>
      </w:r>
      <w:proofErr w:type="gramEnd"/>
      <w:r w:rsidR="00A806C2" w:rsidRPr="000F1CB4">
        <w:rPr>
          <w:rFonts w:ascii="Book Antiqua" w:hAnsi="Book Antiqua"/>
          <w:sz w:val="24"/>
          <w:szCs w:val="24"/>
          <w:vertAlign w:val="superscript"/>
        </w:rPr>
        <w:t>16]</w:t>
      </w:r>
      <w:r w:rsidR="00154A44" w:rsidRPr="000F1CB4">
        <w:rPr>
          <w:rFonts w:ascii="Book Antiqua" w:hAnsi="Book Antiqua"/>
          <w:sz w:val="24"/>
          <w:szCs w:val="24"/>
        </w:rPr>
        <w:t xml:space="preserve"> performed a multicenter retrospective study in Japan</w:t>
      </w:r>
      <w:r w:rsidR="00A31B96" w:rsidRPr="000F1CB4">
        <w:rPr>
          <w:rFonts w:ascii="Book Antiqua" w:hAnsi="Book Antiqua"/>
          <w:sz w:val="24"/>
          <w:szCs w:val="24"/>
        </w:rPr>
        <w:t xml:space="preserve"> </w:t>
      </w:r>
      <w:r w:rsidRPr="000F1CB4">
        <w:rPr>
          <w:rFonts w:ascii="Book Antiqua" w:hAnsi="Book Antiqua"/>
          <w:sz w:val="24"/>
          <w:szCs w:val="24"/>
        </w:rPr>
        <w:t xml:space="preserve">to understand the pathological course of NASH </w:t>
      </w:r>
      <w:r w:rsidRPr="000F1CB4">
        <w:rPr>
          <w:rFonts w:ascii="Book Antiqua" w:hAnsi="Book Antiqua"/>
          <w:sz w:val="24"/>
          <w:szCs w:val="24"/>
        </w:rPr>
        <w:lastRenderedPageBreak/>
        <w:t>progressing to HCC</w:t>
      </w:r>
      <w:r w:rsidR="0002319C" w:rsidRPr="000F1CB4">
        <w:rPr>
          <w:rFonts w:ascii="Book Antiqua" w:hAnsi="Book Antiqua"/>
          <w:sz w:val="24"/>
          <w:szCs w:val="24"/>
        </w:rPr>
        <w:t xml:space="preserve">. </w:t>
      </w:r>
      <w:r w:rsidR="00AF132F" w:rsidRPr="000F1CB4">
        <w:rPr>
          <w:rFonts w:ascii="Book Antiqua" w:hAnsi="Book Antiqua"/>
          <w:sz w:val="24"/>
          <w:szCs w:val="24"/>
        </w:rPr>
        <w:t xml:space="preserve">These investigators </w:t>
      </w:r>
      <w:r w:rsidR="00154A44" w:rsidRPr="000F1CB4">
        <w:rPr>
          <w:rFonts w:ascii="Book Antiqua" w:hAnsi="Book Antiqua"/>
          <w:sz w:val="24"/>
          <w:szCs w:val="24"/>
        </w:rPr>
        <w:t xml:space="preserve">identified 19 patients with histologically proven NASH who developed HCC during a median </w:t>
      </w:r>
      <w:r w:rsidR="00AF132F" w:rsidRPr="000F1CB4">
        <w:rPr>
          <w:rFonts w:ascii="Book Antiqua" w:hAnsi="Book Antiqua"/>
          <w:sz w:val="24"/>
          <w:szCs w:val="24"/>
        </w:rPr>
        <w:t>follow-</w:t>
      </w:r>
      <w:r w:rsidR="00154A44" w:rsidRPr="000F1CB4">
        <w:rPr>
          <w:rFonts w:ascii="Book Antiqua" w:hAnsi="Book Antiqua"/>
          <w:sz w:val="24"/>
          <w:szCs w:val="24"/>
        </w:rPr>
        <w:t xml:space="preserve">up period of 3.8 years. Patients were screened </w:t>
      </w:r>
      <w:r w:rsidR="000D1A4F" w:rsidRPr="000F1CB4">
        <w:rPr>
          <w:rFonts w:ascii="Book Antiqua" w:hAnsi="Book Antiqua"/>
          <w:sz w:val="24"/>
          <w:szCs w:val="24"/>
        </w:rPr>
        <w:t xml:space="preserve">and underwent surveillance </w:t>
      </w:r>
      <w:r w:rsidR="00154A44" w:rsidRPr="000F1CB4">
        <w:rPr>
          <w:rFonts w:ascii="Book Antiqua" w:hAnsi="Book Antiqua"/>
          <w:sz w:val="24"/>
          <w:szCs w:val="24"/>
        </w:rPr>
        <w:t xml:space="preserve">using </w:t>
      </w:r>
      <w:r w:rsidR="00AF132F" w:rsidRPr="000F1CB4">
        <w:rPr>
          <w:rFonts w:ascii="Book Antiqua" w:hAnsi="Book Antiqua"/>
          <w:sz w:val="24"/>
          <w:szCs w:val="24"/>
        </w:rPr>
        <w:t>ultrasound</w:t>
      </w:r>
      <w:r w:rsidR="00154A44" w:rsidRPr="000F1CB4">
        <w:rPr>
          <w:rFonts w:ascii="Book Antiqua" w:hAnsi="Book Antiqua"/>
          <w:sz w:val="24"/>
          <w:szCs w:val="24"/>
        </w:rPr>
        <w:t>, computed tomography,</w:t>
      </w:r>
      <w:r w:rsidR="00A36DC3" w:rsidRPr="000F1CB4">
        <w:rPr>
          <w:rFonts w:ascii="Book Antiqua" w:hAnsi="Book Antiqua"/>
          <w:sz w:val="24"/>
          <w:szCs w:val="24"/>
        </w:rPr>
        <w:t xml:space="preserve"> des-gamma-</w:t>
      </w:r>
      <w:proofErr w:type="spellStart"/>
      <w:r w:rsidR="00A36DC3" w:rsidRPr="000F1CB4">
        <w:rPr>
          <w:rFonts w:ascii="Book Antiqua" w:hAnsi="Book Antiqua"/>
          <w:sz w:val="24"/>
          <w:szCs w:val="24"/>
        </w:rPr>
        <w:t>carboxyprothrombin</w:t>
      </w:r>
      <w:proofErr w:type="spellEnd"/>
      <w:r w:rsidR="00A36DC3" w:rsidRPr="000F1CB4">
        <w:rPr>
          <w:rFonts w:ascii="Book Antiqua" w:hAnsi="Book Antiqua"/>
          <w:sz w:val="24"/>
          <w:szCs w:val="24"/>
        </w:rPr>
        <w:t xml:space="preserve"> (D</w:t>
      </w:r>
      <w:r w:rsidR="00154A44" w:rsidRPr="000F1CB4">
        <w:rPr>
          <w:rFonts w:ascii="Book Antiqua" w:hAnsi="Book Antiqua"/>
          <w:sz w:val="24"/>
          <w:szCs w:val="24"/>
        </w:rPr>
        <w:t>CP</w:t>
      </w:r>
      <w:r w:rsidR="00A36DC3" w:rsidRPr="000F1CB4">
        <w:rPr>
          <w:rFonts w:ascii="Book Antiqua" w:hAnsi="Book Antiqua"/>
          <w:sz w:val="24"/>
          <w:szCs w:val="24"/>
        </w:rPr>
        <w:t>)</w:t>
      </w:r>
      <w:r w:rsidR="00154A44" w:rsidRPr="000F1CB4">
        <w:rPr>
          <w:rFonts w:ascii="Book Antiqua" w:hAnsi="Book Antiqua"/>
          <w:sz w:val="24"/>
          <w:szCs w:val="24"/>
        </w:rPr>
        <w:t xml:space="preserve"> testing</w:t>
      </w:r>
      <w:r w:rsidR="00A36DC3" w:rsidRPr="000F1CB4">
        <w:rPr>
          <w:rFonts w:ascii="Book Antiqua" w:hAnsi="Book Antiqua"/>
          <w:sz w:val="24"/>
          <w:szCs w:val="24"/>
        </w:rPr>
        <w:t>,</w:t>
      </w:r>
      <w:r w:rsidR="00154A44" w:rsidRPr="000F1CB4">
        <w:rPr>
          <w:rFonts w:ascii="Book Antiqua" w:hAnsi="Book Antiqua"/>
          <w:sz w:val="24"/>
          <w:szCs w:val="24"/>
        </w:rPr>
        <w:t xml:space="preserve"> and AFP testing. </w:t>
      </w:r>
      <w:r w:rsidR="004D1518" w:rsidRPr="000F1CB4">
        <w:rPr>
          <w:rFonts w:ascii="Book Antiqua" w:hAnsi="Book Antiqua"/>
          <w:sz w:val="24"/>
          <w:szCs w:val="24"/>
        </w:rPr>
        <w:t>The m</w:t>
      </w:r>
      <w:r w:rsidR="00154A44" w:rsidRPr="000F1CB4">
        <w:rPr>
          <w:rFonts w:ascii="Book Antiqua" w:hAnsi="Book Antiqua"/>
          <w:sz w:val="24"/>
          <w:szCs w:val="24"/>
        </w:rPr>
        <w:t xml:space="preserve">ajority of the patients were </w:t>
      </w:r>
      <w:r w:rsidR="004D1518" w:rsidRPr="000F1CB4">
        <w:rPr>
          <w:rFonts w:ascii="Book Antiqua" w:hAnsi="Book Antiqua"/>
          <w:sz w:val="24"/>
          <w:szCs w:val="24"/>
        </w:rPr>
        <w:t>elderly</w:t>
      </w:r>
      <w:r w:rsidR="00154A44" w:rsidRPr="000F1CB4">
        <w:rPr>
          <w:rFonts w:ascii="Book Antiqua" w:hAnsi="Book Antiqua"/>
          <w:sz w:val="24"/>
          <w:szCs w:val="24"/>
        </w:rPr>
        <w:t>, obese (84%), diabetic (58%)</w:t>
      </w:r>
      <w:r w:rsidR="004D1518" w:rsidRPr="000F1CB4">
        <w:rPr>
          <w:rFonts w:ascii="Book Antiqua" w:hAnsi="Book Antiqua"/>
          <w:sz w:val="24"/>
          <w:szCs w:val="24"/>
        </w:rPr>
        <w:t>,</w:t>
      </w:r>
      <w:r w:rsidR="00154A44" w:rsidRPr="000F1CB4">
        <w:rPr>
          <w:rFonts w:ascii="Book Antiqua" w:hAnsi="Book Antiqua"/>
          <w:sz w:val="24"/>
          <w:szCs w:val="24"/>
        </w:rPr>
        <w:t xml:space="preserve"> and hypertensive (63%). When </w:t>
      </w:r>
      <w:r w:rsidR="004D1518" w:rsidRPr="000F1CB4">
        <w:rPr>
          <w:rFonts w:ascii="Book Antiqua" w:hAnsi="Book Antiqua"/>
          <w:sz w:val="24"/>
          <w:szCs w:val="24"/>
        </w:rPr>
        <w:t>histopathology</w:t>
      </w:r>
      <w:r w:rsidR="00890A94" w:rsidRPr="000F1CB4">
        <w:rPr>
          <w:rFonts w:ascii="Book Antiqua" w:hAnsi="Book Antiqua"/>
          <w:sz w:val="24"/>
          <w:szCs w:val="24"/>
        </w:rPr>
        <w:t xml:space="preserve"> at the time of NASH diagnosis</w:t>
      </w:r>
      <w:r w:rsidR="004D1518" w:rsidRPr="000F1CB4">
        <w:rPr>
          <w:rFonts w:ascii="Book Antiqua" w:hAnsi="Book Antiqua"/>
          <w:sz w:val="24"/>
          <w:szCs w:val="24"/>
        </w:rPr>
        <w:t xml:space="preserve"> was compared </w:t>
      </w:r>
      <w:r w:rsidR="00890A94" w:rsidRPr="000F1CB4">
        <w:rPr>
          <w:rFonts w:ascii="Book Antiqua" w:hAnsi="Book Antiqua"/>
          <w:sz w:val="24"/>
          <w:szCs w:val="24"/>
        </w:rPr>
        <w:t>t</w:t>
      </w:r>
      <w:r w:rsidR="004D1518" w:rsidRPr="000F1CB4">
        <w:rPr>
          <w:rFonts w:ascii="Book Antiqua" w:hAnsi="Book Antiqua"/>
          <w:sz w:val="24"/>
          <w:szCs w:val="24"/>
        </w:rPr>
        <w:t>o</w:t>
      </w:r>
      <w:r w:rsidR="00890A94" w:rsidRPr="000F1CB4">
        <w:rPr>
          <w:rFonts w:ascii="Book Antiqua" w:hAnsi="Book Antiqua"/>
          <w:sz w:val="24"/>
          <w:szCs w:val="24"/>
        </w:rPr>
        <w:t xml:space="preserve"> histopathology at</w:t>
      </w:r>
      <w:r w:rsidR="004D1518" w:rsidRPr="000F1CB4">
        <w:rPr>
          <w:rFonts w:ascii="Book Antiqua" w:hAnsi="Book Antiqua"/>
          <w:sz w:val="24"/>
          <w:szCs w:val="24"/>
        </w:rPr>
        <w:t xml:space="preserve"> the time of HCC diagnosis, t</w:t>
      </w:r>
      <w:r w:rsidR="00154A44" w:rsidRPr="000F1CB4">
        <w:rPr>
          <w:rFonts w:ascii="Book Antiqua" w:hAnsi="Book Antiqua"/>
          <w:sz w:val="24"/>
          <w:szCs w:val="24"/>
        </w:rPr>
        <w:t>he degree</w:t>
      </w:r>
      <w:r w:rsidR="00FD60F3" w:rsidRPr="000F1CB4">
        <w:rPr>
          <w:rFonts w:ascii="Book Antiqua" w:hAnsi="Book Antiqua"/>
          <w:sz w:val="24"/>
          <w:szCs w:val="24"/>
        </w:rPr>
        <w:t xml:space="preserve"> of steatosis remained </w:t>
      </w:r>
      <w:r w:rsidR="00B91D05" w:rsidRPr="000F1CB4">
        <w:rPr>
          <w:rFonts w:ascii="Book Antiqua" w:hAnsi="Book Antiqua"/>
          <w:sz w:val="24"/>
          <w:szCs w:val="24"/>
        </w:rPr>
        <w:t xml:space="preserve">unchanged </w:t>
      </w:r>
      <w:r w:rsidR="00154A44" w:rsidRPr="000F1CB4">
        <w:rPr>
          <w:rFonts w:ascii="Book Antiqua" w:hAnsi="Book Antiqua"/>
          <w:sz w:val="24"/>
          <w:szCs w:val="24"/>
        </w:rPr>
        <w:t>in</w:t>
      </w:r>
      <w:r w:rsidR="00BF5DCF" w:rsidRPr="000F1CB4">
        <w:rPr>
          <w:rFonts w:ascii="Book Antiqua" w:hAnsi="Book Antiqua"/>
          <w:sz w:val="24"/>
          <w:szCs w:val="24"/>
        </w:rPr>
        <w:t xml:space="preserve"> the</w:t>
      </w:r>
      <w:r w:rsidR="00154A44" w:rsidRPr="000F1CB4">
        <w:rPr>
          <w:rFonts w:ascii="Book Antiqua" w:hAnsi="Book Antiqua"/>
          <w:sz w:val="24"/>
          <w:szCs w:val="24"/>
        </w:rPr>
        <w:t xml:space="preserve"> majority of patients (86%)</w:t>
      </w:r>
      <w:r w:rsidRPr="000F1CB4">
        <w:rPr>
          <w:rFonts w:ascii="Book Antiqua" w:hAnsi="Book Antiqua"/>
          <w:sz w:val="24"/>
          <w:szCs w:val="24"/>
        </w:rPr>
        <w:t>,</w:t>
      </w:r>
      <w:r w:rsidR="00154A44" w:rsidRPr="000F1CB4">
        <w:rPr>
          <w:rFonts w:ascii="Book Antiqua" w:hAnsi="Book Antiqua"/>
          <w:sz w:val="24"/>
          <w:szCs w:val="24"/>
        </w:rPr>
        <w:t xml:space="preserve"> </w:t>
      </w:r>
      <w:r w:rsidR="00B91D05" w:rsidRPr="000F1CB4">
        <w:rPr>
          <w:rFonts w:ascii="Book Antiqua" w:hAnsi="Book Antiqua"/>
          <w:sz w:val="24"/>
          <w:szCs w:val="24"/>
        </w:rPr>
        <w:t xml:space="preserve">but </w:t>
      </w:r>
      <w:r w:rsidR="00154A44" w:rsidRPr="000F1CB4">
        <w:rPr>
          <w:rFonts w:ascii="Book Antiqua" w:hAnsi="Book Antiqua"/>
          <w:sz w:val="24"/>
          <w:szCs w:val="24"/>
        </w:rPr>
        <w:t xml:space="preserve">the stage of fibrosis was significantly more advanced at the time of </w:t>
      </w:r>
      <w:r w:rsidR="00B91D05" w:rsidRPr="000F1CB4">
        <w:rPr>
          <w:rFonts w:ascii="Book Antiqua" w:hAnsi="Book Antiqua"/>
          <w:sz w:val="24"/>
          <w:szCs w:val="24"/>
        </w:rPr>
        <w:t>HCC</w:t>
      </w:r>
      <w:r w:rsidR="00890A94" w:rsidRPr="000F1CB4">
        <w:rPr>
          <w:rFonts w:ascii="Book Antiqua" w:hAnsi="Book Antiqua"/>
          <w:sz w:val="24"/>
          <w:szCs w:val="24"/>
        </w:rPr>
        <w:t xml:space="preserve"> diagnosis</w:t>
      </w:r>
      <w:r w:rsidR="00B91D05" w:rsidRPr="000F1CB4">
        <w:rPr>
          <w:rFonts w:ascii="Book Antiqua" w:hAnsi="Book Antiqua"/>
          <w:sz w:val="24"/>
          <w:szCs w:val="24"/>
        </w:rPr>
        <w:t xml:space="preserve"> </w:t>
      </w:r>
      <w:r w:rsidR="0002319C" w:rsidRPr="000F1CB4">
        <w:rPr>
          <w:rFonts w:ascii="Book Antiqua" w:hAnsi="Book Antiqua"/>
          <w:sz w:val="24"/>
          <w:szCs w:val="24"/>
        </w:rPr>
        <w:t>(</w:t>
      </w:r>
      <w:r w:rsidR="00A806C2" w:rsidRPr="000F1CB4">
        <w:rPr>
          <w:rFonts w:ascii="Book Antiqua" w:hAnsi="Book Antiqua"/>
          <w:i/>
          <w:sz w:val="24"/>
          <w:szCs w:val="24"/>
        </w:rPr>
        <w:t>P</w:t>
      </w:r>
      <w:r w:rsidR="00A806C2">
        <w:rPr>
          <w:rFonts w:ascii="Book Antiqua" w:hAnsi="Book Antiqua" w:hint="eastAsia"/>
          <w:i/>
          <w:sz w:val="24"/>
          <w:szCs w:val="24"/>
          <w:lang w:eastAsia="zh-CN"/>
        </w:rPr>
        <w:t xml:space="preserve"> </w:t>
      </w:r>
      <w:r w:rsidR="00154A44" w:rsidRPr="000F1CB4">
        <w:rPr>
          <w:rFonts w:ascii="Book Antiqua" w:hAnsi="Book Antiqua"/>
          <w:sz w:val="24"/>
          <w:szCs w:val="24"/>
        </w:rPr>
        <w:t>=</w:t>
      </w:r>
      <w:r w:rsidR="00A806C2">
        <w:rPr>
          <w:rFonts w:ascii="Book Antiqua" w:hAnsi="Book Antiqua" w:hint="eastAsia"/>
          <w:sz w:val="24"/>
          <w:szCs w:val="24"/>
          <w:lang w:eastAsia="zh-CN"/>
        </w:rPr>
        <w:t xml:space="preserve"> </w:t>
      </w:r>
      <w:r w:rsidR="00154A44" w:rsidRPr="000F1CB4">
        <w:rPr>
          <w:rFonts w:ascii="Book Antiqua" w:hAnsi="Book Antiqua"/>
          <w:sz w:val="24"/>
          <w:szCs w:val="24"/>
        </w:rPr>
        <w:t xml:space="preserve">0.02). These findings suggest that fibrosis is a significant risk factor for the development of HCC </w:t>
      </w:r>
      <w:r w:rsidR="00B91D05" w:rsidRPr="000F1CB4">
        <w:rPr>
          <w:rFonts w:ascii="Book Antiqua" w:hAnsi="Book Antiqua"/>
          <w:sz w:val="24"/>
          <w:szCs w:val="24"/>
        </w:rPr>
        <w:t xml:space="preserve">among patients with </w:t>
      </w:r>
      <w:r w:rsidR="00154A44" w:rsidRPr="000F1CB4">
        <w:rPr>
          <w:rFonts w:ascii="Book Antiqua" w:hAnsi="Book Antiqua"/>
          <w:sz w:val="24"/>
          <w:szCs w:val="24"/>
        </w:rPr>
        <w:t>NASH. However</w:t>
      </w:r>
      <w:r w:rsidR="00AF132F" w:rsidRPr="000F1CB4">
        <w:rPr>
          <w:rFonts w:ascii="Book Antiqua" w:hAnsi="Book Antiqua"/>
          <w:sz w:val="24"/>
          <w:szCs w:val="24"/>
        </w:rPr>
        <w:t>,</w:t>
      </w:r>
      <w:r w:rsidR="00154A44" w:rsidRPr="000F1CB4">
        <w:rPr>
          <w:rFonts w:ascii="Book Antiqua" w:hAnsi="Book Antiqua"/>
          <w:sz w:val="24"/>
          <w:szCs w:val="24"/>
        </w:rPr>
        <w:t xml:space="preserve"> there were 3 male patients (21%) of 19 who</w:t>
      </w:r>
      <w:r w:rsidR="00B91D05" w:rsidRPr="000F1CB4">
        <w:rPr>
          <w:rFonts w:ascii="Book Antiqua" w:hAnsi="Book Antiqua"/>
          <w:sz w:val="24"/>
          <w:szCs w:val="24"/>
        </w:rPr>
        <w:t xml:space="preserve"> only</w:t>
      </w:r>
      <w:r w:rsidR="00154A44" w:rsidRPr="000F1CB4">
        <w:rPr>
          <w:rFonts w:ascii="Book Antiqua" w:hAnsi="Book Antiqua"/>
          <w:sz w:val="24"/>
          <w:szCs w:val="24"/>
        </w:rPr>
        <w:t xml:space="preserve"> had stage 2 fibrosis at the time of </w:t>
      </w:r>
      <w:r w:rsidR="00B91D05" w:rsidRPr="000F1CB4">
        <w:rPr>
          <w:rFonts w:ascii="Book Antiqua" w:hAnsi="Book Antiqua"/>
          <w:sz w:val="24"/>
          <w:szCs w:val="24"/>
        </w:rPr>
        <w:t>HCC diagnosis</w:t>
      </w:r>
      <w:r w:rsidR="00154A44" w:rsidRPr="000F1CB4">
        <w:rPr>
          <w:rFonts w:ascii="Book Antiqua" w:hAnsi="Book Antiqua"/>
          <w:sz w:val="24"/>
          <w:szCs w:val="24"/>
        </w:rPr>
        <w:t>. Interestingly</w:t>
      </w:r>
      <w:r w:rsidR="00B21F21" w:rsidRPr="000F1CB4">
        <w:rPr>
          <w:rFonts w:ascii="Book Antiqua" w:hAnsi="Book Antiqua"/>
          <w:sz w:val="24"/>
          <w:szCs w:val="24"/>
        </w:rPr>
        <w:t>,</w:t>
      </w:r>
      <w:r w:rsidR="00154A44" w:rsidRPr="000F1CB4">
        <w:rPr>
          <w:rFonts w:ascii="Book Antiqua" w:hAnsi="Book Antiqua"/>
          <w:sz w:val="24"/>
          <w:szCs w:val="24"/>
        </w:rPr>
        <w:t xml:space="preserve"> in an earlier </w:t>
      </w:r>
      <w:r w:rsidR="00B91D05" w:rsidRPr="000F1CB4">
        <w:rPr>
          <w:rFonts w:ascii="Book Antiqua" w:hAnsi="Book Antiqua"/>
          <w:sz w:val="24"/>
          <w:szCs w:val="24"/>
        </w:rPr>
        <w:t>cross-</w:t>
      </w:r>
      <w:r w:rsidR="00154A44" w:rsidRPr="000F1CB4">
        <w:rPr>
          <w:rFonts w:ascii="Book Antiqua" w:hAnsi="Book Antiqua"/>
          <w:sz w:val="24"/>
          <w:szCs w:val="24"/>
        </w:rPr>
        <w:t xml:space="preserve">sectional study performed by </w:t>
      </w:r>
      <w:proofErr w:type="spellStart"/>
      <w:r w:rsidR="00154A44" w:rsidRPr="000F1CB4">
        <w:rPr>
          <w:rFonts w:ascii="Book Antiqua" w:hAnsi="Book Antiqua"/>
          <w:sz w:val="24"/>
          <w:szCs w:val="24"/>
        </w:rPr>
        <w:t>Yasui</w:t>
      </w:r>
      <w:proofErr w:type="spellEnd"/>
      <w:r w:rsidR="00AF132F" w:rsidRPr="000F1CB4">
        <w:rPr>
          <w:rFonts w:ascii="Book Antiqua" w:hAnsi="Book Antiqua"/>
          <w:sz w:val="24"/>
          <w:szCs w:val="24"/>
        </w:rPr>
        <w:t xml:space="preserve"> </w:t>
      </w:r>
      <w:r w:rsidR="00AF132F" w:rsidRPr="00A806C2">
        <w:rPr>
          <w:rFonts w:ascii="Book Antiqua" w:hAnsi="Book Antiqua"/>
          <w:i/>
          <w:sz w:val="24"/>
          <w:szCs w:val="24"/>
        </w:rPr>
        <w:t xml:space="preserve">et </w:t>
      </w:r>
      <w:proofErr w:type="gramStart"/>
      <w:r w:rsidR="00AF132F" w:rsidRPr="00A806C2">
        <w:rPr>
          <w:rFonts w:ascii="Book Antiqua" w:hAnsi="Book Antiqua"/>
          <w:i/>
          <w:sz w:val="24"/>
          <w:szCs w:val="24"/>
        </w:rPr>
        <w:t>al</w:t>
      </w:r>
      <w:r w:rsidR="00A806C2">
        <w:rPr>
          <w:rFonts w:ascii="Book Antiqua" w:hAnsi="Book Antiqua" w:hint="eastAsia"/>
          <w:sz w:val="24"/>
          <w:szCs w:val="24"/>
          <w:vertAlign w:val="superscript"/>
          <w:lang w:eastAsia="zh-CN"/>
        </w:rPr>
        <w:t>[</w:t>
      </w:r>
      <w:proofErr w:type="gramEnd"/>
      <w:r w:rsidR="00A806C2">
        <w:rPr>
          <w:rFonts w:ascii="Book Antiqua" w:hAnsi="Book Antiqua" w:hint="eastAsia"/>
          <w:sz w:val="24"/>
          <w:szCs w:val="24"/>
          <w:vertAlign w:val="superscript"/>
          <w:lang w:eastAsia="zh-CN"/>
        </w:rPr>
        <w:t>16]</w:t>
      </w:r>
      <w:r w:rsidR="00B21F21" w:rsidRPr="000F1CB4">
        <w:rPr>
          <w:rFonts w:ascii="Book Antiqua" w:hAnsi="Book Antiqua"/>
          <w:sz w:val="24"/>
          <w:szCs w:val="24"/>
        </w:rPr>
        <w:t>,</w:t>
      </w:r>
      <w:r w:rsidR="00B91D05" w:rsidRPr="000F1CB4">
        <w:rPr>
          <w:rFonts w:ascii="Book Antiqua" w:hAnsi="Book Antiqua"/>
          <w:sz w:val="24"/>
          <w:szCs w:val="24"/>
        </w:rPr>
        <w:t xml:space="preserve"> </w:t>
      </w:r>
      <w:r w:rsidR="00154A44" w:rsidRPr="000F1CB4">
        <w:rPr>
          <w:rFonts w:ascii="Book Antiqua" w:hAnsi="Book Antiqua"/>
          <w:sz w:val="24"/>
          <w:szCs w:val="24"/>
        </w:rPr>
        <w:t>28% of NASH patients</w:t>
      </w:r>
      <w:r w:rsidR="00B91D05" w:rsidRPr="000F1CB4">
        <w:rPr>
          <w:rFonts w:ascii="Book Antiqua" w:hAnsi="Book Antiqua"/>
          <w:sz w:val="24"/>
          <w:szCs w:val="24"/>
        </w:rPr>
        <w:t>, with an older male predominance,</w:t>
      </w:r>
      <w:r w:rsidR="000D1A4F" w:rsidRPr="000F1CB4">
        <w:rPr>
          <w:rFonts w:ascii="Book Antiqua" w:hAnsi="Book Antiqua"/>
          <w:sz w:val="24"/>
          <w:szCs w:val="24"/>
        </w:rPr>
        <w:t xml:space="preserve"> </w:t>
      </w:r>
      <w:r w:rsidR="00B91D05" w:rsidRPr="000F1CB4">
        <w:rPr>
          <w:rFonts w:ascii="Book Antiqua" w:hAnsi="Book Antiqua"/>
          <w:sz w:val="24"/>
          <w:szCs w:val="24"/>
        </w:rPr>
        <w:t>only had</w:t>
      </w:r>
      <w:r w:rsidR="00154A44" w:rsidRPr="000F1CB4">
        <w:rPr>
          <w:rFonts w:ascii="Book Antiqua" w:hAnsi="Book Antiqua"/>
          <w:sz w:val="24"/>
          <w:szCs w:val="24"/>
        </w:rPr>
        <w:t xml:space="preserve"> stage 1 or stage 2 fibrosis at the time of</w:t>
      </w:r>
      <w:r w:rsidR="00B91D05" w:rsidRPr="000F1CB4">
        <w:rPr>
          <w:rFonts w:ascii="Book Antiqua" w:hAnsi="Book Antiqua"/>
          <w:sz w:val="24"/>
          <w:szCs w:val="24"/>
        </w:rPr>
        <w:t xml:space="preserve"> HCC</w:t>
      </w:r>
      <w:r w:rsidR="00154A44" w:rsidRPr="000F1CB4">
        <w:rPr>
          <w:rFonts w:ascii="Book Antiqua" w:hAnsi="Book Antiqua"/>
          <w:sz w:val="24"/>
          <w:szCs w:val="24"/>
        </w:rPr>
        <w:t xml:space="preserve"> diagnosis</w:t>
      </w:r>
      <w:r w:rsidR="00B91D05" w:rsidRPr="000F1CB4">
        <w:rPr>
          <w:rFonts w:ascii="Book Antiqua" w:hAnsi="Book Antiqua"/>
          <w:sz w:val="24"/>
          <w:szCs w:val="24"/>
        </w:rPr>
        <w:t xml:space="preserve">. </w:t>
      </w:r>
      <w:r w:rsidR="00154A44" w:rsidRPr="000F1CB4">
        <w:rPr>
          <w:rFonts w:ascii="Book Antiqua" w:hAnsi="Book Antiqua"/>
          <w:sz w:val="24"/>
          <w:szCs w:val="24"/>
        </w:rPr>
        <w:t xml:space="preserve">These findings indicate that HCC </w:t>
      </w:r>
      <w:r w:rsidRPr="000F1CB4">
        <w:rPr>
          <w:rFonts w:ascii="Book Antiqua" w:hAnsi="Book Antiqua"/>
          <w:sz w:val="24"/>
          <w:szCs w:val="24"/>
        </w:rPr>
        <w:t>can occur</w:t>
      </w:r>
      <w:r w:rsidR="00154A44" w:rsidRPr="000F1CB4">
        <w:rPr>
          <w:rFonts w:ascii="Book Antiqua" w:hAnsi="Book Antiqua"/>
          <w:sz w:val="24"/>
          <w:szCs w:val="24"/>
        </w:rPr>
        <w:t xml:space="preserve"> in NASH patients regardless of the degree of fibrosis, particularly i</w:t>
      </w:r>
      <w:r w:rsidR="006E66F6" w:rsidRPr="000F1CB4">
        <w:rPr>
          <w:rFonts w:ascii="Book Antiqua" w:hAnsi="Book Antiqua"/>
          <w:sz w:val="24"/>
          <w:szCs w:val="24"/>
        </w:rPr>
        <w:t xml:space="preserve">n older men. </w:t>
      </w:r>
      <w:r w:rsidR="00BB6697" w:rsidRPr="000F1CB4">
        <w:rPr>
          <w:rFonts w:ascii="Book Antiqua" w:hAnsi="Book Antiqua"/>
          <w:sz w:val="24"/>
          <w:szCs w:val="24"/>
        </w:rPr>
        <w:t xml:space="preserve">Although </w:t>
      </w:r>
      <w:r w:rsidR="00AF132F" w:rsidRPr="000F1CB4">
        <w:rPr>
          <w:rFonts w:ascii="Book Antiqua" w:hAnsi="Book Antiqua"/>
          <w:sz w:val="24"/>
          <w:szCs w:val="24"/>
        </w:rPr>
        <w:t xml:space="preserve">the </w:t>
      </w:r>
      <w:r w:rsidR="00BB6697" w:rsidRPr="000F1CB4">
        <w:rPr>
          <w:rFonts w:ascii="Book Antiqua" w:hAnsi="Book Antiqua"/>
          <w:sz w:val="24"/>
          <w:szCs w:val="24"/>
        </w:rPr>
        <w:t xml:space="preserve">association between cirrhosis secondary to NAFLD and HCC is well documented, few recent studies have pointed toward a positive correlation between </w:t>
      </w:r>
      <w:r w:rsidR="006C07D5" w:rsidRPr="000F1CB4">
        <w:rPr>
          <w:rFonts w:ascii="Book Antiqua" w:hAnsi="Book Antiqua"/>
          <w:sz w:val="24"/>
          <w:szCs w:val="24"/>
        </w:rPr>
        <w:t>non-</w:t>
      </w:r>
      <w:r w:rsidR="00BB6697" w:rsidRPr="000F1CB4">
        <w:rPr>
          <w:rFonts w:ascii="Book Antiqua" w:hAnsi="Book Antiqua"/>
          <w:sz w:val="24"/>
          <w:szCs w:val="24"/>
        </w:rPr>
        <w:t>cirrhotic fatty liver disease and HCC.</w:t>
      </w:r>
      <w:r w:rsidR="001F5266" w:rsidRPr="000F1CB4">
        <w:rPr>
          <w:rFonts w:ascii="Book Antiqua" w:hAnsi="Book Antiqua"/>
          <w:sz w:val="24"/>
          <w:szCs w:val="24"/>
        </w:rPr>
        <w:t xml:space="preserve"> </w:t>
      </w:r>
      <w:r w:rsidR="006C07D5" w:rsidRPr="000F1CB4">
        <w:rPr>
          <w:rFonts w:ascii="Book Antiqua" w:hAnsi="Book Antiqua"/>
          <w:sz w:val="24"/>
          <w:szCs w:val="24"/>
        </w:rPr>
        <w:t xml:space="preserve">The prevalence of histologically </w:t>
      </w:r>
      <w:r w:rsidR="001F5266" w:rsidRPr="000F1CB4">
        <w:rPr>
          <w:rFonts w:ascii="Book Antiqua" w:hAnsi="Book Antiqua"/>
          <w:sz w:val="24"/>
          <w:szCs w:val="24"/>
        </w:rPr>
        <w:t>confirmed</w:t>
      </w:r>
      <w:r w:rsidR="00BB6697" w:rsidRPr="000F1CB4">
        <w:rPr>
          <w:rFonts w:ascii="Book Antiqua" w:hAnsi="Book Antiqua"/>
          <w:sz w:val="24"/>
          <w:szCs w:val="24"/>
        </w:rPr>
        <w:t xml:space="preserve"> </w:t>
      </w:r>
      <w:proofErr w:type="spellStart"/>
      <w:r w:rsidR="00BB6697" w:rsidRPr="000F1CB4">
        <w:rPr>
          <w:rFonts w:ascii="Book Antiqua" w:hAnsi="Book Antiqua"/>
          <w:sz w:val="24"/>
          <w:szCs w:val="24"/>
        </w:rPr>
        <w:t>steatosis</w:t>
      </w:r>
      <w:proofErr w:type="spellEnd"/>
      <w:r w:rsidR="001F5266" w:rsidRPr="000F1CB4">
        <w:rPr>
          <w:rFonts w:ascii="Book Antiqua" w:hAnsi="Book Antiqua"/>
          <w:sz w:val="24"/>
          <w:szCs w:val="24"/>
        </w:rPr>
        <w:t xml:space="preserve"> and </w:t>
      </w:r>
      <w:proofErr w:type="spellStart"/>
      <w:r w:rsidR="001F5266" w:rsidRPr="000F1CB4">
        <w:rPr>
          <w:rFonts w:ascii="Book Antiqua" w:hAnsi="Book Antiqua"/>
          <w:sz w:val="24"/>
          <w:szCs w:val="24"/>
        </w:rPr>
        <w:t>steatohepatitis</w:t>
      </w:r>
      <w:proofErr w:type="spellEnd"/>
      <w:r w:rsidR="00BB6697" w:rsidRPr="000F1CB4">
        <w:rPr>
          <w:rFonts w:ascii="Book Antiqua" w:hAnsi="Book Antiqua"/>
          <w:sz w:val="24"/>
          <w:szCs w:val="24"/>
        </w:rPr>
        <w:t xml:space="preserve"> is</w:t>
      </w:r>
      <w:r w:rsidR="006C07D5" w:rsidRPr="000F1CB4">
        <w:rPr>
          <w:rFonts w:ascii="Book Antiqua" w:hAnsi="Book Antiqua"/>
          <w:sz w:val="24"/>
          <w:szCs w:val="24"/>
        </w:rPr>
        <w:t xml:space="preserve"> </w:t>
      </w:r>
      <w:r w:rsidR="00BB6697" w:rsidRPr="000F1CB4">
        <w:rPr>
          <w:rFonts w:ascii="Book Antiqua" w:hAnsi="Book Antiqua"/>
          <w:sz w:val="24"/>
          <w:szCs w:val="24"/>
        </w:rPr>
        <w:t>about 54%</w:t>
      </w:r>
      <w:r w:rsidR="001F5266" w:rsidRPr="000F1CB4">
        <w:rPr>
          <w:rFonts w:ascii="Book Antiqua" w:hAnsi="Book Antiqua"/>
          <w:sz w:val="24"/>
          <w:szCs w:val="24"/>
        </w:rPr>
        <w:t xml:space="preserve"> and 15%</w:t>
      </w:r>
      <w:r w:rsidR="00BB6697" w:rsidRPr="000F1CB4">
        <w:rPr>
          <w:rFonts w:ascii="Book Antiqua" w:hAnsi="Book Antiqua"/>
          <w:sz w:val="24"/>
          <w:szCs w:val="24"/>
        </w:rPr>
        <w:t xml:space="preserve"> </w:t>
      </w:r>
      <w:r w:rsidR="006C07D5" w:rsidRPr="000F1CB4">
        <w:rPr>
          <w:rFonts w:ascii="Book Antiqua" w:hAnsi="Book Antiqua"/>
          <w:sz w:val="24"/>
          <w:szCs w:val="24"/>
        </w:rPr>
        <w:t xml:space="preserve">in </w:t>
      </w:r>
      <w:r w:rsidR="00BB6697" w:rsidRPr="000F1CB4">
        <w:rPr>
          <w:rFonts w:ascii="Book Antiqua" w:hAnsi="Book Antiqua"/>
          <w:sz w:val="24"/>
          <w:szCs w:val="24"/>
        </w:rPr>
        <w:t>HCC cases without</w:t>
      </w:r>
      <w:r w:rsidR="006E2B59" w:rsidRPr="000F1CB4">
        <w:rPr>
          <w:rFonts w:ascii="Book Antiqua" w:hAnsi="Book Antiqua"/>
          <w:sz w:val="24"/>
          <w:szCs w:val="24"/>
        </w:rPr>
        <w:t xml:space="preserve"> any</w:t>
      </w:r>
      <w:r w:rsidR="00BB6697" w:rsidRPr="000F1CB4">
        <w:rPr>
          <w:rFonts w:ascii="Book Antiqua" w:hAnsi="Book Antiqua"/>
          <w:sz w:val="24"/>
          <w:szCs w:val="24"/>
        </w:rPr>
        <w:t xml:space="preserve"> </w:t>
      </w:r>
      <w:r w:rsidR="006C07D5" w:rsidRPr="000F1CB4">
        <w:rPr>
          <w:rFonts w:ascii="Book Antiqua" w:hAnsi="Book Antiqua"/>
          <w:sz w:val="24"/>
          <w:szCs w:val="24"/>
        </w:rPr>
        <w:t xml:space="preserve">underlying </w:t>
      </w:r>
      <w:r w:rsidR="00BB6697" w:rsidRPr="000F1CB4">
        <w:rPr>
          <w:rFonts w:ascii="Book Antiqua" w:hAnsi="Book Antiqua"/>
          <w:sz w:val="24"/>
          <w:szCs w:val="24"/>
        </w:rPr>
        <w:t>cirrhosis</w:t>
      </w:r>
      <w:r w:rsidR="006C07D5" w:rsidRPr="000F1CB4">
        <w:rPr>
          <w:rFonts w:ascii="Book Antiqua" w:hAnsi="Book Antiqua"/>
          <w:sz w:val="24"/>
          <w:szCs w:val="24"/>
        </w:rPr>
        <w:t xml:space="preserve">, </w:t>
      </w:r>
      <w:proofErr w:type="gramStart"/>
      <w:r w:rsidR="006C07D5" w:rsidRPr="000F1CB4">
        <w:rPr>
          <w:rFonts w:ascii="Book Antiqua" w:hAnsi="Book Antiqua"/>
          <w:sz w:val="24"/>
          <w:szCs w:val="24"/>
        </w:rPr>
        <w:t>respectively</w:t>
      </w:r>
      <w:r w:rsidR="00A806C2" w:rsidRPr="000F1CB4">
        <w:rPr>
          <w:rFonts w:ascii="Book Antiqua" w:hAnsi="Book Antiqua"/>
          <w:sz w:val="24"/>
          <w:szCs w:val="24"/>
          <w:vertAlign w:val="superscript"/>
        </w:rPr>
        <w:t>[</w:t>
      </w:r>
      <w:proofErr w:type="gramEnd"/>
      <w:r w:rsidR="00A806C2" w:rsidRPr="000F1CB4">
        <w:rPr>
          <w:rFonts w:ascii="Book Antiqua" w:hAnsi="Book Antiqua"/>
          <w:sz w:val="24"/>
          <w:szCs w:val="24"/>
          <w:vertAlign w:val="superscript"/>
        </w:rPr>
        <w:t>17]</w:t>
      </w:r>
      <w:r w:rsidR="001F5266" w:rsidRPr="000F1CB4">
        <w:rPr>
          <w:rFonts w:ascii="Book Antiqua" w:hAnsi="Book Antiqua"/>
          <w:sz w:val="24"/>
          <w:szCs w:val="24"/>
        </w:rPr>
        <w:t>.</w:t>
      </w:r>
      <w:r w:rsidR="006E2B59" w:rsidRPr="000F1CB4">
        <w:rPr>
          <w:rFonts w:ascii="Book Antiqua" w:hAnsi="Book Antiqua"/>
          <w:sz w:val="24"/>
          <w:szCs w:val="24"/>
        </w:rPr>
        <w:t xml:space="preserve"> In another</w:t>
      </w:r>
      <w:r w:rsidR="00AC1B7B" w:rsidRPr="000F1CB4">
        <w:rPr>
          <w:rFonts w:ascii="Book Antiqua" w:hAnsi="Book Antiqua"/>
          <w:sz w:val="24"/>
          <w:szCs w:val="24"/>
        </w:rPr>
        <w:t xml:space="preserve"> retrospective</w:t>
      </w:r>
      <w:r w:rsidR="006E2B59" w:rsidRPr="000F1CB4">
        <w:rPr>
          <w:rFonts w:ascii="Book Antiqua" w:hAnsi="Book Antiqua"/>
          <w:sz w:val="24"/>
          <w:szCs w:val="24"/>
        </w:rPr>
        <w:t xml:space="preserve"> study</w:t>
      </w:r>
      <w:r w:rsidR="006C07D5" w:rsidRPr="000F1CB4">
        <w:rPr>
          <w:rFonts w:ascii="Book Antiqua" w:hAnsi="Book Antiqua"/>
          <w:sz w:val="24"/>
          <w:szCs w:val="24"/>
        </w:rPr>
        <w:t>,</w:t>
      </w:r>
      <w:r w:rsidR="006E2B59" w:rsidRPr="000F1CB4">
        <w:rPr>
          <w:rFonts w:ascii="Book Antiqua" w:hAnsi="Book Antiqua"/>
          <w:sz w:val="24"/>
          <w:szCs w:val="24"/>
        </w:rPr>
        <w:t xml:space="preserve"> cirrhosis was detected in only 53% of </w:t>
      </w:r>
      <w:r w:rsidR="006C07D5" w:rsidRPr="000F1CB4">
        <w:rPr>
          <w:rFonts w:ascii="Book Antiqua" w:hAnsi="Book Antiqua"/>
          <w:sz w:val="24"/>
          <w:szCs w:val="24"/>
        </w:rPr>
        <w:t>NASH-</w:t>
      </w:r>
      <w:r w:rsidR="006E2B59" w:rsidRPr="000F1CB4">
        <w:rPr>
          <w:rFonts w:ascii="Book Antiqua" w:hAnsi="Book Antiqua"/>
          <w:sz w:val="24"/>
          <w:szCs w:val="24"/>
        </w:rPr>
        <w:t>related HCC patients</w:t>
      </w:r>
      <w:r w:rsidR="00F23885" w:rsidRPr="000F1CB4">
        <w:rPr>
          <w:rFonts w:ascii="Book Antiqua" w:hAnsi="Book Antiqua"/>
          <w:sz w:val="24"/>
          <w:szCs w:val="24"/>
        </w:rPr>
        <w:t>,</w:t>
      </w:r>
      <w:r w:rsidR="006E2B59" w:rsidRPr="000F1CB4">
        <w:rPr>
          <w:rFonts w:ascii="Book Antiqua" w:hAnsi="Book Antiqua"/>
          <w:sz w:val="24"/>
          <w:szCs w:val="24"/>
        </w:rPr>
        <w:t xml:space="preserve"> </w:t>
      </w:r>
      <w:r w:rsidR="00F23885" w:rsidRPr="000F1CB4">
        <w:rPr>
          <w:rFonts w:ascii="Book Antiqua" w:hAnsi="Book Antiqua"/>
          <w:sz w:val="24"/>
          <w:szCs w:val="24"/>
        </w:rPr>
        <w:t xml:space="preserve">which was significantly less than in </w:t>
      </w:r>
      <w:r w:rsidR="006E2B59" w:rsidRPr="000F1CB4">
        <w:rPr>
          <w:rFonts w:ascii="Book Antiqua" w:hAnsi="Book Antiqua"/>
          <w:sz w:val="24"/>
          <w:szCs w:val="24"/>
        </w:rPr>
        <w:t>the group with non-NASH HCC (90%)</w:t>
      </w:r>
      <w:r w:rsidR="00F23885" w:rsidRPr="000F1CB4">
        <w:rPr>
          <w:rFonts w:ascii="Book Antiqua" w:hAnsi="Book Antiqua"/>
          <w:sz w:val="24"/>
          <w:szCs w:val="24"/>
        </w:rPr>
        <w:t xml:space="preserve">. Therefore, </w:t>
      </w:r>
      <w:r w:rsidR="006E2B59" w:rsidRPr="000F1CB4">
        <w:rPr>
          <w:rFonts w:ascii="Book Antiqua" w:hAnsi="Book Antiqua"/>
          <w:sz w:val="24"/>
          <w:szCs w:val="24"/>
        </w:rPr>
        <w:t>though cirrhos</w:t>
      </w:r>
      <w:r w:rsidR="00AC1B7B" w:rsidRPr="000F1CB4">
        <w:rPr>
          <w:rFonts w:ascii="Book Antiqua" w:hAnsi="Book Antiqua"/>
          <w:sz w:val="24"/>
          <w:szCs w:val="24"/>
        </w:rPr>
        <w:t>is is a crucial risk factor, NASH</w:t>
      </w:r>
      <w:r w:rsidR="006E2B59" w:rsidRPr="000F1CB4">
        <w:rPr>
          <w:rFonts w:ascii="Book Antiqua" w:hAnsi="Book Antiqua"/>
          <w:sz w:val="24"/>
          <w:szCs w:val="24"/>
        </w:rPr>
        <w:t xml:space="preserve"> is likely a significant independent risk factor </w:t>
      </w:r>
      <w:r w:rsidR="00F23885" w:rsidRPr="000F1CB4">
        <w:rPr>
          <w:rFonts w:ascii="Book Antiqua" w:hAnsi="Book Antiqua"/>
          <w:sz w:val="24"/>
          <w:szCs w:val="24"/>
        </w:rPr>
        <w:t xml:space="preserve">for </w:t>
      </w:r>
      <w:proofErr w:type="gramStart"/>
      <w:r w:rsidR="00F23885" w:rsidRPr="000F1CB4">
        <w:rPr>
          <w:rFonts w:ascii="Book Antiqua" w:hAnsi="Book Antiqua"/>
          <w:sz w:val="24"/>
          <w:szCs w:val="24"/>
        </w:rPr>
        <w:t>HCC</w:t>
      </w:r>
      <w:r w:rsidR="00A806C2" w:rsidRPr="000F1CB4">
        <w:rPr>
          <w:rFonts w:ascii="Book Antiqua" w:hAnsi="Book Antiqua"/>
          <w:sz w:val="24"/>
          <w:szCs w:val="24"/>
          <w:vertAlign w:val="superscript"/>
        </w:rPr>
        <w:t>[</w:t>
      </w:r>
      <w:proofErr w:type="gramEnd"/>
      <w:r w:rsidR="00A806C2" w:rsidRPr="000F1CB4">
        <w:rPr>
          <w:rFonts w:ascii="Book Antiqua" w:hAnsi="Book Antiqua"/>
          <w:sz w:val="24"/>
          <w:szCs w:val="24"/>
          <w:vertAlign w:val="superscript"/>
        </w:rPr>
        <w:t>18]</w:t>
      </w:r>
      <w:r w:rsidR="006E2B59" w:rsidRPr="000F1CB4">
        <w:rPr>
          <w:rFonts w:ascii="Book Antiqua" w:hAnsi="Book Antiqua"/>
          <w:sz w:val="24"/>
          <w:szCs w:val="24"/>
        </w:rPr>
        <w:t>.</w:t>
      </w:r>
      <w:r w:rsidR="00F23885" w:rsidRPr="000F1CB4">
        <w:rPr>
          <w:rFonts w:ascii="Book Antiqua" w:hAnsi="Book Antiqua"/>
          <w:sz w:val="24"/>
          <w:szCs w:val="24"/>
        </w:rPr>
        <w:t xml:space="preserve"> Future prospective, large population-based studies with longer durations of follow-up are needed to determine the validity of this potentially important observation.</w:t>
      </w:r>
    </w:p>
    <w:p w14:paraId="7C4DD3C6" w14:textId="53D967EC" w:rsidR="00C03C0E" w:rsidRPr="000F1CB4" w:rsidRDefault="00C03C0E" w:rsidP="000F1CB4">
      <w:pPr>
        <w:spacing w:after="0" w:line="360" w:lineRule="auto"/>
        <w:jc w:val="both"/>
        <w:rPr>
          <w:rFonts w:ascii="Book Antiqua" w:eastAsia="Calibri" w:hAnsi="Book Antiqua" w:cs="Times New Roman"/>
          <w:sz w:val="24"/>
          <w:szCs w:val="24"/>
        </w:rPr>
      </w:pPr>
      <w:r w:rsidRPr="000F1CB4">
        <w:rPr>
          <w:rFonts w:ascii="Book Antiqua" w:eastAsia="Calibri" w:hAnsi="Book Antiqua" w:cs="Times New Roman"/>
          <w:sz w:val="24"/>
          <w:szCs w:val="24"/>
        </w:rPr>
        <w:t>NAFLD is considered the hepatic manifestation of</w:t>
      </w:r>
      <w:r w:rsidR="000306EA" w:rsidRPr="000F1CB4">
        <w:rPr>
          <w:rFonts w:ascii="Book Antiqua" w:eastAsia="Calibri" w:hAnsi="Book Antiqua" w:cs="Times New Roman"/>
          <w:sz w:val="24"/>
          <w:szCs w:val="24"/>
        </w:rPr>
        <w:t xml:space="preserve"> the</w:t>
      </w:r>
      <w:r w:rsidRPr="000F1CB4">
        <w:rPr>
          <w:rFonts w:ascii="Book Antiqua" w:eastAsia="Calibri" w:hAnsi="Book Antiqua" w:cs="Times New Roman"/>
          <w:sz w:val="24"/>
          <w:szCs w:val="24"/>
        </w:rPr>
        <w:t xml:space="preserve"> </w:t>
      </w:r>
      <w:r w:rsidR="000306EA" w:rsidRPr="000F1CB4">
        <w:rPr>
          <w:rFonts w:ascii="Book Antiqua" w:eastAsia="Calibri" w:hAnsi="Book Antiqua" w:cs="Times New Roman"/>
          <w:sz w:val="24"/>
          <w:szCs w:val="24"/>
        </w:rPr>
        <w:t>metabolic s</w:t>
      </w:r>
      <w:r w:rsidRPr="000F1CB4">
        <w:rPr>
          <w:rFonts w:ascii="Book Antiqua" w:eastAsia="Calibri" w:hAnsi="Book Antiqua" w:cs="Times New Roman"/>
          <w:sz w:val="24"/>
          <w:szCs w:val="24"/>
        </w:rPr>
        <w:t>yndrome</w:t>
      </w:r>
      <w:r w:rsidR="00B21F21" w:rsidRPr="000F1CB4">
        <w:rPr>
          <w:rFonts w:ascii="Book Antiqua" w:eastAsia="Calibri" w:hAnsi="Book Antiqua" w:cs="Times New Roman"/>
          <w:sz w:val="24"/>
          <w:szCs w:val="24"/>
        </w:rPr>
        <w:t>,</w:t>
      </w:r>
      <w:r w:rsidRPr="000F1CB4">
        <w:rPr>
          <w:rFonts w:ascii="Book Antiqua" w:eastAsia="Calibri" w:hAnsi="Book Antiqua" w:cs="Times New Roman"/>
          <w:sz w:val="24"/>
          <w:szCs w:val="24"/>
        </w:rPr>
        <w:t xml:space="preserve"> which includes a cluster of interlinked metabolic risk factors</w:t>
      </w:r>
      <w:r w:rsidR="000306EA" w:rsidRPr="000F1CB4">
        <w:rPr>
          <w:rFonts w:ascii="Book Antiqua" w:eastAsia="Calibri" w:hAnsi="Book Antiqua" w:cs="Times New Roman"/>
          <w:sz w:val="24"/>
          <w:szCs w:val="24"/>
        </w:rPr>
        <w:t>,</w:t>
      </w:r>
      <w:r w:rsidRPr="000F1CB4">
        <w:rPr>
          <w:rFonts w:ascii="Book Antiqua" w:eastAsia="Calibri" w:hAnsi="Book Antiqua" w:cs="Times New Roman"/>
          <w:sz w:val="24"/>
          <w:szCs w:val="24"/>
        </w:rPr>
        <w:t xml:space="preserve"> such as </w:t>
      </w:r>
      <w:r w:rsidR="000306EA" w:rsidRPr="000F1CB4">
        <w:rPr>
          <w:rFonts w:ascii="Book Antiqua" w:eastAsia="Calibri" w:hAnsi="Book Antiqua" w:cs="Times New Roman"/>
          <w:sz w:val="24"/>
          <w:szCs w:val="24"/>
        </w:rPr>
        <w:t xml:space="preserve">hypertension, hyperglycemia, </w:t>
      </w:r>
      <w:r w:rsidRPr="000F1CB4">
        <w:rPr>
          <w:rFonts w:ascii="Book Antiqua" w:eastAsia="Calibri" w:hAnsi="Book Antiqua" w:cs="Times New Roman"/>
          <w:sz w:val="24"/>
          <w:szCs w:val="24"/>
        </w:rPr>
        <w:t>central obesity and dys</w:t>
      </w:r>
      <w:r w:rsidR="000306EA" w:rsidRPr="000F1CB4">
        <w:rPr>
          <w:rFonts w:ascii="Book Antiqua" w:eastAsia="Calibri" w:hAnsi="Book Antiqua" w:cs="Times New Roman"/>
          <w:sz w:val="24"/>
          <w:szCs w:val="24"/>
        </w:rPr>
        <w:t>lipidemia</w:t>
      </w:r>
      <w:r w:rsidR="00FD60F3" w:rsidRPr="000F1CB4">
        <w:rPr>
          <w:rFonts w:ascii="Book Antiqua" w:eastAsia="Calibri" w:hAnsi="Book Antiqua" w:cs="Times New Roman"/>
          <w:sz w:val="24"/>
          <w:szCs w:val="24"/>
        </w:rPr>
        <w:t>.</w:t>
      </w:r>
      <w:r w:rsidR="00F11AD5" w:rsidRPr="000F1CB4">
        <w:rPr>
          <w:rFonts w:ascii="Book Antiqua" w:eastAsia="Calibri" w:hAnsi="Book Antiqua" w:cs="Times New Roman"/>
          <w:sz w:val="24"/>
          <w:szCs w:val="24"/>
        </w:rPr>
        <w:t xml:space="preserve"> </w:t>
      </w:r>
      <w:r w:rsidR="000306EA" w:rsidRPr="000F1CB4">
        <w:rPr>
          <w:rFonts w:ascii="Book Antiqua" w:eastAsia="Calibri" w:hAnsi="Book Antiqua" w:cs="Times New Roman"/>
          <w:sz w:val="24"/>
          <w:szCs w:val="24"/>
        </w:rPr>
        <w:t xml:space="preserve">The majority </w:t>
      </w:r>
      <w:r w:rsidR="00F11AD5" w:rsidRPr="000F1CB4">
        <w:rPr>
          <w:rFonts w:ascii="Book Antiqua" w:eastAsia="Calibri" w:hAnsi="Book Antiqua" w:cs="Times New Roman"/>
          <w:sz w:val="24"/>
          <w:szCs w:val="24"/>
        </w:rPr>
        <w:t xml:space="preserve">of patients with </w:t>
      </w:r>
      <w:r w:rsidR="000306EA" w:rsidRPr="000F1CB4">
        <w:rPr>
          <w:rFonts w:ascii="Book Antiqua" w:eastAsia="Calibri" w:hAnsi="Book Antiqua" w:cs="Times New Roman"/>
          <w:sz w:val="24"/>
          <w:szCs w:val="24"/>
        </w:rPr>
        <w:t>HCC</w:t>
      </w:r>
      <w:r w:rsidR="00F11AD5" w:rsidRPr="000F1CB4">
        <w:rPr>
          <w:rFonts w:ascii="Book Antiqua" w:eastAsia="Calibri" w:hAnsi="Book Antiqua" w:cs="Times New Roman"/>
          <w:sz w:val="24"/>
          <w:szCs w:val="24"/>
        </w:rPr>
        <w:t xml:space="preserve"> secondary to NAFLD have two or more types of metabolic disease, the most common </w:t>
      </w:r>
      <w:r w:rsidR="00F11AD5" w:rsidRPr="000F1CB4">
        <w:rPr>
          <w:rFonts w:ascii="Book Antiqua" w:eastAsia="Calibri" w:hAnsi="Book Antiqua" w:cs="Times New Roman"/>
          <w:sz w:val="24"/>
          <w:szCs w:val="24"/>
        </w:rPr>
        <w:lastRenderedPageBreak/>
        <w:t>being</w:t>
      </w:r>
      <w:r w:rsidR="000306EA" w:rsidRPr="000F1CB4">
        <w:rPr>
          <w:rFonts w:ascii="Book Antiqua" w:eastAsia="Calibri" w:hAnsi="Book Antiqua" w:cs="Times New Roman"/>
          <w:sz w:val="24"/>
          <w:szCs w:val="24"/>
        </w:rPr>
        <w:t xml:space="preserve"> hyperglycemia due to</w:t>
      </w:r>
      <w:r w:rsidR="00F11AD5" w:rsidRPr="000F1CB4">
        <w:rPr>
          <w:rFonts w:ascii="Book Antiqua" w:eastAsia="Calibri" w:hAnsi="Book Antiqua" w:cs="Times New Roman"/>
          <w:sz w:val="24"/>
          <w:szCs w:val="24"/>
        </w:rPr>
        <w:t xml:space="preserve"> insulin resistance.</w:t>
      </w:r>
      <w:r w:rsidR="00FD60F3" w:rsidRPr="000F1CB4">
        <w:rPr>
          <w:rFonts w:ascii="Book Antiqua" w:eastAsia="Calibri" w:hAnsi="Book Antiqua" w:cs="Times New Roman"/>
          <w:sz w:val="24"/>
          <w:szCs w:val="24"/>
        </w:rPr>
        <w:t xml:space="preserve"> </w:t>
      </w:r>
      <w:r w:rsidR="00D312FF" w:rsidRPr="000F1CB4">
        <w:rPr>
          <w:rFonts w:ascii="Book Antiqua" w:eastAsia="Calibri" w:hAnsi="Book Antiqua" w:cs="Times New Roman"/>
          <w:sz w:val="24"/>
          <w:szCs w:val="24"/>
        </w:rPr>
        <w:t xml:space="preserve">Based </w:t>
      </w:r>
      <w:r w:rsidR="000D1A4F" w:rsidRPr="000F1CB4">
        <w:rPr>
          <w:rFonts w:ascii="Book Antiqua" w:eastAsia="Calibri" w:hAnsi="Book Antiqua" w:cs="Times New Roman"/>
          <w:sz w:val="24"/>
          <w:szCs w:val="24"/>
        </w:rPr>
        <w:t xml:space="preserve">on </w:t>
      </w:r>
      <w:r w:rsidR="00FD60F3" w:rsidRPr="000F1CB4">
        <w:rPr>
          <w:rFonts w:ascii="Book Antiqua" w:eastAsia="Calibri" w:hAnsi="Book Antiqua" w:cs="Times New Roman"/>
          <w:sz w:val="24"/>
          <w:szCs w:val="24"/>
        </w:rPr>
        <w:t xml:space="preserve">a large </w:t>
      </w:r>
      <w:r w:rsidR="00C22041">
        <w:rPr>
          <w:rFonts w:ascii="Book Antiqua" w:eastAsia="Calibri" w:hAnsi="Book Antiqua" w:cs="Times New Roman"/>
          <w:sz w:val="24"/>
          <w:szCs w:val="24"/>
        </w:rPr>
        <w:t>United States</w:t>
      </w:r>
      <w:r w:rsidR="007001A2" w:rsidRPr="000F1CB4">
        <w:rPr>
          <w:rFonts w:ascii="Book Antiqua" w:eastAsia="Calibri" w:hAnsi="Book Antiqua" w:cs="Times New Roman"/>
          <w:sz w:val="24"/>
          <w:szCs w:val="24"/>
        </w:rPr>
        <w:t xml:space="preserve"> population-</w:t>
      </w:r>
      <w:r w:rsidR="00177FE7" w:rsidRPr="000F1CB4">
        <w:rPr>
          <w:rFonts w:ascii="Book Antiqua" w:eastAsia="Calibri" w:hAnsi="Book Antiqua" w:cs="Times New Roman"/>
          <w:sz w:val="24"/>
          <w:szCs w:val="24"/>
        </w:rPr>
        <w:t>based study</w:t>
      </w:r>
      <w:r w:rsidR="00D312FF" w:rsidRPr="000F1CB4">
        <w:rPr>
          <w:rFonts w:ascii="Book Antiqua" w:eastAsia="Calibri" w:hAnsi="Book Antiqua" w:cs="Times New Roman"/>
          <w:sz w:val="24"/>
          <w:szCs w:val="24"/>
        </w:rPr>
        <w:t xml:space="preserve"> using the</w:t>
      </w:r>
      <w:r w:rsidR="00BF5DCF" w:rsidRPr="000F1CB4">
        <w:rPr>
          <w:rFonts w:ascii="Book Antiqua" w:eastAsia="Calibri" w:hAnsi="Book Antiqua" w:cs="Times New Roman"/>
          <w:sz w:val="24"/>
          <w:szCs w:val="24"/>
        </w:rPr>
        <w:t xml:space="preserve"> SEER</w:t>
      </w:r>
      <w:r w:rsidR="00D312FF" w:rsidRPr="000F1CB4">
        <w:rPr>
          <w:rFonts w:ascii="Book Antiqua" w:eastAsia="Calibri" w:hAnsi="Book Antiqua" w:cs="Times New Roman"/>
          <w:sz w:val="24"/>
          <w:szCs w:val="24"/>
        </w:rPr>
        <w:t>-Medicare database of patients over 65 years of age with histologically diagnosed HCC between 1994 and 2005</w:t>
      </w:r>
      <w:r w:rsidR="007001A2" w:rsidRPr="000F1CB4">
        <w:rPr>
          <w:rFonts w:ascii="Book Antiqua" w:eastAsia="Calibri" w:hAnsi="Book Antiqua" w:cs="Times New Roman"/>
          <w:sz w:val="24"/>
          <w:szCs w:val="24"/>
        </w:rPr>
        <w:t xml:space="preserve">, </w:t>
      </w:r>
      <w:proofErr w:type="spellStart"/>
      <w:r w:rsidRPr="000F1CB4">
        <w:rPr>
          <w:rFonts w:ascii="Book Antiqua" w:eastAsia="Calibri" w:hAnsi="Book Antiqua" w:cs="Times New Roman"/>
          <w:sz w:val="24"/>
          <w:szCs w:val="24"/>
        </w:rPr>
        <w:t>Welzel</w:t>
      </w:r>
      <w:proofErr w:type="spellEnd"/>
      <w:r w:rsidRPr="000F1CB4">
        <w:rPr>
          <w:rFonts w:ascii="Book Antiqua" w:eastAsia="Calibri" w:hAnsi="Book Antiqua" w:cs="Times New Roman"/>
          <w:sz w:val="24"/>
          <w:szCs w:val="24"/>
        </w:rPr>
        <w:t xml:space="preserve"> </w:t>
      </w:r>
      <w:r w:rsidRPr="00A806C2">
        <w:rPr>
          <w:rFonts w:ascii="Book Antiqua" w:eastAsia="Calibri" w:hAnsi="Book Antiqua" w:cs="Times New Roman"/>
          <w:i/>
          <w:sz w:val="24"/>
          <w:szCs w:val="24"/>
        </w:rPr>
        <w:t xml:space="preserve">et </w:t>
      </w:r>
      <w:proofErr w:type="gramStart"/>
      <w:r w:rsidRPr="00A806C2">
        <w:rPr>
          <w:rFonts w:ascii="Book Antiqua" w:eastAsia="Calibri" w:hAnsi="Book Antiqua" w:cs="Times New Roman"/>
          <w:i/>
          <w:sz w:val="24"/>
          <w:szCs w:val="24"/>
        </w:rPr>
        <w:t>al</w:t>
      </w:r>
      <w:r w:rsidR="00A806C2" w:rsidRPr="000F1CB4">
        <w:rPr>
          <w:rFonts w:ascii="Book Antiqua" w:eastAsia="Calibri" w:hAnsi="Book Antiqua" w:cs="Times New Roman"/>
          <w:sz w:val="24"/>
          <w:szCs w:val="24"/>
          <w:vertAlign w:val="superscript"/>
        </w:rPr>
        <w:t>[</w:t>
      </w:r>
      <w:proofErr w:type="gramEnd"/>
      <w:r w:rsidR="00A806C2" w:rsidRPr="000F1CB4">
        <w:rPr>
          <w:rFonts w:ascii="Book Antiqua" w:eastAsia="Calibri" w:hAnsi="Book Antiqua" w:cs="Times New Roman"/>
          <w:sz w:val="24"/>
          <w:szCs w:val="24"/>
          <w:vertAlign w:val="superscript"/>
        </w:rPr>
        <w:t>19]</w:t>
      </w:r>
      <w:r w:rsidRPr="000F1CB4">
        <w:rPr>
          <w:rFonts w:ascii="Book Antiqua" w:eastAsia="Calibri" w:hAnsi="Book Antiqua" w:cs="Times New Roman"/>
          <w:sz w:val="24"/>
          <w:szCs w:val="24"/>
        </w:rPr>
        <w:t xml:space="preserve"> concluded that </w:t>
      </w:r>
      <w:r w:rsidR="00D312FF" w:rsidRPr="000F1CB4">
        <w:rPr>
          <w:rFonts w:ascii="Book Antiqua" w:eastAsia="Calibri" w:hAnsi="Book Antiqua" w:cs="Times New Roman"/>
          <w:sz w:val="24"/>
          <w:szCs w:val="24"/>
        </w:rPr>
        <w:t xml:space="preserve">the </w:t>
      </w:r>
      <w:r w:rsidRPr="000F1CB4">
        <w:rPr>
          <w:rFonts w:ascii="Book Antiqua" w:eastAsia="Calibri" w:hAnsi="Book Antiqua" w:cs="Times New Roman"/>
          <w:sz w:val="24"/>
          <w:szCs w:val="24"/>
        </w:rPr>
        <w:t xml:space="preserve">metabolic syndrome is an </w:t>
      </w:r>
      <w:r w:rsidR="00D312FF" w:rsidRPr="000F1CB4">
        <w:rPr>
          <w:rFonts w:ascii="Book Antiqua" w:eastAsia="Calibri" w:hAnsi="Book Antiqua" w:cs="Times New Roman"/>
          <w:sz w:val="24"/>
          <w:szCs w:val="24"/>
        </w:rPr>
        <w:t>important</w:t>
      </w:r>
      <w:r w:rsidRPr="000F1CB4">
        <w:rPr>
          <w:rFonts w:ascii="Book Antiqua" w:eastAsia="Calibri" w:hAnsi="Book Antiqua" w:cs="Times New Roman"/>
          <w:sz w:val="24"/>
          <w:szCs w:val="24"/>
        </w:rPr>
        <w:t xml:space="preserve"> risk factor for HCC development. </w:t>
      </w:r>
      <w:r w:rsidR="00D312FF" w:rsidRPr="000F1CB4">
        <w:rPr>
          <w:rFonts w:ascii="Book Antiqua" w:eastAsia="Calibri" w:hAnsi="Book Antiqua" w:cs="Times New Roman"/>
          <w:sz w:val="24"/>
          <w:szCs w:val="24"/>
        </w:rPr>
        <w:t>C</w:t>
      </w:r>
      <w:r w:rsidRPr="000F1CB4">
        <w:rPr>
          <w:rFonts w:ascii="Book Antiqua" w:eastAsia="Calibri" w:hAnsi="Book Antiqua" w:cs="Times New Roman"/>
          <w:sz w:val="24"/>
          <w:szCs w:val="24"/>
        </w:rPr>
        <w:t xml:space="preserve">omparison with a randomly selected control group revealed that </w:t>
      </w:r>
      <w:r w:rsidR="00D312FF" w:rsidRPr="000F1CB4">
        <w:rPr>
          <w:rFonts w:ascii="Book Antiqua" w:eastAsia="Calibri" w:hAnsi="Book Antiqua" w:cs="Times New Roman"/>
          <w:sz w:val="24"/>
          <w:szCs w:val="24"/>
        </w:rPr>
        <w:t xml:space="preserve">each </w:t>
      </w:r>
      <w:r w:rsidRPr="000F1CB4">
        <w:rPr>
          <w:rFonts w:ascii="Book Antiqua" w:eastAsia="Calibri" w:hAnsi="Book Antiqua" w:cs="Times New Roman"/>
          <w:sz w:val="24"/>
          <w:szCs w:val="24"/>
        </w:rPr>
        <w:t>component</w:t>
      </w:r>
      <w:r w:rsidR="00D312FF" w:rsidRPr="000F1CB4">
        <w:rPr>
          <w:rFonts w:ascii="Book Antiqua" w:eastAsia="Calibri" w:hAnsi="Book Antiqua" w:cs="Times New Roman"/>
          <w:sz w:val="24"/>
          <w:szCs w:val="24"/>
        </w:rPr>
        <w:t xml:space="preserve"> </w:t>
      </w:r>
      <w:r w:rsidRPr="000F1CB4">
        <w:rPr>
          <w:rFonts w:ascii="Book Antiqua" w:eastAsia="Calibri" w:hAnsi="Book Antiqua" w:cs="Times New Roman"/>
          <w:sz w:val="24"/>
          <w:szCs w:val="24"/>
        </w:rPr>
        <w:t xml:space="preserve">of </w:t>
      </w:r>
      <w:r w:rsidR="00D312FF" w:rsidRPr="000F1CB4">
        <w:rPr>
          <w:rFonts w:ascii="Book Antiqua" w:eastAsia="Calibri" w:hAnsi="Book Antiqua" w:cs="Times New Roman"/>
          <w:sz w:val="24"/>
          <w:szCs w:val="24"/>
        </w:rPr>
        <w:t>the m</w:t>
      </w:r>
      <w:r w:rsidRPr="000F1CB4">
        <w:rPr>
          <w:rFonts w:ascii="Book Antiqua" w:eastAsia="Calibri" w:hAnsi="Book Antiqua" w:cs="Times New Roman"/>
          <w:sz w:val="24"/>
          <w:szCs w:val="24"/>
        </w:rPr>
        <w:t xml:space="preserve">etabolic syndrome </w:t>
      </w:r>
      <w:r w:rsidR="00D312FF" w:rsidRPr="000F1CB4">
        <w:rPr>
          <w:rFonts w:ascii="Book Antiqua" w:eastAsia="Calibri" w:hAnsi="Book Antiqua" w:cs="Times New Roman"/>
          <w:sz w:val="24"/>
          <w:szCs w:val="24"/>
        </w:rPr>
        <w:t xml:space="preserve">was </w:t>
      </w:r>
      <w:r w:rsidRPr="000F1CB4">
        <w:rPr>
          <w:rFonts w:ascii="Book Antiqua" w:eastAsia="Calibri" w:hAnsi="Book Antiqua" w:cs="Times New Roman"/>
          <w:sz w:val="24"/>
          <w:szCs w:val="24"/>
        </w:rPr>
        <w:t xml:space="preserve">individually associated with a statistically significant increased risk of HCC development </w:t>
      </w:r>
      <w:r w:rsidR="0093742F" w:rsidRPr="000F1CB4">
        <w:rPr>
          <w:rFonts w:ascii="Book Antiqua" w:eastAsia="Calibri" w:hAnsi="Book Antiqua" w:cs="Times New Roman"/>
          <w:sz w:val="24"/>
          <w:szCs w:val="24"/>
        </w:rPr>
        <w:t>(</w:t>
      </w:r>
      <w:r w:rsidR="00A806C2" w:rsidRPr="000F1CB4">
        <w:rPr>
          <w:rFonts w:ascii="Book Antiqua" w:eastAsia="Calibri" w:hAnsi="Book Antiqua" w:cs="Times New Roman"/>
          <w:i/>
          <w:sz w:val="24"/>
          <w:szCs w:val="24"/>
        </w:rPr>
        <w:t>P</w:t>
      </w:r>
      <w:r w:rsidR="00A806C2">
        <w:rPr>
          <w:rFonts w:ascii="Book Antiqua" w:hAnsi="Book Antiqua" w:cs="Times New Roman" w:hint="eastAsia"/>
          <w:i/>
          <w:sz w:val="24"/>
          <w:szCs w:val="24"/>
          <w:lang w:eastAsia="zh-CN"/>
        </w:rPr>
        <w:t xml:space="preserve"> </w:t>
      </w:r>
      <w:r w:rsidRPr="000F1CB4">
        <w:rPr>
          <w:rFonts w:ascii="Book Antiqua" w:eastAsia="Calibri" w:hAnsi="Book Antiqua" w:cs="Times New Roman"/>
          <w:sz w:val="24"/>
          <w:szCs w:val="24"/>
        </w:rPr>
        <w:t>&lt;</w:t>
      </w:r>
      <w:r w:rsidR="00A806C2">
        <w:rPr>
          <w:rFonts w:ascii="Book Antiqua" w:hAnsi="Book Antiqua" w:cs="Times New Roman" w:hint="eastAsia"/>
          <w:sz w:val="24"/>
          <w:szCs w:val="24"/>
          <w:lang w:eastAsia="zh-CN"/>
        </w:rPr>
        <w:t xml:space="preserve"> </w:t>
      </w:r>
      <w:r w:rsidRPr="000F1CB4">
        <w:rPr>
          <w:rFonts w:ascii="Book Antiqua" w:eastAsia="Calibri" w:hAnsi="Book Antiqua" w:cs="Times New Roman"/>
          <w:sz w:val="24"/>
          <w:szCs w:val="24"/>
        </w:rPr>
        <w:t xml:space="preserve">0.0001). </w:t>
      </w:r>
    </w:p>
    <w:p w14:paraId="50C23B61" w14:textId="33DEB268" w:rsidR="005D1AE1" w:rsidRPr="000F1CB4" w:rsidRDefault="00D10535" w:rsidP="00A806C2">
      <w:pPr>
        <w:spacing w:after="0" w:line="360" w:lineRule="auto"/>
        <w:ind w:firstLineChars="100" w:firstLine="240"/>
        <w:jc w:val="both"/>
        <w:rPr>
          <w:rFonts w:ascii="Book Antiqua" w:eastAsia="Calibri" w:hAnsi="Book Antiqua" w:cs="Times New Roman"/>
          <w:sz w:val="24"/>
          <w:szCs w:val="24"/>
        </w:rPr>
      </w:pPr>
      <w:r w:rsidRPr="000F1CB4">
        <w:rPr>
          <w:rFonts w:ascii="Book Antiqua" w:eastAsia="Calibri" w:hAnsi="Book Antiqua" w:cs="Times New Roman"/>
          <w:sz w:val="24"/>
          <w:szCs w:val="24"/>
        </w:rPr>
        <w:t>Obesity is considered</w:t>
      </w:r>
      <w:r w:rsidR="00C03C0E" w:rsidRPr="000F1CB4">
        <w:rPr>
          <w:rFonts w:ascii="Book Antiqua" w:eastAsia="Calibri" w:hAnsi="Book Antiqua" w:cs="Times New Roman"/>
          <w:sz w:val="24"/>
          <w:szCs w:val="24"/>
        </w:rPr>
        <w:t xml:space="preserve"> a significant risk factor for the development of not only HCC but</w:t>
      </w:r>
      <w:r w:rsidR="005F2995" w:rsidRPr="000F1CB4">
        <w:rPr>
          <w:rFonts w:ascii="Book Antiqua" w:eastAsia="Calibri" w:hAnsi="Book Antiqua" w:cs="Times New Roman"/>
          <w:sz w:val="24"/>
          <w:szCs w:val="24"/>
        </w:rPr>
        <w:t xml:space="preserve"> also for a </w:t>
      </w:r>
      <w:r w:rsidR="00C03C0E" w:rsidRPr="000F1CB4">
        <w:rPr>
          <w:rFonts w:ascii="Book Antiqua" w:eastAsia="Calibri" w:hAnsi="Book Antiqua" w:cs="Times New Roman"/>
          <w:sz w:val="24"/>
          <w:szCs w:val="24"/>
        </w:rPr>
        <w:t xml:space="preserve">number of other malignancies. </w:t>
      </w:r>
      <w:proofErr w:type="spellStart"/>
      <w:r w:rsidR="00C03C0E" w:rsidRPr="000F1CB4">
        <w:rPr>
          <w:rFonts w:ascii="Book Antiqua" w:eastAsia="Calibri" w:hAnsi="Book Antiqua" w:cs="Times New Roman"/>
          <w:sz w:val="24"/>
          <w:szCs w:val="24"/>
        </w:rPr>
        <w:t>Welzel</w:t>
      </w:r>
      <w:proofErr w:type="spellEnd"/>
      <w:r w:rsidR="00C03C0E" w:rsidRPr="000F1CB4">
        <w:rPr>
          <w:rFonts w:ascii="Book Antiqua" w:eastAsia="Calibri" w:hAnsi="Book Antiqua" w:cs="Times New Roman"/>
          <w:sz w:val="24"/>
          <w:szCs w:val="24"/>
        </w:rPr>
        <w:t xml:space="preserve"> </w:t>
      </w:r>
      <w:r w:rsidR="00C03C0E" w:rsidRPr="00A806C2">
        <w:rPr>
          <w:rFonts w:ascii="Book Antiqua" w:eastAsia="Calibri" w:hAnsi="Book Antiqua" w:cs="Times New Roman"/>
          <w:i/>
          <w:sz w:val="24"/>
          <w:szCs w:val="24"/>
        </w:rPr>
        <w:t xml:space="preserve">et </w:t>
      </w:r>
      <w:proofErr w:type="gramStart"/>
      <w:r w:rsidR="00C03C0E" w:rsidRPr="00A806C2">
        <w:rPr>
          <w:rFonts w:ascii="Book Antiqua" w:eastAsia="Calibri" w:hAnsi="Book Antiqua" w:cs="Times New Roman"/>
          <w:i/>
          <w:sz w:val="24"/>
          <w:szCs w:val="24"/>
        </w:rPr>
        <w:t>al</w:t>
      </w:r>
      <w:r w:rsidR="00A806C2" w:rsidRPr="000F1CB4">
        <w:rPr>
          <w:rFonts w:ascii="Book Antiqua" w:eastAsia="Calibri" w:hAnsi="Book Antiqua" w:cs="Times New Roman"/>
          <w:sz w:val="24"/>
          <w:szCs w:val="24"/>
          <w:vertAlign w:val="superscript"/>
        </w:rPr>
        <w:t>[</w:t>
      </w:r>
      <w:proofErr w:type="gramEnd"/>
      <w:r w:rsidR="00A806C2" w:rsidRPr="000F1CB4">
        <w:rPr>
          <w:rFonts w:ascii="Book Antiqua" w:eastAsia="Calibri" w:hAnsi="Book Antiqua" w:cs="Times New Roman"/>
          <w:sz w:val="24"/>
          <w:szCs w:val="24"/>
          <w:vertAlign w:val="superscript"/>
        </w:rPr>
        <w:t>19]</w:t>
      </w:r>
      <w:r w:rsidR="00C03C0E" w:rsidRPr="000F1CB4">
        <w:rPr>
          <w:rFonts w:ascii="Book Antiqua" w:eastAsia="Calibri" w:hAnsi="Book Antiqua" w:cs="Times New Roman"/>
          <w:sz w:val="24"/>
          <w:szCs w:val="24"/>
        </w:rPr>
        <w:t xml:space="preserve"> reported a 1.</w:t>
      </w:r>
      <w:r w:rsidR="00CC2C80" w:rsidRPr="000F1CB4">
        <w:rPr>
          <w:rFonts w:ascii="Book Antiqua" w:eastAsia="Calibri" w:hAnsi="Book Antiqua" w:cs="Times New Roman"/>
          <w:sz w:val="24"/>
          <w:szCs w:val="24"/>
        </w:rPr>
        <w:t>93-</w:t>
      </w:r>
      <w:r w:rsidR="00C03C0E" w:rsidRPr="000F1CB4">
        <w:rPr>
          <w:rFonts w:ascii="Book Antiqua" w:eastAsia="Calibri" w:hAnsi="Book Antiqua" w:cs="Times New Roman"/>
          <w:sz w:val="24"/>
          <w:szCs w:val="24"/>
        </w:rPr>
        <w:t xml:space="preserve">fold increased risk of HCC in </w:t>
      </w:r>
      <w:r w:rsidR="00C66F81" w:rsidRPr="000F1CB4">
        <w:rPr>
          <w:rFonts w:ascii="Book Antiqua" w:eastAsia="Calibri" w:hAnsi="Book Antiqua" w:cs="Times New Roman"/>
          <w:sz w:val="24"/>
          <w:szCs w:val="24"/>
        </w:rPr>
        <w:t xml:space="preserve">the </w:t>
      </w:r>
      <w:r w:rsidR="00C03C0E" w:rsidRPr="000F1CB4">
        <w:rPr>
          <w:rFonts w:ascii="Book Antiqua" w:eastAsia="Calibri" w:hAnsi="Book Antiqua" w:cs="Times New Roman"/>
          <w:sz w:val="24"/>
          <w:szCs w:val="24"/>
        </w:rPr>
        <w:t>obese population</w:t>
      </w:r>
      <w:r w:rsidR="00CC2C80" w:rsidRPr="000F1CB4">
        <w:rPr>
          <w:rFonts w:ascii="Book Antiqua" w:eastAsia="Calibri" w:hAnsi="Book Antiqua" w:cs="Times New Roman"/>
          <w:sz w:val="24"/>
          <w:szCs w:val="24"/>
        </w:rPr>
        <w:t>.</w:t>
      </w:r>
      <w:r w:rsidR="00C03C0E" w:rsidRPr="000F1CB4">
        <w:rPr>
          <w:rFonts w:ascii="Book Antiqua" w:eastAsia="Calibri" w:hAnsi="Book Antiqua" w:cs="Times New Roman"/>
          <w:sz w:val="24"/>
          <w:szCs w:val="24"/>
        </w:rPr>
        <w:t xml:space="preserve"> In a large prospective study by </w:t>
      </w:r>
      <w:proofErr w:type="spellStart"/>
      <w:r w:rsidR="00C03C0E" w:rsidRPr="000F1CB4">
        <w:rPr>
          <w:rFonts w:ascii="Book Antiqua" w:eastAsia="Calibri" w:hAnsi="Book Antiqua" w:cs="Times New Roman"/>
          <w:sz w:val="24"/>
          <w:szCs w:val="24"/>
        </w:rPr>
        <w:t>Calle</w:t>
      </w:r>
      <w:proofErr w:type="spellEnd"/>
      <w:r w:rsidR="00C03C0E" w:rsidRPr="000F1CB4">
        <w:rPr>
          <w:rFonts w:ascii="Book Antiqua" w:eastAsia="Calibri" w:hAnsi="Book Antiqua" w:cs="Times New Roman"/>
          <w:sz w:val="24"/>
          <w:szCs w:val="24"/>
        </w:rPr>
        <w:t xml:space="preserve"> </w:t>
      </w:r>
      <w:r w:rsidR="00C03C0E" w:rsidRPr="00A806C2">
        <w:rPr>
          <w:rFonts w:ascii="Book Antiqua" w:eastAsia="Calibri" w:hAnsi="Book Antiqua" w:cs="Times New Roman"/>
          <w:i/>
          <w:sz w:val="24"/>
          <w:szCs w:val="24"/>
        </w:rPr>
        <w:t xml:space="preserve">et </w:t>
      </w:r>
      <w:proofErr w:type="gramStart"/>
      <w:r w:rsidR="00C03C0E" w:rsidRPr="00A806C2">
        <w:rPr>
          <w:rFonts w:ascii="Book Antiqua" w:eastAsia="Calibri" w:hAnsi="Book Antiqua" w:cs="Times New Roman"/>
          <w:i/>
          <w:sz w:val="24"/>
          <w:szCs w:val="24"/>
        </w:rPr>
        <w:t>al</w:t>
      </w:r>
      <w:r w:rsidR="00A806C2" w:rsidRPr="000F1CB4">
        <w:rPr>
          <w:rFonts w:ascii="Book Antiqua" w:eastAsia="Calibri" w:hAnsi="Book Antiqua" w:cs="Times New Roman"/>
          <w:sz w:val="24"/>
          <w:szCs w:val="24"/>
          <w:vertAlign w:val="superscript"/>
        </w:rPr>
        <w:t>[</w:t>
      </w:r>
      <w:proofErr w:type="gramEnd"/>
      <w:r w:rsidR="00A806C2" w:rsidRPr="000F1CB4">
        <w:rPr>
          <w:rFonts w:ascii="Book Antiqua" w:eastAsia="Calibri" w:hAnsi="Book Antiqua" w:cs="Times New Roman"/>
          <w:sz w:val="24"/>
          <w:szCs w:val="24"/>
          <w:vertAlign w:val="superscript"/>
        </w:rPr>
        <w:t>20]</w:t>
      </w:r>
      <w:r w:rsidR="005F2995" w:rsidRPr="000F1CB4">
        <w:rPr>
          <w:rFonts w:ascii="Book Antiqua" w:eastAsia="Calibri" w:hAnsi="Book Antiqua" w:cs="Times New Roman"/>
          <w:sz w:val="24"/>
          <w:szCs w:val="24"/>
        </w:rPr>
        <w:t>,</w:t>
      </w:r>
      <w:r w:rsidR="00A806C2">
        <w:rPr>
          <w:rFonts w:ascii="Book Antiqua" w:eastAsia="Calibri" w:hAnsi="Book Antiqua" w:cs="Times New Roman"/>
          <w:sz w:val="24"/>
          <w:szCs w:val="24"/>
        </w:rPr>
        <w:t xml:space="preserve"> out of 900</w:t>
      </w:r>
      <w:r w:rsidR="00C03C0E" w:rsidRPr="000F1CB4">
        <w:rPr>
          <w:rFonts w:ascii="Book Antiqua" w:eastAsia="Calibri" w:hAnsi="Book Antiqua" w:cs="Times New Roman"/>
          <w:sz w:val="24"/>
          <w:szCs w:val="24"/>
        </w:rPr>
        <w:t xml:space="preserve">000 </w:t>
      </w:r>
      <w:r w:rsidR="00A806C2">
        <w:rPr>
          <w:rFonts w:ascii="Book Antiqua" w:eastAsia="Calibri" w:hAnsi="Book Antiqua" w:cs="Times New Roman"/>
          <w:sz w:val="24"/>
          <w:szCs w:val="24"/>
        </w:rPr>
        <w:t>United States</w:t>
      </w:r>
      <w:r w:rsidR="00C03C0E" w:rsidRPr="000F1CB4">
        <w:rPr>
          <w:rFonts w:ascii="Book Antiqua" w:eastAsia="Calibri" w:hAnsi="Book Antiqua" w:cs="Times New Roman"/>
          <w:sz w:val="24"/>
          <w:szCs w:val="24"/>
        </w:rPr>
        <w:t xml:space="preserve"> adults who were enrolled in</w:t>
      </w:r>
      <w:r w:rsidRPr="000F1CB4">
        <w:rPr>
          <w:rFonts w:ascii="Book Antiqua" w:eastAsia="Calibri" w:hAnsi="Book Antiqua" w:cs="Times New Roman"/>
          <w:sz w:val="24"/>
          <w:szCs w:val="24"/>
        </w:rPr>
        <w:t xml:space="preserve"> the</w:t>
      </w:r>
      <w:r w:rsidR="00A806C2">
        <w:rPr>
          <w:rFonts w:ascii="Book Antiqua" w:eastAsia="Calibri" w:hAnsi="Book Antiqua" w:cs="Times New Roman"/>
          <w:sz w:val="24"/>
          <w:szCs w:val="24"/>
        </w:rPr>
        <w:t xml:space="preserve"> study in 1982, 57</w:t>
      </w:r>
      <w:r w:rsidR="00C03C0E" w:rsidRPr="000F1CB4">
        <w:rPr>
          <w:rFonts w:ascii="Book Antiqua" w:eastAsia="Calibri" w:hAnsi="Book Antiqua" w:cs="Times New Roman"/>
          <w:sz w:val="24"/>
          <w:szCs w:val="24"/>
        </w:rPr>
        <w:t>145 died from cancer during the 16 year follow</w:t>
      </w:r>
      <w:r w:rsidR="005F2995" w:rsidRPr="000F1CB4">
        <w:rPr>
          <w:rFonts w:ascii="Book Antiqua" w:eastAsia="Calibri" w:hAnsi="Book Antiqua" w:cs="Times New Roman"/>
          <w:sz w:val="24"/>
          <w:szCs w:val="24"/>
        </w:rPr>
        <w:t>-</w:t>
      </w:r>
      <w:r w:rsidR="00C03C0E" w:rsidRPr="000F1CB4">
        <w:rPr>
          <w:rFonts w:ascii="Book Antiqua" w:eastAsia="Calibri" w:hAnsi="Book Antiqua" w:cs="Times New Roman"/>
          <w:sz w:val="24"/>
          <w:szCs w:val="24"/>
        </w:rPr>
        <w:t xml:space="preserve">up period. </w:t>
      </w:r>
      <w:r w:rsidR="008360F1" w:rsidRPr="000F1CB4">
        <w:rPr>
          <w:rFonts w:ascii="Book Antiqua" w:eastAsia="Calibri" w:hAnsi="Book Antiqua" w:cs="Times New Roman"/>
          <w:sz w:val="24"/>
          <w:szCs w:val="24"/>
        </w:rPr>
        <w:t>Morbidly obes</w:t>
      </w:r>
      <w:r w:rsidR="00DC07CB" w:rsidRPr="000F1CB4">
        <w:rPr>
          <w:rFonts w:ascii="Book Antiqua" w:eastAsia="Calibri" w:hAnsi="Book Antiqua" w:cs="Times New Roman"/>
          <w:sz w:val="24"/>
          <w:szCs w:val="24"/>
        </w:rPr>
        <w:t>e</w:t>
      </w:r>
      <w:r w:rsidR="0002319C" w:rsidRPr="000F1CB4">
        <w:rPr>
          <w:rFonts w:ascii="Book Antiqua" w:eastAsia="Calibri" w:hAnsi="Book Antiqua" w:cs="Times New Roman"/>
          <w:sz w:val="24"/>
          <w:szCs w:val="24"/>
        </w:rPr>
        <w:t xml:space="preserve"> (</w:t>
      </w:r>
      <w:r w:rsidR="00C03C0E" w:rsidRPr="000F1CB4">
        <w:rPr>
          <w:rFonts w:ascii="Book Antiqua" w:eastAsia="Calibri" w:hAnsi="Book Antiqua" w:cs="Times New Roman"/>
          <w:sz w:val="24"/>
          <w:szCs w:val="24"/>
        </w:rPr>
        <w:t>BMI &gt; 40 kg/</w:t>
      </w:r>
      <w:r w:rsidR="0002319C" w:rsidRPr="000F1CB4">
        <w:rPr>
          <w:rFonts w:ascii="Book Antiqua" w:eastAsia="Calibri" w:hAnsi="Book Antiqua" w:cs="Times New Roman"/>
          <w:sz w:val="24"/>
          <w:szCs w:val="24"/>
        </w:rPr>
        <w:t>m</w:t>
      </w:r>
      <w:r w:rsidR="0002319C" w:rsidRPr="000F1CB4">
        <w:rPr>
          <w:rFonts w:ascii="Book Antiqua" w:eastAsia="Calibri" w:hAnsi="Book Antiqua" w:cs="Times New Roman"/>
          <w:sz w:val="24"/>
          <w:szCs w:val="24"/>
          <w:vertAlign w:val="superscript"/>
        </w:rPr>
        <w:t>2</w:t>
      </w:r>
      <w:r w:rsidR="0002319C" w:rsidRPr="000F1CB4">
        <w:rPr>
          <w:rFonts w:ascii="Book Antiqua" w:eastAsia="Calibri" w:hAnsi="Book Antiqua" w:cs="Times New Roman"/>
          <w:sz w:val="24"/>
          <w:szCs w:val="24"/>
        </w:rPr>
        <w:t>)</w:t>
      </w:r>
      <w:r w:rsidR="00C03C0E" w:rsidRPr="000F1CB4">
        <w:rPr>
          <w:rFonts w:ascii="Book Antiqua" w:eastAsia="Calibri" w:hAnsi="Book Antiqua" w:cs="Times New Roman"/>
          <w:sz w:val="24"/>
          <w:szCs w:val="24"/>
        </w:rPr>
        <w:t xml:space="preserve"> </w:t>
      </w:r>
      <w:r w:rsidR="008360F1" w:rsidRPr="000F1CB4">
        <w:rPr>
          <w:rFonts w:ascii="Book Antiqua" w:eastAsia="Calibri" w:hAnsi="Book Antiqua" w:cs="Times New Roman"/>
          <w:sz w:val="24"/>
          <w:szCs w:val="24"/>
        </w:rPr>
        <w:t xml:space="preserve">males </w:t>
      </w:r>
      <w:r w:rsidR="00C03C0E" w:rsidRPr="000F1CB4">
        <w:rPr>
          <w:rFonts w:ascii="Book Antiqua" w:eastAsia="Calibri" w:hAnsi="Book Antiqua" w:cs="Times New Roman"/>
          <w:sz w:val="24"/>
          <w:szCs w:val="24"/>
        </w:rPr>
        <w:t xml:space="preserve">had </w:t>
      </w:r>
      <w:r w:rsidR="008360F1" w:rsidRPr="000F1CB4">
        <w:rPr>
          <w:rFonts w:ascii="Book Antiqua" w:eastAsia="Calibri" w:hAnsi="Book Antiqua" w:cs="Times New Roman"/>
          <w:sz w:val="24"/>
          <w:szCs w:val="24"/>
        </w:rPr>
        <w:t xml:space="preserve">a </w:t>
      </w:r>
      <w:r w:rsidR="00C03C0E" w:rsidRPr="000F1CB4">
        <w:rPr>
          <w:rFonts w:ascii="Book Antiqua" w:eastAsia="Calibri" w:hAnsi="Book Antiqua" w:cs="Times New Roman"/>
          <w:sz w:val="24"/>
          <w:szCs w:val="24"/>
        </w:rPr>
        <w:t xml:space="preserve">52% higher </w:t>
      </w:r>
      <w:r w:rsidR="004C1C1B" w:rsidRPr="000F1CB4">
        <w:rPr>
          <w:rFonts w:ascii="Book Antiqua" w:eastAsia="Calibri" w:hAnsi="Book Antiqua" w:cs="Times New Roman"/>
          <w:sz w:val="24"/>
          <w:szCs w:val="24"/>
        </w:rPr>
        <w:t>mortality</w:t>
      </w:r>
      <w:r w:rsidR="00DC07CB" w:rsidRPr="000F1CB4">
        <w:rPr>
          <w:rFonts w:ascii="Book Antiqua" w:eastAsia="Calibri" w:hAnsi="Book Antiqua" w:cs="Times New Roman"/>
          <w:sz w:val="24"/>
          <w:szCs w:val="24"/>
        </w:rPr>
        <w:t>,</w:t>
      </w:r>
      <w:r w:rsidR="00C03C0E" w:rsidRPr="000F1CB4">
        <w:rPr>
          <w:rFonts w:ascii="Book Antiqua" w:eastAsia="Calibri" w:hAnsi="Book Antiqua" w:cs="Times New Roman"/>
          <w:sz w:val="24"/>
          <w:szCs w:val="24"/>
        </w:rPr>
        <w:t xml:space="preserve"> while</w:t>
      </w:r>
      <w:r w:rsidR="004C1C1B" w:rsidRPr="000F1CB4">
        <w:rPr>
          <w:rFonts w:ascii="Book Antiqua" w:eastAsia="Calibri" w:hAnsi="Book Antiqua" w:cs="Times New Roman"/>
          <w:sz w:val="24"/>
          <w:szCs w:val="24"/>
        </w:rPr>
        <w:t xml:space="preserve"> morbidly obese</w:t>
      </w:r>
      <w:r w:rsidR="00C03C0E" w:rsidRPr="000F1CB4">
        <w:rPr>
          <w:rFonts w:ascii="Book Antiqua" w:eastAsia="Calibri" w:hAnsi="Book Antiqua" w:cs="Times New Roman"/>
          <w:sz w:val="24"/>
          <w:szCs w:val="24"/>
        </w:rPr>
        <w:t xml:space="preserve"> women had</w:t>
      </w:r>
      <w:r w:rsidR="004C1C1B" w:rsidRPr="000F1CB4">
        <w:rPr>
          <w:rFonts w:ascii="Book Antiqua" w:eastAsia="Calibri" w:hAnsi="Book Antiqua" w:cs="Times New Roman"/>
          <w:sz w:val="24"/>
          <w:szCs w:val="24"/>
        </w:rPr>
        <w:t xml:space="preserve"> a</w:t>
      </w:r>
      <w:r w:rsidR="00C03C0E" w:rsidRPr="000F1CB4">
        <w:rPr>
          <w:rFonts w:ascii="Book Antiqua" w:eastAsia="Calibri" w:hAnsi="Book Antiqua" w:cs="Times New Roman"/>
          <w:sz w:val="24"/>
          <w:szCs w:val="24"/>
        </w:rPr>
        <w:t xml:space="preserve"> 62% higher </w:t>
      </w:r>
      <w:r w:rsidR="004C1C1B" w:rsidRPr="000F1CB4">
        <w:rPr>
          <w:rFonts w:ascii="Book Antiqua" w:eastAsia="Calibri" w:hAnsi="Book Antiqua" w:cs="Times New Roman"/>
          <w:sz w:val="24"/>
          <w:szCs w:val="24"/>
        </w:rPr>
        <w:t>mortality</w:t>
      </w:r>
      <w:r w:rsidR="00C03C0E" w:rsidRPr="000F1CB4">
        <w:rPr>
          <w:rFonts w:ascii="Book Antiqua" w:eastAsia="Calibri" w:hAnsi="Book Antiqua" w:cs="Times New Roman"/>
          <w:sz w:val="24"/>
          <w:szCs w:val="24"/>
        </w:rPr>
        <w:t xml:space="preserve"> compared </w:t>
      </w:r>
      <w:r w:rsidR="004C1C1B" w:rsidRPr="000F1CB4">
        <w:rPr>
          <w:rFonts w:ascii="Book Antiqua" w:eastAsia="Calibri" w:hAnsi="Book Antiqua" w:cs="Times New Roman"/>
          <w:sz w:val="24"/>
          <w:szCs w:val="24"/>
        </w:rPr>
        <w:t>to corresponding mortality in their normal weight counterparts</w:t>
      </w:r>
      <w:r w:rsidR="00C03C0E" w:rsidRPr="000F1CB4">
        <w:rPr>
          <w:rFonts w:ascii="Book Antiqua" w:eastAsia="Calibri" w:hAnsi="Book Antiqua" w:cs="Times New Roman"/>
          <w:sz w:val="24"/>
          <w:szCs w:val="24"/>
        </w:rPr>
        <w:t>.</w:t>
      </w:r>
      <w:r w:rsidR="00B738B7" w:rsidRPr="000F1CB4">
        <w:rPr>
          <w:rFonts w:ascii="Book Antiqua" w:eastAsia="Calibri" w:hAnsi="Book Antiqua" w:cs="Times New Roman"/>
          <w:sz w:val="24"/>
          <w:szCs w:val="24"/>
        </w:rPr>
        <w:t xml:space="preserve"> There is growing evidence </w:t>
      </w:r>
      <w:r w:rsidR="00347443" w:rsidRPr="000F1CB4">
        <w:rPr>
          <w:rFonts w:ascii="Book Antiqua" w:eastAsia="Calibri" w:hAnsi="Book Antiqua" w:cs="Times New Roman"/>
          <w:sz w:val="24"/>
          <w:szCs w:val="24"/>
        </w:rPr>
        <w:t>supporting a positive correlation</w:t>
      </w:r>
      <w:r w:rsidR="00B738B7" w:rsidRPr="000F1CB4">
        <w:rPr>
          <w:rFonts w:ascii="Book Antiqua" w:eastAsia="Calibri" w:hAnsi="Book Antiqua" w:cs="Times New Roman"/>
          <w:sz w:val="24"/>
          <w:szCs w:val="24"/>
        </w:rPr>
        <w:t xml:space="preserve"> between excess body weight and </w:t>
      </w:r>
      <w:r w:rsidR="000404B8" w:rsidRPr="000F1CB4">
        <w:rPr>
          <w:rFonts w:ascii="Book Antiqua" w:eastAsia="Calibri" w:hAnsi="Book Antiqua" w:cs="Times New Roman"/>
          <w:sz w:val="24"/>
          <w:szCs w:val="24"/>
        </w:rPr>
        <w:t>HCC</w:t>
      </w:r>
      <w:r w:rsidR="00B738B7" w:rsidRPr="000F1CB4">
        <w:rPr>
          <w:rFonts w:ascii="Book Antiqua" w:eastAsia="Calibri" w:hAnsi="Book Antiqua" w:cs="Times New Roman"/>
          <w:sz w:val="24"/>
          <w:szCs w:val="24"/>
        </w:rPr>
        <w:t xml:space="preserve"> risk.</w:t>
      </w:r>
      <w:r w:rsidRPr="000F1CB4">
        <w:rPr>
          <w:rFonts w:ascii="Book Antiqua" w:eastAsia="Calibri" w:hAnsi="Book Antiqua" w:cs="Times New Roman"/>
          <w:sz w:val="24"/>
          <w:szCs w:val="24"/>
        </w:rPr>
        <w:t xml:space="preserve"> </w:t>
      </w:r>
      <w:r w:rsidR="00347443" w:rsidRPr="000F1CB4">
        <w:rPr>
          <w:rFonts w:ascii="Book Antiqua" w:eastAsia="Calibri" w:hAnsi="Book Antiqua" w:cs="Times New Roman"/>
          <w:sz w:val="24"/>
          <w:szCs w:val="24"/>
        </w:rPr>
        <w:t>R</w:t>
      </w:r>
      <w:r w:rsidRPr="000F1CB4">
        <w:rPr>
          <w:rFonts w:ascii="Book Antiqua" w:eastAsia="Calibri" w:hAnsi="Book Antiqua" w:cs="Times New Roman"/>
          <w:sz w:val="24"/>
          <w:szCs w:val="24"/>
        </w:rPr>
        <w:t xml:space="preserve">esults </w:t>
      </w:r>
      <w:r w:rsidR="00347443" w:rsidRPr="000F1CB4">
        <w:rPr>
          <w:rFonts w:ascii="Book Antiqua" w:eastAsia="Calibri" w:hAnsi="Book Antiqua" w:cs="Times New Roman"/>
          <w:sz w:val="24"/>
          <w:szCs w:val="24"/>
        </w:rPr>
        <w:t xml:space="preserve">from a meta-analysis of 11 cohort studies performed in 2007 </w:t>
      </w:r>
      <w:r w:rsidRPr="000F1CB4">
        <w:rPr>
          <w:rFonts w:ascii="Book Antiqua" w:eastAsia="Calibri" w:hAnsi="Book Antiqua" w:cs="Times New Roman"/>
          <w:sz w:val="24"/>
          <w:szCs w:val="24"/>
        </w:rPr>
        <w:t>showed that the liver cancer risk was 17% among the overweight and 89% among the obese as compared to those with normal weight.</w:t>
      </w:r>
      <w:r w:rsidR="00347443" w:rsidRPr="000F1CB4">
        <w:rPr>
          <w:rFonts w:ascii="Book Antiqua" w:eastAsia="Calibri" w:hAnsi="Book Antiqua" w:cs="Times New Roman"/>
          <w:sz w:val="24"/>
          <w:szCs w:val="24"/>
        </w:rPr>
        <w:t xml:space="preserve"> Furthermore</w:t>
      </w:r>
      <w:r w:rsidR="0002319C" w:rsidRPr="000F1CB4">
        <w:rPr>
          <w:rFonts w:ascii="Book Antiqua" w:eastAsia="Calibri" w:hAnsi="Book Antiqua" w:cs="Times New Roman"/>
          <w:sz w:val="24"/>
          <w:szCs w:val="24"/>
        </w:rPr>
        <w:t>,</w:t>
      </w:r>
      <w:r w:rsidR="00347443" w:rsidRPr="000F1CB4">
        <w:rPr>
          <w:rFonts w:ascii="Book Antiqua" w:eastAsia="Calibri" w:hAnsi="Book Antiqua" w:cs="Times New Roman"/>
          <w:sz w:val="24"/>
          <w:szCs w:val="24"/>
        </w:rPr>
        <w:t xml:space="preserve"> i</w:t>
      </w:r>
      <w:r w:rsidR="00C66F81" w:rsidRPr="000F1CB4">
        <w:rPr>
          <w:rFonts w:ascii="Book Antiqua" w:eastAsia="Calibri" w:hAnsi="Book Antiqua" w:cs="Times New Roman"/>
          <w:sz w:val="24"/>
          <w:szCs w:val="24"/>
        </w:rPr>
        <w:t xml:space="preserve">t </w:t>
      </w:r>
      <w:r w:rsidR="00347443" w:rsidRPr="000F1CB4">
        <w:rPr>
          <w:rFonts w:ascii="Book Antiqua" w:eastAsia="Calibri" w:hAnsi="Book Antiqua" w:cs="Times New Roman"/>
          <w:sz w:val="24"/>
          <w:szCs w:val="24"/>
        </w:rPr>
        <w:t>was</w:t>
      </w:r>
      <w:r w:rsidR="00C66F81" w:rsidRPr="000F1CB4">
        <w:rPr>
          <w:rFonts w:ascii="Book Antiqua" w:eastAsia="Calibri" w:hAnsi="Book Antiqua" w:cs="Times New Roman"/>
          <w:sz w:val="24"/>
          <w:szCs w:val="24"/>
        </w:rPr>
        <w:t xml:space="preserve"> estimated that 28% </w:t>
      </w:r>
      <w:r w:rsidR="003E29CA" w:rsidRPr="000F1CB4">
        <w:rPr>
          <w:rFonts w:ascii="Book Antiqua" w:eastAsia="Calibri" w:hAnsi="Book Antiqua" w:cs="Times New Roman"/>
          <w:sz w:val="24"/>
          <w:szCs w:val="24"/>
        </w:rPr>
        <w:t xml:space="preserve">of </w:t>
      </w:r>
      <w:r w:rsidR="00C66F81" w:rsidRPr="000F1CB4">
        <w:rPr>
          <w:rFonts w:ascii="Book Antiqua" w:eastAsia="Calibri" w:hAnsi="Book Antiqua" w:cs="Times New Roman"/>
          <w:sz w:val="24"/>
          <w:szCs w:val="24"/>
        </w:rPr>
        <w:t xml:space="preserve">liver cancer cases in men and 27% </w:t>
      </w:r>
      <w:r w:rsidR="003E29CA" w:rsidRPr="000F1CB4">
        <w:rPr>
          <w:rFonts w:ascii="Book Antiqua" w:eastAsia="Calibri" w:hAnsi="Book Antiqua" w:cs="Times New Roman"/>
          <w:sz w:val="24"/>
          <w:szCs w:val="24"/>
        </w:rPr>
        <w:t xml:space="preserve">of </w:t>
      </w:r>
      <w:r w:rsidR="00C66F81" w:rsidRPr="000F1CB4">
        <w:rPr>
          <w:rFonts w:ascii="Book Antiqua" w:eastAsia="Calibri" w:hAnsi="Book Antiqua" w:cs="Times New Roman"/>
          <w:sz w:val="24"/>
          <w:szCs w:val="24"/>
        </w:rPr>
        <w:t>liver cancer cases</w:t>
      </w:r>
      <w:r w:rsidR="005B07B4" w:rsidRPr="000F1CB4">
        <w:rPr>
          <w:rFonts w:ascii="Book Antiqua" w:eastAsia="Calibri" w:hAnsi="Book Antiqua" w:cs="Times New Roman"/>
          <w:sz w:val="24"/>
          <w:szCs w:val="24"/>
        </w:rPr>
        <w:t xml:space="preserve"> in women were linked to </w:t>
      </w:r>
      <w:r w:rsidR="00C66F81" w:rsidRPr="000F1CB4">
        <w:rPr>
          <w:rFonts w:ascii="Book Antiqua" w:eastAsia="Calibri" w:hAnsi="Book Antiqua" w:cs="Times New Roman"/>
          <w:sz w:val="24"/>
          <w:szCs w:val="24"/>
        </w:rPr>
        <w:t xml:space="preserve">overweight or </w:t>
      </w:r>
      <w:r w:rsidR="003E29CA" w:rsidRPr="000F1CB4">
        <w:rPr>
          <w:rFonts w:ascii="Book Antiqua" w:eastAsia="Calibri" w:hAnsi="Book Antiqua" w:cs="Times New Roman"/>
          <w:sz w:val="24"/>
          <w:szCs w:val="24"/>
        </w:rPr>
        <w:t xml:space="preserve">obesity </w:t>
      </w:r>
      <w:r w:rsidR="00C66F81" w:rsidRPr="000F1CB4">
        <w:rPr>
          <w:rFonts w:ascii="Book Antiqua" w:eastAsia="Calibri" w:hAnsi="Book Antiqua" w:cs="Times New Roman"/>
          <w:sz w:val="24"/>
          <w:szCs w:val="24"/>
        </w:rPr>
        <w:t>(BMI</w:t>
      </w:r>
      <w:r w:rsidR="000D51DC" w:rsidRPr="000F1CB4">
        <w:rPr>
          <w:rFonts w:ascii="Book Antiqua" w:eastAsia="Calibri" w:hAnsi="Book Antiqua" w:cs="Times New Roman"/>
          <w:sz w:val="24"/>
          <w:szCs w:val="24"/>
        </w:rPr>
        <w:t xml:space="preserve"> </w:t>
      </w:r>
      <w:r w:rsidR="00C66F81" w:rsidRPr="000F1CB4">
        <w:rPr>
          <w:rFonts w:ascii="Book Antiqua" w:eastAsia="Calibri" w:hAnsi="Book Antiqua" w:cs="Times New Roman"/>
          <w:sz w:val="24"/>
          <w:szCs w:val="24"/>
        </w:rPr>
        <w:t>&gt;</w:t>
      </w:r>
      <w:r w:rsidR="000D51DC" w:rsidRPr="000F1CB4">
        <w:rPr>
          <w:rFonts w:ascii="Book Antiqua" w:eastAsia="Calibri" w:hAnsi="Book Antiqua" w:cs="Times New Roman"/>
          <w:sz w:val="24"/>
          <w:szCs w:val="24"/>
        </w:rPr>
        <w:t xml:space="preserve"> </w:t>
      </w:r>
      <w:r w:rsidR="00C66F81" w:rsidRPr="000F1CB4">
        <w:rPr>
          <w:rFonts w:ascii="Book Antiqua" w:eastAsia="Calibri" w:hAnsi="Book Antiqua" w:cs="Times New Roman"/>
          <w:sz w:val="24"/>
          <w:szCs w:val="24"/>
        </w:rPr>
        <w:t>25 kg/m</w:t>
      </w:r>
      <w:r w:rsidR="00D862F8" w:rsidRPr="000F1CB4">
        <w:rPr>
          <w:rFonts w:ascii="Book Antiqua" w:eastAsia="Calibri" w:hAnsi="Book Antiqua" w:cs="Times New Roman"/>
          <w:sz w:val="24"/>
          <w:szCs w:val="24"/>
          <w:vertAlign w:val="superscript"/>
        </w:rPr>
        <w:t>2</w:t>
      </w:r>
      <w:r w:rsidR="00C66F81" w:rsidRPr="000F1CB4">
        <w:rPr>
          <w:rFonts w:ascii="Book Antiqua" w:eastAsia="Calibri" w:hAnsi="Book Antiqua" w:cs="Times New Roman"/>
          <w:sz w:val="24"/>
          <w:szCs w:val="24"/>
        </w:rPr>
        <w:t>)</w:t>
      </w:r>
      <w:r w:rsidR="00A806C2" w:rsidRPr="000F1CB4">
        <w:rPr>
          <w:rFonts w:ascii="Book Antiqua" w:eastAsia="Calibri" w:hAnsi="Book Antiqua" w:cs="Times New Roman"/>
          <w:sz w:val="24"/>
          <w:szCs w:val="24"/>
          <w:vertAlign w:val="superscript"/>
        </w:rPr>
        <w:t>[21]</w:t>
      </w:r>
      <w:r w:rsidR="000404B8" w:rsidRPr="000F1CB4">
        <w:rPr>
          <w:rFonts w:ascii="Book Antiqua" w:eastAsia="Calibri" w:hAnsi="Book Antiqua" w:cs="Times New Roman"/>
          <w:sz w:val="24"/>
          <w:szCs w:val="24"/>
        </w:rPr>
        <w:t xml:space="preserve">. </w:t>
      </w:r>
      <w:r w:rsidR="00C179D3" w:rsidRPr="000F1CB4">
        <w:rPr>
          <w:rFonts w:ascii="Book Antiqua" w:eastAsia="Calibri" w:hAnsi="Book Antiqua" w:cs="Times New Roman"/>
          <w:sz w:val="24"/>
          <w:szCs w:val="24"/>
        </w:rPr>
        <w:t xml:space="preserve">Even among those with normal weight, </w:t>
      </w:r>
      <w:r w:rsidR="00D755E4" w:rsidRPr="000F1CB4">
        <w:rPr>
          <w:rFonts w:ascii="Book Antiqua" w:eastAsia="Calibri" w:hAnsi="Book Antiqua" w:cs="Times New Roman"/>
          <w:sz w:val="24"/>
          <w:szCs w:val="24"/>
        </w:rPr>
        <w:t>v</w:t>
      </w:r>
      <w:r w:rsidR="00347443" w:rsidRPr="000F1CB4">
        <w:rPr>
          <w:rFonts w:ascii="Book Antiqua" w:eastAsia="Calibri" w:hAnsi="Book Antiqua" w:cs="Times New Roman"/>
          <w:sz w:val="24"/>
          <w:szCs w:val="24"/>
        </w:rPr>
        <w:t>isceral fat accumulation is</w:t>
      </w:r>
      <w:r w:rsidR="00D755E4" w:rsidRPr="000F1CB4">
        <w:rPr>
          <w:rFonts w:ascii="Book Antiqua" w:eastAsia="Calibri" w:hAnsi="Book Antiqua" w:cs="Times New Roman"/>
          <w:sz w:val="24"/>
          <w:szCs w:val="24"/>
        </w:rPr>
        <w:t xml:space="preserve"> considered pro-oncogenic and is</w:t>
      </w:r>
      <w:r w:rsidR="00347443" w:rsidRPr="000F1CB4">
        <w:rPr>
          <w:rFonts w:ascii="Book Antiqua" w:eastAsia="Calibri" w:hAnsi="Book Antiqua" w:cs="Times New Roman"/>
          <w:sz w:val="24"/>
          <w:szCs w:val="24"/>
        </w:rPr>
        <w:t xml:space="preserve"> a potential risk factor for the recurrence of </w:t>
      </w:r>
      <w:r w:rsidR="00C179D3" w:rsidRPr="000F1CB4">
        <w:rPr>
          <w:rFonts w:ascii="Book Antiqua" w:eastAsia="Calibri" w:hAnsi="Book Antiqua" w:cs="Times New Roman"/>
          <w:sz w:val="24"/>
          <w:szCs w:val="24"/>
        </w:rPr>
        <w:t xml:space="preserve">HCC. </w:t>
      </w:r>
      <w:r w:rsidR="00553D6E" w:rsidRPr="000F1CB4">
        <w:rPr>
          <w:rFonts w:ascii="Book Antiqua" w:eastAsia="Calibri" w:hAnsi="Book Antiqua" w:cs="Times New Roman"/>
          <w:sz w:val="24"/>
          <w:szCs w:val="24"/>
        </w:rPr>
        <w:t xml:space="preserve">Ohki </w:t>
      </w:r>
      <w:r w:rsidR="00553D6E" w:rsidRPr="00A806C2">
        <w:rPr>
          <w:rFonts w:ascii="Book Antiqua" w:eastAsia="Calibri" w:hAnsi="Book Antiqua" w:cs="Times New Roman"/>
          <w:i/>
          <w:sz w:val="24"/>
          <w:szCs w:val="24"/>
        </w:rPr>
        <w:t xml:space="preserve">et </w:t>
      </w:r>
      <w:proofErr w:type="gramStart"/>
      <w:r w:rsidR="00553D6E" w:rsidRPr="00A806C2">
        <w:rPr>
          <w:rFonts w:ascii="Book Antiqua" w:eastAsia="Calibri" w:hAnsi="Book Antiqua" w:cs="Times New Roman"/>
          <w:i/>
          <w:sz w:val="24"/>
          <w:szCs w:val="24"/>
        </w:rPr>
        <w:t>al</w:t>
      </w:r>
      <w:r w:rsidR="00A806C2" w:rsidRPr="000F1CB4">
        <w:rPr>
          <w:rFonts w:ascii="Book Antiqua" w:eastAsia="Calibri" w:hAnsi="Book Antiqua" w:cs="Times New Roman"/>
          <w:sz w:val="24"/>
          <w:szCs w:val="24"/>
          <w:vertAlign w:val="superscript"/>
        </w:rPr>
        <w:t>[</w:t>
      </w:r>
      <w:proofErr w:type="gramEnd"/>
      <w:r w:rsidR="00A806C2" w:rsidRPr="000F1CB4">
        <w:rPr>
          <w:rFonts w:ascii="Book Antiqua" w:eastAsia="Calibri" w:hAnsi="Book Antiqua" w:cs="Times New Roman"/>
          <w:sz w:val="24"/>
          <w:szCs w:val="24"/>
          <w:vertAlign w:val="superscript"/>
        </w:rPr>
        <w:t>22]</w:t>
      </w:r>
      <w:r w:rsidR="00553D6E" w:rsidRPr="000F1CB4">
        <w:rPr>
          <w:rFonts w:ascii="Book Antiqua" w:eastAsia="Calibri" w:hAnsi="Book Antiqua" w:cs="Times New Roman"/>
          <w:sz w:val="24"/>
          <w:szCs w:val="24"/>
        </w:rPr>
        <w:t xml:space="preserve"> investigated whether visceral adiposity increase</w:t>
      </w:r>
      <w:r w:rsidR="00C179D3" w:rsidRPr="000F1CB4">
        <w:rPr>
          <w:rFonts w:ascii="Book Antiqua" w:eastAsia="Calibri" w:hAnsi="Book Antiqua" w:cs="Times New Roman"/>
          <w:sz w:val="24"/>
          <w:szCs w:val="24"/>
        </w:rPr>
        <w:t>d</w:t>
      </w:r>
      <w:r w:rsidR="00553D6E" w:rsidRPr="000F1CB4">
        <w:rPr>
          <w:rFonts w:ascii="Book Antiqua" w:eastAsia="Calibri" w:hAnsi="Book Antiqua" w:cs="Times New Roman"/>
          <w:sz w:val="24"/>
          <w:szCs w:val="24"/>
        </w:rPr>
        <w:t xml:space="preserve"> the risk </w:t>
      </w:r>
      <w:r w:rsidR="00AC1DD9" w:rsidRPr="000F1CB4">
        <w:rPr>
          <w:rFonts w:ascii="Book Antiqua" w:eastAsia="Calibri" w:hAnsi="Book Antiqua" w:cs="Times New Roman"/>
          <w:sz w:val="24"/>
          <w:szCs w:val="24"/>
        </w:rPr>
        <w:t xml:space="preserve">of </w:t>
      </w:r>
      <w:r w:rsidR="00C179D3" w:rsidRPr="000F1CB4">
        <w:rPr>
          <w:rFonts w:ascii="Book Antiqua" w:eastAsia="Calibri" w:hAnsi="Book Antiqua" w:cs="Times New Roman"/>
          <w:sz w:val="24"/>
          <w:szCs w:val="24"/>
        </w:rPr>
        <w:t xml:space="preserve">cancer </w:t>
      </w:r>
      <w:r w:rsidR="00553D6E" w:rsidRPr="000F1CB4">
        <w:rPr>
          <w:rFonts w:ascii="Book Antiqua" w:eastAsia="Calibri" w:hAnsi="Book Antiqua" w:cs="Times New Roman"/>
          <w:sz w:val="24"/>
          <w:szCs w:val="24"/>
        </w:rPr>
        <w:t xml:space="preserve">recurrence in patients with </w:t>
      </w:r>
      <w:r w:rsidR="00C179D3" w:rsidRPr="000F1CB4">
        <w:rPr>
          <w:rFonts w:ascii="Book Antiqua" w:eastAsia="Calibri" w:hAnsi="Book Antiqua" w:cs="Times New Roman"/>
          <w:sz w:val="24"/>
          <w:szCs w:val="24"/>
        </w:rPr>
        <w:t xml:space="preserve">NASH-related </w:t>
      </w:r>
      <w:r w:rsidR="00553D6E" w:rsidRPr="000F1CB4">
        <w:rPr>
          <w:rFonts w:ascii="Book Antiqua" w:eastAsia="Calibri" w:hAnsi="Book Antiqua" w:cs="Times New Roman"/>
          <w:sz w:val="24"/>
          <w:szCs w:val="24"/>
        </w:rPr>
        <w:t>HCC after undergoing curative treatment with radiofrequency ablation.</w:t>
      </w:r>
      <w:r w:rsidR="00AC1DD9" w:rsidRPr="000F1CB4">
        <w:rPr>
          <w:rFonts w:ascii="Book Antiqua" w:eastAsia="Calibri" w:hAnsi="Book Antiqua" w:cs="Times New Roman"/>
          <w:sz w:val="24"/>
          <w:szCs w:val="24"/>
        </w:rPr>
        <w:t xml:space="preserve"> T</w:t>
      </w:r>
      <w:r w:rsidR="00553D6E" w:rsidRPr="000F1CB4">
        <w:rPr>
          <w:rFonts w:ascii="Book Antiqua" w:eastAsia="Calibri" w:hAnsi="Book Antiqua" w:cs="Times New Roman"/>
          <w:sz w:val="24"/>
          <w:szCs w:val="24"/>
        </w:rPr>
        <w:t>hose with higher visceral fat</w:t>
      </w:r>
      <w:r w:rsidR="00D755E4" w:rsidRPr="000F1CB4">
        <w:rPr>
          <w:rFonts w:ascii="Book Antiqua" w:eastAsia="Calibri" w:hAnsi="Book Antiqua" w:cs="Times New Roman"/>
          <w:sz w:val="24"/>
          <w:szCs w:val="24"/>
        </w:rPr>
        <w:t xml:space="preserve"> area (&gt;</w:t>
      </w:r>
      <w:r w:rsidR="00A806C2">
        <w:rPr>
          <w:rFonts w:ascii="Book Antiqua" w:hAnsi="Book Antiqua" w:cs="Times New Roman" w:hint="eastAsia"/>
          <w:sz w:val="24"/>
          <w:szCs w:val="24"/>
          <w:lang w:eastAsia="zh-CN"/>
        </w:rPr>
        <w:t xml:space="preserve"> </w:t>
      </w:r>
      <w:r w:rsidR="00D755E4" w:rsidRPr="000F1CB4">
        <w:rPr>
          <w:rFonts w:ascii="Book Antiqua" w:eastAsia="Calibri" w:hAnsi="Book Antiqua" w:cs="Times New Roman"/>
          <w:sz w:val="24"/>
          <w:szCs w:val="24"/>
        </w:rPr>
        <w:t>130 cm</w:t>
      </w:r>
      <w:r w:rsidR="00D862F8" w:rsidRPr="000F1CB4">
        <w:rPr>
          <w:rFonts w:ascii="Book Antiqua" w:eastAsia="Calibri" w:hAnsi="Book Antiqua" w:cs="Times New Roman"/>
          <w:sz w:val="24"/>
          <w:szCs w:val="24"/>
          <w:vertAlign w:val="superscript"/>
        </w:rPr>
        <w:t>2</w:t>
      </w:r>
      <w:r w:rsidR="00D755E4" w:rsidRPr="000F1CB4">
        <w:rPr>
          <w:rFonts w:ascii="Book Antiqua" w:eastAsia="Calibri" w:hAnsi="Book Antiqua" w:cs="Times New Roman"/>
          <w:sz w:val="24"/>
          <w:szCs w:val="24"/>
        </w:rPr>
        <w:t xml:space="preserve"> in males, &gt;</w:t>
      </w:r>
      <w:r w:rsidR="00A806C2">
        <w:rPr>
          <w:rFonts w:ascii="Book Antiqua" w:hAnsi="Book Antiqua" w:cs="Times New Roman" w:hint="eastAsia"/>
          <w:sz w:val="24"/>
          <w:szCs w:val="24"/>
          <w:lang w:eastAsia="zh-CN"/>
        </w:rPr>
        <w:t xml:space="preserve"> </w:t>
      </w:r>
      <w:r w:rsidR="00D755E4" w:rsidRPr="000F1CB4">
        <w:rPr>
          <w:rFonts w:ascii="Book Antiqua" w:eastAsia="Calibri" w:hAnsi="Book Antiqua" w:cs="Times New Roman"/>
          <w:sz w:val="24"/>
          <w:szCs w:val="24"/>
        </w:rPr>
        <w:t>90 cm</w:t>
      </w:r>
      <w:r w:rsidR="00AC1DD9" w:rsidRPr="000F1CB4">
        <w:rPr>
          <w:rFonts w:ascii="Book Antiqua" w:eastAsia="Calibri" w:hAnsi="Book Antiqua" w:cs="Times New Roman"/>
          <w:sz w:val="24"/>
          <w:szCs w:val="24"/>
          <w:vertAlign w:val="superscript"/>
        </w:rPr>
        <w:t>2</w:t>
      </w:r>
      <w:r w:rsidR="00D755E4" w:rsidRPr="000F1CB4">
        <w:rPr>
          <w:rFonts w:ascii="Book Antiqua" w:eastAsia="Calibri" w:hAnsi="Book Antiqua" w:cs="Times New Roman"/>
          <w:sz w:val="24"/>
          <w:szCs w:val="24"/>
        </w:rPr>
        <w:t xml:space="preserve"> in females)</w:t>
      </w:r>
      <w:r w:rsidR="00553D6E" w:rsidRPr="000F1CB4">
        <w:rPr>
          <w:rFonts w:ascii="Book Antiqua" w:eastAsia="Calibri" w:hAnsi="Book Antiqua" w:cs="Times New Roman"/>
          <w:sz w:val="24"/>
          <w:szCs w:val="24"/>
        </w:rPr>
        <w:t xml:space="preserve"> were at increased risk of </w:t>
      </w:r>
      <w:r w:rsidR="00AC1DD9" w:rsidRPr="000F1CB4">
        <w:rPr>
          <w:rFonts w:ascii="Book Antiqua" w:eastAsia="Calibri" w:hAnsi="Book Antiqua" w:cs="Times New Roman"/>
          <w:sz w:val="24"/>
          <w:szCs w:val="24"/>
        </w:rPr>
        <w:t xml:space="preserve">recurrent </w:t>
      </w:r>
      <w:r w:rsidR="00553D6E" w:rsidRPr="000F1CB4">
        <w:rPr>
          <w:rFonts w:ascii="Book Antiqua" w:eastAsia="Calibri" w:hAnsi="Book Antiqua" w:cs="Times New Roman"/>
          <w:sz w:val="24"/>
          <w:szCs w:val="24"/>
        </w:rPr>
        <w:t>HCC (75%)</w:t>
      </w:r>
      <w:r w:rsidR="00AC1DD9" w:rsidRPr="000F1CB4">
        <w:rPr>
          <w:rFonts w:ascii="Book Antiqua" w:eastAsia="Calibri" w:hAnsi="Book Antiqua" w:cs="Times New Roman"/>
          <w:sz w:val="24"/>
          <w:szCs w:val="24"/>
        </w:rPr>
        <w:t>,</w:t>
      </w:r>
      <w:r w:rsidR="00553D6E" w:rsidRPr="000F1CB4">
        <w:rPr>
          <w:rFonts w:ascii="Book Antiqua" w:eastAsia="Calibri" w:hAnsi="Book Antiqua" w:cs="Times New Roman"/>
          <w:sz w:val="24"/>
          <w:szCs w:val="24"/>
        </w:rPr>
        <w:t xml:space="preserve"> compared to those with lower visceral fat area (45%)</w:t>
      </w:r>
      <w:r w:rsidR="00AC1DD9" w:rsidRPr="000F1CB4">
        <w:rPr>
          <w:rFonts w:ascii="Book Antiqua" w:eastAsia="Calibri" w:hAnsi="Book Antiqua" w:cs="Times New Roman"/>
          <w:sz w:val="24"/>
          <w:szCs w:val="24"/>
        </w:rPr>
        <w:t>.</w:t>
      </w:r>
      <w:r w:rsidR="005D1AE1" w:rsidRPr="000F1CB4">
        <w:rPr>
          <w:rFonts w:ascii="Book Antiqua" w:eastAsia="Calibri" w:hAnsi="Book Antiqua" w:cs="Times New Roman"/>
          <w:sz w:val="24"/>
          <w:szCs w:val="24"/>
        </w:rPr>
        <w:tab/>
      </w:r>
      <w:r w:rsidR="005D1AE1" w:rsidRPr="000F1CB4">
        <w:rPr>
          <w:rFonts w:ascii="Book Antiqua" w:eastAsia="Calibri" w:hAnsi="Book Antiqua" w:cs="Times New Roman"/>
          <w:sz w:val="24"/>
          <w:szCs w:val="24"/>
        </w:rPr>
        <w:tab/>
      </w:r>
    </w:p>
    <w:p w14:paraId="466CDA2B" w14:textId="34FBFB9A" w:rsidR="00C03C0E" w:rsidRPr="000F1CB4" w:rsidRDefault="005D1AE1" w:rsidP="00A806C2">
      <w:pPr>
        <w:spacing w:after="0" w:line="360" w:lineRule="auto"/>
        <w:ind w:firstLineChars="100" w:firstLine="240"/>
        <w:jc w:val="both"/>
        <w:rPr>
          <w:rFonts w:ascii="Book Antiqua" w:eastAsia="Calibri" w:hAnsi="Book Antiqua" w:cs="Times New Roman"/>
          <w:sz w:val="24"/>
          <w:szCs w:val="24"/>
        </w:rPr>
      </w:pPr>
      <w:r w:rsidRPr="000F1CB4">
        <w:rPr>
          <w:rFonts w:ascii="Book Antiqua" w:eastAsia="Calibri" w:hAnsi="Book Antiqua" w:cs="Times New Roman"/>
          <w:sz w:val="24"/>
          <w:szCs w:val="24"/>
        </w:rPr>
        <w:t>DM</w:t>
      </w:r>
      <w:r w:rsidR="001F2CC7" w:rsidRPr="000F1CB4">
        <w:rPr>
          <w:rFonts w:ascii="Book Antiqua" w:eastAsia="Calibri" w:hAnsi="Book Antiqua" w:cs="Times New Roman"/>
          <w:sz w:val="24"/>
          <w:szCs w:val="24"/>
        </w:rPr>
        <w:t xml:space="preserve">, </w:t>
      </w:r>
      <w:r w:rsidR="00C03C0E" w:rsidRPr="000F1CB4">
        <w:rPr>
          <w:rFonts w:ascii="Book Antiqua" w:eastAsia="Calibri" w:hAnsi="Book Antiqua" w:cs="Times New Roman"/>
          <w:sz w:val="24"/>
          <w:szCs w:val="24"/>
        </w:rPr>
        <w:t>an</w:t>
      </w:r>
      <w:r w:rsidR="001F2CC7" w:rsidRPr="000F1CB4">
        <w:rPr>
          <w:rFonts w:ascii="Book Antiqua" w:eastAsia="Calibri" w:hAnsi="Book Antiqua" w:cs="Times New Roman"/>
          <w:sz w:val="24"/>
          <w:szCs w:val="24"/>
        </w:rPr>
        <w:t>other</w:t>
      </w:r>
      <w:r w:rsidR="00C03C0E" w:rsidRPr="000F1CB4">
        <w:rPr>
          <w:rFonts w:ascii="Book Antiqua" w:eastAsia="Calibri" w:hAnsi="Book Antiqua" w:cs="Times New Roman"/>
          <w:sz w:val="24"/>
          <w:szCs w:val="24"/>
        </w:rPr>
        <w:t xml:space="preserve"> important risk factor</w:t>
      </w:r>
      <w:r w:rsidR="001F2CC7" w:rsidRPr="000F1CB4">
        <w:rPr>
          <w:rFonts w:ascii="Book Antiqua" w:eastAsia="Calibri" w:hAnsi="Book Antiqua" w:cs="Times New Roman"/>
          <w:sz w:val="24"/>
          <w:szCs w:val="24"/>
        </w:rPr>
        <w:t xml:space="preserve"> for HCC,</w:t>
      </w:r>
      <w:r w:rsidR="008A2A6D" w:rsidRPr="000F1CB4">
        <w:rPr>
          <w:rFonts w:ascii="Book Antiqua" w:eastAsia="Calibri" w:hAnsi="Book Antiqua" w:cs="Times New Roman"/>
          <w:sz w:val="24"/>
          <w:szCs w:val="24"/>
        </w:rPr>
        <w:t xml:space="preserve"> </w:t>
      </w:r>
      <w:r w:rsidR="001F2CC7" w:rsidRPr="000F1CB4">
        <w:rPr>
          <w:rFonts w:ascii="Book Antiqua" w:eastAsia="Calibri" w:hAnsi="Book Antiqua" w:cs="Times New Roman"/>
          <w:sz w:val="24"/>
          <w:szCs w:val="24"/>
        </w:rPr>
        <w:t xml:space="preserve">is </w:t>
      </w:r>
      <w:r w:rsidR="00C03C0E" w:rsidRPr="000F1CB4">
        <w:rPr>
          <w:rFonts w:ascii="Book Antiqua" w:eastAsia="Calibri" w:hAnsi="Book Antiqua" w:cs="Times New Roman"/>
          <w:sz w:val="24"/>
          <w:szCs w:val="24"/>
        </w:rPr>
        <w:t xml:space="preserve">associated with 2.90 fold increased risk of </w:t>
      </w:r>
      <w:proofErr w:type="gramStart"/>
      <w:r w:rsidR="00C03C0E" w:rsidRPr="000F1CB4">
        <w:rPr>
          <w:rFonts w:ascii="Book Antiqua" w:eastAsia="Calibri" w:hAnsi="Book Antiqua" w:cs="Times New Roman"/>
          <w:sz w:val="24"/>
          <w:szCs w:val="24"/>
        </w:rPr>
        <w:t>HCC</w:t>
      </w:r>
      <w:r w:rsidR="00D36C84">
        <w:rPr>
          <w:rFonts w:ascii="Book Antiqua" w:hAnsi="Book Antiqua" w:cs="Times New Roman" w:hint="eastAsia"/>
          <w:sz w:val="24"/>
          <w:szCs w:val="24"/>
          <w:vertAlign w:val="superscript"/>
          <w:lang w:eastAsia="zh-CN"/>
        </w:rPr>
        <w:t>[</w:t>
      </w:r>
      <w:proofErr w:type="gramEnd"/>
      <w:r w:rsidR="00D36C84">
        <w:rPr>
          <w:rFonts w:ascii="Book Antiqua" w:hAnsi="Book Antiqua" w:cs="Times New Roman" w:hint="eastAsia"/>
          <w:sz w:val="24"/>
          <w:szCs w:val="24"/>
          <w:vertAlign w:val="superscript"/>
          <w:lang w:eastAsia="zh-CN"/>
        </w:rPr>
        <w:t>19]</w:t>
      </w:r>
      <w:r w:rsidR="00C03C0E" w:rsidRPr="000F1CB4">
        <w:rPr>
          <w:rFonts w:ascii="Book Antiqua" w:eastAsia="Calibri" w:hAnsi="Book Antiqua" w:cs="Times New Roman"/>
          <w:sz w:val="24"/>
          <w:szCs w:val="24"/>
        </w:rPr>
        <w:t>. Insulin resistance</w:t>
      </w:r>
      <w:r w:rsidR="00183E46" w:rsidRPr="000F1CB4">
        <w:rPr>
          <w:rFonts w:ascii="Book Antiqua" w:eastAsia="Calibri" w:hAnsi="Book Antiqua" w:cs="Times New Roman"/>
          <w:sz w:val="24"/>
          <w:szCs w:val="24"/>
        </w:rPr>
        <w:t xml:space="preserve"> in patients with DM </w:t>
      </w:r>
      <w:r w:rsidR="00C03C0E" w:rsidRPr="000F1CB4">
        <w:rPr>
          <w:rFonts w:ascii="Book Antiqua" w:eastAsia="Calibri" w:hAnsi="Book Antiqua" w:cs="Times New Roman"/>
          <w:sz w:val="24"/>
          <w:szCs w:val="24"/>
        </w:rPr>
        <w:t>leads to</w:t>
      </w:r>
      <w:r w:rsidR="00183E46" w:rsidRPr="000F1CB4">
        <w:rPr>
          <w:rFonts w:ascii="Book Antiqua" w:eastAsia="Calibri" w:hAnsi="Book Antiqua" w:cs="Times New Roman"/>
          <w:sz w:val="24"/>
          <w:szCs w:val="24"/>
        </w:rPr>
        <w:t xml:space="preserve"> the</w:t>
      </w:r>
      <w:r w:rsidR="00C03C0E" w:rsidRPr="000F1CB4">
        <w:rPr>
          <w:rFonts w:ascii="Book Antiqua" w:eastAsia="Calibri" w:hAnsi="Book Antiqua" w:cs="Times New Roman"/>
          <w:sz w:val="24"/>
          <w:szCs w:val="24"/>
        </w:rPr>
        <w:t xml:space="preserve"> increased release of free fatty acids </w:t>
      </w:r>
      <w:r w:rsidR="00183E46" w:rsidRPr="000F1CB4">
        <w:rPr>
          <w:rFonts w:ascii="Book Antiqua" w:eastAsia="Calibri" w:hAnsi="Book Antiqua" w:cs="Times New Roman"/>
          <w:sz w:val="24"/>
          <w:szCs w:val="24"/>
        </w:rPr>
        <w:t>and</w:t>
      </w:r>
      <w:r w:rsidR="00C03C0E" w:rsidRPr="000F1CB4">
        <w:rPr>
          <w:rFonts w:ascii="Book Antiqua" w:eastAsia="Calibri" w:hAnsi="Book Antiqua" w:cs="Times New Roman"/>
          <w:sz w:val="24"/>
          <w:szCs w:val="24"/>
        </w:rPr>
        <w:t xml:space="preserve"> pro</w:t>
      </w:r>
      <w:r w:rsidR="00183E46" w:rsidRPr="000F1CB4">
        <w:rPr>
          <w:rFonts w:ascii="Book Antiqua" w:eastAsia="Calibri" w:hAnsi="Book Antiqua" w:cs="Times New Roman"/>
          <w:sz w:val="24"/>
          <w:szCs w:val="24"/>
        </w:rPr>
        <w:t>-</w:t>
      </w:r>
      <w:r w:rsidR="00C03C0E" w:rsidRPr="000F1CB4">
        <w:rPr>
          <w:rFonts w:ascii="Book Antiqua" w:eastAsia="Calibri" w:hAnsi="Book Antiqua" w:cs="Times New Roman"/>
          <w:sz w:val="24"/>
          <w:szCs w:val="24"/>
        </w:rPr>
        <w:t>inflammatory cytokines</w:t>
      </w:r>
      <w:r w:rsidR="00183E46" w:rsidRPr="000F1CB4">
        <w:rPr>
          <w:rFonts w:ascii="Book Antiqua" w:eastAsia="Calibri" w:hAnsi="Book Antiqua" w:cs="Times New Roman"/>
          <w:sz w:val="24"/>
          <w:szCs w:val="24"/>
        </w:rPr>
        <w:t xml:space="preserve">, including </w:t>
      </w:r>
      <w:r w:rsidR="00C03C0E" w:rsidRPr="000F1CB4">
        <w:rPr>
          <w:rFonts w:ascii="Book Antiqua" w:eastAsia="Calibri" w:hAnsi="Book Antiqua" w:cs="Times New Roman"/>
          <w:sz w:val="24"/>
          <w:szCs w:val="24"/>
        </w:rPr>
        <w:t>TNF alpha, leptin,</w:t>
      </w:r>
      <w:r w:rsidR="00183E46" w:rsidRPr="000F1CB4">
        <w:rPr>
          <w:rFonts w:ascii="Book Antiqua" w:eastAsia="Calibri" w:hAnsi="Book Antiqua" w:cs="Times New Roman"/>
          <w:sz w:val="24"/>
          <w:szCs w:val="24"/>
        </w:rPr>
        <w:t xml:space="preserve"> and</w:t>
      </w:r>
      <w:r w:rsidR="00C03C0E" w:rsidRPr="000F1CB4">
        <w:rPr>
          <w:rFonts w:ascii="Book Antiqua" w:eastAsia="Calibri" w:hAnsi="Book Antiqua" w:cs="Times New Roman"/>
          <w:sz w:val="24"/>
          <w:szCs w:val="24"/>
        </w:rPr>
        <w:t xml:space="preserve"> </w:t>
      </w:r>
      <w:r w:rsidR="00183E46" w:rsidRPr="000F1CB4">
        <w:rPr>
          <w:rFonts w:ascii="Book Antiqua" w:eastAsia="Calibri" w:hAnsi="Book Antiqua" w:cs="Times New Roman"/>
          <w:sz w:val="24"/>
          <w:szCs w:val="24"/>
        </w:rPr>
        <w:t>IL-</w:t>
      </w:r>
      <w:r w:rsidR="00C03C0E" w:rsidRPr="000F1CB4">
        <w:rPr>
          <w:rFonts w:ascii="Book Antiqua" w:eastAsia="Calibri" w:hAnsi="Book Antiqua" w:cs="Times New Roman"/>
          <w:sz w:val="24"/>
          <w:szCs w:val="24"/>
        </w:rPr>
        <w:t>6</w:t>
      </w:r>
      <w:r w:rsidR="00183E46" w:rsidRPr="000F1CB4">
        <w:rPr>
          <w:rFonts w:ascii="Book Antiqua" w:eastAsia="Calibri" w:hAnsi="Book Antiqua" w:cs="Times New Roman"/>
          <w:sz w:val="24"/>
          <w:szCs w:val="24"/>
        </w:rPr>
        <w:t xml:space="preserve">, as </w:t>
      </w:r>
      <w:r w:rsidR="00183E46" w:rsidRPr="000F1CB4">
        <w:rPr>
          <w:rFonts w:ascii="Book Antiqua" w:eastAsia="Calibri" w:hAnsi="Book Antiqua" w:cs="Times New Roman"/>
          <w:sz w:val="24"/>
          <w:szCs w:val="24"/>
        </w:rPr>
        <w:lastRenderedPageBreak/>
        <w:t>well as</w:t>
      </w:r>
      <w:r w:rsidR="00C03C0E" w:rsidRPr="000F1CB4">
        <w:rPr>
          <w:rFonts w:ascii="Book Antiqua" w:eastAsia="Calibri" w:hAnsi="Book Antiqua" w:cs="Times New Roman"/>
          <w:sz w:val="24"/>
          <w:szCs w:val="24"/>
        </w:rPr>
        <w:t xml:space="preserve"> reactive oxygen species</w:t>
      </w:r>
      <w:r w:rsidR="00183E46" w:rsidRPr="000F1CB4">
        <w:rPr>
          <w:rFonts w:ascii="Book Antiqua" w:eastAsia="Calibri" w:hAnsi="Book Antiqua" w:cs="Times New Roman"/>
          <w:sz w:val="24"/>
          <w:szCs w:val="24"/>
        </w:rPr>
        <w:t>,</w:t>
      </w:r>
      <w:r w:rsidR="00C03C0E" w:rsidRPr="000F1CB4">
        <w:rPr>
          <w:rFonts w:ascii="Book Antiqua" w:eastAsia="Calibri" w:hAnsi="Book Antiqua" w:cs="Times New Roman"/>
          <w:sz w:val="24"/>
          <w:szCs w:val="24"/>
        </w:rPr>
        <w:t xml:space="preserve"> which </w:t>
      </w:r>
      <w:r w:rsidR="0093742F" w:rsidRPr="000F1CB4">
        <w:rPr>
          <w:rFonts w:ascii="Book Antiqua" w:eastAsia="Calibri" w:hAnsi="Book Antiqua" w:cs="Times New Roman"/>
          <w:sz w:val="24"/>
          <w:szCs w:val="24"/>
        </w:rPr>
        <w:t>favor</w:t>
      </w:r>
      <w:r w:rsidR="00C03C0E" w:rsidRPr="000F1CB4">
        <w:rPr>
          <w:rFonts w:ascii="Book Antiqua" w:eastAsia="Calibri" w:hAnsi="Book Antiqua" w:cs="Times New Roman"/>
          <w:sz w:val="24"/>
          <w:szCs w:val="24"/>
        </w:rPr>
        <w:t xml:space="preserve"> </w:t>
      </w:r>
      <w:r w:rsidR="00183E46" w:rsidRPr="000F1CB4">
        <w:rPr>
          <w:rFonts w:ascii="Book Antiqua" w:eastAsia="Calibri" w:hAnsi="Book Antiqua" w:cs="Times New Roman"/>
          <w:sz w:val="24"/>
          <w:szCs w:val="24"/>
        </w:rPr>
        <w:t>fat deposition</w:t>
      </w:r>
      <w:r w:rsidR="00C03C0E" w:rsidRPr="000F1CB4">
        <w:rPr>
          <w:rFonts w:ascii="Book Antiqua" w:eastAsia="Calibri" w:hAnsi="Book Antiqua" w:cs="Times New Roman"/>
          <w:sz w:val="24"/>
          <w:szCs w:val="24"/>
        </w:rPr>
        <w:t xml:space="preserve"> and inflammation </w:t>
      </w:r>
      <w:r w:rsidR="00183E46" w:rsidRPr="000F1CB4">
        <w:rPr>
          <w:rFonts w:ascii="Book Antiqua" w:eastAsia="Calibri" w:hAnsi="Book Antiqua" w:cs="Times New Roman"/>
          <w:sz w:val="24"/>
          <w:szCs w:val="24"/>
        </w:rPr>
        <w:t xml:space="preserve">in </w:t>
      </w:r>
      <w:r w:rsidR="00C03C0E" w:rsidRPr="000F1CB4">
        <w:rPr>
          <w:rFonts w:ascii="Book Antiqua" w:eastAsia="Calibri" w:hAnsi="Book Antiqua" w:cs="Times New Roman"/>
          <w:sz w:val="24"/>
          <w:szCs w:val="24"/>
        </w:rPr>
        <w:t>the liver</w:t>
      </w:r>
      <w:r w:rsidR="00D36C84">
        <w:rPr>
          <w:rFonts w:ascii="Book Antiqua" w:hAnsi="Book Antiqua" w:cs="Times New Roman" w:hint="eastAsia"/>
          <w:sz w:val="24"/>
          <w:szCs w:val="24"/>
          <w:vertAlign w:val="superscript"/>
          <w:lang w:eastAsia="zh-CN"/>
        </w:rPr>
        <w:t>[1,20]</w:t>
      </w:r>
      <w:r w:rsidR="00C03C0E" w:rsidRPr="000F1CB4">
        <w:rPr>
          <w:rFonts w:ascii="Book Antiqua" w:eastAsia="Calibri" w:hAnsi="Book Antiqua" w:cs="Times New Roman"/>
          <w:sz w:val="24"/>
          <w:szCs w:val="24"/>
        </w:rPr>
        <w:t xml:space="preserve">. </w:t>
      </w:r>
      <w:r w:rsidR="00183E46" w:rsidRPr="000F1CB4">
        <w:rPr>
          <w:rFonts w:ascii="Book Antiqua" w:eastAsia="Calibri" w:hAnsi="Book Antiqua" w:cs="Times New Roman"/>
          <w:sz w:val="24"/>
          <w:szCs w:val="24"/>
        </w:rPr>
        <w:t>S</w:t>
      </w:r>
      <w:r w:rsidR="00C03C0E" w:rsidRPr="000F1CB4">
        <w:rPr>
          <w:rFonts w:ascii="Book Antiqua" w:eastAsia="Calibri" w:hAnsi="Book Antiqua" w:cs="Times New Roman"/>
          <w:sz w:val="24"/>
          <w:szCs w:val="24"/>
        </w:rPr>
        <w:t xml:space="preserve">tatins </w:t>
      </w:r>
      <w:r w:rsidR="00183E46" w:rsidRPr="000F1CB4">
        <w:rPr>
          <w:rFonts w:ascii="Book Antiqua" w:eastAsia="Calibri" w:hAnsi="Book Antiqua" w:cs="Times New Roman"/>
          <w:sz w:val="24"/>
          <w:szCs w:val="24"/>
        </w:rPr>
        <w:t xml:space="preserve">have been reported to </w:t>
      </w:r>
      <w:r w:rsidR="00C03C0E" w:rsidRPr="000F1CB4">
        <w:rPr>
          <w:rFonts w:ascii="Book Antiqua" w:eastAsia="Calibri" w:hAnsi="Book Antiqua" w:cs="Times New Roman"/>
          <w:sz w:val="24"/>
          <w:szCs w:val="24"/>
        </w:rPr>
        <w:t>have a cancer preven</w:t>
      </w:r>
      <w:r w:rsidR="005B07B4" w:rsidRPr="000F1CB4">
        <w:rPr>
          <w:rFonts w:ascii="Book Antiqua" w:eastAsia="Calibri" w:hAnsi="Book Antiqua" w:cs="Times New Roman"/>
          <w:sz w:val="24"/>
          <w:szCs w:val="24"/>
        </w:rPr>
        <w:t>ta</w:t>
      </w:r>
      <w:r w:rsidR="00C03C0E" w:rsidRPr="000F1CB4">
        <w:rPr>
          <w:rFonts w:ascii="Book Antiqua" w:eastAsia="Calibri" w:hAnsi="Book Antiqua" w:cs="Times New Roman"/>
          <w:sz w:val="24"/>
          <w:szCs w:val="24"/>
        </w:rPr>
        <w:t xml:space="preserve">tive effect if prescribed to patients with </w:t>
      </w:r>
      <w:proofErr w:type="gramStart"/>
      <w:r w:rsidRPr="000F1CB4">
        <w:rPr>
          <w:rFonts w:ascii="Book Antiqua" w:eastAsia="Calibri" w:hAnsi="Book Antiqua" w:cs="Times New Roman"/>
          <w:sz w:val="24"/>
          <w:szCs w:val="24"/>
        </w:rPr>
        <w:t>DM</w:t>
      </w:r>
      <w:r w:rsidR="00141EA3" w:rsidRPr="000F1CB4">
        <w:rPr>
          <w:rFonts w:ascii="Book Antiqua" w:eastAsia="Calibri" w:hAnsi="Book Antiqua" w:cs="Times New Roman"/>
          <w:sz w:val="24"/>
          <w:szCs w:val="24"/>
          <w:vertAlign w:val="superscript"/>
        </w:rPr>
        <w:t>[</w:t>
      </w:r>
      <w:proofErr w:type="gramEnd"/>
      <w:r w:rsidR="00141EA3" w:rsidRPr="000F1CB4">
        <w:rPr>
          <w:rFonts w:ascii="Book Antiqua" w:eastAsia="Calibri" w:hAnsi="Book Antiqua" w:cs="Times New Roman"/>
          <w:sz w:val="24"/>
          <w:szCs w:val="24"/>
          <w:vertAlign w:val="superscript"/>
        </w:rPr>
        <w:t>23]</w:t>
      </w:r>
      <w:r w:rsidR="00C03C0E" w:rsidRPr="000F1CB4">
        <w:rPr>
          <w:rFonts w:ascii="Book Antiqua" w:eastAsia="Calibri" w:hAnsi="Book Antiqua" w:cs="Times New Roman"/>
          <w:sz w:val="24"/>
          <w:szCs w:val="24"/>
        </w:rPr>
        <w:t xml:space="preserve">. </w:t>
      </w:r>
      <w:r w:rsidR="00D7695A" w:rsidRPr="000F1CB4">
        <w:rPr>
          <w:rFonts w:ascii="Book Antiqua" w:eastAsia="Calibri" w:hAnsi="Book Antiqua" w:cs="Times New Roman"/>
          <w:sz w:val="24"/>
          <w:szCs w:val="24"/>
        </w:rPr>
        <w:t xml:space="preserve">Among a large cohort of patients diagnosed with DM, a matched, </w:t>
      </w:r>
      <w:r w:rsidR="00C03C0E" w:rsidRPr="000F1CB4">
        <w:rPr>
          <w:rFonts w:ascii="Book Antiqua" w:eastAsia="Calibri" w:hAnsi="Book Antiqua" w:cs="Times New Roman"/>
          <w:sz w:val="24"/>
          <w:szCs w:val="24"/>
        </w:rPr>
        <w:t xml:space="preserve">nested case control study </w:t>
      </w:r>
      <w:r w:rsidR="00D7695A" w:rsidRPr="000F1CB4">
        <w:rPr>
          <w:rFonts w:ascii="Book Antiqua" w:eastAsia="Calibri" w:hAnsi="Book Antiqua" w:cs="Times New Roman"/>
          <w:sz w:val="24"/>
          <w:szCs w:val="24"/>
        </w:rPr>
        <w:t>of</w:t>
      </w:r>
      <w:r w:rsidR="0002319C" w:rsidRPr="000F1CB4">
        <w:rPr>
          <w:rFonts w:ascii="Book Antiqua" w:eastAsia="Calibri" w:hAnsi="Book Antiqua" w:cs="Times New Roman"/>
          <w:sz w:val="24"/>
          <w:szCs w:val="24"/>
        </w:rPr>
        <w:t xml:space="preserve"> </w:t>
      </w:r>
      <w:r w:rsidR="00C03C0E" w:rsidRPr="000F1CB4">
        <w:rPr>
          <w:rFonts w:ascii="Book Antiqua" w:eastAsia="Calibri" w:hAnsi="Book Antiqua" w:cs="Times New Roman"/>
          <w:sz w:val="24"/>
          <w:szCs w:val="24"/>
        </w:rPr>
        <w:t>1303 diabetic</w:t>
      </w:r>
      <w:r w:rsidR="00D7695A" w:rsidRPr="000F1CB4">
        <w:rPr>
          <w:rFonts w:ascii="Book Antiqua" w:eastAsia="Calibri" w:hAnsi="Book Antiqua" w:cs="Times New Roman"/>
          <w:sz w:val="24"/>
          <w:szCs w:val="24"/>
        </w:rPr>
        <w:t>s</w:t>
      </w:r>
      <w:r w:rsidR="00C03C0E" w:rsidRPr="000F1CB4">
        <w:rPr>
          <w:rFonts w:ascii="Book Antiqua" w:eastAsia="Calibri" w:hAnsi="Book Antiqua" w:cs="Times New Roman"/>
          <w:sz w:val="24"/>
          <w:szCs w:val="24"/>
        </w:rPr>
        <w:t xml:space="preserve"> with </w:t>
      </w:r>
      <w:r w:rsidR="0002319C" w:rsidRPr="000F1CB4">
        <w:rPr>
          <w:rFonts w:ascii="Book Antiqua" w:eastAsia="Calibri" w:hAnsi="Book Antiqua" w:cs="Times New Roman"/>
          <w:sz w:val="24"/>
          <w:szCs w:val="24"/>
        </w:rPr>
        <w:t>HCC</w:t>
      </w:r>
      <w:r w:rsidR="00D7695A" w:rsidRPr="000F1CB4">
        <w:rPr>
          <w:rFonts w:ascii="Book Antiqua" w:eastAsia="Calibri" w:hAnsi="Book Antiqua" w:cs="Times New Roman"/>
          <w:sz w:val="24"/>
          <w:szCs w:val="24"/>
        </w:rPr>
        <w:t xml:space="preserve"> and </w:t>
      </w:r>
      <w:r w:rsidR="00C03C0E" w:rsidRPr="000F1CB4">
        <w:rPr>
          <w:rFonts w:ascii="Book Antiqua" w:eastAsia="Calibri" w:hAnsi="Book Antiqua" w:cs="Times New Roman"/>
          <w:sz w:val="24"/>
          <w:szCs w:val="24"/>
        </w:rPr>
        <w:t>5212 diabetic</w:t>
      </w:r>
      <w:r w:rsidR="00D7695A" w:rsidRPr="000F1CB4">
        <w:rPr>
          <w:rFonts w:ascii="Book Antiqua" w:eastAsia="Calibri" w:hAnsi="Book Antiqua" w:cs="Times New Roman"/>
          <w:sz w:val="24"/>
          <w:szCs w:val="24"/>
        </w:rPr>
        <w:t xml:space="preserve">s </w:t>
      </w:r>
      <w:r w:rsidR="00C03C0E" w:rsidRPr="000F1CB4">
        <w:rPr>
          <w:rFonts w:ascii="Book Antiqua" w:eastAsia="Calibri" w:hAnsi="Book Antiqua" w:cs="Times New Roman"/>
          <w:sz w:val="24"/>
          <w:szCs w:val="24"/>
        </w:rPr>
        <w:t>without HCC</w:t>
      </w:r>
      <w:r w:rsidR="00D7695A" w:rsidRPr="000F1CB4">
        <w:rPr>
          <w:rFonts w:ascii="Book Antiqua" w:eastAsia="Calibri" w:hAnsi="Book Antiqua" w:cs="Times New Roman"/>
          <w:sz w:val="24"/>
          <w:szCs w:val="24"/>
        </w:rPr>
        <w:t xml:space="preserve"> </w:t>
      </w:r>
      <w:r w:rsidR="00C03C0E" w:rsidRPr="000F1CB4">
        <w:rPr>
          <w:rFonts w:ascii="Book Antiqua" w:eastAsia="Calibri" w:hAnsi="Book Antiqua" w:cs="Times New Roman"/>
          <w:sz w:val="24"/>
          <w:szCs w:val="24"/>
        </w:rPr>
        <w:t xml:space="preserve">demonstrated </w:t>
      </w:r>
      <w:r w:rsidR="00D7695A" w:rsidRPr="000F1CB4">
        <w:rPr>
          <w:rFonts w:ascii="Book Antiqua" w:eastAsia="Calibri" w:hAnsi="Book Antiqua" w:cs="Times New Roman"/>
          <w:sz w:val="24"/>
          <w:szCs w:val="24"/>
        </w:rPr>
        <w:t>that increased duration and frequency of statin prescriptions in diabetics was associated with a decreased incidence of HCC</w:t>
      </w:r>
      <w:r w:rsidR="00C03C0E" w:rsidRPr="000F1CB4">
        <w:rPr>
          <w:rFonts w:ascii="Book Antiqua" w:eastAsia="Calibri" w:hAnsi="Book Antiqua" w:cs="Times New Roman"/>
          <w:sz w:val="24"/>
          <w:szCs w:val="24"/>
        </w:rPr>
        <w:t xml:space="preserve"> </w:t>
      </w:r>
      <w:r w:rsidR="0093742F" w:rsidRPr="000F1CB4">
        <w:rPr>
          <w:rFonts w:ascii="Book Antiqua" w:eastAsia="Calibri" w:hAnsi="Book Antiqua" w:cs="Times New Roman"/>
          <w:sz w:val="24"/>
          <w:szCs w:val="24"/>
        </w:rPr>
        <w:t>(risk</w:t>
      </w:r>
      <w:r w:rsidR="00C03C0E" w:rsidRPr="000F1CB4">
        <w:rPr>
          <w:rFonts w:ascii="Book Antiqua" w:eastAsia="Calibri" w:hAnsi="Book Antiqua" w:cs="Times New Roman"/>
          <w:sz w:val="24"/>
          <w:szCs w:val="24"/>
        </w:rPr>
        <w:t xml:space="preserve"> reduction</w:t>
      </w:r>
      <w:r w:rsidR="00D7695A" w:rsidRPr="000F1CB4">
        <w:rPr>
          <w:rFonts w:ascii="Book Antiqua" w:eastAsia="Calibri" w:hAnsi="Book Antiqua" w:cs="Times New Roman"/>
          <w:sz w:val="24"/>
          <w:szCs w:val="24"/>
        </w:rPr>
        <w:t xml:space="preserve">: </w:t>
      </w:r>
      <w:r w:rsidR="00B032A5" w:rsidRPr="000F1CB4">
        <w:rPr>
          <w:rFonts w:ascii="Book Antiqua" w:eastAsia="Calibri" w:hAnsi="Book Antiqua" w:cs="Times New Roman"/>
          <w:sz w:val="24"/>
          <w:szCs w:val="24"/>
        </w:rPr>
        <w:t>25</w:t>
      </w:r>
      <w:r w:rsidR="00141EA3">
        <w:rPr>
          <w:rFonts w:ascii="Book Antiqua" w:hAnsi="Book Antiqua" w:cs="Times New Roman" w:hint="eastAsia"/>
          <w:sz w:val="24"/>
          <w:szCs w:val="24"/>
          <w:lang w:eastAsia="zh-CN"/>
        </w:rPr>
        <w:t>%</w:t>
      </w:r>
      <w:r w:rsidR="00B032A5" w:rsidRPr="000F1CB4">
        <w:rPr>
          <w:rFonts w:ascii="Book Antiqua" w:eastAsia="Calibri" w:hAnsi="Book Antiqua" w:cs="Times New Roman"/>
          <w:sz w:val="24"/>
          <w:szCs w:val="24"/>
        </w:rPr>
        <w:t>-40</w:t>
      </w:r>
      <w:r w:rsidR="0093742F" w:rsidRPr="000F1CB4">
        <w:rPr>
          <w:rFonts w:ascii="Book Antiqua" w:eastAsia="Calibri" w:hAnsi="Book Antiqua" w:cs="Times New Roman"/>
          <w:sz w:val="24"/>
          <w:szCs w:val="24"/>
        </w:rPr>
        <w:t>%)</w:t>
      </w:r>
      <w:r w:rsidR="00C03C0E" w:rsidRPr="000F1CB4">
        <w:rPr>
          <w:rFonts w:ascii="Book Antiqua" w:eastAsia="Calibri" w:hAnsi="Book Antiqua" w:cs="Times New Roman"/>
          <w:sz w:val="24"/>
          <w:szCs w:val="24"/>
        </w:rPr>
        <w:t>. However</w:t>
      </w:r>
      <w:r w:rsidR="0002319C" w:rsidRPr="000F1CB4">
        <w:rPr>
          <w:rFonts w:ascii="Book Antiqua" w:eastAsia="Calibri" w:hAnsi="Book Antiqua" w:cs="Times New Roman"/>
          <w:sz w:val="24"/>
          <w:szCs w:val="24"/>
        </w:rPr>
        <w:t>,</w:t>
      </w:r>
      <w:r w:rsidR="00D7695A" w:rsidRPr="000F1CB4">
        <w:rPr>
          <w:rFonts w:ascii="Book Antiqua" w:eastAsia="Calibri" w:hAnsi="Book Antiqua" w:cs="Times New Roman"/>
          <w:sz w:val="24"/>
          <w:szCs w:val="24"/>
        </w:rPr>
        <w:t xml:space="preserve"> the study was lim</w:t>
      </w:r>
      <w:r w:rsidR="00164692" w:rsidRPr="000F1CB4">
        <w:rPr>
          <w:rFonts w:ascii="Book Antiqua" w:eastAsia="Calibri" w:hAnsi="Book Antiqua" w:cs="Times New Roman"/>
          <w:sz w:val="24"/>
          <w:szCs w:val="24"/>
        </w:rPr>
        <w:t>ited by its retrospective design</w:t>
      </w:r>
      <w:r w:rsidR="00D7695A" w:rsidRPr="000F1CB4">
        <w:rPr>
          <w:rFonts w:ascii="Book Antiqua" w:eastAsia="Calibri" w:hAnsi="Book Antiqua" w:cs="Times New Roman"/>
          <w:sz w:val="24"/>
          <w:szCs w:val="24"/>
        </w:rPr>
        <w:t xml:space="preserve"> and relatively short length of follow-up </w:t>
      </w:r>
      <w:r w:rsidR="0002319C" w:rsidRPr="000F1CB4">
        <w:rPr>
          <w:rFonts w:ascii="Book Antiqua" w:eastAsia="Calibri" w:hAnsi="Book Antiqua" w:cs="Times New Roman"/>
          <w:sz w:val="24"/>
          <w:szCs w:val="24"/>
        </w:rPr>
        <w:t>(</w:t>
      </w:r>
      <w:r w:rsidR="00D7695A" w:rsidRPr="000F1CB4">
        <w:rPr>
          <w:rFonts w:ascii="Book Antiqua" w:eastAsia="Calibri" w:hAnsi="Book Antiqua" w:cs="Times New Roman"/>
          <w:sz w:val="24"/>
          <w:szCs w:val="24"/>
        </w:rPr>
        <w:t xml:space="preserve">median </w:t>
      </w:r>
      <w:r w:rsidR="00C03C0E" w:rsidRPr="000F1CB4">
        <w:rPr>
          <w:rFonts w:ascii="Book Antiqua" w:eastAsia="Calibri" w:hAnsi="Book Antiqua" w:cs="Times New Roman"/>
          <w:sz w:val="24"/>
          <w:szCs w:val="24"/>
        </w:rPr>
        <w:t xml:space="preserve">2.4 years). Further studies exploring this </w:t>
      </w:r>
      <w:r w:rsidR="0093742F" w:rsidRPr="000F1CB4">
        <w:rPr>
          <w:rFonts w:ascii="Book Antiqua" w:eastAsia="Calibri" w:hAnsi="Book Antiqua" w:cs="Times New Roman"/>
          <w:sz w:val="24"/>
          <w:szCs w:val="24"/>
        </w:rPr>
        <w:t>anti-inflammatory</w:t>
      </w:r>
      <w:r w:rsidR="00C03C0E" w:rsidRPr="000F1CB4">
        <w:rPr>
          <w:rFonts w:ascii="Book Antiqua" w:eastAsia="Calibri" w:hAnsi="Book Antiqua" w:cs="Times New Roman"/>
          <w:sz w:val="24"/>
          <w:szCs w:val="24"/>
        </w:rPr>
        <w:t xml:space="preserve"> role of statins and </w:t>
      </w:r>
      <w:r w:rsidR="002D208A" w:rsidRPr="000F1CB4">
        <w:rPr>
          <w:rFonts w:ascii="Book Antiqua" w:eastAsia="Calibri" w:hAnsi="Book Antiqua" w:cs="Times New Roman"/>
          <w:sz w:val="24"/>
          <w:szCs w:val="24"/>
        </w:rPr>
        <w:t>their</w:t>
      </w:r>
      <w:r w:rsidR="00C03C0E" w:rsidRPr="000F1CB4">
        <w:rPr>
          <w:rFonts w:ascii="Book Antiqua" w:eastAsia="Calibri" w:hAnsi="Book Antiqua" w:cs="Times New Roman"/>
          <w:sz w:val="24"/>
          <w:szCs w:val="24"/>
        </w:rPr>
        <w:t xml:space="preserve"> potentially beneficial role in preventing HCC development </w:t>
      </w:r>
      <w:r w:rsidR="002D208A" w:rsidRPr="000F1CB4">
        <w:rPr>
          <w:rFonts w:ascii="Book Antiqua" w:eastAsia="Calibri" w:hAnsi="Book Antiqua" w:cs="Times New Roman"/>
          <w:sz w:val="24"/>
          <w:szCs w:val="24"/>
        </w:rPr>
        <w:t>may</w:t>
      </w:r>
      <w:r w:rsidR="00C03C0E" w:rsidRPr="000F1CB4">
        <w:rPr>
          <w:rFonts w:ascii="Book Antiqua" w:eastAsia="Calibri" w:hAnsi="Book Antiqua" w:cs="Times New Roman"/>
          <w:sz w:val="24"/>
          <w:szCs w:val="24"/>
        </w:rPr>
        <w:t xml:space="preserve"> </w:t>
      </w:r>
      <w:r w:rsidR="002D208A" w:rsidRPr="000F1CB4">
        <w:rPr>
          <w:rFonts w:ascii="Book Antiqua" w:eastAsia="Calibri" w:hAnsi="Book Antiqua" w:cs="Times New Roman"/>
          <w:sz w:val="24"/>
          <w:szCs w:val="24"/>
        </w:rPr>
        <w:t xml:space="preserve">have significant clinical implications. </w:t>
      </w:r>
    </w:p>
    <w:p w14:paraId="58FA8CF8" w14:textId="304D363B" w:rsidR="00C03C0E" w:rsidRPr="000F1CB4" w:rsidRDefault="00C03C0E" w:rsidP="00141EA3">
      <w:pPr>
        <w:spacing w:after="0" w:line="360" w:lineRule="auto"/>
        <w:ind w:firstLineChars="100" w:firstLine="240"/>
        <w:jc w:val="both"/>
        <w:rPr>
          <w:rFonts w:ascii="Book Antiqua" w:eastAsia="Calibri" w:hAnsi="Book Antiqua" w:cs="Times New Roman"/>
          <w:sz w:val="24"/>
          <w:szCs w:val="24"/>
        </w:rPr>
      </w:pPr>
      <w:r w:rsidRPr="000F1CB4">
        <w:rPr>
          <w:rFonts w:ascii="Book Antiqua" w:eastAsia="Calibri" w:hAnsi="Book Antiqua" w:cs="Times New Roman"/>
          <w:sz w:val="24"/>
          <w:szCs w:val="24"/>
        </w:rPr>
        <w:t xml:space="preserve">Hepatic </w:t>
      </w:r>
      <w:r w:rsidR="002D208A" w:rsidRPr="000F1CB4">
        <w:rPr>
          <w:rFonts w:ascii="Book Antiqua" w:eastAsia="Calibri" w:hAnsi="Book Antiqua" w:cs="Times New Roman"/>
          <w:sz w:val="24"/>
          <w:szCs w:val="24"/>
        </w:rPr>
        <w:t xml:space="preserve">iron </w:t>
      </w:r>
      <w:r w:rsidRPr="000F1CB4">
        <w:rPr>
          <w:rFonts w:ascii="Book Antiqua" w:eastAsia="Calibri" w:hAnsi="Book Antiqua" w:cs="Times New Roman"/>
          <w:sz w:val="24"/>
          <w:szCs w:val="24"/>
        </w:rPr>
        <w:t xml:space="preserve">overload is also being increasingly recognized as a clinically important risk factor contributing to </w:t>
      </w:r>
      <w:r w:rsidR="006A5244" w:rsidRPr="000F1CB4">
        <w:rPr>
          <w:rFonts w:ascii="Book Antiqua" w:eastAsia="Calibri" w:hAnsi="Book Antiqua" w:cs="Times New Roman"/>
          <w:sz w:val="24"/>
          <w:szCs w:val="24"/>
        </w:rPr>
        <w:t xml:space="preserve">the </w:t>
      </w:r>
      <w:r w:rsidRPr="000F1CB4">
        <w:rPr>
          <w:rFonts w:ascii="Book Antiqua" w:eastAsia="Calibri" w:hAnsi="Book Antiqua" w:cs="Times New Roman"/>
          <w:sz w:val="24"/>
          <w:szCs w:val="24"/>
        </w:rPr>
        <w:t xml:space="preserve">development of NASH and its progression to </w:t>
      </w:r>
      <w:proofErr w:type="gramStart"/>
      <w:r w:rsidRPr="000F1CB4">
        <w:rPr>
          <w:rFonts w:ascii="Book Antiqua" w:eastAsia="Calibri" w:hAnsi="Book Antiqua" w:cs="Times New Roman"/>
          <w:sz w:val="24"/>
          <w:szCs w:val="24"/>
        </w:rPr>
        <w:t>HCC</w:t>
      </w:r>
      <w:r w:rsidR="00C22041" w:rsidRPr="000F1CB4">
        <w:rPr>
          <w:rFonts w:ascii="Book Antiqua" w:eastAsia="Calibri" w:hAnsi="Book Antiqua" w:cs="Times New Roman"/>
          <w:sz w:val="24"/>
          <w:szCs w:val="24"/>
          <w:vertAlign w:val="superscript"/>
        </w:rPr>
        <w:t>[</w:t>
      </w:r>
      <w:proofErr w:type="gramEnd"/>
      <w:r w:rsidR="00C22041" w:rsidRPr="000F1CB4">
        <w:rPr>
          <w:rFonts w:ascii="Book Antiqua" w:eastAsia="Calibri" w:hAnsi="Book Antiqua" w:cs="Times New Roman"/>
          <w:sz w:val="24"/>
          <w:szCs w:val="24"/>
          <w:vertAlign w:val="superscript"/>
        </w:rPr>
        <w:t>24]</w:t>
      </w:r>
      <w:r w:rsidRPr="000F1CB4">
        <w:rPr>
          <w:rFonts w:ascii="Book Antiqua" w:eastAsia="Calibri" w:hAnsi="Book Antiqua" w:cs="Times New Roman"/>
          <w:sz w:val="24"/>
          <w:szCs w:val="24"/>
        </w:rPr>
        <w:t>.</w:t>
      </w:r>
      <w:r w:rsidR="004E4837" w:rsidRPr="000F1CB4">
        <w:rPr>
          <w:rFonts w:ascii="Book Antiqua" w:eastAsia="Calibri" w:hAnsi="Book Antiqua" w:cs="Times New Roman"/>
          <w:sz w:val="24"/>
          <w:szCs w:val="24"/>
        </w:rPr>
        <w:t xml:space="preserve"> In patients with </w:t>
      </w:r>
      <w:r w:rsidR="00620D1A" w:rsidRPr="000F1CB4">
        <w:rPr>
          <w:rFonts w:ascii="Book Antiqua" w:eastAsia="Calibri" w:hAnsi="Book Antiqua" w:cs="Times New Roman"/>
          <w:sz w:val="24"/>
          <w:szCs w:val="24"/>
        </w:rPr>
        <w:t>hereditary hemochromatosis</w:t>
      </w:r>
      <w:r w:rsidR="004E4837" w:rsidRPr="000F1CB4">
        <w:rPr>
          <w:rFonts w:ascii="Book Antiqua" w:eastAsia="Calibri" w:hAnsi="Book Antiqua" w:cs="Times New Roman"/>
          <w:sz w:val="24"/>
          <w:szCs w:val="24"/>
        </w:rPr>
        <w:t>, excess iron deposits drive oxidative stress</w:t>
      </w:r>
      <w:r w:rsidR="00620D1A" w:rsidRPr="000F1CB4">
        <w:rPr>
          <w:rFonts w:ascii="Book Antiqua" w:eastAsia="Calibri" w:hAnsi="Book Antiqua" w:cs="Times New Roman"/>
          <w:sz w:val="24"/>
          <w:szCs w:val="24"/>
        </w:rPr>
        <w:t>,</w:t>
      </w:r>
      <w:r w:rsidR="004E4837" w:rsidRPr="000F1CB4">
        <w:rPr>
          <w:rFonts w:ascii="Book Antiqua" w:eastAsia="Calibri" w:hAnsi="Book Antiqua" w:cs="Times New Roman"/>
          <w:sz w:val="24"/>
          <w:szCs w:val="24"/>
        </w:rPr>
        <w:t xml:space="preserve"> leading to the production of iron catalyzed </w:t>
      </w:r>
      <w:proofErr w:type="spellStart"/>
      <w:r w:rsidR="004E4837" w:rsidRPr="000F1CB4">
        <w:rPr>
          <w:rFonts w:ascii="Book Antiqua" w:eastAsia="Calibri" w:hAnsi="Book Antiqua" w:cs="Times New Roman"/>
          <w:sz w:val="24"/>
          <w:szCs w:val="24"/>
        </w:rPr>
        <w:t>oxyradicals</w:t>
      </w:r>
      <w:proofErr w:type="spellEnd"/>
      <w:r w:rsidR="004E4837" w:rsidRPr="000F1CB4">
        <w:rPr>
          <w:rFonts w:ascii="Book Antiqua" w:eastAsia="Calibri" w:hAnsi="Book Antiqua" w:cs="Times New Roman"/>
          <w:sz w:val="24"/>
          <w:szCs w:val="24"/>
        </w:rPr>
        <w:t xml:space="preserve">. These </w:t>
      </w:r>
      <w:proofErr w:type="spellStart"/>
      <w:r w:rsidR="004E4837" w:rsidRPr="000F1CB4">
        <w:rPr>
          <w:rFonts w:ascii="Book Antiqua" w:eastAsia="Calibri" w:hAnsi="Book Antiqua" w:cs="Times New Roman"/>
          <w:sz w:val="24"/>
          <w:szCs w:val="24"/>
        </w:rPr>
        <w:t>oxyradicals</w:t>
      </w:r>
      <w:proofErr w:type="spellEnd"/>
      <w:r w:rsidR="004E4837" w:rsidRPr="000F1CB4">
        <w:rPr>
          <w:rFonts w:ascii="Book Antiqua" w:eastAsia="Calibri" w:hAnsi="Book Antiqua" w:cs="Times New Roman"/>
          <w:sz w:val="24"/>
          <w:szCs w:val="24"/>
        </w:rPr>
        <w:t xml:space="preserve"> contribute to the progression of fibrosis to cirrhosis and later to HCC. Lesser degrees of iron accumulation are frequently observed in patients with other forms of liver diseases</w:t>
      </w:r>
      <w:r w:rsidR="00592728" w:rsidRPr="000F1CB4">
        <w:rPr>
          <w:rFonts w:ascii="Book Antiqua" w:eastAsia="Calibri" w:hAnsi="Book Antiqua" w:cs="Times New Roman"/>
          <w:sz w:val="24"/>
          <w:szCs w:val="24"/>
        </w:rPr>
        <w:t>,</w:t>
      </w:r>
      <w:r w:rsidR="004E4837" w:rsidRPr="000F1CB4">
        <w:rPr>
          <w:rFonts w:ascii="Book Antiqua" w:eastAsia="Calibri" w:hAnsi="Book Antiqua" w:cs="Times New Roman"/>
          <w:sz w:val="24"/>
          <w:szCs w:val="24"/>
        </w:rPr>
        <w:t xml:space="preserve"> such as </w:t>
      </w:r>
      <w:r w:rsidR="00592728" w:rsidRPr="000F1CB4">
        <w:rPr>
          <w:rFonts w:ascii="Book Antiqua" w:eastAsia="Calibri" w:hAnsi="Book Antiqua" w:cs="Times New Roman"/>
          <w:sz w:val="24"/>
          <w:szCs w:val="24"/>
        </w:rPr>
        <w:t xml:space="preserve">alcoholic </w:t>
      </w:r>
      <w:r w:rsidR="004E4837" w:rsidRPr="000F1CB4">
        <w:rPr>
          <w:rFonts w:ascii="Book Antiqua" w:eastAsia="Calibri" w:hAnsi="Book Antiqua" w:cs="Times New Roman"/>
          <w:sz w:val="24"/>
          <w:szCs w:val="24"/>
        </w:rPr>
        <w:t>liver disease, HCV</w:t>
      </w:r>
      <w:r w:rsidR="00592728" w:rsidRPr="000F1CB4">
        <w:rPr>
          <w:rFonts w:ascii="Book Antiqua" w:eastAsia="Calibri" w:hAnsi="Book Antiqua" w:cs="Times New Roman"/>
          <w:sz w:val="24"/>
          <w:szCs w:val="24"/>
        </w:rPr>
        <w:t>-</w:t>
      </w:r>
      <w:r w:rsidR="004E4837" w:rsidRPr="000F1CB4">
        <w:rPr>
          <w:rFonts w:ascii="Book Antiqua" w:eastAsia="Calibri" w:hAnsi="Book Antiqua" w:cs="Times New Roman"/>
          <w:sz w:val="24"/>
          <w:szCs w:val="24"/>
        </w:rPr>
        <w:t>related liver cirrhosis and NAFLD.</w:t>
      </w:r>
      <w:r w:rsidRPr="000F1CB4">
        <w:rPr>
          <w:rFonts w:ascii="Book Antiqua" w:eastAsia="Calibri" w:hAnsi="Book Antiqua" w:cs="Times New Roman"/>
          <w:sz w:val="24"/>
          <w:szCs w:val="24"/>
        </w:rPr>
        <w:t xml:space="preserve"> A study by Sorrentino </w:t>
      </w:r>
      <w:r w:rsidRPr="00C22041">
        <w:rPr>
          <w:rFonts w:ascii="Book Antiqua" w:eastAsia="Calibri" w:hAnsi="Book Antiqua" w:cs="Times New Roman"/>
          <w:i/>
          <w:sz w:val="24"/>
          <w:szCs w:val="24"/>
        </w:rPr>
        <w:t xml:space="preserve">et </w:t>
      </w:r>
      <w:proofErr w:type="gramStart"/>
      <w:r w:rsidRPr="00C22041">
        <w:rPr>
          <w:rFonts w:ascii="Book Antiqua" w:eastAsia="Calibri" w:hAnsi="Book Antiqua" w:cs="Times New Roman"/>
          <w:i/>
          <w:sz w:val="24"/>
          <w:szCs w:val="24"/>
        </w:rPr>
        <w:t>al</w:t>
      </w:r>
      <w:r w:rsidR="00C22041" w:rsidRPr="000F1CB4">
        <w:rPr>
          <w:rFonts w:ascii="Book Antiqua" w:eastAsia="Calibri" w:hAnsi="Book Antiqua" w:cs="Times New Roman"/>
          <w:sz w:val="24"/>
          <w:szCs w:val="24"/>
          <w:vertAlign w:val="superscript"/>
        </w:rPr>
        <w:t>[</w:t>
      </w:r>
      <w:proofErr w:type="gramEnd"/>
      <w:r w:rsidR="00C22041" w:rsidRPr="000F1CB4">
        <w:rPr>
          <w:rFonts w:ascii="Book Antiqua" w:eastAsia="Calibri" w:hAnsi="Book Antiqua" w:cs="Times New Roman"/>
          <w:sz w:val="24"/>
          <w:szCs w:val="24"/>
          <w:vertAlign w:val="superscript"/>
        </w:rPr>
        <w:t>24]</w:t>
      </w:r>
      <w:r w:rsidRPr="000F1CB4">
        <w:rPr>
          <w:rFonts w:ascii="Book Antiqua" w:eastAsia="Calibri" w:hAnsi="Book Antiqua" w:cs="Times New Roman"/>
          <w:sz w:val="24"/>
          <w:szCs w:val="24"/>
        </w:rPr>
        <w:t xml:space="preserve"> retrospectively assessed the hepatic iron stores in 51 patients with </w:t>
      </w:r>
      <w:r w:rsidR="004E4837" w:rsidRPr="000F1CB4">
        <w:rPr>
          <w:rFonts w:ascii="Book Antiqua" w:eastAsia="Calibri" w:hAnsi="Book Antiqua" w:cs="Times New Roman"/>
          <w:sz w:val="24"/>
          <w:szCs w:val="24"/>
        </w:rPr>
        <w:t>H</w:t>
      </w:r>
      <w:r w:rsidRPr="000F1CB4">
        <w:rPr>
          <w:rFonts w:ascii="Book Antiqua" w:eastAsia="Calibri" w:hAnsi="Book Antiqua" w:cs="Times New Roman"/>
          <w:sz w:val="24"/>
          <w:szCs w:val="24"/>
        </w:rPr>
        <w:t>CC diagnosis and NASH</w:t>
      </w:r>
      <w:r w:rsidR="00592728" w:rsidRPr="000F1CB4">
        <w:rPr>
          <w:rFonts w:ascii="Book Antiqua" w:eastAsia="Calibri" w:hAnsi="Book Antiqua" w:cs="Times New Roman"/>
          <w:sz w:val="24"/>
          <w:szCs w:val="24"/>
        </w:rPr>
        <w:t>-related</w:t>
      </w:r>
      <w:r w:rsidRPr="000F1CB4">
        <w:rPr>
          <w:rFonts w:ascii="Book Antiqua" w:eastAsia="Calibri" w:hAnsi="Book Antiqua" w:cs="Times New Roman"/>
          <w:sz w:val="24"/>
          <w:szCs w:val="24"/>
        </w:rPr>
        <w:t xml:space="preserve"> cirrhosis and 102 </w:t>
      </w:r>
      <w:r w:rsidR="00592728" w:rsidRPr="000F1CB4">
        <w:rPr>
          <w:rFonts w:ascii="Book Antiqua" w:eastAsia="Calibri" w:hAnsi="Book Antiqua" w:cs="Times New Roman"/>
          <w:sz w:val="24"/>
          <w:szCs w:val="24"/>
        </w:rPr>
        <w:t>HCC-</w:t>
      </w:r>
      <w:r w:rsidRPr="000F1CB4">
        <w:rPr>
          <w:rFonts w:ascii="Book Antiqua" w:eastAsia="Calibri" w:hAnsi="Book Antiqua" w:cs="Times New Roman"/>
          <w:sz w:val="24"/>
          <w:szCs w:val="24"/>
        </w:rPr>
        <w:t xml:space="preserve">free controls with </w:t>
      </w:r>
      <w:r w:rsidR="00592728" w:rsidRPr="000F1CB4">
        <w:rPr>
          <w:rFonts w:ascii="Book Antiqua" w:eastAsia="Calibri" w:hAnsi="Book Antiqua" w:cs="Times New Roman"/>
          <w:sz w:val="24"/>
          <w:szCs w:val="24"/>
        </w:rPr>
        <w:t>NASH-</w:t>
      </w:r>
      <w:r w:rsidRPr="000F1CB4">
        <w:rPr>
          <w:rFonts w:ascii="Book Antiqua" w:eastAsia="Calibri" w:hAnsi="Book Antiqua" w:cs="Times New Roman"/>
          <w:sz w:val="24"/>
          <w:szCs w:val="24"/>
        </w:rPr>
        <w:t>related cirrhosis. Conditional regression analysis r</w:t>
      </w:r>
      <w:r w:rsidR="00386666" w:rsidRPr="000F1CB4">
        <w:rPr>
          <w:rFonts w:ascii="Book Antiqua" w:eastAsia="Calibri" w:hAnsi="Book Antiqua" w:cs="Times New Roman"/>
          <w:sz w:val="24"/>
          <w:szCs w:val="24"/>
        </w:rPr>
        <w:t xml:space="preserve">evealed that histologic </w:t>
      </w:r>
      <w:r w:rsidRPr="000F1CB4">
        <w:rPr>
          <w:rFonts w:ascii="Book Antiqua" w:eastAsia="Calibri" w:hAnsi="Book Antiqua" w:cs="Times New Roman"/>
          <w:sz w:val="24"/>
          <w:szCs w:val="24"/>
        </w:rPr>
        <w:t>sinuso</w:t>
      </w:r>
      <w:r w:rsidR="00386666" w:rsidRPr="000F1CB4">
        <w:rPr>
          <w:rFonts w:ascii="Book Antiqua" w:eastAsia="Calibri" w:hAnsi="Book Antiqua" w:cs="Times New Roman"/>
          <w:sz w:val="24"/>
          <w:szCs w:val="24"/>
        </w:rPr>
        <w:t xml:space="preserve">idal iron deposition was larger </w:t>
      </w:r>
      <w:r w:rsidRPr="000F1CB4">
        <w:rPr>
          <w:rFonts w:ascii="Book Antiqua" w:eastAsia="Calibri" w:hAnsi="Book Antiqua" w:cs="Times New Roman"/>
          <w:sz w:val="24"/>
          <w:szCs w:val="24"/>
        </w:rPr>
        <w:t xml:space="preserve">in size and more frequent in HCC patients than in controls. </w:t>
      </w:r>
    </w:p>
    <w:p w14:paraId="1EFEEEC5" w14:textId="4BD746D6" w:rsidR="00C03C0E" w:rsidRPr="000F1CB4" w:rsidRDefault="00150785" w:rsidP="00C22041">
      <w:pPr>
        <w:spacing w:after="0" w:line="360" w:lineRule="auto"/>
        <w:ind w:firstLineChars="100" w:firstLine="240"/>
        <w:jc w:val="both"/>
        <w:rPr>
          <w:rFonts w:ascii="Book Antiqua" w:eastAsia="Calibri" w:hAnsi="Book Antiqua" w:cs="Times New Roman"/>
          <w:sz w:val="24"/>
          <w:szCs w:val="24"/>
        </w:rPr>
      </w:pPr>
      <w:r w:rsidRPr="000F1CB4">
        <w:rPr>
          <w:rFonts w:ascii="Book Antiqua" w:eastAsia="Calibri" w:hAnsi="Book Antiqua" w:cs="Times New Roman"/>
          <w:sz w:val="24"/>
          <w:szCs w:val="24"/>
        </w:rPr>
        <w:t xml:space="preserve">In the aforementioned study by </w:t>
      </w:r>
      <w:proofErr w:type="spellStart"/>
      <w:r w:rsidR="00C03C0E" w:rsidRPr="000F1CB4">
        <w:rPr>
          <w:rFonts w:ascii="Book Antiqua" w:eastAsia="Calibri" w:hAnsi="Book Antiqua" w:cs="Times New Roman"/>
          <w:sz w:val="24"/>
          <w:szCs w:val="24"/>
        </w:rPr>
        <w:t>Ascha</w:t>
      </w:r>
      <w:proofErr w:type="spellEnd"/>
      <w:r w:rsidR="00C03C0E" w:rsidRPr="000F1CB4">
        <w:rPr>
          <w:rFonts w:ascii="Book Antiqua" w:eastAsia="Calibri" w:hAnsi="Book Antiqua" w:cs="Times New Roman"/>
          <w:sz w:val="24"/>
          <w:szCs w:val="24"/>
        </w:rPr>
        <w:t xml:space="preserve"> </w:t>
      </w:r>
      <w:r w:rsidR="00C03C0E" w:rsidRPr="00C22041">
        <w:rPr>
          <w:rFonts w:ascii="Book Antiqua" w:eastAsia="Calibri" w:hAnsi="Book Antiqua" w:cs="Times New Roman"/>
          <w:i/>
          <w:sz w:val="24"/>
          <w:szCs w:val="24"/>
        </w:rPr>
        <w:t xml:space="preserve">et </w:t>
      </w:r>
      <w:proofErr w:type="gramStart"/>
      <w:r w:rsidR="00C03C0E" w:rsidRPr="00C22041">
        <w:rPr>
          <w:rFonts w:ascii="Book Antiqua" w:eastAsia="Calibri" w:hAnsi="Book Antiqua" w:cs="Times New Roman"/>
          <w:i/>
          <w:sz w:val="24"/>
          <w:szCs w:val="24"/>
        </w:rPr>
        <w:t>al</w:t>
      </w:r>
      <w:r w:rsidR="00C22041" w:rsidRPr="000F1CB4">
        <w:rPr>
          <w:rFonts w:ascii="Book Antiqua" w:eastAsia="Calibri" w:hAnsi="Book Antiqua" w:cs="Times New Roman"/>
          <w:sz w:val="24"/>
          <w:szCs w:val="24"/>
          <w:vertAlign w:val="superscript"/>
        </w:rPr>
        <w:t>[</w:t>
      </w:r>
      <w:proofErr w:type="gramEnd"/>
      <w:r w:rsidR="00C22041" w:rsidRPr="000F1CB4">
        <w:rPr>
          <w:rFonts w:ascii="Book Antiqua" w:eastAsia="Calibri" w:hAnsi="Book Antiqua" w:cs="Times New Roman"/>
          <w:sz w:val="24"/>
          <w:szCs w:val="24"/>
          <w:vertAlign w:val="superscript"/>
        </w:rPr>
        <w:t>11]</w:t>
      </w:r>
      <w:r w:rsidR="00C03C0E" w:rsidRPr="000F1CB4">
        <w:rPr>
          <w:rFonts w:ascii="Book Antiqua" w:eastAsia="Calibri" w:hAnsi="Book Antiqua" w:cs="Times New Roman"/>
          <w:sz w:val="24"/>
          <w:szCs w:val="24"/>
        </w:rPr>
        <w:t xml:space="preserve"> </w:t>
      </w:r>
      <w:r w:rsidR="00D53315" w:rsidRPr="000F1CB4">
        <w:rPr>
          <w:rFonts w:ascii="Book Antiqua" w:eastAsia="Calibri" w:hAnsi="Book Antiqua" w:cs="Times New Roman"/>
          <w:sz w:val="24"/>
          <w:szCs w:val="24"/>
        </w:rPr>
        <w:t>that evaluated</w:t>
      </w:r>
      <w:r w:rsidR="00C03C0E" w:rsidRPr="000F1CB4">
        <w:rPr>
          <w:rFonts w:ascii="Book Antiqua" w:eastAsia="Calibri" w:hAnsi="Book Antiqua" w:cs="Times New Roman"/>
          <w:sz w:val="24"/>
          <w:szCs w:val="24"/>
        </w:rPr>
        <w:t xml:space="preserve"> the annual cumulative incidence of HCC in patients with N</w:t>
      </w:r>
      <w:r w:rsidR="006D5665" w:rsidRPr="000F1CB4">
        <w:rPr>
          <w:rFonts w:ascii="Book Antiqua" w:eastAsia="Calibri" w:hAnsi="Book Antiqua" w:cs="Times New Roman"/>
          <w:sz w:val="24"/>
          <w:szCs w:val="24"/>
        </w:rPr>
        <w:t>ASH-r</w:t>
      </w:r>
      <w:r w:rsidR="00C03C0E" w:rsidRPr="000F1CB4">
        <w:rPr>
          <w:rFonts w:ascii="Book Antiqua" w:eastAsia="Calibri" w:hAnsi="Book Antiqua" w:cs="Times New Roman"/>
          <w:sz w:val="24"/>
          <w:szCs w:val="24"/>
        </w:rPr>
        <w:t>elated cirrhosis</w:t>
      </w:r>
      <w:r w:rsidR="00AB6568" w:rsidRPr="000F1CB4">
        <w:rPr>
          <w:rFonts w:ascii="Book Antiqua" w:eastAsia="Calibri" w:hAnsi="Book Antiqua" w:cs="Times New Roman"/>
          <w:sz w:val="24"/>
          <w:szCs w:val="24"/>
        </w:rPr>
        <w:t>,</w:t>
      </w:r>
      <w:r w:rsidR="00D53315" w:rsidRPr="000F1CB4">
        <w:rPr>
          <w:rFonts w:ascii="Book Antiqua" w:eastAsia="Calibri" w:hAnsi="Book Antiqua" w:cs="Times New Roman"/>
          <w:sz w:val="24"/>
          <w:szCs w:val="24"/>
        </w:rPr>
        <w:t xml:space="preserve"> </w:t>
      </w:r>
      <w:r w:rsidR="00AB6568" w:rsidRPr="000F1CB4">
        <w:rPr>
          <w:rFonts w:ascii="Book Antiqua" w:eastAsia="Calibri" w:hAnsi="Book Antiqua" w:cs="Times New Roman"/>
          <w:sz w:val="24"/>
          <w:szCs w:val="24"/>
        </w:rPr>
        <w:t xml:space="preserve">the </w:t>
      </w:r>
      <w:r w:rsidR="00D53315" w:rsidRPr="000F1CB4">
        <w:rPr>
          <w:rFonts w:ascii="Book Antiqua" w:eastAsia="Calibri" w:hAnsi="Book Antiqua" w:cs="Times New Roman"/>
          <w:sz w:val="24"/>
          <w:szCs w:val="24"/>
        </w:rPr>
        <w:t>investigators also</w:t>
      </w:r>
      <w:r w:rsidR="00386666" w:rsidRPr="000F1CB4">
        <w:rPr>
          <w:rFonts w:ascii="Book Antiqua" w:eastAsia="Calibri" w:hAnsi="Book Antiqua" w:cs="Times New Roman"/>
          <w:sz w:val="24"/>
          <w:szCs w:val="24"/>
        </w:rPr>
        <w:t xml:space="preserve"> studied and </w:t>
      </w:r>
      <w:r w:rsidR="00D53315" w:rsidRPr="000F1CB4">
        <w:rPr>
          <w:rFonts w:ascii="Book Antiqua" w:eastAsia="Calibri" w:hAnsi="Book Antiqua" w:cs="Times New Roman"/>
          <w:sz w:val="24"/>
          <w:szCs w:val="24"/>
        </w:rPr>
        <w:t xml:space="preserve">identified </w:t>
      </w:r>
      <w:r w:rsidR="00386666" w:rsidRPr="000F1CB4">
        <w:rPr>
          <w:rFonts w:ascii="Book Antiqua" w:eastAsia="Calibri" w:hAnsi="Book Antiqua" w:cs="Times New Roman"/>
          <w:sz w:val="24"/>
          <w:szCs w:val="24"/>
        </w:rPr>
        <w:t xml:space="preserve">additional </w:t>
      </w:r>
      <w:r w:rsidR="00AB6568" w:rsidRPr="000F1CB4">
        <w:rPr>
          <w:rFonts w:ascii="Book Antiqua" w:eastAsia="Calibri" w:hAnsi="Book Antiqua" w:cs="Times New Roman"/>
          <w:sz w:val="24"/>
          <w:szCs w:val="24"/>
        </w:rPr>
        <w:t>risk factors impacting</w:t>
      </w:r>
      <w:r w:rsidR="00D53315" w:rsidRPr="000F1CB4">
        <w:rPr>
          <w:rFonts w:ascii="Book Antiqua" w:eastAsia="Calibri" w:hAnsi="Book Antiqua" w:cs="Times New Roman"/>
          <w:sz w:val="24"/>
          <w:szCs w:val="24"/>
        </w:rPr>
        <w:t xml:space="preserve"> HCC</w:t>
      </w:r>
      <w:r w:rsidR="0046252E" w:rsidRPr="000F1CB4">
        <w:rPr>
          <w:rFonts w:ascii="Book Antiqua" w:eastAsia="Calibri" w:hAnsi="Book Antiqua" w:cs="Times New Roman"/>
          <w:sz w:val="24"/>
          <w:szCs w:val="24"/>
        </w:rPr>
        <w:t xml:space="preserve"> development in these patients</w:t>
      </w:r>
      <w:r w:rsidR="00C03C0E" w:rsidRPr="000F1CB4">
        <w:rPr>
          <w:rFonts w:ascii="Book Antiqua" w:eastAsia="Calibri" w:hAnsi="Book Antiqua" w:cs="Times New Roman"/>
          <w:sz w:val="24"/>
          <w:szCs w:val="24"/>
        </w:rPr>
        <w:t xml:space="preserve">. </w:t>
      </w:r>
      <w:r w:rsidR="00D53315" w:rsidRPr="000F1CB4">
        <w:rPr>
          <w:rFonts w:ascii="Book Antiqua" w:eastAsia="Calibri" w:hAnsi="Book Antiqua" w:cs="Times New Roman"/>
          <w:sz w:val="24"/>
          <w:szCs w:val="24"/>
        </w:rPr>
        <w:t>O</w:t>
      </w:r>
      <w:r w:rsidR="00C03C0E" w:rsidRPr="000F1CB4">
        <w:rPr>
          <w:rFonts w:ascii="Book Antiqua" w:eastAsia="Calibri" w:hAnsi="Book Antiqua" w:cs="Times New Roman"/>
          <w:sz w:val="24"/>
          <w:szCs w:val="24"/>
        </w:rPr>
        <w:t>ld age (</w:t>
      </w:r>
      <w:r w:rsidR="00C22041" w:rsidRPr="000F1CB4">
        <w:rPr>
          <w:rFonts w:ascii="Book Antiqua" w:eastAsia="Calibri" w:hAnsi="Book Antiqua" w:cs="Times New Roman"/>
          <w:i/>
          <w:sz w:val="24"/>
          <w:szCs w:val="24"/>
        </w:rPr>
        <w:t>P</w:t>
      </w:r>
      <w:r w:rsidR="00C22041">
        <w:rPr>
          <w:rFonts w:ascii="Book Antiqua" w:hAnsi="Book Antiqua" w:cs="Times New Roman" w:hint="eastAsia"/>
          <w:i/>
          <w:sz w:val="24"/>
          <w:szCs w:val="24"/>
          <w:lang w:eastAsia="zh-CN"/>
        </w:rPr>
        <w:t xml:space="preserve"> </w:t>
      </w:r>
      <w:r w:rsidR="00C03C0E" w:rsidRPr="000F1CB4">
        <w:rPr>
          <w:rFonts w:ascii="Book Antiqua" w:eastAsia="Calibri" w:hAnsi="Book Antiqua" w:cs="Times New Roman"/>
          <w:sz w:val="24"/>
          <w:szCs w:val="24"/>
        </w:rPr>
        <w:t>=</w:t>
      </w:r>
      <w:r w:rsidR="00C22041">
        <w:rPr>
          <w:rFonts w:ascii="Book Antiqua" w:hAnsi="Book Antiqua" w:cs="Times New Roman" w:hint="eastAsia"/>
          <w:sz w:val="24"/>
          <w:szCs w:val="24"/>
          <w:lang w:eastAsia="zh-CN"/>
        </w:rPr>
        <w:t xml:space="preserve"> </w:t>
      </w:r>
      <w:r w:rsidR="00C03C0E" w:rsidRPr="000F1CB4">
        <w:rPr>
          <w:rFonts w:ascii="Book Antiqua" w:eastAsia="Calibri" w:hAnsi="Book Antiqua" w:cs="Times New Roman"/>
          <w:sz w:val="24"/>
          <w:szCs w:val="24"/>
        </w:rPr>
        <w:t>0.006) and any lifetime alcohol consumption (</w:t>
      </w:r>
      <w:r w:rsidR="00C22041" w:rsidRPr="000F1CB4">
        <w:rPr>
          <w:rFonts w:ascii="Book Antiqua" w:eastAsia="Calibri" w:hAnsi="Book Antiqua" w:cs="Times New Roman"/>
          <w:i/>
          <w:sz w:val="24"/>
          <w:szCs w:val="24"/>
        </w:rPr>
        <w:t>P</w:t>
      </w:r>
      <w:r w:rsidR="00C22041">
        <w:rPr>
          <w:rFonts w:ascii="Book Antiqua" w:hAnsi="Book Antiqua" w:cs="Times New Roman" w:hint="eastAsia"/>
          <w:i/>
          <w:sz w:val="24"/>
          <w:szCs w:val="24"/>
          <w:lang w:eastAsia="zh-CN"/>
        </w:rPr>
        <w:t xml:space="preserve"> </w:t>
      </w:r>
      <w:r w:rsidR="003C221B" w:rsidRPr="000F1CB4">
        <w:rPr>
          <w:rFonts w:ascii="Book Antiqua" w:eastAsia="Calibri" w:hAnsi="Book Antiqua" w:cs="Times New Roman"/>
          <w:sz w:val="24"/>
          <w:szCs w:val="24"/>
        </w:rPr>
        <w:t>=</w:t>
      </w:r>
      <w:r w:rsidR="00C22041">
        <w:rPr>
          <w:rFonts w:ascii="Book Antiqua" w:hAnsi="Book Antiqua" w:cs="Times New Roman" w:hint="eastAsia"/>
          <w:sz w:val="24"/>
          <w:szCs w:val="24"/>
          <w:lang w:eastAsia="zh-CN"/>
        </w:rPr>
        <w:t xml:space="preserve"> </w:t>
      </w:r>
      <w:r w:rsidR="00C03C0E" w:rsidRPr="000F1CB4">
        <w:rPr>
          <w:rFonts w:ascii="Book Antiqua" w:eastAsia="Calibri" w:hAnsi="Book Antiqua" w:cs="Times New Roman"/>
          <w:sz w:val="24"/>
          <w:szCs w:val="24"/>
        </w:rPr>
        <w:t xml:space="preserve">0.002) </w:t>
      </w:r>
      <w:r w:rsidR="003C221B" w:rsidRPr="000F1CB4">
        <w:rPr>
          <w:rFonts w:ascii="Book Antiqua" w:eastAsia="Calibri" w:hAnsi="Book Antiqua" w:cs="Times New Roman"/>
          <w:sz w:val="24"/>
          <w:szCs w:val="24"/>
        </w:rPr>
        <w:t>were statistically significant risk factors for</w:t>
      </w:r>
      <w:r w:rsidR="00C03C0E" w:rsidRPr="000F1CB4">
        <w:rPr>
          <w:rFonts w:ascii="Book Antiqua" w:eastAsia="Calibri" w:hAnsi="Book Antiqua" w:cs="Times New Roman"/>
          <w:sz w:val="24"/>
          <w:szCs w:val="24"/>
        </w:rPr>
        <w:t xml:space="preserve"> progression </w:t>
      </w:r>
      <w:r w:rsidR="003C221B" w:rsidRPr="000F1CB4">
        <w:rPr>
          <w:rFonts w:ascii="Book Antiqua" w:eastAsia="Calibri" w:hAnsi="Book Antiqua" w:cs="Times New Roman"/>
          <w:sz w:val="24"/>
          <w:szCs w:val="24"/>
        </w:rPr>
        <w:t xml:space="preserve">to </w:t>
      </w:r>
      <w:r w:rsidR="00C03C0E" w:rsidRPr="000F1CB4">
        <w:rPr>
          <w:rFonts w:ascii="Book Antiqua" w:eastAsia="Calibri" w:hAnsi="Book Antiqua" w:cs="Times New Roman"/>
          <w:sz w:val="24"/>
          <w:szCs w:val="24"/>
        </w:rPr>
        <w:t>NASH</w:t>
      </w:r>
      <w:r w:rsidR="003C221B" w:rsidRPr="000F1CB4">
        <w:rPr>
          <w:rFonts w:ascii="Book Antiqua" w:eastAsia="Calibri" w:hAnsi="Book Antiqua" w:cs="Times New Roman"/>
          <w:sz w:val="24"/>
          <w:szCs w:val="24"/>
        </w:rPr>
        <w:t>-related</w:t>
      </w:r>
      <w:r w:rsidR="00C03C0E" w:rsidRPr="000F1CB4">
        <w:rPr>
          <w:rFonts w:ascii="Book Antiqua" w:eastAsia="Calibri" w:hAnsi="Book Antiqua" w:cs="Times New Roman"/>
          <w:sz w:val="24"/>
          <w:szCs w:val="24"/>
        </w:rPr>
        <w:t xml:space="preserve"> cirrhosis and development of HCC. While heavy consumption of alcoholic beverages is widely considered a major risk factor for development of HCC</w:t>
      </w:r>
      <w:r w:rsidR="0002319C" w:rsidRPr="000F1CB4">
        <w:rPr>
          <w:rFonts w:ascii="Book Antiqua" w:eastAsia="Calibri" w:hAnsi="Book Antiqua" w:cs="Times New Roman"/>
          <w:sz w:val="24"/>
          <w:szCs w:val="24"/>
        </w:rPr>
        <w:t>,</w:t>
      </w:r>
      <w:r w:rsidR="00C03C0E" w:rsidRPr="000F1CB4">
        <w:rPr>
          <w:rFonts w:ascii="Book Antiqua" w:eastAsia="Calibri" w:hAnsi="Book Antiqua" w:cs="Times New Roman"/>
          <w:sz w:val="24"/>
          <w:szCs w:val="24"/>
        </w:rPr>
        <w:t xml:space="preserve"> the study </w:t>
      </w:r>
      <w:r w:rsidR="003C221B" w:rsidRPr="000F1CB4">
        <w:rPr>
          <w:rFonts w:ascii="Book Antiqua" w:eastAsia="Calibri" w:hAnsi="Book Antiqua" w:cs="Times New Roman"/>
          <w:sz w:val="24"/>
          <w:szCs w:val="24"/>
        </w:rPr>
        <w:t xml:space="preserve">highlights </w:t>
      </w:r>
      <w:r w:rsidR="00C03C0E" w:rsidRPr="000F1CB4">
        <w:rPr>
          <w:rFonts w:ascii="Book Antiqua" w:eastAsia="Calibri" w:hAnsi="Book Antiqua" w:cs="Times New Roman"/>
          <w:sz w:val="24"/>
          <w:szCs w:val="24"/>
        </w:rPr>
        <w:t>that</w:t>
      </w:r>
      <w:r w:rsidR="0002319C" w:rsidRPr="000F1CB4">
        <w:rPr>
          <w:rFonts w:ascii="Book Antiqua" w:eastAsia="Calibri" w:hAnsi="Book Antiqua" w:cs="Times New Roman"/>
          <w:sz w:val="24"/>
          <w:szCs w:val="24"/>
        </w:rPr>
        <w:t xml:space="preserve"> </w:t>
      </w:r>
      <w:r w:rsidR="003C221B" w:rsidRPr="000F1CB4">
        <w:rPr>
          <w:rFonts w:ascii="Book Antiqua" w:eastAsia="Calibri" w:hAnsi="Book Antiqua" w:cs="Times New Roman"/>
          <w:sz w:val="24"/>
          <w:szCs w:val="24"/>
        </w:rPr>
        <w:t xml:space="preserve">any lifetime alcohol consumption </w:t>
      </w:r>
      <w:r w:rsidR="00C03C0E" w:rsidRPr="000F1CB4">
        <w:rPr>
          <w:rFonts w:ascii="Book Antiqua" w:eastAsia="Calibri" w:hAnsi="Book Antiqua" w:cs="Times New Roman"/>
          <w:sz w:val="24"/>
          <w:szCs w:val="24"/>
        </w:rPr>
        <w:t xml:space="preserve">among </w:t>
      </w:r>
      <w:r w:rsidR="003C221B" w:rsidRPr="000F1CB4">
        <w:rPr>
          <w:rFonts w:ascii="Book Antiqua" w:eastAsia="Calibri" w:hAnsi="Book Antiqua" w:cs="Times New Roman"/>
          <w:sz w:val="24"/>
          <w:szCs w:val="24"/>
        </w:rPr>
        <w:t>patients with NASH</w:t>
      </w:r>
      <w:r w:rsidR="00C03C0E" w:rsidRPr="000F1CB4">
        <w:rPr>
          <w:rFonts w:ascii="Book Antiqua" w:eastAsia="Calibri" w:hAnsi="Book Antiqua" w:cs="Times New Roman"/>
          <w:sz w:val="24"/>
          <w:szCs w:val="24"/>
        </w:rPr>
        <w:t xml:space="preserve"> </w:t>
      </w:r>
      <w:r w:rsidR="003C221B" w:rsidRPr="000F1CB4">
        <w:rPr>
          <w:rFonts w:ascii="Book Antiqua" w:eastAsia="Calibri" w:hAnsi="Book Antiqua" w:cs="Times New Roman"/>
          <w:sz w:val="24"/>
          <w:szCs w:val="24"/>
        </w:rPr>
        <w:t xml:space="preserve">was associated with a </w:t>
      </w:r>
      <w:r w:rsidR="00C03C0E" w:rsidRPr="000F1CB4">
        <w:rPr>
          <w:rFonts w:ascii="Book Antiqua" w:eastAsia="Calibri" w:hAnsi="Book Antiqua" w:cs="Times New Roman"/>
          <w:sz w:val="24"/>
          <w:szCs w:val="24"/>
        </w:rPr>
        <w:t xml:space="preserve">3.6 </w:t>
      </w:r>
      <w:r w:rsidR="00C03C0E" w:rsidRPr="000F1CB4">
        <w:rPr>
          <w:rFonts w:ascii="Book Antiqua" w:eastAsia="Calibri" w:hAnsi="Book Antiqua" w:cs="Times New Roman"/>
          <w:sz w:val="24"/>
          <w:szCs w:val="24"/>
        </w:rPr>
        <w:lastRenderedPageBreak/>
        <w:t xml:space="preserve">times </w:t>
      </w:r>
      <w:r w:rsidR="003C221B" w:rsidRPr="000F1CB4">
        <w:rPr>
          <w:rFonts w:ascii="Book Antiqua" w:eastAsia="Calibri" w:hAnsi="Book Antiqua" w:cs="Times New Roman"/>
          <w:sz w:val="24"/>
          <w:szCs w:val="24"/>
        </w:rPr>
        <w:t xml:space="preserve">increased </w:t>
      </w:r>
      <w:r w:rsidR="00C03C0E" w:rsidRPr="000F1CB4">
        <w:rPr>
          <w:rFonts w:ascii="Book Antiqua" w:eastAsia="Calibri" w:hAnsi="Book Antiqua" w:cs="Times New Roman"/>
          <w:sz w:val="24"/>
          <w:szCs w:val="24"/>
        </w:rPr>
        <w:t xml:space="preserve">risk of </w:t>
      </w:r>
      <w:r w:rsidR="003C221B" w:rsidRPr="000F1CB4">
        <w:rPr>
          <w:rFonts w:ascii="Book Antiqua" w:eastAsia="Calibri" w:hAnsi="Book Antiqua" w:cs="Times New Roman"/>
          <w:sz w:val="24"/>
          <w:szCs w:val="24"/>
        </w:rPr>
        <w:t xml:space="preserve">HCC </w:t>
      </w:r>
      <w:r w:rsidR="00C03C0E" w:rsidRPr="000F1CB4">
        <w:rPr>
          <w:rFonts w:ascii="Book Antiqua" w:eastAsia="Calibri" w:hAnsi="Book Antiqua" w:cs="Times New Roman"/>
          <w:sz w:val="24"/>
          <w:szCs w:val="24"/>
        </w:rPr>
        <w:t xml:space="preserve">compared to those </w:t>
      </w:r>
      <w:r w:rsidR="003C221B" w:rsidRPr="000F1CB4">
        <w:rPr>
          <w:rFonts w:ascii="Book Antiqua" w:eastAsia="Calibri" w:hAnsi="Book Antiqua" w:cs="Times New Roman"/>
          <w:sz w:val="24"/>
          <w:szCs w:val="24"/>
        </w:rPr>
        <w:t xml:space="preserve">without lifetime alcohol consumption </w:t>
      </w:r>
      <w:r w:rsidR="00C03C0E" w:rsidRPr="000F1CB4">
        <w:rPr>
          <w:rFonts w:ascii="Book Antiqua" w:eastAsia="Calibri" w:hAnsi="Book Antiqua" w:cs="Times New Roman"/>
          <w:sz w:val="24"/>
          <w:szCs w:val="24"/>
        </w:rPr>
        <w:t>(</w:t>
      </w:r>
      <w:r w:rsidR="00C22041" w:rsidRPr="000F1CB4">
        <w:rPr>
          <w:rFonts w:ascii="Book Antiqua" w:eastAsia="Calibri" w:hAnsi="Book Antiqua" w:cs="Times New Roman"/>
          <w:i/>
          <w:sz w:val="24"/>
          <w:szCs w:val="24"/>
        </w:rPr>
        <w:t>P</w:t>
      </w:r>
      <w:r w:rsidR="003C221B" w:rsidRPr="000F1CB4" w:rsidDel="003C221B">
        <w:rPr>
          <w:rFonts w:ascii="Book Antiqua" w:eastAsia="Calibri" w:hAnsi="Book Antiqua" w:cs="Times New Roman"/>
          <w:sz w:val="24"/>
          <w:szCs w:val="24"/>
        </w:rPr>
        <w:t xml:space="preserve"> </w:t>
      </w:r>
      <w:r w:rsidR="00C03C0E" w:rsidRPr="000F1CB4">
        <w:rPr>
          <w:rFonts w:ascii="Book Antiqua" w:eastAsia="Calibri" w:hAnsi="Book Antiqua" w:cs="Times New Roman"/>
          <w:sz w:val="24"/>
          <w:szCs w:val="24"/>
        </w:rPr>
        <w:t>=</w:t>
      </w:r>
      <w:r w:rsidR="00C22041">
        <w:rPr>
          <w:rFonts w:ascii="Book Antiqua" w:hAnsi="Book Antiqua" w:cs="Times New Roman" w:hint="eastAsia"/>
          <w:sz w:val="24"/>
          <w:szCs w:val="24"/>
          <w:lang w:eastAsia="zh-CN"/>
        </w:rPr>
        <w:t xml:space="preserve"> </w:t>
      </w:r>
      <w:r w:rsidR="00C03C0E" w:rsidRPr="000F1CB4">
        <w:rPr>
          <w:rFonts w:ascii="Book Antiqua" w:eastAsia="Calibri" w:hAnsi="Book Antiqua" w:cs="Times New Roman"/>
          <w:sz w:val="24"/>
          <w:szCs w:val="24"/>
        </w:rPr>
        <w:t xml:space="preserve">0.003). </w:t>
      </w:r>
      <w:r w:rsidR="003C221B" w:rsidRPr="000F1CB4">
        <w:rPr>
          <w:rFonts w:ascii="Book Antiqua" w:eastAsia="Calibri" w:hAnsi="Book Antiqua" w:cs="Times New Roman"/>
          <w:sz w:val="24"/>
          <w:szCs w:val="24"/>
        </w:rPr>
        <w:t xml:space="preserve">This suggests that </w:t>
      </w:r>
      <w:r w:rsidR="00C03C0E" w:rsidRPr="000F1CB4">
        <w:rPr>
          <w:rFonts w:ascii="Book Antiqua" w:eastAsia="Calibri" w:hAnsi="Book Antiqua" w:cs="Times New Roman"/>
          <w:sz w:val="24"/>
          <w:szCs w:val="24"/>
        </w:rPr>
        <w:t>alcohol</w:t>
      </w:r>
      <w:r w:rsidR="003C221B" w:rsidRPr="000F1CB4">
        <w:rPr>
          <w:rFonts w:ascii="Book Antiqua" w:eastAsia="Calibri" w:hAnsi="Book Antiqua" w:cs="Times New Roman"/>
          <w:sz w:val="24"/>
          <w:szCs w:val="24"/>
        </w:rPr>
        <w:t xml:space="preserve"> </w:t>
      </w:r>
      <w:r w:rsidR="00AC5B9D" w:rsidRPr="000F1CB4">
        <w:rPr>
          <w:rFonts w:ascii="Book Antiqua" w:eastAsia="Calibri" w:hAnsi="Book Antiqua" w:cs="Times New Roman"/>
          <w:sz w:val="24"/>
          <w:szCs w:val="24"/>
        </w:rPr>
        <w:t>consumption</w:t>
      </w:r>
      <w:r w:rsidR="00C03C0E" w:rsidRPr="000F1CB4">
        <w:rPr>
          <w:rFonts w:ascii="Book Antiqua" w:eastAsia="Calibri" w:hAnsi="Book Antiqua" w:cs="Times New Roman"/>
          <w:sz w:val="24"/>
          <w:szCs w:val="24"/>
        </w:rPr>
        <w:t xml:space="preserve"> </w:t>
      </w:r>
      <w:r w:rsidR="00386666" w:rsidRPr="000F1CB4">
        <w:rPr>
          <w:rFonts w:ascii="Book Antiqua" w:eastAsia="Calibri" w:hAnsi="Book Antiqua" w:cs="Times New Roman"/>
          <w:sz w:val="24"/>
          <w:szCs w:val="24"/>
        </w:rPr>
        <w:t xml:space="preserve">is </w:t>
      </w:r>
      <w:r w:rsidR="00C03C0E" w:rsidRPr="000F1CB4">
        <w:rPr>
          <w:rFonts w:ascii="Book Antiqua" w:eastAsia="Calibri" w:hAnsi="Book Antiqua" w:cs="Times New Roman"/>
          <w:sz w:val="24"/>
          <w:szCs w:val="24"/>
        </w:rPr>
        <w:t xml:space="preserve">a modifiable risk </w:t>
      </w:r>
      <w:r w:rsidR="00AC5B9D" w:rsidRPr="000F1CB4">
        <w:rPr>
          <w:rFonts w:ascii="Book Antiqua" w:eastAsia="Calibri" w:hAnsi="Book Antiqua" w:cs="Times New Roman"/>
          <w:sz w:val="24"/>
          <w:szCs w:val="24"/>
        </w:rPr>
        <w:t>factor;</w:t>
      </w:r>
      <w:r w:rsidR="00C03C0E" w:rsidRPr="000F1CB4">
        <w:rPr>
          <w:rFonts w:ascii="Book Antiqua" w:eastAsia="Calibri" w:hAnsi="Book Antiqua" w:cs="Times New Roman"/>
          <w:sz w:val="24"/>
          <w:szCs w:val="24"/>
        </w:rPr>
        <w:t xml:space="preserve"> ev</w:t>
      </w:r>
      <w:r w:rsidR="00154A44" w:rsidRPr="000F1CB4">
        <w:rPr>
          <w:rFonts w:ascii="Book Antiqua" w:eastAsia="Calibri" w:hAnsi="Book Antiqua" w:cs="Times New Roman"/>
          <w:sz w:val="24"/>
          <w:szCs w:val="24"/>
        </w:rPr>
        <w:t>e</w:t>
      </w:r>
      <w:r w:rsidR="00C03C0E" w:rsidRPr="000F1CB4">
        <w:rPr>
          <w:rFonts w:ascii="Book Antiqua" w:eastAsia="Calibri" w:hAnsi="Book Antiqua" w:cs="Times New Roman"/>
          <w:sz w:val="24"/>
          <w:szCs w:val="24"/>
        </w:rPr>
        <w:t xml:space="preserve">n in </w:t>
      </w:r>
      <w:r w:rsidR="003C221B" w:rsidRPr="000F1CB4">
        <w:rPr>
          <w:rFonts w:ascii="Book Antiqua" w:eastAsia="Calibri" w:hAnsi="Book Antiqua" w:cs="Times New Roman"/>
          <w:sz w:val="24"/>
          <w:szCs w:val="24"/>
        </w:rPr>
        <w:t xml:space="preserve">quantities generally considered safe may </w:t>
      </w:r>
      <w:r w:rsidR="00C03C0E" w:rsidRPr="000F1CB4">
        <w:rPr>
          <w:rFonts w:ascii="Book Antiqua" w:eastAsia="Calibri" w:hAnsi="Book Antiqua" w:cs="Times New Roman"/>
          <w:sz w:val="24"/>
          <w:szCs w:val="24"/>
        </w:rPr>
        <w:t xml:space="preserve">increase the risk of HCC development in </w:t>
      </w:r>
      <w:r w:rsidR="00782194" w:rsidRPr="000F1CB4">
        <w:rPr>
          <w:rFonts w:ascii="Book Antiqua" w:eastAsia="Calibri" w:hAnsi="Book Antiqua" w:cs="Times New Roman"/>
          <w:sz w:val="24"/>
          <w:szCs w:val="24"/>
        </w:rPr>
        <w:t xml:space="preserve">patients with </w:t>
      </w:r>
      <w:r w:rsidR="00C03C0E" w:rsidRPr="000F1CB4">
        <w:rPr>
          <w:rFonts w:ascii="Book Antiqua" w:eastAsia="Calibri" w:hAnsi="Book Antiqua" w:cs="Times New Roman"/>
          <w:sz w:val="24"/>
          <w:szCs w:val="24"/>
        </w:rPr>
        <w:t>NASH</w:t>
      </w:r>
      <w:r w:rsidR="00782194" w:rsidRPr="000F1CB4">
        <w:rPr>
          <w:rFonts w:ascii="Book Antiqua" w:eastAsia="Calibri" w:hAnsi="Book Antiqua" w:cs="Times New Roman"/>
          <w:sz w:val="24"/>
          <w:szCs w:val="24"/>
        </w:rPr>
        <w:t xml:space="preserve">-related </w:t>
      </w:r>
      <w:r w:rsidR="00C03C0E" w:rsidRPr="000F1CB4">
        <w:rPr>
          <w:rFonts w:ascii="Book Antiqua" w:eastAsia="Calibri" w:hAnsi="Book Antiqua" w:cs="Times New Roman"/>
          <w:sz w:val="24"/>
          <w:szCs w:val="24"/>
        </w:rPr>
        <w:t>cirrho</w:t>
      </w:r>
      <w:r w:rsidR="00782194" w:rsidRPr="000F1CB4">
        <w:rPr>
          <w:rFonts w:ascii="Book Antiqua" w:eastAsia="Calibri" w:hAnsi="Book Antiqua" w:cs="Times New Roman"/>
          <w:sz w:val="24"/>
          <w:szCs w:val="24"/>
        </w:rPr>
        <w:t>sis</w:t>
      </w:r>
      <w:r w:rsidR="00C03C0E" w:rsidRPr="000F1CB4">
        <w:rPr>
          <w:rFonts w:ascii="Book Antiqua" w:eastAsia="Calibri" w:hAnsi="Book Antiqua" w:cs="Times New Roman"/>
          <w:sz w:val="24"/>
          <w:szCs w:val="24"/>
        </w:rPr>
        <w:t>.</w:t>
      </w:r>
    </w:p>
    <w:p w14:paraId="351ACBE4" w14:textId="77777777" w:rsidR="00386666" w:rsidRPr="000F1CB4" w:rsidRDefault="00386666" w:rsidP="000F1CB4">
      <w:pPr>
        <w:spacing w:after="0" w:line="360" w:lineRule="auto"/>
        <w:jc w:val="both"/>
        <w:rPr>
          <w:rFonts w:ascii="Book Antiqua" w:eastAsia="Calibri" w:hAnsi="Book Antiqua" w:cs="Times New Roman"/>
          <w:sz w:val="24"/>
          <w:szCs w:val="24"/>
        </w:rPr>
      </w:pPr>
    </w:p>
    <w:p w14:paraId="21980BBE" w14:textId="47133C74" w:rsidR="002060F4" w:rsidRPr="00C22041" w:rsidRDefault="00C22041" w:rsidP="000F1CB4">
      <w:pPr>
        <w:spacing w:after="0" w:line="360" w:lineRule="auto"/>
        <w:jc w:val="both"/>
        <w:rPr>
          <w:rFonts w:ascii="Book Antiqua" w:hAnsi="Book Antiqua" w:cs="Times New Roman"/>
          <w:b/>
          <w:sz w:val="24"/>
          <w:szCs w:val="24"/>
        </w:rPr>
      </w:pPr>
      <w:r w:rsidRPr="00C22041">
        <w:rPr>
          <w:rFonts w:ascii="Book Antiqua" w:eastAsia="Calibri" w:hAnsi="Book Antiqua" w:cs="Times New Roman"/>
          <w:b/>
          <w:sz w:val="24"/>
          <w:szCs w:val="24"/>
        </w:rPr>
        <w:t xml:space="preserve">MECHANISMS UNDERLYING </w:t>
      </w:r>
      <w:r w:rsidRPr="00C22041">
        <w:rPr>
          <w:rFonts w:ascii="Book Antiqua" w:hAnsi="Book Antiqua" w:cs="Times New Roman"/>
          <w:b/>
          <w:sz w:val="24"/>
          <w:szCs w:val="24"/>
        </w:rPr>
        <w:t>NASH-RELATED HCC</w:t>
      </w:r>
    </w:p>
    <w:p w14:paraId="5590E740" w14:textId="269450AE" w:rsidR="002C4B5E" w:rsidRPr="000F1CB4" w:rsidRDefault="00544BB6" w:rsidP="000F1CB4">
      <w:pPr>
        <w:spacing w:after="0" w:line="360" w:lineRule="auto"/>
        <w:jc w:val="both"/>
        <w:rPr>
          <w:rFonts w:ascii="Book Antiqua" w:hAnsi="Book Antiqua"/>
          <w:sz w:val="24"/>
          <w:szCs w:val="24"/>
        </w:rPr>
      </w:pPr>
      <w:r w:rsidRPr="000F1CB4">
        <w:rPr>
          <w:rFonts w:ascii="Book Antiqua" w:hAnsi="Book Antiqua"/>
          <w:sz w:val="24"/>
          <w:szCs w:val="24"/>
        </w:rPr>
        <w:t>Numerous unique mechanisms underlie the pathogenesis of NASH-related HCC</w:t>
      </w:r>
      <w:r w:rsidR="000D1B70" w:rsidRPr="000F1CB4">
        <w:rPr>
          <w:rFonts w:ascii="Book Antiqua" w:hAnsi="Book Antiqua"/>
          <w:sz w:val="24"/>
          <w:szCs w:val="24"/>
        </w:rPr>
        <w:t xml:space="preserve"> (Figure 3)</w:t>
      </w:r>
      <w:r w:rsidRPr="000F1CB4">
        <w:rPr>
          <w:rFonts w:ascii="Book Antiqua" w:hAnsi="Book Antiqua"/>
          <w:sz w:val="24"/>
          <w:szCs w:val="24"/>
        </w:rPr>
        <w:t xml:space="preserve">. </w:t>
      </w:r>
      <w:r w:rsidR="00066BB9" w:rsidRPr="000F1CB4">
        <w:rPr>
          <w:rFonts w:ascii="Book Antiqua" w:hAnsi="Book Antiqua"/>
          <w:sz w:val="24"/>
          <w:szCs w:val="24"/>
        </w:rPr>
        <w:t>Insulin resistance, associated with NAFLD, predisposes to the production of</w:t>
      </w:r>
      <w:r w:rsidR="002C4B5E" w:rsidRPr="000F1CB4">
        <w:rPr>
          <w:rFonts w:ascii="Book Antiqua" w:hAnsi="Book Antiqua"/>
          <w:sz w:val="24"/>
          <w:szCs w:val="24"/>
        </w:rPr>
        <w:t xml:space="preserve"> free fatty acids</w:t>
      </w:r>
      <w:r w:rsidR="00066BB9" w:rsidRPr="000F1CB4">
        <w:rPr>
          <w:rFonts w:ascii="Book Antiqua" w:hAnsi="Book Antiqua"/>
          <w:sz w:val="24"/>
          <w:szCs w:val="24"/>
        </w:rPr>
        <w:t xml:space="preserve"> and</w:t>
      </w:r>
      <w:r w:rsidR="002C4B5E" w:rsidRPr="000F1CB4">
        <w:rPr>
          <w:rFonts w:ascii="Book Antiqua" w:hAnsi="Book Antiqua"/>
          <w:sz w:val="24"/>
          <w:szCs w:val="24"/>
        </w:rPr>
        <w:t xml:space="preserve"> </w:t>
      </w:r>
      <w:r w:rsidR="00066BB9" w:rsidRPr="000F1CB4">
        <w:rPr>
          <w:rFonts w:ascii="Book Antiqua" w:hAnsi="Book Antiqua"/>
          <w:sz w:val="24"/>
          <w:szCs w:val="24"/>
        </w:rPr>
        <w:t>several</w:t>
      </w:r>
      <w:r w:rsidR="002C4B5E" w:rsidRPr="000F1CB4">
        <w:rPr>
          <w:rFonts w:ascii="Book Antiqua" w:hAnsi="Book Antiqua"/>
          <w:sz w:val="24"/>
          <w:szCs w:val="24"/>
        </w:rPr>
        <w:t xml:space="preserve"> pro-inflammatory cytokines</w:t>
      </w:r>
      <w:r w:rsidR="00066BB9" w:rsidRPr="000F1CB4">
        <w:rPr>
          <w:rFonts w:ascii="Book Antiqua" w:hAnsi="Book Antiqua"/>
          <w:sz w:val="24"/>
          <w:szCs w:val="24"/>
        </w:rPr>
        <w:t>,</w:t>
      </w:r>
      <w:r w:rsidR="002C4B5E" w:rsidRPr="000F1CB4">
        <w:rPr>
          <w:rFonts w:ascii="Book Antiqua" w:hAnsi="Book Antiqua"/>
          <w:sz w:val="24"/>
          <w:szCs w:val="24"/>
        </w:rPr>
        <w:t xml:space="preserve"> including tumor necrosis factor</w:t>
      </w:r>
      <w:r w:rsidR="00066BB9" w:rsidRPr="000F1CB4">
        <w:rPr>
          <w:rFonts w:ascii="Book Antiqua" w:hAnsi="Book Antiqua"/>
          <w:sz w:val="24"/>
          <w:szCs w:val="24"/>
        </w:rPr>
        <w:t>-</w:t>
      </w:r>
      <w:r w:rsidR="002C4B5E" w:rsidRPr="000F1CB4">
        <w:rPr>
          <w:rFonts w:ascii="Book Antiqua" w:hAnsi="Book Antiqua"/>
          <w:sz w:val="24"/>
          <w:szCs w:val="24"/>
        </w:rPr>
        <w:t>alpha (TNF-α)</w:t>
      </w:r>
      <w:r w:rsidR="00066BB9" w:rsidRPr="000F1CB4">
        <w:rPr>
          <w:rFonts w:ascii="Book Antiqua" w:hAnsi="Book Antiqua"/>
          <w:sz w:val="24"/>
          <w:szCs w:val="24"/>
        </w:rPr>
        <w:t xml:space="preserve"> and</w:t>
      </w:r>
      <w:r w:rsidR="00FE6514" w:rsidRPr="000F1CB4">
        <w:rPr>
          <w:rFonts w:ascii="Book Antiqua" w:hAnsi="Book Antiqua"/>
          <w:sz w:val="24"/>
          <w:szCs w:val="24"/>
        </w:rPr>
        <w:t xml:space="preserve"> interleukin-6 (IL-6)</w:t>
      </w:r>
      <w:r w:rsidR="00C22041" w:rsidRPr="000F1CB4">
        <w:rPr>
          <w:rFonts w:ascii="Book Antiqua" w:hAnsi="Book Antiqua"/>
          <w:sz w:val="24"/>
          <w:szCs w:val="24"/>
          <w:vertAlign w:val="superscript"/>
        </w:rPr>
        <w:t>[</w:t>
      </w:r>
      <w:r w:rsidR="00EF38CA">
        <w:rPr>
          <w:rFonts w:ascii="Book Antiqua" w:hAnsi="Book Antiqua" w:hint="eastAsia"/>
          <w:sz w:val="24"/>
          <w:szCs w:val="24"/>
          <w:vertAlign w:val="superscript"/>
          <w:lang w:eastAsia="zh-CN"/>
        </w:rPr>
        <w:t>1</w:t>
      </w:r>
      <w:r w:rsidR="00C22041" w:rsidRPr="000F1CB4">
        <w:rPr>
          <w:rFonts w:ascii="Book Antiqua" w:hAnsi="Book Antiqua"/>
          <w:sz w:val="24"/>
          <w:szCs w:val="24"/>
          <w:vertAlign w:val="superscript"/>
        </w:rPr>
        <w:t>]</w:t>
      </w:r>
      <w:r w:rsidR="002C4B5E" w:rsidRPr="000F1CB4">
        <w:rPr>
          <w:rFonts w:ascii="Book Antiqua" w:hAnsi="Book Antiqua"/>
          <w:sz w:val="24"/>
          <w:szCs w:val="24"/>
        </w:rPr>
        <w:t>.</w:t>
      </w:r>
      <w:r w:rsidR="002C4B5E" w:rsidRPr="000F1CB4">
        <w:rPr>
          <w:rFonts w:ascii="Book Antiqua" w:hAnsi="Book Antiqua"/>
          <w:sz w:val="24"/>
          <w:szCs w:val="24"/>
          <w:vertAlign w:val="superscript"/>
        </w:rPr>
        <w:t xml:space="preserve"> </w:t>
      </w:r>
      <w:r w:rsidR="00EC29D2" w:rsidRPr="000F1CB4">
        <w:rPr>
          <w:rFonts w:ascii="Book Antiqua" w:hAnsi="Book Antiqua"/>
          <w:sz w:val="24"/>
          <w:szCs w:val="24"/>
        </w:rPr>
        <w:t xml:space="preserve">TNF-α promotes pro-oncogenic pathways, which specifically involve NF-kB, c-Jun amino acid-terminal kinase (JNK), and mammalian target of </w:t>
      </w:r>
      <w:proofErr w:type="spellStart"/>
      <w:r w:rsidR="00EC29D2" w:rsidRPr="000F1CB4">
        <w:rPr>
          <w:rFonts w:ascii="Book Antiqua" w:hAnsi="Book Antiqua"/>
          <w:sz w:val="24"/>
          <w:szCs w:val="24"/>
        </w:rPr>
        <w:t>rapamycin</w:t>
      </w:r>
      <w:proofErr w:type="spellEnd"/>
      <w:r w:rsidR="00EC29D2" w:rsidRPr="000F1CB4">
        <w:rPr>
          <w:rFonts w:ascii="Book Antiqua" w:hAnsi="Book Antiqua"/>
          <w:sz w:val="24"/>
          <w:szCs w:val="24"/>
        </w:rPr>
        <w:t xml:space="preserve"> complex (</w:t>
      </w:r>
      <w:proofErr w:type="spellStart"/>
      <w:r w:rsidR="00EC29D2" w:rsidRPr="000F1CB4">
        <w:rPr>
          <w:rFonts w:ascii="Book Antiqua" w:hAnsi="Book Antiqua"/>
          <w:sz w:val="24"/>
          <w:szCs w:val="24"/>
        </w:rPr>
        <w:t>mTOR</w:t>
      </w:r>
      <w:proofErr w:type="spellEnd"/>
      <w:r w:rsidR="00EC29D2" w:rsidRPr="000F1CB4">
        <w:rPr>
          <w:rFonts w:ascii="Book Antiqua" w:hAnsi="Book Antiqua"/>
          <w:sz w:val="24"/>
          <w:szCs w:val="24"/>
        </w:rPr>
        <w:t>)</w:t>
      </w:r>
      <w:r w:rsidR="00C22041">
        <w:rPr>
          <w:rFonts w:ascii="Book Antiqua" w:hAnsi="Book Antiqua"/>
          <w:sz w:val="24"/>
          <w:szCs w:val="24"/>
          <w:vertAlign w:val="superscript"/>
        </w:rPr>
        <w:t>[2</w:t>
      </w:r>
      <w:r w:rsidR="00EF38CA">
        <w:rPr>
          <w:rFonts w:ascii="Book Antiqua" w:hAnsi="Book Antiqua" w:hint="eastAsia"/>
          <w:sz w:val="24"/>
          <w:szCs w:val="24"/>
          <w:vertAlign w:val="superscript"/>
          <w:lang w:eastAsia="zh-CN"/>
        </w:rPr>
        <w:t>5</w:t>
      </w:r>
      <w:r w:rsidR="00C22041">
        <w:rPr>
          <w:rFonts w:ascii="Book Antiqua" w:hAnsi="Book Antiqua"/>
          <w:sz w:val="24"/>
          <w:szCs w:val="24"/>
          <w:vertAlign w:val="superscript"/>
        </w:rPr>
        <w:t>,</w:t>
      </w:r>
      <w:r w:rsidR="00C22041" w:rsidRPr="000F1CB4">
        <w:rPr>
          <w:rFonts w:ascii="Book Antiqua" w:hAnsi="Book Antiqua"/>
          <w:sz w:val="24"/>
          <w:szCs w:val="24"/>
          <w:vertAlign w:val="superscript"/>
        </w:rPr>
        <w:t>2</w:t>
      </w:r>
      <w:r w:rsidR="00EF38CA">
        <w:rPr>
          <w:rFonts w:ascii="Book Antiqua" w:hAnsi="Book Antiqua" w:hint="eastAsia"/>
          <w:sz w:val="24"/>
          <w:szCs w:val="24"/>
          <w:vertAlign w:val="superscript"/>
          <w:lang w:eastAsia="zh-CN"/>
        </w:rPr>
        <w:t>6</w:t>
      </w:r>
      <w:r w:rsidR="00C22041" w:rsidRPr="000F1CB4">
        <w:rPr>
          <w:rFonts w:ascii="Book Antiqua" w:hAnsi="Book Antiqua"/>
          <w:sz w:val="24"/>
          <w:szCs w:val="24"/>
          <w:vertAlign w:val="superscript"/>
        </w:rPr>
        <w:t>]</w:t>
      </w:r>
      <w:r w:rsidR="00EC29D2" w:rsidRPr="000F1CB4">
        <w:rPr>
          <w:rFonts w:ascii="Book Antiqua" w:hAnsi="Book Antiqua"/>
          <w:sz w:val="24"/>
          <w:szCs w:val="24"/>
        </w:rPr>
        <w:t>. Obesity is associated with increased</w:t>
      </w:r>
      <w:r w:rsidR="00EC29D2" w:rsidRPr="000F1CB4">
        <w:rPr>
          <w:rFonts w:ascii="Book Antiqua" w:hAnsi="Book Antiqua"/>
          <w:sz w:val="24"/>
          <w:szCs w:val="24"/>
          <w:vertAlign w:val="superscript"/>
        </w:rPr>
        <w:t xml:space="preserve"> </w:t>
      </w:r>
      <w:r w:rsidR="00EC29D2" w:rsidRPr="000F1CB4">
        <w:rPr>
          <w:rFonts w:ascii="Book Antiqua" w:hAnsi="Book Antiqua"/>
          <w:sz w:val="24"/>
          <w:szCs w:val="24"/>
        </w:rPr>
        <w:t xml:space="preserve">IL-6 levels, while weight loss reduces levels of TNF-α and IL-6, resulting in a decreased inflammatory and potentially carcinogenic </w:t>
      </w:r>
      <w:proofErr w:type="gramStart"/>
      <w:r w:rsidR="00EC29D2" w:rsidRPr="000F1CB4">
        <w:rPr>
          <w:rFonts w:ascii="Book Antiqua" w:hAnsi="Book Antiqua"/>
          <w:sz w:val="24"/>
          <w:szCs w:val="24"/>
        </w:rPr>
        <w:t>response</w:t>
      </w:r>
      <w:r w:rsidR="00C22041" w:rsidRPr="000F1CB4">
        <w:rPr>
          <w:rFonts w:ascii="Book Antiqua" w:hAnsi="Book Antiqua"/>
          <w:sz w:val="24"/>
          <w:szCs w:val="24"/>
          <w:vertAlign w:val="superscript"/>
        </w:rPr>
        <w:t>[</w:t>
      </w:r>
      <w:proofErr w:type="gramEnd"/>
      <w:r w:rsidR="00C22041" w:rsidRPr="000F1CB4">
        <w:rPr>
          <w:rFonts w:ascii="Book Antiqua" w:hAnsi="Book Antiqua"/>
          <w:sz w:val="24"/>
          <w:szCs w:val="24"/>
          <w:vertAlign w:val="superscript"/>
        </w:rPr>
        <w:t>2</w:t>
      </w:r>
      <w:r w:rsidR="00EF38CA">
        <w:rPr>
          <w:rFonts w:ascii="Book Antiqua" w:hAnsi="Book Antiqua" w:hint="eastAsia"/>
          <w:sz w:val="24"/>
          <w:szCs w:val="24"/>
          <w:vertAlign w:val="superscript"/>
          <w:lang w:eastAsia="zh-CN"/>
        </w:rPr>
        <w:t>7</w:t>
      </w:r>
      <w:r w:rsidR="00C22041" w:rsidRPr="000F1CB4">
        <w:rPr>
          <w:rFonts w:ascii="Book Antiqua" w:hAnsi="Book Antiqua"/>
          <w:sz w:val="24"/>
          <w:szCs w:val="24"/>
          <w:vertAlign w:val="superscript"/>
        </w:rPr>
        <w:t>]</w:t>
      </w:r>
      <w:r w:rsidR="00EC29D2" w:rsidRPr="000F1CB4">
        <w:rPr>
          <w:rFonts w:ascii="Book Antiqua" w:hAnsi="Book Antiqua"/>
          <w:sz w:val="24"/>
          <w:szCs w:val="24"/>
        </w:rPr>
        <w:t>.</w:t>
      </w:r>
      <w:r w:rsidR="00371E04" w:rsidRPr="000F1CB4">
        <w:rPr>
          <w:rFonts w:ascii="Book Antiqua" w:hAnsi="Book Antiqua"/>
          <w:sz w:val="24"/>
          <w:szCs w:val="24"/>
        </w:rPr>
        <w:t xml:space="preserve"> </w:t>
      </w:r>
      <w:r w:rsidR="00EC29D2" w:rsidRPr="000F1CB4">
        <w:rPr>
          <w:rFonts w:ascii="Book Antiqua" w:hAnsi="Book Antiqua"/>
          <w:sz w:val="24"/>
          <w:szCs w:val="24"/>
        </w:rPr>
        <w:t xml:space="preserve">Prolonged </w:t>
      </w:r>
      <w:r w:rsidR="00912C5F" w:rsidRPr="000F1CB4">
        <w:rPr>
          <w:rFonts w:ascii="Book Antiqua" w:hAnsi="Book Antiqua"/>
          <w:sz w:val="24"/>
          <w:szCs w:val="24"/>
        </w:rPr>
        <w:t>upregulation</w:t>
      </w:r>
      <w:r w:rsidR="00EC29D2" w:rsidRPr="000F1CB4">
        <w:rPr>
          <w:rFonts w:ascii="Book Antiqua" w:hAnsi="Book Antiqua"/>
          <w:sz w:val="24"/>
          <w:szCs w:val="24"/>
        </w:rPr>
        <w:t xml:space="preserve"> of the IL-6/STAT3 axis </w:t>
      </w:r>
      <w:r w:rsidR="003C78AC" w:rsidRPr="000F1CB4">
        <w:rPr>
          <w:rFonts w:ascii="Book Antiqua" w:hAnsi="Book Antiqua"/>
          <w:sz w:val="24"/>
          <w:szCs w:val="24"/>
        </w:rPr>
        <w:t xml:space="preserve">results in </w:t>
      </w:r>
      <w:r w:rsidR="00EC29D2" w:rsidRPr="000F1CB4">
        <w:rPr>
          <w:rFonts w:ascii="Book Antiqua" w:hAnsi="Book Antiqua"/>
          <w:sz w:val="24"/>
          <w:szCs w:val="24"/>
        </w:rPr>
        <w:t xml:space="preserve">an increased probability that hepatocytes that have already acquired oncogenic mutations from exposure to </w:t>
      </w:r>
      <w:r w:rsidR="002060F4" w:rsidRPr="000F1CB4">
        <w:rPr>
          <w:rFonts w:ascii="Book Antiqua" w:hAnsi="Book Antiqua"/>
          <w:sz w:val="24"/>
          <w:szCs w:val="24"/>
        </w:rPr>
        <w:t>carcinogens will continue</w:t>
      </w:r>
      <w:r w:rsidR="00EC29D2" w:rsidRPr="000F1CB4">
        <w:rPr>
          <w:rFonts w:ascii="Book Antiqua" w:hAnsi="Book Antiqua"/>
          <w:sz w:val="24"/>
          <w:szCs w:val="24"/>
        </w:rPr>
        <w:t xml:space="preserve"> malignant </w:t>
      </w:r>
      <w:proofErr w:type="gramStart"/>
      <w:r w:rsidR="00EC29D2" w:rsidRPr="000F1CB4">
        <w:rPr>
          <w:rFonts w:ascii="Book Antiqua" w:hAnsi="Book Antiqua"/>
          <w:sz w:val="24"/>
          <w:szCs w:val="24"/>
        </w:rPr>
        <w:t>transformation</w:t>
      </w:r>
      <w:r w:rsidR="00C22041" w:rsidRPr="000F1CB4">
        <w:rPr>
          <w:rFonts w:ascii="Book Antiqua" w:hAnsi="Book Antiqua"/>
          <w:sz w:val="24"/>
          <w:szCs w:val="24"/>
          <w:vertAlign w:val="superscript"/>
        </w:rPr>
        <w:t>[</w:t>
      </w:r>
      <w:proofErr w:type="gramEnd"/>
      <w:r w:rsidR="00C22041" w:rsidRPr="000F1CB4">
        <w:rPr>
          <w:rFonts w:ascii="Book Antiqua" w:hAnsi="Book Antiqua"/>
          <w:sz w:val="24"/>
          <w:szCs w:val="24"/>
          <w:vertAlign w:val="superscript"/>
        </w:rPr>
        <w:t>2</w:t>
      </w:r>
      <w:r w:rsidR="00EF38CA">
        <w:rPr>
          <w:rFonts w:ascii="Book Antiqua" w:hAnsi="Book Antiqua" w:hint="eastAsia"/>
          <w:sz w:val="24"/>
          <w:szCs w:val="24"/>
          <w:vertAlign w:val="superscript"/>
          <w:lang w:eastAsia="zh-CN"/>
        </w:rPr>
        <w:t>8</w:t>
      </w:r>
      <w:r w:rsidR="00C22041" w:rsidRPr="000F1CB4">
        <w:rPr>
          <w:rFonts w:ascii="Book Antiqua" w:hAnsi="Book Antiqua"/>
          <w:sz w:val="24"/>
          <w:szCs w:val="24"/>
          <w:vertAlign w:val="superscript"/>
        </w:rPr>
        <w:t>]</w:t>
      </w:r>
      <w:r w:rsidR="00EC29D2" w:rsidRPr="000F1CB4">
        <w:rPr>
          <w:rFonts w:ascii="Book Antiqua" w:hAnsi="Book Antiqua"/>
          <w:sz w:val="24"/>
          <w:szCs w:val="24"/>
        </w:rPr>
        <w:t>.</w:t>
      </w:r>
      <w:r w:rsidR="003C78AC" w:rsidRPr="000F1CB4">
        <w:rPr>
          <w:rFonts w:ascii="Book Antiqua" w:hAnsi="Book Antiqua"/>
          <w:sz w:val="24"/>
          <w:szCs w:val="24"/>
        </w:rPr>
        <w:t xml:space="preserve"> </w:t>
      </w:r>
      <w:r w:rsidR="002C4B5E" w:rsidRPr="000F1CB4">
        <w:rPr>
          <w:rFonts w:ascii="Book Antiqua" w:hAnsi="Book Antiqua"/>
          <w:sz w:val="24"/>
          <w:szCs w:val="24"/>
        </w:rPr>
        <w:t>I</w:t>
      </w:r>
      <w:r w:rsidR="002060F4" w:rsidRPr="000F1CB4">
        <w:rPr>
          <w:rFonts w:ascii="Book Antiqua" w:hAnsi="Book Antiqua"/>
          <w:sz w:val="24"/>
          <w:szCs w:val="24"/>
        </w:rPr>
        <w:t>nsulin resistance</w:t>
      </w:r>
      <w:r w:rsidR="002C4B5E" w:rsidRPr="000F1CB4">
        <w:rPr>
          <w:rFonts w:ascii="Book Antiqua" w:hAnsi="Book Antiqua"/>
          <w:sz w:val="24"/>
          <w:szCs w:val="24"/>
        </w:rPr>
        <w:t xml:space="preserve"> upregulate</w:t>
      </w:r>
      <w:r w:rsidR="002060F4" w:rsidRPr="000F1CB4">
        <w:rPr>
          <w:rFonts w:ascii="Book Antiqua" w:hAnsi="Book Antiqua"/>
          <w:sz w:val="24"/>
          <w:szCs w:val="24"/>
        </w:rPr>
        <w:t>s</w:t>
      </w:r>
      <w:r w:rsidR="002C4B5E" w:rsidRPr="000F1CB4">
        <w:rPr>
          <w:rFonts w:ascii="Book Antiqua" w:hAnsi="Book Antiqua"/>
          <w:sz w:val="24"/>
          <w:szCs w:val="24"/>
        </w:rPr>
        <w:t xml:space="preserve"> the production of insulin-like growth factor-1 (IGF-1). IGF-1</w:t>
      </w:r>
      <w:r w:rsidR="00632191" w:rsidRPr="000F1CB4">
        <w:rPr>
          <w:rFonts w:ascii="Book Antiqua" w:hAnsi="Book Antiqua"/>
          <w:sz w:val="24"/>
          <w:szCs w:val="24"/>
        </w:rPr>
        <w:t xml:space="preserve"> </w:t>
      </w:r>
      <w:r w:rsidR="00ED424E" w:rsidRPr="000F1CB4">
        <w:rPr>
          <w:rFonts w:ascii="Book Antiqua" w:hAnsi="Book Antiqua"/>
          <w:sz w:val="24"/>
          <w:szCs w:val="24"/>
        </w:rPr>
        <w:t xml:space="preserve">promotes processes linked to HCC development, such as </w:t>
      </w:r>
      <w:r w:rsidR="00632191" w:rsidRPr="000F1CB4">
        <w:rPr>
          <w:rFonts w:ascii="Book Antiqua" w:hAnsi="Book Antiqua"/>
          <w:sz w:val="24"/>
          <w:szCs w:val="24"/>
        </w:rPr>
        <w:t>expression of</w:t>
      </w:r>
      <w:r w:rsidR="002C4B5E" w:rsidRPr="000F1CB4">
        <w:rPr>
          <w:rFonts w:ascii="Book Antiqua" w:hAnsi="Book Antiqua"/>
          <w:sz w:val="24"/>
          <w:szCs w:val="24"/>
        </w:rPr>
        <w:t xml:space="preserve"> proto-oncogenes c-</w:t>
      </w:r>
      <w:proofErr w:type="spellStart"/>
      <w:r w:rsidR="002C4B5E" w:rsidRPr="000F1CB4">
        <w:rPr>
          <w:rFonts w:ascii="Book Antiqua" w:hAnsi="Book Antiqua"/>
          <w:sz w:val="24"/>
          <w:szCs w:val="24"/>
        </w:rPr>
        <w:t>fos</w:t>
      </w:r>
      <w:proofErr w:type="spellEnd"/>
      <w:r w:rsidR="002C4B5E" w:rsidRPr="000F1CB4">
        <w:rPr>
          <w:rFonts w:ascii="Book Antiqua" w:hAnsi="Book Antiqua"/>
          <w:sz w:val="24"/>
          <w:szCs w:val="24"/>
        </w:rPr>
        <w:t xml:space="preserve"> and c-</w:t>
      </w:r>
      <w:proofErr w:type="spellStart"/>
      <w:r w:rsidR="002C4B5E" w:rsidRPr="000F1CB4">
        <w:rPr>
          <w:rFonts w:ascii="Book Antiqua" w:hAnsi="Book Antiqua"/>
          <w:sz w:val="24"/>
          <w:szCs w:val="24"/>
        </w:rPr>
        <w:t>jun</w:t>
      </w:r>
      <w:proofErr w:type="spellEnd"/>
      <w:r w:rsidR="002C4B5E" w:rsidRPr="000F1CB4">
        <w:rPr>
          <w:rFonts w:ascii="Book Antiqua" w:hAnsi="Book Antiqua"/>
          <w:sz w:val="24"/>
          <w:szCs w:val="24"/>
        </w:rPr>
        <w:t xml:space="preserve"> in vitro </w:t>
      </w:r>
      <w:r w:rsidR="00632191" w:rsidRPr="000F1CB4">
        <w:rPr>
          <w:rFonts w:ascii="Book Antiqua" w:hAnsi="Book Antiqua"/>
          <w:sz w:val="24"/>
          <w:szCs w:val="24"/>
        </w:rPr>
        <w:t>and</w:t>
      </w:r>
      <w:r w:rsidR="002C4B5E" w:rsidRPr="000F1CB4">
        <w:rPr>
          <w:rFonts w:ascii="Book Antiqua" w:hAnsi="Book Antiqua"/>
          <w:sz w:val="24"/>
          <w:szCs w:val="24"/>
        </w:rPr>
        <w:t xml:space="preserve"> activating mitogen activated protein kinases (MAPK)</w:t>
      </w:r>
      <w:r w:rsidR="00C22041" w:rsidRPr="000F1CB4">
        <w:rPr>
          <w:rFonts w:ascii="Book Antiqua" w:hAnsi="Book Antiqua"/>
          <w:sz w:val="24"/>
          <w:szCs w:val="24"/>
          <w:vertAlign w:val="superscript"/>
        </w:rPr>
        <w:t>[</w:t>
      </w:r>
      <w:r w:rsidR="00EF38CA">
        <w:rPr>
          <w:rFonts w:ascii="Book Antiqua" w:hAnsi="Book Antiqua" w:hint="eastAsia"/>
          <w:sz w:val="24"/>
          <w:szCs w:val="24"/>
          <w:vertAlign w:val="superscript"/>
          <w:lang w:eastAsia="zh-CN"/>
        </w:rPr>
        <w:t>29</w:t>
      </w:r>
      <w:r w:rsidR="00C22041" w:rsidRPr="000F1CB4">
        <w:rPr>
          <w:rFonts w:ascii="Book Antiqua" w:hAnsi="Book Antiqua"/>
          <w:sz w:val="24"/>
          <w:szCs w:val="24"/>
          <w:vertAlign w:val="superscript"/>
        </w:rPr>
        <w:t>]</w:t>
      </w:r>
      <w:r w:rsidR="002C4B5E" w:rsidRPr="000F1CB4">
        <w:rPr>
          <w:rFonts w:ascii="Book Antiqua" w:hAnsi="Book Antiqua"/>
          <w:sz w:val="24"/>
          <w:szCs w:val="24"/>
        </w:rPr>
        <w:t>. JNK, a MAPK, is activated by IR</w:t>
      </w:r>
      <w:r w:rsidR="002060F4" w:rsidRPr="000F1CB4">
        <w:rPr>
          <w:rFonts w:ascii="Book Antiqua" w:hAnsi="Book Antiqua"/>
          <w:sz w:val="24"/>
          <w:szCs w:val="24"/>
        </w:rPr>
        <w:t xml:space="preserve"> and downregulated by weight </w:t>
      </w:r>
      <w:proofErr w:type="gramStart"/>
      <w:r w:rsidR="002060F4" w:rsidRPr="000F1CB4">
        <w:rPr>
          <w:rFonts w:ascii="Book Antiqua" w:hAnsi="Book Antiqua"/>
          <w:sz w:val="24"/>
          <w:szCs w:val="24"/>
        </w:rPr>
        <w:t>loss</w:t>
      </w:r>
      <w:r w:rsidR="00C22041" w:rsidRPr="000F1CB4">
        <w:rPr>
          <w:rFonts w:ascii="Book Antiqua" w:hAnsi="Book Antiqua"/>
          <w:sz w:val="24"/>
          <w:szCs w:val="24"/>
          <w:vertAlign w:val="superscript"/>
        </w:rPr>
        <w:t>[</w:t>
      </w:r>
      <w:proofErr w:type="gramEnd"/>
      <w:r w:rsidR="00C22041" w:rsidRPr="000F1CB4">
        <w:rPr>
          <w:rFonts w:ascii="Book Antiqua" w:hAnsi="Book Antiqua"/>
          <w:sz w:val="24"/>
          <w:szCs w:val="24"/>
          <w:vertAlign w:val="superscript"/>
        </w:rPr>
        <w:t>3</w:t>
      </w:r>
      <w:r w:rsidR="00EF38CA">
        <w:rPr>
          <w:rFonts w:ascii="Book Antiqua" w:hAnsi="Book Antiqua" w:hint="eastAsia"/>
          <w:sz w:val="24"/>
          <w:szCs w:val="24"/>
          <w:vertAlign w:val="superscript"/>
          <w:lang w:eastAsia="zh-CN"/>
        </w:rPr>
        <w:t>0</w:t>
      </w:r>
      <w:r w:rsidR="00C22041" w:rsidRPr="000F1CB4">
        <w:rPr>
          <w:rFonts w:ascii="Book Antiqua" w:hAnsi="Book Antiqua"/>
          <w:sz w:val="24"/>
          <w:szCs w:val="24"/>
          <w:vertAlign w:val="superscript"/>
        </w:rPr>
        <w:t>]</w:t>
      </w:r>
      <w:r w:rsidR="002C4B5E" w:rsidRPr="000F1CB4">
        <w:rPr>
          <w:rFonts w:ascii="Book Antiqua" w:hAnsi="Book Antiqua"/>
          <w:sz w:val="24"/>
          <w:szCs w:val="24"/>
        </w:rPr>
        <w:t xml:space="preserve">. </w:t>
      </w:r>
      <w:r w:rsidR="00632191" w:rsidRPr="000F1CB4">
        <w:rPr>
          <w:rFonts w:ascii="Book Antiqua" w:hAnsi="Book Antiqua"/>
          <w:sz w:val="24"/>
          <w:szCs w:val="24"/>
        </w:rPr>
        <w:t xml:space="preserve">Histopathological analysis reveals that </w:t>
      </w:r>
      <w:r w:rsidR="002C4B5E" w:rsidRPr="000F1CB4">
        <w:rPr>
          <w:rFonts w:ascii="Book Antiqua" w:hAnsi="Book Antiqua"/>
          <w:sz w:val="24"/>
          <w:szCs w:val="24"/>
        </w:rPr>
        <w:t xml:space="preserve">70% of HCC </w:t>
      </w:r>
      <w:r w:rsidR="00632191" w:rsidRPr="000F1CB4">
        <w:rPr>
          <w:rFonts w:ascii="Book Antiqua" w:hAnsi="Book Antiqua"/>
          <w:sz w:val="24"/>
          <w:szCs w:val="24"/>
        </w:rPr>
        <w:t xml:space="preserve">tissue specimens stain positive for </w:t>
      </w:r>
      <w:r w:rsidR="002C4B5E" w:rsidRPr="000F1CB4">
        <w:rPr>
          <w:rFonts w:ascii="Book Antiqua" w:hAnsi="Book Antiqua"/>
          <w:sz w:val="24"/>
          <w:szCs w:val="24"/>
        </w:rPr>
        <w:t xml:space="preserve">phosphorylated JNK, suggesting its role in </w:t>
      </w:r>
      <w:r w:rsidR="00632191" w:rsidRPr="000F1CB4">
        <w:rPr>
          <w:rFonts w:ascii="Book Antiqua" w:hAnsi="Book Antiqua"/>
          <w:sz w:val="24"/>
          <w:szCs w:val="24"/>
        </w:rPr>
        <w:t xml:space="preserve">the development of </w:t>
      </w:r>
      <w:proofErr w:type="gramStart"/>
      <w:r w:rsidR="00632191" w:rsidRPr="000F1CB4">
        <w:rPr>
          <w:rFonts w:ascii="Book Antiqua" w:hAnsi="Book Antiqua"/>
          <w:sz w:val="24"/>
          <w:szCs w:val="24"/>
        </w:rPr>
        <w:t>HCC</w:t>
      </w:r>
      <w:r w:rsidR="00C22041" w:rsidRPr="000F1CB4">
        <w:rPr>
          <w:rFonts w:ascii="Book Antiqua" w:hAnsi="Book Antiqua"/>
          <w:sz w:val="24"/>
          <w:szCs w:val="24"/>
          <w:vertAlign w:val="superscript"/>
        </w:rPr>
        <w:t>[</w:t>
      </w:r>
      <w:proofErr w:type="gramEnd"/>
      <w:r w:rsidR="00C22041" w:rsidRPr="000F1CB4">
        <w:rPr>
          <w:rFonts w:ascii="Book Antiqua" w:hAnsi="Book Antiqua"/>
          <w:sz w:val="24"/>
          <w:szCs w:val="24"/>
          <w:vertAlign w:val="superscript"/>
        </w:rPr>
        <w:t>3</w:t>
      </w:r>
      <w:r w:rsidR="00EF38CA">
        <w:rPr>
          <w:rFonts w:ascii="Book Antiqua" w:hAnsi="Book Antiqua" w:hint="eastAsia"/>
          <w:sz w:val="24"/>
          <w:szCs w:val="24"/>
          <w:vertAlign w:val="superscript"/>
          <w:lang w:eastAsia="zh-CN"/>
        </w:rPr>
        <w:t>1</w:t>
      </w:r>
      <w:r w:rsidR="00C22041" w:rsidRPr="000F1CB4">
        <w:rPr>
          <w:rFonts w:ascii="Book Antiqua" w:hAnsi="Book Antiqua"/>
          <w:sz w:val="24"/>
          <w:szCs w:val="24"/>
          <w:vertAlign w:val="superscript"/>
        </w:rPr>
        <w:t>]</w:t>
      </w:r>
      <w:r w:rsidR="002C4B5E" w:rsidRPr="000F1CB4">
        <w:rPr>
          <w:rFonts w:ascii="Book Antiqua" w:hAnsi="Book Antiqua"/>
          <w:sz w:val="24"/>
          <w:szCs w:val="24"/>
        </w:rPr>
        <w:t xml:space="preserve">. Overall, </w:t>
      </w:r>
      <w:r w:rsidR="002060F4" w:rsidRPr="000F1CB4">
        <w:rPr>
          <w:rFonts w:ascii="Book Antiqua" w:hAnsi="Book Antiqua"/>
          <w:sz w:val="24"/>
          <w:szCs w:val="24"/>
        </w:rPr>
        <w:t>several mechanisms underlying NASH-related HCC have been elucidated and pave the way for new therapeutic targets</w:t>
      </w:r>
      <w:r w:rsidR="002C4B5E" w:rsidRPr="000F1CB4">
        <w:rPr>
          <w:rFonts w:ascii="Book Antiqua" w:hAnsi="Book Antiqua"/>
          <w:sz w:val="24"/>
          <w:szCs w:val="24"/>
        </w:rPr>
        <w:t xml:space="preserve">. </w:t>
      </w:r>
    </w:p>
    <w:p w14:paraId="643717CE" w14:textId="77777777" w:rsidR="002C4B5E" w:rsidRPr="000F1CB4" w:rsidRDefault="002C4B5E" w:rsidP="000F1CB4">
      <w:pPr>
        <w:spacing w:after="0" w:line="360" w:lineRule="auto"/>
        <w:jc w:val="both"/>
        <w:rPr>
          <w:rFonts w:ascii="Book Antiqua" w:eastAsia="Calibri" w:hAnsi="Book Antiqua" w:cs="Times New Roman"/>
          <w:sz w:val="24"/>
          <w:szCs w:val="24"/>
        </w:rPr>
      </w:pPr>
    </w:p>
    <w:p w14:paraId="600CB8E0" w14:textId="1C3CA527" w:rsidR="00154A44" w:rsidRPr="000F1CB4" w:rsidRDefault="00C22041" w:rsidP="000F1CB4">
      <w:pPr>
        <w:spacing w:after="0" w:line="360" w:lineRule="auto"/>
        <w:jc w:val="both"/>
        <w:rPr>
          <w:rFonts w:ascii="Book Antiqua" w:eastAsia="Calibri" w:hAnsi="Book Antiqua" w:cs="Times New Roman"/>
          <w:b/>
          <w:sz w:val="24"/>
          <w:szCs w:val="24"/>
        </w:rPr>
      </w:pPr>
      <w:r w:rsidRPr="000F1CB4">
        <w:rPr>
          <w:rFonts w:ascii="Book Antiqua" w:eastAsia="Calibri" w:hAnsi="Book Antiqua" w:cs="Times New Roman"/>
          <w:b/>
          <w:sz w:val="24"/>
          <w:szCs w:val="24"/>
        </w:rPr>
        <w:t>SURVEILLANCE OF HCC</w:t>
      </w:r>
    </w:p>
    <w:p w14:paraId="631D5B6A" w14:textId="0A5C2FE1" w:rsidR="00154A44" w:rsidRPr="000F1CB4" w:rsidRDefault="00B859C8" w:rsidP="000F1CB4">
      <w:pPr>
        <w:spacing w:after="0" w:line="360" w:lineRule="auto"/>
        <w:jc w:val="both"/>
        <w:rPr>
          <w:rFonts w:ascii="Book Antiqua" w:eastAsia="Calibri" w:hAnsi="Book Antiqua" w:cs="Times New Roman"/>
          <w:sz w:val="24"/>
          <w:szCs w:val="24"/>
        </w:rPr>
      </w:pPr>
      <w:r w:rsidRPr="000F1CB4">
        <w:rPr>
          <w:rFonts w:ascii="Book Antiqua" w:eastAsia="Calibri" w:hAnsi="Book Antiqua" w:cs="Times New Roman"/>
          <w:sz w:val="24"/>
          <w:szCs w:val="24"/>
        </w:rPr>
        <w:t>The m</w:t>
      </w:r>
      <w:r w:rsidR="00154A44" w:rsidRPr="000F1CB4">
        <w:rPr>
          <w:rFonts w:ascii="Book Antiqua" w:eastAsia="Calibri" w:hAnsi="Book Antiqua" w:cs="Times New Roman"/>
          <w:sz w:val="24"/>
          <w:szCs w:val="24"/>
        </w:rPr>
        <w:t xml:space="preserve">ajority of cases of HCC occur in patients with known cirrhosis. </w:t>
      </w:r>
      <w:r w:rsidR="00C22041">
        <w:rPr>
          <w:rFonts w:ascii="Book Antiqua" w:eastAsia="Calibri" w:hAnsi="Book Antiqua" w:cs="Times New Roman"/>
          <w:sz w:val="24"/>
          <w:szCs w:val="24"/>
        </w:rPr>
        <w:t>United States</w:t>
      </w:r>
      <w:r w:rsidRPr="000F1CB4">
        <w:rPr>
          <w:rFonts w:ascii="Book Antiqua" w:eastAsia="Calibri" w:hAnsi="Book Antiqua" w:cs="Times New Roman"/>
          <w:sz w:val="24"/>
          <w:szCs w:val="24"/>
        </w:rPr>
        <w:t xml:space="preserve"> </w:t>
      </w:r>
      <w:r w:rsidR="005930C9" w:rsidRPr="000F1CB4">
        <w:rPr>
          <w:rFonts w:ascii="Book Antiqua" w:eastAsia="Calibri" w:hAnsi="Book Antiqua" w:cs="Times New Roman"/>
          <w:sz w:val="24"/>
          <w:szCs w:val="24"/>
        </w:rPr>
        <w:t>and European societies recommend r</w:t>
      </w:r>
      <w:r w:rsidR="00154A44" w:rsidRPr="000F1CB4">
        <w:rPr>
          <w:rFonts w:ascii="Book Antiqua" w:eastAsia="Calibri" w:hAnsi="Book Antiqua" w:cs="Times New Roman"/>
          <w:sz w:val="24"/>
          <w:szCs w:val="24"/>
        </w:rPr>
        <w:t xml:space="preserve">egular surveillance of HCC in cirrhotic patients on a semiannual </w:t>
      </w:r>
      <w:proofErr w:type="gramStart"/>
      <w:r w:rsidR="00154A44" w:rsidRPr="000F1CB4">
        <w:rPr>
          <w:rFonts w:ascii="Book Antiqua" w:eastAsia="Calibri" w:hAnsi="Book Antiqua" w:cs="Times New Roman"/>
          <w:sz w:val="24"/>
          <w:szCs w:val="24"/>
        </w:rPr>
        <w:t>basis</w:t>
      </w:r>
      <w:r w:rsidR="00C22041" w:rsidRPr="000F1CB4">
        <w:rPr>
          <w:rFonts w:ascii="Book Antiqua" w:eastAsia="Calibri" w:hAnsi="Book Antiqua" w:cs="Times New Roman"/>
          <w:sz w:val="24"/>
          <w:szCs w:val="24"/>
          <w:vertAlign w:val="superscript"/>
        </w:rPr>
        <w:t>[</w:t>
      </w:r>
      <w:proofErr w:type="gramEnd"/>
      <w:r w:rsidR="00C22041" w:rsidRPr="000F1CB4">
        <w:rPr>
          <w:rFonts w:ascii="Book Antiqua" w:eastAsia="Calibri" w:hAnsi="Book Antiqua" w:cs="Times New Roman"/>
          <w:sz w:val="24"/>
          <w:szCs w:val="24"/>
          <w:vertAlign w:val="superscript"/>
        </w:rPr>
        <w:t>3</w:t>
      </w:r>
      <w:r w:rsidR="00EF38CA">
        <w:rPr>
          <w:rFonts w:ascii="Book Antiqua" w:hAnsi="Book Antiqua" w:cs="Times New Roman" w:hint="eastAsia"/>
          <w:sz w:val="24"/>
          <w:szCs w:val="24"/>
          <w:vertAlign w:val="superscript"/>
          <w:lang w:eastAsia="zh-CN"/>
        </w:rPr>
        <w:t>2</w:t>
      </w:r>
      <w:r w:rsidR="00C22041">
        <w:rPr>
          <w:rFonts w:ascii="Book Antiqua" w:eastAsia="Calibri" w:hAnsi="Book Antiqua" w:cs="Times New Roman"/>
          <w:sz w:val="24"/>
          <w:szCs w:val="24"/>
          <w:vertAlign w:val="superscript"/>
        </w:rPr>
        <w:t>,</w:t>
      </w:r>
      <w:r w:rsidR="00C22041" w:rsidRPr="000F1CB4">
        <w:rPr>
          <w:rFonts w:ascii="Book Antiqua" w:eastAsia="Calibri" w:hAnsi="Book Antiqua" w:cs="Times New Roman"/>
          <w:sz w:val="24"/>
          <w:szCs w:val="24"/>
          <w:vertAlign w:val="superscript"/>
        </w:rPr>
        <w:t>3</w:t>
      </w:r>
      <w:r w:rsidR="00EF38CA">
        <w:rPr>
          <w:rFonts w:ascii="Book Antiqua" w:hAnsi="Book Antiqua" w:cs="Times New Roman" w:hint="eastAsia"/>
          <w:sz w:val="24"/>
          <w:szCs w:val="24"/>
          <w:vertAlign w:val="superscript"/>
          <w:lang w:eastAsia="zh-CN"/>
        </w:rPr>
        <w:t>3</w:t>
      </w:r>
      <w:r w:rsidR="00C22041" w:rsidRPr="000F1CB4">
        <w:rPr>
          <w:rFonts w:ascii="Book Antiqua" w:eastAsia="Calibri" w:hAnsi="Book Antiqua" w:cs="Times New Roman"/>
          <w:sz w:val="24"/>
          <w:szCs w:val="24"/>
          <w:vertAlign w:val="superscript"/>
        </w:rPr>
        <w:t>]</w:t>
      </w:r>
      <w:r w:rsidR="009A7172" w:rsidRPr="000F1CB4">
        <w:rPr>
          <w:rFonts w:ascii="Book Antiqua" w:eastAsia="Calibri" w:hAnsi="Book Antiqua" w:cs="Times New Roman"/>
          <w:sz w:val="24"/>
          <w:szCs w:val="24"/>
        </w:rPr>
        <w:t>.</w:t>
      </w:r>
      <w:r w:rsidR="00C64509" w:rsidRPr="000F1CB4">
        <w:rPr>
          <w:rFonts w:ascii="Book Antiqua" w:eastAsia="Calibri" w:hAnsi="Book Antiqua" w:cs="Times New Roman"/>
          <w:sz w:val="24"/>
          <w:szCs w:val="24"/>
          <w:vertAlign w:val="superscript"/>
        </w:rPr>
        <w:t xml:space="preserve"> </w:t>
      </w:r>
      <w:r w:rsidR="00154A44" w:rsidRPr="000F1CB4">
        <w:rPr>
          <w:rFonts w:ascii="Book Antiqua" w:eastAsia="Calibri" w:hAnsi="Book Antiqua" w:cs="Times New Roman"/>
          <w:sz w:val="24"/>
          <w:szCs w:val="24"/>
        </w:rPr>
        <w:t xml:space="preserve">Ultrasound is regarded </w:t>
      </w:r>
      <w:r w:rsidRPr="000F1CB4">
        <w:rPr>
          <w:rFonts w:ascii="Book Antiqua" w:eastAsia="Calibri" w:hAnsi="Book Antiqua" w:cs="Times New Roman"/>
          <w:sz w:val="24"/>
          <w:szCs w:val="24"/>
        </w:rPr>
        <w:t xml:space="preserve">as </w:t>
      </w:r>
      <w:r w:rsidR="00154A44" w:rsidRPr="000F1CB4">
        <w:rPr>
          <w:rFonts w:ascii="Book Antiqua" w:eastAsia="Calibri" w:hAnsi="Book Antiqua" w:cs="Times New Roman"/>
          <w:sz w:val="24"/>
          <w:szCs w:val="24"/>
        </w:rPr>
        <w:t xml:space="preserve">the most effective tool for regular </w:t>
      </w:r>
      <w:r w:rsidR="00154A44" w:rsidRPr="000F1CB4">
        <w:rPr>
          <w:rFonts w:ascii="Book Antiqua" w:eastAsia="Calibri" w:hAnsi="Book Antiqua" w:cs="Times New Roman"/>
          <w:sz w:val="24"/>
          <w:szCs w:val="24"/>
        </w:rPr>
        <w:lastRenderedPageBreak/>
        <w:t>surveillance</w:t>
      </w:r>
      <w:r w:rsidRPr="000F1CB4">
        <w:rPr>
          <w:rFonts w:ascii="Book Antiqua" w:eastAsia="Calibri" w:hAnsi="Book Antiqua" w:cs="Times New Roman"/>
          <w:sz w:val="24"/>
          <w:szCs w:val="24"/>
        </w:rPr>
        <w:t>,</w:t>
      </w:r>
      <w:r w:rsidR="00154A44" w:rsidRPr="000F1CB4">
        <w:rPr>
          <w:rFonts w:ascii="Book Antiqua" w:eastAsia="Calibri" w:hAnsi="Book Antiqua" w:cs="Times New Roman"/>
          <w:sz w:val="24"/>
          <w:szCs w:val="24"/>
        </w:rPr>
        <w:t xml:space="preserve"> while the role of AFP as a reliable tool for </w:t>
      </w:r>
      <w:r w:rsidR="00F83DFC" w:rsidRPr="000F1CB4">
        <w:rPr>
          <w:rFonts w:ascii="Book Antiqua" w:eastAsia="Calibri" w:hAnsi="Book Antiqua" w:cs="Times New Roman"/>
          <w:sz w:val="24"/>
          <w:szCs w:val="24"/>
        </w:rPr>
        <w:t xml:space="preserve">surveillance </w:t>
      </w:r>
      <w:r w:rsidR="00154A44" w:rsidRPr="000F1CB4">
        <w:rPr>
          <w:rFonts w:ascii="Book Antiqua" w:eastAsia="Calibri" w:hAnsi="Book Antiqua" w:cs="Times New Roman"/>
          <w:sz w:val="24"/>
          <w:szCs w:val="24"/>
        </w:rPr>
        <w:t xml:space="preserve">is still controversial due to high false positive and negative </w:t>
      </w:r>
      <w:proofErr w:type="gramStart"/>
      <w:r w:rsidR="00154A44" w:rsidRPr="000F1CB4">
        <w:rPr>
          <w:rFonts w:ascii="Book Antiqua" w:eastAsia="Calibri" w:hAnsi="Book Antiqua" w:cs="Times New Roman"/>
          <w:sz w:val="24"/>
          <w:szCs w:val="24"/>
        </w:rPr>
        <w:t>rates</w:t>
      </w:r>
      <w:r w:rsidR="00C22041" w:rsidRPr="000F1CB4">
        <w:rPr>
          <w:rFonts w:ascii="Book Antiqua" w:eastAsia="Calibri" w:hAnsi="Book Antiqua" w:cs="Times New Roman"/>
          <w:sz w:val="24"/>
          <w:szCs w:val="24"/>
          <w:vertAlign w:val="superscript"/>
        </w:rPr>
        <w:t>[</w:t>
      </w:r>
      <w:proofErr w:type="gramEnd"/>
      <w:r w:rsidR="00C22041" w:rsidRPr="000F1CB4">
        <w:rPr>
          <w:rFonts w:ascii="Book Antiqua" w:eastAsia="Calibri" w:hAnsi="Book Antiqua" w:cs="Times New Roman"/>
          <w:sz w:val="24"/>
          <w:szCs w:val="24"/>
          <w:vertAlign w:val="superscript"/>
        </w:rPr>
        <w:t>3</w:t>
      </w:r>
      <w:r w:rsidR="00EF38CA">
        <w:rPr>
          <w:rFonts w:ascii="Book Antiqua" w:hAnsi="Book Antiqua" w:cs="Times New Roman" w:hint="eastAsia"/>
          <w:sz w:val="24"/>
          <w:szCs w:val="24"/>
          <w:vertAlign w:val="superscript"/>
          <w:lang w:eastAsia="zh-CN"/>
        </w:rPr>
        <w:t>4</w:t>
      </w:r>
      <w:r w:rsidR="00C22041" w:rsidRPr="000F1CB4">
        <w:rPr>
          <w:rFonts w:ascii="Book Antiqua" w:eastAsia="Calibri" w:hAnsi="Book Antiqua" w:cs="Times New Roman"/>
          <w:sz w:val="24"/>
          <w:szCs w:val="24"/>
          <w:vertAlign w:val="superscript"/>
        </w:rPr>
        <w:t>]</w:t>
      </w:r>
      <w:r w:rsidR="00154A44" w:rsidRPr="000F1CB4">
        <w:rPr>
          <w:rFonts w:ascii="Book Antiqua" w:eastAsia="Calibri" w:hAnsi="Book Antiqua" w:cs="Times New Roman"/>
          <w:sz w:val="24"/>
          <w:szCs w:val="24"/>
        </w:rPr>
        <w:t xml:space="preserve">. Despite evidence of </w:t>
      </w:r>
      <w:r w:rsidRPr="000F1CB4">
        <w:rPr>
          <w:rFonts w:ascii="Book Antiqua" w:eastAsia="Calibri" w:hAnsi="Book Antiqua" w:cs="Times New Roman"/>
          <w:sz w:val="24"/>
          <w:szCs w:val="24"/>
        </w:rPr>
        <w:t xml:space="preserve">improved </w:t>
      </w:r>
      <w:r w:rsidR="00154A44" w:rsidRPr="000F1CB4">
        <w:rPr>
          <w:rFonts w:ascii="Book Antiqua" w:eastAsia="Calibri" w:hAnsi="Book Antiqua" w:cs="Times New Roman"/>
          <w:sz w:val="24"/>
          <w:szCs w:val="24"/>
        </w:rPr>
        <w:t xml:space="preserve">survival among patients </w:t>
      </w:r>
      <w:r w:rsidR="00386666" w:rsidRPr="000F1CB4">
        <w:rPr>
          <w:rFonts w:ascii="Book Antiqua" w:eastAsia="Calibri" w:hAnsi="Book Antiqua" w:cs="Times New Roman"/>
          <w:sz w:val="24"/>
          <w:szCs w:val="24"/>
        </w:rPr>
        <w:t>who underwent regular surveillance</w:t>
      </w:r>
      <w:r w:rsidR="00154A44" w:rsidRPr="000F1CB4">
        <w:rPr>
          <w:rFonts w:ascii="Book Antiqua" w:eastAsia="Calibri" w:hAnsi="Book Antiqua" w:cs="Times New Roman"/>
          <w:sz w:val="24"/>
          <w:szCs w:val="24"/>
        </w:rPr>
        <w:t xml:space="preserve"> for </w:t>
      </w:r>
      <w:proofErr w:type="gramStart"/>
      <w:r w:rsidR="00154A44" w:rsidRPr="000F1CB4">
        <w:rPr>
          <w:rFonts w:ascii="Book Antiqua" w:eastAsia="Calibri" w:hAnsi="Book Antiqua" w:cs="Times New Roman"/>
          <w:sz w:val="24"/>
          <w:szCs w:val="24"/>
        </w:rPr>
        <w:t>HCC</w:t>
      </w:r>
      <w:r w:rsidR="00C22041" w:rsidRPr="000F1CB4">
        <w:rPr>
          <w:rFonts w:ascii="Book Antiqua" w:eastAsia="Calibri" w:hAnsi="Book Antiqua" w:cs="Times New Roman"/>
          <w:sz w:val="24"/>
          <w:szCs w:val="24"/>
          <w:vertAlign w:val="superscript"/>
        </w:rPr>
        <w:t>[</w:t>
      </w:r>
      <w:proofErr w:type="gramEnd"/>
      <w:r w:rsidR="00C22041" w:rsidRPr="000F1CB4">
        <w:rPr>
          <w:rFonts w:ascii="Book Antiqua" w:eastAsia="Calibri" w:hAnsi="Book Antiqua" w:cs="Times New Roman"/>
          <w:sz w:val="24"/>
          <w:szCs w:val="24"/>
          <w:vertAlign w:val="superscript"/>
        </w:rPr>
        <w:t>3</w:t>
      </w:r>
      <w:r w:rsidR="00EF38CA">
        <w:rPr>
          <w:rFonts w:ascii="Book Antiqua" w:hAnsi="Book Antiqua" w:cs="Times New Roman" w:hint="eastAsia"/>
          <w:sz w:val="24"/>
          <w:szCs w:val="24"/>
          <w:vertAlign w:val="superscript"/>
          <w:lang w:eastAsia="zh-CN"/>
        </w:rPr>
        <w:t>5</w:t>
      </w:r>
      <w:r w:rsidR="00C22041" w:rsidRPr="000F1CB4">
        <w:rPr>
          <w:rFonts w:ascii="Book Antiqua" w:eastAsia="Calibri" w:hAnsi="Book Antiqua" w:cs="Times New Roman"/>
          <w:sz w:val="24"/>
          <w:szCs w:val="24"/>
          <w:vertAlign w:val="superscript"/>
        </w:rPr>
        <w:t>]</w:t>
      </w:r>
      <w:r w:rsidR="00154A44" w:rsidRPr="000F1CB4">
        <w:rPr>
          <w:rFonts w:ascii="Book Antiqua" w:eastAsia="Calibri" w:hAnsi="Book Antiqua" w:cs="Times New Roman"/>
          <w:sz w:val="24"/>
          <w:szCs w:val="24"/>
        </w:rPr>
        <w:t xml:space="preserve">, </w:t>
      </w:r>
      <w:r w:rsidR="003628DE" w:rsidRPr="000F1CB4">
        <w:rPr>
          <w:rFonts w:ascii="Book Antiqua" w:eastAsia="Calibri" w:hAnsi="Book Antiqua" w:cs="Times New Roman"/>
          <w:sz w:val="24"/>
          <w:szCs w:val="24"/>
        </w:rPr>
        <w:t xml:space="preserve">Davila </w:t>
      </w:r>
      <w:r w:rsidR="003628DE" w:rsidRPr="00C22041">
        <w:rPr>
          <w:rFonts w:ascii="Book Antiqua" w:eastAsia="Calibri" w:hAnsi="Book Antiqua" w:cs="Times New Roman"/>
          <w:i/>
          <w:sz w:val="24"/>
          <w:szCs w:val="24"/>
        </w:rPr>
        <w:t>et al</w:t>
      </w:r>
      <w:r w:rsidR="00C22041" w:rsidRPr="000F1CB4">
        <w:rPr>
          <w:rFonts w:ascii="Book Antiqua" w:eastAsia="Calibri" w:hAnsi="Book Antiqua" w:cs="Times New Roman"/>
          <w:sz w:val="24"/>
          <w:szCs w:val="24"/>
          <w:vertAlign w:val="superscript"/>
        </w:rPr>
        <w:t>[3</w:t>
      </w:r>
      <w:r w:rsidR="00EF38CA">
        <w:rPr>
          <w:rFonts w:ascii="Book Antiqua" w:hAnsi="Book Antiqua" w:cs="Times New Roman" w:hint="eastAsia"/>
          <w:sz w:val="24"/>
          <w:szCs w:val="24"/>
          <w:vertAlign w:val="superscript"/>
          <w:lang w:eastAsia="zh-CN"/>
        </w:rPr>
        <w:t>6</w:t>
      </w:r>
      <w:r w:rsidR="00C22041" w:rsidRPr="000F1CB4">
        <w:rPr>
          <w:rFonts w:ascii="Book Antiqua" w:eastAsia="Calibri" w:hAnsi="Book Antiqua" w:cs="Times New Roman"/>
          <w:sz w:val="24"/>
          <w:szCs w:val="24"/>
          <w:vertAlign w:val="superscript"/>
        </w:rPr>
        <w:t>]</w:t>
      </w:r>
      <w:r w:rsidR="003628DE" w:rsidRPr="000F1CB4">
        <w:rPr>
          <w:rFonts w:ascii="Book Antiqua" w:eastAsia="Calibri" w:hAnsi="Book Antiqua" w:cs="Times New Roman"/>
          <w:sz w:val="24"/>
          <w:szCs w:val="24"/>
        </w:rPr>
        <w:t xml:space="preserve"> suggests that </w:t>
      </w:r>
      <w:r w:rsidR="00154A44" w:rsidRPr="000F1CB4">
        <w:rPr>
          <w:rFonts w:ascii="Book Antiqua" w:eastAsia="Calibri" w:hAnsi="Book Antiqua" w:cs="Times New Roman"/>
          <w:sz w:val="24"/>
          <w:szCs w:val="24"/>
        </w:rPr>
        <w:t>the</w:t>
      </w:r>
      <w:r w:rsidR="003628DE" w:rsidRPr="000F1CB4">
        <w:rPr>
          <w:rFonts w:ascii="Book Antiqua" w:eastAsia="Calibri" w:hAnsi="Book Antiqua" w:cs="Times New Roman"/>
          <w:sz w:val="24"/>
          <w:szCs w:val="24"/>
        </w:rPr>
        <w:t xml:space="preserve"> actual</w:t>
      </w:r>
      <w:r w:rsidR="00154A44" w:rsidRPr="000F1CB4">
        <w:rPr>
          <w:rFonts w:ascii="Book Antiqua" w:eastAsia="Calibri" w:hAnsi="Book Antiqua" w:cs="Times New Roman"/>
          <w:sz w:val="24"/>
          <w:szCs w:val="24"/>
        </w:rPr>
        <w:t xml:space="preserve"> implementation of HCC </w:t>
      </w:r>
      <w:r w:rsidR="00F83DFC" w:rsidRPr="000F1CB4">
        <w:rPr>
          <w:rFonts w:ascii="Book Antiqua" w:eastAsia="Calibri" w:hAnsi="Book Antiqua" w:cs="Times New Roman"/>
          <w:sz w:val="24"/>
          <w:szCs w:val="24"/>
        </w:rPr>
        <w:t>surveillance</w:t>
      </w:r>
      <w:r w:rsidRPr="000F1CB4">
        <w:rPr>
          <w:rFonts w:ascii="Book Antiqua" w:eastAsia="Calibri" w:hAnsi="Book Antiqua" w:cs="Times New Roman"/>
          <w:sz w:val="24"/>
          <w:szCs w:val="24"/>
        </w:rPr>
        <w:t xml:space="preserve"> </w:t>
      </w:r>
      <w:r w:rsidR="00154A44" w:rsidRPr="000F1CB4">
        <w:rPr>
          <w:rFonts w:ascii="Book Antiqua" w:eastAsia="Calibri" w:hAnsi="Book Antiqua" w:cs="Times New Roman"/>
          <w:sz w:val="24"/>
          <w:szCs w:val="24"/>
        </w:rPr>
        <w:t xml:space="preserve">in </w:t>
      </w:r>
      <w:r w:rsidR="003628DE" w:rsidRPr="000F1CB4">
        <w:rPr>
          <w:rFonts w:ascii="Book Antiqua" w:eastAsia="Calibri" w:hAnsi="Book Antiqua" w:cs="Times New Roman"/>
          <w:sz w:val="24"/>
          <w:szCs w:val="24"/>
        </w:rPr>
        <w:t xml:space="preserve">the </w:t>
      </w:r>
      <w:r w:rsidR="00154A44" w:rsidRPr="000F1CB4">
        <w:rPr>
          <w:rFonts w:ascii="Book Antiqua" w:eastAsia="Calibri" w:hAnsi="Book Antiqua" w:cs="Times New Roman"/>
          <w:sz w:val="24"/>
          <w:szCs w:val="24"/>
        </w:rPr>
        <w:t xml:space="preserve">cirrhotic patient population is inadequate. </w:t>
      </w:r>
      <w:r w:rsidR="00AD2910" w:rsidRPr="000F1CB4">
        <w:rPr>
          <w:rFonts w:ascii="Book Antiqua" w:eastAsia="Calibri" w:hAnsi="Book Antiqua" w:cs="Times New Roman"/>
          <w:sz w:val="24"/>
          <w:szCs w:val="24"/>
        </w:rPr>
        <w:t xml:space="preserve">Davila </w:t>
      </w:r>
      <w:r w:rsidR="00C22041" w:rsidRPr="00C22041">
        <w:rPr>
          <w:rFonts w:ascii="Book Antiqua" w:eastAsia="Calibri" w:hAnsi="Book Antiqua" w:cs="Times New Roman"/>
          <w:i/>
          <w:sz w:val="24"/>
          <w:szCs w:val="24"/>
        </w:rPr>
        <w:t xml:space="preserve">et </w:t>
      </w:r>
      <w:proofErr w:type="gramStart"/>
      <w:r w:rsidR="00C22041" w:rsidRPr="00C22041">
        <w:rPr>
          <w:rFonts w:ascii="Book Antiqua" w:eastAsia="Calibri" w:hAnsi="Book Antiqua" w:cs="Times New Roman"/>
          <w:i/>
          <w:sz w:val="24"/>
          <w:szCs w:val="24"/>
        </w:rPr>
        <w:t>al</w:t>
      </w:r>
      <w:r w:rsidR="00C22041" w:rsidRPr="000F1CB4">
        <w:rPr>
          <w:rFonts w:ascii="Book Antiqua" w:eastAsia="Calibri" w:hAnsi="Book Antiqua" w:cs="Times New Roman"/>
          <w:sz w:val="24"/>
          <w:szCs w:val="24"/>
          <w:vertAlign w:val="superscript"/>
        </w:rPr>
        <w:t>[</w:t>
      </w:r>
      <w:proofErr w:type="gramEnd"/>
      <w:r w:rsidR="00C22041" w:rsidRPr="000F1CB4">
        <w:rPr>
          <w:rFonts w:ascii="Book Antiqua" w:eastAsia="Calibri" w:hAnsi="Book Antiqua" w:cs="Times New Roman"/>
          <w:sz w:val="24"/>
          <w:szCs w:val="24"/>
          <w:vertAlign w:val="superscript"/>
        </w:rPr>
        <w:t>3</w:t>
      </w:r>
      <w:r w:rsidR="00EF38CA">
        <w:rPr>
          <w:rFonts w:ascii="Book Antiqua" w:hAnsi="Book Antiqua" w:cs="Times New Roman" w:hint="eastAsia"/>
          <w:sz w:val="24"/>
          <w:szCs w:val="24"/>
          <w:vertAlign w:val="superscript"/>
          <w:lang w:eastAsia="zh-CN"/>
        </w:rPr>
        <w:t>6</w:t>
      </w:r>
      <w:r w:rsidR="00C22041" w:rsidRPr="000F1CB4">
        <w:rPr>
          <w:rFonts w:ascii="Book Antiqua" w:eastAsia="Calibri" w:hAnsi="Book Antiqua" w:cs="Times New Roman"/>
          <w:sz w:val="24"/>
          <w:szCs w:val="24"/>
          <w:vertAlign w:val="superscript"/>
        </w:rPr>
        <w:t>]</w:t>
      </w:r>
      <w:r w:rsidR="00AD2910" w:rsidRPr="000F1CB4">
        <w:rPr>
          <w:rFonts w:ascii="Book Antiqua" w:eastAsia="Calibri" w:hAnsi="Book Antiqua" w:cs="Times New Roman"/>
          <w:sz w:val="24"/>
          <w:szCs w:val="24"/>
        </w:rPr>
        <w:t xml:space="preserve"> utilized </w:t>
      </w:r>
      <w:r w:rsidR="00154A44" w:rsidRPr="000F1CB4">
        <w:rPr>
          <w:rFonts w:ascii="Book Antiqua" w:eastAsia="Calibri" w:hAnsi="Book Antiqua" w:cs="Times New Roman"/>
          <w:sz w:val="24"/>
          <w:szCs w:val="24"/>
        </w:rPr>
        <w:t xml:space="preserve">Medicare databases to identify 1873 HCC patients with underlying cirrhosis </w:t>
      </w:r>
      <w:r w:rsidR="00AD2910" w:rsidRPr="000F1CB4">
        <w:rPr>
          <w:rFonts w:ascii="Book Antiqua" w:eastAsia="Calibri" w:hAnsi="Book Antiqua" w:cs="Times New Roman"/>
          <w:sz w:val="24"/>
          <w:szCs w:val="24"/>
        </w:rPr>
        <w:t xml:space="preserve">between </w:t>
      </w:r>
      <w:r w:rsidR="00154A44" w:rsidRPr="000F1CB4">
        <w:rPr>
          <w:rFonts w:ascii="Book Antiqua" w:eastAsia="Calibri" w:hAnsi="Book Antiqua" w:cs="Times New Roman"/>
          <w:sz w:val="24"/>
          <w:szCs w:val="24"/>
        </w:rPr>
        <w:t>1994</w:t>
      </w:r>
      <w:r w:rsidR="00AD2910" w:rsidRPr="000F1CB4">
        <w:rPr>
          <w:rFonts w:ascii="Book Antiqua" w:eastAsia="Calibri" w:hAnsi="Book Antiqua" w:cs="Times New Roman"/>
          <w:sz w:val="24"/>
          <w:szCs w:val="24"/>
        </w:rPr>
        <w:t xml:space="preserve"> and </w:t>
      </w:r>
      <w:r w:rsidR="00154A44" w:rsidRPr="000F1CB4">
        <w:rPr>
          <w:rFonts w:ascii="Book Antiqua" w:eastAsia="Calibri" w:hAnsi="Book Antiqua" w:cs="Times New Roman"/>
          <w:sz w:val="24"/>
          <w:szCs w:val="24"/>
        </w:rPr>
        <w:t>2002</w:t>
      </w:r>
      <w:r w:rsidR="00AD2910" w:rsidRPr="000F1CB4">
        <w:rPr>
          <w:rFonts w:ascii="Book Antiqua" w:eastAsia="Calibri" w:hAnsi="Book Antiqua" w:cs="Times New Roman"/>
          <w:sz w:val="24"/>
          <w:szCs w:val="24"/>
        </w:rPr>
        <w:t xml:space="preserve"> and not</w:t>
      </w:r>
      <w:r w:rsidR="00154A44" w:rsidRPr="000F1CB4">
        <w:rPr>
          <w:rFonts w:ascii="Book Antiqua" w:eastAsia="Calibri" w:hAnsi="Book Antiqua" w:cs="Times New Roman"/>
          <w:sz w:val="24"/>
          <w:szCs w:val="24"/>
        </w:rPr>
        <w:t xml:space="preserve">ed that among these patients only 17% received regular </w:t>
      </w:r>
      <w:r w:rsidR="00F83DFC" w:rsidRPr="000F1CB4">
        <w:rPr>
          <w:rFonts w:ascii="Book Antiqua" w:eastAsia="Calibri" w:hAnsi="Book Antiqua" w:cs="Times New Roman"/>
          <w:sz w:val="24"/>
          <w:szCs w:val="24"/>
        </w:rPr>
        <w:t>surveillance</w:t>
      </w:r>
      <w:r w:rsidR="00AD2910" w:rsidRPr="000F1CB4">
        <w:rPr>
          <w:rFonts w:ascii="Book Antiqua" w:eastAsia="Calibri" w:hAnsi="Book Antiqua" w:cs="Times New Roman"/>
          <w:sz w:val="24"/>
          <w:szCs w:val="24"/>
        </w:rPr>
        <w:t xml:space="preserve">, </w:t>
      </w:r>
      <w:r w:rsidR="00154A44" w:rsidRPr="000F1CB4">
        <w:rPr>
          <w:rFonts w:ascii="Book Antiqua" w:eastAsia="Calibri" w:hAnsi="Book Antiqua" w:cs="Times New Roman"/>
          <w:sz w:val="24"/>
          <w:szCs w:val="24"/>
        </w:rPr>
        <w:t>while 38% received inconsistent surveillance prior to the diagnosis of HCC. Moreover</w:t>
      </w:r>
      <w:r w:rsidR="0002319C" w:rsidRPr="000F1CB4">
        <w:rPr>
          <w:rFonts w:ascii="Book Antiqua" w:eastAsia="Calibri" w:hAnsi="Book Antiqua" w:cs="Times New Roman"/>
          <w:sz w:val="24"/>
          <w:szCs w:val="24"/>
        </w:rPr>
        <w:t>,</w:t>
      </w:r>
      <w:r w:rsidR="00154A44" w:rsidRPr="000F1CB4">
        <w:rPr>
          <w:rFonts w:ascii="Book Antiqua" w:eastAsia="Calibri" w:hAnsi="Book Antiqua" w:cs="Times New Roman"/>
          <w:sz w:val="24"/>
          <w:szCs w:val="24"/>
        </w:rPr>
        <w:t xml:space="preserve"> among all patients who received regular surveillance</w:t>
      </w:r>
      <w:r w:rsidR="0002319C" w:rsidRPr="000F1CB4">
        <w:rPr>
          <w:rFonts w:ascii="Book Antiqua" w:eastAsia="Calibri" w:hAnsi="Book Antiqua" w:cs="Times New Roman"/>
          <w:sz w:val="24"/>
          <w:szCs w:val="24"/>
        </w:rPr>
        <w:t>,</w:t>
      </w:r>
      <w:r w:rsidR="00154A44" w:rsidRPr="000F1CB4">
        <w:rPr>
          <w:rFonts w:ascii="Book Antiqua" w:eastAsia="Calibri" w:hAnsi="Book Antiqua" w:cs="Times New Roman"/>
          <w:sz w:val="24"/>
          <w:szCs w:val="24"/>
        </w:rPr>
        <w:t xml:space="preserve"> 52% </w:t>
      </w:r>
      <w:r w:rsidR="00F83DFC" w:rsidRPr="000F1CB4">
        <w:rPr>
          <w:rFonts w:ascii="Book Antiqua" w:eastAsia="Calibri" w:hAnsi="Book Antiqua" w:cs="Times New Roman"/>
          <w:sz w:val="24"/>
          <w:szCs w:val="24"/>
        </w:rPr>
        <w:t>had</w:t>
      </w:r>
      <w:r w:rsidR="00154A44" w:rsidRPr="000F1CB4">
        <w:rPr>
          <w:rFonts w:ascii="Book Antiqua" w:eastAsia="Calibri" w:hAnsi="Book Antiqua" w:cs="Times New Roman"/>
          <w:sz w:val="24"/>
          <w:szCs w:val="24"/>
        </w:rPr>
        <w:t xml:space="preserve"> ultrasound and AFP levels, 2% received ultrasound only</w:t>
      </w:r>
      <w:r w:rsidR="00386666" w:rsidRPr="000F1CB4">
        <w:rPr>
          <w:rFonts w:ascii="Book Antiqua" w:eastAsia="Calibri" w:hAnsi="Book Antiqua" w:cs="Times New Roman"/>
          <w:sz w:val="24"/>
          <w:szCs w:val="24"/>
        </w:rPr>
        <w:t xml:space="preserve">, </w:t>
      </w:r>
      <w:r w:rsidR="00F83DFC" w:rsidRPr="000F1CB4">
        <w:rPr>
          <w:rFonts w:ascii="Book Antiqua" w:eastAsia="Calibri" w:hAnsi="Book Antiqua" w:cs="Times New Roman"/>
          <w:sz w:val="24"/>
          <w:szCs w:val="24"/>
        </w:rPr>
        <w:t xml:space="preserve">and 46% were monitored with </w:t>
      </w:r>
      <w:r w:rsidR="00154A44" w:rsidRPr="000F1CB4">
        <w:rPr>
          <w:rFonts w:ascii="Book Antiqua" w:eastAsia="Calibri" w:hAnsi="Book Antiqua" w:cs="Times New Roman"/>
          <w:sz w:val="24"/>
          <w:szCs w:val="24"/>
        </w:rPr>
        <w:t>AFP level</w:t>
      </w:r>
      <w:r w:rsidR="00386666" w:rsidRPr="000F1CB4">
        <w:rPr>
          <w:rFonts w:ascii="Book Antiqua" w:eastAsia="Calibri" w:hAnsi="Book Antiqua" w:cs="Times New Roman"/>
          <w:sz w:val="24"/>
          <w:szCs w:val="24"/>
        </w:rPr>
        <w:t xml:space="preserve"> only. Disparities were noted </w:t>
      </w:r>
      <w:r w:rsidR="00F83DFC" w:rsidRPr="000F1CB4">
        <w:rPr>
          <w:rFonts w:ascii="Book Antiqua" w:eastAsia="Calibri" w:hAnsi="Book Antiqua" w:cs="Times New Roman"/>
          <w:sz w:val="24"/>
          <w:szCs w:val="24"/>
        </w:rPr>
        <w:t>in surveillance, with a</w:t>
      </w:r>
      <w:r w:rsidR="00154A44" w:rsidRPr="000F1CB4">
        <w:rPr>
          <w:rFonts w:ascii="Book Antiqua" w:eastAsia="Calibri" w:hAnsi="Book Antiqua" w:cs="Times New Roman"/>
          <w:sz w:val="24"/>
          <w:szCs w:val="24"/>
        </w:rPr>
        <w:t xml:space="preserve">ffluent patients </w:t>
      </w:r>
      <w:r w:rsidR="00F83DFC" w:rsidRPr="000F1CB4">
        <w:rPr>
          <w:rFonts w:ascii="Book Antiqua" w:eastAsia="Calibri" w:hAnsi="Book Antiqua" w:cs="Times New Roman"/>
          <w:sz w:val="24"/>
          <w:szCs w:val="24"/>
        </w:rPr>
        <w:t xml:space="preserve">and </w:t>
      </w:r>
      <w:r w:rsidR="00154A44" w:rsidRPr="000F1CB4">
        <w:rPr>
          <w:rFonts w:ascii="Book Antiqua" w:eastAsia="Calibri" w:hAnsi="Book Antiqua" w:cs="Times New Roman"/>
          <w:sz w:val="24"/>
          <w:szCs w:val="24"/>
        </w:rPr>
        <w:t>patients with higher education</w:t>
      </w:r>
      <w:r w:rsidR="00F83DFC" w:rsidRPr="000F1CB4">
        <w:rPr>
          <w:rFonts w:ascii="Book Antiqua" w:eastAsia="Calibri" w:hAnsi="Book Antiqua" w:cs="Times New Roman"/>
          <w:sz w:val="24"/>
          <w:szCs w:val="24"/>
        </w:rPr>
        <w:t xml:space="preserve"> at increased likelihood of receiving</w:t>
      </w:r>
      <w:r w:rsidR="00154A44" w:rsidRPr="000F1CB4">
        <w:rPr>
          <w:rFonts w:ascii="Book Antiqua" w:eastAsia="Calibri" w:hAnsi="Book Antiqua" w:cs="Times New Roman"/>
          <w:sz w:val="24"/>
          <w:szCs w:val="24"/>
        </w:rPr>
        <w:t xml:space="preserve"> regular surveillance</w:t>
      </w:r>
      <w:r w:rsidR="00F83DFC" w:rsidRPr="000F1CB4">
        <w:rPr>
          <w:rFonts w:ascii="Book Antiqua" w:eastAsia="Calibri" w:hAnsi="Book Antiqua" w:cs="Times New Roman"/>
          <w:sz w:val="24"/>
          <w:szCs w:val="24"/>
        </w:rPr>
        <w:t xml:space="preserve">. </w:t>
      </w:r>
      <w:r w:rsidR="00455B78" w:rsidRPr="000F1CB4">
        <w:rPr>
          <w:rFonts w:ascii="Book Antiqua" w:eastAsia="Calibri" w:hAnsi="Book Antiqua" w:cs="Times New Roman"/>
          <w:sz w:val="24"/>
          <w:szCs w:val="24"/>
        </w:rPr>
        <w:t>Future s</w:t>
      </w:r>
      <w:r w:rsidR="00154A44" w:rsidRPr="000F1CB4">
        <w:rPr>
          <w:rFonts w:ascii="Book Antiqua" w:eastAsia="Calibri" w:hAnsi="Book Antiqua" w:cs="Times New Roman"/>
          <w:sz w:val="24"/>
          <w:szCs w:val="24"/>
        </w:rPr>
        <w:t xml:space="preserve">tudies would be helpful </w:t>
      </w:r>
      <w:r w:rsidR="00455B78" w:rsidRPr="000F1CB4">
        <w:rPr>
          <w:rFonts w:ascii="Book Antiqua" w:eastAsia="Calibri" w:hAnsi="Book Antiqua" w:cs="Times New Roman"/>
          <w:sz w:val="24"/>
          <w:szCs w:val="24"/>
        </w:rPr>
        <w:t xml:space="preserve">to explore </w:t>
      </w:r>
      <w:r w:rsidR="000A4B41" w:rsidRPr="000F1CB4">
        <w:rPr>
          <w:rFonts w:ascii="Book Antiqua" w:eastAsia="Calibri" w:hAnsi="Book Antiqua" w:cs="Times New Roman"/>
          <w:sz w:val="24"/>
          <w:szCs w:val="24"/>
        </w:rPr>
        <w:t>whether on-time</w:t>
      </w:r>
      <w:r w:rsidR="00154A44" w:rsidRPr="000F1CB4">
        <w:rPr>
          <w:rFonts w:ascii="Book Antiqua" w:eastAsia="Calibri" w:hAnsi="Book Antiqua" w:cs="Times New Roman"/>
          <w:sz w:val="24"/>
          <w:szCs w:val="24"/>
        </w:rPr>
        <w:t xml:space="preserve"> </w:t>
      </w:r>
      <w:r w:rsidR="00455B78" w:rsidRPr="000F1CB4">
        <w:rPr>
          <w:rFonts w:ascii="Book Antiqua" w:eastAsia="Calibri" w:hAnsi="Book Antiqua" w:cs="Times New Roman"/>
          <w:sz w:val="24"/>
          <w:szCs w:val="24"/>
        </w:rPr>
        <w:t xml:space="preserve">HCC </w:t>
      </w:r>
      <w:r w:rsidR="00154A44" w:rsidRPr="000F1CB4">
        <w:rPr>
          <w:rFonts w:ascii="Book Antiqua" w:eastAsia="Calibri" w:hAnsi="Book Antiqua" w:cs="Times New Roman"/>
          <w:sz w:val="24"/>
          <w:szCs w:val="24"/>
        </w:rPr>
        <w:t xml:space="preserve">surveillance in NASH patients would be effective </w:t>
      </w:r>
      <w:r w:rsidR="00455B78" w:rsidRPr="000F1CB4">
        <w:rPr>
          <w:rFonts w:ascii="Book Antiqua" w:eastAsia="Calibri" w:hAnsi="Book Antiqua" w:cs="Times New Roman"/>
          <w:sz w:val="24"/>
          <w:szCs w:val="24"/>
        </w:rPr>
        <w:t>in decreasing morbidity and mortality from the disease.</w:t>
      </w:r>
    </w:p>
    <w:p w14:paraId="7848DCE0" w14:textId="77777777" w:rsidR="000A4B41" w:rsidRPr="000F1CB4" w:rsidRDefault="000A4B41" w:rsidP="000F1CB4">
      <w:pPr>
        <w:spacing w:after="0" w:line="360" w:lineRule="auto"/>
        <w:jc w:val="both"/>
        <w:rPr>
          <w:rFonts w:ascii="Book Antiqua" w:eastAsia="Calibri" w:hAnsi="Book Antiqua" w:cs="Times New Roman"/>
          <w:b/>
          <w:sz w:val="24"/>
          <w:szCs w:val="24"/>
        </w:rPr>
      </w:pPr>
    </w:p>
    <w:p w14:paraId="1E4E88BE" w14:textId="0D67960B" w:rsidR="00154A44" w:rsidRPr="000F1CB4" w:rsidRDefault="00C22041" w:rsidP="000F1CB4">
      <w:pPr>
        <w:spacing w:after="0" w:line="360" w:lineRule="auto"/>
        <w:jc w:val="both"/>
        <w:rPr>
          <w:rFonts w:ascii="Book Antiqua" w:eastAsia="Calibri" w:hAnsi="Book Antiqua" w:cs="Times New Roman"/>
          <w:b/>
          <w:sz w:val="24"/>
          <w:szCs w:val="24"/>
        </w:rPr>
      </w:pPr>
      <w:r w:rsidRPr="000F1CB4">
        <w:rPr>
          <w:rFonts w:ascii="Book Antiqua" w:eastAsia="Calibri" w:hAnsi="Book Antiqua" w:cs="Times New Roman"/>
          <w:b/>
          <w:sz w:val="24"/>
          <w:szCs w:val="24"/>
        </w:rPr>
        <w:t>CONCLUSION</w:t>
      </w:r>
    </w:p>
    <w:p w14:paraId="45E0B52B" w14:textId="7425118A" w:rsidR="00154A44" w:rsidRPr="000F1CB4" w:rsidRDefault="00154A44" w:rsidP="000F1CB4">
      <w:pPr>
        <w:spacing w:after="0" w:line="360" w:lineRule="auto"/>
        <w:jc w:val="both"/>
        <w:rPr>
          <w:rFonts w:ascii="Book Antiqua" w:eastAsia="Calibri" w:hAnsi="Book Antiqua" w:cs="Times New Roman"/>
          <w:sz w:val="24"/>
          <w:szCs w:val="24"/>
        </w:rPr>
      </w:pPr>
      <w:r w:rsidRPr="000F1CB4">
        <w:rPr>
          <w:rFonts w:ascii="Book Antiqua" w:eastAsia="Calibri" w:hAnsi="Book Antiqua" w:cs="Times New Roman"/>
          <w:sz w:val="24"/>
          <w:szCs w:val="24"/>
        </w:rPr>
        <w:t>Despi</w:t>
      </w:r>
      <w:r w:rsidR="0093742F" w:rsidRPr="000F1CB4">
        <w:rPr>
          <w:rFonts w:ascii="Book Antiqua" w:eastAsia="Calibri" w:hAnsi="Book Antiqua" w:cs="Times New Roman"/>
          <w:sz w:val="24"/>
          <w:szCs w:val="24"/>
        </w:rPr>
        <w:t>te several gaps in our</w:t>
      </w:r>
      <w:r w:rsidRPr="000F1CB4">
        <w:rPr>
          <w:rFonts w:ascii="Book Antiqua" w:eastAsia="Calibri" w:hAnsi="Book Antiqua" w:cs="Times New Roman"/>
          <w:sz w:val="24"/>
          <w:szCs w:val="24"/>
        </w:rPr>
        <w:t xml:space="preserve"> current knowledge of NAFL</w:t>
      </w:r>
      <w:r w:rsidR="000A4B41" w:rsidRPr="000F1CB4">
        <w:rPr>
          <w:rFonts w:ascii="Book Antiqua" w:eastAsia="Calibri" w:hAnsi="Book Antiqua" w:cs="Times New Roman"/>
          <w:sz w:val="24"/>
          <w:szCs w:val="24"/>
        </w:rPr>
        <w:t xml:space="preserve">D and NASH, the increasing </w:t>
      </w:r>
      <w:r w:rsidRPr="000F1CB4">
        <w:rPr>
          <w:rFonts w:ascii="Book Antiqua" w:eastAsia="Calibri" w:hAnsi="Book Antiqua" w:cs="Times New Roman"/>
          <w:sz w:val="24"/>
          <w:szCs w:val="24"/>
        </w:rPr>
        <w:t xml:space="preserve">prevalence of NASH </w:t>
      </w:r>
      <w:r w:rsidR="000A4B41" w:rsidRPr="000F1CB4">
        <w:rPr>
          <w:rFonts w:ascii="Book Antiqua" w:eastAsia="Calibri" w:hAnsi="Book Antiqua" w:cs="Times New Roman"/>
          <w:sz w:val="24"/>
          <w:szCs w:val="24"/>
        </w:rPr>
        <w:t xml:space="preserve">is partly responsible for the </w:t>
      </w:r>
      <w:r w:rsidR="004B6B52" w:rsidRPr="000F1CB4">
        <w:rPr>
          <w:rFonts w:ascii="Book Antiqua" w:eastAsia="Calibri" w:hAnsi="Book Antiqua" w:cs="Times New Roman"/>
          <w:sz w:val="24"/>
          <w:szCs w:val="24"/>
        </w:rPr>
        <w:t>current growth in HCC incidence</w:t>
      </w:r>
      <w:r w:rsidRPr="000F1CB4">
        <w:rPr>
          <w:rFonts w:ascii="Book Antiqua" w:eastAsia="Calibri" w:hAnsi="Book Antiqua" w:cs="Times New Roman"/>
          <w:sz w:val="24"/>
          <w:szCs w:val="24"/>
        </w:rPr>
        <w:t xml:space="preserve">. </w:t>
      </w:r>
      <w:proofErr w:type="spellStart"/>
      <w:r w:rsidRPr="000F1CB4">
        <w:rPr>
          <w:rFonts w:ascii="Book Antiqua" w:eastAsia="Calibri" w:hAnsi="Book Antiqua" w:cs="Times New Roman"/>
          <w:sz w:val="24"/>
          <w:szCs w:val="24"/>
        </w:rPr>
        <w:t>Ascha</w:t>
      </w:r>
      <w:proofErr w:type="spellEnd"/>
      <w:r w:rsidRPr="000F1CB4">
        <w:rPr>
          <w:rFonts w:ascii="Book Antiqua" w:eastAsia="Calibri" w:hAnsi="Book Antiqua" w:cs="Times New Roman"/>
          <w:sz w:val="24"/>
          <w:szCs w:val="24"/>
        </w:rPr>
        <w:t xml:space="preserve"> </w:t>
      </w:r>
      <w:r w:rsidRPr="004D17D4">
        <w:rPr>
          <w:rFonts w:ascii="Book Antiqua" w:eastAsia="Calibri" w:hAnsi="Book Antiqua" w:cs="Times New Roman"/>
          <w:i/>
          <w:sz w:val="24"/>
          <w:szCs w:val="24"/>
        </w:rPr>
        <w:t xml:space="preserve">et </w:t>
      </w:r>
      <w:proofErr w:type="gramStart"/>
      <w:r w:rsidRPr="004D17D4">
        <w:rPr>
          <w:rFonts w:ascii="Book Antiqua" w:eastAsia="Calibri" w:hAnsi="Book Antiqua" w:cs="Times New Roman"/>
          <w:i/>
          <w:sz w:val="24"/>
          <w:szCs w:val="24"/>
        </w:rPr>
        <w:t>al</w:t>
      </w:r>
      <w:r w:rsidR="004D17D4">
        <w:rPr>
          <w:rFonts w:ascii="Book Antiqua" w:hAnsi="Book Antiqua" w:cs="Times New Roman" w:hint="eastAsia"/>
          <w:sz w:val="24"/>
          <w:szCs w:val="24"/>
          <w:vertAlign w:val="superscript"/>
          <w:lang w:eastAsia="zh-CN"/>
        </w:rPr>
        <w:t>[</w:t>
      </w:r>
      <w:proofErr w:type="gramEnd"/>
      <w:r w:rsidR="004D17D4">
        <w:rPr>
          <w:rFonts w:ascii="Book Antiqua" w:hAnsi="Book Antiqua" w:cs="Times New Roman" w:hint="eastAsia"/>
          <w:sz w:val="24"/>
          <w:szCs w:val="24"/>
          <w:vertAlign w:val="superscript"/>
          <w:lang w:eastAsia="zh-CN"/>
        </w:rPr>
        <w:t>11]</w:t>
      </w:r>
      <w:r w:rsidRPr="000F1CB4">
        <w:rPr>
          <w:rFonts w:ascii="Book Antiqua" w:eastAsia="Calibri" w:hAnsi="Book Antiqua" w:cs="Times New Roman"/>
          <w:sz w:val="24"/>
          <w:szCs w:val="24"/>
        </w:rPr>
        <w:t xml:space="preserve"> has reported HCC incidence of 2.6% per year in patients with </w:t>
      </w:r>
      <w:r w:rsidR="004B6B52" w:rsidRPr="000F1CB4">
        <w:rPr>
          <w:rFonts w:ascii="Book Antiqua" w:eastAsia="Calibri" w:hAnsi="Book Antiqua" w:cs="Times New Roman"/>
          <w:sz w:val="24"/>
          <w:szCs w:val="24"/>
        </w:rPr>
        <w:t>NASH-</w:t>
      </w:r>
      <w:r w:rsidRPr="000F1CB4">
        <w:rPr>
          <w:rFonts w:ascii="Book Antiqua" w:eastAsia="Calibri" w:hAnsi="Book Antiqua" w:cs="Times New Roman"/>
          <w:sz w:val="24"/>
          <w:szCs w:val="24"/>
        </w:rPr>
        <w:t>related cirrhosis</w:t>
      </w:r>
      <w:r w:rsidR="00AC754B" w:rsidRPr="000F1CB4">
        <w:rPr>
          <w:rFonts w:ascii="Book Antiqua" w:eastAsia="Calibri" w:hAnsi="Book Antiqua" w:cs="Times New Roman"/>
          <w:sz w:val="24"/>
          <w:szCs w:val="24"/>
        </w:rPr>
        <w:t>.</w:t>
      </w:r>
      <w:r w:rsidRPr="000F1CB4">
        <w:rPr>
          <w:rFonts w:ascii="Book Antiqua" w:eastAsia="Calibri" w:hAnsi="Book Antiqua" w:cs="Times New Roman"/>
          <w:sz w:val="24"/>
          <w:szCs w:val="24"/>
        </w:rPr>
        <w:t xml:space="preserve"> </w:t>
      </w:r>
      <w:r w:rsidR="000A4B41" w:rsidRPr="000F1CB4">
        <w:rPr>
          <w:rFonts w:ascii="Book Antiqua" w:eastAsia="Calibri" w:hAnsi="Book Antiqua" w:cs="Times New Roman"/>
          <w:sz w:val="24"/>
          <w:szCs w:val="24"/>
        </w:rPr>
        <w:t>Currently, NASH-related cirrhosis is the most rapidly increasing</w:t>
      </w:r>
      <w:r w:rsidRPr="000F1CB4">
        <w:rPr>
          <w:rFonts w:ascii="Book Antiqua" w:eastAsia="Calibri" w:hAnsi="Book Antiqua" w:cs="Times New Roman"/>
          <w:sz w:val="24"/>
          <w:szCs w:val="24"/>
        </w:rPr>
        <w:t xml:space="preserve"> indication </w:t>
      </w:r>
      <w:r w:rsidR="005E584E" w:rsidRPr="000F1CB4">
        <w:rPr>
          <w:rFonts w:ascii="Book Antiqua" w:eastAsia="Calibri" w:hAnsi="Book Antiqua" w:cs="Times New Roman"/>
          <w:sz w:val="24"/>
          <w:szCs w:val="24"/>
        </w:rPr>
        <w:t xml:space="preserve">for </w:t>
      </w:r>
      <w:r w:rsidRPr="000F1CB4">
        <w:rPr>
          <w:rFonts w:ascii="Book Antiqua" w:eastAsia="Calibri" w:hAnsi="Book Antiqua" w:cs="Times New Roman"/>
          <w:sz w:val="24"/>
          <w:szCs w:val="24"/>
        </w:rPr>
        <w:t>HCC</w:t>
      </w:r>
      <w:r w:rsidR="005E584E" w:rsidRPr="000F1CB4">
        <w:rPr>
          <w:rFonts w:ascii="Book Antiqua" w:eastAsia="Calibri" w:hAnsi="Book Antiqua" w:cs="Times New Roman"/>
          <w:sz w:val="24"/>
          <w:szCs w:val="24"/>
        </w:rPr>
        <w:t>-</w:t>
      </w:r>
      <w:r w:rsidRPr="000F1CB4">
        <w:rPr>
          <w:rFonts w:ascii="Book Antiqua" w:eastAsia="Calibri" w:hAnsi="Book Antiqua" w:cs="Times New Roman"/>
          <w:sz w:val="24"/>
          <w:szCs w:val="24"/>
        </w:rPr>
        <w:t>related li</w:t>
      </w:r>
      <w:r w:rsidR="000A4B41" w:rsidRPr="000F1CB4">
        <w:rPr>
          <w:rFonts w:ascii="Book Antiqua" w:eastAsia="Calibri" w:hAnsi="Book Antiqua" w:cs="Times New Roman"/>
          <w:sz w:val="24"/>
          <w:szCs w:val="24"/>
        </w:rPr>
        <w:t>ver transplantation in</w:t>
      </w:r>
      <w:r w:rsidR="00582BC3" w:rsidRPr="000F1CB4">
        <w:rPr>
          <w:rFonts w:ascii="Book Antiqua" w:eastAsia="Calibri" w:hAnsi="Book Antiqua" w:cs="Times New Roman"/>
          <w:sz w:val="24"/>
          <w:szCs w:val="24"/>
        </w:rPr>
        <w:t xml:space="preserve"> the</w:t>
      </w:r>
      <w:r w:rsidR="00C64509" w:rsidRPr="000F1CB4">
        <w:rPr>
          <w:rFonts w:ascii="Book Antiqua" w:eastAsia="Calibri" w:hAnsi="Book Antiqua" w:cs="Times New Roman"/>
          <w:sz w:val="24"/>
          <w:szCs w:val="24"/>
        </w:rPr>
        <w:t xml:space="preserve"> </w:t>
      </w:r>
      <w:r w:rsidR="00C22041">
        <w:rPr>
          <w:rFonts w:ascii="Book Antiqua" w:eastAsia="Calibri" w:hAnsi="Book Antiqua" w:cs="Times New Roman"/>
          <w:sz w:val="24"/>
          <w:szCs w:val="24"/>
        </w:rPr>
        <w:t xml:space="preserve">United </w:t>
      </w:r>
      <w:proofErr w:type="gramStart"/>
      <w:r w:rsidR="00C22041">
        <w:rPr>
          <w:rFonts w:ascii="Book Antiqua" w:eastAsia="Calibri" w:hAnsi="Book Antiqua" w:cs="Times New Roman"/>
          <w:sz w:val="24"/>
          <w:szCs w:val="24"/>
        </w:rPr>
        <w:t>States</w:t>
      </w:r>
      <w:r w:rsidR="00C64509" w:rsidRPr="000F1CB4">
        <w:rPr>
          <w:rFonts w:ascii="Book Antiqua" w:eastAsia="Calibri" w:hAnsi="Book Antiqua" w:cs="Times New Roman"/>
          <w:sz w:val="24"/>
          <w:szCs w:val="24"/>
          <w:vertAlign w:val="superscript"/>
        </w:rPr>
        <w:t>[</w:t>
      </w:r>
      <w:proofErr w:type="gramEnd"/>
      <w:r w:rsidR="00C64509" w:rsidRPr="000F1CB4">
        <w:rPr>
          <w:rFonts w:ascii="Book Antiqua" w:eastAsia="Calibri" w:hAnsi="Book Antiqua" w:cs="Times New Roman"/>
          <w:sz w:val="24"/>
          <w:szCs w:val="24"/>
          <w:vertAlign w:val="superscript"/>
        </w:rPr>
        <w:t>12]</w:t>
      </w:r>
      <w:r w:rsidR="000A4B41" w:rsidRPr="000F1CB4">
        <w:rPr>
          <w:rFonts w:ascii="Book Antiqua" w:eastAsia="Calibri" w:hAnsi="Book Antiqua" w:cs="Times New Roman"/>
          <w:sz w:val="24"/>
          <w:szCs w:val="24"/>
        </w:rPr>
        <w:t xml:space="preserve"> I</w:t>
      </w:r>
      <w:r w:rsidRPr="000F1CB4">
        <w:rPr>
          <w:rFonts w:ascii="Book Antiqua" w:eastAsia="Calibri" w:hAnsi="Book Antiqua" w:cs="Times New Roman"/>
          <w:sz w:val="24"/>
          <w:szCs w:val="24"/>
        </w:rPr>
        <w:t xml:space="preserve">t is essential to control the growing epidemic of obesity and </w:t>
      </w:r>
      <w:r w:rsidR="005D1AE1" w:rsidRPr="000F1CB4">
        <w:rPr>
          <w:rFonts w:ascii="Book Antiqua" w:eastAsia="Calibri" w:hAnsi="Book Antiqua" w:cs="Times New Roman"/>
          <w:sz w:val="24"/>
          <w:szCs w:val="24"/>
        </w:rPr>
        <w:t>DM</w:t>
      </w:r>
      <w:r w:rsidRPr="000F1CB4">
        <w:rPr>
          <w:rFonts w:ascii="Book Antiqua" w:eastAsia="Calibri" w:hAnsi="Book Antiqua" w:cs="Times New Roman"/>
          <w:sz w:val="24"/>
          <w:szCs w:val="24"/>
        </w:rPr>
        <w:t xml:space="preserve">. The role of statins in reducing the risk of HCC in patients with </w:t>
      </w:r>
      <w:r w:rsidR="005D1AE1" w:rsidRPr="000F1CB4">
        <w:rPr>
          <w:rFonts w:ascii="Book Antiqua" w:eastAsia="Calibri" w:hAnsi="Book Antiqua" w:cs="Times New Roman"/>
          <w:sz w:val="24"/>
          <w:szCs w:val="24"/>
        </w:rPr>
        <w:t xml:space="preserve">DM </w:t>
      </w:r>
      <w:r w:rsidRPr="000F1CB4">
        <w:rPr>
          <w:rFonts w:ascii="Book Antiqua" w:eastAsia="Calibri" w:hAnsi="Book Antiqua" w:cs="Times New Roman"/>
          <w:sz w:val="24"/>
          <w:szCs w:val="24"/>
        </w:rPr>
        <w:t>is an interesting finding which needs to be further evaluated.</w:t>
      </w:r>
      <w:r w:rsidR="00271036" w:rsidRPr="000F1CB4">
        <w:rPr>
          <w:rFonts w:ascii="Book Antiqua" w:eastAsia="Calibri" w:hAnsi="Book Antiqua" w:cs="Times New Roman"/>
          <w:sz w:val="24"/>
          <w:szCs w:val="24"/>
        </w:rPr>
        <w:t xml:space="preserve"> </w:t>
      </w:r>
      <w:r w:rsidR="006B07B0" w:rsidRPr="000F1CB4">
        <w:rPr>
          <w:rFonts w:ascii="Book Antiqua" w:eastAsia="Calibri" w:hAnsi="Book Antiqua" w:cs="Times New Roman"/>
          <w:sz w:val="24"/>
          <w:szCs w:val="24"/>
        </w:rPr>
        <w:t xml:space="preserve">Timely detection of HCC is difficult due to its indolent </w:t>
      </w:r>
      <w:r w:rsidR="00271036" w:rsidRPr="000F1CB4">
        <w:rPr>
          <w:rFonts w:ascii="Book Antiqua" w:eastAsia="Calibri" w:hAnsi="Book Antiqua" w:cs="Times New Roman"/>
          <w:sz w:val="24"/>
          <w:szCs w:val="24"/>
        </w:rPr>
        <w:t>clinical course</w:t>
      </w:r>
      <w:r w:rsidR="006B07B0" w:rsidRPr="000F1CB4">
        <w:rPr>
          <w:rFonts w:ascii="Book Antiqua" w:eastAsia="Calibri" w:hAnsi="Book Antiqua" w:cs="Times New Roman"/>
          <w:sz w:val="24"/>
          <w:szCs w:val="24"/>
        </w:rPr>
        <w:t xml:space="preserve"> in the initial stages and high index of clinical suspicion is crucial to early diagnosis. P</w:t>
      </w:r>
      <w:r w:rsidR="005E584E" w:rsidRPr="000F1CB4">
        <w:rPr>
          <w:rFonts w:ascii="Book Antiqua" w:eastAsia="Calibri" w:hAnsi="Book Antiqua" w:cs="Times New Roman"/>
          <w:sz w:val="24"/>
          <w:szCs w:val="24"/>
        </w:rPr>
        <w:t xml:space="preserve">atients with </w:t>
      </w:r>
      <w:r w:rsidR="00271036" w:rsidRPr="000F1CB4">
        <w:rPr>
          <w:rFonts w:ascii="Book Antiqua" w:eastAsia="Calibri" w:hAnsi="Book Antiqua" w:cs="Times New Roman"/>
          <w:sz w:val="24"/>
          <w:szCs w:val="24"/>
        </w:rPr>
        <w:t>NASH often present</w:t>
      </w:r>
      <w:r w:rsidR="006B07B0" w:rsidRPr="000F1CB4">
        <w:rPr>
          <w:rFonts w:ascii="Book Antiqua" w:eastAsia="Calibri" w:hAnsi="Book Antiqua" w:cs="Times New Roman"/>
          <w:sz w:val="24"/>
          <w:szCs w:val="24"/>
        </w:rPr>
        <w:t xml:space="preserve"> at an increased</w:t>
      </w:r>
      <w:r w:rsidR="005E584E" w:rsidRPr="000F1CB4">
        <w:rPr>
          <w:rFonts w:ascii="Book Antiqua" w:eastAsia="Calibri" w:hAnsi="Book Antiqua" w:cs="Times New Roman"/>
          <w:sz w:val="24"/>
          <w:szCs w:val="24"/>
        </w:rPr>
        <w:t xml:space="preserve"> age and after having developed </w:t>
      </w:r>
      <w:r w:rsidR="006B07B0" w:rsidRPr="000F1CB4">
        <w:rPr>
          <w:rFonts w:ascii="Book Antiqua" w:eastAsia="Calibri" w:hAnsi="Book Antiqua" w:cs="Times New Roman"/>
          <w:sz w:val="24"/>
          <w:szCs w:val="24"/>
        </w:rPr>
        <w:t xml:space="preserve">advanced </w:t>
      </w:r>
      <w:r w:rsidR="005E584E" w:rsidRPr="000F1CB4">
        <w:rPr>
          <w:rFonts w:ascii="Book Antiqua" w:eastAsia="Calibri" w:hAnsi="Book Antiqua" w:cs="Times New Roman"/>
          <w:sz w:val="24"/>
          <w:szCs w:val="24"/>
        </w:rPr>
        <w:t xml:space="preserve">complications of end-stage liver disease, which include </w:t>
      </w:r>
      <w:r w:rsidR="006B07B0" w:rsidRPr="000F1CB4">
        <w:rPr>
          <w:rFonts w:ascii="Book Antiqua" w:eastAsia="Calibri" w:hAnsi="Book Antiqua" w:cs="Times New Roman"/>
          <w:sz w:val="24"/>
          <w:szCs w:val="24"/>
        </w:rPr>
        <w:t xml:space="preserve">inoperable </w:t>
      </w:r>
      <w:r w:rsidR="005E584E" w:rsidRPr="000F1CB4">
        <w:rPr>
          <w:rFonts w:ascii="Book Antiqua" w:eastAsia="Calibri" w:hAnsi="Book Antiqua" w:cs="Times New Roman"/>
          <w:sz w:val="24"/>
          <w:szCs w:val="24"/>
        </w:rPr>
        <w:t xml:space="preserve">HCC. </w:t>
      </w:r>
      <w:r w:rsidR="00271036" w:rsidRPr="000F1CB4">
        <w:rPr>
          <w:rFonts w:ascii="Book Antiqua" w:eastAsia="Calibri" w:hAnsi="Book Antiqua" w:cs="Times New Roman"/>
          <w:sz w:val="24"/>
          <w:szCs w:val="24"/>
        </w:rPr>
        <w:t xml:space="preserve">Efforts </w:t>
      </w:r>
      <w:r w:rsidR="00D83E37" w:rsidRPr="000F1CB4">
        <w:rPr>
          <w:rFonts w:ascii="Book Antiqua" w:eastAsia="Calibri" w:hAnsi="Book Antiqua" w:cs="Times New Roman"/>
          <w:sz w:val="24"/>
          <w:szCs w:val="24"/>
        </w:rPr>
        <w:t>to devise</w:t>
      </w:r>
      <w:r w:rsidR="00271036" w:rsidRPr="000F1CB4">
        <w:rPr>
          <w:rFonts w:ascii="Book Antiqua" w:eastAsia="Calibri" w:hAnsi="Book Antiqua" w:cs="Times New Roman"/>
          <w:sz w:val="24"/>
          <w:szCs w:val="24"/>
        </w:rPr>
        <w:t xml:space="preserve"> </w:t>
      </w:r>
      <w:r w:rsidR="0093742F" w:rsidRPr="000F1CB4">
        <w:rPr>
          <w:rFonts w:ascii="Book Antiqua" w:eastAsia="Calibri" w:hAnsi="Book Antiqua" w:cs="Times New Roman"/>
          <w:sz w:val="24"/>
          <w:szCs w:val="24"/>
        </w:rPr>
        <w:t>noninvasive</w:t>
      </w:r>
      <w:r w:rsidR="00271036" w:rsidRPr="000F1CB4">
        <w:rPr>
          <w:rFonts w:ascii="Book Antiqua" w:eastAsia="Calibri" w:hAnsi="Book Antiqua" w:cs="Times New Roman"/>
          <w:sz w:val="24"/>
          <w:szCs w:val="24"/>
        </w:rPr>
        <w:t xml:space="preserve"> methods of detecting NASH and maximizing the management of </w:t>
      </w:r>
      <w:r w:rsidR="00271036" w:rsidRPr="000F1CB4">
        <w:rPr>
          <w:rFonts w:ascii="Book Antiqua" w:eastAsia="Calibri" w:hAnsi="Book Antiqua" w:cs="Times New Roman"/>
          <w:sz w:val="24"/>
          <w:szCs w:val="24"/>
        </w:rPr>
        <w:lastRenderedPageBreak/>
        <w:t>common ris</w:t>
      </w:r>
      <w:r w:rsidR="00D83E37" w:rsidRPr="000F1CB4">
        <w:rPr>
          <w:rFonts w:ascii="Book Antiqua" w:eastAsia="Calibri" w:hAnsi="Book Antiqua" w:cs="Times New Roman"/>
          <w:sz w:val="24"/>
          <w:szCs w:val="24"/>
        </w:rPr>
        <w:t>k fact</w:t>
      </w:r>
      <w:r w:rsidR="006B07B0" w:rsidRPr="000F1CB4">
        <w:rPr>
          <w:rFonts w:ascii="Book Antiqua" w:eastAsia="Calibri" w:hAnsi="Book Antiqua" w:cs="Times New Roman"/>
          <w:sz w:val="24"/>
          <w:szCs w:val="24"/>
        </w:rPr>
        <w:t>ors shared by NASH and HCC can</w:t>
      </w:r>
      <w:r w:rsidR="00D83E37" w:rsidRPr="000F1CB4">
        <w:rPr>
          <w:rFonts w:ascii="Book Antiqua" w:eastAsia="Calibri" w:hAnsi="Book Antiqua" w:cs="Times New Roman"/>
          <w:sz w:val="24"/>
          <w:szCs w:val="24"/>
        </w:rPr>
        <w:t xml:space="preserve"> lead to a potential reduction in liver</w:t>
      </w:r>
      <w:r w:rsidR="00F5060C" w:rsidRPr="000F1CB4">
        <w:rPr>
          <w:rFonts w:ascii="Book Antiqua" w:eastAsia="Calibri" w:hAnsi="Book Antiqua" w:cs="Times New Roman"/>
          <w:sz w:val="24"/>
          <w:szCs w:val="24"/>
        </w:rPr>
        <w:t xml:space="preserve"> disease and liver</w:t>
      </w:r>
      <w:r w:rsidR="00D83E37" w:rsidRPr="000F1CB4">
        <w:rPr>
          <w:rFonts w:ascii="Book Antiqua" w:eastAsia="Calibri" w:hAnsi="Book Antiqua" w:cs="Times New Roman"/>
          <w:sz w:val="24"/>
          <w:szCs w:val="24"/>
        </w:rPr>
        <w:t xml:space="preserve"> cancer burden.</w:t>
      </w:r>
    </w:p>
    <w:p w14:paraId="58930BC9" w14:textId="77777777" w:rsidR="00AA14EF" w:rsidRPr="000F1CB4" w:rsidRDefault="00AA14EF" w:rsidP="000F1CB4">
      <w:pPr>
        <w:spacing w:after="0" w:line="360" w:lineRule="auto"/>
        <w:jc w:val="both"/>
        <w:rPr>
          <w:rFonts w:ascii="Book Antiqua" w:eastAsia="Calibri" w:hAnsi="Book Antiqua" w:cs="Times New Roman"/>
          <w:b/>
          <w:sz w:val="24"/>
          <w:szCs w:val="24"/>
          <w:u w:val="single"/>
        </w:rPr>
      </w:pPr>
    </w:p>
    <w:p w14:paraId="1C37FDB5" w14:textId="77777777" w:rsidR="00AF7674" w:rsidRPr="000F1CB4" w:rsidRDefault="00AF7674" w:rsidP="000F1CB4">
      <w:pPr>
        <w:spacing w:after="0" w:line="360" w:lineRule="auto"/>
        <w:jc w:val="both"/>
        <w:rPr>
          <w:rFonts w:ascii="Book Antiqua" w:hAnsi="Book Antiqua" w:cs="Times New Roman"/>
          <w:sz w:val="24"/>
          <w:szCs w:val="24"/>
        </w:rPr>
      </w:pPr>
    </w:p>
    <w:p w14:paraId="2B0CBA82" w14:textId="77777777" w:rsidR="00AF7674" w:rsidRPr="000F1CB4" w:rsidRDefault="00AF7674" w:rsidP="000F1CB4">
      <w:pPr>
        <w:spacing w:after="0" w:line="360" w:lineRule="auto"/>
        <w:jc w:val="both"/>
        <w:rPr>
          <w:rFonts w:ascii="Book Antiqua" w:hAnsi="Book Antiqua" w:cs="Times New Roman"/>
          <w:sz w:val="24"/>
          <w:szCs w:val="24"/>
        </w:rPr>
      </w:pPr>
    </w:p>
    <w:p w14:paraId="225BD815" w14:textId="77777777" w:rsidR="00AF7674" w:rsidRPr="000F1CB4" w:rsidRDefault="00AF7674" w:rsidP="000F1CB4">
      <w:pPr>
        <w:spacing w:after="0" w:line="360" w:lineRule="auto"/>
        <w:jc w:val="both"/>
        <w:rPr>
          <w:rFonts w:ascii="Book Antiqua" w:hAnsi="Book Antiqua" w:cs="Times New Roman"/>
          <w:sz w:val="24"/>
          <w:szCs w:val="24"/>
        </w:rPr>
      </w:pPr>
    </w:p>
    <w:p w14:paraId="387D62B7" w14:textId="77777777" w:rsidR="007B52FF" w:rsidRPr="000F1CB4" w:rsidRDefault="007B52FF" w:rsidP="000F1CB4">
      <w:pPr>
        <w:spacing w:after="0" w:line="360" w:lineRule="auto"/>
        <w:jc w:val="both"/>
        <w:rPr>
          <w:rFonts w:ascii="Book Antiqua" w:hAnsi="Book Antiqua" w:cs="Times New Roman"/>
          <w:b/>
          <w:sz w:val="24"/>
          <w:szCs w:val="24"/>
          <w:u w:val="single"/>
        </w:rPr>
      </w:pPr>
    </w:p>
    <w:p w14:paraId="3D40CC17" w14:textId="77777777" w:rsidR="00C438E7" w:rsidRPr="000F1CB4" w:rsidRDefault="00C438E7" w:rsidP="000F1CB4">
      <w:pPr>
        <w:spacing w:after="0" w:line="360" w:lineRule="auto"/>
        <w:jc w:val="both"/>
        <w:rPr>
          <w:rFonts w:ascii="Book Antiqua" w:hAnsi="Book Antiqua" w:cs="Times New Roman"/>
          <w:b/>
          <w:sz w:val="24"/>
          <w:szCs w:val="24"/>
          <w:u w:val="single"/>
        </w:rPr>
      </w:pPr>
      <w:r w:rsidRPr="000F1CB4">
        <w:rPr>
          <w:rFonts w:ascii="Book Antiqua" w:hAnsi="Book Antiqua" w:cs="Times New Roman"/>
          <w:b/>
          <w:sz w:val="24"/>
          <w:szCs w:val="24"/>
          <w:u w:val="single"/>
        </w:rPr>
        <w:br w:type="page"/>
      </w:r>
    </w:p>
    <w:p w14:paraId="79E25E60" w14:textId="6C6D38E2" w:rsidR="00C22041" w:rsidRPr="00417749" w:rsidRDefault="00C22041" w:rsidP="00417749">
      <w:pPr>
        <w:spacing w:after="0" w:line="360" w:lineRule="auto"/>
        <w:jc w:val="both"/>
        <w:rPr>
          <w:rFonts w:ascii="Book Antiqua" w:hAnsi="Book Antiqua" w:cs="Times New Roman"/>
          <w:sz w:val="24"/>
          <w:szCs w:val="24"/>
        </w:rPr>
      </w:pPr>
      <w:r w:rsidRPr="00417749">
        <w:rPr>
          <w:rFonts w:ascii="Book Antiqua" w:hAnsi="Book Antiqua" w:cs="Times New Roman"/>
          <w:b/>
          <w:sz w:val="24"/>
          <w:szCs w:val="24"/>
        </w:rPr>
        <w:lastRenderedPageBreak/>
        <w:t>REFERENCES</w:t>
      </w:r>
    </w:p>
    <w:p w14:paraId="69FFBA3B" w14:textId="77777777" w:rsidR="00417749" w:rsidRPr="00417749" w:rsidRDefault="00417749" w:rsidP="00417749">
      <w:pPr>
        <w:spacing w:after="0" w:line="360" w:lineRule="auto"/>
        <w:jc w:val="both"/>
        <w:rPr>
          <w:rFonts w:ascii="Book Antiqua" w:eastAsia="宋体" w:hAnsi="Book Antiqua" w:cs="宋体"/>
          <w:sz w:val="24"/>
          <w:szCs w:val="24"/>
          <w:lang w:eastAsia="zh-CN"/>
        </w:rPr>
      </w:pPr>
      <w:proofErr w:type="gramStart"/>
      <w:r w:rsidRPr="00417749">
        <w:rPr>
          <w:rFonts w:ascii="Book Antiqua" w:eastAsia="宋体" w:hAnsi="Book Antiqua" w:cs="宋体"/>
          <w:sz w:val="24"/>
          <w:szCs w:val="24"/>
          <w:lang w:eastAsia="zh-CN"/>
        </w:rPr>
        <w:t xml:space="preserve">1 </w:t>
      </w:r>
      <w:proofErr w:type="spellStart"/>
      <w:r w:rsidRPr="00417749">
        <w:rPr>
          <w:rFonts w:ascii="Book Antiqua" w:eastAsia="宋体" w:hAnsi="Book Antiqua" w:cs="宋体"/>
          <w:b/>
          <w:bCs/>
          <w:sz w:val="24"/>
          <w:szCs w:val="24"/>
          <w:lang w:eastAsia="zh-CN"/>
        </w:rPr>
        <w:t>Starley</w:t>
      </w:r>
      <w:proofErr w:type="spellEnd"/>
      <w:r w:rsidRPr="00417749">
        <w:rPr>
          <w:rFonts w:ascii="Book Antiqua" w:eastAsia="宋体" w:hAnsi="Book Antiqua" w:cs="宋体"/>
          <w:b/>
          <w:bCs/>
          <w:sz w:val="24"/>
          <w:szCs w:val="24"/>
          <w:lang w:eastAsia="zh-CN"/>
        </w:rPr>
        <w:t xml:space="preserve"> BQ</w:t>
      </w:r>
      <w:r w:rsidRPr="00417749">
        <w:rPr>
          <w:rFonts w:ascii="Book Antiqua" w:eastAsia="宋体" w:hAnsi="Book Antiqua" w:cs="宋体"/>
          <w:sz w:val="24"/>
          <w:szCs w:val="24"/>
          <w:lang w:eastAsia="zh-CN"/>
        </w:rPr>
        <w:t>, Calcagno CJ, Harrison SA.</w:t>
      </w:r>
      <w:proofErr w:type="gramEnd"/>
      <w:r w:rsidRPr="00417749">
        <w:rPr>
          <w:rFonts w:ascii="Book Antiqua" w:eastAsia="宋体" w:hAnsi="Book Antiqua" w:cs="宋体"/>
          <w:sz w:val="24"/>
          <w:szCs w:val="24"/>
          <w:lang w:eastAsia="zh-CN"/>
        </w:rPr>
        <w:t xml:space="preserve"> Nonalcoholic fatty liver disease and hepatocellular carcinoma: a weighty connection. </w:t>
      </w:r>
      <w:proofErr w:type="spellStart"/>
      <w:r w:rsidRPr="00417749">
        <w:rPr>
          <w:rFonts w:ascii="Book Antiqua" w:eastAsia="宋体" w:hAnsi="Book Antiqua" w:cs="宋体"/>
          <w:i/>
          <w:iCs/>
          <w:sz w:val="24"/>
          <w:szCs w:val="24"/>
          <w:lang w:eastAsia="zh-CN"/>
        </w:rPr>
        <w:t>Hepatology</w:t>
      </w:r>
      <w:proofErr w:type="spellEnd"/>
      <w:r w:rsidRPr="00417749">
        <w:rPr>
          <w:rFonts w:ascii="Book Antiqua" w:eastAsia="宋体" w:hAnsi="Book Antiqua" w:cs="宋体"/>
          <w:sz w:val="24"/>
          <w:szCs w:val="24"/>
          <w:lang w:eastAsia="zh-CN"/>
        </w:rPr>
        <w:t xml:space="preserve"> 2010; </w:t>
      </w:r>
      <w:r w:rsidRPr="00417749">
        <w:rPr>
          <w:rFonts w:ascii="Book Antiqua" w:eastAsia="宋体" w:hAnsi="Book Antiqua" w:cs="宋体"/>
          <w:b/>
          <w:bCs/>
          <w:sz w:val="24"/>
          <w:szCs w:val="24"/>
          <w:lang w:eastAsia="zh-CN"/>
        </w:rPr>
        <w:t>51</w:t>
      </w:r>
      <w:r w:rsidRPr="00417749">
        <w:rPr>
          <w:rFonts w:ascii="Book Antiqua" w:eastAsia="宋体" w:hAnsi="Book Antiqua" w:cs="宋体"/>
          <w:sz w:val="24"/>
          <w:szCs w:val="24"/>
          <w:lang w:eastAsia="zh-CN"/>
        </w:rPr>
        <w:t>: 1820-1832 [PMID: 20432259 DOI: 10.1002/hep.23594]</w:t>
      </w:r>
    </w:p>
    <w:p w14:paraId="129848F8" w14:textId="77777777"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 xml:space="preserve">2 </w:t>
      </w:r>
      <w:r w:rsidRPr="00417749">
        <w:rPr>
          <w:rFonts w:ascii="Book Antiqua" w:eastAsia="宋体" w:hAnsi="Book Antiqua" w:cs="宋体"/>
          <w:b/>
          <w:bCs/>
          <w:sz w:val="24"/>
          <w:szCs w:val="24"/>
          <w:lang w:eastAsia="zh-CN"/>
        </w:rPr>
        <w:t>Williams CD</w:t>
      </w:r>
      <w:r w:rsidRPr="00417749">
        <w:rPr>
          <w:rFonts w:ascii="Book Antiqua" w:eastAsia="宋体" w:hAnsi="Book Antiqua" w:cs="宋体"/>
          <w:sz w:val="24"/>
          <w:szCs w:val="24"/>
          <w:lang w:eastAsia="zh-CN"/>
        </w:rPr>
        <w:t xml:space="preserve">, Stengel J, </w:t>
      </w:r>
      <w:proofErr w:type="spellStart"/>
      <w:r w:rsidRPr="00417749">
        <w:rPr>
          <w:rFonts w:ascii="Book Antiqua" w:eastAsia="宋体" w:hAnsi="Book Antiqua" w:cs="宋体"/>
          <w:sz w:val="24"/>
          <w:szCs w:val="24"/>
          <w:lang w:eastAsia="zh-CN"/>
        </w:rPr>
        <w:t>Asike</w:t>
      </w:r>
      <w:proofErr w:type="spellEnd"/>
      <w:r w:rsidRPr="00417749">
        <w:rPr>
          <w:rFonts w:ascii="Book Antiqua" w:eastAsia="宋体" w:hAnsi="Book Antiqua" w:cs="宋体"/>
          <w:sz w:val="24"/>
          <w:szCs w:val="24"/>
          <w:lang w:eastAsia="zh-CN"/>
        </w:rPr>
        <w:t xml:space="preserve"> MI, Torres DM, Shaw J, Contreras M, </w:t>
      </w:r>
      <w:proofErr w:type="spellStart"/>
      <w:r w:rsidRPr="00417749">
        <w:rPr>
          <w:rFonts w:ascii="Book Antiqua" w:eastAsia="宋体" w:hAnsi="Book Antiqua" w:cs="宋体"/>
          <w:sz w:val="24"/>
          <w:szCs w:val="24"/>
          <w:lang w:eastAsia="zh-CN"/>
        </w:rPr>
        <w:t>Landt</w:t>
      </w:r>
      <w:proofErr w:type="spellEnd"/>
      <w:r w:rsidRPr="00417749">
        <w:rPr>
          <w:rFonts w:ascii="Book Antiqua" w:eastAsia="宋体" w:hAnsi="Book Antiqua" w:cs="宋体"/>
          <w:sz w:val="24"/>
          <w:szCs w:val="24"/>
          <w:lang w:eastAsia="zh-CN"/>
        </w:rPr>
        <w:t xml:space="preserve"> CL, Harrison SA. Prevalence of nonalcoholic fatty liver disease and nonalcoholic </w:t>
      </w:r>
      <w:proofErr w:type="spellStart"/>
      <w:r w:rsidRPr="00417749">
        <w:rPr>
          <w:rFonts w:ascii="Book Antiqua" w:eastAsia="宋体" w:hAnsi="Book Antiqua" w:cs="宋体"/>
          <w:sz w:val="24"/>
          <w:szCs w:val="24"/>
          <w:lang w:eastAsia="zh-CN"/>
        </w:rPr>
        <w:t>steatohepatitis</w:t>
      </w:r>
      <w:proofErr w:type="spellEnd"/>
      <w:r w:rsidRPr="00417749">
        <w:rPr>
          <w:rFonts w:ascii="Book Antiqua" w:eastAsia="宋体" w:hAnsi="Book Antiqua" w:cs="宋体"/>
          <w:sz w:val="24"/>
          <w:szCs w:val="24"/>
          <w:lang w:eastAsia="zh-CN"/>
        </w:rPr>
        <w:t xml:space="preserve"> among a largely middle-aged population utilizing ultrasound and liver biopsy: a prospective study. </w:t>
      </w:r>
      <w:r w:rsidRPr="00417749">
        <w:rPr>
          <w:rFonts w:ascii="Book Antiqua" w:eastAsia="宋体" w:hAnsi="Book Antiqua" w:cs="宋体"/>
          <w:i/>
          <w:iCs/>
          <w:sz w:val="24"/>
          <w:szCs w:val="24"/>
          <w:lang w:eastAsia="zh-CN"/>
        </w:rPr>
        <w:t>Gastroenterology</w:t>
      </w:r>
      <w:r w:rsidRPr="00417749">
        <w:rPr>
          <w:rFonts w:ascii="Book Antiqua" w:eastAsia="宋体" w:hAnsi="Book Antiqua" w:cs="宋体"/>
          <w:sz w:val="24"/>
          <w:szCs w:val="24"/>
          <w:lang w:eastAsia="zh-CN"/>
        </w:rPr>
        <w:t xml:space="preserve"> 2011; </w:t>
      </w:r>
      <w:r w:rsidRPr="00417749">
        <w:rPr>
          <w:rFonts w:ascii="Book Antiqua" w:eastAsia="宋体" w:hAnsi="Book Antiqua" w:cs="宋体"/>
          <w:b/>
          <w:bCs/>
          <w:sz w:val="24"/>
          <w:szCs w:val="24"/>
          <w:lang w:eastAsia="zh-CN"/>
        </w:rPr>
        <w:t>140</w:t>
      </w:r>
      <w:r w:rsidRPr="00417749">
        <w:rPr>
          <w:rFonts w:ascii="Book Antiqua" w:eastAsia="宋体" w:hAnsi="Book Antiqua" w:cs="宋体"/>
          <w:sz w:val="24"/>
          <w:szCs w:val="24"/>
          <w:lang w:eastAsia="zh-CN"/>
        </w:rPr>
        <w:t>: 124-131 [PMID: 20858492 DOI: 10.1053/j.gastro.2010.09.038]</w:t>
      </w:r>
    </w:p>
    <w:p w14:paraId="77341C45" w14:textId="77777777"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 xml:space="preserve">3 </w:t>
      </w:r>
      <w:r w:rsidRPr="00417749">
        <w:rPr>
          <w:rFonts w:ascii="Book Antiqua" w:eastAsia="宋体" w:hAnsi="Book Antiqua" w:cs="宋体"/>
          <w:b/>
          <w:bCs/>
          <w:sz w:val="24"/>
          <w:szCs w:val="24"/>
          <w:lang w:eastAsia="zh-CN"/>
        </w:rPr>
        <w:t>Angulo P</w:t>
      </w:r>
      <w:r w:rsidRPr="00417749">
        <w:rPr>
          <w:rFonts w:ascii="Book Antiqua" w:eastAsia="宋体" w:hAnsi="Book Antiqua" w:cs="宋体"/>
          <w:sz w:val="24"/>
          <w:szCs w:val="24"/>
          <w:lang w:eastAsia="zh-CN"/>
        </w:rPr>
        <w:t xml:space="preserve">. Nonalcoholic fatty liver </w:t>
      </w:r>
      <w:proofErr w:type="gramStart"/>
      <w:r w:rsidRPr="00417749">
        <w:rPr>
          <w:rFonts w:ascii="Book Antiqua" w:eastAsia="宋体" w:hAnsi="Book Antiqua" w:cs="宋体"/>
          <w:sz w:val="24"/>
          <w:szCs w:val="24"/>
          <w:lang w:eastAsia="zh-CN"/>
        </w:rPr>
        <w:t>disease</w:t>
      </w:r>
      <w:proofErr w:type="gramEnd"/>
      <w:r w:rsidRPr="00417749">
        <w:rPr>
          <w:rFonts w:ascii="Book Antiqua" w:eastAsia="宋体" w:hAnsi="Book Antiqua" w:cs="宋体"/>
          <w:sz w:val="24"/>
          <w:szCs w:val="24"/>
          <w:lang w:eastAsia="zh-CN"/>
        </w:rPr>
        <w:t xml:space="preserve">. </w:t>
      </w:r>
      <w:r w:rsidRPr="00417749">
        <w:rPr>
          <w:rFonts w:ascii="Book Antiqua" w:eastAsia="宋体" w:hAnsi="Book Antiqua" w:cs="宋体"/>
          <w:i/>
          <w:iCs/>
          <w:sz w:val="24"/>
          <w:szCs w:val="24"/>
          <w:lang w:eastAsia="zh-CN"/>
        </w:rPr>
        <w:t xml:space="preserve">N </w:t>
      </w:r>
      <w:proofErr w:type="spellStart"/>
      <w:r w:rsidRPr="00417749">
        <w:rPr>
          <w:rFonts w:ascii="Book Antiqua" w:eastAsia="宋体" w:hAnsi="Book Antiqua" w:cs="宋体"/>
          <w:i/>
          <w:iCs/>
          <w:sz w:val="24"/>
          <w:szCs w:val="24"/>
          <w:lang w:eastAsia="zh-CN"/>
        </w:rPr>
        <w:t>Engl</w:t>
      </w:r>
      <w:proofErr w:type="spellEnd"/>
      <w:r w:rsidRPr="00417749">
        <w:rPr>
          <w:rFonts w:ascii="Book Antiqua" w:eastAsia="宋体" w:hAnsi="Book Antiqua" w:cs="宋体"/>
          <w:i/>
          <w:iCs/>
          <w:sz w:val="24"/>
          <w:szCs w:val="24"/>
          <w:lang w:eastAsia="zh-CN"/>
        </w:rPr>
        <w:t xml:space="preserve"> J Med</w:t>
      </w:r>
      <w:r w:rsidRPr="00417749">
        <w:rPr>
          <w:rFonts w:ascii="Book Antiqua" w:eastAsia="宋体" w:hAnsi="Book Antiqua" w:cs="宋体"/>
          <w:sz w:val="24"/>
          <w:szCs w:val="24"/>
          <w:lang w:eastAsia="zh-CN"/>
        </w:rPr>
        <w:t xml:space="preserve"> 2002; </w:t>
      </w:r>
      <w:r w:rsidRPr="00417749">
        <w:rPr>
          <w:rFonts w:ascii="Book Antiqua" w:eastAsia="宋体" w:hAnsi="Book Antiqua" w:cs="宋体"/>
          <w:b/>
          <w:bCs/>
          <w:sz w:val="24"/>
          <w:szCs w:val="24"/>
          <w:lang w:eastAsia="zh-CN"/>
        </w:rPr>
        <w:t>346</w:t>
      </w:r>
      <w:r w:rsidRPr="00417749">
        <w:rPr>
          <w:rFonts w:ascii="Book Antiqua" w:eastAsia="宋体" w:hAnsi="Book Antiqua" w:cs="宋体"/>
          <w:sz w:val="24"/>
          <w:szCs w:val="24"/>
          <w:lang w:eastAsia="zh-CN"/>
        </w:rPr>
        <w:t>: 1221-1231 [PMID: 11961152 DOI: 10.1056/NEJMra011775]</w:t>
      </w:r>
    </w:p>
    <w:p w14:paraId="252D7C87" w14:textId="77777777"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 xml:space="preserve">4 </w:t>
      </w:r>
      <w:r w:rsidRPr="00417749">
        <w:rPr>
          <w:rFonts w:ascii="Book Antiqua" w:eastAsia="宋体" w:hAnsi="Book Antiqua" w:cs="宋体"/>
          <w:b/>
          <w:bCs/>
          <w:sz w:val="24"/>
          <w:szCs w:val="24"/>
          <w:lang w:eastAsia="zh-CN"/>
        </w:rPr>
        <w:t>Caldwell SH</w:t>
      </w:r>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sz w:val="24"/>
          <w:szCs w:val="24"/>
          <w:lang w:eastAsia="zh-CN"/>
        </w:rPr>
        <w:t>Oelsner</w:t>
      </w:r>
      <w:proofErr w:type="spellEnd"/>
      <w:r w:rsidRPr="00417749">
        <w:rPr>
          <w:rFonts w:ascii="Book Antiqua" w:eastAsia="宋体" w:hAnsi="Book Antiqua" w:cs="宋体"/>
          <w:sz w:val="24"/>
          <w:szCs w:val="24"/>
          <w:lang w:eastAsia="zh-CN"/>
        </w:rPr>
        <w:t xml:space="preserve"> DH, </w:t>
      </w:r>
      <w:proofErr w:type="spellStart"/>
      <w:r w:rsidRPr="00417749">
        <w:rPr>
          <w:rFonts w:ascii="Book Antiqua" w:eastAsia="宋体" w:hAnsi="Book Antiqua" w:cs="宋体"/>
          <w:sz w:val="24"/>
          <w:szCs w:val="24"/>
          <w:lang w:eastAsia="zh-CN"/>
        </w:rPr>
        <w:t>Iezzoni</w:t>
      </w:r>
      <w:proofErr w:type="spellEnd"/>
      <w:r w:rsidRPr="00417749">
        <w:rPr>
          <w:rFonts w:ascii="Book Antiqua" w:eastAsia="宋体" w:hAnsi="Book Antiqua" w:cs="宋体"/>
          <w:sz w:val="24"/>
          <w:szCs w:val="24"/>
          <w:lang w:eastAsia="zh-CN"/>
        </w:rPr>
        <w:t xml:space="preserve"> JC, </w:t>
      </w:r>
      <w:proofErr w:type="spellStart"/>
      <w:r w:rsidRPr="00417749">
        <w:rPr>
          <w:rFonts w:ascii="Book Antiqua" w:eastAsia="宋体" w:hAnsi="Book Antiqua" w:cs="宋体"/>
          <w:sz w:val="24"/>
          <w:szCs w:val="24"/>
          <w:lang w:eastAsia="zh-CN"/>
        </w:rPr>
        <w:t>Hespenheide</w:t>
      </w:r>
      <w:proofErr w:type="spellEnd"/>
      <w:r w:rsidRPr="00417749">
        <w:rPr>
          <w:rFonts w:ascii="Book Antiqua" w:eastAsia="宋体" w:hAnsi="Book Antiqua" w:cs="宋体"/>
          <w:sz w:val="24"/>
          <w:szCs w:val="24"/>
          <w:lang w:eastAsia="zh-CN"/>
        </w:rPr>
        <w:t xml:space="preserve"> EE, Battle EH, Driscoll CJ. Cryptogenic cirrhosis: clinical characterization and risk factors for underlying disease. </w:t>
      </w:r>
      <w:proofErr w:type="spellStart"/>
      <w:r w:rsidRPr="00417749">
        <w:rPr>
          <w:rFonts w:ascii="Book Antiqua" w:eastAsia="宋体" w:hAnsi="Book Antiqua" w:cs="宋体"/>
          <w:i/>
          <w:iCs/>
          <w:sz w:val="24"/>
          <w:szCs w:val="24"/>
          <w:lang w:eastAsia="zh-CN"/>
        </w:rPr>
        <w:t>Hepatology</w:t>
      </w:r>
      <w:proofErr w:type="spellEnd"/>
      <w:r w:rsidRPr="00417749">
        <w:rPr>
          <w:rFonts w:ascii="Book Antiqua" w:eastAsia="宋体" w:hAnsi="Book Antiqua" w:cs="宋体"/>
          <w:sz w:val="24"/>
          <w:szCs w:val="24"/>
          <w:lang w:eastAsia="zh-CN"/>
        </w:rPr>
        <w:t xml:space="preserve"> 1999; </w:t>
      </w:r>
      <w:r w:rsidRPr="00417749">
        <w:rPr>
          <w:rFonts w:ascii="Book Antiqua" w:eastAsia="宋体" w:hAnsi="Book Antiqua" w:cs="宋体"/>
          <w:b/>
          <w:bCs/>
          <w:sz w:val="24"/>
          <w:szCs w:val="24"/>
          <w:lang w:eastAsia="zh-CN"/>
        </w:rPr>
        <w:t>29</w:t>
      </w:r>
      <w:r w:rsidRPr="00417749">
        <w:rPr>
          <w:rFonts w:ascii="Book Antiqua" w:eastAsia="宋体" w:hAnsi="Book Antiqua" w:cs="宋体"/>
          <w:sz w:val="24"/>
          <w:szCs w:val="24"/>
          <w:lang w:eastAsia="zh-CN"/>
        </w:rPr>
        <w:t>: 664-669 [PMID: 10051466 DOI: 10.1002/hep.510290347]</w:t>
      </w:r>
    </w:p>
    <w:p w14:paraId="5D0F0B73" w14:textId="3C3F4F94" w:rsidR="00417749" w:rsidRPr="00417749" w:rsidRDefault="00417749" w:rsidP="00417749">
      <w:pPr>
        <w:spacing w:after="0" w:line="360" w:lineRule="auto"/>
        <w:jc w:val="both"/>
        <w:rPr>
          <w:rFonts w:ascii="Book Antiqua" w:eastAsia="宋体" w:hAnsi="Book Antiqua" w:cs="宋体"/>
          <w:sz w:val="24"/>
          <w:szCs w:val="24"/>
          <w:lang w:eastAsia="zh-CN"/>
        </w:rPr>
      </w:pPr>
      <w:r>
        <w:rPr>
          <w:rFonts w:ascii="Book Antiqua" w:eastAsia="宋体" w:hAnsi="Book Antiqua" w:cs="宋体"/>
          <w:sz w:val="24"/>
          <w:szCs w:val="24"/>
          <w:lang w:eastAsia="zh-CN"/>
        </w:rPr>
        <w:t xml:space="preserve">5 </w:t>
      </w:r>
      <w:proofErr w:type="spellStart"/>
      <w:r>
        <w:rPr>
          <w:rFonts w:ascii="Book Antiqua" w:eastAsia="宋体" w:hAnsi="Book Antiqua" w:cs="宋体"/>
          <w:b/>
          <w:sz w:val="24"/>
          <w:szCs w:val="24"/>
          <w:lang w:eastAsia="zh-CN"/>
        </w:rPr>
        <w:t>Ferlay</w:t>
      </w:r>
      <w:proofErr w:type="spellEnd"/>
      <w:r>
        <w:rPr>
          <w:rFonts w:ascii="Book Antiqua" w:eastAsia="宋体" w:hAnsi="Book Antiqua" w:cs="宋体"/>
          <w:b/>
          <w:sz w:val="24"/>
          <w:szCs w:val="24"/>
          <w:lang w:eastAsia="zh-CN"/>
        </w:rPr>
        <w:t xml:space="preserve"> J</w:t>
      </w:r>
      <w:r w:rsidRPr="00417749">
        <w:rPr>
          <w:rFonts w:ascii="Book Antiqua" w:eastAsia="宋体" w:hAnsi="Book Antiqua" w:cs="宋体"/>
          <w:b/>
          <w:sz w:val="24"/>
          <w:szCs w:val="24"/>
          <w:lang w:eastAsia="zh-CN"/>
        </w:rPr>
        <w:t>SI</w:t>
      </w:r>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sz w:val="24"/>
          <w:szCs w:val="24"/>
          <w:lang w:eastAsia="zh-CN"/>
        </w:rPr>
        <w:t>Ervik</w:t>
      </w:r>
      <w:proofErr w:type="spellEnd"/>
      <w:r w:rsidRPr="00417749">
        <w:rPr>
          <w:rFonts w:ascii="Book Antiqua" w:eastAsia="宋体" w:hAnsi="Book Antiqua" w:cs="宋体"/>
          <w:sz w:val="24"/>
          <w:szCs w:val="24"/>
          <w:lang w:eastAsia="zh-CN"/>
        </w:rPr>
        <w:t xml:space="preserve"> M, </w:t>
      </w:r>
      <w:proofErr w:type="spellStart"/>
      <w:r w:rsidRPr="00417749">
        <w:rPr>
          <w:rFonts w:ascii="Book Antiqua" w:eastAsia="宋体" w:hAnsi="Book Antiqua" w:cs="宋体"/>
          <w:sz w:val="24"/>
          <w:szCs w:val="24"/>
          <w:lang w:eastAsia="zh-CN"/>
        </w:rPr>
        <w:t>Dikshit</w:t>
      </w:r>
      <w:proofErr w:type="spellEnd"/>
      <w:r w:rsidRPr="00417749">
        <w:rPr>
          <w:rFonts w:ascii="Book Antiqua" w:eastAsia="宋体" w:hAnsi="Book Antiqua" w:cs="宋体"/>
          <w:sz w:val="24"/>
          <w:szCs w:val="24"/>
          <w:lang w:eastAsia="zh-CN"/>
        </w:rPr>
        <w:t xml:space="preserve"> R, </w:t>
      </w:r>
      <w:proofErr w:type="spellStart"/>
      <w:r w:rsidRPr="00417749">
        <w:rPr>
          <w:rFonts w:ascii="Book Antiqua" w:eastAsia="宋体" w:hAnsi="Book Antiqua" w:cs="宋体"/>
          <w:sz w:val="24"/>
          <w:szCs w:val="24"/>
          <w:lang w:eastAsia="zh-CN"/>
        </w:rPr>
        <w:t>Eser</w:t>
      </w:r>
      <w:proofErr w:type="spellEnd"/>
      <w:r w:rsidRPr="00417749">
        <w:rPr>
          <w:rFonts w:ascii="Book Antiqua" w:eastAsia="宋体" w:hAnsi="Book Antiqua" w:cs="宋体"/>
          <w:sz w:val="24"/>
          <w:szCs w:val="24"/>
          <w:lang w:eastAsia="zh-CN"/>
        </w:rPr>
        <w:t xml:space="preserve"> S, </w:t>
      </w:r>
      <w:proofErr w:type="spellStart"/>
      <w:r w:rsidRPr="00417749">
        <w:rPr>
          <w:rFonts w:ascii="Book Antiqua" w:eastAsia="宋体" w:hAnsi="Book Antiqua" w:cs="宋体"/>
          <w:sz w:val="24"/>
          <w:szCs w:val="24"/>
          <w:lang w:eastAsia="zh-CN"/>
        </w:rPr>
        <w:t>Mathers</w:t>
      </w:r>
      <w:proofErr w:type="spellEnd"/>
      <w:r w:rsidRPr="00417749">
        <w:rPr>
          <w:rFonts w:ascii="Book Antiqua" w:eastAsia="宋体" w:hAnsi="Book Antiqua" w:cs="宋体"/>
          <w:sz w:val="24"/>
          <w:szCs w:val="24"/>
          <w:lang w:eastAsia="zh-CN"/>
        </w:rPr>
        <w:t xml:space="preserve"> C, </w:t>
      </w:r>
      <w:proofErr w:type="spellStart"/>
      <w:r w:rsidRPr="00417749">
        <w:rPr>
          <w:rFonts w:ascii="Book Antiqua" w:eastAsia="宋体" w:hAnsi="Book Antiqua" w:cs="宋体"/>
          <w:sz w:val="24"/>
          <w:szCs w:val="24"/>
          <w:lang w:eastAsia="zh-CN"/>
        </w:rPr>
        <w:t>Rebelo</w:t>
      </w:r>
      <w:proofErr w:type="spellEnd"/>
      <w:r w:rsidRPr="00417749">
        <w:rPr>
          <w:rFonts w:ascii="Book Antiqua" w:eastAsia="宋体" w:hAnsi="Book Antiqua" w:cs="宋体"/>
          <w:sz w:val="24"/>
          <w:szCs w:val="24"/>
          <w:lang w:eastAsia="zh-CN"/>
        </w:rPr>
        <w:t xml:space="preserve"> M, </w:t>
      </w:r>
      <w:proofErr w:type="spellStart"/>
      <w:r w:rsidRPr="00417749">
        <w:rPr>
          <w:rFonts w:ascii="Book Antiqua" w:eastAsia="宋体" w:hAnsi="Book Antiqua" w:cs="宋体"/>
          <w:sz w:val="24"/>
          <w:szCs w:val="24"/>
          <w:lang w:eastAsia="zh-CN"/>
        </w:rPr>
        <w:t>Parkin</w:t>
      </w:r>
      <w:proofErr w:type="spellEnd"/>
      <w:r w:rsidRPr="00417749">
        <w:rPr>
          <w:rFonts w:ascii="Book Antiqua" w:eastAsia="宋体" w:hAnsi="Book Antiqua" w:cs="宋体"/>
          <w:sz w:val="24"/>
          <w:szCs w:val="24"/>
          <w:lang w:eastAsia="zh-CN"/>
        </w:rPr>
        <w:t xml:space="preserve"> DM, Forman D, Bray, F. GLOBOCAN 2012 v1.0, Cancer Incidence and Mortality Worldwide: IARC </w:t>
      </w:r>
      <w:proofErr w:type="spellStart"/>
      <w:r w:rsidRPr="00417749">
        <w:rPr>
          <w:rFonts w:ascii="Book Antiqua" w:eastAsia="宋体" w:hAnsi="Book Antiqua" w:cs="宋体"/>
          <w:sz w:val="24"/>
          <w:szCs w:val="24"/>
          <w:lang w:eastAsia="zh-CN"/>
        </w:rPr>
        <w:t>CancerBase</w:t>
      </w:r>
      <w:proofErr w:type="spellEnd"/>
      <w:r w:rsidRPr="00417749">
        <w:rPr>
          <w:rFonts w:ascii="Book Antiqua" w:eastAsia="宋体" w:hAnsi="Book Antiqua" w:cs="宋体"/>
          <w:sz w:val="24"/>
          <w:szCs w:val="24"/>
          <w:lang w:eastAsia="zh-CN"/>
        </w:rPr>
        <w:t xml:space="preserve"> No. 11 [Internet]. [</w:t>
      </w:r>
      <w:proofErr w:type="gramStart"/>
      <w:r w:rsidRPr="00417749">
        <w:rPr>
          <w:rFonts w:ascii="Book Antiqua" w:eastAsia="宋体" w:hAnsi="Book Antiqua" w:cs="宋体"/>
          <w:sz w:val="24"/>
          <w:szCs w:val="24"/>
          <w:lang w:eastAsia="zh-CN"/>
        </w:rPr>
        <w:t>cited</w:t>
      </w:r>
      <w:proofErr w:type="gramEnd"/>
      <w:r w:rsidRPr="00417749">
        <w:rPr>
          <w:rFonts w:ascii="Book Antiqua" w:eastAsia="宋体" w:hAnsi="Book Antiqua" w:cs="宋体"/>
          <w:sz w:val="24"/>
          <w:szCs w:val="24"/>
          <w:lang w:eastAsia="zh-CN"/>
        </w:rPr>
        <w:t xml:space="preserve"> 2015 February 25] Lyon, France: International Agency for Research on Cancer,</w:t>
      </w:r>
      <w:r>
        <w:rPr>
          <w:rFonts w:ascii="Book Antiqua" w:eastAsia="宋体" w:hAnsi="Book Antiqua" w:cs="宋体" w:hint="eastAsia"/>
          <w:sz w:val="24"/>
          <w:szCs w:val="24"/>
          <w:lang w:eastAsia="zh-CN"/>
        </w:rPr>
        <w:t xml:space="preserve"> </w:t>
      </w:r>
      <w:r w:rsidRPr="00417749">
        <w:rPr>
          <w:rFonts w:ascii="Book Antiqua" w:eastAsia="宋体" w:hAnsi="Book Antiqua" w:cs="宋体"/>
          <w:sz w:val="24"/>
          <w:szCs w:val="24"/>
          <w:lang w:eastAsia="zh-CN"/>
        </w:rPr>
        <w:t>2013</w:t>
      </w:r>
    </w:p>
    <w:p w14:paraId="253734C3" w14:textId="77777777"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 xml:space="preserve">6 </w:t>
      </w:r>
      <w:proofErr w:type="spellStart"/>
      <w:r w:rsidRPr="00417749">
        <w:rPr>
          <w:rFonts w:ascii="Book Antiqua" w:eastAsia="宋体" w:hAnsi="Book Antiqua" w:cs="宋体"/>
          <w:b/>
          <w:bCs/>
          <w:sz w:val="24"/>
          <w:szCs w:val="24"/>
          <w:lang w:eastAsia="zh-CN"/>
        </w:rPr>
        <w:t>Altekruse</w:t>
      </w:r>
      <w:proofErr w:type="spellEnd"/>
      <w:r w:rsidRPr="00417749">
        <w:rPr>
          <w:rFonts w:ascii="Book Antiqua" w:eastAsia="宋体" w:hAnsi="Book Antiqua" w:cs="宋体"/>
          <w:b/>
          <w:bCs/>
          <w:sz w:val="24"/>
          <w:szCs w:val="24"/>
          <w:lang w:eastAsia="zh-CN"/>
        </w:rPr>
        <w:t xml:space="preserve"> SF</w:t>
      </w:r>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sz w:val="24"/>
          <w:szCs w:val="24"/>
          <w:lang w:eastAsia="zh-CN"/>
        </w:rPr>
        <w:t>McGlynn</w:t>
      </w:r>
      <w:proofErr w:type="spellEnd"/>
      <w:r w:rsidRPr="00417749">
        <w:rPr>
          <w:rFonts w:ascii="Book Antiqua" w:eastAsia="宋体" w:hAnsi="Book Antiqua" w:cs="宋体"/>
          <w:sz w:val="24"/>
          <w:szCs w:val="24"/>
          <w:lang w:eastAsia="zh-CN"/>
        </w:rPr>
        <w:t xml:space="preserve"> KA, </w:t>
      </w:r>
      <w:proofErr w:type="spellStart"/>
      <w:r w:rsidRPr="00417749">
        <w:rPr>
          <w:rFonts w:ascii="Book Antiqua" w:eastAsia="宋体" w:hAnsi="Book Antiqua" w:cs="宋体"/>
          <w:sz w:val="24"/>
          <w:szCs w:val="24"/>
          <w:lang w:eastAsia="zh-CN"/>
        </w:rPr>
        <w:t>Reichman</w:t>
      </w:r>
      <w:proofErr w:type="spellEnd"/>
      <w:r w:rsidRPr="00417749">
        <w:rPr>
          <w:rFonts w:ascii="Book Antiqua" w:eastAsia="宋体" w:hAnsi="Book Antiqua" w:cs="宋体"/>
          <w:sz w:val="24"/>
          <w:szCs w:val="24"/>
          <w:lang w:eastAsia="zh-CN"/>
        </w:rPr>
        <w:t xml:space="preserve"> ME. </w:t>
      </w:r>
      <w:proofErr w:type="gramStart"/>
      <w:r w:rsidRPr="00417749">
        <w:rPr>
          <w:rFonts w:ascii="Book Antiqua" w:eastAsia="宋体" w:hAnsi="Book Antiqua" w:cs="宋体"/>
          <w:sz w:val="24"/>
          <w:szCs w:val="24"/>
          <w:lang w:eastAsia="zh-CN"/>
        </w:rPr>
        <w:t>Hepatocellular carcinoma incidence, mortality, and survival trends in the United States from 1975 to 2005.</w:t>
      </w:r>
      <w:proofErr w:type="gramEnd"/>
      <w:r w:rsidRPr="00417749">
        <w:rPr>
          <w:rFonts w:ascii="Book Antiqua" w:eastAsia="宋体" w:hAnsi="Book Antiqua" w:cs="宋体"/>
          <w:sz w:val="24"/>
          <w:szCs w:val="24"/>
          <w:lang w:eastAsia="zh-CN"/>
        </w:rPr>
        <w:t xml:space="preserve"> </w:t>
      </w:r>
      <w:r w:rsidRPr="00417749">
        <w:rPr>
          <w:rFonts w:ascii="Book Antiqua" w:eastAsia="宋体" w:hAnsi="Book Antiqua" w:cs="宋体"/>
          <w:i/>
          <w:iCs/>
          <w:sz w:val="24"/>
          <w:szCs w:val="24"/>
          <w:lang w:eastAsia="zh-CN"/>
        </w:rPr>
        <w:t xml:space="preserve">J </w:t>
      </w:r>
      <w:proofErr w:type="spellStart"/>
      <w:r w:rsidRPr="00417749">
        <w:rPr>
          <w:rFonts w:ascii="Book Antiqua" w:eastAsia="宋体" w:hAnsi="Book Antiqua" w:cs="宋体"/>
          <w:i/>
          <w:iCs/>
          <w:sz w:val="24"/>
          <w:szCs w:val="24"/>
          <w:lang w:eastAsia="zh-CN"/>
        </w:rPr>
        <w:t>Clin</w:t>
      </w:r>
      <w:proofErr w:type="spellEnd"/>
      <w:r w:rsidRPr="00417749">
        <w:rPr>
          <w:rFonts w:ascii="Book Antiqua" w:eastAsia="宋体" w:hAnsi="Book Antiqua" w:cs="宋体"/>
          <w:i/>
          <w:iCs/>
          <w:sz w:val="24"/>
          <w:szCs w:val="24"/>
          <w:lang w:eastAsia="zh-CN"/>
        </w:rPr>
        <w:t xml:space="preserve"> </w:t>
      </w:r>
      <w:proofErr w:type="spellStart"/>
      <w:r w:rsidRPr="00417749">
        <w:rPr>
          <w:rFonts w:ascii="Book Antiqua" w:eastAsia="宋体" w:hAnsi="Book Antiqua" w:cs="宋体"/>
          <w:i/>
          <w:iCs/>
          <w:sz w:val="24"/>
          <w:szCs w:val="24"/>
          <w:lang w:eastAsia="zh-CN"/>
        </w:rPr>
        <w:t>Oncol</w:t>
      </w:r>
      <w:proofErr w:type="spellEnd"/>
      <w:r w:rsidRPr="00417749">
        <w:rPr>
          <w:rFonts w:ascii="Book Antiqua" w:eastAsia="宋体" w:hAnsi="Book Antiqua" w:cs="宋体"/>
          <w:sz w:val="24"/>
          <w:szCs w:val="24"/>
          <w:lang w:eastAsia="zh-CN"/>
        </w:rPr>
        <w:t xml:space="preserve"> 2009; </w:t>
      </w:r>
      <w:r w:rsidRPr="00417749">
        <w:rPr>
          <w:rFonts w:ascii="Book Antiqua" w:eastAsia="宋体" w:hAnsi="Book Antiqua" w:cs="宋体"/>
          <w:b/>
          <w:bCs/>
          <w:sz w:val="24"/>
          <w:szCs w:val="24"/>
          <w:lang w:eastAsia="zh-CN"/>
        </w:rPr>
        <w:t>27</w:t>
      </w:r>
      <w:r w:rsidRPr="00417749">
        <w:rPr>
          <w:rFonts w:ascii="Book Antiqua" w:eastAsia="宋体" w:hAnsi="Book Antiqua" w:cs="宋体"/>
          <w:sz w:val="24"/>
          <w:szCs w:val="24"/>
          <w:lang w:eastAsia="zh-CN"/>
        </w:rPr>
        <w:t>: 1485-1491 [PMID: 19224838 DOI: 10.1200/JCO.2008.20.7753]</w:t>
      </w:r>
    </w:p>
    <w:p w14:paraId="51EFEB97" w14:textId="77777777" w:rsidR="00417749" w:rsidRPr="00417749" w:rsidRDefault="00417749" w:rsidP="00417749">
      <w:pPr>
        <w:spacing w:after="0" w:line="360" w:lineRule="auto"/>
        <w:jc w:val="both"/>
        <w:rPr>
          <w:rFonts w:ascii="Book Antiqua" w:eastAsia="宋体" w:hAnsi="Book Antiqua" w:cs="宋体"/>
          <w:sz w:val="24"/>
          <w:szCs w:val="24"/>
          <w:lang w:eastAsia="zh-CN"/>
        </w:rPr>
      </w:pPr>
      <w:proofErr w:type="gramStart"/>
      <w:r w:rsidRPr="00417749">
        <w:rPr>
          <w:rFonts w:ascii="Book Antiqua" w:eastAsia="宋体" w:hAnsi="Book Antiqua" w:cs="宋体"/>
          <w:sz w:val="24"/>
          <w:szCs w:val="24"/>
          <w:lang w:eastAsia="zh-CN"/>
        </w:rPr>
        <w:t xml:space="preserve">7 </w:t>
      </w:r>
      <w:proofErr w:type="spellStart"/>
      <w:r w:rsidRPr="00417749">
        <w:rPr>
          <w:rFonts w:ascii="Book Antiqua" w:eastAsia="宋体" w:hAnsi="Book Antiqua" w:cs="宋体"/>
          <w:b/>
          <w:bCs/>
          <w:sz w:val="24"/>
          <w:szCs w:val="24"/>
          <w:lang w:eastAsia="zh-CN"/>
        </w:rPr>
        <w:t>Bruix</w:t>
      </w:r>
      <w:proofErr w:type="spellEnd"/>
      <w:r w:rsidRPr="00417749">
        <w:rPr>
          <w:rFonts w:ascii="Book Antiqua" w:eastAsia="宋体" w:hAnsi="Book Antiqua" w:cs="宋体"/>
          <w:b/>
          <w:bCs/>
          <w:sz w:val="24"/>
          <w:szCs w:val="24"/>
          <w:lang w:eastAsia="zh-CN"/>
        </w:rPr>
        <w:t xml:space="preserve"> J</w:t>
      </w:r>
      <w:r w:rsidRPr="00417749">
        <w:rPr>
          <w:rFonts w:ascii="Book Antiqua" w:eastAsia="宋体" w:hAnsi="Book Antiqua" w:cs="宋体"/>
          <w:sz w:val="24"/>
          <w:szCs w:val="24"/>
          <w:lang w:eastAsia="zh-CN"/>
        </w:rPr>
        <w:t>, Sherman M. Management of hepatocellular carcinoma.</w:t>
      </w:r>
      <w:proofErr w:type="gramEnd"/>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i/>
          <w:iCs/>
          <w:sz w:val="24"/>
          <w:szCs w:val="24"/>
          <w:lang w:eastAsia="zh-CN"/>
        </w:rPr>
        <w:t>Hepatology</w:t>
      </w:r>
      <w:proofErr w:type="spellEnd"/>
      <w:r w:rsidRPr="00417749">
        <w:rPr>
          <w:rFonts w:ascii="Book Antiqua" w:eastAsia="宋体" w:hAnsi="Book Antiqua" w:cs="宋体"/>
          <w:sz w:val="24"/>
          <w:szCs w:val="24"/>
          <w:lang w:eastAsia="zh-CN"/>
        </w:rPr>
        <w:t xml:space="preserve"> 2005; </w:t>
      </w:r>
      <w:r w:rsidRPr="00417749">
        <w:rPr>
          <w:rFonts w:ascii="Book Antiqua" w:eastAsia="宋体" w:hAnsi="Book Antiqua" w:cs="宋体"/>
          <w:b/>
          <w:bCs/>
          <w:sz w:val="24"/>
          <w:szCs w:val="24"/>
          <w:lang w:eastAsia="zh-CN"/>
        </w:rPr>
        <w:t>42</w:t>
      </w:r>
      <w:r w:rsidRPr="00417749">
        <w:rPr>
          <w:rFonts w:ascii="Book Antiqua" w:eastAsia="宋体" w:hAnsi="Book Antiqua" w:cs="宋体"/>
          <w:sz w:val="24"/>
          <w:szCs w:val="24"/>
          <w:lang w:eastAsia="zh-CN"/>
        </w:rPr>
        <w:t>: 1208-1236 [PMID: 16250051 DOI: 10.1002/hep.20933]</w:t>
      </w:r>
    </w:p>
    <w:p w14:paraId="7C2DD605" w14:textId="77777777"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 xml:space="preserve">8 </w:t>
      </w:r>
      <w:proofErr w:type="spellStart"/>
      <w:r w:rsidRPr="00417749">
        <w:rPr>
          <w:rFonts w:ascii="Book Antiqua" w:eastAsia="宋体" w:hAnsi="Book Antiqua" w:cs="宋体"/>
          <w:b/>
          <w:bCs/>
          <w:sz w:val="24"/>
          <w:szCs w:val="24"/>
          <w:lang w:eastAsia="zh-CN"/>
        </w:rPr>
        <w:t>Targher</w:t>
      </w:r>
      <w:proofErr w:type="spellEnd"/>
      <w:r w:rsidRPr="00417749">
        <w:rPr>
          <w:rFonts w:ascii="Book Antiqua" w:eastAsia="宋体" w:hAnsi="Book Antiqua" w:cs="宋体"/>
          <w:b/>
          <w:bCs/>
          <w:sz w:val="24"/>
          <w:szCs w:val="24"/>
          <w:lang w:eastAsia="zh-CN"/>
        </w:rPr>
        <w:t xml:space="preserve"> G</w:t>
      </w:r>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sz w:val="24"/>
          <w:szCs w:val="24"/>
          <w:lang w:eastAsia="zh-CN"/>
        </w:rPr>
        <w:t>Bertolini</w:t>
      </w:r>
      <w:proofErr w:type="spellEnd"/>
      <w:r w:rsidRPr="00417749">
        <w:rPr>
          <w:rFonts w:ascii="Book Antiqua" w:eastAsia="宋体" w:hAnsi="Book Antiqua" w:cs="宋体"/>
          <w:sz w:val="24"/>
          <w:szCs w:val="24"/>
          <w:lang w:eastAsia="zh-CN"/>
        </w:rPr>
        <w:t xml:space="preserve"> L, </w:t>
      </w:r>
      <w:proofErr w:type="spellStart"/>
      <w:r w:rsidRPr="00417749">
        <w:rPr>
          <w:rFonts w:ascii="Book Antiqua" w:eastAsia="宋体" w:hAnsi="Book Antiqua" w:cs="宋体"/>
          <w:sz w:val="24"/>
          <w:szCs w:val="24"/>
          <w:lang w:eastAsia="zh-CN"/>
        </w:rPr>
        <w:t>Padovani</w:t>
      </w:r>
      <w:proofErr w:type="spellEnd"/>
      <w:r w:rsidRPr="00417749">
        <w:rPr>
          <w:rFonts w:ascii="Book Antiqua" w:eastAsia="宋体" w:hAnsi="Book Antiqua" w:cs="宋体"/>
          <w:sz w:val="24"/>
          <w:szCs w:val="24"/>
          <w:lang w:eastAsia="zh-CN"/>
        </w:rPr>
        <w:t xml:space="preserve"> R, </w:t>
      </w:r>
      <w:proofErr w:type="spellStart"/>
      <w:r w:rsidRPr="00417749">
        <w:rPr>
          <w:rFonts w:ascii="Book Antiqua" w:eastAsia="宋体" w:hAnsi="Book Antiqua" w:cs="宋体"/>
          <w:sz w:val="24"/>
          <w:szCs w:val="24"/>
          <w:lang w:eastAsia="zh-CN"/>
        </w:rPr>
        <w:t>Rodella</w:t>
      </w:r>
      <w:proofErr w:type="spellEnd"/>
      <w:r w:rsidRPr="00417749">
        <w:rPr>
          <w:rFonts w:ascii="Book Antiqua" w:eastAsia="宋体" w:hAnsi="Book Antiqua" w:cs="宋体"/>
          <w:sz w:val="24"/>
          <w:szCs w:val="24"/>
          <w:lang w:eastAsia="zh-CN"/>
        </w:rPr>
        <w:t xml:space="preserve"> S, </w:t>
      </w:r>
      <w:proofErr w:type="spellStart"/>
      <w:r w:rsidRPr="00417749">
        <w:rPr>
          <w:rFonts w:ascii="Book Antiqua" w:eastAsia="宋体" w:hAnsi="Book Antiqua" w:cs="宋体"/>
          <w:sz w:val="24"/>
          <w:szCs w:val="24"/>
          <w:lang w:eastAsia="zh-CN"/>
        </w:rPr>
        <w:t>Tessari</w:t>
      </w:r>
      <w:proofErr w:type="spellEnd"/>
      <w:r w:rsidRPr="00417749">
        <w:rPr>
          <w:rFonts w:ascii="Book Antiqua" w:eastAsia="宋体" w:hAnsi="Book Antiqua" w:cs="宋体"/>
          <w:sz w:val="24"/>
          <w:szCs w:val="24"/>
          <w:lang w:eastAsia="zh-CN"/>
        </w:rPr>
        <w:t xml:space="preserve"> R, </w:t>
      </w:r>
      <w:proofErr w:type="spellStart"/>
      <w:r w:rsidRPr="00417749">
        <w:rPr>
          <w:rFonts w:ascii="Book Antiqua" w:eastAsia="宋体" w:hAnsi="Book Antiqua" w:cs="宋体"/>
          <w:sz w:val="24"/>
          <w:szCs w:val="24"/>
          <w:lang w:eastAsia="zh-CN"/>
        </w:rPr>
        <w:t>Zenari</w:t>
      </w:r>
      <w:proofErr w:type="spellEnd"/>
      <w:r w:rsidRPr="00417749">
        <w:rPr>
          <w:rFonts w:ascii="Book Antiqua" w:eastAsia="宋体" w:hAnsi="Book Antiqua" w:cs="宋体"/>
          <w:sz w:val="24"/>
          <w:szCs w:val="24"/>
          <w:lang w:eastAsia="zh-CN"/>
        </w:rPr>
        <w:t xml:space="preserve"> L, Day C, Arcaro G. Prevalence of nonalcoholic fatty liver disease and its association with cardiovascular disease among type 2 diabetic patients. </w:t>
      </w:r>
      <w:r w:rsidRPr="00417749">
        <w:rPr>
          <w:rFonts w:ascii="Book Antiqua" w:eastAsia="宋体" w:hAnsi="Book Antiqua" w:cs="宋体"/>
          <w:i/>
          <w:iCs/>
          <w:sz w:val="24"/>
          <w:szCs w:val="24"/>
          <w:lang w:eastAsia="zh-CN"/>
        </w:rPr>
        <w:t>Diabetes Care</w:t>
      </w:r>
      <w:r w:rsidRPr="00417749">
        <w:rPr>
          <w:rFonts w:ascii="Book Antiqua" w:eastAsia="宋体" w:hAnsi="Book Antiqua" w:cs="宋体"/>
          <w:sz w:val="24"/>
          <w:szCs w:val="24"/>
          <w:lang w:eastAsia="zh-CN"/>
        </w:rPr>
        <w:t xml:space="preserve"> 2007; </w:t>
      </w:r>
      <w:r w:rsidRPr="00417749">
        <w:rPr>
          <w:rFonts w:ascii="Book Antiqua" w:eastAsia="宋体" w:hAnsi="Book Antiqua" w:cs="宋体"/>
          <w:b/>
          <w:bCs/>
          <w:sz w:val="24"/>
          <w:szCs w:val="24"/>
          <w:lang w:eastAsia="zh-CN"/>
        </w:rPr>
        <w:t>30</w:t>
      </w:r>
      <w:r w:rsidRPr="00417749">
        <w:rPr>
          <w:rFonts w:ascii="Book Antiqua" w:eastAsia="宋体" w:hAnsi="Book Antiqua" w:cs="宋体"/>
          <w:sz w:val="24"/>
          <w:szCs w:val="24"/>
          <w:lang w:eastAsia="zh-CN"/>
        </w:rPr>
        <w:t>: 1212-1218 [PMID: 17277038 DOI: 10.2337/dc06-2247]</w:t>
      </w:r>
    </w:p>
    <w:p w14:paraId="057879AD" w14:textId="77777777"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 xml:space="preserve">9 </w:t>
      </w:r>
      <w:proofErr w:type="spellStart"/>
      <w:r w:rsidRPr="00417749">
        <w:rPr>
          <w:rFonts w:ascii="Book Antiqua" w:eastAsia="宋体" w:hAnsi="Book Antiqua" w:cs="宋体"/>
          <w:b/>
          <w:bCs/>
          <w:sz w:val="24"/>
          <w:szCs w:val="24"/>
          <w:lang w:eastAsia="zh-CN"/>
        </w:rPr>
        <w:t>Leite</w:t>
      </w:r>
      <w:proofErr w:type="spellEnd"/>
      <w:r w:rsidRPr="00417749">
        <w:rPr>
          <w:rFonts w:ascii="Book Antiqua" w:eastAsia="宋体" w:hAnsi="Book Antiqua" w:cs="宋体"/>
          <w:b/>
          <w:bCs/>
          <w:sz w:val="24"/>
          <w:szCs w:val="24"/>
          <w:lang w:eastAsia="zh-CN"/>
        </w:rPr>
        <w:t xml:space="preserve"> NC</w:t>
      </w:r>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sz w:val="24"/>
          <w:szCs w:val="24"/>
          <w:lang w:eastAsia="zh-CN"/>
        </w:rPr>
        <w:t>Salles</w:t>
      </w:r>
      <w:proofErr w:type="spellEnd"/>
      <w:r w:rsidRPr="00417749">
        <w:rPr>
          <w:rFonts w:ascii="Book Antiqua" w:eastAsia="宋体" w:hAnsi="Book Antiqua" w:cs="宋体"/>
          <w:sz w:val="24"/>
          <w:szCs w:val="24"/>
          <w:lang w:eastAsia="zh-CN"/>
        </w:rPr>
        <w:t xml:space="preserve"> GF, </w:t>
      </w:r>
      <w:proofErr w:type="spellStart"/>
      <w:r w:rsidRPr="00417749">
        <w:rPr>
          <w:rFonts w:ascii="Book Antiqua" w:eastAsia="宋体" w:hAnsi="Book Antiqua" w:cs="宋体"/>
          <w:sz w:val="24"/>
          <w:szCs w:val="24"/>
          <w:lang w:eastAsia="zh-CN"/>
        </w:rPr>
        <w:t>Araujo</w:t>
      </w:r>
      <w:proofErr w:type="spellEnd"/>
      <w:r w:rsidRPr="00417749">
        <w:rPr>
          <w:rFonts w:ascii="Book Antiqua" w:eastAsia="宋体" w:hAnsi="Book Antiqua" w:cs="宋体"/>
          <w:sz w:val="24"/>
          <w:szCs w:val="24"/>
          <w:lang w:eastAsia="zh-CN"/>
        </w:rPr>
        <w:t xml:space="preserve"> AL, </w:t>
      </w:r>
      <w:proofErr w:type="spellStart"/>
      <w:r w:rsidRPr="00417749">
        <w:rPr>
          <w:rFonts w:ascii="Book Antiqua" w:eastAsia="宋体" w:hAnsi="Book Antiqua" w:cs="宋体"/>
          <w:sz w:val="24"/>
          <w:szCs w:val="24"/>
          <w:lang w:eastAsia="zh-CN"/>
        </w:rPr>
        <w:t>Villela-Nogueira</w:t>
      </w:r>
      <w:proofErr w:type="spellEnd"/>
      <w:r w:rsidRPr="00417749">
        <w:rPr>
          <w:rFonts w:ascii="Book Antiqua" w:eastAsia="宋体" w:hAnsi="Book Antiqua" w:cs="宋体"/>
          <w:sz w:val="24"/>
          <w:szCs w:val="24"/>
          <w:lang w:eastAsia="zh-CN"/>
        </w:rPr>
        <w:t xml:space="preserve"> CA, Cardoso CR. Prevalence and associated factors of non-alcoholic fatty liver disease in patients with type-2 diabetes </w:t>
      </w:r>
      <w:r w:rsidRPr="00417749">
        <w:rPr>
          <w:rFonts w:ascii="Book Antiqua" w:eastAsia="宋体" w:hAnsi="Book Antiqua" w:cs="宋体"/>
          <w:sz w:val="24"/>
          <w:szCs w:val="24"/>
          <w:lang w:eastAsia="zh-CN"/>
        </w:rPr>
        <w:lastRenderedPageBreak/>
        <w:t xml:space="preserve">mellitus. </w:t>
      </w:r>
      <w:r w:rsidRPr="00417749">
        <w:rPr>
          <w:rFonts w:ascii="Book Antiqua" w:eastAsia="宋体" w:hAnsi="Book Antiqua" w:cs="宋体"/>
          <w:i/>
          <w:iCs/>
          <w:sz w:val="24"/>
          <w:szCs w:val="24"/>
          <w:lang w:eastAsia="zh-CN"/>
        </w:rPr>
        <w:t xml:space="preserve">Liver </w:t>
      </w:r>
      <w:proofErr w:type="spellStart"/>
      <w:r w:rsidRPr="00417749">
        <w:rPr>
          <w:rFonts w:ascii="Book Antiqua" w:eastAsia="宋体" w:hAnsi="Book Antiqua" w:cs="宋体"/>
          <w:i/>
          <w:iCs/>
          <w:sz w:val="24"/>
          <w:szCs w:val="24"/>
          <w:lang w:eastAsia="zh-CN"/>
        </w:rPr>
        <w:t>Int</w:t>
      </w:r>
      <w:proofErr w:type="spellEnd"/>
      <w:r w:rsidRPr="00417749">
        <w:rPr>
          <w:rFonts w:ascii="Book Antiqua" w:eastAsia="宋体" w:hAnsi="Book Antiqua" w:cs="宋体"/>
          <w:sz w:val="24"/>
          <w:szCs w:val="24"/>
          <w:lang w:eastAsia="zh-CN"/>
        </w:rPr>
        <w:t xml:space="preserve"> 2009; </w:t>
      </w:r>
      <w:r w:rsidRPr="00417749">
        <w:rPr>
          <w:rFonts w:ascii="Book Antiqua" w:eastAsia="宋体" w:hAnsi="Book Antiqua" w:cs="宋体"/>
          <w:b/>
          <w:bCs/>
          <w:sz w:val="24"/>
          <w:szCs w:val="24"/>
          <w:lang w:eastAsia="zh-CN"/>
        </w:rPr>
        <w:t>29</w:t>
      </w:r>
      <w:r w:rsidRPr="00417749">
        <w:rPr>
          <w:rFonts w:ascii="Book Antiqua" w:eastAsia="宋体" w:hAnsi="Book Antiqua" w:cs="宋体"/>
          <w:sz w:val="24"/>
          <w:szCs w:val="24"/>
          <w:lang w:eastAsia="zh-CN"/>
        </w:rPr>
        <w:t>: 113-119 [PMID: 18384521 DOI: 10.1111/j.1478-3231.2008.01718.x]</w:t>
      </w:r>
    </w:p>
    <w:p w14:paraId="79E09F10" w14:textId="77777777" w:rsidR="00417749" w:rsidRPr="00417749" w:rsidRDefault="00417749" w:rsidP="00417749">
      <w:pPr>
        <w:spacing w:after="0" w:line="360" w:lineRule="auto"/>
        <w:jc w:val="both"/>
        <w:rPr>
          <w:rFonts w:ascii="Book Antiqua" w:eastAsia="宋体" w:hAnsi="Book Antiqua" w:cs="宋体"/>
          <w:sz w:val="24"/>
          <w:szCs w:val="24"/>
          <w:lang w:eastAsia="zh-CN"/>
        </w:rPr>
      </w:pPr>
      <w:proofErr w:type="gramStart"/>
      <w:r w:rsidRPr="00417749">
        <w:rPr>
          <w:rFonts w:ascii="Book Antiqua" w:eastAsia="宋体" w:hAnsi="Book Antiqua" w:cs="宋体"/>
          <w:sz w:val="24"/>
          <w:szCs w:val="24"/>
          <w:lang w:eastAsia="zh-CN"/>
        </w:rPr>
        <w:t xml:space="preserve">10 </w:t>
      </w:r>
      <w:r w:rsidRPr="00417749">
        <w:rPr>
          <w:rFonts w:ascii="Book Antiqua" w:eastAsia="宋体" w:hAnsi="Book Antiqua" w:cs="宋体"/>
          <w:b/>
          <w:bCs/>
          <w:sz w:val="24"/>
          <w:szCs w:val="24"/>
          <w:lang w:eastAsia="zh-CN"/>
        </w:rPr>
        <w:t>McCullough AJ</w:t>
      </w:r>
      <w:r w:rsidRPr="00417749">
        <w:rPr>
          <w:rFonts w:ascii="Book Antiqua" w:eastAsia="宋体" w:hAnsi="Book Antiqua" w:cs="宋体"/>
          <w:sz w:val="24"/>
          <w:szCs w:val="24"/>
          <w:lang w:eastAsia="zh-CN"/>
        </w:rPr>
        <w:t>.</w:t>
      </w:r>
      <w:proofErr w:type="gramEnd"/>
      <w:r w:rsidRPr="00417749">
        <w:rPr>
          <w:rFonts w:ascii="Book Antiqua" w:eastAsia="宋体" w:hAnsi="Book Antiqua" w:cs="宋体"/>
          <w:sz w:val="24"/>
          <w:szCs w:val="24"/>
          <w:lang w:eastAsia="zh-CN"/>
        </w:rPr>
        <w:t xml:space="preserve"> </w:t>
      </w:r>
      <w:proofErr w:type="gramStart"/>
      <w:r w:rsidRPr="00417749">
        <w:rPr>
          <w:rFonts w:ascii="Book Antiqua" w:eastAsia="宋体" w:hAnsi="Book Antiqua" w:cs="宋体"/>
          <w:sz w:val="24"/>
          <w:szCs w:val="24"/>
          <w:lang w:eastAsia="zh-CN"/>
        </w:rPr>
        <w:t>The clinical features, diagnosis and natural history of nonalcoholic fatty liver disease.</w:t>
      </w:r>
      <w:proofErr w:type="gramEnd"/>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i/>
          <w:iCs/>
          <w:sz w:val="24"/>
          <w:szCs w:val="24"/>
          <w:lang w:eastAsia="zh-CN"/>
        </w:rPr>
        <w:t>Clin</w:t>
      </w:r>
      <w:proofErr w:type="spellEnd"/>
      <w:r w:rsidRPr="00417749">
        <w:rPr>
          <w:rFonts w:ascii="Book Antiqua" w:eastAsia="宋体" w:hAnsi="Book Antiqua" w:cs="宋体"/>
          <w:i/>
          <w:iCs/>
          <w:sz w:val="24"/>
          <w:szCs w:val="24"/>
          <w:lang w:eastAsia="zh-CN"/>
        </w:rPr>
        <w:t xml:space="preserve"> Liver Dis</w:t>
      </w:r>
      <w:r w:rsidRPr="00417749">
        <w:rPr>
          <w:rFonts w:ascii="Book Antiqua" w:eastAsia="宋体" w:hAnsi="Book Antiqua" w:cs="宋体"/>
          <w:sz w:val="24"/>
          <w:szCs w:val="24"/>
          <w:lang w:eastAsia="zh-CN"/>
        </w:rPr>
        <w:t xml:space="preserve"> 2004; </w:t>
      </w:r>
      <w:r w:rsidRPr="00417749">
        <w:rPr>
          <w:rFonts w:ascii="Book Antiqua" w:eastAsia="宋体" w:hAnsi="Book Antiqua" w:cs="宋体"/>
          <w:b/>
          <w:bCs/>
          <w:sz w:val="24"/>
          <w:szCs w:val="24"/>
          <w:lang w:eastAsia="zh-CN"/>
        </w:rPr>
        <w:t>8</w:t>
      </w:r>
      <w:r w:rsidRPr="00417749">
        <w:rPr>
          <w:rFonts w:ascii="Book Antiqua" w:eastAsia="宋体" w:hAnsi="Book Antiqua" w:cs="宋体"/>
          <w:sz w:val="24"/>
          <w:szCs w:val="24"/>
          <w:lang w:eastAsia="zh-CN"/>
        </w:rPr>
        <w:t>: 521-33, viii [PMID: 15331061 DOI: 10.1016/j.cld.2004.04.004]</w:t>
      </w:r>
    </w:p>
    <w:p w14:paraId="39431203" w14:textId="77777777" w:rsidR="00417749" w:rsidRPr="00417749" w:rsidRDefault="00417749" w:rsidP="00417749">
      <w:pPr>
        <w:spacing w:after="0" w:line="360" w:lineRule="auto"/>
        <w:jc w:val="both"/>
        <w:rPr>
          <w:rFonts w:ascii="Book Antiqua" w:eastAsia="宋体" w:hAnsi="Book Antiqua" w:cs="宋体"/>
          <w:sz w:val="24"/>
          <w:szCs w:val="24"/>
          <w:lang w:eastAsia="zh-CN"/>
        </w:rPr>
      </w:pPr>
      <w:proofErr w:type="gramStart"/>
      <w:r w:rsidRPr="00417749">
        <w:rPr>
          <w:rFonts w:ascii="Book Antiqua" w:eastAsia="宋体" w:hAnsi="Book Antiqua" w:cs="宋体"/>
          <w:sz w:val="24"/>
          <w:szCs w:val="24"/>
          <w:lang w:eastAsia="zh-CN"/>
        </w:rPr>
        <w:t xml:space="preserve">11 </w:t>
      </w:r>
      <w:proofErr w:type="spellStart"/>
      <w:r w:rsidRPr="00417749">
        <w:rPr>
          <w:rFonts w:ascii="Book Antiqua" w:eastAsia="宋体" w:hAnsi="Book Antiqua" w:cs="宋体"/>
          <w:b/>
          <w:bCs/>
          <w:sz w:val="24"/>
          <w:szCs w:val="24"/>
          <w:lang w:eastAsia="zh-CN"/>
        </w:rPr>
        <w:t>Ascha</w:t>
      </w:r>
      <w:proofErr w:type="spellEnd"/>
      <w:r w:rsidRPr="00417749">
        <w:rPr>
          <w:rFonts w:ascii="Book Antiqua" w:eastAsia="宋体" w:hAnsi="Book Antiqua" w:cs="宋体"/>
          <w:b/>
          <w:bCs/>
          <w:sz w:val="24"/>
          <w:szCs w:val="24"/>
          <w:lang w:eastAsia="zh-CN"/>
        </w:rPr>
        <w:t xml:space="preserve"> MS</w:t>
      </w:r>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sz w:val="24"/>
          <w:szCs w:val="24"/>
          <w:lang w:eastAsia="zh-CN"/>
        </w:rPr>
        <w:t>Hanouneh</w:t>
      </w:r>
      <w:proofErr w:type="spellEnd"/>
      <w:r w:rsidRPr="00417749">
        <w:rPr>
          <w:rFonts w:ascii="Book Antiqua" w:eastAsia="宋体" w:hAnsi="Book Antiqua" w:cs="宋体"/>
          <w:sz w:val="24"/>
          <w:szCs w:val="24"/>
          <w:lang w:eastAsia="zh-CN"/>
        </w:rPr>
        <w:t xml:space="preserve"> IA, Lopez R, </w:t>
      </w:r>
      <w:proofErr w:type="spellStart"/>
      <w:r w:rsidRPr="00417749">
        <w:rPr>
          <w:rFonts w:ascii="Book Antiqua" w:eastAsia="宋体" w:hAnsi="Book Antiqua" w:cs="宋体"/>
          <w:sz w:val="24"/>
          <w:szCs w:val="24"/>
          <w:lang w:eastAsia="zh-CN"/>
        </w:rPr>
        <w:t>Tamimi</w:t>
      </w:r>
      <w:proofErr w:type="spellEnd"/>
      <w:r w:rsidRPr="00417749">
        <w:rPr>
          <w:rFonts w:ascii="Book Antiqua" w:eastAsia="宋体" w:hAnsi="Book Antiqua" w:cs="宋体"/>
          <w:sz w:val="24"/>
          <w:szCs w:val="24"/>
          <w:lang w:eastAsia="zh-CN"/>
        </w:rPr>
        <w:t xml:space="preserve"> TA, Feldstein AF, </w:t>
      </w:r>
      <w:proofErr w:type="spellStart"/>
      <w:r w:rsidRPr="00417749">
        <w:rPr>
          <w:rFonts w:ascii="Book Antiqua" w:eastAsia="宋体" w:hAnsi="Book Antiqua" w:cs="宋体"/>
          <w:sz w:val="24"/>
          <w:szCs w:val="24"/>
          <w:lang w:eastAsia="zh-CN"/>
        </w:rPr>
        <w:t>Zein</w:t>
      </w:r>
      <w:proofErr w:type="spellEnd"/>
      <w:r w:rsidRPr="00417749">
        <w:rPr>
          <w:rFonts w:ascii="Book Antiqua" w:eastAsia="宋体" w:hAnsi="Book Antiqua" w:cs="宋体"/>
          <w:sz w:val="24"/>
          <w:szCs w:val="24"/>
          <w:lang w:eastAsia="zh-CN"/>
        </w:rPr>
        <w:t xml:space="preserve"> NN.</w:t>
      </w:r>
      <w:proofErr w:type="gramEnd"/>
      <w:r w:rsidRPr="00417749">
        <w:rPr>
          <w:rFonts w:ascii="Book Antiqua" w:eastAsia="宋体" w:hAnsi="Book Antiqua" w:cs="宋体"/>
          <w:sz w:val="24"/>
          <w:szCs w:val="24"/>
          <w:lang w:eastAsia="zh-CN"/>
        </w:rPr>
        <w:t xml:space="preserve"> </w:t>
      </w:r>
      <w:proofErr w:type="gramStart"/>
      <w:r w:rsidRPr="00417749">
        <w:rPr>
          <w:rFonts w:ascii="Book Antiqua" w:eastAsia="宋体" w:hAnsi="Book Antiqua" w:cs="宋体"/>
          <w:sz w:val="24"/>
          <w:szCs w:val="24"/>
          <w:lang w:eastAsia="zh-CN"/>
        </w:rPr>
        <w:t xml:space="preserve">The incidence and risk factors of hepatocellular carcinoma in patients with nonalcoholic </w:t>
      </w:r>
      <w:proofErr w:type="spellStart"/>
      <w:r w:rsidRPr="00417749">
        <w:rPr>
          <w:rFonts w:ascii="Book Antiqua" w:eastAsia="宋体" w:hAnsi="Book Antiqua" w:cs="宋体"/>
          <w:sz w:val="24"/>
          <w:szCs w:val="24"/>
          <w:lang w:eastAsia="zh-CN"/>
        </w:rPr>
        <w:t>steatohepatitis</w:t>
      </w:r>
      <w:proofErr w:type="spellEnd"/>
      <w:r w:rsidRPr="00417749">
        <w:rPr>
          <w:rFonts w:ascii="Book Antiqua" w:eastAsia="宋体" w:hAnsi="Book Antiqua" w:cs="宋体"/>
          <w:sz w:val="24"/>
          <w:szCs w:val="24"/>
          <w:lang w:eastAsia="zh-CN"/>
        </w:rPr>
        <w:t>.</w:t>
      </w:r>
      <w:proofErr w:type="gramEnd"/>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i/>
          <w:iCs/>
          <w:sz w:val="24"/>
          <w:szCs w:val="24"/>
          <w:lang w:eastAsia="zh-CN"/>
        </w:rPr>
        <w:t>Hepatology</w:t>
      </w:r>
      <w:proofErr w:type="spellEnd"/>
      <w:r w:rsidRPr="00417749">
        <w:rPr>
          <w:rFonts w:ascii="Book Antiqua" w:eastAsia="宋体" w:hAnsi="Book Antiqua" w:cs="宋体"/>
          <w:sz w:val="24"/>
          <w:szCs w:val="24"/>
          <w:lang w:eastAsia="zh-CN"/>
        </w:rPr>
        <w:t xml:space="preserve"> 2010; </w:t>
      </w:r>
      <w:r w:rsidRPr="00417749">
        <w:rPr>
          <w:rFonts w:ascii="Book Antiqua" w:eastAsia="宋体" w:hAnsi="Book Antiqua" w:cs="宋体"/>
          <w:b/>
          <w:bCs/>
          <w:sz w:val="24"/>
          <w:szCs w:val="24"/>
          <w:lang w:eastAsia="zh-CN"/>
        </w:rPr>
        <w:t>51</w:t>
      </w:r>
      <w:r w:rsidRPr="00417749">
        <w:rPr>
          <w:rFonts w:ascii="Book Antiqua" w:eastAsia="宋体" w:hAnsi="Book Antiqua" w:cs="宋体"/>
          <w:sz w:val="24"/>
          <w:szCs w:val="24"/>
          <w:lang w:eastAsia="zh-CN"/>
        </w:rPr>
        <w:t>: 1972-1978 [PMID: 20209604 DOI: 10.1002/hep.23527]</w:t>
      </w:r>
    </w:p>
    <w:p w14:paraId="5D16D7D4" w14:textId="77777777"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 xml:space="preserve">12 </w:t>
      </w:r>
      <w:r w:rsidRPr="00417749">
        <w:rPr>
          <w:rFonts w:ascii="Book Antiqua" w:eastAsia="宋体" w:hAnsi="Book Antiqua" w:cs="宋体"/>
          <w:b/>
          <w:bCs/>
          <w:sz w:val="24"/>
          <w:szCs w:val="24"/>
          <w:lang w:eastAsia="zh-CN"/>
        </w:rPr>
        <w:t>Wong RJ</w:t>
      </w:r>
      <w:r w:rsidRPr="00417749">
        <w:rPr>
          <w:rFonts w:ascii="Book Antiqua" w:eastAsia="宋体" w:hAnsi="Book Antiqua" w:cs="宋体"/>
          <w:sz w:val="24"/>
          <w:szCs w:val="24"/>
          <w:lang w:eastAsia="zh-CN"/>
        </w:rPr>
        <w:t xml:space="preserve">, Cheung R, Ahmed A. Nonalcoholic </w:t>
      </w:r>
      <w:proofErr w:type="spellStart"/>
      <w:r w:rsidRPr="00417749">
        <w:rPr>
          <w:rFonts w:ascii="Book Antiqua" w:eastAsia="宋体" w:hAnsi="Book Antiqua" w:cs="宋体"/>
          <w:sz w:val="24"/>
          <w:szCs w:val="24"/>
          <w:lang w:eastAsia="zh-CN"/>
        </w:rPr>
        <w:t>steatohepatitis</w:t>
      </w:r>
      <w:proofErr w:type="spellEnd"/>
      <w:r w:rsidRPr="00417749">
        <w:rPr>
          <w:rFonts w:ascii="Book Antiqua" w:eastAsia="宋体" w:hAnsi="Book Antiqua" w:cs="宋体"/>
          <w:sz w:val="24"/>
          <w:szCs w:val="24"/>
          <w:lang w:eastAsia="zh-CN"/>
        </w:rPr>
        <w:t xml:space="preserve"> is the most rapidly growing indication for liver transplantation in patients with hepatocellular carcinoma in the U.S. </w:t>
      </w:r>
      <w:proofErr w:type="spellStart"/>
      <w:r w:rsidRPr="00417749">
        <w:rPr>
          <w:rFonts w:ascii="Book Antiqua" w:eastAsia="宋体" w:hAnsi="Book Antiqua" w:cs="宋体"/>
          <w:i/>
          <w:iCs/>
          <w:sz w:val="24"/>
          <w:szCs w:val="24"/>
          <w:lang w:eastAsia="zh-CN"/>
        </w:rPr>
        <w:t>Hepatology</w:t>
      </w:r>
      <w:proofErr w:type="spellEnd"/>
      <w:r w:rsidRPr="00417749">
        <w:rPr>
          <w:rFonts w:ascii="Book Antiqua" w:eastAsia="宋体" w:hAnsi="Book Antiqua" w:cs="宋体"/>
          <w:sz w:val="24"/>
          <w:szCs w:val="24"/>
          <w:lang w:eastAsia="zh-CN"/>
        </w:rPr>
        <w:t xml:space="preserve"> 2014; </w:t>
      </w:r>
      <w:r w:rsidRPr="00417749">
        <w:rPr>
          <w:rFonts w:ascii="Book Antiqua" w:eastAsia="宋体" w:hAnsi="Book Antiqua" w:cs="宋体"/>
          <w:b/>
          <w:bCs/>
          <w:sz w:val="24"/>
          <w:szCs w:val="24"/>
          <w:lang w:eastAsia="zh-CN"/>
        </w:rPr>
        <w:t>59</w:t>
      </w:r>
      <w:r w:rsidRPr="00417749">
        <w:rPr>
          <w:rFonts w:ascii="Book Antiqua" w:eastAsia="宋体" w:hAnsi="Book Antiqua" w:cs="宋体"/>
          <w:sz w:val="24"/>
          <w:szCs w:val="24"/>
          <w:lang w:eastAsia="zh-CN"/>
        </w:rPr>
        <w:t>: 2188-2195 [PMID: 24375711]</w:t>
      </w:r>
    </w:p>
    <w:p w14:paraId="5062B895" w14:textId="77777777"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 xml:space="preserve">13 </w:t>
      </w:r>
      <w:r w:rsidRPr="00417749">
        <w:rPr>
          <w:rFonts w:ascii="Book Antiqua" w:eastAsia="宋体" w:hAnsi="Book Antiqua" w:cs="宋体"/>
          <w:b/>
          <w:bCs/>
          <w:sz w:val="24"/>
          <w:szCs w:val="24"/>
          <w:lang w:eastAsia="zh-CN"/>
        </w:rPr>
        <w:t>Wong RJ</w:t>
      </w:r>
      <w:r w:rsidRPr="00417749">
        <w:rPr>
          <w:rFonts w:ascii="Book Antiqua" w:eastAsia="宋体" w:hAnsi="Book Antiqua" w:cs="宋体"/>
          <w:sz w:val="24"/>
          <w:szCs w:val="24"/>
          <w:lang w:eastAsia="zh-CN"/>
        </w:rPr>
        <w:t xml:space="preserve">, Aguilar M, Cheung R, </w:t>
      </w:r>
      <w:proofErr w:type="spellStart"/>
      <w:r w:rsidRPr="00417749">
        <w:rPr>
          <w:rFonts w:ascii="Book Antiqua" w:eastAsia="宋体" w:hAnsi="Book Antiqua" w:cs="宋体"/>
          <w:sz w:val="24"/>
          <w:szCs w:val="24"/>
          <w:lang w:eastAsia="zh-CN"/>
        </w:rPr>
        <w:t>Perumpail</w:t>
      </w:r>
      <w:proofErr w:type="spellEnd"/>
      <w:r w:rsidRPr="00417749">
        <w:rPr>
          <w:rFonts w:ascii="Book Antiqua" w:eastAsia="宋体" w:hAnsi="Book Antiqua" w:cs="宋体"/>
          <w:sz w:val="24"/>
          <w:szCs w:val="24"/>
          <w:lang w:eastAsia="zh-CN"/>
        </w:rPr>
        <w:t xml:space="preserve"> RB, Harrison SA, </w:t>
      </w:r>
      <w:proofErr w:type="spellStart"/>
      <w:r w:rsidRPr="00417749">
        <w:rPr>
          <w:rFonts w:ascii="Book Antiqua" w:eastAsia="宋体" w:hAnsi="Book Antiqua" w:cs="宋体"/>
          <w:sz w:val="24"/>
          <w:szCs w:val="24"/>
          <w:lang w:eastAsia="zh-CN"/>
        </w:rPr>
        <w:t>Younossi</w:t>
      </w:r>
      <w:proofErr w:type="spellEnd"/>
      <w:r w:rsidRPr="00417749">
        <w:rPr>
          <w:rFonts w:ascii="Book Antiqua" w:eastAsia="宋体" w:hAnsi="Book Antiqua" w:cs="宋体"/>
          <w:sz w:val="24"/>
          <w:szCs w:val="24"/>
          <w:lang w:eastAsia="zh-CN"/>
        </w:rPr>
        <w:t xml:space="preserve"> ZM, Ahmed A. Nonalcoholic </w:t>
      </w:r>
      <w:proofErr w:type="spellStart"/>
      <w:r w:rsidRPr="00417749">
        <w:rPr>
          <w:rFonts w:ascii="Book Antiqua" w:eastAsia="宋体" w:hAnsi="Book Antiqua" w:cs="宋体"/>
          <w:sz w:val="24"/>
          <w:szCs w:val="24"/>
          <w:lang w:eastAsia="zh-CN"/>
        </w:rPr>
        <w:t>steatohepatitis</w:t>
      </w:r>
      <w:proofErr w:type="spellEnd"/>
      <w:r w:rsidRPr="00417749">
        <w:rPr>
          <w:rFonts w:ascii="Book Antiqua" w:eastAsia="宋体" w:hAnsi="Book Antiqua" w:cs="宋体"/>
          <w:sz w:val="24"/>
          <w:szCs w:val="24"/>
          <w:lang w:eastAsia="zh-CN"/>
        </w:rPr>
        <w:t xml:space="preserve"> is the second leading etiology of liver disease among adults awaiting liver transplantation in the United States. </w:t>
      </w:r>
      <w:r w:rsidRPr="00417749">
        <w:rPr>
          <w:rFonts w:ascii="Book Antiqua" w:eastAsia="宋体" w:hAnsi="Book Antiqua" w:cs="宋体"/>
          <w:i/>
          <w:iCs/>
          <w:sz w:val="24"/>
          <w:szCs w:val="24"/>
          <w:lang w:eastAsia="zh-CN"/>
        </w:rPr>
        <w:t>Gastroenterology</w:t>
      </w:r>
      <w:r w:rsidRPr="00417749">
        <w:rPr>
          <w:rFonts w:ascii="Book Antiqua" w:eastAsia="宋体" w:hAnsi="Book Antiqua" w:cs="宋体"/>
          <w:sz w:val="24"/>
          <w:szCs w:val="24"/>
          <w:lang w:eastAsia="zh-CN"/>
        </w:rPr>
        <w:t xml:space="preserve"> 2015; </w:t>
      </w:r>
      <w:r w:rsidRPr="00417749">
        <w:rPr>
          <w:rFonts w:ascii="Book Antiqua" w:eastAsia="宋体" w:hAnsi="Book Antiqua" w:cs="宋体"/>
          <w:b/>
          <w:bCs/>
          <w:sz w:val="24"/>
          <w:szCs w:val="24"/>
          <w:lang w:eastAsia="zh-CN"/>
        </w:rPr>
        <w:t>148</w:t>
      </w:r>
      <w:r w:rsidRPr="00417749">
        <w:rPr>
          <w:rFonts w:ascii="Book Antiqua" w:eastAsia="宋体" w:hAnsi="Book Antiqua" w:cs="宋体"/>
          <w:sz w:val="24"/>
          <w:szCs w:val="24"/>
          <w:lang w:eastAsia="zh-CN"/>
        </w:rPr>
        <w:t>: 547-555 [PMID: 25461851 DOI: 10.1053/j.gastro.2014.11.039]</w:t>
      </w:r>
    </w:p>
    <w:p w14:paraId="764FFA6D" w14:textId="77777777"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 xml:space="preserve">14 </w:t>
      </w:r>
      <w:proofErr w:type="spellStart"/>
      <w:r w:rsidRPr="00417749">
        <w:rPr>
          <w:rFonts w:ascii="Book Antiqua" w:eastAsia="宋体" w:hAnsi="Book Antiqua" w:cs="宋体"/>
          <w:b/>
          <w:bCs/>
          <w:sz w:val="24"/>
          <w:szCs w:val="24"/>
          <w:lang w:eastAsia="zh-CN"/>
        </w:rPr>
        <w:t>Bugianesi</w:t>
      </w:r>
      <w:proofErr w:type="spellEnd"/>
      <w:r w:rsidRPr="00417749">
        <w:rPr>
          <w:rFonts w:ascii="Book Antiqua" w:eastAsia="宋体" w:hAnsi="Book Antiqua" w:cs="宋体"/>
          <w:b/>
          <w:bCs/>
          <w:sz w:val="24"/>
          <w:szCs w:val="24"/>
          <w:lang w:eastAsia="zh-CN"/>
        </w:rPr>
        <w:t xml:space="preserve"> E</w:t>
      </w:r>
      <w:r w:rsidRPr="00417749">
        <w:rPr>
          <w:rFonts w:ascii="Book Antiqua" w:eastAsia="宋体" w:hAnsi="Book Antiqua" w:cs="宋体"/>
          <w:sz w:val="24"/>
          <w:szCs w:val="24"/>
          <w:lang w:eastAsia="zh-CN"/>
        </w:rPr>
        <w:t xml:space="preserve">, Leone N, </w:t>
      </w:r>
      <w:proofErr w:type="spellStart"/>
      <w:r w:rsidRPr="00417749">
        <w:rPr>
          <w:rFonts w:ascii="Book Antiqua" w:eastAsia="宋体" w:hAnsi="Book Antiqua" w:cs="宋体"/>
          <w:sz w:val="24"/>
          <w:szCs w:val="24"/>
          <w:lang w:eastAsia="zh-CN"/>
        </w:rPr>
        <w:t>Vanni</w:t>
      </w:r>
      <w:proofErr w:type="spellEnd"/>
      <w:r w:rsidRPr="00417749">
        <w:rPr>
          <w:rFonts w:ascii="Book Antiqua" w:eastAsia="宋体" w:hAnsi="Book Antiqua" w:cs="宋体"/>
          <w:sz w:val="24"/>
          <w:szCs w:val="24"/>
          <w:lang w:eastAsia="zh-CN"/>
        </w:rPr>
        <w:t xml:space="preserve"> E, </w:t>
      </w:r>
      <w:proofErr w:type="spellStart"/>
      <w:r w:rsidRPr="00417749">
        <w:rPr>
          <w:rFonts w:ascii="Book Antiqua" w:eastAsia="宋体" w:hAnsi="Book Antiqua" w:cs="宋体"/>
          <w:sz w:val="24"/>
          <w:szCs w:val="24"/>
          <w:lang w:eastAsia="zh-CN"/>
        </w:rPr>
        <w:t>Marchesini</w:t>
      </w:r>
      <w:proofErr w:type="spellEnd"/>
      <w:r w:rsidRPr="00417749">
        <w:rPr>
          <w:rFonts w:ascii="Book Antiqua" w:eastAsia="宋体" w:hAnsi="Book Antiqua" w:cs="宋体"/>
          <w:sz w:val="24"/>
          <w:szCs w:val="24"/>
          <w:lang w:eastAsia="zh-CN"/>
        </w:rPr>
        <w:t xml:space="preserve"> G, </w:t>
      </w:r>
      <w:proofErr w:type="spellStart"/>
      <w:r w:rsidRPr="00417749">
        <w:rPr>
          <w:rFonts w:ascii="Book Antiqua" w:eastAsia="宋体" w:hAnsi="Book Antiqua" w:cs="宋体"/>
          <w:sz w:val="24"/>
          <w:szCs w:val="24"/>
          <w:lang w:eastAsia="zh-CN"/>
        </w:rPr>
        <w:t>Brunello</w:t>
      </w:r>
      <w:proofErr w:type="spellEnd"/>
      <w:r w:rsidRPr="00417749">
        <w:rPr>
          <w:rFonts w:ascii="Book Antiqua" w:eastAsia="宋体" w:hAnsi="Book Antiqua" w:cs="宋体"/>
          <w:sz w:val="24"/>
          <w:szCs w:val="24"/>
          <w:lang w:eastAsia="zh-CN"/>
        </w:rPr>
        <w:t xml:space="preserve"> F, </w:t>
      </w:r>
      <w:proofErr w:type="spellStart"/>
      <w:r w:rsidRPr="00417749">
        <w:rPr>
          <w:rFonts w:ascii="Book Antiqua" w:eastAsia="宋体" w:hAnsi="Book Antiqua" w:cs="宋体"/>
          <w:sz w:val="24"/>
          <w:szCs w:val="24"/>
          <w:lang w:eastAsia="zh-CN"/>
        </w:rPr>
        <w:t>Carucci</w:t>
      </w:r>
      <w:proofErr w:type="spellEnd"/>
      <w:r w:rsidRPr="00417749">
        <w:rPr>
          <w:rFonts w:ascii="Book Antiqua" w:eastAsia="宋体" w:hAnsi="Book Antiqua" w:cs="宋体"/>
          <w:sz w:val="24"/>
          <w:szCs w:val="24"/>
          <w:lang w:eastAsia="zh-CN"/>
        </w:rPr>
        <w:t xml:space="preserve"> P, </w:t>
      </w:r>
      <w:proofErr w:type="spellStart"/>
      <w:r w:rsidRPr="00417749">
        <w:rPr>
          <w:rFonts w:ascii="Book Antiqua" w:eastAsia="宋体" w:hAnsi="Book Antiqua" w:cs="宋体"/>
          <w:sz w:val="24"/>
          <w:szCs w:val="24"/>
          <w:lang w:eastAsia="zh-CN"/>
        </w:rPr>
        <w:t>Musso</w:t>
      </w:r>
      <w:proofErr w:type="spellEnd"/>
      <w:r w:rsidRPr="00417749">
        <w:rPr>
          <w:rFonts w:ascii="Book Antiqua" w:eastAsia="宋体" w:hAnsi="Book Antiqua" w:cs="宋体"/>
          <w:sz w:val="24"/>
          <w:szCs w:val="24"/>
          <w:lang w:eastAsia="zh-CN"/>
        </w:rPr>
        <w:t xml:space="preserve"> A, De </w:t>
      </w:r>
      <w:proofErr w:type="spellStart"/>
      <w:r w:rsidRPr="00417749">
        <w:rPr>
          <w:rFonts w:ascii="Book Antiqua" w:eastAsia="宋体" w:hAnsi="Book Antiqua" w:cs="宋体"/>
          <w:sz w:val="24"/>
          <w:szCs w:val="24"/>
          <w:lang w:eastAsia="zh-CN"/>
        </w:rPr>
        <w:t>Paolis</w:t>
      </w:r>
      <w:proofErr w:type="spellEnd"/>
      <w:r w:rsidRPr="00417749">
        <w:rPr>
          <w:rFonts w:ascii="Book Antiqua" w:eastAsia="宋体" w:hAnsi="Book Antiqua" w:cs="宋体"/>
          <w:sz w:val="24"/>
          <w:szCs w:val="24"/>
          <w:lang w:eastAsia="zh-CN"/>
        </w:rPr>
        <w:t xml:space="preserve"> P, </w:t>
      </w:r>
      <w:proofErr w:type="spellStart"/>
      <w:r w:rsidRPr="00417749">
        <w:rPr>
          <w:rFonts w:ascii="Book Antiqua" w:eastAsia="宋体" w:hAnsi="Book Antiqua" w:cs="宋体"/>
          <w:sz w:val="24"/>
          <w:szCs w:val="24"/>
          <w:lang w:eastAsia="zh-CN"/>
        </w:rPr>
        <w:t>Capussotti</w:t>
      </w:r>
      <w:proofErr w:type="spellEnd"/>
      <w:r w:rsidRPr="00417749">
        <w:rPr>
          <w:rFonts w:ascii="Book Antiqua" w:eastAsia="宋体" w:hAnsi="Book Antiqua" w:cs="宋体"/>
          <w:sz w:val="24"/>
          <w:szCs w:val="24"/>
          <w:lang w:eastAsia="zh-CN"/>
        </w:rPr>
        <w:t xml:space="preserve"> L, </w:t>
      </w:r>
      <w:proofErr w:type="spellStart"/>
      <w:r w:rsidRPr="00417749">
        <w:rPr>
          <w:rFonts w:ascii="Book Antiqua" w:eastAsia="宋体" w:hAnsi="Book Antiqua" w:cs="宋体"/>
          <w:sz w:val="24"/>
          <w:szCs w:val="24"/>
          <w:lang w:eastAsia="zh-CN"/>
        </w:rPr>
        <w:t>Salizzoni</w:t>
      </w:r>
      <w:proofErr w:type="spellEnd"/>
      <w:r w:rsidRPr="00417749">
        <w:rPr>
          <w:rFonts w:ascii="Book Antiqua" w:eastAsia="宋体" w:hAnsi="Book Antiqua" w:cs="宋体"/>
          <w:sz w:val="24"/>
          <w:szCs w:val="24"/>
          <w:lang w:eastAsia="zh-CN"/>
        </w:rPr>
        <w:t xml:space="preserve"> M, </w:t>
      </w:r>
      <w:proofErr w:type="spellStart"/>
      <w:r w:rsidRPr="00417749">
        <w:rPr>
          <w:rFonts w:ascii="Book Antiqua" w:eastAsia="宋体" w:hAnsi="Book Antiqua" w:cs="宋体"/>
          <w:sz w:val="24"/>
          <w:szCs w:val="24"/>
          <w:lang w:eastAsia="zh-CN"/>
        </w:rPr>
        <w:t>Rizzetto</w:t>
      </w:r>
      <w:proofErr w:type="spellEnd"/>
      <w:r w:rsidRPr="00417749">
        <w:rPr>
          <w:rFonts w:ascii="Book Antiqua" w:eastAsia="宋体" w:hAnsi="Book Antiqua" w:cs="宋体"/>
          <w:sz w:val="24"/>
          <w:szCs w:val="24"/>
          <w:lang w:eastAsia="zh-CN"/>
        </w:rPr>
        <w:t xml:space="preserve"> M. Expanding the natural history of nonalcoholic </w:t>
      </w:r>
      <w:proofErr w:type="spellStart"/>
      <w:r w:rsidRPr="00417749">
        <w:rPr>
          <w:rFonts w:ascii="Book Antiqua" w:eastAsia="宋体" w:hAnsi="Book Antiqua" w:cs="宋体"/>
          <w:sz w:val="24"/>
          <w:szCs w:val="24"/>
          <w:lang w:eastAsia="zh-CN"/>
        </w:rPr>
        <w:t>steatohepatitis</w:t>
      </w:r>
      <w:proofErr w:type="spellEnd"/>
      <w:r w:rsidRPr="00417749">
        <w:rPr>
          <w:rFonts w:ascii="Book Antiqua" w:eastAsia="宋体" w:hAnsi="Book Antiqua" w:cs="宋体"/>
          <w:sz w:val="24"/>
          <w:szCs w:val="24"/>
          <w:lang w:eastAsia="zh-CN"/>
        </w:rPr>
        <w:t xml:space="preserve">: from cryptogenic cirrhosis to hepatocellular carcinoma. </w:t>
      </w:r>
      <w:r w:rsidRPr="00417749">
        <w:rPr>
          <w:rFonts w:ascii="Book Antiqua" w:eastAsia="宋体" w:hAnsi="Book Antiqua" w:cs="宋体"/>
          <w:i/>
          <w:iCs/>
          <w:sz w:val="24"/>
          <w:szCs w:val="24"/>
          <w:lang w:eastAsia="zh-CN"/>
        </w:rPr>
        <w:t>Gastroenterology</w:t>
      </w:r>
      <w:r w:rsidRPr="00417749">
        <w:rPr>
          <w:rFonts w:ascii="Book Antiqua" w:eastAsia="宋体" w:hAnsi="Book Antiqua" w:cs="宋体"/>
          <w:sz w:val="24"/>
          <w:szCs w:val="24"/>
          <w:lang w:eastAsia="zh-CN"/>
        </w:rPr>
        <w:t xml:space="preserve"> 2002; </w:t>
      </w:r>
      <w:r w:rsidRPr="00417749">
        <w:rPr>
          <w:rFonts w:ascii="Book Antiqua" w:eastAsia="宋体" w:hAnsi="Book Antiqua" w:cs="宋体"/>
          <w:b/>
          <w:bCs/>
          <w:sz w:val="24"/>
          <w:szCs w:val="24"/>
          <w:lang w:eastAsia="zh-CN"/>
        </w:rPr>
        <w:t>123</w:t>
      </w:r>
      <w:r w:rsidRPr="00417749">
        <w:rPr>
          <w:rFonts w:ascii="Book Antiqua" w:eastAsia="宋体" w:hAnsi="Book Antiqua" w:cs="宋体"/>
          <w:sz w:val="24"/>
          <w:szCs w:val="24"/>
          <w:lang w:eastAsia="zh-CN"/>
        </w:rPr>
        <w:t>: 134-140 [PMID: 12105842 DOI: 10.1053/gast.2002.34168]</w:t>
      </w:r>
    </w:p>
    <w:p w14:paraId="754720AE" w14:textId="77777777"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 xml:space="preserve">15 </w:t>
      </w:r>
      <w:proofErr w:type="spellStart"/>
      <w:r w:rsidRPr="00417749">
        <w:rPr>
          <w:rFonts w:ascii="Book Antiqua" w:eastAsia="宋体" w:hAnsi="Book Antiqua" w:cs="宋体"/>
          <w:b/>
          <w:bCs/>
          <w:sz w:val="24"/>
          <w:szCs w:val="24"/>
          <w:lang w:eastAsia="zh-CN"/>
        </w:rPr>
        <w:t>Ong</w:t>
      </w:r>
      <w:proofErr w:type="spellEnd"/>
      <w:r w:rsidRPr="00417749">
        <w:rPr>
          <w:rFonts w:ascii="Book Antiqua" w:eastAsia="宋体" w:hAnsi="Book Antiqua" w:cs="宋体"/>
          <w:b/>
          <w:bCs/>
          <w:sz w:val="24"/>
          <w:szCs w:val="24"/>
          <w:lang w:eastAsia="zh-CN"/>
        </w:rPr>
        <w:t xml:space="preserve"> J</w:t>
      </w:r>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sz w:val="24"/>
          <w:szCs w:val="24"/>
          <w:lang w:eastAsia="zh-CN"/>
        </w:rPr>
        <w:t>Younossi</w:t>
      </w:r>
      <w:proofErr w:type="spellEnd"/>
      <w:r w:rsidRPr="00417749">
        <w:rPr>
          <w:rFonts w:ascii="Book Antiqua" w:eastAsia="宋体" w:hAnsi="Book Antiqua" w:cs="宋体"/>
          <w:sz w:val="24"/>
          <w:szCs w:val="24"/>
          <w:lang w:eastAsia="zh-CN"/>
        </w:rPr>
        <w:t xml:space="preserve"> ZM, Reddy V, Price LL, </w:t>
      </w:r>
      <w:proofErr w:type="spellStart"/>
      <w:r w:rsidRPr="00417749">
        <w:rPr>
          <w:rFonts w:ascii="Book Antiqua" w:eastAsia="宋体" w:hAnsi="Book Antiqua" w:cs="宋体"/>
          <w:sz w:val="24"/>
          <w:szCs w:val="24"/>
          <w:lang w:eastAsia="zh-CN"/>
        </w:rPr>
        <w:t>Gramlich</w:t>
      </w:r>
      <w:proofErr w:type="spellEnd"/>
      <w:r w:rsidRPr="00417749">
        <w:rPr>
          <w:rFonts w:ascii="Book Antiqua" w:eastAsia="宋体" w:hAnsi="Book Antiqua" w:cs="宋体"/>
          <w:sz w:val="24"/>
          <w:szCs w:val="24"/>
          <w:lang w:eastAsia="zh-CN"/>
        </w:rPr>
        <w:t xml:space="preserve"> T, Mayes J, Boparai N. Cryptogenic cirrhosis and </w:t>
      </w:r>
      <w:proofErr w:type="spellStart"/>
      <w:r w:rsidRPr="00417749">
        <w:rPr>
          <w:rFonts w:ascii="Book Antiqua" w:eastAsia="宋体" w:hAnsi="Book Antiqua" w:cs="宋体"/>
          <w:sz w:val="24"/>
          <w:szCs w:val="24"/>
          <w:lang w:eastAsia="zh-CN"/>
        </w:rPr>
        <w:t>posttransplantation</w:t>
      </w:r>
      <w:proofErr w:type="spellEnd"/>
      <w:r w:rsidRPr="00417749">
        <w:rPr>
          <w:rFonts w:ascii="Book Antiqua" w:eastAsia="宋体" w:hAnsi="Book Antiqua" w:cs="宋体"/>
          <w:sz w:val="24"/>
          <w:szCs w:val="24"/>
          <w:lang w:eastAsia="zh-CN"/>
        </w:rPr>
        <w:t xml:space="preserve"> nonalcoholic fatty liver disease. </w:t>
      </w:r>
      <w:r w:rsidRPr="00417749">
        <w:rPr>
          <w:rFonts w:ascii="Book Antiqua" w:eastAsia="宋体" w:hAnsi="Book Antiqua" w:cs="宋体"/>
          <w:i/>
          <w:iCs/>
          <w:sz w:val="24"/>
          <w:szCs w:val="24"/>
          <w:lang w:eastAsia="zh-CN"/>
        </w:rPr>
        <w:t xml:space="preserve">Liver </w:t>
      </w:r>
      <w:proofErr w:type="spellStart"/>
      <w:r w:rsidRPr="00417749">
        <w:rPr>
          <w:rFonts w:ascii="Book Antiqua" w:eastAsia="宋体" w:hAnsi="Book Antiqua" w:cs="宋体"/>
          <w:i/>
          <w:iCs/>
          <w:sz w:val="24"/>
          <w:szCs w:val="24"/>
          <w:lang w:eastAsia="zh-CN"/>
        </w:rPr>
        <w:t>Transpl</w:t>
      </w:r>
      <w:proofErr w:type="spellEnd"/>
      <w:r w:rsidRPr="00417749">
        <w:rPr>
          <w:rFonts w:ascii="Book Antiqua" w:eastAsia="宋体" w:hAnsi="Book Antiqua" w:cs="宋体"/>
          <w:sz w:val="24"/>
          <w:szCs w:val="24"/>
          <w:lang w:eastAsia="zh-CN"/>
        </w:rPr>
        <w:t xml:space="preserve"> 2001; </w:t>
      </w:r>
      <w:r w:rsidRPr="00417749">
        <w:rPr>
          <w:rFonts w:ascii="Book Antiqua" w:eastAsia="宋体" w:hAnsi="Book Antiqua" w:cs="宋体"/>
          <w:b/>
          <w:bCs/>
          <w:sz w:val="24"/>
          <w:szCs w:val="24"/>
          <w:lang w:eastAsia="zh-CN"/>
        </w:rPr>
        <w:t>7</w:t>
      </w:r>
      <w:r w:rsidRPr="00417749">
        <w:rPr>
          <w:rFonts w:ascii="Book Antiqua" w:eastAsia="宋体" w:hAnsi="Book Antiqua" w:cs="宋体"/>
          <w:sz w:val="24"/>
          <w:szCs w:val="24"/>
          <w:lang w:eastAsia="zh-CN"/>
        </w:rPr>
        <w:t>: 797-801 [PMID: 11552214 DOI: 10.1053/jlts.2001.24644]</w:t>
      </w:r>
    </w:p>
    <w:p w14:paraId="44BDA16E" w14:textId="77777777"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 xml:space="preserve">16 </w:t>
      </w:r>
      <w:proofErr w:type="spellStart"/>
      <w:r w:rsidRPr="00417749">
        <w:rPr>
          <w:rFonts w:ascii="Book Antiqua" w:eastAsia="宋体" w:hAnsi="Book Antiqua" w:cs="宋体"/>
          <w:b/>
          <w:bCs/>
          <w:sz w:val="24"/>
          <w:szCs w:val="24"/>
          <w:lang w:eastAsia="zh-CN"/>
        </w:rPr>
        <w:t>Yasui</w:t>
      </w:r>
      <w:proofErr w:type="spellEnd"/>
      <w:r w:rsidRPr="00417749">
        <w:rPr>
          <w:rFonts w:ascii="Book Antiqua" w:eastAsia="宋体" w:hAnsi="Book Antiqua" w:cs="宋体"/>
          <w:b/>
          <w:bCs/>
          <w:sz w:val="24"/>
          <w:szCs w:val="24"/>
          <w:lang w:eastAsia="zh-CN"/>
        </w:rPr>
        <w:t xml:space="preserve"> K</w:t>
      </w:r>
      <w:r w:rsidRPr="00417749">
        <w:rPr>
          <w:rFonts w:ascii="Book Antiqua" w:eastAsia="宋体" w:hAnsi="Book Antiqua" w:cs="宋体"/>
          <w:sz w:val="24"/>
          <w:szCs w:val="24"/>
          <w:lang w:eastAsia="zh-CN"/>
        </w:rPr>
        <w:t xml:space="preserve">, Hashimoto E, </w:t>
      </w:r>
      <w:proofErr w:type="spellStart"/>
      <w:r w:rsidRPr="00417749">
        <w:rPr>
          <w:rFonts w:ascii="Book Antiqua" w:eastAsia="宋体" w:hAnsi="Book Antiqua" w:cs="宋体"/>
          <w:sz w:val="24"/>
          <w:szCs w:val="24"/>
          <w:lang w:eastAsia="zh-CN"/>
        </w:rPr>
        <w:t>Tokushige</w:t>
      </w:r>
      <w:proofErr w:type="spellEnd"/>
      <w:r w:rsidRPr="00417749">
        <w:rPr>
          <w:rFonts w:ascii="Book Antiqua" w:eastAsia="宋体" w:hAnsi="Book Antiqua" w:cs="宋体"/>
          <w:sz w:val="24"/>
          <w:szCs w:val="24"/>
          <w:lang w:eastAsia="zh-CN"/>
        </w:rPr>
        <w:t xml:space="preserve"> K, Koike K, </w:t>
      </w:r>
      <w:proofErr w:type="spellStart"/>
      <w:r w:rsidRPr="00417749">
        <w:rPr>
          <w:rFonts w:ascii="Book Antiqua" w:eastAsia="宋体" w:hAnsi="Book Antiqua" w:cs="宋体"/>
          <w:sz w:val="24"/>
          <w:szCs w:val="24"/>
          <w:lang w:eastAsia="zh-CN"/>
        </w:rPr>
        <w:t>Shima</w:t>
      </w:r>
      <w:proofErr w:type="spellEnd"/>
      <w:r w:rsidRPr="00417749">
        <w:rPr>
          <w:rFonts w:ascii="Book Antiqua" w:eastAsia="宋体" w:hAnsi="Book Antiqua" w:cs="宋体"/>
          <w:sz w:val="24"/>
          <w:szCs w:val="24"/>
          <w:lang w:eastAsia="zh-CN"/>
        </w:rPr>
        <w:t xml:space="preserve"> T, </w:t>
      </w:r>
      <w:proofErr w:type="spellStart"/>
      <w:r w:rsidRPr="00417749">
        <w:rPr>
          <w:rFonts w:ascii="Book Antiqua" w:eastAsia="宋体" w:hAnsi="Book Antiqua" w:cs="宋体"/>
          <w:sz w:val="24"/>
          <w:szCs w:val="24"/>
          <w:lang w:eastAsia="zh-CN"/>
        </w:rPr>
        <w:t>Kanbara</w:t>
      </w:r>
      <w:proofErr w:type="spellEnd"/>
      <w:r w:rsidRPr="00417749">
        <w:rPr>
          <w:rFonts w:ascii="Book Antiqua" w:eastAsia="宋体" w:hAnsi="Book Antiqua" w:cs="宋体"/>
          <w:sz w:val="24"/>
          <w:szCs w:val="24"/>
          <w:lang w:eastAsia="zh-CN"/>
        </w:rPr>
        <w:t xml:space="preserve"> Y, </w:t>
      </w:r>
      <w:proofErr w:type="spellStart"/>
      <w:r w:rsidRPr="00417749">
        <w:rPr>
          <w:rFonts w:ascii="Book Antiqua" w:eastAsia="宋体" w:hAnsi="Book Antiqua" w:cs="宋体"/>
          <w:sz w:val="24"/>
          <w:szCs w:val="24"/>
          <w:lang w:eastAsia="zh-CN"/>
        </w:rPr>
        <w:t>Saibara</w:t>
      </w:r>
      <w:proofErr w:type="spellEnd"/>
      <w:r w:rsidRPr="00417749">
        <w:rPr>
          <w:rFonts w:ascii="Book Antiqua" w:eastAsia="宋体" w:hAnsi="Book Antiqua" w:cs="宋体"/>
          <w:sz w:val="24"/>
          <w:szCs w:val="24"/>
          <w:lang w:eastAsia="zh-CN"/>
        </w:rPr>
        <w:t xml:space="preserve"> T, </w:t>
      </w:r>
      <w:proofErr w:type="spellStart"/>
      <w:r w:rsidRPr="00417749">
        <w:rPr>
          <w:rFonts w:ascii="Book Antiqua" w:eastAsia="宋体" w:hAnsi="Book Antiqua" w:cs="宋体"/>
          <w:sz w:val="24"/>
          <w:szCs w:val="24"/>
          <w:lang w:eastAsia="zh-CN"/>
        </w:rPr>
        <w:t>Uto</w:t>
      </w:r>
      <w:proofErr w:type="spellEnd"/>
      <w:r w:rsidRPr="00417749">
        <w:rPr>
          <w:rFonts w:ascii="Book Antiqua" w:eastAsia="宋体" w:hAnsi="Book Antiqua" w:cs="宋体"/>
          <w:sz w:val="24"/>
          <w:szCs w:val="24"/>
          <w:lang w:eastAsia="zh-CN"/>
        </w:rPr>
        <w:t xml:space="preserve"> H, </w:t>
      </w:r>
      <w:proofErr w:type="spellStart"/>
      <w:r w:rsidRPr="00417749">
        <w:rPr>
          <w:rFonts w:ascii="Book Antiqua" w:eastAsia="宋体" w:hAnsi="Book Antiqua" w:cs="宋体"/>
          <w:sz w:val="24"/>
          <w:szCs w:val="24"/>
          <w:lang w:eastAsia="zh-CN"/>
        </w:rPr>
        <w:t>Takami</w:t>
      </w:r>
      <w:proofErr w:type="spellEnd"/>
      <w:r w:rsidRPr="00417749">
        <w:rPr>
          <w:rFonts w:ascii="Book Antiqua" w:eastAsia="宋体" w:hAnsi="Book Antiqua" w:cs="宋体"/>
          <w:sz w:val="24"/>
          <w:szCs w:val="24"/>
          <w:lang w:eastAsia="zh-CN"/>
        </w:rPr>
        <w:t xml:space="preserve"> S, </w:t>
      </w:r>
      <w:proofErr w:type="spellStart"/>
      <w:r w:rsidRPr="00417749">
        <w:rPr>
          <w:rFonts w:ascii="Book Antiqua" w:eastAsia="宋体" w:hAnsi="Book Antiqua" w:cs="宋体"/>
          <w:sz w:val="24"/>
          <w:szCs w:val="24"/>
          <w:lang w:eastAsia="zh-CN"/>
        </w:rPr>
        <w:t>Kawanaka</w:t>
      </w:r>
      <w:proofErr w:type="spellEnd"/>
      <w:r w:rsidRPr="00417749">
        <w:rPr>
          <w:rFonts w:ascii="Book Antiqua" w:eastAsia="宋体" w:hAnsi="Book Antiqua" w:cs="宋体"/>
          <w:sz w:val="24"/>
          <w:szCs w:val="24"/>
          <w:lang w:eastAsia="zh-CN"/>
        </w:rPr>
        <w:t xml:space="preserve"> M, </w:t>
      </w:r>
      <w:proofErr w:type="spellStart"/>
      <w:r w:rsidRPr="00417749">
        <w:rPr>
          <w:rFonts w:ascii="Book Antiqua" w:eastAsia="宋体" w:hAnsi="Book Antiqua" w:cs="宋体"/>
          <w:sz w:val="24"/>
          <w:szCs w:val="24"/>
          <w:lang w:eastAsia="zh-CN"/>
        </w:rPr>
        <w:t>Komorizono</w:t>
      </w:r>
      <w:proofErr w:type="spellEnd"/>
      <w:r w:rsidRPr="00417749">
        <w:rPr>
          <w:rFonts w:ascii="Book Antiqua" w:eastAsia="宋体" w:hAnsi="Book Antiqua" w:cs="宋体"/>
          <w:sz w:val="24"/>
          <w:szCs w:val="24"/>
          <w:lang w:eastAsia="zh-CN"/>
        </w:rPr>
        <w:t xml:space="preserve"> Y, </w:t>
      </w:r>
      <w:proofErr w:type="spellStart"/>
      <w:r w:rsidRPr="00417749">
        <w:rPr>
          <w:rFonts w:ascii="Book Antiqua" w:eastAsia="宋体" w:hAnsi="Book Antiqua" w:cs="宋体"/>
          <w:sz w:val="24"/>
          <w:szCs w:val="24"/>
          <w:lang w:eastAsia="zh-CN"/>
        </w:rPr>
        <w:t>Okanoue</w:t>
      </w:r>
      <w:proofErr w:type="spellEnd"/>
      <w:r w:rsidRPr="00417749">
        <w:rPr>
          <w:rFonts w:ascii="Book Antiqua" w:eastAsia="宋体" w:hAnsi="Book Antiqua" w:cs="宋体"/>
          <w:sz w:val="24"/>
          <w:szCs w:val="24"/>
          <w:lang w:eastAsia="zh-CN"/>
        </w:rPr>
        <w:t xml:space="preserve"> T. Clinical and pathological progression of non-alcoholic </w:t>
      </w:r>
      <w:proofErr w:type="spellStart"/>
      <w:r w:rsidRPr="00417749">
        <w:rPr>
          <w:rFonts w:ascii="Book Antiqua" w:eastAsia="宋体" w:hAnsi="Book Antiqua" w:cs="宋体"/>
          <w:sz w:val="24"/>
          <w:szCs w:val="24"/>
          <w:lang w:eastAsia="zh-CN"/>
        </w:rPr>
        <w:t>steatohepatitis</w:t>
      </w:r>
      <w:proofErr w:type="spellEnd"/>
      <w:r w:rsidRPr="00417749">
        <w:rPr>
          <w:rFonts w:ascii="Book Antiqua" w:eastAsia="宋体" w:hAnsi="Book Antiqua" w:cs="宋体"/>
          <w:sz w:val="24"/>
          <w:szCs w:val="24"/>
          <w:lang w:eastAsia="zh-CN"/>
        </w:rPr>
        <w:t xml:space="preserve"> to hepatocellular carcinoma. </w:t>
      </w:r>
      <w:proofErr w:type="spellStart"/>
      <w:r w:rsidRPr="00417749">
        <w:rPr>
          <w:rFonts w:ascii="Book Antiqua" w:eastAsia="宋体" w:hAnsi="Book Antiqua" w:cs="宋体"/>
          <w:i/>
          <w:iCs/>
          <w:sz w:val="24"/>
          <w:szCs w:val="24"/>
          <w:lang w:eastAsia="zh-CN"/>
        </w:rPr>
        <w:t>Hepatol</w:t>
      </w:r>
      <w:proofErr w:type="spellEnd"/>
      <w:r w:rsidRPr="00417749">
        <w:rPr>
          <w:rFonts w:ascii="Book Antiqua" w:eastAsia="宋体" w:hAnsi="Book Antiqua" w:cs="宋体"/>
          <w:i/>
          <w:iCs/>
          <w:sz w:val="24"/>
          <w:szCs w:val="24"/>
          <w:lang w:eastAsia="zh-CN"/>
        </w:rPr>
        <w:t xml:space="preserve"> Res</w:t>
      </w:r>
      <w:r w:rsidRPr="00417749">
        <w:rPr>
          <w:rFonts w:ascii="Book Antiqua" w:eastAsia="宋体" w:hAnsi="Book Antiqua" w:cs="宋体"/>
          <w:sz w:val="24"/>
          <w:szCs w:val="24"/>
          <w:lang w:eastAsia="zh-CN"/>
        </w:rPr>
        <w:t xml:space="preserve"> 2012; </w:t>
      </w:r>
      <w:r w:rsidRPr="00417749">
        <w:rPr>
          <w:rFonts w:ascii="Book Antiqua" w:eastAsia="宋体" w:hAnsi="Book Antiqua" w:cs="宋体"/>
          <w:b/>
          <w:bCs/>
          <w:sz w:val="24"/>
          <w:szCs w:val="24"/>
          <w:lang w:eastAsia="zh-CN"/>
        </w:rPr>
        <w:t>42</w:t>
      </w:r>
      <w:r w:rsidRPr="00417749">
        <w:rPr>
          <w:rFonts w:ascii="Book Antiqua" w:eastAsia="宋体" w:hAnsi="Book Antiqua" w:cs="宋体"/>
          <w:sz w:val="24"/>
          <w:szCs w:val="24"/>
          <w:lang w:eastAsia="zh-CN"/>
        </w:rPr>
        <w:t>: 767-773 [PMID: 22487102 DOI: 10.1111/j.1872-034X.2012.00986.x]</w:t>
      </w:r>
    </w:p>
    <w:p w14:paraId="39E6DA4B" w14:textId="77777777"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 xml:space="preserve">17 </w:t>
      </w:r>
      <w:r w:rsidRPr="00417749">
        <w:rPr>
          <w:rFonts w:ascii="Book Antiqua" w:eastAsia="宋体" w:hAnsi="Book Antiqua" w:cs="宋体"/>
          <w:b/>
          <w:bCs/>
          <w:sz w:val="24"/>
          <w:szCs w:val="24"/>
          <w:lang w:eastAsia="zh-CN"/>
        </w:rPr>
        <w:t>Alexander J</w:t>
      </w:r>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sz w:val="24"/>
          <w:szCs w:val="24"/>
          <w:lang w:eastAsia="zh-CN"/>
        </w:rPr>
        <w:t>Torbenson</w:t>
      </w:r>
      <w:proofErr w:type="spellEnd"/>
      <w:r w:rsidRPr="00417749">
        <w:rPr>
          <w:rFonts w:ascii="Book Antiqua" w:eastAsia="宋体" w:hAnsi="Book Antiqua" w:cs="宋体"/>
          <w:sz w:val="24"/>
          <w:szCs w:val="24"/>
          <w:lang w:eastAsia="zh-CN"/>
        </w:rPr>
        <w:t xml:space="preserve"> M, Wu TT, </w:t>
      </w:r>
      <w:proofErr w:type="spellStart"/>
      <w:r w:rsidRPr="00417749">
        <w:rPr>
          <w:rFonts w:ascii="Book Antiqua" w:eastAsia="宋体" w:hAnsi="Book Antiqua" w:cs="宋体"/>
          <w:sz w:val="24"/>
          <w:szCs w:val="24"/>
          <w:lang w:eastAsia="zh-CN"/>
        </w:rPr>
        <w:t>Yeh</w:t>
      </w:r>
      <w:proofErr w:type="spellEnd"/>
      <w:r w:rsidRPr="00417749">
        <w:rPr>
          <w:rFonts w:ascii="Book Antiqua" w:eastAsia="宋体" w:hAnsi="Book Antiqua" w:cs="宋体"/>
          <w:sz w:val="24"/>
          <w:szCs w:val="24"/>
          <w:lang w:eastAsia="zh-CN"/>
        </w:rPr>
        <w:t xml:space="preserve"> MM. Non-alcoholic fatty liver disease contributes to </w:t>
      </w:r>
      <w:proofErr w:type="spellStart"/>
      <w:r w:rsidRPr="00417749">
        <w:rPr>
          <w:rFonts w:ascii="Book Antiqua" w:eastAsia="宋体" w:hAnsi="Book Antiqua" w:cs="宋体"/>
          <w:sz w:val="24"/>
          <w:szCs w:val="24"/>
          <w:lang w:eastAsia="zh-CN"/>
        </w:rPr>
        <w:t>hepatocarcinogenesis</w:t>
      </w:r>
      <w:proofErr w:type="spellEnd"/>
      <w:r w:rsidRPr="00417749">
        <w:rPr>
          <w:rFonts w:ascii="Book Antiqua" w:eastAsia="宋体" w:hAnsi="Book Antiqua" w:cs="宋体"/>
          <w:sz w:val="24"/>
          <w:szCs w:val="24"/>
          <w:lang w:eastAsia="zh-CN"/>
        </w:rPr>
        <w:t xml:space="preserve"> in non-cirrhotic liver: a clinical and pathological study. </w:t>
      </w:r>
      <w:r w:rsidRPr="00417749">
        <w:rPr>
          <w:rFonts w:ascii="Book Antiqua" w:eastAsia="宋体" w:hAnsi="Book Antiqua" w:cs="宋体"/>
          <w:i/>
          <w:iCs/>
          <w:sz w:val="24"/>
          <w:szCs w:val="24"/>
          <w:lang w:eastAsia="zh-CN"/>
        </w:rPr>
        <w:t xml:space="preserve">J </w:t>
      </w:r>
      <w:proofErr w:type="spellStart"/>
      <w:r w:rsidRPr="00417749">
        <w:rPr>
          <w:rFonts w:ascii="Book Antiqua" w:eastAsia="宋体" w:hAnsi="Book Antiqua" w:cs="宋体"/>
          <w:i/>
          <w:iCs/>
          <w:sz w:val="24"/>
          <w:szCs w:val="24"/>
          <w:lang w:eastAsia="zh-CN"/>
        </w:rPr>
        <w:t>Gastroenterol</w:t>
      </w:r>
      <w:proofErr w:type="spellEnd"/>
      <w:r w:rsidRPr="00417749">
        <w:rPr>
          <w:rFonts w:ascii="Book Antiqua" w:eastAsia="宋体" w:hAnsi="Book Antiqua" w:cs="宋体"/>
          <w:i/>
          <w:iCs/>
          <w:sz w:val="24"/>
          <w:szCs w:val="24"/>
          <w:lang w:eastAsia="zh-CN"/>
        </w:rPr>
        <w:t xml:space="preserve"> </w:t>
      </w:r>
      <w:proofErr w:type="spellStart"/>
      <w:r w:rsidRPr="00417749">
        <w:rPr>
          <w:rFonts w:ascii="Book Antiqua" w:eastAsia="宋体" w:hAnsi="Book Antiqua" w:cs="宋体"/>
          <w:i/>
          <w:iCs/>
          <w:sz w:val="24"/>
          <w:szCs w:val="24"/>
          <w:lang w:eastAsia="zh-CN"/>
        </w:rPr>
        <w:t>Hepatol</w:t>
      </w:r>
      <w:proofErr w:type="spellEnd"/>
      <w:r w:rsidRPr="00417749">
        <w:rPr>
          <w:rFonts w:ascii="Book Antiqua" w:eastAsia="宋体" w:hAnsi="Book Antiqua" w:cs="宋体"/>
          <w:sz w:val="24"/>
          <w:szCs w:val="24"/>
          <w:lang w:eastAsia="zh-CN"/>
        </w:rPr>
        <w:t xml:space="preserve"> 2013; </w:t>
      </w:r>
      <w:r w:rsidRPr="00417749">
        <w:rPr>
          <w:rFonts w:ascii="Book Antiqua" w:eastAsia="宋体" w:hAnsi="Book Antiqua" w:cs="宋体"/>
          <w:b/>
          <w:bCs/>
          <w:sz w:val="24"/>
          <w:szCs w:val="24"/>
          <w:lang w:eastAsia="zh-CN"/>
        </w:rPr>
        <w:t>28</w:t>
      </w:r>
      <w:r w:rsidRPr="00417749">
        <w:rPr>
          <w:rFonts w:ascii="Book Antiqua" w:eastAsia="宋体" w:hAnsi="Book Antiqua" w:cs="宋体"/>
          <w:sz w:val="24"/>
          <w:szCs w:val="24"/>
          <w:lang w:eastAsia="zh-CN"/>
        </w:rPr>
        <w:t>: 848-854 [PMID: 23302015 DOI: 10.1111/jgh.12116]</w:t>
      </w:r>
    </w:p>
    <w:p w14:paraId="68514736" w14:textId="77777777"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lastRenderedPageBreak/>
        <w:t xml:space="preserve">18 </w:t>
      </w:r>
      <w:proofErr w:type="spellStart"/>
      <w:r w:rsidRPr="00417749">
        <w:rPr>
          <w:rFonts w:ascii="Book Antiqua" w:eastAsia="宋体" w:hAnsi="Book Antiqua" w:cs="宋体"/>
          <w:b/>
          <w:bCs/>
          <w:sz w:val="24"/>
          <w:szCs w:val="24"/>
          <w:lang w:eastAsia="zh-CN"/>
        </w:rPr>
        <w:t>Ertle</w:t>
      </w:r>
      <w:proofErr w:type="spellEnd"/>
      <w:r w:rsidRPr="00417749">
        <w:rPr>
          <w:rFonts w:ascii="Book Antiqua" w:eastAsia="宋体" w:hAnsi="Book Antiqua" w:cs="宋体"/>
          <w:b/>
          <w:bCs/>
          <w:sz w:val="24"/>
          <w:szCs w:val="24"/>
          <w:lang w:eastAsia="zh-CN"/>
        </w:rPr>
        <w:t xml:space="preserve"> J</w:t>
      </w:r>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sz w:val="24"/>
          <w:szCs w:val="24"/>
          <w:lang w:eastAsia="zh-CN"/>
        </w:rPr>
        <w:t>Dechêne</w:t>
      </w:r>
      <w:proofErr w:type="spellEnd"/>
      <w:r w:rsidRPr="00417749">
        <w:rPr>
          <w:rFonts w:ascii="Book Antiqua" w:eastAsia="宋体" w:hAnsi="Book Antiqua" w:cs="宋体"/>
          <w:sz w:val="24"/>
          <w:szCs w:val="24"/>
          <w:lang w:eastAsia="zh-CN"/>
        </w:rPr>
        <w:t xml:space="preserve"> A, Sowa JP, </w:t>
      </w:r>
      <w:proofErr w:type="spellStart"/>
      <w:r w:rsidRPr="00417749">
        <w:rPr>
          <w:rFonts w:ascii="Book Antiqua" w:eastAsia="宋体" w:hAnsi="Book Antiqua" w:cs="宋体"/>
          <w:sz w:val="24"/>
          <w:szCs w:val="24"/>
          <w:lang w:eastAsia="zh-CN"/>
        </w:rPr>
        <w:t>Penndorf</w:t>
      </w:r>
      <w:proofErr w:type="spellEnd"/>
      <w:r w:rsidRPr="00417749">
        <w:rPr>
          <w:rFonts w:ascii="Book Antiqua" w:eastAsia="宋体" w:hAnsi="Book Antiqua" w:cs="宋体"/>
          <w:sz w:val="24"/>
          <w:szCs w:val="24"/>
          <w:lang w:eastAsia="zh-CN"/>
        </w:rPr>
        <w:t xml:space="preserve"> V, </w:t>
      </w:r>
      <w:proofErr w:type="spellStart"/>
      <w:r w:rsidRPr="00417749">
        <w:rPr>
          <w:rFonts w:ascii="Book Antiqua" w:eastAsia="宋体" w:hAnsi="Book Antiqua" w:cs="宋体"/>
          <w:sz w:val="24"/>
          <w:szCs w:val="24"/>
          <w:lang w:eastAsia="zh-CN"/>
        </w:rPr>
        <w:t>Herzer</w:t>
      </w:r>
      <w:proofErr w:type="spellEnd"/>
      <w:r w:rsidRPr="00417749">
        <w:rPr>
          <w:rFonts w:ascii="Book Antiqua" w:eastAsia="宋体" w:hAnsi="Book Antiqua" w:cs="宋体"/>
          <w:sz w:val="24"/>
          <w:szCs w:val="24"/>
          <w:lang w:eastAsia="zh-CN"/>
        </w:rPr>
        <w:t xml:space="preserve"> K, Kaiser G, </w:t>
      </w:r>
      <w:proofErr w:type="spellStart"/>
      <w:r w:rsidRPr="00417749">
        <w:rPr>
          <w:rFonts w:ascii="Book Antiqua" w:eastAsia="宋体" w:hAnsi="Book Antiqua" w:cs="宋体"/>
          <w:sz w:val="24"/>
          <w:szCs w:val="24"/>
          <w:lang w:eastAsia="zh-CN"/>
        </w:rPr>
        <w:t>Schlaak</w:t>
      </w:r>
      <w:proofErr w:type="spellEnd"/>
      <w:r w:rsidRPr="00417749">
        <w:rPr>
          <w:rFonts w:ascii="Book Antiqua" w:eastAsia="宋体" w:hAnsi="Book Antiqua" w:cs="宋体"/>
          <w:sz w:val="24"/>
          <w:szCs w:val="24"/>
          <w:lang w:eastAsia="zh-CN"/>
        </w:rPr>
        <w:t xml:space="preserve"> JF, </w:t>
      </w:r>
      <w:proofErr w:type="spellStart"/>
      <w:r w:rsidRPr="00417749">
        <w:rPr>
          <w:rFonts w:ascii="Book Antiqua" w:eastAsia="宋体" w:hAnsi="Book Antiqua" w:cs="宋体"/>
          <w:sz w:val="24"/>
          <w:szCs w:val="24"/>
          <w:lang w:eastAsia="zh-CN"/>
        </w:rPr>
        <w:t>Gerken</w:t>
      </w:r>
      <w:proofErr w:type="spellEnd"/>
      <w:r w:rsidRPr="00417749">
        <w:rPr>
          <w:rFonts w:ascii="Book Antiqua" w:eastAsia="宋体" w:hAnsi="Book Antiqua" w:cs="宋体"/>
          <w:sz w:val="24"/>
          <w:szCs w:val="24"/>
          <w:lang w:eastAsia="zh-CN"/>
        </w:rPr>
        <w:t xml:space="preserve"> G, </w:t>
      </w:r>
      <w:proofErr w:type="spellStart"/>
      <w:r w:rsidRPr="00417749">
        <w:rPr>
          <w:rFonts w:ascii="Book Antiqua" w:eastAsia="宋体" w:hAnsi="Book Antiqua" w:cs="宋体"/>
          <w:sz w:val="24"/>
          <w:szCs w:val="24"/>
          <w:lang w:eastAsia="zh-CN"/>
        </w:rPr>
        <w:t>Syn</w:t>
      </w:r>
      <w:proofErr w:type="spellEnd"/>
      <w:r w:rsidRPr="00417749">
        <w:rPr>
          <w:rFonts w:ascii="Book Antiqua" w:eastAsia="宋体" w:hAnsi="Book Antiqua" w:cs="宋体"/>
          <w:sz w:val="24"/>
          <w:szCs w:val="24"/>
          <w:lang w:eastAsia="zh-CN"/>
        </w:rPr>
        <w:t xml:space="preserve"> WK, </w:t>
      </w:r>
      <w:proofErr w:type="spellStart"/>
      <w:r w:rsidRPr="00417749">
        <w:rPr>
          <w:rFonts w:ascii="Book Antiqua" w:eastAsia="宋体" w:hAnsi="Book Antiqua" w:cs="宋体"/>
          <w:sz w:val="24"/>
          <w:szCs w:val="24"/>
          <w:lang w:eastAsia="zh-CN"/>
        </w:rPr>
        <w:t>Canbay</w:t>
      </w:r>
      <w:proofErr w:type="spellEnd"/>
      <w:r w:rsidRPr="00417749">
        <w:rPr>
          <w:rFonts w:ascii="Book Antiqua" w:eastAsia="宋体" w:hAnsi="Book Antiqua" w:cs="宋体"/>
          <w:sz w:val="24"/>
          <w:szCs w:val="24"/>
          <w:lang w:eastAsia="zh-CN"/>
        </w:rPr>
        <w:t xml:space="preserve"> A. Non-alcoholic fatty liver disease progresses to hepatocellular carcinoma in the absence of apparent cirrhosis. </w:t>
      </w:r>
      <w:proofErr w:type="spellStart"/>
      <w:r w:rsidRPr="00417749">
        <w:rPr>
          <w:rFonts w:ascii="Book Antiqua" w:eastAsia="宋体" w:hAnsi="Book Antiqua" w:cs="宋体"/>
          <w:i/>
          <w:iCs/>
          <w:sz w:val="24"/>
          <w:szCs w:val="24"/>
          <w:lang w:eastAsia="zh-CN"/>
        </w:rPr>
        <w:t>Int</w:t>
      </w:r>
      <w:proofErr w:type="spellEnd"/>
      <w:r w:rsidRPr="00417749">
        <w:rPr>
          <w:rFonts w:ascii="Book Antiqua" w:eastAsia="宋体" w:hAnsi="Book Antiqua" w:cs="宋体"/>
          <w:i/>
          <w:iCs/>
          <w:sz w:val="24"/>
          <w:szCs w:val="24"/>
          <w:lang w:eastAsia="zh-CN"/>
        </w:rPr>
        <w:t xml:space="preserve"> J Cancer</w:t>
      </w:r>
      <w:r w:rsidRPr="00417749">
        <w:rPr>
          <w:rFonts w:ascii="Book Antiqua" w:eastAsia="宋体" w:hAnsi="Book Antiqua" w:cs="宋体"/>
          <w:sz w:val="24"/>
          <w:szCs w:val="24"/>
          <w:lang w:eastAsia="zh-CN"/>
        </w:rPr>
        <w:t xml:space="preserve"> 2011; </w:t>
      </w:r>
      <w:r w:rsidRPr="00417749">
        <w:rPr>
          <w:rFonts w:ascii="Book Antiqua" w:eastAsia="宋体" w:hAnsi="Book Antiqua" w:cs="宋体"/>
          <w:b/>
          <w:bCs/>
          <w:sz w:val="24"/>
          <w:szCs w:val="24"/>
          <w:lang w:eastAsia="zh-CN"/>
        </w:rPr>
        <w:t>128</w:t>
      </w:r>
      <w:r w:rsidRPr="00417749">
        <w:rPr>
          <w:rFonts w:ascii="Book Antiqua" w:eastAsia="宋体" w:hAnsi="Book Antiqua" w:cs="宋体"/>
          <w:sz w:val="24"/>
          <w:szCs w:val="24"/>
          <w:lang w:eastAsia="zh-CN"/>
        </w:rPr>
        <w:t>: 2436-2443 [PMID: 21128245 DOI: 10.1002/ijc.25797]</w:t>
      </w:r>
    </w:p>
    <w:p w14:paraId="1125C5E6" w14:textId="77777777"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 xml:space="preserve">19 </w:t>
      </w:r>
      <w:proofErr w:type="spellStart"/>
      <w:r w:rsidRPr="00417749">
        <w:rPr>
          <w:rFonts w:ascii="Book Antiqua" w:eastAsia="宋体" w:hAnsi="Book Antiqua" w:cs="宋体"/>
          <w:b/>
          <w:bCs/>
          <w:sz w:val="24"/>
          <w:szCs w:val="24"/>
          <w:lang w:eastAsia="zh-CN"/>
        </w:rPr>
        <w:t>Welzel</w:t>
      </w:r>
      <w:proofErr w:type="spellEnd"/>
      <w:r w:rsidRPr="00417749">
        <w:rPr>
          <w:rFonts w:ascii="Book Antiqua" w:eastAsia="宋体" w:hAnsi="Book Antiqua" w:cs="宋体"/>
          <w:b/>
          <w:bCs/>
          <w:sz w:val="24"/>
          <w:szCs w:val="24"/>
          <w:lang w:eastAsia="zh-CN"/>
        </w:rPr>
        <w:t xml:space="preserve"> TM</w:t>
      </w:r>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sz w:val="24"/>
          <w:szCs w:val="24"/>
          <w:lang w:eastAsia="zh-CN"/>
        </w:rPr>
        <w:t>Graubard</w:t>
      </w:r>
      <w:proofErr w:type="spellEnd"/>
      <w:r w:rsidRPr="00417749">
        <w:rPr>
          <w:rFonts w:ascii="Book Antiqua" w:eastAsia="宋体" w:hAnsi="Book Antiqua" w:cs="宋体"/>
          <w:sz w:val="24"/>
          <w:szCs w:val="24"/>
          <w:lang w:eastAsia="zh-CN"/>
        </w:rPr>
        <w:t xml:space="preserve"> BI, </w:t>
      </w:r>
      <w:proofErr w:type="spellStart"/>
      <w:r w:rsidRPr="00417749">
        <w:rPr>
          <w:rFonts w:ascii="Book Antiqua" w:eastAsia="宋体" w:hAnsi="Book Antiqua" w:cs="宋体"/>
          <w:sz w:val="24"/>
          <w:szCs w:val="24"/>
          <w:lang w:eastAsia="zh-CN"/>
        </w:rPr>
        <w:t>Zeuzem</w:t>
      </w:r>
      <w:proofErr w:type="spellEnd"/>
      <w:r w:rsidRPr="00417749">
        <w:rPr>
          <w:rFonts w:ascii="Book Antiqua" w:eastAsia="宋体" w:hAnsi="Book Antiqua" w:cs="宋体"/>
          <w:sz w:val="24"/>
          <w:szCs w:val="24"/>
          <w:lang w:eastAsia="zh-CN"/>
        </w:rPr>
        <w:t xml:space="preserve"> S, El-</w:t>
      </w:r>
      <w:proofErr w:type="spellStart"/>
      <w:r w:rsidRPr="00417749">
        <w:rPr>
          <w:rFonts w:ascii="Book Antiqua" w:eastAsia="宋体" w:hAnsi="Book Antiqua" w:cs="宋体"/>
          <w:sz w:val="24"/>
          <w:szCs w:val="24"/>
          <w:lang w:eastAsia="zh-CN"/>
        </w:rPr>
        <w:t>Serag</w:t>
      </w:r>
      <w:proofErr w:type="spellEnd"/>
      <w:r w:rsidRPr="00417749">
        <w:rPr>
          <w:rFonts w:ascii="Book Antiqua" w:eastAsia="宋体" w:hAnsi="Book Antiqua" w:cs="宋体"/>
          <w:sz w:val="24"/>
          <w:szCs w:val="24"/>
          <w:lang w:eastAsia="zh-CN"/>
        </w:rPr>
        <w:t xml:space="preserve"> HB, Davila JA, </w:t>
      </w:r>
      <w:proofErr w:type="spellStart"/>
      <w:r w:rsidRPr="00417749">
        <w:rPr>
          <w:rFonts w:ascii="Book Antiqua" w:eastAsia="宋体" w:hAnsi="Book Antiqua" w:cs="宋体"/>
          <w:sz w:val="24"/>
          <w:szCs w:val="24"/>
          <w:lang w:eastAsia="zh-CN"/>
        </w:rPr>
        <w:t>McGlynn</w:t>
      </w:r>
      <w:proofErr w:type="spellEnd"/>
      <w:r w:rsidRPr="00417749">
        <w:rPr>
          <w:rFonts w:ascii="Book Antiqua" w:eastAsia="宋体" w:hAnsi="Book Antiqua" w:cs="宋体"/>
          <w:sz w:val="24"/>
          <w:szCs w:val="24"/>
          <w:lang w:eastAsia="zh-CN"/>
        </w:rPr>
        <w:t xml:space="preserve"> KA. Metabolic syndrome increases the risk of primary liver cancer in the United States: a study in the SEER-Medicare database. </w:t>
      </w:r>
      <w:proofErr w:type="spellStart"/>
      <w:r w:rsidRPr="00417749">
        <w:rPr>
          <w:rFonts w:ascii="Book Antiqua" w:eastAsia="宋体" w:hAnsi="Book Antiqua" w:cs="宋体"/>
          <w:i/>
          <w:iCs/>
          <w:sz w:val="24"/>
          <w:szCs w:val="24"/>
          <w:lang w:eastAsia="zh-CN"/>
        </w:rPr>
        <w:t>Hepatology</w:t>
      </w:r>
      <w:proofErr w:type="spellEnd"/>
      <w:r w:rsidRPr="00417749">
        <w:rPr>
          <w:rFonts w:ascii="Book Antiqua" w:eastAsia="宋体" w:hAnsi="Book Antiqua" w:cs="宋体"/>
          <w:sz w:val="24"/>
          <w:szCs w:val="24"/>
          <w:lang w:eastAsia="zh-CN"/>
        </w:rPr>
        <w:t xml:space="preserve"> 2011; </w:t>
      </w:r>
      <w:r w:rsidRPr="00417749">
        <w:rPr>
          <w:rFonts w:ascii="Book Antiqua" w:eastAsia="宋体" w:hAnsi="Book Antiqua" w:cs="宋体"/>
          <w:b/>
          <w:bCs/>
          <w:sz w:val="24"/>
          <w:szCs w:val="24"/>
          <w:lang w:eastAsia="zh-CN"/>
        </w:rPr>
        <w:t>54</w:t>
      </w:r>
      <w:r w:rsidRPr="00417749">
        <w:rPr>
          <w:rFonts w:ascii="Book Antiqua" w:eastAsia="宋体" w:hAnsi="Book Antiqua" w:cs="宋体"/>
          <w:sz w:val="24"/>
          <w:szCs w:val="24"/>
          <w:lang w:eastAsia="zh-CN"/>
        </w:rPr>
        <w:t>: 463-471 [PMID: 21538440 DOI: 10.1002/hep.24397]</w:t>
      </w:r>
    </w:p>
    <w:p w14:paraId="7125D5E1" w14:textId="77777777"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 xml:space="preserve">20 </w:t>
      </w:r>
      <w:proofErr w:type="spellStart"/>
      <w:r w:rsidRPr="00417749">
        <w:rPr>
          <w:rFonts w:ascii="Book Antiqua" w:eastAsia="宋体" w:hAnsi="Book Antiqua" w:cs="宋体"/>
          <w:b/>
          <w:bCs/>
          <w:sz w:val="24"/>
          <w:szCs w:val="24"/>
          <w:lang w:eastAsia="zh-CN"/>
        </w:rPr>
        <w:t>Calle</w:t>
      </w:r>
      <w:proofErr w:type="spellEnd"/>
      <w:r w:rsidRPr="00417749">
        <w:rPr>
          <w:rFonts w:ascii="Book Antiqua" w:eastAsia="宋体" w:hAnsi="Book Antiqua" w:cs="宋体"/>
          <w:b/>
          <w:bCs/>
          <w:sz w:val="24"/>
          <w:szCs w:val="24"/>
          <w:lang w:eastAsia="zh-CN"/>
        </w:rPr>
        <w:t xml:space="preserve"> EE</w:t>
      </w:r>
      <w:r w:rsidRPr="00417749">
        <w:rPr>
          <w:rFonts w:ascii="Book Antiqua" w:eastAsia="宋体" w:hAnsi="Book Antiqua" w:cs="宋体"/>
          <w:sz w:val="24"/>
          <w:szCs w:val="24"/>
          <w:lang w:eastAsia="zh-CN"/>
        </w:rPr>
        <w:t xml:space="preserve">, Rodriguez C, Walker-Thurmond K, Thun MJ. Overweight, obesity, and mortality from cancer in a prospectively studied cohort of U.S. adults. </w:t>
      </w:r>
      <w:r w:rsidRPr="00417749">
        <w:rPr>
          <w:rFonts w:ascii="Book Antiqua" w:eastAsia="宋体" w:hAnsi="Book Antiqua" w:cs="宋体"/>
          <w:i/>
          <w:iCs/>
          <w:sz w:val="24"/>
          <w:szCs w:val="24"/>
          <w:lang w:eastAsia="zh-CN"/>
        </w:rPr>
        <w:t xml:space="preserve">N </w:t>
      </w:r>
      <w:proofErr w:type="spellStart"/>
      <w:r w:rsidRPr="00417749">
        <w:rPr>
          <w:rFonts w:ascii="Book Antiqua" w:eastAsia="宋体" w:hAnsi="Book Antiqua" w:cs="宋体"/>
          <w:i/>
          <w:iCs/>
          <w:sz w:val="24"/>
          <w:szCs w:val="24"/>
          <w:lang w:eastAsia="zh-CN"/>
        </w:rPr>
        <w:t>Engl</w:t>
      </w:r>
      <w:proofErr w:type="spellEnd"/>
      <w:r w:rsidRPr="00417749">
        <w:rPr>
          <w:rFonts w:ascii="Book Antiqua" w:eastAsia="宋体" w:hAnsi="Book Antiqua" w:cs="宋体"/>
          <w:i/>
          <w:iCs/>
          <w:sz w:val="24"/>
          <w:szCs w:val="24"/>
          <w:lang w:eastAsia="zh-CN"/>
        </w:rPr>
        <w:t xml:space="preserve"> J Med</w:t>
      </w:r>
      <w:r w:rsidRPr="00417749">
        <w:rPr>
          <w:rFonts w:ascii="Book Antiqua" w:eastAsia="宋体" w:hAnsi="Book Antiqua" w:cs="宋体"/>
          <w:sz w:val="24"/>
          <w:szCs w:val="24"/>
          <w:lang w:eastAsia="zh-CN"/>
        </w:rPr>
        <w:t xml:space="preserve"> 2003; </w:t>
      </w:r>
      <w:r w:rsidRPr="00417749">
        <w:rPr>
          <w:rFonts w:ascii="Book Antiqua" w:eastAsia="宋体" w:hAnsi="Book Antiqua" w:cs="宋体"/>
          <w:b/>
          <w:bCs/>
          <w:sz w:val="24"/>
          <w:szCs w:val="24"/>
          <w:lang w:eastAsia="zh-CN"/>
        </w:rPr>
        <w:t>348</w:t>
      </w:r>
      <w:r w:rsidRPr="00417749">
        <w:rPr>
          <w:rFonts w:ascii="Book Antiqua" w:eastAsia="宋体" w:hAnsi="Book Antiqua" w:cs="宋体"/>
          <w:sz w:val="24"/>
          <w:szCs w:val="24"/>
          <w:lang w:eastAsia="zh-CN"/>
        </w:rPr>
        <w:t>: 1625-1638 [PMID: 12711737 DOI: 10.1056/NEJMoa021423]</w:t>
      </w:r>
    </w:p>
    <w:p w14:paraId="538B03F6" w14:textId="77777777"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 xml:space="preserve">21 </w:t>
      </w:r>
      <w:r w:rsidRPr="00417749">
        <w:rPr>
          <w:rFonts w:ascii="Book Antiqua" w:eastAsia="宋体" w:hAnsi="Book Antiqua" w:cs="宋体"/>
          <w:b/>
          <w:bCs/>
          <w:sz w:val="24"/>
          <w:szCs w:val="24"/>
          <w:lang w:eastAsia="zh-CN"/>
        </w:rPr>
        <w:t>Larsson SC</w:t>
      </w:r>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sz w:val="24"/>
          <w:szCs w:val="24"/>
          <w:lang w:eastAsia="zh-CN"/>
        </w:rPr>
        <w:t>Wolk</w:t>
      </w:r>
      <w:proofErr w:type="spellEnd"/>
      <w:r w:rsidRPr="00417749">
        <w:rPr>
          <w:rFonts w:ascii="Book Antiqua" w:eastAsia="宋体" w:hAnsi="Book Antiqua" w:cs="宋体"/>
          <w:sz w:val="24"/>
          <w:szCs w:val="24"/>
          <w:lang w:eastAsia="zh-CN"/>
        </w:rPr>
        <w:t xml:space="preserve"> A. Overweight, obesity and risk of liver cancer: a meta-analysis of cohort studies. </w:t>
      </w:r>
      <w:r w:rsidRPr="00417749">
        <w:rPr>
          <w:rFonts w:ascii="Book Antiqua" w:eastAsia="宋体" w:hAnsi="Book Antiqua" w:cs="宋体"/>
          <w:i/>
          <w:iCs/>
          <w:sz w:val="24"/>
          <w:szCs w:val="24"/>
          <w:lang w:eastAsia="zh-CN"/>
        </w:rPr>
        <w:t>Br J Cancer</w:t>
      </w:r>
      <w:r w:rsidRPr="00417749">
        <w:rPr>
          <w:rFonts w:ascii="Book Antiqua" w:eastAsia="宋体" w:hAnsi="Book Antiqua" w:cs="宋体"/>
          <w:sz w:val="24"/>
          <w:szCs w:val="24"/>
          <w:lang w:eastAsia="zh-CN"/>
        </w:rPr>
        <w:t xml:space="preserve"> 2007; </w:t>
      </w:r>
      <w:r w:rsidRPr="00417749">
        <w:rPr>
          <w:rFonts w:ascii="Book Antiqua" w:eastAsia="宋体" w:hAnsi="Book Antiqua" w:cs="宋体"/>
          <w:b/>
          <w:bCs/>
          <w:sz w:val="24"/>
          <w:szCs w:val="24"/>
          <w:lang w:eastAsia="zh-CN"/>
        </w:rPr>
        <w:t>97</w:t>
      </w:r>
      <w:r w:rsidRPr="00417749">
        <w:rPr>
          <w:rFonts w:ascii="Book Antiqua" w:eastAsia="宋体" w:hAnsi="Book Antiqua" w:cs="宋体"/>
          <w:sz w:val="24"/>
          <w:szCs w:val="24"/>
          <w:lang w:eastAsia="zh-CN"/>
        </w:rPr>
        <w:t>: 1005-1008 [PMID: 17700568 DOI: 10.1038/sj.bjc.6603932]</w:t>
      </w:r>
    </w:p>
    <w:p w14:paraId="1723CB83" w14:textId="77777777"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 xml:space="preserve">22 </w:t>
      </w:r>
      <w:r w:rsidRPr="00417749">
        <w:rPr>
          <w:rFonts w:ascii="Book Antiqua" w:eastAsia="宋体" w:hAnsi="Book Antiqua" w:cs="宋体"/>
          <w:b/>
          <w:bCs/>
          <w:sz w:val="24"/>
          <w:szCs w:val="24"/>
          <w:lang w:eastAsia="zh-CN"/>
        </w:rPr>
        <w:t>Ohki T</w:t>
      </w:r>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sz w:val="24"/>
          <w:szCs w:val="24"/>
          <w:lang w:eastAsia="zh-CN"/>
        </w:rPr>
        <w:t>Tateishi</w:t>
      </w:r>
      <w:proofErr w:type="spellEnd"/>
      <w:r w:rsidRPr="00417749">
        <w:rPr>
          <w:rFonts w:ascii="Book Antiqua" w:eastAsia="宋体" w:hAnsi="Book Antiqua" w:cs="宋体"/>
          <w:sz w:val="24"/>
          <w:szCs w:val="24"/>
          <w:lang w:eastAsia="zh-CN"/>
        </w:rPr>
        <w:t xml:space="preserve"> R, </w:t>
      </w:r>
      <w:proofErr w:type="spellStart"/>
      <w:r w:rsidRPr="00417749">
        <w:rPr>
          <w:rFonts w:ascii="Book Antiqua" w:eastAsia="宋体" w:hAnsi="Book Antiqua" w:cs="宋体"/>
          <w:sz w:val="24"/>
          <w:szCs w:val="24"/>
          <w:lang w:eastAsia="zh-CN"/>
        </w:rPr>
        <w:t>Shiina</w:t>
      </w:r>
      <w:proofErr w:type="spellEnd"/>
      <w:r w:rsidRPr="00417749">
        <w:rPr>
          <w:rFonts w:ascii="Book Antiqua" w:eastAsia="宋体" w:hAnsi="Book Antiqua" w:cs="宋体"/>
          <w:sz w:val="24"/>
          <w:szCs w:val="24"/>
          <w:lang w:eastAsia="zh-CN"/>
        </w:rPr>
        <w:t xml:space="preserve"> S, </w:t>
      </w:r>
      <w:proofErr w:type="spellStart"/>
      <w:r w:rsidRPr="00417749">
        <w:rPr>
          <w:rFonts w:ascii="Book Antiqua" w:eastAsia="宋体" w:hAnsi="Book Antiqua" w:cs="宋体"/>
          <w:sz w:val="24"/>
          <w:szCs w:val="24"/>
          <w:lang w:eastAsia="zh-CN"/>
        </w:rPr>
        <w:t>Goto</w:t>
      </w:r>
      <w:proofErr w:type="spellEnd"/>
      <w:r w:rsidRPr="00417749">
        <w:rPr>
          <w:rFonts w:ascii="Book Antiqua" w:eastAsia="宋体" w:hAnsi="Book Antiqua" w:cs="宋体"/>
          <w:sz w:val="24"/>
          <w:szCs w:val="24"/>
          <w:lang w:eastAsia="zh-CN"/>
        </w:rPr>
        <w:t xml:space="preserve"> E, Sato T, Nakagawa H, </w:t>
      </w:r>
      <w:proofErr w:type="spellStart"/>
      <w:r w:rsidRPr="00417749">
        <w:rPr>
          <w:rFonts w:ascii="Book Antiqua" w:eastAsia="宋体" w:hAnsi="Book Antiqua" w:cs="宋体"/>
          <w:sz w:val="24"/>
          <w:szCs w:val="24"/>
          <w:lang w:eastAsia="zh-CN"/>
        </w:rPr>
        <w:t>Masuzaki</w:t>
      </w:r>
      <w:proofErr w:type="spellEnd"/>
      <w:r w:rsidRPr="00417749">
        <w:rPr>
          <w:rFonts w:ascii="Book Antiqua" w:eastAsia="宋体" w:hAnsi="Book Antiqua" w:cs="宋体"/>
          <w:sz w:val="24"/>
          <w:szCs w:val="24"/>
          <w:lang w:eastAsia="zh-CN"/>
        </w:rPr>
        <w:t xml:space="preserve"> R, </w:t>
      </w:r>
      <w:proofErr w:type="spellStart"/>
      <w:r w:rsidRPr="00417749">
        <w:rPr>
          <w:rFonts w:ascii="Book Antiqua" w:eastAsia="宋体" w:hAnsi="Book Antiqua" w:cs="宋体"/>
          <w:sz w:val="24"/>
          <w:szCs w:val="24"/>
          <w:lang w:eastAsia="zh-CN"/>
        </w:rPr>
        <w:t>Goto</w:t>
      </w:r>
      <w:proofErr w:type="spellEnd"/>
      <w:r w:rsidRPr="00417749">
        <w:rPr>
          <w:rFonts w:ascii="Book Antiqua" w:eastAsia="宋体" w:hAnsi="Book Antiqua" w:cs="宋体"/>
          <w:sz w:val="24"/>
          <w:szCs w:val="24"/>
          <w:lang w:eastAsia="zh-CN"/>
        </w:rPr>
        <w:t xml:space="preserve"> T, </w:t>
      </w:r>
      <w:proofErr w:type="spellStart"/>
      <w:r w:rsidRPr="00417749">
        <w:rPr>
          <w:rFonts w:ascii="Book Antiqua" w:eastAsia="宋体" w:hAnsi="Book Antiqua" w:cs="宋体"/>
          <w:sz w:val="24"/>
          <w:szCs w:val="24"/>
          <w:lang w:eastAsia="zh-CN"/>
        </w:rPr>
        <w:t>Hamamura</w:t>
      </w:r>
      <w:proofErr w:type="spellEnd"/>
      <w:r w:rsidRPr="00417749">
        <w:rPr>
          <w:rFonts w:ascii="Book Antiqua" w:eastAsia="宋体" w:hAnsi="Book Antiqua" w:cs="宋体"/>
          <w:sz w:val="24"/>
          <w:szCs w:val="24"/>
          <w:lang w:eastAsia="zh-CN"/>
        </w:rPr>
        <w:t xml:space="preserve"> K, Kanai F, Yoshida H, </w:t>
      </w:r>
      <w:proofErr w:type="spellStart"/>
      <w:r w:rsidRPr="00417749">
        <w:rPr>
          <w:rFonts w:ascii="Book Antiqua" w:eastAsia="宋体" w:hAnsi="Book Antiqua" w:cs="宋体"/>
          <w:sz w:val="24"/>
          <w:szCs w:val="24"/>
          <w:lang w:eastAsia="zh-CN"/>
        </w:rPr>
        <w:t>Kawabe</w:t>
      </w:r>
      <w:proofErr w:type="spellEnd"/>
      <w:r w:rsidRPr="00417749">
        <w:rPr>
          <w:rFonts w:ascii="Book Antiqua" w:eastAsia="宋体" w:hAnsi="Book Antiqua" w:cs="宋体"/>
          <w:sz w:val="24"/>
          <w:szCs w:val="24"/>
          <w:lang w:eastAsia="zh-CN"/>
        </w:rPr>
        <w:t xml:space="preserve"> T, </w:t>
      </w:r>
      <w:proofErr w:type="spellStart"/>
      <w:r w:rsidRPr="00417749">
        <w:rPr>
          <w:rFonts w:ascii="Book Antiqua" w:eastAsia="宋体" w:hAnsi="Book Antiqua" w:cs="宋体"/>
          <w:sz w:val="24"/>
          <w:szCs w:val="24"/>
          <w:lang w:eastAsia="zh-CN"/>
        </w:rPr>
        <w:t>Omata</w:t>
      </w:r>
      <w:proofErr w:type="spellEnd"/>
      <w:r w:rsidRPr="00417749">
        <w:rPr>
          <w:rFonts w:ascii="Book Antiqua" w:eastAsia="宋体" w:hAnsi="Book Antiqua" w:cs="宋体"/>
          <w:sz w:val="24"/>
          <w:szCs w:val="24"/>
          <w:lang w:eastAsia="zh-CN"/>
        </w:rPr>
        <w:t xml:space="preserve"> M. Visceral fat accumulation is an independent risk factor for hepatocellular carcinoma recurrence after curative treatment in patients with suspected NASH. </w:t>
      </w:r>
      <w:r w:rsidRPr="00417749">
        <w:rPr>
          <w:rFonts w:ascii="Book Antiqua" w:eastAsia="宋体" w:hAnsi="Book Antiqua" w:cs="宋体"/>
          <w:i/>
          <w:iCs/>
          <w:sz w:val="24"/>
          <w:szCs w:val="24"/>
          <w:lang w:eastAsia="zh-CN"/>
        </w:rPr>
        <w:t>Gut</w:t>
      </w:r>
      <w:r w:rsidRPr="00417749">
        <w:rPr>
          <w:rFonts w:ascii="Book Antiqua" w:eastAsia="宋体" w:hAnsi="Book Antiqua" w:cs="宋体"/>
          <w:sz w:val="24"/>
          <w:szCs w:val="24"/>
          <w:lang w:eastAsia="zh-CN"/>
        </w:rPr>
        <w:t xml:space="preserve"> 2009; </w:t>
      </w:r>
      <w:r w:rsidRPr="00417749">
        <w:rPr>
          <w:rFonts w:ascii="Book Antiqua" w:eastAsia="宋体" w:hAnsi="Book Antiqua" w:cs="宋体"/>
          <w:b/>
          <w:bCs/>
          <w:sz w:val="24"/>
          <w:szCs w:val="24"/>
          <w:lang w:eastAsia="zh-CN"/>
        </w:rPr>
        <w:t>58</w:t>
      </w:r>
      <w:r w:rsidRPr="00417749">
        <w:rPr>
          <w:rFonts w:ascii="Book Antiqua" w:eastAsia="宋体" w:hAnsi="Book Antiqua" w:cs="宋体"/>
          <w:sz w:val="24"/>
          <w:szCs w:val="24"/>
          <w:lang w:eastAsia="zh-CN"/>
        </w:rPr>
        <w:t>: 839-844 [PMID: 19174415 DOI: 10.1136/gut.2008.164053]</w:t>
      </w:r>
    </w:p>
    <w:p w14:paraId="53431D95" w14:textId="77777777"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 xml:space="preserve">23 </w:t>
      </w:r>
      <w:r w:rsidRPr="00417749">
        <w:rPr>
          <w:rFonts w:ascii="Book Antiqua" w:eastAsia="宋体" w:hAnsi="Book Antiqua" w:cs="宋体"/>
          <w:b/>
          <w:bCs/>
          <w:sz w:val="24"/>
          <w:szCs w:val="24"/>
          <w:lang w:eastAsia="zh-CN"/>
        </w:rPr>
        <w:t>El-</w:t>
      </w:r>
      <w:proofErr w:type="spellStart"/>
      <w:r w:rsidRPr="00417749">
        <w:rPr>
          <w:rFonts w:ascii="Book Antiqua" w:eastAsia="宋体" w:hAnsi="Book Antiqua" w:cs="宋体"/>
          <w:b/>
          <w:bCs/>
          <w:sz w:val="24"/>
          <w:szCs w:val="24"/>
          <w:lang w:eastAsia="zh-CN"/>
        </w:rPr>
        <w:t>Serag</w:t>
      </w:r>
      <w:proofErr w:type="spellEnd"/>
      <w:r w:rsidRPr="00417749">
        <w:rPr>
          <w:rFonts w:ascii="Book Antiqua" w:eastAsia="宋体" w:hAnsi="Book Antiqua" w:cs="宋体"/>
          <w:b/>
          <w:bCs/>
          <w:sz w:val="24"/>
          <w:szCs w:val="24"/>
          <w:lang w:eastAsia="zh-CN"/>
        </w:rPr>
        <w:t xml:space="preserve"> HB</w:t>
      </w:r>
      <w:r w:rsidRPr="00417749">
        <w:rPr>
          <w:rFonts w:ascii="Book Antiqua" w:eastAsia="宋体" w:hAnsi="Book Antiqua" w:cs="宋体"/>
          <w:sz w:val="24"/>
          <w:szCs w:val="24"/>
          <w:lang w:eastAsia="zh-CN"/>
        </w:rPr>
        <w:t xml:space="preserve">, Johnson ML, </w:t>
      </w:r>
      <w:proofErr w:type="spellStart"/>
      <w:r w:rsidRPr="00417749">
        <w:rPr>
          <w:rFonts w:ascii="Book Antiqua" w:eastAsia="宋体" w:hAnsi="Book Antiqua" w:cs="宋体"/>
          <w:sz w:val="24"/>
          <w:szCs w:val="24"/>
          <w:lang w:eastAsia="zh-CN"/>
        </w:rPr>
        <w:t>Hachem</w:t>
      </w:r>
      <w:proofErr w:type="spellEnd"/>
      <w:r w:rsidRPr="00417749">
        <w:rPr>
          <w:rFonts w:ascii="Book Antiqua" w:eastAsia="宋体" w:hAnsi="Book Antiqua" w:cs="宋体"/>
          <w:sz w:val="24"/>
          <w:szCs w:val="24"/>
          <w:lang w:eastAsia="zh-CN"/>
        </w:rPr>
        <w:t xml:space="preserve"> C, Morgana RO. Statins are associated with a reduced risk of hepatocellular carcinoma in a large cohort of patients with diabetes. </w:t>
      </w:r>
      <w:r w:rsidRPr="00417749">
        <w:rPr>
          <w:rFonts w:ascii="Book Antiqua" w:eastAsia="宋体" w:hAnsi="Book Antiqua" w:cs="宋体"/>
          <w:i/>
          <w:iCs/>
          <w:sz w:val="24"/>
          <w:szCs w:val="24"/>
          <w:lang w:eastAsia="zh-CN"/>
        </w:rPr>
        <w:t>Gastroenterology</w:t>
      </w:r>
      <w:r w:rsidRPr="00417749">
        <w:rPr>
          <w:rFonts w:ascii="Book Antiqua" w:eastAsia="宋体" w:hAnsi="Book Antiqua" w:cs="宋体"/>
          <w:sz w:val="24"/>
          <w:szCs w:val="24"/>
          <w:lang w:eastAsia="zh-CN"/>
        </w:rPr>
        <w:t xml:space="preserve"> 2009; </w:t>
      </w:r>
      <w:r w:rsidRPr="00417749">
        <w:rPr>
          <w:rFonts w:ascii="Book Antiqua" w:eastAsia="宋体" w:hAnsi="Book Antiqua" w:cs="宋体"/>
          <w:b/>
          <w:bCs/>
          <w:sz w:val="24"/>
          <w:szCs w:val="24"/>
          <w:lang w:eastAsia="zh-CN"/>
        </w:rPr>
        <w:t>136</w:t>
      </w:r>
      <w:r w:rsidRPr="00417749">
        <w:rPr>
          <w:rFonts w:ascii="Book Antiqua" w:eastAsia="宋体" w:hAnsi="Book Antiqua" w:cs="宋体"/>
          <w:sz w:val="24"/>
          <w:szCs w:val="24"/>
          <w:lang w:eastAsia="zh-CN"/>
        </w:rPr>
        <w:t>: 1601-1608 [PMID: 19208359 DOI: 10.1053/j.gastro.2009.01.053]</w:t>
      </w:r>
    </w:p>
    <w:p w14:paraId="50D2B16C" w14:textId="77777777"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 xml:space="preserve">24 </w:t>
      </w:r>
      <w:r w:rsidRPr="00417749">
        <w:rPr>
          <w:rFonts w:ascii="Book Antiqua" w:eastAsia="宋体" w:hAnsi="Book Antiqua" w:cs="宋体"/>
          <w:b/>
          <w:bCs/>
          <w:sz w:val="24"/>
          <w:szCs w:val="24"/>
          <w:lang w:eastAsia="zh-CN"/>
        </w:rPr>
        <w:t>Sorrentino P</w:t>
      </w:r>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sz w:val="24"/>
          <w:szCs w:val="24"/>
          <w:lang w:eastAsia="zh-CN"/>
        </w:rPr>
        <w:t>D'Angelo</w:t>
      </w:r>
      <w:proofErr w:type="spellEnd"/>
      <w:r w:rsidRPr="00417749">
        <w:rPr>
          <w:rFonts w:ascii="Book Antiqua" w:eastAsia="宋体" w:hAnsi="Book Antiqua" w:cs="宋体"/>
          <w:sz w:val="24"/>
          <w:szCs w:val="24"/>
          <w:lang w:eastAsia="zh-CN"/>
        </w:rPr>
        <w:t xml:space="preserve"> S, </w:t>
      </w:r>
      <w:proofErr w:type="spellStart"/>
      <w:r w:rsidRPr="00417749">
        <w:rPr>
          <w:rFonts w:ascii="Book Antiqua" w:eastAsia="宋体" w:hAnsi="Book Antiqua" w:cs="宋体"/>
          <w:sz w:val="24"/>
          <w:szCs w:val="24"/>
          <w:lang w:eastAsia="zh-CN"/>
        </w:rPr>
        <w:t>Ferbo</w:t>
      </w:r>
      <w:proofErr w:type="spellEnd"/>
      <w:r w:rsidRPr="00417749">
        <w:rPr>
          <w:rFonts w:ascii="Book Antiqua" w:eastAsia="宋体" w:hAnsi="Book Antiqua" w:cs="宋体"/>
          <w:sz w:val="24"/>
          <w:szCs w:val="24"/>
          <w:lang w:eastAsia="zh-CN"/>
        </w:rPr>
        <w:t xml:space="preserve"> U, </w:t>
      </w:r>
      <w:proofErr w:type="spellStart"/>
      <w:r w:rsidRPr="00417749">
        <w:rPr>
          <w:rFonts w:ascii="Book Antiqua" w:eastAsia="宋体" w:hAnsi="Book Antiqua" w:cs="宋体"/>
          <w:sz w:val="24"/>
          <w:szCs w:val="24"/>
          <w:lang w:eastAsia="zh-CN"/>
        </w:rPr>
        <w:t>Micheli</w:t>
      </w:r>
      <w:proofErr w:type="spellEnd"/>
      <w:r w:rsidRPr="00417749">
        <w:rPr>
          <w:rFonts w:ascii="Book Antiqua" w:eastAsia="宋体" w:hAnsi="Book Antiqua" w:cs="宋体"/>
          <w:sz w:val="24"/>
          <w:szCs w:val="24"/>
          <w:lang w:eastAsia="zh-CN"/>
        </w:rPr>
        <w:t xml:space="preserve"> P, </w:t>
      </w:r>
      <w:proofErr w:type="spellStart"/>
      <w:r w:rsidRPr="00417749">
        <w:rPr>
          <w:rFonts w:ascii="Book Antiqua" w:eastAsia="宋体" w:hAnsi="Book Antiqua" w:cs="宋体"/>
          <w:sz w:val="24"/>
          <w:szCs w:val="24"/>
          <w:lang w:eastAsia="zh-CN"/>
        </w:rPr>
        <w:t>Bracigliano</w:t>
      </w:r>
      <w:proofErr w:type="spellEnd"/>
      <w:r w:rsidRPr="00417749">
        <w:rPr>
          <w:rFonts w:ascii="Book Antiqua" w:eastAsia="宋体" w:hAnsi="Book Antiqua" w:cs="宋体"/>
          <w:sz w:val="24"/>
          <w:szCs w:val="24"/>
          <w:lang w:eastAsia="zh-CN"/>
        </w:rPr>
        <w:t xml:space="preserve"> A, </w:t>
      </w:r>
      <w:proofErr w:type="spellStart"/>
      <w:r w:rsidRPr="00417749">
        <w:rPr>
          <w:rFonts w:ascii="Book Antiqua" w:eastAsia="宋体" w:hAnsi="Book Antiqua" w:cs="宋体"/>
          <w:sz w:val="24"/>
          <w:szCs w:val="24"/>
          <w:lang w:eastAsia="zh-CN"/>
        </w:rPr>
        <w:t>Vecchione</w:t>
      </w:r>
      <w:proofErr w:type="spellEnd"/>
      <w:r w:rsidRPr="00417749">
        <w:rPr>
          <w:rFonts w:ascii="Book Antiqua" w:eastAsia="宋体" w:hAnsi="Book Antiqua" w:cs="宋体"/>
          <w:sz w:val="24"/>
          <w:szCs w:val="24"/>
          <w:lang w:eastAsia="zh-CN"/>
        </w:rPr>
        <w:t xml:space="preserve"> R. Liver iron excess in patients with hepatocellular carcinoma developed on non-alcoholic </w:t>
      </w:r>
      <w:proofErr w:type="spellStart"/>
      <w:r w:rsidRPr="00417749">
        <w:rPr>
          <w:rFonts w:ascii="Book Antiqua" w:eastAsia="宋体" w:hAnsi="Book Antiqua" w:cs="宋体"/>
          <w:sz w:val="24"/>
          <w:szCs w:val="24"/>
          <w:lang w:eastAsia="zh-CN"/>
        </w:rPr>
        <w:t>steato</w:t>
      </w:r>
      <w:proofErr w:type="spellEnd"/>
      <w:r w:rsidRPr="00417749">
        <w:rPr>
          <w:rFonts w:ascii="Book Antiqua" w:eastAsia="宋体" w:hAnsi="Book Antiqua" w:cs="宋体"/>
          <w:sz w:val="24"/>
          <w:szCs w:val="24"/>
          <w:lang w:eastAsia="zh-CN"/>
        </w:rPr>
        <w:t xml:space="preserve">-hepatitis. </w:t>
      </w:r>
      <w:r w:rsidRPr="00417749">
        <w:rPr>
          <w:rFonts w:ascii="Book Antiqua" w:eastAsia="宋体" w:hAnsi="Book Antiqua" w:cs="宋体"/>
          <w:i/>
          <w:iCs/>
          <w:sz w:val="24"/>
          <w:szCs w:val="24"/>
          <w:lang w:eastAsia="zh-CN"/>
        </w:rPr>
        <w:t xml:space="preserve">J </w:t>
      </w:r>
      <w:proofErr w:type="spellStart"/>
      <w:r w:rsidRPr="00417749">
        <w:rPr>
          <w:rFonts w:ascii="Book Antiqua" w:eastAsia="宋体" w:hAnsi="Book Antiqua" w:cs="宋体"/>
          <w:i/>
          <w:iCs/>
          <w:sz w:val="24"/>
          <w:szCs w:val="24"/>
          <w:lang w:eastAsia="zh-CN"/>
        </w:rPr>
        <w:t>Hepatol</w:t>
      </w:r>
      <w:proofErr w:type="spellEnd"/>
      <w:r w:rsidRPr="00417749">
        <w:rPr>
          <w:rFonts w:ascii="Book Antiqua" w:eastAsia="宋体" w:hAnsi="Book Antiqua" w:cs="宋体"/>
          <w:sz w:val="24"/>
          <w:szCs w:val="24"/>
          <w:lang w:eastAsia="zh-CN"/>
        </w:rPr>
        <w:t xml:space="preserve"> 2009; </w:t>
      </w:r>
      <w:r w:rsidRPr="00417749">
        <w:rPr>
          <w:rFonts w:ascii="Book Antiqua" w:eastAsia="宋体" w:hAnsi="Book Antiqua" w:cs="宋体"/>
          <w:b/>
          <w:bCs/>
          <w:sz w:val="24"/>
          <w:szCs w:val="24"/>
          <w:lang w:eastAsia="zh-CN"/>
        </w:rPr>
        <w:t>50</w:t>
      </w:r>
      <w:r w:rsidRPr="00417749">
        <w:rPr>
          <w:rFonts w:ascii="Book Antiqua" w:eastAsia="宋体" w:hAnsi="Book Antiqua" w:cs="宋体"/>
          <w:sz w:val="24"/>
          <w:szCs w:val="24"/>
          <w:lang w:eastAsia="zh-CN"/>
        </w:rPr>
        <w:t>: 351-357 [PMID: 19070395 DOI: 10.1016/j.jhep.2008.09.011]</w:t>
      </w:r>
    </w:p>
    <w:p w14:paraId="3DED6356" w14:textId="27E3C77B"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2</w:t>
      </w:r>
      <w:r>
        <w:rPr>
          <w:rFonts w:ascii="Book Antiqua" w:eastAsia="宋体" w:hAnsi="Book Antiqua" w:cs="宋体" w:hint="eastAsia"/>
          <w:sz w:val="24"/>
          <w:szCs w:val="24"/>
          <w:lang w:eastAsia="zh-CN"/>
        </w:rPr>
        <w:t>5</w:t>
      </w:r>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b/>
          <w:bCs/>
          <w:sz w:val="24"/>
          <w:szCs w:val="24"/>
          <w:lang w:eastAsia="zh-CN"/>
        </w:rPr>
        <w:t>Stickel</w:t>
      </w:r>
      <w:proofErr w:type="spellEnd"/>
      <w:r w:rsidRPr="00417749">
        <w:rPr>
          <w:rFonts w:ascii="Book Antiqua" w:eastAsia="宋体" w:hAnsi="Book Antiqua" w:cs="宋体"/>
          <w:b/>
          <w:bCs/>
          <w:sz w:val="24"/>
          <w:szCs w:val="24"/>
          <w:lang w:eastAsia="zh-CN"/>
        </w:rPr>
        <w:t xml:space="preserve"> F</w:t>
      </w:r>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sz w:val="24"/>
          <w:szCs w:val="24"/>
          <w:lang w:eastAsia="zh-CN"/>
        </w:rPr>
        <w:t>Hellerbrand</w:t>
      </w:r>
      <w:proofErr w:type="spellEnd"/>
      <w:r w:rsidRPr="00417749">
        <w:rPr>
          <w:rFonts w:ascii="Book Antiqua" w:eastAsia="宋体" w:hAnsi="Book Antiqua" w:cs="宋体"/>
          <w:sz w:val="24"/>
          <w:szCs w:val="24"/>
          <w:lang w:eastAsia="zh-CN"/>
        </w:rPr>
        <w:t xml:space="preserve"> C. Non-alcoholic fatty liver disease as a risk factor for hepatocellular carcinoma: mechanisms and implications. </w:t>
      </w:r>
      <w:r w:rsidRPr="00417749">
        <w:rPr>
          <w:rFonts w:ascii="Book Antiqua" w:eastAsia="宋体" w:hAnsi="Book Antiqua" w:cs="宋体"/>
          <w:i/>
          <w:iCs/>
          <w:sz w:val="24"/>
          <w:szCs w:val="24"/>
          <w:lang w:eastAsia="zh-CN"/>
        </w:rPr>
        <w:t>Gut</w:t>
      </w:r>
      <w:r w:rsidRPr="00417749">
        <w:rPr>
          <w:rFonts w:ascii="Book Antiqua" w:eastAsia="宋体" w:hAnsi="Book Antiqua" w:cs="宋体"/>
          <w:sz w:val="24"/>
          <w:szCs w:val="24"/>
          <w:lang w:eastAsia="zh-CN"/>
        </w:rPr>
        <w:t xml:space="preserve"> 2010; </w:t>
      </w:r>
      <w:r w:rsidRPr="00417749">
        <w:rPr>
          <w:rFonts w:ascii="Book Antiqua" w:eastAsia="宋体" w:hAnsi="Book Antiqua" w:cs="宋体"/>
          <w:b/>
          <w:bCs/>
          <w:sz w:val="24"/>
          <w:szCs w:val="24"/>
          <w:lang w:eastAsia="zh-CN"/>
        </w:rPr>
        <w:t>59</w:t>
      </w:r>
      <w:r w:rsidRPr="00417749">
        <w:rPr>
          <w:rFonts w:ascii="Book Antiqua" w:eastAsia="宋体" w:hAnsi="Book Antiqua" w:cs="宋体"/>
          <w:sz w:val="24"/>
          <w:szCs w:val="24"/>
          <w:lang w:eastAsia="zh-CN"/>
        </w:rPr>
        <w:t>: 1303-1307 [PMID: 20650925 DOI: 10.1136/gut.2009.199661]</w:t>
      </w:r>
    </w:p>
    <w:p w14:paraId="5708B1AF" w14:textId="0AE57BEA"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lastRenderedPageBreak/>
        <w:t>2</w:t>
      </w:r>
      <w:r>
        <w:rPr>
          <w:rFonts w:ascii="Book Antiqua" w:eastAsia="宋体" w:hAnsi="Book Antiqua" w:cs="宋体" w:hint="eastAsia"/>
          <w:sz w:val="24"/>
          <w:szCs w:val="24"/>
          <w:lang w:eastAsia="zh-CN"/>
        </w:rPr>
        <w:t>6</w:t>
      </w:r>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b/>
          <w:bCs/>
          <w:sz w:val="24"/>
          <w:szCs w:val="24"/>
          <w:lang w:eastAsia="zh-CN"/>
        </w:rPr>
        <w:t>Marra</w:t>
      </w:r>
      <w:proofErr w:type="spellEnd"/>
      <w:r w:rsidRPr="00417749">
        <w:rPr>
          <w:rFonts w:ascii="Book Antiqua" w:eastAsia="宋体" w:hAnsi="Book Antiqua" w:cs="宋体"/>
          <w:b/>
          <w:bCs/>
          <w:sz w:val="24"/>
          <w:szCs w:val="24"/>
          <w:lang w:eastAsia="zh-CN"/>
        </w:rPr>
        <w:t xml:space="preserve"> F</w:t>
      </w:r>
      <w:r w:rsidRPr="00417749">
        <w:rPr>
          <w:rFonts w:ascii="Book Antiqua" w:eastAsia="宋体" w:hAnsi="Book Antiqua" w:cs="宋体"/>
          <w:sz w:val="24"/>
          <w:szCs w:val="24"/>
          <w:lang w:eastAsia="zh-CN"/>
        </w:rPr>
        <w:t xml:space="preserve">. Leptin and liver fibrosis: a matter of fat. </w:t>
      </w:r>
      <w:r w:rsidRPr="00417749">
        <w:rPr>
          <w:rFonts w:ascii="Book Antiqua" w:eastAsia="宋体" w:hAnsi="Book Antiqua" w:cs="宋体"/>
          <w:i/>
          <w:iCs/>
          <w:sz w:val="24"/>
          <w:szCs w:val="24"/>
          <w:lang w:eastAsia="zh-CN"/>
        </w:rPr>
        <w:t>Gastroenterology</w:t>
      </w:r>
      <w:r w:rsidRPr="00417749">
        <w:rPr>
          <w:rFonts w:ascii="Book Antiqua" w:eastAsia="宋体" w:hAnsi="Book Antiqua" w:cs="宋体"/>
          <w:sz w:val="24"/>
          <w:szCs w:val="24"/>
          <w:lang w:eastAsia="zh-CN"/>
        </w:rPr>
        <w:t xml:space="preserve"> 2002; </w:t>
      </w:r>
      <w:r w:rsidRPr="00417749">
        <w:rPr>
          <w:rFonts w:ascii="Book Antiqua" w:eastAsia="宋体" w:hAnsi="Book Antiqua" w:cs="宋体"/>
          <w:b/>
          <w:bCs/>
          <w:sz w:val="24"/>
          <w:szCs w:val="24"/>
          <w:lang w:eastAsia="zh-CN"/>
        </w:rPr>
        <w:t>122</w:t>
      </w:r>
      <w:r w:rsidRPr="00417749">
        <w:rPr>
          <w:rFonts w:ascii="Book Antiqua" w:eastAsia="宋体" w:hAnsi="Book Antiqua" w:cs="宋体"/>
          <w:sz w:val="24"/>
          <w:szCs w:val="24"/>
          <w:lang w:eastAsia="zh-CN"/>
        </w:rPr>
        <w:t>: 1529-1532 [PMID: 11984539 DOI: 10.1053/gast.2002.33369]</w:t>
      </w:r>
    </w:p>
    <w:p w14:paraId="03955F71" w14:textId="5AFF7514"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2</w:t>
      </w:r>
      <w:r>
        <w:rPr>
          <w:rFonts w:ascii="Book Antiqua" w:eastAsia="宋体" w:hAnsi="Book Antiqua" w:cs="宋体" w:hint="eastAsia"/>
          <w:sz w:val="24"/>
          <w:szCs w:val="24"/>
          <w:lang w:eastAsia="zh-CN"/>
        </w:rPr>
        <w:t>7</w:t>
      </w:r>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b/>
          <w:bCs/>
          <w:sz w:val="24"/>
          <w:szCs w:val="24"/>
          <w:lang w:eastAsia="zh-CN"/>
        </w:rPr>
        <w:t>Bougoulia</w:t>
      </w:r>
      <w:proofErr w:type="spellEnd"/>
      <w:r w:rsidRPr="00417749">
        <w:rPr>
          <w:rFonts w:ascii="Book Antiqua" w:eastAsia="宋体" w:hAnsi="Book Antiqua" w:cs="宋体"/>
          <w:b/>
          <w:bCs/>
          <w:sz w:val="24"/>
          <w:szCs w:val="24"/>
          <w:lang w:eastAsia="zh-CN"/>
        </w:rPr>
        <w:t xml:space="preserve"> M</w:t>
      </w:r>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sz w:val="24"/>
          <w:szCs w:val="24"/>
          <w:lang w:eastAsia="zh-CN"/>
        </w:rPr>
        <w:t>Triantos</w:t>
      </w:r>
      <w:proofErr w:type="spellEnd"/>
      <w:r w:rsidRPr="00417749">
        <w:rPr>
          <w:rFonts w:ascii="Book Antiqua" w:eastAsia="宋体" w:hAnsi="Book Antiqua" w:cs="宋体"/>
          <w:sz w:val="24"/>
          <w:szCs w:val="24"/>
          <w:lang w:eastAsia="zh-CN"/>
        </w:rPr>
        <w:t xml:space="preserve"> A, </w:t>
      </w:r>
      <w:proofErr w:type="spellStart"/>
      <w:r w:rsidRPr="00417749">
        <w:rPr>
          <w:rFonts w:ascii="Book Antiqua" w:eastAsia="宋体" w:hAnsi="Book Antiqua" w:cs="宋体"/>
          <w:sz w:val="24"/>
          <w:szCs w:val="24"/>
          <w:lang w:eastAsia="zh-CN"/>
        </w:rPr>
        <w:t>Koliakos</w:t>
      </w:r>
      <w:proofErr w:type="spellEnd"/>
      <w:r w:rsidRPr="00417749">
        <w:rPr>
          <w:rFonts w:ascii="Book Antiqua" w:eastAsia="宋体" w:hAnsi="Book Antiqua" w:cs="宋体"/>
          <w:sz w:val="24"/>
          <w:szCs w:val="24"/>
          <w:lang w:eastAsia="zh-CN"/>
        </w:rPr>
        <w:t xml:space="preserve"> G. Effect of weight loss with or without </w:t>
      </w:r>
      <w:proofErr w:type="spellStart"/>
      <w:r w:rsidRPr="00417749">
        <w:rPr>
          <w:rFonts w:ascii="Book Antiqua" w:eastAsia="宋体" w:hAnsi="Book Antiqua" w:cs="宋体"/>
          <w:sz w:val="24"/>
          <w:szCs w:val="24"/>
          <w:lang w:eastAsia="zh-CN"/>
        </w:rPr>
        <w:t>orlistat</w:t>
      </w:r>
      <w:proofErr w:type="spellEnd"/>
      <w:r w:rsidRPr="00417749">
        <w:rPr>
          <w:rFonts w:ascii="Book Antiqua" w:eastAsia="宋体" w:hAnsi="Book Antiqua" w:cs="宋体"/>
          <w:sz w:val="24"/>
          <w:szCs w:val="24"/>
          <w:lang w:eastAsia="zh-CN"/>
        </w:rPr>
        <w:t xml:space="preserve"> treatment on </w:t>
      </w:r>
      <w:proofErr w:type="spellStart"/>
      <w:r w:rsidRPr="00417749">
        <w:rPr>
          <w:rFonts w:ascii="Book Antiqua" w:eastAsia="宋体" w:hAnsi="Book Antiqua" w:cs="宋体"/>
          <w:sz w:val="24"/>
          <w:szCs w:val="24"/>
          <w:lang w:eastAsia="zh-CN"/>
        </w:rPr>
        <w:t>adipocytokines</w:t>
      </w:r>
      <w:proofErr w:type="spellEnd"/>
      <w:r w:rsidRPr="00417749">
        <w:rPr>
          <w:rFonts w:ascii="Book Antiqua" w:eastAsia="宋体" w:hAnsi="Book Antiqua" w:cs="宋体"/>
          <w:sz w:val="24"/>
          <w:szCs w:val="24"/>
          <w:lang w:eastAsia="zh-CN"/>
        </w:rPr>
        <w:t xml:space="preserve">, inflammation, and oxidative markers in obese women. </w:t>
      </w:r>
      <w:r w:rsidRPr="00417749">
        <w:rPr>
          <w:rFonts w:ascii="Book Antiqua" w:eastAsia="宋体" w:hAnsi="Book Antiqua" w:cs="宋体"/>
          <w:i/>
          <w:iCs/>
          <w:sz w:val="24"/>
          <w:szCs w:val="24"/>
          <w:lang w:eastAsia="zh-CN"/>
        </w:rPr>
        <w:t xml:space="preserve">Hormones </w:t>
      </w:r>
      <w:r w:rsidRPr="00417749">
        <w:rPr>
          <w:rFonts w:ascii="Book Antiqua" w:eastAsia="宋体" w:hAnsi="Book Antiqua" w:cs="宋体"/>
          <w:iCs/>
          <w:sz w:val="24"/>
          <w:szCs w:val="24"/>
          <w:lang w:eastAsia="zh-CN"/>
        </w:rPr>
        <w:t>(Athens)</w:t>
      </w:r>
      <w:r w:rsidRPr="00417749">
        <w:rPr>
          <w:rFonts w:ascii="Book Antiqua" w:eastAsia="宋体" w:hAnsi="Book Antiqua" w:cs="宋体"/>
          <w:sz w:val="24"/>
          <w:szCs w:val="24"/>
          <w:lang w:eastAsia="zh-CN"/>
        </w:rPr>
        <w:t xml:space="preserve"> </w:t>
      </w:r>
      <w:r>
        <w:rPr>
          <w:rFonts w:ascii="Book Antiqua" w:eastAsia="宋体" w:hAnsi="Book Antiqua" w:cs="宋体" w:hint="eastAsia"/>
          <w:sz w:val="24"/>
          <w:szCs w:val="24"/>
          <w:lang w:eastAsia="zh-CN"/>
        </w:rPr>
        <w:t>2006</w:t>
      </w:r>
      <w:r w:rsidRPr="00417749">
        <w:rPr>
          <w:rFonts w:ascii="Book Antiqua" w:eastAsia="宋体" w:hAnsi="Book Antiqua" w:cs="宋体"/>
          <w:sz w:val="24"/>
          <w:szCs w:val="24"/>
          <w:lang w:eastAsia="zh-CN"/>
        </w:rPr>
        <w:t xml:space="preserve">; </w:t>
      </w:r>
      <w:r w:rsidRPr="00417749">
        <w:rPr>
          <w:rFonts w:ascii="Book Antiqua" w:eastAsia="宋体" w:hAnsi="Book Antiqua" w:cs="宋体"/>
          <w:b/>
          <w:bCs/>
          <w:sz w:val="24"/>
          <w:szCs w:val="24"/>
          <w:lang w:eastAsia="zh-CN"/>
        </w:rPr>
        <w:t>5</w:t>
      </w:r>
      <w:r w:rsidRPr="00417749">
        <w:rPr>
          <w:rFonts w:ascii="Book Antiqua" w:eastAsia="宋体" w:hAnsi="Book Antiqua" w:cs="宋体"/>
          <w:sz w:val="24"/>
          <w:szCs w:val="24"/>
          <w:lang w:eastAsia="zh-CN"/>
        </w:rPr>
        <w:t>: 259-269 [PMID: 17178701 DOI: 10.14310/horm.2002.11190]</w:t>
      </w:r>
    </w:p>
    <w:p w14:paraId="147B35DD" w14:textId="24F061F6"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2</w:t>
      </w:r>
      <w:r>
        <w:rPr>
          <w:rFonts w:ascii="Book Antiqua" w:eastAsia="宋体" w:hAnsi="Book Antiqua" w:cs="宋体" w:hint="eastAsia"/>
          <w:sz w:val="24"/>
          <w:szCs w:val="24"/>
          <w:lang w:eastAsia="zh-CN"/>
        </w:rPr>
        <w:t>8</w:t>
      </w:r>
      <w:r w:rsidRPr="00417749">
        <w:rPr>
          <w:rFonts w:ascii="Book Antiqua" w:eastAsia="宋体" w:hAnsi="Book Antiqua" w:cs="宋体"/>
          <w:sz w:val="24"/>
          <w:szCs w:val="24"/>
          <w:lang w:eastAsia="zh-CN"/>
        </w:rPr>
        <w:t xml:space="preserve"> </w:t>
      </w:r>
      <w:r w:rsidRPr="00417749">
        <w:rPr>
          <w:rFonts w:ascii="Book Antiqua" w:eastAsia="宋体" w:hAnsi="Book Antiqua" w:cs="宋体"/>
          <w:b/>
          <w:bCs/>
          <w:sz w:val="24"/>
          <w:szCs w:val="24"/>
          <w:lang w:eastAsia="zh-CN"/>
        </w:rPr>
        <w:t>Park EJ</w:t>
      </w:r>
      <w:r w:rsidRPr="00417749">
        <w:rPr>
          <w:rFonts w:ascii="Book Antiqua" w:eastAsia="宋体" w:hAnsi="Book Antiqua" w:cs="宋体"/>
          <w:sz w:val="24"/>
          <w:szCs w:val="24"/>
          <w:lang w:eastAsia="zh-CN"/>
        </w:rPr>
        <w:t xml:space="preserve">, Lee JH, Yu GY, He G, Ali SR, </w:t>
      </w:r>
      <w:proofErr w:type="spellStart"/>
      <w:r w:rsidRPr="00417749">
        <w:rPr>
          <w:rFonts w:ascii="Book Antiqua" w:eastAsia="宋体" w:hAnsi="Book Antiqua" w:cs="宋体"/>
          <w:sz w:val="24"/>
          <w:szCs w:val="24"/>
          <w:lang w:eastAsia="zh-CN"/>
        </w:rPr>
        <w:t>Holzer</w:t>
      </w:r>
      <w:proofErr w:type="spellEnd"/>
      <w:r w:rsidRPr="00417749">
        <w:rPr>
          <w:rFonts w:ascii="Book Antiqua" w:eastAsia="宋体" w:hAnsi="Book Antiqua" w:cs="宋体"/>
          <w:sz w:val="24"/>
          <w:szCs w:val="24"/>
          <w:lang w:eastAsia="zh-CN"/>
        </w:rPr>
        <w:t xml:space="preserve"> RG, </w:t>
      </w:r>
      <w:proofErr w:type="spellStart"/>
      <w:r w:rsidRPr="00417749">
        <w:rPr>
          <w:rFonts w:ascii="Book Antiqua" w:eastAsia="宋体" w:hAnsi="Book Antiqua" w:cs="宋体"/>
          <w:sz w:val="24"/>
          <w:szCs w:val="24"/>
          <w:lang w:eastAsia="zh-CN"/>
        </w:rPr>
        <w:t>Osterreicher</w:t>
      </w:r>
      <w:proofErr w:type="spellEnd"/>
      <w:r w:rsidRPr="00417749">
        <w:rPr>
          <w:rFonts w:ascii="Book Antiqua" w:eastAsia="宋体" w:hAnsi="Book Antiqua" w:cs="宋体"/>
          <w:sz w:val="24"/>
          <w:szCs w:val="24"/>
          <w:lang w:eastAsia="zh-CN"/>
        </w:rPr>
        <w:t xml:space="preserve"> CH, Takahashi H, Karin M. Dietary and genetic obesity promote liver inflammation and tumorigenesis by enhancing IL-6 and TNF expression. </w:t>
      </w:r>
      <w:r w:rsidRPr="00417749">
        <w:rPr>
          <w:rFonts w:ascii="Book Antiqua" w:eastAsia="宋体" w:hAnsi="Book Antiqua" w:cs="宋体"/>
          <w:i/>
          <w:iCs/>
          <w:sz w:val="24"/>
          <w:szCs w:val="24"/>
          <w:lang w:eastAsia="zh-CN"/>
        </w:rPr>
        <w:t>Cell</w:t>
      </w:r>
      <w:r w:rsidRPr="00417749">
        <w:rPr>
          <w:rFonts w:ascii="Book Antiqua" w:eastAsia="宋体" w:hAnsi="Book Antiqua" w:cs="宋体"/>
          <w:sz w:val="24"/>
          <w:szCs w:val="24"/>
          <w:lang w:eastAsia="zh-CN"/>
        </w:rPr>
        <w:t xml:space="preserve"> 2010; </w:t>
      </w:r>
      <w:r w:rsidRPr="00417749">
        <w:rPr>
          <w:rFonts w:ascii="Book Antiqua" w:eastAsia="宋体" w:hAnsi="Book Antiqua" w:cs="宋体"/>
          <w:b/>
          <w:bCs/>
          <w:sz w:val="24"/>
          <w:szCs w:val="24"/>
          <w:lang w:eastAsia="zh-CN"/>
        </w:rPr>
        <w:t>140</w:t>
      </w:r>
      <w:r w:rsidRPr="00417749">
        <w:rPr>
          <w:rFonts w:ascii="Book Antiqua" w:eastAsia="宋体" w:hAnsi="Book Antiqua" w:cs="宋体"/>
          <w:sz w:val="24"/>
          <w:szCs w:val="24"/>
          <w:lang w:eastAsia="zh-CN"/>
        </w:rPr>
        <w:t>: 197-208 [PMID: 20141834 DOI: 10.1016/j.cell.2009.12.052]</w:t>
      </w:r>
    </w:p>
    <w:p w14:paraId="55CE2185" w14:textId="4D11DDA0" w:rsidR="00417749" w:rsidRPr="00417749" w:rsidRDefault="00417749" w:rsidP="00417749">
      <w:pPr>
        <w:spacing w:after="0" w:line="360" w:lineRule="auto"/>
        <w:jc w:val="both"/>
        <w:rPr>
          <w:rFonts w:ascii="Book Antiqua" w:eastAsia="宋体" w:hAnsi="Book Antiqua" w:cs="宋体"/>
          <w:sz w:val="24"/>
          <w:szCs w:val="24"/>
          <w:lang w:eastAsia="zh-CN"/>
        </w:rPr>
      </w:pPr>
      <w:r>
        <w:rPr>
          <w:rFonts w:ascii="Book Antiqua" w:eastAsia="宋体" w:hAnsi="Book Antiqua" w:cs="宋体" w:hint="eastAsia"/>
          <w:sz w:val="24"/>
          <w:szCs w:val="24"/>
          <w:lang w:eastAsia="zh-CN"/>
        </w:rPr>
        <w:t>29</w:t>
      </w:r>
      <w:r w:rsidRPr="00417749">
        <w:rPr>
          <w:rFonts w:ascii="Book Antiqua" w:eastAsia="宋体" w:hAnsi="Book Antiqua" w:cs="宋体"/>
          <w:sz w:val="24"/>
          <w:szCs w:val="24"/>
          <w:lang w:eastAsia="zh-CN"/>
        </w:rPr>
        <w:t xml:space="preserve"> </w:t>
      </w:r>
      <w:r w:rsidRPr="00417749">
        <w:rPr>
          <w:rFonts w:ascii="Book Antiqua" w:eastAsia="宋体" w:hAnsi="Book Antiqua" w:cs="宋体"/>
          <w:b/>
          <w:bCs/>
          <w:sz w:val="24"/>
          <w:szCs w:val="24"/>
          <w:lang w:eastAsia="zh-CN"/>
        </w:rPr>
        <w:t>Price JA</w:t>
      </w:r>
      <w:r w:rsidRPr="00417749">
        <w:rPr>
          <w:rFonts w:ascii="Book Antiqua" w:eastAsia="宋体" w:hAnsi="Book Antiqua" w:cs="宋体"/>
          <w:sz w:val="24"/>
          <w:szCs w:val="24"/>
          <w:lang w:eastAsia="zh-CN"/>
        </w:rPr>
        <w:t xml:space="preserve">, Kovach SJ, Johnson T, </w:t>
      </w:r>
      <w:proofErr w:type="spellStart"/>
      <w:r w:rsidRPr="00417749">
        <w:rPr>
          <w:rFonts w:ascii="Book Antiqua" w:eastAsia="宋体" w:hAnsi="Book Antiqua" w:cs="宋体"/>
          <w:sz w:val="24"/>
          <w:szCs w:val="24"/>
          <w:lang w:eastAsia="zh-CN"/>
        </w:rPr>
        <w:t>Koniaris</w:t>
      </w:r>
      <w:proofErr w:type="spellEnd"/>
      <w:r w:rsidRPr="00417749">
        <w:rPr>
          <w:rFonts w:ascii="Book Antiqua" w:eastAsia="宋体" w:hAnsi="Book Antiqua" w:cs="宋体"/>
          <w:sz w:val="24"/>
          <w:szCs w:val="24"/>
          <w:lang w:eastAsia="zh-CN"/>
        </w:rPr>
        <w:t xml:space="preserve"> LG, Cahill PA, </w:t>
      </w:r>
      <w:proofErr w:type="spellStart"/>
      <w:r w:rsidRPr="00417749">
        <w:rPr>
          <w:rFonts w:ascii="Book Antiqua" w:eastAsia="宋体" w:hAnsi="Book Antiqua" w:cs="宋体"/>
          <w:sz w:val="24"/>
          <w:szCs w:val="24"/>
          <w:lang w:eastAsia="zh-CN"/>
        </w:rPr>
        <w:t>Sitzmann</w:t>
      </w:r>
      <w:proofErr w:type="spellEnd"/>
      <w:r w:rsidRPr="00417749">
        <w:rPr>
          <w:rFonts w:ascii="Book Antiqua" w:eastAsia="宋体" w:hAnsi="Book Antiqua" w:cs="宋体"/>
          <w:sz w:val="24"/>
          <w:szCs w:val="24"/>
          <w:lang w:eastAsia="zh-CN"/>
        </w:rPr>
        <w:t xml:space="preserve"> JV, </w:t>
      </w:r>
      <w:proofErr w:type="spellStart"/>
      <w:r w:rsidRPr="00417749">
        <w:rPr>
          <w:rFonts w:ascii="Book Antiqua" w:eastAsia="宋体" w:hAnsi="Book Antiqua" w:cs="宋体"/>
          <w:sz w:val="24"/>
          <w:szCs w:val="24"/>
          <w:lang w:eastAsia="zh-CN"/>
        </w:rPr>
        <w:t>McKillop</w:t>
      </w:r>
      <w:proofErr w:type="spellEnd"/>
      <w:r w:rsidRPr="00417749">
        <w:rPr>
          <w:rFonts w:ascii="Book Antiqua" w:eastAsia="宋体" w:hAnsi="Book Antiqua" w:cs="宋体"/>
          <w:sz w:val="24"/>
          <w:szCs w:val="24"/>
          <w:lang w:eastAsia="zh-CN"/>
        </w:rPr>
        <w:t xml:space="preserve"> IH. Insulin-like growth factor I is a </w:t>
      </w:r>
      <w:proofErr w:type="spellStart"/>
      <w:r w:rsidRPr="00417749">
        <w:rPr>
          <w:rFonts w:ascii="Book Antiqua" w:eastAsia="宋体" w:hAnsi="Book Antiqua" w:cs="宋体"/>
          <w:sz w:val="24"/>
          <w:szCs w:val="24"/>
          <w:lang w:eastAsia="zh-CN"/>
        </w:rPr>
        <w:t>comitogen</w:t>
      </w:r>
      <w:proofErr w:type="spellEnd"/>
      <w:r w:rsidRPr="00417749">
        <w:rPr>
          <w:rFonts w:ascii="Book Antiqua" w:eastAsia="宋体" w:hAnsi="Book Antiqua" w:cs="宋体"/>
          <w:sz w:val="24"/>
          <w:szCs w:val="24"/>
          <w:lang w:eastAsia="zh-CN"/>
        </w:rPr>
        <w:t xml:space="preserve"> for hepatocyte growth factor in a rat model of hepatocellular carcinoma. </w:t>
      </w:r>
      <w:proofErr w:type="spellStart"/>
      <w:r w:rsidRPr="00417749">
        <w:rPr>
          <w:rFonts w:ascii="Book Antiqua" w:eastAsia="宋体" w:hAnsi="Book Antiqua" w:cs="宋体"/>
          <w:i/>
          <w:iCs/>
          <w:sz w:val="24"/>
          <w:szCs w:val="24"/>
          <w:lang w:eastAsia="zh-CN"/>
        </w:rPr>
        <w:t>Hepatology</w:t>
      </w:r>
      <w:proofErr w:type="spellEnd"/>
      <w:r w:rsidRPr="00417749">
        <w:rPr>
          <w:rFonts w:ascii="Book Antiqua" w:eastAsia="宋体" w:hAnsi="Book Antiqua" w:cs="宋体"/>
          <w:sz w:val="24"/>
          <w:szCs w:val="24"/>
          <w:lang w:eastAsia="zh-CN"/>
        </w:rPr>
        <w:t xml:space="preserve"> 2002; </w:t>
      </w:r>
      <w:r w:rsidRPr="00417749">
        <w:rPr>
          <w:rFonts w:ascii="Book Antiqua" w:eastAsia="宋体" w:hAnsi="Book Antiqua" w:cs="宋体"/>
          <w:b/>
          <w:bCs/>
          <w:sz w:val="24"/>
          <w:szCs w:val="24"/>
          <w:lang w:eastAsia="zh-CN"/>
        </w:rPr>
        <w:t>36</w:t>
      </w:r>
      <w:r w:rsidRPr="00417749">
        <w:rPr>
          <w:rFonts w:ascii="Book Antiqua" w:eastAsia="宋体" w:hAnsi="Book Antiqua" w:cs="宋体"/>
          <w:sz w:val="24"/>
          <w:szCs w:val="24"/>
          <w:lang w:eastAsia="zh-CN"/>
        </w:rPr>
        <w:t>: 1089-1097 [PMID: 12395318 DOI: 10.1053/jhep.2002.36158]</w:t>
      </w:r>
    </w:p>
    <w:p w14:paraId="5FE8DB08" w14:textId="0863FB41"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3</w:t>
      </w:r>
      <w:r>
        <w:rPr>
          <w:rFonts w:ascii="Book Antiqua" w:eastAsia="宋体" w:hAnsi="Book Antiqua" w:cs="宋体" w:hint="eastAsia"/>
          <w:sz w:val="24"/>
          <w:szCs w:val="24"/>
          <w:lang w:eastAsia="zh-CN"/>
        </w:rPr>
        <w:t>0</w:t>
      </w:r>
      <w:r w:rsidRPr="00417749">
        <w:rPr>
          <w:rFonts w:ascii="Book Antiqua" w:eastAsia="宋体" w:hAnsi="Book Antiqua" w:cs="宋体"/>
          <w:sz w:val="24"/>
          <w:szCs w:val="24"/>
          <w:lang w:eastAsia="zh-CN"/>
        </w:rPr>
        <w:t xml:space="preserve"> </w:t>
      </w:r>
      <w:r w:rsidRPr="00417749">
        <w:rPr>
          <w:rFonts w:ascii="Book Antiqua" w:eastAsia="宋体" w:hAnsi="Book Antiqua" w:cs="宋体"/>
          <w:b/>
          <w:bCs/>
          <w:sz w:val="24"/>
          <w:szCs w:val="24"/>
          <w:lang w:eastAsia="zh-CN"/>
        </w:rPr>
        <w:t>Cho H</w:t>
      </w:r>
      <w:r w:rsidRPr="00417749">
        <w:rPr>
          <w:rFonts w:ascii="Book Antiqua" w:eastAsia="宋体" w:hAnsi="Book Antiqua" w:cs="宋体"/>
          <w:sz w:val="24"/>
          <w:szCs w:val="24"/>
          <w:lang w:eastAsia="zh-CN"/>
        </w:rPr>
        <w:t xml:space="preserve">, Black SC, </w:t>
      </w:r>
      <w:proofErr w:type="spellStart"/>
      <w:r w:rsidRPr="00417749">
        <w:rPr>
          <w:rFonts w:ascii="Book Antiqua" w:eastAsia="宋体" w:hAnsi="Book Antiqua" w:cs="宋体"/>
          <w:sz w:val="24"/>
          <w:szCs w:val="24"/>
          <w:lang w:eastAsia="zh-CN"/>
        </w:rPr>
        <w:t>Looper</w:t>
      </w:r>
      <w:proofErr w:type="spellEnd"/>
      <w:r w:rsidRPr="00417749">
        <w:rPr>
          <w:rFonts w:ascii="Book Antiqua" w:eastAsia="宋体" w:hAnsi="Book Antiqua" w:cs="宋体"/>
          <w:sz w:val="24"/>
          <w:szCs w:val="24"/>
          <w:lang w:eastAsia="zh-CN"/>
        </w:rPr>
        <w:t xml:space="preserve"> D, Shi M, Kelly-Sullivan D, </w:t>
      </w:r>
      <w:proofErr w:type="spellStart"/>
      <w:r w:rsidRPr="00417749">
        <w:rPr>
          <w:rFonts w:ascii="Book Antiqua" w:eastAsia="宋体" w:hAnsi="Book Antiqua" w:cs="宋体"/>
          <w:sz w:val="24"/>
          <w:szCs w:val="24"/>
          <w:lang w:eastAsia="zh-CN"/>
        </w:rPr>
        <w:t>Timofeevski</w:t>
      </w:r>
      <w:proofErr w:type="spellEnd"/>
      <w:r w:rsidRPr="00417749">
        <w:rPr>
          <w:rFonts w:ascii="Book Antiqua" w:eastAsia="宋体" w:hAnsi="Book Antiqua" w:cs="宋体"/>
          <w:sz w:val="24"/>
          <w:szCs w:val="24"/>
          <w:lang w:eastAsia="zh-CN"/>
        </w:rPr>
        <w:t xml:space="preserve"> S, Siegel K, Yu XH, McDonnell SR, Chen P, </w:t>
      </w:r>
      <w:proofErr w:type="spellStart"/>
      <w:r w:rsidRPr="00417749">
        <w:rPr>
          <w:rFonts w:ascii="Book Antiqua" w:eastAsia="宋体" w:hAnsi="Book Antiqua" w:cs="宋体"/>
          <w:sz w:val="24"/>
          <w:szCs w:val="24"/>
          <w:lang w:eastAsia="zh-CN"/>
        </w:rPr>
        <w:t>Yie</w:t>
      </w:r>
      <w:proofErr w:type="spellEnd"/>
      <w:r w:rsidRPr="00417749">
        <w:rPr>
          <w:rFonts w:ascii="Book Antiqua" w:eastAsia="宋体" w:hAnsi="Book Antiqua" w:cs="宋体"/>
          <w:sz w:val="24"/>
          <w:szCs w:val="24"/>
          <w:lang w:eastAsia="zh-CN"/>
        </w:rPr>
        <w:t xml:space="preserve"> J, Ogilvie KM, Fraser J, Briscoe CP. Pharmacological characterization of a small molecule inhibitor of c-Jun kinase. </w:t>
      </w:r>
      <w:r w:rsidRPr="00417749">
        <w:rPr>
          <w:rFonts w:ascii="Book Antiqua" w:eastAsia="宋体" w:hAnsi="Book Antiqua" w:cs="宋体"/>
          <w:i/>
          <w:iCs/>
          <w:sz w:val="24"/>
          <w:szCs w:val="24"/>
          <w:lang w:eastAsia="zh-CN"/>
        </w:rPr>
        <w:t xml:space="preserve">Am J </w:t>
      </w:r>
      <w:proofErr w:type="spellStart"/>
      <w:r w:rsidRPr="00417749">
        <w:rPr>
          <w:rFonts w:ascii="Book Antiqua" w:eastAsia="宋体" w:hAnsi="Book Antiqua" w:cs="宋体"/>
          <w:i/>
          <w:iCs/>
          <w:sz w:val="24"/>
          <w:szCs w:val="24"/>
          <w:lang w:eastAsia="zh-CN"/>
        </w:rPr>
        <w:t>Physiol</w:t>
      </w:r>
      <w:proofErr w:type="spellEnd"/>
      <w:r w:rsidRPr="00417749">
        <w:rPr>
          <w:rFonts w:ascii="Book Antiqua" w:eastAsia="宋体" w:hAnsi="Book Antiqua" w:cs="宋体"/>
          <w:i/>
          <w:iCs/>
          <w:sz w:val="24"/>
          <w:szCs w:val="24"/>
          <w:lang w:eastAsia="zh-CN"/>
        </w:rPr>
        <w:t xml:space="preserve"> </w:t>
      </w:r>
      <w:proofErr w:type="spellStart"/>
      <w:r w:rsidRPr="00417749">
        <w:rPr>
          <w:rFonts w:ascii="Book Antiqua" w:eastAsia="宋体" w:hAnsi="Book Antiqua" w:cs="宋体"/>
          <w:i/>
          <w:iCs/>
          <w:sz w:val="24"/>
          <w:szCs w:val="24"/>
          <w:lang w:eastAsia="zh-CN"/>
        </w:rPr>
        <w:t>Endocrinol</w:t>
      </w:r>
      <w:proofErr w:type="spellEnd"/>
      <w:r w:rsidRPr="00417749">
        <w:rPr>
          <w:rFonts w:ascii="Book Antiqua" w:eastAsia="宋体" w:hAnsi="Book Antiqua" w:cs="宋体"/>
          <w:i/>
          <w:iCs/>
          <w:sz w:val="24"/>
          <w:szCs w:val="24"/>
          <w:lang w:eastAsia="zh-CN"/>
        </w:rPr>
        <w:t xml:space="preserve"> </w:t>
      </w:r>
      <w:proofErr w:type="spellStart"/>
      <w:r w:rsidRPr="00417749">
        <w:rPr>
          <w:rFonts w:ascii="Book Antiqua" w:eastAsia="宋体" w:hAnsi="Book Antiqua" w:cs="宋体"/>
          <w:i/>
          <w:iCs/>
          <w:sz w:val="24"/>
          <w:szCs w:val="24"/>
          <w:lang w:eastAsia="zh-CN"/>
        </w:rPr>
        <w:t>Metab</w:t>
      </w:r>
      <w:proofErr w:type="spellEnd"/>
      <w:r w:rsidRPr="00417749">
        <w:rPr>
          <w:rFonts w:ascii="Book Antiqua" w:eastAsia="宋体" w:hAnsi="Book Antiqua" w:cs="宋体"/>
          <w:sz w:val="24"/>
          <w:szCs w:val="24"/>
          <w:lang w:eastAsia="zh-CN"/>
        </w:rPr>
        <w:t xml:space="preserve"> 2008; </w:t>
      </w:r>
      <w:r w:rsidRPr="00417749">
        <w:rPr>
          <w:rFonts w:ascii="Book Antiqua" w:eastAsia="宋体" w:hAnsi="Book Antiqua" w:cs="宋体"/>
          <w:b/>
          <w:bCs/>
          <w:sz w:val="24"/>
          <w:szCs w:val="24"/>
          <w:lang w:eastAsia="zh-CN"/>
        </w:rPr>
        <w:t>295</w:t>
      </w:r>
      <w:r w:rsidRPr="00417749">
        <w:rPr>
          <w:rFonts w:ascii="Book Antiqua" w:eastAsia="宋体" w:hAnsi="Book Antiqua" w:cs="宋体"/>
          <w:sz w:val="24"/>
          <w:szCs w:val="24"/>
          <w:lang w:eastAsia="zh-CN"/>
        </w:rPr>
        <w:t>: E1142-E1151 [PMID: 18728225 DOI: 10.1152/ajpendo.90298.2008]</w:t>
      </w:r>
    </w:p>
    <w:p w14:paraId="0327BB72" w14:textId="7484303D"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3</w:t>
      </w:r>
      <w:r>
        <w:rPr>
          <w:rFonts w:ascii="Book Antiqua" w:eastAsia="宋体" w:hAnsi="Book Antiqua" w:cs="宋体" w:hint="eastAsia"/>
          <w:sz w:val="24"/>
          <w:szCs w:val="24"/>
          <w:lang w:eastAsia="zh-CN"/>
        </w:rPr>
        <w:t>1</w:t>
      </w:r>
      <w:r w:rsidRPr="00417749">
        <w:rPr>
          <w:rFonts w:ascii="Book Antiqua" w:eastAsia="宋体" w:hAnsi="Book Antiqua" w:cs="宋体"/>
          <w:sz w:val="24"/>
          <w:szCs w:val="24"/>
          <w:lang w:eastAsia="zh-CN"/>
        </w:rPr>
        <w:t xml:space="preserve"> </w:t>
      </w:r>
      <w:r w:rsidRPr="00417749">
        <w:rPr>
          <w:rFonts w:ascii="Book Antiqua" w:eastAsia="宋体" w:hAnsi="Book Antiqua" w:cs="宋体"/>
          <w:b/>
          <w:bCs/>
          <w:sz w:val="24"/>
          <w:szCs w:val="24"/>
          <w:lang w:eastAsia="zh-CN"/>
        </w:rPr>
        <w:t>Chang Q</w:t>
      </w:r>
      <w:r w:rsidRPr="00417749">
        <w:rPr>
          <w:rFonts w:ascii="Book Antiqua" w:eastAsia="宋体" w:hAnsi="Book Antiqua" w:cs="宋体"/>
          <w:sz w:val="24"/>
          <w:szCs w:val="24"/>
          <w:lang w:eastAsia="zh-CN"/>
        </w:rPr>
        <w:t xml:space="preserve">, Zhang Y, </w:t>
      </w:r>
      <w:proofErr w:type="spellStart"/>
      <w:r w:rsidRPr="00417749">
        <w:rPr>
          <w:rFonts w:ascii="Book Antiqua" w:eastAsia="宋体" w:hAnsi="Book Antiqua" w:cs="宋体"/>
          <w:sz w:val="24"/>
          <w:szCs w:val="24"/>
          <w:lang w:eastAsia="zh-CN"/>
        </w:rPr>
        <w:t>Beezhold</w:t>
      </w:r>
      <w:proofErr w:type="spellEnd"/>
      <w:r w:rsidRPr="00417749">
        <w:rPr>
          <w:rFonts w:ascii="Book Antiqua" w:eastAsia="宋体" w:hAnsi="Book Antiqua" w:cs="宋体"/>
          <w:sz w:val="24"/>
          <w:szCs w:val="24"/>
          <w:lang w:eastAsia="zh-CN"/>
        </w:rPr>
        <w:t xml:space="preserve"> KJ, Bhatia D, Zhao H, Chen J, </w:t>
      </w:r>
      <w:proofErr w:type="spellStart"/>
      <w:r w:rsidRPr="00417749">
        <w:rPr>
          <w:rFonts w:ascii="Book Antiqua" w:eastAsia="宋体" w:hAnsi="Book Antiqua" w:cs="宋体"/>
          <w:sz w:val="24"/>
          <w:szCs w:val="24"/>
          <w:lang w:eastAsia="zh-CN"/>
        </w:rPr>
        <w:t>Castranova</w:t>
      </w:r>
      <w:proofErr w:type="spellEnd"/>
      <w:r w:rsidRPr="00417749">
        <w:rPr>
          <w:rFonts w:ascii="Book Antiqua" w:eastAsia="宋体" w:hAnsi="Book Antiqua" w:cs="宋体"/>
          <w:sz w:val="24"/>
          <w:szCs w:val="24"/>
          <w:lang w:eastAsia="zh-CN"/>
        </w:rPr>
        <w:t xml:space="preserve"> V, Shi X, Chen F. Sustained JNK1 activation is associated with altered histone H3 methylations in human liver cancer. </w:t>
      </w:r>
      <w:r w:rsidRPr="00417749">
        <w:rPr>
          <w:rFonts w:ascii="Book Antiqua" w:eastAsia="宋体" w:hAnsi="Book Antiqua" w:cs="宋体"/>
          <w:i/>
          <w:iCs/>
          <w:sz w:val="24"/>
          <w:szCs w:val="24"/>
          <w:lang w:eastAsia="zh-CN"/>
        </w:rPr>
        <w:t xml:space="preserve">J </w:t>
      </w:r>
      <w:proofErr w:type="spellStart"/>
      <w:r w:rsidRPr="00417749">
        <w:rPr>
          <w:rFonts w:ascii="Book Antiqua" w:eastAsia="宋体" w:hAnsi="Book Antiqua" w:cs="宋体"/>
          <w:i/>
          <w:iCs/>
          <w:sz w:val="24"/>
          <w:szCs w:val="24"/>
          <w:lang w:eastAsia="zh-CN"/>
        </w:rPr>
        <w:t>Hepatol</w:t>
      </w:r>
      <w:proofErr w:type="spellEnd"/>
      <w:r w:rsidRPr="00417749">
        <w:rPr>
          <w:rFonts w:ascii="Book Antiqua" w:eastAsia="宋体" w:hAnsi="Book Antiqua" w:cs="宋体"/>
          <w:sz w:val="24"/>
          <w:szCs w:val="24"/>
          <w:lang w:eastAsia="zh-CN"/>
        </w:rPr>
        <w:t xml:space="preserve"> 2009; </w:t>
      </w:r>
      <w:r w:rsidRPr="00417749">
        <w:rPr>
          <w:rFonts w:ascii="Book Antiqua" w:eastAsia="宋体" w:hAnsi="Book Antiqua" w:cs="宋体"/>
          <w:b/>
          <w:bCs/>
          <w:sz w:val="24"/>
          <w:szCs w:val="24"/>
          <w:lang w:eastAsia="zh-CN"/>
        </w:rPr>
        <w:t>50</w:t>
      </w:r>
      <w:r w:rsidRPr="00417749">
        <w:rPr>
          <w:rFonts w:ascii="Book Antiqua" w:eastAsia="宋体" w:hAnsi="Book Antiqua" w:cs="宋体"/>
          <w:sz w:val="24"/>
          <w:szCs w:val="24"/>
          <w:lang w:eastAsia="zh-CN"/>
        </w:rPr>
        <w:t>: 323-333 [PMID: 19041150 DOI: 10.1016/j.jhep.2008.07.037]</w:t>
      </w:r>
    </w:p>
    <w:p w14:paraId="264EA95B" w14:textId="1C282305"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3</w:t>
      </w:r>
      <w:r>
        <w:rPr>
          <w:rFonts w:ascii="Book Antiqua" w:eastAsia="宋体" w:hAnsi="Book Antiqua" w:cs="宋体" w:hint="eastAsia"/>
          <w:sz w:val="24"/>
          <w:szCs w:val="24"/>
          <w:lang w:eastAsia="zh-CN"/>
        </w:rPr>
        <w:t>2</w:t>
      </w:r>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b/>
          <w:bCs/>
          <w:sz w:val="24"/>
          <w:szCs w:val="24"/>
          <w:lang w:eastAsia="zh-CN"/>
        </w:rPr>
        <w:t>Bruix</w:t>
      </w:r>
      <w:proofErr w:type="spellEnd"/>
      <w:r w:rsidRPr="00417749">
        <w:rPr>
          <w:rFonts w:ascii="Book Antiqua" w:eastAsia="宋体" w:hAnsi="Book Antiqua" w:cs="宋体"/>
          <w:b/>
          <w:bCs/>
          <w:sz w:val="24"/>
          <w:szCs w:val="24"/>
          <w:lang w:eastAsia="zh-CN"/>
        </w:rPr>
        <w:t xml:space="preserve"> J</w:t>
      </w:r>
      <w:r w:rsidRPr="00417749">
        <w:rPr>
          <w:rFonts w:ascii="Book Antiqua" w:eastAsia="宋体" w:hAnsi="Book Antiqua" w:cs="宋体"/>
          <w:sz w:val="24"/>
          <w:szCs w:val="24"/>
          <w:lang w:eastAsia="zh-CN"/>
        </w:rPr>
        <w:t xml:space="preserve">, Sherman M. Management of hepatocellular carcinoma: an update. </w:t>
      </w:r>
      <w:proofErr w:type="spellStart"/>
      <w:r w:rsidRPr="00417749">
        <w:rPr>
          <w:rFonts w:ascii="Book Antiqua" w:eastAsia="宋体" w:hAnsi="Book Antiqua" w:cs="宋体"/>
          <w:i/>
          <w:iCs/>
          <w:sz w:val="24"/>
          <w:szCs w:val="24"/>
          <w:lang w:eastAsia="zh-CN"/>
        </w:rPr>
        <w:t>Hepatology</w:t>
      </w:r>
      <w:proofErr w:type="spellEnd"/>
      <w:r w:rsidRPr="00417749">
        <w:rPr>
          <w:rFonts w:ascii="Book Antiqua" w:eastAsia="宋体" w:hAnsi="Book Antiqua" w:cs="宋体"/>
          <w:sz w:val="24"/>
          <w:szCs w:val="24"/>
          <w:lang w:eastAsia="zh-CN"/>
        </w:rPr>
        <w:t xml:space="preserve"> 2011; </w:t>
      </w:r>
      <w:r w:rsidRPr="00417749">
        <w:rPr>
          <w:rFonts w:ascii="Book Antiqua" w:eastAsia="宋体" w:hAnsi="Book Antiqua" w:cs="宋体"/>
          <w:b/>
          <w:bCs/>
          <w:sz w:val="24"/>
          <w:szCs w:val="24"/>
          <w:lang w:eastAsia="zh-CN"/>
        </w:rPr>
        <w:t>53</w:t>
      </w:r>
      <w:r w:rsidRPr="00417749">
        <w:rPr>
          <w:rFonts w:ascii="Book Antiqua" w:eastAsia="宋体" w:hAnsi="Book Antiqua" w:cs="宋体"/>
          <w:sz w:val="24"/>
          <w:szCs w:val="24"/>
          <w:lang w:eastAsia="zh-CN"/>
        </w:rPr>
        <w:t>: 1020-1022 [PMID: 21374666 DOI: 10.1002/hep.24199]</w:t>
      </w:r>
    </w:p>
    <w:p w14:paraId="32C3D098" w14:textId="4C35C513"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3</w:t>
      </w:r>
      <w:r>
        <w:rPr>
          <w:rFonts w:ascii="Book Antiqua" w:eastAsia="宋体" w:hAnsi="Book Antiqua" w:cs="宋体" w:hint="eastAsia"/>
          <w:sz w:val="24"/>
          <w:szCs w:val="24"/>
          <w:lang w:eastAsia="zh-CN"/>
        </w:rPr>
        <w:t>3</w:t>
      </w:r>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b/>
          <w:bCs/>
          <w:sz w:val="24"/>
          <w:szCs w:val="24"/>
          <w:lang w:eastAsia="zh-CN"/>
        </w:rPr>
        <w:t>Bruix</w:t>
      </w:r>
      <w:proofErr w:type="spellEnd"/>
      <w:r w:rsidRPr="00417749">
        <w:rPr>
          <w:rFonts w:ascii="Book Antiqua" w:eastAsia="宋体" w:hAnsi="Book Antiqua" w:cs="宋体"/>
          <w:b/>
          <w:bCs/>
          <w:sz w:val="24"/>
          <w:szCs w:val="24"/>
          <w:lang w:eastAsia="zh-CN"/>
        </w:rPr>
        <w:t xml:space="preserve"> J</w:t>
      </w:r>
      <w:r w:rsidRPr="00417749">
        <w:rPr>
          <w:rFonts w:ascii="Book Antiqua" w:eastAsia="宋体" w:hAnsi="Book Antiqua" w:cs="宋体"/>
          <w:sz w:val="24"/>
          <w:szCs w:val="24"/>
          <w:lang w:eastAsia="zh-CN"/>
        </w:rPr>
        <w:t xml:space="preserve">, Sherman M, </w:t>
      </w:r>
      <w:proofErr w:type="spellStart"/>
      <w:r w:rsidRPr="00417749">
        <w:rPr>
          <w:rFonts w:ascii="Book Antiqua" w:eastAsia="宋体" w:hAnsi="Book Antiqua" w:cs="宋体"/>
          <w:sz w:val="24"/>
          <w:szCs w:val="24"/>
          <w:lang w:eastAsia="zh-CN"/>
        </w:rPr>
        <w:t>Llovet</w:t>
      </w:r>
      <w:proofErr w:type="spellEnd"/>
      <w:r w:rsidRPr="00417749">
        <w:rPr>
          <w:rFonts w:ascii="Book Antiqua" w:eastAsia="宋体" w:hAnsi="Book Antiqua" w:cs="宋体"/>
          <w:sz w:val="24"/>
          <w:szCs w:val="24"/>
          <w:lang w:eastAsia="zh-CN"/>
        </w:rPr>
        <w:t xml:space="preserve"> JM, </w:t>
      </w:r>
      <w:proofErr w:type="spellStart"/>
      <w:r w:rsidRPr="00417749">
        <w:rPr>
          <w:rFonts w:ascii="Book Antiqua" w:eastAsia="宋体" w:hAnsi="Book Antiqua" w:cs="宋体"/>
          <w:sz w:val="24"/>
          <w:szCs w:val="24"/>
          <w:lang w:eastAsia="zh-CN"/>
        </w:rPr>
        <w:t>Beaugrand</w:t>
      </w:r>
      <w:proofErr w:type="spellEnd"/>
      <w:r w:rsidRPr="00417749">
        <w:rPr>
          <w:rFonts w:ascii="Book Antiqua" w:eastAsia="宋体" w:hAnsi="Book Antiqua" w:cs="宋体"/>
          <w:sz w:val="24"/>
          <w:szCs w:val="24"/>
          <w:lang w:eastAsia="zh-CN"/>
        </w:rPr>
        <w:t xml:space="preserve"> M, </w:t>
      </w:r>
      <w:proofErr w:type="spellStart"/>
      <w:r w:rsidRPr="00417749">
        <w:rPr>
          <w:rFonts w:ascii="Book Antiqua" w:eastAsia="宋体" w:hAnsi="Book Antiqua" w:cs="宋体"/>
          <w:sz w:val="24"/>
          <w:szCs w:val="24"/>
          <w:lang w:eastAsia="zh-CN"/>
        </w:rPr>
        <w:t>Lencioni</w:t>
      </w:r>
      <w:proofErr w:type="spellEnd"/>
      <w:r w:rsidRPr="00417749">
        <w:rPr>
          <w:rFonts w:ascii="Book Antiqua" w:eastAsia="宋体" w:hAnsi="Book Antiqua" w:cs="宋体"/>
          <w:sz w:val="24"/>
          <w:szCs w:val="24"/>
          <w:lang w:eastAsia="zh-CN"/>
        </w:rPr>
        <w:t xml:space="preserve"> R, Burroughs AK, Christensen E, </w:t>
      </w:r>
      <w:proofErr w:type="spellStart"/>
      <w:r w:rsidRPr="00417749">
        <w:rPr>
          <w:rFonts w:ascii="Book Antiqua" w:eastAsia="宋体" w:hAnsi="Book Antiqua" w:cs="宋体"/>
          <w:sz w:val="24"/>
          <w:szCs w:val="24"/>
          <w:lang w:eastAsia="zh-CN"/>
        </w:rPr>
        <w:t>Pagliaro</w:t>
      </w:r>
      <w:proofErr w:type="spellEnd"/>
      <w:r w:rsidRPr="00417749">
        <w:rPr>
          <w:rFonts w:ascii="Book Antiqua" w:eastAsia="宋体" w:hAnsi="Book Antiqua" w:cs="宋体"/>
          <w:sz w:val="24"/>
          <w:szCs w:val="24"/>
          <w:lang w:eastAsia="zh-CN"/>
        </w:rPr>
        <w:t xml:space="preserve"> L, Colombo M, </w:t>
      </w:r>
      <w:proofErr w:type="spellStart"/>
      <w:r w:rsidRPr="00417749">
        <w:rPr>
          <w:rFonts w:ascii="Book Antiqua" w:eastAsia="宋体" w:hAnsi="Book Antiqua" w:cs="宋体"/>
          <w:sz w:val="24"/>
          <w:szCs w:val="24"/>
          <w:lang w:eastAsia="zh-CN"/>
        </w:rPr>
        <w:t>Rodés</w:t>
      </w:r>
      <w:proofErr w:type="spellEnd"/>
      <w:r w:rsidRPr="00417749">
        <w:rPr>
          <w:rFonts w:ascii="Book Antiqua" w:eastAsia="宋体" w:hAnsi="Book Antiqua" w:cs="宋体"/>
          <w:sz w:val="24"/>
          <w:szCs w:val="24"/>
          <w:lang w:eastAsia="zh-CN"/>
        </w:rPr>
        <w:t xml:space="preserve"> J. Clinical management of hepatocellular carcinoma. </w:t>
      </w:r>
      <w:proofErr w:type="gramStart"/>
      <w:r w:rsidRPr="00417749">
        <w:rPr>
          <w:rFonts w:ascii="Book Antiqua" w:eastAsia="宋体" w:hAnsi="Book Antiqua" w:cs="宋体"/>
          <w:sz w:val="24"/>
          <w:szCs w:val="24"/>
          <w:lang w:eastAsia="zh-CN"/>
        </w:rPr>
        <w:t>Conclusions of the Barcelona-2000 EASL conference.</w:t>
      </w:r>
      <w:proofErr w:type="gramEnd"/>
      <w:r w:rsidRPr="00417749">
        <w:rPr>
          <w:rFonts w:ascii="Book Antiqua" w:eastAsia="宋体" w:hAnsi="Book Antiqua" w:cs="宋体"/>
          <w:sz w:val="24"/>
          <w:szCs w:val="24"/>
          <w:lang w:eastAsia="zh-CN"/>
        </w:rPr>
        <w:t xml:space="preserve"> </w:t>
      </w:r>
      <w:proofErr w:type="gramStart"/>
      <w:r w:rsidRPr="00417749">
        <w:rPr>
          <w:rFonts w:ascii="Book Antiqua" w:eastAsia="宋体" w:hAnsi="Book Antiqua" w:cs="宋体"/>
          <w:sz w:val="24"/>
          <w:szCs w:val="24"/>
          <w:lang w:eastAsia="zh-CN"/>
        </w:rPr>
        <w:t>European Association for the Study of the Liver.</w:t>
      </w:r>
      <w:proofErr w:type="gramEnd"/>
      <w:r w:rsidRPr="00417749">
        <w:rPr>
          <w:rFonts w:ascii="Book Antiqua" w:eastAsia="宋体" w:hAnsi="Book Antiqua" w:cs="宋体"/>
          <w:sz w:val="24"/>
          <w:szCs w:val="24"/>
          <w:lang w:eastAsia="zh-CN"/>
        </w:rPr>
        <w:t xml:space="preserve"> </w:t>
      </w:r>
      <w:r w:rsidRPr="00417749">
        <w:rPr>
          <w:rFonts w:ascii="Book Antiqua" w:eastAsia="宋体" w:hAnsi="Book Antiqua" w:cs="宋体"/>
          <w:i/>
          <w:iCs/>
          <w:sz w:val="24"/>
          <w:szCs w:val="24"/>
          <w:lang w:eastAsia="zh-CN"/>
        </w:rPr>
        <w:t xml:space="preserve">J </w:t>
      </w:r>
      <w:proofErr w:type="spellStart"/>
      <w:r w:rsidRPr="00417749">
        <w:rPr>
          <w:rFonts w:ascii="Book Antiqua" w:eastAsia="宋体" w:hAnsi="Book Antiqua" w:cs="宋体"/>
          <w:i/>
          <w:iCs/>
          <w:sz w:val="24"/>
          <w:szCs w:val="24"/>
          <w:lang w:eastAsia="zh-CN"/>
        </w:rPr>
        <w:t>Hepatol</w:t>
      </w:r>
      <w:proofErr w:type="spellEnd"/>
      <w:r w:rsidRPr="00417749">
        <w:rPr>
          <w:rFonts w:ascii="Book Antiqua" w:eastAsia="宋体" w:hAnsi="Book Antiqua" w:cs="宋体"/>
          <w:sz w:val="24"/>
          <w:szCs w:val="24"/>
          <w:lang w:eastAsia="zh-CN"/>
        </w:rPr>
        <w:t xml:space="preserve"> 2001; </w:t>
      </w:r>
      <w:r w:rsidRPr="00417749">
        <w:rPr>
          <w:rFonts w:ascii="Book Antiqua" w:eastAsia="宋体" w:hAnsi="Book Antiqua" w:cs="宋体"/>
          <w:b/>
          <w:bCs/>
          <w:sz w:val="24"/>
          <w:szCs w:val="24"/>
          <w:lang w:eastAsia="zh-CN"/>
        </w:rPr>
        <w:t>35</w:t>
      </w:r>
      <w:r w:rsidRPr="00417749">
        <w:rPr>
          <w:rFonts w:ascii="Book Antiqua" w:eastAsia="宋体" w:hAnsi="Book Antiqua" w:cs="宋体"/>
          <w:sz w:val="24"/>
          <w:szCs w:val="24"/>
          <w:lang w:eastAsia="zh-CN"/>
        </w:rPr>
        <w:t>: 421-430 [PMID: 11592607 DOI: 10.1016/S0168-8278(01)00130-1]</w:t>
      </w:r>
    </w:p>
    <w:p w14:paraId="1D261B1B" w14:textId="4B3BDBCD"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lastRenderedPageBreak/>
        <w:t>3</w:t>
      </w:r>
      <w:r>
        <w:rPr>
          <w:rFonts w:ascii="Book Antiqua" w:eastAsia="宋体" w:hAnsi="Book Antiqua" w:cs="宋体" w:hint="eastAsia"/>
          <w:sz w:val="24"/>
          <w:szCs w:val="24"/>
          <w:lang w:eastAsia="zh-CN"/>
        </w:rPr>
        <w:t>4</w:t>
      </w:r>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b/>
          <w:bCs/>
          <w:sz w:val="24"/>
          <w:szCs w:val="24"/>
          <w:lang w:eastAsia="zh-CN"/>
        </w:rPr>
        <w:t>Forner</w:t>
      </w:r>
      <w:proofErr w:type="spellEnd"/>
      <w:r w:rsidRPr="00417749">
        <w:rPr>
          <w:rFonts w:ascii="Book Antiqua" w:eastAsia="宋体" w:hAnsi="Book Antiqua" w:cs="宋体"/>
          <w:b/>
          <w:bCs/>
          <w:sz w:val="24"/>
          <w:szCs w:val="24"/>
          <w:lang w:eastAsia="zh-CN"/>
        </w:rPr>
        <w:t xml:space="preserve"> A</w:t>
      </w:r>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sz w:val="24"/>
          <w:szCs w:val="24"/>
          <w:lang w:eastAsia="zh-CN"/>
        </w:rPr>
        <w:t>Reig</w:t>
      </w:r>
      <w:proofErr w:type="spellEnd"/>
      <w:r w:rsidRPr="00417749">
        <w:rPr>
          <w:rFonts w:ascii="Book Antiqua" w:eastAsia="宋体" w:hAnsi="Book Antiqua" w:cs="宋体"/>
          <w:sz w:val="24"/>
          <w:szCs w:val="24"/>
          <w:lang w:eastAsia="zh-CN"/>
        </w:rPr>
        <w:t xml:space="preserve"> M, </w:t>
      </w:r>
      <w:proofErr w:type="spellStart"/>
      <w:r w:rsidRPr="00417749">
        <w:rPr>
          <w:rFonts w:ascii="Book Antiqua" w:eastAsia="宋体" w:hAnsi="Book Antiqua" w:cs="宋体"/>
          <w:sz w:val="24"/>
          <w:szCs w:val="24"/>
          <w:lang w:eastAsia="zh-CN"/>
        </w:rPr>
        <w:t>Bruix</w:t>
      </w:r>
      <w:proofErr w:type="spellEnd"/>
      <w:r w:rsidRPr="00417749">
        <w:rPr>
          <w:rFonts w:ascii="Book Antiqua" w:eastAsia="宋体" w:hAnsi="Book Antiqua" w:cs="宋体"/>
          <w:sz w:val="24"/>
          <w:szCs w:val="24"/>
          <w:lang w:eastAsia="zh-CN"/>
        </w:rPr>
        <w:t xml:space="preserve"> J. Alpha-fetoprotein for hepatocellular carcinoma diagnosis: the demise of a brilliant star. </w:t>
      </w:r>
      <w:r w:rsidRPr="00417749">
        <w:rPr>
          <w:rFonts w:ascii="Book Antiqua" w:eastAsia="宋体" w:hAnsi="Book Antiqua" w:cs="宋体"/>
          <w:i/>
          <w:iCs/>
          <w:sz w:val="24"/>
          <w:szCs w:val="24"/>
          <w:lang w:eastAsia="zh-CN"/>
        </w:rPr>
        <w:t>Gastroenterology</w:t>
      </w:r>
      <w:r w:rsidRPr="00417749">
        <w:rPr>
          <w:rFonts w:ascii="Book Antiqua" w:eastAsia="宋体" w:hAnsi="Book Antiqua" w:cs="宋体"/>
          <w:sz w:val="24"/>
          <w:szCs w:val="24"/>
          <w:lang w:eastAsia="zh-CN"/>
        </w:rPr>
        <w:t xml:space="preserve"> 2009; </w:t>
      </w:r>
      <w:r w:rsidRPr="00417749">
        <w:rPr>
          <w:rFonts w:ascii="Book Antiqua" w:eastAsia="宋体" w:hAnsi="Book Antiqua" w:cs="宋体"/>
          <w:b/>
          <w:bCs/>
          <w:sz w:val="24"/>
          <w:szCs w:val="24"/>
          <w:lang w:eastAsia="zh-CN"/>
        </w:rPr>
        <w:t>137</w:t>
      </w:r>
      <w:r w:rsidRPr="00417749">
        <w:rPr>
          <w:rFonts w:ascii="Book Antiqua" w:eastAsia="宋体" w:hAnsi="Book Antiqua" w:cs="宋体"/>
          <w:sz w:val="24"/>
          <w:szCs w:val="24"/>
          <w:lang w:eastAsia="zh-CN"/>
        </w:rPr>
        <w:t>: 26-29 [PMID: 19482098 DOI: 10.1053/j.gastro.2009.05.014]</w:t>
      </w:r>
    </w:p>
    <w:p w14:paraId="59EAA403" w14:textId="1C3AC9B9" w:rsidR="00417749" w:rsidRPr="00417749" w:rsidRDefault="00417749" w:rsidP="00417749">
      <w:pPr>
        <w:spacing w:after="0" w:line="360" w:lineRule="auto"/>
        <w:jc w:val="both"/>
        <w:rPr>
          <w:rFonts w:ascii="Book Antiqua" w:eastAsia="宋体" w:hAnsi="Book Antiqua" w:cs="宋体"/>
          <w:sz w:val="24"/>
          <w:szCs w:val="24"/>
          <w:lang w:eastAsia="zh-CN"/>
        </w:rPr>
      </w:pPr>
      <w:r w:rsidRPr="00417749">
        <w:rPr>
          <w:rFonts w:ascii="Book Antiqua" w:eastAsia="宋体" w:hAnsi="Book Antiqua" w:cs="宋体"/>
          <w:sz w:val="24"/>
          <w:szCs w:val="24"/>
          <w:lang w:eastAsia="zh-CN"/>
        </w:rPr>
        <w:t>3</w:t>
      </w:r>
      <w:r>
        <w:rPr>
          <w:rFonts w:ascii="Book Antiqua" w:eastAsia="宋体" w:hAnsi="Book Antiqua" w:cs="宋体" w:hint="eastAsia"/>
          <w:sz w:val="24"/>
          <w:szCs w:val="24"/>
          <w:lang w:eastAsia="zh-CN"/>
        </w:rPr>
        <w:t>5</w:t>
      </w:r>
      <w:r w:rsidRPr="00417749">
        <w:rPr>
          <w:rFonts w:ascii="Book Antiqua" w:eastAsia="宋体" w:hAnsi="Book Antiqua" w:cs="宋体"/>
          <w:sz w:val="24"/>
          <w:szCs w:val="24"/>
          <w:lang w:eastAsia="zh-CN"/>
        </w:rPr>
        <w:t xml:space="preserve"> </w:t>
      </w:r>
      <w:r w:rsidRPr="00417749">
        <w:rPr>
          <w:rFonts w:ascii="Book Antiqua" w:eastAsia="宋体" w:hAnsi="Book Antiqua" w:cs="宋体"/>
          <w:b/>
          <w:bCs/>
          <w:sz w:val="24"/>
          <w:szCs w:val="24"/>
          <w:lang w:eastAsia="zh-CN"/>
        </w:rPr>
        <w:t>Chan AC</w:t>
      </w:r>
      <w:r w:rsidRPr="00417749">
        <w:rPr>
          <w:rFonts w:ascii="Book Antiqua" w:eastAsia="宋体" w:hAnsi="Book Antiqua" w:cs="宋体"/>
          <w:sz w:val="24"/>
          <w:szCs w:val="24"/>
          <w:lang w:eastAsia="zh-CN"/>
        </w:rPr>
        <w:t xml:space="preserve">, Poon RT, Ng KK, Lo CM, Fan ST, Wong J. Changing paradigm in the management of hepatocellular carcinoma improves the survival benefit of early detection by screening. </w:t>
      </w:r>
      <w:r w:rsidRPr="00417749">
        <w:rPr>
          <w:rFonts w:ascii="Book Antiqua" w:eastAsia="宋体" w:hAnsi="Book Antiqua" w:cs="宋体"/>
          <w:i/>
          <w:iCs/>
          <w:sz w:val="24"/>
          <w:szCs w:val="24"/>
          <w:lang w:eastAsia="zh-CN"/>
        </w:rPr>
        <w:t xml:space="preserve">Ann </w:t>
      </w:r>
      <w:proofErr w:type="spellStart"/>
      <w:r w:rsidRPr="00417749">
        <w:rPr>
          <w:rFonts w:ascii="Book Antiqua" w:eastAsia="宋体" w:hAnsi="Book Antiqua" w:cs="宋体"/>
          <w:i/>
          <w:iCs/>
          <w:sz w:val="24"/>
          <w:szCs w:val="24"/>
          <w:lang w:eastAsia="zh-CN"/>
        </w:rPr>
        <w:t>Surg</w:t>
      </w:r>
      <w:proofErr w:type="spellEnd"/>
      <w:r w:rsidRPr="00417749">
        <w:rPr>
          <w:rFonts w:ascii="Book Antiqua" w:eastAsia="宋体" w:hAnsi="Book Antiqua" w:cs="宋体"/>
          <w:sz w:val="24"/>
          <w:szCs w:val="24"/>
          <w:lang w:eastAsia="zh-CN"/>
        </w:rPr>
        <w:t xml:space="preserve"> 2008; </w:t>
      </w:r>
      <w:r w:rsidRPr="00417749">
        <w:rPr>
          <w:rFonts w:ascii="Book Antiqua" w:eastAsia="宋体" w:hAnsi="Book Antiqua" w:cs="宋体"/>
          <w:b/>
          <w:bCs/>
          <w:sz w:val="24"/>
          <w:szCs w:val="24"/>
          <w:lang w:eastAsia="zh-CN"/>
        </w:rPr>
        <w:t>247</w:t>
      </w:r>
      <w:r w:rsidRPr="00417749">
        <w:rPr>
          <w:rFonts w:ascii="Book Antiqua" w:eastAsia="宋体" w:hAnsi="Book Antiqua" w:cs="宋体"/>
          <w:sz w:val="24"/>
          <w:szCs w:val="24"/>
          <w:lang w:eastAsia="zh-CN"/>
        </w:rPr>
        <w:t>: 666-673 [PMID: 18362630 DOI: 10.1097/SLA.0b013e31816a747a]</w:t>
      </w:r>
    </w:p>
    <w:p w14:paraId="19A2F2B1" w14:textId="04A6C77F" w:rsidR="00417749" w:rsidRPr="00417749" w:rsidRDefault="00417749" w:rsidP="00417749">
      <w:pPr>
        <w:spacing w:after="0" w:line="360" w:lineRule="auto"/>
        <w:jc w:val="both"/>
        <w:rPr>
          <w:rFonts w:ascii="Book Antiqua" w:eastAsia="宋体" w:hAnsi="Book Antiqua" w:cs="宋体"/>
          <w:sz w:val="24"/>
          <w:szCs w:val="24"/>
          <w:lang w:eastAsia="zh-CN"/>
        </w:rPr>
      </w:pPr>
      <w:proofErr w:type="gramStart"/>
      <w:r w:rsidRPr="00417749">
        <w:rPr>
          <w:rFonts w:ascii="Book Antiqua" w:eastAsia="宋体" w:hAnsi="Book Antiqua" w:cs="宋体"/>
          <w:sz w:val="24"/>
          <w:szCs w:val="24"/>
          <w:lang w:eastAsia="zh-CN"/>
        </w:rPr>
        <w:t>3</w:t>
      </w:r>
      <w:r>
        <w:rPr>
          <w:rFonts w:ascii="Book Antiqua" w:eastAsia="宋体" w:hAnsi="Book Antiqua" w:cs="宋体" w:hint="eastAsia"/>
          <w:sz w:val="24"/>
          <w:szCs w:val="24"/>
          <w:lang w:eastAsia="zh-CN"/>
        </w:rPr>
        <w:t>6</w:t>
      </w:r>
      <w:r w:rsidRPr="00417749">
        <w:rPr>
          <w:rFonts w:ascii="Book Antiqua" w:eastAsia="宋体" w:hAnsi="Book Antiqua" w:cs="宋体"/>
          <w:sz w:val="24"/>
          <w:szCs w:val="24"/>
          <w:lang w:eastAsia="zh-CN"/>
        </w:rPr>
        <w:t xml:space="preserve"> </w:t>
      </w:r>
      <w:r w:rsidRPr="00417749">
        <w:rPr>
          <w:rFonts w:ascii="Book Antiqua" w:eastAsia="宋体" w:hAnsi="Book Antiqua" w:cs="宋体"/>
          <w:b/>
          <w:bCs/>
          <w:sz w:val="24"/>
          <w:szCs w:val="24"/>
          <w:lang w:eastAsia="zh-CN"/>
        </w:rPr>
        <w:t>Davila JA</w:t>
      </w:r>
      <w:r w:rsidRPr="00417749">
        <w:rPr>
          <w:rFonts w:ascii="Book Antiqua" w:eastAsia="宋体" w:hAnsi="Book Antiqua" w:cs="宋体"/>
          <w:sz w:val="24"/>
          <w:szCs w:val="24"/>
          <w:lang w:eastAsia="zh-CN"/>
        </w:rPr>
        <w:t xml:space="preserve">, Morgan RO, Richardson PA, Du XL, </w:t>
      </w:r>
      <w:proofErr w:type="spellStart"/>
      <w:r w:rsidRPr="00417749">
        <w:rPr>
          <w:rFonts w:ascii="Book Antiqua" w:eastAsia="宋体" w:hAnsi="Book Antiqua" w:cs="宋体"/>
          <w:sz w:val="24"/>
          <w:szCs w:val="24"/>
          <w:lang w:eastAsia="zh-CN"/>
        </w:rPr>
        <w:t>McGlynn</w:t>
      </w:r>
      <w:proofErr w:type="spellEnd"/>
      <w:r w:rsidRPr="00417749">
        <w:rPr>
          <w:rFonts w:ascii="Book Antiqua" w:eastAsia="宋体" w:hAnsi="Book Antiqua" w:cs="宋体"/>
          <w:sz w:val="24"/>
          <w:szCs w:val="24"/>
          <w:lang w:eastAsia="zh-CN"/>
        </w:rPr>
        <w:t xml:space="preserve"> KA, El-</w:t>
      </w:r>
      <w:proofErr w:type="spellStart"/>
      <w:r w:rsidRPr="00417749">
        <w:rPr>
          <w:rFonts w:ascii="Book Antiqua" w:eastAsia="宋体" w:hAnsi="Book Antiqua" w:cs="宋体"/>
          <w:sz w:val="24"/>
          <w:szCs w:val="24"/>
          <w:lang w:eastAsia="zh-CN"/>
        </w:rPr>
        <w:t>Serag</w:t>
      </w:r>
      <w:proofErr w:type="spellEnd"/>
      <w:r w:rsidRPr="00417749">
        <w:rPr>
          <w:rFonts w:ascii="Book Antiqua" w:eastAsia="宋体" w:hAnsi="Book Antiqua" w:cs="宋体"/>
          <w:sz w:val="24"/>
          <w:szCs w:val="24"/>
          <w:lang w:eastAsia="zh-CN"/>
        </w:rPr>
        <w:t xml:space="preserve"> HB.</w:t>
      </w:r>
      <w:proofErr w:type="gramEnd"/>
      <w:r w:rsidRPr="00417749">
        <w:rPr>
          <w:rFonts w:ascii="Book Antiqua" w:eastAsia="宋体" w:hAnsi="Book Antiqua" w:cs="宋体"/>
          <w:sz w:val="24"/>
          <w:szCs w:val="24"/>
          <w:lang w:eastAsia="zh-CN"/>
        </w:rPr>
        <w:t xml:space="preserve"> </w:t>
      </w:r>
      <w:proofErr w:type="gramStart"/>
      <w:r w:rsidRPr="00417749">
        <w:rPr>
          <w:rFonts w:ascii="Book Antiqua" w:eastAsia="宋体" w:hAnsi="Book Antiqua" w:cs="宋体"/>
          <w:sz w:val="24"/>
          <w:szCs w:val="24"/>
          <w:lang w:eastAsia="zh-CN"/>
        </w:rPr>
        <w:t>Use of surveillance for hepatocellular carcinoma among patients with cirrhosis in the United States.</w:t>
      </w:r>
      <w:proofErr w:type="gramEnd"/>
      <w:r w:rsidRPr="00417749">
        <w:rPr>
          <w:rFonts w:ascii="Book Antiqua" w:eastAsia="宋体" w:hAnsi="Book Antiqua" w:cs="宋体"/>
          <w:sz w:val="24"/>
          <w:szCs w:val="24"/>
          <w:lang w:eastAsia="zh-CN"/>
        </w:rPr>
        <w:t xml:space="preserve"> </w:t>
      </w:r>
      <w:proofErr w:type="spellStart"/>
      <w:r w:rsidRPr="00417749">
        <w:rPr>
          <w:rFonts w:ascii="Book Antiqua" w:eastAsia="宋体" w:hAnsi="Book Antiqua" w:cs="宋体"/>
          <w:i/>
          <w:iCs/>
          <w:sz w:val="24"/>
          <w:szCs w:val="24"/>
          <w:lang w:eastAsia="zh-CN"/>
        </w:rPr>
        <w:t>Hepatology</w:t>
      </w:r>
      <w:proofErr w:type="spellEnd"/>
      <w:r w:rsidRPr="00417749">
        <w:rPr>
          <w:rFonts w:ascii="Book Antiqua" w:eastAsia="宋体" w:hAnsi="Book Antiqua" w:cs="宋体"/>
          <w:sz w:val="24"/>
          <w:szCs w:val="24"/>
          <w:lang w:eastAsia="zh-CN"/>
        </w:rPr>
        <w:t xml:space="preserve"> 2010; </w:t>
      </w:r>
      <w:r w:rsidRPr="00417749">
        <w:rPr>
          <w:rFonts w:ascii="Book Antiqua" w:eastAsia="宋体" w:hAnsi="Book Antiqua" w:cs="宋体"/>
          <w:b/>
          <w:bCs/>
          <w:sz w:val="24"/>
          <w:szCs w:val="24"/>
          <w:lang w:eastAsia="zh-CN"/>
        </w:rPr>
        <w:t>52</w:t>
      </w:r>
      <w:r w:rsidRPr="00417749">
        <w:rPr>
          <w:rFonts w:ascii="Book Antiqua" w:eastAsia="宋体" w:hAnsi="Book Antiqua" w:cs="宋体"/>
          <w:sz w:val="24"/>
          <w:szCs w:val="24"/>
          <w:lang w:eastAsia="zh-CN"/>
        </w:rPr>
        <w:t>: 132-141 [PMID: 20578139 DOI: 10.1002/hep.23615]</w:t>
      </w:r>
    </w:p>
    <w:p w14:paraId="35DB3424" w14:textId="33A69F54" w:rsidR="005760D9" w:rsidRPr="00417749" w:rsidRDefault="005760D9" w:rsidP="00417749">
      <w:pPr>
        <w:spacing w:after="0" w:line="360" w:lineRule="auto"/>
        <w:jc w:val="both"/>
        <w:rPr>
          <w:rFonts w:ascii="Book Antiqua" w:hAnsi="Book Antiqua" w:cs="Times New Roman"/>
          <w:sz w:val="24"/>
          <w:szCs w:val="24"/>
        </w:rPr>
      </w:pPr>
    </w:p>
    <w:p w14:paraId="292F577A" w14:textId="31E3FA2A" w:rsidR="000D1B70" w:rsidRPr="00417749" w:rsidRDefault="00C22041" w:rsidP="00417749">
      <w:pPr>
        <w:spacing w:after="0" w:line="360" w:lineRule="auto"/>
        <w:jc w:val="right"/>
        <w:rPr>
          <w:rFonts w:ascii="Book Antiqua" w:hAnsi="Book Antiqua" w:cs="Times New Roman"/>
          <w:sz w:val="24"/>
          <w:szCs w:val="24"/>
        </w:rPr>
      </w:pPr>
      <w:r w:rsidRPr="00417749">
        <w:rPr>
          <w:rFonts w:ascii="Book Antiqua" w:hAnsi="Book Antiqua"/>
          <w:b/>
          <w:sz w:val="24"/>
          <w:szCs w:val="24"/>
        </w:rPr>
        <w:t>P-Reviewer:</w:t>
      </w:r>
      <w:r w:rsidR="00DE5905" w:rsidRPr="00417749">
        <w:rPr>
          <w:rFonts w:ascii="Book Antiqua" w:hAnsi="Book Antiqua" w:cs="Tahoma"/>
          <w:color w:val="000000"/>
          <w:sz w:val="24"/>
          <w:szCs w:val="24"/>
        </w:rPr>
        <w:t xml:space="preserve"> </w:t>
      </w:r>
      <w:proofErr w:type="spellStart"/>
      <w:r w:rsidR="00DE5905" w:rsidRPr="00417749">
        <w:rPr>
          <w:rFonts w:ascii="Book Antiqua" w:hAnsi="Book Antiqua" w:cs="Tahoma"/>
          <w:color w:val="000000"/>
          <w:sz w:val="24"/>
          <w:szCs w:val="24"/>
        </w:rPr>
        <w:t>Panduro</w:t>
      </w:r>
      <w:proofErr w:type="spellEnd"/>
      <w:r w:rsidR="00DE5905" w:rsidRPr="00417749">
        <w:rPr>
          <w:rFonts w:ascii="Book Antiqua" w:hAnsi="Book Antiqua" w:cs="Tahoma"/>
          <w:color w:val="000000"/>
          <w:sz w:val="24"/>
          <w:szCs w:val="24"/>
          <w:lang w:eastAsia="zh-CN"/>
        </w:rPr>
        <w:t xml:space="preserve"> A, </w:t>
      </w:r>
      <w:proofErr w:type="spellStart"/>
      <w:r w:rsidR="00DE5905" w:rsidRPr="00417749">
        <w:rPr>
          <w:rFonts w:ascii="Book Antiqua" w:hAnsi="Book Antiqua" w:cs="Tahoma"/>
          <w:color w:val="000000"/>
          <w:sz w:val="24"/>
          <w:szCs w:val="24"/>
        </w:rPr>
        <w:t>Peluso</w:t>
      </w:r>
      <w:proofErr w:type="spellEnd"/>
      <w:r w:rsidR="00DE5905" w:rsidRPr="00417749">
        <w:rPr>
          <w:rFonts w:ascii="Book Antiqua" w:hAnsi="Book Antiqua" w:cs="Tahoma"/>
          <w:color w:val="000000"/>
          <w:sz w:val="24"/>
          <w:szCs w:val="24"/>
          <w:lang w:eastAsia="zh-CN"/>
        </w:rPr>
        <w:t xml:space="preserve"> O, </w:t>
      </w:r>
      <w:proofErr w:type="spellStart"/>
      <w:r w:rsidR="00DE5905" w:rsidRPr="00417749">
        <w:rPr>
          <w:rFonts w:ascii="Book Antiqua" w:hAnsi="Book Antiqua" w:cs="Tahoma"/>
          <w:color w:val="000000"/>
          <w:sz w:val="24"/>
          <w:szCs w:val="24"/>
        </w:rPr>
        <w:t>Swierczynski</w:t>
      </w:r>
      <w:proofErr w:type="spellEnd"/>
      <w:r w:rsidR="00DE5905" w:rsidRPr="00417749">
        <w:rPr>
          <w:rFonts w:ascii="Book Antiqua" w:hAnsi="Book Antiqua" w:cs="Tahoma"/>
          <w:color w:val="000000"/>
          <w:sz w:val="24"/>
          <w:szCs w:val="24"/>
          <w:lang w:eastAsia="zh-CN"/>
        </w:rPr>
        <w:t xml:space="preserve"> J</w:t>
      </w:r>
      <w:r w:rsidRPr="00417749">
        <w:rPr>
          <w:rFonts w:ascii="Book Antiqua" w:hAnsi="Book Antiqua"/>
          <w:b/>
          <w:sz w:val="24"/>
          <w:szCs w:val="24"/>
        </w:rPr>
        <w:t xml:space="preserve"> S-Editor: </w:t>
      </w:r>
      <w:proofErr w:type="spellStart"/>
      <w:r w:rsidRPr="00417749">
        <w:rPr>
          <w:rFonts w:ascii="Book Antiqua" w:hAnsi="Book Antiqua"/>
          <w:sz w:val="24"/>
          <w:szCs w:val="24"/>
        </w:rPr>
        <w:t>Ji</w:t>
      </w:r>
      <w:proofErr w:type="spellEnd"/>
      <w:r w:rsidRPr="00417749">
        <w:rPr>
          <w:rFonts w:ascii="Book Antiqua" w:hAnsi="Book Antiqua"/>
          <w:sz w:val="24"/>
          <w:szCs w:val="24"/>
        </w:rPr>
        <w:t xml:space="preserve"> FF</w:t>
      </w:r>
      <w:r w:rsidRPr="00417749">
        <w:rPr>
          <w:rFonts w:ascii="Book Antiqua" w:hAnsi="Book Antiqua"/>
          <w:b/>
          <w:sz w:val="24"/>
          <w:szCs w:val="24"/>
        </w:rPr>
        <w:t xml:space="preserve"> L-Editor: E-Editor:</w:t>
      </w:r>
    </w:p>
    <w:p w14:paraId="356C28EA" w14:textId="7E53F64E" w:rsidR="00C22041" w:rsidRDefault="00C22041">
      <w:pPr>
        <w:rPr>
          <w:rFonts w:ascii="Book Antiqua" w:hAnsi="Book Antiqua" w:cs="Times New Roman"/>
          <w:sz w:val="24"/>
          <w:szCs w:val="24"/>
        </w:rPr>
      </w:pPr>
      <w:r>
        <w:rPr>
          <w:rFonts w:ascii="Book Antiqua" w:hAnsi="Book Antiqua" w:cs="Times New Roman"/>
          <w:sz w:val="24"/>
          <w:szCs w:val="24"/>
        </w:rPr>
        <w:br w:type="page"/>
      </w:r>
    </w:p>
    <w:p w14:paraId="761D0252" w14:textId="77777777" w:rsidR="005760D9" w:rsidRPr="000F1CB4" w:rsidRDefault="005760D9" w:rsidP="000F1CB4">
      <w:pPr>
        <w:spacing w:after="0" w:line="360" w:lineRule="auto"/>
        <w:jc w:val="both"/>
        <w:rPr>
          <w:rFonts w:ascii="Book Antiqua" w:hAnsi="Book Antiqua" w:cs="Times New Roman"/>
          <w:sz w:val="24"/>
          <w:szCs w:val="24"/>
        </w:rPr>
      </w:pPr>
    </w:p>
    <w:p w14:paraId="116A58B3" w14:textId="77777777" w:rsidR="005760D9" w:rsidRPr="000F1CB4" w:rsidRDefault="005760D9" w:rsidP="000F1CB4">
      <w:pPr>
        <w:spacing w:after="0" w:line="360" w:lineRule="auto"/>
        <w:jc w:val="both"/>
        <w:rPr>
          <w:rFonts w:ascii="Book Antiqua" w:hAnsi="Book Antiqua" w:cs="Times New Roman"/>
          <w:sz w:val="24"/>
          <w:szCs w:val="24"/>
        </w:rPr>
      </w:pPr>
      <w:r w:rsidRPr="000F1CB4">
        <w:rPr>
          <w:rFonts w:ascii="Book Antiqua" w:hAnsi="Book Antiqua" w:cs="Times New Roman"/>
          <w:noProof/>
          <w:sz w:val="24"/>
          <w:szCs w:val="24"/>
          <w:lang w:eastAsia="zh-CN"/>
        </w:rPr>
        <w:drawing>
          <wp:inline distT="0" distB="0" distL="0" distR="0" wp14:anchorId="32EDF37D" wp14:editId="6DA2D26E">
            <wp:extent cx="4413250" cy="2044700"/>
            <wp:effectExtent l="0" t="0" r="2540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D98DA4" w14:textId="3284A897" w:rsidR="005760D9" w:rsidRPr="00C22041" w:rsidRDefault="00C22041" w:rsidP="000F1CB4">
      <w:pPr>
        <w:spacing w:after="0" w:line="360" w:lineRule="auto"/>
        <w:jc w:val="both"/>
        <w:rPr>
          <w:rFonts w:ascii="Book Antiqua" w:hAnsi="Book Antiqua" w:cs="Times New Roman"/>
          <w:b/>
          <w:sz w:val="24"/>
          <w:szCs w:val="24"/>
        </w:rPr>
      </w:pPr>
      <w:r w:rsidRPr="00C22041">
        <w:rPr>
          <w:rFonts w:ascii="Book Antiqua" w:hAnsi="Book Antiqua" w:cs="Times New Roman"/>
          <w:b/>
          <w:sz w:val="24"/>
          <w:szCs w:val="24"/>
        </w:rPr>
        <w:t>Figure 1</w:t>
      </w:r>
      <w:r w:rsidR="005760D9" w:rsidRPr="00C22041">
        <w:rPr>
          <w:rFonts w:ascii="Book Antiqua" w:hAnsi="Book Antiqua" w:cs="Times New Roman"/>
          <w:b/>
          <w:sz w:val="24"/>
          <w:szCs w:val="24"/>
        </w:rPr>
        <w:t xml:space="preserve"> Hepatocellular car</w:t>
      </w:r>
      <w:r w:rsidRPr="00C22041">
        <w:rPr>
          <w:rFonts w:ascii="Book Antiqua" w:hAnsi="Book Antiqua" w:cs="Times New Roman"/>
          <w:b/>
          <w:sz w:val="24"/>
          <w:szCs w:val="24"/>
        </w:rPr>
        <w:t>cinoma incidence rates (per 100</w:t>
      </w:r>
      <w:r w:rsidR="005760D9" w:rsidRPr="00C22041">
        <w:rPr>
          <w:rFonts w:ascii="Book Antiqua" w:hAnsi="Book Antiqua" w:cs="Times New Roman"/>
          <w:b/>
          <w:sz w:val="24"/>
          <w:szCs w:val="24"/>
        </w:rPr>
        <w:t xml:space="preserve">000) in </w:t>
      </w:r>
      <w:r w:rsidR="00D36C84" w:rsidRPr="00C22041">
        <w:rPr>
          <w:rFonts w:ascii="Book Antiqua" w:hAnsi="Book Antiqua" w:cs="Times New Roman"/>
          <w:b/>
          <w:sz w:val="24"/>
          <w:szCs w:val="24"/>
        </w:rPr>
        <w:t>m</w:t>
      </w:r>
      <w:r w:rsidR="005760D9" w:rsidRPr="00C22041">
        <w:rPr>
          <w:rFonts w:ascii="Book Antiqua" w:hAnsi="Book Antiqua" w:cs="Times New Roman"/>
          <w:b/>
          <w:sz w:val="24"/>
          <w:szCs w:val="24"/>
        </w:rPr>
        <w:t>ales in the United States, age 50-59 years by race/ethnicity from 2000-2002 and 2003-2005</w:t>
      </w:r>
      <w:r w:rsidR="00A665BA" w:rsidRPr="00A665BA">
        <w:rPr>
          <w:rFonts w:ascii="Book Antiqua" w:hAnsi="Book Antiqua" w:cs="Times New Roman" w:hint="eastAsia"/>
          <w:b/>
          <w:sz w:val="24"/>
          <w:szCs w:val="24"/>
          <w:vertAlign w:val="superscript"/>
          <w:lang w:eastAsia="zh-CN"/>
        </w:rPr>
        <w:t>[6]</w:t>
      </w:r>
      <w:r w:rsidR="005760D9" w:rsidRPr="00C22041">
        <w:rPr>
          <w:rFonts w:ascii="Book Antiqua" w:hAnsi="Book Antiqua" w:cs="Times New Roman"/>
          <w:b/>
          <w:sz w:val="24"/>
          <w:szCs w:val="24"/>
        </w:rPr>
        <w:t>.</w:t>
      </w:r>
    </w:p>
    <w:p w14:paraId="301B926A" w14:textId="77777777" w:rsidR="005760D9" w:rsidRPr="000F1CB4" w:rsidRDefault="005760D9" w:rsidP="000F1CB4">
      <w:pPr>
        <w:spacing w:after="0" w:line="360" w:lineRule="auto"/>
        <w:jc w:val="both"/>
        <w:rPr>
          <w:rFonts w:ascii="Book Antiqua" w:hAnsi="Book Antiqua" w:cs="Times New Roman"/>
          <w:sz w:val="24"/>
          <w:szCs w:val="24"/>
        </w:rPr>
      </w:pPr>
      <w:r w:rsidRPr="000F1CB4">
        <w:rPr>
          <w:rFonts w:ascii="Book Antiqua" w:hAnsi="Book Antiqua" w:cs="Times New Roman"/>
          <w:sz w:val="24"/>
          <w:szCs w:val="24"/>
        </w:rPr>
        <w:br w:type="page"/>
      </w:r>
    </w:p>
    <w:p w14:paraId="2CCCAB13" w14:textId="77777777" w:rsidR="005760D9" w:rsidRPr="000F1CB4" w:rsidRDefault="005760D9" w:rsidP="000F1CB4">
      <w:pPr>
        <w:spacing w:after="0" w:line="360" w:lineRule="auto"/>
        <w:jc w:val="both"/>
        <w:rPr>
          <w:rFonts w:ascii="Book Antiqua" w:hAnsi="Book Antiqua" w:cs="Times New Roman"/>
          <w:sz w:val="24"/>
          <w:szCs w:val="24"/>
        </w:rPr>
      </w:pPr>
      <w:r w:rsidRPr="000F1CB4">
        <w:rPr>
          <w:rFonts w:ascii="Book Antiqua" w:hAnsi="Book Antiqua" w:cs="Times New Roman"/>
          <w:noProof/>
          <w:sz w:val="24"/>
          <w:szCs w:val="24"/>
          <w:lang w:eastAsia="zh-CN"/>
        </w:rPr>
        <w:lastRenderedPageBreak/>
        <w:drawing>
          <wp:inline distT="0" distB="0" distL="0" distR="0" wp14:anchorId="1A6FC5DE" wp14:editId="4D068B85">
            <wp:extent cx="4476750" cy="20383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CBC514" w14:textId="2C9900DF" w:rsidR="005760D9" w:rsidRPr="00C22041" w:rsidRDefault="00C22041" w:rsidP="000F1CB4">
      <w:pPr>
        <w:spacing w:after="0" w:line="360" w:lineRule="auto"/>
        <w:jc w:val="both"/>
        <w:rPr>
          <w:rFonts w:ascii="Book Antiqua" w:hAnsi="Book Antiqua" w:cs="Times New Roman"/>
          <w:b/>
          <w:sz w:val="24"/>
          <w:szCs w:val="24"/>
        </w:rPr>
      </w:pPr>
      <w:r w:rsidRPr="00C22041">
        <w:rPr>
          <w:rFonts w:ascii="Book Antiqua" w:hAnsi="Book Antiqua" w:cs="Times New Roman"/>
          <w:b/>
          <w:sz w:val="24"/>
          <w:szCs w:val="24"/>
        </w:rPr>
        <w:t>Figure 2</w:t>
      </w:r>
      <w:r w:rsidR="005760D9" w:rsidRPr="00C22041">
        <w:rPr>
          <w:rFonts w:ascii="Book Antiqua" w:hAnsi="Book Antiqua" w:cs="Times New Roman"/>
          <w:b/>
          <w:sz w:val="24"/>
          <w:szCs w:val="24"/>
        </w:rPr>
        <w:t xml:space="preserve"> Hepatocellular car</w:t>
      </w:r>
      <w:r w:rsidRPr="00C22041">
        <w:rPr>
          <w:rFonts w:ascii="Book Antiqua" w:hAnsi="Book Antiqua" w:cs="Times New Roman"/>
          <w:b/>
          <w:sz w:val="24"/>
          <w:szCs w:val="24"/>
        </w:rPr>
        <w:t>cinoma incidence rates (per 100</w:t>
      </w:r>
      <w:r w:rsidR="005760D9" w:rsidRPr="00C22041">
        <w:rPr>
          <w:rFonts w:ascii="Book Antiqua" w:hAnsi="Book Antiqua" w:cs="Times New Roman"/>
          <w:b/>
          <w:sz w:val="24"/>
          <w:szCs w:val="24"/>
        </w:rPr>
        <w:t xml:space="preserve">000) in </w:t>
      </w:r>
      <w:r w:rsidR="00D36C84" w:rsidRPr="00C22041">
        <w:rPr>
          <w:rFonts w:ascii="Book Antiqua" w:hAnsi="Book Antiqua" w:cs="Times New Roman"/>
          <w:b/>
          <w:sz w:val="24"/>
          <w:szCs w:val="24"/>
        </w:rPr>
        <w:t>f</w:t>
      </w:r>
      <w:r w:rsidR="005760D9" w:rsidRPr="00C22041">
        <w:rPr>
          <w:rFonts w:ascii="Book Antiqua" w:hAnsi="Book Antiqua" w:cs="Times New Roman"/>
          <w:b/>
          <w:sz w:val="24"/>
          <w:szCs w:val="24"/>
        </w:rPr>
        <w:t>emales in the United States, age 50-59 years by race/ethnicity from 2000-2002 and 2003-2005</w:t>
      </w:r>
      <w:r w:rsidR="00A665BA" w:rsidRPr="00A665BA">
        <w:rPr>
          <w:rFonts w:ascii="Book Antiqua" w:hAnsi="Book Antiqua" w:cs="Times New Roman" w:hint="eastAsia"/>
          <w:b/>
          <w:sz w:val="24"/>
          <w:szCs w:val="24"/>
          <w:vertAlign w:val="superscript"/>
          <w:lang w:eastAsia="zh-CN"/>
        </w:rPr>
        <w:t>[6]</w:t>
      </w:r>
      <w:r w:rsidR="00256D61" w:rsidRPr="00C22041">
        <w:rPr>
          <w:rFonts w:ascii="Book Antiqua" w:hAnsi="Book Antiqua" w:cs="Times New Roman"/>
          <w:b/>
          <w:sz w:val="24"/>
          <w:szCs w:val="24"/>
        </w:rPr>
        <w:t>.</w:t>
      </w:r>
    </w:p>
    <w:p w14:paraId="3FFDAEA6" w14:textId="77777777" w:rsidR="000D1B70" w:rsidRPr="000F1CB4" w:rsidRDefault="000D1B70" w:rsidP="000F1CB4">
      <w:pPr>
        <w:spacing w:after="0" w:line="360" w:lineRule="auto"/>
        <w:jc w:val="both"/>
        <w:rPr>
          <w:rFonts w:ascii="Book Antiqua" w:hAnsi="Book Antiqua" w:cs="Times New Roman"/>
          <w:sz w:val="24"/>
          <w:szCs w:val="24"/>
        </w:rPr>
      </w:pPr>
    </w:p>
    <w:p w14:paraId="0221E44F" w14:textId="527AD97D" w:rsidR="00C22041" w:rsidRDefault="00C22041">
      <w:pPr>
        <w:rPr>
          <w:rFonts w:ascii="Book Antiqua" w:hAnsi="Book Antiqua" w:cs="Times New Roman"/>
          <w:sz w:val="24"/>
          <w:szCs w:val="24"/>
        </w:rPr>
      </w:pPr>
      <w:r>
        <w:rPr>
          <w:rFonts w:ascii="Book Antiqua" w:hAnsi="Book Antiqua" w:cs="Times New Roman"/>
          <w:sz w:val="24"/>
          <w:szCs w:val="24"/>
        </w:rPr>
        <w:br w:type="page"/>
      </w:r>
    </w:p>
    <w:p w14:paraId="4DF6793C" w14:textId="77777777" w:rsidR="000D1B70" w:rsidRPr="000F1CB4" w:rsidRDefault="000D1B70" w:rsidP="000F1CB4">
      <w:pPr>
        <w:spacing w:after="0" w:line="360" w:lineRule="auto"/>
        <w:jc w:val="both"/>
        <w:rPr>
          <w:rFonts w:ascii="Book Antiqua" w:hAnsi="Book Antiqua" w:cs="Times New Roman"/>
          <w:sz w:val="24"/>
          <w:szCs w:val="24"/>
        </w:rPr>
      </w:pPr>
    </w:p>
    <w:p w14:paraId="6940618B" w14:textId="50FFF3FB" w:rsidR="000D1B70" w:rsidRPr="000F1CB4" w:rsidRDefault="000D1B70" w:rsidP="000F1CB4">
      <w:pPr>
        <w:spacing w:after="0" w:line="360" w:lineRule="auto"/>
        <w:jc w:val="both"/>
        <w:rPr>
          <w:rFonts w:ascii="Book Antiqua" w:hAnsi="Book Antiqua" w:cs="Times New Roman"/>
          <w:sz w:val="24"/>
          <w:szCs w:val="24"/>
        </w:rPr>
      </w:pPr>
      <w:r w:rsidRPr="000F1CB4">
        <w:rPr>
          <w:rFonts w:ascii="Book Antiqua" w:hAnsi="Book Antiqua" w:cs="Times New Roman"/>
          <w:noProof/>
          <w:sz w:val="24"/>
          <w:szCs w:val="24"/>
          <w:lang w:eastAsia="zh-CN"/>
        </w:rPr>
        <w:drawing>
          <wp:inline distT="0" distB="0" distL="0" distR="0" wp14:anchorId="063FD15C" wp14:editId="61ABE8CC">
            <wp:extent cx="5943600" cy="46062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 3 - NASH-HCC.tif"/>
                    <pic:cNvPicPr/>
                  </pic:nvPicPr>
                  <pic:blipFill>
                    <a:blip r:embed="rId13">
                      <a:extLst>
                        <a:ext uri="{28A0092B-C50C-407E-A947-70E740481C1C}">
                          <a14:useLocalDpi xmlns:a14="http://schemas.microsoft.com/office/drawing/2010/main" val="0"/>
                        </a:ext>
                      </a:extLst>
                    </a:blip>
                    <a:stretch>
                      <a:fillRect/>
                    </a:stretch>
                  </pic:blipFill>
                  <pic:spPr>
                    <a:xfrm>
                      <a:off x="0" y="0"/>
                      <a:ext cx="5943600" cy="4606290"/>
                    </a:xfrm>
                    <a:prstGeom prst="rect">
                      <a:avLst/>
                    </a:prstGeom>
                  </pic:spPr>
                </pic:pic>
              </a:graphicData>
            </a:graphic>
          </wp:inline>
        </w:drawing>
      </w:r>
    </w:p>
    <w:p w14:paraId="65EB1033" w14:textId="77777777" w:rsidR="000D1B70" w:rsidRPr="000F1CB4" w:rsidRDefault="000D1B70" w:rsidP="000F1CB4">
      <w:pPr>
        <w:spacing w:after="0" w:line="360" w:lineRule="auto"/>
        <w:jc w:val="both"/>
        <w:rPr>
          <w:rFonts w:ascii="Book Antiqua" w:hAnsi="Book Antiqua" w:cs="Times New Roman"/>
          <w:sz w:val="24"/>
          <w:szCs w:val="24"/>
        </w:rPr>
      </w:pPr>
    </w:p>
    <w:p w14:paraId="05D96B4B" w14:textId="1A365A6E" w:rsidR="000D1B70" w:rsidRPr="00C22041" w:rsidRDefault="00C22041" w:rsidP="000F1CB4">
      <w:pPr>
        <w:spacing w:after="0" w:line="360" w:lineRule="auto"/>
        <w:jc w:val="both"/>
        <w:rPr>
          <w:rFonts w:ascii="Book Antiqua" w:hAnsi="Book Antiqua" w:cs="Times New Roman"/>
          <w:b/>
          <w:sz w:val="24"/>
          <w:szCs w:val="24"/>
          <w:lang w:eastAsia="zh-CN"/>
        </w:rPr>
      </w:pPr>
      <w:r w:rsidRPr="00C22041">
        <w:rPr>
          <w:rFonts w:ascii="Book Antiqua" w:hAnsi="Book Antiqua" w:cs="Times New Roman" w:hint="eastAsia"/>
          <w:b/>
          <w:sz w:val="24"/>
          <w:szCs w:val="24"/>
          <w:lang w:eastAsia="zh-CN"/>
        </w:rPr>
        <w:t xml:space="preserve">Figure 3 Metabolic </w:t>
      </w:r>
      <w:proofErr w:type="spellStart"/>
      <w:r w:rsidRPr="00C22041">
        <w:rPr>
          <w:rFonts w:ascii="Book Antiqua" w:hAnsi="Book Antiqua" w:cs="Times New Roman" w:hint="eastAsia"/>
          <w:b/>
          <w:sz w:val="24"/>
          <w:szCs w:val="24"/>
          <w:lang w:eastAsia="zh-CN"/>
        </w:rPr>
        <w:t>pathogenetic</w:t>
      </w:r>
      <w:proofErr w:type="spellEnd"/>
      <w:r w:rsidRPr="00C22041">
        <w:rPr>
          <w:rFonts w:ascii="Book Antiqua" w:hAnsi="Book Antiqua" w:cs="Times New Roman" w:hint="eastAsia"/>
          <w:b/>
          <w:sz w:val="24"/>
          <w:szCs w:val="24"/>
          <w:lang w:eastAsia="zh-CN"/>
        </w:rPr>
        <w:t xml:space="preserve"> pathways to </w:t>
      </w:r>
      <w:r w:rsidRPr="00C22041">
        <w:rPr>
          <w:rFonts w:ascii="Book Antiqua" w:hAnsi="Book Antiqua" w:cs="Times New Roman"/>
          <w:b/>
          <w:sz w:val="24"/>
          <w:szCs w:val="24"/>
          <w:lang w:eastAsia="zh-CN"/>
        </w:rPr>
        <w:t>hepatocellular</w:t>
      </w:r>
      <w:r w:rsidRPr="00C22041">
        <w:rPr>
          <w:rFonts w:ascii="Book Antiqua" w:hAnsi="Book Antiqua" w:cs="Times New Roman" w:hint="eastAsia"/>
          <w:b/>
          <w:sz w:val="24"/>
          <w:szCs w:val="24"/>
          <w:lang w:eastAsia="zh-CN"/>
        </w:rPr>
        <w:t xml:space="preserve"> carcinoma.</w:t>
      </w:r>
    </w:p>
    <w:p w14:paraId="2AE61800" w14:textId="77777777" w:rsidR="000D1B70" w:rsidRPr="000F1CB4" w:rsidRDefault="000D1B70" w:rsidP="000F1CB4">
      <w:pPr>
        <w:spacing w:after="0" w:line="360" w:lineRule="auto"/>
        <w:jc w:val="both"/>
        <w:rPr>
          <w:rFonts w:ascii="Book Antiqua" w:hAnsi="Book Antiqua" w:cs="Times New Roman"/>
          <w:sz w:val="24"/>
          <w:szCs w:val="24"/>
          <w:lang w:eastAsia="zh-CN"/>
        </w:rPr>
      </w:pPr>
    </w:p>
    <w:p w14:paraId="05038B92" w14:textId="77777777" w:rsidR="000D1B70" w:rsidRPr="000F1CB4" w:rsidRDefault="000D1B70" w:rsidP="000F1CB4">
      <w:pPr>
        <w:spacing w:after="0" w:line="360" w:lineRule="auto"/>
        <w:jc w:val="both"/>
        <w:rPr>
          <w:rFonts w:ascii="Book Antiqua" w:hAnsi="Book Antiqua" w:cs="Times New Roman"/>
          <w:sz w:val="24"/>
          <w:szCs w:val="24"/>
        </w:rPr>
      </w:pPr>
    </w:p>
    <w:p w14:paraId="1E546D8E" w14:textId="77777777" w:rsidR="005760D9" w:rsidRPr="000F1CB4" w:rsidRDefault="005760D9" w:rsidP="000F1CB4">
      <w:pPr>
        <w:spacing w:after="0" w:line="360" w:lineRule="auto"/>
        <w:jc w:val="both"/>
        <w:rPr>
          <w:rFonts w:ascii="Book Antiqua" w:hAnsi="Book Antiqua" w:cs="Times New Roman"/>
          <w:sz w:val="24"/>
          <w:szCs w:val="24"/>
        </w:rPr>
      </w:pPr>
      <w:r w:rsidRPr="000F1CB4">
        <w:rPr>
          <w:rFonts w:ascii="Book Antiqua" w:hAnsi="Book Antiqua" w:cs="Times New Roman"/>
          <w:sz w:val="24"/>
          <w:szCs w:val="24"/>
        </w:rPr>
        <w:br w:type="page"/>
      </w:r>
    </w:p>
    <w:p w14:paraId="75AE94C4" w14:textId="77777777" w:rsidR="00A665BA" w:rsidRPr="00A665BA" w:rsidRDefault="00A665BA" w:rsidP="00A665BA">
      <w:pPr>
        <w:spacing w:after="0" w:line="360" w:lineRule="auto"/>
        <w:jc w:val="both"/>
        <w:rPr>
          <w:rFonts w:ascii="Book Antiqua" w:hAnsi="Book Antiqua" w:cs="Times New Roman"/>
          <w:b/>
          <w:sz w:val="24"/>
          <w:szCs w:val="24"/>
          <w:lang w:eastAsia="zh-CN"/>
        </w:rPr>
      </w:pPr>
      <w:r w:rsidRPr="00A665BA">
        <w:rPr>
          <w:rFonts w:ascii="Book Antiqua" w:eastAsia="Calibri" w:hAnsi="Book Antiqua" w:cs="Times New Roman"/>
          <w:b/>
          <w:sz w:val="24"/>
          <w:szCs w:val="24"/>
        </w:rPr>
        <w:lastRenderedPageBreak/>
        <w:t xml:space="preserve">Table 1 The etiologies of liver disease among </w:t>
      </w:r>
      <w:r w:rsidRPr="00A665BA">
        <w:rPr>
          <w:rFonts w:ascii="Book Antiqua" w:hAnsi="Book Antiqua" w:cs="Times New Roman"/>
          <w:b/>
          <w:sz w:val="24"/>
          <w:szCs w:val="24"/>
        </w:rPr>
        <w:t>hepatocellular carcinoma</w:t>
      </w:r>
      <w:r w:rsidRPr="00A665BA">
        <w:rPr>
          <w:rFonts w:ascii="Book Antiqua" w:eastAsia="Calibri" w:hAnsi="Book Antiqua" w:cs="Times New Roman"/>
          <w:b/>
          <w:sz w:val="24"/>
          <w:szCs w:val="24"/>
        </w:rPr>
        <w:t xml:space="preserve"> related liver transplant recipients following the implementation of Model for End-Stage Liver Disease system in 2002 for prioritizing of patients for liver </w:t>
      </w:r>
      <w:proofErr w:type="gramStart"/>
      <w:r w:rsidRPr="00A665BA">
        <w:rPr>
          <w:rFonts w:ascii="Book Antiqua" w:eastAsia="Calibri" w:hAnsi="Book Antiqua" w:cs="Times New Roman"/>
          <w:b/>
          <w:sz w:val="24"/>
          <w:szCs w:val="24"/>
        </w:rPr>
        <w:t>transplant</w:t>
      </w:r>
      <w:r w:rsidRPr="00A665BA">
        <w:rPr>
          <w:rFonts w:ascii="Book Antiqua" w:hAnsi="Book Antiqua" w:cs="Times New Roman" w:hint="eastAsia"/>
          <w:b/>
          <w:sz w:val="24"/>
          <w:szCs w:val="24"/>
          <w:vertAlign w:val="superscript"/>
          <w:lang w:eastAsia="zh-CN"/>
        </w:rPr>
        <w:t>[</w:t>
      </w:r>
      <w:proofErr w:type="gramEnd"/>
      <w:r w:rsidRPr="00A665BA">
        <w:rPr>
          <w:rFonts w:ascii="Book Antiqua" w:hAnsi="Book Antiqua" w:cs="Times New Roman" w:hint="eastAsia"/>
          <w:b/>
          <w:sz w:val="24"/>
          <w:szCs w:val="24"/>
          <w:vertAlign w:val="superscript"/>
          <w:lang w:eastAsia="zh-CN"/>
        </w:rPr>
        <w:t>12]</w:t>
      </w:r>
    </w:p>
    <w:p w14:paraId="27FB9989" w14:textId="77777777" w:rsidR="005760D9" w:rsidRPr="000F1CB4" w:rsidRDefault="005760D9" w:rsidP="000F1CB4">
      <w:pPr>
        <w:spacing w:after="0" w:line="360" w:lineRule="auto"/>
        <w:jc w:val="both"/>
        <w:rPr>
          <w:rFonts w:ascii="Book Antiqua" w:eastAsia="Calibri" w:hAnsi="Book Antiqua" w:cs="Times New Roman"/>
          <w:sz w:val="24"/>
          <w:szCs w:val="24"/>
        </w:rPr>
      </w:pPr>
    </w:p>
    <w:tbl>
      <w:tblPr>
        <w:tblStyle w:val="a3"/>
        <w:tblW w:w="0" w:type="auto"/>
        <w:tblLook w:val="04A0" w:firstRow="1" w:lastRow="0" w:firstColumn="1" w:lastColumn="0" w:noHBand="0" w:noVBand="1"/>
      </w:tblPr>
      <w:tblGrid>
        <w:gridCol w:w="2394"/>
        <w:gridCol w:w="2394"/>
        <w:gridCol w:w="2394"/>
        <w:gridCol w:w="2394"/>
      </w:tblGrid>
      <w:tr w:rsidR="000F1CB4" w:rsidRPr="000F1CB4" w14:paraId="63B67EDD" w14:textId="77777777" w:rsidTr="00A665BA">
        <w:tc>
          <w:tcPr>
            <w:tcW w:w="2394" w:type="dxa"/>
            <w:tcBorders>
              <w:top w:val="single" w:sz="4" w:space="0" w:color="auto"/>
              <w:left w:val="single" w:sz="4" w:space="0" w:color="auto"/>
              <w:bottom w:val="single" w:sz="4" w:space="0" w:color="auto"/>
              <w:right w:val="single" w:sz="4" w:space="0" w:color="auto"/>
            </w:tcBorders>
            <w:shd w:val="clear" w:color="auto" w:fill="auto"/>
          </w:tcPr>
          <w:p w14:paraId="7A3DD20A" w14:textId="77777777" w:rsidR="005760D9" w:rsidRPr="000F1CB4" w:rsidRDefault="005760D9" w:rsidP="000F1CB4">
            <w:pPr>
              <w:spacing w:line="360" w:lineRule="auto"/>
              <w:jc w:val="both"/>
              <w:rPr>
                <w:rFonts w:ascii="Book Antiqua" w:hAnsi="Book Antiqua"/>
                <w:sz w:val="24"/>
                <w:szCs w:val="24"/>
              </w:rPr>
            </w:pPr>
          </w:p>
        </w:tc>
        <w:tc>
          <w:tcPr>
            <w:tcW w:w="7182"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AFCF75" w14:textId="73E8FE36" w:rsidR="005760D9" w:rsidRPr="000F1CB4" w:rsidRDefault="005760D9" w:rsidP="000F1CB4">
            <w:pPr>
              <w:spacing w:line="360" w:lineRule="auto"/>
              <w:jc w:val="both"/>
              <w:rPr>
                <w:rFonts w:ascii="Book Antiqua" w:hAnsi="Book Antiqua"/>
                <w:b/>
                <w:sz w:val="24"/>
                <w:szCs w:val="24"/>
              </w:rPr>
            </w:pPr>
            <w:r w:rsidRPr="000F1CB4">
              <w:rPr>
                <w:rFonts w:ascii="Book Antiqua" w:hAnsi="Book Antiqua"/>
                <w:b/>
                <w:sz w:val="24"/>
                <w:szCs w:val="24"/>
              </w:rPr>
              <w:t xml:space="preserve">HCC </w:t>
            </w:r>
            <w:r w:rsidR="00C243D3" w:rsidRPr="000F1CB4">
              <w:rPr>
                <w:rFonts w:ascii="Book Antiqua" w:hAnsi="Book Antiqua"/>
                <w:b/>
                <w:sz w:val="24"/>
                <w:szCs w:val="24"/>
              </w:rPr>
              <w:t>patients undergoing liver transp</w:t>
            </w:r>
            <w:r w:rsidRPr="000F1CB4">
              <w:rPr>
                <w:rFonts w:ascii="Book Antiqua" w:hAnsi="Book Antiqua"/>
                <w:b/>
                <w:sz w:val="24"/>
                <w:szCs w:val="24"/>
              </w:rPr>
              <w:t>lant</w:t>
            </w:r>
            <w:r w:rsidR="00FC5BD3" w:rsidRPr="000F1CB4">
              <w:rPr>
                <w:rFonts w:ascii="Book Antiqua" w:hAnsi="Book Antiqua"/>
                <w:b/>
                <w:sz w:val="24"/>
                <w:szCs w:val="24"/>
              </w:rPr>
              <w:t>ation</w:t>
            </w:r>
            <w:r w:rsidRPr="000F1CB4">
              <w:rPr>
                <w:rFonts w:ascii="Book Antiqua" w:hAnsi="Book Antiqua"/>
                <w:b/>
                <w:sz w:val="24"/>
                <w:szCs w:val="24"/>
              </w:rPr>
              <w:t xml:space="preserve"> in </w:t>
            </w:r>
            <w:r w:rsidR="00FC5BD3" w:rsidRPr="000F1CB4">
              <w:rPr>
                <w:rFonts w:ascii="Book Antiqua" w:hAnsi="Book Antiqua"/>
                <w:b/>
                <w:sz w:val="24"/>
                <w:szCs w:val="24"/>
              </w:rPr>
              <w:t xml:space="preserve">the </w:t>
            </w:r>
            <w:r w:rsidRPr="000F1CB4">
              <w:rPr>
                <w:rFonts w:ascii="Book Antiqua" w:hAnsi="Book Antiqua"/>
                <w:b/>
                <w:sz w:val="24"/>
                <w:szCs w:val="24"/>
              </w:rPr>
              <w:t>MELD era</w:t>
            </w:r>
          </w:p>
        </w:tc>
      </w:tr>
      <w:tr w:rsidR="000F1CB4" w:rsidRPr="000F1CB4" w14:paraId="3350D96F" w14:textId="77777777" w:rsidTr="00A665BA">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B2DC970" w14:textId="77777777" w:rsidR="005760D9" w:rsidRPr="000F1CB4" w:rsidRDefault="005760D9" w:rsidP="000F1CB4">
            <w:pPr>
              <w:spacing w:line="360" w:lineRule="auto"/>
              <w:jc w:val="both"/>
              <w:rPr>
                <w:rFonts w:ascii="Book Antiqua" w:hAnsi="Book Antiqua"/>
                <w:b/>
                <w:sz w:val="24"/>
                <w:szCs w:val="24"/>
              </w:rPr>
            </w:pPr>
            <w:r w:rsidRPr="000F1CB4">
              <w:rPr>
                <w:rFonts w:ascii="Book Antiqua" w:hAnsi="Book Antiqua"/>
                <w:b/>
                <w:sz w:val="24"/>
                <w:szCs w:val="24"/>
              </w:rPr>
              <w:t>Etiologies of HCC</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695AFC5" w14:textId="77777777" w:rsidR="005760D9" w:rsidRPr="000F1CB4" w:rsidRDefault="005760D9" w:rsidP="000F1CB4">
            <w:pPr>
              <w:spacing w:line="360" w:lineRule="auto"/>
              <w:jc w:val="both"/>
              <w:rPr>
                <w:rFonts w:ascii="Book Antiqua" w:hAnsi="Book Antiqua"/>
                <w:sz w:val="24"/>
                <w:szCs w:val="24"/>
              </w:rPr>
            </w:pPr>
            <w:r w:rsidRPr="000F1CB4">
              <w:rPr>
                <w:rFonts w:ascii="Book Antiqua" w:hAnsi="Book Antiqua"/>
                <w:sz w:val="24"/>
                <w:szCs w:val="24"/>
              </w:rPr>
              <w:t xml:space="preserve">           2002</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784E990" w14:textId="77777777" w:rsidR="005760D9" w:rsidRPr="000F1CB4" w:rsidRDefault="005760D9" w:rsidP="000F1CB4">
            <w:pPr>
              <w:spacing w:line="360" w:lineRule="auto"/>
              <w:jc w:val="both"/>
              <w:rPr>
                <w:rFonts w:ascii="Book Antiqua" w:hAnsi="Book Antiqua"/>
                <w:sz w:val="24"/>
                <w:szCs w:val="24"/>
              </w:rPr>
            </w:pPr>
            <w:r w:rsidRPr="000F1CB4">
              <w:rPr>
                <w:rFonts w:ascii="Book Antiqua" w:hAnsi="Book Antiqua"/>
                <w:sz w:val="24"/>
                <w:szCs w:val="24"/>
              </w:rPr>
              <w:t xml:space="preserve">           2007</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510120B6" w14:textId="77777777" w:rsidR="005760D9" w:rsidRPr="000F1CB4" w:rsidRDefault="005760D9" w:rsidP="000F1CB4">
            <w:pPr>
              <w:spacing w:line="360" w:lineRule="auto"/>
              <w:jc w:val="both"/>
              <w:rPr>
                <w:rFonts w:ascii="Book Antiqua" w:hAnsi="Book Antiqua"/>
                <w:sz w:val="24"/>
                <w:szCs w:val="24"/>
              </w:rPr>
            </w:pPr>
            <w:r w:rsidRPr="000F1CB4">
              <w:rPr>
                <w:rFonts w:ascii="Book Antiqua" w:hAnsi="Book Antiqua"/>
                <w:sz w:val="24"/>
                <w:szCs w:val="24"/>
              </w:rPr>
              <w:t xml:space="preserve">            2012</w:t>
            </w:r>
          </w:p>
        </w:tc>
      </w:tr>
      <w:tr w:rsidR="000F1CB4" w:rsidRPr="000F1CB4" w14:paraId="016C7304" w14:textId="77777777" w:rsidTr="00997E5D">
        <w:tc>
          <w:tcPr>
            <w:tcW w:w="2394" w:type="dxa"/>
            <w:tcBorders>
              <w:top w:val="single" w:sz="4" w:space="0" w:color="auto"/>
              <w:left w:val="single" w:sz="4" w:space="0" w:color="auto"/>
              <w:bottom w:val="single" w:sz="4" w:space="0" w:color="auto"/>
              <w:right w:val="single" w:sz="4" w:space="0" w:color="auto"/>
            </w:tcBorders>
            <w:hideMark/>
          </w:tcPr>
          <w:p w14:paraId="3FB23FB5" w14:textId="77777777" w:rsidR="005760D9" w:rsidRPr="000F1CB4" w:rsidRDefault="005760D9" w:rsidP="000F1CB4">
            <w:pPr>
              <w:spacing w:line="360" w:lineRule="auto"/>
              <w:jc w:val="both"/>
              <w:rPr>
                <w:rFonts w:ascii="Book Antiqua" w:hAnsi="Book Antiqua"/>
                <w:sz w:val="24"/>
                <w:szCs w:val="24"/>
              </w:rPr>
            </w:pPr>
            <w:r w:rsidRPr="000F1CB4">
              <w:rPr>
                <w:rFonts w:ascii="Book Antiqua" w:hAnsi="Book Antiqua"/>
                <w:sz w:val="24"/>
                <w:szCs w:val="24"/>
              </w:rPr>
              <w:t>HCV</w:t>
            </w:r>
          </w:p>
        </w:tc>
        <w:tc>
          <w:tcPr>
            <w:tcW w:w="2394" w:type="dxa"/>
            <w:tcBorders>
              <w:top w:val="single" w:sz="4" w:space="0" w:color="auto"/>
              <w:left w:val="single" w:sz="4" w:space="0" w:color="auto"/>
              <w:bottom w:val="single" w:sz="4" w:space="0" w:color="auto"/>
              <w:right w:val="single" w:sz="4" w:space="0" w:color="auto"/>
            </w:tcBorders>
            <w:hideMark/>
          </w:tcPr>
          <w:p w14:paraId="3442C810" w14:textId="77777777" w:rsidR="005760D9" w:rsidRPr="000F1CB4" w:rsidRDefault="005760D9" w:rsidP="000F1CB4">
            <w:pPr>
              <w:spacing w:line="360" w:lineRule="auto"/>
              <w:jc w:val="both"/>
              <w:rPr>
                <w:rFonts w:ascii="Book Antiqua" w:hAnsi="Book Antiqua"/>
                <w:sz w:val="24"/>
                <w:szCs w:val="24"/>
              </w:rPr>
            </w:pPr>
            <w:r w:rsidRPr="000F1CB4">
              <w:rPr>
                <w:rFonts w:ascii="Book Antiqua" w:hAnsi="Book Antiqua"/>
                <w:sz w:val="24"/>
                <w:szCs w:val="24"/>
              </w:rPr>
              <w:t xml:space="preserve"> 43.4%  </w:t>
            </w:r>
          </w:p>
        </w:tc>
        <w:tc>
          <w:tcPr>
            <w:tcW w:w="2394" w:type="dxa"/>
            <w:tcBorders>
              <w:top w:val="single" w:sz="4" w:space="0" w:color="auto"/>
              <w:left w:val="single" w:sz="4" w:space="0" w:color="auto"/>
              <w:bottom w:val="single" w:sz="4" w:space="0" w:color="auto"/>
              <w:right w:val="single" w:sz="4" w:space="0" w:color="auto"/>
            </w:tcBorders>
            <w:hideMark/>
          </w:tcPr>
          <w:p w14:paraId="0101E854" w14:textId="77777777" w:rsidR="005760D9" w:rsidRPr="000F1CB4" w:rsidRDefault="005760D9" w:rsidP="000F1CB4">
            <w:pPr>
              <w:spacing w:line="360" w:lineRule="auto"/>
              <w:jc w:val="both"/>
              <w:rPr>
                <w:rFonts w:ascii="Book Antiqua" w:hAnsi="Book Antiqua"/>
                <w:sz w:val="24"/>
                <w:szCs w:val="24"/>
              </w:rPr>
            </w:pPr>
            <w:r w:rsidRPr="000F1CB4">
              <w:rPr>
                <w:rFonts w:ascii="Book Antiqua" w:hAnsi="Book Antiqua"/>
                <w:sz w:val="24"/>
                <w:szCs w:val="24"/>
              </w:rPr>
              <w:t>46.3%</w:t>
            </w:r>
          </w:p>
        </w:tc>
        <w:tc>
          <w:tcPr>
            <w:tcW w:w="2394" w:type="dxa"/>
            <w:tcBorders>
              <w:top w:val="single" w:sz="4" w:space="0" w:color="auto"/>
              <w:left w:val="single" w:sz="4" w:space="0" w:color="auto"/>
              <w:bottom w:val="single" w:sz="4" w:space="0" w:color="auto"/>
              <w:right w:val="single" w:sz="4" w:space="0" w:color="auto"/>
            </w:tcBorders>
            <w:hideMark/>
          </w:tcPr>
          <w:p w14:paraId="413AA22D" w14:textId="77777777" w:rsidR="005760D9" w:rsidRPr="000F1CB4" w:rsidRDefault="005760D9" w:rsidP="000F1CB4">
            <w:pPr>
              <w:spacing w:line="360" w:lineRule="auto"/>
              <w:jc w:val="both"/>
              <w:rPr>
                <w:rFonts w:ascii="Book Antiqua" w:hAnsi="Book Antiqua"/>
                <w:sz w:val="24"/>
                <w:szCs w:val="24"/>
              </w:rPr>
            </w:pPr>
            <w:r w:rsidRPr="000F1CB4">
              <w:rPr>
                <w:rFonts w:ascii="Book Antiqua" w:hAnsi="Book Antiqua"/>
                <w:sz w:val="24"/>
                <w:szCs w:val="24"/>
              </w:rPr>
              <w:t>49.9%</w:t>
            </w:r>
          </w:p>
        </w:tc>
      </w:tr>
      <w:tr w:rsidR="000F1CB4" w:rsidRPr="000F1CB4" w14:paraId="19D7CC25" w14:textId="77777777" w:rsidTr="00997E5D">
        <w:tc>
          <w:tcPr>
            <w:tcW w:w="2394" w:type="dxa"/>
            <w:tcBorders>
              <w:top w:val="single" w:sz="4" w:space="0" w:color="auto"/>
              <w:left w:val="single" w:sz="4" w:space="0" w:color="auto"/>
              <w:bottom w:val="single" w:sz="4" w:space="0" w:color="auto"/>
              <w:right w:val="single" w:sz="4" w:space="0" w:color="auto"/>
            </w:tcBorders>
            <w:hideMark/>
          </w:tcPr>
          <w:p w14:paraId="38851727" w14:textId="77777777" w:rsidR="005760D9" w:rsidRPr="000F1CB4" w:rsidRDefault="005760D9" w:rsidP="000F1CB4">
            <w:pPr>
              <w:spacing w:line="360" w:lineRule="auto"/>
              <w:jc w:val="both"/>
              <w:rPr>
                <w:rFonts w:ascii="Book Antiqua" w:hAnsi="Book Antiqua"/>
                <w:sz w:val="24"/>
                <w:szCs w:val="24"/>
              </w:rPr>
            </w:pPr>
            <w:r w:rsidRPr="000F1CB4">
              <w:rPr>
                <w:rFonts w:ascii="Book Antiqua" w:hAnsi="Book Antiqua"/>
                <w:sz w:val="24"/>
                <w:szCs w:val="24"/>
              </w:rPr>
              <w:t>NASH</w:t>
            </w:r>
          </w:p>
        </w:tc>
        <w:tc>
          <w:tcPr>
            <w:tcW w:w="2394" w:type="dxa"/>
            <w:tcBorders>
              <w:top w:val="single" w:sz="4" w:space="0" w:color="auto"/>
              <w:left w:val="single" w:sz="4" w:space="0" w:color="auto"/>
              <w:bottom w:val="single" w:sz="4" w:space="0" w:color="auto"/>
              <w:right w:val="single" w:sz="4" w:space="0" w:color="auto"/>
            </w:tcBorders>
            <w:hideMark/>
          </w:tcPr>
          <w:p w14:paraId="64D5FD92" w14:textId="77777777" w:rsidR="005760D9" w:rsidRPr="000F1CB4" w:rsidRDefault="005760D9" w:rsidP="000F1CB4">
            <w:pPr>
              <w:spacing w:line="360" w:lineRule="auto"/>
              <w:jc w:val="both"/>
              <w:rPr>
                <w:rFonts w:ascii="Book Antiqua" w:hAnsi="Book Antiqua"/>
                <w:sz w:val="24"/>
                <w:szCs w:val="24"/>
              </w:rPr>
            </w:pPr>
            <w:r w:rsidRPr="000F1CB4">
              <w:rPr>
                <w:rFonts w:ascii="Book Antiqua" w:hAnsi="Book Antiqua"/>
                <w:sz w:val="24"/>
                <w:szCs w:val="24"/>
              </w:rPr>
              <w:t xml:space="preserve"> 0%</w:t>
            </w:r>
          </w:p>
        </w:tc>
        <w:tc>
          <w:tcPr>
            <w:tcW w:w="2394" w:type="dxa"/>
            <w:tcBorders>
              <w:top w:val="single" w:sz="4" w:space="0" w:color="auto"/>
              <w:left w:val="single" w:sz="4" w:space="0" w:color="auto"/>
              <w:bottom w:val="single" w:sz="4" w:space="0" w:color="auto"/>
              <w:right w:val="single" w:sz="4" w:space="0" w:color="auto"/>
            </w:tcBorders>
            <w:hideMark/>
          </w:tcPr>
          <w:p w14:paraId="006DBD82" w14:textId="77777777" w:rsidR="005760D9" w:rsidRPr="000F1CB4" w:rsidRDefault="005760D9" w:rsidP="000F1CB4">
            <w:pPr>
              <w:spacing w:line="360" w:lineRule="auto"/>
              <w:jc w:val="both"/>
              <w:rPr>
                <w:rFonts w:ascii="Book Antiqua" w:hAnsi="Book Antiqua"/>
                <w:sz w:val="24"/>
                <w:szCs w:val="24"/>
              </w:rPr>
            </w:pPr>
            <w:r w:rsidRPr="000F1CB4">
              <w:rPr>
                <w:rFonts w:ascii="Book Antiqua" w:hAnsi="Book Antiqua"/>
                <w:sz w:val="24"/>
                <w:szCs w:val="24"/>
              </w:rPr>
              <w:t>4.0%</w:t>
            </w:r>
          </w:p>
        </w:tc>
        <w:tc>
          <w:tcPr>
            <w:tcW w:w="2394" w:type="dxa"/>
            <w:tcBorders>
              <w:top w:val="single" w:sz="4" w:space="0" w:color="auto"/>
              <w:left w:val="single" w:sz="4" w:space="0" w:color="auto"/>
              <w:bottom w:val="single" w:sz="4" w:space="0" w:color="auto"/>
              <w:right w:val="single" w:sz="4" w:space="0" w:color="auto"/>
            </w:tcBorders>
            <w:hideMark/>
          </w:tcPr>
          <w:p w14:paraId="0D0BD42F" w14:textId="77777777" w:rsidR="005760D9" w:rsidRPr="000F1CB4" w:rsidRDefault="005760D9" w:rsidP="000F1CB4">
            <w:pPr>
              <w:spacing w:line="360" w:lineRule="auto"/>
              <w:jc w:val="both"/>
              <w:rPr>
                <w:rFonts w:ascii="Book Antiqua" w:hAnsi="Book Antiqua"/>
                <w:sz w:val="24"/>
                <w:szCs w:val="24"/>
              </w:rPr>
            </w:pPr>
            <w:r w:rsidRPr="000F1CB4">
              <w:rPr>
                <w:rFonts w:ascii="Book Antiqua" w:hAnsi="Book Antiqua"/>
                <w:sz w:val="24"/>
                <w:szCs w:val="24"/>
              </w:rPr>
              <w:t>6.0%</w:t>
            </w:r>
          </w:p>
        </w:tc>
      </w:tr>
      <w:tr w:rsidR="000F1CB4" w:rsidRPr="000F1CB4" w14:paraId="7264A4A3" w14:textId="77777777" w:rsidTr="00997E5D">
        <w:tc>
          <w:tcPr>
            <w:tcW w:w="2394" w:type="dxa"/>
            <w:tcBorders>
              <w:top w:val="single" w:sz="4" w:space="0" w:color="auto"/>
              <w:left w:val="single" w:sz="4" w:space="0" w:color="auto"/>
              <w:bottom w:val="single" w:sz="4" w:space="0" w:color="auto"/>
              <w:right w:val="single" w:sz="4" w:space="0" w:color="auto"/>
            </w:tcBorders>
            <w:hideMark/>
          </w:tcPr>
          <w:p w14:paraId="06BF67D9" w14:textId="7077C203" w:rsidR="005760D9" w:rsidRPr="000F1CB4" w:rsidRDefault="005760D9" w:rsidP="000F1CB4">
            <w:pPr>
              <w:spacing w:line="360" w:lineRule="auto"/>
              <w:jc w:val="both"/>
              <w:rPr>
                <w:rFonts w:ascii="Book Antiqua" w:hAnsi="Book Antiqua"/>
                <w:sz w:val="24"/>
                <w:szCs w:val="24"/>
              </w:rPr>
            </w:pPr>
            <w:r w:rsidRPr="000F1CB4">
              <w:rPr>
                <w:rFonts w:ascii="Book Antiqua" w:hAnsi="Book Antiqua"/>
                <w:sz w:val="24"/>
                <w:szCs w:val="24"/>
              </w:rPr>
              <w:t>ALD</w:t>
            </w:r>
            <w:r w:rsidR="00A665BA">
              <w:rPr>
                <w:rFonts w:ascii="Book Antiqua" w:eastAsiaTheme="minorEastAsia" w:hAnsi="Book Antiqua" w:hint="eastAsia"/>
                <w:sz w:val="24"/>
                <w:szCs w:val="24"/>
                <w:lang w:eastAsia="zh-CN"/>
              </w:rPr>
              <w:t xml:space="preserve"> </w:t>
            </w:r>
            <w:r w:rsidRPr="000F1CB4">
              <w:rPr>
                <w:rFonts w:ascii="Book Antiqua" w:hAnsi="Book Antiqua"/>
                <w:sz w:val="24"/>
                <w:szCs w:val="24"/>
              </w:rPr>
              <w:t>+ HCV</w:t>
            </w:r>
          </w:p>
        </w:tc>
        <w:tc>
          <w:tcPr>
            <w:tcW w:w="2394" w:type="dxa"/>
            <w:tcBorders>
              <w:top w:val="single" w:sz="4" w:space="0" w:color="auto"/>
              <w:left w:val="single" w:sz="4" w:space="0" w:color="auto"/>
              <w:bottom w:val="single" w:sz="4" w:space="0" w:color="auto"/>
              <w:right w:val="single" w:sz="4" w:space="0" w:color="auto"/>
            </w:tcBorders>
            <w:hideMark/>
          </w:tcPr>
          <w:p w14:paraId="77FF94BB" w14:textId="77777777" w:rsidR="005760D9" w:rsidRPr="000F1CB4" w:rsidRDefault="005760D9" w:rsidP="000F1CB4">
            <w:pPr>
              <w:spacing w:line="360" w:lineRule="auto"/>
              <w:jc w:val="both"/>
              <w:rPr>
                <w:rFonts w:ascii="Book Antiqua" w:hAnsi="Book Antiqua"/>
                <w:sz w:val="24"/>
                <w:szCs w:val="24"/>
              </w:rPr>
            </w:pPr>
            <w:r w:rsidRPr="000F1CB4">
              <w:rPr>
                <w:rFonts w:ascii="Book Antiqua" w:hAnsi="Book Antiqua"/>
                <w:sz w:val="24"/>
                <w:szCs w:val="24"/>
              </w:rPr>
              <w:t>4.9%</w:t>
            </w:r>
          </w:p>
        </w:tc>
        <w:tc>
          <w:tcPr>
            <w:tcW w:w="2394" w:type="dxa"/>
            <w:tcBorders>
              <w:top w:val="single" w:sz="4" w:space="0" w:color="auto"/>
              <w:left w:val="single" w:sz="4" w:space="0" w:color="auto"/>
              <w:bottom w:val="single" w:sz="4" w:space="0" w:color="auto"/>
              <w:right w:val="single" w:sz="4" w:space="0" w:color="auto"/>
            </w:tcBorders>
            <w:hideMark/>
          </w:tcPr>
          <w:p w14:paraId="22F9C887" w14:textId="77777777" w:rsidR="005760D9" w:rsidRPr="000F1CB4" w:rsidRDefault="005760D9" w:rsidP="000F1CB4">
            <w:pPr>
              <w:spacing w:line="360" w:lineRule="auto"/>
              <w:jc w:val="both"/>
              <w:rPr>
                <w:rFonts w:ascii="Book Antiqua" w:hAnsi="Book Antiqua"/>
                <w:sz w:val="24"/>
                <w:szCs w:val="24"/>
              </w:rPr>
            </w:pPr>
            <w:r w:rsidRPr="000F1CB4">
              <w:rPr>
                <w:rFonts w:ascii="Book Antiqua" w:hAnsi="Book Antiqua"/>
                <w:sz w:val="24"/>
                <w:szCs w:val="24"/>
              </w:rPr>
              <w:t>6.5%</w:t>
            </w:r>
          </w:p>
        </w:tc>
        <w:tc>
          <w:tcPr>
            <w:tcW w:w="2394" w:type="dxa"/>
            <w:tcBorders>
              <w:top w:val="single" w:sz="4" w:space="0" w:color="auto"/>
              <w:left w:val="single" w:sz="4" w:space="0" w:color="auto"/>
              <w:bottom w:val="single" w:sz="4" w:space="0" w:color="auto"/>
              <w:right w:val="single" w:sz="4" w:space="0" w:color="auto"/>
            </w:tcBorders>
            <w:hideMark/>
          </w:tcPr>
          <w:p w14:paraId="638EA534" w14:textId="77777777" w:rsidR="005760D9" w:rsidRPr="000F1CB4" w:rsidRDefault="005760D9" w:rsidP="000F1CB4">
            <w:pPr>
              <w:spacing w:line="360" w:lineRule="auto"/>
              <w:jc w:val="both"/>
              <w:rPr>
                <w:rFonts w:ascii="Book Antiqua" w:hAnsi="Book Antiqua"/>
                <w:sz w:val="24"/>
                <w:szCs w:val="24"/>
              </w:rPr>
            </w:pPr>
            <w:r w:rsidRPr="000F1CB4">
              <w:rPr>
                <w:rFonts w:ascii="Book Antiqua" w:hAnsi="Book Antiqua"/>
                <w:sz w:val="24"/>
                <w:szCs w:val="24"/>
              </w:rPr>
              <w:t>6.4%</w:t>
            </w:r>
          </w:p>
        </w:tc>
      </w:tr>
      <w:tr w:rsidR="000F1CB4" w:rsidRPr="000F1CB4" w14:paraId="2D5439B6" w14:textId="77777777" w:rsidTr="00997E5D">
        <w:tc>
          <w:tcPr>
            <w:tcW w:w="2394" w:type="dxa"/>
            <w:tcBorders>
              <w:top w:val="single" w:sz="4" w:space="0" w:color="auto"/>
              <w:left w:val="single" w:sz="4" w:space="0" w:color="auto"/>
              <w:bottom w:val="single" w:sz="4" w:space="0" w:color="auto"/>
              <w:right w:val="single" w:sz="4" w:space="0" w:color="auto"/>
            </w:tcBorders>
            <w:hideMark/>
          </w:tcPr>
          <w:p w14:paraId="1A0CFEDF" w14:textId="77777777" w:rsidR="005760D9" w:rsidRPr="000F1CB4" w:rsidRDefault="005760D9" w:rsidP="000F1CB4">
            <w:pPr>
              <w:spacing w:line="360" w:lineRule="auto"/>
              <w:jc w:val="both"/>
              <w:rPr>
                <w:rFonts w:ascii="Book Antiqua" w:hAnsi="Book Antiqua"/>
                <w:sz w:val="24"/>
                <w:szCs w:val="24"/>
              </w:rPr>
            </w:pPr>
            <w:r w:rsidRPr="000F1CB4">
              <w:rPr>
                <w:rFonts w:ascii="Book Antiqua" w:hAnsi="Book Antiqua"/>
                <w:sz w:val="24"/>
                <w:szCs w:val="24"/>
              </w:rPr>
              <w:t>HBV</w:t>
            </w:r>
          </w:p>
        </w:tc>
        <w:tc>
          <w:tcPr>
            <w:tcW w:w="2394" w:type="dxa"/>
            <w:tcBorders>
              <w:top w:val="single" w:sz="4" w:space="0" w:color="auto"/>
              <w:left w:val="single" w:sz="4" w:space="0" w:color="auto"/>
              <w:bottom w:val="single" w:sz="4" w:space="0" w:color="auto"/>
              <w:right w:val="single" w:sz="4" w:space="0" w:color="auto"/>
            </w:tcBorders>
            <w:hideMark/>
          </w:tcPr>
          <w:p w14:paraId="7F9A7C03" w14:textId="77777777" w:rsidR="005760D9" w:rsidRPr="000F1CB4" w:rsidRDefault="005760D9" w:rsidP="000F1CB4">
            <w:pPr>
              <w:spacing w:line="360" w:lineRule="auto"/>
              <w:jc w:val="both"/>
              <w:rPr>
                <w:rFonts w:ascii="Book Antiqua" w:hAnsi="Book Antiqua"/>
                <w:sz w:val="24"/>
                <w:szCs w:val="24"/>
              </w:rPr>
            </w:pPr>
            <w:r w:rsidRPr="000F1CB4">
              <w:rPr>
                <w:rFonts w:ascii="Book Antiqua" w:hAnsi="Book Antiqua"/>
                <w:sz w:val="24"/>
                <w:szCs w:val="24"/>
              </w:rPr>
              <w:t>10.2%</w:t>
            </w:r>
          </w:p>
        </w:tc>
        <w:tc>
          <w:tcPr>
            <w:tcW w:w="2394" w:type="dxa"/>
            <w:tcBorders>
              <w:top w:val="single" w:sz="4" w:space="0" w:color="auto"/>
              <w:left w:val="single" w:sz="4" w:space="0" w:color="auto"/>
              <w:bottom w:val="single" w:sz="4" w:space="0" w:color="auto"/>
              <w:right w:val="single" w:sz="4" w:space="0" w:color="auto"/>
            </w:tcBorders>
            <w:hideMark/>
          </w:tcPr>
          <w:p w14:paraId="64947879" w14:textId="77777777" w:rsidR="005760D9" w:rsidRPr="000F1CB4" w:rsidRDefault="005760D9" w:rsidP="000F1CB4">
            <w:pPr>
              <w:spacing w:line="360" w:lineRule="auto"/>
              <w:jc w:val="both"/>
              <w:rPr>
                <w:rFonts w:ascii="Book Antiqua" w:hAnsi="Book Antiqua"/>
                <w:sz w:val="24"/>
                <w:szCs w:val="24"/>
              </w:rPr>
            </w:pPr>
            <w:r w:rsidRPr="000F1CB4">
              <w:rPr>
                <w:rFonts w:ascii="Book Antiqua" w:hAnsi="Book Antiqua"/>
                <w:sz w:val="24"/>
                <w:szCs w:val="24"/>
              </w:rPr>
              <w:t>8.3%</w:t>
            </w:r>
          </w:p>
        </w:tc>
        <w:tc>
          <w:tcPr>
            <w:tcW w:w="2394" w:type="dxa"/>
            <w:tcBorders>
              <w:top w:val="single" w:sz="4" w:space="0" w:color="auto"/>
              <w:left w:val="single" w:sz="4" w:space="0" w:color="auto"/>
              <w:bottom w:val="single" w:sz="4" w:space="0" w:color="auto"/>
              <w:right w:val="single" w:sz="4" w:space="0" w:color="auto"/>
            </w:tcBorders>
            <w:hideMark/>
          </w:tcPr>
          <w:p w14:paraId="2EDE9DB0" w14:textId="77777777" w:rsidR="005760D9" w:rsidRPr="000F1CB4" w:rsidRDefault="005760D9" w:rsidP="000F1CB4">
            <w:pPr>
              <w:spacing w:line="360" w:lineRule="auto"/>
              <w:jc w:val="both"/>
              <w:rPr>
                <w:rFonts w:ascii="Book Antiqua" w:hAnsi="Book Antiqua"/>
                <w:sz w:val="24"/>
                <w:szCs w:val="24"/>
              </w:rPr>
            </w:pPr>
            <w:r w:rsidRPr="000F1CB4">
              <w:rPr>
                <w:rFonts w:ascii="Book Antiqua" w:hAnsi="Book Antiqua"/>
                <w:sz w:val="24"/>
                <w:szCs w:val="24"/>
              </w:rPr>
              <w:t>4.6%</w:t>
            </w:r>
          </w:p>
        </w:tc>
      </w:tr>
      <w:tr w:rsidR="000F1CB4" w:rsidRPr="000F1CB4" w14:paraId="67544B8E" w14:textId="77777777" w:rsidTr="00997E5D">
        <w:tc>
          <w:tcPr>
            <w:tcW w:w="2394" w:type="dxa"/>
            <w:tcBorders>
              <w:top w:val="single" w:sz="4" w:space="0" w:color="auto"/>
              <w:left w:val="single" w:sz="4" w:space="0" w:color="auto"/>
              <w:bottom w:val="single" w:sz="4" w:space="0" w:color="auto"/>
              <w:right w:val="single" w:sz="4" w:space="0" w:color="auto"/>
            </w:tcBorders>
            <w:hideMark/>
          </w:tcPr>
          <w:p w14:paraId="1336CD9E" w14:textId="77777777" w:rsidR="005760D9" w:rsidRPr="000F1CB4" w:rsidRDefault="005760D9" w:rsidP="000F1CB4">
            <w:pPr>
              <w:spacing w:line="360" w:lineRule="auto"/>
              <w:jc w:val="both"/>
              <w:rPr>
                <w:rFonts w:ascii="Book Antiqua" w:hAnsi="Book Antiqua"/>
                <w:sz w:val="24"/>
                <w:szCs w:val="24"/>
              </w:rPr>
            </w:pPr>
            <w:r w:rsidRPr="000F1CB4">
              <w:rPr>
                <w:rFonts w:ascii="Book Antiqua" w:hAnsi="Book Antiqua"/>
                <w:sz w:val="24"/>
                <w:szCs w:val="24"/>
              </w:rPr>
              <w:t>Modified NASH</w:t>
            </w:r>
          </w:p>
        </w:tc>
        <w:tc>
          <w:tcPr>
            <w:tcW w:w="2394" w:type="dxa"/>
            <w:tcBorders>
              <w:top w:val="single" w:sz="4" w:space="0" w:color="auto"/>
              <w:left w:val="single" w:sz="4" w:space="0" w:color="auto"/>
              <w:bottom w:val="single" w:sz="4" w:space="0" w:color="auto"/>
              <w:right w:val="single" w:sz="4" w:space="0" w:color="auto"/>
            </w:tcBorders>
            <w:hideMark/>
          </w:tcPr>
          <w:p w14:paraId="387AD95A" w14:textId="77777777" w:rsidR="005760D9" w:rsidRPr="000F1CB4" w:rsidRDefault="005760D9" w:rsidP="000F1CB4">
            <w:pPr>
              <w:spacing w:line="360" w:lineRule="auto"/>
              <w:jc w:val="both"/>
              <w:rPr>
                <w:rFonts w:ascii="Book Antiqua" w:hAnsi="Book Antiqua"/>
                <w:sz w:val="24"/>
                <w:szCs w:val="24"/>
              </w:rPr>
            </w:pPr>
            <w:r w:rsidRPr="000F1CB4">
              <w:rPr>
                <w:rFonts w:ascii="Book Antiqua" w:hAnsi="Book Antiqua"/>
                <w:sz w:val="24"/>
                <w:szCs w:val="24"/>
              </w:rPr>
              <w:t>8.3%</w:t>
            </w:r>
          </w:p>
        </w:tc>
        <w:tc>
          <w:tcPr>
            <w:tcW w:w="2394" w:type="dxa"/>
            <w:tcBorders>
              <w:top w:val="single" w:sz="4" w:space="0" w:color="auto"/>
              <w:left w:val="single" w:sz="4" w:space="0" w:color="auto"/>
              <w:bottom w:val="single" w:sz="4" w:space="0" w:color="auto"/>
              <w:right w:val="single" w:sz="4" w:space="0" w:color="auto"/>
            </w:tcBorders>
            <w:hideMark/>
          </w:tcPr>
          <w:p w14:paraId="5BF118F3" w14:textId="77777777" w:rsidR="005760D9" w:rsidRPr="000F1CB4" w:rsidRDefault="005760D9" w:rsidP="000F1CB4">
            <w:pPr>
              <w:spacing w:line="360" w:lineRule="auto"/>
              <w:jc w:val="both"/>
              <w:rPr>
                <w:rFonts w:ascii="Book Antiqua" w:hAnsi="Book Antiqua"/>
                <w:sz w:val="24"/>
                <w:szCs w:val="24"/>
              </w:rPr>
            </w:pPr>
            <w:r w:rsidRPr="000F1CB4">
              <w:rPr>
                <w:rFonts w:ascii="Book Antiqua" w:hAnsi="Book Antiqua"/>
                <w:sz w:val="24"/>
                <w:szCs w:val="24"/>
              </w:rPr>
              <w:t>10.3%</w:t>
            </w:r>
          </w:p>
        </w:tc>
        <w:tc>
          <w:tcPr>
            <w:tcW w:w="2394" w:type="dxa"/>
            <w:tcBorders>
              <w:top w:val="single" w:sz="4" w:space="0" w:color="auto"/>
              <w:left w:val="single" w:sz="4" w:space="0" w:color="auto"/>
              <w:bottom w:val="single" w:sz="4" w:space="0" w:color="auto"/>
              <w:right w:val="single" w:sz="4" w:space="0" w:color="auto"/>
            </w:tcBorders>
            <w:hideMark/>
          </w:tcPr>
          <w:p w14:paraId="4B571884" w14:textId="77777777" w:rsidR="005760D9" w:rsidRPr="000F1CB4" w:rsidRDefault="005760D9" w:rsidP="000F1CB4">
            <w:pPr>
              <w:spacing w:line="360" w:lineRule="auto"/>
              <w:jc w:val="both"/>
              <w:rPr>
                <w:rFonts w:ascii="Book Antiqua" w:hAnsi="Book Antiqua"/>
                <w:sz w:val="24"/>
                <w:szCs w:val="24"/>
              </w:rPr>
            </w:pPr>
            <w:r w:rsidRPr="000F1CB4">
              <w:rPr>
                <w:rFonts w:ascii="Book Antiqua" w:hAnsi="Book Antiqua"/>
                <w:sz w:val="24"/>
                <w:szCs w:val="24"/>
              </w:rPr>
              <w:t>13.5%</w:t>
            </w:r>
          </w:p>
        </w:tc>
      </w:tr>
      <w:tr w:rsidR="000F1CB4" w:rsidRPr="000F1CB4" w14:paraId="5A8C5509" w14:textId="77777777" w:rsidTr="00997E5D">
        <w:tc>
          <w:tcPr>
            <w:tcW w:w="9576" w:type="dxa"/>
            <w:gridSpan w:val="4"/>
            <w:tcBorders>
              <w:top w:val="single" w:sz="4" w:space="0" w:color="auto"/>
              <w:left w:val="single" w:sz="4" w:space="0" w:color="auto"/>
              <w:bottom w:val="nil"/>
              <w:right w:val="nil"/>
            </w:tcBorders>
          </w:tcPr>
          <w:p w14:paraId="27E36AFE" w14:textId="77777777" w:rsidR="005760D9" w:rsidRPr="000F1CB4" w:rsidRDefault="005760D9" w:rsidP="000F1CB4">
            <w:pPr>
              <w:spacing w:line="360" w:lineRule="auto"/>
              <w:jc w:val="both"/>
              <w:rPr>
                <w:rFonts w:ascii="Book Antiqua" w:hAnsi="Book Antiqua"/>
                <w:sz w:val="24"/>
                <w:szCs w:val="24"/>
              </w:rPr>
            </w:pPr>
          </w:p>
        </w:tc>
      </w:tr>
    </w:tbl>
    <w:p w14:paraId="770D9B7D" w14:textId="77777777" w:rsidR="00A665BA" w:rsidRDefault="00A665BA" w:rsidP="000F1CB4">
      <w:pPr>
        <w:spacing w:after="0" w:line="360" w:lineRule="auto"/>
        <w:jc w:val="both"/>
        <w:rPr>
          <w:rFonts w:ascii="Book Antiqua" w:hAnsi="Book Antiqua" w:cs="Times New Roman"/>
          <w:sz w:val="24"/>
          <w:szCs w:val="24"/>
          <w:lang w:eastAsia="zh-CN"/>
        </w:rPr>
      </w:pPr>
    </w:p>
    <w:p w14:paraId="60130EA8" w14:textId="49E15157" w:rsidR="00A665BA" w:rsidRPr="00A665BA" w:rsidRDefault="00A665BA" w:rsidP="000F1CB4">
      <w:pPr>
        <w:spacing w:after="0" w:line="360" w:lineRule="auto"/>
        <w:jc w:val="both"/>
        <w:rPr>
          <w:rFonts w:ascii="Book Antiqua" w:hAnsi="Book Antiqua" w:cs="Times New Roman"/>
          <w:sz w:val="24"/>
          <w:szCs w:val="24"/>
          <w:lang w:eastAsia="zh-CN"/>
        </w:rPr>
      </w:pPr>
      <w:r w:rsidRPr="000F1CB4">
        <w:rPr>
          <w:rFonts w:ascii="Book Antiqua" w:hAnsi="Book Antiqua" w:cs="Times New Roman"/>
          <w:sz w:val="24"/>
          <w:szCs w:val="24"/>
        </w:rPr>
        <w:t>HCC</w:t>
      </w:r>
      <w:r>
        <w:rPr>
          <w:rFonts w:ascii="Book Antiqua" w:hAnsi="Book Antiqua" w:cs="Times New Roman" w:hint="eastAsia"/>
          <w:sz w:val="24"/>
          <w:szCs w:val="24"/>
          <w:lang w:eastAsia="zh-CN"/>
        </w:rPr>
        <w:t xml:space="preserve">: </w:t>
      </w:r>
      <w:r>
        <w:rPr>
          <w:rFonts w:ascii="Book Antiqua" w:hAnsi="Book Antiqua" w:cs="Times New Roman"/>
          <w:sz w:val="24"/>
          <w:szCs w:val="24"/>
        </w:rPr>
        <w:t>Hepatocellular carcinoma</w:t>
      </w:r>
      <w:r>
        <w:rPr>
          <w:rFonts w:ascii="Book Antiqua" w:hAnsi="Book Antiqua" w:cs="Times New Roman" w:hint="eastAsia"/>
          <w:sz w:val="24"/>
          <w:szCs w:val="24"/>
          <w:lang w:eastAsia="zh-CN"/>
        </w:rPr>
        <w:t xml:space="preserve">; </w:t>
      </w:r>
      <w:r w:rsidRPr="000F1CB4">
        <w:rPr>
          <w:rFonts w:ascii="Book Antiqua" w:eastAsia="Calibri" w:hAnsi="Book Antiqua" w:cs="Times New Roman"/>
          <w:sz w:val="24"/>
          <w:szCs w:val="24"/>
        </w:rPr>
        <w:t>MELD</w:t>
      </w:r>
      <w:r>
        <w:rPr>
          <w:rFonts w:ascii="Book Antiqua" w:hAnsi="Book Antiqua" w:cs="Times New Roman" w:hint="eastAsia"/>
          <w:sz w:val="24"/>
          <w:szCs w:val="24"/>
          <w:lang w:eastAsia="zh-CN"/>
        </w:rPr>
        <w:t xml:space="preserve">: </w:t>
      </w:r>
      <w:r w:rsidRPr="000F1CB4">
        <w:rPr>
          <w:rFonts w:ascii="Book Antiqua" w:eastAsia="Calibri" w:hAnsi="Book Antiqua" w:cs="Times New Roman"/>
          <w:sz w:val="24"/>
          <w:szCs w:val="24"/>
        </w:rPr>
        <w:t>Model for End-Stage Liver Disease</w:t>
      </w:r>
      <w:r>
        <w:rPr>
          <w:rFonts w:ascii="Book Antiqua" w:hAnsi="Book Antiqua" w:cs="Times New Roman" w:hint="eastAsia"/>
          <w:sz w:val="24"/>
          <w:szCs w:val="24"/>
          <w:lang w:eastAsia="zh-CN"/>
        </w:rPr>
        <w:t xml:space="preserve">; </w:t>
      </w:r>
      <w:r w:rsidRPr="000F1CB4">
        <w:rPr>
          <w:rFonts w:ascii="Book Antiqua" w:hAnsi="Book Antiqua"/>
          <w:sz w:val="24"/>
          <w:szCs w:val="24"/>
        </w:rPr>
        <w:t>HCV</w:t>
      </w:r>
      <w:r>
        <w:rPr>
          <w:rFonts w:ascii="Book Antiqua" w:hAnsi="Book Antiqua" w:hint="eastAsia"/>
          <w:sz w:val="24"/>
          <w:szCs w:val="24"/>
          <w:lang w:eastAsia="zh-CN"/>
        </w:rPr>
        <w:t xml:space="preserve">: </w:t>
      </w:r>
      <w:r w:rsidRPr="00C36D9A">
        <w:rPr>
          <w:rFonts w:ascii="Book Antiqua" w:hAnsi="Book Antiqua" w:cs="Times New Roman"/>
          <w:sz w:val="24"/>
          <w:szCs w:val="24"/>
        </w:rPr>
        <w:t>Hepatitis C virus</w:t>
      </w:r>
      <w:r>
        <w:rPr>
          <w:rFonts w:ascii="Book Antiqua" w:hAnsi="Book Antiqua" w:cs="Times New Roman" w:hint="eastAsia"/>
          <w:sz w:val="24"/>
          <w:szCs w:val="24"/>
          <w:lang w:eastAsia="zh-CN"/>
        </w:rPr>
        <w:t xml:space="preserve">; </w:t>
      </w:r>
      <w:r w:rsidRPr="000F1CB4">
        <w:rPr>
          <w:rFonts w:ascii="Book Antiqua" w:hAnsi="Book Antiqua"/>
          <w:sz w:val="24"/>
          <w:szCs w:val="24"/>
        </w:rPr>
        <w:t>NASH</w:t>
      </w:r>
      <w:r>
        <w:rPr>
          <w:rFonts w:ascii="Book Antiqua" w:hAnsi="Book Antiqua" w:hint="eastAsia"/>
          <w:sz w:val="24"/>
          <w:szCs w:val="24"/>
          <w:lang w:eastAsia="zh-CN"/>
        </w:rPr>
        <w:t>:</w:t>
      </w:r>
      <w:r w:rsidRPr="00A665BA">
        <w:rPr>
          <w:rFonts w:ascii="Book Antiqua" w:hAnsi="Book Antiqua" w:cs="Times New Roman"/>
          <w:sz w:val="24"/>
          <w:szCs w:val="24"/>
        </w:rPr>
        <w:t xml:space="preserve"> </w:t>
      </w:r>
      <w:r w:rsidRPr="00C36D9A">
        <w:rPr>
          <w:rFonts w:ascii="Book Antiqua" w:hAnsi="Book Antiqua" w:cs="Times New Roman"/>
          <w:sz w:val="24"/>
          <w:szCs w:val="24"/>
        </w:rPr>
        <w:t xml:space="preserve">Nonalcoholic </w:t>
      </w:r>
      <w:proofErr w:type="spellStart"/>
      <w:r w:rsidRPr="00C36D9A">
        <w:rPr>
          <w:rFonts w:ascii="Book Antiqua" w:hAnsi="Book Antiqua" w:cs="Times New Roman"/>
          <w:sz w:val="24"/>
          <w:szCs w:val="24"/>
        </w:rPr>
        <w:t>steatohepatitis</w:t>
      </w:r>
      <w:proofErr w:type="spellEnd"/>
      <w:r>
        <w:rPr>
          <w:rFonts w:ascii="Book Antiqua" w:hAnsi="Book Antiqua" w:cs="Times New Roman" w:hint="eastAsia"/>
          <w:sz w:val="24"/>
          <w:szCs w:val="24"/>
          <w:lang w:eastAsia="zh-CN"/>
        </w:rPr>
        <w:t>.</w:t>
      </w:r>
    </w:p>
    <w:p w14:paraId="27D27252" w14:textId="77777777" w:rsidR="005760D9" w:rsidRPr="000F1CB4" w:rsidRDefault="005760D9" w:rsidP="000F1CB4">
      <w:pPr>
        <w:spacing w:after="0" w:line="360" w:lineRule="auto"/>
        <w:jc w:val="both"/>
        <w:rPr>
          <w:rFonts w:ascii="Book Antiqua" w:hAnsi="Book Antiqua" w:cs="Times New Roman"/>
          <w:sz w:val="24"/>
          <w:szCs w:val="24"/>
        </w:rPr>
      </w:pPr>
    </w:p>
    <w:sectPr w:rsidR="005760D9" w:rsidRPr="000F1CB4" w:rsidSect="005C098E">
      <w:headerReference w:type="default" r:id="rId14"/>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B688DB" w15:done="0"/>
  <w15:commentEx w15:paraId="4CF3B711" w15:done="0"/>
  <w15:commentEx w15:paraId="1D04CA77" w15:done="0"/>
  <w15:commentEx w15:paraId="4B81B3A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CCA1F" w14:textId="77777777" w:rsidR="00446B19" w:rsidRDefault="00446B19" w:rsidP="000135FB">
      <w:pPr>
        <w:spacing w:after="0" w:line="240" w:lineRule="auto"/>
      </w:pPr>
      <w:r>
        <w:separator/>
      </w:r>
    </w:p>
  </w:endnote>
  <w:endnote w:type="continuationSeparator" w:id="0">
    <w:p w14:paraId="02715A55" w14:textId="77777777" w:rsidR="00446B19" w:rsidRDefault="00446B19" w:rsidP="0001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3CA39" w14:textId="77777777" w:rsidR="00446B19" w:rsidRDefault="00446B19" w:rsidP="000135FB">
      <w:pPr>
        <w:spacing w:after="0" w:line="240" w:lineRule="auto"/>
      </w:pPr>
      <w:r>
        <w:separator/>
      </w:r>
    </w:p>
  </w:footnote>
  <w:footnote w:type="continuationSeparator" w:id="0">
    <w:p w14:paraId="6A3E31BC" w14:textId="77777777" w:rsidR="00446B19" w:rsidRDefault="00446B19" w:rsidP="00013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5730973"/>
      <w:docPartObj>
        <w:docPartGallery w:val="Page Numbers (Top of Page)"/>
        <w:docPartUnique/>
      </w:docPartObj>
    </w:sdtPr>
    <w:sdtEndPr>
      <w:rPr>
        <w:noProof/>
      </w:rPr>
    </w:sdtEndPr>
    <w:sdtContent>
      <w:p w14:paraId="1619A36B" w14:textId="77777777" w:rsidR="0053204B" w:rsidRDefault="0053204B">
        <w:pPr>
          <w:pStyle w:val="a5"/>
          <w:jc w:val="right"/>
        </w:pPr>
        <w:r>
          <w:fldChar w:fldCharType="begin"/>
        </w:r>
        <w:r>
          <w:instrText xml:space="preserve"> PAGE   \* MERGEFORMAT </w:instrText>
        </w:r>
        <w:r>
          <w:fldChar w:fldCharType="separate"/>
        </w:r>
        <w:r w:rsidR="00D15546">
          <w:rPr>
            <w:noProof/>
          </w:rPr>
          <w:t>2</w:t>
        </w:r>
        <w:r>
          <w:rPr>
            <w:noProof/>
          </w:rPr>
          <w:fldChar w:fldCharType="end"/>
        </w:r>
      </w:p>
    </w:sdtContent>
  </w:sdt>
  <w:p w14:paraId="709EFE95" w14:textId="77777777" w:rsidR="0053204B" w:rsidRDefault="0053204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yan Perumpail">
    <w15:presenceInfo w15:providerId="Windows Live" w15:userId="2ffbbe7fcafc94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s29zddnwafaxep2we5092cffx9ed20fvdd&quot;&gt;My EndNote Library&lt;record-ids&gt;&lt;item&gt;62&lt;/item&gt;&lt;item&gt;74&lt;/item&gt;&lt;item&gt;160&lt;/item&gt;&lt;item&gt;161&lt;/item&gt;&lt;item&gt;164&lt;/item&gt;&lt;item&gt;166&lt;/item&gt;&lt;item&gt;167&lt;/item&gt;&lt;item&gt;169&lt;/item&gt;&lt;item&gt;170&lt;/item&gt;&lt;item&gt;171&lt;/item&gt;&lt;item&gt;173&lt;/item&gt;&lt;item&gt;174&lt;/item&gt;&lt;item&gt;176&lt;/item&gt;&lt;item&gt;177&lt;/item&gt;&lt;item&gt;178&lt;/item&gt;&lt;item&gt;179&lt;/item&gt;&lt;item&gt;180&lt;/item&gt;&lt;item&gt;183&lt;/item&gt;&lt;item&gt;185&lt;/item&gt;&lt;item&gt;187&lt;/item&gt;&lt;item&gt;188&lt;/item&gt;&lt;item&gt;190&lt;/item&gt;&lt;item&gt;191&lt;/item&gt;&lt;item&gt;192&lt;/item&gt;&lt;item&gt;193&lt;/item&gt;&lt;item&gt;194&lt;/item&gt;&lt;item&gt;195&lt;/item&gt;&lt;item&gt;196&lt;/item&gt;&lt;item&gt;197&lt;/item&gt;&lt;/record-ids&gt;&lt;/item&gt;&lt;/Libraries&gt;"/>
  </w:docVars>
  <w:rsids>
    <w:rsidRoot w:val="00E67E9E"/>
    <w:rsid w:val="0000344E"/>
    <w:rsid w:val="00007AAD"/>
    <w:rsid w:val="000135FB"/>
    <w:rsid w:val="0002319C"/>
    <w:rsid w:val="000275BC"/>
    <w:rsid w:val="000306EA"/>
    <w:rsid w:val="000333BB"/>
    <w:rsid w:val="000404B8"/>
    <w:rsid w:val="0005022A"/>
    <w:rsid w:val="00051C47"/>
    <w:rsid w:val="0005591B"/>
    <w:rsid w:val="00056851"/>
    <w:rsid w:val="00056EE0"/>
    <w:rsid w:val="00063A5D"/>
    <w:rsid w:val="00064F60"/>
    <w:rsid w:val="00066BB9"/>
    <w:rsid w:val="000670A2"/>
    <w:rsid w:val="00071FDC"/>
    <w:rsid w:val="00075918"/>
    <w:rsid w:val="00085C46"/>
    <w:rsid w:val="00087E55"/>
    <w:rsid w:val="00091310"/>
    <w:rsid w:val="000942B7"/>
    <w:rsid w:val="000A4B41"/>
    <w:rsid w:val="000A5591"/>
    <w:rsid w:val="000C1517"/>
    <w:rsid w:val="000D1A4F"/>
    <w:rsid w:val="000D1B70"/>
    <w:rsid w:val="000D51DC"/>
    <w:rsid w:val="000E3470"/>
    <w:rsid w:val="000E4DA5"/>
    <w:rsid w:val="000E76B1"/>
    <w:rsid w:val="000F1712"/>
    <w:rsid w:val="000F1CB4"/>
    <w:rsid w:val="00106C9E"/>
    <w:rsid w:val="00114A9D"/>
    <w:rsid w:val="00122983"/>
    <w:rsid w:val="00141EA3"/>
    <w:rsid w:val="00150566"/>
    <w:rsid w:val="00150785"/>
    <w:rsid w:val="00154A44"/>
    <w:rsid w:val="00157529"/>
    <w:rsid w:val="001610C4"/>
    <w:rsid w:val="0016261F"/>
    <w:rsid w:val="00164692"/>
    <w:rsid w:val="00166F97"/>
    <w:rsid w:val="00177FE7"/>
    <w:rsid w:val="00183E46"/>
    <w:rsid w:val="001A6AA6"/>
    <w:rsid w:val="001B43F9"/>
    <w:rsid w:val="001B4437"/>
    <w:rsid w:val="001D20EF"/>
    <w:rsid w:val="001E03E1"/>
    <w:rsid w:val="001F2CC7"/>
    <w:rsid w:val="001F5266"/>
    <w:rsid w:val="001F666E"/>
    <w:rsid w:val="00200C28"/>
    <w:rsid w:val="002060F4"/>
    <w:rsid w:val="002205DF"/>
    <w:rsid w:val="002244AF"/>
    <w:rsid w:val="00256749"/>
    <w:rsid w:val="00256D61"/>
    <w:rsid w:val="00271036"/>
    <w:rsid w:val="00272257"/>
    <w:rsid w:val="00272915"/>
    <w:rsid w:val="00290AA9"/>
    <w:rsid w:val="002B0193"/>
    <w:rsid w:val="002C4B5E"/>
    <w:rsid w:val="002D208A"/>
    <w:rsid w:val="00315B2F"/>
    <w:rsid w:val="00347443"/>
    <w:rsid w:val="00351652"/>
    <w:rsid w:val="003628DE"/>
    <w:rsid w:val="00364C32"/>
    <w:rsid w:val="0037082B"/>
    <w:rsid w:val="00371E04"/>
    <w:rsid w:val="00375C0E"/>
    <w:rsid w:val="00377594"/>
    <w:rsid w:val="00383379"/>
    <w:rsid w:val="00386666"/>
    <w:rsid w:val="003C0041"/>
    <w:rsid w:val="003C125D"/>
    <w:rsid w:val="003C221B"/>
    <w:rsid w:val="003C6080"/>
    <w:rsid w:val="003C78AC"/>
    <w:rsid w:val="003E16EF"/>
    <w:rsid w:val="003E29CA"/>
    <w:rsid w:val="00405887"/>
    <w:rsid w:val="00415348"/>
    <w:rsid w:val="00416027"/>
    <w:rsid w:val="00417749"/>
    <w:rsid w:val="00432E8B"/>
    <w:rsid w:val="00446B19"/>
    <w:rsid w:val="0044744D"/>
    <w:rsid w:val="00455B78"/>
    <w:rsid w:val="0046252E"/>
    <w:rsid w:val="00467BB7"/>
    <w:rsid w:val="00474802"/>
    <w:rsid w:val="004834D0"/>
    <w:rsid w:val="00496F48"/>
    <w:rsid w:val="004A34F5"/>
    <w:rsid w:val="004B6B52"/>
    <w:rsid w:val="004C000F"/>
    <w:rsid w:val="004C1C1B"/>
    <w:rsid w:val="004C4148"/>
    <w:rsid w:val="004D1518"/>
    <w:rsid w:val="004D17D4"/>
    <w:rsid w:val="004D767B"/>
    <w:rsid w:val="004E4837"/>
    <w:rsid w:val="00500896"/>
    <w:rsid w:val="00504BE6"/>
    <w:rsid w:val="00504E2A"/>
    <w:rsid w:val="0053204B"/>
    <w:rsid w:val="00534884"/>
    <w:rsid w:val="00537581"/>
    <w:rsid w:val="00544BB6"/>
    <w:rsid w:val="00553D6E"/>
    <w:rsid w:val="00554000"/>
    <w:rsid w:val="00554664"/>
    <w:rsid w:val="0056708B"/>
    <w:rsid w:val="00567886"/>
    <w:rsid w:val="005760D9"/>
    <w:rsid w:val="00582BC3"/>
    <w:rsid w:val="00587FEC"/>
    <w:rsid w:val="00592728"/>
    <w:rsid w:val="005930C9"/>
    <w:rsid w:val="00595890"/>
    <w:rsid w:val="005A201E"/>
    <w:rsid w:val="005B07B4"/>
    <w:rsid w:val="005B19B7"/>
    <w:rsid w:val="005C098E"/>
    <w:rsid w:val="005D1AE1"/>
    <w:rsid w:val="005E584E"/>
    <w:rsid w:val="005E6907"/>
    <w:rsid w:val="005F0370"/>
    <w:rsid w:val="005F2995"/>
    <w:rsid w:val="005F4797"/>
    <w:rsid w:val="006026B1"/>
    <w:rsid w:val="00606C22"/>
    <w:rsid w:val="00611F53"/>
    <w:rsid w:val="00615F62"/>
    <w:rsid w:val="00620122"/>
    <w:rsid w:val="00620D1A"/>
    <w:rsid w:val="006317DC"/>
    <w:rsid w:val="00632191"/>
    <w:rsid w:val="00635922"/>
    <w:rsid w:val="00661394"/>
    <w:rsid w:val="00663782"/>
    <w:rsid w:val="00666522"/>
    <w:rsid w:val="00676A4C"/>
    <w:rsid w:val="006844D9"/>
    <w:rsid w:val="00693287"/>
    <w:rsid w:val="006A367D"/>
    <w:rsid w:val="006A5244"/>
    <w:rsid w:val="006B07B0"/>
    <w:rsid w:val="006C07D5"/>
    <w:rsid w:val="006D3CC6"/>
    <w:rsid w:val="006D5665"/>
    <w:rsid w:val="006E2B59"/>
    <w:rsid w:val="006E66F6"/>
    <w:rsid w:val="007001A2"/>
    <w:rsid w:val="00722E6B"/>
    <w:rsid w:val="00730598"/>
    <w:rsid w:val="00734EB1"/>
    <w:rsid w:val="00761094"/>
    <w:rsid w:val="0078082D"/>
    <w:rsid w:val="00780D09"/>
    <w:rsid w:val="00782194"/>
    <w:rsid w:val="00782A63"/>
    <w:rsid w:val="00792118"/>
    <w:rsid w:val="00793DCD"/>
    <w:rsid w:val="007954E9"/>
    <w:rsid w:val="007A4B14"/>
    <w:rsid w:val="007A4F0B"/>
    <w:rsid w:val="007B52FF"/>
    <w:rsid w:val="007D4794"/>
    <w:rsid w:val="007D6497"/>
    <w:rsid w:val="008160AB"/>
    <w:rsid w:val="00820F12"/>
    <w:rsid w:val="008360F1"/>
    <w:rsid w:val="00840FDE"/>
    <w:rsid w:val="00851264"/>
    <w:rsid w:val="00853E09"/>
    <w:rsid w:val="00861FC8"/>
    <w:rsid w:val="00883CE7"/>
    <w:rsid w:val="008867C5"/>
    <w:rsid w:val="00890A94"/>
    <w:rsid w:val="00897493"/>
    <w:rsid w:val="00897D65"/>
    <w:rsid w:val="008A2A6D"/>
    <w:rsid w:val="008A3E1E"/>
    <w:rsid w:val="008A7199"/>
    <w:rsid w:val="008D2275"/>
    <w:rsid w:val="008E1664"/>
    <w:rsid w:val="008F2FE8"/>
    <w:rsid w:val="00907954"/>
    <w:rsid w:val="00912C5F"/>
    <w:rsid w:val="009171A6"/>
    <w:rsid w:val="00917F27"/>
    <w:rsid w:val="00921946"/>
    <w:rsid w:val="00926D6E"/>
    <w:rsid w:val="0093742F"/>
    <w:rsid w:val="009402C0"/>
    <w:rsid w:val="0094117C"/>
    <w:rsid w:val="00941E36"/>
    <w:rsid w:val="009565C9"/>
    <w:rsid w:val="00964B94"/>
    <w:rsid w:val="0099144C"/>
    <w:rsid w:val="00997E5D"/>
    <w:rsid w:val="009A7172"/>
    <w:rsid w:val="009B2BC3"/>
    <w:rsid w:val="009B7C65"/>
    <w:rsid w:val="009C154E"/>
    <w:rsid w:val="009D42F6"/>
    <w:rsid w:val="009D53D3"/>
    <w:rsid w:val="009D6B65"/>
    <w:rsid w:val="009E5B46"/>
    <w:rsid w:val="00A23DDC"/>
    <w:rsid w:val="00A31B96"/>
    <w:rsid w:val="00A36DC3"/>
    <w:rsid w:val="00A65BFE"/>
    <w:rsid w:val="00A665BA"/>
    <w:rsid w:val="00A806C2"/>
    <w:rsid w:val="00A87480"/>
    <w:rsid w:val="00AA14EF"/>
    <w:rsid w:val="00AA7C52"/>
    <w:rsid w:val="00AB319E"/>
    <w:rsid w:val="00AB6568"/>
    <w:rsid w:val="00AC1B7B"/>
    <w:rsid w:val="00AC1DD9"/>
    <w:rsid w:val="00AC2064"/>
    <w:rsid w:val="00AC5B9D"/>
    <w:rsid w:val="00AC754B"/>
    <w:rsid w:val="00AD2910"/>
    <w:rsid w:val="00AD6074"/>
    <w:rsid w:val="00AE7AB2"/>
    <w:rsid w:val="00AF132F"/>
    <w:rsid w:val="00AF4D29"/>
    <w:rsid w:val="00AF7674"/>
    <w:rsid w:val="00B032A5"/>
    <w:rsid w:val="00B21F21"/>
    <w:rsid w:val="00B435C0"/>
    <w:rsid w:val="00B513F7"/>
    <w:rsid w:val="00B738B7"/>
    <w:rsid w:val="00B80374"/>
    <w:rsid w:val="00B859C8"/>
    <w:rsid w:val="00B91D05"/>
    <w:rsid w:val="00BA0C0E"/>
    <w:rsid w:val="00BB4E54"/>
    <w:rsid w:val="00BB6697"/>
    <w:rsid w:val="00BC2984"/>
    <w:rsid w:val="00BC72A3"/>
    <w:rsid w:val="00BE11E9"/>
    <w:rsid w:val="00BE180B"/>
    <w:rsid w:val="00BF5DCF"/>
    <w:rsid w:val="00C03C0E"/>
    <w:rsid w:val="00C179D3"/>
    <w:rsid w:val="00C22041"/>
    <w:rsid w:val="00C243D3"/>
    <w:rsid w:val="00C3225A"/>
    <w:rsid w:val="00C36D9A"/>
    <w:rsid w:val="00C438E7"/>
    <w:rsid w:val="00C43B0C"/>
    <w:rsid w:val="00C44365"/>
    <w:rsid w:val="00C50FE4"/>
    <w:rsid w:val="00C53864"/>
    <w:rsid w:val="00C64509"/>
    <w:rsid w:val="00C664ED"/>
    <w:rsid w:val="00C66F81"/>
    <w:rsid w:val="00C67E81"/>
    <w:rsid w:val="00C80DEA"/>
    <w:rsid w:val="00CB0D4A"/>
    <w:rsid w:val="00CB473B"/>
    <w:rsid w:val="00CB4CC2"/>
    <w:rsid w:val="00CB7152"/>
    <w:rsid w:val="00CB74C6"/>
    <w:rsid w:val="00CC2C80"/>
    <w:rsid w:val="00CC68DC"/>
    <w:rsid w:val="00CD2B8D"/>
    <w:rsid w:val="00CF24B6"/>
    <w:rsid w:val="00D07F9D"/>
    <w:rsid w:val="00D10535"/>
    <w:rsid w:val="00D140F7"/>
    <w:rsid w:val="00D15546"/>
    <w:rsid w:val="00D2195D"/>
    <w:rsid w:val="00D26A9B"/>
    <w:rsid w:val="00D312FF"/>
    <w:rsid w:val="00D3332F"/>
    <w:rsid w:val="00D36C84"/>
    <w:rsid w:val="00D43C0F"/>
    <w:rsid w:val="00D52E0A"/>
    <w:rsid w:val="00D53315"/>
    <w:rsid w:val="00D67B25"/>
    <w:rsid w:val="00D755E4"/>
    <w:rsid w:val="00D7695A"/>
    <w:rsid w:val="00D83E37"/>
    <w:rsid w:val="00D862F8"/>
    <w:rsid w:val="00D97BEE"/>
    <w:rsid w:val="00DA5D6F"/>
    <w:rsid w:val="00DB4F2E"/>
    <w:rsid w:val="00DB6844"/>
    <w:rsid w:val="00DC07CB"/>
    <w:rsid w:val="00DC3C0F"/>
    <w:rsid w:val="00DC6B54"/>
    <w:rsid w:val="00DD3676"/>
    <w:rsid w:val="00DD3FE4"/>
    <w:rsid w:val="00DE5905"/>
    <w:rsid w:val="00E07C96"/>
    <w:rsid w:val="00E15354"/>
    <w:rsid w:val="00E21589"/>
    <w:rsid w:val="00E23474"/>
    <w:rsid w:val="00E27357"/>
    <w:rsid w:val="00E4316A"/>
    <w:rsid w:val="00E56A95"/>
    <w:rsid w:val="00E60DDF"/>
    <w:rsid w:val="00E67E9E"/>
    <w:rsid w:val="00E854A0"/>
    <w:rsid w:val="00E86F05"/>
    <w:rsid w:val="00E94016"/>
    <w:rsid w:val="00E97D5D"/>
    <w:rsid w:val="00EA406E"/>
    <w:rsid w:val="00EB2CFB"/>
    <w:rsid w:val="00EC1C6D"/>
    <w:rsid w:val="00EC29D2"/>
    <w:rsid w:val="00EC414A"/>
    <w:rsid w:val="00EC7C5A"/>
    <w:rsid w:val="00ED0E11"/>
    <w:rsid w:val="00ED424E"/>
    <w:rsid w:val="00EF38CA"/>
    <w:rsid w:val="00EF4AE3"/>
    <w:rsid w:val="00EF63EB"/>
    <w:rsid w:val="00F11AD5"/>
    <w:rsid w:val="00F23885"/>
    <w:rsid w:val="00F30A94"/>
    <w:rsid w:val="00F45EE6"/>
    <w:rsid w:val="00F5060C"/>
    <w:rsid w:val="00F67DE6"/>
    <w:rsid w:val="00F67E7A"/>
    <w:rsid w:val="00F73025"/>
    <w:rsid w:val="00F743DF"/>
    <w:rsid w:val="00F83DFC"/>
    <w:rsid w:val="00FA152B"/>
    <w:rsid w:val="00FC5BD3"/>
    <w:rsid w:val="00FD60F3"/>
    <w:rsid w:val="00FD78D5"/>
    <w:rsid w:val="00FE6514"/>
    <w:rsid w:val="00FF5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76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0E76B1"/>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5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AE7AB2"/>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AE7AB2"/>
    <w:rPr>
      <w:rFonts w:ascii="Tahoma" w:hAnsi="Tahoma" w:cs="Tahoma"/>
      <w:sz w:val="16"/>
      <w:szCs w:val="16"/>
    </w:rPr>
  </w:style>
  <w:style w:type="paragraph" w:styleId="a5">
    <w:name w:val="header"/>
    <w:basedOn w:val="a"/>
    <w:link w:val="Char0"/>
    <w:uiPriority w:val="99"/>
    <w:unhideWhenUsed/>
    <w:rsid w:val="000135FB"/>
    <w:pPr>
      <w:tabs>
        <w:tab w:val="center" w:pos="4680"/>
        <w:tab w:val="right" w:pos="9360"/>
      </w:tabs>
      <w:spacing w:after="0" w:line="240" w:lineRule="auto"/>
    </w:pPr>
  </w:style>
  <w:style w:type="character" w:customStyle="1" w:styleId="Char0">
    <w:name w:val="页眉 Char"/>
    <w:basedOn w:val="a0"/>
    <w:link w:val="a5"/>
    <w:uiPriority w:val="99"/>
    <w:rsid w:val="000135FB"/>
  </w:style>
  <w:style w:type="paragraph" w:styleId="a6">
    <w:name w:val="footer"/>
    <w:basedOn w:val="a"/>
    <w:link w:val="Char1"/>
    <w:uiPriority w:val="99"/>
    <w:unhideWhenUsed/>
    <w:rsid w:val="000135FB"/>
    <w:pPr>
      <w:tabs>
        <w:tab w:val="center" w:pos="4680"/>
        <w:tab w:val="right" w:pos="9360"/>
      </w:tabs>
      <w:spacing w:after="0" w:line="240" w:lineRule="auto"/>
    </w:pPr>
  </w:style>
  <w:style w:type="character" w:customStyle="1" w:styleId="Char1">
    <w:name w:val="页脚 Char"/>
    <w:basedOn w:val="a0"/>
    <w:link w:val="a6"/>
    <w:uiPriority w:val="99"/>
    <w:rsid w:val="000135FB"/>
  </w:style>
  <w:style w:type="character" w:customStyle="1" w:styleId="1Char">
    <w:name w:val="标题 1 Char"/>
    <w:basedOn w:val="a0"/>
    <w:link w:val="1"/>
    <w:uiPriority w:val="9"/>
    <w:rsid w:val="000E76B1"/>
    <w:rPr>
      <w:rFonts w:ascii="Times New Roman" w:eastAsia="Times New Roman" w:hAnsi="Times New Roman" w:cs="Times New Roman"/>
      <w:b/>
      <w:bCs/>
      <w:color w:val="000000"/>
      <w:kern w:val="36"/>
      <w:sz w:val="33"/>
      <w:szCs w:val="33"/>
    </w:rPr>
  </w:style>
  <w:style w:type="character" w:customStyle="1" w:styleId="highlight2">
    <w:name w:val="highlight2"/>
    <w:basedOn w:val="a0"/>
    <w:rsid w:val="000E76B1"/>
  </w:style>
  <w:style w:type="paragraph" w:customStyle="1" w:styleId="EndNoteBibliographyTitle">
    <w:name w:val="EndNote Bibliography Title"/>
    <w:basedOn w:val="a"/>
    <w:link w:val="EndNoteBibliographyTitleChar"/>
    <w:rsid w:val="00F30A94"/>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F30A94"/>
    <w:rPr>
      <w:rFonts w:ascii="Calibri" w:hAnsi="Calibri"/>
      <w:noProof/>
    </w:rPr>
  </w:style>
  <w:style w:type="paragraph" w:customStyle="1" w:styleId="EndNoteBibliography">
    <w:name w:val="EndNote Bibliography"/>
    <w:basedOn w:val="a"/>
    <w:link w:val="EndNoteBibliographyChar"/>
    <w:qFormat/>
    <w:rsid w:val="00F30A94"/>
    <w:pPr>
      <w:spacing w:line="240" w:lineRule="auto"/>
    </w:pPr>
    <w:rPr>
      <w:rFonts w:ascii="Calibri" w:hAnsi="Calibri"/>
      <w:noProof/>
    </w:rPr>
  </w:style>
  <w:style w:type="character" w:customStyle="1" w:styleId="EndNoteBibliographyChar">
    <w:name w:val="EndNote Bibliography Char"/>
    <w:basedOn w:val="a0"/>
    <w:link w:val="EndNoteBibliography"/>
    <w:qFormat/>
    <w:rsid w:val="00F30A94"/>
    <w:rPr>
      <w:rFonts w:ascii="Calibri" w:hAnsi="Calibri"/>
      <w:noProof/>
    </w:rPr>
  </w:style>
  <w:style w:type="character" w:styleId="a7">
    <w:name w:val="Hyperlink"/>
    <w:basedOn w:val="a0"/>
    <w:uiPriority w:val="99"/>
    <w:unhideWhenUsed/>
    <w:rsid w:val="005760D9"/>
    <w:rPr>
      <w:color w:val="0000FF" w:themeColor="hyperlink"/>
      <w:u w:val="single"/>
    </w:rPr>
  </w:style>
  <w:style w:type="character" w:styleId="a8">
    <w:name w:val="annotation reference"/>
    <w:basedOn w:val="a0"/>
    <w:uiPriority w:val="99"/>
    <w:semiHidden/>
    <w:unhideWhenUsed/>
    <w:rsid w:val="00C36D9A"/>
    <w:rPr>
      <w:sz w:val="21"/>
      <w:szCs w:val="21"/>
    </w:rPr>
  </w:style>
  <w:style w:type="paragraph" w:styleId="a9">
    <w:name w:val="annotation text"/>
    <w:basedOn w:val="a"/>
    <w:link w:val="Char2"/>
    <w:uiPriority w:val="99"/>
    <w:unhideWhenUsed/>
    <w:rsid w:val="00C36D9A"/>
  </w:style>
  <w:style w:type="character" w:customStyle="1" w:styleId="Char2">
    <w:name w:val="批注文字 Char"/>
    <w:basedOn w:val="a0"/>
    <w:link w:val="a9"/>
    <w:uiPriority w:val="99"/>
    <w:rsid w:val="00C36D9A"/>
  </w:style>
  <w:style w:type="paragraph" w:styleId="aa">
    <w:name w:val="annotation subject"/>
    <w:basedOn w:val="a9"/>
    <w:next w:val="a9"/>
    <w:link w:val="Char3"/>
    <w:uiPriority w:val="99"/>
    <w:semiHidden/>
    <w:unhideWhenUsed/>
    <w:rsid w:val="00C36D9A"/>
    <w:rPr>
      <w:b/>
      <w:bCs/>
    </w:rPr>
  </w:style>
  <w:style w:type="character" w:customStyle="1" w:styleId="Char3">
    <w:name w:val="批注主题 Char"/>
    <w:basedOn w:val="Char2"/>
    <w:link w:val="aa"/>
    <w:uiPriority w:val="99"/>
    <w:semiHidden/>
    <w:rsid w:val="00C36D9A"/>
    <w:rPr>
      <w:b/>
      <w:bCs/>
    </w:rPr>
  </w:style>
  <w:style w:type="paragraph" w:styleId="ab">
    <w:name w:val="List Paragraph"/>
    <w:basedOn w:val="a"/>
    <w:uiPriority w:val="34"/>
    <w:qFormat/>
    <w:rsid w:val="00C36D9A"/>
    <w:pPr>
      <w:widowControl w:val="0"/>
      <w:spacing w:after="0" w:line="240" w:lineRule="auto"/>
      <w:ind w:firstLineChars="200" w:firstLine="420"/>
      <w:jc w:val="both"/>
    </w:pPr>
    <w:rPr>
      <w:kern w:val="2"/>
      <w:sz w:val="21"/>
      <w:lang w:eastAsia="zh-CN"/>
    </w:rPr>
  </w:style>
  <w:style w:type="paragraph" w:styleId="ac">
    <w:name w:val="Normal (Web)"/>
    <w:basedOn w:val="a"/>
    <w:uiPriority w:val="99"/>
    <w:semiHidden/>
    <w:unhideWhenUsed/>
    <w:rsid w:val="00997E5D"/>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ad">
    <w:name w:val="Strong"/>
    <w:basedOn w:val="a0"/>
    <w:uiPriority w:val="22"/>
    <w:qFormat/>
    <w:rsid w:val="00997E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0E76B1"/>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752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AE7AB2"/>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AE7AB2"/>
    <w:rPr>
      <w:rFonts w:ascii="Tahoma" w:hAnsi="Tahoma" w:cs="Tahoma"/>
      <w:sz w:val="16"/>
      <w:szCs w:val="16"/>
    </w:rPr>
  </w:style>
  <w:style w:type="paragraph" w:styleId="a5">
    <w:name w:val="header"/>
    <w:basedOn w:val="a"/>
    <w:link w:val="Char0"/>
    <w:uiPriority w:val="99"/>
    <w:unhideWhenUsed/>
    <w:rsid w:val="000135FB"/>
    <w:pPr>
      <w:tabs>
        <w:tab w:val="center" w:pos="4680"/>
        <w:tab w:val="right" w:pos="9360"/>
      </w:tabs>
      <w:spacing w:after="0" w:line="240" w:lineRule="auto"/>
    </w:pPr>
  </w:style>
  <w:style w:type="character" w:customStyle="1" w:styleId="Char0">
    <w:name w:val="页眉 Char"/>
    <w:basedOn w:val="a0"/>
    <w:link w:val="a5"/>
    <w:uiPriority w:val="99"/>
    <w:rsid w:val="000135FB"/>
  </w:style>
  <w:style w:type="paragraph" w:styleId="a6">
    <w:name w:val="footer"/>
    <w:basedOn w:val="a"/>
    <w:link w:val="Char1"/>
    <w:uiPriority w:val="99"/>
    <w:unhideWhenUsed/>
    <w:rsid w:val="000135FB"/>
    <w:pPr>
      <w:tabs>
        <w:tab w:val="center" w:pos="4680"/>
        <w:tab w:val="right" w:pos="9360"/>
      </w:tabs>
      <w:spacing w:after="0" w:line="240" w:lineRule="auto"/>
    </w:pPr>
  </w:style>
  <w:style w:type="character" w:customStyle="1" w:styleId="Char1">
    <w:name w:val="页脚 Char"/>
    <w:basedOn w:val="a0"/>
    <w:link w:val="a6"/>
    <w:uiPriority w:val="99"/>
    <w:rsid w:val="000135FB"/>
  </w:style>
  <w:style w:type="character" w:customStyle="1" w:styleId="1Char">
    <w:name w:val="标题 1 Char"/>
    <w:basedOn w:val="a0"/>
    <w:link w:val="1"/>
    <w:uiPriority w:val="9"/>
    <w:rsid w:val="000E76B1"/>
    <w:rPr>
      <w:rFonts w:ascii="Times New Roman" w:eastAsia="Times New Roman" w:hAnsi="Times New Roman" w:cs="Times New Roman"/>
      <w:b/>
      <w:bCs/>
      <w:color w:val="000000"/>
      <w:kern w:val="36"/>
      <w:sz w:val="33"/>
      <w:szCs w:val="33"/>
    </w:rPr>
  </w:style>
  <w:style w:type="character" w:customStyle="1" w:styleId="highlight2">
    <w:name w:val="highlight2"/>
    <w:basedOn w:val="a0"/>
    <w:rsid w:val="000E76B1"/>
  </w:style>
  <w:style w:type="paragraph" w:customStyle="1" w:styleId="EndNoteBibliographyTitle">
    <w:name w:val="EndNote Bibliography Title"/>
    <w:basedOn w:val="a"/>
    <w:link w:val="EndNoteBibliographyTitleChar"/>
    <w:rsid w:val="00F30A94"/>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F30A94"/>
    <w:rPr>
      <w:rFonts w:ascii="Calibri" w:hAnsi="Calibri"/>
      <w:noProof/>
    </w:rPr>
  </w:style>
  <w:style w:type="paragraph" w:customStyle="1" w:styleId="EndNoteBibliography">
    <w:name w:val="EndNote Bibliography"/>
    <w:basedOn w:val="a"/>
    <w:link w:val="EndNoteBibliographyChar"/>
    <w:qFormat/>
    <w:rsid w:val="00F30A94"/>
    <w:pPr>
      <w:spacing w:line="240" w:lineRule="auto"/>
    </w:pPr>
    <w:rPr>
      <w:rFonts w:ascii="Calibri" w:hAnsi="Calibri"/>
      <w:noProof/>
    </w:rPr>
  </w:style>
  <w:style w:type="character" w:customStyle="1" w:styleId="EndNoteBibliographyChar">
    <w:name w:val="EndNote Bibliography Char"/>
    <w:basedOn w:val="a0"/>
    <w:link w:val="EndNoteBibliography"/>
    <w:qFormat/>
    <w:rsid w:val="00F30A94"/>
    <w:rPr>
      <w:rFonts w:ascii="Calibri" w:hAnsi="Calibri"/>
      <w:noProof/>
    </w:rPr>
  </w:style>
  <w:style w:type="character" w:styleId="a7">
    <w:name w:val="Hyperlink"/>
    <w:basedOn w:val="a0"/>
    <w:uiPriority w:val="99"/>
    <w:unhideWhenUsed/>
    <w:rsid w:val="005760D9"/>
    <w:rPr>
      <w:color w:val="0000FF" w:themeColor="hyperlink"/>
      <w:u w:val="single"/>
    </w:rPr>
  </w:style>
  <w:style w:type="character" w:styleId="a8">
    <w:name w:val="annotation reference"/>
    <w:basedOn w:val="a0"/>
    <w:uiPriority w:val="99"/>
    <w:semiHidden/>
    <w:unhideWhenUsed/>
    <w:rsid w:val="00C36D9A"/>
    <w:rPr>
      <w:sz w:val="21"/>
      <w:szCs w:val="21"/>
    </w:rPr>
  </w:style>
  <w:style w:type="paragraph" w:styleId="a9">
    <w:name w:val="annotation text"/>
    <w:basedOn w:val="a"/>
    <w:link w:val="Char2"/>
    <w:uiPriority w:val="99"/>
    <w:unhideWhenUsed/>
    <w:rsid w:val="00C36D9A"/>
  </w:style>
  <w:style w:type="character" w:customStyle="1" w:styleId="Char2">
    <w:name w:val="批注文字 Char"/>
    <w:basedOn w:val="a0"/>
    <w:link w:val="a9"/>
    <w:uiPriority w:val="99"/>
    <w:rsid w:val="00C36D9A"/>
  </w:style>
  <w:style w:type="paragraph" w:styleId="aa">
    <w:name w:val="annotation subject"/>
    <w:basedOn w:val="a9"/>
    <w:next w:val="a9"/>
    <w:link w:val="Char3"/>
    <w:uiPriority w:val="99"/>
    <w:semiHidden/>
    <w:unhideWhenUsed/>
    <w:rsid w:val="00C36D9A"/>
    <w:rPr>
      <w:b/>
      <w:bCs/>
    </w:rPr>
  </w:style>
  <w:style w:type="character" w:customStyle="1" w:styleId="Char3">
    <w:name w:val="批注主题 Char"/>
    <w:basedOn w:val="Char2"/>
    <w:link w:val="aa"/>
    <w:uiPriority w:val="99"/>
    <w:semiHidden/>
    <w:rsid w:val="00C36D9A"/>
    <w:rPr>
      <w:b/>
      <w:bCs/>
    </w:rPr>
  </w:style>
  <w:style w:type="paragraph" w:styleId="ab">
    <w:name w:val="List Paragraph"/>
    <w:basedOn w:val="a"/>
    <w:uiPriority w:val="34"/>
    <w:qFormat/>
    <w:rsid w:val="00C36D9A"/>
    <w:pPr>
      <w:widowControl w:val="0"/>
      <w:spacing w:after="0" w:line="240" w:lineRule="auto"/>
      <w:ind w:firstLineChars="200" w:firstLine="420"/>
      <w:jc w:val="both"/>
    </w:pPr>
    <w:rPr>
      <w:kern w:val="2"/>
      <w:sz w:val="21"/>
      <w:lang w:eastAsia="zh-CN"/>
    </w:rPr>
  </w:style>
  <w:style w:type="paragraph" w:styleId="ac">
    <w:name w:val="Normal (Web)"/>
    <w:basedOn w:val="a"/>
    <w:uiPriority w:val="99"/>
    <w:semiHidden/>
    <w:unhideWhenUsed/>
    <w:rsid w:val="00997E5D"/>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styleId="ad">
    <w:name w:val="Strong"/>
    <w:basedOn w:val="a0"/>
    <w:uiPriority w:val="22"/>
    <w:qFormat/>
    <w:rsid w:val="00997E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9105">
      <w:bodyDiv w:val="1"/>
      <w:marLeft w:val="0"/>
      <w:marRight w:val="0"/>
      <w:marTop w:val="0"/>
      <w:marBottom w:val="0"/>
      <w:divBdr>
        <w:top w:val="none" w:sz="0" w:space="0" w:color="auto"/>
        <w:left w:val="none" w:sz="0" w:space="0" w:color="auto"/>
        <w:bottom w:val="none" w:sz="0" w:space="0" w:color="auto"/>
        <w:right w:val="none" w:sz="0" w:space="0" w:color="auto"/>
      </w:divBdr>
    </w:div>
    <w:div w:id="91440970">
      <w:bodyDiv w:val="1"/>
      <w:marLeft w:val="0"/>
      <w:marRight w:val="0"/>
      <w:marTop w:val="0"/>
      <w:marBottom w:val="0"/>
      <w:divBdr>
        <w:top w:val="none" w:sz="0" w:space="0" w:color="auto"/>
        <w:left w:val="none" w:sz="0" w:space="0" w:color="auto"/>
        <w:bottom w:val="none" w:sz="0" w:space="0" w:color="auto"/>
        <w:right w:val="none" w:sz="0" w:space="0" w:color="auto"/>
      </w:divBdr>
    </w:div>
    <w:div w:id="94250747">
      <w:bodyDiv w:val="1"/>
      <w:marLeft w:val="0"/>
      <w:marRight w:val="0"/>
      <w:marTop w:val="0"/>
      <w:marBottom w:val="0"/>
      <w:divBdr>
        <w:top w:val="none" w:sz="0" w:space="0" w:color="auto"/>
        <w:left w:val="none" w:sz="0" w:space="0" w:color="auto"/>
        <w:bottom w:val="none" w:sz="0" w:space="0" w:color="auto"/>
        <w:right w:val="none" w:sz="0" w:space="0" w:color="auto"/>
      </w:divBdr>
    </w:div>
    <w:div w:id="107554917">
      <w:bodyDiv w:val="1"/>
      <w:marLeft w:val="0"/>
      <w:marRight w:val="0"/>
      <w:marTop w:val="0"/>
      <w:marBottom w:val="0"/>
      <w:divBdr>
        <w:top w:val="none" w:sz="0" w:space="0" w:color="auto"/>
        <w:left w:val="none" w:sz="0" w:space="0" w:color="auto"/>
        <w:bottom w:val="none" w:sz="0" w:space="0" w:color="auto"/>
        <w:right w:val="none" w:sz="0" w:space="0" w:color="auto"/>
      </w:divBdr>
    </w:div>
    <w:div w:id="561869875">
      <w:bodyDiv w:val="1"/>
      <w:marLeft w:val="0"/>
      <w:marRight w:val="0"/>
      <w:marTop w:val="0"/>
      <w:marBottom w:val="0"/>
      <w:divBdr>
        <w:top w:val="none" w:sz="0" w:space="0" w:color="auto"/>
        <w:left w:val="none" w:sz="0" w:space="0" w:color="auto"/>
        <w:bottom w:val="none" w:sz="0" w:space="0" w:color="auto"/>
        <w:right w:val="none" w:sz="0" w:space="0" w:color="auto"/>
      </w:divBdr>
      <w:divsChild>
        <w:div w:id="1815752481">
          <w:marLeft w:val="0"/>
          <w:marRight w:val="0"/>
          <w:marTop w:val="0"/>
          <w:marBottom w:val="0"/>
          <w:divBdr>
            <w:top w:val="none" w:sz="0" w:space="0" w:color="auto"/>
            <w:left w:val="none" w:sz="0" w:space="0" w:color="auto"/>
            <w:bottom w:val="none" w:sz="0" w:space="0" w:color="auto"/>
            <w:right w:val="none" w:sz="0" w:space="0" w:color="auto"/>
          </w:divBdr>
        </w:div>
        <w:div w:id="631598874">
          <w:marLeft w:val="0"/>
          <w:marRight w:val="0"/>
          <w:marTop w:val="0"/>
          <w:marBottom w:val="0"/>
          <w:divBdr>
            <w:top w:val="none" w:sz="0" w:space="0" w:color="auto"/>
            <w:left w:val="none" w:sz="0" w:space="0" w:color="auto"/>
            <w:bottom w:val="none" w:sz="0" w:space="0" w:color="auto"/>
            <w:right w:val="none" w:sz="0" w:space="0" w:color="auto"/>
          </w:divBdr>
        </w:div>
        <w:div w:id="1375078701">
          <w:marLeft w:val="0"/>
          <w:marRight w:val="0"/>
          <w:marTop w:val="0"/>
          <w:marBottom w:val="0"/>
          <w:divBdr>
            <w:top w:val="none" w:sz="0" w:space="0" w:color="auto"/>
            <w:left w:val="none" w:sz="0" w:space="0" w:color="auto"/>
            <w:bottom w:val="none" w:sz="0" w:space="0" w:color="auto"/>
            <w:right w:val="none" w:sz="0" w:space="0" w:color="auto"/>
          </w:divBdr>
        </w:div>
        <w:div w:id="555361048">
          <w:marLeft w:val="0"/>
          <w:marRight w:val="0"/>
          <w:marTop w:val="0"/>
          <w:marBottom w:val="0"/>
          <w:divBdr>
            <w:top w:val="none" w:sz="0" w:space="0" w:color="auto"/>
            <w:left w:val="none" w:sz="0" w:space="0" w:color="auto"/>
            <w:bottom w:val="none" w:sz="0" w:space="0" w:color="auto"/>
            <w:right w:val="none" w:sz="0" w:space="0" w:color="auto"/>
          </w:divBdr>
        </w:div>
        <w:div w:id="1410033852">
          <w:marLeft w:val="0"/>
          <w:marRight w:val="0"/>
          <w:marTop w:val="0"/>
          <w:marBottom w:val="0"/>
          <w:divBdr>
            <w:top w:val="none" w:sz="0" w:space="0" w:color="auto"/>
            <w:left w:val="none" w:sz="0" w:space="0" w:color="auto"/>
            <w:bottom w:val="none" w:sz="0" w:space="0" w:color="auto"/>
            <w:right w:val="none" w:sz="0" w:space="0" w:color="auto"/>
          </w:divBdr>
        </w:div>
      </w:divsChild>
    </w:div>
    <w:div w:id="824319569">
      <w:bodyDiv w:val="1"/>
      <w:marLeft w:val="0"/>
      <w:marRight w:val="0"/>
      <w:marTop w:val="0"/>
      <w:marBottom w:val="0"/>
      <w:divBdr>
        <w:top w:val="none" w:sz="0" w:space="0" w:color="auto"/>
        <w:left w:val="none" w:sz="0" w:space="0" w:color="auto"/>
        <w:bottom w:val="none" w:sz="0" w:space="0" w:color="auto"/>
        <w:right w:val="none" w:sz="0" w:space="0" w:color="auto"/>
      </w:divBdr>
      <w:divsChild>
        <w:div w:id="1032536457">
          <w:marLeft w:val="259"/>
          <w:marRight w:val="0"/>
          <w:marTop w:val="0"/>
          <w:marBottom w:val="0"/>
          <w:divBdr>
            <w:top w:val="none" w:sz="0" w:space="0" w:color="auto"/>
            <w:left w:val="none" w:sz="0" w:space="0" w:color="auto"/>
            <w:bottom w:val="none" w:sz="0" w:space="0" w:color="auto"/>
            <w:right w:val="none" w:sz="0" w:space="0" w:color="auto"/>
          </w:divBdr>
        </w:div>
      </w:divsChild>
    </w:div>
    <w:div w:id="943803079">
      <w:bodyDiv w:val="1"/>
      <w:marLeft w:val="0"/>
      <w:marRight w:val="0"/>
      <w:marTop w:val="0"/>
      <w:marBottom w:val="0"/>
      <w:divBdr>
        <w:top w:val="none" w:sz="0" w:space="0" w:color="auto"/>
        <w:left w:val="none" w:sz="0" w:space="0" w:color="auto"/>
        <w:bottom w:val="none" w:sz="0" w:space="0" w:color="auto"/>
        <w:right w:val="none" w:sz="0" w:space="0" w:color="auto"/>
      </w:divBdr>
    </w:div>
    <w:div w:id="1157454844">
      <w:bodyDiv w:val="1"/>
      <w:marLeft w:val="0"/>
      <w:marRight w:val="0"/>
      <w:marTop w:val="0"/>
      <w:marBottom w:val="0"/>
      <w:divBdr>
        <w:top w:val="none" w:sz="0" w:space="0" w:color="auto"/>
        <w:left w:val="none" w:sz="0" w:space="0" w:color="auto"/>
        <w:bottom w:val="none" w:sz="0" w:space="0" w:color="auto"/>
        <w:right w:val="none" w:sz="0" w:space="0" w:color="auto"/>
      </w:divBdr>
    </w:div>
    <w:div w:id="1216232595">
      <w:bodyDiv w:val="1"/>
      <w:marLeft w:val="0"/>
      <w:marRight w:val="0"/>
      <w:marTop w:val="0"/>
      <w:marBottom w:val="0"/>
      <w:divBdr>
        <w:top w:val="none" w:sz="0" w:space="0" w:color="auto"/>
        <w:left w:val="none" w:sz="0" w:space="0" w:color="auto"/>
        <w:bottom w:val="none" w:sz="0" w:space="0" w:color="auto"/>
        <w:right w:val="none" w:sz="0" w:space="0" w:color="auto"/>
      </w:divBdr>
    </w:div>
    <w:div w:id="1255282288">
      <w:bodyDiv w:val="1"/>
      <w:marLeft w:val="0"/>
      <w:marRight w:val="0"/>
      <w:marTop w:val="0"/>
      <w:marBottom w:val="0"/>
      <w:divBdr>
        <w:top w:val="none" w:sz="0" w:space="0" w:color="auto"/>
        <w:left w:val="none" w:sz="0" w:space="0" w:color="auto"/>
        <w:bottom w:val="none" w:sz="0" w:space="0" w:color="auto"/>
        <w:right w:val="none" w:sz="0" w:space="0" w:color="auto"/>
      </w:divBdr>
      <w:divsChild>
        <w:div w:id="322124666">
          <w:marLeft w:val="0"/>
          <w:marRight w:val="0"/>
          <w:marTop w:val="0"/>
          <w:marBottom w:val="0"/>
          <w:divBdr>
            <w:top w:val="none" w:sz="0" w:space="0" w:color="auto"/>
            <w:left w:val="none" w:sz="0" w:space="0" w:color="auto"/>
            <w:bottom w:val="none" w:sz="0" w:space="0" w:color="auto"/>
            <w:right w:val="none" w:sz="0" w:space="0" w:color="auto"/>
          </w:divBdr>
          <w:divsChild>
            <w:div w:id="1672760540">
              <w:marLeft w:val="0"/>
              <w:marRight w:val="0"/>
              <w:marTop w:val="0"/>
              <w:marBottom w:val="0"/>
              <w:divBdr>
                <w:top w:val="none" w:sz="0" w:space="0" w:color="auto"/>
                <w:left w:val="none" w:sz="0" w:space="0" w:color="auto"/>
                <w:bottom w:val="none" w:sz="0" w:space="0" w:color="auto"/>
                <w:right w:val="none" w:sz="0" w:space="0" w:color="auto"/>
              </w:divBdr>
            </w:div>
            <w:div w:id="875579605">
              <w:marLeft w:val="0"/>
              <w:marRight w:val="0"/>
              <w:marTop w:val="0"/>
              <w:marBottom w:val="0"/>
              <w:divBdr>
                <w:top w:val="none" w:sz="0" w:space="0" w:color="auto"/>
                <w:left w:val="none" w:sz="0" w:space="0" w:color="auto"/>
                <w:bottom w:val="none" w:sz="0" w:space="0" w:color="auto"/>
                <w:right w:val="none" w:sz="0" w:space="0" w:color="auto"/>
              </w:divBdr>
            </w:div>
            <w:div w:id="1061364569">
              <w:marLeft w:val="0"/>
              <w:marRight w:val="0"/>
              <w:marTop w:val="0"/>
              <w:marBottom w:val="0"/>
              <w:divBdr>
                <w:top w:val="none" w:sz="0" w:space="0" w:color="auto"/>
                <w:left w:val="none" w:sz="0" w:space="0" w:color="auto"/>
                <w:bottom w:val="none" w:sz="0" w:space="0" w:color="auto"/>
                <w:right w:val="none" w:sz="0" w:space="0" w:color="auto"/>
              </w:divBdr>
            </w:div>
            <w:div w:id="652562618">
              <w:marLeft w:val="0"/>
              <w:marRight w:val="0"/>
              <w:marTop w:val="0"/>
              <w:marBottom w:val="0"/>
              <w:divBdr>
                <w:top w:val="none" w:sz="0" w:space="0" w:color="auto"/>
                <w:left w:val="none" w:sz="0" w:space="0" w:color="auto"/>
                <w:bottom w:val="none" w:sz="0" w:space="0" w:color="auto"/>
                <w:right w:val="none" w:sz="0" w:space="0" w:color="auto"/>
              </w:divBdr>
            </w:div>
            <w:div w:id="69086630">
              <w:marLeft w:val="0"/>
              <w:marRight w:val="0"/>
              <w:marTop w:val="0"/>
              <w:marBottom w:val="0"/>
              <w:divBdr>
                <w:top w:val="none" w:sz="0" w:space="0" w:color="auto"/>
                <w:left w:val="none" w:sz="0" w:space="0" w:color="auto"/>
                <w:bottom w:val="none" w:sz="0" w:space="0" w:color="auto"/>
                <w:right w:val="none" w:sz="0" w:space="0" w:color="auto"/>
              </w:divBdr>
            </w:div>
            <w:div w:id="1636521343">
              <w:marLeft w:val="0"/>
              <w:marRight w:val="0"/>
              <w:marTop w:val="0"/>
              <w:marBottom w:val="0"/>
              <w:divBdr>
                <w:top w:val="none" w:sz="0" w:space="0" w:color="auto"/>
                <w:left w:val="none" w:sz="0" w:space="0" w:color="auto"/>
                <w:bottom w:val="none" w:sz="0" w:space="0" w:color="auto"/>
                <w:right w:val="none" w:sz="0" w:space="0" w:color="auto"/>
              </w:divBdr>
            </w:div>
            <w:div w:id="28648916">
              <w:marLeft w:val="0"/>
              <w:marRight w:val="0"/>
              <w:marTop w:val="0"/>
              <w:marBottom w:val="0"/>
              <w:divBdr>
                <w:top w:val="none" w:sz="0" w:space="0" w:color="auto"/>
                <w:left w:val="none" w:sz="0" w:space="0" w:color="auto"/>
                <w:bottom w:val="none" w:sz="0" w:space="0" w:color="auto"/>
                <w:right w:val="none" w:sz="0" w:space="0" w:color="auto"/>
              </w:divBdr>
            </w:div>
            <w:div w:id="1272476416">
              <w:marLeft w:val="0"/>
              <w:marRight w:val="0"/>
              <w:marTop w:val="0"/>
              <w:marBottom w:val="0"/>
              <w:divBdr>
                <w:top w:val="none" w:sz="0" w:space="0" w:color="auto"/>
                <w:left w:val="none" w:sz="0" w:space="0" w:color="auto"/>
                <w:bottom w:val="none" w:sz="0" w:space="0" w:color="auto"/>
                <w:right w:val="none" w:sz="0" w:space="0" w:color="auto"/>
              </w:divBdr>
            </w:div>
            <w:div w:id="1871723534">
              <w:marLeft w:val="0"/>
              <w:marRight w:val="0"/>
              <w:marTop w:val="0"/>
              <w:marBottom w:val="0"/>
              <w:divBdr>
                <w:top w:val="none" w:sz="0" w:space="0" w:color="auto"/>
                <w:left w:val="none" w:sz="0" w:space="0" w:color="auto"/>
                <w:bottom w:val="none" w:sz="0" w:space="0" w:color="auto"/>
                <w:right w:val="none" w:sz="0" w:space="0" w:color="auto"/>
              </w:divBdr>
            </w:div>
            <w:div w:id="195166801">
              <w:marLeft w:val="0"/>
              <w:marRight w:val="0"/>
              <w:marTop w:val="0"/>
              <w:marBottom w:val="0"/>
              <w:divBdr>
                <w:top w:val="none" w:sz="0" w:space="0" w:color="auto"/>
                <w:left w:val="none" w:sz="0" w:space="0" w:color="auto"/>
                <w:bottom w:val="none" w:sz="0" w:space="0" w:color="auto"/>
                <w:right w:val="none" w:sz="0" w:space="0" w:color="auto"/>
              </w:divBdr>
            </w:div>
            <w:div w:id="2024627181">
              <w:marLeft w:val="0"/>
              <w:marRight w:val="0"/>
              <w:marTop w:val="0"/>
              <w:marBottom w:val="0"/>
              <w:divBdr>
                <w:top w:val="none" w:sz="0" w:space="0" w:color="auto"/>
                <w:left w:val="none" w:sz="0" w:space="0" w:color="auto"/>
                <w:bottom w:val="none" w:sz="0" w:space="0" w:color="auto"/>
                <w:right w:val="none" w:sz="0" w:space="0" w:color="auto"/>
              </w:divBdr>
            </w:div>
            <w:div w:id="862015635">
              <w:marLeft w:val="0"/>
              <w:marRight w:val="0"/>
              <w:marTop w:val="0"/>
              <w:marBottom w:val="0"/>
              <w:divBdr>
                <w:top w:val="none" w:sz="0" w:space="0" w:color="auto"/>
                <w:left w:val="none" w:sz="0" w:space="0" w:color="auto"/>
                <w:bottom w:val="none" w:sz="0" w:space="0" w:color="auto"/>
                <w:right w:val="none" w:sz="0" w:space="0" w:color="auto"/>
              </w:divBdr>
            </w:div>
            <w:div w:id="1218130369">
              <w:marLeft w:val="0"/>
              <w:marRight w:val="0"/>
              <w:marTop w:val="0"/>
              <w:marBottom w:val="0"/>
              <w:divBdr>
                <w:top w:val="none" w:sz="0" w:space="0" w:color="auto"/>
                <w:left w:val="none" w:sz="0" w:space="0" w:color="auto"/>
                <w:bottom w:val="none" w:sz="0" w:space="0" w:color="auto"/>
                <w:right w:val="none" w:sz="0" w:space="0" w:color="auto"/>
              </w:divBdr>
            </w:div>
            <w:div w:id="1177882870">
              <w:marLeft w:val="0"/>
              <w:marRight w:val="0"/>
              <w:marTop w:val="0"/>
              <w:marBottom w:val="0"/>
              <w:divBdr>
                <w:top w:val="none" w:sz="0" w:space="0" w:color="auto"/>
                <w:left w:val="none" w:sz="0" w:space="0" w:color="auto"/>
                <w:bottom w:val="none" w:sz="0" w:space="0" w:color="auto"/>
                <w:right w:val="none" w:sz="0" w:space="0" w:color="auto"/>
              </w:divBdr>
            </w:div>
            <w:div w:id="1102187455">
              <w:marLeft w:val="0"/>
              <w:marRight w:val="0"/>
              <w:marTop w:val="0"/>
              <w:marBottom w:val="0"/>
              <w:divBdr>
                <w:top w:val="none" w:sz="0" w:space="0" w:color="auto"/>
                <w:left w:val="none" w:sz="0" w:space="0" w:color="auto"/>
                <w:bottom w:val="none" w:sz="0" w:space="0" w:color="auto"/>
                <w:right w:val="none" w:sz="0" w:space="0" w:color="auto"/>
              </w:divBdr>
            </w:div>
            <w:div w:id="509829861">
              <w:marLeft w:val="0"/>
              <w:marRight w:val="0"/>
              <w:marTop w:val="0"/>
              <w:marBottom w:val="0"/>
              <w:divBdr>
                <w:top w:val="none" w:sz="0" w:space="0" w:color="auto"/>
                <w:left w:val="none" w:sz="0" w:space="0" w:color="auto"/>
                <w:bottom w:val="none" w:sz="0" w:space="0" w:color="auto"/>
                <w:right w:val="none" w:sz="0" w:space="0" w:color="auto"/>
              </w:divBdr>
            </w:div>
            <w:div w:id="327367720">
              <w:marLeft w:val="0"/>
              <w:marRight w:val="0"/>
              <w:marTop w:val="0"/>
              <w:marBottom w:val="0"/>
              <w:divBdr>
                <w:top w:val="none" w:sz="0" w:space="0" w:color="auto"/>
                <w:left w:val="none" w:sz="0" w:space="0" w:color="auto"/>
                <w:bottom w:val="none" w:sz="0" w:space="0" w:color="auto"/>
                <w:right w:val="none" w:sz="0" w:space="0" w:color="auto"/>
              </w:divBdr>
            </w:div>
            <w:div w:id="1577940514">
              <w:marLeft w:val="0"/>
              <w:marRight w:val="0"/>
              <w:marTop w:val="0"/>
              <w:marBottom w:val="0"/>
              <w:divBdr>
                <w:top w:val="none" w:sz="0" w:space="0" w:color="auto"/>
                <w:left w:val="none" w:sz="0" w:space="0" w:color="auto"/>
                <w:bottom w:val="none" w:sz="0" w:space="0" w:color="auto"/>
                <w:right w:val="none" w:sz="0" w:space="0" w:color="auto"/>
              </w:divBdr>
            </w:div>
            <w:div w:id="675621399">
              <w:marLeft w:val="0"/>
              <w:marRight w:val="0"/>
              <w:marTop w:val="0"/>
              <w:marBottom w:val="0"/>
              <w:divBdr>
                <w:top w:val="none" w:sz="0" w:space="0" w:color="auto"/>
                <w:left w:val="none" w:sz="0" w:space="0" w:color="auto"/>
                <w:bottom w:val="none" w:sz="0" w:space="0" w:color="auto"/>
                <w:right w:val="none" w:sz="0" w:space="0" w:color="auto"/>
              </w:divBdr>
            </w:div>
            <w:div w:id="996421434">
              <w:marLeft w:val="0"/>
              <w:marRight w:val="0"/>
              <w:marTop w:val="0"/>
              <w:marBottom w:val="0"/>
              <w:divBdr>
                <w:top w:val="none" w:sz="0" w:space="0" w:color="auto"/>
                <w:left w:val="none" w:sz="0" w:space="0" w:color="auto"/>
                <w:bottom w:val="none" w:sz="0" w:space="0" w:color="auto"/>
                <w:right w:val="none" w:sz="0" w:space="0" w:color="auto"/>
              </w:divBdr>
            </w:div>
            <w:div w:id="1531530375">
              <w:marLeft w:val="0"/>
              <w:marRight w:val="0"/>
              <w:marTop w:val="0"/>
              <w:marBottom w:val="0"/>
              <w:divBdr>
                <w:top w:val="none" w:sz="0" w:space="0" w:color="auto"/>
                <w:left w:val="none" w:sz="0" w:space="0" w:color="auto"/>
                <w:bottom w:val="none" w:sz="0" w:space="0" w:color="auto"/>
                <w:right w:val="none" w:sz="0" w:space="0" w:color="auto"/>
              </w:divBdr>
            </w:div>
            <w:div w:id="2022006163">
              <w:marLeft w:val="0"/>
              <w:marRight w:val="0"/>
              <w:marTop w:val="0"/>
              <w:marBottom w:val="0"/>
              <w:divBdr>
                <w:top w:val="none" w:sz="0" w:space="0" w:color="auto"/>
                <w:left w:val="none" w:sz="0" w:space="0" w:color="auto"/>
                <w:bottom w:val="none" w:sz="0" w:space="0" w:color="auto"/>
                <w:right w:val="none" w:sz="0" w:space="0" w:color="auto"/>
              </w:divBdr>
            </w:div>
            <w:div w:id="1974403390">
              <w:marLeft w:val="0"/>
              <w:marRight w:val="0"/>
              <w:marTop w:val="0"/>
              <w:marBottom w:val="0"/>
              <w:divBdr>
                <w:top w:val="none" w:sz="0" w:space="0" w:color="auto"/>
                <w:left w:val="none" w:sz="0" w:space="0" w:color="auto"/>
                <w:bottom w:val="none" w:sz="0" w:space="0" w:color="auto"/>
                <w:right w:val="none" w:sz="0" w:space="0" w:color="auto"/>
              </w:divBdr>
            </w:div>
            <w:div w:id="807208032">
              <w:marLeft w:val="0"/>
              <w:marRight w:val="0"/>
              <w:marTop w:val="0"/>
              <w:marBottom w:val="0"/>
              <w:divBdr>
                <w:top w:val="none" w:sz="0" w:space="0" w:color="auto"/>
                <w:left w:val="none" w:sz="0" w:space="0" w:color="auto"/>
                <w:bottom w:val="none" w:sz="0" w:space="0" w:color="auto"/>
                <w:right w:val="none" w:sz="0" w:space="0" w:color="auto"/>
              </w:divBdr>
            </w:div>
            <w:div w:id="1391071204">
              <w:marLeft w:val="0"/>
              <w:marRight w:val="0"/>
              <w:marTop w:val="0"/>
              <w:marBottom w:val="0"/>
              <w:divBdr>
                <w:top w:val="none" w:sz="0" w:space="0" w:color="auto"/>
                <w:left w:val="none" w:sz="0" w:space="0" w:color="auto"/>
                <w:bottom w:val="none" w:sz="0" w:space="0" w:color="auto"/>
                <w:right w:val="none" w:sz="0" w:space="0" w:color="auto"/>
              </w:divBdr>
            </w:div>
            <w:div w:id="433014318">
              <w:marLeft w:val="0"/>
              <w:marRight w:val="0"/>
              <w:marTop w:val="0"/>
              <w:marBottom w:val="0"/>
              <w:divBdr>
                <w:top w:val="none" w:sz="0" w:space="0" w:color="auto"/>
                <w:left w:val="none" w:sz="0" w:space="0" w:color="auto"/>
                <w:bottom w:val="none" w:sz="0" w:space="0" w:color="auto"/>
                <w:right w:val="none" w:sz="0" w:space="0" w:color="auto"/>
              </w:divBdr>
            </w:div>
            <w:div w:id="1949504239">
              <w:marLeft w:val="0"/>
              <w:marRight w:val="0"/>
              <w:marTop w:val="0"/>
              <w:marBottom w:val="0"/>
              <w:divBdr>
                <w:top w:val="none" w:sz="0" w:space="0" w:color="auto"/>
                <w:left w:val="none" w:sz="0" w:space="0" w:color="auto"/>
                <w:bottom w:val="none" w:sz="0" w:space="0" w:color="auto"/>
                <w:right w:val="none" w:sz="0" w:space="0" w:color="auto"/>
              </w:divBdr>
            </w:div>
            <w:div w:id="1682854082">
              <w:marLeft w:val="0"/>
              <w:marRight w:val="0"/>
              <w:marTop w:val="0"/>
              <w:marBottom w:val="0"/>
              <w:divBdr>
                <w:top w:val="none" w:sz="0" w:space="0" w:color="auto"/>
                <w:left w:val="none" w:sz="0" w:space="0" w:color="auto"/>
                <w:bottom w:val="none" w:sz="0" w:space="0" w:color="auto"/>
                <w:right w:val="none" w:sz="0" w:space="0" w:color="auto"/>
              </w:divBdr>
            </w:div>
            <w:div w:id="1140658036">
              <w:marLeft w:val="0"/>
              <w:marRight w:val="0"/>
              <w:marTop w:val="0"/>
              <w:marBottom w:val="0"/>
              <w:divBdr>
                <w:top w:val="none" w:sz="0" w:space="0" w:color="auto"/>
                <w:left w:val="none" w:sz="0" w:space="0" w:color="auto"/>
                <w:bottom w:val="none" w:sz="0" w:space="0" w:color="auto"/>
                <w:right w:val="none" w:sz="0" w:space="0" w:color="auto"/>
              </w:divBdr>
            </w:div>
            <w:div w:id="1560434768">
              <w:marLeft w:val="0"/>
              <w:marRight w:val="0"/>
              <w:marTop w:val="0"/>
              <w:marBottom w:val="0"/>
              <w:divBdr>
                <w:top w:val="none" w:sz="0" w:space="0" w:color="auto"/>
                <w:left w:val="none" w:sz="0" w:space="0" w:color="auto"/>
                <w:bottom w:val="none" w:sz="0" w:space="0" w:color="auto"/>
                <w:right w:val="none" w:sz="0" w:space="0" w:color="auto"/>
              </w:divBdr>
            </w:div>
            <w:div w:id="236324814">
              <w:marLeft w:val="0"/>
              <w:marRight w:val="0"/>
              <w:marTop w:val="0"/>
              <w:marBottom w:val="0"/>
              <w:divBdr>
                <w:top w:val="none" w:sz="0" w:space="0" w:color="auto"/>
                <w:left w:val="none" w:sz="0" w:space="0" w:color="auto"/>
                <w:bottom w:val="none" w:sz="0" w:space="0" w:color="auto"/>
                <w:right w:val="none" w:sz="0" w:space="0" w:color="auto"/>
              </w:divBdr>
            </w:div>
            <w:div w:id="1856309552">
              <w:marLeft w:val="0"/>
              <w:marRight w:val="0"/>
              <w:marTop w:val="0"/>
              <w:marBottom w:val="0"/>
              <w:divBdr>
                <w:top w:val="none" w:sz="0" w:space="0" w:color="auto"/>
                <w:left w:val="none" w:sz="0" w:space="0" w:color="auto"/>
                <w:bottom w:val="none" w:sz="0" w:space="0" w:color="auto"/>
                <w:right w:val="none" w:sz="0" w:space="0" w:color="auto"/>
              </w:divBdr>
            </w:div>
            <w:div w:id="217473929">
              <w:marLeft w:val="0"/>
              <w:marRight w:val="0"/>
              <w:marTop w:val="0"/>
              <w:marBottom w:val="0"/>
              <w:divBdr>
                <w:top w:val="none" w:sz="0" w:space="0" w:color="auto"/>
                <w:left w:val="none" w:sz="0" w:space="0" w:color="auto"/>
                <w:bottom w:val="none" w:sz="0" w:space="0" w:color="auto"/>
                <w:right w:val="none" w:sz="0" w:space="0" w:color="auto"/>
              </w:divBdr>
            </w:div>
            <w:div w:id="665672125">
              <w:marLeft w:val="0"/>
              <w:marRight w:val="0"/>
              <w:marTop w:val="0"/>
              <w:marBottom w:val="0"/>
              <w:divBdr>
                <w:top w:val="none" w:sz="0" w:space="0" w:color="auto"/>
                <w:left w:val="none" w:sz="0" w:space="0" w:color="auto"/>
                <w:bottom w:val="none" w:sz="0" w:space="0" w:color="auto"/>
                <w:right w:val="none" w:sz="0" w:space="0" w:color="auto"/>
              </w:divBdr>
            </w:div>
            <w:div w:id="1447389965">
              <w:marLeft w:val="0"/>
              <w:marRight w:val="0"/>
              <w:marTop w:val="0"/>
              <w:marBottom w:val="0"/>
              <w:divBdr>
                <w:top w:val="none" w:sz="0" w:space="0" w:color="auto"/>
                <w:left w:val="none" w:sz="0" w:space="0" w:color="auto"/>
                <w:bottom w:val="none" w:sz="0" w:space="0" w:color="auto"/>
                <w:right w:val="none" w:sz="0" w:space="0" w:color="auto"/>
              </w:divBdr>
            </w:div>
            <w:div w:id="208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635">
      <w:bodyDiv w:val="1"/>
      <w:marLeft w:val="0"/>
      <w:marRight w:val="0"/>
      <w:marTop w:val="0"/>
      <w:marBottom w:val="0"/>
      <w:divBdr>
        <w:top w:val="none" w:sz="0" w:space="0" w:color="auto"/>
        <w:left w:val="none" w:sz="0" w:space="0" w:color="auto"/>
        <w:bottom w:val="none" w:sz="0" w:space="0" w:color="auto"/>
        <w:right w:val="none" w:sz="0" w:space="0" w:color="auto"/>
      </w:divBdr>
    </w:div>
    <w:div w:id="2052683975">
      <w:bodyDiv w:val="1"/>
      <w:marLeft w:val="0"/>
      <w:marRight w:val="0"/>
      <w:marTop w:val="0"/>
      <w:marBottom w:val="0"/>
      <w:divBdr>
        <w:top w:val="none" w:sz="0" w:space="0" w:color="auto"/>
        <w:left w:val="none" w:sz="0" w:space="0" w:color="auto"/>
        <w:bottom w:val="none" w:sz="0" w:space="0" w:color="auto"/>
        <w:right w:val="none" w:sz="0" w:space="0" w:color="auto"/>
      </w:divBdr>
      <w:divsChild>
        <w:div w:id="1066491704">
          <w:marLeft w:val="0"/>
          <w:marRight w:val="1"/>
          <w:marTop w:val="0"/>
          <w:marBottom w:val="0"/>
          <w:divBdr>
            <w:top w:val="none" w:sz="0" w:space="0" w:color="auto"/>
            <w:left w:val="none" w:sz="0" w:space="0" w:color="auto"/>
            <w:bottom w:val="none" w:sz="0" w:space="0" w:color="auto"/>
            <w:right w:val="none" w:sz="0" w:space="0" w:color="auto"/>
          </w:divBdr>
          <w:divsChild>
            <w:div w:id="584462374">
              <w:marLeft w:val="0"/>
              <w:marRight w:val="0"/>
              <w:marTop w:val="0"/>
              <w:marBottom w:val="0"/>
              <w:divBdr>
                <w:top w:val="none" w:sz="0" w:space="0" w:color="auto"/>
                <w:left w:val="none" w:sz="0" w:space="0" w:color="auto"/>
                <w:bottom w:val="none" w:sz="0" w:space="0" w:color="auto"/>
                <w:right w:val="none" w:sz="0" w:space="0" w:color="auto"/>
              </w:divBdr>
              <w:divsChild>
                <w:div w:id="852763204">
                  <w:marLeft w:val="0"/>
                  <w:marRight w:val="1"/>
                  <w:marTop w:val="0"/>
                  <w:marBottom w:val="0"/>
                  <w:divBdr>
                    <w:top w:val="none" w:sz="0" w:space="0" w:color="auto"/>
                    <w:left w:val="none" w:sz="0" w:space="0" w:color="auto"/>
                    <w:bottom w:val="none" w:sz="0" w:space="0" w:color="auto"/>
                    <w:right w:val="none" w:sz="0" w:space="0" w:color="auto"/>
                  </w:divBdr>
                  <w:divsChild>
                    <w:div w:id="61367781">
                      <w:marLeft w:val="0"/>
                      <w:marRight w:val="0"/>
                      <w:marTop w:val="0"/>
                      <w:marBottom w:val="0"/>
                      <w:divBdr>
                        <w:top w:val="none" w:sz="0" w:space="0" w:color="auto"/>
                        <w:left w:val="none" w:sz="0" w:space="0" w:color="auto"/>
                        <w:bottom w:val="none" w:sz="0" w:space="0" w:color="auto"/>
                        <w:right w:val="none" w:sz="0" w:space="0" w:color="auto"/>
                      </w:divBdr>
                      <w:divsChild>
                        <w:div w:id="528374447">
                          <w:marLeft w:val="0"/>
                          <w:marRight w:val="0"/>
                          <w:marTop w:val="0"/>
                          <w:marBottom w:val="0"/>
                          <w:divBdr>
                            <w:top w:val="none" w:sz="0" w:space="0" w:color="auto"/>
                            <w:left w:val="none" w:sz="0" w:space="0" w:color="auto"/>
                            <w:bottom w:val="none" w:sz="0" w:space="0" w:color="auto"/>
                            <w:right w:val="none" w:sz="0" w:space="0" w:color="auto"/>
                          </w:divBdr>
                          <w:divsChild>
                            <w:div w:id="415903721">
                              <w:marLeft w:val="0"/>
                              <w:marRight w:val="0"/>
                              <w:marTop w:val="120"/>
                              <w:marBottom w:val="360"/>
                              <w:divBdr>
                                <w:top w:val="none" w:sz="0" w:space="0" w:color="auto"/>
                                <w:left w:val="none" w:sz="0" w:space="0" w:color="auto"/>
                                <w:bottom w:val="none" w:sz="0" w:space="0" w:color="auto"/>
                                <w:right w:val="none" w:sz="0" w:space="0" w:color="auto"/>
                              </w:divBdr>
                              <w:divsChild>
                                <w:div w:id="1036469664">
                                  <w:marLeft w:val="0"/>
                                  <w:marRight w:val="0"/>
                                  <w:marTop w:val="0"/>
                                  <w:marBottom w:val="0"/>
                                  <w:divBdr>
                                    <w:top w:val="none" w:sz="0" w:space="0" w:color="auto"/>
                                    <w:left w:val="none" w:sz="0" w:space="0" w:color="auto"/>
                                    <w:bottom w:val="none" w:sz="0" w:space="0" w:color="auto"/>
                                    <w:right w:val="none" w:sz="0" w:space="0" w:color="auto"/>
                                  </w:divBdr>
                                </w:div>
                                <w:div w:id="3900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23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tif"/><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ijazahmed@stanford.edu"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__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Overall</c:v>
                </c:pt>
              </c:strCache>
            </c:strRef>
          </c:tx>
          <c:invertIfNegative val="0"/>
          <c:cat>
            <c:strRef>
              <c:f>Sheet1!$A$2:$A$3</c:f>
              <c:strCache>
                <c:ptCount val="2"/>
                <c:pt idx="0">
                  <c:v>2000-2002</c:v>
                </c:pt>
                <c:pt idx="1">
                  <c:v>2003-2005</c:v>
                </c:pt>
              </c:strCache>
            </c:strRef>
          </c:cat>
          <c:val>
            <c:numRef>
              <c:f>Sheet1!$B$2:$B$3</c:f>
              <c:numCache>
                <c:formatCode>General</c:formatCode>
                <c:ptCount val="2"/>
                <c:pt idx="0">
                  <c:v>15.3</c:v>
                </c:pt>
                <c:pt idx="1">
                  <c:v>21</c:v>
                </c:pt>
              </c:numCache>
            </c:numRef>
          </c:val>
        </c:ser>
        <c:ser>
          <c:idx val="1"/>
          <c:order val="1"/>
          <c:tx>
            <c:strRef>
              <c:f>Sheet1!$C$1</c:f>
              <c:strCache>
                <c:ptCount val="1"/>
                <c:pt idx="0">
                  <c:v>Asian/Pacific Islander</c:v>
                </c:pt>
              </c:strCache>
            </c:strRef>
          </c:tx>
          <c:invertIfNegative val="0"/>
          <c:cat>
            <c:strRef>
              <c:f>Sheet1!$A$2:$A$3</c:f>
              <c:strCache>
                <c:ptCount val="2"/>
                <c:pt idx="0">
                  <c:v>2000-2002</c:v>
                </c:pt>
                <c:pt idx="1">
                  <c:v>2003-2005</c:v>
                </c:pt>
              </c:strCache>
            </c:strRef>
          </c:cat>
          <c:val>
            <c:numRef>
              <c:f>Sheet1!$C$2:$C$3</c:f>
              <c:numCache>
                <c:formatCode>General</c:formatCode>
                <c:ptCount val="2"/>
                <c:pt idx="0">
                  <c:v>31.2</c:v>
                </c:pt>
                <c:pt idx="1">
                  <c:v>35.5</c:v>
                </c:pt>
              </c:numCache>
            </c:numRef>
          </c:val>
        </c:ser>
        <c:ser>
          <c:idx val="2"/>
          <c:order val="2"/>
          <c:tx>
            <c:strRef>
              <c:f>Sheet1!$D$1</c:f>
              <c:strCache>
                <c:ptCount val="1"/>
                <c:pt idx="0">
                  <c:v>Hispanic</c:v>
                </c:pt>
              </c:strCache>
            </c:strRef>
          </c:tx>
          <c:invertIfNegative val="0"/>
          <c:cat>
            <c:strRef>
              <c:f>Sheet1!$A$2:$A$3</c:f>
              <c:strCache>
                <c:ptCount val="2"/>
                <c:pt idx="0">
                  <c:v>2000-2002</c:v>
                </c:pt>
                <c:pt idx="1">
                  <c:v>2003-2005</c:v>
                </c:pt>
              </c:strCache>
            </c:strRef>
          </c:cat>
          <c:val>
            <c:numRef>
              <c:f>Sheet1!$D$2:$D$3</c:f>
              <c:numCache>
                <c:formatCode>General</c:formatCode>
                <c:ptCount val="2"/>
                <c:pt idx="0">
                  <c:v>23</c:v>
                </c:pt>
                <c:pt idx="1">
                  <c:v>32.800000000000011</c:v>
                </c:pt>
              </c:numCache>
            </c:numRef>
          </c:val>
        </c:ser>
        <c:ser>
          <c:idx val="3"/>
          <c:order val="3"/>
          <c:tx>
            <c:strRef>
              <c:f>Sheet1!$E$1</c:f>
              <c:strCache>
                <c:ptCount val="1"/>
                <c:pt idx="0">
                  <c:v>Black</c:v>
                </c:pt>
              </c:strCache>
            </c:strRef>
          </c:tx>
          <c:invertIfNegative val="0"/>
          <c:cat>
            <c:strRef>
              <c:f>Sheet1!$A$2:$A$3</c:f>
              <c:strCache>
                <c:ptCount val="2"/>
                <c:pt idx="0">
                  <c:v>2000-2002</c:v>
                </c:pt>
                <c:pt idx="1">
                  <c:v>2003-2005</c:v>
                </c:pt>
              </c:strCache>
            </c:strRef>
          </c:cat>
          <c:val>
            <c:numRef>
              <c:f>Sheet1!$E$2:$E$3</c:f>
              <c:numCache>
                <c:formatCode>General</c:formatCode>
                <c:ptCount val="2"/>
                <c:pt idx="0">
                  <c:v>28.7</c:v>
                </c:pt>
                <c:pt idx="1">
                  <c:v>40.800000000000011</c:v>
                </c:pt>
              </c:numCache>
            </c:numRef>
          </c:val>
        </c:ser>
        <c:ser>
          <c:idx val="4"/>
          <c:order val="4"/>
          <c:tx>
            <c:strRef>
              <c:f>Sheet1!$F$1</c:f>
              <c:strCache>
                <c:ptCount val="1"/>
                <c:pt idx="0">
                  <c:v>American Indian/Alaska Native</c:v>
                </c:pt>
              </c:strCache>
            </c:strRef>
          </c:tx>
          <c:invertIfNegative val="0"/>
          <c:cat>
            <c:strRef>
              <c:f>Sheet1!$A$2:$A$3</c:f>
              <c:strCache>
                <c:ptCount val="2"/>
                <c:pt idx="0">
                  <c:v>2000-2002</c:v>
                </c:pt>
                <c:pt idx="1">
                  <c:v>2003-2005</c:v>
                </c:pt>
              </c:strCache>
            </c:strRef>
          </c:cat>
          <c:val>
            <c:numRef>
              <c:f>Sheet1!$F$2:$F$3</c:f>
              <c:numCache>
                <c:formatCode>General</c:formatCode>
                <c:ptCount val="2"/>
                <c:pt idx="0">
                  <c:v>18.5</c:v>
                </c:pt>
                <c:pt idx="1">
                  <c:v>29.1</c:v>
                </c:pt>
              </c:numCache>
            </c:numRef>
          </c:val>
        </c:ser>
        <c:ser>
          <c:idx val="5"/>
          <c:order val="5"/>
          <c:tx>
            <c:strRef>
              <c:f>Sheet1!$G$1</c:f>
              <c:strCache>
                <c:ptCount val="1"/>
                <c:pt idx="0">
                  <c:v>White</c:v>
                </c:pt>
              </c:strCache>
            </c:strRef>
          </c:tx>
          <c:invertIfNegative val="0"/>
          <c:cat>
            <c:strRef>
              <c:f>Sheet1!$A$2:$A$3</c:f>
              <c:strCache>
                <c:ptCount val="2"/>
                <c:pt idx="0">
                  <c:v>2000-2002</c:v>
                </c:pt>
                <c:pt idx="1">
                  <c:v>2003-2005</c:v>
                </c:pt>
              </c:strCache>
            </c:strRef>
          </c:cat>
          <c:val>
            <c:numRef>
              <c:f>Sheet1!$G$2:$G$3</c:f>
              <c:numCache>
                <c:formatCode>General</c:formatCode>
                <c:ptCount val="2"/>
                <c:pt idx="0">
                  <c:v>11.5</c:v>
                </c:pt>
                <c:pt idx="1">
                  <c:v>16.5</c:v>
                </c:pt>
              </c:numCache>
            </c:numRef>
          </c:val>
        </c:ser>
        <c:dLbls>
          <c:showLegendKey val="0"/>
          <c:showVal val="0"/>
          <c:showCatName val="0"/>
          <c:showSerName val="0"/>
          <c:showPercent val="0"/>
          <c:showBubbleSize val="0"/>
        </c:dLbls>
        <c:gapWidth val="150"/>
        <c:axId val="201601408"/>
        <c:axId val="201602944"/>
      </c:barChart>
      <c:catAx>
        <c:axId val="201601408"/>
        <c:scaling>
          <c:orientation val="minMax"/>
        </c:scaling>
        <c:delete val="0"/>
        <c:axPos val="l"/>
        <c:numFmt formatCode="General" sourceLinked="0"/>
        <c:majorTickMark val="out"/>
        <c:minorTickMark val="none"/>
        <c:tickLblPos val="nextTo"/>
        <c:crossAx val="201602944"/>
        <c:crosses val="autoZero"/>
        <c:auto val="1"/>
        <c:lblAlgn val="ctr"/>
        <c:lblOffset val="100"/>
        <c:noMultiLvlLbl val="0"/>
      </c:catAx>
      <c:valAx>
        <c:axId val="201602944"/>
        <c:scaling>
          <c:orientation val="minMax"/>
        </c:scaling>
        <c:delete val="0"/>
        <c:axPos val="b"/>
        <c:majorGridlines/>
        <c:numFmt formatCode="General" sourceLinked="1"/>
        <c:majorTickMark val="out"/>
        <c:minorTickMark val="none"/>
        <c:tickLblPos val="nextTo"/>
        <c:crossAx val="20160140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Sheet1!$B$1</c:f>
              <c:strCache>
                <c:ptCount val="1"/>
                <c:pt idx="0">
                  <c:v>Overall</c:v>
                </c:pt>
              </c:strCache>
            </c:strRef>
          </c:tx>
          <c:invertIfNegative val="0"/>
          <c:cat>
            <c:strRef>
              <c:f>Sheet1!$A$2:$A$3</c:f>
              <c:strCache>
                <c:ptCount val="2"/>
                <c:pt idx="0">
                  <c:v>2000-2002</c:v>
                </c:pt>
                <c:pt idx="1">
                  <c:v>2003-2005</c:v>
                </c:pt>
              </c:strCache>
            </c:strRef>
          </c:cat>
          <c:val>
            <c:numRef>
              <c:f>Sheet1!$B$2:$B$3</c:f>
              <c:numCache>
                <c:formatCode>General</c:formatCode>
                <c:ptCount val="2"/>
                <c:pt idx="0">
                  <c:v>3.1</c:v>
                </c:pt>
                <c:pt idx="1">
                  <c:v>3.8</c:v>
                </c:pt>
              </c:numCache>
            </c:numRef>
          </c:val>
        </c:ser>
        <c:ser>
          <c:idx val="1"/>
          <c:order val="1"/>
          <c:tx>
            <c:strRef>
              <c:f>Sheet1!$C$1</c:f>
              <c:strCache>
                <c:ptCount val="1"/>
                <c:pt idx="0">
                  <c:v>Asian/Pacific Islander</c:v>
                </c:pt>
              </c:strCache>
            </c:strRef>
          </c:tx>
          <c:invertIfNegative val="0"/>
          <c:cat>
            <c:strRef>
              <c:f>Sheet1!$A$2:$A$3</c:f>
              <c:strCache>
                <c:ptCount val="2"/>
                <c:pt idx="0">
                  <c:v>2000-2002</c:v>
                </c:pt>
                <c:pt idx="1">
                  <c:v>2003-2005</c:v>
                </c:pt>
              </c:strCache>
            </c:strRef>
          </c:cat>
          <c:val>
            <c:numRef>
              <c:f>Sheet1!$C$2:$C$3</c:f>
              <c:numCache>
                <c:formatCode>General</c:formatCode>
                <c:ptCount val="2"/>
                <c:pt idx="0">
                  <c:v>6.8</c:v>
                </c:pt>
                <c:pt idx="1">
                  <c:v>5.9</c:v>
                </c:pt>
              </c:numCache>
            </c:numRef>
          </c:val>
        </c:ser>
        <c:ser>
          <c:idx val="2"/>
          <c:order val="2"/>
          <c:tx>
            <c:strRef>
              <c:f>Sheet1!$D$1</c:f>
              <c:strCache>
                <c:ptCount val="1"/>
                <c:pt idx="0">
                  <c:v>Hispanic</c:v>
                </c:pt>
              </c:strCache>
            </c:strRef>
          </c:tx>
          <c:invertIfNegative val="0"/>
          <c:cat>
            <c:strRef>
              <c:f>Sheet1!$A$2:$A$3</c:f>
              <c:strCache>
                <c:ptCount val="2"/>
                <c:pt idx="0">
                  <c:v>2000-2002</c:v>
                </c:pt>
                <c:pt idx="1">
                  <c:v>2003-2005</c:v>
                </c:pt>
              </c:strCache>
            </c:strRef>
          </c:cat>
          <c:val>
            <c:numRef>
              <c:f>Sheet1!$D$2:$D$3</c:f>
              <c:numCache>
                <c:formatCode>General</c:formatCode>
                <c:ptCount val="2"/>
                <c:pt idx="0">
                  <c:v>5.4</c:v>
                </c:pt>
                <c:pt idx="1">
                  <c:v>5.7</c:v>
                </c:pt>
              </c:numCache>
            </c:numRef>
          </c:val>
        </c:ser>
        <c:ser>
          <c:idx val="3"/>
          <c:order val="3"/>
          <c:tx>
            <c:strRef>
              <c:f>Sheet1!$E$1</c:f>
              <c:strCache>
                <c:ptCount val="1"/>
                <c:pt idx="0">
                  <c:v>Black</c:v>
                </c:pt>
              </c:strCache>
            </c:strRef>
          </c:tx>
          <c:invertIfNegative val="0"/>
          <c:cat>
            <c:strRef>
              <c:f>Sheet1!$A$2:$A$3</c:f>
              <c:strCache>
                <c:ptCount val="2"/>
                <c:pt idx="0">
                  <c:v>2000-2002</c:v>
                </c:pt>
                <c:pt idx="1">
                  <c:v>2003-2005</c:v>
                </c:pt>
              </c:strCache>
            </c:strRef>
          </c:cat>
          <c:val>
            <c:numRef>
              <c:f>Sheet1!$E$2:$E$3</c:f>
              <c:numCache>
                <c:formatCode>General</c:formatCode>
                <c:ptCount val="2"/>
                <c:pt idx="0">
                  <c:v>5.2</c:v>
                </c:pt>
                <c:pt idx="1">
                  <c:v>6.9</c:v>
                </c:pt>
              </c:numCache>
            </c:numRef>
          </c:val>
        </c:ser>
        <c:ser>
          <c:idx val="4"/>
          <c:order val="4"/>
          <c:tx>
            <c:strRef>
              <c:f>Sheet1!$F$1</c:f>
              <c:strCache>
                <c:ptCount val="1"/>
                <c:pt idx="0">
                  <c:v>American Indian/Alaska Native</c:v>
                </c:pt>
              </c:strCache>
            </c:strRef>
          </c:tx>
          <c:invertIfNegative val="0"/>
          <c:cat>
            <c:strRef>
              <c:f>Sheet1!$A$2:$A$3</c:f>
              <c:strCache>
                <c:ptCount val="2"/>
                <c:pt idx="0">
                  <c:v>2000-2002</c:v>
                </c:pt>
                <c:pt idx="1">
                  <c:v>2003-2005</c:v>
                </c:pt>
              </c:strCache>
            </c:strRef>
          </c:cat>
          <c:val>
            <c:numRef>
              <c:f>Sheet1!$F$2:$F$3</c:f>
              <c:numCache>
                <c:formatCode>General</c:formatCode>
                <c:ptCount val="2"/>
                <c:pt idx="0">
                  <c:v>2.4</c:v>
                </c:pt>
                <c:pt idx="1">
                  <c:v>8.3000000000000007</c:v>
                </c:pt>
              </c:numCache>
            </c:numRef>
          </c:val>
        </c:ser>
        <c:ser>
          <c:idx val="5"/>
          <c:order val="5"/>
          <c:tx>
            <c:strRef>
              <c:f>Sheet1!$G$1</c:f>
              <c:strCache>
                <c:ptCount val="1"/>
                <c:pt idx="0">
                  <c:v>White</c:v>
                </c:pt>
              </c:strCache>
            </c:strRef>
          </c:tx>
          <c:invertIfNegative val="0"/>
          <c:cat>
            <c:strRef>
              <c:f>Sheet1!$A$2:$A$3</c:f>
              <c:strCache>
                <c:ptCount val="2"/>
                <c:pt idx="0">
                  <c:v>2000-2002</c:v>
                </c:pt>
                <c:pt idx="1">
                  <c:v>2003-2005</c:v>
                </c:pt>
              </c:strCache>
            </c:strRef>
          </c:cat>
          <c:val>
            <c:numRef>
              <c:f>Sheet1!$G$2:$G$3</c:f>
              <c:numCache>
                <c:formatCode>General</c:formatCode>
                <c:ptCount val="2"/>
                <c:pt idx="0">
                  <c:v>2.2000000000000002</c:v>
                </c:pt>
                <c:pt idx="1">
                  <c:v>3</c:v>
                </c:pt>
              </c:numCache>
            </c:numRef>
          </c:val>
        </c:ser>
        <c:dLbls>
          <c:showLegendKey val="0"/>
          <c:showVal val="0"/>
          <c:showCatName val="0"/>
          <c:showSerName val="0"/>
          <c:showPercent val="0"/>
          <c:showBubbleSize val="0"/>
        </c:dLbls>
        <c:gapWidth val="150"/>
        <c:axId val="196695552"/>
        <c:axId val="196697088"/>
      </c:barChart>
      <c:catAx>
        <c:axId val="196695552"/>
        <c:scaling>
          <c:orientation val="minMax"/>
        </c:scaling>
        <c:delete val="0"/>
        <c:axPos val="l"/>
        <c:numFmt formatCode="General" sourceLinked="0"/>
        <c:majorTickMark val="out"/>
        <c:minorTickMark val="none"/>
        <c:tickLblPos val="nextTo"/>
        <c:crossAx val="196697088"/>
        <c:crosses val="autoZero"/>
        <c:auto val="1"/>
        <c:lblAlgn val="ctr"/>
        <c:lblOffset val="100"/>
        <c:noMultiLvlLbl val="0"/>
      </c:catAx>
      <c:valAx>
        <c:axId val="196697088"/>
        <c:scaling>
          <c:orientation val="minMax"/>
        </c:scaling>
        <c:delete val="0"/>
        <c:axPos val="b"/>
        <c:majorGridlines/>
        <c:numFmt formatCode="General" sourceLinked="1"/>
        <c:majorTickMark val="out"/>
        <c:minorTickMark val="none"/>
        <c:tickLblPos val="nextTo"/>
        <c:crossAx val="196695552"/>
        <c:crosses val="autoZero"/>
        <c:crossBetween val="between"/>
      </c:valAx>
    </c:plotArea>
    <c:legend>
      <c:legendPos val="r"/>
      <c:overlay val="0"/>
      <c:spPr>
        <a:effectLst>
          <a:glow>
            <a:schemeClr val="accent1">
              <a:alpha val="40000"/>
            </a:schemeClr>
          </a:glow>
        </a:effectLst>
      </c:sp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4443B-FEFA-47A1-8407-917274222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4919</Words>
  <Characters>28042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Autodesk, Inc.</Company>
  <LinksUpToDate>false</LinksUpToDate>
  <CharactersWithSpaces>32896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esssrv</dc:creator>
  <cp:lastModifiedBy>Windows 用户</cp:lastModifiedBy>
  <cp:revision>3</cp:revision>
  <cp:lastPrinted>2015-02-25T19:13:00Z</cp:lastPrinted>
  <dcterms:created xsi:type="dcterms:W3CDTF">2015-08-17T00:22:00Z</dcterms:created>
  <dcterms:modified xsi:type="dcterms:W3CDTF">2015-08-17T01:36:00Z</dcterms:modified>
</cp:coreProperties>
</file>