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85" w:rsidRPr="00392EE4" w:rsidRDefault="00340085" w:rsidP="002A2C2A">
      <w:pPr>
        <w:spacing w:line="360" w:lineRule="auto"/>
        <w:rPr>
          <w:rFonts w:ascii="Book Antiqua" w:eastAsia="Times New Roman" w:hAnsi="Book Antiqua" w:cs="宋体"/>
          <w:i/>
          <w:sz w:val="24"/>
        </w:rPr>
      </w:pPr>
      <w:r w:rsidRPr="00392EE4">
        <w:rPr>
          <w:rFonts w:ascii="Book Antiqua" w:eastAsia="Times New Roman" w:hAnsi="Book Antiqua" w:cs="宋体"/>
          <w:b/>
          <w:sz w:val="24"/>
        </w:rPr>
        <w:t>Name of journal:</w:t>
      </w:r>
      <w:r w:rsidRPr="00392EE4">
        <w:rPr>
          <w:rFonts w:ascii="Book Antiqua" w:eastAsia="Times New Roman" w:hAnsi="Book Antiqua" w:cs="宋体"/>
          <w:i/>
          <w:sz w:val="24"/>
        </w:rPr>
        <w:t xml:space="preserve"> World Journal of Gastroenterology</w:t>
      </w:r>
    </w:p>
    <w:p w:rsidR="00340085" w:rsidRPr="00392EE4" w:rsidRDefault="00340085" w:rsidP="002A2C2A">
      <w:pPr>
        <w:spacing w:line="360" w:lineRule="auto"/>
        <w:rPr>
          <w:rFonts w:ascii="Book Antiqua" w:eastAsia="Times New Roman" w:hAnsi="Book Antiqua" w:cs="宋体"/>
          <w:b/>
          <w:i/>
          <w:sz w:val="24"/>
        </w:rPr>
      </w:pPr>
      <w:r w:rsidRPr="00392EE4">
        <w:rPr>
          <w:rFonts w:ascii="Book Antiqua" w:hAnsi="Book Antiqua" w:cs="Arial"/>
          <w:b/>
          <w:sz w:val="24"/>
        </w:rPr>
        <w:t>ESPS Manuscript NO: 1869</w:t>
      </w:r>
    </w:p>
    <w:p w:rsidR="00340085" w:rsidRPr="00392EE4" w:rsidRDefault="00340085" w:rsidP="002A2C2A">
      <w:pPr>
        <w:spacing w:line="360" w:lineRule="auto"/>
        <w:rPr>
          <w:rFonts w:ascii="Book Antiqua" w:eastAsia="幼圆" w:hAnsi="Book Antiqua"/>
          <w:b/>
          <w:sz w:val="24"/>
        </w:rPr>
      </w:pPr>
      <w:r w:rsidRPr="00392EE4">
        <w:rPr>
          <w:rFonts w:ascii="Book Antiqua" w:eastAsia="BatangChe" w:hAnsi="Book Antiqua"/>
          <w:b/>
          <w:sz w:val="24"/>
        </w:rPr>
        <w:t>Columns:</w:t>
      </w:r>
      <w:r w:rsidRPr="00392EE4">
        <w:rPr>
          <w:rFonts w:ascii="Book Antiqua" w:eastAsia="幼圆" w:hAnsi="Book Antiqua"/>
          <w:b/>
          <w:sz w:val="24"/>
        </w:rPr>
        <w:t xml:space="preserve"> BRIEF ARTICLE</w:t>
      </w:r>
    </w:p>
    <w:p w:rsidR="00340085" w:rsidRPr="00392EE4" w:rsidRDefault="00340085" w:rsidP="002A2C2A">
      <w:pPr>
        <w:spacing w:line="360" w:lineRule="auto"/>
        <w:rPr>
          <w:rFonts w:ascii="Book Antiqua" w:eastAsia="幼圆" w:hAnsi="Book Antiqua" w:cs="宋体"/>
          <w:b/>
          <w:bCs/>
          <w:kern w:val="0"/>
          <w:sz w:val="24"/>
        </w:rPr>
      </w:pPr>
    </w:p>
    <w:p w:rsidR="00340085" w:rsidRPr="00392EE4" w:rsidRDefault="00340085" w:rsidP="002A2C2A">
      <w:pPr>
        <w:spacing w:line="360" w:lineRule="auto"/>
        <w:rPr>
          <w:rFonts w:ascii="Book Antiqua" w:hAnsi="Book Antiqua" w:cs="Tahoma"/>
          <w:sz w:val="24"/>
        </w:rPr>
      </w:pPr>
      <w:r w:rsidRPr="00392EE4">
        <w:rPr>
          <w:rFonts w:ascii="Book Antiqua" w:hAnsi="Book Antiqua"/>
          <w:b/>
          <w:sz w:val="24"/>
        </w:rPr>
        <w:t xml:space="preserve">Newly designed J-shaped-tip guidewire: </w:t>
      </w:r>
      <w:r w:rsidR="00CF2FD7" w:rsidRPr="00392EE4">
        <w:rPr>
          <w:rFonts w:ascii="Book Antiqua" w:hAnsi="Book Antiqua"/>
          <w:b/>
          <w:sz w:val="24"/>
        </w:rPr>
        <w:t>A</w:t>
      </w:r>
      <w:r w:rsidRPr="00392EE4">
        <w:rPr>
          <w:rFonts w:ascii="Book Antiqua" w:hAnsi="Book Antiqua"/>
          <w:b/>
          <w:sz w:val="24"/>
        </w:rPr>
        <w:t xml:space="preserve"> preliminary feasibility study in wireguide cannulation</w:t>
      </w:r>
    </w:p>
    <w:p w:rsidR="00340085" w:rsidRPr="00392EE4" w:rsidRDefault="00340085" w:rsidP="002A2C2A">
      <w:pPr>
        <w:spacing w:line="360" w:lineRule="auto"/>
        <w:rPr>
          <w:rFonts w:ascii="Book Antiqua" w:hAnsi="Book Antiqua"/>
          <w:kern w:val="0"/>
          <w:sz w:val="24"/>
        </w:rPr>
      </w:pPr>
    </w:p>
    <w:p w:rsidR="00340085" w:rsidRPr="00392EE4" w:rsidRDefault="00340085" w:rsidP="002A2C2A">
      <w:pPr>
        <w:spacing w:line="360" w:lineRule="auto"/>
        <w:contextualSpacing/>
        <w:rPr>
          <w:rFonts w:ascii="Book Antiqua" w:hAnsi="Book Antiqua"/>
          <w:sz w:val="24"/>
        </w:rPr>
      </w:pPr>
      <w:r w:rsidRPr="00392EE4">
        <w:rPr>
          <w:rFonts w:ascii="Book Antiqua" w:hAnsi="Book Antiqua" w:cs="Tahoma"/>
          <w:kern w:val="0"/>
          <w:sz w:val="24"/>
        </w:rPr>
        <w:t xml:space="preserve">Omuta S </w:t>
      </w:r>
      <w:r w:rsidRPr="00392EE4">
        <w:rPr>
          <w:rFonts w:ascii="Book Antiqua" w:hAnsi="Book Antiqua" w:cs="Tahoma"/>
          <w:i/>
          <w:kern w:val="0"/>
          <w:sz w:val="24"/>
        </w:rPr>
        <w:t>et al</w:t>
      </w:r>
      <w:r w:rsidRPr="00392EE4">
        <w:rPr>
          <w:rFonts w:ascii="Book Antiqua" w:hAnsi="Book Antiqua" w:cs="Tahoma"/>
          <w:kern w:val="0"/>
          <w:sz w:val="24"/>
        </w:rPr>
        <w:t xml:space="preserve">. </w:t>
      </w:r>
      <w:r w:rsidRPr="00392EE4">
        <w:rPr>
          <w:rFonts w:ascii="Book Antiqua" w:hAnsi="Book Antiqua"/>
          <w:sz w:val="24"/>
        </w:rPr>
        <w:t>J-shaped-tip guidewire for cannulation</w:t>
      </w:r>
    </w:p>
    <w:p w:rsidR="00340085" w:rsidRPr="00392EE4" w:rsidRDefault="00340085" w:rsidP="002A2C2A">
      <w:pPr>
        <w:spacing w:line="360" w:lineRule="auto"/>
        <w:rPr>
          <w:rFonts w:ascii="Book Antiqua" w:hAnsi="Book Antiqua" w:cs="宋体"/>
          <w:bCs/>
          <w:kern w:val="0"/>
          <w:sz w:val="24"/>
        </w:rPr>
      </w:pPr>
    </w:p>
    <w:p w:rsidR="00340085" w:rsidRPr="00392EE4" w:rsidRDefault="00340085" w:rsidP="002A2C2A">
      <w:pPr>
        <w:spacing w:line="360" w:lineRule="auto"/>
        <w:rPr>
          <w:rFonts w:ascii="Book Antiqua" w:hAnsi="Book Antiqua"/>
          <w:sz w:val="24"/>
        </w:rPr>
      </w:pPr>
      <w:r w:rsidRPr="00392EE4">
        <w:rPr>
          <w:rFonts w:ascii="Book Antiqua" w:hAnsi="Book Antiqua"/>
          <w:sz w:val="24"/>
        </w:rPr>
        <w:t xml:space="preserve">Shigefumi Omuta, Iruru Maetani, Hiroaki Shigoka, Katsushige Gon, Michihiro Saito, Junya Tokuhisa, Mieko Naruki </w:t>
      </w:r>
    </w:p>
    <w:p w:rsidR="00340085" w:rsidRPr="00392EE4" w:rsidRDefault="00340085" w:rsidP="002A2C2A">
      <w:pPr>
        <w:spacing w:line="360" w:lineRule="auto"/>
        <w:rPr>
          <w:rFonts w:ascii="Book Antiqua" w:hAnsi="Book Antiqua"/>
          <w:sz w:val="24"/>
        </w:rPr>
      </w:pPr>
    </w:p>
    <w:p w:rsidR="00340085" w:rsidRPr="00392EE4" w:rsidRDefault="00C079BF" w:rsidP="002A2C2A">
      <w:pPr>
        <w:spacing w:line="360" w:lineRule="auto"/>
        <w:rPr>
          <w:rFonts w:ascii="Book Antiqua" w:hAnsi="Book Antiqua"/>
          <w:sz w:val="24"/>
        </w:rPr>
      </w:pPr>
      <w:r>
        <w:rPr>
          <w:rFonts w:ascii="Book Antiqua" w:hAnsi="Book Antiqua"/>
          <w:noProof/>
          <w:sz w:val="24"/>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wp:posOffset>
                </wp:positionV>
                <wp:extent cx="59436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3R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" strokecolor="gray" strokeweight="3pt"/>
            </w:pict>
          </mc:Fallback>
        </mc:AlternateContent>
      </w:r>
      <w:r w:rsidR="00340085" w:rsidRPr="00392EE4">
        <w:rPr>
          <w:rFonts w:ascii="Book Antiqua" w:hAnsi="Book Antiqua"/>
          <w:b/>
          <w:sz w:val="24"/>
        </w:rPr>
        <w:t xml:space="preserve">Shigefumi Omuta, Iruru Maetani, Hiroaki Shigoka, Katsushige Gon, Michihiro Saito, Junya Tokuhisa, Mieko Naruki, </w:t>
      </w:r>
      <w:r w:rsidR="00340085" w:rsidRPr="00392EE4">
        <w:rPr>
          <w:rFonts w:ascii="Book Antiqua" w:hAnsi="Book Antiqua"/>
          <w:sz w:val="24"/>
        </w:rPr>
        <w:t>Division of Gastroenterology, Department of Internal Medicine, Toho University Ohashi Medical Center, Tokyo 153-8515, Japan</w:t>
      </w:r>
    </w:p>
    <w:p w:rsidR="00340085" w:rsidRPr="00392EE4" w:rsidRDefault="00340085" w:rsidP="002A2C2A">
      <w:pPr>
        <w:spacing w:line="360" w:lineRule="auto"/>
        <w:rPr>
          <w:rFonts w:ascii="Book Antiqua" w:hAnsi="Book Antiqua"/>
          <w:b/>
          <w:sz w:val="24"/>
        </w:rPr>
      </w:pPr>
    </w:p>
    <w:p w:rsidR="00340085" w:rsidRPr="00392EE4" w:rsidRDefault="00340085" w:rsidP="002A2C2A">
      <w:pPr>
        <w:spacing w:line="360" w:lineRule="auto"/>
        <w:rPr>
          <w:rFonts w:ascii="Book Antiqua" w:hAnsi="Book Antiqua"/>
          <w:sz w:val="24"/>
        </w:rPr>
      </w:pPr>
      <w:r w:rsidRPr="00392EE4">
        <w:rPr>
          <w:rFonts w:ascii="Book Antiqua" w:hAnsi="Book Antiqua"/>
          <w:b/>
          <w:sz w:val="24"/>
        </w:rPr>
        <w:t xml:space="preserve">Author contributions: </w:t>
      </w:r>
      <w:r w:rsidRPr="00392EE4">
        <w:rPr>
          <w:rFonts w:ascii="Book Antiqua" w:hAnsi="Book Antiqua"/>
          <w:sz w:val="24"/>
        </w:rPr>
        <w:t xml:space="preserve">Omuta S </w:t>
      </w:r>
      <w:r w:rsidRPr="00392EE4">
        <w:rPr>
          <w:rFonts w:ascii="Book Antiqua" w:hAnsi="Book Antiqua" w:cs="Tahoma"/>
          <w:spacing w:val="-5"/>
          <w:sz w:val="24"/>
        </w:rPr>
        <w:t xml:space="preserve">contributed to </w:t>
      </w:r>
      <w:r w:rsidRPr="00392EE4">
        <w:rPr>
          <w:rFonts w:ascii="Book Antiqua" w:hAnsi="Book Antiqua"/>
          <w:sz w:val="24"/>
        </w:rPr>
        <w:t>analysis and intertation of the data, drafting of the article and revising for reviewers commnt; Maetani I</w:t>
      </w:r>
      <w:r w:rsidRPr="00392EE4">
        <w:rPr>
          <w:rFonts w:ascii="Book Antiqua" w:hAnsi="Book Antiqua" w:cs="Tahoma"/>
          <w:spacing w:val="-5"/>
          <w:sz w:val="24"/>
        </w:rPr>
        <w:t xml:space="preserve"> contributed to </w:t>
      </w:r>
      <w:r w:rsidRPr="00392EE4">
        <w:rPr>
          <w:rFonts w:ascii="Book Antiqua" w:hAnsi="Book Antiqua"/>
          <w:sz w:val="24"/>
        </w:rPr>
        <w:t>conception and design, critical revision of the article, data collection; Shigoka H</w:t>
      </w:r>
      <w:r w:rsidRPr="00392EE4">
        <w:rPr>
          <w:rFonts w:ascii="Book Antiqua" w:hAnsi="Book Antiqua" w:cs="Tahoma"/>
          <w:spacing w:val="-5"/>
          <w:sz w:val="24"/>
        </w:rPr>
        <w:t xml:space="preserve"> contributed to</w:t>
      </w:r>
      <w:r w:rsidRPr="00392EE4">
        <w:rPr>
          <w:rFonts w:ascii="Book Antiqua" w:hAnsi="Book Antiqua"/>
          <w:sz w:val="24"/>
        </w:rPr>
        <w:t xml:space="preserve"> data collection; Omuta S, Gon K,</w:t>
      </w:r>
      <w:r w:rsidRPr="00392EE4">
        <w:rPr>
          <w:rFonts w:ascii="Book Antiqua" w:hAnsi="Book Antiqua" w:cs="Tahoma"/>
          <w:spacing w:val="-5"/>
          <w:sz w:val="24"/>
        </w:rPr>
        <w:t xml:space="preserve"> </w:t>
      </w:r>
      <w:r w:rsidRPr="00392EE4">
        <w:rPr>
          <w:rFonts w:ascii="Book Antiqua" w:hAnsi="Book Antiqua"/>
          <w:sz w:val="24"/>
        </w:rPr>
        <w:t>Saito M, Tokuhisa J and Naruki M</w:t>
      </w:r>
      <w:r w:rsidRPr="00392EE4">
        <w:rPr>
          <w:rFonts w:ascii="Book Antiqua" w:hAnsi="Book Antiqua" w:cs="Tahoma"/>
          <w:spacing w:val="-5"/>
          <w:sz w:val="24"/>
        </w:rPr>
        <w:t xml:space="preserve"> ccontributed to</w:t>
      </w:r>
      <w:r w:rsidRPr="00392EE4">
        <w:rPr>
          <w:rFonts w:ascii="Book Antiqua" w:hAnsi="Book Antiqua"/>
          <w:sz w:val="24"/>
        </w:rPr>
        <w:t xml:space="preserve"> treatment of patients, data collection; </w:t>
      </w:r>
      <w:r w:rsidRPr="00392EE4">
        <w:rPr>
          <w:rFonts w:ascii="Book Antiqua" w:hAnsi="Book Antiqua"/>
          <w:sz w:val="24"/>
        </w:rPr>
        <w:lastRenderedPageBreak/>
        <w:t>All authors approved the final version of the paper.</w:t>
      </w:r>
    </w:p>
    <w:p w:rsidR="00340085" w:rsidRPr="00392EE4" w:rsidRDefault="00340085" w:rsidP="002A2C2A">
      <w:pPr>
        <w:spacing w:line="360" w:lineRule="auto"/>
        <w:rPr>
          <w:rFonts w:ascii="Book Antiqua" w:hAnsi="Book Antiqua"/>
          <w:sz w:val="24"/>
        </w:rPr>
      </w:pPr>
    </w:p>
    <w:p w:rsidR="00340085" w:rsidRPr="00392EE4" w:rsidRDefault="00340085" w:rsidP="002A2C2A">
      <w:pPr>
        <w:spacing w:line="360" w:lineRule="auto"/>
        <w:rPr>
          <w:rFonts w:ascii="Book Antiqua" w:hAnsi="Book Antiqua"/>
          <w:sz w:val="24"/>
        </w:rPr>
      </w:pPr>
      <w:r w:rsidRPr="00392EE4">
        <w:rPr>
          <w:rFonts w:ascii="Book Antiqua" w:hAnsi="Book Antiqua"/>
          <w:b/>
          <w:sz w:val="24"/>
        </w:rPr>
        <w:t>Supported by</w:t>
      </w:r>
      <w:r w:rsidRPr="00392EE4">
        <w:rPr>
          <w:rFonts w:ascii="Book Antiqua" w:hAnsi="Book Antiqua"/>
          <w:sz w:val="24"/>
        </w:rPr>
        <w:t xml:space="preserve"> Toho University Ohashi Medical Center</w:t>
      </w:r>
    </w:p>
    <w:p w:rsidR="00340085" w:rsidRPr="00392EE4" w:rsidRDefault="00340085" w:rsidP="002A2C2A">
      <w:pPr>
        <w:spacing w:line="360" w:lineRule="auto"/>
        <w:rPr>
          <w:rFonts w:ascii="Book Antiqua" w:hAnsi="Book Antiqua"/>
          <w:b/>
          <w:sz w:val="24"/>
        </w:rPr>
      </w:pPr>
    </w:p>
    <w:p w:rsidR="00340085" w:rsidRPr="00392EE4" w:rsidRDefault="00340085" w:rsidP="002A2C2A">
      <w:pPr>
        <w:pStyle w:val="o"/>
        <w:spacing w:line="360" w:lineRule="auto"/>
        <w:contextualSpacing/>
        <w:rPr>
          <w:rFonts w:ascii="Book Antiqua" w:hAnsi="Book Antiqua"/>
        </w:rPr>
      </w:pPr>
      <w:r w:rsidRPr="00392EE4">
        <w:rPr>
          <w:rFonts w:ascii="Book Antiqua" w:hAnsi="Book Antiqua"/>
          <w:b/>
        </w:rPr>
        <w:t>Correspondence to: Iruru Maetani,</w:t>
      </w:r>
      <w:r w:rsidRPr="00392EE4">
        <w:rPr>
          <w:rFonts w:ascii="Book Antiqua" w:hAnsi="Book Antiqua"/>
        </w:rPr>
        <w:t xml:space="preserve"> </w:t>
      </w:r>
      <w:r w:rsidR="002A2C2A" w:rsidRPr="00392EE4">
        <w:rPr>
          <w:rFonts w:ascii="Book Antiqua" w:eastAsia="宋体" w:hAnsi="Book Antiqua" w:hint="eastAsia"/>
          <w:b/>
          <w:lang w:eastAsia="zh-CN"/>
        </w:rPr>
        <w:t>MD,</w:t>
      </w:r>
      <w:r w:rsidR="002A2C2A" w:rsidRPr="00392EE4">
        <w:rPr>
          <w:rFonts w:ascii="Book Antiqua" w:eastAsia="宋体" w:hAnsi="Book Antiqua" w:hint="eastAsia"/>
          <w:lang w:eastAsia="zh-CN"/>
        </w:rPr>
        <w:t xml:space="preserve"> </w:t>
      </w:r>
      <w:r w:rsidRPr="00392EE4">
        <w:rPr>
          <w:rFonts w:ascii="Book Antiqua" w:hAnsi="Book Antiqua"/>
        </w:rPr>
        <w:t>Division of Gastroenterology, Department of Internal Medicine Toho University Ohashi Medical Center</w:t>
      </w:r>
      <w:r w:rsidRPr="00392EE4">
        <w:rPr>
          <w:rFonts w:ascii="Book Antiqua" w:eastAsia="宋体" w:hAnsi="Book Antiqua"/>
          <w:lang w:eastAsia="zh-CN"/>
        </w:rPr>
        <w:t xml:space="preserve">, </w:t>
      </w:r>
      <w:r w:rsidRPr="00392EE4">
        <w:rPr>
          <w:rFonts w:ascii="Book Antiqua" w:hAnsi="Book Antiqua"/>
        </w:rPr>
        <w:t>2-17-6 Ohashi, Meguro-ku</w:t>
      </w:r>
      <w:r w:rsidRPr="00392EE4">
        <w:rPr>
          <w:rFonts w:ascii="Book Antiqua" w:eastAsia="宋体" w:hAnsi="Book Antiqua"/>
          <w:lang w:eastAsia="zh-CN"/>
        </w:rPr>
        <w:t xml:space="preserve">, </w:t>
      </w:r>
      <w:r w:rsidRPr="00392EE4">
        <w:rPr>
          <w:rFonts w:ascii="Book Antiqua" w:hAnsi="Book Antiqua"/>
        </w:rPr>
        <w:t>Tokyo 153-8515, Japan</w:t>
      </w:r>
      <w:r w:rsidRPr="00392EE4">
        <w:rPr>
          <w:rFonts w:ascii="Book Antiqua" w:eastAsia="宋体" w:hAnsi="Book Antiqua"/>
          <w:lang w:eastAsia="zh-CN"/>
        </w:rPr>
        <w:t xml:space="preserve">. </w:t>
      </w:r>
      <w:r w:rsidRPr="00392EE4">
        <w:rPr>
          <w:rFonts w:ascii="Book Antiqua" w:hAnsi="Book Antiqua"/>
          <w:u w:val="single"/>
        </w:rPr>
        <w:t>mtnir50637@med.toho-u.ac.jp</w:t>
      </w:r>
    </w:p>
    <w:p w:rsidR="00340085" w:rsidRPr="00392EE4" w:rsidRDefault="00340085" w:rsidP="002A2C2A">
      <w:pPr>
        <w:spacing w:line="360" w:lineRule="auto"/>
        <w:rPr>
          <w:rFonts w:ascii="Book Antiqua" w:hAnsi="Book Antiqua"/>
          <w:sz w:val="24"/>
        </w:rPr>
      </w:pPr>
    </w:p>
    <w:p w:rsidR="00340085" w:rsidRDefault="00340085" w:rsidP="002A2C2A">
      <w:pPr>
        <w:spacing w:line="360" w:lineRule="auto"/>
        <w:rPr>
          <w:rFonts w:ascii="Book Antiqua" w:hAnsi="Book Antiqua"/>
          <w:sz w:val="24"/>
        </w:rPr>
      </w:pPr>
      <w:r w:rsidRPr="00392EE4">
        <w:rPr>
          <w:rFonts w:ascii="Book Antiqua" w:hAnsi="Book Antiqua"/>
          <w:b/>
          <w:sz w:val="24"/>
        </w:rPr>
        <w:t xml:space="preserve">Telephone: </w:t>
      </w:r>
      <w:r w:rsidRPr="00392EE4">
        <w:rPr>
          <w:rFonts w:ascii="Book Antiqua" w:hAnsi="Book Antiqua"/>
          <w:sz w:val="24"/>
        </w:rPr>
        <w:t>+81-3-3468-1251</w:t>
      </w:r>
      <w:r w:rsidRPr="00392EE4">
        <w:rPr>
          <w:rFonts w:ascii="Book Antiqua" w:hAnsi="Book Antiqua"/>
          <w:b/>
          <w:sz w:val="24"/>
        </w:rPr>
        <w:t xml:space="preserve"> Fax: </w:t>
      </w:r>
      <w:r w:rsidRPr="00392EE4">
        <w:rPr>
          <w:rFonts w:ascii="Book Antiqua" w:hAnsi="Book Antiqua"/>
          <w:sz w:val="24"/>
        </w:rPr>
        <w:t>+81-3-5465-0210</w:t>
      </w:r>
    </w:p>
    <w:p w:rsidR="000A226D" w:rsidRPr="00392EE4" w:rsidRDefault="000A226D" w:rsidP="002A2C2A">
      <w:pPr>
        <w:spacing w:line="360" w:lineRule="auto"/>
        <w:rPr>
          <w:rFonts w:ascii="Book Antiqua" w:hAnsi="Book Antiqua"/>
          <w:sz w:val="24"/>
        </w:rPr>
      </w:pPr>
    </w:p>
    <w:p w:rsidR="00340085" w:rsidRPr="00392EE4" w:rsidRDefault="00340085" w:rsidP="002A2C2A">
      <w:pPr>
        <w:spacing w:line="360" w:lineRule="auto"/>
        <w:rPr>
          <w:rFonts w:ascii="Book Antiqua" w:hAnsi="Book Antiqua"/>
          <w:sz w:val="24"/>
        </w:rPr>
      </w:pPr>
      <w:r w:rsidRPr="00392EE4">
        <w:rPr>
          <w:rFonts w:ascii="Book Antiqua" w:hAnsi="Book Antiqua"/>
          <w:b/>
          <w:sz w:val="24"/>
        </w:rPr>
        <w:t xml:space="preserve">Received: </w:t>
      </w:r>
      <w:r w:rsidR="008D6636" w:rsidRPr="00392EE4">
        <w:rPr>
          <w:rFonts w:ascii="Book Antiqua" w:hAnsi="Book Antiqua"/>
          <w:sz w:val="24"/>
        </w:rPr>
        <w:t>January 10, 2013</w:t>
      </w:r>
      <w:r w:rsidRPr="00392EE4">
        <w:rPr>
          <w:rFonts w:ascii="Book Antiqua" w:hAnsi="Book Antiqua"/>
          <w:b/>
          <w:sz w:val="24"/>
        </w:rPr>
        <w:t xml:space="preserve"> Revised: </w:t>
      </w:r>
      <w:r w:rsidR="008D6636" w:rsidRPr="00392EE4">
        <w:rPr>
          <w:rFonts w:ascii="Book Antiqua" w:hAnsi="Book Antiqua"/>
          <w:sz w:val="24"/>
        </w:rPr>
        <w:t>April 24, 2013</w:t>
      </w:r>
      <w:r w:rsidRPr="00392EE4">
        <w:rPr>
          <w:rFonts w:ascii="Book Antiqua" w:hAnsi="Book Antiqua"/>
          <w:sz w:val="24"/>
        </w:rPr>
        <w:t xml:space="preserve"> </w:t>
      </w:r>
    </w:p>
    <w:p w:rsidR="00C079BF" w:rsidRPr="00097574" w:rsidRDefault="00340085" w:rsidP="00C079BF">
      <w:pPr>
        <w:rPr>
          <w:rFonts w:ascii="Book Antiqua" w:hAnsi="Book Antiqua"/>
          <w:sz w:val="24"/>
        </w:rPr>
      </w:pPr>
      <w:r w:rsidRPr="00392EE4">
        <w:rPr>
          <w:rFonts w:ascii="Book Antiqua" w:hAnsi="Book Antiqua"/>
          <w:b/>
          <w:sz w:val="24"/>
        </w:rPr>
        <w:t>Accepted:</w:t>
      </w:r>
      <w:bookmarkStart w:id="0" w:name="OLE_LINK1"/>
      <w:bookmarkStart w:id="1" w:name="OLE_LINK2"/>
      <w:bookmarkStart w:id="2" w:name="OLE_LINK3"/>
      <w:r w:rsidR="00C079BF" w:rsidRPr="00C079BF">
        <w:rPr>
          <w:rFonts w:ascii="Book Antiqua" w:hAnsi="Book Antiqua"/>
          <w:sz w:val="24"/>
        </w:rPr>
        <w:t xml:space="preserve"> </w:t>
      </w:r>
      <w:r w:rsidR="00C079BF" w:rsidRPr="00097574">
        <w:rPr>
          <w:rFonts w:ascii="Book Antiqua" w:hAnsi="Book Antiqua"/>
          <w:sz w:val="24"/>
        </w:rPr>
        <w:t>May 9, 2013</w:t>
      </w:r>
      <w:bookmarkEnd w:id="0"/>
      <w:bookmarkEnd w:id="1"/>
      <w:bookmarkEnd w:id="2"/>
    </w:p>
    <w:p w:rsidR="00340085" w:rsidRPr="00392EE4" w:rsidRDefault="00340085" w:rsidP="002A2C2A">
      <w:pPr>
        <w:spacing w:line="360" w:lineRule="auto"/>
        <w:rPr>
          <w:rFonts w:ascii="Book Antiqua" w:hAnsi="Book Antiqua"/>
          <w:b/>
          <w:sz w:val="24"/>
        </w:rPr>
      </w:pPr>
      <w:bookmarkStart w:id="3" w:name="_GoBack"/>
      <w:bookmarkEnd w:id="3"/>
      <w:r w:rsidRPr="00392EE4">
        <w:rPr>
          <w:rFonts w:ascii="Book Antiqua" w:hAnsi="Book Antiqua"/>
          <w:b/>
          <w:sz w:val="24"/>
        </w:rPr>
        <w:t xml:space="preserve">  </w:t>
      </w:r>
    </w:p>
    <w:p w:rsidR="00340085" w:rsidRPr="00392EE4" w:rsidRDefault="00340085" w:rsidP="002A2C2A">
      <w:pPr>
        <w:spacing w:line="360" w:lineRule="auto"/>
        <w:rPr>
          <w:rFonts w:ascii="Book Antiqua" w:hAnsi="Book Antiqua"/>
          <w:b/>
          <w:sz w:val="24"/>
        </w:rPr>
      </w:pPr>
      <w:r w:rsidRPr="00392EE4">
        <w:rPr>
          <w:rFonts w:ascii="Book Antiqua" w:hAnsi="Book Antiqua"/>
          <w:b/>
          <w:sz w:val="24"/>
        </w:rPr>
        <w:t xml:space="preserve">Published online: </w:t>
      </w:r>
    </w:p>
    <w:p w:rsidR="00340085" w:rsidRPr="00392EE4" w:rsidRDefault="00340085" w:rsidP="002A2C2A">
      <w:pPr>
        <w:spacing w:line="360" w:lineRule="auto"/>
        <w:rPr>
          <w:rFonts w:ascii="Book Antiqua" w:hAnsi="Book Antiqua"/>
          <w:sz w:val="24"/>
        </w:rPr>
      </w:pPr>
    </w:p>
    <w:p w:rsidR="00340085" w:rsidRPr="00392EE4" w:rsidRDefault="00340085" w:rsidP="002A2C2A">
      <w:pPr>
        <w:spacing w:line="360" w:lineRule="auto"/>
        <w:rPr>
          <w:rFonts w:ascii="Book Antiqua" w:hAnsi="Book Antiqua"/>
          <w:b/>
          <w:sz w:val="24"/>
        </w:rPr>
      </w:pPr>
      <w:r w:rsidRPr="00392EE4">
        <w:rPr>
          <w:rFonts w:ascii="Book Antiqua" w:hAnsi="Book Antiqua"/>
          <w:b/>
          <w:sz w:val="24"/>
        </w:rPr>
        <w:t xml:space="preserve">Abstract </w:t>
      </w:r>
    </w:p>
    <w:p w:rsidR="00340085" w:rsidRPr="00392EE4" w:rsidRDefault="00340085" w:rsidP="002A2C2A">
      <w:pPr>
        <w:spacing w:line="360" w:lineRule="auto"/>
        <w:contextualSpacing/>
        <w:rPr>
          <w:rFonts w:ascii="Book Antiqua" w:hAnsi="Book Antiqua"/>
          <w:b/>
          <w:i/>
          <w:sz w:val="24"/>
        </w:rPr>
      </w:pPr>
      <w:r w:rsidRPr="00392EE4">
        <w:rPr>
          <w:rFonts w:ascii="Book Antiqua" w:hAnsi="Book Antiqua"/>
          <w:b/>
          <w:sz w:val="24"/>
        </w:rPr>
        <w:t>AIM:</w:t>
      </w:r>
      <w:r w:rsidRPr="00392EE4">
        <w:rPr>
          <w:rFonts w:ascii="Book Antiqua" w:hAnsi="Book Antiqua"/>
          <w:sz w:val="24"/>
        </w:rPr>
        <w:t xml:space="preserve"> To perform Wire-guided cannulation using a newly designed J-shaped-tip guidewire, and verified feasibility and safety for use.</w:t>
      </w:r>
    </w:p>
    <w:p w:rsidR="00340085" w:rsidRPr="00392EE4" w:rsidRDefault="00340085" w:rsidP="002A2C2A">
      <w:pPr>
        <w:spacing w:line="360" w:lineRule="auto"/>
        <w:rPr>
          <w:rFonts w:ascii="Book Antiqua" w:hAnsi="Book Antiqua"/>
          <w:sz w:val="24"/>
        </w:rPr>
      </w:pPr>
    </w:p>
    <w:p w:rsidR="00340085" w:rsidRPr="00392EE4" w:rsidRDefault="00340085" w:rsidP="002A2C2A">
      <w:pPr>
        <w:spacing w:line="360" w:lineRule="auto"/>
        <w:contextualSpacing/>
        <w:rPr>
          <w:rFonts w:ascii="Book Antiqua" w:hAnsi="Book Antiqua"/>
          <w:sz w:val="24"/>
        </w:rPr>
      </w:pPr>
      <w:r w:rsidRPr="00392EE4">
        <w:rPr>
          <w:rFonts w:ascii="Book Antiqua" w:hAnsi="Book Antiqua"/>
          <w:b/>
          <w:sz w:val="24"/>
        </w:rPr>
        <w:t>METHODS:</w:t>
      </w:r>
      <w:r w:rsidRPr="00392EE4">
        <w:rPr>
          <w:rFonts w:ascii="Book Antiqua" w:hAnsi="Book Antiqua"/>
          <w:sz w:val="24"/>
        </w:rPr>
        <w:t xml:space="preserve"> </w:t>
      </w:r>
      <w:r w:rsidRPr="00392EE4">
        <w:rPr>
          <w:rFonts w:ascii="Book Antiqua" w:hAnsi="Book Antiqua"/>
          <w:kern w:val="0"/>
          <w:sz w:val="24"/>
        </w:rPr>
        <w:t xml:space="preserve">The study was conducted on </w:t>
      </w:r>
      <w:r w:rsidR="008D6636" w:rsidRPr="00392EE4">
        <w:rPr>
          <w:rFonts w:ascii="Book Antiqua" w:hAnsi="Book Antiqua"/>
          <w:kern w:val="0"/>
          <w:sz w:val="24"/>
        </w:rPr>
        <w:t>e</w:t>
      </w:r>
      <w:r w:rsidRPr="00392EE4">
        <w:rPr>
          <w:rFonts w:ascii="Book Antiqua" w:hAnsi="Book Antiqua"/>
          <w:kern w:val="0"/>
          <w:sz w:val="24"/>
        </w:rPr>
        <w:t>ndoscopic retrograde cholangiopancreatography (ERCP) patients with naïve</w:t>
      </w:r>
      <w:r w:rsidRPr="00392EE4">
        <w:rPr>
          <w:rFonts w:ascii="Book Antiqua" w:hAnsi="Book Antiqua"/>
          <w:sz w:val="24"/>
        </w:rPr>
        <w:t xml:space="preserve"> </w:t>
      </w:r>
      <w:r w:rsidRPr="00392EE4">
        <w:rPr>
          <w:rFonts w:ascii="Book Antiqua" w:hAnsi="Book Antiqua"/>
          <w:kern w:val="0"/>
          <w:sz w:val="24"/>
        </w:rPr>
        <w:t xml:space="preserve">papilla undergoing </w:t>
      </w:r>
      <w:r w:rsidRPr="00392EE4">
        <w:rPr>
          <w:rFonts w:ascii="Book Antiqua" w:hAnsi="Book Antiqua"/>
          <w:kern w:val="0"/>
          <w:sz w:val="24"/>
        </w:rPr>
        <w:lastRenderedPageBreak/>
        <w:t xml:space="preserve">diagnosis and treatment of biliary diseases between September 2011 and July 2012. We performed a succession of 50 cases with </w:t>
      </w:r>
      <w:r w:rsidRPr="00392EE4">
        <w:rPr>
          <w:rFonts w:ascii="Book Antiqua" w:hAnsi="Book Antiqua"/>
          <w:sz w:val="24"/>
        </w:rPr>
        <w:t xml:space="preserve">J-shaped tip guidewire. </w:t>
      </w:r>
      <w:r w:rsidRPr="00392EE4">
        <w:rPr>
          <w:rFonts w:ascii="Book Antiqua" w:hAnsi="Book Antiqua"/>
          <w:kern w:val="0"/>
          <w:sz w:val="24"/>
        </w:rPr>
        <w:t>The first insertion attempt began with a trainee who had 5 min to complete cannulation, followed if necessary trainer for another 5 min.</w:t>
      </w:r>
      <w:r w:rsidRPr="00392EE4">
        <w:rPr>
          <w:rFonts w:ascii="Book Antiqua" w:hAnsi="Book Antiqua"/>
          <w:sz w:val="24"/>
        </w:rPr>
        <w:t xml:space="preserve"> We assessed  the  primary success rate of selective biliary cannulation within 10 min and adverse events such as post-ERCP pancreatitis (PEP), bleeding, perforation.</w:t>
      </w:r>
    </w:p>
    <w:p w:rsidR="00340085" w:rsidRPr="00392EE4" w:rsidRDefault="00340085" w:rsidP="002A2C2A">
      <w:pPr>
        <w:spacing w:line="360" w:lineRule="auto"/>
        <w:rPr>
          <w:rFonts w:ascii="Book Antiqua" w:hAnsi="Book Antiqua"/>
          <w:b/>
          <w:sz w:val="24"/>
        </w:rPr>
      </w:pPr>
    </w:p>
    <w:p w:rsidR="00340085" w:rsidRPr="00392EE4" w:rsidRDefault="00340085" w:rsidP="002A2C2A">
      <w:pPr>
        <w:spacing w:line="360" w:lineRule="auto"/>
        <w:rPr>
          <w:rFonts w:ascii="Book Antiqua" w:hAnsi="Book Antiqua"/>
          <w:sz w:val="24"/>
        </w:rPr>
      </w:pPr>
      <w:r w:rsidRPr="00392EE4">
        <w:rPr>
          <w:rFonts w:ascii="Book Antiqua" w:hAnsi="Book Antiqua"/>
          <w:b/>
          <w:sz w:val="24"/>
        </w:rPr>
        <w:t>RESULTS:</w:t>
      </w:r>
      <w:r w:rsidRPr="00392EE4">
        <w:rPr>
          <w:rFonts w:ascii="Book Antiqua" w:eastAsia="MS PGothic" w:hAnsi="Book Antiqua"/>
          <w:kern w:val="0"/>
          <w:sz w:val="24"/>
        </w:rPr>
        <w:t xml:space="preserve"> The primary success rate was 90% (45/50) within 10 min, the initial success rate within 5 min by trainee staffs was 76% (38/50). The </w:t>
      </w:r>
      <w:r w:rsidRPr="00392EE4">
        <w:rPr>
          <w:rFonts w:ascii="Book Antiqua" w:hAnsi="Book Antiqua"/>
          <w:sz w:val="24"/>
        </w:rPr>
        <w:t>rate of PEP</w:t>
      </w:r>
      <w:r w:rsidRPr="00392EE4">
        <w:rPr>
          <w:rFonts w:ascii="Book Antiqua" w:eastAsia="MS PGothic" w:hAnsi="Book Antiqua"/>
          <w:kern w:val="0"/>
          <w:sz w:val="24"/>
        </w:rPr>
        <w:t xml:space="preserve"> was 6% (3/50), but all 3cases were mild pancreatitis.</w:t>
      </w:r>
      <w:r w:rsidRPr="00392EE4">
        <w:rPr>
          <w:rFonts w:ascii="Book Antiqua" w:hAnsi="Book Antiqua"/>
          <w:sz w:val="24"/>
        </w:rPr>
        <w:t xml:space="preserve"> All patients were managed successfully with conservative treatment. There was no bleeding and perforation.</w:t>
      </w:r>
    </w:p>
    <w:p w:rsidR="00340085" w:rsidRPr="00392EE4" w:rsidRDefault="00340085" w:rsidP="002A2C2A">
      <w:pPr>
        <w:spacing w:line="360" w:lineRule="auto"/>
        <w:rPr>
          <w:rFonts w:ascii="Book Antiqua" w:hAnsi="Book Antiqua"/>
          <w:sz w:val="24"/>
        </w:rPr>
      </w:pPr>
    </w:p>
    <w:p w:rsidR="00340085" w:rsidRPr="00392EE4" w:rsidRDefault="00340085" w:rsidP="002A2C2A">
      <w:pPr>
        <w:spacing w:line="360" w:lineRule="auto"/>
        <w:contextualSpacing/>
        <w:rPr>
          <w:rFonts w:ascii="Book Antiqua" w:hAnsi="Book Antiqua"/>
          <w:sz w:val="24"/>
        </w:rPr>
      </w:pPr>
      <w:r w:rsidRPr="00392EE4">
        <w:rPr>
          <w:rFonts w:ascii="Book Antiqua" w:hAnsi="Book Antiqua"/>
          <w:b/>
          <w:sz w:val="24"/>
        </w:rPr>
        <w:t>CONCLUSION:</w:t>
      </w:r>
      <w:r w:rsidRPr="00392EE4">
        <w:rPr>
          <w:rFonts w:ascii="Book Antiqua" w:hAnsi="Book Antiqua" w:cs="Tahoma"/>
          <w:sz w:val="24"/>
        </w:rPr>
        <w:t xml:space="preserve"> </w:t>
      </w:r>
      <w:r w:rsidRPr="00392EE4">
        <w:rPr>
          <w:rFonts w:ascii="Book Antiqua" w:hAnsi="Book Antiqua"/>
          <w:sz w:val="24"/>
        </w:rPr>
        <w:t xml:space="preserve">A newly designed J-shaped tip guide-wire has possibility may facilitate selective biliary cannulation for ERCP. It may be safety. </w:t>
      </w:r>
    </w:p>
    <w:p w:rsidR="00340085" w:rsidRPr="00392EE4" w:rsidRDefault="00340085" w:rsidP="002A2C2A">
      <w:pPr>
        <w:spacing w:line="360" w:lineRule="auto"/>
        <w:rPr>
          <w:rFonts w:ascii="Book Antiqua" w:hAnsi="Book Antiqua"/>
          <w:sz w:val="24"/>
        </w:rPr>
      </w:pPr>
    </w:p>
    <w:p w:rsidR="00340085" w:rsidRPr="00392EE4" w:rsidRDefault="00340085" w:rsidP="002A2C2A">
      <w:pPr>
        <w:spacing w:line="360" w:lineRule="auto"/>
        <w:rPr>
          <w:rFonts w:ascii="Book Antiqua" w:hAnsi="Book Antiqua"/>
          <w:sz w:val="24"/>
        </w:rPr>
      </w:pPr>
      <w:r w:rsidRPr="00392EE4">
        <w:rPr>
          <w:rFonts w:ascii="Book Antiqua" w:hAnsi="Book Antiqua"/>
          <w:sz w:val="24"/>
        </w:rPr>
        <w:t>© 2013 Baishideng. All rights reserved.</w:t>
      </w:r>
    </w:p>
    <w:p w:rsidR="00340085" w:rsidRPr="00392EE4" w:rsidRDefault="00340085" w:rsidP="002A2C2A">
      <w:pPr>
        <w:spacing w:line="360" w:lineRule="auto"/>
        <w:rPr>
          <w:rFonts w:ascii="Book Antiqua" w:hAnsi="Book Antiqua"/>
          <w:sz w:val="24"/>
        </w:rPr>
      </w:pPr>
    </w:p>
    <w:p w:rsidR="00340085" w:rsidRPr="00392EE4" w:rsidRDefault="00340085" w:rsidP="002A2C2A">
      <w:pPr>
        <w:widowControl/>
        <w:spacing w:line="360" w:lineRule="auto"/>
        <w:contextualSpacing/>
        <w:rPr>
          <w:rFonts w:ascii="Book Antiqua" w:hAnsi="Book Antiqua"/>
          <w:sz w:val="24"/>
        </w:rPr>
      </w:pPr>
      <w:r w:rsidRPr="00392EE4">
        <w:rPr>
          <w:rFonts w:ascii="Book Antiqua" w:hAnsi="Book Antiqua"/>
          <w:b/>
          <w:sz w:val="24"/>
        </w:rPr>
        <w:t>Key words:</w:t>
      </w:r>
      <w:r w:rsidRPr="00392EE4">
        <w:rPr>
          <w:rFonts w:ascii="Book Antiqua" w:hAnsi="Book Antiqua"/>
          <w:sz w:val="24"/>
        </w:rPr>
        <w:t xml:space="preserve"> J-shaped-tip guidewire; Wire-guided cannulation; Endoscopic retrograde cholangiopancreatography; Biliary tract; Cannulation technique perforation</w:t>
      </w:r>
    </w:p>
    <w:p w:rsidR="00ED7871" w:rsidRPr="00392EE4" w:rsidRDefault="00ED7871" w:rsidP="002A2C2A">
      <w:pPr>
        <w:spacing w:line="360" w:lineRule="auto"/>
        <w:rPr>
          <w:rFonts w:ascii="Book Antiqua" w:eastAsia="Arial Unicode MS" w:hAnsi="Book Antiqua" w:cs="Arial Unicode MS"/>
          <w:b/>
          <w:sz w:val="24"/>
        </w:rPr>
      </w:pPr>
    </w:p>
    <w:p w:rsidR="00340085" w:rsidRPr="00392EE4" w:rsidRDefault="00340085" w:rsidP="002A2C2A">
      <w:pPr>
        <w:spacing w:line="360" w:lineRule="auto"/>
        <w:rPr>
          <w:rFonts w:ascii="Book Antiqua" w:eastAsia="Arial Unicode MS" w:hAnsi="Book Antiqua" w:cs="Arial Unicode MS"/>
          <w:b/>
          <w:sz w:val="24"/>
        </w:rPr>
      </w:pPr>
      <w:r w:rsidRPr="00392EE4">
        <w:rPr>
          <w:rFonts w:ascii="Book Antiqua" w:eastAsia="Arial Unicode MS" w:hAnsi="Book Antiqua" w:cs="Arial Unicode MS"/>
          <w:b/>
          <w:sz w:val="24"/>
        </w:rPr>
        <w:lastRenderedPageBreak/>
        <w:t xml:space="preserve">Core tip: </w:t>
      </w:r>
      <w:r w:rsidRPr="00392EE4">
        <w:rPr>
          <w:rFonts w:ascii="Book Antiqua" w:hAnsi="Book Antiqua"/>
          <w:sz w:val="24"/>
        </w:rPr>
        <w:t xml:space="preserve">We conducted the feasibility study that performed Endoscopic retrograde cholangiopancreatography (ERCP) with a newly designed J-shaped tip guidewire. This new guidewire has a strongly-flexed atraumatic tip with hydrophilic coating, Therefore, it may contribute to the improvement of the passage through intra-duodenal biliary segment and the decrease of adverse events such as post-ERCP-pancreatitis. We assessed the primary success rate of selective biliary cannulation within 10 min and post-ERCP-pancreatitis. </w:t>
      </w:r>
      <w:r w:rsidRPr="00392EE4">
        <w:rPr>
          <w:rFonts w:ascii="Book Antiqua" w:eastAsia="MS PGothic" w:hAnsi="Book Antiqua"/>
          <w:kern w:val="0"/>
          <w:sz w:val="24"/>
        </w:rPr>
        <w:t xml:space="preserve">The primary success rate was 90% (45/50), the </w:t>
      </w:r>
      <w:r w:rsidRPr="00392EE4">
        <w:rPr>
          <w:rFonts w:ascii="Book Antiqua" w:hAnsi="Book Antiqua"/>
          <w:sz w:val="24"/>
        </w:rPr>
        <w:t>rate of post-ERCP-pancreatitis</w:t>
      </w:r>
      <w:r w:rsidRPr="00392EE4">
        <w:rPr>
          <w:rFonts w:ascii="Book Antiqua" w:eastAsia="MS PGothic" w:hAnsi="Book Antiqua"/>
          <w:kern w:val="0"/>
          <w:sz w:val="24"/>
        </w:rPr>
        <w:t xml:space="preserve"> was 6% (3/50), but all 3 cases were mild. </w:t>
      </w:r>
      <w:r w:rsidRPr="00392EE4">
        <w:rPr>
          <w:rFonts w:ascii="Book Antiqua" w:hAnsi="Book Antiqua"/>
          <w:sz w:val="24"/>
        </w:rPr>
        <w:t>J-shaped-tip guiderire may facilitate selective biliary cannulation in ERCP.</w:t>
      </w:r>
    </w:p>
    <w:p w:rsidR="00340085" w:rsidRPr="00392EE4" w:rsidRDefault="00340085" w:rsidP="002A2C2A">
      <w:pPr>
        <w:spacing w:line="360" w:lineRule="auto"/>
        <w:rPr>
          <w:rFonts w:ascii="Book Antiqua" w:hAnsi="Book Antiqua"/>
          <w:sz w:val="24"/>
        </w:rPr>
      </w:pPr>
    </w:p>
    <w:p w:rsidR="00340085" w:rsidRPr="00392EE4" w:rsidRDefault="00340085" w:rsidP="002A2C2A">
      <w:pPr>
        <w:spacing w:line="360" w:lineRule="auto"/>
        <w:rPr>
          <w:rFonts w:ascii="Book Antiqua" w:hAnsi="Book Antiqua" w:cs="Tahoma"/>
          <w:sz w:val="24"/>
        </w:rPr>
      </w:pPr>
      <w:r w:rsidRPr="00392EE4">
        <w:rPr>
          <w:rFonts w:ascii="Book Antiqua" w:hAnsi="Book Antiqua"/>
          <w:sz w:val="24"/>
        </w:rPr>
        <w:t>Omuta S, Maetani I, Shigoka H, Gon K, Saito</w:t>
      </w:r>
      <w:r w:rsidRPr="00392EE4">
        <w:rPr>
          <w:rFonts w:ascii="Book Antiqua" w:hAnsi="Book Antiqua"/>
          <w:b/>
          <w:sz w:val="24"/>
        </w:rPr>
        <w:t xml:space="preserve"> </w:t>
      </w:r>
      <w:r w:rsidRPr="00392EE4">
        <w:rPr>
          <w:rFonts w:ascii="Book Antiqua" w:hAnsi="Book Antiqua"/>
          <w:sz w:val="24"/>
        </w:rPr>
        <w:t xml:space="preserve">M, Tokuhisa J, Naruki M. Newly designed J-shaped-tip guidewire: </w:t>
      </w:r>
      <w:r w:rsidR="00CF2FD7" w:rsidRPr="00392EE4">
        <w:rPr>
          <w:rFonts w:ascii="Book Antiqua" w:hAnsi="Book Antiqua"/>
          <w:sz w:val="24"/>
        </w:rPr>
        <w:t>A</w:t>
      </w:r>
      <w:r w:rsidRPr="00392EE4">
        <w:rPr>
          <w:rFonts w:ascii="Book Antiqua" w:hAnsi="Book Antiqua"/>
          <w:sz w:val="24"/>
        </w:rPr>
        <w:t xml:space="preserve"> preliminary feasibility study in wireguide cannulation</w:t>
      </w:r>
    </w:p>
    <w:p w:rsidR="00340085" w:rsidRPr="00392EE4" w:rsidRDefault="00340085" w:rsidP="002A2C2A">
      <w:pPr>
        <w:spacing w:line="360" w:lineRule="auto"/>
        <w:rPr>
          <w:rFonts w:ascii="Book Antiqua" w:hAnsi="Book Antiqua"/>
          <w:sz w:val="24"/>
        </w:rPr>
      </w:pPr>
    </w:p>
    <w:p w:rsidR="00340085" w:rsidRPr="00392EE4" w:rsidRDefault="00340085" w:rsidP="002A2C2A">
      <w:pPr>
        <w:spacing w:line="360" w:lineRule="auto"/>
        <w:rPr>
          <w:rFonts w:ascii="Book Antiqua" w:hAnsi="Book Antiqua"/>
          <w:iCs/>
          <w:sz w:val="24"/>
        </w:rPr>
      </w:pPr>
      <w:r w:rsidRPr="00392EE4">
        <w:rPr>
          <w:rFonts w:ascii="Book Antiqua" w:hAnsi="Book Antiqua"/>
          <w:b/>
          <w:iCs/>
          <w:sz w:val="24"/>
        </w:rPr>
        <w:t xml:space="preserve">Available from: </w:t>
      </w:r>
    </w:p>
    <w:p w:rsidR="00340085" w:rsidRPr="00392EE4" w:rsidRDefault="00340085" w:rsidP="002A2C2A">
      <w:pPr>
        <w:spacing w:line="360" w:lineRule="auto"/>
        <w:rPr>
          <w:rFonts w:ascii="Book Antiqua" w:hAnsi="Book Antiqua"/>
          <w:sz w:val="24"/>
        </w:rPr>
      </w:pPr>
      <w:r w:rsidRPr="00392EE4">
        <w:rPr>
          <w:rFonts w:ascii="Book Antiqua" w:hAnsi="Book Antiqua"/>
          <w:b/>
          <w:iCs/>
          <w:sz w:val="24"/>
        </w:rPr>
        <w:t xml:space="preserve">DOI: </w:t>
      </w:r>
    </w:p>
    <w:p w:rsidR="00340085" w:rsidRPr="00392EE4" w:rsidRDefault="00340085" w:rsidP="002A2C2A">
      <w:pPr>
        <w:spacing w:line="360" w:lineRule="auto"/>
        <w:rPr>
          <w:rFonts w:ascii="Book Antiqua" w:hAnsi="Book Antiqua"/>
          <w:b/>
          <w:sz w:val="24"/>
        </w:rPr>
      </w:pPr>
    </w:p>
    <w:p w:rsidR="00340085" w:rsidRPr="00392EE4" w:rsidRDefault="00340085" w:rsidP="002A2C2A">
      <w:pPr>
        <w:spacing w:line="360" w:lineRule="auto"/>
        <w:rPr>
          <w:rFonts w:ascii="Book Antiqua" w:hAnsi="Book Antiqua"/>
          <w:b/>
          <w:sz w:val="24"/>
        </w:rPr>
      </w:pPr>
      <w:r w:rsidRPr="00392EE4">
        <w:rPr>
          <w:rFonts w:ascii="Book Antiqua" w:hAnsi="Book Antiqua"/>
          <w:b/>
          <w:sz w:val="24"/>
        </w:rPr>
        <w:t>INTRODUCTION</w:t>
      </w:r>
    </w:p>
    <w:p w:rsidR="00340085" w:rsidRPr="00392EE4" w:rsidRDefault="00340085" w:rsidP="002A2C2A">
      <w:pPr>
        <w:widowControl/>
        <w:spacing w:line="360" w:lineRule="auto"/>
        <w:contextualSpacing/>
        <w:rPr>
          <w:rFonts w:ascii="Book Antiqua" w:hAnsi="Book Antiqua"/>
          <w:sz w:val="24"/>
          <w:vertAlign w:val="superscript"/>
        </w:rPr>
      </w:pPr>
      <w:r w:rsidRPr="00392EE4">
        <w:rPr>
          <w:rFonts w:ascii="Book Antiqua" w:hAnsi="Book Antiqua"/>
          <w:sz w:val="24"/>
        </w:rPr>
        <w:t>Endoscopic retrograde cholangiopancreatography (ERCP) is used to diagnose and treat biliary disease. Deep cannulation of the common bile duct is required for this procedure, and the current success rate for the relatively difficult</w:t>
      </w:r>
      <w:r w:rsidRPr="00392EE4" w:rsidDel="004F3531">
        <w:rPr>
          <w:rFonts w:ascii="Book Antiqua" w:hAnsi="Book Antiqua"/>
          <w:sz w:val="24"/>
        </w:rPr>
        <w:t xml:space="preserve"> </w:t>
      </w:r>
      <w:r w:rsidRPr="00392EE4">
        <w:rPr>
          <w:rFonts w:ascii="Book Antiqua" w:hAnsi="Book Antiqua"/>
          <w:sz w:val="24"/>
        </w:rPr>
        <w:lastRenderedPageBreak/>
        <w:t>conventional contrast-guided cannulation (CGC) technique ranges from 50%-90%</w:t>
      </w:r>
      <w:r w:rsidRPr="00392EE4">
        <w:rPr>
          <w:rFonts w:ascii="Book Antiqua" w:hAnsi="Book Antiqua"/>
          <w:sz w:val="24"/>
          <w:vertAlign w:val="superscript"/>
        </w:rPr>
        <w:t>[1-5]</w:t>
      </w:r>
      <w:r w:rsidRPr="00392EE4">
        <w:rPr>
          <w:rFonts w:ascii="Book Antiqua" w:hAnsi="Book Antiqua"/>
          <w:sz w:val="24"/>
        </w:rPr>
        <w:t>. Wire-guided cannulation (WGC) is a recently developed alternative to CGC that has been shown to increase primary biliary cannulation rate</w:t>
      </w:r>
      <w:r w:rsidRPr="00392EE4">
        <w:rPr>
          <w:rFonts w:ascii="Book Antiqua" w:hAnsi="Book Antiqua"/>
          <w:sz w:val="24"/>
          <w:vertAlign w:val="superscript"/>
        </w:rPr>
        <w:t>[6-11]</w:t>
      </w:r>
      <w:r w:rsidRPr="00392EE4">
        <w:rPr>
          <w:rFonts w:ascii="Book Antiqua" w:hAnsi="Book Antiqua"/>
          <w:sz w:val="24"/>
        </w:rPr>
        <w:t>, chiefly by reducing incidence of post-ERCP pancreatitis (PEP)</w:t>
      </w:r>
      <w:r w:rsidRPr="00392EE4">
        <w:rPr>
          <w:rFonts w:ascii="Book Antiqua" w:hAnsi="Book Antiqua"/>
          <w:sz w:val="24"/>
          <w:vertAlign w:val="superscript"/>
        </w:rPr>
        <w:t>[12-20]</w:t>
      </w:r>
      <w:r w:rsidRPr="00392EE4">
        <w:rPr>
          <w:rFonts w:ascii="Book Antiqua" w:hAnsi="Book Antiqua"/>
          <w:sz w:val="24"/>
        </w:rPr>
        <w:t>. However, despite efficiency improvements, the sharp tips of guide-wires are sometimes associated with perforation</w:t>
      </w:r>
      <w:r w:rsidRPr="00392EE4">
        <w:rPr>
          <w:rFonts w:ascii="Book Antiqua" w:hAnsi="Book Antiqua"/>
          <w:sz w:val="24"/>
          <w:vertAlign w:val="superscript"/>
        </w:rPr>
        <w:t>[21-23]</w:t>
      </w:r>
      <w:r w:rsidRPr="00392EE4">
        <w:rPr>
          <w:rFonts w:ascii="Book Antiqua" w:hAnsi="Book Antiqua"/>
          <w:sz w:val="24"/>
        </w:rPr>
        <w:t>. Even without perforation, complications can occur when the guidewire tip hits the fold and flexion of the intra-duodenal biliary segment. While a looped tip guidewire has been developed, its utility in avoiding perforation has not sufficiently been evaluated</w:t>
      </w:r>
      <w:r w:rsidRPr="00392EE4">
        <w:rPr>
          <w:rFonts w:ascii="Book Antiqua" w:hAnsi="Book Antiqua"/>
          <w:sz w:val="24"/>
          <w:vertAlign w:val="superscript"/>
        </w:rPr>
        <w:t>[24,25]</w:t>
      </w:r>
      <w:r w:rsidRPr="00392EE4">
        <w:rPr>
          <w:rFonts w:ascii="Book Antiqua" w:hAnsi="Book Antiqua"/>
          <w:sz w:val="24"/>
        </w:rPr>
        <w:t xml:space="preserve">. </w:t>
      </w:r>
    </w:p>
    <w:p w:rsidR="00340085" w:rsidRPr="00392EE4" w:rsidRDefault="00340085" w:rsidP="002A2C2A">
      <w:pPr>
        <w:spacing w:line="360" w:lineRule="auto"/>
        <w:ind w:firstLineChars="200" w:firstLine="480"/>
        <w:rPr>
          <w:rFonts w:ascii="Book Antiqua" w:hAnsi="Book Antiqua"/>
          <w:sz w:val="24"/>
        </w:rPr>
      </w:pPr>
      <w:r w:rsidRPr="00392EE4">
        <w:rPr>
          <w:rFonts w:ascii="Book Antiqua" w:hAnsi="Book Antiqua"/>
          <w:sz w:val="24"/>
        </w:rPr>
        <w:t>Here, we assessed the efficiency of ERCP using a newly J-shaped-tip guidewire with a strongly flexed atraumatic tip and hydrophilic coating designed to improve passage through intra-duodenal biliary segments and decrease the adverse events, such as PEP, bleeding, perforation.</w:t>
      </w:r>
    </w:p>
    <w:p w:rsidR="00340085" w:rsidRPr="00392EE4" w:rsidRDefault="00340085" w:rsidP="002A2C2A">
      <w:pPr>
        <w:spacing w:line="360" w:lineRule="auto"/>
        <w:rPr>
          <w:rFonts w:ascii="Book Antiqua" w:hAnsi="Book Antiqua"/>
          <w:sz w:val="24"/>
        </w:rPr>
      </w:pPr>
    </w:p>
    <w:p w:rsidR="00340085" w:rsidRPr="00392EE4" w:rsidRDefault="00340085" w:rsidP="002A2C2A">
      <w:pPr>
        <w:spacing w:line="360" w:lineRule="auto"/>
        <w:rPr>
          <w:rFonts w:ascii="Book Antiqua" w:hAnsi="Book Antiqua"/>
          <w:b/>
          <w:sz w:val="24"/>
        </w:rPr>
      </w:pPr>
      <w:r w:rsidRPr="00392EE4">
        <w:rPr>
          <w:rFonts w:ascii="Book Antiqua" w:hAnsi="Book Antiqua"/>
          <w:b/>
          <w:sz w:val="24"/>
        </w:rPr>
        <w:t>MATERIALS AND METHODS</w:t>
      </w:r>
    </w:p>
    <w:p w:rsidR="00340085" w:rsidRPr="00392EE4" w:rsidRDefault="00340085" w:rsidP="002A2C2A">
      <w:pPr>
        <w:spacing w:line="360" w:lineRule="auto"/>
        <w:rPr>
          <w:rFonts w:ascii="Book Antiqua" w:hAnsi="Book Antiqua"/>
          <w:b/>
          <w:i/>
          <w:sz w:val="24"/>
        </w:rPr>
      </w:pPr>
      <w:r w:rsidRPr="00392EE4">
        <w:rPr>
          <w:rFonts w:ascii="Book Antiqua" w:hAnsi="Book Antiqua"/>
          <w:b/>
          <w:i/>
          <w:sz w:val="24"/>
        </w:rPr>
        <w:t>Patient</w:t>
      </w:r>
    </w:p>
    <w:p w:rsidR="00340085" w:rsidRPr="00392EE4" w:rsidRDefault="00340085" w:rsidP="002A2C2A">
      <w:pPr>
        <w:widowControl/>
        <w:autoSpaceDE w:val="0"/>
        <w:autoSpaceDN w:val="0"/>
        <w:adjustRightInd w:val="0"/>
        <w:spacing w:line="360" w:lineRule="auto"/>
        <w:contextualSpacing/>
        <w:rPr>
          <w:rFonts w:ascii="Book Antiqua" w:hAnsi="Book Antiqua"/>
          <w:kern w:val="0"/>
          <w:sz w:val="24"/>
        </w:rPr>
      </w:pPr>
      <w:r w:rsidRPr="00392EE4">
        <w:rPr>
          <w:rFonts w:ascii="Book Antiqua" w:hAnsi="Book Antiqua"/>
          <w:kern w:val="0"/>
          <w:sz w:val="24"/>
        </w:rPr>
        <w:t xml:space="preserve">Fifty patients with naïve papilla undergoing diagnosis and treatment for biliary diseases between September 2011 and July 2012 received ERCP using J-shaped-tip guidewires. Patients were excluded if only their pancreatic ducts were diagnosed or treated, if they had previously undergone endoscopic </w:t>
      </w:r>
      <w:r w:rsidRPr="00392EE4">
        <w:rPr>
          <w:rFonts w:ascii="Book Antiqua" w:hAnsi="Book Antiqua"/>
          <w:kern w:val="0"/>
          <w:sz w:val="24"/>
        </w:rPr>
        <w:lastRenderedPageBreak/>
        <w:t>sphincteroplasty, or if they had duodenal stenosis or</w:t>
      </w:r>
      <w:r w:rsidRPr="00392EE4" w:rsidDel="00FD1A7F">
        <w:rPr>
          <w:rFonts w:ascii="Book Antiqua" w:hAnsi="Book Antiqua"/>
          <w:kern w:val="0"/>
          <w:sz w:val="24"/>
        </w:rPr>
        <w:t xml:space="preserve"> </w:t>
      </w:r>
      <w:r w:rsidRPr="00392EE4">
        <w:rPr>
          <w:rFonts w:ascii="Book Antiqua" w:hAnsi="Book Antiqua"/>
          <w:kern w:val="0"/>
          <w:sz w:val="24"/>
        </w:rPr>
        <w:t>Billroth II or Roux-en-Y anastomosis, or refusal to provide informed consent.</w:t>
      </w:r>
    </w:p>
    <w:p w:rsidR="00340085" w:rsidRPr="00392EE4" w:rsidRDefault="00340085" w:rsidP="002A2C2A">
      <w:pPr>
        <w:widowControl/>
        <w:autoSpaceDE w:val="0"/>
        <w:autoSpaceDN w:val="0"/>
        <w:adjustRightInd w:val="0"/>
        <w:spacing w:line="360" w:lineRule="auto"/>
        <w:ind w:firstLineChars="200" w:firstLine="480"/>
        <w:contextualSpacing/>
        <w:rPr>
          <w:rFonts w:ascii="Book Antiqua" w:hAnsi="Book Antiqua"/>
          <w:kern w:val="0"/>
          <w:sz w:val="24"/>
        </w:rPr>
      </w:pPr>
      <w:r w:rsidRPr="00392EE4">
        <w:rPr>
          <w:rFonts w:ascii="Book Antiqua" w:hAnsi="Book Antiqua"/>
          <w:kern w:val="0"/>
          <w:sz w:val="24"/>
        </w:rPr>
        <w:t xml:space="preserve">Patients were sedated via intravenous administration of midazolam (5-10 mg) and </w:t>
      </w:r>
      <w:r w:rsidRPr="00392EE4">
        <w:rPr>
          <w:rFonts w:ascii="Book Antiqua" w:hAnsi="Book Antiqua"/>
          <w:sz w:val="24"/>
        </w:rPr>
        <w:t>buprenorphine (0.2 mg)</w:t>
      </w:r>
      <w:r w:rsidRPr="00392EE4">
        <w:rPr>
          <w:rFonts w:ascii="Book Antiqua" w:hAnsi="Book Antiqua"/>
          <w:kern w:val="0"/>
          <w:sz w:val="24"/>
        </w:rPr>
        <w:t xml:space="preserve">. Scopolamine butylbromide (20 mg) or glucagon (1 mg) was injected intravenously to inhibit gastrointestinal peristalsis, and each patient received nafamostatmesilate (20 mg/d) prior to ERCP. Blood samples collected 2 h after ERCP were used to determine complete blood counts and serum amylase levels, and those collected after 18-24 h also measured hepatobiliary enzymes and C-reactive protein. We did not place a pancreatic duct stent for the prevention of pancreatitis in either procedure. </w:t>
      </w:r>
    </w:p>
    <w:p w:rsidR="00340085" w:rsidRPr="00392EE4" w:rsidRDefault="00340085" w:rsidP="002A2C2A">
      <w:pPr>
        <w:spacing w:line="360" w:lineRule="auto"/>
        <w:ind w:firstLineChars="200" w:firstLine="482"/>
        <w:rPr>
          <w:rFonts w:ascii="Book Antiqua" w:hAnsi="Book Antiqua"/>
          <w:b/>
          <w:i/>
          <w:sz w:val="24"/>
        </w:rPr>
      </w:pPr>
    </w:p>
    <w:p w:rsidR="00340085" w:rsidRPr="00392EE4" w:rsidRDefault="00340085" w:rsidP="002A2C2A">
      <w:pPr>
        <w:spacing w:line="360" w:lineRule="auto"/>
        <w:contextualSpacing/>
        <w:rPr>
          <w:rFonts w:ascii="Book Antiqua" w:hAnsi="Book Antiqua"/>
          <w:b/>
          <w:i/>
          <w:sz w:val="24"/>
        </w:rPr>
      </w:pPr>
      <w:r w:rsidRPr="00392EE4">
        <w:rPr>
          <w:rFonts w:ascii="Book Antiqua" w:hAnsi="Book Antiqua"/>
          <w:b/>
          <w:i/>
          <w:sz w:val="24"/>
        </w:rPr>
        <w:t>J-shaped-tip guidewire</w:t>
      </w:r>
    </w:p>
    <w:p w:rsidR="00340085" w:rsidRPr="00392EE4" w:rsidRDefault="00340085" w:rsidP="002A2C2A">
      <w:pPr>
        <w:spacing w:line="360" w:lineRule="auto"/>
        <w:rPr>
          <w:rFonts w:ascii="Book Antiqua" w:hAnsi="Book Antiqua"/>
          <w:sz w:val="24"/>
        </w:rPr>
      </w:pPr>
      <w:r w:rsidRPr="00392EE4">
        <w:rPr>
          <w:rFonts w:ascii="Book Antiqua" w:hAnsi="Book Antiqua"/>
          <w:sz w:val="24"/>
        </w:rPr>
        <w:t>The guidewire (RWHJ-2545A, 0.025-inch; Paiolax Medical Devices, Inc., Kanagawa</w:t>
      </w:r>
      <w:r w:rsidR="00DC7CD2" w:rsidRPr="00392EE4">
        <w:rPr>
          <w:rFonts w:ascii="Book Antiqua" w:hAnsi="Book Antiqua"/>
          <w:sz w:val="24"/>
        </w:rPr>
        <w:t>,</w:t>
      </w:r>
      <w:r w:rsidRPr="00392EE4">
        <w:rPr>
          <w:rFonts w:ascii="Book Antiqua" w:hAnsi="Book Antiqua"/>
          <w:sz w:val="24"/>
        </w:rPr>
        <w:t xml:space="preserve"> Japan) tip was bent to attain a 1-mm radius, and a hydrophilic coating was applied starting 50 mm from the tip. The shaft was covered by a sheath and jacket coated with water-repellent material (Figure 1). </w:t>
      </w:r>
    </w:p>
    <w:p w:rsidR="00340085" w:rsidRPr="00392EE4" w:rsidRDefault="00340085" w:rsidP="002A2C2A">
      <w:pPr>
        <w:spacing w:line="360" w:lineRule="auto"/>
        <w:rPr>
          <w:rFonts w:ascii="Book Antiqua" w:hAnsi="Book Antiqua"/>
          <w:sz w:val="24"/>
        </w:rPr>
      </w:pPr>
    </w:p>
    <w:p w:rsidR="00340085" w:rsidRPr="00392EE4" w:rsidRDefault="00340085" w:rsidP="002A2C2A">
      <w:pPr>
        <w:spacing w:line="360" w:lineRule="auto"/>
        <w:contextualSpacing/>
        <w:rPr>
          <w:rFonts w:ascii="Book Antiqua" w:hAnsi="Book Antiqua"/>
          <w:b/>
          <w:i/>
          <w:sz w:val="24"/>
        </w:rPr>
      </w:pPr>
      <w:r w:rsidRPr="00392EE4">
        <w:rPr>
          <w:rFonts w:ascii="Book Antiqua" w:hAnsi="Book Antiqua"/>
          <w:b/>
          <w:i/>
          <w:sz w:val="24"/>
        </w:rPr>
        <w:t>Endoscopic procedure</w:t>
      </w:r>
    </w:p>
    <w:p w:rsidR="00340085" w:rsidRPr="00392EE4" w:rsidRDefault="00340085" w:rsidP="002A2C2A">
      <w:pPr>
        <w:spacing w:line="360" w:lineRule="auto"/>
        <w:contextualSpacing/>
        <w:rPr>
          <w:rFonts w:ascii="Book Antiqua" w:hAnsi="Book Antiqua"/>
          <w:kern w:val="0"/>
          <w:sz w:val="24"/>
        </w:rPr>
      </w:pPr>
      <w:r w:rsidRPr="00392EE4">
        <w:rPr>
          <w:rFonts w:ascii="Book Antiqua" w:hAnsi="Book Antiqua"/>
          <w:sz w:val="24"/>
        </w:rPr>
        <w:t xml:space="preserve">Endoscopy was performed with JF-260V (Olympus, Tokyo, Japan) or ED-530XT8 (Fujinon, Tokyo, Japan) endoscopes. After catheters were preloaded with guidewires. </w:t>
      </w:r>
      <w:r w:rsidRPr="00392EE4">
        <w:rPr>
          <w:rFonts w:ascii="Book Antiqua" w:hAnsi="Book Antiqua"/>
          <w:kern w:val="0"/>
          <w:sz w:val="24"/>
        </w:rPr>
        <w:t>In the present study, i</w:t>
      </w:r>
      <w:r w:rsidRPr="00392EE4">
        <w:rPr>
          <w:rFonts w:ascii="Book Antiqua" w:eastAsia="MS PGothic" w:hAnsi="Book Antiqua"/>
          <w:kern w:val="0"/>
          <w:sz w:val="24"/>
        </w:rPr>
        <w:t>n general, a regular catheter was chosen except for the case undergoing sphincterotomy.</w:t>
      </w:r>
      <w:r w:rsidRPr="00392EE4">
        <w:rPr>
          <w:rFonts w:ascii="Book Antiqua" w:hAnsi="Book Antiqua"/>
          <w:sz w:val="24"/>
        </w:rPr>
        <w:t xml:space="preserve"> “First, catheters (</w:t>
      </w:r>
      <w:r w:rsidRPr="00392EE4">
        <w:rPr>
          <w:rFonts w:ascii="Book Antiqua" w:eastAsia="MS PGothic" w:hAnsi="Book Antiqua"/>
          <w:kern w:val="0"/>
          <w:sz w:val="24"/>
        </w:rPr>
        <w:t xml:space="preserve">CleverCut3 V, </w:t>
      </w:r>
      <w:r w:rsidRPr="00392EE4">
        <w:rPr>
          <w:rFonts w:ascii="Book Antiqua" w:eastAsia="MS PGothic" w:hAnsi="Book Antiqua"/>
          <w:kern w:val="0"/>
          <w:sz w:val="24"/>
        </w:rPr>
        <w:lastRenderedPageBreak/>
        <w:t xml:space="preserve">Olympus, Tokyo, Japan; </w:t>
      </w:r>
      <w:r w:rsidRPr="00392EE4">
        <w:rPr>
          <w:rFonts w:ascii="Book Antiqua" w:hAnsi="Book Antiqua"/>
          <w:sz w:val="24"/>
        </w:rPr>
        <w:t>Tamdem XL, Boston Scientific, Natick, M</w:t>
      </w:r>
      <w:r w:rsidR="00DC7CD2" w:rsidRPr="00392EE4">
        <w:rPr>
          <w:rFonts w:ascii="Book Antiqua" w:hAnsi="Book Antiqua"/>
          <w:sz w:val="24"/>
        </w:rPr>
        <w:t>A</w:t>
      </w:r>
      <w:r w:rsidRPr="00392EE4">
        <w:rPr>
          <w:rFonts w:ascii="Book Antiqua" w:hAnsi="Book Antiqua"/>
          <w:sz w:val="24"/>
        </w:rPr>
        <w:t>, U</w:t>
      </w:r>
      <w:r w:rsidR="00DC7CD2" w:rsidRPr="00392EE4">
        <w:rPr>
          <w:rFonts w:ascii="Book Antiqua" w:hAnsi="Book Antiqua"/>
          <w:sz w:val="24"/>
        </w:rPr>
        <w:t>nited States</w:t>
      </w:r>
      <w:r w:rsidRPr="00392EE4">
        <w:rPr>
          <w:rFonts w:ascii="Book Antiqua" w:hAnsi="Book Antiqua"/>
          <w:sz w:val="24"/>
        </w:rPr>
        <w:t>) were preloaded with guidewires”, the guidewire tip was extended 5 mm from the catheter, bent into a “J” shape, and then the guidewire was pulled back into a stand-by position</w:t>
      </w:r>
      <w:r w:rsidRPr="00392EE4">
        <w:rPr>
          <w:rFonts w:ascii="Book Antiqua" w:hAnsi="Book Antiqua"/>
          <w:kern w:val="0"/>
          <w:sz w:val="24"/>
        </w:rPr>
        <w:t xml:space="preserve"> (Figure 2A). Endoscopists controlled the direction parallel to the axis of bile duct of the catheter by inches.</w:t>
      </w:r>
      <w:r w:rsidRPr="00392EE4">
        <w:rPr>
          <w:rFonts w:ascii="Book Antiqua" w:hAnsi="Book Antiqua"/>
          <w:sz w:val="24"/>
        </w:rPr>
        <w:t xml:space="preserve"> </w:t>
      </w:r>
      <w:r w:rsidRPr="00392EE4">
        <w:rPr>
          <w:rFonts w:ascii="Book Antiqua" w:hAnsi="Book Antiqua"/>
          <w:kern w:val="0"/>
          <w:sz w:val="24"/>
        </w:rPr>
        <w:t xml:space="preserve">Assisting endoscopists participated in the guidewire manipuration in all cases. An assisting endoscopist moved the guidewire back and forth in small motions by using a tactile feedback (in-and-out movement method). No fluoroscope was used during attempts of insertion, but once the guidewire was inserted without resistance and fluoroscopy was used only after insertion to confirm success (Figure 2B). The catheter was then inserted into the biliary system along the guidewire, and contrast medium was injected (Figure 2C). </w:t>
      </w:r>
      <w:r w:rsidRPr="00392EE4">
        <w:rPr>
          <w:rFonts w:ascii="Book Antiqua" w:hAnsi="Book Antiqua"/>
          <w:sz w:val="24"/>
        </w:rPr>
        <w:t>No</w:t>
      </w:r>
      <w:r w:rsidRPr="00392EE4">
        <w:rPr>
          <w:rFonts w:ascii="Book Antiqua" w:hAnsi="Book Antiqua"/>
          <w:kern w:val="0"/>
          <w:sz w:val="24"/>
        </w:rPr>
        <w:t xml:space="preserve"> test injection was performed before successful cannulation. </w:t>
      </w:r>
    </w:p>
    <w:p w:rsidR="00340085" w:rsidRPr="00392EE4" w:rsidRDefault="00340085" w:rsidP="002A2C2A">
      <w:pPr>
        <w:spacing w:line="360" w:lineRule="auto"/>
        <w:ind w:firstLineChars="200" w:firstLine="480"/>
        <w:contextualSpacing/>
        <w:rPr>
          <w:rFonts w:ascii="Book Antiqua" w:hAnsi="Book Antiqua"/>
          <w:kern w:val="0"/>
          <w:sz w:val="24"/>
        </w:rPr>
      </w:pPr>
      <w:r w:rsidRPr="00392EE4">
        <w:rPr>
          <w:rFonts w:ascii="Book Antiqua" w:hAnsi="Book Antiqua"/>
          <w:kern w:val="0"/>
          <w:sz w:val="24"/>
        </w:rPr>
        <w:t>The first insertion attempt began with a trainee who had 5 min to complete cannulation, followed if necessary trainer with care</w:t>
      </w:r>
      <w:r w:rsidR="00ED6F23" w:rsidRPr="00392EE4">
        <w:rPr>
          <w:rFonts w:ascii="Book Antiqua" w:hAnsi="Book Antiqua"/>
          <w:kern w:val="0"/>
          <w:sz w:val="24"/>
        </w:rPr>
        <w:t>er experience of over 500 ERCPs</w:t>
      </w:r>
      <w:r w:rsidRPr="00392EE4">
        <w:rPr>
          <w:rFonts w:ascii="Book Antiqua" w:hAnsi="Book Antiqua"/>
          <w:kern w:val="0"/>
          <w:sz w:val="24"/>
        </w:rPr>
        <w:t xml:space="preserve"> (</w:t>
      </w:r>
      <w:r w:rsidR="00ED6F23" w:rsidRPr="00392EE4">
        <w:rPr>
          <w:rFonts w:ascii="Book Antiqua" w:hAnsi="Book Antiqua"/>
          <w:sz w:val="24"/>
        </w:rPr>
        <w:t>Maetani</w:t>
      </w:r>
      <w:r w:rsidR="00ED6F23" w:rsidRPr="00392EE4">
        <w:rPr>
          <w:rFonts w:ascii="Book Antiqua" w:hAnsi="Book Antiqua"/>
          <w:kern w:val="0"/>
          <w:sz w:val="24"/>
        </w:rPr>
        <w:t xml:space="preserve"> </w:t>
      </w:r>
      <w:r w:rsidRPr="00392EE4">
        <w:rPr>
          <w:rFonts w:ascii="Book Antiqua" w:hAnsi="Book Antiqua"/>
          <w:kern w:val="0"/>
          <w:sz w:val="24"/>
        </w:rPr>
        <w:t>I or</w:t>
      </w:r>
      <w:r w:rsidR="00ED6F23" w:rsidRPr="00392EE4">
        <w:rPr>
          <w:rFonts w:ascii="Book Antiqua" w:hAnsi="Book Antiqua"/>
          <w:sz w:val="24"/>
        </w:rPr>
        <w:t xml:space="preserve"> Shigoka</w:t>
      </w:r>
      <w:r w:rsidRPr="00392EE4">
        <w:rPr>
          <w:rFonts w:ascii="Book Antiqua" w:hAnsi="Book Antiqua"/>
          <w:kern w:val="0"/>
          <w:sz w:val="24"/>
        </w:rPr>
        <w:t xml:space="preserve"> H or </w:t>
      </w:r>
      <w:r w:rsidR="00ED6F23" w:rsidRPr="00392EE4">
        <w:rPr>
          <w:rFonts w:ascii="Book Antiqua" w:hAnsi="Book Antiqua"/>
          <w:sz w:val="24"/>
        </w:rPr>
        <w:t>Omuta</w:t>
      </w:r>
      <w:r w:rsidR="00ED6F23" w:rsidRPr="00392EE4">
        <w:rPr>
          <w:rFonts w:ascii="Book Antiqua" w:hAnsi="Book Antiqua"/>
          <w:kern w:val="0"/>
          <w:sz w:val="24"/>
        </w:rPr>
        <w:t xml:space="preserve"> </w:t>
      </w:r>
      <w:r w:rsidRPr="00392EE4">
        <w:rPr>
          <w:rFonts w:ascii="Book Antiqua" w:hAnsi="Book Antiqua"/>
          <w:kern w:val="0"/>
          <w:sz w:val="24"/>
        </w:rPr>
        <w:t xml:space="preserve">S) for another 5 min. If both attempts failed, efforts continued with a </w:t>
      </w:r>
      <w:r w:rsidRPr="00392EE4">
        <w:rPr>
          <w:rFonts w:ascii="Book Antiqua" w:hAnsi="Book Antiqua"/>
          <w:sz w:val="24"/>
        </w:rPr>
        <w:t>standard biliary guidewire (Jagwire 0.035 angle type, Boston Scientific) for another 10 min (second attempt) and were repeated as necessary according to the trainers’ recommendations (exchange of endoscopist or guidewire, pancreatic duct guidewire placement method, or pre-cutting sphincterotomy).</w:t>
      </w:r>
    </w:p>
    <w:p w:rsidR="00340085" w:rsidRPr="00392EE4" w:rsidRDefault="00340085" w:rsidP="002A2C2A">
      <w:pPr>
        <w:spacing w:line="360" w:lineRule="auto"/>
        <w:contextualSpacing/>
        <w:rPr>
          <w:rFonts w:ascii="Book Antiqua" w:hAnsi="Book Antiqua"/>
          <w:b/>
          <w:i/>
          <w:sz w:val="24"/>
        </w:rPr>
      </w:pPr>
    </w:p>
    <w:p w:rsidR="00340085" w:rsidRPr="00392EE4" w:rsidRDefault="00340085" w:rsidP="002A2C2A">
      <w:pPr>
        <w:spacing w:line="360" w:lineRule="auto"/>
        <w:contextualSpacing/>
        <w:rPr>
          <w:rFonts w:ascii="Book Antiqua" w:hAnsi="Book Antiqua"/>
          <w:b/>
          <w:i/>
          <w:sz w:val="24"/>
        </w:rPr>
      </w:pPr>
      <w:r w:rsidRPr="00392EE4">
        <w:rPr>
          <w:rFonts w:ascii="Book Antiqua" w:hAnsi="Book Antiqua"/>
          <w:b/>
          <w:i/>
          <w:sz w:val="24"/>
        </w:rPr>
        <w:lastRenderedPageBreak/>
        <w:t>Definitions</w:t>
      </w:r>
    </w:p>
    <w:p w:rsidR="00340085" w:rsidRPr="00392EE4" w:rsidRDefault="00340085" w:rsidP="002A2C2A">
      <w:pPr>
        <w:spacing w:line="360" w:lineRule="auto"/>
        <w:contextualSpacing/>
        <w:rPr>
          <w:rFonts w:ascii="Book Antiqua" w:hAnsi="Book Antiqua"/>
          <w:sz w:val="24"/>
          <w:vertAlign w:val="superscript"/>
        </w:rPr>
      </w:pPr>
      <w:r w:rsidRPr="00392EE4">
        <w:rPr>
          <w:rFonts w:ascii="Book Antiqua" w:hAnsi="Book Antiqua"/>
          <w:sz w:val="24"/>
        </w:rPr>
        <w:t>Success was defined as completing cannulation with the J-shaped-tip guidewire and obtaining a cholangiogram within 10 min. Cannulation time was defined as from a tip of the guidewire first touched the orifice of the papilla to the obtainment of cholangiogram. PEP was defined as continued abdominal pain ≥ 24 h after ERCP, with more than 3 times the normal (upper limit) serum-amylase level</w:t>
      </w:r>
      <w:r w:rsidRPr="00392EE4">
        <w:rPr>
          <w:rFonts w:ascii="Book Antiqua" w:hAnsi="Book Antiqua"/>
          <w:sz w:val="24"/>
          <w:vertAlign w:val="superscript"/>
        </w:rPr>
        <w:t>[26]</w:t>
      </w:r>
      <w:r w:rsidRPr="00392EE4">
        <w:rPr>
          <w:rFonts w:ascii="Book Antiqua" w:hAnsi="Book Antiqua"/>
          <w:sz w:val="24"/>
        </w:rPr>
        <w:t>. Pancreatitis severity was classified using the Atlanta International Symposium criteria</w:t>
      </w:r>
      <w:r w:rsidRPr="00392EE4">
        <w:rPr>
          <w:rFonts w:ascii="Book Antiqua" w:hAnsi="Book Antiqua"/>
          <w:sz w:val="24"/>
          <w:vertAlign w:val="superscript"/>
        </w:rPr>
        <w:t>[27]</w:t>
      </w:r>
      <w:r w:rsidRPr="00392EE4">
        <w:rPr>
          <w:rFonts w:ascii="Book Antiqua" w:hAnsi="Book Antiqua"/>
          <w:sz w:val="24"/>
        </w:rPr>
        <w:t>. Suspected sphincter of Oddi dysfunction was defined according to the revised Milwaukee classification</w:t>
      </w:r>
      <w:r w:rsidRPr="00392EE4">
        <w:rPr>
          <w:rFonts w:ascii="Book Antiqua" w:hAnsi="Book Antiqua"/>
          <w:sz w:val="24"/>
          <w:vertAlign w:val="superscript"/>
        </w:rPr>
        <w:t>[28]</w:t>
      </w:r>
      <w:r w:rsidRPr="00392EE4">
        <w:rPr>
          <w:rFonts w:ascii="Book Antiqua" w:hAnsi="Book Antiqua"/>
          <w:sz w:val="24"/>
        </w:rPr>
        <w:t>. Sphincter of Oddi manometory was not performed. Hyperamylasemia was defined as 3 times the normal (upper limit) amylase level 18-24 h after ERCP.</w:t>
      </w:r>
    </w:p>
    <w:p w:rsidR="00DC7CD2" w:rsidRPr="00392EE4" w:rsidRDefault="00DC7CD2" w:rsidP="002A2C2A">
      <w:pPr>
        <w:spacing w:line="360" w:lineRule="auto"/>
        <w:rPr>
          <w:rFonts w:ascii="Book Antiqua" w:hAnsi="Book Antiqua"/>
          <w:b/>
          <w:i/>
          <w:sz w:val="24"/>
        </w:rPr>
      </w:pPr>
    </w:p>
    <w:p w:rsidR="00DC7CD2" w:rsidRPr="00392EE4" w:rsidRDefault="00DC7CD2" w:rsidP="002A2C2A">
      <w:pPr>
        <w:spacing w:line="360" w:lineRule="auto"/>
        <w:rPr>
          <w:rFonts w:ascii="Book Antiqua" w:hAnsi="Book Antiqua"/>
          <w:b/>
          <w:i/>
          <w:sz w:val="24"/>
        </w:rPr>
      </w:pPr>
      <w:r w:rsidRPr="00392EE4">
        <w:rPr>
          <w:rFonts w:ascii="Book Antiqua" w:hAnsi="Book Antiqua"/>
          <w:b/>
          <w:i/>
          <w:sz w:val="24"/>
        </w:rPr>
        <w:t>Ethics</w:t>
      </w:r>
    </w:p>
    <w:p w:rsidR="00DC7CD2" w:rsidRPr="00392EE4" w:rsidRDefault="00DC7CD2" w:rsidP="002A2C2A">
      <w:pPr>
        <w:widowControl/>
        <w:spacing w:line="360" w:lineRule="auto"/>
        <w:rPr>
          <w:rFonts w:ascii="Book Antiqua" w:hAnsi="Book Antiqua"/>
          <w:sz w:val="24"/>
        </w:rPr>
      </w:pPr>
      <w:r w:rsidRPr="00392EE4">
        <w:rPr>
          <w:rFonts w:ascii="Book Antiqua" w:hAnsi="Book Antiqua"/>
          <w:kern w:val="0"/>
          <w:sz w:val="24"/>
        </w:rPr>
        <w:t>The protocol adhered to the Helsinki Declaration and was approved in advance by the Institutional Ethical Review Board. The trial was registered with the University hospital Medical Information Network Clinical Trials Registry (UMIN000007526). All participants gave written informed consent beforehand.</w:t>
      </w:r>
    </w:p>
    <w:p w:rsidR="00340085" w:rsidRPr="00392EE4" w:rsidRDefault="00340085" w:rsidP="002A2C2A">
      <w:pPr>
        <w:spacing w:line="360" w:lineRule="auto"/>
        <w:contextualSpacing/>
        <w:rPr>
          <w:rFonts w:ascii="Book Antiqua" w:hAnsi="Book Antiqua"/>
          <w:i/>
          <w:sz w:val="24"/>
        </w:rPr>
      </w:pPr>
    </w:p>
    <w:p w:rsidR="00340085" w:rsidRPr="00392EE4" w:rsidRDefault="00340085" w:rsidP="002A2C2A">
      <w:pPr>
        <w:spacing w:line="360" w:lineRule="auto"/>
        <w:contextualSpacing/>
        <w:rPr>
          <w:rFonts w:ascii="Book Antiqua" w:hAnsi="Book Antiqua"/>
          <w:b/>
          <w:i/>
          <w:sz w:val="24"/>
        </w:rPr>
      </w:pPr>
      <w:r w:rsidRPr="00392EE4">
        <w:rPr>
          <w:rFonts w:ascii="Book Antiqua" w:hAnsi="Book Antiqua"/>
          <w:b/>
          <w:i/>
          <w:sz w:val="24"/>
        </w:rPr>
        <w:t>Outcome measurement</w:t>
      </w:r>
    </w:p>
    <w:p w:rsidR="00340085" w:rsidRPr="00392EE4" w:rsidRDefault="00340085" w:rsidP="002A2C2A">
      <w:pPr>
        <w:spacing w:line="360" w:lineRule="auto"/>
        <w:rPr>
          <w:rFonts w:ascii="Book Antiqua" w:hAnsi="Book Antiqua"/>
          <w:sz w:val="24"/>
        </w:rPr>
      </w:pPr>
      <w:r w:rsidRPr="00392EE4">
        <w:rPr>
          <w:rFonts w:ascii="Book Antiqua" w:hAnsi="Book Antiqua"/>
          <w:sz w:val="24"/>
        </w:rPr>
        <w:t xml:space="preserve">The primary study endpoint was the success rate of cannulation with J-shaped -tip guidewire performed within 10 min. The secondary endpoints were as follows: </w:t>
      </w:r>
      <w:r w:rsidRPr="00392EE4">
        <w:rPr>
          <w:rFonts w:ascii="Book Antiqua" w:eastAsia="MS PGothic" w:hAnsi="Book Antiqua"/>
          <w:kern w:val="0"/>
          <w:sz w:val="24"/>
        </w:rPr>
        <w:t xml:space="preserve">(1) </w:t>
      </w:r>
      <w:r w:rsidRPr="00392EE4">
        <w:rPr>
          <w:rFonts w:ascii="Book Antiqua" w:hAnsi="Book Antiqua"/>
          <w:sz w:val="24"/>
        </w:rPr>
        <w:t>the rate of the occurrence of PEP</w:t>
      </w:r>
      <w:r w:rsidR="00ED6F23" w:rsidRPr="00392EE4">
        <w:rPr>
          <w:rFonts w:ascii="Book Antiqua" w:hAnsi="Book Antiqua"/>
          <w:sz w:val="24"/>
        </w:rPr>
        <w:t xml:space="preserve">; </w:t>
      </w:r>
      <w:r w:rsidRPr="00392EE4">
        <w:rPr>
          <w:rFonts w:ascii="Book Antiqua" w:hAnsi="Book Antiqua"/>
          <w:sz w:val="24"/>
        </w:rPr>
        <w:t xml:space="preserve">(2) time to selective biliary </w:t>
      </w:r>
      <w:r w:rsidRPr="00392EE4">
        <w:rPr>
          <w:rFonts w:ascii="Book Antiqua" w:hAnsi="Book Antiqua"/>
          <w:sz w:val="24"/>
        </w:rPr>
        <w:lastRenderedPageBreak/>
        <w:t>cannulation</w:t>
      </w:r>
      <w:r w:rsidR="00ED6F23" w:rsidRPr="00392EE4">
        <w:rPr>
          <w:rFonts w:ascii="Book Antiqua" w:hAnsi="Book Antiqua"/>
          <w:sz w:val="24"/>
        </w:rPr>
        <w:t>;</w:t>
      </w:r>
      <w:r w:rsidRPr="00392EE4">
        <w:rPr>
          <w:rFonts w:ascii="Book Antiqua" w:hAnsi="Book Antiqua"/>
          <w:sz w:val="24"/>
        </w:rPr>
        <w:t xml:space="preserve"> (3) </w:t>
      </w:r>
      <w:r w:rsidRPr="00392EE4">
        <w:rPr>
          <w:rFonts w:ascii="Book Antiqua" w:eastAsia="MS PGothic" w:hAnsi="Book Antiqua"/>
          <w:kern w:val="0"/>
          <w:sz w:val="24"/>
        </w:rPr>
        <w:t>number of attempts for selective biliary cannulation</w:t>
      </w:r>
      <w:r w:rsidR="00ED6F23" w:rsidRPr="00392EE4">
        <w:rPr>
          <w:rFonts w:ascii="Book Antiqua" w:hAnsi="Book Antiqua"/>
          <w:kern w:val="0"/>
          <w:sz w:val="24"/>
        </w:rPr>
        <w:t>; and</w:t>
      </w:r>
      <w:r w:rsidRPr="00392EE4">
        <w:rPr>
          <w:rFonts w:ascii="Book Antiqua" w:eastAsia="MS PGothic" w:hAnsi="Book Antiqua"/>
          <w:kern w:val="0"/>
          <w:sz w:val="24"/>
        </w:rPr>
        <w:t xml:space="preserve"> (4) </w:t>
      </w:r>
      <w:r w:rsidRPr="00392EE4">
        <w:rPr>
          <w:rFonts w:ascii="Book Antiqua" w:hAnsi="Book Antiqua"/>
          <w:sz w:val="24"/>
        </w:rPr>
        <w:t xml:space="preserve">number of </w:t>
      </w:r>
      <w:r w:rsidRPr="00392EE4">
        <w:rPr>
          <w:rFonts w:ascii="Book Antiqua" w:eastAsia="MS PGothic" w:hAnsi="Book Antiqua"/>
          <w:kern w:val="0"/>
          <w:sz w:val="24"/>
        </w:rPr>
        <w:t>accidental pancreatic duct insertion.</w:t>
      </w:r>
      <w:r w:rsidRPr="00392EE4">
        <w:rPr>
          <w:rFonts w:ascii="Book Antiqua" w:hAnsi="Book Antiqua"/>
          <w:sz w:val="24"/>
        </w:rPr>
        <w:t xml:space="preserve"> Data are presented as median and interquartile ranges (IQR).</w:t>
      </w:r>
    </w:p>
    <w:p w:rsidR="00340085" w:rsidRPr="00392EE4" w:rsidRDefault="00340085" w:rsidP="002A2C2A">
      <w:pPr>
        <w:spacing w:line="360" w:lineRule="auto"/>
        <w:rPr>
          <w:rFonts w:ascii="Book Antiqua" w:hAnsi="Book Antiqua"/>
          <w:b/>
          <w:i/>
          <w:sz w:val="24"/>
        </w:rPr>
      </w:pPr>
    </w:p>
    <w:p w:rsidR="00340085" w:rsidRPr="00392EE4" w:rsidRDefault="00340085" w:rsidP="002A2C2A">
      <w:pPr>
        <w:spacing w:line="360" w:lineRule="auto"/>
        <w:rPr>
          <w:rFonts w:ascii="Book Antiqua" w:hAnsi="Book Antiqua"/>
          <w:b/>
          <w:sz w:val="24"/>
        </w:rPr>
      </w:pPr>
      <w:r w:rsidRPr="00392EE4">
        <w:rPr>
          <w:rFonts w:ascii="Book Antiqua" w:hAnsi="Book Antiqua"/>
          <w:b/>
          <w:sz w:val="24"/>
        </w:rPr>
        <w:t>RESULTS</w:t>
      </w:r>
    </w:p>
    <w:p w:rsidR="004849B2" w:rsidRPr="00392EE4" w:rsidRDefault="00340085" w:rsidP="002A2C2A">
      <w:pPr>
        <w:spacing w:line="360" w:lineRule="auto"/>
        <w:contextualSpacing/>
        <w:rPr>
          <w:rFonts w:ascii="Book Antiqua" w:hAnsi="Book Antiqua"/>
          <w:kern w:val="0"/>
          <w:sz w:val="24"/>
        </w:rPr>
      </w:pPr>
      <w:r w:rsidRPr="00392EE4">
        <w:rPr>
          <w:rFonts w:ascii="Book Antiqua" w:hAnsi="Book Antiqua"/>
          <w:sz w:val="24"/>
        </w:rPr>
        <w:t xml:space="preserve">Baseline characteristics and indications are summarized in Table 1, and </w:t>
      </w:r>
      <w:r w:rsidRPr="00392EE4">
        <w:rPr>
          <w:rFonts w:ascii="Book Antiqua" w:eastAsia="MS PGothic" w:hAnsi="Book Antiqua"/>
          <w:kern w:val="0"/>
          <w:sz w:val="24"/>
        </w:rPr>
        <w:t xml:space="preserve">details of the endoscopic procedure are given in Table 2. </w:t>
      </w:r>
    </w:p>
    <w:p w:rsidR="00340085" w:rsidRPr="00392EE4" w:rsidRDefault="00340085" w:rsidP="002A2C2A">
      <w:pPr>
        <w:spacing w:line="360" w:lineRule="auto"/>
        <w:ind w:firstLineChars="200" w:firstLine="480"/>
        <w:contextualSpacing/>
        <w:rPr>
          <w:rFonts w:ascii="Book Antiqua" w:eastAsia="MS PGothic" w:hAnsi="Book Antiqua"/>
          <w:kern w:val="0"/>
          <w:sz w:val="24"/>
        </w:rPr>
      </w:pPr>
      <w:r w:rsidRPr="00392EE4">
        <w:rPr>
          <w:rFonts w:ascii="Book Antiqua" w:eastAsia="MS PGothic" w:hAnsi="Book Antiqua"/>
          <w:kern w:val="0"/>
          <w:sz w:val="24"/>
        </w:rPr>
        <w:t xml:space="preserve">The overall success rate of endoscopy was 90% (45/50, Table 3), with cannulation achieved within the first 5 min in 38 patients (76%). Cannulation was achieved on the second attempt in 3 patients. The median time to cannulation for these 48 patients was 42.5 s (IQR: 5-262 s). Of the remaining two patients, one required </w:t>
      </w:r>
      <w:r w:rsidRPr="00392EE4">
        <w:rPr>
          <w:rFonts w:ascii="Book Antiqua" w:hAnsi="Book Antiqua"/>
          <w:sz w:val="24"/>
        </w:rPr>
        <w:t xml:space="preserve">pancreatic duct guidewire placement and the other a pre-cutting sphincterotomy. </w:t>
      </w:r>
      <w:r w:rsidRPr="00392EE4">
        <w:rPr>
          <w:rFonts w:ascii="Book Antiqua" w:eastAsia="MS PGothic" w:hAnsi="Book Antiqua"/>
          <w:kern w:val="0"/>
          <w:sz w:val="24"/>
        </w:rPr>
        <w:t xml:space="preserve">The median number of attempts was 2.0 (IQR: 1-6), and the median number of accidental pancreatic duct insertions was 1.0 (IQR: 0-3). The median serum-amylase level was 148 IU/L (IQR 94-331 IU/L), and </w:t>
      </w:r>
      <w:r w:rsidRPr="00392EE4">
        <w:rPr>
          <w:rFonts w:ascii="Book Antiqua" w:hAnsi="Book Antiqua"/>
          <w:sz w:val="24"/>
        </w:rPr>
        <w:t>hyperamylasemia occurred in 4 patients.</w:t>
      </w:r>
    </w:p>
    <w:p w:rsidR="00340085" w:rsidRPr="00392EE4" w:rsidRDefault="00340085" w:rsidP="002A2C2A">
      <w:pPr>
        <w:spacing w:line="360" w:lineRule="auto"/>
        <w:ind w:firstLineChars="200" w:firstLine="480"/>
        <w:contextualSpacing/>
        <w:rPr>
          <w:rFonts w:ascii="Book Antiqua" w:eastAsia="MS PGothic" w:hAnsi="Book Antiqua"/>
          <w:kern w:val="0"/>
          <w:sz w:val="24"/>
        </w:rPr>
      </w:pPr>
      <w:r w:rsidRPr="00392EE4">
        <w:rPr>
          <w:rFonts w:ascii="Book Antiqua" w:eastAsia="MS PGothic" w:hAnsi="Book Antiqua"/>
          <w:kern w:val="0"/>
          <w:sz w:val="24"/>
        </w:rPr>
        <w:t>Mild PEP occurred in 3 patients (6%);</w:t>
      </w:r>
      <w:r w:rsidRPr="00392EE4">
        <w:rPr>
          <w:rFonts w:ascii="Book Antiqua" w:hAnsi="Book Antiqua"/>
          <w:sz w:val="24"/>
        </w:rPr>
        <w:t xml:space="preserve"> in 2 of these, success was achieved within 5 min after </w:t>
      </w:r>
      <w:r w:rsidRPr="00392EE4">
        <w:rPr>
          <w:rFonts w:ascii="Book Antiqua" w:hAnsi="Book Antiqua"/>
          <w:sz w:val="24"/>
          <w:shd w:val="clear" w:color="auto" w:fill="FFFFFF"/>
        </w:rPr>
        <w:t>endoscopic papillary large balloon dilation</w:t>
      </w:r>
      <w:r w:rsidRPr="00392EE4">
        <w:rPr>
          <w:rFonts w:ascii="Book Antiqua" w:hAnsi="Book Antiqua"/>
          <w:sz w:val="24"/>
        </w:rPr>
        <w:t>, while the third patient received the pre-cutting sphincterotomy mentioned above.</w:t>
      </w:r>
      <w:r w:rsidRPr="00392EE4">
        <w:rPr>
          <w:rFonts w:ascii="Book Antiqua" w:eastAsia="MS PGothic" w:hAnsi="Book Antiqua"/>
          <w:kern w:val="0"/>
          <w:sz w:val="24"/>
        </w:rPr>
        <w:t xml:space="preserve"> </w:t>
      </w:r>
      <w:r w:rsidRPr="00392EE4">
        <w:rPr>
          <w:rFonts w:ascii="Book Antiqua" w:hAnsi="Book Antiqua"/>
          <w:sz w:val="24"/>
        </w:rPr>
        <w:t>All patients were managed successfully with conservative treatment. There w</w:t>
      </w:r>
      <w:r w:rsidR="00EC574A">
        <w:rPr>
          <w:rFonts w:ascii="Book Antiqua" w:hAnsi="Book Antiqua" w:hint="eastAsia"/>
          <w:sz w:val="24"/>
        </w:rPr>
        <w:t>ere</w:t>
      </w:r>
      <w:r w:rsidRPr="00392EE4">
        <w:rPr>
          <w:rFonts w:ascii="Book Antiqua" w:hAnsi="Book Antiqua"/>
          <w:sz w:val="24"/>
        </w:rPr>
        <w:t xml:space="preserve"> no other adverse events including bleeding or perforation.</w:t>
      </w:r>
    </w:p>
    <w:p w:rsidR="00340085" w:rsidRPr="00392EE4" w:rsidRDefault="00340085" w:rsidP="002A2C2A">
      <w:pPr>
        <w:spacing w:line="360" w:lineRule="auto"/>
        <w:rPr>
          <w:rFonts w:ascii="Book Antiqua" w:hAnsi="Book Antiqua"/>
          <w:b/>
          <w:sz w:val="24"/>
        </w:rPr>
      </w:pPr>
    </w:p>
    <w:p w:rsidR="00340085" w:rsidRPr="00392EE4" w:rsidRDefault="00340085" w:rsidP="002A2C2A">
      <w:pPr>
        <w:spacing w:line="360" w:lineRule="auto"/>
        <w:rPr>
          <w:rFonts w:ascii="Book Antiqua" w:hAnsi="Book Antiqua"/>
          <w:b/>
          <w:sz w:val="24"/>
        </w:rPr>
      </w:pPr>
      <w:r w:rsidRPr="00392EE4">
        <w:rPr>
          <w:rFonts w:ascii="Book Antiqua" w:hAnsi="Book Antiqua"/>
          <w:b/>
          <w:sz w:val="24"/>
        </w:rPr>
        <w:lastRenderedPageBreak/>
        <w:t>DISCUSSION</w:t>
      </w:r>
    </w:p>
    <w:p w:rsidR="00340085" w:rsidRPr="00392EE4" w:rsidRDefault="00340085" w:rsidP="002A2C2A">
      <w:pPr>
        <w:spacing w:line="360" w:lineRule="auto"/>
        <w:contextualSpacing/>
        <w:rPr>
          <w:rFonts w:ascii="Book Antiqua" w:hAnsi="Book Antiqua"/>
          <w:sz w:val="24"/>
        </w:rPr>
      </w:pPr>
      <w:r w:rsidRPr="00392EE4">
        <w:rPr>
          <w:rFonts w:ascii="Book Antiqua" w:hAnsi="Book Antiqua"/>
          <w:sz w:val="24"/>
        </w:rPr>
        <w:t xml:space="preserve">The success rate for selective biliary cannulation using J-shaped-tip guide-wire was comparable </w:t>
      </w:r>
      <w:r w:rsidRPr="00392EE4">
        <w:rPr>
          <w:rFonts w:ascii="Book Antiqua" w:eastAsia="ヒラギノ明朝 ProN W3" w:hAnsi="Book Antiqua"/>
          <w:kern w:val="0"/>
          <w:sz w:val="24"/>
        </w:rPr>
        <w:t>to that found in previous studies</w:t>
      </w:r>
      <w:r w:rsidRPr="00392EE4">
        <w:rPr>
          <w:rFonts w:ascii="Book Antiqua" w:eastAsia="ヒラギノ明朝 ProN W3" w:hAnsi="Book Antiqua"/>
          <w:kern w:val="0"/>
          <w:sz w:val="24"/>
          <w:vertAlign w:val="superscript"/>
        </w:rPr>
        <w:t>[6-16</w:t>
      </w:r>
      <w:r w:rsidR="00ED7871" w:rsidRPr="00392EE4">
        <w:rPr>
          <w:rFonts w:ascii="Book Antiqua" w:eastAsia="ヒラギノ明朝 ProN W3" w:hAnsi="Book Antiqua"/>
          <w:kern w:val="0"/>
          <w:sz w:val="24"/>
          <w:vertAlign w:val="superscript"/>
        </w:rPr>
        <w:t>,</w:t>
      </w:r>
      <w:r w:rsidRPr="00392EE4">
        <w:rPr>
          <w:rFonts w:ascii="Book Antiqua" w:eastAsia="ヒラギノ明朝 ProN W3" w:hAnsi="Book Antiqua"/>
          <w:kern w:val="0"/>
          <w:sz w:val="24"/>
          <w:vertAlign w:val="superscript"/>
        </w:rPr>
        <w:t>29</w:t>
      </w:r>
      <w:r w:rsidR="00ED7871" w:rsidRPr="00392EE4">
        <w:rPr>
          <w:rFonts w:ascii="Book Antiqua" w:eastAsia="ヒラギノ明朝 ProN W3" w:hAnsi="Book Antiqua"/>
          <w:kern w:val="0"/>
          <w:sz w:val="24"/>
          <w:vertAlign w:val="superscript"/>
        </w:rPr>
        <w:t>,</w:t>
      </w:r>
      <w:r w:rsidRPr="00392EE4">
        <w:rPr>
          <w:rFonts w:ascii="Book Antiqua" w:eastAsia="ヒラギノ明朝 ProN W3" w:hAnsi="Book Antiqua"/>
          <w:kern w:val="0"/>
          <w:sz w:val="24"/>
          <w:vertAlign w:val="superscript"/>
        </w:rPr>
        <w:t>30]</w:t>
      </w:r>
      <w:r w:rsidRPr="00392EE4">
        <w:rPr>
          <w:rFonts w:ascii="Book Antiqua" w:eastAsia="ヒラギノ明朝 ProN W3" w:hAnsi="Book Antiqua"/>
          <w:kern w:val="0"/>
          <w:sz w:val="24"/>
        </w:rPr>
        <w:t xml:space="preserve">, and no </w:t>
      </w:r>
      <w:r w:rsidRPr="00392EE4">
        <w:rPr>
          <w:rFonts w:ascii="Book Antiqua" w:hAnsi="Book Antiqua"/>
          <w:sz w:val="24"/>
        </w:rPr>
        <w:t>guidewire-related adverse events such as bleeding or perforation occurred. Although ours was a preliminary study, the atraumatic and blunt tip of new guide-wire may facilitate selective biliary cannulation (Figure 3</w:t>
      </w:r>
      <w:r w:rsidR="000F5FD6">
        <w:rPr>
          <w:rFonts w:ascii="Book Antiqua" w:hAnsi="Book Antiqua" w:hint="eastAsia"/>
          <w:sz w:val="24"/>
        </w:rPr>
        <w:t>A</w:t>
      </w:r>
      <w:r w:rsidRPr="00392EE4">
        <w:rPr>
          <w:rFonts w:ascii="Book Antiqua" w:hAnsi="Book Antiqua"/>
          <w:sz w:val="24"/>
        </w:rPr>
        <w:t xml:space="preserve">) and reduce instances of perforation and bleeding. </w:t>
      </w:r>
    </w:p>
    <w:p w:rsidR="00340085" w:rsidRPr="00392EE4" w:rsidRDefault="00340085" w:rsidP="002A2C2A">
      <w:pPr>
        <w:spacing w:line="360" w:lineRule="auto"/>
        <w:ind w:firstLineChars="200" w:firstLine="480"/>
        <w:contextualSpacing/>
        <w:rPr>
          <w:rFonts w:ascii="Book Antiqua" w:hAnsi="Book Antiqua"/>
          <w:sz w:val="24"/>
        </w:rPr>
      </w:pPr>
      <w:r w:rsidRPr="00392EE4">
        <w:rPr>
          <w:rFonts w:ascii="Book Antiqua" w:hAnsi="Book Antiqua"/>
          <w:sz w:val="24"/>
        </w:rPr>
        <w:t>Although straight and angled tips are the most common types used in WGC</w:t>
      </w:r>
      <w:r w:rsidRPr="00392EE4">
        <w:rPr>
          <w:rFonts w:ascii="Book Antiqua" w:hAnsi="Book Antiqua"/>
          <w:sz w:val="24"/>
          <w:vertAlign w:val="superscript"/>
        </w:rPr>
        <w:t>[1-20</w:t>
      </w:r>
      <w:r w:rsidR="00ED7871" w:rsidRPr="00392EE4">
        <w:rPr>
          <w:rFonts w:ascii="Book Antiqua" w:hAnsi="Book Antiqua"/>
          <w:sz w:val="24"/>
          <w:vertAlign w:val="superscript"/>
        </w:rPr>
        <w:t>,</w:t>
      </w:r>
      <w:r w:rsidRPr="00392EE4">
        <w:rPr>
          <w:rFonts w:ascii="Book Antiqua" w:hAnsi="Book Antiqua"/>
          <w:sz w:val="24"/>
          <w:vertAlign w:val="superscript"/>
        </w:rPr>
        <w:t>29,30]</w:t>
      </w:r>
      <w:r w:rsidRPr="00392EE4">
        <w:rPr>
          <w:rFonts w:ascii="Book Antiqua" w:hAnsi="Book Antiqua"/>
          <w:sz w:val="24"/>
        </w:rPr>
        <w:t xml:space="preserve">, these sharp tips often stick in the intra-duodenal biliary segment (Figure </w:t>
      </w:r>
      <w:r w:rsidR="000F5FD6">
        <w:rPr>
          <w:rFonts w:ascii="Book Antiqua" w:hAnsi="Book Antiqua" w:hint="eastAsia"/>
          <w:sz w:val="24"/>
        </w:rPr>
        <w:t>3B</w:t>
      </w:r>
      <w:r w:rsidRPr="00392EE4">
        <w:rPr>
          <w:rFonts w:ascii="Book Antiqua" w:hAnsi="Book Antiqua"/>
          <w:sz w:val="24"/>
        </w:rPr>
        <w:t>). While the superiority of the J-shaped-tip cannot be definitively shown without controls, the success rate, speed of cannulation, and facility of use appear improved compared to other studies. While similar procedures using standard guide-wires resulted in a 77.9% overall success-rate (trainees and trainer combined)</w:t>
      </w:r>
      <w:r w:rsidRPr="00392EE4">
        <w:rPr>
          <w:rFonts w:ascii="Book Antiqua" w:hAnsi="Book Antiqua"/>
          <w:sz w:val="24"/>
          <w:vertAlign w:val="superscript"/>
        </w:rPr>
        <w:t>[29]</w:t>
      </w:r>
      <w:r w:rsidRPr="00392EE4">
        <w:rPr>
          <w:rFonts w:ascii="Book Antiqua" w:hAnsi="Book Antiqua"/>
          <w:sz w:val="24"/>
        </w:rPr>
        <w:t xml:space="preserve">, here we achieved a 76% success rate with trainees, and an overall success rate of 90%. Additionally, the </w:t>
      </w:r>
      <w:r w:rsidRPr="00392EE4">
        <w:rPr>
          <w:rFonts w:ascii="Book Antiqua" w:eastAsia="MS PGothic" w:hAnsi="Book Antiqua"/>
          <w:kern w:val="0"/>
          <w:sz w:val="24"/>
        </w:rPr>
        <w:t xml:space="preserve">6% PEP </w:t>
      </w:r>
      <w:r w:rsidRPr="00392EE4">
        <w:rPr>
          <w:rFonts w:ascii="Book Antiqua" w:hAnsi="Book Antiqua"/>
          <w:sz w:val="24"/>
        </w:rPr>
        <w:t>rate is similar to that of other studies</w:t>
      </w:r>
      <w:r w:rsidRPr="00392EE4">
        <w:rPr>
          <w:rFonts w:ascii="Book Antiqua" w:eastAsia="MS PGothic" w:hAnsi="Book Antiqua"/>
          <w:kern w:val="0"/>
          <w:sz w:val="24"/>
          <w:vertAlign w:val="superscript"/>
        </w:rPr>
        <w:t>[14,18,19,20]</w:t>
      </w:r>
      <w:r w:rsidRPr="00392EE4">
        <w:rPr>
          <w:rFonts w:ascii="Book Antiqua" w:eastAsia="MS PGothic" w:hAnsi="Book Antiqua"/>
          <w:kern w:val="0"/>
          <w:sz w:val="24"/>
        </w:rPr>
        <w:t xml:space="preserve">. </w:t>
      </w:r>
    </w:p>
    <w:p w:rsidR="00340085" w:rsidRPr="00392EE4" w:rsidRDefault="00340085" w:rsidP="002A2C2A">
      <w:pPr>
        <w:widowControl/>
        <w:autoSpaceDE w:val="0"/>
        <w:autoSpaceDN w:val="0"/>
        <w:adjustRightInd w:val="0"/>
        <w:spacing w:line="360" w:lineRule="auto"/>
        <w:ind w:firstLineChars="200" w:firstLine="480"/>
        <w:contextualSpacing/>
        <w:rPr>
          <w:rFonts w:ascii="Book Antiqua" w:hAnsi="Book Antiqua"/>
          <w:sz w:val="24"/>
        </w:rPr>
      </w:pPr>
      <w:r w:rsidRPr="00392EE4">
        <w:rPr>
          <w:rFonts w:ascii="Book Antiqua" w:hAnsi="Book Antiqua"/>
          <w:sz w:val="24"/>
        </w:rPr>
        <w:t xml:space="preserve">WGC was first introduced by Siegel </w:t>
      </w:r>
      <w:r w:rsidR="004849B2" w:rsidRPr="00392EE4">
        <w:rPr>
          <w:rFonts w:ascii="Book Antiqua" w:hAnsi="Book Antiqua"/>
          <w:i/>
          <w:sz w:val="24"/>
        </w:rPr>
        <w:t>et al</w:t>
      </w:r>
      <w:r w:rsidR="004849B2" w:rsidRPr="00392EE4">
        <w:rPr>
          <w:rFonts w:ascii="Book Antiqua" w:hAnsi="Book Antiqua"/>
          <w:sz w:val="24"/>
          <w:vertAlign w:val="superscript"/>
        </w:rPr>
        <w:t>[31]</w:t>
      </w:r>
      <w:r w:rsidR="004849B2" w:rsidRPr="00392EE4">
        <w:rPr>
          <w:rFonts w:ascii="Book Antiqua" w:hAnsi="Book Antiqua"/>
          <w:i/>
          <w:sz w:val="24"/>
        </w:rPr>
        <w:t xml:space="preserve"> </w:t>
      </w:r>
      <w:r w:rsidRPr="00392EE4">
        <w:rPr>
          <w:rFonts w:ascii="Book Antiqua" w:hAnsi="Book Antiqua"/>
          <w:sz w:val="24"/>
        </w:rPr>
        <w:t>in 1987. Meta-analysis has shown that the reduction of pancreatic duct opacification is another possible advantage over CGC</w:t>
      </w:r>
      <w:r w:rsidRPr="00392EE4">
        <w:rPr>
          <w:rFonts w:ascii="Book Antiqua" w:hAnsi="Book Antiqua"/>
          <w:sz w:val="24"/>
          <w:vertAlign w:val="superscript"/>
        </w:rPr>
        <w:t>[14,18,19]</w:t>
      </w:r>
      <w:r w:rsidRPr="00392EE4">
        <w:rPr>
          <w:rFonts w:ascii="Book Antiqua" w:hAnsi="Book Antiqua"/>
          <w:sz w:val="24"/>
        </w:rPr>
        <w:t>. Further, WGC has been suggested to decrease the risk of PEP</w:t>
      </w:r>
      <w:r w:rsidRPr="00392EE4">
        <w:rPr>
          <w:rFonts w:ascii="Book Antiqua" w:hAnsi="Book Antiqua"/>
          <w:sz w:val="24"/>
          <w:vertAlign w:val="superscript"/>
        </w:rPr>
        <w:t>[14,18,19]</w:t>
      </w:r>
      <w:r w:rsidRPr="00392EE4">
        <w:rPr>
          <w:rFonts w:ascii="Book Antiqua" w:hAnsi="Book Antiqua"/>
          <w:sz w:val="24"/>
        </w:rPr>
        <w:t>, facilitating its spread across the globe</w:t>
      </w:r>
      <w:r w:rsidRPr="00392EE4" w:rsidDel="002604AF">
        <w:rPr>
          <w:rFonts w:ascii="Book Antiqua" w:hAnsi="Book Antiqua"/>
          <w:sz w:val="24"/>
        </w:rPr>
        <w:t xml:space="preserve"> </w:t>
      </w:r>
      <w:r w:rsidRPr="00392EE4">
        <w:rPr>
          <w:rFonts w:ascii="Book Antiqua" w:hAnsi="Book Antiqua"/>
          <w:sz w:val="24"/>
        </w:rPr>
        <w:t xml:space="preserve">as a potential first-line method. </w:t>
      </w:r>
    </w:p>
    <w:p w:rsidR="00340085" w:rsidRPr="00392EE4" w:rsidRDefault="00340085" w:rsidP="002A2C2A">
      <w:pPr>
        <w:spacing w:line="360" w:lineRule="auto"/>
        <w:ind w:firstLineChars="200" w:firstLine="480"/>
        <w:contextualSpacing/>
        <w:rPr>
          <w:rFonts w:ascii="Book Antiqua" w:hAnsi="Book Antiqua"/>
          <w:sz w:val="24"/>
        </w:rPr>
      </w:pPr>
      <w:r w:rsidRPr="00392EE4">
        <w:rPr>
          <w:rFonts w:ascii="Book Antiqua" w:hAnsi="Book Antiqua"/>
          <w:sz w:val="24"/>
        </w:rPr>
        <w:t xml:space="preserve">Usually, when guidewires are extended from the tip of a catheter without </w:t>
      </w:r>
      <w:r w:rsidRPr="00392EE4">
        <w:rPr>
          <w:rFonts w:ascii="Book Antiqua" w:hAnsi="Book Antiqua"/>
          <w:sz w:val="24"/>
        </w:rPr>
        <w:lastRenderedPageBreak/>
        <w:t>enough space for advancement, the wire may act like a needle and pierce the epithelium. The J-shaped of the guidewire protrudes from the catheter before approaching the biliary orifice, and reduces this likelihood.</w:t>
      </w:r>
      <w:r w:rsidRPr="00392EE4">
        <w:rPr>
          <w:rFonts w:ascii="Book Antiqua" w:hAnsi="Book Antiqua"/>
          <w:kern w:val="0"/>
          <w:sz w:val="24"/>
        </w:rPr>
        <w:t xml:space="preserve"> We therefore believe our J-shaped-design to be the aspect that improved insertion into the biliary system. </w:t>
      </w:r>
      <w:r w:rsidRPr="00392EE4">
        <w:rPr>
          <w:rFonts w:ascii="Book Antiqua" w:hAnsi="Book Antiqua"/>
          <w:sz w:val="24"/>
        </w:rPr>
        <w:t>Limitations to this study include small sample size, no controls, a single institution, and involvement of multiple endoscopists. A randomized comparison is warranted for objective evaluation of its performance. One drawback of the J-shaped-tip guidewire is the 1-mm radius, which is wider than a standard guidewire and may hamper selective cannulation through a narrow orifice.</w:t>
      </w:r>
    </w:p>
    <w:p w:rsidR="00340085" w:rsidRPr="00392EE4" w:rsidRDefault="00340085" w:rsidP="002A2C2A">
      <w:pPr>
        <w:tabs>
          <w:tab w:val="left" w:pos="6699"/>
        </w:tabs>
        <w:spacing w:line="360" w:lineRule="auto"/>
        <w:ind w:firstLineChars="200" w:firstLine="480"/>
        <w:contextualSpacing/>
        <w:rPr>
          <w:rFonts w:ascii="Book Antiqua" w:hAnsi="Book Antiqua"/>
          <w:sz w:val="24"/>
        </w:rPr>
      </w:pPr>
      <w:r w:rsidRPr="00392EE4">
        <w:rPr>
          <w:rFonts w:ascii="Book Antiqua" w:hAnsi="Book Antiqua"/>
          <w:sz w:val="24"/>
        </w:rPr>
        <w:t xml:space="preserve">In conclusion, a newly designed guidewire with a J-shaped-tip may facilitate selective biliary cannulation in ERCP. However, a large prospective randomized control trial is necessary to verify the performance of this guidewire in comparison with standard guidewires. </w:t>
      </w:r>
    </w:p>
    <w:p w:rsidR="004849B2" w:rsidRPr="00392EE4" w:rsidRDefault="004849B2" w:rsidP="002A2C2A">
      <w:pPr>
        <w:tabs>
          <w:tab w:val="left" w:pos="6699"/>
        </w:tabs>
        <w:spacing w:line="360" w:lineRule="auto"/>
        <w:contextualSpacing/>
        <w:rPr>
          <w:rFonts w:ascii="Book Antiqua" w:hAnsi="Book Antiqua"/>
          <w:sz w:val="24"/>
        </w:rPr>
      </w:pPr>
    </w:p>
    <w:p w:rsidR="00340085" w:rsidRPr="00392EE4" w:rsidRDefault="00340085" w:rsidP="002A2C2A">
      <w:pPr>
        <w:spacing w:line="360" w:lineRule="auto"/>
        <w:rPr>
          <w:rFonts w:ascii="Book Antiqua" w:hAnsi="Book Antiqua"/>
          <w:b/>
          <w:sz w:val="24"/>
        </w:rPr>
      </w:pPr>
      <w:r w:rsidRPr="00392EE4">
        <w:rPr>
          <w:rFonts w:ascii="Book Antiqua" w:hAnsi="Book Antiqua"/>
          <w:b/>
          <w:sz w:val="24"/>
        </w:rPr>
        <w:t>COMMENTS</w:t>
      </w:r>
    </w:p>
    <w:p w:rsidR="00340085" w:rsidRPr="00392EE4" w:rsidRDefault="00340085" w:rsidP="002A2C2A">
      <w:pPr>
        <w:spacing w:line="360" w:lineRule="auto"/>
        <w:rPr>
          <w:rFonts w:ascii="Book Antiqua" w:hAnsi="Book Antiqua"/>
          <w:b/>
          <w:i/>
          <w:sz w:val="24"/>
        </w:rPr>
      </w:pPr>
      <w:r w:rsidRPr="00392EE4">
        <w:rPr>
          <w:rFonts w:ascii="Book Antiqua" w:hAnsi="Book Antiqua"/>
          <w:b/>
          <w:i/>
          <w:sz w:val="24"/>
        </w:rPr>
        <w:t>Background</w:t>
      </w:r>
    </w:p>
    <w:p w:rsidR="00340085" w:rsidRPr="00392EE4" w:rsidRDefault="00340085" w:rsidP="002A2C2A">
      <w:pPr>
        <w:spacing w:line="360" w:lineRule="auto"/>
        <w:rPr>
          <w:rFonts w:ascii="Book Antiqua" w:hAnsi="Book Antiqua"/>
          <w:sz w:val="24"/>
        </w:rPr>
      </w:pPr>
      <w:r w:rsidRPr="00392EE4">
        <w:rPr>
          <w:rFonts w:ascii="Book Antiqua" w:hAnsi="Book Antiqua"/>
          <w:sz w:val="24"/>
        </w:rPr>
        <w:t>Selective biliary cannulation is essential for diagnosis and therapeutic endo scopic retrograde retrograde cholangiopancreatography (ERCP) in biliary diseases.</w:t>
      </w:r>
      <w:r w:rsidR="00E7027C" w:rsidRPr="00392EE4">
        <w:rPr>
          <w:rFonts w:ascii="Book Antiqua" w:hAnsi="Book Antiqua"/>
          <w:sz w:val="24"/>
        </w:rPr>
        <w:t xml:space="preserve"> </w:t>
      </w:r>
      <w:r w:rsidRPr="00392EE4">
        <w:rPr>
          <w:rFonts w:ascii="Book Antiqua" w:hAnsi="Book Antiqua"/>
          <w:sz w:val="24"/>
        </w:rPr>
        <w:t xml:space="preserve">Wire-guided cannulation (WGC) increases the primary biliary cannulation rate and decreases the risk of post-ERCP pancreatitis (PEP). Therefore, WGC is now widely performed. However, even experts meet with </w:t>
      </w:r>
      <w:r w:rsidRPr="00392EE4">
        <w:rPr>
          <w:rFonts w:ascii="Book Antiqua" w:hAnsi="Book Antiqua"/>
          <w:sz w:val="24"/>
        </w:rPr>
        <w:lastRenderedPageBreak/>
        <w:t>the difficulty and possible risk of bleeding and perforation due to the guidewire.</w:t>
      </w:r>
    </w:p>
    <w:p w:rsidR="00340085" w:rsidRPr="00392EE4" w:rsidRDefault="00340085" w:rsidP="002A2C2A">
      <w:pPr>
        <w:spacing w:line="360" w:lineRule="auto"/>
        <w:rPr>
          <w:rFonts w:ascii="Book Antiqua" w:hAnsi="Book Antiqua"/>
          <w:b/>
          <w:i/>
          <w:sz w:val="24"/>
        </w:rPr>
      </w:pPr>
    </w:p>
    <w:p w:rsidR="00340085" w:rsidRPr="00392EE4" w:rsidRDefault="00340085" w:rsidP="002A2C2A">
      <w:pPr>
        <w:spacing w:line="360" w:lineRule="auto"/>
        <w:rPr>
          <w:rFonts w:ascii="Book Antiqua" w:hAnsi="Book Antiqua"/>
          <w:b/>
          <w:i/>
          <w:sz w:val="24"/>
        </w:rPr>
      </w:pPr>
      <w:r w:rsidRPr="00392EE4">
        <w:rPr>
          <w:rFonts w:ascii="Book Antiqua" w:hAnsi="Book Antiqua"/>
          <w:b/>
          <w:i/>
          <w:sz w:val="24"/>
        </w:rPr>
        <w:t>Research frontiers</w:t>
      </w:r>
    </w:p>
    <w:p w:rsidR="00340085" w:rsidRPr="00392EE4" w:rsidRDefault="00340085" w:rsidP="002A2C2A">
      <w:pPr>
        <w:spacing w:line="360" w:lineRule="auto"/>
        <w:contextualSpacing/>
        <w:rPr>
          <w:rFonts w:ascii="Book Antiqua" w:hAnsi="Book Antiqua"/>
          <w:sz w:val="24"/>
        </w:rPr>
      </w:pPr>
      <w:r w:rsidRPr="00392EE4">
        <w:rPr>
          <w:rFonts w:ascii="Book Antiqua" w:hAnsi="Book Antiqua"/>
          <w:sz w:val="24"/>
        </w:rPr>
        <w:t xml:space="preserve">The authors performed ERCP using a newly designed J-shaped-tip guidewire. A newly J-shaped-tip guidewire with a strongly flexed atraumatic tip and hydrophilic </w:t>
      </w:r>
      <w:r w:rsidR="00E7027C" w:rsidRPr="00392EE4">
        <w:rPr>
          <w:rFonts w:ascii="Book Antiqua" w:hAnsi="Book Antiqua"/>
          <w:sz w:val="24"/>
        </w:rPr>
        <w:t xml:space="preserve">coating </w:t>
      </w:r>
      <w:r w:rsidRPr="00392EE4">
        <w:rPr>
          <w:rFonts w:ascii="Book Antiqua" w:hAnsi="Book Antiqua"/>
          <w:sz w:val="24"/>
        </w:rPr>
        <w:t>designed to improve passage through intra-duodenal biliary segments and decrease the adverse events, such as PEP and bleeding, perforation. The authors conducted the feasible study.</w:t>
      </w:r>
    </w:p>
    <w:p w:rsidR="004849B2" w:rsidRPr="00392EE4" w:rsidRDefault="004849B2" w:rsidP="002A2C2A">
      <w:pPr>
        <w:spacing w:line="360" w:lineRule="auto"/>
        <w:rPr>
          <w:rFonts w:ascii="Book Antiqua" w:hAnsi="Book Antiqua"/>
          <w:b/>
          <w:i/>
          <w:sz w:val="24"/>
        </w:rPr>
      </w:pPr>
    </w:p>
    <w:p w:rsidR="00340085" w:rsidRPr="00392EE4" w:rsidRDefault="00340085" w:rsidP="002A2C2A">
      <w:pPr>
        <w:spacing w:line="360" w:lineRule="auto"/>
        <w:rPr>
          <w:rFonts w:ascii="Book Antiqua" w:hAnsi="Book Antiqua"/>
          <w:b/>
          <w:i/>
          <w:sz w:val="24"/>
        </w:rPr>
      </w:pPr>
      <w:r w:rsidRPr="00392EE4">
        <w:rPr>
          <w:rFonts w:ascii="Book Antiqua" w:hAnsi="Book Antiqua"/>
          <w:b/>
          <w:i/>
          <w:sz w:val="24"/>
        </w:rPr>
        <w:t>Innovations and breakthroughs</w:t>
      </w:r>
    </w:p>
    <w:p w:rsidR="00340085" w:rsidRPr="00392EE4" w:rsidRDefault="00340085" w:rsidP="002A2C2A">
      <w:pPr>
        <w:spacing w:line="360" w:lineRule="auto"/>
        <w:rPr>
          <w:rFonts w:ascii="Book Antiqua" w:hAnsi="Book Antiqua"/>
          <w:sz w:val="24"/>
        </w:rPr>
      </w:pPr>
      <w:r w:rsidRPr="00392EE4">
        <w:rPr>
          <w:rFonts w:ascii="Book Antiqua" w:hAnsi="Book Antiqua"/>
          <w:sz w:val="24"/>
        </w:rPr>
        <w:t xml:space="preserve">This is a single center pilot study. </w:t>
      </w:r>
      <w:r w:rsidRPr="00392EE4">
        <w:rPr>
          <w:rFonts w:ascii="Book Antiqua" w:eastAsia="MS PGothic" w:hAnsi="Book Antiqua"/>
          <w:kern w:val="0"/>
          <w:sz w:val="24"/>
        </w:rPr>
        <w:t xml:space="preserve">The primary success rate was 90% (45/50) within 10 min. The </w:t>
      </w:r>
      <w:r w:rsidRPr="00392EE4">
        <w:rPr>
          <w:rFonts w:ascii="Book Antiqua" w:hAnsi="Book Antiqua"/>
          <w:sz w:val="24"/>
        </w:rPr>
        <w:t>rate of PEP</w:t>
      </w:r>
      <w:r w:rsidRPr="00392EE4">
        <w:rPr>
          <w:rFonts w:ascii="Book Antiqua" w:eastAsia="MS PGothic" w:hAnsi="Book Antiqua"/>
          <w:kern w:val="0"/>
          <w:sz w:val="24"/>
        </w:rPr>
        <w:t xml:space="preserve"> was 6% (3/50), but all 3 cases were mild pancreatitis.</w:t>
      </w:r>
      <w:r w:rsidRPr="00392EE4">
        <w:rPr>
          <w:rFonts w:ascii="Book Antiqua" w:hAnsi="Book Antiqua"/>
          <w:sz w:val="24"/>
        </w:rPr>
        <w:t xml:space="preserve"> All patients were managed successfully with conservative treatment. There was no bleeding and perforation.</w:t>
      </w:r>
    </w:p>
    <w:p w:rsidR="00340085" w:rsidRPr="00392EE4" w:rsidRDefault="00340085" w:rsidP="002A2C2A">
      <w:pPr>
        <w:spacing w:line="360" w:lineRule="auto"/>
        <w:rPr>
          <w:rFonts w:ascii="Book Antiqua" w:hAnsi="Book Antiqua"/>
          <w:b/>
          <w:i/>
          <w:sz w:val="24"/>
        </w:rPr>
      </w:pPr>
    </w:p>
    <w:p w:rsidR="00340085" w:rsidRPr="00392EE4" w:rsidRDefault="00340085" w:rsidP="002A2C2A">
      <w:pPr>
        <w:spacing w:line="360" w:lineRule="auto"/>
        <w:rPr>
          <w:rFonts w:ascii="Book Antiqua" w:hAnsi="Book Antiqua"/>
          <w:b/>
          <w:i/>
          <w:sz w:val="24"/>
        </w:rPr>
      </w:pPr>
      <w:r w:rsidRPr="00392EE4">
        <w:rPr>
          <w:rFonts w:ascii="Book Antiqua" w:hAnsi="Book Antiqua"/>
          <w:b/>
          <w:i/>
          <w:sz w:val="24"/>
        </w:rPr>
        <w:t>Applications</w:t>
      </w:r>
    </w:p>
    <w:p w:rsidR="00340085" w:rsidRPr="00392EE4" w:rsidRDefault="00340085" w:rsidP="002A2C2A">
      <w:pPr>
        <w:spacing w:line="360" w:lineRule="auto"/>
        <w:contextualSpacing/>
        <w:rPr>
          <w:rFonts w:ascii="Book Antiqua" w:hAnsi="Book Antiqua"/>
          <w:sz w:val="24"/>
        </w:rPr>
      </w:pPr>
      <w:r w:rsidRPr="00392EE4">
        <w:rPr>
          <w:rFonts w:ascii="Book Antiqua" w:hAnsi="Book Antiqua"/>
          <w:sz w:val="24"/>
        </w:rPr>
        <w:t>A newly designed J-shaped-tip guidewire may facilitate selective biliary cannulation and the structure of the tip may contribute to decrease PEP and  bleeding, perforation. However, it must be necessary to conduct a large prospective randomized control trial to verify the performance.</w:t>
      </w:r>
    </w:p>
    <w:p w:rsidR="00340085" w:rsidRPr="00392EE4" w:rsidRDefault="00340085" w:rsidP="002A2C2A">
      <w:pPr>
        <w:spacing w:line="360" w:lineRule="auto"/>
        <w:rPr>
          <w:rFonts w:ascii="Book Antiqua" w:hAnsi="Book Antiqua"/>
          <w:b/>
          <w:i/>
          <w:sz w:val="24"/>
        </w:rPr>
      </w:pPr>
    </w:p>
    <w:p w:rsidR="00340085" w:rsidRPr="00392EE4" w:rsidRDefault="00340085" w:rsidP="002A2C2A">
      <w:pPr>
        <w:spacing w:line="360" w:lineRule="auto"/>
        <w:rPr>
          <w:rFonts w:ascii="Book Antiqua" w:hAnsi="Book Antiqua"/>
          <w:b/>
          <w:i/>
          <w:sz w:val="24"/>
        </w:rPr>
      </w:pPr>
      <w:r w:rsidRPr="00392EE4">
        <w:rPr>
          <w:rFonts w:ascii="Book Antiqua" w:hAnsi="Book Antiqua"/>
          <w:b/>
          <w:i/>
          <w:sz w:val="24"/>
        </w:rPr>
        <w:lastRenderedPageBreak/>
        <w:t>Peer review</w:t>
      </w:r>
    </w:p>
    <w:p w:rsidR="00340085" w:rsidRPr="00392EE4" w:rsidRDefault="00392EE4" w:rsidP="002A2C2A">
      <w:pPr>
        <w:spacing w:line="360" w:lineRule="auto"/>
        <w:rPr>
          <w:rFonts w:ascii="Book Antiqua" w:hAnsi="Book Antiqua"/>
          <w:sz w:val="24"/>
        </w:rPr>
      </w:pPr>
      <w:r w:rsidRPr="00392EE4">
        <w:rPr>
          <w:rFonts w:ascii="Book Antiqua" w:hAnsi="Book Antiqua"/>
          <w:sz w:val="24"/>
        </w:rPr>
        <w:t>This is a single center pilot study of a newly designed J-shaped-tip guidewire for wire-guided cannulation. The authors hypothesized J-shaped tip prevented perforation or PEPduring cannulation.</w:t>
      </w:r>
      <w:r w:rsidRPr="00392EE4">
        <w:t xml:space="preserve"> </w:t>
      </w:r>
      <w:r w:rsidRPr="00392EE4">
        <w:rPr>
          <w:rFonts w:ascii="Book Antiqua" w:hAnsi="Book Antiqua"/>
          <w:sz w:val="24"/>
        </w:rPr>
        <w:t>The limitation of this study is a small sample size without a control group as the authors discussed.</w:t>
      </w:r>
    </w:p>
    <w:p w:rsidR="00340085" w:rsidRPr="00392EE4" w:rsidRDefault="00340085" w:rsidP="002A2C2A">
      <w:pPr>
        <w:spacing w:line="360" w:lineRule="auto"/>
        <w:rPr>
          <w:rFonts w:ascii="Book Antiqua" w:hAnsi="Book Antiqua"/>
          <w:sz w:val="24"/>
        </w:rPr>
      </w:pPr>
    </w:p>
    <w:p w:rsidR="00340085" w:rsidRPr="00392EE4" w:rsidRDefault="00340085" w:rsidP="002A2C2A">
      <w:pPr>
        <w:spacing w:line="360" w:lineRule="auto"/>
        <w:rPr>
          <w:rFonts w:ascii="Book Antiqua" w:hAnsi="Book Antiqua"/>
          <w:b/>
          <w:sz w:val="24"/>
        </w:rPr>
      </w:pPr>
      <w:r w:rsidRPr="00392EE4">
        <w:rPr>
          <w:rFonts w:ascii="Book Antiqua" w:hAnsi="Book Antiqua"/>
          <w:b/>
          <w:sz w:val="24"/>
        </w:rPr>
        <w:t>REFERENCES</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1 </w:t>
      </w:r>
      <w:r w:rsidRPr="00392EE4">
        <w:rPr>
          <w:rFonts w:ascii="Book Antiqua" w:hAnsi="Book Antiqua" w:cs="宋体"/>
          <w:b/>
          <w:bCs/>
          <w:kern w:val="0"/>
          <w:sz w:val="24"/>
        </w:rPr>
        <w:t>Kumar S</w:t>
      </w:r>
      <w:r w:rsidRPr="00392EE4">
        <w:rPr>
          <w:rFonts w:ascii="Book Antiqua" w:hAnsi="Book Antiqua" w:cs="宋体"/>
          <w:kern w:val="0"/>
          <w:sz w:val="24"/>
        </w:rPr>
        <w:t xml:space="preserve">, Sherman S, Hawes RH, Lehman GA. Success and yield of second attempt ERCP.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1995; </w:t>
      </w:r>
      <w:r w:rsidRPr="00392EE4">
        <w:rPr>
          <w:rFonts w:ascii="Book Antiqua" w:hAnsi="Book Antiqua" w:cs="宋体"/>
          <w:b/>
          <w:bCs/>
          <w:kern w:val="0"/>
          <w:sz w:val="24"/>
        </w:rPr>
        <w:t>41</w:t>
      </w:r>
      <w:r w:rsidRPr="00392EE4">
        <w:rPr>
          <w:rFonts w:ascii="Book Antiqua" w:hAnsi="Book Antiqua" w:cs="宋体"/>
          <w:kern w:val="0"/>
          <w:sz w:val="24"/>
        </w:rPr>
        <w:t>: 445-447 [PMID: 7615221 DOI: 10.1016/S0016-5107(05)80001-X]</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2 </w:t>
      </w:r>
      <w:r w:rsidRPr="00392EE4">
        <w:rPr>
          <w:rFonts w:ascii="Book Antiqua" w:hAnsi="Book Antiqua" w:cs="宋体"/>
          <w:b/>
          <w:bCs/>
          <w:kern w:val="0"/>
          <w:sz w:val="24"/>
        </w:rPr>
        <w:t>Maydeo A</w:t>
      </w:r>
      <w:r w:rsidRPr="00392EE4">
        <w:rPr>
          <w:rFonts w:ascii="Book Antiqua" w:hAnsi="Book Antiqua" w:cs="宋体"/>
          <w:kern w:val="0"/>
          <w:sz w:val="24"/>
        </w:rPr>
        <w:t xml:space="preserve">, Borkar D. Techniques of selective cannulation and sphincterotomy. </w:t>
      </w:r>
      <w:r w:rsidRPr="00392EE4">
        <w:rPr>
          <w:rFonts w:ascii="Book Antiqua" w:hAnsi="Book Antiqua" w:cs="宋体"/>
          <w:i/>
          <w:iCs/>
          <w:kern w:val="0"/>
          <w:sz w:val="24"/>
        </w:rPr>
        <w:t>Endoscopy</w:t>
      </w:r>
      <w:r w:rsidRPr="00392EE4">
        <w:rPr>
          <w:rFonts w:ascii="Book Antiqua" w:hAnsi="Book Antiqua" w:cs="宋体"/>
          <w:kern w:val="0"/>
          <w:sz w:val="24"/>
        </w:rPr>
        <w:t xml:space="preserve"> 2003; </w:t>
      </w:r>
      <w:r w:rsidRPr="00392EE4">
        <w:rPr>
          <w:rFonts w:ascii="Book Antiqua" w:hAnsi="Book Antiqua" w:cs="宋体"/>
          <w:b/>
          <w:bCs/>
          <w:kern w:val="0"/>
          <w:sz w:val="24"/>
        </w:rPr>
        <w:t>35</w:t>
      </w:r>
      <w:r w:rsidRPr="00392EE4">
        <w:rPr>
          <w:rFonts w:ascii="Book Antiqua" w:hAnsi="Book Antiqua" w:cs="宋体"/>
          <w:kern w:val="0"/>
          <w:sz w:val="24"/>
        </w:rPr>
        <w:t>: S19-S23 [PMID: 12929049 DOI: 10.1055/s-2003-41532]</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3 </w:t>
      </w:r>
      <w:r w:rsidRPr="00392EE4">
        <w:rPr>
          <w:rFonts w:ascii="Book Antiqua" w:hAnsi="Book Antiqua" w:cs="宋体"/>
          <w:b/>
          <w:bCs/>
          <w:kern w:val="0"/>
          <w:sz w:val="24"/>
        </w:rPr>
        <w:t>Cotton PB</w:t>
      </w:r>
      <w:r w:rsidRPr="00392EE4">
        <w:rPr>
          <w:rFonts w:ascii="Book Antiqua" w:hAnsi="Book Antiqua" w:cs="宋体"/>
          <w:kern w:val="0"/>
          <w:sz w:val="24"/>
        </w:rPr>
        <w:t xml:space="preserve">. Income and outcome metrics for the objective evaluation of ERCP and alternative methods.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2002; </w:t>
      </w:r>
      <w:r w:rsidRPr="00392EE4">
        <w:rPr>
          <w:rFonts w:ascii="Book Antiqua" w:hAnsi="Book Antiqua" w:cs="宋体"/>
          <w:b/>
          <w:bCs/>
          <w:kern w:val="0"/>
          <w:sz w:val="24"/>
        </w:rPr>
        <w:t>56</w:t>
      </w:r>
      <w:r w:rsidRPr="00392EE4">
        <w:rPr>
          <w:rFonts w:ascii="Book Antiqua" w:hAnsi="Book Antiqua" w:cs="宋体"/>
          <w:kern w:val="0"/>
          <w:sz w:val="24"/>
        </w:rPr>
        <w:t>: S283-S290 [PMID: 12447282 DOI: 10.1016/S0016-5107(02)70026-6]</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4 </w:t>
      </w:r>
      <w:r w:rsidRPr="00392EE4">
        <w:rPr>
          <w:rFonts w:ascii="Book Antiqua" w:hAnsi="Book Antiqua" w:cs="宋体"/>
          <w:b/>
          <w:bCs/>
          <w:kern w:val="0"/>
          <w:sz w:val="24"/>
        </w:rPr>
        <w:t>Lehman GA</w:t>
      </w:r>
      <w:r w:rsidRPr="00392EE4">
        <w:rPr>
          <w:rFonts w:ascii="Book Antiqua" w:hAnsi="Book Antiqua" w:cs="宋体"/>
          <w:kern w:val="0"/>
          <w:sz w:val="24"/>
        </w:rPr>
        <w:t xml:space="preserve">. What are the determinants of success in utilization of ERCP in the setting of pancreatic and biliary diseases?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2002; </w:t>
      </w:r>
      <w:r w:rsidRPr="00392EE4">
        <w:rPr>
          <w:rFonts w:ascii="Book Antiqua" w:hAnsi="Book Antiqua" w:cs="宋体"/>
          <w:b/>
          <w:bCs/>
          <w:kern w:val="0"/>
          <w:sz w:val="24"/>
        </w:rPr>
        <w:t>56</w:t>
      </w:r>
      <w:r w:rsidRPr="00392EE4">
        <w:rPr>
          <w:rFonts w:ascii="Book Antiqua" w:hAnsi="Book Antiqua" w:cs="宋体"/>
          <w:kern w:val="0"/>
          <w:sz w:val="24"/>
        </w:rPr>
        <w:t>: S291-S293 [PMID: 12447283 DOI: 10.1016/S0016-5107(02)70027-8]</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5 </w:t>
      </w:r>
      <w:r w:rsidRPr="00392EE4">
        <w:rPr>
          <w:rFonts w:ascii="Book Antiqua" w:hAnsi="Book Antiqua" w:cs="宋体"/>
          <w:b/>
          <w:bCs/>
          <w:kern w:val="0"/>
          <w:sz w:val="24"/>
        </w:rPr>
        <w:t>Kowalski T</w:t>
      </w:r>
      <w:r w:rsidRPr="00392EE4">
        <w:rPr>
          <w:rFonts w:ascii="Book Antiqua" w:hAnsi="Book Antiqua" w:cs="宋体"/>
          <w:kern w:val="0"/>
          <w:sz w:val="24"/>
        </w:rPr>
        <w:t xml:space="preserve">, Kanchana T, Pungpapong S. Perceptions of gastroenterology fellows regarding ERCP competency and training.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2003; </w:t>
      </w:r>
      <w:r w:rsidRPr="00392EE4">
        <w:rPr>
          <w:rFonts w:ascii="Book Antiqua" w:hAnsi="Book Antiqua" w:cs="宋体"/>
          <w:b/>
          <w:bCs/>
          <w:kern w:val="0"/>
          <w:sz w:val="24"/>
        </w:rPr>
        <w:t>58</w:t>
      </w:r>
      <w:r w:rsidRPr="00392EE4">
        <w:rPr>
          <w:rFonts w:ascii="Book Antiqua" w:hAnsi="Book Antiqua" w:cs="宋体"/>
          <w:kern w:val="0"/>
          <w:sz w:val="24"/>
        </w:rPr>
        <w:t>: 345-349 [PMID: 14528206 DOI: 10.1067/S0016-5107(03)00006-3]</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lastRenderedPageBreak/>
        <w:t xml:space="preserve">6 </w:t>
      </w:r>
      <w:r w:rsidRPr="00392EE4">
        <w:rPr>
          <w:rFonts w:ascii="Book Antiqua" w:hAnsi="Book Antiqua" w:cs="宋体"/>
          <w:b/>
          <w:bCs/>
          <w:kern w:val="0"/>
          <w:sz w:val="24"/>
        </w:rPr>
        <w:t>Schwacha H</w:t>
      </w:r>
      <w:r w:rsidRPr="00392EE4">
        <w:rPr>
          <w:rFonts w:ascii="Book Antiqua" w:hAnsi="Book Antiqua" w:cs="宋体"/>
          <w:kern w:val="0"/>
          <w:sz w:val="24"/>
        </w:rPr>
        <w:t xml:space="preserve">, Allgaier HP, Deibert P, Olschewski M, Allgaier U, Blum HE. A sphincterotome-based technique for selective transpapillary common bile duct cannulation.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2000; </w:t>
      </w:r>
      <w:r w:rsidRPr="00392EE4">
        <w:rPr>
          <w:rFonts w:ascii="Book Antiqua" w:hAnsi="Book Antiqua" w:cs="宋体"/>
          <w:b/>
          <w:bCs/>
          <w:kern w:val="0"/>
          <w:sz w:val="24"/>
        </w:rPr>
        <w:t>52</w:t>
      </w:r>
      <w:r w:rsidRPr="00392EE4">
        <w:rPr>
          <w:rFonts w:ascii="Book Antiqua" w:hAnsi="Book Antiqua" w:cs="宋体"/>
          <w:kern w:val="0"/>
          <w:sz w:val="24"/>
        </w:rPr>
        <w:t>: 387-391 [PMID: 10968855]</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7 </w:t>
      </w:r>
      <w:r w:rsidRPr="00392EE4">
        <w:rPr>
          <w:rFonts w:ascii="Book Antiqua" w:hAnsi="Book Antiqua" w:cs="宋体"/>
          <w:b/>
          <w:bCs/>
          <w:kern w:val="0"/>
          <w:sz w:val="24"/>
        </w:rPr>
        <w:t>Artifon EL</w:t>
      </w:r>
      <w:r w:rsidRPr="00392EE4">
        <w:rPr>
          <w:rFonts w:ascii="Book Antiqua" w:hAnsi="Book Antiqua" w:cs="宋体"/>
          <w:kern w:val="0"/>
          <w:sz w:val="24"/>
        </w:rPr>
        <w:t xml:space="preserve">, Sakai P, Cunha JE, Halwan B, Ishioka S, Kumar A. Guidewire cannulation reduces risk of post-ERCP pancreatitis and facilitates bile duct cannulation. </w:t>
      </w:r>
      <w:r w:rsidRPr="00392EE4">
        <w:rPr>
          <w:rFonts w:ascii="Book Antiqua" w:hAnsi="Book Antiqua" w:cs="宋体"/>
          <w:i/>
          <w:iCs/>
          <w:kern w:val="0"/>
          <w:sz w:val="24"/>
        </w:rPr>
        <w:t>Am J Gastroenterol</w:t>
      </w:r>
      <w:r w:rsidRPr="00392EE4">
        <w:rPr>
          <w:rFonts w:ascii="Book Antiqua" w:hAnsi="Book Antiqua" w:cs="宋体"/>
          <w:kern w:val="0"/>
          <w:sz w:val="24"/>
        </w:rPr>
        <w:t xml:space="preserve"> 2007; </w:t>
      </w:r>
      <w:r w:rsidRPr="00392EE4">
        <w:rPr>
          <w:rFonts w:ascii="Book Antiqua" w:hAnsi="Book Antiqua" w:cs="宋体"/>
          <w:b/>
          <w:bCs/>
          <w:kern w:val="0"/>
          <w:sz w:val="24"/>
        </w:rPr>
        <w:t>102</w:t>
      </w:r>
      <w:r w:rsidRPr="00392EE4">
        <w:rPr>
          <w:rFonts w:ascii="Book Antiqua" w:hAnsi="Book Antiqua" w:cs="宋体"/>
          <w:kern w:val="0"/>
          <w:sz w:val="24"/>
        </w:rPr>
        <w:t>: 2147-2153 [PMID: 17581267 DOI: 10.1111/j.1572-0241.2007.01378.x]</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8 </w:t>
      </w:r>
      <w:r w:rsidRPr="00392EE4">
        <w:rPr>
          <w:rFonts w:ascii="Book Antiqua" w:hAnsi="Book Antiqua" w:cs="宋体"/>
          <w:b/>
          <w:bCs/>
          <w:kern w:val="0"/>
          <w:sz w:val="24"/>
        </w:rPr>
        <w:t>Bailey AA</w:t>
      </w:r>
      <w:r w:rsidRPr="00392EE4">
        <w:rPr>
          <w:rFonts w:ascii="Book Antiqua" w:hAnsi="Book Antiqua" w:cs="宋体"/>
          <w:kern w:val="0"/>
          <w:sz w:val="24"/>
        </w:rPr>
        <w:t xml:space="preserve">, Bourke MJ, Williams SJ, Walsh PR, Murray MA, Lee EY, Kwan V, Lynch PM. A prospective randomized trial of cannulation technique in ERCP: effects on technical success and post-ERCP pancreatitis. </w:t>
      </w:r>
      <w:r w:rsidRPr="00392EE4">
        <w:rPr>
          <w:rFonts w:ascii="Book Antiqua" w:hAnsi="Book Antiqua" w:cs="宋体"/>
          <w:i/>
          <w:iCs/>
          <w:kern w:val="0"/>
          <w:sz w:val="24"/>
        </w:rPr>
        <w:t>Endoscopy</w:t>
      </w:r>
      <w:r w:rsidRPr="00392EE4">
        <w:rPr>
          <w:rFonts w:ascii="Book Antiqua" w:hAnsi="Book Antiqua" w:cs="宋体"/>
          <w:kern w:val="0"/>
          <w:sz w:val="24"/>
        </w:rPr>
        <w:t xml:space="preserve"> 2008; </w:t>
      </w:r>
      <w:r w:rsidRPr="00392EE4">
        <w:rPr>
          <w:rFonts w:ascii="Book Antiqua" w:hAnsi="Book Antiqua" w:cs="宋体"/>
          <w:b/>
          <w:bCs/>
          <w:kern w:val="0"/>
          <w:sz w:val="24"/>
        </w:rPr>
        <w:t>40</w:t>
      </w:r>
      <w:r w:rsidRPr="00392EE4">
        <w:rPr>
          <w:rFonts w:ascii="Book Antiqua" w:hAnsi="Book Antiqua" w:cs="宋体"/>
          <w:kern w:val="0"/>
          <w:sz w:val="24"/>
        </w:rPr>
        <w:t>: 296-301 [PMID: 18389448 DOI: 10.1055/s-2007-995566]</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9 </w:t>
      </w:r>
      <w:r w:rsidRPr="00392EE4">
        <w:rPr>
          <w:rFonts w:ascii="Book Antiqua" w:hAnsi="Book Antiqua" w:cs="宋体"/>
          <w:b/>
          <w:bCs/>
          <w:kern w:val="0"/>
          <w:sz w:val="24"/>
        </w:rPr>
        <w:t>Katsinelos P</w:t>
      </w:r>
      <w:r w:rsidRPr="00392EE4">
        <w:rPr>
          <w:rFonts w:ascii="Book Antiqua" w:hAnsi="Book Antiqua" w:cs="宋体"/>
          <w:kern w:val="0"/>
          <w:sz w:val="24"/>
        </w:rPr>
        <w:t xml:space="preserve">, Paroutoglou G, Kountouras J, Chatzimavroudis G, Zavos C, Pilpilidis I, Tzelas G, Tzovaras G. A comparative study of standard ERCP catheter and hydrophilic guide wire in the selective cannulation of the common bile duct. </w:t>
      </w:r>
      <w:r w:rsidRPr="00392EE4">
        <w:rPr>
          <w:rFonts w:ascii="Book Antiqua" w:hAnsi="Book Antiqua" w:cs="宋体"/>
          <w:i/>
          <w:iCs/>
          <w:kern w:val="0"/>
          <w:sz w:val="24"/>
        </w:rPr>
        <w:t>Endoscopy</w:t>
      </w:r>
      <w:r w:rsidRPr="00392EE4">
        <w:rPr>
          <w:rFonts w:ascii="Book Antiqua" w:hAnsi="Book Antiqua" w:cs="宋体"/>
          <w:kern w:val="0"/>
          <w:sz w:val="24"/>
        </w:rPr>
        <w:t xml:space="preserve"> 2008; </w:t>
      </w:r>
      <w:r w:rsidRPr="00392EE4">
        <w:rPr>
          <w:rFonts w:ascii="Book Antiqua" w:hAnsi="Book Antiqua" w:cs="宋体"/>
          <w:b/>
          <w:bCs/>
          <w:kern w:val="0"/>
          <w:sz w:val="24"/>
        </w:rPr>
        <w:t>40</w:t>
      </w:r>
      <w:r w:rsidRPr="00392EE4">
        <w:rPr>
          <w:rFonts w:ascii="Book Antiqua" w:hAnsi="Book Antiqua" w:cs="宋体"/>
          <w:kern w:val="0"/>
          <w:sz w:val="24"/>
        </w:rPr>
        <w:t>: 302-307 [PMID: 18283621 DOI: 10.1055/s-2007-995483]</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10 </w:t>
      </w:r>
      <w:r w:rsidRPr="00392EE4">
        <w:rPr>
          <w:rFonts w:ascii="Book Antiqua" w:hAnsi="Book Antiqua" w:cs="宋体"/>
          <w:b/>
          <w:bCs/>
          <w:kern w:val="0"/>
          <w:sz w:val="24"/>
        </w:rPr>
        <w:t>Bourke MJ</w:t>
      </w:r>
      <w:r w:rsidRPr="00392EE4">
        <w:rPr>
          <w:rFonts w:ascii="Book Antiqua" w:hAnsi="Book Antiqua" w:cs="宋体"/>
          <w:kern w:val="0"/>
          <w:sz w:val="24"/>
        </w:rPr>
        <w:t xml:space="preserve">, Costamagna G, Freeman ML. Biliary cannulation during endoscopic retrograde cholangiopancreatography: core technique and recent innovations. </w:t>
      </w:r>
      <w:r w:rsidRPr="00392EE4">
        <w:rPr>
          <w:rFonts w:ascii="Book Antiqua" w:hAnsi="Book Antiqua" w:cs="宋体"/>
          <w:i/>
          <w:iCs/>
          <w:kern w:val="0"/>
          <w:sz w:val="24"/>
        </w:rPr>
        <w:t>Endoscopy</w:t>
      </w:r>
      <w:r w:rsidRPr="00392EE4">
        <w:rPr>
          <w:rFonts w:ascii="Book Antiqua" w:hAnsi="Book Antiqua" w:cs="宋体"/>
          <w:kern w:val="0"/>
          <w:sz w:val="24"/>
        </w:rPr>
        <w:t xml:space="preserve"> 2009; </w:t>
      </w:r>
      <w:r w:rsidRPr="00392EE4">
        <w:rPr>
          <w:rFonts w:ascii="Book Antiqua" w:hAnsi="Book Antiqua" w:cs="宋体"/>
          <w:b/>
          <w:bCs/>
          <w:kern w:val="0"/>
          <w:sz w:val="24"/>
        </w:rPr>
        <w:t>41</w:t>
      </w:r>
      <w:r w:rsidRPr="00392EE4">
        <w:rPr>
          <w:rFonts w:ascii="Book Antiqua" w:hAnsi="Book Antiqua" w:cs="宋体"/>
          <w:kern w:val="0"/>
          <w:sz w:val="24"/>
        </w:rPr>
        <w:t>: 612-617 [PMID: 19588290 DOI: 10.1055/s-0029-1214859]</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lastRenderedPageBreak/>
        <w:t xml:space="preserve">11 </w:t>
      </w:r>
      <w:r w:rsidRPr="00392EE4">
        <w:rPr>
          <w:rFonts w:ascii="Book Antiqua" w:hAnsi="Book Antiqua" w:cs="宋体"/>
          <w:b/>
          <w:bCs/>
          <w:kern w:val="0"/>
          <w:sz w:val="24"/>
        </w:rPr>
        <w:t>Halttunen J</w:t>
      </w:r>
      <w:r w:rsidRPr="00392EE4">
        <w:rPr>
          <w:rFonts w:ascii="Book Antiqua" w:hAnsi="Book Antiqua" w:cs="宋体"/>
          <w:kern w:val="0"/>
          <w:sz w:val="24"/>
        </w:rPr>
        <w:t xml:space="preserve">, Kylänpää L. A prospective randomized study of thin versus regular-sized guide wire in wire-guided cannulation. </w:t>
      </w:r>
      <w:r w:rsidRPr="00392EE4">
        <w:rPr>
          <w:rFonts w:ascii="Book Antiqua" w:hAnsi="Book Antiqua" w:cs="宋体"/>
          <w:i/>
          <w:iCs/>
          <w:kern w:val="0"/>
          <w:sz w:val="24"/>
        </w:rPr>
        <w:t>Surg Endosc</w:t>
      </w:r>
      <w:r w:rsidRPr="00392EE4">
        <w:rPr>
          <w:rFonts w:ascii="Book Antiqua" w:hAnsi="Book Antiqua" w:cs="宋体"/>
          <w:kern w:val="0"/>
          <w:sz w:val="24"/>
        </w:rPr>
        <w:t xml:space="preserve"> 2013; </w:t>
      </w:r>
      <w:r w:rsidRPr="00392EE4">
        <w:rPr>
          <w:rFonts w:ascii="Book Antiqua" w:hAnsi="Book Antiqua" w:cs="宋体"/>
          <w:b/>
          <w:bCs/>
          <w:kern w:val="0"/>
          <w:sz w:val="24"/>
        </w:rPr>
        <w:t>27</w:t>
      </w:r>
      <w:r w:rsidRPr="00392EE4">
        <w:rPr>
          <w:rFonts w:ascii="Book Antiqua" w:hAnsi="Book Antiqua" w:cs="宋体"/>
          <w:kern w:val="0"/>
          <w:sz w:val="24"/>
        </w:rPr>
        <w:t>: 1662-1667 [PMID: 23239304 DOI: 10.1007/s00464-012-2653-1]</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12 </w:t>
      </w:r>
      <w:r w:rsidRPr="00392EE4">
        <w:rPr>
          <w:rFonts w:ascii="Book Antiqua" w:hAnsi="Book Antiqua" w:cs="宋体"/>
          <w:b/>
          <w:bCs/>
          <w:kern w:val="0"/>
          <w:sz w:val="24"/>
        </w:rPr>
        <w:t>Lella F</w:t>
      </w:r>
      <w:r w:rsidRPr="00392EE4">
        <w:rPr>
          <w:rFonts w:ascii="Book Antiqua" w:hAnsi="Book Antiqua" w:cs="宋体"/>
          <w:kern w:val="0"/>
          <w:sz w:val="24"/>
        </w:rPr>
        <w:t xml:space="preserve">, Bagnolo F, Colombo E, Bonassi U. A simple way of avoiding post-ERCP pancreatitis.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2004; </w:t>
      </w:r>
      <w:r w:rsidRPr="00392EE4">
        <w:rPr>
          <w:rFonts w:ascii="Book Antiqua" w:hAnsi="Book Antiqua" w:cs="宋体"/>
          <w:b/>
          <w:bCs/>
          <w:kern w:val="0"/>
          <w:sz w:val="24"/>
        </w:rPr>
        <w:t>59</w:t>
      </w:r>
      <w:r w:rsidRPr="00392EE4">
        <w:rPr>
          <w:rFonts w:ascii="Book Antiqua" w:hAnsi="Book Antiqua" w:cs="宋体"/>
          <w:kern w:val="0"/>
          <w:sz w:val="24"/>
        </w:rPr>
        <w:t>: 830-834 [PMID: 15173796 DOI: 10.1016/S0016-5107(04)00363-3]</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13 </w:t>
      </w:r>
      <w:r w:rsidRPr="00392EE4">
        <w:rPr>
          <w:rFonts w:ascii="Book Antiqua" w:hAnsi="Book Antiqua" w:cs="宋体"/>
          <w:b/>
          <w:bCs/>
          <w:kern w:val="0"/>
          <w:sz w:val="24"/>
        </w:rPr>
        <w:t>Lee TH</w:t>
      </w:r>
      <w:r w:rsidRPr="00392EE4">
        <w:rPr>
          <w:rFonts w:ascii="Book Antiqua" w:hAnsi="Book Antiqua" w:cs="宋体"/>
          <w:kern w:val="0"/>
          <w:sz w:val="24"/>
        </w:rPr>
        <w:t xml:space="preserve">, Park do H, Park JY, Kim EO, Lee YS, Park JH, Lee SH, Chung IK, Kim HS, Park SH, Kim SJ. Can wire-guided cannulation prevent post-ERCP pancreatitis? A prospective randomized trial.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2009; </w:t>
      </w:r>
      <w:r w:rsidRPr="00392EE4">
        <w:rPr>
          <w:rFonts w:ascii="Book Antiqua" w:hAnsi="Book Antiqua" w:cs="宋体"/>
          <w:b/>
          <w:bCs/>
          <w:kern w:val="0"/>
          <w:sz w:val="24"/>
        </w:rPr>
        <w:t>69</w:t>
      </w:r>
      <w:r w:rsidRPr="00392EE4">
        <w:rPr>
          <w:rFonts w:ascii="Book Antiqua" w:hAnsi="Book Antiqua" w:cs="宋体"/>
          <w:kern w:val="0"/>
          <w:sz w:val="24"/>
        </w:rPr>
        <w:t>: 444-449 [PMID: 19007927 DOI: 10.1016/j.gie.2008.04.064]</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14 </w:t>
      </w:r>
      <w:r w:rsidRPr="00392EE4">
        <w:rPr>
          <w:rFonts w:ascii="Book Antiqua" w:hAnsi="Book Antiqua" w:cs="宋体"/>
          <w:b/>
          <w:bCs/>
          <w:kern w:val="0"/>
          <w:sz w:val="24"/>
        </w:rPr>
        <w:t>Cennamo V</w:t>
      </w:r>
      <w:r w:rsidRPr="00392EE4">
        <w:rPr>
          <w:rFonts w:ascii="Book Antiqua" w:hAnsi="Book Antiqua" w:cs="宋体"/>
          <w:kern w:val="0"/>
          <w:sz w:val="24"/>
        </w:rPr>
        <w:t xml:space="preserve">, Fuccio L, Zagari RM, Eusebi LH, Ceroni L, Laterza L, Fabbri C, Bazzoli F. Can a wire-guided cannulation technique increase bile duct cannulation rate and prevent post-ERCP pancreatitis?: A meta-analysis of randomized controlled trials. </w:t>
      </w:r>
      <w:r w:rsidRPr="00392EE4">
        <w:rPr>
          <w:rFonts w:ascii="Book Antiqua" w:hAnsi="Book Antiqua" w:cs="宋体"/>
          <w:i/>
          <w:iCs/>
          <w:kern w:val="0"/>
          <w:sz w:val="24"/>
        </w:rPr>
        <w:t>Am J Gastroenterol</w:t>
      </w:r>
      <w:r w:rsidRPr="00392EE4">
        <w:rPr>
          <w:rFonts w:ascii="Book Antiqua" w:hAnsi="Book Antiqua" w:cs="宋体"/>
          <w:kern w:val="0"/>
          <w:sz w:val="24"/>
        </w:rPr>
        <w:t xml:space="preserve"> 2009; </w:t>
      </w:r>
      <w:r w:rsidRPr="00392EE4">
        <w:rPr>
          <w:rFonts w:ascii="Book Antiqua" w:hAnsi="Book Antiqua" w:cs="宋体"/>
          <w:b/>
          <w:bCs/>
          <w:kern w:val="0"/>
          <w:sz w:val="24"/>
        </w:rPr>
        <w:t>104</w:t>
      </w:r>
      <w:r w:rsidRPr="00392EE4">
        <w:rPr>
          <w:rFonts w:ascii="Book Antiqua" w:hAnsi="Book Antiqua" w:cs="宋体"/>
          <w:kern w:val="0"/>
          <w:sz w:val="24"/>
        </w:rPr>
        <w:t>: 2343-2350 [PMID: 19532133 DOI: 10.1038/ajg.2009.269]</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15 </w:t>
      </w:r>
      <w:r w:rsidRPr="00392EE4">
        <w:rPr>
          <w:rFonts w:ascii="Book Antiqua" w:hAnsi="Book Antiqua" w:cs="宋体"/>
          <w:b/>
          <w:bCs/>
          <w:kern w:val="0"/>
          <w:sz w:val="24"/>
        </w:rPr>
        <w:t>Hisa T</w:t>
      </w:r>
      <w:r w:rsidRPr="00392EE4">
        <w:rPr>
          <w:rFonts w:ascii="Book Antiqua" w:hAnsi="Book Antiqua" w:cs="宋体"/>
          <w:kern w:val="0"/>
          <w:sz w:val="24"/>
        </w:rPr>
        <w:t xml:space="preserve">, Matsumoto R, Takamatsu M, Furutake M. Impact of changing our cannulation method on the incidence of post-endoscopic retrograde cholangiopancreatography pancreatitis after pancreatic guidewire placement. </w:t>
      </w:r>
      <w:r w:rsidRPr="00392EE4">
        <w:rPr>
          <w:rFonts w:ascii="Book Antiqua" w:hAnsi="Book Antiqua" w:cs="宋体"/>
          <w:i/>
          <w:iCs/>
          <w:kern w:val="0"/>
          <w:sz w:val="24"/>
        </w:rPr>
        <w:t>World J Gastroenterol</w:t>
      </w:r>
      <w:r w:rsidRPr="00392EE4">
        <w:rPr>
          <w:rFonts w:ascii="Book Antiqua" w:hAnsi="Book Antiqua" w:cs="宋体"/>
          <w:kern w:val="0"/>
          <w:sz w:val="24"/>
        </w:rPr>
        <w:t xml:space="preserve"> 2011; </w:t>
      </w:r>
      <w:r w:rsidRPr="00392EE4">
        <w:rPr>
          <w:rFonts w:ascii="Book Antiqua" w:hAnsi="Book Antiqua" w:cs="宋体"/>
          <w:b/>
          <w:bCs/>
          <w:kern w:val="0"/>
          <w:sz w:val="24"/>
        </w:rPr>
        <w:t>17</w:t>
      </w:r>
      <w:r w:rsidRPr="00392EE4">
        <w:rPr>
          <w:rFonts w:ascii="Book Antiqua" w:hAnsi="Book Antiqua" w:cs="宋体"/>
          <w:kern w:val="0"/>
          <w:sz w:val="24"/>
        </w:rPr>
        <w:t>: 5289-5294 [PMID: 22219598]</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16 </w:t>
      </w:r>
      <w:r w:rsidRPr="00392EE4">
        <w:rPr>
          <w:rFonts w:ascii="Book Antiqua" w:hAnsi="Book Antiqua" w:cs="宋体"/>
          <w:b/>
          <w:bCs/>
          <w:kern w:val="0"/>
          <w:sz w:val="24"/>
        </w:rPr>
        <w:t>Karamanolis G</w:t>
      </w:r>
      <w:r w:rsidRPr="00392EE4">
        <w:rPr>
          <w:rFonts w:ascii="Book Antiqua" w:hAnsi="Book Antiqua" w:cs="宋体"/>
          <w:kern w:val="0"/>
          <w:sz w:val="24"/>
        </w:rPr>
        <w:t xml:space="preserve">, Katsikani A, Viazis N, Stefanidis G, Manolakopoulos S, Sgouros S, Papadopoulou E, Mantides A. A prospective cross-over study using </w:t>
      </w:r>
      <w:r w:rsidRPr="00392EE4">
        <w:rPr>
          <w:rFonts w:ascii="Book Antiqua" w:hAnsi="Book Antiqua" w:cs="宋体"/>
          <w:kern w:val="0"/>
          <w:sz w:val="24"/>
        </w:rPr>
        <w:lastRenderedPageBreak/>
        <w:t xml:space="preserve">a sphincterotome and a guidewire to increase the success rate of common bile duct cannulation. </w:t>
      </w:r>
      <w:r w:rsidRPr="00392EE4">
        <w:rPr>
          <w:rFonts w:ascii="Book Antiqua" w:hAnsi="Book Antiqua" w:cs="宋体"/>
          <w:i/>
          <w:iCs/>
          <w:kern w:val="0"/>
          <w:sz w:val="24"/>
        </w:rPr>
        <w:t>World J Gastroenterol</w:t>
      </w:r>
      <w:r w:rsidRPr="00392EE4">
        <w:rPr>
          <w:rFonts w:ascii="Book Antiqua" w:hAnsi="Book Antiqua" w:cs="宋体"/>
          <w:kern w:val="0"/>
          <w:sz w:val="24"/>
        </w:rPr>
        <w:t xml:space="preserve"> 2005; </w:t>
      </w:r>
      <w:r w:rsidRPr="00392EE4">
        <w:rPr>
          <w:rFonts w:ascii="Book Antiqua" w:hAnsi="Book Antiqua" w:cs="宋体"/>
          <w:b/>
          <w:bCs/>
          <w:kern w:val="0"/>
          <w:sz w:val="24"/>
        </w:rPr>
        <w:t>11</w:t>
      </w:r>
      <w:r w:rsidRPr="00392EE4">
        <w:rPr>
          <w:rFonts w:ascii="Book Antiqua" w:hAnsi="Book Antiqua" w:cs="宋体"/>
          <w:kern w:val="0"/>
          <w:sz w:val="24"/>
        </w:rPr>
        <w:t>: 1649-1652 [PMID: 15786543]</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17 </w:t>
      </w:r>
      <w:r w:rsidRPr="00392EE4">
        <w:rPr>
          <w:rFonts w:ascii="Book Antiqua" w:hAnsi="Book Antiqua" w:cs="宋体"/>
          <w:b/>
          <w:bCs/>
          <w:kern w:val="0"/>
          <w:sz w:val="24"/>
        </w:rPr>
        <w:t>Freeman ML</w:t>
      </w:r>
      <w:r w:rsidRPr="00392EE4">
        <w:rPr>
          <w:rFonts w:ascii="Book Antiqua" w:hAnsi="Book Antiqua" w:cs="宋体"/>
          <w:kern w:val="0"/>
          <w:sz w:val="24"/>
        </w:rPr>
        <w:t xml:space="preserve">, Guda NM. ERCP cannulation: a review of reported techniques.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2005; </w:t>
      </w:r>
      <w:r w:rsidRPr="00392EE4">
        <w:rPr>
          <w:rFonts w:ascii="Book Antiqua" w:hAnsi="Book Antiqua" w:cs="宋体"/>
          <w:b/>
          <w:bCs/>
          <w:kern w:val="0"/>
          <w:sz w:val="24"/>
        </w:rPr>
        <w:t>61</w:t>
      </w:r>
      <w:r w:rsidRPr="00392EE4">
        <w:rPr>
          <w:rFonts w:ascii="Book Antiqua" w:hAnsi="Book Antiqua" w:cs="宋体"/>
          <w:kern w:val="0"/>
          <w:sz w:val="24"/>
        </w:rPr>
        <w:t>: 112-125 [PMID: 15672074 DOI: 10.1016/S0016-5107(04)02463-0]</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18 </w:t>
      </w:r>
      <w:r w:rsidRPr="00392EE4">
        <w:rPr>
          <w:rFonts w:ascii="Book Antiqua" w:hAnsi="Book Antiqua" w:cs="宋体"/>
          <w:b/>
          <w:bCs/>
          <w:kern w:val="0"/>
          <w:sz w:val="24"/>
        </w:rPr>
        <w:t>Cheung J</w:t>
      </w:r>
      <w:r w:rsidRPr="00392EE4">
        <w:rPr>
          <w:rFonts w:ascii="Book Antiqua" w:hAnsi="Book Antiqua" w:cs="宋体"/>
          <w:kern w:val="0"/>
          <w:sz w:val="24"/>
        </w:rPr>
        <w:t xml:space="preserve">, Tsoi KK, Quan WL, Lau JY, Sung JJ. Guidewire versus conventional contrast cannulation of the common bile duct for the prevention of post-ERCP pancreatitis: a systematic review and meta-analysis.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2009; </w:t>
      </w:r>
      <w:r w:rsidRPr="00392EE4">
        <w:rPr>
          <w:rFonts w:ascii="Book Antiqua" w:hAnsi="Book Antiqua" w:cs="宋体"/>
          <w:b/>
          <w:bCs/>
          <w:kern w:val="0"/>
          <w:sz w:val="24"/>
        </w:rPr>
        <w:t>70</w:t>
      </w:r>
      <w:r w:rsidRPr="00392EE4">
        <w:rPr>
          <w:rFonts w:ascii="Book Antiqua" w:hAnsi="Book Antiqua" w:cs="宋体"/>
          <w:kern w:val="0"/>
          <w:sz w:val="24"/>
        </w:rPr>
        <w:t>: 1211-1219 [PMID: 19962504</w:t>
      </w:r>
      <w:r w:rsidR="00295799" w:rsidRPr="00392EE4">
        <w:rPr>
          <w:rFonts w:ascii="Book Antiqua" w:hAnsi="Book Antiqua"/>
          <w:sz w:val="24"/>
        </w:rPr>
        <w:t xml:space="preserve"> </w:t>
      </w:r>
      <w:r w:rsidR="00295799" w:rsidRPr="00392EE4">
        <w:rPr>
          <w:rFonts w:ascii="Book Antiqua" w:hAnsi="Book Antiqua" w:cs="宋体"/>
          <w:kern w:val="0"/>
          <w:sz w:val="24"/>
        </w:rPr>
        <w:t>DOI:</w:t>
      </w:r>
      <w:r w:rsidR="00295799" w:rsidRPr="00392EE4">
        <w:rPr>
          <w:rFonts w:ascii="Book Antiqua" w:hAnsi="Book Antiqua"/>
          <w:sz w:val="24"/>
        </w:rPr>
        <w:t xml:space="preserve"> </w:t>
      </w:r>
      <w:r w:rsidR="00295799" w:rsidRPr="00392EE4">
        <w:rPr>
          <w:rFonts w:ascii="Book Antiqua" w:hAnsi="Book Antiqua" w:cs="宋体"/>
          <w:kern w:val="0"/>
          <w:sz w:val="24"/>
        </w:rPr>
        <w:t>10.1016/j. gie.2009.08.007</w:t>
      </w:r>
      <w:r w:rsidRPr="00392EE4">
        <w:rPr>
          <w:rFonts w:ascii="Book Antiqua" w:hAnsi="Book Antiqua" w:cs="宋体"/>
          <w:kern w:val="0"/>
          <w:sz w:val="24"/>
        </w:rPr>
        <w:t>]</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19 </w:t>
      </w:r>
      <w:r w:rsidRPr="00392EE4">
        <w:rPr>
          <w:rFonts w:ascii="Book Antiqua" w:hAnsi="Book Antiqua" w:cs="宋体"/>
          <w:b/>
          <w:bCs/>
          <w:kern w:val="0"/>
          <w:sz w:val="24"/>
        </w:rPr>
        <w:t>Eachus P</w:t>
      </w:r>
      <w:r w:rsidRPr="00392EE4">
        <w:rPr>
          <w:rFonts w:ascii="Book Antiqua" w:hAnsi="Book Antiqua" w:cs="宋体"/>
          <w:kern w:val="0"/>
          <w:sz w:val="24"/>
        </w:rPr>
        <w:t xml:space="preserve">. Multidimensional health locus of control in nurses. </w:t>
      </w:r>
      <w:r w:rsidRPr="00392EE4">
        <w:rPr>
          <w:rFonts w:ascii="Book Antiqua" w:hAnsi="Book Antiqua" w:cs="宋体"/>
          <w:i/>
          <w:iCs/>
          <w:kern w:val="0"/>
          <w:sz w:val="24"/>
        </w:rPr>
        <w:t>J Adv Nurs</w:t>
      </w:r>
      <w:r w:rsidRPr="00392EE4">
        <w:rPr>
          <w:rFonts w:ascii="Book Antiqua" w:hAnsi="Book Antiqua" w:cs="宋体"/>
          <w:kern w:val="0"/>
          <w:sz w:val="24"/>
        </w:rPr>
        <w:t xml:space="preserve"> 1991; </w:t>
      </w:r>
      <w:r w:rsidRPr="00392EE4">
        <w:rPr>
          <w:rFonts w:ascii="Book Antiqua" w:hAnsi="Book Antiqua" w:cs="宋体"/>
          <w:b/>
          <w:bCs/>
          <w:kern w:val="0"/>
          <w:sz w:val="24"/>
        </w:rPr>
        <w:t>16</w:t>
      </w:r>
      <w:r w:rsidRPr="00392EE4">
        <w:rPr>
          <w:rFonts w:ascii="Book Antiqua" w:hAnsi="Book Antiqua" w:cs="宋体"/>
          <w:kern w:val="0"/>
          <w:sz w:val="24"/>
        </w:rPr>
        <w:t>: 165-171 [PMID: 2013657</w:t>
      </w:r>
      <w:r w:rsidR="00295799" w:rsidRPr="00392EE4">
        <w:rPr>
          <w:rFonts w:ascii="Book Antiqua" w:hAnsi="Book Antiqua" w:cs="宋体"/>
          <w:kern w:val="0"/>
          <w:sz w:val="24"/>
        </w:rPr>
        <w:t xml:space="preserve"> DOI:10.1111/j. 1440-1746.2009.06010.x</w:t>
      </w:r>
      <w:r w:rsidRPr="00392EE4">
        <w:rPr>
          <w:rFonts w:ascii="Book Antiqua" w:hAnsi="Book Antiqua" w:cs="宋体"/>
          <w:kern w:val="0"/>
          <w:sz w:val="24"/>
        </w:rPr>
        <w:t>]</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20 </w:t>
      </w:r>
      <w:r w:rsidRPr="00392EE4">
        <w:rPr>
          <w:rFonts w:ascii="Book Antiqua" w:hAnsi="Book Antiqua" w:cs="宋体"/>
          <w:b/>
          <w:bCs/>
          <w:kern w:val="0"/>
          <w:sz w:val="24"/>
        </w:rPr>
        <w:t>Cotton PB</w:t>
      </w:r>
      <w:r w:rsidRPr="00392EE4">
        <w:rPr>
          <w:rFonts w:ascii="Book Antiqua" w:hAnsi="Book Antiqua" w:cs="宋体"/>
          <w:kern w:val="0"/>
          <w:sz w:val="24"/>
        </w:rPr>
        <w:t xml:space="preserve">, Garrow DA, Gallagher J, Romagnuolo J. Risk factors for complications after ERCP: a multivariate analysis of 11,497 procedures over 12 years.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2009; </w:t>
      </w:r>
      <w:r w:rsidRPr="00392EE4">
        <w:rPr>
          <w:rFonts w:ascii="Book Antiqua" w:hAnsi="Book Antiqua" w:cs="宋体"/>
          <w:b/>
          <w:bCs/>
          <w:kern w:val="0"/>
          <w:sz w:val="24"/>
        </w:rPr>
        <w:t>70</w:t>
      </w:r>
      <w:r w:rsidRPr="00392EE4">
        <w:rPr>
          <w:rFonts w:ascii="Book Antiqua" w:hAnsi="Book Antiqua" w:cs="宋体"/>
          <w:kern w:val="0"/>
          <w:sz w:val="24"/>
        </w:rPr>
        <w:t>: 80-88 [PMID: 19286178]</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21 </w:t>
      </w:r>
      <w:r w:rsidRPr="00392EE4">
        <w:rPr>
          <w:rFonts w:ascii="Book Antiqua" w:hAnsi="Book Antiqua" w:cs="宋体"/>
          <w:b/>
          <w:bCs/>
          <w:kern w:val="0"/>
          <w:sz w:val="24"/>
        </w:rPr>
        <w:t>Stapfer M</w:t>
      </w:r>
      <w:r w:rsidRPr="00392EE4">
        <w:rPr>
          <w:rFonts w:ascii="Book Antiqua" w:hAnsi="Book Antiqua" w:cs="宋体"/>
          <w:kern w:val="0"/>
          <w:sz w:val="24"/>
        </w:rPr>
        <w:t xml:space="preserve">, Selby RR, Stain SC, Katkhouda N, Parekh D, Jabbour N, Garry D. Management of duodenal perforation after endoscopic retrograde cholangiopancreatography and sphincterotomy. </w:t>
      </w:r>
      <w:r w:rsidRPr="00392EE4">
        <w:rPr>
          <w:rFonts w:ascii="Book Antiqua" w:hAnsi="Book Antiqua" w:cs="宋体"/>
          <w:i/>
          <w:iCs/>
          <w:kern w:val="0"/>
          <w:sz w:val="24"/>
        </w:rPr>
        <w:t>Ann Surg</w:t>
      </w:r>
      <w:r w:rsidRPr="00392EE4">
        <w:rPr>
          <w:rFonts w:ascii="Book Antiqua" w:hAnsi="Book Antiqua" w:cs="宋体"/>
          <w:kern w:val="0"/>
          <w:sz w:val="24"/>
        </w:rPr>
        <w:t xml:space="preserve"> 2000; </w:t>
      </w:r>
      <w:r w:rsidRPr="00392EE4">
        <w:rPr>
          <w:rFonts w:ascii="Book Antiqua" w:hAnsi="Book Antiqua" w:cs="宋体"/>
          <w:b/>
          <w:bCs/>
          <w:kern w:val="0"/>
          <w:sz w:val="24"/>
        </w:rPr>
        <w:t>232</w:t>
      </w:r>
      <w:r w:rsidRPr="00392EE4">
        <w:rPr>
          <w:rFonts w:ascii="Book Antiqua" w:hAnsi="Book Antiqua" w:cs="宋体"/>
          <w:kern w:val="0"/>
          <w:sz w:val="24"/>
        </w:rPr>
        <w:t>: 191-198 [PMID: 10903596]</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22 </w:t>
      </w:r>
      <w:r w:rsidRPr="00392EE4">
        <w:rPr>
          <w:rFonts w:ascii="Book Antiqua" w:hAnsi="Book Antiqua" w:cs="宋体"/>
          <w:b/>
          <w:bCs/>
          <w:kern w:val="0"/>
          <w:sz w:val="24"/>
        </w:rPr>
        <w:t>Fatima J</w:t>
      </w:r>
      <w:r w:rsidRPr="00392EE4">
        <w:rPr>
          <w:rFonts w:ascii="Book Antiqua" w:hAnsi="Book Antiqua" w:cs="宋体"/>
          <w:kern w:val="0"/>
          <w:sz w:val="24"/>
        </w:rPr>
        <w:t xml:space="preserve">, Baron TH, Topazian MD, Houghton SG, Iqbal CW, Ott BJ, Farley DR, Farnell MB, Sarr MG. Pancreaticobiliary and duodenal perforations after periampullary endoscopic procedures: diagnosis and management. </w:t>
      </w:r>
      <w:r w:rsidRPr="00392EE4">
        <w:rPr>
          <w:rFonts w:ascii="Book Antiqua" w:hAnsi="Book Antiqua" w:cs="宋体"/>
          <w:i/>
          <w:iCs/>
          <w:kern w:val="0"/>
          <w:sz w:val="24"/>
        </w:rPr>
        <w:t>Arch Surg</w:t>
      </w:r>
      <w:r w:rsidRPr="00392EE4">
        <w:rPr>
          <w:rFonts w:ascii="Book Antiqua" w:hAnsi="Book Antiqua" w:cs="宋体"/>
          <w:kern w:val="0"/>
          <w:sz w:val="24"/>
        </w:rPr>
        <w:t xml:space="preserve"> 2007; </w:t>
      </w:r>
      <w:r w:rsidRPr="00392EE4">
        <w:rPr>
          <w:rFonts w:ascii="Book Antiqua" w:hAnsi="Book Antiqua" w:cs="宋体"/>
          <w:b/>
          <w:bCs/>
          <w:kern w:val="0"/>
          <w:sz w:val="24"/>
        </w:rPr>
        <w:t>142</w:t>
      </w:r>
      <w:r w:rsidRPr="00392EE4">
        <w:rPr>
          <w:rFonts w:ascii="Book Antiqua" w:hAnsi="Book Antiqua" w:cs="宋体"/>
          <w:kern w:val="0"/>
          <w:sz w:val="24"/>
        </w:rPr>
        <w:t>: 448-54; discussion 454-5 [PMID: 17515486]</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lastRenderedPageBreak/>
        <w:t xml:space="preserve">23 </w:t>
      </w:r>
      <w:r w:rsidRPr="00392EE4">
        <w:rPr>
          <w:rFonts w:ascii="Book Antiqua" w:hAnsi="Book Antiqua" w:cs="宋体"/>
          <w:b/>
          <w:bCs/>
          <w:kern w:val="0"/>
          <w:sz w:val="24"/>
        </w:rPr>
        <w:t>Machado NO</w:t>
      </w:r>
      <w:r w:rsidRPr="00392EE4">
        <w:rPr>
          <w:rFonts w:ascii="Book Antiqua" w:hAnsi="Book Antiqua" w:cs="宋体"/>
          <w:kern w:val="0"/>
          <w:sz w:val="24"/>
        </w:rPr>
        <w:t xml:space="preserve">. Management of duodenal perforation post-endoscopic retrograde cholangiopancreatography. When and whom to operate and what factors determine the outcome? A review article. </w:t>
      </w:r>
      <w:r w:rsidRPr="00392EE4">
        <w:rPr>
          <w:rFonts w:ascii="Book Antiqua" w:hAnsi="Book Antiqua" w:cs="宋体"/>
          <w:i/>
          <w:iCs/>
          <w:kern w:val="0"/>
          <w:sz w:val="24"/>
        </w:rPr>
        <w:t>JOP</w:t>
      </w:r>
      <w:r w:rsidRPr="00392EE4">
        <w:rPr>
          <w:rFonts w:ascii="Book Antiqua" w:hAnsi="Book Antiqua" w:cs="宋体"/>
          <w:kern w:val="0"/>
          <w:sz w:val="24"/>
        </w:rPr>
        <w:t xml:space="preserve"> 2012; </w:t>
      </w:r>
      <w:r w:rsidRPr="00392EE4">
        <w:rPr>
          <w:rFonts w:ascii="Book Antiqua" w:hAnsi="Book Antiqua" w:cs="宋体"/>
          <w:b/>
          <w:bCs/>
          <w:kern w:val="0"/>
          <w:sz w:val="24"/>
        </w:rPr>
        <w:t>13</w:t>
      </w:r>
      <w:r w:rsidRPr="00392EE4">
        <w:rPr>
          <w:rFonts w:ascii="Book Antiqua" w:hAnsi="Book Antiqua" w:cs="宋体"/>
          <w:kern w:val="0"/>
          <w:sz w:val="24"/>
        </w:rPr>
        <w:t>: 18-25 [PMID: 22233942]</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24 </w:t>
      </w:r>
      <w:r w:rsidRPr="00392EE4">
        <w:rPr>
          <w:rFonts w:ascii="Book Antiqua" w:hAnsi="Book Antiqua" w:cs="宋体"/>
          <w:b/>
          <w:kern w:val="0"/>
          <w:sz w:val="24"/>
        </w:rPr>
        <w:t>Ayala JC</w:t>
      </w:r>
      <w:r w:rsidRPr="00392EE4">
        <w:rPr>
          <w:rFonts w:ascii="Book Antiqua" w:hAnsi="Book Antiqua" w:cs="宋体"/>
          <w:kern w:val="0"/>
          <w:sz w:val="24"/>
        </w:rPr>
        <w:t xml:space="preserve">, Labbe R, Vera E, Moran M. The loop tip wire guide: A new device to facilitate better access through the papilla. </w:t>
      </w:r>
      <w:r w:rsidRPr="00392EE4">
        <w:rPr>
          <w:rFonts w:ascii="Book Antiqua" w:hAnsi="Book Antiqua" w:cs="宋体"/>
          <w:i/>
          <w:kern w:val="0"/>
          <w:sz w:val="24"/>
        </w:rPr>
        <w:t>Gastrointest Endosc</w:t>
      </w:r>
      <w:r w:rsidRPr="00392EE4">
        <w:rPr>
          <w:rFonts w:ascii="Book Antiqua" w:hAnsi="Book Antiqua" w:cs="宋体"/>
          <w:kern w:val="0"/>
          <w:sz w:val="24"/>
        </w:rPr>
        <w:t xml:space="preserve"> 2007; </w:t>
      </w:r>
      <w:r w:rsidRPr="00392EE4">
        <w:rPr>
          <w:rFonts w:ascii="Book Antiqua" w:hAnsi="Book Antiqua" w:cs="宋体"/>
          <w:b/>
          <w:kern w:val="0"/>
          <w:sz w:val="24"/>
        </w:rPr>
        <w:t>65</w:t>
      </w:r>
      <w:r w:rsidR="00295799" w:rsidRPr="00392EE4">
        <w:rPr>
          <w:rFonts w:ascii="Book Antiqua" w:hAnsi="Book Antiqua" w:cs="宋体"/>
          <w:kern w:val="0"/>
          <w:sz w:val="24"/>
        </w:rPr>
        <w:t>: AB236</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25</w:t>
      </w:r>
      <w:r w:rsidRPr="00392EE4">
        <w:rPr>
          <w:rFonts w:ascii="Book Antiqua" w:hAnsi="Book Antiqua" w:cs="宋体"/>
          <w:b/>
          <w:kern w:val="0"/>
          <w:sz w:val="24"/>
        </w:rPr>
        <w:t xml:space="preserve"> Ayala JC,</w:t>
      </w:r>
      <w:r w:rsidRPr="00392EE4">
        <w:rPr>
          <w:rFonts w:ascii="Book Antiqua" w:hAnsi="Book Antiqua" w:cs="宋体"/>
          <w:kern w:val="0"/>
          <w:sz w:val="24"/>
        </w:rPr>
        <w:t xml:space="preserve"> Labbe R, Moran M, Vera E. New Endoscopic Technique for Multiple plastic Stent Placements in the Common Bile Duct (CBD) Without the Need for Recannulation, Utilizing a Special Loop Tip Wore Guide (LTWG) and a New Loop On Loop Technique (LQL). </w:t>
      </w:r>
      <w:r w:rsidRPr="00392EE4">
        <w:rPr>
          <w:rFonts w:ascii="Book Antiqua" w:hAnsi="Book Antiqua" w:cs="宋体"/>
          <w:i/>
          <w:kern w:val="0"/>
          <w:sz w:val="24"/>
        </w:rPr>
        <w:t>Gastrointest Endosc</w:t>
      </w:r>
      <w:r w:rsidRPr="00392EE4">
        <w:rPr>
          <w:rFonts w:ascii="Book Antiqua" w:hAnsi="Book Antiqua" w:cs="宋体"/>
          <w:kern w:val="0"/>
          <w:sz w:val="24"/>
        </w:rPr>
        <w:t xml:space="preserve"> 2007; </w:t>
      </w:r>
      <w:r w:rsidRPr="00392EE4">
        <w:rPr>
          <w:rFonts w:ascii="Book Antiqua" w:hAnsi="Book Antiqua" w:cs="宋体"/>
          <w:b/>
          <w:kern w:val="0"/>
          <w:sz w:val="24"/>
        </w:rPr>
        <w:t>65</w:t>
      </w:r>
      <w:r w:rsidRPr="00392EE4">
        <w:rPr>
          <w:rFonts w:ascii="Book Antiqua" w:hAnsi="Book Antiqua" w:cs="宋体"/>
          <w:kern w:val="0"/>
          <w:sz w:val="24"/>
        </w:rPr>
        <w:t>: AB236</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26 </w:t>
      </w:r>
      <w:r w:rsidRPr="00392EE4">
        <w:rPr>
          <w:rFonts w:ascii="Book Antiqua" w:hAnsi="Book Antiqua" w:cs="宋体"/>
          <w:b/>
          <w:bCs/>
          <w:kern w:val="0"/>
          <w:sz w:val="24"/>
        </w:rPr>
        <w:t>Cotton PB</w:t>
      </w:r>
      <w:r w:rsidRPr="00392EE4">
        <w:rPr>
          <w:rFonts w:ascii="Book Antiqua" w:hAnsi="Book Antiqua" w:cs="宋体"/>
          <w:kern w:val="0"/>
          <w:sz w:val="24"/>
        </w:rPr>
        <w:t xml:space="preserve">, Lehman G, Vennes J, Geenen JE, Russell RC, Meyers WC, Liguory C, Nickl N. Endoscopic sphincterotomy complications and their management: an attempt at consensus.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w:t>
      </w:r>
      <w:r w:rsidR="00295799" w:rsidRPr="00392EE4">
        <w:rPr>
          <w:rFonts w:ascii="Book Antiqua" w:hAnsi="Book Antiqua" w:cs="宋体"/>
          <w:kern w:val="0"/>
          <w:sz w:val="24"/>
        </w:rPr>
        <w:t>1991</w:t>
      </w:r>
      <w:r w:rsidRPr="00392EE4">
        <w:rPr>
          <w:rFonts w:ascii="Book Antiqua" w:hAnsi="Book Antiqua" w:cs="宋体"/>
          <w:kern w:val="0"/>
          <w:sz w:val="24"/>
        </w:rPr>
        <w:t xml:space="preserve">; </w:t>
      </w:r>
      <w:r w:rsidRPr="00392EE4">
        <w:rPr>
          <w:rFonts w:ascii="Book Antiqua" w:hAnsi="Book Antiqua" w:cs="宋体"/>
          <w:b/>
          <w:bCs/>
          <w:kern w:val="0"/>
          <w:sz w:val="24"/>
        </w:rPr>
        <w:t>37</w:t>
      </w:r>
      <w:r w:rsidRPr="00392EE4">
        <w:rPr>
          <w:rFonts w:ascii="Book Antiqua" w:hAnsi="Book Antiqua" w:cs="宋体"/>
          <w:kern w:val="0"/>
          <w:sz w:val="24"/>
        </w:rPr>
        <w:t>: 383-393 [PMID: 2070995]</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27 </w:t>
      </w:r>
      <w:r w:rsidRPr="00392EE4">
        <w:rPr>
          <w:rFonts w:ascii="Book Antiqua" w:hAnsi="Book Antiqua" w:cs="宋体"/>
          <w:b/>
          <w:bCs/>
          <w:kern w:val="0"/>
          <w:sz w:val="24"/>
        </w:rPr>
        <w:t>Bradley EL</w:t>
      </w:r>
      <w:r w:rsidRPr="00392EE4">
        <w:rPr>
          <w:rFonts w:ascii="Book Antiqua" w:hAnsi="Book Antiqua" w:cs="宋体"/>
          <w:kern w:val="0"/>
          <w:sz w:val="24"/>
        </w:rPr>
        <w:t xml:space="preserve">. A clinically based classification system for acute pancreatitis. Summary of the International Symposium on Acute Pancreatitis, Atlanta, Ga, September 11 through 13, 1992. </w:t>
      </w:r>
      <w:r w:rsidRPr="00392EE4">
        <w:rPr>
          <w:rFonts w:ascii="Book Antiqua" w:hAnsi="Book Antiqua" w:cs="宋体"/>
          <w:i/>
          <w:iCs/>
          <w:kern w:val="0"/>
          <w:sz w:val="24"/>
        </w:rPr>
        <w:t>Arch Surg</w:t>
      </w:r>
      <w:r w:rsidRPr="00392EE4">
        <w:rPr>
          <w:rFonts w:ascii="Book Antiqua" w:hAnsi="Book Antiqua" w:cs="宋体"/>
          <w:kern w:val="0"/>
          <w:sz w:val="24"/>
        </w:rPr>
        <w:t xml:space="preserve"> 1993; </w:t>
      </w:r>
      <w:r w:rsidRPr="00392EE4">
        <w:rPr>
          <w:rFonts w:ascii="Book Antiqua" w:hAnsi="Book Antiqua" w:cs="宋体"/>
          <w:b/>
          <w:bCs/>
          <w:kern w:val="0"/>
          <w:sz w:val="24"/>
        </w:rPr>
        <w:t>128</w:t>
      </w:r>
      <w:r w:rsidRPr="00392EE4">
        <w:rPr>
          <w:rFonts w:ascii="Book Antiqua" w:hAnsi="Book Antiqua" w:cs="宋体"/>
          <w:kern w:val="0"/>
          <w:sz w:val="24"/>
        </w:rPr>
        <w:t>: 586-590 [PMID: 8489394 DOI: 10.1001/archsurg.1993]</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28 </w:t>
      </w:r>
      <w:r w:rsidRPr="00392EE4">
        <w:rPr>
          <w:rFonts w:ascii="Book Antiqua" w:hAnsi="Book Antiqua" w:cs="宋体"/>
          <w:b/>
          <w:bCs/>
          <w:kern w:val="0"/>
          <w:sz w:val="24"/>
        </w:rPr>
        <w:t>Geenen JE</w:t>
      </w:r>
      <w:r w:rsidRPr="00392EE4">
        <w:rPr>
          <w:rFonts w:ascii="Book Antiqua" w:hAnsi="Book Antiqua" w:cs="宋体"/>
          <w:kern w:val="0"/>
          <w:sz w:val="24"/>
        </w:rPr>
        <w:t xml:space="preserve">, Hogan WJ, Dodds WJ, Toouli J, Venu RP. The efficacy of endoscopic sphincterotomy after cholecystectomy in patients with sphincter-of-Oddi dysfunction. </w:t>
      </w:r>
      <w:r w:rsidRPr="00392EE4">
        <w:rPr>
          <w:rFonts w:ascii="Book Antiqua" w:hAnsi="Book Antiqua" w:cs="宋体"/>
          <w:i/>
          <w:iCs/>
          <w:kern w:val="0"/>
          <w:sz w:val="24"/>
        </w:rPr>
        <w:t>N Engl J Med</w:t>
      </w:r>
      <w:r w:rsidRPr="00392EE4">
        <w:rPr>
          <w:rFonts w:ascii="Book Antiqua" w:hAnsi="Book Antiqua" w:cs="宋体"/>
          <w:kern w:val="0"/>
          <w:sz w:val="24"/>
        </w:rPr>
        <w:t xml:space="preserve"> 1989; </w:t>
      </w:r>
      <w:r w:rsidRPr="00392EE4">
        <w:rPr>
          <w:rFonts w:ascii="Book Antiqua" w:hAnsi="Book Antiqua" w:cs="宋体"/>
          <w:b/>
          <w:bCs/>
          <w:kern w:val="0"/>
          <w:sz w:val="24"/>
        </w:rPr>
        <w:t>320</w:t>
      </w:r>
      <w:r w:rsidRPr="00392EE4">
        <w:rPr>
          <w:rFonts w:ascii="Book Antiqua" w:hAnsi="Book Antiqua" w:cs="宋体"/>
          <w:kern w:val="0"/>
          <w:sz w:val="24"/>
        </w:rPr>
        <w:t>: 82-87 [PMID: 2643038 DOI: 10.1056/NEJM.198901123200203]</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lastRenderedPageBreak/>
        <w:t xml:space="preserve">29 </w:t>
      </w:r>
      <w:r w:rsidRPr="00392EE4">
        <w:rPr>
          <w:rFonts w:ascii="Book Antiqua" w:hAnsi="Book Antiqua" w:cs="宋体"/>
          <w:b/>
          <w:bCs/>
          <w:kern w:val="0"/>
          <w:sz w:val="24"/>
        </w:rPr>
        <w:t>Nambu T</w:t>
      </w:r>
      <w:r w:rsidRPr="00392EE4">
        <w:rPr>
          <w:rFonts w:ascii="Book Antiqua" w:hAnsi="Book Antiqua" w:cs="宋体"/>
          <w:kern w:val="0"/>
          <w:sz w:val="24"/>
        </w:rPr>
        <w:t xml:space="preserve">, Ukita T, Shigoka H, Omuta S, Maetani I. Wire-guided selective cannulation of the bile duct with a sphincterotome: a prospective randomized comparative study with the standard method. </w:t>
      </w:r>
      <w:r w:rsidRPr="00392EE4">
        <w:rPr>
          <w:rFonts w:ascii="Book Antiqua" w:hAnsi="Book Antiqua" w:cs="宋体"/>
          <w:i/>
          <w:iCs/>
          <w:kern w:val="0"/>
          <w:sz w:val="24"/>
        </w:rPr>
        <w:t>Scand J Gastroenterol</w:t>
      </w:r>
      <w:r w:rsidRPr="00392EE4">
        <w:rPr>
          <w:rFonts w:ascii="Book Antiqua" w:hAnsi="Book Antiqua" w:cs="宋体"/>
          <w:kern w:val="0"/>
          <w:sz w:val="24"/>
        </w:rPr>
        <w:t xml:space="preserve"> 2011; </w:t>
      </w:r>
      <w:r w:rsidRPr="00392EE4">
        <w:rPr>
          <w:rFonts w:ascii="Book Antiqua" w:hAnsi="Book Antiqua" w:cs="宋体"/>
          <w:b/>
          <w:bCs/>
          <w:kern w:val="0"/>
          <w:sz w:val="24"/>
        </w:rPr>
        <w:t>46</w:t>
      </w:r>
      <w:r w:rsidRPr="00392EE4">
        <w:rPr>
          <w:rFonts w:ascii="Book Antiqua" w:hAnsi="Book Antiqua" w:cs="宋体"/>
          <w:kern w:val="0"/>
          <w:sz w:val="24"/>
        </w:rPr>
        <w:t>: 109-115 [PMID: 20923377 DOI: 10.3109/00365521.2010.521889]</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30 </w:t>
      </w:r>
      <w:r w:rsidRPr="00392EE4">
        <w:rPr>
          <w:rFonts w:ascii="Book Antiqua" w:hAnsi="Book Antiqua" w:cs="宋体"/>
          <w:b/>
          <w:bCs/>
          <w:kern w:val="0"/>
          <w:sz w:val="24"/>
        </w:rPr>
        <w:t>Nakai Y</w:t>
      </w:r>
      <w:r w:rsidRPr="00392EE4">
        <w:rPr>
          <w:rFonts w:ascii="Book Antiqua" w:hAnsi="Book Antiqua" w:cs="宋体"/>
          <w:kern w:val="0"/>
          <w:sz w:val="24"/>
        </w:rPr>
        <w:t xml:space="preserve">, Isayama H, Tsujino T, Sasahira N, Hirano K, Kogure H, Sasaki T, Kawakubo K, Yagioka H, Yashima Y, Mizuno S, Yamamto K, Arizumi T, Togawa O, Matsubara S, Yamamoto N, Tada M, Omata M, Koike K. Impact of introduction of wire-guided cannulation in therapeutic biliary endoscopic retrograde cholangiopancreatography. </w:t>
      </w:r>
      <w:r w:rsidRPr="00392EE4">
        <w:rPr>
          <w:rFonts w:ascii="Book Antiqua" w:hAnsi="Book Antiqua" w:cs="宋体"/>
          <w:i/>
          <w:iCs/>
          <w:kern w:val="0"/>
          <w:sz w:val="24"/>
        </w:rPr>
        <w:t>J Gastroenterol Hepatol</w:t>
      </w:r>
      <w:r w:rsidRPr="00392EE4">
        <w:rPr>
          <w:rFonts w:ascii="Book Antiqua" w:hAnsi="Book Antiqua" w:cs="宋体"/>
          <w:kern w:val="0"/>
          <w:sz w:val="24"/>
        </w:rPr>
        <w:t xml:space="preserve"> 2011; </w:t>
      </w:r>
      <w:r w:rsidRPr="00392EE4">
        <w:rPr>
          <w:rFonts w:ascii="Book Antiqua" w:hAnsi="Book Antiqua" w:cs="宋体"/>
          <w:b/>
          <w:bCs/>
          <w:kern w:val="0"/>
          <w:sz w:val="24"/>
        </w:rPr>
        <w:t>26</w:t>
      </w:r>
      <w:r w:rsidRPr="00392EE4">
        <w:rPr>
          <w:rFonts w:ascii="Book Antiqua" w:hAnsi="Book Antiqua" w:cs="宋体"/>
          <w:kern w:val="0"/>
          <w:sz w:val="24"/>
        </w:rPr>
        <w:t>: 1552-1558 [PMID: 21615792 DOI: 10.1111/j.1440-1746.2011.06788.x]</w:t>
      </w:r>
    </w:p>
    <w:p w:rsidR="0046263C" w:rsidRPr="00392EE4" w:rsidRDefault="0046263C" w:rsidP="002A2C2A">
      <w:pPr>
        <w:widowControl/>
        <w:spacing w:line="360" w:lineRule="auto"/>
        <w:rPr>
          <w:rFonts w:ascii="Book Antiqua" w:hAnsi="Book Antiqua" w:cs="宋体"/>
          <w:kern w:val="0"/>
          <w:sz w:val="24"/>
        </w:rPr>
      </w:pPr>
      <w:r w:rsidRPr="00392EE4">
        <w:rPr>
          <w:rFonts w:ascii="Book Antiqua" w:hAnsi="Book Antiqua" w:cs="宋体"/>
          <w:kern w:val="0"/>
          <w:sz w:val="24"/>
        </w:rPr>
        <w:t xml:space="preserve">31 </w:t>
      </w:r>
      <w:r w:rsidRPr="00392EE4">
        <w:rPr>
          <w:rFonts w:ascii="Book Antiqua" w:hAnsi="Book Antiqua" w:cs="宋体"/>
          <w:b/>
          <w:bCs/>
          <w:kern w:val="0"/>
          <w:sz w:val="24"/>
        </w:rPr>
        <w:t>Siegel JH</w:t>
      </w:r>
      <w:r w:rsidRPr="00392EE4">
        <w:rPr>
          <w:rFonts w:ascii="Book Antiqua" w:hAnsi="Book Antiqua" w:cs="宋体"/>
          <w:kern w:val="0"/>
          <w:sz w:val="24"/>
        </w:rPr>
        <w:t xml:space="preserve">, Pullano W. Two new methods for selective bile duct cannulation and sphincterotomy. </w:t>
      </w:r>
      <w:r w:rsidRPr="00392EE4">
        <w:rPr>
          <w:rFonts w:ascii="Book Antiqua" w:hAnsi="Book Antiqua" w:cs="宋体"/>
          <w:i/>
          <w:iCs/>
          <w:kern w:val="0"/>
          <w:sz w:val="24"/>
        </w:rPr>
        <w:t>Gastrointest Endosc</w:t>
      </w:r>
      <w:r w:rsidRPr="00392EE4">
        <w:rPr>
          <w:rFonts w:ascii="Book Antiqua" w:hAnsi="Book Antiqua" w:cs="宋体"/>
          <w:kern w:val="0"/>
          <w:sz w:val="24"/>
        </w:rPr>
        <w:t xml:space="preserve"> 1987; </w:t>
      </w:r>
      <w:r w:rsidRPr="00392EE4">
        <w:rPr>
          <w:rFonts w:ascii="Book Antiqua" w:hAnsi="Book Antiqua" w:cs="宋体"/>
          <w:b/>
          <w:bCs/>
          <w:kern w:val="0"/>
          <w:sz w:val="24"/>
        </w:rPr>
        <w:t>33</w:t>
      </w:r>
      <w:r w:rsidRPr="00392EE4">
        <w:rPr>
          <w:rFonts w:ascii="Book Antiqua" w:hAnsi="Book Antiqua" w:cs="宋体"/>
          <w:kern w:val="0"/>
          <w:sz w:val="24"/>
        </w:rPr>
        <w:t>: 438-440 [PMID: 3443263 DOI: 10.1016/S0016-5107(87)71683-6]</w:t>
      </w:r>
    </w:p>
    <w:p w:rsidR="002A2C2A" w:rsidRPr="00392EE4" w:rsidRDefault="002A2C2A" w:rsidP="00392EE4">
      <w:pPr>
        <w:spacing w:line="360" w:lineRule="auto"/>
        <w:jc w:val="right"/>
        <w:rPr>
          <w:rFonts w:ascii="Book Antiqua" w:hAnsi="Book Antiqua"/>
          <w:b/>
          <w:sz w:val="24"/>
        </w:rPr>
      </w:pPr>
      <w:r w:rsidRPr="00392EE4">
        <w:rPr>
          <w:rFonts w:ascii="Book Antiqua" w:hAnsi="Book Antiqua"/>
          <w:b/>
          <w:sz w:val="24"/>
        </w:rPr>
        <w:t>P-Reviewers</w:t>
      </w:r>
      <w:r w:rsidRPr="00392EE4">
        <w:rPr>
          <w:rFonts w:ascii="Book Antiqua" w:hAnsi="Book Antiqua"/>
          <w:sz w:val="24"/>
        </w:rPr>
        <w:t xml:space="preserve"> Gassler N, Dormann AJ, Nakai Y </w:t>
      </w:r>
      <w:r w:rsidRPr="00392EE4">
        <w:rPr>
          <w:rFonts w:ascii="Book Antiqua" w:hAnsi="Book Antiqua"/>
          <w:b/>
          <w:sz w:val="24"/>
        </w:rPr>
        <w:t xml:space="preserve"> </w:t>
      </w:r>
    </w:p>
    <w:p w:rsidR="0046263C" w:rsidRPr="00392EE4" w:rsidRDefault="002A2C2A" w:rsidP="00392EE4">
      <w:pPr>
        <w:spacing w:line="360" w:lineRule="auto"/>
        <w:jc w:val="right"/>
        <w:rPr>
          <w:rFonts w:ascii="Book Antiqua" w:hAnsi="Book Antiqua"/>
          <w:b/>
          <w:sz w:val="24"/>
        </w:rPr>
      </w:pPr>
      <w:r w:rsidRPr="00392EE4">
        <w:rPr>
          <w:rFonts w:ascii="Book Antiqua" w:hAnsi="Book Antiqua"/>
          <w:b/>
          <w:sz w:val="24"/>
        </w:rPr>
        <w:t xml:space="preserve">S-Editor </w:t>
      </w:r>
      <w:r w:rsidRPr="00392EE4">
        <w:rPr>
          <w:rFonts w:ascii="Book Antiqua" w:hAnsi="Book Antiqua"/>
          <w:sz w:val="24"/>
        </w:rPr>
        <w:t>Zhai HH</w:t>
      </w:r>
      <w:r w:rsidRPr="00392EE4">
        <w:rPr>
          <w:rFonts w:ascii="Book Antiqua" w:hAnsi="Book Antiqua"/>
          <w:b/>
          <w:sz w:val="24"/>
        </w:rPr>
        <w:t xml:space="preserve"> L-Editor E-Editor</w:t>
      </w:r>
    </w:p>
    <w:p w:rsidR="00340085" w:rsidRPr="00392EE4" w:rsidRDefault="00340085" w:rsidP="002A2C2A">
      <w:pPr>
        <w:pStyle w:val="a5"/>
        <w:spacing w:line="360" w:lineRule="auto"/>
        <w:rPr>
          <w:rFonts w:ascii="Book Antiqua" w:hAnsi="Book Antiqua" w:cs="Tahoma"/>
          <w:b/>
          <w:lang w:eastAsia="zh-CN"/>
        </w:rPr>
      </w:pPr>
      <w:bookmarkStart w:id="4" w:name="OLE_LINK6"/>
    </w:p>
    <w:bookmarkEnd w:id="4"/>
    <w:p w:rsidR="00340085" w:rsidRPr="00392EE4" w:rsidRDefault="00340085" w:rsidP="002A2C2A">
      <w:pPr>
        <w:spacing w:line="360" w:lineRule="auto"/>
        <w:rPr>
          <w:rFonts w:ascii="Book Antiqua" w:hAnsi="Book Antiqua"/>
          <w:b/>
          <w:sz w:val="24"/>
        </w:rPr>
      </w:pPr>
    </w:p>
    <w:p w:rsidR="002A2C2A" w:rsidRPr="00392EE4" w:rsidRDefault="002A2C2A" w:rsidP="002A2C2A">
      <w:pPr>
        <w:spacing w:line="360" w:lineRule="auto"/>
        <w:rPr>
          <w:rFonts w:ascii="Book Antiqua" w:hAnsi="Book Antiqua"/>
          <w:b/>
          <w:sz w:val="24"/>
        </w:rPr>
      </w:pPr>
    </w:p>
    <w:p w:rsidR="00340085" w:rsidRPr="00392EE4" w:rsidRDefault="00340085" w:rsidP="002A2C2A">
      <w:pPr>
        <w:spacing w:line="360" w:lineRule="auto"/>
        <w:rPr>
          <w:rFonts w:ascii="Book Antiqua" w:hAnsi="Book Antiqua"/>
          <w:b/>
          <w:sz w:val="24"/>
        </w:rPr>
      </w:pPr>
      <w:r w:rsidRPr="00392EE4">
        <w:rPr>
          <w:rFonts w:ascii="Book Antiqua" w:hAnsi="Book Antiqua"/>
          <w:b/>
          <w:sz w:val="24"/>
        </w:rPr>
        <w:t>Figure 1 Newly designed J-shaped-tip guidewire</w:t>
      </w:r>
      <w:r w:rsidR="007A5DC1" w:rsidRPr="00392EE4">
        <w:rPr>
          <w:rFonts w:ascii="Book Antiqua" w:hAnsi="Book Antiqua"/>
          <w:b/>
          <w:sz w:val="24"/>
        </w:rPr>
        <w:t xml:space="preserve">. </w:t>
      </w:r>
      <w:r w:rsidRPr="00392EE4">
        <w:rPr>
          <w:rFonts w:ascii="Book Antiqua" w:hAnsi="Book Antiqua"/>
          <w:sz w:val="24"/>
        </w:rPr>
        <w:t>A shape of the tip is a radius of 1</w:t>
      </w:r>
      <w:r w:rsidR="00E4079B">
        <w:rPr>
          <w:rFonts w:ascii="Book Antiqua" w:hAnsi="Book Antiqua" w:hint="eastAsia"/>
          <w:sz w:val="24"/>
        </w:rPr>
        <w:t xml:space="preserve"> </w:t>
      </w:r>
      <w:r w:rsidRPr="00392EE4">
        <w:rPr>
          <w:rFonts w:ascii="Book Antiqua" w:hAnsi="Book Antiqua"/>
          <w:sz w:val="24"/>
        </w:rPr>
        <w:t>mm and 50</w:t>
      </w:r>
      <w:r w:rsidR="00E4079B">
        <w:rPr>
          <w:rFonts w:ascii="Book Antiqua" w:hAnsi="Book Antiqua" w:hint="eastAsia"/>
          <w:sz w:val="24"/>
        </w:rPr>
        <w:t xml:space="preserve"> </w:t>
      </w:r>
      <w:r w:rsidRPr="00392EE4">
        <w:rPr>
          <w:rFonts w:ascii="Book Antiqua" w:hAnsi="Book Antiqua"/>
          <w:sz w:val="24"/>
        </w:rPr>
        <w:t>mm from the tip is coated with hydrophilic.</w:t>
      </w:r>
    </w:p>
    <w:p w:rsidR="00340085" w:rsidRPr="00392EE4" w:rsidRDefault="00340085" w:rsidP="002A2C2A">
      <w:pPr>
        <w:pStyle w:val="a3"/>
        <w:spacing w:line="360" w:lineRule="auto"/>
        <w:ind w:leftChars="0" w:left="0"/>
        <w:rPr>
          <w:rFonts w:ascii="Book Antiqua" w:hAnsi="Book Antiqua"/>
        </w:rPr>
      </w:pPr>
    </w:p>
    <w:p w:rsidR="00340085" w:rsidRPr="00392EE4" w:rsidRDefault="007A5DC1" w:rsidP="002A2C2A">
      <w:pPr>
        <w:widowControl/>
        <w:spacing w:line="360" w:lineRule="auto"/>
        <w:rPr>
          <w:rFonts w:ascii="Book Antiqua" w:hAnsi="Book Antiqua"/>
          <w:b/>
          <w:sz w:val="24"/>
        </w:rPr>
      </w:pPr>
      <w:r w:rsidRPr="00392EE4">
        <w:rPr>
          <w:rFonts w:ascii="Book Antiqua" w:hAnsi="Book Antiqua"/>
          <w:b/>
          <w:sz w:val="24"/>
        </w:rPr>
        <w:lastRenderedPageBreak/>
        <w:t>Figure 2</w:t>
      </w:r>
      <w:r w:rsidR="00340085" w:rsidRPr="00392EE4">
        <w:rPr>
          <w:rFonts w:ascii="Book Antiqua" w:hAnsi="Book Antiqua"/>
          <w:sz w:val="24"/>
        </w:rPr>
        <w:t xml:space="preserve"> </w:t>
      </w:r>
      <w:r w:rsidR="00340085" w:rsidRPr="00392EE4">
        <w:rPr>
          <w:rFonts w:ascii="Book Antiqua" w:hAnsi="Book Antiqua"/>
          <w:b/>
          <w:sz w:val="24"/>
        </w:rPr>
        <w:t xml:space="preserve">Endoscopic and </w:t>
      </w:r>
      <w:r w:rsidR="00340085" w:rsidRPr="00392EE4">
        <w:rPr>
          <w:rFonts w:ascii="Book Antiqua" w:hAnsi="Book Antiqua"/>
          <w:b/>
          <w:kern w:val="0"/>
          <w:sz w:val="24"/>
        </w:rPr>
        <w:t xml:space="preserve">fluoroscopic images showing the technique with </w:t>
      </w:r>
      <w:r w:rsidR="00340085" w:rsidRPr="00392EE4">
        <w:rPr>
          <w:rFonts w:ascii="Book Antiqua" w:hAnsi="Book Antiqua"/>
          <w:b/>
          <w:sz w:val="24"/>
        </w:rPr>
        <w:t>J-shaped-tip guidewire</w:t>
      </w:r>
      <w:r w:rsidR="002A2C2A" w:rsidRPr="00392EE4">
        <w:rPr>
          <w:rFonts w:ascii="Book Antiqua" w:hAnsi="Book Antiqua"/>
          <w:b/>
          <w:sz w:val="24"/>
        </w:rPr>
        <w:t xml:space="preserve">. </w:t>
      </w:r>
      <w:r w:rsidR="00340085" w:rsidRPr="00392EE4">
        <w:rPr>
          <w:rFonts w:ascii="Book Antiqua" w:hAnsi="Book Antiqua"/>
          <w:b/>
          <w:kern w:val="0"/>
          <w:sz w:val="24"/>
        </w:rPr>
        <w:t xml:space="preserve"> </w:t>
      </w:r>
      <w:r w:rsidR="00340085" w:rsidRPr="00392EE4">
        <w:rPr>
          <w:rFonts w:ascii="Book Antiqua" w:hAnsi="Book Antiqua"/>
          <w:sz w:val="24"/>
        </w:rPr>
        <w:t>A</w:t>
      </w:r>
      <w:r w:rsidRPr="00392EE4">
        <w:rPr>
          <w:rFonts w:ascii="Book Antiqua" w:hAnsi="Book Antiqua"/>
          <w:sz w:val="24"/>
        </w:rPr>
        <w:t>:</w:t>
      </w:r>
      <w:r w:rsidR="00340085" w:rsidRPr="00392EE4">
        <w:rPr>
          <w:rFonts w:ascii="Book Antiqua" w:hAnsi="Book Antiqua"/>
          <w:sz w:val="24"/>
        </w:rPr>
        <w:t xml:space="preserve"> Assistant endoscopist extended approximately 5 mm of the guidewire tip and restored it to the original ‘J’ configuration (stand-by position)</w:t>
      </w:r>
      <w:r w:rsidRPr="00392EE4">
        <w:rPr>
          <w:rFonts w:ascii="Book Antiqua" w:hAnsi="Book Antiqua"/>
          <w:sz w:val="24"/>
        </w:rPr>
        <w:t>;</w:t>
      </w:r>
      <w:r w:rsidR="00C764D5">
        <w:rPr>
          <w:rFonts w:ascii="Book Antiqua" w:hAnsi="Book Antiqua" w:hint="eastAsia"/>
          <w:sz w:val="24"/>
        </w:rPr>
        <w:t xml:space="preserve"> </w:t>
      </w:r>
      <w:r w:rsidR="00340085" w:rsidRPr="00392EE4">
        <w:rPr>
          <w:rFonts w:ascii="Book Antiqua" w:hAnsi="Book Antiqua"/>
          <w:sz w:val="24"/>
        </w:rPr>
        <w:t>B</w:t>
      </w:r>
      <w:r w:rsidRPr="00392EE4">
        <w:rPr>
          <w:rFonts w:ascii="Book Antiqua" w:hAnsi="Book Antiqua"/>
          <w:sz w:val="24"/>
        </w:rPr>
        <w:t xml:space="preserve">: </w:t>
      </w:r>
      <w:r w:rsidR="00340085" w:rsidRPr="00392EE4">
        <w:rPr>
          <w:rFonts w:ascii="Book Antiqua" w:hAnsi="Book Antiqua"/>
          <w:sz w:val="24"/>
        </w:rPr>
        <w:t xml:space="preserve"> Selective biliary cannulation was attempted under endoscopic control without fluoroscopy</w:t>
      </w:r>
      <w:r w:rsidRPr="00392EE4">
        <w:rPr>
          <w:rFonts w:ascii="Book Antiqua" w:hAnsi="Book Antiqua"/>
          <w:sz w:val="24"/>
        </w:rPr>
        <w:t>;</w:t>
      </w:r>
      <w:r w:rsidR="00340085" w:rsidRPr="00392EE4">
        <w:rPr>
          <w:rFonts w:ascii="Book Antiqua" w:hAnsi="Book Antiqua"/>
          <w:sz w:val="24"/>
        </w:rPr>
        <w:t xml:space="preserve"> C</w:t>
      </w:r>
      <w:r w:rsidR="002577DF">
        <w:rPr>
          <w:rFonts w:ascii="Book Antiqua" w:hAnsi="Book Antiqua"/>
          <w:sz w:val="24"/>
        </w:rPr>
        <w:t>:</w:t>
      </w:r>
      <w:r w:rsidR="00340085" w:rsidRPr="00392EE4">
        <w:rPr>
          <w:rFonts w:ascii="Book Antiqua" w:hAnsi="Book Antiqua"/>
          <w:sz w:val="24"/>
        </w:rPr>
        <w:t xml:space="preserve"> The guidewire was moved in-and-out motion by an assisting endoscopist. Once the guidewire was advanced without resistance, fluoroscopy was used to confirm successful cannulation</w:t>
      </w:r>
      <w:r w:rsidRPr="00392EE4">
        <w:rPr>
          <w:rFonts w:ascii="Book Antiqua" w:hAnsi="Book Antiqua"/>
          <w:sz w:val="24"/>
        </w:rPr>
        <w:t>;</w:t>
      </w:r>
      <w:r w:rsidR="00340085" w:rsidRPr="00392EE4">
        <w:rPr>
          <w:rFonts w:ascii="Book Antiqua" w:hAnsi="Book Antiqua"/>
          <w:sz w:val="24"/>
        </w:rPr>
        <w:t xml:space="preserve"> D</w:t>
      </w:r>
      <w:r w:rsidRPr="00392EE4">
        <w:rPr>
          <w:rFonts w:ascii="Book Antiqua" w:hAnsi="Book Antiqua"/>
          <w:sz w:val="24"/>
        </w:rPr>
        <w:t>:</w:t>
      </w:r>
      <w:r w:rsidR="00340085" w:rsidRPr="00392EE4">
        <w:rPr>
          <w:rFonts w:ascii="Book Antiqua" w:hAnsi="Book Antiqua"/>
          <w:sz w:val="24"/>
        </w:rPr>
        <w:t xml:space="preserve"> Contrast medium was injected after confirmation of successful biliary cannulation.</w:t>
      </w:r>
    </w:p>
    <w:p w:rsidR="00340085" w:rsidRPr="00392EE4" w:rsidRDefault="00340085" w:rsidP="002A2C2A">
      <w:pPr>
        <w:widowControl/>
        <w:spacing w:line="360" w:lineRule="auto"/>
        <w:rPr>
          <w:rFonts w:ascii="Book Antiqua" w:hAnsi="Book Antiqua"/>
          <w:b/>
          <w:sz w:val="24"/>
        </w:rPr>
      </w:pPr>
    </w:p>
    <w:p w:rsidR="00340085" w:rsidRPr="00392EE4" w:rsidRDefault="002A2C2A" w:rsidP="002A2C2A">
      <w:pPr>
        <w:widowControl/>
        <w:spacing w:line="360" w:lineRule="auto"/>
        <w:rPr>
          <w:rFonts w:ascii="Book Antiqua" w:hAnsi="Book Antiqua"/>
          <w:b/>
          <w:sz w:val="24"/>
        </w:rPr>
      </w:pPr>
      <w:r w:rsidRPr="00392EE4">
        <w:rPr>
          <w:rFonts w:ascii="Book Antiqua" w:hAnsi="Book Antiqua"/>
          <w:b/>
          <w:sz w:val="24"/>
        </w:rPr>
        <w:t>Figure 3</w:t>
      </w:r>
      <w:r w:rsidR="00340085" w:rsidRPr="00392EE4">
        <w:rPr>
          <w:rFonts w:ascii="Book Antiqua" w:hAnsi="Book Antiqua"/>
          <w:sz w:val="24"/>
        </w:rPr>
        <w:t xml:space="preserve"> </w:t>
      </w:r>
      <w:r w:rsidR="00340085" w:rsidRPr="00392EE4">
        <w:rPr>
          <w:rFonts w:ascii="Book Antiqua" w:hAnsi="Book Antiqua"/>
          <w:b/>
          <w:sz w:val="24"/>
        </w:rPr>
        <w:t>An image</w:t>
      </w:r>
      <w:r w:rsidR="00340085" w:rsidRPr="00392EE4">
        <w:rPr>
          <w:rFonts w:ascii="Book Antiqua" w:hAnsi="Book Antiqua"/>
          <w:b/>
          <w:i/>
          <w:sz w:val="24"/>
        </w:rPr>
        <w:t xml:space="preserve"> via</w:t>
      </w:r>
      <w:r w:rsidR="00340085" w:rsidRPr="00392EE4">
        <w:rPr>
          <w:rFonts w:ascii="Book Antiqua" w:hAnsi="Book Antiqua"/>
          <w:b/>
          <w:sz w:val="24"/>
        </w:rPr>
        <w:t xml:space="preserve"> intra-duodenal biliary segments of J-shaped-tip guidewire</w:t>
      </w:r>
      <w:r w:rsidRPr="00392EE4">
        <w:rPr>
          <w:rFonts w:ascii="Book Antiqua" w:hAnsi="Book Antiqua"/>
          <w:b/>
          <w:sz w:val="24"/>
        </w:rPr>
        <w:t xml:space="preserve"> (A) and standard guidewire (B). </w:t>
      </w:r>
      <w:r w:rsidRPr="002577DF">
        <w:rPr>
          <w:rFonts w:ascii="Book Antiqua" w:hAnsi="Book Antiqua"/>
          <w:sz w:val="24"/>
        </w:rPr>
        <w:t>A:</w:t>
      </w:r>
      <w:r w:rsidRPr="00392EE4">
        <w:rPr>
          <w:rFonts w:ascii="Book Antiqua" w:hAnsi="Book Antiqua"/>
          <w:b/>
          <w:sz w:val="24"/>
        </w:rPr>
        <w:t xml:space="preserve"> </w:t>
      </w:r>
      <w:r w:rsidR="00340085" w:rsidRPr="00392EE4">
        <w:rPr>
          <w:rFonts w:ascii="Book Antiqua" w:hAnsi="Book Antiqua"/>
          <w:sz w:val="24"/>
        </w:rPr>
        <w:t>Blunted J-shaped-tip may facilitate passage through intra-duodenal segment</w:t>
      </w:r>
      <w:r w:rsidRPr="00392EE4">
        <w:rPr>
          <w:rFonts w:ascii="Book Antiqua" w:hAnsi="Book Antiqua"/>
          <w:sz w:val="24"/>
        </w:rPr>
        <w:t>;</w:t>
      </w:r>
      <w:r w:rsidRPr="00392EE4">
        <w:rPr>
          <w:rFonts w:ascii="Book Antiqua" w:hAnsi="Book Antiqua"/>
          <w:b/>
          <w:sz w:val="24"/>
        </w:rPr>
        <w:t xml:space="preserve"> </w:t>
      </w:r>
      <w:r w:rsidRPr="00392EE4">
        <w:rPr>
          <w:rFonts w:ascii="Book Antiqua" w:hAnsi="Book Antiqua"/>
          <w:sz w:val="24"/>
        </w:rPr>
        <w:t xml:space="preserve">B: </w:t>
      </w:r>
      <w:r w:rsidR="00340085" w:rsidRPr="00392EE4">
        <w:rPr>
          <w:rFonts w:ascii="Book Antiqua" w:hAnsi="Book Antiqua"/>
          <w:sz w:val="24"/>
        </w:rPr>
        <w:t>Normal guidewire tips may be become stuck in epithelial folds or flexion of intra-duodenal biliary segments.</w:t>
      </w:r>
    </w:p>
    <w:p w:rsidR="00340085" w:rsidRPr="00392EE4" w:rsidRDefault="00340085" w:rsidP="002A2C2A">
      <w:pPr>
        <w:pStyle w:val="a3"/>
        <w:spacing w:line="360" w:lineRule="auto"/>
        <w:ind w:leftChars="0" w:left="0"/>
        <w:rPr>
          <w:rFonts w:ascii="Book Antiqua" w:hAnsi="Book Antiqua"/>
        </w:rPr>
      </w:pPr>
    </w:p>
    <w:p w:rsidR="002A2C2A" w:rsidRPr="00392EE4" w:rsidRDefault="002A2C2A" w:rsidP="002A2C2A">
      <w:pPr>
        <w:spacing w:line="360" w:lineRule="auto"/>
        <w:rPr>
          <w:rFonts w:ascii="Book Antiqua" w:hAnsi="Book Antiqua" w:cs="Tahoma"/>
          <w:sz w:val="24"/>
        </w:rPr>
      </w:pPr>
    </w:p>
    <w:p w:rsidR="002A2C2A" w:rsidRPr="00392EE4" w:rsidRDefault="002A2C2A" w:rsidP="002A2C2A">
      <w:pPr>
        <w:spacing w:line="360" w:lineRule="auto"/>
        <w:rPr>
          <w:rFonts w:ascii="Book Antiqua" w:hAnsi="Book Antiqua" w:cs="Tahoma"/>
          <w:sz w:val="24"/>
        </w:rPr>
      </w:pPr>
    </w:p>
    <w:p w:rsidR="002A2C2A" w:rsidRPr="00392EE4" w:rsidRDefault="002A2C2A" w:rsidP="002A2C2A">
      <w:pPr>
        <w:spacing w:line="360" w:lineRule="auto"/>
        <w:rPr>
          <w:rFonts w:ascii="Book Antiqua" w:hAnsi="Book Antiqua" w:cs="Tahoma"/>
          <w:sz w:val="24"/>
        </w:rPr>
      </w:pPr>
    </w:p>
    <w:p w:rsidR="002A2C2A" w:rsidRPr="00392EE4" w:rsidRDefault="002A2C2A" w:rsidP="002A2C2A">
      <w:pPr>
        <w:spacing w:line="360" w:lineRule="auto"/>
        <w:rPr>
          <w:rFonts w:ascii="Book Antiqua" w:hAnsi="Book Antiqua" w:cs="Tahoma"/>
          <w:sz w:val="24"/>
        </w:rPr>
      </w:pPr>
    </w:p>
    <w:p w:rsidR="002A2C2A" w:rsidRPr="00392EE4" w:rsidRDefault="002A2C2A" w:rsidP="002A2C2A">
      <w:pPr>
        <w:spacing w:line="360" w:lineRule="auto"/>
        <w:rPr>
          <w:rFonts w:ascii="Book Antiqua" w:hAnsi="Book Antiqua" w:cs="Tahoma"/>
          <w:sz w:val="24"/>
        </w:rPr>
      </w:pPr>
    </w:p>
    <w:p w:rsidR="002A2C2A" w:rsidRDefault="002A2C2A" w:rsidP="002A2C2A">
      <w:pPr>
        <w:spacing w:line="360" w:lineRule="auto"/>
        <w:rPr>
          <w:rFonts w:ascii="Book Antiqua" w:hAnsi="Book Antiqua" w:cs="Tahoma"/>
          <w:sz w:val="24"/>
        </w:rPr>
      </w:pPr>
    </w:p>
    <w:p w:rsidR="00340085" w:rsidRPr="00392EE4" w:rsidRDefault="00340085" w:rsidP="002A2C2A">
      <w:pPr>
        <w:spacing w:line="360" w:lineRule="auto"/>
        <w:rPr>
          <w:rFonts w:ascii="Book Antiqua" w:hAnsi="Book Antiqua"/>
          <w:sz w:val="24"/>
        </w:rPr>
      </w:pPr>
      <w:r w:rsidRPr="00392EE4">
        <w:rPr>
          <w:rFonts w:ascii="Book Antiqua" w:eastAsia="MS PGothic" w:hAnsi="Book Antiqua"/>
          <w:b/>
          <w:kern w:val="0"/>
          <w:sz w:val="24"/>
        </w:rPr>
        <w:lastRenderedPageBreak/>
        <w:t xml:space="preserve">Table 1 Baseline patient characteristics and indications    </w:t>
      </w: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1820"/>
      </w:tblGrid>
      <w:tr w:rsidR="00340085" w:rsidRPr="00392EE4" w:rsidTr="0046263C">
        <w:trPr>
          <w:trHeight w:val="340"/>
        </w:trPr>
        <w:tc>
          <w:tcPr>
            <w:tcW w:w="6400" w:type="dxa"/>
            <w:tcBorders>
              <w:top w:val="single" w:sz="4" w:space="0" w:color="auto"/>
              <w:left w:val="nil"/>
              <w:bottom w:val="single" w:sz="4" w:space="0" w:color="auto"/>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hAnsi="Book Antiqua"/>
                <w:kern w:val="0"/>
              </w:rPr>
            </w:pPr>
            <w:r w:rsidRPr="00392EE4">
              <w:rPr>
                <w:rFonts w:ascii="Book Antiqua" w:eastAsia="MS PGothic" w:hAnsi="Book Antiqua"/>
                <w:kern w:val="0"/>
                <w:sz w:val="24"/>
              </w:rPr>
              <w:t xml:space="preserve"> Item</w:t>
            </w:r>
          </w:p>
          <w:p w:rsidR="007A5DC1" w:rsidRPr="00392EE4" w:rsidRDefault="007A5DC1" w:rsidP="002A2C2A">
            <w:pPr>
              <w:widowControl/>
              <w:spacing w:line="360" w:lineRule="auto"/>
              <w:contextualSpacing/>
              <w:rPr>
                <w:rFonts w:ascii="Book Antiqua" w:hAnsi="Book Antiqua"/>
                <w:kern w:val="0"/>
              </w:rPr>
            </w:pPr>
            <w:r w:rsidRPr="00392EE4">
              <w:rPr>
                <w:rFonts w:ascii="Book Antiqua" w:eastAsia="MS PGothic" w:hAnsi="Book Antiqua"/>
                <w:kern w:val="0"/>
                <w:sz w:val="24"/>
              </w:rPr>
              <w:t>(</w:t>
            </w:r>
            <w:r w:rsidRPr="00392EE4">
              <w:rPr>
                <w:rFonts w:ascii="Book Antiqua" w:eastAsia="MS PGothic" w:hAnsi="Book Antiqua"/>
                <w:i/>
                <w:kern w:val="0"/>
                <w:sz w:val="24"/>
              </w:rPr>
              <w:t>n</w:t>
            </w:r>
            <w:r w:rsidRPr="00392EE4">
              <w:rPr>
                <w:rFonts w:ascii="Book Antiqua" w:hAnsi="Book Antiqua"/>
                <w:kern w:val="0"/>
                <w:sz w:val="24"/>
              </w:rPr>
              <w:t xml:space="preserve"> </w:t>
            </w:r>
            <w:r w:rsidRPr="00392EE4">
              <w:rPr>
                <w:rFonts w:ascii="Book Antiqua" w:eastAsia="MS PGothic" w:hAnsi="Book Antiqua"/>
                <w:kern w:val="0"/>
                <w:sz w:val="24"/>
              </w:rPr>
              <w:t>=</w:t>
            </w:r>
            <w:r w:rsidRPr="00392EE4">
              <w:rPr>
                <w:rFonts w:ascii="Book Antiqua" w:hAnsi="Book Antiqua"/>
                <w:kern w:val="0"/>
                <w:sz w:val="24"/>
              </w:rPr>
              <w:t xml:space="preserve"> </w:t>
            </w:r>
            <w:r w:rsidRPr="00392EE4">
              <w:rPr>
                <w:rFonts w:ascii="Book Antiqua" w:eastAsia="MS PGothic" w:hAnsi="Book Antiqua"/>
                <w:kern w:val="0"/>
                <w:sz w:val="24"/>
              </w:rPr>
              <w:t>50)</w:t>
            </w:r>
          </w:p>
        </w:tc>
        <w:tc>
          <w:tcPr>
            <w:tcW w:w="1820" w:type="dxa"/>
            <w:tcBorders>
              <w:top w:val="single" w:sz="4" w:space="0" w:color="auto"/>
              <w:left w:val="nil"/>
              <w:bottom w:val="single" w:sz="4" w:space="0" w:color="auto"/>
              <w:right w:val="nil"/>
            </w:tcBorders>
            <w:shd w:val="clear" w:color="auto" w:fill="auto"/>
            <w:vAlign w:val="center"/>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Value</w:t>
            </w:r>
          </w:p>
        </w:tc>
      </w:tr>
      <w:tr w:rsidR="00340085" w:rsidRPr="00392EE4" w:rsidTr="0046263C">
        <w:trPr>
          <w:trHeight w:val="340"/>
        </w:trPr>
        <w:tc>
          <w:tcPr>
            <w:tcW w:w="6400" w:type="dxa"/>
            <w:tcBorders>
              <w:top w:val="single" w:sz="4" w:space="0" w:color="auto"/>
              <w:left w:val="nil"/>
              <w:bottom w:val="nil"/>
              <w:right w:val="nil"/>
            </w:tcBorders>
            <w:shd w:val="clear" w:color="auto" w:fill="auto"/>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Age, y</w:t>
            </w:r>
            <w:r w:rsidR="007A5DC1" w:rsidRPr="00392EE4">
              <w:rPr>
                <w:rFonts w:ascii="Book Antiqua" w:hAnsi="Book Antiqua"/>
                <w:kern w:val="0"/>
                <w:sz w:val="24"/>
              </w:rPr>
              <w:t>r</w:t>
            </w:r>
            <w:r w:rsidRPr="00392EE4">
              <w:rPr>
                <w:rFonts w:ascii="Book Antiqua" w:eastAsia="MS PGothic" w:hAnsi="Book Antiqua"/>
                <w:kern w:val="0"/>
                <w:sz w:val="24"/>
              </w:rPr>
              <w:t xml:space="preserve"> </w:t>
            </w:r>
            <w:r w:rsidR="007A5DC1" w:rsidRPr="00392EE4">
              <w:rPr>
                <w:rFonts w:ascii="Book Antiqua" w:eastAsia="MS PGothic" w:hAnsi="Book Antiqua"/>
                <w:kern w:val="0"/>
                <w:sz w:val="24"/>
              </w:rPr>
              <w:t>[</w:t>
            </w:r>
            <w:r w:rsidRPr="00392EE4">
              <w:rPr>
                <w:rFonts w:ascii="Book Antiqua" w:eastAsia="MS PGothic" w:hAnsi="Book Antiqua"/>
                <w:kern w:val="0"/>
                <w:sz w:val="24"/>
              </w:rPr>
              <w:t xml:space="preserve">median </w:t>
            </w:r>
            <w:r w:rsidR="007A5DC1" w:rsidRPr="00392EE4">
              <w:rPr>
                <w:rFonts w:ascii="Book Antiqua" w:eastAsia="MS PGothic" w:hAnsi="Book Antiqua"/>
                <w:kern w:val="0"/>
                <w:sz w:val="24"/>
              </w:rPr>
              <w:t>(</w:t>
            </w:r>
            <w:r w:rsidRPr="00392EE4">
              <w:rPr>
                <w:rFonts w:ascii="Book Antiqua" w:eastAsia="MS PGothic" w:hAnsi="Book Antiqua"/>
                <w:kern w:val="0"/>
                <w:sz w:val="24"/>
              </w:rPr>
              <w:t>IQR)</w:t>
            </w:r>
            <w:r w:rsidR="007A5DC1" w:rsidRPr="00392EE4">
              <w:rPr>
                <w:rFonts w:ascii="Book Antiqua" w:eastAsia="MS PGothic" w:hAnsi="Book Antiqua"/>
                <w:kern w:val="0"/>
                <w:sz w:val="24"/>
              </w:rPr>
              <w:t>]</w:t>
            </w:r>
          </w:p>
        </w:tc>
        <w:tc>
          <w:tcPr>
            <w:tcW w:w="1820" w:type="dxa"/>
            <w:tcBorders>
              <w:top w:val="single" w:sz="4" w:space="0" w:color="auto"/>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75.3 (68-83)</w:t>
            </w:r>
            <w:r w:rsidRPr="00392EE4" w:rsidDel="00E1014E">
              <w:rPr>
                <w:rFonts w:ascii="Book Antiqua" w:eastAsia="MS PGothic" w:hAnsi="Book Antiqua"/>
                <w:kern w:val="0"/>
                <w:sz w:val="24"/>
              </w:rPr>
              <w:t xml:space="preserve"> </w:t>
            </w: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Sex (Male)</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24</w:t>
            </w: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Periampullary diverticulum,</w:t>
            </w:r>
            <w:r w:rsidRPr="00392EE4">
              <w:rPr>
                <w:rFonts w:ascii="Book Antiqua" w:eastAsia="MS PGothic" w:hAnsi="Book Antiqua"/>
                <w:i/>
                <w:kern w:val="0"/>
                <w:sz w:val="24"/>
              </w:rPr>
              <w:t xml:space="preserve"> n</w:t>
            </w:r>
            <w:r w:rsidRPr="00392EE4">
              <w:rPr>
                <w:rFonts w:ascii="Book Antiqua" w:eastAsia="MS PGothic" w:hAnsi="Book Antiqua"/>
                <w:kern w:val="0"/>
                <w:sz w:val="24"/>
              </w:rPr>
              <w:t xml:space="preserve"> (%)</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22 (44)</w:t>
            </w: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Indications</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Choledocolithiasis (including suspicion)</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27</w:t>
            </w: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Cholangiocarcinoma</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7</w:t>
            </w: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Pancreatic cancer</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6</w:t>
            </w: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Gallbladder cancer</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4</w:t>
            </w: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Other malignant disease</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2</w:t>
            </w: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Cholangiocellular carcinoma</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1</w:t>
            </w: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Suspected biliary SOD</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1</w:t>
            </w:r>
          </w:p>
        </w:tc>
      </w:tr>
      <w:tr w:rsidR="00340085" w:rsidRPr="00392EE4" w:rsidTr="0046263C">
        <w:trPr>
          <w:trHeight w:val="340"/>
        </w:trPr>
        <w:tc>
          <w:tcPr>
            <w:tcW w:w="6400" w:type="dxa"/>
            <w:tcBorders>
              <w:top w:val="nil"/>
              <w:left w:val="nil"/>
              <w:bottom w:val="nil"/>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Mirrizi syndorome</w:t>
            </w:r>
          </w:p>
        </w:tc>
        <w:tc>
          <w:tcPr>
            <w:tcW w:w="1820" w:type="dxa"/>
            <w:tcBorders>
              <w:top w:val="nil"/>
              <w:left w:val="nil"/>
              <w:bottom w:val="nil"/>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1</w:t>
            </w:r>
          </w:p>
        </w:tc>
      </w:tr>
      <w:tr w:rsidR="00340085" w:rsidRPr="00392EE4" w:rsidTr="0046263C">
        <w:trPr>
          <w:trHeight w:val="360"/>
        </w:trPr>
        <w:tc>
          <w:tcPr>
            <w:tcW w:w="6400" w:type="dxa"/>
            <w:tcBorders>
              <w:top w:val="nil"/>
              <w:left w:val="nil"/>
              <w:bottom w:val="single" w:sz="4" w:space="0" w:color="auto"/>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Biliary leak after cholecystectomy</w:t>
            </w:r>
          </w:p>
        </w:tc>
        <w:tc>
          <w:tcPr>
            <w:tcW w:w="1820" w:type="dxa"/>
            <w:tcBorders>
              <w:top w:val="nil"/>
              <w:left w:val="nil"/>
              <w:bottom w:val="single" w:sz="4" w:space="0" w:color="auto"/>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1</w:t>
            </w:r>
          </w:p>
        </w:tc>
      </w:tr>
    </w:tbl>
    <w:p w:rsidR="00340085" w:rsidRPr="00392EE4" w:rsidRDefault="00340085" w:rsidP="002A2C2A">
      <w:pPr>
        <w:spacing w:line="360" w:lineRule="auto"/>
        <w:contextualSpacing/>
        <w:rPr>
          <w:rFonts w:ascii="Book Antiqua" w:hAnsi="Book Antiqua"/>
          <w:sz w:val="24"/>
        </w:rPr>
      </w:pPr>
      <w:r w:rsidRPr="00392EE4">
        <w:rPr>
          <w:rFonts w:ascii="Book Antiqua" w:hAnsi="Book Antiqua"/>
          <w:sz w:val="24"/>
        </w:rPr>
        <w:t xml:space="preserve">IQR: interquartile rage; SOD: </w:t>
      </w:r>
      <w:r w:rsidRPr="00392EE4">
        <w:rPr>
          <w:rFonts w:ascii="Book Antiqua" w:eastAsia="MS PGothic" w:hAnsi="Book Antiqua"/>
          <w:kern w:val="0"/>
          <w:sz w:val="24"/>
        </w:rPr>
        <w:t>sphincter of Oddi dysfunction</w:t>
      </w:r>
      <w:r w:rsidR="00392EE4">
        <w:rPr>
          <w:rFonts w:ascii="Book Antiqua" w:hAnsi="Book Antiqua" w:hint="eastAsia"/>
          <w:kern w:val="0"/>
          <w:sz w:val="24"/>
        </w:rPr>
        <w:t>.</w:t>
      </w:r>
    </w:p>
    <w:p w:rsidR="00340085" w:rsidRPr="00392EE4" w:rsidRDefault="00340085" w:rsidP="002A2C2A">
      <w:pPr>
        <w:pStyle w:val="a3"/>
        <w:spacing w:line="360" w:lineRule="auto"/>
        <w:ind w:leftChars="0" w:left="0"/>
        <w:rPr>
          <w:rFonts w:ascii="Book Antiqua" w:hAnsi="Book Antiqua"/>
        </w:rPr>
      </w:pPr>
    </w:p>
    <w:p w:rsidR="00340085" w:rsidRPr="00392EE4" w:rsidRDefault="00340085" w:rsidP="002A2C2A">
      <w:pPr>
        <w:spacing w:line="360" w:lineRule="auto"/>
        <w:contextualSpacing/>
        <w:rPr>
          <w:rFonts w:ascii="Book Antiqua" w:hAnsi="Book Antiqua"/>
          <w:b/>
          <w:sz w:val="24"/>
        </w:rPr>
      </w:pPr>
      <w:r w:rsidRPr="00392EE4">
        <w:rPr>
          <w:rFonts w:ascii="Book Antiqua" w:eastAsia="MS PGothic" w:hAnsi="Book Antiqua"/>
          <w:b/>
          <w:kern w:val="0"/>
          <w:sz w:val="24"/>
        </w:rPr>
        <w:t xml:space="preserve">Table 2 Number of patients receiving different procedures </w:t>
      </w:r>
    </w:p>
    <w:tbl>
      <w:tblPr>
        <w:tblW w:w="7279" w:type="dxa"/>
        <w:tblInd w:w="-601" w:type="dxa"/>
        <w:tblLayout w:type="fixed"/>
        <w:tblLook w:val="04A0" w:firstRow="1" w:lastRow="0" w:firstColumn="1" w:lastColumn="0" w:noHBand="0" w:noVBand="1"/>
      </w:tblPr>
      <w:tblGrid>
        <w:gridCol w:w="6238"/>
        <w:gridCol w:w="1041"/>
      </w:tblGrid>
      <w:tr w:rsidR="00340085" w:rsidRPr="00392EE4" w:rsidTr="007A5DC1">
        <w:trPr>
          <w:trHeight w:val="340"/>
        </w:trPr>
        <w:tc>
          <w:tcPr>
            <w:tcW w:w="6238" w:type="dxa"/>
            <w:tcBorders>
              <w:top w:val="single" w:sz="4" w:space="0" w:color="auto"/>
              <w:bottom w:val="single" w:sz="4" w:space="0" w:color="auto"/>
            </w:tcBorders>
            <w:shd w:val="clear" w:color="auto" w:fill="auto"/>
            <w:noWrap/>
            <w:vAlign w:val="center"/>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Item</w:t>
            </w:r>
          </w:p>
        </w:tc>
        <w:tc>
          <w:tcPr>
            <w:tcW w:w="1041" w:type="dxa"/>
            <w:tcBorders>
              <w:top w:val="single" w:sz="4" w:space="0" w:color="auto"/>
              <w:bottom w:val="single" w:sz="4" w:space="0" w:color="auto"/>
            </w:tcBorders>
            <w:shd w:val="clear" w:color="auto" w:fill="auto"/>
            <w:vAlign w:val="center"/>
          </w:tcPr>
          <w:p w:rsidR="00340085" w:rsidRPr="00392EE4" w:rsidRDefault="00340085" w:rsidP="002A2C2A">
            <w:pPr>
              <w:widowControl/>
              <w:spacing w:line="360" w:lineRule="auto"/>
              <w:contextualSpacing/>
              <w:rPr>
                <w:rFonts w:ascii="Book Antiqua" w:eastAsia="MS PGothic" w:hAnsi="Book Antiqua"/>
                <w:b/>
                <w:i/>
                <w:kern w:val="0"/>
              </w:rPr>
            </w:pPr>
            <w:r w:rsidRPr="00392EE4">
              <w:rPr>
                <w:rFonts w:ascii="Book Antiqua" w:eastAsia="MS PGothic" w:hAnsi="Book Antiqua"/>
                <w:b/>
                <w:i/>
                <w:kern w:val="0"/>
                <w:sz w:val="24"/>
              </w:rPr>
              <w:t>n</w:t>
            </w:r>
          </w:p>
        </w:tc>
      </w:tr>
      <w:tr w:rsidR="00340085" w:rsidRPr="00392EE4" w:rsidTr="007A5DC1">
        <w:trPr>
          <w:trHeight w:val="340"/>
        </w:trPr>
        <w:tc>
          <w:tcPr>
            <w:tcW w:w="6238" w:type="dxa"/>
            <w:tcBorders>
              <w:top w:val="single" w:sz="4" w:space="0" w:color="auto"/>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Endoscopic papillary (large) balloon dilation</w:t>
            </w:r>
            <w:r w:rsidRPr="00392EE4" w:rsidDel="00B84128">
              <w:rPr>
                <w:rFonts w:ascii="Book Antiqua" w:eastAsia="MS PGothic" w:hAnsi="Book Antiqua"/>
                <w:kern w:val="0"/>
                <w:sz w:val="24"/>
              </w:rPr>
              <w:t xml:space="preserve"> </w:t>
            </w:r>
          </w:p>
        </w:tc>
        <w:tc>
          <w:tcPr>
            <w:tcW w:w="1041" w:type="dxa"/>
            <w:tcBorders>
              <w:top w:val="single" w:sz="4" w:space="0" w:color="auto"/>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24</w:t>
            </w:r>
          </w:p>
        </w:tc>
      </w:tr>
      <w:tr w:rsidR="00340085" w:rsidRPr="00392EE4" w:rsidTr="007A5DC1">
        <w:trPr>
          <w:trHeight w:val="340"/>
        </w:trPr>
        <w:tc>
          <w:tcPr>
            <w:tcW w:w="6238" w:type="dxa"/>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lastRenderedPageBreak/>
              <w:t>Endoscopic sphincterotomy</w:t>
            </w:r>
            <w:r w:rsidRPr="00392EE4" w:rsidDel="00B84128">
              <w:rPr>
                <w:rFonts w:ascii="Book Antiqua" w:eastAsia="MS PGothic" w:hAnsi="Book Antiqua"/>
                <w:kern w:val="0"/>
                <w:sz w:val="24"/>
              </w:rPr>
              <w:t xml:space="preserve"> </w:t>
            </w:r>
          </w:p>
        </w:tc>
        <w:tc>
          <w:tcPr>
            <w:tcW w:w="1041" w:type="dxa"/>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19</w:t>
            </w:r>
          </w:p>
        </w:tc>
      </w:tr>
      <w:tr w:rsidR="00340085" w:rsidRPr="00392EE4" w:rsidTr="007A5DC1">
        <w:trPr>
          <w:trHeight w:val="340"/>
        </w:trPr>
        <w:tc>
          <w:tcPr>
            <w:tcW w:w="6238" w:type="dxa"/>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Endoscopic nasobiliary drainage</w:t>
            </w:r>
            <w:r w:rsidRPr="00392EE4" w:rsidDel="00B84128">
              <w:rPr>
                <w:rFonts w:ascii="Book Antiqua" w:eastAsia="MS PGothic" w:hAnsi="Book Antiqua"/>
                <w:kern w:val="0"/>
                <w:sz w:val="24"/>
              </w:rPr>
              <w:t xml:space="preserve"> </w:t>
            </w:r>
          </w:p>
        </w:tc>
        <w:tc>
          <w:tcPr>
            <w:tcW w:w="1041" w:type="dxa"/>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20</w:t>
            </w:r>
          </w:p>
        </w:tc>
      </w:tr>
      <w:tr w:rsidR="00340085" w:rsidRPr="00392EE4" w:rsidTr="007A5DC1">
        <w:trPr>
          <w:trHeight w:val="340"/>
        </w:trPr>
        <w:tc>
          <w:tcPr>
            <w:tcW w:w="6238" w:type="dxa"/>
            <w:shd w:val="clear" w:color="auto" w:fill="auto"/>
            <w:noWrap/>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Endoscopic nasobiliary gallbladder drainage</w:t>
            </w:r>
          </w:p>
        </w:tc>
        <w:tc>
          <w:tcPr>
            <w:tcW w:w="1041" w:type="dxa"/>
            <w:shd w:val="clear" w:color="auto" w:fill="auto"/>
            <w:noWrap/>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2</w:t>
            </w:r>
          </w:p>
        </w:tc>
      </w:tr>
      <w:tr w:rsidR="00340085" w:rsidRPr="00392EE4" w:rsidTr="007A5DC1">
        <w:trPr>
          <w:trHeight w:val="340"/>
        </w:trPr>
        <w:tc>
          <w:tcPr>
            <w:tcW w:w="6238" w:type="dxa"/>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Placement of biliary stent (plastic or metal)</w:t>
            </w:r>
          </w:p>
        </w:tc>
        <w:tc>
          <w:tcPr>
            <w:tcW w:w="1041" w:type="dxa"/>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18</w:t>
            </w:r>
          </w:p>
        </w:tc>
      </w:tr>
      <w:tr w:rsidR="00340085" w:rsidRPr="00392EE4" w:rsidTr="007A5DC1">
        <w:trPr>
          <w:trHeight w:val="340"/>
        </w:trPr>
        <w:tc>
          <w:tcPr>
            <w:tcW w:w="6238" w:type="dxa"/>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Intraductal ultrasonography</w:t>
            </w:r>
            <w:r w:rsidRPr="00392EE4" w:rsidDel="00B84128">
              <w:rPr>
                <w:rFonts w:ascii="Book Antiqua" w:eastAsia="MS PGothic" w:hAnsi="Book Antiqua"/>
                <w:kern w:val="0"/>
                <w:sz w:val="24"/>
              </w:rPr>
              <w:t xml:space="preserve"> </w:t>
            </w:r>
          </w:p>
        </w:tc>
        <w:tc>
          <w:tcPr>
            <w:tcW w:w="1041" w:type="dxa"/>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7</w:t>
            </w:r>
          </w:p>
        </w:tc>
      </w:tr>
      <w:tr w:rsidR="00340085" w:rsidRPr="00392EE4" w:rsidTr="007A5DC1">
        <w:trPr>
          <w:trHeight w:val="340"/>
        </w:trPr>
        <w:tc>
          <w:tcPr>
            <w:tcW w:w="6238" w:type="dxa"/>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Aspiration, Biopsy</w:t>
            </w:r>
          </w:p>
        </w:tc>
        <w:tc>
          <w:tcPr>
            <w:tcW w:w="1041" w:type="dxa"/>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12</w:t>
            </w:r>
          </w:p>
        </w:tc>
      </w:tr>
      <w:tr w:rsidR="00340085" w:rsidRPr="00392EE4" w:rsidTr="007A5DC1">
        <w:trPr>
          <w:trHeight w:val="79"/>
        </w:trPr>
        <w:tc>
          <w:tcPr>
            <w:tcW w:w="6238" w:type="dxa"/>
            <w:tcBorders>
              <w:bottom w:val="single" w:sz="4" w:space="0" w:color="auto"/>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Only cholangiogram</w:t>
            </w:r>
          </w:p>
        </w:tc>
        <w:tc>
          <w:tcPr>
            <w:tcW w:w="1041" w:type="dxa"/>
            <w:tcBorders>
              <w:bottom w:val="single" w:sz="4" w:space="0" w:color="auto"/>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0</w:t>
            </w:r>
          </w:p>
        </w:tc>
      </w:tr>
    </w:tbl>
    <w:p w:rsidR="00340085" w:rsidRPr="00392EE4" w:rsidRDefault="00340085" w:rsidP="002A2C2A">
      <w:pPr>
        <w:pStyle w:val="a3"/>
        <w:spacing w:line="360" w:lineRule="auto"/>
        <w:ind w:leftChars="0" w:left="0"/>
        <w:rPr>
          <w:rFonts w:ascii="Book Antiqua" w:hAnsi="Book Antiqua"/>
        </w:rPr>
      </w:pPr>
    </w:p>
    <w:p w:rsidR="00340085" w:rsidRPr="00392EE4" w:rsidRDefault="00340085" w:rsidP="002A2C2A">
      <w:pPr>
        <w:pStyle w:val="a3"/>
        <w:spacing w:line="360" w:lineRule="auto"/>
        <w:ind w:leftChars="0" w:left="0"/>
        <w:rPr>
          <w:rFonts w:ascii="Book Antiqua" w:hAnsi="Book Antiqua"/>
        </w:rPr>
      </w:pPr>
    </w:p>
    <w:p w:rsidR="00340085" w:rsidRPr="00392EE4" w:rsidRDefault="00340085" w:rsidP="002A2C2A">
      <w:pPr>
        <w:spacing w:line="360" w:lineRule="auto"/>
        <w:contextualSpacing/>
        <w:rPr>
          <w:rFonts w:ascii="Book Antiqua" w:hAnsi="Book Antiqua"/>
          <w:b/>
          <w:sz w:val="24"/>
        </w:rPr>
      </w:pPr>
      <w:r w:rsidRPr="00392EE4">
        <w:rPr>
          <w:rFonts w:ascii="Book Antiqua" w:eastAsia="MS PGothic" w:hAnsi="Book Antiqua"/>
          <w:b/>
          <w:kern w:val="0"/>
          <w:sz w:val="24"/>
        </w:rPr>
        <w:t>Table 3 Cannulation outcomes</w:t>
      </w:r>
    </w:p>
    <w:tbl>
      <w:tblP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41"/>
        <w:gridCol w:w="1587"/>
      </w:tblGrid>
      <w:tr w:rsidR="002A2C2A" w:rsidRPr="00392EE4" w:rsidTr="0046263C">
        <w:trPr>
          <w:trHeight w:val="340"/>
        </w:trPr>
        <w:tc>
          <w:tcPr>
            <w:tcW w:w="6912" w:type="dxa"/>
            <w:gridSpan w:val="2"/>
            <w:tcBorders>
              <w:top w:val="single" w:sz="4" w:space="0" w:color="auto"/>
              <w:left w:val="nil"/>
              <w:bottom w:val="single" w:sz="4" w:space="0" w:color="auto"/>
              <w:right w:val="nil"/>
            </w:tcBorders>
            <w:shd w:val="clear" w:color="auto" w:fill="auto"/>
            <w:noWrap/>
            <w:vAlign w:val="center"/>
            <w:hideMark/>
          </w:tcPr>
          <w:p w:rsidR="00340085" w:rsidRPr="00392EE4" w:rsidRDefault="00340085" w:rsidP="002A2C2A">
            <w:pPr>
              <w:widowControl/>
              <w:spacing w:line="360" w:lineRule="auto"/>
              <w:contextualSpacing/>
              <w:rPr>
                <w:rFonts w:ascii="Book Antiqua" w:hAnsi="Book Antiqua"/>
                <w:kern w:val="0"/>
              </w:rPr>
            </w:pPr>
            <w:r w:rsidRPr="00392EE4">
              <w:rPr>
                <w:rFonts w:ascii="Book Antiqua" w:eastAsia="MS PGothic" w:hAnsi="Book Antiqua"/>
                <w:kern w:val="0"/>
                <w:sz w:val="24"/>
              </w:rPr>
              <w:t>Item</w:t>
            </w:r>
          </w:p>
          <w:p w:rsidR="002A2C2A" w:rsidRPr="00392EE4" w:rsidRDefault="002A2C2A" w:rsidP="002A2C2A">
            <w:pPr>
              <w:widowControl/>
              <w:spacing w:line="360" w:lineRule="auto"/>
              <w:contextualSpacing/>
              <w:rPr>
                <w:rFonts w:ascii="Book Antiqua" w:hAnsi="Book Antiqua"/>
                <w:kern w:val="0"/>
              </w:rPr>
            </w:pPr>
            <w:r w:rsidRPr="00392EE4">
              <w:rPr>
                <w:rFonts w:ascii="Book Antiqua" w:eastAsia="MS PGothic" w:hAnsi="Book Antiqua"/>
                <w:kern w:val="0"/>
                <w:sz w:val="24"/>
              </w:rPr>
              <w:t>(</w:t>
            </w:r>
            <w:r w:rsidRPr="00392EE4">
              <w:rPr>
                <w:rFonts w:ascii="Book Antiqua" w:eastAsia="MS PGothic" w:hAnsi="Book Antiqua"/>
                <w:i/>
                <w:kern w:val="0"/>
                <w:sz w:val="24"/>
              </w:rPr>
              <w:t>n</w:t>
            </w:r>
            <w:r w:rsidRPr="00392EE4">
              <w:rPr>
                <w:rFonts w:ascii="Book Antiqua" w:hAnsi="Book Antiqua"/>
                <w:kern w:val="0"/>
                <w:sz w:val="24"/>
              </w:rPr>
              <w:t xml:space="preserve"> </w:t>
            </w:r>
            <w:r w:rsidRPr="00392EE4">
              <w:rPr>
                <w:rFonts w:ascii="Book Antiqua" w:eastAsia="MS PGothic" w:hAnsi="Book Antiqua"/>
                <w:kern w:val="0"/>
                <w:sz w:val="24"/>
              </w:rPr>
              <w:t>=</w:t>
            </w:r>
            <w:r w:rsidRPr="00392EE4">
              <w:rPr>
                <w:rFonts w:ascii="Book Antiqua" w:hAnsi="Book Antiqua"/>
                <w:kern w:val="0"/>
                <w:sz w:val="24"/>
              </w:rPr>
              <w:t xml:space="preserve"> </w:t>
            </w:r>
            <w:r w:rsidRPr="00392EE4">
              <w:rPr>
                <w:rFonts w:ascii="Book Antiqua" w:eastAsia="MS PGothic" w:hAnsi="Book Antiqua"/>
                <w:kern w:val="0"/>
                <w:sz w:val="24"/>
              </w:rPr>
              <w:t>50)</w:t>
            </w:r>
          </w:p>
        </w:tc>
        <w:tc>
          <w:tcPr>
            <w:tcW w:w="1587" w:type="dxa"/>
            <w:tcBorders>
              <w:top w:val="single" w:sz="4" w:space="0" w:color="auto"/>
              <w:left w:val="nil"/>
              <w:bottom w:val="single" w:sz="4" w:space="0" w:color="auto"/>
              <w:right w:val="nil"/>
            </w:tcBorders>
            <w:shd w:val="clear" w:color="auto" w:fill="auto"/>
            <w:vAlign w:val="center"/>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Value</w:t>
            </w:r>
          </w:p>
        </w:tc>
      </w:tr>
      <w:tr w:rsidR="002A2C2A" w:rsidRPr="00392EE4" w:rsidTr="0046263C">
        <w:trPr>
          <w:trHeight w:val="340"/>
        </w:trPr>
        <w:tc>
          <w:tcPr>
            <w:tcW w:w="6771" w:type="dxa"/>
            <w:tcBorders>
              <w:top w:val="single" w:sz="4" w:space="0" w:color="auto"/>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 xml:space="preserve">Success, </w:t>
            </w:r>
            <w:r w:rsidRPr="00392EE4">
              <w:rPr>
                <w:rFonts w:ascii="Book Antiqua" w:eastAsia="MS PGothic" w:hAnsi="Book Antiqua"/>
                <w:i/>
                <w:kern w:val="0"/>
                <w:sz w:val="24"/>
              </w:rPr>
              <w:t>n</w:t>
            </w:r>
            <w:r w:rsidRPr="00392EE4">
              <w:rPr>
                <w:rFonts w:ascii="Book Antiqua" w:eastAsia="MS PGothic" w:hAnsi="Book Antiqua"/>
                <w:kern w:val="0"/>
                <w:sz w:val="24"/>
              </w:rPr>
              <w:t xml:space="preserve"> (%)</w:t>
            </w:r>
          </w:p>
        </w:tc>
        <w:tc>
          <w:tcPr>
            <w:tcW w:w="1728" w:type="dxa"/>
            <w:gridSpan w:val="2"/>
            <w:tcBorders>
              <w:top w:val="single" w:sz="4" w:space="0" w:color="auto"/>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45 (90)</w:t>
            </w:r>
          </w:p>
        </w:tc>
      </w:tr>
      <w:tr w:rsidR="00340085" w:rsidRPr="00392EE4" w:rsidTr="0046263C">
        <w:trPr>
          <w:trHeight w:val="340"/>
        </w:trPr>
        <w:tc>
          <w:tcPr>
            <w:tcW w:w="6771" w:type="dxa"/>
            <w:tcBorders>
              <w:top w:val="nil"/>
              <w:left w:val="nil"/>
              <w:bottom w:val="nil"/>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 xml:space="preserve">&lt; 5 min </w:t>
            </w:r>
          </w:p>
        </w:tc>
        <w:tc>
          <w:tcPr>
            <w:tcW w:w="1728" w:type="dxa"/>
            <w:gridSpan w:val="2"/>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38</w:t>
            </w:r>
          </w:p>
        </w:tc>
      </w:tr>
      <w:tr w:rsidR="00340085" w:rsidRPr="00392EE4" w:rsidTr="0046263C">
        <w:trPr>
          <w:trHeight w:val="236"/>
        </w:trPr>
        <w:tc>
          <w:tcPr>
            <w:tcW w:w="6771" w:type="dxa"/>
            <w:tcBorders>
              <w:top w:val="nil"/>
              <w:left w:val="nil"/>
              <w:bottom w:val="nil"/>
              <w:right w:val="nil"/>
            </w:tcBorders>
            <w:shd w:val="clear" w:color="auto" w:fill="auto"/>
            <w:noWrap/>
            <w:hideMark/>
          </w:tcPr>
          <w:p w:rsidR="00340085" w:rsidRPr="00392EE4" w:rsidRDefault="00340085"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5-10 min</w:t>
            </w:r>
          </w:p>
        </w:tc>
        <w:tc>
          <w:tcPr>
            <w:tcW w:w="1728" w:type="dxa"/>
            <w:gridSpan w:val="2"/>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7</w:t>
            </w:r>
          </w:p>
        </w:tc>
      </w:tr>
      <w:tr w:rsidR="00340085" w:rsidRPr="00392EE4" w:rsidTr="0046263C">
        <w:trPr>
          <w:trHeight w:val="340"/>
        </w:trPr>
        <w:tc>
          <w:tcPr>
            <w:tcW w:w="6771" w:type="dxa"/>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Median time to selective biliary cannulation, s (IQR)</w:t>
            </w:r>
          </w:p>
        </w:tc>
        <w:tc>
          <w:tcPr>
            <w:tcW w:w="1728" w:type="dxa"/>
            <w:gridSpan w:val="2"/>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42.5 (5-262)</w:t>
            </w:r>
          </w:p>
        </w:tc>
      </w:tr>
      <w:tr w:rsidR="00340085" w:rsidRPr="00392EE4" w:rsidTr="0046263C">
        <w:trPr>
          <w:trHeight w:val="340"/>
        </w:trPr>
        <w:tc>
          <w:tcPr>
            <w:tcW w:w="6771" w:type="dxa"/>
            <w:tcBorders>
              <w:top w:val="nil"/>
              <w:left w:val="nil"/>
              <w:bottom w:val="nil"/>
              <w:right w:val="nil"/>
            </w:tcBorders>
            <w:shd w:val="clear" w:color="auto" w:fill="auto"/>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Median number of attempts (IQR)</w:t>
            </w:r>
          </w:p>
        </w:tc>
        <w:tc>
          <w:tcPr>
            <w:tcW w:w="1728" w:type="dxa"/>
            <w:gridSpan w:val="2"/>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2.0 (1-6)</w:t>
            </w:r>
          </w:p>
        </w:tc>
      </w:tr>
      <w:tr w:rsidR="00340085" w:rsidRPr="00392EE4" w:rsidTr="0046263C">
        <w:trPr>
          <w:trHeight w:val="340"/>
        </w:trPr>
        <w:tc>
          <w:tcPr>
            <w:tcW w:w="6771" w:type="dxa"/>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Median number of accidental pancreatic duct insertion (IQR)</w:t>
            </w:r>
          </w:p>
        </w:tc>
        <w:tc>
          <w:tcPr>
            <w:tcW w:w="1728" w:type="dxa"/>
            <w:gridSpan w:val="2"/>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1.0 (0-3)</w:t>
            </w:r>
          </w:p>
        </w:tc>
      </w:tr>
      <w:tr w:rsidR="00340085" w:rsidRPr="00392EE4" w:rsidTr="0046263C">
        <w:trPr>
          <w:trHeight w:val="340"/>
        </w:trPr>
        <w:tc>
          <w:tcPr>
            <w:tcW w:w="6771" w:type="dxa"/>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Median amylase level, IU/L (IQR)</w:t>
            </w:r>
          </w:p>
        </w:tc>
        <w:tc>
          <w:tcPr>
            <w:tcW w:w="1728" w:type="dxa"/>
            <w:gridSpan w:val="2"/>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148 (94-331)</w:t>
            </w:r>
          </w:p>
        </w:tc>
      </w:tr>
      <w:tr w:rsidR="00340085" w:rsidRPr="00392EE4" w:rsidTr="0046263C">
        <w:trPr>
          <w:trHeight w:val="340"/>
        </w:trPr>
        <w:tc>
          <w:tcPr>
            <w:tcW w:w="6771" w:type="dxa"/>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 xml:space="preserve">Post-ERCP pancreatitis, </w:t>
            </w:r>
            <w:r w:rsidRPr="00392EE4">
              <w:rPr>
                <w:rFonts w:ascii="Book Antiqua" w:eastAsia="MS PGothic" w:hAnsi="Book Antiqua"/>
                <w:i/>
                <w:kern w:val="0"/>
                <w:sz w:val="24"/>
              </w:rPr>
              <w:t>n</w:t>
            </w:r>
            <w:r w:rsidRPr="00392EE4">
              <w:rPr>
                <w:rFonts w:ascii="Book Antiqua" w:eastAsia="MS PGothic" w:hAnsi="Book Antiqua"/>
                <w:kern w:val="0"/>
                <w:sz w:val="24"/>
              </w:rPr>
              <w:t xml:space="preserve"> (%)</w:t>
            </w:r>
          </w:p>
        </w:tc>
        <w:tc>
          <w:tcPr>
            <w:tcW w:w="1728" w:type="dxa"/>
            <w:gridSpan w:val="2"/>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3 (6)</w:t>
            </w:r>
          </w:p>
        </w:tc>
      </w:tr>
      <w:tr w:rsidR="00340085" w:rsidRPr="00392EE4" w:rsidTr="0046263C">
        <w:trPr>
          <w:trHeight w:val="340"/>
        </w:trPr>
        <w:tc>
          <w:tcPr>
            <w:tcW w:w="6771" w:type="dxa"/>
            <w:tcBorders>
              <w:top w:val="nil"/>
              <w:left w:val="nil"/>
              <w:bottom w:val="nil"/>
              <w:right w:val="nil"/>
            </w:tcBorders>
            <w:shd w:val="clear" w:color="auto" w:fill="auto"/>
            <w:noWrap/>
            <w:hideMark/>
          </w:tcPr>
          <w:p w:rsidR="00340085" w:rsidRPr="00392EE4" w:rsidRDefault="002A2C2A"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t>M</w:t>
            </w:r>
            <w:r w:rsidR="00340085" w:rsidRPr="00392EE4">
              <w:rPr>
                <w:rFonts w:ascii="Book Antiqua" w:eastAsia="MS PGothic" w:hAnsi="Book Antiqua"/>
                <w:kern w:val="0"/>
                <w:sz w:val="24"/>
              </w:rPr>
              <w:t>ild</w:t>
            </w:r>
          </w:p>
        </w:tc>
        <w:tc>
          <w:tcPr>
            <w:tcW w:w="1728" w:type="dxa"/>
            <w:gridSpan w:val="2"/>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3</w:t>
            </w:r>
          </w:p>
        </w:tc>
      </w:tr>
      <w:tr w:rsidR="00340085" w:rsidRPr="00392EE4" w:rsidTr="0046263C">
        <w:trPr>
          <w:trHeight w:val="340"/>
        </w:trPr>
        <w:tc>
          <w:tcPr>
            <w:tcW w:w="6771" w:type="dxa"/>
            <w:tcBorders>
              <w:top w:val="nil"/>
              <w:left w:val="nil"/>
              <w:bottom w:val="nil"/>
              <w:right w:val="nil"/>
            </w:tcBorders>
            <w:shd w:val="clear" w:color="auto" w:fill="auto"/>
            <w:noWrap/>
            <w:hideMark/>
          </w:tcPr>
          <w:p w:rsidR="00340085" w:rsidRPr="00392EE4" w:rsidRDefault="002A2C2A" w:rsidP="002A2C2A">
            <w:pPr>
              <w:widowControl/>
              <w:spacing w:line="360" w:lineRule="auto"/>
              <w:ind w:firstLineChars="100" w:firstLine="240"/>
              <w:contextualSpacing/>
              <w:rPr>
                <w:rFonts w:ascii="Book Antiqua" w:eastAsia="MS PGothic" w:hAnsi="Book Antiqua"/>
                <w:kern w:val="0"/>
              </w:rPr>
            </w:pPr>
            <w:r w:rsidRPr="00392EE4">
              <w:rPr>
                <w:rFonts w:ascii="Book Antiqua" w:eastAsia="MS PGothic" w:hAnsi="Book Antiqua"/>
                <w:kern w:val="0"/>
                <w:sz w:val="24"/>
              </w:rPr>
              <w:lastRenderedPageBreak/>
              <w:t>S</w:t>
            </w:r>
            <w:r w:rsidR="00340085" w:rsidRPr="00392EE4">
              <w:rPr>
                <w:rFonts w:ascii="Book Antiqua" w:eastAsia="MS PGothic" w:hAnsi="Book Antiqua"/>
                <w:kern w:val="0"/>
                <w:sz w:val="24"/>
              </w:rPr>
              <w:t>evere</w:t>
            </w:r>
          </w:p>
        </w:tc>
        <w:tc>
          <w:tcPr>
            <w:tcW w:w="1728" w:type="dxa"/>
            <w:gridSpan w:val="2"/>
            <w:tcBorders>
              <w:top w:val="nil"/>
              <w:left w:val="nil"/>
              <w:bottom w:val="nil"/>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0</w:t>
            </w:r>
          </w:p>
        </w:tc>
      </w:tr>
      <w:tr w:rsidR="00340085" w:rsidRPr="00392EE4" w:rsidTr="0046263C">
        <w:trPr>
          <w:trHeight w:val="340"/>
        </w:trPr>
        <w:tc>
          <w:tcPr>
            <w:tcW w:w="6771" w:type="dxa"/>
            <w:tcBorders>
              <w:top w:val="nil"/>
              <w:left w:val="nil"/>
              <w:bottom w:val="single" w:sz="4" w:space="0" w:color="auto"/>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 xml:space="preserve">Hyperamylasemia, </w:t>
            </w:r>
            <w:r w:rsidRPr="00392EE4">
              <w:rPr>
                <w:rFonts w:ascii="Book Antiqua" w:eastAsia="MS PGothic" w:hAnsi="Book Antiqua"/>
                <w:i/>
                <w:kern w:val="0"/>
                <w:sz w:val="24"/>
              </w:rPr>
              <w:t>n</w:t>
            </w:r>
            <w:r w:rsidRPr="00392EE4">
              <w:rPr>
                <w:rFonts w:ascii="Book Antiqua" w:eastAsia="MS PGothic" w:hAnsi="Book Antiqua"/>
                <w:kern w:val="0"/>
                <w:sz w:val="24"/>
              </w:rPr>
              <w:t xml:space="preserve"> (%)</w:t>
            </w:r>
          </w:p>
        </w:tc>
        <w:tc>
          <w:tcPr>
            <w:tcW w:w="1728" w:type="dxa"/>
            <w:gridSpan w:val="2"/>
            <w:tcBorders>
              <w:top w:val="nil"/>
              <w:left w:val="nil"/>
              <w:bottom w:val="single" w:sz="4" w:space="0" w:color="auto"/>
              <w:right w:val="nil"/>
            </w:tcBorders>
            <w:shd w:val="clear" w:color="auto" w:fill="auto"/>
            <w:noWrap/>
            <w:hideMark/>
          </w:tcPr>
          <w:p w:rsidR="00340085" w:rsidRPr="00392EE4" w:rsidRDefault="00340085" w:rsidP="002A2C2A">
            <w:pPr>
              <w:widowControl/>
              <w:spacing w:line="360" w:lineRule="auto"/>
              <w:contextualSpacing/>
              <w:rPr>
                <w:rFonts w:ascii="Book Antiqua" w:eastAsia="MS PGothic" w:hAnsi="Book Antiqua"/>
                <w:kern w:val="0"/>
              </w:rPr>
            </w:pPr>
            <w:r w:rsidRPr="00392EE4">
              <w:rPr>
                <w:rFonts w:ascii="Book Antiqua" w:eastAsia="MS PGothic" w:hAnsi="Book Antiqua"/>
                <w:kern w:val="0"/>
                <w:sz w:val="24"/>
              </w:rPr>
              <w:t>4 (8)</w:t>
            </w:r>
          </w:p>
        </w:tc>
      </w:tr>
    </w:tbl>
    <w:p w:rsidR="00340085" w:rsidRPr="002A2C2A" w:rsidRDefault="00340085" w:rsidP="002A2C2A">
      <w:pPr>
        <w:widowControl/>
        <w:spacing w:line="360" w:lineRule="auto"/>
        <w:contextualSpacing/>
        <w:rPr>
          <w:rFonts w:ascii="Book Antiqua" w:hAnsi="Book Antiqua"/>
          <w:sz w:val="24"/>
        </w:rPr>
      </w:pPr>
      <w:r w:rsidRPr="00392EE4">
        <w:rPr>
          <w:rFonts w:ascii="Book Antiqua" w:hAnsi="Book Antiqua"/>
          <w:sz w:val="24"/>
        </w:rPr>
        <w:t>IQR: interquartile range; ERCP: Endoscopic retrograde cholangiopancreatography</w:t>
      </w:r>
      <w:r w:rsidR="00392EE4">
        <w:rPr>
          <w:rFonts w:ascii="Book Antiqua" w:hAnsi="Book Antiqua" w:hint="eastAsia"/>
          <w:sz w:val="24"/>
        </w:rPr>
        <w:t>.</w:t>
      </w:r>
      <w:r w:rsidRPr="002A2C2A">
        <w:rPr>
          <w:rFonts w:ascii="Book Antiqua" w:hAnsi="Book Antiqua"/>
          <w:sz w:val="24"/>
        </w:rPr>
        <w:t xml:space="preserve"> </w:t>
      </w:r>
    </w:p>
    <w:p w:rsidR="00340085" w:rsidRPr="002A2C2A" w:rsidRDefault="00340085" w:rsidP="002A2C2A">
      <w:pPr>
        <w:spacing w:line="360" w:lineRule="auto"/>
        <w:rPr>
          <w:rFonts w:ascii="Book Antiqua" w:hAnsi="Book Antiqua"/>
          <w:sz w:val="24"/>
        </w:rPr>
      </w:pPr>
    </w:p>
    <w:p w:rsidR="00340085" w:rsidRPr="002A2C2A" w:rsidRDefault="00340085" w:rsidP="002A2C2A">
      <w:pPr>
        <w:spacing w:line="360" w:lineRule="auto"/>
        <w:rPr>
          <w:rFonts w:ascii="Book Antiqua" w:hAnsi="Book Antiqua"/>
          <w:sz w:val="24"/>
        </w:rPr>
      </w:pPr>
    </w:p>
    <w:p w:rsidR="00D01DD3" w:rsidRPr="002A2C2A" w:rsidRDefault="00D01DD3" w:rsidP="002A2C2A">
      <w:pPr>
        <w:spacing w:line="360" w:lineRule="auto"/>
        <w:rPr>
          <w:rFonts w:ascii="Book Antiqua" w:eastAsiaTheme="minorEastAsia" w:hAnsi="Book Antiqua"/>
          <w:sz w:val="24"/>
          <w:lang w:eastAsia="ja-JP"/>
        </w:rPr>
      </w:pPr>
    </w:p>
    <w:sectPr w:rsidR="00D01DD3" w:rsidRPr="002A2C2A" w:rsidSect="0086480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94" w:rsidRDefault="004F6C94" w:rsidP="006B4483">
      <w:r>
        <w:separator/>
      </w:r>
    </w:p>
  </w:endnote>
  <w:endnote w:type="continuationSeparator" w:id="0">
    <w:p w:rsidR="004F6C94" w:rsidRDefault="004F6C94" w:rsidP="006B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MS Mincho"/>
    <w:charset w:val="4E"/>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ヒラギノ明朝 ProN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94" w:rsidRDefault="004F6C94" w:rsidP="006B4483">
      <w:r>
        <w:separator/>
      </w:r>
    </w:p>
  </w:footnote>
  <w:footnote w:type="continuationSeparator" w:id="0">
    <w:p w:rsidR="004F6C94" w:rsidRDefault="004F6C94" w:rsidP="006B4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072E"/>
    <w:multiLevelType w:val="hybridMultilevel"/>
    <w:tmpl w:val="5B84653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155B23"/>
    <w:multiLevelType w:val="hybridMultilevel"/>
    <w:tmpl w:val="DF322318"/>
    <w:lvl w:ilvl="0" w:tplc="F514CBC6">
      <w:start w:val="10"/>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633EF4"/>
    <w:multiLevelType w:val="hybridMultilevel"/>
    <w:tmpl w:val="28A6EF58"/>
    <w:lvl w:ilvl="0" w:tplc="21F878C2">
      <w:start w:val="15"/>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CED172F"/>
    <w:multiLevelType w:val="hybridMultilevel"/>
    <w:tmpl w:val="A28C476C"/>
    <w:lvl w:ilvl="0" w:tplc="66F640A2">
      <w:start w:val="1"/>
      <w:numFmt w:val="decimal"/>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15"/>
    <w:rsid w:val="00015FF5"/>
    <w:rsid w:val="000A226D"/>
    <w:rsid w:val="000C3029"/>
    <w:rsid w:val="000F5FD6"/>
    <w:rsid w:val="00165010"/>
    <w:rsid w:val="0019080C"/>
    <w:rsid w:val="00233C3B"/>
    <w:rsid w:val="002577DF"/>
    <w:rsid w:val="00265440"/>
    <w:rsid w:val="00295799"/>
    <w:rsid w:val="002A2C2A"/>
    <w:rsid w:val="002B7B10"/>
    <w:rsid w:val="00340085"/>
    <w:rsid w:val="00392EE4"/>
    <w:rsid w:val="0043402E"/>
    <w:rsid w:val="0046263C"/>
    <w:rsid w:val="004849B2"/>
    <w:rsid w:val="004F6C94"/>
    <w:rsid w:val="0054456D"/>
    <w:rsid w:val="006A1453"/>
    <w:rsid w:val="006B4483"/>
    <w:rsid w:val="00710215"/>
    <w:rsid w:val="007A5DC1"/>
    <w:rsid w:val="0086480F"/>
    <w:rsid w:val="008D6636"/>
    <w:rsid w:val="00913C42"/>
    <w:rsid w:val="00915B05"/>
    <w:rsid w:val="00B67028"/>
    <w:rsid w:val="00C079BF"/>
    <w:rsid w:val="00C764D5"/>
    <w:rsid w:val="00CF2FD7"/>
    <w:rsid w:val="00D01DD3"/>
    <w:rsid w:val="00DB27AA"/>
    <w:rsid w:val="00DC7CD2"/>
    <w:rsid w:val="00E23E94"/>
    <w:rsid w:val="00E4079B"/>
    <w:rsid w:val="00E7027C"/>
    <w:rsid w:val="00EC574A"/>
    <w:rsid w:val="00ED6F23"/>
    <w:rsid w:val="00ED7871"/>
    <w:rsid w:val="00F06F5E"/>
    <w:rsid w:val="00F46746"/>
    <w:rsid w:val="00F628E1"/>
    <w:rsid w:val="00FE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10"/>
    <w:pPr>
      <w:widowControl w:val="0"/>
      <w:jc w:val="both"/>
    </w:pPr>
    <w:rPr>
      <w:rFonts w:ascii="Times New Roman" w:eastAsia="宋体" w:hAnsi="Times New Roman"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10"/>
    <w:pPr>
      <w:ind w:leftChars="400" w:left="960"/>
    </w:pPr>
    <w:rPr>
      <w:rFonts w:ascii="Century" w:eastAsia="MS Mincho" w:hAnsi="Century"/>
      <w:sz w:val="24"/>
      <w:lang w:eastAsia="ja-JP"/>
    </w:rPr>
  </w:style>
  <w:style w:type="character" w:styleId="a4">
    <w:name w:val="Hyperlink"/>
    <w:basedOn w:val="a0"/>
    <w:uiPriority w:val="99"/>
    <w:unhideWhenUsed/>
    <w:rsid w:val="002B7B10"/>
    <w:rPr>
      <w:color w:val="0000FF" w:themeColor="hyperlink"/>
      <w:u w:val="single"/>
    </w:rPr>
  </w:style>
  <w:style w:type="paragraph" w:styleId="a5">
    <w:name w:val="Body Text"/>
    <w:basedOn w:val="a"/>
    <w:link w:val="a6"/>
    <w:rsid w:val="00340085"/>
    <w:pPr>
      <w:widowControl/>
      <w:spacing w:line="480" w:lineRule="auto"/>
    </w:pPr>
    <w:rPr>
      <w:kern w:val="0"/>
      <w:sz w:val="24"/>
      <w:lang w:val="en-GB" w:eastAsia="en-US"/>
    </w:rPr>
  </w:style>
  <w:style w:type="character" w:customStyle="1" w:styleId="a6">
    <w:name w:val="本文 (文字)"/>
    <w:basedOn w:val="a0"/>
    <w:link w:val="a5"/>
    <w:rsid w:val="00340085"/>
    <w:rPr>
      <w:rFonts w:ascii="Times New Roman" w:eastAsia="宋体" w:hAnsi="Times New Roman" w:cs="Times New Roman"/>
      <w:kern w:val="0"/>
      <w:lang w:val="en-GB" w:eastAsia="en-US"/>
    </w:rPr>
  </w:style>
  <w:style w:type="character" w:styleId="a7">
    <w:name w:val="annotation reference"/>
    <w:semiHidden/>
    <w:rsid w:val="00340085"/>
    <w:rPr>
      <w:sz w:val="21"/>
      <w:szCs w:val="21"/>
    </w:rPr>
  </w:style>
  <w:style w:type="paragraph" w:styleId="a8">
    <w:name w:val="annotation text"/>
    <w:basedOn w:val="a"/>
    <w:link w:val="a9"/>
    <w:rsid w:val="00340085"/>
    <w:pPr>
      <w:jc w:val="left"/>
    </w:pPr>
  </w:style>
  <w:style w:type="character" w:customStyle="1" w:styleId="a9">
    <w:name w:val="コメント文字列 (文字)"/>
    <w:basedOn w:val="a0"/>
    <w:link w:val="a8"/>
    <w:rsid w:val="00340085"/>
    <w:rPr>
      <w:rFonts w:ascii="Times New Roman" w:eastAsia="宋体" w:hAnsi="Times New Roman" w:cs="Times New Roman"/>
      <w:sz w:val="21"/>
      <w:lang w:eastAsia="zh-CN"/>
    </w:rPr>
  </w:style>
  <w:style w:type="paragraph" w:customStyle="1" w:styleId="o">
    <w:name w:val="o"/>
    <w:basedOn w:val="a"/>
    <w:rsid w:val="00340085"/>
    <w:rPr>
      <w:rFonts w:eastAsia="MS Mincho"/>
      <w:sz w:val="24"/>
      <w:lang w:eastAsia="ja-JP"/>
    </w:rPr>
  </w:style>
  <w:style w:type="paragraph" w:styleId="aa">
    <w:name w:val="Balloon Text"/>
    <w:basedOn w:val="a"/>
    <w:link w:val="ab"/>
    <w:uiPriority w:val="99"/>
    <w:semiHidden/>
    <w:unhideWhenUsed/>
    <w:rsid w:val="00340085"/>
    <w:rPr>
      <w:rFonts w:ascii="ヒラギノ角ゴ ProN W3" w:eastAsia="ヒラギノ角ゴ ProN W3"/>
      <w:sz w:val="18"/>
      <w:szCs w:val="18"/>
    </w:rPr>
  </w:style>
  <w:style w:type="character" w:customStyle="1" w:styleId="ab">
    <w:name w:val="吹き出し (文字)"/>
    <w:basedOn w:val="a0"/>
    <w:link w:val="aa"/>
    <w:uiPriority w:val="99"/>
    <w:semiHidden/>
    <w:rsid w:val="00340085"/>
    <w:rPr>
      <w:rFonts w:ascii="ヒラギノ角ゴ ProN W3" w:eastAsia="ヒラギノ角ゴ ProN W3" w:hAnsi="Times New Roman" w:cs="Times New Roman"/>
      <w:sz w:val="18"/>
      <w:szCs w:val="18"/>
      <w:lang w:eastAsia="zh-CN"/>
    </w:rPr>
  </w:style>
  <w:style w:type="paragraph" w:styleId="ac">
    <w:name w:val="header"/>
    <w:basedOn w:val="a"/>
    <w:link w:val="Char"/>
    <w:uiPriority w:val="99"/>
    <w:unhideWhenUsed/>
    <w:rsid w:val="006B4483"/>
    <w:pPr>
      <w:tabs>
        <w:tab w:val="center" w:pos="4252"/>
        <w:tab w:val="right" w:pos="8504"/>
      </w:tabs>
      <w:snapToGrid w:val="0"/>
    </w:pPr>
  </w:style>
  <w:style w:type="character" w:customStyle="1" w:styleId="Char">
    <w:name w:val="页眉 Char"/>
    <w:basedOn w:val="a0"/>
    <w:link w:val="ac"/>
    <w:uiPriority w:val="99"/>
    <w:rsid w:val="006B4483"/>
    <w:rPr>
      <w:rFonts w:ascii="Times New Roman" w:eastAsia="宋体" w:hAnsi="Times New Roman" w:cs="Times New Roman"/>
      <w:sz w:val="21"/>
      <w:lang w:eastAsia="zh-CN"/>
    </w:rPr>
  </w:style>
  <w:style w:type="paragraph" w:styleId="ad">
    <w:name w:val="footer"/>
    <w:basedOn w:val="a"/>
    <w:link w:val="Char0"/>
    <w:uiPriority w:val="99"/>
    <w:unhideWhenUsed/>
    <w:rsid w:val="006B4483"/>
    <w:pPr>
      <w:tabs>
        <w:tab w:val="center" w:pos="4252"/>
        <w:tab w:val="right" w:pos="8504"/>
      </w:tabs>
      <w:snapToGrid w:val="0"/>
    </w:pPr>
  </w:style>
  <w:style w:type="character" w:customStyle="1" w:styleId="Char0">
    <w:name w:val="页脚 Char"/>
    <w:basedOn w:val="a0"/>
    <w:link w:val="ad"/>
    <w:uiPriority w:val="99"/>
    <w:rsid w:val="006B4483"/>
    <w:rPr>
      <w:rFonts w:ascii="Times New Roman" w:eastAsia="宋体" w:hAnsi="Times New Roman" w:cs="Times New Roman"/>
      <w:sz w:val="21"/>
      <w:lang w:eastAsia="zh-CN"/>
    </w:rPr>
  </w:style>
  <w:style w:type="paragraph" w:styleId="ae">
    <w:name w:val="annotation subject"/>
    <w:basedOn w:val="a8"/>
    <w:next w:val="a8"/>
    <w:link w:val="Char1"/>
    <w:uiPriority w:val="99"/>
    <w:semiHidden/>
    <w:unhideWhenUsed/>
    <w:rsid w:val="000C3029"/>
    <w:rPr>
      <w:b/>
      <w:bCs/>
    </w:rPr>
  </w:style>
  <w:style w:type="character" w:customStyle="1" w:styleId="Char1">
    <w:name w:val="批注主题 Char"/>
    <w:basedOn w:val="a9"/>
    <w:link w:val="ae"/>
    <w:uiPriority w:val="99"/>
    <w:semiHidden/>
    <w:rsid w:val="000C3029"/>
    <w:rPr>
      <w:rFonts w:ascii="Times New Roman" w:eastAsia="宋体" w:hAnsi="Times New Roman" w:cs="Times New Roman"/>
      <w:b/>
      <w:bCs/>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10"/>
    <w:pPr>
      <w:widowControl w:val="0"/>
      <w:jc w:val="both"/>
    </w:pPr>
    <w:rPr>
      <w:rFonts w:ascii="Times New Roman" w:eastAsia="宋体" w:hAnsi="Times New Roman"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10"/>
    <w:pPr>
      <w:ind w:leftChars="400" w:left="960"/>
    </w:pPr>
    <w:rPr>
      <w:rFonts w:ascii="Century" w:eastAsia="MS Mincho" w:hAnsi="Century"/>
      <w:sz w:val="24"/>
      <w:lang w:eastAsia="ja-JP"/>
    </w:rPr>
  </w:style>
  <w:style w:type="character" w:styleId="a4">
    <w:name w:val="Hyperlink"/>
    <w:basedOn w:val="a0"/>
    <w:uiPriority w:val="99"/>
    <w:unhideWhenUsed/>
    <w:rsid w:val="002B7B10"/>
    <w:rPr>
      <w:color w:val="0000FF" w:themeColor="hyperlink"/>
      <w:u w:val="single"/>
    </w:rPr>
  </w:style>
  <w:style w:type="paragraph" w:styleId="a5">
    <w:name w:val="Body Text"/>
    <w:basedOn w:val="a"/>
    <w:link w:val="a6"/>
    <w:rsid w:val="00340085"/>
    <w:pPr>
      <w:widowControl/>
      <w:spacing w:line="480" w:lineRule="auto"/>
    </w:pPr>
    <w:rPr>
      <w:kern w:val="0"/>
      <w:sz w:val="24"/>
      <w:lang w:val="en-GB" w:eastAsia="en-US"/>
    </w:rPr>
  </w:style>
  <w:style w:type="character" w:customStyle="1" w:styleId="a6">
    <w:name w:val="本文 (文字)"/>
    <w:basedOn w:val="a0"/>
    <w:link w:val="a5"/>
    <w:rsid w:val="00340085"/>
    <w:rPr>
      <w:rFonts w:ascii="Times New Roman" w:eastAsia="宋体" w:hAnsi="Times New Roman" w:cs="Times New Roman"/>
      <w:kern w:val="0"/>
      <w:lang w:val="en-GB" w:eastAsia="en-US"/>
    </w:rPr>
  </w:style>
  <w:style w:type="character" w:styleId="a7">
    <w:name w:val="annotation reference"/>
    <w:semiHidden/>
    <w:rsid w:val="00340085"/>
    <w:rPr>
      <w:sz w:val="21"/>
      <w:szCs w:val="21"/>
    </w:rPr>
  </w:style>
  <w:style w:type="paragraph" w:styleId="a8">
    <w:name w:val="annotation text"/>
    <w:basedOn w:val="a"/>
    <w:link w:val="a9"/>
    <w:rsid w:val="00340085"/>
    <w:pPr>
      <w:jc w:val="left"/>
    </w:pPr>
  </w:style>
  <w:style w:type="character" w:customStyle="1" w:styleId="a9">
    <w:name w:val="コメント文字列 (文字)"/>
    <w:basedOn w:val="a0"/>
    <w:link w:val="a8"/>
    <w:rsid w:val="00340085"/>
    <w:rPr>
      <w:rFonts w:ascii="Times New Roman" w:eastAsia="宋体" w:hAnsi="Times New Roman" w:cs="Times New Roman"/>
      <w:sz w:val="21"/>
      <w:lang w:eastAsia="zh-CN"/>
    </w:rPr>
  </w:style>
  <w:style w:type="paragraph" w:customStyle="1" w:styleId="o">
    <w:name w:val="o"/>
    <w:basedOn w:val="a"/>
    <w:rsid w:val="00340085"/>
    <w:rPr>
      <w:rFonts w:eastAsia="MS Mincho"/>
      <w:sz w:val="24"/>
      <w:lang w:eastAsia="ja-JP"/>
    </w:rPr>
  </w:style>
  <w:style w:type="paragraph" w:styleId="aa">
    <w:name w:val="Balloon Text"/>
    <w:basedOn w:val="a"/>
    <w:link w:val="ab"/>
    <w:uiPriority w:val="99"/>
    <w:semiHidden/>
    <w:unhideWhenUsed/>
    <w:rsid w:val="00340085"/>
    <w:rPr>
      <w:rFonts w:ascii="ヒラギノ角ゴ ProN W3" w:eastAsia="ヒラギノ角ゴ ProN W3"/>
      <w:sz w:val="18"/>
      <w:szCs w:val="18"/>
    </w:rPr>
  </w:style>
  <w:style w:type="character" w:customStyle="1" w:styleId="ab">
    <w:name w:val="吹き出し (文字)"/>
    <w:basedOn w:val="a0"/>
    <w:link w:val="aa"/>
    <w:uiPriority w:val="99"/>
    <w:semiHidden/>
    <w:rsid w:val="00340085"/>
    <w:rPr>
      <w:rFonts w:ascii="ヒラギノ角ゴ ProN W3" w:eastAsia="ヒラギノ角ゴ ProN W3" w:hAnsi="Times New Roman" w:cs="Times New Roman"/>
      <w:sz w:val="18"/>
      <w:szCs w:val="18"/>
      <w:lang w:eastAsia="zh-CN"/>
    </w:rPr>
  </w:style>
  <w:style w:type="paragraph" w:styleId="ac">
    <w:name w:val="header"/>
    <w:basedOn w:val="a"/>
    <w:link w:val="Char"/>
    <w:uiPriority w:val="99"/>
    <w:unhideWhenUsed/>
    <w:rsid w:val="006B4483"/>
    <w:pPr>
      <w:tabs>
        <w:tab w:val="center" w:pos="4252"/>
        <w:tab w:val="right" w:pos="8504"/>
      </w:tabs>
      <w:snapToGrid w:val="0"/>
    </w:pPr>
  </w:style>
  <w:style w:type="character" w:customStyle="1" w:styleId="Char">
    <w:name w:val="页眉 Char"/>
    <w:basedOn w:val="a0"/>
    <w:link w:val="ac"/>
    <w:uiPriority w:val="99"/>
    <w:rsid w:val="006B4483"/>
    <w:rPr>
      <w:rFonts w:ascii="Times New Roman" w:eastAsia="宋体" w:hAnsi="Times New Roman" w:cs="Times New Roman"/>
      <w:sz w:val="21"/>
      <w:lang w:eastAsia="zh-CN"/>
    </w:rPr>
  </w:style>
  <w:style w:type="paragraph" w:styleId="ad">
    <w:name w:val="footer"/>
    <w:basedOn w:val="a"/>
    <w:link w:val="Char0"/>
    <w:uiPriority w:val="99"/>
    <w:unhideWhenUsed/>
    <w:rsid w:val="006B4483"/>
    <w:pPr>
      <w:tabs>
        <w:tab w:val="center" w:pos="4252"/>
        <w:tab w:val="right" w:pos="8504"/>
      </w:tabs>
      <w:snapToGrid w:val="0"/>
    </w:pPr>
  </w:style>
  <w:style w:type="character" w:customStyle="1" w:styleId="Char0">
    <w:name w:val="页脚 Char"/>
    <w:basedOn w:val="a0"/>
    <w:link w:val="ad"/>
    <w:uiPriority w:val="99"/>
    <w:rsid w:val="006B4483"/>
    <w:rPr>
      <w:rFonts w:ascii="Times New Roman" w:eastAsia="宋体" w:hAnsi="Times New Roman" w:cs="Times New Roman"/>
      <w:sz w:val="21"/>
      <w:lang w:eastAsia="zh-CN"/>
    </w:rPr>
  </w:style>
  <w:style w:type="paragraph" w:styleId="ae">
    <w:name w:val="annotation subject"/>
    <w:basedOn w:val="a8"/>
    <w:next w:val="a8"/>
    <w:link w:val="Char1"/>
    <w:uiPriority w:val="99"/>
    <w:semiHidden/>
    <w:unhideWhenUsed/>
    <w:rsid w:val="000C3029"/>
    <w:rPr>
      <w:b/>
      <w:bCs/>
    </w:rPr>
  </w:style>
  <w:style w:type="character" w:customStyle="1" w:styleId="Char1">
    <w:name w:val="批注主题 Char"/>
    <w:basedOn w:val="a9"/>
    <w:link w:val="ae"/>
    <w:uiPriority w:val="99"/>
    <w:semiHidden/>
    <w:rsid w:val="000C3029"/>
    <w:rPr>
      <w:rFonts w:ascii="Times New Roman" w:eastAsia="宋体" w:hAnsi="Times New Roman" w:cs="Times New Roman"/>
      <w:b/>
      <w:bCs/>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3900">
      <w:bodyDiv w:val="1"/>
      <w:marLeft w:val="0"/>
      <w:marRight w:val="0"/>
      <w:marTop w:val="0"/>
      <w:marBottom w:val="0"/>
      <w:divBdr>
        <w:top w:val="none" w:sz="0" w:space="0" w:color="auto"/>
        <w:left w:val="none" w:sz="0" w:space="0" w:color="auto"/>
        <w:bottom w:val="none" w:sz="0" w:space="0" w:color="auto"/>
        <w:right w:val="none" w:sz="0" w:space="0" w:color="auto"/>
      </w:divBdr>
      <w:divsChild>
        <w:div w:id="482547027">
          <w:marLeft w:val="0"/>
          <w:marRight w:val="0"/>
          <w:marTop w:val="0"/>
          <w:marBottom w:val="0"/>
          <w:divBdr>
            <w:top w:val="none" w:sz="0" w:space="0" w:color="auto"/>
            <w:left w:val="none" w:sz="0" w:space="0" w:color="auto"/>
            <w:bottom w:val="none" w:sz="0" w:space="0" w:color="auto"/>
            <w:right w:val="none" w:sz="0" w:space="0" w:color="auto"/>
          </w:divBdr>
          <w:divsChild>
            <w:div w:id="1034883111">
              <w:marLeft w:val="0"/>
              <w:marRight w:val="0"/>
              <w:marTop w:val="0"/>
              <w:marBottom w:val="0"/>
              <w:divBdr>
                <w:top w:val="none" w:sz="0" w:space="0" w:color="auto"/>
                <w:left w:val="none" w:sz="0" w:space="0" w:color="auto"/>
                <w:bottom w:val="none" w:sz="0" w:space="0" w:color="auto"/>
                <w:right w:val="none" w:sz="0" w:space="0" w:color="auto"/>
              </w:divBdr>
            </w:div>
            <w:div w:id="1052000905">
              <w:marLeft w:val="0"/>
              <w:marRight w:val="0"/>
              <w:marTop w:val="0"/>
              <w:marBottom w:val="0"/>
              <w:divBdr>
                <w:top w:val="none" w:sz="0" w:space="0" w:color="auto"/>
                <w:left w:val="none" w:sz="0" w:space="0" w:color="auto"/>
                <w:bottom w:val="none" w:sz="0" w:space="0" w:color="auto"/>
                <w:right w:val="none" w:sz="0" w:space="0" w:color="auto"/>
              </w:divBdr>
            </w:div>
            <w:div w:id="360980193">
              <w:marLeft w:val="0"/>
              <w:marRight w:val="0"/>
              <w:marTop w:val="0"/>
              <w:marBottom w:val="0"/>
              <w:divBdr>
                <w:top w:val="none" w:sz="0" w:space="0" w:color="auto"/>
                <w:left w:val="none" w:sz="0" w:space="0" w:color="auto"/>
                <w:bottom w:val="none" w:sz="0" w:space="0" w:color="auto"/>
                <w:right w:val="none" w:sz="0" w:space="0" w:color="auto"/>
              </w:divBdr>
            </w:div>
            <w:div w:id="640618501">
              <w:marLeft w:val="0"/>
              <w:marRight w:val="0"/>
              <w:marTop w:val="0"/>
              <w:marBottom w:val="0"/>
              <w:divBdr>
                <w:top w:val="none" w:sz="0" w:space="0" w:color="auto"/>
                <w:left w:val="none" w:sz="0" w:space="0" w:color="auto"/>
                <w:bottom w:val="none" w:sz="0" w:space="0" w:color="auto"/>
                <w:right w:val="none" w:sz="0" w:space="0" w:color="auto"/>
              </w:divBdr>
            </w:div>
            <w:div w:id="412555624">
              <w:marLeft w:val="0"/>
              <w:marRight w:val="0"/>
              <w:marTop w:val="0"/>
              <w:marBottom w:val="0"/>
              <w:divBdr>
                <w:top w:val="none" w:sz="0" w:space="0" w:color="auto"/>
                <w:left w:val="none" w:sz="0" w:space="0" w:color="auto"/>
                <w:bottom w:val="none" w:sz="0" w:space="0" w:color="auto"/>
                <w:right w:val="none" w:sz="0" w:space="0" w:color="auto"/>
              </w:divBdr>
            </w:div>
            <w:div w:id="1080058249">
              <w:marLeft w:val="0"/>
              <w:marRight w:val="0"/>
              <w:marTop w:val="0"/>
              <w:marBottom w:val="0"/>
              <w:divBdr>
                <w:top w:val="none" w:sz="0" w:space="0" w:color="auto"/>
                <w:left w:val="none" w:sz="0" w:space="0" w:color="auto"/>
                <w:bottom w:val="none" w:sz="0" w:space="0" w:color="auto"/>
                <w:right w:val="none" w:sz="0" w:space="0" w:color="auto"/>
              </w:divBdr>
            </w:div>
            <w:div w:id="1592272424">
              <w:marLeft w:val="0"/>
              <w:marRight w:val="0"/>
              <w:marTop w:val="0"/>
              <w:marBottom w:val="0"/>
              <w:divBdr>
                <w:top w:val="none" w:sz="0" w:space="0" w:color="auto"/>
                <w:left w:val="none" w:sz="0" w:space="0" w:color="auto"/>
                <w:bottom w:val="none" w:sz="0" w:space="0" w:color="auto"/>
                <w:right w:val="none" w:sz="0" w:space="0" w:color="auto"/>
              </w:divBdr>
            </w:div>
            <w:div w:id="1428231559">
              <w:marLeft w:val="0"/>
              <w:marRight w:val="0"/>
              <w:marTop w:val="0"/>
              <w:marBottom w:val="0"/>
              <w:divBdr>
                <w:top w:val="none" w:sz="0" w:space="0" w:color="auto"/>
                <w:left w:val="none" w:sz="0" w:space="0" w:color="auto"/>
                <w:bottom w:val="none" w:sz="0" w:space="0" w:color="auto"/>
                <w:right w:val="none" w:sz="0" w:space="0" w:color="auto"/>
              </w:divBdr>
            </w:div>
            <w:div w:id="1797328916">
              <w:marLeft w:val="0"/>
              <w:marRight w:val="0"/>
              <w:marTop w:val="0"/>
              <w:marBottom w:val="0"/>
              <w:divBdr>
                <w:top w:val="none" w:sz="0" w:space="0" w:color="auto"/>
                <w:left w:val="none" w:sz="0" w:space="0" w:color="auto"/>
                <w:bottom w:val="none" w:sz="0" w:space="0" w:color="auto"/>
                <w:right w:val="none" w:sz="0" w:space="0" w:color="auto"/>
              </w:divBdr>
            </w:div>
            <w:div w:id="1600261829">
              <w:marLeft w:val="0"/>
              <w:marRight w:val="0"/>
              <w:marTop w:val="0"/>
              <w:marBottom w:val="0"/>
              <w:divBdr>
                <w:top w:val="none" w:sz="0" w:space="0" w:color="auto"/>
                <w:left w:val="none" w:sz="0" w:space="0" w:color="auto"/>
                <w:bottom w:val="none" w:sz="0" w:space="0" w:color="auto"/>
                <w:right w:val="none" w:sz="0" w:space="0" w:color="auto"/>
              </w:divBdr>
            </w:div>
            <w:div w:id="429858479">
              <w:marLeft w:val="0"/>
              <w:marRight w:val="0"/>
              <w:marTop w:val="0"/>
              <w:marBottom w:val="0"/>
              <w:divBdr>
                <w:top w:val="none" w:sz="0" w:space="0" w:color="auto"/>
                <w:left w:val="none" w:sz="0" w:space="0" w:color="auto"/>
                <w:bottom w:val="none" w:sz="0" w:space="0" w:color="auto"/>
                <w:right w:val="none" w:sz="0" w:space="0" w:color="auto"/>
              </w:divBdr>
            </w:div>
            <w:div w:id="801536703">
              <w:marLeft w:val="0"/>
              <w:marRight w:val="0"/>
              <w:marTop w:val="0"/>
              <w:marBottom w:val="0"/>
              <w:divBdr>
                <w:top w:val="none" w:sz="0" w:space="0" w:color="auto"/>
                <w:left w:val="none" w:sz="0" w:space="0" w:color="auto"/>
                <w:bottom w:val="none" w:sz="0" w:space="0" w:color="auto"/>
                <w:right w:val="none" w:sz="0" w:space="0" w:color="auto"/>
              </w:divBdr>
            </w:div>
            <w:div w:id="822355378">
              <w:marLeft w:val="0"/>
              <w:marRight w:val="0"/>
              <w:marTop w:val="0"/>
              <w:marBottom w:val="0"/>
              <w:divBdr>
                <w:top w:val="none" w:sz="0" w:space="0" w:color="auto"/>
                <w:left w:val="none" w:sz="0" w:space="0" w:color="auto"/>
                <w:bottom w:val="none" w:sz="0" w:space="0" w:color="auto"/>
                <w:right w:val="none" w:sz="0" w:space="0" w:color="auto"/>
              </w:divBdr>
            </w:div>
            <w:div w:id="639261712">
              <w:marLeft w:val="0"/>
              <w:marRight w:val="0"/>
              <w:marTop w:val="0"/>
              <w:marBottom w:val="0"/>
              <w:divBdr>
                <w:top w:val="none" w:sz="0" w:space="0" w:color="auto"/>
                <w:left w:val="none" w:sz="0" w:space="0" w:color="auto"/>
                <w:bottom w:val="none" w:sz="0" w:space="0" w:color="auto"/>
                <w:right w:val="none" w:sz="0" w:space="0" w:color="auto"/>
              </w:divBdr>
            </w:div>
            <w:div w:id="1984121024">
              <w:marLeft w:val="0"/>
              <w:marRight w:val="0"/>
              <w:marTop w:val="0"/>
              <w:marBottom w:val="0"/>
              <w:divBdr>
                <w:top w:val="none" w:sz="0" w:space="0" w:color="auto"/>
                <w:left w:val="none" w:sz="0" w:space="0" w:color="auto"/>
                <w:bottom w:val="none" w:sz="0" w:space="0" w:color="auto"/>
                <w:right w:val="none" w:sz="0" w:space="0" w:color="auto"/>
              </w:divBdr>
            </w:div>
            <w:div w:id="387386560">
              <w:marLeft w:val="0"/>
              <w:marRight w:val="0"/>
              <w:marTop w:val="0"/>
              <w:marBottom w:val="0"/>
              <w:divBdr>
                <w:top w:val="none" w:sz="0" w:space="0" w:color="auto"/>
                <w:left w:val="none" w:sz="0" w:space="0" w:color="auto"/>
                <w:bottom w:val="none" w:sz="0" w:space="0" w:color="auto"/>
                <w:right w:val="none" w:sz="0" w:space="0" w:color="auto"/>
              </w:divBdr>
            </w:div>
            <w:div w:id="722021213">
              <w:marLeft w:val="0"/>
              <w:marRight w:val="0"/>
              <w:marTop w:val="0"/>
              <w:marBottom w:val="0"/>
              <w:divBdr>
                <w:top w:val="none" w:sz="0" w:space="0" w:color="auto"/>
                <w:left w:val="none" w:sz="0" w:space="0" w:color="auto"/>
                <w:bottom w:val="none" w:sz="0" w:space="0" w:color="auto"/>
                <w:right w:val="none" w:sz="0" w:space="0" w:color="auto"/>
              </w:divBdr>
            </w:div>
            <w:div w:id="288633690">
              <w:marLeft w:val="0"/>
              <w:marRight w:val="0"/>
              <w:marTop w:val="0"/>
              <w:marBottom w:val="0"/>
              <w:divBdr>
                <w:top w:val="none" w:sz="0" w:space="0" w:color="auto"/>
                <w:left w:val="none" w:sz="0" w:space="0" w:color="auto"/>
                <w:bottom w:val="none" w:sz="0" w:space="0" w:color="auto"/>
                <w:right w:val="none" w:sz="0" w:space="0" w:color="auto"/>
              </w:divBdr>
            </w:div>
            <w:div w:id="535890193">
              <w:marLeft w:val="0"/>
              <w:marRight w:val="0"/>
              <w:marTop w:val="0"/>
              <w:marBottom w:val="0"/>
              <w:divBdr>
                <w:top w:val="none" w:sz="0" w:space="0" w:color="auto"/>
                <w:left w:val="none" w:sz="0" w:space="0" w:color="auto"/>
                <w:bottom w:val="none" w:sz="0" w:space="0" w:color="auto"/>
                <w:right w:val="none" w:sz="0" w:space="0" w:color="auto"/>
              </w:divBdr>
            </w:div>
            <w:div w:id="1399016392">
              <w:marLeft w:val="0"/>
              <w:marRight w:val="0"/>
              <w:marTop w:val="0"/>
              <w:marBottom w:val="0"/>
              <w:divBdr>
                <w:top w:val="none" w:sz="0" w:space="0" w:color="auto"/>
                <w:left w:val="none" w:sz="0" w:space="0" w:color="auto"/>
                <w:bottom w:val="none" w:sz="0" w:space="0" w:color="auto"/>
                <w:right w:val="none" w:sz="0" w:space="0" w:color="auto"/>
              </w:divBdr>
            </w:div>
            <w:div w:id="1476413237">
              <w:marLeft w:val="0"/>
              <w:marRight w:val="0"/>
              <w:marTop w:val="0"/>
              <w:marBottom w:val="0"/>
              <w:divBdr>
                <w:top w:val="none" w:sz="0" w:space="0" w:color="auto"/>
                <w:left w:val="none" w:sz="0" w:space="0" w:color="auto"/>
                <w:bottom w:val="none" w:sz="0" w:space="0" w:color="auto"/>
                <w:right w:val="none" w:sz="0" w:space="0" w:color="auto"/>
              </w:divBdr>
            </w:div>
            <w:div w:id="1813869848">
              <w:marLeft w:val="0"/>
              <w:marRight w:val="0"/>
              <w:marTop w:val="0"/>
              <w:marBottom w:val="0"/>
              <w:divBdr>
                <w:top w:val="none" w:sz="0" w:space="0" w:color="auto"/>
                <w:left w:val="none" w:sz="0" w:space="0" w:color="auto"/>
                <w:bottom w:val="none" w:sz="0" w:space="0" w:color="auto"/>
                <w:right w:val="none" w:sz="0" w:space="0" w:color="auto"/>
              </w:divBdr>
            </w:div>
            <w:div w:id="1437825798">
              <w:marLeft w:val="0"/>
              <w:marRight w:val="0"/>
              <w:marTop w:val="0"/>
              <w:marBottom w:val="0"/>
              <w:divBdr>
                <w:top w:val="none" w:sz="0" w:space="0" w:color="auto"/>
                <w:left w:val="none" w:sz="0" w:space="0" w:color="auto"/>
                <w:bottom w:val="none" w:sz="0" w:space="0" w:color="auto"/>
                <w:right w:val="none" w:sz="0" w:space="0" w:color="auto"/>
              </w:divBdr>
            </w:div>
            <w:div w:id="806244646">
              <w:marLeft w:val="0"/>
              <w:marRight w:val="0"/>
              <w:marTop w:val="0"/>
              <w:marBottom w:val="0"/>
              <w:divBdr>
                <w:top w:val="none" w:sz="0" w:space="0" w:color="auto"/>
                <w:left w:val="none" w:sz="0" w:space="0" w:color="auto"/>
                <w:bottom w:val="none" w:sz="0" w:space="0" w:color="auto"/>
                <w:right w:val="none" w:sz="0" w:space="0" w:color="auto"/>
              </w:divBdr>
            </w:div>
            <w:div w:id="895431241">
              <w:marLeft w:val="0"/>
              <w:marRight w:val="0"/>
              <w:marTop w:val="0"/>
              <w:marBottom w:val="0"/>
              <w:divBdr>
                <w:top w:val="none" w:sz="0" w:space="0" w:color="auto"/>
                <w:left w:val="none" w:sz="0" w:space="0" w:color="auto"/>
                <w:bottom w:val="none" w:sz="0" w:space="0" w:color="auto"/>
                <w:right w:val="none" w:sz="0" w:space="0" w:color="auto"/>
              </w:divBdr>
            </w:div>
            <w:div w:id="913665389">
              <w:marLeft w:val="0"/>
              <w:marRight w:val="0"/>
              <w:marTop w:val="0"/>
              <w:marBottom w:val="0"/>
              <w:divBdr>
                <w:top w:val="none" w:sz="0" w:space="0" w:color="auto"/>
                <w:left w:val="none" w:sz="0" w:space="0" w:color="auto"/>
                <w:bottom w:val="none" w:sz="0" w:space="0" w:color="auto"/>
                <w:right w:val="none" w:sz="0" w:space="0" w:color="auto"/>
              </w:divBdr>
            </w:div>
            <w:div w:id="620767235">
              <w:marLeft w:val="0"/>
              <w:marRight w:val="0"/>
              <w:marTop w:val="0"/>
              <w:marBottom w:val="0"/>
              <w:divBdr>
                <w:top w:val="none" w:sz="0" w:space="0" w:color="auto"/>
                <w:left w:val="none" w:sz="0" w:space="0" w:color="auto"/>
                <w:bottom w:val="none" w:sz="0" w:space="0" w:color="auto"/>
                <w:right w:val="none" w:sz="0" w:space="0" w:color="auto"/>
              </w:divBdr>
            </w:div>
            <w:div w:id="89157789">
              <w:marLeft w:val="0"/>
              <w:marRight w:val="0"/>
              <w:marTop w:val="0"/>
              <w:marBottom w:val="0"/>
              <w:divBdr>
                <w:top w:val="none" w:sz="0" w:space="0" w:color="auto"/>
                <w:left w:val="none" w:sz="0" w:space="0" w:color="auto"/>
                <w:bottom w:val="none" w:sz="0" w:space="0" w:color="auto"/>
                <w:right w:val="none" w:sz="0" w:space="0" w:color="auto"/>
              </w:divBdr>
            </w:div>
            <w:div w:id="1369601074">
              <w:marLeft w:val="0"/>
              <w:marRight w:val="0"/>
              <w:marTop w:val="0"/>
              <w:marBottom w:val="0"/>
              <w:divBdr>
                <w:top w:val="none" w:sz="0" w:space="0" w:color="auto"/>
                <w:left w:val="none" w:sz="0" w:space="0" w:color="auto"/>
                <w:bottom w:val="none" w:sz="0" w:space="0" w:color="auto"/>
                <w:right w:val="none" w:sz="0" w:space="0" w:color="auto"/>
              </w:divBdr>
            </w:div>
            <w:div w:id="1043401654">
              <w:marLeft w:val="0"/>
              <w:marRight w:val="0"/>
              <w:marTop w:val="0"/>
              <w:marBottom w:val="0"/>
              <w:divBdr>
                <w:top w:val="none" w:sz="0" w:space="0" w:color="auto"/>
                <w:left w:val="none" w:sz="0" w:space="0" w:color="auto"/>
                <w:bottom w:val="none" w:sz="0" w:space="0" w:color="auto"/>
                <w:right w:val="none" w:sz="0" w:space="0" w:color="auto"/>
              </w:divBdr>
            </w:div>
            <w:div w:id="15433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9532">
      <w:bodyDiv w:val="1"/>
      <w:marLeft w:val="0"/>
      <w:marRight w:val="0"/>
      <w:marTop w:val="0"/>
      <w:marBottom w:val="0"/>
      <w:divBdr>
        <w:top w:val="none" w:sz="0" w:space="0" w:color="auto"/>
        <w:left w:val="none" w:sz="0" w:space="0" w:color="auto"/>
        <w:bottom w:val="none" w:sz="0" w:space="0" w:color="auto"/>
        <w:right w:val="none" w:sz="0" w:space="0" w:color="auto"/>
      </w:divBdr>
      <w:divsChild>
        <w:div w:id="454444138">
          <w:marLeft w:val="0"/>
          <w:marRight w:val="0"/>
          <w:marTop w:val="0"/>
          <w:marBottom w:val="0"/>
          <w:divBdr>
            <w:top w:val="none" w:sz="0" w:space="0" w:color="auto"/>
            <w:left w:val="none" w:sz="0" w:space="0" w:color="auto"/>
            <w:bottom w:val="none" w:sz="0" w:space="0" w:color="auto"/>
            <w:right w:val="none" w:sz="0" w:space="0" w:color="auto"/>
          </w:divBdr>
          <w:divsChild>
            <w:div w:id="397943586">
              <w:marLeft w:val="0"/>
              <w:marRight w:val="0"/>
              <w:marTop w:val="0"/>
              <w:marBottom w:val="0"/>
              <w:divBdr>
                <w:top w:val="none" w:sz="0" w:space="0" w:color="auto"/>
                <w:left w:val="none" w:sz="0" w:space="0" w:color="auto"/>
                <w:bottom w:val="none" w:sz="0" w:space="0" w:color="auto"/>
                <w:right w:val="none" w:sz="0" w:space="0" w:color="auto"/>
              </w:divBdr>
            </w:div>
            <w:div w:id="1847790484">
              <w:marLeft w:val="0"/>
              <w:marRight w:val="0"/>
              <w:marTop w:val="0"/>
              <w:marBottom w:val="0"/>
              <w:divBdr>
                <w:top w:val="none" w:sz="0" w:space="0" w:color="auto"/>
                <w:left w:val="none" w:sz="0" w:space="0" w:color="auto"/>
                <w:bottom w:val="none" w:sz="0" w:space="0" w:color="auto"/>
                <w:right w:val="none" w:sz="0" w:space="0" w:color="auto"/>
              </w:divBdr>
            </w:div>
            <w:div w:id="960501106">
              <w:marLeft w:val="0"/>
              <w:marRight w:val="0"/>
              <w:marTop w:val="0"/>
              <w:marBottom w:val="0"/>
              <w:divBdr>
                <w:top w:val="none" w:sz="0" w:space="0" w:color="auto"/>
                <w:left w:val="none" w:sz="0" w:space="0" w:color="auto"/>
                <w:bottom w:val="none" w:sz="0" w:space="0" w:color="auto"/>
                <w:right w:val="none" w:sz="0" w:space="0" w:color="auto"/>
              </w:divBdr>
            </w:div>
            <w:div w:id="899095539">
              <w:marLeft w:val="0"/>
              <w:marRight w:val="0"/>
              <w:marTop w:val="0"/>
              <w:marBottom w:val="0"/>
              <w:divBdr>
                <w:top w:val="none" w:sz="0" w:space="0" w:color="auto"/>
                <w:left w:val="none" w:sz="0" w:space="0" w:color="auto"/>
                <w:bottom w:val="none" w:sz="0" w:space="0" w:color="auto"/>
                <w:right w:val="none" w:sz="0" w:space="0" w:color="auto"/>
              </w:divBdr>
            </w:div>
            <w:div w:id="1523392725">
              <w:marLeft w:val="0"/>
              <w:marRight w:val="0"/>
              <w:marTop w:val="0"/>
              <w:marBottom w:val="0"/>
              <w:divBdr>
                <w:top w:val="none" w:sz="0" w:space="0" w:color="auto"/>
                <w:left w:val="none" w:sz="0" w:space="0" w:color="auto"/>
                <w:bottom w:val="none" w:sz="0" w:space="0" w:color="auto"/>
                <w:right w:val="none" w:sz="0" w:space="0" w:color="auto"/>
              </w:divBdr>
            </w:div>
            <w:div w:id="265043897">
              <w:marLeft w:val="0"/>
              <w:marRight w:val="0"/>
              <w:marTop w:val="0"/>
              <w:marBottom w:val="0"/>
              <w:divBdr>
                <w:top w:val="none" w:sz="0" w:space="0" w:color="auto"/>
                <w:left w:val="none" w:sz="0" w:space="0" w:color="auto"/>
                <w:bottom w:val="none" w:sz="0" w:space="0" w:color="auto"/>
                <w:right w:val="none" w:sz="0" w:space="0" w:color="auto"/>
              </w:divBdr>
            </w:div>
            <w:div w:id="1158500762">
              <w:marLeft w:val="0"/>
              <w:marRight w:val="0"/>
              <w:marTop w:val="0"/>
              <w:marBottom w:val="0"/>
              <w:divBdr>
                <w:top w:val="none" w:sz="0" w:space="0" w:color="auto"/>
                <w:left w:val="none" w:sz="0" w:space="0" w:color="auto"/>
                <w:bottom w:val="none" w:sz="0" w:space="0" w:color="auto"/>
                <w:right w:val="none" w:sz="0" w:space="0" w:color="auto"/>
              </w:divBdr>
            </w:div>
            <w:div w:id="686324413">
              <w:marLeft w:val="0"/>
              <w:marRight w:val="0"/>
              <w:marTop w:val="0"/>
              <w:marBottom w:val="0"/>
              <w:divBdr>
                <w:top w:val="none" w:sz="0" w:space="0" w:color="auto"/>
                <w:left w:val="none" w:sz="0" w:space="0" w:color="auto"/>
                <w:bottom w:val="none" w:sz="0" w:space="0" w:color="auto"/>
                <w:right w:val="none" w:sz="0" w:space="0" w:color="auto"/>
              </w:divBdr>
            </w:div>
            <w:div w:id="1439057093">
              <w:marLeft w:val="0"/>
              <w:marRight w:val="0"/>
              <w:marTop w:val="0"/>
              <w:marBottom w:val="0"/>
              <w:divBdr>
                <w:top w:val="none" w:sz="0" w:space="0" w:color="auto"/>
                <w:left w:val="none" w:sz="0" w:space="0" w:color="auto"/>
                <w:bottom w:val="none" w:sz="0" w:space="0" w:color="auto"/>
                <w:right w:val="none" w:sz="0" w:space="0" w:color="auto"/>
              </w:divBdr>
            </w:div>
            <w:div w:id="1352948152">
              <w:marLeft w:val="0"/>
              <w:marRight w:val="0"/>
              <w:marTop w:val="0"/>
              <w:marBottom w:val="0"/>
              <w:divBdr>
                <w:top w:val="none" w:sz="0" w:space="0" w:color="auto"/>
                <w:left w:val="none" w:sz="0" w:space="0" w:color="auto"/>
                <w:bottom w:val="none" w:sz="0" w:space="0" w:color="auto"/>
                <w:right w:val="none" w:sz="0" w:space="0" w:color="auto"/>
              </w:divBdr>
            </w:div>
            <w:div w:id="423234195">
              <w:marLeft w:val="0"/>
              <w:marRight w:val="0"/>
              <w:marTop w:val="0"/>
              <w:marBottom w:val="0"/>
              <w:divBdr>
                <w:top w:val="none" w:sz="0" w:space="0" w:color="auto"/>
                <w:left w:val="none" w:sz="0" w:space="0" w:color="auto"/>
                <w:bottom w:val="none" w:sz="0" w:space="0" w:color="auto"/>
                <w:right w:val="none" w:sz="0" w:space="0" w:color="auto"/>
              </w:divBdr>
            </w:div>
            <w:div w:id="574169580">
              <w:marLeft w:val="0"/>
              <w:marRight w:val="0"/>
              <w:marTop w:val="0"/>
              <w:marBottom w:val="0"/>
              <w:divBdr>
                <w:top w:val="none" w:sz="0" w:space="0" w:color="auto"/>
                <w:left w:val="none" w:sz="0" w:space="0" w:color="auto"/>
                <w:bottom w:val="none" w:sz="0" w:space="0" w:color="auto"/>
                <w:right w:val="none" w:sz="0" w:space="0" w:color="auto"/>
              </w:divBdr>
            </w:div>
            <w:div w:id="1717198686">
              <w:marLeft w:val="0"/>
              <w:marRight w:val="0"/>
              <w:marTop w:val="0"/>
              <w:marBottom w:val="0"/>
              <w:divBdr>
                <w:top w:val="none" w:sz="0" w:space="0" w:color="auto"/>
                <w:left w:val="none" w:sz="0" w:space="0" w:color="auto"/>
                <w:bottom w:val="none" w:sz="0" w:space="0" w:color="auto"/>
                <w:right w:val="none" w:sz="0" w:space="0" w:color="auto"/>
              </w:divBdr>
            </w:div>
            <w:div w:id="748893692">
              <w:marLeft w:val="0"/>
              <w:marRight w:val="0"/>
              <w:marTop w:val="0"/>
              <w:marBottom w:val="0"/>
              <w:divBdr>
                <w:top w:val="none" w:sz="0" w:space="0" w:color="auto"/>
                <w:left w:val="none" w:sz="0" w:space="0" w:color="auto"/>
                <w:bottom w:val="none" w:sz="0" w:space="0" w:color="auto"/>
                <w:right w:val="none" w:sz="0" w:space="0" w:color="auto"/>
              </w:divBdr>
            </w:div>
            <w:div w:id="548104309">
              <w:marLeft w:val="0"/>
              <w:marRight w:val="0"/>
              <w:marTop w:val="0"/>
              <w:marBottom w:val="0"/>
              <w:divBdr>
                <w:top w:val="none" w:sz="0" w:space="0" w:color="auto"/>
                <w:left w:val="none" w:sz="0" w:space="0" w:color="auto"/>
                <w:bottom w:val="none" w:sz="0" w:space="0" w:color="auto"/>
                <w:right w:val="none" w:sz="0" w:space="0" w:color="auto"/>
              </w:divBdr>
            </w:div>
            <w:div w:id="1783456468">
              <w:marLeft w:val="0"/>
              <w:marRight w:val="0"/>
              <w:marTop w:val="0"/>
              <w:marBottom w:val="0"/>
              <w:divBdr>
                <w:top w:val="none" w:sz="0" w:space="0" w:color="auto"/>
                <w:left w:val="none" w:sz="0" w:space="0" w:color="auto"/>
                <w:bottom w:val="none" w:sz="0" w:space="0" w:color="auto"/>
                <w:right w:val="none" w:sz="0" w:space="0" w:color="auto"/>
              </w:divBdr>
            </w:div>
            <w:div w:id="281227635">
              <w:marLeft w:val="0"/>
              <w:marRight w:val="0"/>
              <w:marTop w:val="0"/>
              <w:marBottom w:val="0"/>
              <w:divBdr>
                <w:top w:val="none" w:sz="0" w:space="0" w:color="auto"/>
                <w:left w:val="none" w:sz="0" w:space="0" w:color="auto"/>
                <w:bottom w:val="none" w:sz="0" w:space="0" w:color="auto"/>
                <w:right w:val="none" w:sz="0" w:space="0" w:color="auto"/>
              </w:divBdr>
            </w:div>
            <w:div w:id="823157864">
              <w:marLeft w:val="0"/>
              <w:marRight w:val="0"/>
              <w:marTop w:val="0"/>
              <w:marBottom w:val="0"/>
              <w:divBdr>
                <w:top w:val="none" w:sz="0" w:space="0" w:color="auto"/>
                <w:left w:val="none" w:sz="0" w:space="0" w:color="auto"/>
                <w:bottom w:val="none" w:sz="0" w:space="0" w:color="auto"/>
                <w:right w:val="none" w:sz="0" w:space="0" w:color="auto"/>
              </w:divBdr>
            </w:div>
            <w:div w:id="114249820">
              <w:marLeft w:val="0"/>
              <w:marRight w:val="0"/>
              <w:marTop w:val="0"/>
              <w:marBottom w:val="0"/>
              <w:divBdr>
                <w:top w:val="none" w:sz="0" w:space="0" w:color="auto"/>
                <w:left w:val="none" w:sz="0" w:space="0" w:color="auto"/>
                <w:bottom w:val="none" w:sz="0" w:space="0" w:color="auto"/>
                <w:right w:val="none" w:sz="0" w:space="0" w:color="auto"/>
              </w:divBdr>
            </w:div>
            <w:div w:id="1979337908">
              <w:marLeft w:val="0"/>
              <w:marRight w:val="0"/>
              <w:marTop w:val="0"/>
              <w:marBottom w:val="0"/>
              <w:divBdr>
                <w:top w:val="none" w:sz="0" w:space="0" w:color="auto"/>
                <w:left w:val="none" w:sz="0" w:space="0" w:color="auto"/>
                <w:bottom w:val="none" w:sz="0" w:space="0" w:color="auto"/>
                <w:right w:val="none" w:sz="0" w:space="0" w:color="auto"/>
              </w:divBdr>
            </w:div>
            <w:div w:id="894895017">
              <w:marLeft w:val="0"/>
              <w:marRight w:val="0"/>
              <w:marTop w:val="0"/>
              <w:marBottom w:val="0"/>
              <w:divBdr>
                <w:top w:val="none" w:sz="0" w:space="0" w:color="auto"/>
                <w:left w:val="none" w:sz="0" w:space="0" w:color="auto"/>
                <w:bottom w:val="none" w:sz="0" w:space="0" w:color="auto"/>
                <w:right w:val="none" w:sz="0" w:space="0" w:color="auto"/>
              </w:divBdr>
            </w:div>
            <w:div w:id="1669139605">
              <w:marLeft w:val="0"/>
              <w:marRight w:val="0"/>
              <w:marTop w:val="0"/>
              <w:marBottom w:val="0"/>
              <w:divBdr>
                <w:top w:val="none" w:sz="0" w:space="0" w:color="auto"/>
                <w:left w:val="none" w:sz="0" w:space="0" w:color="auto"/>
                <w:bottom w:val="none" w:sz="0" w:space="0" w:color="auto"/>
                <w:right w:val="none" w:sz="0" w:space="0" w:color="auto"/>
              </w:divBdr>
            </w:div>
            <w:div w:id="1164933639">
              <w:marLeft w:val="0"/>
              <w:marRight w:val="0"/>
              <w:marTop w:val="0"/>
              <w:marBottom w:val="0"/>
              <w:divBdr>
                <w:top w:val="none" w:sz="0" w:space="0" w:color="auto"/>
                <w:left w:val="none" w:sz="0" w:space="0" w:color="auto"/>
                <w:bottom w:val="none" w:sz="0" w:space="0" w:color="auto"/>
                <w:right w:val="none" w:sz="0" w:space="0" w:color="auto"/>
              </w:divBdr>
            </w:div>
            <w:div w:id="110053020">
              <w:marLeft w:val="0"/>
              <w:marRight w:val="0"/>
              <w:marTop w:val="0"/>
              <w:marBottom w:val="0"/>
              <w:divBdr>
                <w:top w:val="none" w:sz="0" w:space="0" w:color="auto"/>
                <w:left w:val="none" w:sz="0" w:space="0" w:color="auto"/>
                <w:bottom w:val="none" w:sz="0" w:space="0" w:color="auto"/>
                <w:right w:val="none" w:sz="0" w:space="0" w:color="auto"/>
              </w:divBdr>
            </w:div>
            <w:div w:id="1665887983">
              <w:marLeft w:val="0"/>
              <w:marRight w:val="0"/>
              <w:marTop w:val="0"/>
              <w:marBottom w:val="0"/>
              <w:divBdr>
                <w:top w:val="none" w:sz="0" w:space="0" w:color="auto"/>
                <w:left w:val="none" w:sz="0" w:space="0" w:color="auto"/>
                <w:bottom w:val="none" w:sz="0" w:space="0" w:color="auto"/>
                <w:right w:val="none" w:sz="0" w:space="0" w:color="auto"/>
              </w:divBdr>
            </w:div>
            <w:div w:id="11223193">
              <w:marLeft w:val="0"/>
              <w:marRight w:val="0"/>
              <w:marTop w:val="0"/>
              <w:marBottom w:val="0"/>
              <w:divBdr>
                <w:top w:val="none" w:sz="0" w:space="0" w:color="auto"/>
                <w:left w:val="none" w:sz="0" w:space="0" w:color="auto"/>
                <w:bottom w:val="none" w:sz="0" w:space="0" w:color="auto"/>
                <w:right w:val="none" w:sz="0" w:space="0" w:color="auto"/>
              </w:divBdr>
            </w:div>
            <w:div w:id="1040056767">
              <w:marLeft w:val="0"/>
              <w:marRight w:val="0"/>
              <w:marTop w:val="0"/>
              <w:marBottom w:val="0"/>
              <w:divBdr>
                <w:top w:val="none" w:sz="0" w:space="0" w:color="auto"/>
                <w:left w:val="none" w:sz="0" w:space="0" w:color="auto"/>
                <w:bottom w:val="none" w:sz="0" w:space="0" w:color="auto"/>
                <w:right w:val="none" w:sz="0" w:space="0" w:color="auto"/>
              </w:divBdr>
            </w:div>
            <w:div w:id="2122534607">
              <w:marLeft w:val="0"/>
              <w:marRight w:val="0"/>
              <w:marTop w:val="0"/>
              <w:marBottom w:val="0"/>
              <w:divBdr>
                <w:top w:val="none" w:sz="0" w:space="0" w:color="auto"/>
                <w:left w:val="none" w:sz="0" w:space="0" w:color="auto"/>
                <w:bottom w:val="none" w:sz="0" w:space="0" w:color="auto"/>
                <w:right w:val="none" w:sz="0" w:space="0" w:color="auto"/>
              </w:divBdr>
            </w:div>
            <w:div w:id="1991668709">
              <w:marLeft w:val="0"/>
              <w:marRight w:val="0"/>
              <w:marTop w:val="0"/>
              <w:marBottom w:val="0"/>
              <w:divBdr>
                <w:top w:val="none" w:sz="0" w:space="0" w:color="auto"/>
                <w:left w:val="none" w:sz="0" w:space="0" w:color="auto"/>
                <w:bottom w:val="none" w:sz="0" w:space="0" w:color="auto"/>
                <w:right w:val="none" w:sz="0" w:space="0" w:color="auto"/>
              </w:divBdr>
            </w:div>
            <w:div w:id="906768553">
              <w:marLeft w:val="0"/>
              <w:marRight w:val="0"/>
              <w:marTop w:val="0"/>
              <w:marBottom w:val="0"/>
              <w:divBdr>
                <w:top w:val="none" w:sz="0" w:space="0" w:color="auto"/>
                <w:left w:val="none" w:sz="0" w:space="0" w:color="auto"/>
                <w:bottom w:val="none" w:sz="0" w:space="0" w:color="auto"/>
                <w:right w:val="none" w:sz="0" w:space="0" w:color="auto"/>
              </w:divBdr>
            </w:div>
            <w:div w:id="12001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7588">
      <w:bodyDiv w:val="1"/>
      <w:marLeft w:val="0"/>
      <w:marRight w:val="0"/>
      <w:marTop w:val="0"/>
      <w:marBottom w:val="0"/>
      <w:divBdr>
        <w:top w:val="none" w:sz="0" w:space="0" w:color="auto"/>
        <w:left w:val="none" w:sz="0" w:space="0" w:color="auto"/>
        <w:bottom w:val="none" w:sz="0" w:space="0" w:color="auto"/>
        <w:right w:val="none" w:sz="0" w:space="0" w:color="auto"/>
      </w:divBdr>
      <w:divsChild>
        <w:div w:id="1416168233">
          <w:marLeft w:val="0"/>
          <w:marRight w:val="0"/>
          <w:marTop w:val="0"/>
          <w:marBottom w:val="0"/>
          <w:divBdr>
            <w:top w:val="none" w:sz="0" w:space="0" w:color="auto"/>
            <w:left w:val="none" w:sz="0" w:space="0" w:color="auto"/>
            <w:bottom w:val="none" w:sz="0" w:space="0" w:color="auto"/>
            <w:right w:val="none" w:sz="0" w:space="0" w:color="auto"/>
          </w:divBdr>
          <w:divsChild>
            <w:div w:id="1782869990">
              <w:marLeft w:val="0"/>
              <w:marRight w:val="0"/>
              <w:marTop w:val="0"/>
              <w:marBottom w:val="0"/>
              <w:divBdr>
                <w:top w:val="none" w:sz="0" w:space="0" w:color="auto"/>
                <w:left w:val="none" w:sz="0" w:space="0" w:color="auto"/>
                <w:bottom w:val="none" w:sz="0" w:space="0" w:color="auto"/>
                <w:right w:val="none" w:sz="0" w:space="0" w:color="auto"/>
              </w:divBdr>
            </w:div>
            <w:div w:id="1853956323">
              <w:marLeft w:val="0"/>
              <w:marRight w:val="0"/>
              <w:marTop w:val="0"/>
              <w:marBottom w:val="0"/>
              <w:divBdr>
                <w:top w:val="none" w:sz="0" w:space="0" w:color="auto"/>
                <w:left w:val="none" w:sz="0" w:space="0" w:color="auto"/>
                <w:bottom w:val="none" w:sz="0" w:space="0" w:color="auto"/>
                <w:right w:val="none" w:sz="0" w:space="0" w:color="auto"/>
              </w:divBdr>
            </w:div>
            <w:div w:id="1076709545">
              <w:marLeft w:val="0"/>
              <w:marRight w:val="0"/>
              <w:marTop w:val="0"/>
              <w:marBottom w:val="0"/>
              <w:divBdr>
                <w:top w:val="none" w:sz="0" w:space="0" w:color="auto"/>
                <w:left w:val="none" w:sz="0" w:space="0" w:color="auto"/>
                <w:bottom w:val="none" w:sz="0" w:space="0" w:color="auto"/>
                <w:right w:val="none" w:sz="0" w:space="0" w:color="auto"/>
              </w:divBdr>
            </w:div>
            <w:div w:id="565335196">
              <w:marLeft w:val="0"/>
              <w:marRight w:val="0"/>
              <w:marTop w:val="0"/>
              <w:marBottom w:val="0"/>
              <w:divBdr>
                <w:top w:val="none" w:sz="0" w:space="0" w:color="auto"/>
                <w:left w:val="none" w:sz="0" w:space="0" w:color="auto"/>
                <w:bottom w:val="none" w:sz="0" w:space="0" w:color="auto"/>
                <w:right w:val="none" w:sz="0" w:space="0" w:color="auto"/>
              </w:divBdr>
            </w:div>
            <w:div w:id="176315356">
              <w:marLeft w:val="0"/>
              <w:marRight w:val="0"/>
              <w:marTop w:val="0"/>
              <w:marBottom w:val="0"/>
              <w:divBdr>
                <w:top w:val="none" w:sz="0" w:space="0" w:color="auto"/>
                <w:left w:val="none" w:sz="0" w:space="0" w:color="auto"/>
                <w:bottom w:val="none" w:sz="0" w:space="0" w:color="auto"/>
                <w:right w:val="none" w:sz="0" w:space="0" w:color="auto"/>
              </w:divBdr>
            </w:div>
            <w:div w:id="916749132">
              <w:marLeft w:val="0"/>
              <w:marRight w:val="0"/>
              <w:marTop w:val="0"/>
              <w:marBottom w:val="0"/>
              <w:divBdr>
                <w:top w:val="none" w:sz="0" w:space="0" w:color="auto"/>
                <w:left w:val="none" w:sz="0" w:space="0" w:color="auto"/>
                <w:bottom w:val="none" w:sz="0" w:space="0" w:color="auto"/>
                <w:right w:val="none" w:sz="0" w:space="0" w:color="auto"/>
              </w:divBdr>
            </w:div>
            <w:div w:id="780220538">
              <w:marLeft w:val="0"/>
              <w:marRight w:val="0"/>
              <w:marTop w:val="0"/>
              <w:marBottom w:val="0"/>
              <w:divBdr>
                <w:top w:val="none" w:sz="0" w:space="0" w:color="auto"/>
                <w:left w:val="none" w:sz="0" w:space="0" w:color="auto"/>
                <w:bottom w:val="none" w:sz="0" w:space="0" w:color="auto"/>
                <w:right w:val="none" w:sz="0" w:space="0" w:color="auto"/>
              </w:divBdr>
            </w:div>
            <w:div w:id="650521696">
              <w:marLeft w:val="0"/>
              <w:marRight w:val="0"/>
              <w:marTop w:val="0"/>
              <w:marBottom w:val="0"/>
              <w:divBdr>
                <w:top w:val="none" w:sz="0" w:space="0" w:color="auto"/>
                <w:left w:val="none" w:sz="0" w:space="0" w:color="auto"/>
                <w:bottom w:val="none" w:sz="0" w:space="0" w:color="auto"/>
                <w:right w:val="none" w:sz="0" w:space="0" w:color="auto"/>
              </w:divBdr>
            </w:div>
            <w:div w:id="1632787138">
              <w:marLeft w:val="0"/>
              <w:marRight w:val="0"/>
              <w:marTop w:val="0"/>
              <w:marBottom w:val="0"/>
              <w:divBdr>
                <w:top w:val="none" w:sz="0" w:space="0" w:color="auto"/>
                <w:left w:val="none" w:sz="0" w:space="0" w:color="auto"/>
                <w:bottom w:val="none" w:sz="0" w:space="0" w:color="auto"/>
                <w:right w:val="none" w:sz="0" w:space="0" w:color="auto"/>
              </w:divBdr>
            </w:div>
            <w:div w:id="1906069144">
              <w:marLeft w:val="0"/>
              <w:marRight w:val="0"/>
              <w:marTop w:val="0"/>
              <w:marBottom w:val="0"/>
              <w:divBdr>
                <w:top w:val="none" w:sz="0" w:space="0" w:color="auto"/>
                <w:left w:val="none" w:sz="0" w:space="0" w:color="auto"/>
                <w:bottom w:val="none" w:sz="0" w:space="0" w:color="auto"/>
                <w:right w:val="none" w:sz="0" w:space="0" w:color="auto"/>
              </w:divBdr>
            </w:div>
            <w:div w:id="919561869">
              <w:marLeft w:val="0"/>
              <w:marRight w:val="0"/>
              <w:marTop w:val="0"/>
              <w:marBottom w:val="0"/>
              <w:divBdr>
                <w:top w:val="none" w:sz="0" w:space="0" w:color="auto"/>
                <w:left w:val="none" w:sz="0" w:space="0" w:color="auto"/>
                <w:bottom w:val="none" w:sz="0" w:space="0" w:color="auto"/>
                <w:right w:val="none" w:sz="0" w:space="0" w:color="auto"/>
              </w:divBdr>
            </w:div>
            <w:div w:id="1292395647">
              <w:marLeft w:val="0"/>
              <w:marRight w:val="0"/>
              <w:marTop w:val="0"/>
              <w:marBottom w:val="0"/>
              <w:divBdr>
                <w:top w:val="none" w:sz="0" w:space="0" w:color="auto"/>
                <w:left w:val="none" w:sz="0" w:space="0" w:color="auto"/>
                <w:bottom w:val="none" w:sz="0" w:space="0" w:color="auto"/>
                <w:right w:val="none" w:sz="0" w:space="0" w:color="auto"/>
              </w:divBdr>
            </w:div>
            <w:div w:id="934409">
              <w:marLeft w:val="0"/>
              <w:marRight w:val="0"/>
              <w:marTop w:val="0"/>
              <w:marBottom w:val="0"/>
              <w:divBdr>
                <w:top w:val="none" w:sz="0" w:space="0" w:color="auto"/>
                <w:left w:val="none" w:sz="0" w:space="0" w:color="auto"/>
                <w:bottom w:val="none" w:sz="0" w:space="0" w:color="auto"/>
                <w:right w:val="none" w:sz="0" w:space="0" w:color="auto"/>
              </w:divBdr>
            </w:div>
            <w:div w:id="1997680399">
              <w:marLeft w:val="0"/>
              <w:marRight w:val="0"/>
              <w:marTop w:val="0"/>
              <w:marBottom w:val="0"/>
              <w:divBdr>
                <w:top w:val="none" w:sz="0" w:space="0" w:color="auto"/>
                <w:left w:val="none" w:sz="0" w:space="0" w:color="auto"/>
                <w:bottom w:val="none" w:sz="0" w:space="0" w:color="auto"/>
                <w:right w:val="none" w:sz="0" w:space="0" w:color="auto"/>
              </w:divBdr>
            </w:div>
            <w:div w:id="1647782014">
              <w:marLeft w:val="0"/>
              <w:marRight w:val="0"/>
              <w:marTop w:val="0"/>
              <w:marBottom w:val="0"/>
              <w:divBdr>
                <w:top w:val="none" w:sz="0" w:space="0" w:color="auto"/>
                <w:left w:val="none" w:sz="0" w:space="0" w:color="auto"/>
                <w:bottom w:val="none" w:sz="0" w:space="0" w:color="auto"/>
                <w:right w:val="none" w:sz="0" w:space="0" w:color="auto"/>
              </w:divBdr>
            </w:div>
            <w:div w:id="1976173974">
              <w:marLeft w:val="0"/>
              <w:marRight w:val="0"/>
              <w:marTop w:val="0"/>
              <w:marBottom w:val="0"/>
              <w:divBdr>
                <w:top w:val="none" w:sz="0" w:space="0" w:color="auto"/>
                <w:left w:val="none" w:sz="0" w:space="0" w:color="auto"/>
                <w:bottom w:val="none" w:sz="0" w:space="0" w:color="auto"/>
                <w:right w:val="none" w:sz="0" w:space="0" w:color="auto"/>
              </w:divBdr>
            </w:div>
            <w:div w:id="1136223119">
              <w:marLeft w:val="0"/>
              <w:marRight w:val="0"/>
              <w:marTop w:val="0"/>
              <w:marBottom w:val="0"/>
              <w:divBdr>
                <w:top w:val="none" w:sz="0" w:space="0" w:color="auto"/>
                <w:left w:val="none" w:sz="0" w:space="0" w:color="auto"/>
                <w:bottom w:val="none" w:sz="0" w:space="0" w:color="auto"/>
                <w:right w:val="none" w:sz="0" w:space="0" w:color="auto"/>
              </w:divBdr>
            </w:div>
            <w:div w:id="65692009">
              <w:marLeft w:val="0"/>
              <w:marRight w:val="0"/>
              <w:marTop w:val="0"/>
              <w:marBottom w:val="0"/>
              <w:divBdr>
                <w:top w:val="none" w:sz="0" w:space="0" w:color="auto"/>
                <w:left w:val="none" w:sz="0" w:space="0" w:color="auto"/>
                <w:bottom w:val="none" w:sz="0" w:space="0" w:color="auto"/>
                <w:right w:val="none" w:sz="0" w:space="0" w:color="auto"/>
              </w:divBdr>
            </w:div>
            <w:div w:id="370999711">
              <w:marLeft w:val="0"/>
              <w:marRight w:val="0"/>
              <w:marTop w:val="0"/>
              <w:marBottom w:val="0"/>
              <w:divBdr>
                <w:top w:val="none" w:sz="0" w:space="0" w:color="auto"/>
                <w:left w:val="none" w:sz="0" w:space="0" w:color="auto"/>
                <w:bottom w:val="none" w:sz="0" w:space="0" w:color="auto"/>
                <w:right w:val="none" w:sz="0" w:space="0" w:color="auto"/>
              </w:divBdr>
            </w:div>
            <w:div w:id="903641829">
              <w:marLeft w:val="0"/>
              <w:marRight w:val="0"/>
              <w:marTop w:val="0"/>
              <w:marBottom w:val="0"/>
              <w:divBdr>
                <w:top w:val="none" w:sz="0" w:space="0" w:color="auto"/>
                <w:left w:val="none" w:sz="0" w:space="0" w:color="auto"/>
                <w:bottom w:val="none" w:sz="0" w:space="0" w:color="auto"/>
                <w:right w:val="none" w:sz="0" w:space="0" w:color="auto"/>
              </w:divBdr>
            </w:div>
            <w:div w:id="1498184178">
              <w:marLeft w:val="0"/>
              <w:marRight w:val="0"/>
              <w:marTop w:val="0"/>
              <w:marBottom w:val="0"/>
              <w:divBdr>
                <w:top w:val="none" w:sz="0" w:space="0" w:color="auto"/>
                <w:left w:val="none" w:sz="0" w:space="0" w:color="auto"/>
                <w:bottom w:val="none" w:sz="0" w:space="0" w:color="auto"/>
                <w:right w:val="none" w:sz="0" w:space="0" w:color="auto"/>
              </w:divBdr>
            </w:div>
            <w:div w:id="1422683738">
              <w:marLeft w:val="0"/>
              <w:marRight w:val="0"/>
              <w:marTop w:val="0"/>
              <w:marBottom w:val="0"/>
              <w:divBdr>
                <w:top w:val="none" w:sz="0" w:space="0" w:color="auto"/>
                <w:left w:val="none" w:sz="0" w:space="0" w:color="auto"/>
                <w:bottom w:val="none" w:sz="0" w:space="0" w:color="auto"/>
                <w:right w:val="none" w:sz="0" w:space="0" w:color="auto"/>
              </w:divBdr>
            </w:div>
            <w:div w:id="454829962">
              <w:marLeft w:val="0"/>
              <w:marRight w:val="0"/>
              <w:marTop w:val="0"/>
              <w:marBottom w:val="0"/>
              <w:divBdr>
                <w:top w:val="none" w:sz="0" w:space="0" w:color="auto"/>
                <w:left w:val="none" w:sz="0" w:space="0" w:color="auto"/>
                <w:bottom w:val="none" w:sz="0" w:space="0" w:color="auto"/>
                <w:right w:val="none" w:sz="0" w:space="0" w:color="auto"/>
              </w:divBdr>
            </w:div>
            <w:div w:id="2013069938">
              <w:marLeft w:val="0"/>
              <w:marRight w:val="0"/>
              <w:marTop w:val="0"/>
              <w:marBottom w:val="0"/>
              <w:divBdr>
                <w:top w:val="none" w:sz="0" w:space="0" w:color="auto"/>
                <w:left w:val="none" w:sz="0" w:space="0" w:color="auto"/>
                <w:bottom w:val="none" w:sz="0" w:space="0" w:color="auto"/>
                <w:right w:val="none" w:sz="0" w:space="0" w:color="auto"/>
              </w:divBdr>
            </w:div>
            <w:div w:id="1546287925">
              <w:marLeft w:val="0"/>
              <w:marRight w:val="0"/>
              <w:marTop w:val="0"/>
              <w:marBottom w:val="0"/>
              <w:divBdr>
                <w:top w:val="none" w:sz="0" w:space="0" w:color="auto"/>
                <w:left w:val="none" w:sz="0" w:space="0" w:color="auto"/>
                <w:bottom w:val="none" w:sz="0" w:space="0" w:color="auto"/>
                <w:right w:val="none" w:sz="0" w:space="0" w:color="auto"/>
              </w:divBdr>
            </w:div>
            <w:div w:id="1246960748">
              <w:marLeft w:val="0"/>
              <w:marRight w:val="0"/>
              <w:marTop w:val="0"/>
              <w:marBottom w:val="0"/>
              <w:divBdr>
                <w:top w:val="none" w:sz="0" w:space="0" w:color="auto"/>
                <w:left w:val="none" w:sz="0" w:space="0" w:color="auto"/>
                <w:bottom w:val="none" w:sz="0" w:space="0" w:color="auto"/>
                <w:right w:val="none" w:sz="0" w:space="0" w:color="auto"/>
              </w:divBdr>
            </w:div>
            <w:div w:id="2088724685">
              <w:marLeft w:val="0"/>
              <w:marRight w:val="0"/>
              <w:marTop w:val="0"/>
              <w:marBottom w:val="0"/>
              <w:divBdr>
                <w:top w:val="none" w:sz="0" w:space="0" w:color="auto"/>
                <w:left w:val="none" w:sz="0" w:space="0" w:color="auto"/>
                <w:bottom w:val="none" w:sz="0" w:space="0" w:color="auto"/>
                <w:right w:val="none" w:sz="0" w:space="0" w:color="auto"/>
              </w:divBdr>
            </w:div>
            <w:div w:id="663320754">
              <w:marLeft w:val="0"/>
              <w:marRight w:val="0"/>
              <w:marTop w:val="0"/>
              <w:marBottom w:val="0"/>
              <w:divBdr>
                <w:top w:val="none" w:sz="0" w:space="0" w:color="auto"/>
                <w:left w:val="none" w:sz="0" w:space="0" w:color="auto"/>
                <w:bottom w:val="none" w:sz="0" w:space="0" w:color="auto"/>
                <w:right w:val="none" w:sz="0" w:space="0" w:color="auto"/>
              </w:divBdr>
            </w:div>
            <w:div w:id="1926450696">
              <w:marLeft w:val="0"/>
              <w:marRight w:val="0"/>
              <w:marTop w:val="0"/>
              <w:marBottom w:val="0"/>
              <w:divBdr>
                <w:top w:val="none" w:sz="0" w:space="0" w:color="auto"/>
                <w:left w:val="none" w:sz="0" w:space="0" w:color="auto"/>
                <w:bottom w:val="none" w:sz="0" w:space="0" w:color="auto"/>
                <w:right w:val="none" w:sz="0" w:space="0" w:color="auto"/>
              </w:divBdr>
            </w:div>
            <w:div w:id="693117689">
              <w:marLeft w:val="0"/>
              <w:marRight w:val="0"/>
              <w:marTop w:val="0"/>
              <w:marBottom w:val="0"/>
              <w:divBdr>
                <w:top w:val="none" w:sz="0" w:space="0" w:color="auto"/>
                <w:left w:val="none" w:sz="0" w:space="0" w:color="auto"/>
                <w:bottom w:val="none" w:sz="0" w:space="0" w:color="auto"/>
                <w:right w:val="none" w:sz="0" w:space="0" w:color="auto"/>
              </w:divBdr>
            </w:div>
            <w:div w:id="8894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3726</Words>
  <Characters>21242</Characters>
  <Application>Microsoft Office Word</Application>
  <DocSecurity>0</DocSecurity>
  <Lines>177</Lines>
  <Paragraphs>49</Paragraphs>
  <ScaleCrop>false</ScaleCrop>
  <Company>Hewlett-Packard Company</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大牟田 繁文</dc:creator>
  <cp:lastModifiedBy>LS Ma</cp:lastModifiedBy>
  <cp:revision>2</cp:revision>
  <dcterms:created xsi:type="dcterms:W3CDTF">2013-05-09T01:00:00Z</dcterms:created>
  <dcterms:modified xsi:type="dcterms:W3CDTF">2013-05-09T01:00:00Z</dcterms:modified>
</cp:coreProperties>
</file>