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E8" w:rsidRPr="00CC3D0A" w:rsidRDefault="00702CE8" w:rsidP="00AC3FB8">
      <w:pPr>
        <w:spacing w:after="0" w:line="360" w:lineRule="auto"/>
        <w:jc w:val="both"/>
        <w:rPr>
          <w:rFonts w:ascii="Book Antiqua" w:hAnsi="Book Antiqua" w:cs="Tahoma"/>
          <w:b/>
          <w:color w:val="000000"/>
          <w:sz w:val="24"/>
          <w:szCs w:val="24"/>
        </w:rPr>
      </w:pPr>
      <w:r w:rsidRPr="00CC3D0A">
        <w:rPr>
          <w:rFonts w:ascii="Book Antiqua" w:hAnsi="Book Antiqua" w:cs="Tahoma"/>
          <w:b/>
          <w:color w:val="0000FF"/>
          <w:sz w:val="24"/>
          <w:szCs w:val="24"/>
        </w:rPr>
        <w:t xml:space="preserve">Name of journal: </w:t>
      </w:r>
      <w:r w:rsidRPr="00CC3D0A">
        <w:rPr>
          <w:rFonts w:ascii="Book Antiqua" w:hAnsi="Book Antiqua" w:cs="Tahoma"/>
          <w:b/>
          <w:color w:val="000000"/>
          <w:sz w:val="24"/>
          <w:szCs w:val="24"/>
        </w:rPr>
        <w:t>World Journal of Hematology</w:t>
      </w:r>
    </w:p>
    <w:p w:rsidR="00702CE8" w:rsidRPr="00CC3D0A" w:rsidRDefault="00702CE8" w:rsidP="00AC3FB8">
      <w:pPr>
        <w:spacing w:after="0" w:line="360" w:lineRule="auto"/>
        <w:jc w:val="both"/>
        <w:rPr>
          <w:rFonts w:ascii="Book Antiqua" w:hAnsi="Book Antiqua" w:cs="Tahoma"/>
          <w:b/>
          <w:color w:val="0000FF"/>
          <w:sz w:val="24"/>
          <w:szCs w:val="24"/>
          <w:lang w:eastAsia="zh-CN"/>
        </w:rPr>
      </w:pPr>
      <w:r w:rsidRPr="00CC3D0A">
        <w:rPr>
          <w:rFonts w:ascii="Book Antiqua" w:hAnsi="Book Antiqua" w:cs="Tahoma"/>
          <w:b/>
          <w:color w:val="0000FF"/>
          <w:sz w:val="24"/>
          <w:szCs w:val="24"/>
        </w:rPr>
        <w:t xml:space="preserve">ESPS Manuscript NO: </w:t>
      </w:r>
      <w:r w:rsidRPr="00CC3D0A">
        <w:rPr>
          <w:rFonts w:ascii="Book Antiqua" w:hAnsi="Book Antiqua" w:cs="Tahoma"/>
          <w:b/>
          <w:color w:val="0000FF"/>
          <w:sz w:val="24"/>
          <w:szCs w:val="24"/>
          <w:lang w:eastAsia="zh-CN"/>
        </w:rPr>
        <w:t>1878</w:t>
      </w:r>
    </w:p>
    <w:p w:rsidR="00702CE8" w:rsidRPr="00CC3D0A" w:rsidRDefault="00702CE8" w:rsidP="00AC3FB8">
      <w:pPr>
        <w:spacing w:after="0" w:line="360" w:lineRule="auto"/>
        <w:jc w:val="both"/>
        <w:rPr>
          <w:rFonts w:ascii="Book Antiqua" w:hAnsi="Book Antiqua" w:cs="Tahoma"/>
          <w:b/>
          <w:color w:val="0000FF"/>
          <w:sz w:val="24"/>
          <w:szCs w:val="24"/>
        </w:rPr>
      </w:pPr>
      <w:r w:rsidRPr="00CC3D0A">
        <w:rPr>
          <w:rFonts w:ascii="Book Antiqua" w:hAnsi="Book Antiqua" w:cs="Tahoma"/>
          <w:b/>
          <w:color w:val="0000FF"/>
          <w:sz w:val="24"/>
          <w:szCs w:val="24"/>
        </w:rPr>
        <w:t xml:space="preserve">Columns: </w:t>
      </w:r>
      <w:r w:rsidRPr="00CC3D0A">
        <w:rPr>
          <w:rFonts w:ascii="Book Antiqua" w:hAnsi="Book Antiqua" w:cs="Tahoma"/>
          <w:b/>
          <w:color w:val="000000"/>
          <w:sz w:val="24"/>
          <w:szCs w:val="24"/>
        </w:rPr>
        <w:t>REVIEW</w:t>
      </w:r>
    </w:p>
    <w:p w:rsidR="00702CE8" w:rsidRPr="00CC3D0A" w:rsidRDefault="00702CE8" w:rsidP="00AC3FB8">
      <w:pPr>
        <w:suppressAutoHyphens/>
        <w:autoSpaceDN w:val="0"/>
        <w:spacing w:after="0" w:line="360" w:lineRule="auto"/>
        <w:jc w:val="both"/>
        <w:rPr>
          <w:rFonts w:ascii="Book Antiqua" w:hAnsi="Book Antiqua"/>
          <w:b/>
          <w:sz w:val="24"/>
          <w:szCs w:val="24"/>
          <w:lang w:eastAsia="zh-CN"/>
        </w:rPr>
      </w:pPr>
    </w:p>
    <w:p w:rsidR="00702CE8" w:rsidRPr="00CC3D0A" w:rsidRDefault="00702CE8" w:rsidP="00AC3FB8">
      <w:pPr>
        <w:suppressAutoHyphens/>
        <w:autoSpaceDN w:val="0"/>
        <w:spacing w:after="0" w:line="360" w:lineRule="auto"/>
        <w:jc w:val="both"/>
        <w:rPr>
          <w:rFonts w:ascii="Book Antiqua" w:hAnsi="Book Antiqua"/>
          <w:b/>
          <w:sz w:val="24"/>
          <w:szCs w:val="24"/>
          <w:lang w:val="en-GB" w:eastAsia="zh-CN"/>
        </w:rPr>
      </w:pPr>
      <w:r w:rsidRPr="00CC3D0A">
        <w:rPr>
          <w:rFonts w:ascii="Book Antiqua" w:eastAsia="MS Mincho" w:hAnsi="Book Antiqua"/>
          <w:b/>
          <w:sz w:val="24"/>
          <w:szCs w:val="24"/>
          <w:lang w:val="en-GB" w:eastAsia="ja-JP"/>
        </w:rPr>
        <w:t xml:space="preserve">PVSG and WHO </w:t>
      </w:r>
      <w:r w:rsidRPr="00CC3D0A">
        <w:rPr>
          <w:rFonts w:ascii="Book Antiqua" w:eastAsia="MS Mincho" w:hAnsi="Book Antiqua"/>
          <w:b/>
          <w:i/>
          <w:sz w:val="24"/>
          <w:szCs w:val="24"/>
          <w:lang w:val="en-GB" w:eastAsia="ja-JP"/>
        </w:rPr>
        <w:t xml:space="preserve">vs </w:t>
      </w:r>
      <w:r w:rsidRPr="00CC3D0A">
        <w:rPr>
          <w:rFonts w:ascii="Book Antiqua" w:eastAsia="MS Mincho" w:hAnsi="Book Antiqua"/>
          <w:b/>
          <w:sz w:val="24"/>
          <w:szCs w:val="24"/>
          <w:lang w:val="en-GB" w:eastAsia="ja-JP"/>
        </w:rPr>
        <w:t>European Clinical, Molecular and Pathological Criteria for prefibrotic myeloproliferative neoplasms</w:t>
      </w:r>
      <w:bookmarkStart w:id="0" w:name="_GoBack"/>
      <w:bookmarkEnd w:id="0"/>
    </w:p>
    <w:p w:rsidR="00702CE8" w:rsidRDefault="00702CE8" w:rsidP="00AC3FB8">
      <w:pPr>
        <w:suppressAutoHyphens/>
        <w:autoSpaceDN w:val="0"/>
        <w:spacing w:after="0" w:line="360" w:lineRule="auto"/>
        <w:jc w:val="both"/>
        <w:rPr>
          <w:rFonts w:ascii="Book Antiqua" w:hAnsi="Book Antiqua"/>
          <w:b/>
          <w:sz w:val="24"/>
          <w:szCs w:val="24"/>
          <w:lang w:val="en-GB" w:eastAsia="zh-CN"/>
        </w:rPr>
      </w:pPr>
    </w:p>
    <w:p w:rsidR="00702CE8" w:rsidRPr="007F3A79" w:rsidRDefault="00702CE8" w:rsidP="00AC3FB8">
      <w:pPr>
        <w:suppressAutoHyphens/>
        <w:autoSpaceDN w:val="0"/>
        <w:spacing w:after="0" w:line="360" w:lineRule="auto"/>
        <w:jc w:val="both"/>
        <w:rPr>
          <w:rFonts w:ascii="Book Antiqua" w:hAnsi="Book Antiqua"/>
          <w:sz w:val="24"/>
          <w:szCs w:val="24"/>
          <w:lang w:val="en-GB" w:eastAsia="zh-CN"/>
        </w:rPr>
      </w:pPr>
      <w:r w:rsidRPr="007F3A79">
        <w:rPr>
          <w:rFonts w:ascii="Book Antiqua" w:eastAsia="MS Mincho" w:hAnsi="Book Antiqua"/>
          <w:sz w:val="24"/>
          <w:szCs w:val="24"/>
          <w:lang w:val="en-GB" w:eastAsia="ja-JP"/>
        </w:rPr>
        <w:t>Michiels</w:t>
      </w:r>
      <w:r w:rsidRPr="007F3A79">
        <w:rPr>
          <w:rFonts w:ascii="Book Antiqua" w:eastAsia="MS Mincho" w:hAnsi="Book Antiqua"/>
          <w:b/>
          <w:sz w:val="24"/>
          <w:szCs w:val="24"/>
          <w:lang w:val="en-GB" w:eastAsia="ja-JP"/>
        </w:rPr>
        <w:t xml:space="preserve"> </w:t>
      </w:r>
      <w:r w:rsidRPr="007F3A79">
        <w:rPr>
          <w:rFonts w:ascii="Book Antiqua" w:hAnsi="Book Antiqua"/>
          <w:sz w:val="24"/>
          <w:szCs w:val="24"/>
          <w:lang w:val="en-GB" w:eastAsia="zh-CN"/>
        </w:rPr>
        <w:t xml:space="preserve">JJ </w:t>
      </w:r>
      <w:r>
        <w:rPr>
          <w:rFonts w:ascii="Book Antiqua" w:hAnsi="Book Antiqua"/>
          <w:i/>
          <w:sz w:val="24"/>
          <w:szCs w:val="24"/>
          <w:lang w:val="en-GB" w:eastAsia="zh-CN"/>
        </w:rPr>
        <w:t>et al</w:t>
      </w:r>
      <w:r w:rsidRPr="007F3A79">
        <w:rPr>
          <w:rFonts w:ascii="Book Antiqua" w:hAnsi="Book Antiqua"/>
          <w:sz w:val="24"/>
          <w:szCs w:val="24"/>
          <w:lang w:val="en-GB" w:eastAsia="zh-CN"/>
        </w:rPr>
        <w:t xml:space="preserve">. </w:t>
      </w:r>
      <w:r w:rsidRPr="007F3A79">
        <w:rPr>
          <w:rFonts w:ascii="Book Antiqua" w:eastAsia="MS Mincho" w:hAnsi="Book Antiqua"/>
          <w:sz w:val="24"/>
          <w:szCs w:val="24"/>
          <w:lang w:val="en-GB" w:eastAsia="ja-JP"/>
        </w:rPr>
        <w:t>WHO-ECMP criteria for MPN</w:t>
      </w:r>
    </w:p>
    <w:p w:rsidR="00702CE8" w:rsidRPr="005B7D7A" w:rsidRDefault="00702CE8" w:rsidP="00AC3FB8">
      <w:pPr>
        <w:suppressAutoHyphens/>
        <w:autoSpaceDN w:val="0"/>
        <w:spacing w:after="0" w:line="360" w:lineRule="auto"/>
        <w:jc w:val="both"/>
        <w:rPr>
          <w:rFonts w:ascii="Book Antiqua" w:hAnsi="Book Antiqua"/>
          <w:b/>
          <w:sz w:val="24"/>
          <w:szCs w:val="24"/>
          <w:lang w:val="en-GB" w:eastAsia="zh-CN"/>
        </w:rPr>
      </w:pP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sz w:val="24"/>
          <w:szCs w:val="24"/>
          <w:lang w:val="en-GB" w:eastAsia="ja-JP"/>
        </w:rPr>
        <w:t xml:space="preserve">Jan Jacques Michiels, Zwi Berneman, Wilfried Schroyens, King H Lam, Hendrik De Raeve </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GB" w:eastAsia="ja-JP"/>
        </w:rPr>
      </w:pPr>
    </w:p>
    <w:p w:rsidR="00702CE8" w:rsidRDefault="00702CE8" w:rsidP="00AC3FB8">
      <w:pPr>
        <w:suppressAutoHyphens/>
        <w:autoSpaceDN w:val="0"/>
        <w:spacing w:after="0" w:line="360" w:lineRule="auto"/>
        <w:jc w:val="both"/>
        <w:rPr>
          <w:rFonts w:ascii="Book Antiqua" w:hAnsi="Book Antiqua"/>
          <w:sz w:val="24"/>
          <w:szCs w:val="24"/>
          <w:lang w:val="en-GB" w:eastAsia="zh-CN"/>
        </w:rPr>
      </w:pPr>
      <w:r w:rsidRPr="0077516D">
        <w:rPr>
          <w:rFonts w:ascii="Book Antiqua" w:eastAsia="MS Mincho" w:hAnsi="Book Antiqua"/>
          <w:b/>
          <w:sz w:val="24"/>
          <w:szCs w:val="24"/>
          <w:lang w:val="en-GB" w:eastAsia="ja-JP"/>
        </w:rPr>
        <w:t>Jan Jacques Michiels, Zwi Berneman, Wilfried Schroyens,</w:t>
      </w:r>
      <w:r w:rsidRPr="00CC3D0A">
        <w:rPr>
          <w:rFonts w:ascii="Book Antiqua" w:eastAsia="MS Mincho" w:hAnsi="Book Antiqua"/>
          <w:sz w:val="24"/>
          <w:szCs w:val="24"/>
          <w:lang w:val="en-GB" w:eastAsia="ja-JP"/>
        </w:rPr>
        <w:t xml:space="preserve"> </w:t>
      </w:r>
      <w:r w:rsidRPr="0077516D">
        <w:rPr>
          <w:rFonts w:ascii="Book Antiqua" w:eastAsia="MS Mincho" w:hAnsi="Book Antiqua"/>
          <w:sz w:val="24"/>
          <w:szCs w:val="24"/>
          <w:lang w:val="en-GB" w:eastAsia="ja-JP"/>
        </w:rPr>
        <w:t>Department of Hematology, University Hospi</w:t>
      </w:r>
      <w:r>
        <w:rPr>
          <w:rFonts w:ascii="Book Antiqua" w:eastAsia="MS Mincho" w:hAnsi="Book Antiqua"/>
          <w:sz w:val="24"/>
          <w:szCs w:val="24"/>
          <w:lang w:val="en-GB" w:eastAsia="ja-JP"/>
        </w:rPr>
        <w:t>tal Antwerp, Wilrijkstraat 10, B-2650 Edegem, Antwerp, Belgium</w:t>
      </w:r>
    </w:p>
    <w:p w:rsidR="00702CE8" w:rsidRPr="004977C4" w:rsidRDefault="00702CE8" w:rsidP="00AC3FB8">
      <w:pPr>
        <w:suppressAutoHyphens/>
        <w:autoSpaceDN w:val="0"/>
        <w:spacing w:after="0" w:line="360" w:lineRule="auto"/>
        <w:jc w:val="both"/>
        <w:rPr>
          <w:rFonts w:ascii="Book Antiqua" w:hAnsi="Book Antiqua"/>
          <w:sz w:val="24"/>
          <w:szCs w:val="24"/>
          <w:lang w:val="en-GB" w:eastAsia="zh-CN"/>
        </w:rPr>
      </w:pPr>
      <w:r w:rsidRPr="0077516D">
        <w:rPr>
          <w:rFonts w:ascii="Book Antiqua" w:eastAsia="MS Mincho" w:hAnsi="Book Antiqua"/>
          <w:sz w:val="24"/>
          <w:szCs w:val="24"/>
          <w:lang w:val="en-GB" w:eastAsia="ja-JP"/>
        </w:rPr>
        <w:t xml:space="preserve"> </w:t>
      </w:r>
    </w:p>
    <w:p w:rsidR="00702CE8" w:rsidRDefault="00702CE8" w:rsidP="00AC3FB8">
      <w:pPr>
        <w:suppressAutoHyphens/>
        <w:autoSpaceDN w:val="0"/>
        <w:spacing w:after="0" w:line="360" w:lineRule="auto"/>
        <w:jc w:val="both"/>
        <w:rPr>
          <w:rFonts w:ascii="Book Antiqua" w:hAnsi="Book Antiqua"/>
          <w:sz w:val="24"/>
          <w:szCs w:val="24"/>
          <w:lang w:eastAsia="zh-CN"/>
        </w:rPr>
      </w:pPr>
      <w:r w:rsidRPr="004977C4">
        <w:rPr>
          <w:rFonts w:ascii="Book Antiqua" w:eastAsia="MS Mincho" w:hAnsi="Book Antiqua"/>
          <w:b/>
          <w:sz w:val="24"/>
          <w:szCs w:val="24"/>
          <w:lang w:val="en-GB" w:eastAsia="ja-JP"/>
        </w:rPr>
        <w:t>King H Lam</w:t>
      </w:r>
      <w:r w:rsidRPr="004977C4">
        <w:rPr>
          <w:rFonts w:ascii="Book Antiqua" w:hAnsi="Book Antiqua"/>
          <w:b/>
          <w:sz w:val="24"/>
          <w:szCs w:val="24"/>
          <w:lang w:val="en-GB" w:eastAsia="zh-CN"/>
        </w:rPr>
        <w:t>,</w:t>
      </w:r>
      <w:r>
        <w:rPr>
          <w:rFonts w:ascii="Book Antiqua" w:hAnsi="Book Antiqua"/>
          <w:b/>
          <w:sz w:val="24"/>
          <w:szCs w:val="24"/>
          <w:lang w:val="en-GB" w:eastAsia="zh-CN"/>
        </w:rPr>
        <w:t xml:space="preserve"> </w:t>
      </w:r>
      <w:r w:rsidRPr="004977C4">
        <w:rPr>
          <w:rFonts w:ascii="Book Antiqua" w:eastAsia="MS Mincho" w:hAnsi="Book Antiqua"/>
          <w:sz w:val="24"/>
          <w:szCs w:val="24"/>
          <w:lang w:val="en-GB" w:eastAsia="ja-JP"/>
        </w:rPr>
        <w:t>Department of Pathology, Erasmus University Medical Center Rotterdam</w:t>
      </w:r>
      <w:r w:rsidRPr="00AE14ED">
        <w:rPr>
          <w:rFonts w:ascii="Book Antiqua" w:hAnsi="Book Antiqua"/>
          <w:sz w:val="24"/>
          <w:szCs w:val="24"/>
          <w:vertAlign w:val="subscript"/>
          <w:lang w:val="en-GB" w:eastAsia="zh-CN"/>
        </w:rPr>
        <w:t>,</w:t>
      </w:r>
      <w:r w:rsidRPr="00AE14ED">
        <w:rPr>
          <w:rFonts w:ascii="Book Antiqua" w:eastAsia="MS Mincho" w:hAnsi="Book Antiqua"/>
          <w:sz w:val="24"/>
          <w:szCs w:val="24"/>
          <w:vertAlign w:val="subscript"/>
          <w:lang w:eastAsia="ja-JP"/>
        </w:rPr>
        <w:t xml:space="preserve"> </w:t>
      </w:r>
      <w:r w:rsidRPr="004977C4">
        <w:rPr>
          <w:rFonts w:ascii="Book Antiqua" w:eastAsia="MS Mincho" w:hAnsi="Book Antiqua"/>
          <w:sz w:val="24"/>
          <w:szCs w:val="24"/>
          <w:lang w:eastAsia="ja-JP"/>
        </w:rPr>
        <w:t xml:space="preserve">Dr. Molewaterplein 50, 3015 GD Rotterdam, </w:t>
      </w:r>
      <w:proofErr w:type="gramStart"/>
      <w:r w:rsidRPr="004977C4">
        <w:rPr>
          <w:rFonts w:ascii="Book Antiqua" w:eastAsia="MS Mincho" w:hAnsi="Book Antiqua"/>
          <w:sz w:val="24"/>
          <w:szCs w:val="24"/>
          <w:lang w:eastAsia="ja-JP"/>
        </w:rPr>
        <w:t>The</w:t>
      </w:r>
      <w:proofErr w:type="gramEnd"/>
      <w:r w:rsidRPr="004977C4">
        <w:rPr>
          <w:rFonts w:ascii="Book Antiqua" w:eastAsia="MS Mincho" w:hAnsi="Book Antiqua"/>
          <w:sz w:val="24"/>
          <w:szCs w:val="24"/>
          <w:lang w:eastAsia="ja-JP"/>
        </w:rPr>
        <w:t xml:space="preserve"> Netherlands </w:t>
      </w:r>
    </w:p>
    <w:p w:rsidR="00702CE8" w:rsidRPr="00F148D8" w:rsidRDefault="00702CE8" w:rsidP="00AC3FB8">
      <w:pPr>
        <w:suppressAutoHyphens/>
        <w:autoSpaceDN w:val="0"/>
        <w:spacing w:after="0" w:line="360" w:lineRule="auto"/>
        <w:jc w:val="both"/>
        <w:rPr>
          <w:rFonts w:ascii="Book Antiqua" w:hAnsi="Book Antiqua"/>
          <w:sz w:val="24"/>
          <w:szCs w:val="24"/>
          <w:lang w:eastAsia="zh-CN"/>
        </w:rPr>
      </w:pPr>
    </w:p>
    <w:p w:rsidR="00702CE8" w:rsidRDefault="00702CE8" w:rsidP="00AC3FB8">
      <w:pPr>
        <w:spacing w:after="0" w:line="360" w:lineRule="auto"/>
        <w:jc w:val="both"/>
        <w:rPr>
          <w:rFonts w:ascii="Book Antiqua" w:hAnsi="Book Antiqua"/>
          <w:sz w:val="24"/>
          <w:szCs w:val="24"/>
          <w:lang w:eastAsia="zh-CN"/>
        </w:rPr>
      </w:pPr>
      <w:r w:rsidRPr="004977C4">
        <w:rPr>
          <w:rFonts w:ascii="Book Antiqua" w:eastAsia="MS Mincho" w:hAnsi="Book Antiqua"/>
          <w:b/>
          <w:sz w:val="24"/>
          <w:szCs w:val="24"/>
          <w:lang w:val="en-GB" w:eastAsia="ja-JP"/>
        </w:rPr>
        <w:t>Hendrik De Raeve</w:t>
      </w:r>
      <w:r w:rsidRPr="004977C4">
        <w:rPr>
          <w:rFonts w:ascii="Book Antiqua" w:hAnsi="Book Antiqua"/>
          <w:b/>
          <w:sz w:val="24"/>
          <w:szCs w:val="24"/>
          <w:lang w:val="en-US" w:eastAsia="zh-CN"/>
        </w:rPr>
        <w:t>,</w:t>
      </w:r>
      <w:r>
        <w:rPr>
          <w:rFonts w:ascii="Book Antiqua" w:hAnsi="Book Antiqua"/>
          <w:b/>
          <w:sz w:val="24"/>
          <w:szCs w:val="24"/>
          <w:lang w:val="en-US" w:eastAsia="zh-CN"/>
        </w:rPr>
        <w:t xml:space="preserve"> </w:t>
      </w:r>
      <w:r w:rsidRPr="004977C4">
        <w:rPr>
          <w:rFonts w:ascii="Book Antiqua" w:eastAsia="MS Mincho" w:hAnsi="Book Antiqua"/>
          <w:sz w:val="24"/>
          <w:szCs w:val="24"/>
          <w:lang w:val="en-US" w:eastAsia="ja-JP"/>
        </w:rPr>
        <w:t>Department of Pathology OLV Hospital Aalst and Free University Hospital Brussels</w:t>
      </w:r>
      <w:r w:rsidRPr="004977C4">
        <w:rPr>
          <w:rFonts w:ascii="Book Antiqua" w:eastAsia="MS Mincho" w:hAnsi="Book Antiqua"/>
          <w:sz w:val="24"/>
          <w:szCs w:val="24"/>
          <w:lang w:val="en-GB" w:eastAsia="ja-JP"/>
        </w:rPr>
        <w:t>, OLV Z</w:t>
      </w:r>
      <w:r w:rsidRPr="004977C4">
        <w:rPr>
          <w:rFonts w:ascii="Book Antiqua" w:hAnsi="Book Antiqua"/>
          <w:sz w:val="24"/>
          <w:szCs w:val="24"/>
        </w:rPr>
        <w:t>iekenhuis, Moorselbaan 164, B-9300 Aalst, Belgium</w:t>
      </w:r>
    </w:p>
    <w:p w:rsidR="00702CE8" w:rsidRPr="004977C4" w:rsidRDefault="00702CE8" w:rsidP="00AC3FB8">
      <w:pPr>
        <w:spacing w:after="0" w:line="360" w:lineRule="auto"/>
        <w:jc w:val="both"/>
        <w:rPr>
          <w:rFonts w:ascii="Book Antiqua" w:eastAsia="MS Mincho" w:hAnsi="Book Antiqua"/>
          <w:sz w:val="24"/>
          <w:szCs w:val="24"/>
          <w:lang w:val="en-US" w:eastAsia="zh-CN"/>
        </w:rPr>
      </w:pPr>
    </w:p>
    <w:p w:rsidR="00702CE8" w:rsidRPr="00AE14ED"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AE14ED">
        <w:rPr>
          <w:rFonts w:ascii="Book Antiqua" w:eastAsia="MS Mincho" w:hAnsi="Book Antiqua"/>
          <w:b/>
          <w:sz w:val="24"/>
          <w:szCs w:val="24"/>
          <w:lang w:val="en-GB" w:eastAsia="ja-JP"/>
        </w:rPr>
        <w:t>Jan Jacques Michiels</w:t>
      </w:r>
      <w:r w:rsidRPr="00AE14ED">
        <w:rPr>
          <w:rFonts w:ascii="Book Antiqua" w:hAnsi="Book Antiqua"/>
          <w:b/>
          <w:sz w:val="24"/>
          <w:szCs w:val="24"/>
          <w:lang w:val="en-GB" w:eastAsia="zh-CN"/>
        </w:rPr>
        <w:t xml:space="preserve">, </w:t>
      </w:r>
      <w:r w:rsidRPr="00AE14ED">
        <w:rPr>
          <w:rFonts w:ascii="Book Antiqua" w:eastAsia="MS Mincho" w:hAnsi="Book Antiqua"/>
          <w:sz w:val="24"/>
          <w:szCs w:val="24"/>
          <w:lang w:val="en-GB" w:eastAsia="ja-JP"/>
        </w:rPr>
        <w:t xml:space="preserve">European Working Group on Myeloproliferative Neoplasms (EWG.MPN), Goodheart Institute, </w:t>
      </w:r>
      <w:smartTag w:uri="urn:schemas-microsoft-com:office:smarttags" w:element="PlaceName">
        <w:r w:rsidRPr="00AE14ED">
          <w:rPr>
            <w:rFonts w:ascii="Book Antiqua" w:eastAsia="MS Mincho" w:hAnsi="Book Antiqua"/>
            <w:sz w:val="24"/>
            <w:szCs w:val="24"/>
            <w:lang w:val="en-GB" w:eastAsia="ja-JP"/>
          </w:rPr>
          <w:t>Erasmus</w:t>
        </w:r>
      </w:smartTag>
      <w:r w:rsidRPr="00AE14ED">
        <w:rPr>
          <w:rFonts w:ascii="Book Antiqua" w:eastAsia="MS Mincho" w:hAnsi="Book Antiqua"/>
          <w:sz w:val="24"/>
          <w:szCs w:val="24"/>
          <w:lang w:val="en-GB" w:eastAsia="ja-JP"/>
        </w:rPr>
        <w:t xml:space="preserve"> </w:t>
      </w:r>
      <w:smartTag w:uri="urn:schemas-microsoft-com:office:smarttags" w:element="PlaceType">
        <w:r w:rsidRPr="00AE14ED">
          <w:rPr>
            <w:rFonts w:ascii="Book Antiqua" w:eastAsia="MS Mincho" w:hAnsi="Book Antiqua"/>
            <w:sz w:val="24"/>
            <w:szCs w:val="24"/>
            <w:lang w:val="en-GB" w:eastAsia="ja-JP"/>
          </w:rPr>
          <w:t>Tower</w:t>
        </w:r>
      </w:smartTag>
      <w:r w:rsidRPr="00AE14ED">
        <w:rPr>
          <w:rFonts w:ascii="Book Antiqua" w:eastAsia="MS Mincho" w:hAnsi="Book Antiqua"/>
          <w:sz w:val="24"/>
          <w:szCs w:val="24"/>
          <w:lang w:val="en-GB" w:eastAsia="ja-JP"/>
        </w:rPr>
        <w:t xml:space="preserve">, Veenmos 13, 3069 AT, </w:t>
      </w:r>
      <w:smartTag w:uri="urn:schemas-microsoft-com:office:smarttags" w:element="City">
        <w:r w:rsidRPr="00AE14ED">
          <w:rPr>
            <w:rFonts w:ascii="Book Antiqua" w:eastAsia="MS Mincho" w:hAnsi="Book Antiqua"/>
            <w:sz w:val="24"/>
            <w:szCs w:val="24"/>
            <w:lang w:val="en-GB" w:eastAsia="ja-JP"/>
          </w:rPr>
          <w:t>Rotterdam</w:t>
        </w:r>
      </w:smartTag>
      <w:r w:rsidRPr="00AE14ED">
        <w:rPr>
          <w:rFonts w:ascii="Book Antiqua" w:eastAsia="MS Mincho" w:hAnsi="Book Antiqua"/>
          <w:sz w:val="24"/>
          <w:szCs w:val="24"/>
          <w:lang w:val="en-GB" w:eastAsia="ja-JP"/>
        </w:rPr>
        <w:t xml:space="preserve">, </w:t>
      </w:r>
      <w:proofErr w:type="gramStart"/>
      <w:r w:rsidRPr="00AE14ED">
        <w:rPr>
          <w:rFonts w:ascii="Book Antiqua" w:eastAsia="MS Mincho" w:hAnsi="Book Antiqua"/>
          <w:sz w:val="24"/>
          <w:szCs w:val="24"/>
          <w:lang w:val="en-GB" w:eastAsia="ja-JP"/>
        </w:rPr>
        <w:t>The</w:t>
      </w:r>
      <w:proofErr w:type="gramEnd"/>
      <w:r w:rsidRPr="00AE14ED">
        <w:rPr>
          <w:rFonts w:ascii="Book Antiqua" w:eastAsia="MS Mincho" w:hAnsi="Book Antiqua"/>
          <w:sz w:val="24"/>
          <w:szCs w:val="24"/>
          <w:lang w:val="en-GB" w:eastAsia="ja-JP"/>
        </w:rPr>
        <w:t xml:space="preserve"> </w:t>
      </w:r>
      <w:smartTag w:uri="urn:schemas-microsoft-com:office:smarttags" w:element="country-region">
        <w:smartTag w:uri="urn:schemas-microsoft-com:office:smarttags" w:element="place">
          <w:r w:rsidRPr="00AE14ED">
            <w:rPr>
              <w:rFonts w:ascii="Book Antiqua" w:eastAsia="MS Mincho" w:hAnsi="Book Antiqua"/>
              <w:sz w:val="24"/>
              <w:szCs w:val="24"/>
              <w:lang w:val="en-GB" w:eastAsia="ja-JP"/>
            </w:rPr>
            <w:t>Netherlands</w:t>
          </w:r>
        </w:smartTag>
      </w:smartTag>
      <w:r>
        <w:rPr>
          <w:rFonts w:ascii="Book Antiqua" w:eastAsia="MS Mincho" w:hAnsi="Book Antiqua"/>
          <w:sz w:val="24"/>
          <w:szCs w:val="24"/>
          <w:lang w:val="en-GB" w:eastAsia="ja-JP"/>
        </w:rPr>
        <w:t xml:space="preserve"> </w:t>
      </w:r>
    </w:p>
    <w:p w:rsidR="00702CE8" w:rsidRPr="00AE14ED" w:rsidRDefault="00702CE8" w:rsidP="00AC3FB8">
      <w:pPr>
        <w:suppressAutoHyphens/>
        <w:autoSpaceDN w:val="0"/>
        <w:spacing w:after="0" w:line="360" w:lineRule="auto"/>
        <w:jc w:val="both"/>
        <w:rPr>
          <w:rFonts w:ascii="Book Antiqua" w:eastAsia="MS Mincho" w:hAnsi="Book Antiqua"/>
          <w:sz w:val="24"/>
          <w:szCs w:val="24"/>
          <w:lang w:val="en-GB" w:eastAsia="ja-JP"/>
        </w:rPr>
      </w:pPr>
    </w:p>
    <w:p w:rsidR="00702CE8" w:rsidRPr="002B7ADC" w:rsidRDefault="00702CE8" w:rsidP="00AC3FB8">
      <w:pPr>
        <w:suppressAutoHyphens/>
        <w:autoSpaceDN w:val="0"/>
        <w:spacing w:after="0" w:line="360" w:lineRule="auto"/>
        <w:jc w:val="both"/>
        <w:rPr>
          <w:rFonts w:ascii="Book Antiqua" w:hAnsi="Book Antiqua"/>
          <w:sz w:val="24"/>
          <w:szCs w:val="24"/>
          <w:lang w:val="en-GB" w:eastAsia="zh-CN"/>
        </w:rPr>
      </w:pPr>
      <w:r w:rsidRPr="00CC3D0A">
        <w:rPr>
          <w:rFonts w:ascii="Book Antiqua" w:eastAsia="MS Mincho" w:hAnsi="Book Antiqua"/>
          <w:b/>
          <w:sz w:val="24"/>
          <w:szCs w:val="24"/>
          <w:lang w:val="fr-FR" w:eastAsia="ja-JP"/>
        </w:rPr>
        <w:t xml:space="preserve">Correspondence to: </w:t>
      </w:r>
      <w:r w:rsidRPr="002B7ADC">
        <w:rPr>
          <w:rFonts w:ascii="Book Antiqua" w:eastAsia="MS Mincho" w:hAnsi="Book Antiqua"/>
          <w:b/>
          <w:sz w:val="24"/>
          <w:szCs w:val="24"/>
          <w:lang w:val="fr-FR" w:eastAsia="ja-JP"/>
        </w:rPr>
        <w:t xml:space="preserve">Jan Jacques Michiels, </w:t>
      </w:r>
      <w:r w:rsidRPr="002B7ADC">
        <w:rPr>
          <w:rFonts w:ascii="Book Antiqua" w:eastAsia="MS Mincho" w:hAnsi="Book Antiqua"/>
          <w:b/>
          <w:sz w:val="24"/>
          <w:szCs w:val="24"/>
          <w:lang w:val="en-GB" w:eastAsia="ja-JP"/>
        </w:rPr>
        <w:t>MD, PhD,</w:t>
      </w:r>
      <w:r w:rsidRPr="002B7ADC">
        <w:rPr>
          <w:rFonts w:ascii="Book Antiqua" w:hAnsi="Book Antiqua"/>
          <w:b/>
          <w:sz w:val="24"/>
          <w:szCs w:val="24"/>
          <w:lang w:val="en-GB" w:eastAsia="zh-CN"/>
        </w:rPr>
        <w:t xml:space="preserve"> </w:t>
      </w:r>
      <w:r w:rsidRPr="002B7ADC">
        <w:rPr>
          <w:rFonts w:ascii="Book Antiqua" w:eastAsia="MS Mincho" w:hAnsi="Book Antiqua"/>
          <w:b/>
          <w:sz w:val="24"/>
          <w:szCs w:val="24"/>
          <w:lang w:val="fr-FR" w:eastAsia="ja-JP"/>
        </w:rPr>
        <w:t>Senior Internist</w:t>
      </w:r>
      <w:r>
        <w:rPr>
          <w:rFonts w:ascii="Book Antiqua" w:hAnsi="Book Antiqua"/>
          <w:b/>
          <w:sz w:val="24"/>
          <w:szCs w:val="24"/>
          <w:lang w:val="fr-FR" w:eastAsia="zh-CN"/>
        </w:rPr>
        <w:t xml:space="preserve">, </w:t>
      </w:r>
      <w:r w:rsidRPr="002B7ADC">
        <w:rPr>
          <w:rFonts w:ascii="Book Antiqua" w:eastAsia="MS Mincho" w:hAnsi="Book Antiqua"/>
          <w:sz w:val="24"/>
          <w:szCs w:val="24"/>
          <w:lang w:val="en-GB" w:eastAsia="ja-JP"/>
        </w:rPr>
        <w:t>European Working Group on Myeloproliferative Neoplasms (EWG.MPN)</w:t>
      </w:r>
      <w:r w:rsidRPr="002B7ADC">
        <w:rPr>
          <w:rFonts w:ascii="Book Antiqua" w:hAnsi="Book Antiqua"/>
          <w:sz w:val="24"/>
          <w:szCs w:val="24"/>
          <w:lang w:val="en-GB" w:eastAsia="zh-CN"/>
        </w:rPr>
        <w:t xml:space="preserve">, </w:t>
      </w:r>
      <w:r w:rsidRPr="002B7ADC">
        <w:rPr>
          <w:rFonts w:ascii="Book Antiqua" w:eastAsia="MS Mincho" w:hAnsi="Book Antiqua"/>
          <w:sz w:val="24"/>
          <w:szCs w:val="24"/>
          <w:lang w:val="en-GB" w:eastAsia="ja-JP"/>
        </w:rPr>
        <w:t>Goodheart Institute, Rotterdam</w:t>
      </w:r>
      <w:r w:rsidRPr="002B7ADC">
        <w:rPr>
          <w:rFonts w:ascii="Book Antiqua" w:hAnsi="Book Antiqua"/>
          <w:sz w:val="24"/>
          <w:szCs w:val="24"/>
          <w:lang w:val="en-GB" w:eastAsia="zh-CN"/>
        </w:rPr>
        <w:t xml:space="preserve">, </w:t>
      </w:r>
      <w:r w:rsidRPr="002B7ADC">
        <w:rPr>
          <w:rFonts w:ascii="Book Antiqua" w:eastAsia="MS Mincho" w:hAnsi="Book Antiqua"/>
          <w:sz w:val="24"/>
          <w:szCs w:val="24"/>
          <w:lang w:val="en-GB" w:eastAsia="ja-JP"/>
        </w:rPr>
        <w:t>Erasmus Tower, Veenmos 13, 3069 AT Rotterdam, The Netherlands</w:t>
      </w:r>
      <w:r w:rsidRPr="002B7ADC">
        <w:rPr>
          <w:rFonts w:ascii="Book Antiqua" w:hAnsi="Book Antiqua"/>
          <w:sz w:val="24"/>
          <w:szCs w:val="24"/>
          <w:lang w:val="en-GB" w:eastAsia="zh-CN"/>
        </w:rPr>
        <w:t xml:space="preserve">. </w:t>
      </w:r>
      <w:hyperlink r:id="rId8" w:history="1">
        <w:r w:rsidRPr="002B7ADC">
          <w:rPr>
            <w:rFonts w:ascii="Book Antiqua" w:eastAsia="MS Mincho" w:hAnsi="Book Antiqua"/>
            <w:color w:val="0000FF"/>
            <w:sz w:val="24"/>
            <w:szCs w:val="24"/>
            <w:u w:val="single"/>
            <w:lang w:val="en-GB" w:eastAsia="ja-JP"/>
          </w:rPr>
          <w:t>goodheartcenter@upcmail.nl</w:t>
        </w:r>
      </w:hyperlink>
      <w:r w:rsidRPr="002B7ADC">
        <w:rPr>
          <w:rFonts w:ascii="Book Antiqua" w:eastAsia="MS Mincho" w:hAnsi="Book Antiqua"/>
          <w:sz w:val="24"/>
          <w:szCs w:val="24"/>
          <w:lang w:val="en-GB" w:eastAsia="ja-JP"/>
        </w:rPr>
        <w:t xml:space="preserve"> </w:t>
      </w:r>
    </w:p>
    <w:p w:rsidR="00702CE8" w:rsidRPr="006F5491" w:rsidRDefault="00702CE8" w:rsidP="00C41BE2">
      <w:pPr>
        <w:spacing w:after="0" w:line="360" w:lineRule="auto"/>
        <w:jc w:val="both"/>
        <w:rPr>
          <w:rFonts w:ascii="Book Antiqua" w:hAnsi="Book Antiqua"/>
          <w:color w:val="000000"/>
          <w:sz w:val="24"/>
        </w:rPr>
      </w:pPr>
      <w:bookmarkStart w:id="1" w:name="OLE_LINK76"/>
      <w:bookmarkStart w:id="2" w:name="OLE_LINK77"/>
      <w:r w:rsidRPr="005C6A5F">
        <w:rPr>
          <w:rFonts w:ascii="Book Antiqua" w:hAnsi="Book Antiqua"/>
          <w:b/>
          <w:color w:val="000000"/>
          <w:sz w:val="24"/>
        </w:rPr>
        <w:lastRenderedPageBreak/>
        <w:t>Telephone:</w:t>
      </w:r>
      <w:r>
        <w:rPr>
          <w:rFonts w:ascii="Book Antiqua" w:hAnsi="Book Antiqua"/>
          <w:color w:val="000000"/>
          <w:sz w:val="24"/>
        </w:rPr>
        <w:t xml:space="preserve">  </w:t>
      </w:r>
      <w:r w:rsidRPr="003E718E">
        <w:rPr>
          <w:rFonts w:ascii="Book Antiqua" w:hAnsi="Book Antiqua"/>
          <w:color w:val="000000"/>
          <w:sz w:val="24"/>
        </w:rPr>
        <w:t>+31-62-6970534</w:t>
      </w:r>
      <w:r>
        <w:rPr>
          <w:rFonts w:ascii="Book Antiqua" w:hAnsi="Book Antiqua"/>
          <w:color w:val="000000"/>
          <w:sz w:val="24"/>
        </w:rPr>
        <w:t xml:space="preserve">   </w:t>
      </w:r>
      <w:r w:rsidRPr="005C6A5F">
        <w:rPr>
          <w:rFonts w:ascii="Book Antiqua" w:hAnsi="Book Antiqua"/>
          <w:b/>
          <w:color w:val="000000"/>
          <w:sz w:val="24"/>
        </w:rPr>
        <w:t xml:space="preserve">Fax: </w:t>
      </w:r>
      <w:r w:rsidRPr="003E718E">
        <w:rPr>
          <w:rFonts w:ascii="Book Antiqua" w:hAnsi="Book Antiqua"/>
          <w:color w:val="000000"/>
          <w:sz w:val="24"/>
        </w:rPr>
        <w:t>+31-62-6970534</w:t>
      </w:r>
    </w:p>
    <w:p w:rsidR="00702CE8" w:rsidRDefault="00702CE8" w:rsidP="00C41BE2">
      <w:pPr>
        <w:spacing w:after="0" w:line="360" w:lineRule="auto"/>
        <w:jc w:val="both"/>
        <w:rPr>
          <w:rFonts w:ascii="Book Antiqua" w:hAnsi="Book Antiqua"/>
          <w:b/>
          <w:color w:val="000000"/>
          <w:sz w:val="24"/>
          <w:lang w:eastAsia="zh-CN"/>
        </w:rPr>
      </w:pPr>
    </w:p>
    <w:p w:rsidR="00702CE8" w:rsidRDefault="00702CE8" w:rsidP="00C41BE2">
      <w:pPr>
        <w:spacing w:after="0" w:line="360" w:lineRule="auto"/>
        <w:jc w:val="both"/>
        <w:rPr>
          <w:rFonts w:ascii="Book Antiqua" w:hAnsi="Book Antiqua"/>
          <w:b/>
          <w:color w:val="000000"/>
          <w:sz w:val="24"/>
          <w:lang w:eastAsia="zh-CN"/>
        </w:rPr>
      </w:pPr>
      <w:r w:rsidRPr="005C6A5F">
        <w:rPr>
          <w:rFonts w:ascii="Book Antiqua" w:hAnsi="Book Antiqua"/>
          <w:b/>
          <w:color w:val="000000"/>
          <w:sz w:val="24"/>
        </w:rPr>
        <w:t>Received:</w:t>
      </w:r>
      <w:r>
        <w:rPr>
          <w:rFonts w:ascii="Book Antiqua" w:hAnsi="Book Antiqua"/>
          <w:b/>
          <w:color w:val="000000"/>
          <w:sz w:val="24"/>
        </w:rPr>
        <w:t xml:space="preserve"> </w:t>
      </w:r>
      <w:bookmarkStart w:id="3" w:name="OLE_LINK6"/>
      <w:bookmarkStart w:id="4" w:name="OLE_LINK7"/>
      <w:bookmarkStart w:id="5" w:name="OLE_LINK65"/>
      <w:bookmarkStart w:id="6" w:name="OLE_LINK46"/>
      <w:bookmarkStart w:id="7" w:name="OLE_LINK167"/>
      <w:bookmarkStart w:id="8" w:name="OLE_LINK143"/>
      <w:bookmarkStart w:id="9" w:name="OLE_LINK18"/>
      <w:r w:rsidRPr="00421E83">
        <w:rPr>
          <w:rFonts w:ascii="Book Antiqua" w:hAnsi="Book Antiqua"/>
          <w:sz w:val="24"/>
          <w:szCs w:val="24"/>
        </w:rPr>
        <w:t>January</w:t>
      </w:r>
      <w:bookmarkEnd w:id="3"/>
      <w:bookmarkEnd w:id="4"/>
      <w:bookmarkEnd w:id="5"/>
      <w:bookmarkEnd w:id="6"/>
      <w:bookmarkEnd w:id="7"/>
      <w:bookmarkEnd w:id="8"/>
      <w:bookmarkEnd w:id="9"/>
      <w:r>
        <w:rPr>
          <w:rFonts w:ascii="Book Antiqua" w:hAnsi="Book Antiqua"/>
          <w:sz w:val="24"/>
          <w:szCs w:val="24"/>
          <w:lang w:eastAsia="zh-CN"/>
        </w:rPr>
        <w:t xml:space="preserve"> 11, 2013   </w:t>
      </w:r>
      <w:r>
        <w:rPr>
          <w:rFonts w:ascii="Book Antiqua" w:hAnsi="Book Antiqua"/>
          <w:color w:val="000000"/>
          <w:sz w:val="24"/>
        </w:rPr>
        <w:t xml:space="preserve">  </w:t>
      </w:r>
      <w:r w:rsidRPr="005C6A5F">
        <w:rPr>
          <w:rFonts w:ascii="Book Antiqua" w:hAnsi="Book Antiqua"/>
          <w:b/>
          <w:color w:val="000000"/>
          <w:sz w:val="24"/>
        </w:rPr>
        <w:t xml:space="preserve">Revised: </w:t>
      </w:r>
      <w:r w:rsidRPr="00421E83">
        <w:rPr>
          <w:rFonts w:ascii="Book Antiqua" w:hAnsi="Book Antiqua"/>
          <w:sz w:val="24"/>
          <w:szCs w:val="24"/>
        </w:rPr>
        <w:t>June</w:t>
      </w:r>
      <w:r>
        <w:rPr>
          <w:rFonts w:ascii="Book Antiqua" w:hAnsi="Book Antiqua"/>
          <w:sz w:val="24"/>
          <w:szCs w:val="24"/>
          <w:lang w:eastAsia="zh-CN"/>
        </w:rPr>
        <w:t xml:space="preserve"> 14, 2013</w:t>
      </w:r>
    </w:p>
    <w:p w:rsidR="001D42DE" w:rsidRPr="009C501B" w:rsidRDefault="00702CE8" w:rsidP="001D42DE">
      <w:pPr>
        <w:rPr>
          <w:rFonts w:ascii="Book Antiqua" w:hAnsi="Book Antiqua"/>
          <w:sz w:val="24"/>
          <w:szCs w:val="24"/>
        </w:rPr>
      </w:pPr>
      <w:r w:rsidRPr="005C6A5F">
        <w:rPr>
          <w:rFonts w:ascii="Book Antiqua" w:hAnsi="Book Antiqua"/>
          <w:b/>
          <w:color w:val="000000"/>
          <w:sz w:val="24"/>
        </w:rPr>
        <w:t xml:space="preserve">Accepted: </w:t>
      </w:r>
      <w:r w:rsidR="001D42DE" w:rsidRPr="009C501B">
        <w:rPr>
          <w:rFonts w:ascii="Book Antiqua" w:hAnsi="Book Antiqua"/>
          <w:sz w:val="24"/>
          <w:szCs w:val="24"/>
        </w:rPr>
        <w:t>June 18, 2013</w:t>
      </w:r>
    </w:p>
    <w:p w:rsidR="00702CE8" w:rsidRPr="003408E1" w:rsidRDefault="00702CE8" w:rsidP="00C41BE2">
      <w:pPr>
        <w:spacing w:after="0" w:line="360" w:lineRule="auto"/>
        <w:jc w:val="both"/>
        <w:rPr>
          <w:rFonts w:ascii="Book Antiqua" w:hAnsi="Book Antiqua"/>
          <w:b/>
          <w:color w:val="000000"/>
          <w:sz w:val="24"/>
        </w:rPr>
      </w:pPr>
    </w:p>
    <w:p w:rsidR="00702CE8" w:rsidRPr="005C6A5F" w:rsidRDefault="00702CE8" w:rsidP="00C41BE2">
      <w:pPr>
        <w:spacing w:after="0" w:line="360" w:lineRule="auto"/>
        <w:jc w:val="both"/>
        <w:rPr>
          <w:rFonts w:ascii="Book Antiqua" w:hAnsi="Book Antiqua"/>
          <w:color w:val="000000"/>
          <w:sz w:val="24"/>
        </w:rPr>
      </w:pPr>
      <w:r w:rsidRPr="005C6A5F">
        <w:rPr>
          <w:rFonts w:ascii="Book Antiqua" w:hAnsi="Book Antiqua"/>
          <w:b/>
          <w:color w:val="000000"/>
          <w:sz w:val="24"/>
        </w:rPr>
        <w:t xml:space="preserve">Published online: </w:t>
      </w:r>
    </w:p>
    <w:bookmarkEnd w:id="1"/>
    <w:bookmarkEnd w:id="2"/>
    <w:p w:rsidR="00702CE8" w:rsidRPr="002B7ADC" w:rsidRDefault="00702CE8" w:rsidP="00AC3FB8">
      <w:pPr>
        <w:suppressAutoHyphens/>
        <w:autoSpaceDN w:val="0"/>
        <w:spacing w:after="0" w:line="360" w:lineRule="auto"/>
        <w:jc w:val="both"/>
        <w:rPr>
          <w:rFonts w:ascii="Book Antiqua" w:eastAsia="MS Mincho" w:hAnsi="Book Antiqua"/>
          <w:sz w:val="24"/>
          <w:szCs w:val="24"/>
          <w:lang w:val="en-GB"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p>
    <w:p w:rsidR="00702CE8" w:rsidRPr="00CC3D0A" w:rsidRDefault="00702CE8" w:rsidP="00AC3FB8">
      <w:pPr>
        <w:pageBreakBefore/>
        <w:suppressAutoHyphens/>
        <w:autoSpaceDN w:val="0"/>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lastRenderedPageBreak/>
        <w:t>Abstract</w:t>
      </w:r>
    </w:p>
    <w:p w:rsidR="00702CE8" w:rsidRDefault="00702CE8" w:rsidP="00AC3FB8">
      <w:pPr>
        <w:suppressAutoHyphens/>
        <w:autoSpaceDN w:val="0"/>
        <w:spacing w:after="0" w:line="360" w:lineRule="auto"/>
        <w:jc w:val="both"/>
        <w:rPr>
          <w:rFonts w:ascii="Book Antiqua" w:hAnsi="Book Antiqua"/>
          <w:sz w:val="24"/>
          <w:szCs w:val="24"/>
          <w:lang w:val="en-US" w:eastAsia="zh-CN"/>
        </w:rPr>
      </w:pPr>
      <w:r w:rsidRPr="00CC3D0A">
        <w:rPr>
          <w:rFonts w:ascii="Book Antiqua" w:eastAsia="MS Mincho" w:hAnsi="Book Antiqua"/>
          <w:sz w:val="24"/>
          <w:szCs w:val="24"/>
          <w:lang w:val="en-GB" w:eastAsia="ja-JP"/>
        </w:rPr>
        <w:t>The PVSG, WHO and European Clinical, Molecular and Pathological (ECMP) classifications agree upon the diagnostic criteria for polycythemia vera (PV) and advanced primary myelofibrosis (PMF). Essential thrombocythemia (ET) according to PVSG and 2007/2008 WHO criteria comprises three variants of JAK2</w:t>
      </w:r>
      <w:r w:rsidRPr="00CC3D0A">
        <w:rPr>
          <w:rFonts w:ascii="Book Antiqua" w:eastAsia="MS Mincho" w:hAnsi="Book Antiqua"/>
          <w:sz w:val="24"/>
          <w:szCs w:val="24"/>
          <w:vertAlign w:val="superscript"/>
          <w:lang w:val="en-GB" w:eastAsia="ja-JP"/>
        </w:rPr>
        <w:t>V</w:t>
      </w:r>
      <w:smartTag w:uri="urn:schemas-microsoft-com:office:smarttags" w:element="chmetcnv">
        <w:smartTagPr>
          <w:attr w:name="UnitName" w:val="F"/>
          <w:attr w:name="SourceValue" w:val="617"/>
          <w:attr w:name="HasSpace" w:val="False"/>
          <w:attr w:name="Negative" w:val="False"/>
          <w:attr w:name="NumberType" w:val="1"/>
          <w:attr w:name="TCSC" w:val="0"/>
        </w:smartTagPr>
        <w:r w:rsidRPr="00CC3D0A">
          <w:rPr>
            <w:rFonts w:ascii="Book Antiqua" w:eastAsia="MS Mincho" w:hAnsi="Book Antiqua"/>
            <w:sz w:val="24"/>
            <w:szCs w:val="24"/>
            <w:vertAlign w:val="superscript"/>
            <w:lang w:val="en-GB" w:eastAsia="ja-JP"/>
          </w:rPr>
          <w:t>617F</w:t>
        </w:r>
      </w:smartTag>
      <w:r w:rsidRPr="00CC3D0A">
        <w:rPr>
          <w:rFonts w:ascii="Book Antiqua" w:eastAsia="MS Mincho" w:hAnsi="Book Antiqua"/>
          <w:sz w:val="24"/>
          <w:szCs w:val="24"/>
          <w:vertAlign w:val="superscript"/>
          <w:lang w:val="en-GB" w:eastAsia="ja-JP"/>
        </w:rPr>
        <w:t xml:space="preserve"> </w:t>
      </w:r>
      <w:r w:rsidRPr="00CC3D0A">
        <w:rPr>
          <w:rFonts w:ascii="Book Antiqua" w:eastAsia="MS Mincho" w:hAnsi="Book Antiqua"/>
          <w:sz w:val="24"/>
          <w:szCs w:val="24"/>
          <w:lang w:val="en-GB" w:eastAsia="ja-JP"/>
        </w:rPr>
        <w:t>mutated ET when the ECMP criteria are applied. These include normocellular ET, hypercellular ET with features of early PV (prodromal PV), and hypercellular ET due to megakaryocytic, granulocytic myeloproliferation (ET.MGM). Evolution of prodromal PV into overt PV is common. Development of myelofibrosis is rare in normocellular ET (WHO-ET) but rather common in hypercellular ET.MGM. The JAK2</w:t>
      </w:r>
      <w:r w:rsidRPr="00CC3D0A">
        <w:rPr>
          <w:rFonts w:ascii="Book Antiqua" w:eastAsia="MS Mincho" w:hAnsi="Book Antiqua"/>
          <w:sz w:val="24"/>
          <w:szCs w:val="24"/>
          <w:vertAlign w:val="superscript"/>
          <w:lang w:val="en-GB" w:eastAsia="ja-JP"/>
        </w:rPr>
        <w:t>V</w:t>
      </w:r>
      <w:smartTag w:uri="urn:schemas-microsoft-com:office:smarttags" w:element="chmetcnv">
        <w:smartTagPr>
          <w:attr w:name="UnitName" w:val="F"/>
          <w:attr w:name="SourceValue" w:val="617"/>
          <w:attr w:name="HasSpace" w:val="False"/>
          <w:attr w:name="Negative" w:val="False"/>
          <w:attr w:name="NumberType" w:val="1"/>
          <w:attr w:name="TCSC" w:val="0"/>
        </w:smartTagPr>
        <w:r w:rsidRPr="00CC3D0A">
          <w:rPr>
            <w:rFonts w:ascii="Book Antiqua" w:eastAsia="MS Mincho" w:hAnsi="Book Antiqua"/>
            <w:sz w:val="24"/>
            <w:szCs w:val="24"/>
            <w:vertAlign w:val="superscript"/>
            <w:lang w:val="en-GB" w:eastAsia="ja-JP"/>
          </w:rPr>
          <w:t>617F</w:t>
        </w:r>
      </w:smartTag>
      <w:r w:rsidRPr="00CC3D0A">
        <w:rPr>
          <w:rFonts w:ascii="Book Antiqua" w:eastAsia="MS Mincho" w:hAnsi="Book Antiqua"/>
          <w:sz w:val="24"/>
          <w:szCs w:val="24"/>
          <w:lang w:val="en-GB" w:eastAsia="ja-JP"/>
        </w:rPr>
        <w:t xml:space="preserve"> mutation burden in heterozygous mutated normocellular ET and in heterozygous/homozygous or homozygous mutated PV and ET.MGM is of major prognostic significance. </w:t>
      </w:r>
      <w:r w:rsidRPr="00CC3D0A">
        <w:rPr>
          <w:rFonts w:ascii="Book Antiqua" w:eastAsia="MS Mincho" w:hAnsi="Book Antiqua"/>
          <w:sz w:val="24"/>
          <w:szCs w:val="24"/>
          <w:lang w:val="en-US" w:eastAsia="ja-JP"/>
        </w:rPr>
        <w:t>JAK2/MPL wild type ET associated with prefibrotic primary megakaryocytic and granulocytic myeloproliferation (PMGM) is characterized by dense clustered immature dysmorphic megakaryocytes with bulky (bulbous) hyperchromatic nuclei, which are never seen in JAK2</w:t>
      </w:r>
      <w:r w:rsidRPr="00CC3D0A">
        <w:rPr>
          <w:rFonts w:ascii="Book Antiqua" w:eastAsia="MS Mincho" w:hAnsi="Book Antiqua"/>
          <w:sz w:val="24"/>
          <w:szCs w:val="24"/>
          <w:vertAlign w:val="superscript"/>
          <w:lang w:val="en-US" w:eastAsia="ja-JP"/>
        </w:rPr>
        <w:t>V</w:t>
      </w:r>
      <w:smartTag w:uri="urn:schemas-microsoft-com:office:smarttags" w:element="chmetcnv">
        <w:smartTagPr>
          <w:attr w:name="UnitName" w:val="F"/>
          <w:attr w:name="SourceValue" w:val="617"/>
          <w:attr w:name="HasSpace" w:val="False"/>
          <w:attr w:name="Negative" w:val="False"/>
          <w:attr w:name="NumberType" w:val="1"/>
          <w:attr w:name="TCSC" w:val="0"/>
        </w:smartTagPr>
        <w:r w:rsidRPr="00CC3D0A">
          <w:rPr>
            <w:rFonts w:ascii="Book Antiqua" w:eastAsia="MS Mincho" w:hAnsi="Book Antiqua"/>
            <w:sz w:val="24"/>
            <w:szCs w:val="24"/>
            <w:vertAlign w:val="superscript"/>
            <w:lang w:val="en-US" w:eastAsia="ja-JP"/>
          </w:rPr>
          <w:t>617F</w:t>
        </w:r>
      </w:smartTag>
      <w:r w:rsidRPr="00CC3D0A">
        <w:rPr>
          <w:rFonts w:ascii="Book Antiqua" w:eastAsia="MS Mincho" w:hAnsi="Book Antiqua"/>
          <w:sz w:val="24"/>
          <w:szCs w:val="24"/>
          <w:lang w:val="en-US" w:eastAsia="ja-JP"/>
        </w:rPr>
        <w:t xml:space="preserve"> mutated ET, and PV and also not in MPL</w:t>
      </w:r>
      <w:r w:rsidRPr="00CC3D0A">
        <w:rPr>
          <w:rFonts w:ascii="Book Antiqua" w:eastAsia="MS Mincho" w:hAnsi="Book Antiqua"/>
          <w:sz w:val="24"/>
          <w:szCs w:val="24"/>
          <w:vertAlign w:val="superscript"/>
          <w:lang w:val="en-US" w:eastAsia="ja-JP"/>
        </w:rPr>
        <w:t>515</w:t>
      </w:r>
      <w:r w:rsidRPr="00CC3D0A">
        <w:rPr>
          <w:rFonts w:ascii="Book Antiqua" w:eastAsia="MS Mincho" w:hAnsi="Book Antiqua"/>
          <w:sz w:val="24"/>
          <w:szCs w:val="24"/>
          <w:lang w:val="en-US" w:eastAsia="ja-JP"/>
        </w:rPr>
        <w:t xml:space="preserve"> mutated normocellular ET (WHO-ET).</w:t>
      </w:r>
      <w:r>
        <w:rPr>
          <w:rFonts w:ascii="Book Antiqua" w:eastAsia="MS Mincho" w:hAnsi="Book Antiqua"/>
          <w:sz w:val="24"/>
          <w:szCs w:val="24"/>
          <w:lang w:val="en-US" w:eastAsia="ja-JP"/>
        </w:rPr>
        <w:t xml:space="preserve"> </w:t>
      </w:r>
      <w:r w:rsidRPr="00CC3D0A">
        <w:rPr>
          <w:rFonts w:ascii="Book Antiqua" w:eastAsia="MS Mincho" w:hAnsi="Book Antiqua"/>
          <w:sz w:val="24"/>
          <w:szCs w:val="24"/>
          <w:lang w:val="en-GB" w:eastAsia="ja-JP"/>
        </w:rPr>
        <w:t>JAK2</w:t>
      </w:r>
      <w:r w:rsidRPr="00CC3D0A">
        <w:rPr>
          <w:rFonts w:ascii="Book Antiqua" w:eastAsia="MS Mincho" w:hAnsi="Book Antiqua"/>
          <w:sz w:val="24"/>
          <w:szCs w:val="24"/>
          <w:vertAlign w:val="superscript"/>
          <w:lang w:val="en-GB" w:eastAsia="ja-JP"/>
        </w:rPr>
        <w:t>V617</w:t>
      </w:r>
      <w:r w:rsidRPr="00CC3D0A">
        <w:rPr>
          <w:rFonts w:ascii="Book Antiqua" w:eastAsia="MS Mincho" w:hAnsi="Book Antiqua"/>
          <w:sz w:val="24"/>
          <w:szCs w:val="24"/>
          <w:lang w:val="en-GB" w:eastAsia="ja-JP"/>
        </w:rPr>
        <w:t xml:space="preserve"> mutation burden, spleen size, LDH, circulating CD34</w:t>
      </w:r>
      <w:r w:rsidRPr="00CC3D0A">
        <w:rPr>
          <w:rFonts w:ascii="Book Antiqua" w:eastAsia="MS Mincho" w:hAnsi="Book Antiqua"/>
          <w:sz w:val="24"/>
          <w:szCs w:val="24"/>
          <w:vertAlign w:val="superscript"/>
          <w:lang w:val="en-GB" w:eastAsia="ja-JP"/>
        </w:rPr>
        <w:t>+</w:t>
      </w:r>
      <w:r w:rsidRPr="00CC3D0A">
        <w:rPr>
          <w:rFonts w:ascii="Book Antiqua" w:eastAsia="MS Mincho" w:hAnsi="Book Antiqua"/>
          <w:sz w:val="24"/>
          <w:szCs w:val="24"/>
          <w:lang w:val="en-GB" w:eastAsia="ja-JP"/>
        </w:rPr>
        <w:t xml:space="preserve"> cells, and pre-treatment bone marrow histopathology are mandatory to stage the MPNs ET, PV, PMGM for proper prognosis assessment and therapeutic implications.</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US" w:eastAsia="ja-JP"/>
        </w:rPr>
        <w:t>Myelofibrosis (MF) itself is not a disease because reticulin fibrosis (RF) and reticulin/collagen fibrosis (RCF) are secondary responses of activated polyclonal fibroblasts to cytokines released from the clonal myeloproliferative granulocytic and megakaryocytic progenitor cells in ET.MGM, PV and PMGM.</w:t>
      </w: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Pr="005C6A5F" w:rsidRDefault="00702CE8" w:rsidP="00AC3FB8">
      <w:pPr>
        <w:spacing w:line="360" w:lineRule="auto"/>
        <w:jc w:val="both"/>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r w:rsidRPr="005C6A5F">
        <w:rPr>
          <w:rFonts w:ascii="Book Antiqua" w:hAnsi="Book Antiqua"/>
          <w:sz w:val="24"/>
        </w:rPr>
        <w:t>Baishideng. All rights reserved.</w:t>
      </w: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Pr="00027318" w:rsidRDefault="00702CE8" w:rsidP="00AC3FB8">
      <w:pPr>
        <w:suppressAutoHyphens/>
        <w:autoSpaceDN w:val="0"/>
        <w:spacing w:after="0" w:line="360" w:lineRule="auto"/>
        <w:jc w:val="both"/>
        <w:rPr>
          <w:rFonts w:ascii="Book Antiqua" w:eastAsia="MS Mincho" w:hAnsi="Book Antiqua"/>
          <w:sz w:val="24"/>
          <w:szCs w:val="24"/>
          <w:lang w:val="en-GB" w:eastAsia="ja-JP"/>
        </w:rPr>
      </w:pPr>
      <w:r w:rsidRPr="00CC3D0A">
        <w:rPr>
          <w:rFonts w:ascii="Book Antiqua" w:eastAsia="MS Mincho" w:hAnsi="Book Antiqua"/>
          <w:b/>
          <w:sz w:val="24"/>
          <w:szCs w:val="24"/>
          <w:lang w:val="en-GB" w:eastAsia="ja-JP"/>
        </w:rPr>
        <w:t xml:space="preserve">Key words: </w:t>
      </w:r>
      <w:r w:rsidRPr="00027318">
        <w:rPr>
          <w:rFonts w:ascii="Book Antiqua" w:eastAsia="MS Mincho" w:hAnsi="Book Antiqua"/>
          <w:sz w:val="24"/>
          <w:szCs w:val="24"/>
          <w:lang w:val="en-GB" w:eastAsia="ja-JP"/>
        </w:rPr>
        <w:t>Myeloproliferative neoplasms</w:t>
      </w:r>
      <w:r>
        <w:rPr>
          <w:rFonts w:ascii="Book Antiqua" w:hAnsi="Book Antiqua"/>
          <w:sz w:val="24"/>
          <w:szCs w:val="24"/>
          <w:lang w:val="en-GB" w:eastAsia="zh-CN"/>
        </w:rPr>
        <w:t>;</w:t>
      </w:r>
      <w:r w:rsidRPr="00027318">
        <w:rPr>
          <w:rFonts w:ascii="Book Antiqua" w:eastAsia="MS Mincho" w:hAnsi="Book Antiqua"/>
          <w:sz w:val="24"/>
          <w:szCs w:val="24"/>
          <w:lang w:val="en-GB" w:eastAsia="ja-JP"/>
        </w:rPr>
        <w:t xml:space="preserve"> Essential thrombocythemia</w:t>
      </w:r>
      <w:r>
        <w:rPr>
          <w:rFonts w:ascii="Book Antiqua" w:hAnsi="Book Antiqua"/>
          <w:sz w:val="24"/>
          <w:szCs w:val="24"/>
          <w:lang w:val="en-GB" w:eastAsia="zh-CN"/>
        </w:rPr>
        <w:t>;</w:t>
      </w:r>
      <w:r w:rsidRPr="00027318">
        <w:rPr>
          <w:rFonts w:ascii="Book Antiqua" w:eastAsia="MS Mincho" w:hAnsi="Book Antiqua"/>
          <w:sz w:val="24"/>
          <w:szCs w:val="24"/>
          <w:lang w:val="en-GB" w:eastAsia="ja-JP"/>
        </w:rPr>
        <w:t xml:space="preserve"> Prodromal polycythemia vera</w:t>
      </w:r>
      <w:r>
        <w:rPr>
          <w:rFonts w:ascii="Book Antiqua" w:hAnsi="Book Antiqua"/>
          <w:sz w:val="24"/>
          <w:szCs w:val="24"/>
          <w:lang w:val="en-GB" w:eastAsia="zh-CN"/>
        </w:rPr>
        <w:t>;</w:t>
      </w:r>
      <w:r w:rsidRPr="00027318">
        <w:rPr>
          <w:rFonts w:ascii="Book Antiqua" w:eastAsia="MS Mincho" w:hAnsi="Book Antiqua"/>
          <w:sz w:val="24"/>
          <w:szCs w:val="24"/>
          <w:lang w:val="en-GB" w:eastAsia="ja-JP"/>
        </w:rPr>
        <w:t xml:space="preserve"> Polycythemia vera</w:t>
      </w:r>
      <w:r>
        <w:rPr>
          <w:rFonts w:ascii="Book Antiqua" w:hAnsi="Book Antiqua"/>
          <w:sz w:val="24"/>
          <w:szCs w:val="24"/>
          <w:lang w:val="en-GB" w:eastAsia="zh-CN"/>
        </w:rPr>
        <w:t>;</w:t>
      </w:r>
      <w:r w:rsidRPr="00027318">
        <w:rPr>
          <w:rFonts w:ascii="Book Antiqua" w:eastAsia="MS Mincho" w:hAnsi="Book Antiqua"/>
          <w:sz w:val="24"/>
          <w:szCs w:val="24"/>
          <w:lang w:val="en-GB" w:eastAsia="ja-JP"/>
        </w:rPr>
        <w:t xml:space="preserve"> Myelofibrosis</w:t>
      </w:r>
      <w:r>
        <w:rPr>
          <w:rFonts w:ascii="Book Antiqua" w:hAnsi="Book Antiqua"/>
          <w:sz w:val="24"/>
          <w:szCs w:val="24"/>
          <w:lang w:val="en-GB" w:eastAsia="zh-CN"/>
        </w:rPr>
        <w:t>;</w:t>
      </w:r>
      <w:r w:rsidRPr="00027318">
        <w:rPr>
          <w:rFonts w:ascii="Book Antiqua" w:eastAsia="MS Mincho" w:hAnsi="Book Antiqua"/>
          <w:sz w:val="24"/>
          <w:szCs w:val="24"/>
          <w:lang w:val="en-GB" w:eastAsia="ja-JP"/>
        </w:rPr>
        <w:t xml:space="preserve"> JAK2 V</w:t>
      </w:r>
      <w:smartTag w:uri="urn:schemas-microsoft-com:office:smarttags" w:element="chmetcnv">
        <w:smartTagPr>
          <w:attr w:name="UnitName" w:val="F"/>
          <w:attr w:name="SourceValue" w:val="617"/>
          <w:attr w:name="HasSpace" w:val="False"/>
          <w:attr w:name="Negative" w:val="False"/>
          <w:attr w:name="NumberType" w:val="1"/>
          <w:attr w:name="TCSC" w:val="0"/>
        </w:smartTagPr>
        <w:r w:rsidRPr="00027318">
          <w:rPr>
            <w:rFonts w:ascii="Book Antiqua" w:eastAsia="MS Mincho" w:hAnsi="Book Antiqua"/>
            <w:sz w:val="24"/>
            <w:szCs w:val="24"/>
            <w:lang w:val="en-GB" w:eastAsia="ja-JP"/>
          </w:rPr>
          <w:t>617F</w:t>
        </w:r>
      </w:smartTag>
      <w:r w:rsidRPr="00027318">
        <w:rPr>
          <w:rFonts w:ascii="Book Antiqua" w:eastAsia="MS Mincho" w:hAnsi="Book Antiqua"/>
          <w:sz w:val="24"/>
          <w:szCs w:val="24"/>
          <w:lang w:val="en-GB" w:eastAsia="ja-JP"/>
        </w:rPr>
        <w:t xml:space="preserve"> mutation</w:t>
      </w:r>
      <w:r>
        <w:rPr>
          <w:rFonts w:ascii="Book Antiqua" w:hAnsi="Book Antiqua"/>
          <w:sz w:val="24"/>
          <w:szCs w:val="24"/>
          <w:lang w:val="en-GB" w:eastAsia="zh-CN"/>
        </w:rPr>
        <w:t>;</w:t>
      </w:r>
      <w:r w:rsidRPr="00027318">
        <w:rPr>
          <w:rFonts w:ascii="Book Antiqua" w:eastAsia="MS Mincho" w:hAnsi="Book Antiqua"/>
          <w:sz w:val="24"/>
          <w:szCs w:val="24"/>
          <w:lang w:val="en-GB" w:eastAsia="ja-JP"/>
        </w:rPr>
        <w:t xml:space="preserve"> JAK2 wild type myeloproliferative neoplasm</w:t>
      </w:r>
      <w:r>
        <w:rPr>
          <w:rFonts w:ascii="Book Antiqua" w:hAnsi="Book Antiqua"/>
          <w:sz w:val="24"/>
          <w:szCs w:val="24"/>
          <w:lang w:val="en-GB" w:eastAsia="zh-CN"/>
        </w:rPr>
        <w:t>;</w:t>
      </w:r>
      <w:r w:rsidRPr="00027318">
        <w:rPr>
          <w:rFonts w:ascii="Book Antiqua" w:eastAsia="MS Mincho" w:hAnsi="Book Antiqua"/>
          <w:sz w:val="24"/>
          <w:szCs w:val="24"/>
          <w:lang w:val="en-GB" w:eastAsia="ja-JP"/>
        </w:rPr>
        <w:t xml:space="preserve"> Bone marrow pathology</w:t>
      </w:r>
    </w:p>
    <w:p w:rsidR="00702CE8" w:rsidRDefault="00702CE8" w:rsidP="00AC3FB8">
      <w:pPr>
        <w:suppressAutoHyphens/>
        <w:autoSpaceDN w:val="0"/>
        <w:spacing w:after="0" w:line="360" w:lineRule="auto"/>
        <w:jc w:val="both"/>
        <w:rPr>
          <w:rFonts w:ascii="Book Antiqua" w:hAnsi="Book Antiqua"/>
          <w:sz w:val="24"/>
          <w:szCs w:val="24"/>
          <w:lang w:val="en-GB" w:eastAsia="zh-CN"/>
        </w:rPr>
      </w:pPr>
    </w:p>
    <w:p w:rsidR="00702CE8" w:rsidRDefault="00702CE8" w:rsidP="00942F23">
      <w:pPr>
        <w:spacing w:after="0" w:line="360" w:lineRule="auto"/>
        <w:jc w:val="both"/>
        <w:rPr>
          <w:rFonts w:ascii="Book Antiqua" w:hAnsi="Book Antiqua"/>
          <w:sz w:val="24"/>
          <w:szCs w:val="24"/>
          <w:vertAlign w:val="superscript"/>
          <w:lang w:val="en-US" w:eastAsia="zh-CN"/>
        </w:rPr>
      </w:pPr>
      <w:bookmarkStart w:id="10" w:name="OLE_LINK101"/>
      <w:bookmarkStart w:id="11" w:name="OLE_LINK107"/>
      <w:r w:rsidRPr="006B10CF">
        <w:rPr>
          <w:rFonts w:ascii="Book Antiqua" w:eastAsia="Arial Unicode MS" w:hAnsi="Book Antiqua" w:cs="Arial Unicode MS"/>
          <w:b/>
          <w:sz w:val="24"/>
        </w:rPr>
        <w:lastRenderedPageBreak/>
        <w:t>Core tip</w:t>
      </w:r>
      <w:r>
        <w:rPr>
          <w:rFonts w:ascii="Book Antiqua" w:eastAsia="Arial Unicode MS" w:hAnsi="Book Antiqua" w:cs="Arial Unicode MS"/>
          <w:b/>
          <w:sz w:val="24"/>
        </w:rPr>
        <w:t>:</w:t>
      </w:r>
      <w:bookmarkEnd w:id="10"/>
      <w:bookmarkEnd w:id="11"/>
      <w:r>
        <w:rPr>
          <w:rFonts w:ascii="Book Antiqua" w:eastAsia="Arial Unicode MS" w:hAnsi="Book Antiqua" w:cs="Arial Unicode MS"/>
          <w:b/>
          <w:sz w:val="24"/>
          <w:lang w:eastAsia="zh-CN"/>
        </w:rPr>
        <w:t xml:space="preserve"> </w:t>
      </w:r>
      <w:r w:rsidRPr="00236CEB">
        <w:rPr>
          <w:rFonts w:ascii="Book Antiqua" w:hAnsi="Book Antiqua"/>
          <w:sz w:val="24"/>
          <w:szCs w:val="24"/>
          <w:lang w:val="en-GB"/>
        </w:rPr>
        <w:t>The integrated WHO and European Clinical, Molecular and Pathological (WHO-ECMP) classification of the Myeloproliferative Neoplasms (MPN) include JAK2</w:t>
      </w:r>
      <w:r w:rsidRPr="00236CEB">
        <w:rPr>
          <w:rFonts w:ascii="Book Antiqua" w:hAnsi="Book Antiqua"/>
          <w:sz w:val="24"/>
          <w:szCs w:val="24"/>
          <w:vertAlign w:val="superscript"/>
          <w:lang w:val="en-GB"/>
        </w:rPr>
        <w:t>V</w:t>
      </w:r>
      <w:smartTag w:uri="urn:schemas-microsoft-com:office:smarttags" w:element="chmetcnv">
        <w:smartTagPr>
          <w:attr w:name="UnitName" w:val="F"/>
          <w:attr w:name="SourceValue" w:val="617"/>
          <w:attr w:name="HasSpace" w:val="False"/>
          <w:attr w:name="Negative" w:val="False"/>
          <w:attr w:name="NumberType" w:val="1"/>
          <w:attr w:name="TCSC" w:val="0"/>
        </w:smartTagPr>
        <w:r w:rsidRPr="00236CEB">
          <w:rPr>
            <w:rFonts w:ascii="Book Antiqua" w:hAnsi="Book Antiqua"/>
            <w:sz w:val="24"/>
            <w:szCs w:val="24"/>
            <w:vertAlign w:val="superscript"/>
            <w:lang w:val="en-GB"/>
          </w:rPr>
          <w:t>617F</w:t>
        </w:r>
      </w:smartTag>
      <w:r w:rsidRPr="00236CEB">
        <w:rPr>
          <w:rFonts w:ascii="Book Antiqua" w:hAnsi="Book Antiqua"/>
          <w:sz w:val="24"/>
          <w:szCs w:val="24"/>
          <w:lang w:val="en-GB"/>
        </w:rPr>
        <w:t xml:space="preserve"> mutated normocellular Essential Thrombocythemia (WHO-ET), prodromal PV, classical PV, and hypercellular ET due to megakaryocytic, granulocytic my eloproliferation (ET.MGM). Evolution of prodromal PV into overt PV is common. </w:t>
      </w:r>
      <w:r w:rsidRPr="00236CEB">
        <w:rPr>
          <w:rFonts w:ascii="Book Antiqua" w:hAnsi="Book Antiqua"/>
          <w:sz w:val="24"/>
          <w:szCs w:val="24"/>
          <w:lang w:val="en-US"/>
        </w:rPr>
        <w:t>JAK2/MPL wild type ET associated with prefibrotic primary megakaryocytic and granulocytic myeloproliferation (PMGM) is characterized by dense clustered immature dysmorphic megakaryocytes with bulky (bulbous) hyperchromatic nuclei, which are never seen in JAK2</w:t>
      </w:r>
      <w:r w:rsidRPr="00236CEB">
        <w:rPr>
          <w:rFonts w:ascii="Book Antiqua" w:hAnsi="Book Antiqua"/>
          <w:sz w:val="24"/>
          <w:szCs w:val="24"/>
          <w:vertAlign w:val="superscript"/>
          <w:lang w:val="en-US"/>
        </w:rPr>
        <w:t>V</w:t>
      </w:r>
      <w:smartTag w:uri="urn:schemas-microsoft-com:office:smarttags" w:element="chmetcnv">
        <w:smartTagPr>
          <w:attr w:name="UnitName" w:val="F"/>
          <w:attr w:name="SourceValue" w:val="617"/>
          <w:attr w:name="HasSpace" w:val="False"/>
          <w:attr w:name="Negative" w:val="False"/>
          <w:attr w:name="NumberType" w:val="1"/>
          <w:attr w:name="TCSC" w:val="0"/>
        </w:smartTagPr>
        <w:r w:rsidRPr="00236CEB">
          <w:rPr>
            <w:rFonts w:ascii="Book Antiqua" w:hAnsi="Book Antiqua"/>
            <w:sz w:val="24"/>
            <w:szCs w:val="24"/>
            <w:vertAlign w:val="superscript"/>
            <w:lang w:val="en-US"/>
          </w:rPr>
          <w:t>617F</w:t>
        </w:r>
      </w:smartTag>
      <w:r w:rsidRPr="00236CEB">
        <w:rPr>
          <w:rFonts w:ascii="Book Antiqua" w:hAnsi="Book Antiqua"/>
          <w:sz w:val="24"/>
          <w:szCs w:val="24"/>
          <w:lang w:val="en-US"/>
        </w:rPr>
        <w:t xml:space="preserve"> mutated ET and PV, and also not in JAK2 wild type  normocellular ET (WHO-ET) carrying in MPL</w:t>
      </w:r>
      <w:r w:rsidRPr="00236CEB">
        <w:rPr>
          <w:rFonts w:ascii="Book Antiqua" w:hAnsi="Book Antiqua"/>
          <w:sz w:val="24"/>
          <w:szCs w:val="24"/>
          <w:vertAlign w:val="superscript"/>
          <w:lang w:val="en-US"/>
        </w:rPr>
        <w:t>515</w:t>
      </w:r>
    </w:p>
    <w:p w:rsidR="00702CE8" w:rsidRDefault="00702CE8" w:rsidP="00942F23">
      <w:pPr>
        <w:spacing w:after="0" w:line="360" w:lineRule="auto"/>
        <w:jc w:val="both"/>
        <w:rPr>
          <w:rFonts w:ascii="Book Antiqua" w:hAnsi="Book Antiqua"/>
          <w:sz w:val="24"/>
          <w:szCs w:val="24"/>
          <w:vertAlign w:val="superscript"/>
          <w:lang w:val="en-US" w:eastAsia="zh-CN"/>
        </w:rPr>
      </w:pPr>
    </w:p>
    <w:p w:rsidR="00702CE8" w:rsidRDefault="00702CE8" w:rsidP="00942F23">
      <w:pPr>
        <w:spacing w:after="0" w:line="360" w:lineRule="auto"/>
        <w:jc w:val="both"/>
        <w:rPr>
          <w:rFonts w:ascii="Book Antiqua" w:hAnsi="Book Antiqua"/>
          <w:sz w:val="24"/>
          <w:szCs w:val="24"/>
          <w:vertAlign w:val="superscript"/>
          <w:lang w:val="en-US" w:eastAsia="zh-CN"/>
        </w:rPr>
      </w:pPr>
    </w:p>
    <w:p w:rsidR="00702CE8" w:rsidRPr="00CC3D0A" w:rsidRDefault="00702CE8" w:rsidP="00942F23">
      <w:pPr>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t>INTRODUCTION</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sz w:val="24"/>
          <w:szCs w:val="24"/>
          <w:lang w:val="en-GB" w:eastAsia="ja-JP"/>
        </w:rPr>
        <w:t>Vaquez</w:t>
      </w:r>
      <w:r w:rsidRPr="00CC3D0A">
        <w:rPr>
          <w:rFonts w:ascii="Book Antiqua" w:eastAsia="MS Mincho" w:hAnsi="Book Antiqua"/>
          <w:sz w:val="24"/>
          <w:szCs w:val="24"/>
          <w:vertAlign w:val="superscript"/>
          <w:lang w:val="en-GB" w:eastAsia="ja-JP"/>
        </w:rPr>
        <w:t>[1]</w:t>
      </w:r>
      <w:r>
        <w:rPr>
          <w:rFonts w:ascii="Book Antiqua" w:eastAsia="MS Mincho" w:hAnsi="Book Antiqua"/>
          <w:sz w:val="24"/>
          <w:szCs w:val="24"/>
          <w:lang w:val="en-GB" w:eastAsia="ja-JP"/>
        </w:rPr>
        <w:t xml:space="preserve"> and</w:t>
      </w:r>
      <w:r w:rsidRPr="00CC3D0A">
        <w:rPr>
          <w:rFonts w:ascii="Book Antiqua" w:eastAsia="MS Mincho" w:hAnsi="Book Antiqua"/>
          <w:sz w:val="24"/>
          <w:szCs w:val="24"/>
          <w:lang w:val="en-GB" w:eastAsia="ja-JP"/>
        </w:rPr>
        <w:t xml:space="preserve"> Osler</w:t>
      </w:r>
      <w:r w:rsidRPr="00CC3D0A">
        <w:rPr>
          <w:rFonts w:ascii="Book Antiqua" w:eastAsia="MS Mincho" w:hAnsi="Book Antiqua"/>
          <w:sz w:val="24"/>
          <w:szCs w:val="24"/>
          <w:vertAlign w:val="superscript"/>
          <w:lang w:val="en-GB" w:eastAsia="ja-JP"/>
        </w:rPr>
        <w:t>[2]</w:t>
      </w:r>
      <w:r w:rsidRPr="00CC3D0A">
        <w:rPr>
          <w:rFonts w:ascii="Book Antiqua" w:eastAsia="MS Mincho" w:hAnsi="Book Antiqua"/>
          <w:sz w:val="24"/>
          <w:szCs w:val="24"/>
          <w:lang w:val="en-GB" w:eastAsia="ja-JP"/>
        </w:rPr>
        <w:t xml:space="preserve"> first described PV as a distinct disease entity. In 1950, William Dameshek described PV as a trilinear myeloproliferation of the bone marrow with various degrees excessive production of red blood cells, granulocytes and platelet</w:t>
      </w:r>
      <w:r w:rsidRPr="00CC3D0A">
        <w:rPr>
          <w:rFonts w:ascii="Book Antiqua" w:eastAsia="MS Mincho" w:hAnsi="Book Antiqua"/>
          <w:sz w:val="24"/>
          <w:szCs w:val="24"/>
          <w:vertAlign w:val="superscript"/>
          <w:lang w:val="en-GB" w:eastAsia="ja-JP"/>
        </w:rPr>
        <w:t>[3]</w:t>
      </w:r>
      <w:r w:rsidRPr="00CC3D0A">
        <w:rPr>
          <w:rFonts w:ascii="Book Antiqua" w:eastAsia="MS Mincho" w:hAnsi="Book Antiqua"/>
          <w:sz w:val="24"/>
          <w:szCs w:val="24"/>
          <w:lang w:val="en-GB" w:eastAsia="ja-JP"/>
        </w:rPr>
        <w:t>. Dameshek proposed two highly speculative possibilities for the etiology of trilinear PV: first, the presence of excessive bone marrow stimulation by an unknown factor, a second, a lack or a diminution in the normal inhibitory factor</w:t>
      </w:r>
      <w:r w:rsidRPr="00CC3D0A">
        <w:rPr>
          <w:rFonts w:ascii="Book Antiqua" w:eastAsia="MS Mincho" w:hAnsi="Book Antiqua"/>
          <w:sz w:val="24"/>
          <w:szCs w:val="24"/>
          <w:vertAlign w:val="superscript"/>
          <w:lang w:val="en-GB" w:eastAsia="ja-JP"/>
        </w:rPr>
        <w:t>[3]</w:t>
      </w:r>
      <w:r w:rsidRPr="00CC3D0A">
        <w:rPr>
          <w:rFonts w:ascii="Book Antiqua" w:eastAsia="MS Mincho" w:hAnsi="Book Antiqua"/>
          <w:sz w:val="24"/>
          <w:szCs w:val="24"/>
          <w:lang w:val="en-GB" w:eastAsia="ja-JP"/>
        </w:rPr>
        <w:t>. This hypothesis is confirmed by the discovery of the JAK2</w:t>
      </w:r>
      <w:r w:rsidRPr="00CC3D0A">
        <w:rPr>
          <w:rFonts w:ascii="Book Antiqua" w:eastAsia="MS Mincho" w:hAnsi="Book Antiqua"/>
          <w:sz w:val="24"/>
          <w:szCs w:val="24"/>
          <w:vertAlign w:val="superscript"/>
          <w:lang w:val="en-GB" w:eastAsia="ja-JP"/>
        </w:rPr>
        <w:t>V</w:t>
      </w:r>
      <w:smartTag w:uri="urn:schemas-microsoft-com:office:smarttags" w:element="chmetcnv">
        <w:smartTagPr>
          <w:attr w:name="UnitName" w:val="F"/>
          <w:attr w:name="SourceValue" w:val="617"/>
          <w:attr w:name="HasSpace" w:val="False"/>
          <w:attr w:name="Negative" w:val="False"/>
          <w:attr w:name="NumberType" w:val="1"/>
          <w:attr w:name="TCSC" w:val="0"/>
        </w:smartTagPr>
        <w:r w:rsidRPr="00CC3D0A">
          <w:rPr>
            <w:rFonts w:ascii="Book Antiqua" w:eastAsia="MS Mincho" w:hAnsi="Book Antiqua"/>
            <w:sz w:val="24"/>
            <w:szCs w:val="24"/>
            <w:vertAlign w:val="superscript"/>
            <w:lang w:val="en-GB" w:eastAsia="ja-JP"/>
          </w:rPr>
          <w:t>617F</w:t>
        </w:r>
      </w:smartTag>
      <w:r w:rsidRPr="00CC3D0A">
        <w:rPr>
          <w:rFonts w:ascii="Book Antiqua" w:eastAsia="MS Mincho" w:hAnsi="Book Antiqua"/>
          <w:sz w:val="24"/>
          <w:szCs w:val="24"/>
          <w:lang w:val="en-GB" w:eastAsia="ja-JP"/>
        </w:rPr>
        <w:t xml:space="preserve"> mutationby </w:t>
      </w:r>
      <w:r w:rsidRPr="00A71AF8">
        <w:rPr>
          <w:rFonts w:ascii="Book Antiqua" w:eastAsia="MS Mincho" w:hAnsi="Book Antiqua"/>
          <w:sz w:val="24"/>
          <w:szCs w:val="24"/>
          <w:lang w:val="en-GB" w:eastAsia="ja-JP"/>
        </w:rPr>
        <w:t>James</w:t>
      </w:r>
      <w:r w:rsidRPr="00CC3D0A">
        <w:rPr>
          <w:rFonts w:ascii="Book Antiqua" w:eastAsia="MS Mincho" w:hAnsi="Book Antiqua"/>
          <w:sz w:val="24"/>
          <w:szCs w:val="24"/>
          <w:lang w:val="en-GB" w:eastAsia="ja-JP"/>
        </w:rPr>
        <w:t xml:space="preserve"> </w:t>
      </w:r>
      <w:r w:rsidRPr="006A52C0">
        <w:rPr>
          <w:rFonts w:ascii="Book Antiqua" w:eastAsia="MS Mincho" w:hAnsi="Book Antiqua"/>
          <w:i/>
          <w:sz w:val="24"/>
          <w:szCs w:val="24"/>
          <w:lang w:val="en-GB" w:eastAsia="ja-JP"/>
        </w:rPr>
        <w:t>et al</w:t>
      </w:r>
      <w:r w:rsidRPr="00CC3D0A">
        <w:rPr>
          <w:rFonts w:ascii="Book Antiqua" w:eastAsia="MS Mincho" w:hAnsi="Book Antiqua"/>
          <w:sz w:val="24"/>
          <w:szCs w:val="24"/>
          <w:vertAlign w:val="superscript"/>
          <w:lang w:val="en-GB" w:eastAsia="ja-JP"/>
        </w:rPr>
        <w:t>[4]</w:t>
      </w:r>
      <w:r w:rsidRPr="00CC3D0A">
        <w:rPr>
          <w:rFonts w:ascii="Book Antiqua" w:eastAsia="MS Mincho" w:hAnsi="Book Antiqua"/>
          <w:sz w:val="24"/>
          <w:szCs w:val="24"/>
          <w:lang w:val="en-GB" w:eastAsia="ja-JP"/>
        </w:rPr>
        <w:t xml:space="preserve"> in 2005 demonstrating that the JAK2</w:t>
      </w:r>
      <w:r w:rsidRPr="00CC3D0A">
        <w:rPr>
          <w:rFonts w:ascii="Book Antiqua" w:eastAsia="MS Mincho" w:hAnsi="Book Antiqua"/>
          <w:sz w:val="24"/>
          <w:szCs w:val="24"/>
          <w:vertAlign w:val="superscript"/>
          <w:lang w:val="en-GB" w:eastAsia="ja-JP"/>
        </w:rPr>
        <w:t>V</w:t>
      </w:r>
      <w:smartTag w:uri="urn:schemas-microsoft-com:office:smarttags" w:element="chmetcnv">
        <w:smartTagPr>
          <w:attr w:name="UnitName" w:val="F"/>
          <w:attr w:name="SourceValue" w:val="617"/>
          <w:attr w:name="HasSpace" w:val="False"/>
          <w:attr w:name="Negative" w:val="False"/>
          <w:attr w:name="NumberType" w:val="1"/>
          <w:attr w:name="TCSC" w:val="0"/>
        </w:smartTagPr>
        <w:r w:rsidRPr="00CC3D0A">
          <w:rPr>
            <w:rFonts w:ascii="Book Antiqua" w:eastAsia="MS Mincho" w:hAnsi="Book Antiqua"/>
            <w:sz w:val="24"/>
            <w:szCs w:val="24"/>
            <w:vertAlign w:val="superscript"/>
            <w:lang w:val="en-GB" w:eastAsia="ja-JP"/>
          </w:rPr>
          <w:t>617F</w:t>
        </w:r>
      </w:smartTag>
      <w:r w:rsidRPr="00CC3D0A">
        <w:rPr>
          <w:rFonts w:ascii="Book Antiqua" w:eastAsia="MS Mincho" w:hAnsi="Book Antiqua"/>
          <w:sz w:val="24"/>
          <w:szCs w:val="24"/>
          <w:lang w:val="en-GB" w:eastAsia="ja-JP"/>
        </w:rPr>
        <w:t xml:space="preserve"> mutation induces a loss of inhibitory activity of the JH2 pseudokinase part on the JH1 kinase part of JAK2, leading to enhanced activity of the normal JH1 kinase activity of JAK2. The JAK2</w:t>
      </w:r>
      <w:r w:rsidRPr="00CC3D0A">
        <w:rPr>
          <w:rFonts w:ascii="Book Antiqua" w:eastAsia="MS Mincho" w:hAnsi="Book Antiqua"/>
          <w:sz w:val="24"/>
          <w:szCs w:val="24"/>
          <w:vertAlign w:val="superscript"/>
          <w:lang w:val="en-GB" w:eastAsia="ja-JP"/>
        </w:rPr>
        <w:t>V</w:t>
      </w:r>
      <w:smartTag w:uri="urn:schemas-microsoft-com:office:smarttags" w:element="chmetcnv">
        <w:smartTagPr>
          <w:attr w:name="UnitName" w:val="F"/>
          <w:attr w:name="SourceValue" w:val="617"/>
          <w:attr w:name="HasSpace" w:val="False"/>
          <w:attr w:name="Negative" w:val="False"/>
          <w:attr w:name="NumberType" w:val="1"/>
          <w:attr w:name="TCSC" w:val="0"/>
        </w:smartTagPr>
        <w:r w:rsidRPr="00CC3D0A">
          <w:rPr>
            <w:rFonts w:ascii="Book Antiqua" w:eastAsia="MS Mincho" w:hAnsi="Book Antiqua"/>
            <w:sz w:val="24"/>
            <w:szCs w:val="24"/>
            <w:vertAlign w:val="superscript"/>
            <w:lang w:val="en-GB" w:eastAsia="ja-JP"/>
          </w:rPr>
          <w:t>617F</w:t>
        </w:r>
      </w:smartTag>
      <w:r w:rsidRPr="00CC3D0A">
        <w:rPr>
          <w:rFonts w:ascii="Book Antiqua" w:eastAsia="MS Mincho" w:hAnsi="Book Antiqua"/>
          <w:sz w:val="24"/>
          <w:szCs w:val="24"/>
          <w:lang w:val="en-GB" w:eastAsia="ja-JP"/>
        </w:rPr>
        <w:t xml:space="preserve"> mutation makes the mutated hematopoietic stem cells hypersensitive to hematopoietic growth factors TPO EPO, IGF1, SCF and GCSF, resulting in trilinear myeloproliferation with clinical manifestations of essential thrombocythemia (ET), polycythemia vera (PV) and myelofibrosis (MF) (Figure 1)</w:t>
      </w:r>
      <w:r w:rsidRPr="00CC3D0A">
        <w:rPr>
          <w:rFonts w:ascii="Book Antiqua" w:eastAsia="MS Mincho" w:hAnsi="Book Antiqua"/>
          <w:sz w:val="24"/>
          <w:szCs w:val="24"/>
          <w:vertAlign w:val="superscript"/>
          <w:lang w:val="en-GB" w:eastAsia="ja-JP"/>
        </w:rPr>
        <w:t>[4,5]</w:t>
      </w:r>
      <w:r w:rsidRPr="00CC3D0A">
        <w:rPr>
          <w:rFonts w:ascii="Book Antiqua" w:eastAsia="MS Mincho" w:hAnsi="Book Antiqua"/>
          <w:sz w:val="24"/>
          <w:szCs w:val="24"/>
          <w:lang w:val="en-GB" w:eastAsia="ja-JP"/>
        </w:rPr>
        <w:t>.</w:t>
      </w:r>
      <w:r>
        <w:rPr>
          <w:rFonts w:ascii="Book Antiqua" w:eastAsia="MS Mincho" w:hAnsi="Book Antiqua"/>
          <w:sz w:val="24"/>
          <w:szCs w:val="24"/>
          <w:lang w:val="en-GB" w:eastAsia="ja-JP"/>
        </w:rPr>
        <w:t xml:space="preserve"> </w:t>
      </w:r>
    </w:p>
    <w:p w:rsidR="00702CE8" w:rsidRPr="00CC3D0A" w:rsidRDefault="00702CE8" w:rsidP="00AC3FB8">
      <w:pPr>
        <w:suppressAutoHyphens/>
        <w:autoSpaceDN w:val="0"/>
        <w:spacing w:after="0" w:line="360" w:lineRule="auto"/>
        <w:ind w:firstLineChars="250" w:firstLine="600"/>
        <w:jc w:val="both"/>
        <w:rPr>
          <w:rFonts w:ascii="Book Antiqua" w:eastAsia="MS Mincho" w:hAnsi="Book Antiqua"/>
          <w:sz w:val="24"/>
          <w:szCs w:val="24"/>
          <w:lang w:val="en-US" w:eastAsia="ja-JP"/>
        </w:rPr>
      </w:pPr>
      <w:r w:rsidRPr="00CC3D0A">
        <w:rPr>
          <w:rFonts w:ascii="Book Antiqua" w:eastAsia="MS Mincho" w:hAnsi="Book Antiqua"/>
          <w:sz w:val="24"/>
          <w:szCs w:val="24"/>
          <w:lang w:val="en-GB" w:eastAsia="ja-JP"/>
        </w:rPr>
        <w:t>The PVSG followed the 1951 recommendations of Dameshek to define PV by increased red cell mass as a major criterion and proposed criteria for the clinical diagnosis of Ph-negative ET, PV and agnogenic myeloid metaplasia (AMM) with myelofibrosis (MF)</w:t>
      </w:r>
      <w:r w:rsidRPr="00CC3D0A">
        <w:rPr>
          <w:rFonts w:ascii="Book Antiqua" w:eastAsia="MS Mincho" w:hAnsi="Book Antiqua"/>
          <w:sz w:val="24"/>
          <w:szCs w:val="24"/>
          <w:vertAlign w:val="superscript"/>
          <w:lang w:val="en-GB" w:eastAsia="ja-JP"/>
        </w:rPr>
        <w:t>[6-10]</w:t>
      </w:r>
      <w:r w:rsidRPr="00CC3D0A">
        <w:rPr>
          <w:rFonts w:ascii="Book Antiqua" w:eastAsia="MS Mincho" w:hAnsi="Book Antiqua"/>
          <w:sz w:val="24"/>
          <w:szCs w:val="24"/>
          <w:lang w:val="en-GB" w:eastAsia="ja-JP"/>
        </w:rPr>
        <w:t xml:space="preserve">. The unifying concept of the lumping of the chronic </w:t>
      </w:r>
      <w:r w:rsidRPr="00CC3D0A">
        <w:rPr>
          <w:rFonts w:ascii="Book Antiqua" w:eastAsia="MS Mincho" w:hAnsi="Book Antiqua"/>
          <w:sz w:val="24"/>
          <w:szCs w:val="24"/>
          <w:lang w:val="en-GB" w:eastAsia="ja-JP"/>
        </w:rPr>
        <w:lastRenderedPageBreak/>
        <w:t>myeloproliferative disorders ET, PV, AMM, chronic myeloid leukemia (CML) by Dameshek in 1951 has been broken up by the PVSG in 1975 into Ph-positive (Ph</w:t>
      </w:r>
      <w:r w:rsidRPr="00CC3D0A">
        <w:rPr>
          <w:rFonts w:ascii="Book Antiqua" w:eastAsia="MS Mincho" w:hAnsi="Book Antiqua"/>
          <w:sz w:val="24"/>
          <w:szCs w:val="24"/>
          <w:vertAlign w:val="superscript"/>
          <w:lang w:val="en-GB" w:eastAsia="ja-JP"/>
        </w:rPr>
        <w:t>+</w:t>
      </w:r>
      <w:r w:rsidRPr="00CC3D0A">
        <w:rPr>
          <w:rFonts w:ascii="Book Antiqua" w:eastAsia="MS Mincho" w:hAnsi="Book Antiqua"/>
          <w:sz w:val="24"/>
          <w:szCs w:val="24"/>
          <w:lang w:val="en-GB" w:eastAsia="ja-JP"/>
        </w:rPr>
        <w:t>) CML and Ph-negative ET, PV and AMM (Figure 1)</w:t>
      </w:r>
      <w:r w:rsidRPr="00CC3D0A">
        <w:rPr>
          <w:rFonts w:ascii="Book Antiqua" w:eastAsia="MS Mincho" w:hAnsi="Book Antiqua"/>
          <w:sz w:val="24"/>
          <w:szCs w:val="24"/>
          <w:vertAlign w:val="superscript"/>
          <w:lang w:val="en-GB" w:eastAsia="ja-JP"/>
        </w:rPr>
        <w:t>[6-11]</w:t>
      </w:r>
      <w:r w:rsidRPr="00CC3D0A">
        <w:rPr>
          <w:rFonts w:ascii="Book Antiqua" w:eastAsia="MS Mincho" w:hAnsi="Book Antiqua"/>
          <w:sz w:val="24"/>
          <w:szCs w:val="24"/>
          <w:lang w:val="en-GB" w:eastAsia="ja-JP"/>
        </w:rPr>
        <w:t>. The Ph-negative MPDs ET, PV and MF form a benign group of chronic myeloproliferative disorders (MPD), whereas the Ph</w:t>
      </w:r>
      <w:r w:rsidRPr="00CC3D0A">
        <w:rPr>
          <w:rFonts w:ascii="Book Antiqua" w:eastAsia="MS Mincho" w:hAnsi="Book Antiqua"/>
          <w:sz w:val="24"/>
          <w:szCs w:val="24"/>
          <w:vertAlign w:val="superscript"/>
          <w:lang w:val="en-GB" w:eastAsia="ja-JP"/>
        </w:rPr>
        <w:t>+</w:t>
      </w:r>
      <w:r w:rsidRPr="00CC3D0A">
        <w:rPr>
          <w:rFonts w:ascii="Book Antiqua" w:eastAsia="MS Mincho" w:hAnsi="Book Antiqua"/>
          <w:sz w:val="24"/>
          <w:szCs w:val="24"/>
          <w:lang w:val="en-GB" w:eastAsia="ja-JP"/>
        </w:rPr>
        <w:t xml:space="preserve"> chromosome is the result of the </w:t>
      </w:r>
      <w:r w:rsidRPr="00CC3D0A">
        <w:rPr>
          <w:rFonts w:ascii="Book Antiqua" w:eastAsia="MS Mincho" w:hAnsi="Book Antiqua"/>
          <w:i/>
          <w:sz w:val="24"/>
          <w:szCs w:val="24"/>
          <w:lang w:val="en-GB" w:eastAsia="ja-JP"/>
        </w:rPr>
        <w:t>BRC/ABL</w:t>
      </w:r>
      <w:r w:rsidRPr="00CC3D0A">
        <w:rPr>
          <w:rFonts w:ascii="Book Antiqua" w:eastAsia="MS Mincho" w:hAnsi="Book Antiqua"/>
          <w:sz w:val="24"/>
          <w:szCs w:val="24"/>
          <w:lang w:val="en-GB" w:eastAsia="ja-JP"/>
        </w:rPr>
        <w:t xml:space="preserve"> fusion gene and protein&gt; </w:t>
      </w:r>
      <w:r w:rsidRPr="00CC3D0A">
        <w:rPr>
          <w:rFonts w:ascii="Book Antiqua" w:eastAsia="MS Mincho" w:hAnsi="Book Antiqua"/>
          <w:i/>
          <w:sz w:val="24"/>
          <w:szCs w:val="24"/>
          <w:lang w:val="en-GB" w:eastAsia="ja-JP"/>
        </w:rPr>
        <w:t>BCR/ABL</w:t>
      </w:r>
      <w:r w:rsidRPr="00CC3D0A">
        <w:rPr>
          <w:rFonts w:ascii="Book Antiqua" w:eastAsia="MS Mincho" w:hAnsi="Book Antiqua"/>
          <w:sz w:val="24"/>
          <w:szCs w:val="24"/>
          <w:lang w:val="en-GB" w:eastAsia="ja-JP"/>
        </w:rPr>
        <w:t>-positive CML is a real neoplasia (leukemia) with an inevitable transition into acute leukemia when strict morphological, biochemical, cytogenetic and molecular criteria are used in routine daily practice</w:t>
      </w:r>
      <w:r w:rsidRPr="00CC3D0A">
        <w:rPr>
          <w:rFonts w:ascii="Book Antiqua" w:eastAsia="MS Mincho" w:hAnsi="Book Antiqua"/>
          <w:sz w:val="24"/>
          <w:szCs w:val="24"/>
          <w:vertAlign w:val="superscript"/>
          <w:lang w:val="en-GB" w:eastAsia="ja-JP"/>
        </w:rPr>
        <w:t>[11,12]</w:t>
      </w:r>
      <w:r w:rsidRPr="00CC3D0A">
        <w:rPr>
          <w:rFonts w:ascii="Book Antiqua" w:eastAsia="MS Mincho" w:hAnsi="Book Antiqua"/>
          <w:sz w:val="24"/>
          <w:szCs w:val="24"/>
          <w:lang w:val="en-GB" w:eastAsia="ja-JP"/>
        </w:rPr>
        <w:t>. The Thrombocythemia Vera Study Group (TVSG) introduced bone marrow biopsy as a specific, pathognomonic clue for early stage ET, PV</w:t>
      </w:r>
      <w:r w:rsidRPr="00CC3D0A">
        <w:rPr>
          <w:rFonts w:ascii="Book Antiqua" w:eastAsia="MS Mincho" w:hAnsi="Book Antiqua"/>
          <w:sz w:val="24"/>
          <w:szCs w:val="24"/>
          <w:vertAlign w:val="superscript"/>
          <w:lang w:val="en-GB" w:eastAsia="ja-JP"/>
        </w:rPr>
        <w:t>[13,14]</w:t>
      </w:r>
      <w:r w:rsidRPr="00CC3D0A">
        <w:rPr>
          <w:rFonts w:ascii="Book Antiqua" w:eastAsia="MS Mincho" w:hAnsi="Book Antiqua"/>
          <w:sz w:val="24"/>
          <w:szCs w:val="24"/>
          <w:lang w:val="en-GB" w:eastAsia="ja-JP"/>
        </w:rPr>
        <w:t xml:space="preserve">. The PVSG </w:t>
      </w:r>
      <w:r w:rsidRPr="00CC3D0A">
        <w:rPr>
          <w:rFonts w:ascii="Book Antiqua" w:eastAsia="MS Mincho" w:hAnsi="Book Antiqua"/>
          <w:sz w:val="24"/>
          <w:szCs w:val="24"/>
          <w:vertAlign w:val="superscript"/>
          <w:lang w:val="en-GB" w:eastAsia="ja-JP"/>
        </w:rPr>
        <w:t xml:space="preserve">[6-8] </w:t>
      </w:r>
      <w:r w:rsidRPr="00CC3D0A">
        <w:rPr>
          <w:rFonts w:ascii="Book Antiqua" w:eastAsia="MS Mincho" w:hAnsi="Book Antiqua"/>
          <w:sz w:val="24"/>
          <w:szCs w:val="24"/>
          <w:lang w:val="en-GB" w:eastAsia="ja-JP"/>
        </w:rPr>
        <w:t>and the 2001 WHO criteria for the classification of the MPDs are not refined enough to also take the early prefibrotic stages of thrombocythemia in various MPDs into account</w:t>
      </w:r>
      <w:r w:rsidRPr="00CC3D0A">
        <w:rPr>
          <w:rFonts w:ascii="Book Antiqua" w:eastAsia="MS Mincho" w:hAnsi="Book Antiqua"/>
          <w:sz w:val="24"/>
          <w:szCs w:val="24"/>
          <w:vertAlign w:val="superscript"/>
          <w:lang w:val="en-GB" w:eastAsia="ja-JP"/>
        </w:rPr>
        <w:t>[15,16]</w:t>
      </w:r>
      <w:r w:rsidRPr="00CC3D0A">
        <w:rPr>
          <w:rFonts w:ascii="Book Antiqua" w:eastAsia="MS Mincho" w:hAnsi="Book Antiqua"/>
          <w:sz w:val="24"/>
          <w:szCs w:val="24"/>
          <w:lang w:val="en-GB" w:eastAsia="ja-JP"/>
        </w:rPr>
        <w:t>. The availability of the current clinical and molecular markers endogenous erythroid colony (EEC) formation, serum EPO levels, the JAK2</w:t>
      </w:r>
      <w:r w:rsidRPr="00CC3D0A">
        <w:rPr>
          <w:rFonts w:ascii="Book Antiqua" w:eastAsia="MS Mincho" w:hAnsi="Book Antiqua"/>
          <w:sz w:val="24"/>
          <w:szCs w:val="24"/>
          <w:vertAlign w:val="superscript"/>
          <w:lang w:val="en-GB" w:eastAsia="ja-JP"/>
        </w:rPr>
        <w:t>V</w:t>
      </w:r>
      <w:smartTag w:uri="urn:schemas-microsoft-com:office:smarttags" w:element="chmetcnv">
        <w:smartTagPr>
          <w:attr w:name="UnitName" w:val="F"/>
          <w:attr w:name="SourceValue" w:val="617"/>
          <w:attr w:name="HasSpace" w:val="False"/>
          <w:attr w:name="Negative" w:val="False"/>
          <w:attr w:name="NumberType" w:val="1"/>
          <w:attr w:name="TCSC" w:val="0"/>
        </w:smartTagPr>
        <w:r w:rsidRPr="00CC3D0A">
          <w:rPr>
            <w:rFonts w:ascii="Book Antiqua" w:eastAsia="MS Mincho" w:hAnsi="Book Antiqua"/>
            <w:sz w:val="24"/>
            <w:szCs w:val="24"/>
            <w:vertAlign w:val="superscript"/>
            <w:lang w:val="en-GB" w:eastAsia="ja-JP"/>
          </w:rPr>
          <w:t>617F</w:t>
        </w:r>
      </w:smartTag>
      <w:r w:rsidRPr="00CC3D0A">
        <w:rPr>
          <w:rFonts w:ascii="Book Antiqua" w:eastAsia="MS Mincho" w:hAnsi="Book Antiqua"/>
          <w:sz w:val="24"/>
          <w:szCs w:val="24"/>
          <w:lang w:val="en-GB" w:eastAsia="ja-JP"/>
        </w:rPr>
        <w:t xml:space="preserve"> mutation and bone marrow histology allow the detection of early stage ET and PV. </w:t>
      </w:r>
      <w:r w:rsidRPr="00CC3D0A">
        <w:rPr>
          <w:rFonts w:ascii="Book Antiqua" w:hAnsi="Book Antiqua"/>
          <w:sz w:val="24"/>
          <w:szCs w:val="24"/>
          <w:lang w:val="en-GB"/>
        </w:rPr>
        <w:t xml:space="preserve">Within the context of the European Working Group on MPD (EWG.MPD) Michiels </w:t>
      </w:r>
      <w:r>
        <w:rPr>
          <w:rFonts w:ascii="Book Antiqua" w:hAnsi="Book Antiqua"/>
          <w:sz w:val="24"/>
          <w:szCs w:val="24"/>
          <w:lang w:val="en-GB" w:eastAsia="zh-CN"/>
        </w:rPr>
        <w:t>and</w:t>
      </w:r>
      <w:r w:rsidRPr="00CC3D0A">
        <w:rPr>
          <w:rFonts w:ascii="Book Antiqua" w:hAnsi="Book Antiqua"/>
          <w:sz w:val="24"/>
          <w:szCs w:val="24"/>
          <w:lang w:val="en-GB"/>
        </w:rPr>
        <w:t xml:space="preserve"> Thiele contributed significantly to the European consensus criteria for ET, PV and CIMF</w:t>
      </w:r>
      <w:r w:rsidRPr="00CC3D0A">
        <w:rPr>
          <w:rFonts w:ascii="Book Antiqua" w:hAnsi="Book Antiqua"/>
          <w:sz w:val="24"/>
          <w:szCs w:val="24"/>
          <w:vertAlign w:val="superscript"/>
          <w:lang w:val="en-GB"/>
        </w:rPr>
        <w:t>[14-17]</w:t>
      </w:r>
      <w:r w:rsidRPr="00CC3D0A">
        <w:rPr>
          <w:rFonts w:ascii="Book Antiqua" w:hAnsi="Book Antiqua"/>
          <w:sz w:val="24"/>
          <w:szCs w:val="24"/>
          <w:lang w:val="en-GB"/>
        </w:rPr>
        <w:t xml:space="preserve"> by including bone marrow histology subsequently defined between 2002 and 2005 the European Clinical and Pathologic (ECP</w:t>
      </w:r>
      <w:r w:rsidRPr="00CC3D0A">
        <w:rPr>
          <w:rFonts w:ascii="Book Antiqua" w:hAnsi="Book Antiqua"/>
          <w:sz w:val="24"/>
          <w:szCs w:val="24"/>
          <w:vertAlign w:val="superscript"/>
          <w:lang w:val="en-US"/>
        </w:rPr>
        <w:t xml:space="preserve"> </w:t>
      </w:r>
      <w:hyperlink r:id="rId9" w:history="1">
        <w:r w:rsidRPr="00CC3D0A">
          <w:rPr>
            <w:rStyle w:val="a3"/>
            <w:rFonts w:ascii="Book Antiqua" w:eastAsia="MS Mincho" w:hAnsi="Book Antiqua"/>
            <w:sz w:val="24"/>
            <w:szCs w:val="24"/>
            <w:lang w:val="en-US"/>
          </w:rPr>
          <w:t>http://www.mpn-stichting.nl/doctors_brochure_2004.pdf</w:t>
        </w:r>
      </w:hyperlink>
      <w:r w:rsidRPr="00CC3D0A">
        <w:rPr>
          <w:rFonts w:ascii="Book Antiqua" w:hAnsi="Book Antiqua"/>
          <w:sz w:val="24"/>
          <w:szCs w:val="24"/>
          <w:lang w:val="en-US"/>
        </w:rPr>
        <w:t>)</w:t>
      </w:r>
      <w:r w:rsidRPr="00CC3D0A">
        <w:rPr>
          <w:rFonts w:ascii="Book Antiqua" w:hAnsi="Book Antiqua"/>
          <w:sz w:val="24"/>
          <w:szCs w:val="24"/>
          <w:vertAlign w:val="superscript"/>
          <w:lang w:val="en-GB"/>
        </w:rPr>
        <w:t>[17-19]</w:t>
      </w:r>
      <w:r w:rsidRPr="00CC3D0A">
        <w:rPr>
          <w:rFonts w:ascii="Book Antiqua" w:hAnsi="Book Antiqua"/>
          <w:sz w:val="24"/>
          <w:szCs w:val="24"/>
          <w:lang w:val="en-GB"/>
        </w:rPr>
        <w:t>.</w:t>
      </w:r>
      <w:r>
        <w:rPr>
          <w:rFonts w:ascii="Book Antiqua" w:hAnsi="Book Antiqua"/>
          <w:sz w:val="24"/>
          <w:szCs w:val="24"/>
          <w:lang w:val="en-GB"/>
        </w:rPr>
        <w:t xml:space="preserve"> </w:t>
      </w:r>
      <w:r w:rsidRPr="00CC3D0A">
        <w:rPr>
          <w:rFonts w:ascii="Book Antiqua" w:eastAsia="MS Mincho" w:hAnsi="Book Antiqua"/>
          <w:sz w:val="24"/>
          <w:szCs w:val="24"/>
          <w:lang w:val="en-GB" w:eastAsia="ja-JP"/>
        </w:rPr>
        <w:t>In the present study, we extend the PVSG, the ECP</w:t>
      </w:r>
      <w:r w:rsidRPr="00CC3D0A">
        <w:rPr>
          <w:rFonts w:ascii="Book Antiqua" w:eastAsia="MS Mincho" w:hAnsi="Book Antiqua"/>
          <w:sz w:val="24"/>
          <w:szCs w:val="24"/>
          <w:vertAlign w:val="superscript"/>
          <w:lang w:val="en-GB" w:eastAsia="ja-JP"/>
        </w:rPr>
        <w:t>[18-20]</w:t>
      </w:r>
      <w:r w:rsidRPr="00CC3D0A">
        <w:rPr>
          <w:rFonts w:ascii="Book Antiqua" w:eastAsia="MS Mincho" w:hAnsi="Book Antiqua"/>
          <w:sz w:val="24"/>
          <w:szCs w:val="24"/>
          <w:lang w:val="en-GB" w:eastAsia="ja-JP"/>
        </w:rPr>
        <w:t>,</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and</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the 2007/2008 WHO</w:t>
      </w:r>
      <w:r w:rsidRPr="00CC3D0A">
        <w:rPr>
          <w:rFonts w:ascii="Book Antiqua" w:eastAsia="MS Mincho" w:hAnsi="Book Antiqua"/>
          <w:sz w:val="24"/>
          <w:szCs w:val="24"/>
          <w:vertAlign w:val="superscript"/>
          <w:lang w:val="en-GB" w:eastAsia="ja-JP"/>
        </w:rPr>
        <w:t>[21,22]</w:t>
      </w:r>
      <w:r w:rsidRPr="00CC3D0A">
        <w:rPr>
          <w:rFonts w:ascii="Book Antiqua" w:eastAsia="MS Mincho" w:hAnsi="Book Antiqua"/>
          <w:sz w:val="24"/>
          <w:szCs w:val="24"/>
          <w:lang w:val="en-GB" w:eastAsia="ja-JP"/>
        </w:rPr>
        <w:t xml:space="preserve"> MPD/MPN classifications into a simplified set of integrated WHO-ECMP criteria by including bone marrow pathology together with a complete set of established laboratory and molecular markers for diagnostic differentiation of each of the latent (masked), early and overt MPNs</w:t>
      </w:r>
      <w:r w:rsidRPr="00CC3D0A">
        <w:rPr>
          <w:rFonts w:ascii="Book Antiqua" w:eastAsia="MS Mincho" w:hAnsi="Book Antiqua"/>
          <w:sz w:val="24"/>
          <w:szCs w:val="24"/>
          <w:vertAlign w:val="superscript"/>
          <w:lang w:val="en-GB" w:eastAsia="ja-JP"/>
        </w:rPr>
        <w:t>[19,20]</w:t>
      </w:r>
      <w:r w:rsidRPr="00CC3D0A">
        <w:rPr>
          <w:rFonts w:ascii="Book Antiqua" w:eastAsia="MS Mincho" w:hAnsi="Book Antiqua"/>
          <w:sz w:val="24"/>
          <w:szCs w:val="24"/>
          <w:lang w:val="en-GB" w:eastAsia="ja-JP"/>
        </w:rPr>
        <w:t xml:space="preserve">. </w:t>
      </w: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t>DIAGNOSIS OF MYELOPROLIFERATIVE NEOPLASMS</w:t>
      </w:r>
    </w:p>
    <w:p w:rsidR="00702CE8" w:rsidRPr="00FA577A" w:rsidRDefault="00702CE8" w:rsidP="00AC3FB8">
      <w:pPr>
        <w:suppressAutoHyphens/>
        <w:autoSpaceDN w:val="0"/>
        <w:spacing w:after="0" w:line="360" w:lineRule="auto"/>
        <w:jc w:val="both"/>
        <w:rPr>
          <w:rFonts w:ascii="Book Antiqua" w:hAnsi="Book Antiqua"/>
          <w:i/>
          <w:sz w:val="24"/>
          <w:szCs w:val="24"/>
          <w:lang w:val="en-US" w:eastAsia="zh-CN"/>
        </w:rPr>
      </w:pPr>
      <w:r w:rsidRPr="00FA577A">
        <w:rPr>
          <w:rFonts w:ascii="Book Antiqua" w:eastAsia="MS Mincho" w:hAnsi="Book Antiqua"/>
          <w:b/>
          <w:i/>
          <w:sz w:val="24"/>
          <w:szCs w:val="24"/>
          <w:lang w:val="en-GB" w:eastAsia="ja-JP"/>
        </w:rPr>
        <w:t>Essential thrombocythemia: ET</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sz w:val="24"/>
          <w:szCs w:val="24"/>
          <w:lang w:val="en-GB" w:eastAsia="ja-JP"/>
        </w:rPr>
        <w:t xml:space="preserve">In the 1980s, Georgii and Thiele defined the pathological features of ET, PV and chronic megakaryocytic granulocytic myeloproliferation (CMGM) or chronic idiopathic myelofibrosis (CIMF) as derived from bone marrow histopathological </w:t>
      </w:r>
      <w:r w:rsidRPr="00CC3D0A">
        <w:rPr>
          <w:rFonts w:ascii="Book Antiqua" w:eastAsia="MS Mincho" w:hAnsi="Book Antiqua"/>
          <w:sz w:val="24"/>
          <w:szCs w:val="24"/>
          <w:lang w:val="en-GB" w:eastAsia="ja-JP"/>
        </w:rPr>
        <w:lastRenderedPageBreak/>
        <w:t>morphology (Figure 1)</w:t>
      </w:r>
      <w:r w:rsidRPr="00CC3D0A">
        <w:rPr>
          <w:rFonts w:ascii="Book Antiqua" w:eastAsia="MS Mincho" w:hAnsi="Book Antiqua"/>
          <w:sz w:val="24"/>
          <w:szCs w:val="24"/>
          <w:vertAlign w:val="superscript"/>
          <w:lang w:val="en-GB" w:eastAsia="ja-JP"/>
        </w:rPr>
        <w:t>[23-</w:t>
      </w:r>
      <w:r>
        <w:rPr>
          <w:rFonts w:ascii="Book Antiqua" w:hAnsi="Book Antiqua"/>
          <w:sz w:val="24"/>
          <w:szCs w:val="24"/>
          <w:vertAlign w:val="superscript"/>
          <w:lang w:val="en-GB" w:eastAsia="zh-CN"/>
        </w:rPr>
        <w:t>30</w:t>
      </w:r>
      <w:r w:rsidRPr="00CC3D0A">
        <w:rPr>
          <w:rFonts w:ascii="Book Antiqua" w:eastAsia="MS Mincho" w:hAnsi="Book Antiqua"/>
          <w:sz w:val="24"/>
          <w:szCs w:val="24"/>
          <w:vertAlign w:val="superscript"/>
          <w:lang w:val="en-GB" w:eastAsia="ja-JP"/>
        </w:rPr>
        <w:t>]</w:t>
      </w:r>
      <w:r w:rsidRPr="00CC3D0A">
        <w:rPr>
          <w:rFonts w:ascii="Book Antiqua" w:eastAsia="MS Mincho" w:hAnsi="Book Antiqua"/>
          <w:sz w:val="24"/>
          <w:szCs w:val="24"/>
          <w:lang w:val="en-GB" w:eastAsia="ja-JP"/>
        </w:rPr>
        <w:t xml:space="preserve">. ET was defined by Georgii and Thiele as persistent increase of platelets in excess of 400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/L without the Ph</w:t>
      </w:r>
      <w:r w:rsidRPr="00CC3D0A">
        <w:rPr>
          <w:rFonts w:ascii="Book Antiqua" w:eastAsia="MS Mincho" w:hAnsi="Book Antiqua"/>
          <w:sz w:val="24"/>
          <w:szCs w:val="24"/>
          <w:vertAlign w:val="superscript"/>
          <w:lang w:val="en-GB" w:eastAsia="ja-JP"/>
        </w:rPr>
        <w:t>+</w:t>
      </w:r>
      <w:r w:rsidRPr="00CC3D0A">
        <w:rPr>
          <w:rFonts w:ascii="Book Antiqua" w:eastAsia="MS Mincho" w:hAnsi="Book Antiqua"/>
          <w:sz w:val="24"/>
          <w:szCs w:val="24"/>
          <w:lang w:val="en-GB" w:eastAsia="ja-JP"/>
        </w:rPr>
        <w:t xml:space="preserve"> chromosome together with monolinear proliferation of mature enlarged megakaryocytes in the bone marrow with normal cellularity, normal erythropoiesis and normal granulopoiesis (Figure 1)</w:t>
      </w:r>
      <w:r w:rsidRPr="00CC3D0A">
        <w:rPr>
          <w:rFonts w:ascii="Book Antiqua" w:eastAsia="MS Mincho" w:hAnsi="Book Antiqua"/>
          <w:sz w:val="24"/>
          <w:szCs w:val="24"/>
          <w:vertAlign w:val="superscript"/>
          <w:lang w:val="en-GB" w:eastAsia="ja-JP"/>
        </w:rPr>
        <w:t>[23-29]</w:t>
      </w:r>
      <w:r w:rsidRPr="00CC3D0A">
        <w:rPr>
          <w:rFonts w:ascii="Book Antiqua" w:eastAsia="MS Mincho" w:hAnsi="Book Antiqua"/>
          <w:sz w:val="24"/>
          <w:szCs w:val="24"/>
          <w:lang w:val="en-GB" w:eastAsia="ja-JP"/>
        </w:rPr>
        <w:t xml:space="preserve">. This bone marrow definition for the diagnosis of normocellular ET has been used by Michiels </w:t>
      </w:r>
      <w:r>
        <w:rPr>
          <w:rFonts w:ascii="Book Antiqua" w:hAnsi="Book Antiqua"/>
          <w:sz w:val="24"/>
          <w:szCs w:val="24"/>
          <w:lang w:val="en-GB" w:eastAsia="zh-CN"/>
        </w:rPr>
        <w:t>and</w:t>
      </w:r>
      <w:r w:rsidRPr="00CC3D0A">
        <w:rPr>
          <w:rFonts w:ascii="Book Antiqua" w:eastAsia="MS Mincho" w:hAnsi="Book Antiqua"/>
          <w:sz w:val="24"/>
          <w:szCs w:val="24"/>
          <w:lang w:val="en-GB" w:eastAsia="ja-JP"/>
        </w:rPr>
        <w:t xml:space="preserve"> Thiele in the ECP classification of MPD (</w:t>
      </w:r>
      <w:hyperlink r:id="rId10" w:history="1">
        <w:r w:rsidRPr="00CC3D0A">
          <w:rPr>
            <w:rFonts w:ascii="Book Antiqua" w:eastAsia="MS Mincho" w:hAnsi="Book Antiqua" w:cs="Arial"/>
            <w:color w:val="0000FF"/>
            <w:sz w:val="24"/>
            <w:szCs w:val="24"/>
            <w:u w:val="single" w:color="000000"/>
            <w:lang w:val="en-US" w:eastAsia="ja-JP"/>
          </w:rPr>
          <w:t>http://www.mpn-stichting.nl/doctors_brochure_2004.pdf</w:t>
        </w:r>
      </w:hyperlink>
      <w:r w:rsidRPr="00CC3D0A">
        <w:rPr>
          <w:rFonts w:ascii="Book Antiqua" w:eastAsia="MS Mincho" w:hAnsi="Book Antiqua"/>
          <w:sz w:val="24"/>
          <w:szCs w:val="24"/>
          <w:lang w:val="en-GB" w:eastAsia="ja-JP"/>
        </w:rPr>
        <w:t>)</w:t>
      </w:r>
      <w:r w:rsidRPr="00CC3D0A">
        <w:rPr>
          <w:rFonts w:ascii="Book Antiqua" w:eastAsia="MS Mincho" w:hAnsi="Book Antiqua"/>
          <w:sz w:val="24"/>
          <w:szCs w:val="24"/>
          <w:vertAlign w:val="superscript"/>
          <w:lang w:val="en-GB" w:eastAsia="ja-JP"/>
        </w:rPr>
        <w:t>[17,18]</w:t>
      </w:r>
      <w:r w:rsidRPr="00CC3D0A">
        <w:rPr>
          <w:rFonts w:ascii="Book Antiqua" w:eastAsia="MS Mincho" w:hAnsi="Book Antiqua"/>
          <w:sz w:val="24"/>
          <w:szCs w:val="24"/>
          <w:lang w:val="en-GB" w:eastAsia="ja-JP"/>
        </w:rPr>
        <w:t xml:space="preserve"> and by the 2007/2008 WHO classification (WHO-ET)</w:t>
      </w:r>
      <w:r w:rsidRPr="00CC3D0A">
        <w:rPr>
          <w:rFonts w:ascii="Book Antiqua" w:eastAsia="MS Mincho" w:hAnsi="Book Antiqua"/>
          <w:sz w:val="24"/>
          <w:szCs w:val="24"/>
          <w:vertAlign w:val="superscript"/>
          <w:lang w:val="en-GB" w:eastAsia="ja-JP"/>
        </w:rPr>
        <w:t xml:space="preserve"> [21-22]</w:t>
      </w:r>
      <w:r w:rsidRPr="00CC3D0A">
        <w:rPr>
          <w:rFonts w:ascii="Book Antiqua" w:eastAsia="MS Mincho" w:hAnsi="Book Antiqua"/>
          <w:sz w:val="24"/>
          <w:szCs w:val="24"/>
          <w:lang w:val="en-GB" w:eastAsia="ja-JP"/>
        </w:rPr>
        <w:t>. Normocellular ET (WHO-ET) only comprises about</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one third of PVSG defined ET patients</w:t>
      </w:r>
      <w:r w:rsidRPr="00CC3D0A">
        <w:rPr>
          <w:rFonts w:ascii="Book Antiqua" w:eastAsia="MS Mincho" w:hAnsi="Book Antiqua"/>
          <w:sz w:val="24"/>
          <w:szCs w:val="24"/>
          <w:vertAlign w:val="superscript"/>
          <w:lang w:val="en-GB" w:eastAsia="ja-JP"/>
        </w:rPr>
        <w:t>[21,22]</w:t>
      </w:r>
      <w:r w:rsidRPr="00CC3D0A">
        <w:rPr>
          <w:rFonts w:ascii="Book Antiqua" w:eastAsia="MS Mincho" w:hAnsi="Book Antiqua"/>
          <w:sz w:val="24"/>
          <w:szCs w:val="24"/>
          <w:lang w:val="en-GB" w:eastAsia="ja-JP"/>
        </w:rPr>
        <w:t xml:space="preserve">. The 1997 PVSG and 2001 WHO classifications used a platelet count in excess of 600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/L as the minimum criterion for the diagnosis of ET</w:t>
      </w:r>
      <w:r w:rsidRPr="00CC3D0A">
        <w:rPr>
          <w:rFonts w:ascii="Book Antiqua" w:eastAsia="MS Mincho" w:hAnsi="Book Antiqua"/>
          <w:sz w:val="24"/>
          <w:szCs w:val="24"/>
          <w:vertAlign w:val="superscript"/>
          <w:lang w:val="en-GB" w:eastAsia="ja-JP"/>
        </w:rPr>
        <w:t>[7,14]</w:t>
      </w:r>
      <w:r w:rsidRPr="00CC3D0A">
        <w:rPr>
          <w:rFonts w:ascii="Book Antiqua" w:eastAsia="MS Mincho" w:hAnsi="Book Antiqua"/>
          <w:sz w:val="24"/>
          <w:szCs w:val="24"/>
          <w:lang w:val="en-GB" w:eastAsia="ja-JP"/>
        </w:rPr>
        <w:t xml:space="preserve"> and therefore did not include the early stages of ET, which consequently were diagnosed as masked or unclassifiable MPD</w:t>
      </w:r>
      <w:r w:rsidRPr="00CC3D0A">
        <w:rPr>
          <w:rFonts w:ascii="Book Antiqua" w:eastAsia="MS Mincho" w:hAnsi="Book Antiqua"/>
          <w:sz w:val="24"/>
          <w:szCs w:val="24"/>
          <w:vertAlign w:val="superscript"/>
          <w:lang w:val="en-GB" w:eastAsia="ja-JP"/>
        </w:rPr>
        <w:t>[18]</w:t>
      </w:r>
      <w:r w:rsidRPr="00CC3D0A">
        <w:rPr>
          <w:rFonts w:ascii="Book Antiqua" w:eastAsia="MS Mincho" w:hAnsi="Book Antiqua"/>
          <w:sz w:val="24"/>
          <w:szCs w:val="24"/>
          <w:lang w:val="en-GB" w:eastAsia="ja-JP"/>
        </w:rPr>
        <w:t xml:space="preserve">. This comprises about 30% of early stage or latent ET (Table 1) indicating the need to lower the platelet count cut-off to 400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/L (upper limit of normal) for the diagnosis of thrombocythemia in various MPDs (Table 2)</w:t>
      </w:r>
      <w:r w:rsidRPr="00CC3D0A">
        <w:rPr>
          <w:rFonts w:ascii="Book Antiqua" w:eastAsia="MS Mincho" w:hAnsi="Book Antiqua"/>
          <w:sz w:val="24"/>
          <w:szCs w:val="24"/>
          <w:vertAlign w:val="superscript"/>
          <w:lang w:val="en-GB" w:eastAsia="ja-JP"/>
        </w:rPr>
        <w:t>[12-20]</w:t>
      </w:r>
      <w:r w:rsidRPr="00CC3D0A">
        <w:rPr>
          <w:rFonts w:ascii="Book Antiqua" w:eastAsia="MS Mincho" w:hAnsi="Book Antiqua"/>
          <w:sz w:val="24"/>
          <w:szCs w:val="24"/>
          <w:lang w:val="en-GB" w:eastAsia="ja-JP"/>
        </w:rPr>
        <w:t>. The relatively high incidence of early prefibrotic thrombocythemia with a platelet count between 400 and 600x10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/L strengthen the need for use of specific laboratory and molecular markers to differentiate thrombocythemia from reactive thrombocytosis followed by bone marrow histopathological evaluation in order to correctly diagnose patients with suspected MPN</w:t>
      </w:r>
      <w:r w:rsidRPr="00CC3D0A">
        <w:rPr>
          <w:rFonts w:ascii="Book Antiqua" w:eastAsia="MS Mincho" w:hAnsi="Book Antiqua"/>
          <w:sz w:val="24"/>
          <w:szCs w:val="24"/>
          <w:vertAlign w:val="superscript"/>
          <w:lang w:val="en-GB" w:eastAsia="ja-JP"/>
        </w:rPr>
        <w:t>[18-20]</w:t>
      </w:r>
      <w:r w:rsidRPr="00CC3D0A">
        <w:rPr>
          <w:rFonts w:ascii="Book Antiqua" w:eastAsia="MS Mincho" w:hAnsi="Book Antiqua"/>
          <w:sz w:val="24"/>
          <w:szCs w:val="24"/>
          <w:lang w:val="en-GB" w:eastAsia="ja-JP"/>
        </w:rPr>
        <w:t xml:space="preserve">. The 2007/2008 WHO classification reduced the platelet count from 600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 xml:space="preserve">/L to 450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/L and added bone marrow features as major criteria for normocellular ET (WHO-ET, Table 2)</w:t>
      </w:r>
      <w:r w:rsidRPr="00CC3D0A">
        <w:rPr>
          <w:rFonts w:ascii="Book Antiqua" w:eastAsia="MS Mincho" w:hAnsi="Book Antiqua"/>
          <w:sz w:val="24"/>
          <w:szCs w:val="24"/>
          <w:vertAlign w:val="superscript"/>
          <w:lang w:val="en-GB" w:eastAsia="ja-JP"/>
        </w:rPr>
        <w:t>[21,22]</w:t>
      </w:r>
      <w:r w:rsidRPr="00CC3D0A">
        <w:rPr>
          <w:rFonts w:ascii="Book Antiqua" w:eastAsia="MS Mincho" w:hAnsi="Book Antiqua"/>
          <w:sz w:val="24"/>
          <w:szCs w:val="24"/>
          <w:lang w:val="en-GB" w:eastAsia="ja-JP"/>
        </w:rPr>
        <w:t>. Recent studies clearly show that PVSG defined ET according to ECMP</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criteria include at least three phenotypes of ET at the bone marrow level (Tables 2 and 3, Figure 2)</w:t>
      </w:r>
      <w:r w:rsidRPr="00CC3D0A">
        <w:rPr>
          <w:rFonts w:ascii="Book Antiqua" w:eastAsia="MS Mincho" w:hAnsi="Book Antiqua"/>
          <w:sz w:val="24"/>
          <w:szCs w:val="24"/>
          <w:vertAlign w:val="superscript"/>
          <w:lang w:val="en-GB" w:eastAsia="ja-JP"/>
        </w:rPr>
        <w:t>[19,20]</w:t>
      </w:r>
      <w:r w:rsidRPr="00CC3D0A">
        <w:rPr>
          <w:rFonts w:ascii="Book Antiqua" w:eastAsia="MS Mincho" w:hAnsi="Book Antiqua"/>
          <w:sz w:val="24"/>
          <w:szCs w:val="24"/>
          <w:lang w:val="en-GB" w:eastAsia="ja-JP"/>
        </w:rPr>
        <w:t>. About 50% of PVSG defined ET patients show not only spontaneous EEC but also increased score for leukocyte alkaline phosphatase (LAP) together with low serum EPO levels (table 2)</w:t>
      </w:r>
      <w:r w:rsidRPr="00CC3D0A">
        <w:rPr>
          <w:rFonts w:ascii="Book Antiqua" w:eastAsia="MS Mincho" w:hAnsi="Book Antiqua"/>
          <w:sz w:val="24"/>
          <w:szCs w:val="24"/>
          <w:vertAlign w:val="superscript"/>
          <w:lang w:val="en-GB" w:eastAsia="ja-JP"/>
        </w:rPr>
        <w:t>[31-36]</w:t>
      </w:r>
      <w:r w:rsidRPr="00CC3D0A">
        <w:rPr>
          <w:rFonts w:ascii="Book Antiqua" w:eastAsia="MS Mincho" w:hAnsi="Book Antiqua"/>
          <w:sz w:val="24"/>
          <w:szCs w:val="24"/>
          <w:lang w:val="en-GB" w:eastAsia="ja-JP"/>
        </w:rPr>
        <w:t xml:space="preserve"> indicating that EEC-positive ET with low serum EPO comprises a biologically distinct subgroup of ET patients reflecting early PV (“forme fruste” PV, Table 2) that is at risk for progression to overt PV (Table 3). Spontaneous endogenous erythroid colony (EEC) formation is the hallmark of PV. In a study of 170 PVSG-defined ET patients, spontaneous EEC formation was seen in all 11 (6.5%), who later developed </w:t>
      </w:r>
      <w:r w:rsidRPr="00CC3D0A">
        <w:rPr>
          <w:rFonts w:ascii="Book Antiqua" w:eastAsia="MS Mincho" w:hAnsi="Book Antiqua"/>
          <w:sz w:val="24"/>
          <w:szCs w:val="24"/>
          <w:lang w:val="en-GB" w:eastAsia="ja-JP"/>
        </w:rPr>
        <w:lastRenderedPageBreak/>
        <w:t>PV, but also in 60% of 159 patients with stable ET during a median follow-up of 29 mo (12-138 mo)</w:t>
      </w:r>
      <w:r w:rsidRPr="00CC3D0A">
        <w:rPr>
          <w:rFonts w:ascii="Book Antiqua" w:eastAsia="MS Mincho" w:hAnsi="Book Antiqua"/>
          <w:sz w:val="24"/>
          <w:szCs w:val="24"/>
          <w:vertAlign w:val="superscript"/>
          <w:lang w:val="en-GB" w:eastAsia="ja-JP"/>
        </w:rPr>
        <w:t>[37]</w:t>
      </w:r>
      <w:r w:rsidRPr="00CC3D0A">
        <w:rPr>
          <w:rFonts w:ascii="Book Antiqua" w:eastAsia="MS Mincho" w:hAnsi="Book Antiqua"/>
          <w:sz w:val="24"/>
          <w:szCs w:val="24"/>
          <w:lang w:val="en-GB" w:eastAsia="ja-JP"/>
        </w:rPr>
        <w:t>. This overlap of EEC in ET and PV points to the need for specific molecular and pathological markers to better differentiate between normocellular ET and hypercellular ET from prodromal PV and classical PV (Table 2)</w:t>
      </w:r>
      <w:r w:rsidRPr="00CC3D0A">
        <w:rPr>
          <w:rFonts w:ascii="Book Antiqua" w:eastAsia="MS Mincho" w:hAnsi="Book Antiqua"/>
          <w:sz w:val="24"/>
          <w:szCs w:val="24"/>
          <w:vertAlign w:val="superscript"/>
          <w:lang w:val="en-GB" w:eastAsia="ja-JP"/>
        </w:rPr>
        <w:t>[38.39]</w:t>
      </w:r>
      <w:r w:rsidRPr="00CC3D0A">
        <w:rPr>
          <w:rFonts w:ascii="Book Antiqua" w:eastAsia="MS Mincho" w:hAnsi="Book Antiqua"/>
          <w:sz w:val="24"/>
          <w:szCs w:val="24"/>
          <w:lang w:val="en-GB" w:eastAsia="ja-JP"/>
        </w:rPr>
        <w:t xml:space="preserve">. </w:t>
      </w: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t xml:space="preserve"> </w:t>
      </w:r>
    </w:p>
    <w:p w:rsidR="00702CE8" w:rsidRPr="00FA577A" w:rsidRDefault="00702CE8" w:rsidP="00AC3FB8">
      <w:pPr>
        <w:suppressAutoHyphens/>
        <w:autoSpaceDN w:val="0"/>
        <w:spacing w:after="0" w:line="360" w:lineRule="auto"/>
        <w:jc w:val="both"/>
        <w:rPr>
          <w:rFonts w:ascii="Book Antiqua" w:hAnsi="Book Antiqua"/>
          <w:i/>
          <w:sz w:val="24"/>
          <w:szCs w:val="24"/>
          <w:lang w:val="en-US" w:eastAsia="zh-CN"/>
        </w:rPr>
      </w:pPr>
      <w:r>
        <w:rPr>
          <w:rFonts w:ascii="Book Antiqua" w:eastAsia="MS Mincho" w:hAnsi="Book Antiqua"/>
          <w:b/>
          <w:i/>
          <w:sz w:val="24"/>
          <w:szCs w:val="24"/>
          <w:lang w:val="en-GB" w:eastAsia="ja-JP"/>
        </w:rPr>
        <w:t>Polycythemia vera: PV</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sz w:val="24"/>
          <w:szCs w:val="24"/>
          <w:lang w:val="en-GB" w:eastAsia="ja-JP"/>
        </w:rPr>
        <w:t>In the 1980s</w:t>
      </w:r>
      <w:r>
        <w:rPr>
          <w:rFonts w:ascii="Book Antiqua" w:hAnsi="Book Antiqua"/>
          <w:sz w:val="24"/>
          <w:szCs w:val="24"/>
          <w:lang w:val="en-GB" w:eastAsia="zh-CN"/>
        </w:rPr>
        <w:t>,</w:t>
      </w:r>
      <w:r w:rsidRPr="00CC3D0A">
        <w:rPr>
          <w:rFonts w:ascii="Book Antiqua" w:eastAsia="MS Mincho" w:hAnsi="Book Antiqua"/>
          <w:sz w:val="24"/>
          <w:szCs w:val="24"/>
          <w:lang w:val="en-GB" w:eastAsia="ja-JP"/>
        </w:rPr>
        <w:t xml:space="preserve"> Georgii and Thiele used a typical trilinear hypercellular with increased megakaryopoiesis, erythropoiesis and granulopoiesis (panmyelosis) as mandatory criteria for the diagnosis for classic PV (Figure 2)</w:t>
      </w:r>
      <w:r w:rsidRPr="00CC3D0A">
        <w:rPr>
          <w:rFonts w:ascii="Book Antiqua" w:eastAsia="MS Mincho" w:hAnsi="Book Antiqua"/>
          <w:sz w:val="24"/>
          <w:szCs w:val="24"/>
          <w:vertAlign w:val="superscript"/>
          <w:lang w:val="en-GB" w:eastAsia="ja-JP"/>
        </w:rPr>
        <w:t>[23-29]</w:t>
      </w:r>
      <w:r w:rsidRPr="00CC3D0A">
        <w:rPr>
          <w:rFonts w:ascii="Book Antiqua" w:eastAsia="MS Mincho" w:hAnsi="Book Antiqua"/>
          <w:sz w:val="24"/>
          <w:szCs w:val="24"/>
          <w:lang w:val="en-GB" w:eastAsia="ja-JP"/>
        </w:rPr>
        <w:t>. This definition is used by the ECP (</w:t>
      </w:r>
      <w:hyperlink r:id="rId11" w:history="1">
        <w:r w:rsidRPr="00CC3D0A">
          <w:rPr>
            <w:rFonts w:ascii="Book Antiqua" w:eastAsia="MS Mincho" w:hAnsi="Book Antiqua" w:cs="Arial"/>
            <w:color w:val="0000FF"/>
            <w:sz w:val="24"/>
            <w:szCs w:val="24"/>
            <w:u w:val="single" w:color="000000"/>
            <w:lang w:val="en-US" w:eastAsia="ja-JP"/>
          </w:rPr>
          <w:t>http://www.mpn-stichting.nl/doctors_brochure_2004.pdf</w:t>
        </w:r>
      </w:hyperlink>
      <w:r w:rsidRPr="00CC3D0A">
        <w:rPr>
          <w:rFonts w:ascii="Book Antiqua" w:eastAsia="MS Mincho" w:hAnsi="Book Antiqua"/>
          <w:sz w:val="24"/>
          <w:szCs w:val="24"/>
          <w:lang w:val="en-GB" w:eastAsia="ja-JP"/>
        </w:rPr>
        <w:t>) and the 2007/2008 WHO classification to confirm the diagnosis of PVSG defined PV in cases with increased RCM or increased hemoglobin and hematocrit above the upper level of normal and in cases with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mutated erythrocytosis</w:t>
      </w:r>
      <w:r w:rsidRPr="00CC3D0A">
        <w:rPr>
          <w:rFonts w:ascii="Book Antiqua" w:eastAsia="MS Mincho" w:hAnsi="Book Antiqua"/>
          <w:sz w:val="24"/>
          <w:szCs w:val="24"/>
          <w:vertAlign w:val="superscript"/>
          <w:lang w:val="en-GB" w:eastAsia="ja-JP"/>
        </w:rPr>
        <w:t>[15-22]</w:t>
      </w:r>
      <w:r w:rsidRPr="00CC3D0A">
        <w:rPr>
          <w:rFonts w:ascii="Book Antiqua" w:eastAsia="MS Mincho" w:hAnsi="Book Antiqua"/>
          <w:sz w:val="24"/>
          <w:szCs w:val="24"/>
          <w:lang w:val="en-GB" w:eastAsia="ja-JP"/>
        </w:rPr>
        <w:t>. The PVSG criteria use increased red cell mass or persistent high levels for hemoglobin and hematocrit as a major crude inclusion criterion and a histological bone marrow picture characteristic for PV as a minor criterion for the diagnosis of PV, thereby excluding early thrombocythemic stage PV mimicking ET (Table 3, Figure 2). Spontaneous EEC formation and low serum EPO levels are used as specific criteria for the diagnosis of PV, but have insufficient diagnostic sensitivity as isolated parameters to differentiate between PV, congenital polycythemia (CP), secondary erythrocytosis (SE), ET and normal controls</w:t>
      </w:r>
      <w:r w:rsidRPr="00CC3D0A">
        <w:rPr>
          <w:rFonts w:ascii="Book Antiqua" w:eastAsia="MS Mincho" w:hAnsi="Book Antiqua"/>
          <w:sz w:val="24"/>
          <w:szCs w:val="24"/>
          <w:vertAlign w:val="superscript"/>
          <w:lang w:val="en-GB" w:eastAsia="ja-JP"/>
        </w:rPr>
        <w:t>[31-34]</w:t>
      </w:r>
      <w:r w:rsidRPr="00CC3D0A">
        <w:rPr>
          <w:rFonts w:ascii="Book Antiqua" w:eastAsia="MS Mincho" w:hAnsi="Book Antiqua"/>
          <w:sz w:val="24"/>
          <w:szCs w:val="24"/>
          <w:lang w:val="en-GB" w:eastAsia="ja-JP"/>
        </w:rPr>
        <w:t>. Red cell mass measurement (RCM) is still the WHO gold standard to distinguish ET from PV and to distinguish idiopathic from apparent erythrocytosis. In patients with so-called idiopathic erythrocytosis (increased RCM, hemoglobin and hematocrit but normal leukocyte and platelet counts and no splenomegaly), the histological evaluation of the bone marrow clearly differentiate between erythrocythemic early stage PV showing increased erythropoiesis and loosely clustered large pleomorphic megakaryocytes from primary and secondary erythrocytosis with increased erythropoiesis and megakaryocytes of normal size and morphology</w:t>
      </w:r>
      <w:r w:rsidRPr="00CC3D0A">
        <w:rPr>
          <w:rFonts w:ascii="Book Antiqua" w:eastAsia="MS Mincho" w:hAnsi="Book Antiqua"/>
          <w:sz w:val="24"/>
          <w:szCs w:val="24"/>
          <w:vertAlign w:val="superscript"/>
          <w:lang w:val="en-GB" w:eastAsia="ja-JP"/>
        </w:rPr>
        <w:t>[15-19]</w:t>
      </w:r>
      <w:r w:rsidRPr="00CC3D0A">
        <w:rPr>
          <w:rFonts w:ascii="Book Antiqua" w:eastAsia="MS Mincho" w:hAnsi="Book Antiqua"/>
          <w:sz w:val="24"/>
          <w:szCs w:val="24"/>
          <w:lang w:val="en-GB" w:eastAsia="ja-JP"/>
        </w:rPr>
        <w:t>. Increased RCM alone does not distinguish early erythrocythemic PV from CP or SE, indicating the need of specific clinical, molecular including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and MPL</w:t>
      </w:r>
      <w:r w:rsidRPr="00CC3D0A">
        <w:rPr>
          <w:rFonts w:ascii="Book Antiqua" w:eastAsia="MS Mincho" w:hAnsi="Book Antiqua"/>
          <w:sz w:val="24"/>
          <w:szCs w:val="24"/>
          <w:vertAlign w:val="superscript"/>
          <w:lang w:val="en-GB" w:eastAsia="ja-JP"/>
        </w:rPr>
        <w:t>515</w:t>
      </w:r>
      <w:r w:rsidRPr="00CC3D0A">
        <w:rPr>
          <w:rFonts w:ascii="Book Antiqua" w:eastAsia="MS Mincho" w:hAnsi="Book Antiqua"/>
          <w:sz w:val="24"/>
          <w:szCs w:val="24"/>
          <w:lang w:val="en-GB" w:eastAsia="ja-JP"/>
        </w:rPr>
        <w:t xml:space="preserve"> mutations and bone marrow histology. In patients with </w:t>
      </w:r>
      <w:r w:rsidRPr="00CC3D0A">
        <w:rPr>
          <w:rFonts w:ascii="Book Antiqua" w:eastAsia="MS Mincho" w:hAnsi="Book Antiqua"/>
          <w:sz w:val="24"/>
          <w:szCs w:val="24"/>
          <w:lang w:val="en-GB" w:eastAsia="ja-JP"/>
        </w:rPr>
        <w:lastRenderedPageBreak/>
        <w:t>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mutated ET, slight splenomegaly and borderline erythrocytosis RCM is the gold standard to make the distinction between hypercellular ET due to increased erythropoiesis with normal RCM (prodromal PV) from classical PV with increased RCM. In our experience, cases of prodromal PV, masked PV do show a typical PV picture in the bone marrow histopathology (Figures 3 and 4). This controversial topic has been addressed in a separate report (manuscript in press).</w:t>
      </w:r>
      <w:r w:rsidRPr="00CC3D0A">
        <w:rPr>
          <w:rFonts w:ascii="Book Antiqua" w:eastAsia="MS Mincho" w:hAnsi="Book Antiqua"/>
          <w:color w:val="FF0000"/>
          <w:sz w:val="24"/>
          <w:szCs w:val="24"/>
          <w:lang w:val="en-GB" w:eastAsia="ja-JP"/>
        </w:rPr>
        <w:t xml:space="preserve"> </w:t>
      </w:r>
      <w:r w:rsidRPr="00CC3D0A">
        <w:rPr>
          <w:rFonts w:ascii="Book Antiqua" w:eastAsia="MS Mincho" w:hAnsi="Book Antiqua"/>
          <w:sz w:val="24"/>
          <w:szCs w:val="24"/>
          <w:lang w:val="en-GB" w:eastAsia="ja-JP"/>
        </w:rPr>
        <w:t>PV patients do have erythrocytes above 6x10</w:t>
      </w:r>
      <w:r w:rsidRPr="00CC3D0A">
        <w:rPr>
          <w:rFonts w:ascii="Book Antiqua" w:eastAsia="MS Mincho" w:hAnsi="Book Antiqua"/>
          <w:sz w:val="24"/>
          <w:szCs w:val="24"/>
          <w:vertAlign w:val="superscript"/>
          <w:lang w:val="en-GB" w:eastAsia="ja-JP"/>
        </w:rPr>
        <w:t>12</w:t>
      </w:r>
      <w:r w:rsidRPr="00CC3D0A">
        <w:rPr>
          <w:rFonts w:ascii="Book Antiqua" w:eastAsia="MS Mincho" w:hAnsi="Book Antiqua"/>
          <w:sz w:val="24"/>
          <w:szCs w:val="24"/>
          <w:lang w:val="en-GB" w:eastAsia="ja-JP"/>
        </w:rPr>
        <w:t>/L with normal haemoglobin and haematocrit due to microcytosis of erythrocytes caused by iron deficiency and/or significant splenomegaly</w:t>
      </w:r>
      <w:r w:rsidRPr="00CC3D0A">
        <w:rPr>
          <w:rFonts w:ascii="Book Antiqua" w:eastAsia="MS Mincho" w:hAnsi="Book Antiqua"/>
          <w:sz w:val="24"/>
          <w:szCs w:val="24"/>
          <w:vertAlign w:val="superscript"/>
          <w:lang w:val="en-GB" w:eastAsia="ja-JP"/>
        </w:rPr>
        <w:t>[3,39]</w:t>
      </w:r>
      <w:r w:rsidRPr="00CC3D0A">
        <w:rPr>
          <w:rFonts w:ascii="Book Antiqua" w:eastAsia="MS Mincho" w:hAnsi="Book Antiqua"/>
          <w:sz w:val="24"/>
          <w:szCs w:val="24"/>
          <w:lang w:val="en-GB" w:eastAsia="ja-JP"/>
        </w:rPr>
        <w:t>. Consequently, RCM measurement is of plausible additional diagnostic value in classic PV carrying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or exon 12 mutation, since all patients with 2008 WHO/ECMP defined PV do have erythrocyte counts above 6</w:t>
      </w:r>
      <w:r>
        <w:rPr>
          <w:rFonts w:ascii="Book Antiqua" w:hAnsi="Book Antiqua"/>
          <w:sz w:val="24"/>
          <w:szCs w:val="24"/>
          <w:lang w:val="en-GB" w:eastAsia="zh-CN"/>
        </w:rPr>
        <w:t xml:space="preserve">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12</w:t>
      </w:r>
      <w:r w:rsidRPr="00CC3D0A">
        <w:rPr>
          <w:rFonts w:ascii="Book Antiqua" w:eastAsia="MS Mincho" w:hAnsi="Book Antiqua"/>
          <w:sz w:val="24"/>
          <w:szCs w:val="24"/>
          <w:lang w:val="en-GB" w:eastAsia="ja-JP"/>
        </w:rPr>
        <w:t>/L</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 xml:space="preserve">and demonstrate a bone marrow histology that is pathognomonic for PV (Table 3). </w:t>
      </w: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p>
    <w:p w:rsidR="00702CE8" w:rsidRPr="00FA577A" w:rsidRDefault="00702CE8" w:rsidP="00AC3FB8">
      <w:pPr>
        <w:suppressAutoHyphens/>
        <w:autoSpaceDN w:val="0"/>
        <w:spacing w:after="0" w:line="360" w:lineRule="auto"/>
        <w:jc w:val="both"/>
        <w:rPr>
          <w:rFonts w:ascii="Book Antiqua" w:eastAsia="MS Mincho" w:hAnsi="Book Antiqua"/>
          <w:i/>
          <w:sz w:val="24"/>
          <w:szCs w:val="24"/>
          <w:lang w:val="en-US" w:eastAsia="ja-JP"/>
        </w:rPr>
      </w:pPr>
      <w:r w:rsidRPr="00FA577A">
        <w:rPr>
          <w:rFonts w:ascii="Book Antiqua" w:eastAsia="MS Mincho" w:hAnsi="Book Antiqua"/>
          <w:b/>
          <w:i/>
          <w:sz w:val="24"/>
          <w:szCs w:val="24"/>
          <w:lang w:val="en-GB" w:eastAsia="ja-JP"/>
        </w:rPr>
        <w:t>Nomenclature, clinical and bone marrow diagnosis of primary myelofibrosis:</w:t>
      </w:r>
      <w:r>
        <w:rPr>
          <w:rFonts w:ascii="Book Antiqua" w:hAnsi="Book Antiqua"/>
          <w:b/>
          <w:i/>
          <w:sz w:val="24"/>
          <w:szCs w:val="24"/>
          <w:lang w:val="en-GB" w:eastAsia="zh-CN"/>
        </w:rPr>
        <w:t xml:space="preserve"> </w:t>
      </w:r>
      <w:r w:rsidRPr="00FA577A">
        <w:rPr>
          <w:rFonts w:ascii="Book Antiqua" w:eastAsia="MS Mincho" w:hAnsi="Book Antiqua"/>
          <w:b/>
          <w:i/>
          <w:sz w:val="24"/>
          <w:szCs w:val="24"/>
          <w:lang w:val="en-GB" w:eastAsia="ja-JP"/>
        </w:rPr>
        <w:t>PMF</w:t>
      </w:r>
      <w:r w:rsidRPr="00FA577A">
        <w:rPr>
          <w:rFonts w:ascii="Book Antiqua" w:eastAsia="MS Mincho" w:hAnsi="Book Antiqua"/>
          <w:i/>
          <w:sz w:val="24"/>
          <w:szCs w:val="24"/>
          <w:lang w:val="en-GB" w:eastAsia="ja-JP"/>
        </w:rPr>
        <w:t xml:space="preserve"> </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GB" w:eastAsia="ja-JP"/>
        </w:rPr>
      </w:pPr>
      <w:r w:rsidRPr="00CC3D0A">
        <w:rPr>
          <w:rFonts w:ascii="Book Antiqua" w:eastAsia="MS Mincho" w:hAnsi="Book Antiqua"/>
          <w:sz w:val="24"/>
          <w:szCs w:val="24"/>
          <w:lang w:val="en-GB" w:eastAsia="ja-JP"/>
        </w:rPr>
        <w:t>The terms agnogenic myloid metaplasia (AMM) and IMF are applied to hypercellular advanced fibrotic stages of MPN</w:t>
      </w:r>
      <w:r w:rsidRPr="00CC3D0A">
        <w:rPr>
          <w:rFonts w:ascii="Book Antiqua" w:eastAsia="MS Mincho" w:hAnsi="Book Antiqua"/>
          <w:sz w:val="24"/>
          <w:szCs w:val="24"/>
          <w:vertAlign w:val="superscript"/>
          <w:lang w:val="en-GB" w:eastAsia="ja-JP"/>
        </w:rPr>
        <w:t>[8,23-29]</w:t>
      </w:r>
      <w:r w:rsidRPr="00CC3D0A">
        <w:rPr>
          <w:rFonts w:ascii="Book Antiqua" w:eastAsia="MS Mincho" w:hAnsi="Book Antiqua"/>
          <w:sz w:val="24"/>
          <w:szCs w:val="24"/>
          <w:lang w:val="en-GB" w:eastAsia="ja-JP"/>
        </w:rPr>
        <w:t xml:space="preserve">. Myelofibrosis (MF) is a reactive feature secondary to progressive disease seen in AMM, CIMF, PV and CML. </w:t>
      </w:r>
      <w:r w:rsidRPr="00CC3D0A">
        <w:rPr>
          <w:rFonts w:ascii="Book Antiqua" w:eastAsia="MS Mincho" w:hAnsi="Book Antiqua"/>
          <w:sz w:val="24"/>
          <w:szCs w:val="24"/>
          <w:lang w:val="en-US" w:eastAsia="ja-JP"/>
        </w:rPr>
        <w:t xml:space="preserve">In 1988, 1996 and 1999 Thiele </w:t>
      </w:r>
      <w:r w:rsidRPr="006A52C0">
        <w:rPr>
          <w:rFonts w:ascii="Book Antiqua" w:eastAsia="MS Mincho" w:hAnsi="Book Antiqua"/>
          <w:i/>
          <w:sz w:val="24"/>
          <w:szCs w:val="24"/>
          <w:lang w:val="en-US" w:eastAsia="ja-JP"/>
        </w:rPr>
        <w:t>et al</w:t>
      </w:r>
      <w:r w:rsidRPr="00CC3D0A">
        <w:rPr>
          <w:rFonts w:ascii="Book Antiqua" w:eastAsia="MS Mincho" w:hAnsi="Book Antiqua"/>
          <w:sz w:val="24"/>
          <w:szCs w:val="24"/>
          <w:vertAlign w:val="superscript"/>
          <w:lang w:val="en-US" w:eastAsia="ja-JP"/>
        </w:rPr>
        <w:t>[26-29]</w:t>
      </w:r>
      <w:r w:rsidRPr="00CC3D0A">
        <w:rPr>
          <w:rFonts w:ascii="Book Antiqua" w:eastAsia="MS Mincho" w:hAnsi="Book Antiqua"/>
          <w:sz w:val="24"/>
          <w:szCs w:val="24"/>
          <w:lang w:val="en-US" w:eastAsia="ja-JP"/>
        </w:rPr>
        <w:t xml:space="preserve"> clearly defined the bone marrow features of normocellular true ET (WHO-ET, Table 2, Figure 2), of hypercellular trilinear PV (Table 3, Figure 2), and prefibrotic chronic idiopathic myelofibrosis (CIMF) with associated thrombocytosis (Figure 2). According to Thiele</w:t>
      </w:r>
      <w:r w:rsidRPr="00CC3D0A">
        <w:rPr>
          <w:rFonts w:ascii="Book Antiqua" w:eastAsia="MS Mincho" w:hAnsi="Book Antiqua"/>
          <w:sz w:val="24"/>
          <w:szCs w:val="24"/>
          <w:vertAlign w:val="superscript"/>
          <w:lang w:val="en-US" w:eastAsia="ja-JP"/>
        </w:rPr>
        <w:t>[26-29]</w:t>
      </w:r>
      <w:r w:rsidRPr="00CC3D0A">
        <w:rPr>
          <w:rFonts w:ascii="Book Antiqua" w:eastAsia="MS Mincho" w:hAnsi="Book Antiqua"/>
          <w:sz w:val="24"/>
          <w:szCs w:val="24"/>
          <w:lang w:val="en-US" w:eastAsia="ja-JP"/>
        </w:rPr>
        <w:t>,</w:t>
      </w:r>
      <w:r>
        <w:rPr>
          <w:rFonts w:ascii="Book Antiqua" w:eastAsia="MS Mincho" w:hAnsi="Book Antiqua"/>
          <w:sz w:val="24"/>
          <w:szCs w:val="24"/>
          <w:lang w:val="en-US" w:eastAsia="ja-JP"/>
        </w:rPr>
        <w:t xml:space="preserve"> </w:t>
      </w:r>
      <w:r w:rsidRPr="00CC3D0A">
        <w:rPr>
          <w:rFonts w:ascii="Book Antiqua" w:eastAsia="MS Mincho" w:hAnsi="Book Antiqua"/>
          <w:sz w:val="24"/>
          <w:szCs w:val="24"/>
          <w:lang w:val="en-US" w:eastAsia="ja-JP"/>
        </w:rPr>
        <w:t>“true” ET clearly differs from ET associated with prefibrotic CIMF labeled as “false” ET. In true ET megakaryocytes display large to giant megakaryocytes</w:t>
      </w:r>
      <w:r>
        <w:rPr>
          <w:rFonts w:ascii="Book Antiqua" w:eastAsia="MS Mincho" w:hAnsi="Book Antiqua"/>
          <w:sz w:val="24"/>
          <w:szCs w:val="24"/>
          <w:lang w:val="en-US" w:eastAsia="ja-JP"/>
        </w:rPr>
        <w:t xml:space="preserve"> </w:t>
      </w:r>
      <w:r w:rsidRPr="00CC3D0A">
        <w:rPr>
          <w:rFonts w:ascii="Book Antiqua" w:eastAsia="MS Mincho" w:hAnsi="Book Antiqua"/>
          <w:sz w:val="24"/>
          <w:szCs w:val="24"/>
          <w:lang w:val="en-US" w:eastAsia="ja-JP"/>
        </w:rPr>
        <w:t>showing hyperlobulated staghorn-like nuclei in a normocellular bone marrow (WHO-ET Table 2, Figure 2). Interestingly, the megakaryocytes in true ET are larger than in PV</w:t>
      </w:r>
      <w:r w:rsidRPr="00CC3D0A">
        <w:rPr>
          <w:rFonts w:ascii="Book Antiqua" w:eastAsia="MS Mincho" w:hAnsi="Book Antiqua"/>
          <w:sz w:val="24"/>
          <w:szCs w:val="24"/>
          <w:vertAlign w:val="superscript"/>
          <w:lang w:val="en-US" w:eastAsia="ja-JP"/>
        </w:rPr>
        <w:t>[26]</w:t>
      </w:r>
      <w:r w:rsidRPr="00CC3D0A">
        <w:rPr>
          <w:rFonts w:ascii="Book Antiqua" w:eastAsia="MS Mincho" w:hAnsi="Book Antiqua"/>
          <w:sz w:val="24"/>
          <w:szCs w:val="24"/>
          <w:lang w:val="en-GB" w:eastAsia="ja-JP"/>
        </w:rPr>
        <w:t>.</w:t>
      </w:r>
      <w:r w:rsidRPr="00CC3D0A">
        <w:rPr>
          <w:rFonts w:ascii="Book Antiqua" w:eastAsia="MS Mincho" w:hAnsi="Book Antiqua"/>
          <w:sz w:val="24"/>
          <w:szCs w:val="24"/>
          <w:lang w:val="en-US" w:eastAsia="ja-JP"/>
        </w:rPr>
        <w:t xml:space="preserve"> PV is typically featured by small to large (pleomorphic)</w:t>
      </w:r>
      <w:r>
        <w:rPr>
          <w:rFonts w:ascii="Book Antiqua" w:eastAsia="MS Mincho" w:hAnsi="Book Antiqua"/>
          <w:sz w:val="24"/>
          <w:szCs w:val="24"/>
          <w:lang w:val="en-US" w:eastAsia="ja-JP"/>
        </w:rPr>
        <w:t xml:space="preserve"> </w:t>
      </w:r>
      <w:r w:rsidRPr="00CC3D0A">
        <w:rPr>
          <w:rFonts w:ascii="Book Antiqua" w:eastAsia="MS Mincho" w:hAnsi="Book Antiqua"/>
          <w:sz w:val="24"/>
          <w:szCs w:val="24"/>
          <w:lang w:val="en-US" w:eastAsia="ja-JP"/>
        </w:rPr>
        <w:t>megekaryocytes</w:t>
      </w:r>
      <w:r>
        <w:rPr>
          <w:rFonts w:ascii="Book Antiqua" w:eastAsia="MS Mincho" w:hAnsi="Book Antiqua"/>
          <w:sz w:val="24"/>
          <w:szCs w:val="24"/>
          <w:lang w:val="en-US" w:eastAsia="ja-JP"/>
        </w:rPr>
        <w:t xml:space="preserve"> </w:t>
      </w:r>
      <w:r w:rsidRPr="00CC3D0A">
        <w:rPr>
          <w:rFonts w:ascii="Book Antiqua" w:eastAsia="MS Mincho" w:hAnsi="Book Antiqua"/>
          <w:sz w:val="24"/>
          <w:szCs w:val="24"/>
          <w:lang w:val="en-US" w:eastAsia="ja-JP"/>
        </w:rPr>
        <w:t xml:space="preserve">with hyperploid nuclei in a hypercellular bone marrow due to increased erythropoiesis or increased erythro-granulocytic myeloproliferation (WHO-PV, Table 3, Figure 2). </w:t>
      </w:r>
      <w:r w:rsidRPr="00CC3D0A">
        <w:rPr>
          <w:rFonts w:ascii="Book Antiqua" w:eastAsia="MS Mincho" w:hAnsi="Book Antiqua"/>
          <w:sz w:val="24"/>
          <w:szCs w:val="24"/>
          <w:lang w:val="en-GB" w:eastAsia="ja-JP"/>
        </w:rPr>
        <w:t xml:space="preserve">In 1980, </w:t>
      </w:r>
      <w:r w:rsidRPr="00CC3D0A">
        <w:rPr>
          <w:rFonts w:ascii="Book Antiqua" w:eastAsia="MS Mincho" w:hAnsi="Book Antiqua"/>
          <w:bCs/>
          <w:sz w:val="24"/>
          <w:szCs w:val="24"/>
          <w:lang w:val="en-US" w:eastAsia="ja-JP"/>
        </w:rPr>
        <w:t>Georgii, Vykoupli</w:t>
      </w:r>
      <w:r>
        <w:rPr>
          <w:rFonts w:ascii="Book Antiqua" w:eastAsia="MS Mincho" w:hAnsi="Book Antiqua"/>
          <w:bCs/>
          <w:sz w:val="24"/>
          <w:szCs w:val="24"/>
          <w:lang w:val="en-US" w:eastAsia="ja-JP"/>
        </w:rPr>
        <w:t xml:space="preserve"> </w:t>
      </w:r>
      <w:r w:rsidRPr="00CC3D0A">
        <w:rPr>
          <w:rFonts w:ascii="Book Antiqua" w:eastAsia="MS Mincho" w:hAnsi="Book Antiqua"/>
          <w:bCs/>
          <w:sz w:val="24"/>
          <w:szCs w:val="24"/>
          <w:lang w:val="en-US" w:eastAsia="ja-JP"/>
        </w:rPr>
        <w:t>and Thiele described chronic megakaryocytic granulocytic myeloproliferation (CMGM)</w:t>
      </w:r>
      <w:r w:rsidRPr="00CC3D0A">
        <w:rPr>
          <w:rFonts w:ascii="Book Antiqua" w:eastAsia="MS Mincho" w:hAnsi="Book Antiqua"/>
          <w:sz w:val="24"/>
          <w:szCs w:val="24"/>
          <w:lang w:val="en-GB" w:eastAsia="ja-JP"/>
        </w:rPr>
        <w:t xml:space="preserve"> as a distinct MPD entity apart from ET</w:t>
      </w:r>
      <w:r w:rsidRPr="00CC3D0A">
        <w:rPr>
          <w:rFonts w:ascii="Book Antiqua" w:eastAsia="MS Mincho" w:hAnsi="Book Antiqua"/>
          <w:sz w:val="24"/>
          <w:szCs w:val="24"/>
          <w:vertAlign w:val="superscript"/>
          <w:lang w:val="en-GB" w:eastAsia="ja-JP"/>
        </w:rPr>
        <w:t>[23]</w:t>
      </w:r>
      <w:r w:rsidRPr="00CC3D0A">
        <w:rPr>
          <w:rFonts w:ascii="Book Antiqua" w:eastAsia="MS Mincho" w:hAnsi="Book Antiqua"/>
          <w:sz w:val="24"/>
          <w:szCs w:val="24"/>
          <w:lang w:val="en-GB" w:eastAsia="ja-JP"/>
        </w:rPr>
        <w:t xml:space="preserve">. In 1990, </w:t>
      </w:r>
      <w:r w:rsidRPr="00CC3D0A">
        <w:rPr>
          <w:rFonts w:ascii="Book Antiqua" w:eastAsia="MS Mincho" w:hAnsi="Book Antiqua"/>
          <w:sz w:val="24"/>
          <w:szCs w:val="24"/>
          <w:lang w:val="en-GB" w:eastAsia="ja-JP"/>
        </w:rPr>
        <w:lastRenderedPageBreak/>
        <w:t xml:space="preserve">Georgii </w:t>
      </w:r>
      <w:r w:rsidRPr="006A52C0">
        <w:rPr>
          <w:rFonts w:ascii="Book Antiqua" w:eastAsia="MS Mincho" w:hAnsi="Book Antiqua"/>
          <w:i/>
          <w:sz w:val="24"/>
          <w:szCs w:val="24"/>
          <w:lang w:val="en-GB" w:eastAsia="ja-JP"/>
        </w:rPr>
        <w:t>et al</w:t>
      </w:r>
      <w:r w:rsidRPr="00CC3D0A">
        <w:rPr>
          <w:rFonts w:ascii="Book Antiqua" w:eastAsia="MS Mincho" w:hAnsi="Book Antiqua"/>
          <w:sz w:val="24"/>
          <w:szCs w:val="24"/>
          <w:vertAlign w:val="superscript"/>
          <w:lang w:val="en-GB" w:eastAsia="ja-JP"/>
        </w:rPr>
        <w:t>[24,25]</w:t>
      </w:r>
      <w:r w:rsidRPr="00CC3D0A">
        <w:rPr>
          <w:rFonts w:ascii="Book Antiqua" w:eastAsia="MS Mincho" w:hAnsi="Book Antiqua"/>
          <w:sz w:val="24"/>
          <w:szCs w:val="24"/>
          <w:lang w:val="en-GB" w:eastAsia="ja-JP"/>
        </w:rPr>
        <w:t xml:space="preserve"> proposed the Hannover Bone Classification of the myeloproliferative disease and defined CMGM as hypercellular prefibrotic stages preceding AMM or IMF (Figure 2). As prefibrotic CIMF-0 is a contradiction of terms and myelofibrosis is not idiopathic but secondary seen in various MPDs, Georgii </w:t>
      </w:r>
      <w:r w:rsidRPr="006A52C0">
        <w:rPr>
          <w:rFonts w:ascii="Book Antiqua" w:eastAsia="MS Mincho" w:hAnsi="Book Antiqua"/>
          <w:i/>
          <w:sz w:val="24"/>
          <w:szCs w:val="24"/>
          <w:lang w:val="en-GB" w:eastAsia="ja-JP"/>
        </w:rPr>
        <w:t>et al</w:t>
      </w:r>
      <w:r w:rsidRPr="00CC3D0A">
        <w:rPr>
          <w:rFonts w:ascii="Book Antiqua" w:eastAsia="MS Mincho" w:hAnsi="Book Antiqua"/>
          <w:sz w:val="24"/>
          <w:szCs w:val="24"/>
          <w:vertAlign w:val="superscript"/>
          <w:lang w:val="en-GB" w:eastAsia="ja-JP"/>
        </w:rPr>
        <w:t>[24]</w:t>
      </w:r>
      <w:r w:rsidRPr="00CC3D0A">
        <w:rPr>
          <w:rFonts w:ascii="Book Antiqua" w:eastAsia="MS Mincho" w:hAnsi="Book Antiqua"/>
          <w:sz w:val="24"/>
          <w:szCs w:val="24"/>
          <w:lang w:val="en-GB" w:eastAsia="ja-JP"/>
        </w:rPr>
        <w:t xml:space="preserve"> replaced the term CIMF by CMGM as the third entity of MPD different from ET and PV at the bone marrow pathology level (Hannover Bone Marrow Classification of MPD. The prefibrotic stage of CMGM or CIMF precedes the fibrotic stages of AMM (Figure 2)) and initially present as PMGM defined by Michiels </w:t>
      </w:r>
      <w:r>
        <w:rPr>
          <w:rFonts w:ascii="Book Antiqua" w:hAnsi="Book Antiqua"/>
          <w:sz w:val="24"/>
          <w:szCs w:val="24"/>
          <w:lang w:val="en-GB" w:eastAsia="zh-CN"/>
        </w:rPr>
        <w:t>and</w:t>
      </w:r>
      <w:r w:rsidRPr="00CC3D0A">
        <w:rPr>
          <w:rFonts w:ascii="Book Antiqua" w:eastAsia="MS Mincho" w:hAnsi="Book Antiqua"/>
          <w:sz w:val="24"/>
          <w:szCs w:val="24"/>
          <w:lang w:val="en-GB" w:eastAsia="ja-JP"/>
        </w:rPr>
        <w:t xml:space="preserve"> Thiele in Table 4. PMGM is characterized by a specific disturbance of a hypercellular bone marrow with striking abnormalities of megakaryocyte maturation (dysmegakaryopoiesis) </w:t>
      </w:r>
      <w:r>
        <w:rPr>
          <w:rFonts w:ascii="Book Antiqua" w:hAnsi="Book Antiqua"/>
          <w:sz w:val="24"/>
          <w:szCs w:val="24"/>
          <w:lang w:val="en-GB" w:eastAsia="zh-CN"/>
        </w:rPr>
        <w:t>(</w:t>
      </w:r>
      <w:r w:rsidRPr="00CC3D0A">
        <w:rPr>
          <w:rFonts w:ascii="Book Antiqua" w:eastAsia="MS Mincho" w:hAnsi="Book Antiqua"/>
          <w:sz w:val="24"/>
          <w:szCs w:val="24"/>
          <w:lang w:val="en-GB" w:eastAsia="ja-JP"/>
        </w:rPr>
        <w:t xml:space="preserve">Figures 6, 7, 8 and 10), which consist of variations in size including giant forms and deviations of the nuclear-cytoplasmic ratio accompanied by bulbous and hyperchromatic cloud-like nuclei, which are not seen in ET and PV. Thiele, Kvasnicka, Deihl, Fischer </w:t>
      </w:r>
      <w:r>
        <w:rPr>
          <w:rFonts w:ascii="Book Antiqua" w:hAnsi="Book Antiqua"/>
          <w:sz w:val="24"/>
          <w:szCs w:val="24"/>
          <w:lang w:val="en-GB" w:eastAsia="zh-CN"/>
        </w:rPr>
        <w:t>and</w:t>
      </w:r>
      <w:r w:rsidRPr="00CC3D0A">
        <w:rPr>
          <w:rFonts w:ascii="Book Antiqua" w:eastAsia="MS Mincho" w:hAnsi="Book Antiqua"/>
          <w:sz w:val="24"/>
          <w:szCs w:val="24"/>
          <w:lang w:val="en-GB" w:eastAsia="ja-JP"/>
        </w:rPr>
        <w:t xml:space="preserve"> Michiels in their 1999 Cologne Clinical and Bone Marrow Classification of the MPDs</w:t>
      </w:r>
      <w:r w:rsidRPr="00CC3D0A">
        <w:rPr>
          <w:rFonts w:ascii="Book Antiqua" w:eastAsia="MS Mincho" w:hAnsi="Book Antiqua"/>
          <w:sz w:val="24"/>
          <w:szCs w:val="24"/>
          <w:vertAlign w:val="superscript"/>
          <w:lang w:val="en-GB" w:eastAsia="ja-JP"/>
        </w:rPr>
        <w:t>[29]</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used the term prefibrotic chronic IMF (CIMF-0) for this third CMGM MPD entity</w:t>
      </w:r>
      <w:r w:rsidRPr="00CC3D0A">
        <w:rPr>
          <w:rFonts w:ascii="Book Antiqua" w:eastAsia="MS Mincho" w:hAnsi="Book Antiqua"/>
          <w:sz w:val="24"/>
          <w:szCs w:val="24"/>
          <w:vertAlign w:val="superscript"/>
          <w:lang w:val="en-GB" w:eastAsia="ja-JP"/>
        </w:rPr>
        <w:t>[29]</w:t>
      </w:r>
      <w:r w:rsidRPr="00CC3D0A">
        <w:rPr>
          <w:rFonts w:ascii="Book Antiqua" w:eastAsia="MS Mincho" w:hAnsi="Book Antiqua"/>
          <w:sz w:val="24"/>
          <w:szCs w:val="24"/>
          <w:lang w:val="en-GB" w:eastAsia="ja-JP"/>
        </w:rPr>
        <w:t>. Prefibrotic CIMF/CMGM is typically featured by c</w:t>
      </w:r>
      <w:r w:rsidRPr="001911E7">
        <w:rPr>
          <w:rFonts w:ascii="Book Antiqua" w:eastAsia="MS Mincho" w:hAnsi="Book Antiqua"/>
          <w:sz w:val="24"/>
          <w:szCs w:val="24"/>
          <w:lang w:val="en-GB" w:eastAsia="ja-JP"/>
        </w:rPr>
        <w:t xml:space="preserve">linical ET associated with megakaryocytic granulocytic myloproliferation (MGM) </w:t>
      </w:r>
      <w:r w:rsidRPr="00CC3D0A">
        <w:rPr>
          <w:rFonts w:ascii="Book Antiqua" w:eastAsia="MS Mincho" w:hAnsi="Book Antiqua"/>
          <w:sz w:val="24"/>
          <w:szCs w:val="24"/>
          <w:lang w:val="en-GB" w:eastAsia="ja-JP"/>
        </w:rPr>
        <w:t>at the bone marrow level with no or slight increase of</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 xml:space="preserve"> reticulin fibers (RF) in the Gomori’s silver or Gordon Sweet stain of bone marrow biopsy specimen (Table 4, Figure 2). With the advent of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 Michiels distinguish in this report two variants of </w:t>
      </w:r>
      <w:r w:rsidRPr="001911E7">
        <w:rPr>
          <w:rFonts w:ascii="Book Antiqua" w:eastAsia="MS Mincho" w:hAnsi="Book Antiqua"/>
          <w:sz w:val="24"/>
          <w:szCs w:val="24"/>
          <w:lang w:val="en-GB" w:eastAsia="ja-JP"/>
        </w:rPr>
        <w:t xml:space="preserve">MGM (Figure 2): </w:t>
      </w:r>
      <w:r w:rsidRPr="00CC3D0A">
        <w:rPr>
          <w:rFonts w:ascii="Book Antiqua" w:eastAsia="MS Mincho" w:hAnsi="Book Antiqua"/>
          <w:sz w:val="24"/>
          <w:szCs w:val="24"/>
          <w:lang w:val="en-GB" w:eastAsia="ja-JP"/>
        </w:rPr>
        <w:t>JAK2</w:t>
      </w:r>
      <w:r w:rsidRPr="00CC3D0A">
        <w:rPr>
          <w:rFonts w:ascii="Book Antiqua" w:eastAsia="MS Mincho" w:hAnsi="Book Antiqua"/>
          <w:sz w:val="24"/>
          <w:szCs w:val="24"/>
          <w:vertAlign w:val="superscript"/>
          <w:lang w:val="en-GB" w:eastAsia="ja-JP"/>
        </w:rPr>
        <w:t xml:space="preserve">V617F </w:t>
      </w:r>
      <w:r w:rsidRPr="00CC3D0A">
        <w:rPr>
          <w:rFonts w:ascii="Book Antiqua" w:eastAsia="MS Mincho" w:hAnsi="Book Antiqua"/>
          <w:sz w:val="24"/>
          <w:szCs w:val="24"/>
          <w:lang w:val="en-GB" w:eastAsia="ja-JP"/>
        </w:rPr>
        <w:t>mutated ET.MGM (Figure 4, table 2) and JAK2 wild type ET associated with primary MGM (PMGM, Figures 6, 7, 8 and 10, Table 4). ET associated with JAK2 wild type PMGM (Figure 2 and Table 4) is not preceded by any variant of JAK2 or MPL mutated ET or</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PV.</w:t>
      </w:r>
      <w:r>
        <w:rPr>
          <w:rFonts w:ascii="Book Antiqua" w:eastAsia="MS Mincho" w:hAnsi="Book Antiqua"/>
          <w:sz w:val="24"/>
          <w:szCs w:val="24"/>
          <w:lang w:val="en-GB" w:eastAsia="ja-JP"/>
        </w:rPr>
        <w:t xml:space="preserve"> </w:t>
      </w:r>
    </w:p>
    <w:p w:rsidR="00702CE8" w:rsidRPr="00CC3D0A" w:rsidRDefault="00702CE8" w:rsidP="00AC3FB8">
      <w:pPr>
        <w:suppressAutoHyphens/>
        <w:autoSpaceDN w:val="0"/>
        <w:spacing w:after="0" w:line="360" w:lineRule="auto"/>
        <w:ind w:firstLineChars="250" w:firstLine="600"/>
        <w:jc w:val="both"/>
        <w:rPr>
          <w:rFonts w:ascii="Book Antiqua" w:eastAsia="MS Mincho" w:hAnsi="Book Antiqua"/>
          <w:sz w:val="24"/>
          <w:szCs w:val="24"/>
          <w:lang w:val="en-US" w:eastAsia="ja-JP"/>
        </w:rPr>
      </w:pPr>
      <w:r w:rsidRPr="00CC3D0A">
        <w:rPr>
          <w:rFonts w:ascii="Book Antiqua" w:eastAsia="MS Mincho" w:hAnsi="Book Antiqua"/>
          <w:sz w:val="24"/>
          <w:szCs w:val="24"/>
          <w:lang w:val="en-GB" w:eastAsia="ja-JP"/>
        </w:rPr>
        <w:t xml:space="preserve">The diagnosis of 2008 WHO fibrotic PMF (Figure 2) is identical to fibrotic stages of PMGM as based on the presence of at least 2 minor criteria and typical bone marrow features including: </w:t>
      </w:r>
      <w:r>
        <w:rPr>
          <w:rFonts w:ascii="Book Antiqua" w:hAnsi="Book Antiqua"/>
          <w:sz w:val="24"/>
          <w:szCs w:val="24"/>
          <w:lang w:val="en-GB" w:eastAsia="zh-CN"/>
        </w:rPr>
        <w:t>(</w:t>
      </w:r>
      <w:r w:rsidRPr="00CC3D0A">
        <w:rPr>
          <w:rFonts w:ascii="Book Antiqua" w:eastAsia="MS Mincho" w:hAnsi="Book Antiqua"/>
          <w:sz w:val="24"/>
          <w:szCs w:val="24"/>
          <w:lang w:val="en-GB" w:eastAsia="ja-JP"/>
        </w:rPr>
        <w:t xml:space="preserve">1) dense clusters of large dysmorphic megakaryocytes with immature cloud-like nuclei not seen in ET and PV; </w:t>
      </w:r>
      <w:r>
        <w:rPr>
          <w:rFonts w:ascii="Book Antiqua" w:hAnsi="Book Antiqua"/>
          <w:sz w:val="24"/>
          <w:szCs w:val="24"/>
          <w:lang w:val="en-GB" w:eastAsia="zh-CN"/>
        </w:rPr>
        <w:t>(</w:t>
      </w:r>
      <w:r w:rsidRPr="00CC3D0A">
        <w:rPr>
          <w:rFonts w:ascii="Book Antiqua" w:eastAsia="MS Mincho" w:hAnsi="Book Antiqua"/>
          <w:sz w:val="24"/>
          <w:szCs w:val="24"/>
          <w:lang w:val="en-GB" w:eastAsia="ja-JP"/>
        </w:rPr>
        <w:t xml:space="preserve">2) increased and normal maturation of granulopoiesis; </w:t>
      </w:r>
      <w:r>
        <w:rPr>
          <w:rFonts w:ascii="Book Antiqua" w:hAnsi="Book Antiqua"/>
          <w:sz w:val="24"/>
          <w:szCs w:val="24"/>
          <w:lang w:val="en-GB" w:eastAsia="zh-CN"/>
        </w:rPr>
        <w:t>and (</w:t>
      </w:r>
      <w:r w:rsidRPr="00CC3D0A">
        <w:rPr>
          <w:rFonts w:ascii="Book Antiqua" w:eastAsia="MS Mincho" w:hAnsi="Book Antiqua"/>
          <w:sz w:val="24"/>
          <w:szCs w:val="24"/>
          <w:lang w:val="en-GB" w:eastAsia="ja-JP"/>
        </w:rPr>
        <w:t>3)</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 xml:space="preserve">various degrees of myelofibrosis (MF), consistent with fibrotic stage of agnogenic myeloid metaplasia (AMM) (Figure 2, </w:t>
      </w:r>
      <w:r w:rsidRPr="00CC3D0A">
        <w:rPr>
          <w:rFonts w:ascii="Book Antiqua" w:eastAsia="MS Mincho" w:hAnsi="Book Antiqua"/>
          <w:sz w:val="24"/>
          <w:szCs w:val="24"/>
          <w:lang w:val="en-GB" w:eastAsia="ja-JP"/>
        </w:rPr>
        <w:lastRenderedPageBreak/>
        <w:t xml:space="preserve">clinical stage C2and C3 in Table 4). Fibrotic stage of PMF are also seen in post-ET myelofibrosis and post_PV myelofibrosis (Figure 2). </w:t>
      </w: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t>WHO-ECMP CRITERIA TO DIAGNOSE AND CLASSIFY MPD</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sz w:val="24"/>
          <w:szCs w:val="24"/>
          <w:lang w:val="en-GB" w:eastAsia="ja-JP"/>
        </w:rPr>
        <w:t>The 2008 WHO</w:t>
      </w:r>
      <w:r w:rsidRPr="00CC3D0A">
        <w:rPr>
          <w:rFonts w:ascii="Book Antiqua" w:eastAsia="MS Mincho" w:hAnsi="Book Antiqua"/>
          <w:sz w:val="24"/>
          <w:szCs w:val="24"/>
          <w:vertAlign w:val="superscript"/>
          <w:lang w:val="en-GB" w:eastAsia="ja-JP"/>
        </w:rPr>
        <w:t>[21,22]</w:t>
      </w:r>
      <w:r w:rsidRPr="00CC3D0A">
        <w:rPr>
          <w:rFonts w:ascii="Book Antiqua" w:eastAsia="MS Mincho" w:hAnsi="Book Antiqua"/>
          <w:sz w:val="24"/>
          <w:szCs w:val="24"/>
          <w:lang w:val="en-GB" w:eastAsia="ja-JP"/>
        </w:rPr>
        <w:t xml:space="preserve"> classification of the MPNs ET, PV and PMF is a very important step forward as compared to the PVSG diagnostic MPD criteria for ET, PV and AMM</w:t>
      </w:r>
      <w:r w:rsidRPr="00CC3D0A">
        <w:rPr>
          <w:rFonts w:ascii="Book Antiqua" w:eastAsia="MS Mincho" w:hAnsi="Book Antiqua"/>
          <w:sz w:val="24"/>
          <w:szCs w:val="24"/>
          <w:vertAlign w:val="superscript"/>
          <w:lang w:val="en-GB" w:eastAsia="ja-JP"/>
        </w:rPr>
        <w:t>[7-10]</w:t>
      </w:r>
      <w:r w:rsidRPr="00CC3D0A">
        <w:rPr>
          <w:rFonts w:ascii="Book Antiqua" w:eastAsia="MS Mincho" w:hAnsi="Book Antiqua"/>
          <w:sz w:val="24"/>
          <w:szCs w:val="24"/>
          <w:lang w:val="en-GB" w:eastAsia="ja-JP"/>
        </w:rPr>
        <w:t>, but do not meet the needs in daily practice for four reasons</w:t>
      </w:r>
      <w:r w:rsidRPr="00CC3D0A">
        <w:rPr>
          <w:rFonts w:ascii="Book Antiqua" w:eastAsia="MS Mincho" w:hAnsi="Book Antiqua"/>
          <w:sz w:val="24"/>
          <w:szCs w:val="24"/>
          <w:vertAlign w:val="superscript"/>
          <w:lang w:val="en-GB" w:eastAsia="ja-JP"/>
        </w:rPr>
        <w:t>[18-20]</w:t>
      </w:r>
      <w:r w:rsidRPr="00CC3D0A">
        <w:rPr>
          <w:rFonts w:ascii="Book Antiqua" w:eastAsia="MS Mincho" w:hAnsi="Book Antiqua"/>
          <w:sz w:val="24"/>
          <w:szCs w:val="24"/>
          <w:lang w:val="en-GB" w:eastAsia="ja-JP"/>
        </w:rPr>
        <w:t>. First, 2008 WHO criteria for ET only define normocellular ET (WHO-ET), and the diagnosis of ET type 2 with features of early PV (prodromal PV) in blood and bone marrow but normal RCM and erythrocytes (&lt;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6</w:t>
      </w:r>
      <w:r>
        <w:rPr>
          <w:rFonts w:ascii="Book Antiqua" w:hAnsi="Book Antiqua"/>
          <w:sz w:val="24"/>
          <w:szCs w:val="24"/>
          <w:lang w:val="en-GB" w:eastAsia="zh-CN"/>
        </w:rPr>
        <w:t xml:space="preserve">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12</w:t>
      </w:r>
      <w:r w:rsidRPr="00CC3D0A">
        <w:rPr>
          <w:rFonts w:ascii="Book Antiqua" w:eastAsia="MS Mincho" w:hAnsi="Book Antiqua"/>
          <w:sz w:val="24"/>
          <w:szCs w:val="24"/>
          <w:lang w:val="en-GB" w:eastAsia="ja-JP"/>
        </w:rPr>
        <w:t>/L) is suggested by the 2008 WHO but not clearly defined. Second, the 2008 WHO defined ET include ECMP defined JAK2</w:t>
      </w:r>
      <w:r w:rsidRPr="00CC3D0A">
        <w:rPr>
          <w:rFonts w:ascii="Book Antiqua" w:eastAsia="MS Mincho" w:hAnsi="Book Antiqua"/>
          <w:sz w:val="24"/>
          <w:szCs w:val="24"/>
          <w:vertAlign w:val="superscript"/>
          <w:lang w:val="en-GB" w:eastAsia="ja-JP"/>
        </w:rPr>
        <w:t xml:space="preserve">V617F </w:t>
      </w:r>
      <w:r w:rsidRPr="00CC3D0A">
        <w:rPr>
          <w:rFonts w:ascii="Book Antiqua" w:eastAsia="MS Mincho" w:hAnsi="Book Antiqua"/>
          <w:sz w:val="24"/>
          <w:szCs w:val="24"/>
          <w:lang w:val="en-GB" w:eastAsia="ja-JP"/>
        </w:rPr>
        <w:t>positive normocellular ET (WHO-ET), prodromal PV and ET.MGM, MPL</w:t>
      </w:r>
      <w:r w:rsidRPr="00CC3D0A">
        <w:rPr>
          <w:rFonts w:ascii="Book Antiqua" w:eastAsia="MS Mincho" w:hAnsi="Book Antiqua"/>
          <w:sz w:val="24"/>
          <w:szCs w:val="24"/>
          <w:vertAlign w:val="superscript"/>
          <w:lang w:val="en-GB" w:eastAsia="ja-JP"/>
        </w:rPr>
        <w:t>515</w:t>
      </w:r>
      <w:r w:rsidRPr="00CC3D0A">
        <w:rPr>
          <w:rFonts w:ascii="Book Antiqua" w:eastAsia="MS Mincho" w:hAnsi="Book Antiqua"/>
          <w:sz w:val="24"/>
          <w:szCs w:val="24"/>
          <w:lang w:val="en-GB" w:eastAsia="ja-JP"/>
        </w:rPr>
        <w:t xml:space="preserve"> positive ET (figure 2 middle part in red), as well as JAK2 wild type PMGM (Figure 2 right in blue). There is good evidence that hypercellular ET with no leukoerythroblastosis but with increased cellularity due megakaryocytic granulocytic myeloproliferation (ET.MGM) and loose clusters of slight to moderate dysmegakaryopoiesis is rather frequent (ET.MGM, Table 2)</w:t>
      </w:r>
      <w:r w:rsidRPr="00AD6FBB">
        <w:rPr>
          <w:rFonts w:ascii="Book Antiqua" w:hAnsi="Book Antiqua"/>
          <w:sz w:val="24"/>
          <w:szCs w:val="24"/>
          <w:vertAlign w:val="superscript"/>
          <w:lang w:val="en-GB" w:eastAsia="zh-CN"/>
        </w:rPr>
        <w:t>[</w:t>
      </w:r>
      <w:r w:rsidRPr="00CC3D0A">
        <w:rPr>
          <w:rFonts w:ascii="Book Antiqua" w:eastAsia="MS Mincho" w:hAnsi="Book Antiqua"/>
          <w:sz w:val="24"/>
          <w:szCs w:val="24"/>
          <w:vertAlign w:val="superscript"/>
          <w:lang w:val="en-GB" w:eastAsia="ja-JP"/>
        </w:rPr>
        <w:t>40</w:t>
      </w:r>
      <w:r>
        <w:rPr>
          <w:rFonts w:ascii="Book Antiqua" w:hAnsi="Book Antiqua"/>
          <w:sz w:val="24"/>
          <w:szCs w:val="24"/>
          <w:vertAlign w:val="superscript"/>
          <w:lang w:val="en-GB" w:eastAsia="zh-CN"/>
        </w:rPr>
        <w:t>]</w:t>
      </w:r>
      <w:r w:rsidRPr="00CC3D0A">
        <w:rPr>
          <w:rFonts w:ascii="Book Antiqua" w:eastAsia="MS Mincho" w:hAnsi="Book Antiqua"/>
          <w:sz w:val="24"/>
          <w:szCs w:val="24"/>
          <w:lang w:val="en-GB" w:eastAsia="ja-JP"/>
        </w:rPr>
        <w:t>.</w:t>
      </w:r>
      <w:r w:rsidRPr="00CC3D0A">
        <w:rPr>
          <w:rFonts w:ascii="Book Antiqua" w:eastAsia="MS Mincho" w:hAnsi="Book Antiqua"/>
          <w:color w:val="FF0000"/>
          <w:sz w:val="24"/>
          <w:szCs w:val="24"/>
          <w:lang w:val="en-GB" w:eastAsia="ja-JP"/>
        </w:rPr>
        <w:t xml:space="preserve"> </w:t>
      </w:r>
      <w:r w:rsidRPr="00CC3D0A">
        <w:rPr>
          <w:rFonts w:ascii="Book Antiqua" w:eastAsia="MS Mincho" w:hAnsi="Book Antiqua"/>
          <w:sz w:val="24"/>
          <w:szCs w:val="24"/>
          <w:lang w:val="en-GB" w:eastAsia="ja-JP"/>
        </w:rPr>
        <w:t>Third, the diagnostic differentiation between JAK2</w:t>
      </w:r>
      <w:r w:rsidRPr="00CC3D0A">
        <w:rPr>
          <w:rFonts w:ascii="Book Antiqua" w:eastAsia="MS Mincho" w:hAnsi="Book Antiqua"/>
          <w:sz w:val="24"/>
          <w:szCs w:val="24"/>
          <w:vertAlign w:val="superscript"/>
          <w:lang w:val="en-GB" w:eastAsia="ja-JP"/>
        </w:rPr>
        <w:t>V616F</w:t>
      </w:r>
      <w:r w:rsidRPr="00CC3D0A">
        <w:rPr>
          <w:rFonts w:ascii="Book Antiqua" w:eastAsia="MS Mincho" w:hAnsi="Book Antiqua"/>
          <w:sz w:val="24"/>
          <w:szCs w:val="24"/>
          <w:lang w:val="en-GB" w:eastAsia="ja-JP"/>
        </w:rPr>
        <w:t xml:space="preserve"> positive ET.MGM without leukoerythroblastosis in Table 2 and JAK2 wild type PMGM without leukoerythroblastosis is clinically relevant and not addressed by the 2008 WHO classification. Fourth, the 2008 WHO classification disregard the importance of increased </w:t>
      </w:r>
      <w:r w:rsidRPr="002355D1">
        <w:rPr>
          <w:rFonts w:ascii="Book Antiqua" w:eastAsia="MS Mincho" w:hAnsi="Book Antiqua"/>
          <w:i/>
          <w:sz w:val="24"/>
          <w:szCs w:val="24"/>
          <w:lang w:val="en-GB" w:eastAsia="ja-JP"/>
        </w:rPr>
        <w:t>vs</w:t>
      </w:r>
      <w:r w:rsidRPr="00CC3D0A">
        <w:rPr>
          <w:rFonts w:ascii="Book Antiqua" w:eastAsia="MS Mincho" w:hAnsi="Book Antiqua"/>
          <w:sz w:val="24"/>
          <w:szCs w:val="24"/>
          <w:lang w:val="en-GB" w:eastAsia="ja-JP"/>
        </w:rPr>
        <w:t xml:space="preserve"> normal or decreased erythrocytes, leukocytes, leukocyte alkaline phosphatase score, platelets and spleen size for diagnosis, classification and staging of thrombocythemia in MPNs of various molecular etiology. Simple tests like blood cell counts including platelets, leukocytes, hematocrit and erythrocytes, spleen size on echogram, EEC, and LAP score are even not taken into account to distinguish the latent (masked), early and overt thrombocythemic and erythrocythemic stages of PV from the overt trilinear polycythemic stage of classic PV. These shortcomings of the 2008 WHO MPN criteria prompted us to propose integrated WHO-ECMP criteria for the diagnosis of ET (Table 2), PV (table 3) and PMF or PMGM</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 xml:space="preserve">(Table 4). </w:t>
      </w: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lastRenderedPageBreak/>
        <w:t>THREE STAGES OF ESSENTIAL THROMBOCYTHEMIA: ET</w:t>
      </w:r>
      <w:r>
        <w:rPr>
          <w:rFonts w:ascii="Book Antiqua" w:eastAsia="MS Mincho" w:hAnsi="Book Antiqua"/>
          <w:b/>
          <w:sz w:val="24"/>
          <w:szCs w:val="24"/>
          <w:lang w:val="en-GB" w:eastAsia="ja-JP"/>
        </w:rPr>
        <w:t xml:space="preserve"> </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GB" w:eastAsia="ja-JP"/>
        </w:rPr>
      </w:pPr>
      <w:r w:rsidRPr="00CC3D0A">
        <w:rPr>
          <w:rFonts w:ascii="Book Antiqua" w:eastAsia="MS Mincho" w:hAnsi="Book Antiqua"/>
          <w:sz w:val="24"/>
          <w:szCs w:val="24"/>
          <w:lang w:val="en-GB" w:eastAsia="ja-JP"/>
        </w:rPr>
        <w:t>Sustained increase of platelet counts (&gt;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350</w:t>
      </w:r>
      <w:r>
        <w:rPr>
          <w:rFonts w:ascii="Book Antiqua" w:hAnsi="Book Antiqua"/>
          <w:sz w:val="24"/>
          <w:szCs w:val="24"/>
          <w:lang w:val="en-GB" w:eastAsia="zh-CN"/>
        </w:rPr>
        <w:t xml:space="preserve">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/L) associated with slight splenomegaly on echogram (&gt;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12</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cm), normal erythrocytes (&lt;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6</w:t>
      </w:r>
      <w:r>
        <w:rPr>
          <w:rFonts w:ascii="Book Antiqua" w:hAnsi="Book Antiqua"/>
          <w:sz w:val="24"/>
          <w:szCs w:val="24"/>
          <w:lang w:val="en-GB" w:eastAsia="zh-CN"/>
        </w:rPr>
        <w:t xml:space="preserve">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12</w:t>
      </w:r>
      <w:r w:rsidRPr="00CC3D0A">
        <w:rPr>
          <w:rFonts w:ascii="Book Antiqua" w:eastAsia="MS Mincho" w:hAnsi="Book Antiqua"/>
          <w:sz w:val="24"/>
          <w:szCs w:val="24"/>
          <w:lang w:val="en-GB" w:eastAsia="ja-JP"/>
        </w:rPr>
        <w:t>/L) and red cell mass (RCM), normal or increased leukocytes (&gt;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 xml:space="preserve">12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/L) with normal ESR is suspicious of myeloproliferative thrombocythemia in the absence of any cause for reactive thrombocytosis. Pre-treatment bone marrow biopsy is needed as the final step in the diagnostic workup to correctly classify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positive and JAK2 wild type thrombocythemias in various prefibrotic MPDs. The presence of giant platelets in a peripheral blood smear and clustered large or giant mature</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megakaryocytes in bone marrow smear and biopsy are the pathognomonic clues to the clinical diagnosis of ET. PVSG defined ET without leukoerythroblastosis includes three phenotypes of ET when the WHO-ECMP criteria are applied (Table 2)</w:t>
      </w:r>
      <w:r w:rsidRPr="00CC3D0A">
        <w:rPr>
          <w:rFonts w:ascii="Book Antiqua" w:eastAsia="MS Mincho" w:hAnsi="Book Antiqua"/>
          <w:sz w:val="24"/>
          <w:szCs w:val="24"/>
          <w:vertAlign w:val="superscript"/>
          <w:lang w:val="en-GB" w:eastAsia="ja-JP"/>
        </w:rPr>
        <w:t>[18-22]</w:t>
      </w:r>
      <w:r w:rsidRPr="00CC3D0A">
        <w:rPr>
          <w:rFonts w:ascii="Book Antiqua" w:eastAsia="MS Mincho" w:hAnsi="Book Antiqua"/>
          <w:sz w:val="24"/>
          <w:szCs w:val="24"/>
          <w:lang w:val="en-GB" w:eastAsia="ja-JP"/>
        </w:rPr>
        <w:t>. The WHO-ECMP criteria classify clinical ET as normocellular ET (WHO-ET), prodromal PV mimicking ET, and ET associated with a prefibrotic MGM bone marrow picture without features of leukoerythrocytosis and extramedullary hematopoiesis (ET.MGM) and ET associated with PMGM. The screening for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 is very helpful in the diagnostic work-up of MPN patients</w:t>
      </w:r>
      <w:r w:rsidRPr="00CC3D0A">
        <w:rPr>
          <w:rFonts w:ascii="Book Antiqua" w:eastAsia="MS Mincho" w:hAnsi="Book Antiqua"/>
          <w:sz w:val="24"/>
          <w:szCs w:val="24"/>
          <w:vertAlign w:val="superscript"/>
          <w:lang w:val="en-GB" w:eastAsia="ja-JP"/>
        </w:rPr>
        <w:t>[41-63]</w:t>
      </w:r>
      <w:r w:rsidRPr="00CC3D0A">
        <w:rPr>
          <w:rFonts w:ascii="Book Antiqua" w:eastAsia="MS Mincho" w:hAnsi="Book Antiqua"/>
          <w:sz w:val="24"/>
          <w:szCs w:val="24"/>
          <w:lang w:val="en-GB" w:eastAsia="ja-JP"/>
        </w:rPr>
        <w:t>. Prodromal PV patients carry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 (Figures 3 and 4). Only half of the patients with PVSG or WHO defined ET carry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 (sensitivity 50% to 60%) and only a very few carry the MPL515 mutation</w:t>
      </w:r>
      <w:r w:rsidRPr="00CC3D0A">
        <w:rPr>
          <w:rFonts w:ascii="Book Antiqua" w:eastAsia="MS Mincho" w:hAnsi="Book Antiqua"/>
          <w:sz w:val="24"/>
          <w:szCs w:val="24"/>
          <w:vertAlign w:val="superscript"/>
          <w:lang w:val="en-GB" w:eastAsia="ja-JP"/>
        </w:rPr>
        <w:t>[59,60]</w:t>
      </w:r>
      <w:r w:rsidRPr="00CC3D0A">
        <w:rPr>
          <w:rFonts w:ascii="Book Antiqua" w:eastAsia="MS Mincho" w:hAnsi="Book Antiqua"/>
          <w:sz w:val="24"/>
          <w:szCs w:val="24"/>
          <w:lang w:val="en-GB" w:eastAsia="ja-JP"/>
        </w:rPr>
        <w:t>.</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A typical MPN bone marrow histology (either ET, PV or PMGM) excludes reactive thrombocytosis, congenital or secondary erythrocytoses, CML, and thrombocythemia associated with refractory anemia with increased ringed sideroblasts (RARS-T)</w:t>
      </w:r>
      <w:r w:rsidRPr="00CC3D0A">
        <w:rPr>
          <w:rFonts w:ascii="Book Antiqua" w:eastAsia="MS Mincho" w:hAnsi="Book Antiqua"/>
          <w:sz w:val="24"/>
          <w:szCs w:val="24"/>
          <w:vertAlign w:val="superscript"/>
          <w:lang w:val="en-GB" w:eastAsia="ja-JP"/>
        </w:rPr>
        <w:t>[61-63]</w:t>
      </w:r>
      <w:r w:rsidRPr="00CC3D0A">
        <w:rPr>
          <w:rFonts w:ascii="Book Antiqua" w:eastAsia="MS Mincho" w:hAnsi="Book Antiqua"/>
          <w:sz w:val="24"/>
          <w:szCs w:val="24"/>
          <w:lang w:val="en-GB" w:eastAsia="ja-JP"/>
        </w:rPr>
        <w:t xml:space="preserve">. WHO-ECMP defined prefibrotic JAK2 wild type PMGM is featured by a hypercellular bone marrow due to pronounced granulopoiesis and dominated by dense clusters of dysmorphic megakaryopoiesis with atypical immature megakaryocytes which are conspicuously enlarged due to increase of nuclear and cellular size with bulky and irregular, round-shaped (cloud-like) nuclei (Table 4). </w:t>
      </w: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p>
    <w:p w:rsidR="00702CE8" w:rsidRPr="00F94D22" w:rsidRDefault="00702CE8" w:rsidP="00AC3FB8">
      <w:pPr>
        <w:suppressAutoHyphens/>
        <w:autoSpaceDN w:val="0"/>
        <w:spacing w:after="0" w:line="360" w:lineRule="auto"/>
        <w:jc w:val="both"/>
        <w:rPr>
          <w:rFonts w:ascii="Book Antiqua" w:hAnsi="Book Antiqua"/>
          <w:b/>
          <w:sz w:val="24"/>
          <w:szCs w:val="24"/>
          <w:lang w:val="en-GB" w:eastAsia="zh-CN"/>
        </w:rPr>
      </w:pPr>
      <w:r w:rsidRPr="00CC3D0A">
        <w:rPr>
          <w:rFonts w:ascii="Book Antiqua" w:eastAsia="MS Mincho" w:hAnsi="Book Antiqua"/>
          <w:b/>
          <w:sz w:val="24"/>
          <w:szCs w:val="24"/>
          <w:lang w:val="en-GB" w:eastAsia="ja-JP"/>
        </w:rPr>
        <w:t xml:space="preserve">POLYCYTHEMIA VERA </w:t>
      </w:r>
      <w:r w:rsidRPr="002355D1">
        <w:rPr>
          <w:rFonts w:ascii="Book Antiqua" w:eastAsia="MS Mincho" w:hAnsi="Book Antiqua"/>
          <w:b/>
          <w:i/>
          <w:sz w:val="24"/>
          <w:szCs w:val="24"/>
          <w:lang w:val="en-GB" w:eastAsia="ja-JP"/>
        </w:rPr>
        <w:t>VS</w:t>
      </w:r>
      <w:r>
        <w:rPr>
          <w:rFonts w:ascii="Book Antiqua" w:eastAsia="MS Mincho" w:hAnsi="Book Antiqua"/>
          <w:b/>
          <w:sz w:val="24"/>
          <w:szCs w:val="24"/>
          <w:lang w:val="en-GB" w:eastAsia="ja-JP"/>
        </w:rPr>
        <w:t xml:space="preserve"> PRIMARY OR ERYTHROCYTOSIS</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sz w:val="24"/>
          <w:szCs w:val="24"/>
          <w:lang w:val="en-GB" w:eastAsia="ja-JP"/>
        </w:rPr>
        <w:lastRenderedPageBreak/>
        <w:t>Characteristic features suspicious for PV include increased hematocrit (&gt;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0.51), increased erythrocytes (&gt;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 xml:space="preserve">6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12</w:t>
      </w:r>
      <w:r w:rsidRPr="00CC3D0A">
        <w:rPr>
          <w:rFonts w:ascii="Book Antiqua" w:eastAsia="MS Mincho" w:hAnsi="Book Antiqua"/>
          <w:sz w:val="24"/>
          <w:szCs w:val="24"/>
          <w:lang w:val="en-GB" w:eastAsia="ja-JP"/>
        </w:rPr>
        <w:t>/L), slight splenomegaly, increased leukocytes (&gt;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 xml:space="preserve">12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/L) or LAP score with normal erythrocyte sedimentation rate (ESR), an increased platelets (&gt;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 xml:space="preserve">400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/L) (Table 3). The detection of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in granulocytes with sensitive PCR techniques plays a key-role in the diagnostic work-up of patients with suspected PV (Table 3)</w:t>
      </w:r>
      <w:r w:rsidRPr="00CC3D0A">
        <w:rPr>
          <w:rFonts w:ascii="Book Antiqua" w:eastAsia="MS Mincho" w:hAnsi="Book Antiqua"/>
          <w:sz w:val="24"/>
          <w:szCs w:val="24"/>
          <w:vertAlign w:val="superscript"/>
          <w:lang w:val="en-GB" w:eastAsia="ja-JP"/>
        </w:rPr>
        <w:t>[64-65]</w:t>
      </w:r>
      <w:r w:rsidRPr="00CC3D0A">
        <w:rPr>
          <w:rFonts w:ascii="Book Antiqua" w:eastAsia="MS Mincho" w:hAnsi="Book Antiqua"/>
          <w:sz w:val="24"/>
          <w:szCs w:val="24"/>
          <w:lang w:val="en-GB" w:eastAsia="ja-JP"/>
        </w:rPr>
        <w:t>. In the context of erythrocytosis the presence of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 has a sensitivity of 95% and a positive predictive value of 100% for the diagnosis of PV, and excludes congenital and secondary erythrocytosis without the need of red cell mass measurement (Figure 2)</w:t>
      </w:r>
      <w:r w:rsidRPr="00CC3D0A">
        <w:rPr>
          <w:rFonts w:ascii="Book Antiqua" w:eastAsia="MS Mincho" w:hAnsi="Book Antiqua"/>
          <w:sz w:val="24"/>
          <w:szCs w:val="24"/>
          <w:vertAlign w:val="superscript"/>
          <w:lang w:val="en-GB" w:eastAsia="ja-JP"/>
        </w:rPr>
        <w:t>[18]</w:t>
      </w:r>
      <w:r w:rsidRPr="00CC3D0A">
        <w:rPr>
          <w:rFonts w:ascii="Book Antiqua" w:eastAsia="MS Mincho" w:hAnsi="Book Antiqua"/>
          <w:sz w:val="24"/>
          <w:szCs w:val="24"/>
          <w:lang w:val="en-GB" w:eastAsia="ja-JP"/>
        </w:rPr>
        <w:t>. In the context of a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positive erythrocytosis (hematocrit &gt;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0.51 in males and &gt;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0.48 in females) the presence of large platelets in peripheral blood smear, large megakaryocytes in smears from aspirated bone marrow, low serum EPO, ferritin and slight splenomegaly on echogram are</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diagnostic for PV without the need of bone marrow histopathology. As compared to bone marrow histopathology, EEC and serum EPO levels are specific but not sensitive enough to differentiate between myeloproliferative PV, primary erythrocytosis and secondary erythrocytoses</w:t>
      </w:r>
      <w:r w:rsidRPr="00CC3D0A">
        <w:rPr>
          <w:rFonts w:ascii="Book Antiqua" w:eastAsia="MS Mincho" w:hAnsi="Book Antiqua"/>
          <w:sz w:val="24"/>
          <w:szCs w:val="24"/>
          <w:vertAlign w:val="superscript"/>
          <w:lang w:val="en-GB" w:eastAsia="ja-JP"/>
        </w:rPr>
        <w:t>[66]</w:t>
      </w:r>
      <w:r w:rsidRPr="00CC3D0A">
        <w:rPr>
          <w:rFonts w:ascii="Book Antiqua" w:eastAsia="MS Mincho" w:hAnsi="Book Antiqua"/>
          <w:sz w:val="24"/>
          <w:szCs w:val="24"/>
          <w:lang w:val="en-GB" w:eastAsia="ja-JP"/>
        </w:rPr>
        <w:t xml:space="preserve">. EEC and serum EPO levels do not differentiate between prodromal PV (normal RCM and erythrocyte count) </w:t>
      </w:r>
      <w:r w:rsidRPr="002355D1">
        <w:rPr>
          <w:rFonts w:ascii="Book Antiqua" w:eastAsia="MS Mincho" w:hAnsi="Book Antiqua"/>
          <w:i/>
          <w:sz w:val="24"/>
          <w:szCs w:val="24"/>
          <w:lang w:val="en-GB" w:eastAsia="ja-JP"/>
        </w:rPr>
        <w:t>vs</w:t>
      </w:r>
      <w:r w:rsidRPr="00CC3D0A">
        <w:rPr>
          <w:rFonts w:ascii="Book Antiqua" w:eastAsia="MS Mincho" w:hAnsi="Book Antiqua"/>
          <w:sz w:val="24"/>
          <w:szCs w:val="24"/>
          <w:lang w:val="en-GB" w:eastAsia="ja-JP"/>
        </w:rPr>
        <w:t xml:space="preserve"> classic PV (increased erythrocyte count &gt;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6</w:t>
      </w:r>
      <w:r>
        <w:rPr>
          <w:rFonts w:ascii="Book Antiqua" w:hAnsi="Book Antiqua"/>
          <w:sz w:val="24"/>
          <w:szCs w:val="24"/>
          <w:lang w:val="en-GB" w:eastAsia="zh-CN"/>
        </w:rPr>
        <w:t xml:space="preserve">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10</w:t>
      </w:r>
      <w:r w:rsidRPr="00CC3D0A">
        <w:rPr>
          <w:rFonts w:ascii="Book Antiqua" w:eastAsia="MS Mincho" w:hAnsi="Book Antiqua"/>
          <w:sz w:val="24"/>
          <w:szCs w:val="24"/>
          <w:vertAlign w:val="superscript"/>
          <w:lang w:val="en-GB" w:eastAsia="ja-JP"/>
        </w:rPr>
        <w:t>12</w:t>
      </w:r>
      <w:r w:rsidRPr="00CC3D0A">
        <w:rPr>
          <w:rFonts w:ascii="Book Antiqua" w:eastAsia="MS Mincho" w:hAnsi="Book Antiqua"/>
          <w:sz w:val="24"/>
          <w:szCs w:val="24"/>
          <w:lang w:val="en-GB" w:eastAsia="ja-JP"/>
        </w:rPr>
        <w:t>/L and RCM). EEC in the clinical research setting surely will contribute to a better understanding of the role of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in the etiology of heterozygous </w:t>
      </w:r>
      <w:r w:rsidRPr="002355D1">
        <w:rPr>
          <w:rFonts w:ascii="Book Antiqua" w:eastAsia="MS Mincho" w:hAnsi="Book Antiqua"/>
          <w:i/>
          <w:sz w:val="24"/>
          <w:szCs w:val="24"/>
          <w:lang w:val="en-GB" w:eastAsia="ja-JP"/>
        </w:rPr>
        <w:t>vs</w:t>
      </w:r>
      <w:r w:rsidRPr="00CC3D0A">
        <w:rPr>
          <w:rFonts w:ascii="Book Antiqua" w:eastAsia="MS Mincho" w:hAnsi="Book Antiqua"/>
          <w:sz w:val="24"/>
          <w:szCs w:val="24"/>
          <w:lang w:val="en-GB" w:eastAsia="ja-JP"/>
        </w:rPr>
        <w:t xml:space="preserve"> homozygous mutated MPN. Pre-treatment bone marrow histology is very insightful and the most powerful tool to stage PV, and to differentiate trilinear hypercellularity in PV from an isolated increase of erythropoiesis in congenital polycythemia and secondary erythrocytosis with a specificity and sensitivity approaching 100% (Table 3)</w:t>
      </w:r>
      <w:r w:rsidRPr="00CC3D0A">
        <w:rPr>
          <w:rFonts w:ascii="Book Antiqua" w:eastAsia="MS Mincho" w:hAnsi="Book Antiqua"/>
          <w:sz w:val="24"/>
          <w:szCs w:val="24"/>
          <w:vertAlign w:val="superscript"/>
          <w:lang w:val="en-GB" w:eastAsia="ja-JP"/>
        </w:rPr>
        <w:t>[67-70]</w:t>
      </w:r>
      <w:r w:rsidRPr="00CC3D0A">
        <w:rPr>
          <w:rFonts w:ascii="Book Antiqua" w:eastAsia="MS Mincho" w:hAnsi="Book Antiqua"/>
          <w:sz w:val="24"/>
          <w:szCs w:val="24"/>
          <w:lang w:val="en-GB" w:eastAsia="ja-JP"/>
        </w:rPr>
        <w:t>. In acquired erythrocytosis</w:t>
      </w:r>
      <w:r w:rsidRPr="00CC3D0A">
        <w:rPr>
          <w:rFonts w:ascii="Book Antiqua" w:eastAsia="MS Mincho" w:hAnsi="Book Antiqua"/>
          <w:sz w:val="24"/>
          <w:szCs w:val="24"/>
          <w:vertAlign w:val="superscript"/>
          <w:lang w:val="en-GB" w:eastAsia="ja-JP"/>
        </w:rPr>
        <w:t>[69,71]</w:t>
      </w:r>
      <w:r w:rsidRPr="00CC3D0A">
        <w:rPr>
          <w:rFonts w:ascii="Book Antiqua" w:eastAsia="MS Mincho" w:hAnsi="Book Antiqua"/>
          <w:sz w:val="24"/>
          <w:szCs w:val="24"/>
          <w:lang w:val="en-GB" w:eastAsia="ja-JP"/>
        </w:rPr>
        <w:t xml:space="preserve"> and in congenital polycythemia due to a gain of function mutation in the Epo-receptor (EpoR), the megakaryocytes are of normal size and morphology and there is no tendency to cluster</w:t>
      </w:r>
      <w:r w:rsidRPr="007712C5">
        <w:rPr>
          <w:rFonts w:ascii="Book Antiqua" w:hAnsi="Book Antiqua"/>
          <w:sz w:val="24"/>
          <w:szCs w:val="24"/>
          <w:vertAlign w:val="superscript"/>
          <w:lang w:val="en-GB" w:eastAsia="zh-CN"/>
        </w:rPr>
        <w:t>[</w:t>
      </w:r>
      <w:r w:rsidRPr="00CC3D0A">
        <w:rPr>
          <w:rFonts w:ascii="Book Antiqua" w:eastAsia="MS Mincho" w:hAnsi="Book Antiqua"/>
          <w:sz w:val="24"/>
          <w:szCs w:val="24"/>
          <w:vertAlign w:val="superscript"/>
          <w:lang w:val="en-GB" w:eastAsia="ja-JP"/>
        </w:rPr>
        <w:t>72,73</w:t>
      </w:r>
      <w:r>
        <w:rPr>
          <w:rFonts w:ascii="Book Antiqua" w:hAnsi="Book Antiqua"/>
          <w:sz w:val="24"/>
          <w:szCs w:val="24"/>
          <w:vertAlign w:val="superscript"/>
          <w:lang w:val="en-GB" w:eastAsia="zh-CN"/>
        </w:rPr>
        <w:t>]</w:t>
      </w:r>
      <w:r w:rsidRPr="00CC3D0A">
        <w:rPr>
          <w:rFonts w:ascii="Book Antiqua" w:eastAsia="MS Mincho" w:hAnsi="Book Antiqua"/>
          <w:sz w:val="24"/>
          <w:szCs w:val="24"/>
          <w:lang w:val="en-GB" w:eastAsia="ja-JP"/>
        </w:rPr>
        <w:t>. Differential diagnosis of JAK2 wild type PV, early erythrocythemic PV and idiopathic erythrocytosis (increased RCM and erythrocytes) is problematic and can best be solved by the combined use of bone marrow histology and molecular screening including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JAK2 exon and MPL</w:t>
      </w:r>
      <w:r w:rsidRPr="00CC3D0A">
        <w:rPr>
          <w:rFonts w:ascii="Book Antiqua" w:eastAsia="MS Mincho" w:hAnsi="Book Antiqua"/>
          <w:sz w:val="24"/>
          <w:szCs w:val="24"/>
          <w:vertAlign w:val="superscript"/>
          <w:lang w:val="en-GB" w:eastAsia="ja-JP"/>
        </w:rPr>
        <w:t>515</w:t>
      </w:r>
      <w:r w:rsidRPr="00CC3D0A">
        <w:rPr>
          <w:rFonts w:ascii="Book Antiqua" w:eastAsia="MS Mincho" w:hAnsi="Book Antiqua"/>
          <w:sz w:val="24"/>
          <w:szCs w:val="24"/>
          <w:lang w:val="en-GB" w:eastAsia="ja-JP"/>
        </w:rPr>
        <w:t xml:space="preserve"> mutations obviating the need to measure RCM. About 5% of WHO defined </w:t>
      </w:r>
      <w:r w:rsidRPr="00CC3D0A">
        <w:rPr>
          <w:rFonts w:ascii="Book Antiqua" w:eastAsia="MS Mincho" w:hAnsi="Book Antiqua"/>
          <w:sz w:val="24"/>
          <w:szCs w:val="24"/>
          <w:lang w:val="en-GB" w:eastAsia="ja-JP"/>
        </w:rPr>
        <w:lastRenderedPageBreak/>
        <w:t>PV patients are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negative and half of them may carry a JAK2 exon 12 mutation</w:t>
      </w:r>
      <w:r w:rsidRPr="00CC3D0A">
        <w:rPr>
          <w:rFonts w:ascii="Book Antiqua" w:eastAsia="MS Mincho" w:hAnsi="Book Antiqua"/>
          <w:sz w:val="24"/>
          <w:szCs w:val="24"/>
          <w:vertAlign w:val="superscript"/>
          <w:lang w:val="en-GB" w:eastAsia="ja-JP"/>
        </w:rPr>
        <w:t>[57,58]</w:t>
      </w:r>
      <w:r w:rsidRPr="00CC3D0A">
        <w:rPr>
          <w:rFonts w:ascii="Book Antiqua" w:eastAsia="MS Mincho" w:hAnsi="Book Antiqua"/>
          <w:sz w:val="24"/>
          <w:szCs w:val="24"/>
          <w:lang w:val="en-GB" w:eastAsia="ja-JP"/>
        </w:rPr>
        <w:t xml:space="preserve">. Scott </w:t>
      </w:r>
      <w:r w:rsidRPr="006A52C0">
        <w:rPr>
          <w:rFonts w:ascii="Book Antiqua" w:eastAsia="MS Mincho" w:hAnsi="Book Antiqua"/>
          <w:i/>
          <w:sz w:val="24"/>
          <w:szCs w:val="24"/>
          <w:lang w:val="en-GB" w:eastAsia="ja-JP"/>
        </w:rPr>
        <w:t>et al</w:t>
      </w:r>
      <w:r w:rsidRPr="00CC3D0A">
        <w:rPr>
          <w:rFonts w:ascii="Book Antiqua" w:eastAsia="MS Mincho" w:hAnsi="Book Antiqua"/>
          <w:sz w:val="24"/>
          <w:szCs w:val="24"/>
          <w:vertAlign w:val="superscript"/>
          <w:lang w:val="en-GB" w:eastAsia="ja-JP"/>
        </w:rPr>
        <w:t>[57]</w:t>
      </w:r>
      <w:r w:rsidRPr="00CC3D0A">
        <w:rPr>
          <w:rFonts w:ascii="Book Antiqua" w:eastAsia="MS Mincho" w:hAnsi="Book Antiqua"/>
          <w:sz w:val="24"/>
          <w:szCs w:val="24"/>
          <w:lang w:val="en-GB" w:eastAsia="ja-JP"/>
        </w:rPr>
        <w:t xml:space="preserve"> identified JAK2 exon 12 mutations in 10 erythrocytosis patients with increased red cell mass but negative for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 which according to PVSG criteria could be diagnosed as PV in 6 and idiopathic erythrocytosis in 4. Pre-treatment bone marrow biopsies in 5 patients carrying one of the JAK2 exon 12 mutations showed characteristic erythroid hyperplasia with slight morphological abnormalities of the megakaryocyte in the study of Scott </w:t>
      </w:r>
      <w:r w:rsidRPr="006A52C0">
        <w:rPr>
          <w:rFonts w:ascii="Book Antiqua" w:eastAsia="MS Mincho" w:hAnsi="Book Antiqua"/>
          <w:i/>
          <w:sz w:val="24"/>
          <w:szCs w:val="24"/>
          <w:lang w:val="en-GB" w:eastAsia="ja-JP"/>
        </w:rPr>
        <w:t>et al</w:t>
      </w:r>
      <w:r w:rsidRPr="00CC3D0A">
        <w:rPr>
          <w:rFonts w:ascii="Book Antiqua" w:eastAsia="MS Mincho" w:hAnsi="Book Antiqua"/>
          <w:sz w:val="24"/>
          <w:szCs w:val="24"/>
          <w:vertAlign w:val="superscript"/>
          <w:lang w:val="en-GB" w:eastAsia="ja-JP"/>
        </w:rPr>
        <w:t>[57]</w:t>
      </w:r>
      <w:r w:rsidRPr="00CC3D0A">
        <w:rPr>
          <w:rFonts w:ascii="Book Antiqua" w:eastAsia="MS Mincho" w:hAnsi="Book Antiqua"/>
          <w:sz w:val="24"/>
          <w:szCs w:val="24"/>
          <w:lang w:val="en-GB" w:eastAsia="ja-JP"/>
        </w:rPr>
        <w:t>.</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A recent report, 5 cases of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negative PV carrying exon 12 mutation (F537-K539delinsl or N542-E534del) were diagnosed as idiopathic erythrocytosis with increased hemoglobin and hematcrit, low serum EPO, normal platelet and leukocyte counts, no or palpable spleen and a typical hypercellular bone histopathology predominantly due to erythroid hyperplasia and clusters enlarged megakaryocytes with hyperploid nuclei was observed in 2 cases</w:t>
      </w:r>
      <w:r w:rsidRPr="00AD6FBB">
        <w:rPr>
          <w:rFonts w:ascii="Book Antiqua" w:hAnsi="Book Antiqua"/>
          <w:sz w:val="24"/>
          <w:szCs w:val="24"/>
          <w:vertAlign w:val="superscript"/>
          <w:lang w:val="en-GB" w:eastAsia="zh-CN"/>
        </w:rPr>
        <w:t>[</w:t>
      </w:r>
      <w:r w:rsidRPr="00CC3D0A">
        <w:rPr>
          <w:rFonts w:ascii="Book Antiqua" w:eastAsia="MS Mincho" w:hAnsi="Book Antiqua"/>
          <w:sz w:val="24"/>
          <w:szCs w:val="24"/>
          <w:vertAlign w:val="superscript"/>
          <w:lang w:val="en-GB" w:eastAsia="ja-JP"/>
        </w:rPr>
        <w:t>58</w:t>
      </w:r>
      <w:r>
        <w:rPr>
          <w:rFonts w:ascii="Book Antiqua" w:hAnsi="Book Antiqua"/>
          <w:sz w:val="24"/>
          <w:szCs w:val="24"/>
          <w:vertAlign w:val="superscript"/>
          <w:lang w:val="en-GB" w:eastAsia="zh-CN"/>
        </w:rPr>
        <w:t>]</w:t>
      </w:r>
      <w:r w:rsidRPr="00CC3D0A">
        <w:rPr>
          <w:rFonts w:ascii="Book Antiqua" w:eastAsia="MS Mincho" w:hAnsi="Book Antiqua"/>
          <w:sz w:val="24"/>
          <w:szCs w:val="24"/>
          <w:lang w:val="en-GB" w:eastAsia="ja-JP"/>
        </w:rPr>
        <w:t>.</w:t>
      </w: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t>ROLE OF JAK2 AND MPL MUTATIONS IN THE ETIOLOGY AND PROGNOSIS OF MPN</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sz w:val="24"/>
          <w:szCs w:val="24"/>
          <w:lang w:val="en-GB" w:eastAsia="ja-JP"/>
        </w:rPr>
        <w:t>Applying allele-specific polymerase chain reaction (PCR) analysis in PVSG-defined MPD patients, a high frequency of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 of 95% (92%-97%) is described in PV, and a lower frequency of 53% (49%-57%) in ET and 52% (44%-55%) in MF (post PV, post ET and primary MF)</w:t>
      </w:r>
      <w:r w:rsidRPr="00CC3D0A">
        <w:rPr>
          <w:rFonts w:ascii="Book Antiqua" w:eastAsia="MS Mincho" w:hAnsi="Book Antiqua"/>
          <w:sz w:val="24"/>
          <w:szCs w:val="24"/>
          <w:vertAlign w:val="superscript"/>
          <w:lang w:val="en-GB" w:eastAsia="ja-JP"/>
        </w:rPr>
        <w:t>[18,74]</w:t>
      </w:r>
      <w:r w:rsidRPr="00CC3D0A">
        <w:rPr>
          <w:rFonts w:ascii="Book Antiqua" w:eastAsia="MS Mincho" w:hAnsi="Book Antiqua"/>
          <w:sz w:val="24"/>
          <w:szCs w:val="24"/>
          <w:lang w:val="en-GB" w:eastAsia="ja-JP"/>
        </w:rPr>
        <w:t>. Only 3% to 4% of ET, 24% to 27% of PV and 6% to 18% of MF patients are homozygous for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w:t>
      </w:r>
      <w:r w:rsidRPr="00CC3D0A">
        <w:rPr>
          <w:rFonts w:ascii="Book Antiqua" w:eastAsia="MS Mincho" w:hAnsi="Book Antiqua"/>
          <w:sz w:val="24"/>
          <w:szCs w:val="24"/>
          <w:vertAlign w:val="superscript"/>
          <w:lang w:val="en-GB" w:eastAsia="ja-JP"/>
        </w:rPr>
        <w:t>[18,72]</w:t>
      </w:r>
      <w:r w:rsidRPr="00CC3D0A">
        <w:rPr>
          <w:rFonts w:ascii="Book Antiqua" w:eastAsia="MS Mincho" w:hAnsi="Book Antiqua"/>
          <w:sz w:val="24"/>
          <w:szCs w:val="24"/>
          <w:lang w:val="en-GB" w:eastAsia="ja-JP"/>
        </w:rPr>
        <w:t>. Within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-positive MPNs, evidence accumulate that the majority of PVSG defined ET patients are heterozygous for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w:t>
      </w:r>
      <w:r w:rsidRPr="00CC3D0A">
        <w:rPr>
          <w:rFonts w:ascii="Book Antiqua" w:eastAsia="MS Mincho" w:hAnsi="Book Antiqua"/>
          <w:sz w:val="24"/>
          <w:szCs w:val="24"/>
          <w:vertAlign w:val="superscript"/>
          <w:lang w:val="en-GB" w:eastAsia="ja-JP"/>
        </w:rPr>
        <w:t>[41,42]</w:t>
      </w:r>
      <w:r w:rsidRPr="00CC3D0A">
        <w:rPr>
          <w:rFonts w:ascii="Book Antiqua" w:eastAsia="MS Mincho" w:hAnsi="Book Antiqua"/>
          <w:sz w:val="24"/>
          <w:szCs w:val="24"/>
          <w:lang w:val="en-GB" w:eastAsia="ja-JP"/>
        </w:rPr>
        <w:t xml:space="preserve"> and behaves as an indolent slow onset myeloproliferation of mature enlarged megakaryocytes with no progression to homozygosity and myelofibrosis during long-term follow-up</w:t>
      </w:r>
      <w:r w:rsidRPr="00CC3D0A">
        <w:rPr>
          <w:rFonts w:ascii="Book Antiqua" w:eastAsia="MS Mincho" w:hAnsi="Book Antiqua"/>
          <w:sz w:val="24"/>
          <w:szCs w:val="24"/>
          <w:vertAlign w:val="superscript"/>
          <w:lang w:val="en-GB" w:eastAsia="ja-JP"/>
        </w:rPr>
        <w:t>[43-46]</w:t>
      </w:r>
      <w:r w:rsidRPr="00CC3D0A">
        <w:rPr>
          <w:rFonts w:ascii="Book Antiqua" w:eastAsia="MS Mincho" w:hAnsi="Book Antiqua"/>
          <w:sz w:val="24"/>
          <w:szCs w:val="24"/>
          <w:lang w:val="en-GB" w:eastAsia="ja-JP"/>
        </w:rPr>
        <w:t>. As compared to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-negative ET, the presence of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 has been significantly associated with higher hemoglobin level, higher leukocyte counts and lees pronounced thrombocytosis</w:t>
      </w:r>
      <w:r w:rsidRPr="00CC3D0A">
        <w:rPr>
          <w:rFonts w:ascii="Book Antiqua" w:eastAsia="MS Mincho" w:hAnsi="Book Antiqua"/>
          <w:sz w:val="24"/>
          <w:szCs w:val="24"/>
          <w:vertAlign w:val="superscript"/>
          <w:lang w:val="en-GB" w:eastAsia="ja-JP"/>
        </w:rPr>
        <w:t>[43-48]</w:t>
      </w:r>
      <w:r w:rsidRPr="00CC3D0A">
        <w:rPr>
          <w:rFonts w:ascii="Book Antiqua" w:eastAsia="MS Mincho" w:hAnsi="Book Antiqua"/>
          <w:sz w:val="24"/>
          <w:szCs w:val="24"/>
          <w:lang w:val="en-GB" w:eastAsia="ja-JP"/>
        </w:rPr>
        <w:t>. Two studies showed that erythroid burst forming unit (BFU-E) colonies are already homozygous for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 in PV patients with a heterozygous pattern of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in their peripheral blood granulocytes</w:t>
      </w:r>
      <w:r w:rsidRPr="00CC3D0A">
        <w:rPr>
          <w:rFonts w:ascii="Book Antiqua" w:eastAsia="MS Mincho" w:hAnsi="Book Antiqua"/>
          <w:sz w:val="24"/>
          <w:szCs w:val="24"/>
          <w:vertAlign w:val="superscript"/>
          <w:lang w:val="en-GB" w:eastAsia="ja-JP"/>
        </w:rPr>
        <w:t>[41,42]</w:t>
      </w:r>
      <w:r w:rsidRPr="00CC3D0A">
        <w:rPr>
          <w:rFonts w:ascii="Book Antiqua" w:eastAsia="MS Mincho" w:hAnsi="Book Antiqua"/>
          <w:sz w:val="24"/>
          <w:szCs w:val="24"/>
          <w:lang w:val="en-GB" w:eastAsia="ja-JP"/>
        </w:rPr>
        <w:t>. Homozygous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PV and primary myelofibrosis (PMF) </w:t>
      </w:r>
      <w:r w:rsidRPr="00CC3D0A">
        <w:rPr>
          <w:rFonts w:ascii="Book Antiqua" w:eastAsia="MS Mincho" w:hAnsi="Book Antiqua"/>
          <w:sz w:val="24"/>
          <w:szCs w:val="24"/>
          <w:lang w:val="en-GB" w:eastAsia="ja-JP"/>
        </w:rPr>
        <w:lastRenderedPageBreak/>
        <w:t>refers to a more rapid onset and slowly progressive disease in about one third during long-term follow-up</w:t>
      </w:r>
      <w:r w:rsidRPr="00CC3D0A">
        <w:rPr>
          <w:rFonts w:ascii="Book Antiqua" w:eastAsia="MS Mincho" w:hAnsi="Book Antiqua"/>
          <w:sz w:val="24"/>
          <w:szCs w:val="24"/>
          <w:vertAlign w:val="superscript"/>
          <w:lang w:val="en-GB" w:eastAsia="ja-JP"/>
        </w:rPr>
        <w:t>[49-52]</w:t>
      </w:r>
      <w:r w:rsidRPr="00CC3D0A">
        <w:rPr>
          <w:rFonts w:ascii="Book Antiqua" w:eastAsia="MS Mincho" w:hAnsi="Book Antiqua"/>
          <w:sz w:val="24"/>
          <w:szCs w:val="24"/>
          <w:lang w:val="en-GB" w:eastAsia="ja-JP"/>
        </w:rPr>
        <w:t>. The percentage of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 and progression from heterozygous to homozygous due to mitotic recombination of chromosome 9p (loss of heterogeneity of chromosome 9p: LOH 9p) is strongly correlated with increased LAP score, with the ability to form spontaneous EEC and with progressive post-PV myelofibrosis</w:t>
      </w:r>
      <w:r w:rsidRPr="00CC3D0A">
        <w:rPr>
          <w:rFonts w:ascii="Book Antiqua" w:eastAsia="MS Mincho" w:hAnsi="Book Antiqua"/>
          <w:sz w:val="24"/>
          <w:szCs w:val="24"/>
          <w:vertAlign w:val="superscript"/>
          <w:lang w:val="en-GB" w:eastAsia="ja-JP"/>
        </w:rPr>
        <w:t>[50,53]</w:t>
      </w:r>
      <w:r w:rsidRPr="00CC3D0A">
        <w:rPr>
          <w:rFonts w:ascii="Book Antiqua" w:eastAsia="MS Mincho" w:hAnsi="Book Antiqua"/>
          <w:sz w:val="24"/>
          <w:szCs w:val="24"/>
          <w:lang w:val="en-GB" w:eastAsia="ja-JP"/>
        </w:rPr>
        <w:t>.</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Homozygous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PV and PMF patients belong to an advanced stage of MPN and displayed significantly higher hemoglobin at time of diagnosis, increased incidence of aquagenic pruritus, higher LAP scores in granulocytes, and higher rate of fibrotic transformation</w:t>
      </w:r>
      <w:r w:rsidRPr="00CC3D0A">
        <w:rPr>
          <w:rFonts w:ascii="Book Antiqua" w:eastAsia="MS Mincho" w:hAnsi="Book Antiqua"/>
          <w:sz w:val="24"/>
          <w:szCs w:val="24"/>
          <w:vertAlign w:val="superscript"/>
          <w:lang w:val="en-GB" w:eastAsia="ja-JP"/>
        </w:rPr>
        <w:t>[49-52]</w:t>
      </w:r>
      <w:r w:rsidRPr="00CC3D0A">
        <w:rPr>
          <w:rFonts w:ascii="Book Antiqua" w:eastAsia="MS Mincho" w:hAnsi="Book Antiqua"/>
          <w:sz w:val="24"/>
          <w:szCs w:val="24"/>
          <w:lang w:val="en-GB" w:eastAsia="ja-JP"/>
        </w:rPr>
        <w:t xml:space="preserve">. Homozygous MPN patients are older, had larger spleen, more frequent leukocytosis, and displayed evolution to secondary myelofibrosis and a significantly higher risk of cardiovascular events as compared to heterozygous and wild type MPN patients. Vannucchi </w:t>
      </w:r>
      <w:r w:rsidRPr="006A52C0">
        <w:rPr>
          <w:rFonts w:ascii="Book Antiqua" w:eastAsia="MS Mincho" w:hAnsi="Book Antiqua"/>
          <w:i/>
          <w:sz w:val="24"/>
          <w:szCs w:val="24"/>
          <w:lang w:val="en-GB" w:eastAsia="ja-JP"/>
        </w:rPr>
        <w:t>et al</w:t>
      </w:r>
      <w:r w:rsidRPr="00CC3D0A">
        <w:rPr>
          <w:rFonts w:ascii="Book Antiqua" w:eastAsia="MS Mincho" w:hAnsi="Book Antiqua"/>
          <w:sz w:val="24"/>
          <w:szCs w:val="24"/>
          <w:vertAlign w:val="superscript"/>
          <w:lang w:val="en-GB" w:eastAsia="ja-JP"/>
        </w:rPr>
        <w:t>[53]</w:t>
      </w:r>
      <w:r w:rsidRPr="00CC3D0A">
        <w:rPr>
          <w:rFonts w:ascii="Book Antiqua" w:eastAsia="MS Mincho" w:hAnsi="Book Antiqua"/>
          <w:sz w:val="24"/>
          <w:szCs w:val="24"/>
          <w:lang w:val="en-GB" w:eastAsia="ja-JP"/>
        </w:rPr>
        <w:t xml:space="preserve"> employed quantitative assays for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allele levels in granulocytes in a prospective study of 175 PV patients at time of diagnosis. The JAK2 mutant allele burden could be quantified as 1%-25%, 25% to 50%, 50%-75% and 75%-100% in 57, 50, 34 and 32 PV patients respectively at time of investigation. The burden of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allele was directly correlated with abnormally increased levels of hematocrit, white cell and neutrophil count, LDH and LAP score, spleen size on echogram and with decreased values for serum ferritin, and erythropoietin</w:t>
      </w:r>
      <w:r w:rsidRPr="00CC3D0A">
        <w:rPr>
          <w:rFonts w:ascii="Book Antiqua" w:eastAsia="MS Mincho" w:hAnsi="Book Antiqua"/>
          <w:sz w:val="24"/>
          <w:szCs w:val="24"/>
          <w:vertAlign w:val="superscript"/>
          <w:lang w:val="en-GB" w:eastAsia="ja-JP"/>
        </w:rPr>
        <w:t>[53]</w:t>
      </w:r>
      <w:r w:rsidRPr="00CC3D0A">
        <w:rPr>
          <w:rFonts w:ascii="Book Antiqua" w:eastAsia="MS Mincho" w:hAnsi="Book Antiqua"/>
          <w:sz w:val="24"/>
          <w:szCs w:val="24"/>
          <w:lang w:val="en-GB" w:eastAsia="ja-JP"/>
        </w:rPr>
        <w:t>.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nicely correlated with a progressively higher relative risk for aquagenic pruritus, spleen size on echogram, total thrombosis and the need for receiving myelosuppressive</w:t>
      </w:r>
      <w:r w:rsidRPr="00CC3D0A">
        <w:rPr>
          <w:rFonts w:ascii="Book Antiqua" w:eastAsia="MS Mincho" w:hAnsi="Book Antiqua"/>
          <w:sz w:val="24"/>
          <w:szCs w:val="24"/>
          <w:vertAlign w:val="superscript"/>
          <w:lang w:val="en-GB" w:eastAsia="ja-JP"/>
        </w:rPr>
        <w:t>[53]</w:t>
      </w:r>
      <w:r w:rsidRPr="00CC3D0A">
        <w:rPr>
          <w:rFonts w:ascii="Book Antiqua" w:eastAsia="MS Mincho" w:hAnsi="Book Antiqua"/>
          <w:sz w:val="24"/>
          <w:szCs w:val="24"/>
          <w:lang w:val="en-GB" w:eastAsia="ja-JP"/>
        </w:rPr>
        <w:t>. Mechanisms other than duplication of the mutated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in exon 14 is observed in a proportion of PV and MF patients displaying a gain of chromosome 9p, mostly due to trisomy 9</w:t>
      </w:r>
      <w:r w:rsidRPr="00CC3D0A">
        <w:rPr>
          <w:rFonts w:ascii="Book Antiqua" w:eastAsia="MS Mincho" w:hAnsi="Book Antiqua"/>
          <w:sz w:val="24"/>
          <w:szCs w:val="24"/>
          <w:vertAlign w:val="superscript"/>
          <w:lang w:val="en-GB" w:eastAsia="ja-JP"/>
        </w:rPr>
        <w:t>[54-56]</w:t>
      </w:r>
      <w:r w:rsidRPr="00CC3D0A">
        <w:rPr>
          <w:rFonts w:ascii="Book Antiqua" w:eastAsia="MS Mincho" w:hAnsi="Book Antiqua"/>
          <w:sz w:val="24"/>
          <w:szCs w:val="24"/>
          <w:lang w:val="en-GB" w:eastAsia="ja-JP"/>
        </w:rPr>
        <w:t xml:space="preserve">. Campbell </w:t>
      </w:r>
      <w:r w:rsidRPr="006A52C0">
        <w:rPr>
          <w:rFonts w:ascii="Book Antiqua" w:eastAsia="MS Mincho" w:hAnsi="Book Antiqua"/>
          <w:i/>
          <w:sz w:val="24"/>
          <w:szCs w:val="24"/>
          <w:lang w:val="en-GB" w:eastAsia="ja-JP"/>
        </w:rPr>
        <w:t>et al</w:t>
      </w:r>
      <w:r w:rsidRPr="00CC3D0A">
        <w:rPr>
          <w:rFonts w:ascii="Book Antiqua" w:eastAsia="MS Mincho" w:hAnsi="Book Antiqua"/>
          <w:sz w:val="24"/>
          <w:szCs w:val="24"/>
          <w:vertAlign w:val="superscript"/>
          <w:lang w:val="en-GB" w:eastAsia="ja-JP"/>
        </w:rPr>
        <w:t>[56]</w:t>
      </w:r>
      <w:r w:rsidRPr="00CC3D0A">
        <w:rPr>
          <w:rFonts w:ascii="Book Antiqua" w:eastAsia="MS Mincho" w:hAnsi="Book Antiqua"/>
          <w:sz w:val="24"/>
          <w:szCs w:val="24"/>
          <w:lang w:val="en-GB" w:eastAsia="ja-JP"/>
        </w:rPr>
        <w:t xml:space="preserve"> reported that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 was found in all 10 MPN patients with trisomy 9, and in 28 of 29 MPN patients (PV, ET or CMF) with a 20q deletion. The finding of the JAK2 exon 12 mutations in patients with PV or idiopathic erythrocytosis, but not in ET further confirms the strong association between the JAK2 mutations and MPN and clearly demonstrates the pivotal role of JAK2 mutations as pathogenic events in variable phenotypes of MPN</w:t>
      </w:r>
      <w:r w:rsidRPr="00CC3D0A">
        <w:rPr>
          <w:rFonts w:ascii="Book Antiqua" w:eastAsia="MS Mincho" w:hAnsi="Book Antiqua"/>
          <w:sz w:val="24"/>
          <w:szCs w:val="24"/>
          <w:vertAlign w:val="superscript"/>
          <w:lang w:val="en-GB" w:eastAsia="ja-JP"/>
        </w:rPr>
        <w:t>[57,58]</w:t>
      </w:r>
      <w:r w:rsidRPr="00CC3D0A">
        <w:rPr>
          <w:rFonts w:ascii="Book Antiqua" w:eastAsia="MS Mincho" w:hAnsi="Book Antiqua"/>
          <w:sz w:val="24"/>
          <w:szCs w:val="24"/>
          <w:lang w:val="en-GB" w:eastAsia="ja-JP"/>
        </w:rPr>
        <w:t>. MPL</w:t>
      </w:r>
      <w:r w:rsidRPr="00CC3D0A">
        <w:rPr>
          <w:rFonts w:ascii="Book Antiqua" w:eastAsia="MS Mincho" w:hAnsi="Book Antiqua"/>
          <w:sz w:val="24"/>
          <w:szCs w:val="24"/>
          <w:vertAlign w:val="superscript"/>
          <w:lang w:val="en-GB" w:eastAsia="ja-JP"/>
        </w:rPr>
        <w:t>W515L</w:t>
      </w:r>
      <w:r w:rsidRPr="00CC3D0A">
        <w:rPr>
          <w:rFonts w:ascii="Book Antiqua" w:eastAsia="MS Mincho" w:hAnsi="Book Antiqua"/>
          <w:sz w:val="24"/>
          <w:szCs w:val="24"/>
          <w:lang w:val="en-GB" w:eastAsia="ja-JP"/>
        </w:rPr>
        <w:t xml:space="preserve"> and MPL</w:t>
      </w:r>
      <w:r w:rsidRPr="00CC3D0A">
        <w:rPr>
          <w:rFonts w:ascii="Book Antiqua" w:eastAsia="MS Mincho" w:hAnsi="Book Antiqua"/>
          <w:sz w:val="24"/>
          <w:szCs w:val="24"/>
          <w:vertAlign w:val="superscript"/>
          <w:lang w:val="en-GB" w:eastAsia="ja-JP"/>
        </w:rPr>
        <w:t>W515K</w:t>
      </w:r>
      <w:r w:rsidRPr="00CC3D0A">
        <w:rPr>
          <w:rFonts w:ascii="Book Antiqua" w:eastAsia="MS Mincho" w:hAnsi="Book Antiqua"/>
          <w:sz w:val="24"/>
          <w:szCs w:val="24"/>
          <w:lang w:val="en-GB" w:eastAsia="ja-JP"/>
        </w:rPr>
        <w:t xml:space="preserve"> mutations has been found in some ET and MF </w:t>
      </w:r>
      <w:r w:rsidRPr="00CC3D0A">
        <w:rPr>
          <w:rFonts w:ascii="Book Antiqua" w:eastAsia="MS Mincho" w:hAnsi="Book Antiqua"/>
          <w:sz w:val="24"/>
          <w:szCs w:val="24"/>
          <w:lang w:val="en-GB" w:eastAsia="ja-JP"/>
        </w:rPr>
        <w:lastRenderedPageBreak/>
        <w:t>patients indicating the importance of the MPL signalling pathway in the etiology of clonal MPN</w:t>
      </w:r>
      <w:r w:rsidRPr="00CC3D0A">
        <w:rPr>
          <w:rFonts w:ascii="Book Antiqua" w:eastAsia="MS Mincho" w:hAnsi="Book Antiqua"/>
          <w:sz w:val="24"/>
          <w:szCs w:val="24"/>
          <w:vertAlign w:val="superscript"/>
          <w:lang w:val="en-GB" w:eastAsia="ja-JP"/>
        </w:rPr>
        <w:t>[59,60]</w:t>
      </w:r>
      <w:r w:rsidRPr="00CC3D0A">
        <w:rPr>
          <w:rFonts w:ascii="Book Antiqua" w:eastAsia="MS Mincho" w:hAnsi="Book Antiqua"/>
          <w:sz w:val="24"/>
          <w:szCs w:val="24"/>
          <w:lang w:val="en-GB" w:eastAsia="ja-JP"/>
        </w:rPr>
        <w:t xml:space="preserve">. </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GB"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t>DIAGNOSTIC DIFFERENTIATION AND NATURAL HISTORY OF JAK2V617F MUTATED ET, PV AND PMF</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GB" w:eastAsia="ja-JP"/>
        </w:rPr>
      </w:pPr>
      <w:r w:rsidRPr="00CC3D0A">
        <w:rPr>
          <w:rFonts w:ascii="Book Antiqua" w:eastAsia="MS Mincho" w:hAnsi="Book Antiqua"/>
          <w:sz w:val="24"/>
          <w:szCs w:val="24"/>
          <w:lang w:val="en-GB" w:eastAsia="ja-JP"/>
        </w:rPr>
        <w:t>We propose to extend the PVSG and WHO criteria into a broader set of integrated WHO-ECMP criteria not only for the diagnosis and classification but also for staging of MPN burden at the peripheral blood,spleen and blood and bone marrow level. Upon application of the a new set of WHO-ECMP criteria,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mutated ET comprises three phenotypic manifestations of ET including normocellular ET (WHO-ET) (Figure 3), ET 2 with early features of PV (prodromal PV, Figure 3) and ET.MGM with loose or dense clusters of pleomorphic to dysmorphic megakaryopoiesis in a hypercellular bone marrow due to increased granulopoiesis (Figure 4). </w:t>
      </w:r>
    </w:p>
    <w:p w:rsidR="00702CE8" w:rsidRPr="00CC3D0A" w:rsidRDefault="00702CE8" w:rsidP="00AC3FB8">
      <w:pPr>
        <w:suppressAutoHyphens/>
        <w:autoSpaceDN w:val="0"/>
        <w:spacing w:after="0" w:line="360" w:lineRule="auto"/>
        <w:ind w:firstLineChars="200" w:firstLine="480"/>
        <w:jc w:val="both"/>
        <w:rPr>
          <w:rFonts w:ascii="Book Antiqua" w:eastAsia="MS Mincho" w:hAnsi="Book Antiqua"/>
          <w:color w:val="FF0000"/>
          <w:sz w:val="24"/>
          <w:szCs w:val="24"/>
          <w:lang w:val="en-GB" w:eastAsia="ja-JP"/>
        </w:rPr>
      </w:pPr>
      <w:r w:rsidRPr="00CC3D0A">
        <w:rPr>
          <w:rFonts w:ascii="Book Antiqua" w:eastAsia="MS Mincho" w:hAnsi="Book Antiqua"/>
          <w:sz w:val="24"/>
          <w:szCs w:val="24"/>
          <w:lang w:val="en-GB" w:eastAsia="ja-JP"/>
        </w:rPr>
        <w:t>The bone marrow histology of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mutated ET.MGM show different grades of granulocytic hypercellularity, which can appear to overlap with PV (hematocrit &lt;</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 xml:space="preserve">0.51) presenting with a hypercellular bone marrow with more or less pronounced increase of granulopoiesis. The histology of ET.MGM bone marrow showing slight dysmorphic megakaryopoiesis and may overlap with that of ET cases with mild hyperplasia of granulopoiesis and/or a mixture of mainly mild dysmorphic megakaryocytes (Table 3). Therefore, we may predict a significant overlap (grey zones of about 20%-30%) between ET.MGM and PV with increased granulopoiesis due to an inter-observer disagreement among hematopathologists. </w:t>
      </w:r>
    </w:p>
    <w:p w:rsidR="00702CE8" w:rsidRPr="00CC3D0A" w:rsidRDefault="00702CE8" w:rsidP="00AC3FB8">
      <w:pPr>
        <w:suppressAutoHyphens/>
        <w:autoSpaceDN w:val="0"/>
        <w:spacing w:after="0" w:line="360" w:lineRule="auto"/>
        <w:ind w:firstLineChars="200" w:firstLine="480"/>
        <w:jc w:val="both"/>
        <w:rPr>
          <w:rFonts w:ascii="Book Antiqua" w:eastAsia="MS Mincho" w:hAnsi="Book Antiqua"/>
          <w:sz w:val="24"/>
          <w:szCs w:val="24"/>
          <w:lang w:val="en-GB" w:eastAsia="ja-JP"/>
        </w:rPr>
      </w:pPr>
      <w:r w:rsidRPr="00CC3D0A">
        <w:rPr>
          <w:rFonts w:ascii="Book Antiqua" w:eastAsia="MS Mincho" w:hAnsi="Book Antiqua"/>
          <w:sz w:val="24"/>
          <w:szCs w:val="24"/>
          <w:lang w:val="en-GB" w:eastAsia="ja-JP"/>
        </w:rPr>
        <w:t>The prognostic importance of the WHO bone marrow features and grading of myelofibrosis (MF, Table 5) has</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 xml:space="preserve">demonstrated by Kvasnicka </w:t>
      </w:r>
      <w:r>
        <w:rPr>
          <w:rFonts w:ascii="Book Antiqua" w:hAnsi="Book Antiqua"/>
          <w:sz w:val="24"/>
          <w:szCs w:val="24"/>
          <w:lang w:val="en-GB" w:eastAsia="zh-CN"/>
        </w:rPr>
        <w:t>and</w:t>
      </w:r>
      <w:r w:rsidRPr="00CC3D0A">
        <w:rPr>
          <w:rFonts w:ascii="Book Antiqua" w:eastAsia="MS Mincho" w:hAnsi="Book Antiqua"/>
          <w:sz w:val="24"/>
          <w:szCs w:val="24"/>
          <w:lang w:val="en-GB" w:eastAsia="ja-JP"/>
        </w:rPr>
        <w:t xml:space="preserve"> Thiele in a large retrospective study of 865 PVSG defined ET patients with a platelet count in excess of 600 x10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/L</w:t>
      </w:r>
      <w:r w:rsidRPr="00CC3D0A">
        <w:rPr>
          <w:rFonts w:ascii="Book Antiqua" w:eastAsia="MS Mincho" w:hAnsi="Book Antiqua"/>
          <w:sz w:val="24"/>
          <w:szCs w:val="24"/>
          <w:vertAlign w:val="superscript"/>
          <w:lang w:val="en-GB" w:eastAsia="ja-JP"/>
        </w:rPr>
        <w:t>[7</w:t>
      </w:r>
      <w:r>
        <w:rPr>
          <w:rFonts w:ascii="Book Antiqua" w:hAnsi="Book Antiqua"/>
          <w:sz w:val="24"/>
          <w:szCs w:val="24"/>
          <w:vertAlign w:val="superscript"/>
          <w:lang w:val="en-GB" w:eastAsia="zh-CN"/>
        </w:rPr>
        <w:t>5,76</w:t>
      </w:r>
      <w:r w:rsidRPr="00CC3D0A">
        <w:rPr>
          <w:rFonts w:ascii="Book Antiqua" w:eastAsia="MS Mincho" w:hAnsi="Book Antiqua"/>
          <w:sz w:val="24"/>
          <w:szCs w:val="24"/>
          <w:vertAlign w:val="superscript"/>
          <w:lang w:val="en-GB" w:eastAsia="ja-JP"/>
        </w:rPr>
        <w:t>]</w:t>
      </w:r>
      <w:r w:rsidRPr="00CC3D0A">
        <w:rPr>
          <w:rFonts w:ascii="Book Antiqua" w:eastAsia="MS Mincho" w:hAnsi="Book Antiqua"/>
          <w:sz w:val="24"/>
          <w:szCs w:val="24"/>
          <w:lang w:val="en-GB" w:eastAsia="ja-JP"/>
        </w:rPr>
        <w:t xml:space="preserve">. In this study, Kvasnicka </w:t>
      </w:r>
      <w:r>
        <w:rPr>
          <w:rFonts w:ascii="Book Antiqua" w:hAnsi="Book Antiqua"/>
          <w:sz w:val="24"/>
          <w:szCs w:val="24"/>
          <w:lang w:val="en-GB" w:eastAsia="zh-CN"/>
        </w:rPr>
        <w:t>and</w:t>
      </w:r>
      <w:r w:rsidRPr="00CC3D0A">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US" w:eastAsia="ja-JP"/>
        </w:rPr>
        <w:t>Thiele reclassified PVSG defined ET as normocellular true ET (WHO-ET) in 167, and prefibrotic chronic idiopathic myelofibrosis (CIMF) in 174 and early fibrotic CIMF-1 in 135 according to WHO bone marrow criteria</w:t>
      </w:r>
      <w:r w:rsidRPr="00CC3D0A">
        <w:rPr>
          <w:rFonts w:ascii="Book Antiqua" w:eastAsia="MS Mincho" w:hAnsi="Book Antiqua"/>
          <w:sz w:val="24"/>
          <w:szCs w:val="24"/>
          <w:vertAlign w:val="superscript"/>
          <w:lang w:val="en-US" w:eastAsia="ja-JP"/>
        </w:rPr>
        <w:t>[7</w:t>
      </w:r>
      <w:r>
        <w:rPr>
          <w:rFonts w:ascii="Book Antiqua" w:hAnsi="Book Antiqua"/>
          <w:sz w:val="24"/>
          <w:szCs w:val="24"/>
          <w:vertAlign w:val="superscript"/>
          <w:lang w:val="en-US" w:eastAsia="zh-CN"/>
        </w:rPr>
        <w:t>5</w:t>
      </w:r>
      <w:r w:rsidRPr="00CC3D0A">
        <w:rPr>
          <w:rFonts w:ascii="Book Antiqua" w:eastAsia="MS Mincho" w:hAnsi="Book Antiqua"/>
          <w:sz w:val="24"/>
          <w:szCs w:val="24"/>
          <w:vertAlign w:val="superscript"/>
          <w:lang w:val="en-US" w:eastAsia="ja-JP"/>
        </w:rPr>
        <w:t>]</w:t>
      </w:r>
      <w:r w:rsidRPr="00CC3D0A">
        <w:rPr>
          <w:rFonts w:ascii="Book Antiqua" w:eastAsia="MS Mincho" w:hAnsi="Book Antiqua"/>
          <w:sz w:val="24"/>
          <w:szCs w:val="24"/>
          <w:lang w:val="en-US" w:eastAsia="ja-JP"/>
        </w:rPr>
        <w:t>. WHO-ET patients showed no significant loss of life expectancy compared to significant loss of life expectancy in CIMF 0 and CIMF 1 (</w:t>
      </w:r>
      <w:r w:rsidRPr="00502A1D">
        <w:rPr>
          <w:rFonts w:ascii="Book Antiqua" w:eastAsia="MS Mincho" w:hAnsi="Book Antiqua"/>
          <w:i/>
          <w:sz w:val="24"/>
          <w:szCs w:val="24"/>
          <w:lang w:val="en-US" w:eastAsia="ja-JP"/>
        </w:rPr>
        <w:t>P</w:t>
      </w:r>
      <w:r>
        <w:rPr>
          <w:rFonts w:ascii="Book Antiqua" w:hAnsi="Book Antiqua"/>
          <w:sz w:val="24"/>
          <w:szCs w:val="24"/>
          <w:lang w:val="en-US" w:eastAsia="zh-CN"/>
        </w:rPr>
        <w:t xml:space="preserve"> </w:t>
      </w:r>
      <w:r w:rsidRPr="00CC3D0A">
        <w:rPr>
          <w:rFonts w:ascii="Book Antiqua" w:eastAsia="MS Mincho" w:hAnsi="Book Antiqua"/>
          <w:sz w:val="24"/>
          <w:szCs w:val="24"/>
          <w:lang w:val="en-US" w:eastAsia="ja-JP"/>
        </w:rPr>
        <w:t>=</w:t>
      </w:r>
      <w:r>
        <w:rPr>
          <w:rFonts w:ascii="Book Antiqua" w:hAnsi="Book Antiqua"/>
          <w:sz w:val="24"/>
          <w:szCs w:val="24"/>
          <w:lang w:val="en-US" w:eastAsia="zh-CN"/>
        </w:rPr>
        <w:t xml:space="preserve"> </w:t>
      </w:r>
      <w:r w:rsidRPr="00CC3D0A">
        <w:rPr>
          <w:rFonts w:ascii="Book Antiqua" w:eastAsia="MS Mincho" w:hAnsi="Book Antiqua"/>
          <w:sz w:val="24"/>
          <w:szCs w:val="24"/>
          <w:lang w:val="en-US" w:eastAsia="ja-JP"/>
        </w:rPr>
        <w:t xml:space="preserve">0.0001). The 15 years relative survival was 84% for WHO-ET compared to 68% for CIMF 0 </w:t>
      </w:r>
      <w:r w:rsidRPr="00CC3D0A">
        <w:rPr>
          <w:rFonts w:ascii="Book Antiqua" w:eastAsia="MS Mincho" w:hAnsi="Book Antiqua"/>
          <w:sz w:val="24"/>
          <w:szCs w:val="24"/>
          <w:lang w:val="en-US" w:eastAsia="ja-JP"/>
        </w:rPr>
        <w:lastRenderedPageBreak/>
        <w:t>and 55% for CIMF 1. Interestingly, WHO-ET patients were 10 to 12 year younger compared to CIMF 0 and CIMF 1. A similar, large retrospective study has been performed by Barbui, Thiele, Passamonti and Tefferi</w:t>
      </w:r>
      <w:r w:rsidRPr="00CC3D0A">
        <w:rPr>
          <w:rFonts w:ascii="Book Antiqua" w:eastAsia="MS Mincho" w:hAnsi="Book Antiqua"/>
          <w:sz w:val="24"/>
          <w:szCs w:val="24"/>
          <w:vertAlign w:val="superscript"/>
          <w:lang w:val="en-US" w:eastAsia="ja-JP"/>
        </w:rPr>
        <w:t>[77]</w:t>
      </w:r>
      <w:r w:rsidRPr="00CC3D0A">
        <w:rPr>
          <w:rFonts w:ascii="Book Antiqua" w:eastAsia="MS Mincho" w:hAnsi="Book Antiqua"/>
          <w:sz w:val="24"/>
          <w:szCs w:val="24"/>
          <w:lang w:val="en-US" w:eastAsia="ja-JP"/>
        </w:rPr>
        <w:t>. A total of 1104 PVSG defined ET patients (platelet count</w:t>
      </w:r>
      <w:r>
        <w:rPr>
          <w:rFonts w:ascii="Book Antiqua" w:hAnsi="Book Antiqua"/>
          <w:sz w:val="24"/>
          <w:szCs w:val="24"/>
          <w:lang w:val="en-US" w:eastAsia="zh-CN"/>
        </w:rPr>
        <w:t xml:space="preserve"> </w:t>
      </w:r>
      <w:r w:rsidRPr="00CC3D0A">
        <w:rPr>
          <w:rFonts w:ascii="Book Antiqua" w:eastAsia="MS Mincho" w:hAnsi="Book Antiqua"/>
          <w:sz w:val="24"/>
          <w:szCs w:val="24"/>
          <w:lang w:val="en-US" w:eastAsia="ja-JP"/>
        </w:rPr>
        <w:t>&gt;</w:t>
      </w:r>
      <w:r>
        <w:rPr>
          <w:rFonts w:ascii="Book Antiqua" w:hAnsi="Book Antiqua"/>
          <w:sz w:val="24"/>
          <w:szCs w:val="24"/>
          <w:lang w:val="en-US" w:eastAsia="zh-CN"/>
        </w:rPr>
        <w:t xml:space="preserve"> </w:t>
      </w:r>
      <w:r w:rsidRPr="00CC3D0A">
        <w:rPr>
          <w:rFonts w:ascii="Book Antiqua" w:eastAsia="MS Mincho" w:hAnsi="Book Antiqua"/>
          <w:sz w:val="24"/>
          <w:szCs w:val="24"/>
          <w:lang w:val="en-US" w:eastAsia="ja-JP"/>
        </w:rPr>
        <w:t>600</w:t>
      </w:r>
      <w:r>
        <w:rPr>
          <w:rFonts w:ascii="Book Antiqua" w:hAnsi="Book Antiqua"/>
          <w:sz w:val="24"/>
          <w:szCs w:val="24"/>
          <w:lang w:val="en-US" w:eastAsia="zh-CN"/>
        </w:rPr>
        <w:t xml:space="preserve">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US" w:eastAsia="ja-JP"/>
        </w:rPr>
        <w:t>10</w:t>
      </w:r>
      <w:r w:rsidRPr="00CC3D0A">
        <w:rPr>
          <w:rFonts w:ascii="Book Antiqua" w:eastAsia="MS Mincho" w:hAnsi="Book Antiqua"/>
          <w:sz w:val="24"/>
          <w:szCs w:val="24"/>
          <w:vertAlign w:val="superscript"/>
          <w:lang w:val="en-US" w:eastAsia="ja-JP"/>
        </w:rPr>
        <w:t>9</w:t>
      </w:r>
      <w:r w:rsidRPr="00CC3D0A">
        <w:rPr>
          <w:rFonts w:ascii="Book Antiqua" w:eastAsia="MS Mincho" w:hAnsi="Book Antiqua"/>
          <w:sz w:val="24"/>
          <w:szCs w:val="24"/>
          <w:lang w:val="en-US" w:eastAsia="ja-JP"/>
        </w:rPr>
        <w:t>/L) from seven centers in Italy and the USA diagnosed between 1975 and 2008 were analyzed retrospectively using the 2008 WHO clinical and bone marrow criteria. Bone marrow biopsies were evaluated by one pathologist (Dr. Thiele). In this cohort of 1104 PVSG defined ET patients, 891 (81%) were diagnosed as normocellular WHO-ET (JAK2</w:t>
      </w:r>
      <w:r w:rsidRPr="00CC3D0A">
        <w:rPr>
          <w:rFonts w:ascii="Book Antiqua" w:eastAsia="MS Mincho" w:hAnsi="Book Antiqua"/>
          <w:sz w:val="24"/>
          <w:szCs w:val="24"/>
          <w:vertAlign w:val="superscript"/>
          <w:lang w:val="en-US" w:eastAsia="ja-JP"/>
        </w:rPr>
        <w:t>V617F</w:t>
      </w:r>
      <w:r w:rsidRPr="00CC3D0A">
        <w:rPr>
          <w:rFonts w:ascii="Book Antiqua" w:eastAsia="MS Mincho" w:hAnsi="Book Antiqua"/>
          <w:sz w:val="24"/>
          <w:szCs w:val="24"/>
          <w:lang w:val="en-US" w:eastAsia="ja-JP"/>
        </w:rPr>
        <w:t xml:space="preserve"> positive 61%); and 180 (16%) as hypercellular ET with prefibrotic PMF (pPMF) bone marrow histology (JAK2</w:t>
      </w:r>
      <w:r w:rsidRPr="00CC3D0A">
        <w:rPr>
          <w:rFonts w:ascii="Book Antiqua" w:eastAsia="MS Mincho" w:hAnsi="Book Antiqua"/>
          <w:sz w:val="24"/>
          <w:szCs w:val="24"/>
          <w:vertAlign w:val="superscript"/>
          <w:lang w:val="en-US" w:eastAsia="ja-JP"/>
        </w:rPr>
        <w:t>V617F</w:t>
      </w:r>
      <w:r w:rsidRPr="00CC3D0A">
        <w:rPr>
          <w:rFonts w:ascii="Book Antiqua" w:eastAsia="MS Mincho" w:hAnsi="Book Antiqua"/>
          <w:sz w:val="24"/>
          <w:szCs w:val="24"/>
          <w:lang w:val="en-US" w:eastAsia="ja-JP"/>
        </w:rPr>
        <w:t xml:space="preserve"> positive 58%). The overall survival curves show the expected differences in overall survival between WHO-ET and pPMF similar as shown by Kvasnicka </w:t>
      </w:r>
      <w:r w:rsidRPr="006A52C0">
        <w:rPr>
          <w:rFonts w:ascii="Book Antiqua" w:hAnsi="Book Antiqua"/>
          <w:i/>
          <w:sz w:val="24"/>
          <w:szCs w:val="24"/>
          <w:lang w:val="en-US" w:eastAsia="zh-CN"/>
        </w:rPr>
        <w:t>et al</w:t>
      </w:r>
      <w:r w:rsidRPr="004D4313">
        <w:rPr>
          <w:rFonts w:ascii="Book Antiqua" w:hAnsi="Book Antiqua"/>
          <w:sz w:val="24"/>
          <w:szCs w:val="24"/>
          <w:vertAlign w:val="superscript"/>
          <w:lang w:val="en-US" w:eastAsia="zh-CN"/>
        </w:rPr>
        <w:t>[</w:t>
      </w:r>
      <w:r w:rsidRPr="00CC3D0A">
        <w:rPr>
          <w:rFonts w:ascii="Book Antiqua" w:eastAsia="MS Mincho" w:hAnsi="Book Antiqua"/>
          <w:sz w:val="24"/>
          <w:szCs w:val="24"/>
          <w:vertAlign w:val="superscript"/>
          <w:lang w:val="en-US" w:eastAsia="ja-JP"/>
        </w:rPr>
        <w:t>76</w:t>
      </w:r>
      <w:r>
        <w:rPr>
          <w:rFonts w:ascii="Book Antiqua" w:hAnsi="Book Antiqua"/>
          <w:sz w:val="24"/>
          <w:szCs w:val="24"/>
          <w:vertAlign w:val="superscript"/>
          <w:lang w:val="en-US" w:eastAsia="zh-CN"/>
        </w:rPr>
        <w:t>]</w:t>
      </w:r>
      <w:r w:rsidRPr="00CC3D0A">
        <w:rPr>
          <w:rFonts w:ascii="Book Antiqua" w:eastAsia="MS Mincho" w:hAnsi="Book Antiqua"/>
          <w:sz w:val="24"/>
          <w:szCs w:val="24"/>
          <w:lang w:val="en-US" w:eastAsia="ja-JP"/>
        </w:rPr>
        <w:t xml:space="preserve">. When compared to the 2008 Eurostat age- and sex-standardized incidences for all causes of death, there was no or minimal loss of life expectancy in WHO-ET MPN patients. The difference of 15 years overall survival in WHO-ET </w:t>
      </w:r>
      <w:r w:rsidRPr="002355D1">
        <w:rPr>
          <w:rFonts w:ascii="Book Antiqua" w:eastAsia="MS Mincho" w:hAnsi="Book Antiqua"/>
          <w:i/>
          <w:sz w:val="24"/>
          <w:szCs w:val="24"/>
          <w:lang w:val="en-US" w:eastAsia="ja-JP"/>
        </w:rPr>
        <w:t>vs</w:t>
      </w:r>
      <w:r w:rsidRPr="00CC3D0A">
        <w:rPr>
          <w:rFonts w:ascii="Book Antiqua" w:eastAsia="MS Mincho" w:hAnsi="Book Antiqua"/>
          <w:sz w:val="24"/>
          <w:szCs w:val="24"/>
          <w:lang w:val="en-US" w:eastAsia="ja-JP"/>
        </w:rPr>
        <w:t xml:space="preserve"> pPMF (80% and 59% respectively) was mainly due to the 15 years leukemia-free survival incidence in WHO-ET and pPMF (0.8% </w:t>
      </w:r>
      <w:r w:rsidRPr="001A5D99">
        <w:rPr>
          <w:rFonts w:ascii="Book Antiqua" w:eastAsia="MS Mincho" w:hAnsi="Book Antiqua"/>
          <w:i/>
          <w:sz w:val="24"/>
          <w:szCs w:val="24"/>
          <w:lang w:val="en-US" w:eastAsia="ja-JP"/>
        </w:rPr>
        <w:t>vs</w:t>
      </w:r>
      <w:r w:rsidRPr="00CC3D0A">
        <w:rPr>
          <w:rFonts w:ascii="Book Antiqua" w:eastAsia="MS Mincho" w:hAnsi="Book Antiqua"/>
          <w:sz w:val="24"/>
          <w:szCs w:val="24"/>
          <w:lang w:val="en-US" w:eastAsia="ja-JP"/>
        </w:rPr>
        <w:t xml:space="preserve"> 12.3% respectively). There were significant differences in leukocyte counts (8.6 </w:t>
      </w:r>
      <w:r w:rsidRPr="001A5D99">
        <w:rPr>
          <w:rFonts w:ascii="Book Antiqua" w:eastAsia="MS Mincho" w:hAnsi="Book Antiqua"/>
          <w:i/>
          <w:sz w:val="24"/>
          <w:szCs w:val="24"/>
          <w:lang w:val="en-US" w:eastAsia="ja-JP"/>
        </w:rPr>
        <w:t>vs</w:t>
      </w:r>
      <w:r w:rsidRPr="00CC3D0A">
        <w:rPr>
          <w:rFonts w:ascii="Book Antiqua" w:eastAsia="MS Mincho" w:hAnsi="Book Antiqua"/>
          <w:sz w:val="24"/>
          <w:szCs w:val="24"/>
          <w:lang w:val="en-US" w:eastAsia="ja-JP"/>
        </w:rPr>
        <w:t xml:space="preserve"> 9.7</w:t>
      </w:r>
      <w:r>
        <w:rPr>
          <w:rFonts w:ascii="Book Antiqua" w:hAnsi="Book Antiqua"/>
          <w:sz w:val="24"/>
          <w:szCs w:val="24"/>
          <w:lang w:val="en-US" w:eastAsia="zh-CN"/>
        </w:rPr>
        <w:t xml:space="preserve"> </w:t>
      </w:r>
      <w:r w:rsidRPr="00CE4867">
        <w:rPr>
          <w:rFonts w:ascii="Book Antiqua" w:hAnsi="Book Antiqua"/>
          <w:sz w:val="24"/>
          <w:szCs w:val="24"/>
        </w:rPr>
        <w:t>×</w:t>
      </w:r>
      <w:r>
        <w:rPr>
          <w:rFonts w:ascii="Book Antiqua" w:hAnsi="Book Antiqua"/>
          <w:sz w:val="24"/>
          <w:szCs w:val="24"/>
          <w:lang w:eastAsia="zh-CN"/>
        </w:rPr>
        <w:t xml:space="preserve"> </w:t>
      </w:r>
      <w:r w:rsidRPr="00CC3D0A">
        <w:rPr>
          <w:rFonts w:ascii="Book Antiqua" w:eastAsia="MS Mincho" w:hAnsi="Book Antiqua"/>
          <w:sz w:val="24"/>
          <w:szCs w:val="24"/>
          <w:lang w:val="en-US" w:eastAsia="ja-JP"/>
        </w:rPr>
        <w:t>10</w:t>
      </w:r>
      <w:r w:rsidRPr="00CC3D0A">
        <w:rPr>
          <w:rFonts w:ascii="Book Antiqua" w:eastAsia="MS Mincho" w:hAnsi="Book Antiqua"/>
          <w:sz w:val="24"/>
          <w:szCs w:val="24"/>
          <w:vertAlign w:val="superscript"/>
          <w:lang w:val="en-US" w:eastAsia="ja-JP"/>
        </w:rPr>
        <w:t>9</w:t>
      </w:r>
      <w:r w:rsidRPr="00CC3D0A">
        <w:rPr>
          <w:rFonts w:ascii="Book Antiqua" w:eastAsia="MS Mincho" w:hAnsi="Book Antiqua"/>
          <w:sz w:val="24"/>
          <w:szCs w:val="24"/>
          <w:lang w:val="en-US" w:eastAsia="ja-JP"/>
        </w:rPr>
        <w:t xml:space="preserve">/L), LDH (298 </w:t>
      </w:r>
      <w:r w:rsidRPr="001A5D99">
        <w:rPr>
          <w:rFonts w:ascii="Book Antiqua" w:eastAsia="MS Mincho" w:hAnsi="Book Antiqua"/>
          <w:i/>
          <w:sz w:val="24"/>
          <w:szCs w:val="24"/>
          <w:lang w:val="en-US" w:eastAsia="ja-JP"/>
        </w:rPr>
        <w:t>vs</w:t>
      </w:r>
      <w:r w:rsidRPr="00CC3D0A">
        <w:rPr>
          <w:rFonts w:ascii="Book Antiqua" w:eastAsia="MS Mincho" w:hAnsi="Book Antiqua"/>
          <w:sz w:val="24"/>
          <w:szCs w:val="24"/>
          <w:lang w:val="en-US" w:eastAsia="ja-JP"/>
        </w:rPr>
        <w:t xml:space="preserve"> 429 mU/mL) and reticulin grade grade 1 (3% </w:t>
      </w:r>
      <w:r w:rsidRPr="001A5D99">
        <w:rPr>
          <w:rFonts w:ascii="Book Antiqua" w:eastAsia="MS Mincho" w:hAnsi="Book Antiqua"/>
          <w:i/>
          <w:sz w:val="24"/>
          <w:szCs w:val="24"/>
          <w:lang w:val="en-US" w:eastAsia="ja-JP"/>
        </w:rPr>
        <w:t>vs</w:t>
      </w:r>
      <w:r w:rsidRPr="00CC3D0A">
        <w:rPr>
          <w:rFonts w:ascii="Book Antiqua" w:eastAsia="MS Mincho" w:hAnsi="Book Antiqua"/>
          <w:sz w:val="24"/>
          <w:szCs w:val="24"/>
          <w:lang w:val="en-US" w:eastAsia="ja-JP"/>
        </w:rPr>
        <w:t xml:space="preserve"> 24%) at time of diagnosis of WHO-ET and pPMF 0/1 respectively. Evolution of pPMF 0/1 into fibrotic PMF 2/3 (PAMM) after 10 and 15 years increased </w:t>
      </w:r>
      <w:r>
        <w:rPr>
          <w:rFonts w:ascii="Book Antiqua" w:eastAsia="MS Mincho" w:hAnsi="Book Antiqua"/>
          <w:sz w:val="24"/>
          <w:szCs w:val="24"/>
          <w:lang w:val="en-US" w:eastAsia="ja-JP"/>
        </w:rPr>
        <w:t xml:space="preserve">from 0.8% to 9.3% </w:t>
      </w:r>
      <w:r w:rsidRPr="00CC3D0A">
        <w:rPr>
          <w:rFonts w:ascii="Book Antiqua" w:eastAsia="MS Mincho" w:hAnsi="Book Antiqua"/>
          <w:sz w:val="24"/>
          <w:szCs w:val="24"/>
          <w:lang w:val="en-US" w:eastAsia="ja-JP"/>
        </w:rPr>
        <w:t>in WHO-ET and from 9.3% to 16.9% in pPMF 0/1. Unfavorable prognostic factors in pPMF include LDH above the upper limit of normal, increase of CD34+ circulating cells, spleen size growth of 0.5 to 1 cm/year, slight anemia (hemoglobin &lt;</w:t>
      </w:r>
      <w:r>
        <w:rPr>
          <w:rFonts w:ascii="Book Antiqua" w:hAnsi="Book Antiqua"/>
          <w:sz w:val="24"/>
          <w:szCs w:val="24"/>
          <w:lang w:val="en-US" w:eastAsia="zh-CN"/>
        </w:rPr>
        <w:t xml:space="preserve"> </w:t>
      </w:r>
      <w:r w:rsidRPr="00CC3D0A">
        <w:rPr>
          <w:rFonts w:ascii="Book Antiqua" w:eastAsia="MS Mincho" w:hAnsi="Book Antiqua"/>
          <w:sz w:val="24"/>
          <w:szCs w:val="24"/>
          <w:lang w:val="en-US" w:eastAsia="ja-JP"/>
        </w:rPr>
        <w:t>13 g</w:t>
      </w:r>
      <w:r>
        <w:rPr>
          <w:rFonts w:ascii="Book Antiqua" w:eastAsia="MS Mincho" w:hAnsi="Book Antiqua"/>
          <w:sz w:val="24"/>
          <w:szCs w:val="24"/>
          <w:lang w:val="en-US" w:eastAsia="ja-JP"/>
        </w:rPr>
        <w:t>/dL</w:t>
      </w:r>
      <w:r w:rsidRPr="00CC3D0A">
        <w:rPr>
          <w:rFonts w:ascii="Book Antiqua" w:eastAsia="MS Mincho" w:hAnsi="Book Antiqua"/>
          <w:sz w:val="24"/>
          <w:szCs w:val="24"/>
          <w:lang w:val="en-US" w:eastAsia="ja-JP"/>
        </w:rPr>
        <w:t>, and constitutional symptoms. In this study 60% of WHO-ET and pPMF patients carried the JAK2</w:t>
      </w:r>
      <w:r w:rsidRPr="00CC3D0A">
        <w:rPr>
          <w:rFonts w:ascii="Book Antiqua" w:eastAsia="MS Mincho" w:hAnsi="Book Antiqua"/>
          <w:sz w:val="24"/>
          <w:szCs w:val="24"/>
          <w:vertAlign w:val="superscript"/>
          <w:lang w:val="en-US" w:eastAsia="ja-JP"/>
        </w:rPr>
        <w:t>V617F</w:t>
      </w:r>
      <w:r w:rsidRPr="00CC3D0A">
        <w:rPr>
          <w:rFonts w:ascii="Book Antiqua" w:eastAsia="MS Mincho" w:hAnsi="Book Antiqua"/>
          <w:sz w:val="24"/>
          <w:szCs w:val="24"/>
          <w:lang w:val="en-US" w:eastAsia="ja-JP"/>
        </w:rPr>
        <w:t xml:space="preserve"> mutation. Evolution </w:t>
      </w:r>
      <w:r w:rsidRPr="00CC3D0A">
        <w:rPr>
          <w:rFonts w:ascii="Book Antiqua" w:eastAsia="MS Mincho" w:hAnsi="Book Antiqua"/>
          <w:sz w:val="24"/>
          <w:szCs w:val="24"/>
          <w:lang w:val="en-GB" w:eastAsia="ja-JP"/>
        </w:rPr>
        <w:t>of WHO-defined ET into myeloid metaplasia of the spleen with myelofibrosis and leukoerythroblastosis is very rare and predicted to be rather frequent in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-positive ET.MGM or JAK2 wild type PMGM.</w:t>
      </w:r>
      <w:r w:rsidRPr="00CC3D0A">
        <w:rPr>
          <w:rFonts w:ascii="Book Antiqua" w:eastAsia="MS Mincho" w:hAnsi="Book Antiqua"/>
          <w:color w:val="FF0000"/>
          <w:sz w:val="24"/>
          <w:szCs w:val="24"/>
          <w:lang w:val="en-GB" w:eastAsia="ja-JP"/>
        </w:rPr>
        <w:t xml:space="preserve"> </w:t>
      </w:r>
      <w:r w:rsidRPr="00CC3D0A">
        <w:rPr>
          <w:rFonts w:ascii="Book Antiqua" w:eastAsia="MS Mincho" w:hAnsi="Book Antiqua"/>
          <w:sz w:val="24"/>
          <w:szCs w:val="24"/>
          <w:lang w:val="en-GB" w:eastAsia="ja-JP"/>
        </w:rPr>
        <w:t>Large scale collaborative prospective management study of newly diagnosed MPN patients comparing the various degrees of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and MPL</w:t>
      </w:r>
      <w:r w:rsidRPr="00CC3D0A">
        <w:rPr>
          <w:rFonts w:ascii="Book Antiqua" w:eastAsia="MS Mincho" w:hAnsi="Book Antiqua"/>
          <w:sz w:val="24"/>
          <w:szCs w:val="24"/>
          <w:vertAlign w:val="superscript"/>
          <w:lang w:val="en-GB" w:eastAsia="ja-JP"/>
        </w:rPr>
        <w:t>515</w:t>
      </w:r>
      <w:r w:rsidRPr="00CC3D0A">
        <w:rPr>
          <w:rFonts w:ascii="Book Antiqua" w:eastAsia="MS Mincho" w:hAnsi="Book Antiqua"/>
          <w:sz w:val="24"/>
          <w:szCs w:val="24"/>
          <w:lang w:val="en-GB" w:eastAsia="ja-JP"/>
        </w:rPr>
        <w:t xml:space="preserve"> mutation load and JAK2 wild type PMGM are needed. </w:t>
      </w: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lastRenderedPageBreak/>
        <w:t xml:space="preserve">GRADING OF SECONDARY MYELOFIBROSIS IN MPN </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sz w:val="24"/>
          <w:szCs w:val="24"/>
          <w:lang w:val="en-US" w:eastAsia="ja-JP"/>
        </w:rPr>
        <w:t>The terms reticulin fibrosis(RF)</w:t>
      </w:r>
      <w:r>
        <w:rPr>
          <w:rFonts w:ascii="Book Antiqua" w:eastAsia="MS Mincho" w:hAnsi="Book Antiqua"/>
          <w:sz w:val="24"/>
          <w:szCs w:val="24"/>
          <w:lang w:val="en-US" w:eastAsia="ja-JP"/>
        </w:rPr>
        <w:t xml:space="preserve"> </w:t>
      </w:r>
      <w:r w:rsidRPr="00CC3D0A">
        <w:rPr>
          <w:rFonts w:ascii="Book Antiqua" w:eastAsia="MS Mincho" w:hAnsi="Book Antiqua"/>
          <w:sz w:val="24"/>
          <w:szCs w:val="24"/>
          <w:lang w:val="en-US" w:eastAsia="ja-JP"/>
        </w:rPr>
        <w:t>and reticulin-collagen fibrosis (RCF) are well established in the literature</w:t>
      </w:r>
      <w:r w:rsidRPr="00CC3D0A">
        <w:rPr>
          <w:rFonts w:ascii="Book Antiqua" w:eastAsia="MS Mincho" w:hAnsi="Book Antiqua"/>
          <w:sz w:val="24"/>
          <w:szCs w:val="24"/>
          <w:vertAlign w:val="superscript"/>
          <w:lang w:val="en-US" w:eastAsia="ja-JP"/>
        </w:rPr>
        <w:t>[24,78-81]</w:t>
      </w:r>
      <w:r w:rsidRPr="00CC3D0A">
        <w:rPr>
          <w:rFonts w:ascii="Book Antiqua" w:eastAsia="MS Mincho" w:hAnsi="Book Antiqua"/>
          <w:sz w:val="24"/>
          <w:szCs w:val="24"/>
          <w:lang w:val="en-US" w:eastAsia="ja-JP"/>
        </w:rPr>
        <w:t xml:space="preserve">. Sequential biopsies indicate that initially there is a diffuse or patchy increase in fine RF fibers admixed with abundant hematopoietic elements in PV and PMGM during long-term follow-up. In sequential bone marrow biopsies, the marrow in fibrotic PV and PMF is replaced by course collagen fibers with decreased and a paucity of hematopoietic cells. This progression from reticulin fibrosis (RF) to reticulin-collagen fibrosis (RCF) in the bone marrow biopsy during long-term follow-up may be analogous to the similar wound healing, in which collagen composition changes as time passes (fine reticulin type III collagen is replaced by course collagen type 1 collagen). The precise mechanisms by which cytokines from abnormal neoproliferative hematopoietic clone in the various MPNs do stimulate the host’s polyclonal fibroblasts to produce excessive amounts of fine RF fibers and course reticulin-collagen (RCF) bundles are out of scope in this review. </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sz w:val="24"/>
          <w:szCs w:val="24"/>
          <w:lang w:val="en-US" w:eastAsia="ja-JP"/>
        </w:rPr>
        <w:t>Two kinds of fiber qualities can easily be distinguishes by common staining in light micsroscopy: RF</w:t>
      </w:r>
      <w:r w:rsidRPr="00CC3D0A">
        <w:rPr>
          <w:rFonts w:ascii="Book Antiqua" w:eastAsia="MS Mincho" w:hAnsi="Book Antiqua"/>
          <w:sz w:val="24"/>
          <w:szCs w:val="24"/>
          <w:vertAlign w:val="superscript"/>
          <w:lang w:val="en-US" w:eastAsia="ja-JP"/>
        </w:rPr>
        <w:t>[78,79]</w:t>
      </w:r>
      <w:r w:rsidRPr="00CC3D0A">
        <w:rPr>
          <w:rFonts w:ascii="Book Antiqua" w:eastAsia="MS Mincho" w:hAnsi="Book Antiqua"/>
          <w:sz w:val="24"/>
          <w:szCs w:val="24"/>
          <w:lang w:val="en-US" w:eastAsia="ja-JP"/>
        </w:rPr>
        <w:t xml:space="preserve"> and (RCF)</w:t>
      </w:r>
      <w:r w:rsidRPr="00CC3D0A">
        <w:rPr>
          <w:rFonts w:ascii="Book Antiqua" w:eastAsia="MS Mincho" w:hAnsi="Book Antiqua"/>
          <w:sz w:val="24"/>
          <w:szCs w:val="24"/>
          <w:vertAlign w:val="superscript"/>
          <w:lang w:val="en-US" w:eastAsia="ja-JP"/>
        </w:rPr>
        <w:t>[24,80]</w:t>
      </w:r>
      <w:r w:rsidRPr="00CC3D0A">
        <w:rPr>
          <w:rFonts w:ascii="Book Antiqua" w:eastAsia="MS Mincho" w:hAnsi="Book Antiqua"/>
          <w:sz w:val="24"/>
          <w:szCs w:val="24"/>
          <w:lang w:val="en-US" w:eastAsia="ja-JP"/>
        </w:rPr>
        <w:t>.</w:t>
      </w:r>
      <w:r>
        <w:rPr>
          <w:rFonts w:ascii="Book Antiqua" w:eastAsia="MS Mincho" w:hAnsi="Book Antiqua"/>
          <w:sz w:val="24"/>
          <w:szCs w:val="24"/>
          <w:lang w:val="en-US" w:eastAsia="ja-JP"/>
        </w:rPr>
        <w:t xml:space="preserve"> </w:t>
      </w:r>
      <w:r w:rsidRPr="00CC3D0A">
        <w:rPr>
          <w:rFonts w:ascii="Book Antiqua" w:eastAsia="MS Mincho" w:hAnsi="Book Antiqua"/>
          <w:sz w:val="24"/>
          <w:szCs w:val="24"/>
          <w:lang w:val="en-US" w:eastAsia="ja-JP"/>
        </w:rPr>
        <w:t>Gommori’s silver staining detects early and course reticulin fibers (RF) and do not stain collagen fibers thereby underestimating advanced RCF myelofibrosis grade 2 and 3. Collagen fibers stain with (Mason) trichrome stains, and are negative in the Gommorri’s silver stain. Consequently both Gommorri’s stain for RF and trichrome stain for CF are to be used for optimal MF-grading of RF and RCF</w:t>
      </w:r>
      <w:r w:rsidRPr="00CC3D0A">
        <w:rPr>
          <w:rFonts w:ascii="Book Antiqua" w:eastAsia="MS Mincho" w:hAnsi="Book Antiqua"/>
          <w:sz w:val="24"/>
          <w:szCs w:val="24"/>
          <w:vertAlign w:val="superscript"/>
          <w:lang w:val="en-US" w:eastAsia="ja-JP"/>
        </w:rPr>
        <w:t>[78,79]</w:t>
      </w:r>
      <w:r>
        <w:rPr>
          <w:rFonts w:ascii="Book Antiqua" w:eastAsia="MS Mincho" w:hAnsi="Book Antiqua"/>
          <w:sz w:val="24"/>
          <w:szCs w:val="24"/>
          <w:vertAlign w:val="superscript"/>
          <w:lang w:val="en-US" w:eastAsia="ja-JP"/>
        </w:rPr>
        <w:t xml:space="preserve"> </w:t>
      </w:r>
      <w:r w:rsidRPr="00CC3D0A">
        <w:rPr>
          <w:rFonts w:ascii="Book Antiqua" w:eastAsia="MS Mincho" w:hAnsi="Book Antiqua"/>
          <w:sz w:val="24"/>
          <w:szCs w:val="24"/>
          <w:lang w:val="en-US" w:eastAsia="ja-JP"/>
        </w:rPr>
        <w:t>and for grading of myelofibrosis (MF)</w:t>
      </w:r>
      <w:r w:rsidRPr="00CC3D0A">
        <w:rPr>
          <w:rFonts w:ascii="Book Antiqua" w:eastAsia="MS Mincho" w:hAnsi="Book Antiqua"/>
          <w:sz w:val="24"/>
          <w:szCs w:val="24"/>
          <w:vertAlign w:val="superscript"/>
          <w:lang w:val="en-US" w:eastAsia="ja-JP"/>
        </w:rPr>
        <w:t>[80]</w:t>
      </w:r>
      <w:r w:rsidRPr="00CC3D0A">
        <w:rPr>
          <w:rFonts w:ascii="Book Antiqua" w:eastAsia="MS Mincho" w:hAnsi="Book Antiqua"/>
          <w:sz w:val="24"/>
          <w:szCs w:val="24"/>
          <w:lang w:val="en-US" w:eastAsia="ja-JP"/>
        </w:rPr>
        <w:t>.(Table 5) The evolution of RF into RCF as documented by the combined use of silver and trichrome stains simple means a determinative change from reversible normal reticulin (=RF) into progressed</w:t>
      </w:r>
      <w:r>
        <w:rPr>
          <w:rFonts w:ascii="Book Antiqua" w:eastAsia="MS Mincho" w:hAnsi="Book Antiqua"/>
          <w:sz w:val="24"/>
          <w:szCs w:val="24"/>
          <w:lang w:val="en-US" w:eastAsia="ja-JP"/>
        </w:rPr>
        <w:t xml:space="preserve"> </w:t>
      </w:r>
      <w:r w:rsidRPr="00CC3D0A">
        <w:rPr>
          <w:rFonts w:ascii="Book Antiqua" w:eastAsia="MS Mincho" w:hAnsi="Book Antiqua"/>
          <w:sz w:val="24"/>
          <w:szCs w:val="24"/>
          <w:lang w:val="en-US" w:eastAsia="ja-JP"/>
        </w:rPr>
        <w:t>pathological collagen scarring (RCF without or with osteosclerose). Clinically, RCF often results in cytopenia and dry tap, when aspiration is attempted. RF with very early collagen fibrosis (RCF)</w:t>
      </w:r>
      <w:r>
        <w:rPr>
          <w:rFonts w:ascii="Book Antiqua" w:eastAsia="MS Mincho" w:hAnsi="Book Antiqua"/>
          <w:sz w:val="24"/>
          <w:szCs w:val="24"/>
          <w:lang w:val="en-US" w:eastAsia="ja-JP"/>
        </w:rPr>
        <w:t xml:space="preserve"> </w:t>
      </w:r>
      <w:r w:rsidRPr="00CC3D0A">
        <w:rPr>
          <w:rFonts w:ascii="Book Antiqua" w:eastAsia="MS Mincho" w:hAnsi="Book Antiqua"/>
          <w:sz w:val="24"/>
          <w:szCs w:val="24"/>
          <w:lang w:val="en-US" w:eastAsia="ja-JP"/>
        </w:rPr>
        <w:t>usually do occur without real scarring. Bone marrow aspiration in RF without collagen fibrosis (MF-1) usually does not cause the symptom of dry tap. Advanced myelofibrosis (RCF = MF 2 and 3</w:t>
      </w:r>
      <w:r w:rsidRPr="00BE7882">
        <w:rPr>
          <w:rFonts w:ascii="Book Antiqua" w:hAnsi="Book Antiqua"/>
          <w:sz w:val="24"/>
          <w:szCs w:val="24"/>
          <w:vertAlign w:val="superscript"/>
          <w:lang w:val="en-US" w:eastAsia="zh-CN"/>
        </w:rPr>
        <w:t>[</w:t>
      </w:r>
      <w:r w:rsidRPr="00CC3D0A">
        <w:rPr>
          <w:rFonts w:ascii="Book Antiqua" w:eastAsia="MS Mincho" w:hAnsi="Book Antiqua"/>
          <w:sz w:val="24"/>
          <w:szCs w:val="24"/>
          <w:vertAlign w:val="superscript"/>
          <w:lang w:val="en-US" w:eastAsia="ja-JP"/>
        </w:rPr>
        <w:t>80</w:t>
      </w:r>
      <w:r>
        <w:rPr>
          <w:rFonts w:ascii="Book Antiqua" w:hAnsi="Book Antiqua"/>
          <w:sz w:val="24"/>
          <w:szCs w:val="24"/>
          <w:vertAlign w:val="superscript"/>
          <w:lang w:val="en-US" w:eastAsia="zh-CN"/>
        </w:rPr>
        <w:t>]</w:t>
      </w:r>
      <w:r w:rsidRPr="00CC3D0A">
        <w:rPr>
          <w:rFonts w:ascii="Book Antiqua" w:eastAsia="MS Mincho" w:hAnsi="Book Antiqua"/>
          <w:sz w:val="24"/>
          <w:szCs w:val="24"/>
          <w:lang w:val="en-US" w:eastAsia="ja-JP"/>
        </w:rPr>
        <w:t>) designates pronounced increased collagen fibrosis visuable scarring spotted areas and sometimes with foci or larger areas of atrophic hematopiesis in the bone marrow</w:t>
      </w:r>
      <w:r>
        <w:rPr>
          <w:rFonts w:ascii="Book Antiqua" w:eastAsia="MS Mincho" w:hAnsi="Book Antiqua"/>
          <w:sz w:val="24"/>
          <w:szCs w:val="24"/>
          <w:lang w:val="en-US" w:eastAsia="ja-JP"/>
        </w:rPr>
        <w:t xml:space="preserve"> </w:t>
      </w:r>
      <w:r w:rsidRPr="00CC3D0A">
        <w:rPr>
          <w:rFonts w:ascii="Book Antiqua" w:eastAsia="MS Mincho" w:hAnsi="Book Antiqua"/>
          <w:sz w:val="24"/>
          <w:szCs w:val="24"/>
          <w:lang w:val="en-US" w:eastAsia="ja-JP"/>
        </w:rPr>
        <w:t xml:space="preserve">in light microscopy. </w:t>
      </w:r>
    </w:p>
    <w:p w:rsidR="00702CE8" w:rsidRPr="00CC3D0A" w:rsidRDefault="00702CE8" w:rsidP="00AC3FB8">
      <w:pPr>
        <w:suppressAutoHyphens/>
        <w:autoSpaceDN w:val="0"/>
        <w:spacing w:after="0" w:line="360" w:lineRule="auto"/>
        <w:ind w:firstLineChars="200" w:firstLine="480"/>
        <w:jc w:val="both"/>
        <w:rPr>
          <w:rFonts w:ascii="Book Antiqua" w:eastAsia="MS Mincho" w:hAnsi="Book Antiqua"/>
          <w:sz w:val="24"/>
          <w:szCs w:val="24"/>
          <w:lang w:val="en-US" w:eastAsia="ja-JP"/>
        </w:rPr>
      </w:pPr>
      <w:r w:rsidRPr="00CC3D0A">
        <w:rPr>
          <w:rFonts w:ascii="Book Antiqua" w:eastAsia="MS Mincho" w:hAnsi="Book Antiqua"/>
          <w:sz w:val="24"/>
          <w:szCs w:val="24"/>
          <w:lang w:val="en-US" w:eastAsia="ja-JP"/>
        </w:rPr>
        <w:lastRenderedPageBreak/>
        <w:t>Myelofibrosis (MF) itself is not a disease because RF and RCF is a secondary irreversible event induced by polyclonal fibroblasts in response to cytokines released from the clonal granulocytic and megakaryocytic proliferative cells in both PV and PMF. The presence of RF is well documented in ET, PV, PT, PMGM, CML and in many other conditions. Various degrees of reticulin fibers is rather rare in normocellular ET (WHO-ET) and does occur in about one third of PV and in the majority of patients with PMGM during long-term follow-up</w:t>
      </w:r>
      <w:r w:rsidRPr="00376B5B">
        <w:rPr>
          <w:rFonts w:ascii="Book Antiqua" w:hAnsi="Book Antiqua"/>
          <w:sz w:val="24"/>
          <w:szCs w:val="24"/>
          <w:vertAlign w:val="superscript"/>
          <w:lang w:val="en-US" w:eastAsia="zh-CN"/>
        </w:rPr>
        <w:t>[</w:t>
      </w:r>
      <w:r w:rsidRPr="00CC3D0A">
        <w:rPr>
          <w:rFonts w:ascii="Book Antiqua" w:eastAsia="MS Mincho" w:hAnsi="Book Antiqua"/>
          <w:sz w:val="24"/>
          <w:szCs w:val="24"/>
          <w:vertAlign w:val="superscript"/>
          <w:lang w:val="en-US" w:eastAsia="ja-JP"/>
        </w:rPr>
        <w:t>24,25</w:t>
      </w:r>
      <w:r>
        <w:rPr>
          <w:rFonts w:ascii="Book Antiqua" w:hAnsi="Book Antiqua"/>
          <w:sz w:val="24"/>
          <w:szCs w:val="24"/>
          <w:vertAlign w:val="superscript"/>
          <w:lang w:val="en-US" w:eastAsia="zh-CN"/>
        </w:rPr>
        <w:t>]</w:t>
      </w:r>
      <w:r w:rsidRPr="00CC3D0A">
        <w:rPr>
          <w:rFonts w:ascii="Book Antiqua" w:eastAsia="MS Mincho" w:hAnsi="Book Antiqua"/>
          <w:sz w:val="24"/>
          <w:szCs w:val="24"/>
          <w:lang w:val="en-US" w:eastAsia="ja-JP"/>
        </w:rPr>
        <w:t>. The easiest way in grading of RF using the reticulin silver stain has been performed by the PVSG and in the recent UK study</w:t>
      </w:r>
      <w:r w:rsidRPr="00CC3D0A">
        <w:rPr>
          <w:rFonts w:ascii="Book Antiqua" w:eastAsia="MS Mincho" w:hAnsi="Book Antiqua"/>
          <w:sz w:val="24"/>
          <w:szCs w:val="24"/>
          <w:vertAlign w:val="superscript"/>
          <w:lang w:val="en-US" w:eastAsia="ja-JP"/>
        </w:rPr>
        <w:t>[78,79]</w:t>
      </w:r>
      <w:r w:rsidRPr="00CC3D0A">
        <w:rPr>
          <w:rFonts w:ascii="Book Antiqua" w:eastAsia="MS Mincho" w:hAnsi="Book Antiqua"/>
          <w:sz w:val="24"/>
          <w:szCs w:val="24"/>
          <w:lang w:val="en-US" w:eastAsia="ja-JP"/>
        </w:rPr>
        <w:t xml:space="preserve">. A scoring system of myelofibrosis (MF) based on morphometric analysis (point intersection with an ocular grid) and quality of fibers (reticulin and collagen fibers) and the bone marrow fiber density (fine or course reticulin and some or course bundles of collagen) has been proposed by Thiele </w:t>
      </w:r>
      <w:r w:rsidRPr="006A52C0">
        <w:rPr>
          <w:rFonts w:ascii="Book Antiqua" w:eastAsia="MS Mincho" w:hAnsi="Book Antiqua"/>
          <w:i/>
          <w:sz w:val="24"/>
          <w:szCs w:val="24"/>
          <w:lang w:val="en-US" w:eastAsia="ja-JP"/>
        </w:rPr>
        <w:t>et al</w:t>
      </w:r>
      <w:r w:rsidRPr="00CC3D0A">
        <w:rPr>
          <w:rFonts w:ascii="Book Antiqua" w:eastAsia="MS Mincho" w:hAnsi="Book Antiqua"/>
          <w:sz w:val="24"/>
          <w:szCs w:val="24"/>
          <w:vertAlign w:val="superscript"/>
          <w:lang w:val="en-US" w:eastAsia="ja-JP"/>
        </w:rPr>
        <w:t>[80]</w:t>
      </w:r>
      <w:r w:rsidRPr="00CC3D0A">
        <w:rPr>
          <w:rFonts w:ascii="Book Antiqua" w:eastAsia="MS Mincho" w:hAnsi="Book Antiqua"/>
          <w:sz w:val="24"/>
          <w:szCs w:val="24"/>
          <w:lang w:val="en-US" w:eastAsia="ja-JP"/>
        </w:rPr>
        <w:t xml:space="preserve"> 2005(Table 5). </w:t>
      </w: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t>CONCLUSION</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sz w:val="24"/>
          <w:szCs w:val="24"/>
          <w:lang w:val="en-GB" w:eastAsia="ja-JP"/>
        </w:rPr>
        <w:t>The underreported early stages of MPN are currently detected by the combined use of clinical, molecular and pathological markers as recommended by integrated WHO-ECMP MPN criteria for the classification and staging of ET, PV and PMGM (Tables 3, 4, 5 and 6). A wide diffusion and implementation of WHO-CMP criteria are awaited to clarify their value in recognizing the prefibrotic stages of MPN and in predicting significant differences in long-term prognosis between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normocellular WHO-ET and ET.MGM </w:t>
      </w:r>
      <w:r w:rsidRPr="002355D1">
        <w:rPr>
          <w:rFonts w:ascii="Book Antiqua" w:eastAsia="MS Mincho" w:hAnsi="Book Antiqua"/>
          <w:i/>
          <w:sz w:val="24"/>
          <w:szCs w:val="24"/>
          <w:lang w:val="en-GB" w:eastAsia="ja-JP"/>
        </w:rPr>
        <w:t>vs</w:t>
      </w:r>
      <w:r w:rsidRPr="00CC3D0A">
        <w:rPr>
          <w:rFonts w:ascii="Book Antiqua" w:eastAsia="MS Mincho" w:hAnsi="Book Antiqua"/>
          <w:sz w:val="24"/>
          <w:szCs w:val="24"/>
          <w:lang w:val="en-GB" w:eastAsia="ja-JP"/>
        </w:rPr>
        <w:t xml:space="preserve"> JAK2 wild type hypercellular ET associated with PMGM. The urgent need of prospective evaluation of integrated WHO-ECMP criteria include complete blood cell counts (erythrocytes, leukocytes, platelets, LAP score), spleen size on echogram, JAK2 mutation screening, JAK2 mutation load, serum EPO followed by bone marrow biopsy (Tables 2, 3, 4 and 6, Figure 2). This integrated approach by clinicians, scientists, molecular biologists and pathologists thereby creates the great advantage to detect all early thrombocythemic and erythrocythemic stages of ET and PV several to more than 10 years earlier. The proposed WHO-ECMP classification and staging of patients with MPN will be very helpful in predicting the natural history of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mutated ET, PV and ET.MGM </w:t>
      </w:r>
      <w:r w:rsidRPr="00CC3D0A">
        <w:rPr>
          <w:rFonts w:ascii="Book Antiqua" w:eastAsia="MS Mincho" w:hAnsi="Book Antiqua"/>
          <w:sz w:val="24"/>
          <w:szCs w:val="24"/>
          <w:lang w:val="en-GB" w:eastAsia="ja-JP"/>
        </w:rPr>
        <w:lastRenderedPageBreak/>
        <w:t xml:space="preserve">patients (Table 6), </w:t>
      </w:r>
      <w:r w:rsidRPr="002355D1">
        <w:rPr>
          <w:rFonts w:ascii="Book Antiqua" w:eastAsia="MS Mincho" w:hAnsi="Book Antiqua"/>
          <w:i/>
          <w:sz w:val="24"/>
          <w:szCs w:val="24"/>
          <w:lang w:val="en-GB" w:eastAsia="ja-JP"/>
        </w:rPr>
        <w:t>vs</w:t>
      </w:r>
      <w:r w:rsidRPr="00CC3D0A">
        <w:rPr>
          <w:rFonts w:ascii="Book Antiqua" w:eastAsia="MS Mincho" w:hAnsi="Book Antiqua"/>
          <w:sz w:val="24"/>
          <w:szCs w:val="24"/>
          <w:lang w:val="en-GB" w:eastAsia="ja-JP"/>
        </w:rPr>
        <w:t xml:space="preserve"> MPL</w:t>
      </w:r>
      <w:r w:rsidRPr="00CC3D0A">
        <w:rPr>
          <w:rFonts w:ascii="Book Antiqua" w:eastAsia="MS Mincho" w:hAnsi="Book Antiqua"/>
          <w:sz w:val="24"/>
          <w:szCs w:val="24"/>
          <w:vertAlign w:val="superscript"/>
          <w:lang w:val="en-GB" w:eastAsia="ja-JP"/>
        </w:rPr>
        <w:t>515</w:t>
      </w:r>
      <w:r w:rsidRPr="00CC3D0A">
        <w:rPr>
          <w:rFonts w:ascii="Book Antiqua" w:eastAsia="MS Mincho" w:hAnsi="Book Antiqua"/>
          <w:sz w:val="24"/>
          <w:szCs w:val="24"/>
          <w:lang w:val="en-GB" w:eastAsia="ja-JP"/>
        </w:rPr>
        <w:t xml:space="preserve"> mutated ET, </w:t>
      </w:r>
      <w:r w:rsidRPr="002355D1">
        <w:rPr>
          <w:rFonts w:ascii="Book Antiqua" w:eastAsia="MS Mincho" w:hAnsi="Book Antiqua"/>
          <w:i/>
          <w:sz w:val="24"/>
          <w:szCs w:val="24"/>
          <w:lang w:val="en-GB" w:eastAsia="ja-JP"/>
        </w:rPr>
        <w:t>vs</w:t>
      </w:r>
      <w:r w:rsidRPr="00CC3D0A">
        <w:rPr>
          <w:rFonts w:ascii="Book Antiqua" w:eastAsia="MS Mincho" w:hAnsi="Book Antiqua"/>
          <w:sz w:val="24"/>
          <w:szCs w:val="24"/>
          <w:lang w:val="en-GB" w:eastAsia="ja-JP"/>
        </w:rPr>
        <w:t xml:space="preserve"> JAK2 wild type PMGM. The WHO-ECMP criteria surely will have important implications in choosing proper treatment options for the management and prevention of thrombotic and bleeding complications and serious complications of progressive MPN disease burden in prodromal PV and classical PV (table</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6)</w:t>
      </w:r>
      <w:r w:rsidRPr="009E5A17">
        <w:rPr>
          <w:rFonts w:ascii="Book Antiqua" w:hAnsi="Book Antiqua"/>
          <w:sz w:val="24"/>
          <w:szCs w:val="24"/>
          <w:vertAlign w:val="superscript"/>
          <w:lang w:val="en-GB" w:eastAsia="zh-CN"/>
        </w:rPr>
        <w:t>[</w:t>
      </w:r>
      <w:r w:rsidRPr="00CC3D0A">
        <w:rPr>
          <w:rFonts w:ascii="Book Antiqua" w:eastAsia="MS Mincho" w:hAnsi="Book Antiqua"/>
          <w:sz w:val="24"/>
          <w:szCs w:val="24"/>
          <w:vertAlign w:val="superscript"/>
          <w:lang w:val="en-GB" w:eastAsia="ja-JP"/>
        </w:rPr>
        <w:t>81-90</w:t>
      </w:r>
      <w:r>
        <w:rPr>
          <w:rFonts w:ascii="Book Antiqua" w:hAnsi="Book Antiqua"/>
          <w:sz w:val="24"/>
          <w:szCs w:val="24"/>
          <w:vertAlign w:val="superscript"/>
          <w:lang w:val="en-GB" w:eastAsia="zh-CN"/>
        </w:rPr>
        <w:t>]</w:t>
      </w:r>
      <w:r w:rsidRPr="00CC3D0A">
        <w:rPr>
          <w:rFonts w:ascii="Book Antiqua" w:eastAsia="MS Mincho" w:hAnsi="Book Antiqua"/>
          <w:sz w:val="24"/>
          <w:szCs w:val="24"/>
          <w:lang w:val="en-GB" w:eastAsia="ja-JP"/>
        </w:rPr>
        <w:t>.</w:t>
      </w:r>
      <w:r w:rsidRPr="00CC3D0A">
        <w:rPr>
          <w:rFonts w:ascii="Book Antiqua" w:hAnsi="Book Antiqua"/>
          <w:sz w:val="24"/>
          <w:szCs w:val="24"/>
          <w:lang w:val="en-US" w:eastAsia="nl-NL"/>
        </w:rPr>
        <w:t xml:space="preserve"> </w:t>
      </w:r>
      <w:r w:rsidRPr="00CC3D0A">
        <w:rPr>
          <w:rFonts w:ascii="Book Antiqua" w:eastAsia="MS Mincho" w:hAnsi="Book Antiqua"/>
          <w:sz w:val="24"/>
          <w:szCs w:val="24"/>
          <w:lang w:val="en-US" w:eastAsia="ja-JP"/>
        </w:rPr>
        <w:t>A primary rigid venesection regimen according to Dameshek</w:t>
      </w:r>
      <w:r w:rsidRPr="00CC3D0A">
        <w:rPr>
          <w:rFonts w:ascii="Book Antiqua" w:eastAsia="MS Mincho" w:hAnsi="Book Antiqua"/>
          <w:sz w:val="24"/>
          <w:szCs w:val="24"/>
          <w:vertAlign w:val="superscript"/>
          <w:lang w:val="en-US" w:eastAsia="ja-JP"/>
        </w:rPr>
        <w:t>[3]</w:t>
      </w:r>
      <w:r w:rsidRPr="00CC3D0A">
        <w:rPr>
          <w:rFonts w:ascii="Book Antiqua" w:eastAsia="MS Mincho" w:hAnsi="Book Antiqua"/>
          <w:sz w:val="24"/>
          <w:szCs w:val="24"/>
          <w:lang w:val="en-US" w:eastAsia="ja-JP"/>
        </w:rPr>
        <w:t xml:space="preserve"> </w:t>
      </w:r>
      <w:r w:rsidRPr="00CC3D0A">
        <w:rPr>
          <w:rFonts w:ascii="Book Antiqua" w:eastAsia="MS Mincho" w:hAnsi="Book Antiqua"/>
          <w:sz w:val="24"/>
          <w:szCs w:val="24"/>
          <w:lang w:val="en-GB" w:eastAsia="ja-JP"/>
        </w:rPr>
        <w:t>aiming at a hematocrit below 0.45 in males and below 0.42 in females according on top of low dose aspirin will reduce the cumulative incidence of minor and major thrombosis from above 50% to less than 2% per patient/year during long-term follow-up</w:t>
      </w:r>
      <w:r w:rsidRPr="00CC3D0A">
        <w:rPr>
          <w:rFonts w:ascii="Book Antiqua" w:eastAsia="MS Mincho" w:hAnsi="Book Antiqua"/>
          <w:sz w:val="24"/>
          <w:szCs w:val="24"/>
          <w:vertAlign w:val="superscript"/>
          <w:lang w:val="en-GB" w:eastAsia="ja-JP"/>
        </w:rPr>
        <w:t>[16,81,82]</w:t>
      </w:r>
      <w:r w:rsidRPr="00CC3D0A">
        <w:rPr>
          <w:rFonts w:ascii="Book Antiqua" w:eastAsia="MS Mincho" w:hAnsi="Book Antiqua"/>
          <w:sz w:val="24"/>
          <w:szCs w:val="24"/>
          <w:lang w:val="en-GB" w:eastAsia="ja-JP"/>
        </w:rPr>
        <w:t>.</w:t>
      </w:r>
      <w:r w:rsidRPr="00CC3D0A">
        <w:rPr>
          <w:rFonts w:ascii="Book Antiqua" w:hAnsi="Book Antiqua"/>
          <w:sz w:val="24"/>
          <w:szCs w:val="24"/>
          <w:lang w:val="en-GB"/>
        </w:rPr>
        <w:t xml:space="preserve"> </w:t>
      </w:r>
      <w:r w:rsidRPr="00CC3D0A">
        <w:rPr>
          <w:rFonts w:ascii="Book Antiqua" w:eastAsia="MS Mincho" w:hAnsi="Book Antiqua"/>
          <w:sz w:val="24"/>
          <w:szCs w:val="24"/>
          <w:lang w:val="en-GB" w:eastAsia="ja-JP"/>
        </w:rPr>
        <w:t>According to current insights, interferon is the treatment of choice in intermediate stage PV patients</w:t>
      </w:r>
      <w:r w:rsidRPr="00CC3D0A">
        <w:rPr>
          <w:rFonts w:ascii="Book Antiqua" w:eastAsia="MS Mincho" w:hAnsi="Book Antiqua"/>
          <w:sz w:val="24"/>
          <w:szCs w:val="24"/>
          <w:vertAlign w:val="superscript"/>
          <w:lang w:val="en-GB" w:eastAsia="ja-JP"/>
        </w:rPr>
        <w:t>[82-86]</w:t>
      </w:r>
      <w:r w:rsidRPr="00CC3D0A">
        <w:rPr>
          <w:rFonts w:ascii="Book Antiqua" w:eastAsia="MS Mincho" w:hAnsi="Book Antiqua"/>
          <w:sz w:val="24"/>
          <w:szCs w:val="24"/>
          <w:lang w:val="en-GB" w:eastAsia="ja-JP"/>
        </w:rPr>
        <w:t>.</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High risk PV in terms of high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allele burden, progressive MPN disease, splenomegaly and constitutional symptoms are candidates for myelosuppressive (hydroxyurea) or myeloreductive (JAK2 inhibtors) treatment</w:t>
      </w:r>
      <w:r w:rsidRPr="00CC3D0A">
        <w:rPr>
          <w:rFonts w:ascii="Book Antiqua" w:eastAsia="MS Mincho" w:hAnsi="Book Antiqua"/>
          <w:sz w:val="24"/>
          <w:szCs w:val="24"/>
          <w:vertAlign w:val="superscript"/>
          <w:lang w:val="en-GB" w:eastAsia="ja-JP"/>
        </w:rPr>
        <w:t>[87-90]</w:t>
      </w:r>
      <w:r w:rsidRPr="00CC3D0A">
        <w:rPr>
          <w:rFonts w:ascii="Book Antiqua" w:eastAsia="MS Mincho" w:hAnsi="Book Antiqua"/>
          <w:sz w:val="24"/>
          <w:szCs w:val="24"/>
          <w:lang w:val="en-GB" w:eastAsia="ja-JP"/>
        </w:rPr>
        <w:t>.</w:t>
      </w: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Pr="00BB304D" w:rsidRDefault="00702CE8" w:rsidP="00AC3FB8">
      <w:pPr>
        <w:suppressAutoHyphens/>
        <w:autoSpaceDN w:val="0"/>
        <w:spacing w:after="0" w:line="360" w:lineRule="auto"/>
        <w:jc w:val="both"/>
        <w:rPr>
          <w:rFonts w:ascii="Book Antiqua" w:hAnsi="Book Antiqua"/>
          <w:b/>
          <w:sz w:val="24"/>
          <w:szCs w:val="24"/>
          <w:lang w:val="en-US" w:eastAsia="zh-CN"/>
        </w:rPr>
      </w:pPr>
      <w:r w:rsidRPr="00BB304D">
        <w:rPr>
          <w:rFonts w:ascii="Book Antiqua" w:hAnsi="Book Antiqua"/>
          <w:b/>
          <w:sz w:val="24"/>
          <w:szCs w:val="24"/>
          <w:lang w:val="en-US" w:eastAsia="zh-CN"/>
        </w:rPr>
        <w:t>ACKNOWLEDGEMENT</w:t>
      </w:r>
      <w:r>
        <w:rPr>
          <w:rFonts w:ascii="Book Antiqua" w:hAnsi="Book Antiqua"/>
          <w:b/>
          <w:sz w:val="24"/>
          <w:szCs w:val="24"/>
          <w:lang w:val="en-US" w:eastAsia="zh-CN"/>
        </w:rPr>
        <w:t>S</w:t>
      </w:r>
    </w:p>
    <w:p w:rsidR="00702CE8" w:rsidRDefault="00702CE8" w:rsidP="00AC3FB8">
      <w:pPr>
        <w:suppressAutoHyphens/>
        <w:autoSpaceDN w:val="0"/>
        <w:spacing w:after="0" w:line="360" w:lineRule="auto"/>
        <w:jc w:val="both"/>
        <w:rPr>
          <w:rFonts w:ascii="Book Antiqua" w:hAnsi="Book Antiqua"/>
          <w:sz w:val="24"/>
          <w:szCs w:val="24"/>
          <w:lang w:val="en-US" w:eastAsia="zh-CN"/>
        </w:rPr>
      </w:pPr>
      <w:r w:rsidRPr="00BB304D">
        <w:rPr>
          <w:rFonts w:ascii="Book Antiqua" w:hAnsi="Book Antiqua"/>
          <w:sz w:val="24"/>
          <w:szCs w:val="24"/>
          <w:lang w:val="en-US" w:eastAsia="zh-CN"/>
        </w:rPr>
        <w:t>We gratefully thank Dr. Juergen Thiele for his significant contributions to the formulation of the ECP, and WHO-ECMP criteria for the diagnosis of the MPNs ET, PV, PMGM, and PMF.</w:t>
      </w:r>
      <w:r>
        <w:rPr>
          <w:rFonts w:ascii="Book Antiqua" w:hAnsi="Book Antiqua"/>
          <w:sz w:val="24"/>
          <w:szCs w:val="24"/>
          <w:lang w:val="en-US" w:eastAsia="zh-CN"/>
        </w:rPr>
        <w:t xml:space="preserve"> </w:t>
      </w:r>
      <w:r w:rsidRPr="00BB304D">
        <w:rPr>
          <w:rFonts w:ascii="Book Antiqua" w:hAnsi="Book Antiqua"/>
          <w:sz w:val="24"/>
          <w:szCs w:val="24"/>
          <w:lang w:val="en-US" w:eastAsia="zh-CN"/>
        </w:rPr>
        <w:t>We thank Dr Konie Hebeda, Department of Pathology, Universty Medical Center Nijmegen and Dr Achille Pich, Department of Molecular Biotechnology and Health Sciences, Section of Pathology, University of Turin, for constructive comments and critical reading the manuscript.</w:t>
      </w: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Pr="0087203B" w:rsidRDefault="00702CE8" w:rsidP="00AC3FB8">
      <w:pPr>
        <w:suppressAutoHyphens/>
        <w:autoSpaceDN w:val="0"/>
        <w:spacing w:after="0" w:line="360" w:lineRule="auto"/>
        <w:jc w:val="both"/>
        <w:rPr>
          <w:rFonts w:ascii="Book Antiqua" w:hAnsi="Book Antiqua"/>
          <w:b/>
          <w:sz w:val="24"/>
          <w:szCs w:val="24"/>
          <w:lang w:val="en-US" w:eastAsia="zh-CN"/>
        </w:rPr>
      </w:pPr>
      <w:r w:rsidRPr="0087203B">
        <w:rPr>
          <w:rFonts w:ascii="Book Antiqua" w:hAnsi="Book Antiqua"/>
          <w:b/>
          <w:sz w:val="24"/>
          <w:szCs w:val="24"/>
          <w:lang w:val="en-US" w:eastAsia="zh-CN"/>
        </w:rPr>
        <w:t>REFERENCES</w:t>
      </w:r>
    </w:p>
    <w:p w:rsidR="00702CE8" w:rsidRPr="00195F34" w:rsidRDefault="00702CE8" w:rsidP="00AC3FB8">
      <w:pPr>
        <w:spacing w:line="360" w:lineRule="auto"/>
        <w:jc w:val="both"/>
        <w:rPr>
          <w:rFonts w:ascii="Book Antiqua" w:hAnsi="Book Antiqua" w:cs="宋体"/>
          <w:sz w:val="24"/>
          <w:szCs w:val="24"/>
        </w:rPr>
      </w:pPr>
      <w:r>
        <w:rPr>
          <w:rFonts w:ascii="Book Antiqua" w:hAnsi="Book Antiqua" w:cs="宋体"/>
          <w:sz w:val="24"/>
          <w:szCs w:val="24"/>
        </w:rPr>
        <w:t xml:space="preserve">1 </w:t>
      </w:r>
      <w:r w:rsidRPr="00195F34">
        <w:rPr>
          <w:rFonts w:ascii="Book Antiqua" w:hAnsi="Book Antiqua" w:cs="宋体"/>
          <w:b/>
          <w:sz w:val="24"/>
          <w:szCs w:val="24"/>
        </w:rPr>
        <w:t>Vaquez MH</w:t>
      </w:r>
      <w:r w:rsidRPr="00195F34">
        <w:rPr>
          <w:rFonts w:ascii="Book Antiqua" w:hAnsi="Book Antiqua" w:cs="宋体"/>
          <w:sz w:val="24"/>
          <w:szCs w:val="24"/>
        </w:rPr>
        <w:t>. Sur une forme speciale de cyanose s'accompagnant d'hyperglobulie excessive et persitante. Compte Rendues des seances de la Societé de</w:t>
      </w:r>
      <w:r>
        <w:rPr>
          <w:rFonts w:ascii="Book Antiqua" w:hAnsi="Book Antiqua" w:cs="宋体"/>
          <w:sz w:val="24"/>
          <w:szCs w:val="24"/>
        </w:rPr>
        <w:t xml:space="preserve"> Biologie 1892 ; 44 : 384</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2 </w:t>
      </w:r>
      <w:r w:rsidRPr="00195F34">
        <w:rPr>
          <w:rFonts w:ascii="Book Antiqua" w:hAnsi="Book Antiqua" w:cs="宋体"/>
          <w:b/>
          <w:bCs/>
          <w:sz w:val="24"/>
          <w:szCs w:val="24"/>
        </w:rPr>
        <w:t>Osler W</w:t>
      </w:r>
      <w:r w:rsidRPr="00195F34">
        <w:rPr>
          <w:rFonts w:ascii="Book Antiqua" w:hAnsi="Book Antiqua" w:cs="宋体"/>
          <w:sz w:val="24"/>
          <w:szCs w:val="24"/>
        </w:rPr>
        <w:t>. Chronic cyanosis, with polycythaemia and enlarged spleen: a new clinical entity. 1903. </w:t>
      </w:r>
      <w:r w:rsidRPr="00195F34">
        <w:rPr>
          <w:rFonts w:ascii="Book Antiqua" w:hAnsi="Book Antiqua" w:cs="宋体"/>
          <w:i/>
          <w:iCs/>
          <w:sz w:val="24"/>
          <w:szCs w:val="24"/>
        </w:rPr>
        <w:t>Am J Med Sci</w:t>
      </w:r>
      <w:r w:rsidRPr="00195F34">
        <w:rPr>
          <w:rFonts w:ascii="Book Antiqua" w:hAnsi="Book Antiqua" w:cs="宋体"/>
          <w:sz w:val="24"/>
          <w:szCs w:val="24"/>
        </w:rPr>
        <w:t> 2008; </w:t>
      </w:r>
      <w:r w:rsidRPr="00195F34">
        <w:rPr>
          <w:rFonts w:ascii="Book Antiqua" w:hAnsi="Book Antiqua" w:cs="宋体"/>
          <w:b/>
          <w:bCs/>
          <w:sz w:val="24"/>
          <w:szCs w:val="24"/>
        </w:rPr>
        <w:t>335</w:t>
      </w:r>
      <w:r w:rsidRPr="00195F34">
        <w:rPr>
          <w:rFonts w:ascii="Book Antiqua" w:hAnsi="Book Antiqua" w:cs="宋体"/>
          <w:sz w:val="24"/>
          <w:szCs w:val="24"/>
        </w:rPr>
        <w:t>: 411-417 [PMID: 18552568 DOI: 10.1097/00000441-190308000-00001]</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3 </w:t>
      </w:r>
      <w:r w:rsidRPr="00195F34">
        <w:rPr>
          <w:rFonts w:ascii="Book Antiqua" w:hAnsi="Book Antiqua" w:cs="宋体"/>
          <w:b/>
          <w:bCs/>
          <w:sz w:val="24"/>
          <w:szCs w:val="24"/>
        </w:rPr>
        <w:t>DAMESHEK W</w:t>
      </w:r>
      <w:r w:rsidRPr="00195F34">
        <w:rPr>
          <w:rFonts w:ascii="Book Antiqua" w:hAnsi="Book Antiqua" w:cs="宋体"/>
          <w:sz w:val="24"/>
          <w:szCs w:val="24"/>
        </w:rPr>
        <w:t>. Physiopathology and course of polycythemia vera as related to therapy. </w:t>
      </w:r>
      <w:r w:rsidRPr="00195F34">
        <w:rPr>
          <w:rFonts w:ascii="Book Antiqua" w:hAnsi="Book Antiqua" w:cs="宋体"/>
          <w:i/>
          <w:iCs/>
          <w:sz w:val="24"/>
          <w:szCs w:val="24"/>
        </w:rPr>
        <w:t>J Am Med Assoc</w:t>
      </w:r>
      <w:r w:rsidRPr="00195F34">
        <w:rPr>
          <w:rFonts w:ascii="Book Antiqua" w:hAnsi="Book Antiqua" w:cs="宋体"/>
          <w:sz w:val="24"/>
          <w:szCs w:val="24"/>
        </w:rPr>
        <w:t> 1950; </w:t>
      </w:r>
      <w:r w:rsidRPr="00195F34">
        <w:rPr>
          <w:rFonts w:ascii="Book Antiqua" w:hAnsi="Book Antiqua" w:cs="宋体"/>
          <w:b/>
          <w:bCs/>
          <w:sz w:val="24"/>
          <w:szCs w:val="24"/>
        </w:rPr>
        <w:t>142</w:t>
      </w:r>
      <w:r w:rsidRPr="00195F34">
        <w:rPr>
          <w:rFonts w:ascii="Book Antiqua" w:hAnsi="Book Antiqua" w:cs="宋体"/>
          <w:sz w:val="24"/>
          <w:szCs w:val="24"/>
        </w:rPr>
        <w:t>: 790-797 [PMID: 15405984 DOI: 10.1001/jama.1950.02910290018005]</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4 </w:t>
      </w:r>
      <w:r w:rsidRPr="00195F34">
        <w:rPr>
          <w:rFonts w:ascii="Book Antiqua" w:hAnsi="Book Antiqua" w:cs="宋体"/>
          <w:b/>
          <w:bCs/>
          <w:sz w:val="24"/>
          <w:szCs w:val="24"/>
        </w:rPr>
        <w:t>James C</w:t>
      </w:r>
      <w:r w:rsidRPr="00195F34">
        <w:rPr>
          <w:rFonts w:ascii="Book Antiqua" w:hAnsi="Book Antiqua" w:cs="宋体"/>
          <w:sz w:val="24"/>
          <w:szCs w:val="24"/>
        </w:rPr>
        <w:t>, Ugo V, Le Couédic JP, Staerk J, Delhommeau F, Lacout C, Garçon L, Raslova H, Berger R, Bennaceur-Griscelli A, Villeval JL, Constantinescu SN, Casadevall N, Vainchenker W. A unique clonal JAK2 mutation leading to constitutive signalling causes polycythaemia vera. </w:t>
      </w:r>
      <w:r w:rsidRPr="00195F34">
        <w:rPr>
          <w:rFonts w:ascii="Book Antiqua" w:hAnsi="Book Antiqua" w:cs="宋体"/>
          <w:i/>
          <w:iCs/>
          <w:sz w:val="24"/>
          <w:szCs w:val="24"/>
        </w:rPr>
        <w:t>Nature</w:t>
      </w:r>
      <w:r w:rsidRPr="00195F34">
        <w:rPr>
          <w:rFonts w:ascii="Book Antiqua" w:hAnsi="Book Antiqua" w:cs="宋体"/>
          <w:sz w:val="24"/>
          <w:szCs w:val="24"/>
        </w:rPr>
        <w:t> 2005; </w:t>
      </w:r>
      <w:r w:rsidRPr="00195F34">
        <w:rPr>
          <w:rFonts w:ascii="Book Antiqua" w:hAnsi="Book Antiqua" w:cs="宋体"/>
          <w:b/>
          <w:bCs/>
          <w:sz w:val="24"/>
          <w:szCs w:val="24"/>
        </w:rPr>
        <w:t>434</w:t>
      </w:r>
      <w:r w:rsidRPr="00195F34">
        <w:rPr>
          <w:rFonts w:ascii="Book Antiqua" w:hAnsi="Book Antiqua" w:cs="宋体"/>
          <w:sz w:val="24"/>
          <w:szCs w:val="24"/>
        </w:rPr>
        <w:t>: 1144-1148 [PMID: 15793561 DOI: 10.1038/nature03546]</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5 </w:t>
      </w:r>
      <w:r w:rsidRPr="00195F34">
        <w:rPr>
          <w:rFonts w:ascii="Book Antiqua" w:hAnsi="Book Antiqua" w:cs="宋体"/>
          <w:b/>
          <w:bCs/>
          <w:sz w:val="24"/>
          <w:szCs w:val="24"/>
        </w:rPr>
        <w:t>James C</w:t>
      </w:r>
      <w:r w:rsidRPr="00195F34">
        <w:rPr>
          <w:rFonts w:ascii="Book Antiqua" w:hAnsi="Book Antiqua" w:cs="宋体"/>
          <w:sz w:val="24"/>
          <w:szCs w:val="24"/>
        </w:rPr>
        <w:t xml:space="preserve">, Ugo V, Casadevall N, Constantinescu SN, Vainchenker W. A JAK2 mutation in myeloproliferative disorders: pathogenesis and therapeutic and scientific </w:t>
      </w:r>
      <w:r w:rsidRPr="00195F34">
        <w:rPr>
          <w:rFonts w:ascii="Book Antiqua" w:hAnsi="Book Antiqua" w:cs="宋体"/>
          <w:sz w:val="24"/>
          <w:szCs w:val="24"/>
        </w:rPr>
        <w:lastRenderedPageBreak/>
        <w:t>prospects. </w:t>
      </w:r>
      <w:r w:rsidRPr="00195F34">
        <w:rPr>
          <w:rFonts w:ascii="Book Antiqua" w:hAnsi="Book Antiqua" w:cs="宋体"/>
          <w:i/>
          <w:iCs/>
          <w:sz w:val="24"/>
          <w:szCs w:val="24"/>
        </w:rPr>
        <w:t>Trends Mol Med</w:t>
      </w:r>
      <w:r w:rsidRPr="00195F34">
        <w:rPr>
          <w:rFonts w:ascii="Book Antiqua" w:hAnsi="Book Antiqua" w:cs="宋体"/>
          <w:sz w:val="24"/>
          <w:szCs w:val="24"/>
        </w:rPr>
        <w:t> 2005; </w:t>
      </w:r>
      <w:r w:rsidRPr="00195F34">
        <w:rPr>
          <w:rFonts w:ascii="Book Antiqua" w:hAnsi="Book Antiqua" w:cs="宋体"/>
          <w:b/>
          <w:bCs/>
          <w:sz w:val="24"/>
          <w:szCs w:val="24"/>
        </w:rPr>
        <w:t>11</w:t>
      </w:r>
      <w:r w:rsidRPr="00195F34">
        <w:rPr>
          <w:rFonts w:ascii="Book Antiqua" w:hAnsi="Book Antiqua" w:cs="宋体"/>
          <w:sz w:val="24"/>
          <w:szCs w:val="24"/>
        </w:rPr>
        <w:t>: 546-554 [PMID: 16271512 DOI: 10.1016/j.molmed.2005.10.003]</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6 </w:t>
      </w:r>
      <w:r w:rsidRPr="00195F34">
        <w:rPr>
          <w:rFonts w:ascii="Book Antiqua" w:hAnsi="Book Antiqua" w:cs="宋体"/>
          <w:b/>
          <w:bCs/>
          <w:sz w:val="24"/>
          <w:szCs w:val="24"/>
        </w:rPr>
        <w:t>DAMESHEK W</w:t>
      </w:r>
      <w:r w:rsidRPr="00195F34">
        <w:rPr>
          <w:rFonts w:ascii="Book Antiqua" w:hAnsi="Book Antiqua" w:cs="宋体"/>
          <w:sz w:val="24"/>
          <w:szCs w:val="24"/>
        </w:rPr>
        <w:t>. Some speculations on the myeloproliferative syndromes. </w:t>
      </w:r>
      <w:r w:rsidRPr="00195F34">
        <w:rPr>
          <w:rFonts w:ascii="Book Antiqua" w:hAnsi="Book Antiqua" w:cs="宋体"/>
          <w:i/>
          <w:iCs/>
          <w:sz w:val="24"/>
          <w:szCs w:val="24"/>
        </w:rPr>
        <w:t>Blood</w:t>
      </w:r>
      <w:r w:rsidRPr="00195F34">
        <w:rPr>
          <w:rFonts w:ascii="Book Antiqua" w:hAnsi="Book Antiqua" w:cs="宋体"/>
          <w:sz w:val="24"/>
          <w:szCs w:val="24"/>
        </w:rPr>
        <w:t> 1951; </w:t>
      </w:r>
      <w:r w:rsidRPr="00195F34">
        <w:rPr>
          <w:rFonts w:ascii="Book Antiqua" w:hAnsi="Book Antiqua" w:cs="宋体"/>
          <w:b/>
          <w:bCs/>
          <w:sz w:val="24"/>
          <w:szCs w:val="24"/>
        </w:rPr>
        <w:t>6</w:t>
      </w:r>
      <w:r w:rsidRPr="00195F34">
        <w:rPr>
          <w:rFonts w:ascii="Book Antiqua" w:hAnsi="Book Antiqua" w:cs="宋体"/>
          <w:sz w:val="24"/>
          <w:szCs w:val="24"/>
        </w:rPr>
        <w:t>: 372-375 [PMID: 14820991]</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7 </w:t>
      </w:r>
      <w:r w:rsidRPr="00195F34">
        <w:rPr>
          <w:rFonts w:ascii="Book Antiqua" w:hAnsi="Book Antiqua" w:cs="宋体"/>
          <w:b/>
          <w:bCs/>
          <w:sz w:val="24"/>
          <w:szCs w:val="24"/>
        </w:rPr>
        <w:t>Berlin NI</w:t>
      </w:r>
      <w:r w:rsidRPr="00195F34">
        <w:rPr>
          <w:rFonts w:ascii="Book Antiqua" w:hAnsi="Book Antiqua" w:cs="宋体"/>
          <w:sz w:val="24"/>
          <w:szCs w:val="24"/>
        </w:rPr>
        <w:t>. Diagnosis and classification of the polycythemias. </w:t>
      </w:r>
      <w:r w:rsidRPr="00195F34">
        <w:rPr>
          <w:rFonts w:ascii="Book Antiqua" w:hAnsi="Book Antiqua" w:cs="宋体"/>
          <w:i/>
          <w:iCs/>
          <w:sz w:val="24"/>
          <w:szCs w:val="24"/>
        </w:rPr>
        <w:t>Semin Hematol</w:t>
      </w:r>
      <w:r w:rsidRPr="00195F34">
        <w:rPr>
          <w:rFonts w:ascii="Book Antiqua" w:hAnsi="Book Antiqua" w:cs="宋体"/>
          <w:sz w:val="24"/>
          <w:szCs w:val="24"/>
        </w:rPr>
        <w:t> 1975; </w:t>
      </w:r>
      <w:r w:rsidRPr="00195F34">
        <w:rPr>
          <w:rFonts w:ascii="Book Antiqua" w:hAnsi="Book Antiqua" w:cs="宋体"/>
          <w:b/>
          <w:bCs/>
          <w:sz w:val="24"/>
          <w:szCs w:val="24"/>
        </w:rPr>
        <w:t>12</w:t>
      </w:r>
      <w:r w:rsidRPr="00195F34">
        <w:rPr>
          <w:rFonts w:ascii="Book Antiqua" w:hAnsi="Book Antiqua" w:cs="宋体"/>
          <w:sz w:val="24"/>
          <w:szCs w:val="24"/>
        </w:rPr>
        <w:t>: 339-351 [PMID: 1198126]</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8 </w:t>
      </w:r>
      <w:r w:rsidRPr="00195F34">
        <w:rPr>
          <w:rFonts w:ascii="Book Antiqua" w:hAnsi="Book Antiqua" w:cs="宋体"/>
          <w:b/>
          <w:bCs/>
          <w:sz w:val="24"/>
          <w:szCs w:val="24"/>
        </w:rPr>
        <w:t>Laszlo J</w:t>
      </w:r>
      <w:r w:rsidRPr="00195F34">
        <w:rPr>
          <w:rFonts w:ascii="Book Antiqua" w:hAnsi="Book Antiqua" w:cs="宋体"/>
          <w:sz w:val="24"/>
          <w:szCs w:val="24"/>
        </w:rPr>
        <w:t>. Myeloproliferative disorders (MPD): myelofibrosis, myelosclerosis, extramedullary hematopoiesis, undifferentiated MPD, and hemorrhagic thrombocythemia. </w:t>
      </w:r>
      <w:r w:rsidRPr="00195F34">
        <w:rPr>
          <w:rFonts w:ascii="Book Antiqua" w:hAnsi="Book Antiqua" w:cs="宋体"/>
          <w:i/>
          <w:iCs/>
          <w:sz w:val="24"/>
          <w:szCs w:val="24"/>
        </w:rPr>
        <w:t>Semin Hematol</w:t>
      </w:r>
      <w:r w:rsidRPr="00195F34">
        <w:rPr>
          <w:rFonts w:ascii="Book Antiqua" w:hAnsi="Book Antiqua" w:cs="宋体"/>
          <w:sz w:val="24"/>
          <w:szCs w:val="24"/>
        </w:rPr>
        <w:t> 1975; </w:t>
      </w:r>
      <w:r w:rsidRPr="00195F34">
        <w:rPr>
          <w:rFonts w:ascii="Book Antiqua" w:hAnsi="Book Antiqua" w:cs="宋体"/>
          <w:b/>
          <w:bCs/>
          <w:sz w:val="24"/>
          <w:szCs w:val="24"/>
        </w:rPr>
        <w:t>12</w:t>
      </w:r>
      <w:r w:rsidRPr="00195F34">
        <w:rPr>
          <w:rFonts w:ascii="Book Antiqua" w:hAnsi="Book Antiqua" w:cs="宋体"/>
          <w:sz w:val="24"/>
          <w:szCs w:val="24"/>
        </w:rPr>
        <w:t>: 409-432 [PMID: 1105793]</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9 </w:t>
      </w:r>
      <w:r w:rsidRPr="00195F34">
        <w:rPr>
          <w:rFonts w:ascii="Book Antiqua" w:hAnsi="Book Antiqua" w:cs="宋体"/>
          <w:b/>
          <w:bCs/>
          <w:sz w:val="24"/>
          <w:szCs w:val="24"/>
        </w:rPr>
        <w:t>Murphy S</w:t>
      </w:r>
      <w:r w:rsidRPr="00195F34">
        <w:rPr>
          <w:rFonts w:ascii="Book Antiqua" w:hAnsi="Book Antiqua" w:cs="宋体"/>
          <w:sz w:val="24"/>
          <w:szCs w:val="24"/>
        </w:rPr>
        <w:t>, Iland H, Rosenthal D, Laszlo J. Essential thrombocythemia: an interim report from the Polycythemia Vera Study Group. </w:t>
      </w:r>
      <w:r w:rsidRPr="00195F34">
        <w:rPr>
          <w:rFonts w:ascii="Book Antiqua" w:hAnsi="Book Antiqua" w:cs="宋体"/>
          <w:i/>
          <w:iCs/>
          <w:sz w:val="24"/>
          <w:szCs w:val="24"/>
        </w:rPr>
        <w:t>Semin Hematol</w:t>
      </w:r>
      <w:r w:rsidRPr="00195F34">
        <w:rPr>
          <w:rFonts w:ascii="Book Antiqua" w:hAnsi="Book Antiqua" w:cs="宋体"/>
          <w:sz w:val="24"/>
          <w:szCs w:val="24"/>
        </w:rPr>
        <w:t> 1986; </w:t>
      </w:r>
      <w:r w:rsidRPr="00195F34">
        <w:rPr>
          <w:rFonts w:ascii="Book Antiqua" w:hAnsi="Book Antiqua" w:cs="宋体"/>
          <w:b/>
          <w:bCs/>
          <w:sz w:val="24"/>
          <w:szCs w:val="24"/>
        </w:rPr>
        <w:t>23</w:t>
      </w:r>
      <w:r w:rsidRPr="00195F34">
        <w:rPr>
          <w:rFonts w:ascii="Book Antiqua" w:hAnsi="Book Antiqua" w:cs="宋体"/>
          <w:sz w:val="24"/>
          <w:szCs w:val="24"/>
        </w:rPr>
        <w:t>: 177-182 [PMID: 3749928]</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10 </w:t>
      </w:r>
      <w:r w:rsidRPr="00195F34">
        <w:rPr>
          <w:rFonts w:ascii="Book Antiqua" w:hAnsi="Book Antiqua" w:cs="宋体"/>
          <w:b/>
          <w:bCs/>
          <w:sz w:val="24"/>
          <w:szCs w:val="24"/>
        </w:rPr>
        <w:t>Murphy S</w:t>
      </w:r>
      <w:r w:rsidRPr="00195F34">
        <w:rPr>
          <w:rFonts w:ascii="Book Antiqua" w:hAnsi="Book Antiqua" w:cs="宋体"/>
          <w:sz w:val="24"/>
          <w:szCs w:val="24"/>
        </w:rPr>
        <w:t>, Peterson P, Iland H, Laszlo J. Experience of the Polycythemia Vera Study Group with essential thrombocythemia: a final report on diagnostic criteria, survival, and leukemic transition by treatment. </w:t>
      </w:r>
      <w:r w:rsidRPr="00195F34">
        <w:rPr>
          <w:rFonts w:ascii="Book Antiqua" w:hAnsi="Book Antiqua" w:cs="宋体"/>
          <w:i/>
          <w:iCs/>
          <w:sz w:val="24"/>
          <w:szCs w:val="24"/>
        </w:rPr>
        <w:t>Semin Hematol</w:t>
      </w:r>
      <w:r w:rsidRPr="00195F34">
        <w:rPr>
          <w:rFonts w:ascii="Book Antiqua" w:hAnsi="Book Antiqua" w:cs="宋体"/>
          <w:sz w:val="24"/>
          <w:szCs w:val="24"/>
        </w:rPr>
        <w:t> 1997; </w:t>
      </w:r>
      <w:r w:rsidRPr="00195F34">
        <w:rPr>
          <w:rFonts w:ascii="Book Antiqua" w:hAnsi="Book Antiqua" w:cs="宋体"/>
          <w:b/>
          <w:bCs/>
          <w:sz w:val="24"/>
          <w:szCs w:val="24"/>
        </w:rPr>
        <w:t>34</w:t>
      </w:r>
      <w:r w:rsidRPr="00195F34">
        <w:rPr>
          <w:rFonts w:ascii="Book Antiqua" w:hAnsi="Book Antiqua" w:cs="宋体"/>
          <w:sz w:val="24"/>
          <w:szCs w:val="24"/>
        </w:rPr>
        <w:t>: 29-39 [PMID: 9025160]</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11 </w:t>
      </w:r>
      <w:r w:rsidRPr="00195F34">
        <w:rPr>
          <w:rFonts w:ascii="Book Antiqua" w:hAnsi="Book Antiqua" w:cs="宋体"/>
          <w:b/>
          <w:bCs/>
          <w:sz w:val="24"/>
          <w:szCs w:val="24"/>
        </w:rPr>
        <w:t>Michiels JJ</w:t>
      </w:r>
      <w:r w:rsidRPr="00195F34">
        <w:rPr>
          <w:rFonts w:ascii="Book Antiqua" w:hAnsi="Book Antiqua" w:cs="宋体"/>
          <w:sz w:val="24"/>
          <w:szCs w:val="24"/>
        </w:rPr>
        <w:t>, van Genderen PJ, Lindemans J, van Vliet HH. Erythromelalgic, thrombotic and hemorrhagic manifestations in 50 cases of thrombocythemia. </w:t>
      </w:r>
      <w:r w:rsidRPr="00195F34">
        <w:rPr>
          <w:rFonts w:ascii="Book Antiqua" w:hAnsi="Book Antiqua" w:cs="宋体"/>
          <w:i/>
          <w:iCs/>
          <w:sz w:val="24"/>
          <w:szCs w:val="24"/>
        </w:rPr>
        <w:t>Leuk Lymphoma</w:t>
      </w:r>
      <w:r w:rsidRPr="00195F34">
        <w:rPr>
          <w:rFonts w:ascii="Book Antiqua" w:hAnsi="Book Antiqua" w:cs="宋体"/>
          <w:sz w:val="24"/>
          <w:szCs w:val="24"/>
        </w:rPr>
        <w:t> 1996; </w:t>
      </w:r>
      <w:r w:rsidRPr="00195F34">
        <w:rPr>
          <w:rFonts w:ascii="Book Antiqua" w:hAnsi="Book Antiqua" w:cs="宋体"/>
          <w:b/>
          <w:bCs/>
          <w:sz w:val="24"/>
          <w:szCs w:val="24"/>
        </w:rPr>
        <w:t xml:space="preserve">22 </w:t>
      </w:r>
      <w:r w:rsidRPr="004B289E">
        <w:rPr>
          <w:rFonts w:ascii="Book Antiqua" w:hAnsi="Book Antiqua" w:cs="宋体"/>
          <w:bCs/>
          <w:sz w:val="24"/>
          <w:szCs w:val="24"/>
        </w:rPr>
        <w:t>Suppl 1</w:t>
      </w:r>
      <w:r w:rsidRPr="004B289E">
        <w:rPr>
          <w:rFonts w:ascii="Book Antiqua" w:hAnsi="Book Antiqua" w:cs="宋体"/>
          <w:sz w:val="24"/>
          <w:szCs w:val="24"/>
        </w:rPr>
        <w:t xml:space="preserve">: </w:t>
      </w:r>
      <w:r w:rsidRPr="00195F34">
        <w:rPr>
          <w:rFonts w:ascii="Book Antiqua" w:hAnsi="Book Antiqua" w:cs="宋体"/>
          <w:sz w:val="24"/>
          <w:szCs w:val="24"/>
        </w:rPr>
        <w:t>47-56 [PMID: 8951772 DOI: 10.3109/10428199609074360]</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12 </w:t>
      </w:r>
      <w:r w:rsidRPr="00195F34">
        <w:rPr>
          <w:rFonts w:ascii="Book Antiqua" w:hAnsi="Book Antiqua" w:cs="宋体"/>
          <w:b/>
          <w:bCs/>
          <w:sz w:val="24"/>
          <w:szCs w:val="24"/>
        </w:rPr>
        <w:t>Michiels JJ</w:t>
      </w:r>
      <w:r w:rsidRPr="00195F34">
        <w:rPr>
          <w:rFonts w:ascii="Book Antiqua" w:hAnsi="Book Antiqua" w:cs="宋体"/>
          <w:sz w:val="24"/>
          <w:szCs w:val="24"/>
        </w:rPr>
        <w:t>. Diagnostic criteria of the myeloproliferative disorders (MPD): essential thrombocythaemia, polycythaemia vera and chronic megakaryocytic granulocytic metaplasia. </w:t>
      </w:r>
      <w:r w:rsidRPr="00195F34">
        <w:rPr>
          <w:rFonts w:ascii="Book Antiqua" w:hAnsi="Book Antiqua" w:cs="宋体"/>
          <w:i/>
          <w:iCs/>
          <w:sz w:val="24"/>
          <w:szCs w:val="24"/>
        </w:rPr>
        <w:t>Neth J Med</w:t>
      </w:r>
      <w:r w:rsidRPr="00195F34">
        <w:rPr>
          <w:rFonts w:ascii="Book Antiqua" w:hAnsi="Book Antiqua" w:cs="宋体"/>
          <w:sz w:val="24"/>
          <w:szCs w:val="24"/>
        </w:rPr>
        <w:t> 1997; </w:t>
      </w:r>
      <w:r w:rsidRPr="00195F34">
        <w:rPr>
          <w:rFonts w:ascii="Book Antiqua" w:hAnsi="Book Antiqua" w:cs="宋体"/>
          <w:b/>
          <w:bCs/>
          <w:sz w:val="24"/>
          <w:szCs w:val="24"/>
        </w:rPr>
        <w:t>51</w:t>
      </w:r>
      <w:r w:rsidRPr="00195F34">
        <w:rPr>
          <w:rFonts w:ascii="Book Antiqua" w:hAnsi="Book Antiqua" w:cs="宋体"/>
          <w:sz w:val="24"/>
          <w:szCs w:val="24"/>
        </w:rPr>
        <w:t>: 57-64 [PMID: 9286142 DOI: 10.1016/S0300-2977(97)00018-1]</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13 </w:t>
      </w:r>
      <w:r w:rsidRPr="00195F34">
        <w:rPr>
          <w:rFonts w:ascii="Book Antiqua" w:hAnsi="Book Antiqua" w:cs="宋体"/>
          <w:b/>
          <w:bCs/>
          <w:sz w:val="24"/>
          <w:szCs w:val="24"/>
        </w:rPr>
        <w:t>Michiels JJ</w:t>
      </w:r>
      <w:r w:rsidRPr="00195F34">
        <w:rPr>
          <w:rFonts w:ascii="Book Antiqua" w:hAnsi="Book Antiqua" w:cs="宋体"/>
          <w:sz w:val="24"/>
          <w:szCs w:val="24"/>
        </w:rPr>
        <w:t>, Berneman Z, Schroyens W, Kutti J, Swolin B, Ridell B, Fernando P, Zanetto U. Philadelphia (Ph) chromosome-positive thrombocythemia without features of chronic myeloid leukemia in peripheral blood: natural history and diagnostic differentiation from Ph-negative essential thrombocythemia. </w:t>
      </w:r>
      <w:r w:rsidRPr="00195F34">
        <w:rPr>
          <w:rFonts w:ascii="Book Antiqua" w:hAnsi="Book Antiqua" w:cs="宋体"/>
          <w:i/>
          <w:iCs/>
          <w:sz w:val="24"/>
          <w:szCs w:val="24"/>
        </w:rPr>
        <w:t>Ann Hematol</w:t>
      </w:r>
      <w:r w:rsidRPr="00195F34">
        <w:rPr>
          <w:rFonts w:ascii="Book Antiqua" w:hAnsi="Book Antiqua" w:cs="宋体"/>
          <w:sz w:val="24"/>
          <w:szCs w:val="24"/>
        </w:rPr>
        <w:t> 2004; </w:t>
      </w:r>
      <w:r w:rsidRPr="00195F34">
        <w:rPr>
          <w:rFonts w:ascii="Book Antiqua" w:hAnsi="Book Antiqua" w:cs="宋体"/>
          <w:b/>
          <w:bCs/>
          <w:sz w:val="24"/>
          <w:szCs w:val="24"/>
        </w:rPr>
        <w:t>83</w:t>
      </w:r>
      <w:r w:rsidRPr="00195F34">
        <w:rPr>
          <w:rFonts w:ascii="Book Antiqua" w:hAnsi="Book Antiqua" w:cs="宋体"/>
          <w:sz w:val="24"/>
          <w:szCs w:val="24"/>
        </w:rPr>
        <w:t>: 504-512 [PMID: 15164229 DOI: 10.1007/s00277-004-0877-4]</w:t>
      </w:r>
    </w:p>
    <w:p w:rsidR="00702CE8" w:rsidRPr="00195F34" w:rsidRDefault="00702CE8" w:rsidP="00AC3FB8">
      <w:pPr>
        <w:spacing w:line="360" w:lineRule="auto"/>
        <w:jc w:val="both"/>
        <w:rPr>
          <w:rFonts w:ascii="Book Antiqua" w:hAnsi="Book Antiqua" w:cs="宋体"/>
          <w:sz w:val="24"/>
          <w:szCs w:val="24"/>
        </w:rPr>
      </w:pPr>
      <w:r>
        <w:rPr>
          <w:rFonts w:ascii="Book Antiqua" w:hAnsi="Book Antiqua" w:cs="宋体"/>
          <w:sz w:val="24"/>
          <w:szCs w:val="24"/>
        </w:rPr>
        <w:lastRenderedPageBreak/>
        <w:t>14</w:t>
      </w:r>
      <w:r w:rsidRPr="00195F34">
        <w:rPr>
          <w:rFonts w:ascii="Book Antiqua" w:hAnsi="Book Antiqua" w:cs="宋体"/>
          <w:sz w:val="24"/>
          <w:szCs w:val="24"/>
        </w:rPr>
        <w:t xml:space="preserve"> WHO 2001 classification of the chronic myeloproliferative diseases (CMPD) polycythemia vera, chronic idiopathic myelofibrosis, essential thrombocythemia and CMPD unclassifiable. In: Jaffe S, Harris NL, Stein H </w:t>
      </w:r>
      <w:r w:rsidRPr="006A52C0">
        <w:rPr>
          <w:rFonts w:ascii="Book Antiqua" w:hAnsi="Book Antiqua" w:cs="宋体"/>
          <w:i/>
          <w:sz w:val="24"/>
          <w:szCs w:val="24"/>
        </w:rPr>
        <w:t xml:space="preserve">et al </w:t>
      </w:r>
      <w:r w:rsidRPr="00195F34">
        <w:rPr>
          <w:rFonts w:ascii="Book Antiqua" w:hAnsi="Book Antiqua" w:cs="宋体"/>
          <w:sz w:val="24"/>
          <w:szCs w:val="24"/>
        </w:rPr>
        <w:t>, editors. WHO Classification of Tumours. Tumours of Haematopoiesis and Lymphoid Tissues. Lyon. IARC 2001 pp 31-42.</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15 </w:t>
      </w:r>
      <w:r w:rsidRPr="00195F34">
        <w:rPr>
          <w:rFonts w:ascii="Book Antiqua" w:hAnsi="Book Antiqua" w:cs="宋体"/>
          <w:b/>
          <w:bCs/>
          <w:sz w:val="24"/>
          <w:szCs w:val="24"/>
        </w:rPr>
        <w:t>Michiels JJ</w:t>
      </w:r>
      <w:r w:rsidRPr="00195F34">
        <w:rPr>
          <w:rFonts w:ascii="Book Antiqua" w:hAnsi="Book Antiqua" w:cs="宋体"/>
          <w:sz w:val="24"/>
          <w:szCs w:val="24"/>
        </w:rPr>
        <w:t>, Juvonen E. Proposal for revised diagnostic criteria of essential thrombocythemia and polycythemia vera by the Thrombocythemia Vera Study Group. </w:t>
      </w:r>
      <w:r w:rsidRPr="00195F34">
        <w:rPr>
          <w:rFonts w:ascii="Book Antiqua" w:hAnsi="Book Antiqua" w:cs="宋体"/>
          <w:i/>
          <w:iCs/>
          <w:sz w:val="24"/>
          <w:szCs w:val="24"/>
        </w:rPr>
        <w:t>Semin Thromb Hemost</w:t>
      </w:r>
      <w:r w:rsidRPr="00195F34">
        <w:rPr>
          <w:rFonts w:ascii="Book Antiqua" w:hAnsi="Book Antiqua" w:cs="宋体"/>
          <w:sz w:val="24"/>
          <w:szCs w:val="24"/>
        </w:rPr>
        <w:t> 1997; </w:t>
      </w:r>
      <w:r w:rsidRPr="00195F34">
        <w:rPr>
          <w:rFonts w:ascii="Book Antiqua" w:hAnsi="Book Antiqua" w:cs="宋体"/>
          <w:b/>
          <w:bCs/>
          <w:sz w:val="24"/>
          <w:szCs w:val="24"/>
        </w:rPr>
        <w:t>23</w:t>
      </w:r>
      <w:r w:rsidRPr="00195F34">
        <w:rPr>
          <w:rFonts w:ascii="Book Antiqua" w:hAnsi="Book Antiqua" w:cs="宋体"/>
          <w:sz w:val="24"/>
          <w:szCs w:val="24"/>
        </w:rPr>
        <w:t>: 339-347 [PMID: 9263350 DOI: 10.1055/s-2007-996107]</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16 </w:t>
      </w:r>
      <w:r w:rsidRPr="00195F34">
        <w:rPr>
          <w:rFonts w:ascii="Book Antiqua" w:hAnsi="Book Antiqua" w:cs="宋体"/>
          <w:b/>
          <w:bCs/>
          <w:sz w:val="24"/>
          <w:szCs w:val="24"/>
        </w:rPr>
        <w:t>Michiels JJ</w:t>
      </w:r>
      <w:r w:rsidRPr="00195F34">
        <w:rPr>
          <w:rFonts w:ascii="Book Antiqua" w:hAnsi="Book Antiqua" w:cs="宋体"/>
          <w:sz w:val="24"/>
          <w:szCs w:val="24"/>
        </w:rPr>
        <w:t>, Barbui T, Finazzi G, Fuchtman SM, Kutti J, Rain JD, Silver RT, Tefferi A, Thiele J. Diagnosis and treatment of polycythemia vera and possible future study designs of the PVSG. </w:t>
      </w:r>
      <w:r w:rsidRPr="00195F34">
        <w:rPr>
          <w:rFonts w:ascii="Book Antiqua" w:hAnsi="Book Antiqua" w:cs="宋体"/>
          <w:i/>
          <w:iCs/>
          <w:sz w:val="24"/>
          <w:szCs w:val="24"/>
        </w:rPr>
        <w:t>Leuk Lymphoma</w:t>
      </w:r>
      <w:r w:rsidRPr="00195F34">
        <w:rPr>
          <w:rFonts w:ascii="Book Antiqua" w:hAnsi="Book Antiqua" w:cs="宋体"/>
          <w:sz w:val="24"/>
          <w:szCs w:val="24"/>
        </w:rPr>
        <w:t> 2000; </w:t>
      </w:r>
      <w:r w:rsidRPr="00195F34">
        <w:rPr>
          <w:rFonts w:ascii="Book Antiqua" w:hAnsi="Book Antiqua" w:cs="宋体"/>
          <w:b/>
          <w:bCs/>
          <w:sz w:val="24"/>
          <w:szCs w:val="24"/>
        </w:rPr>
        <w:t>36</w:t>
      </w:r>
      <w:r w:rsidRPr="00195F34">
        <w:rPr>
          <w:rFonts w:ascii="Book Antiqua" w:hAnsi="Book Antiqua" w:cs="宋体"/>
          <w:sz w:val="24"/>
          <w:szCs w:val="24"/>
        </w:rPr>
        <w:t>: 239-253 [PMID: 10674896 DOI: 10.3109/10428190009148845]</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17 </w:t>
      </w:r>
      <w:r w:rsidRPr="00195F34">
        <w:rPr>
          <w:rFonts w:ascii="Book Antiqua" w:hAnsi="Book Antiqua" w:cs="宋体"/>
          <w:b/>
          <w:bCs/>
          <w:sz w:val="24"/>
          <w:szCs w:val="24"/>
        </w:rPr>
        <w:t>Michiels JJ</w:t>
      </w:r>
      <w:r w:rsidRPr="00195F34">
        <w:rPr>
          <w:rFonts w:ascii="Book Antiqua" w:hAnsi="Book Antiqua" w:cs="宋体"/>
          <w:sz w:val="24"/>
          <w:szCs w:val="24"/>
        </w:rPr>
        <w:t>, Thiele J. Clinical and pathological criteria for the diagnosis of essential thrombocythemia, polycythemia vera, and idiopathic myelofibrosis (agnogenic myeloid metaplasia). </w:t>
      </w:r>
      <w:r w:rsidRPr="00195F34">
        <w:rPr>
          <w:rFonts w:ascii="Book Antiqua" w:hAnsi="Book Antiqua" w:cs="宋体"/>
          <w:i/>
          <w:iCs/>
          <w:sz w:val="24"/>
          <w:szCs w:val="24"/>
        </w:rPr>
        <w:t>Int J Hematol</w:t>
      </w:r>
      <w:r w:rsidRPr="00195F34">
        <w:rPr>
          <w:rFonts w:ascii="Book Antiqua" w:hAnsi="Book Antiqua" w:cs="宋体"/>
          <w:sz w:val="24"/>
          <w:szCs w:val="24"/>
        </w:rPr>
        <w:t> 2002; </w:t>
      </w:r>
      <w:r w:rsidRPr="00195F34">
        <w:rPr>
          <w:rFonts w:ascii="Book Antiqua" w:hAnsi="Book Antiqua" w:cs="宋体"/>
          <w:b/>
          <w:bCs/>
          <w:sz w:val="24"/>
          <w:szCs w:val="24"/>
        </w:rPr>
        <w:t>76</w:t>
      </w:r>
      <w:r w:rsidRPr="00195F34">
        <w:rPr>
          <w:rFonts w:ascii="Book Antiqua" w:hAnsi="Book Antiqua" w:cs="宋体"/>
          <w:sz w:val="24"/>
          <w:szCs w:val="24"/>
        </w:rPr>
        <w:t>: 133-145 [PMID: 12215011 DOI: 10.1007/BF02982575]</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18 </w:t>
      </w:r>
      <w:r w:rsidRPr="00195F34">
        <w:rPr>
          <w:rFonts w:ascii="Book Antiqua" w:hAnsi="Book Antiqua" w:cs="宋体"/>
          <w:b/>
          <w:bCs/>
          <w:sz w:val="24"/>
          <w:szCs w:val="24"/>
        </w:rPr>
        <w:t>Michiels JJ</w:t>
      </w:r>
      <w:r w:rsidRPr="00195F34">
        <w:rPr>
          <w:rFonts w:ascii="Book Antiqua" w:hAnsi="Book Antiqua" w:cs="宋体"/>
          <w:sz w:val="24"/>
          <w:szCs w:val="24"/>
        </w:rPr>
        <w:t>, De Raeve H, Berneman Z, Van Bockstaele D, Hebeda K, Lam K, Schroyens W. The 2001 World Health Organization and updated European clinical and pathological criteria for the diagnosis, classification, and staging of the Philadelphia chromosome-negative chronic myeloproliferative disorders. </w:t>
      </w:r>
      <w:r w:rsidRPr="00195F34">
        <w:rPr>
          <w:rFonts w:ascii="Book Antiqua" w:hAnsi="Book Antiqua" w:cs="宋体"/>
          <w:i/>
          <w:iCs/>
          <w:sz w:val="24"/>
          <w:szCs w:val="24"/>
        </w:rPr>
        <w:t>Semin Thromb Hemost</w:t>
      </w:r>
      <w:r w:rsidRPr="00195F34">
        <w:rPr>
          <w:rFonts w:ascii="Book Antiqua" w:hAnsi="Book Antiqua" w:cs="宋体"/>
          <w:sz w:val="24"/>
          <w:szCs w:val="24"/>
        </w:rPr>
        <w:t> 2006; </w:t>
      </w:r>
      <w:r w:rsidRPr="00195F34">
        <w:rPr>
          <w:rFonts w:ascii="Book Antiqua" w:hAnsi="Book Antiqua" w:cs="宋体"/>
          <w:b/>
          <w:bCs/>
          <w:sz w:val="24"/>
          <w:szCs w:val="24"/>
        </w:rPr>
        <w:t>32</w:t>
      </w:r>
      <w:r w:rsidRPr="00195F34">
        <w:rPr>
          <w:rFonts w:ascii="Book Antiqua" w:hAnsi="Book Antiqua" w:cs="宋体"/>
          <w:sz w:val="24"/>
          <w:szCs w:val="24"/>
        </w:rPr>
        <w:t>: 307-340 [PMID: 16810609 DOI: 10.1055/s-2006-942754]</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19 </w:t>
      </w:r>
      <w:r w:rsidRPr="00195F34">
        <w:rPr>
          <w:rFonts w:ascii="Book Antiqua" w:hAnsi="Book Antiqua" w:cs="宋体"/>
          <w:b/>
          <w:bCs/>
          <w:sz w:val="24"/>
          <w:szCs w:val="24"/>
        </w:rPr>
        <w:t>Michiels JJ</w:t>
      </w:r>
      <w:r w:rsidRPr="00195F34">
        <w:rPr>
          <w:rFonts w:ascii="Book Antiqua" w:hAnsi="Book Antiqua" w:cs="宋体"/>
          <w:sz w:val="24"/>
          <w:szCs w:val="24"/>
        </w:rPr>
        <w:t>, De Raeve H, Hebeda K, Lam KH, Berneman Z, Schroyens W, Schwarz J. WHO bone marrow features and European clinical, molecular, and pathological (ECMP) criteria for the diagnosis of myeloproliferative disorders. </w:t>
      </w:r>
      <w:r w:rsidRPr="00195F34">
        <w:rPr>
          <w:rFonts w:ascii="Book Antiqua" w:hAnsi="Book Antiqua" w:cs="宋体"/>
          <w:i/>
          <w:iCs/>
          <w:sz w:val="24"/>
          <w:szCs w:val="24"/>
        </w:rPr>
        <w:t>Leuk Res</w:t>
      </w:r>
      <w:r w:rsidRPr="00195F34">
        <w:rPr>
          <w:rFonts w:ascii="Book Antiqua" w:hAnsi="Book Antiqua" w:cs="宋体"/>
          <w:sz w:val="24"/>
          <w:szCs w:val="24"/>
        </w:rPr>
        <w:t> 2007; </w:t>
      </w:r>
      <w:r w:rsidRPr="00195F34">
        <w:rPr>
          <w:rFonts w:ascii="Book Antiqua" w:hAnsi="Book Antiqua" w:cs="宋体"/>
          <w:b/>
          <w:bCs/>
          <w:sz w:val="24"/>
          <w:szCs w:val="24"/>
        </w:rPr>
        <w:t>31</w:t>
      </w:r>
      <w:r w:rsidRPr="00195F34">
        <w:rPr>
          <w:rFonts w:ascii="Book Antiqua" w:hAnsi="Book Antiqua" w:cs="宋体"/>
          <w:sz w:val="24"/>
          <w:szCs w:val="24"/>
        </w:rPr>
        <w:t>: 1031-1038 [PMID: 17367853 DOI: 10.1016/j.leukres.2007.01.021]</w:t>
      </w:r>
    </w:p>
    <w:p w:rsidR="00702CE8" w:rsidRPr="00195F34" w:rsidRDefault="00702CE8" w:rsidP="00AC3FB8">
      <w:pPr>
        <w:spacing w:line="360" w:lineRule="auto"/>
        <w:jc w:val="both"/>
        <w:rPr>
          <w:rFonts w:ascii="Book Antiqua" w:hAnsi="Book Antiqua" w:cs="宋体"/>
          <w:sz w:val="24"/>
          <w:szCs w:val="24"/>
        </w:rPr>
      </w:pPr>
      <w:r>
        <w:rPr>
          <w:rFonts w:ascii="Book Antiqua" w:hAnsi="Book Antiqua" w:cs="宋体"/>
          <w:sz w:val="24"/>
          <w:szCs w:val="24"/>
        </w:rPr>
        <w:lastRenderedPageBreak/>
        <w:t xml:space="preserve">20 </w:t>
      </w:r>
      <w:r w:rsidRPr="004926EC">
        <w:rPr>
          <w:rFonts w:ascii="Book Antiqua" w:hAnsi="Book Antiqua" w:cs="宋体"/>
          <w:b/>
          <w:sz w:val="24"/>
          <w:szCs w:val="24"/>
        </w:rPr>
        <w:t>Michiels JJ</w:t>
      </w:r>
      <w:r>
        <w:rPr>
          <w:rFonts w:ascii="Book Antiqua" w:hAnsi="Book Antiqua" w:cs="宋体"/>
          <w:sz w:val="24"/>
          <w:szCs w:val="24"/>
        </w:rPr>
        <w:t>,</w:t>
      </w:r>
      <w:r w:rsidRPr="00195F34">
        <w:rPr>
          <w:rFonts w:ascii="Book Antiqua" w:hAnsi="Book Antiqua" w:cs="宋体"/>
          <w:sz w:val="24"/>
          <w:szCs w:val="24"/>
        </w:rPr>
        <w:t xml:space="preserve"> De Raeve H, Hebeda K, Lam KH, Bot F, Berneman Z, Schroyens W. Biology, Diagnosis and Classification of MPD. Turkish J Hematol 2007; </w:t>
      </w:r>
      <w:r w:rsidRPr="004926EC">
        <w:rPr>
          <w:rFonts w:ascii="Book Antiqua" w:hAnsi="Book Antiqua" w:cs="宋体"/>
          <w:b/>
          <w:sz w:val="24"/>
          <w:szCs w:val="24"/>
        </w:rPr>
        <w:t xml:space="preserve">24 </w:t>
      </w:r>
      <w:r w:rsidRPr="00195F34">
        <w:rPr>
          <w:rFonts w:ascii="Book Antiqua" w:hAnsi="Book Antiqua" w:cs="宋体"/>
          <w:sz w:val="24"/>
          <w:szCs w:val="24"/>
        </w:rPr>
        <w:t>(Suppl 1); 37</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21 </w:t>
      </w:r>
      <w:r w:rsidRPr="00195F34">
        <w:rPr>
          <w:rFonts w:ascii="Book Antiqua" w:hAnsi="Book Antiqua" w:cs="宋体"/>
          <w:b/>
          <w:bCs/>
          <w:sz w:val="24"/>
          <w:szCs w:val="24"/>
        </w:rPr>
        <w:t>Tefferi A</w:t>
      </w:r>
      <w:r w:rsidRPr="00195F34">
        <w:rPr>
          <w:rFonts w:ascii="Book Antiqua" w:hAnsi="Book Antiqua" w:cs="宋体"/>
          <w:sz w:val="24"/>
          <w:szCs w:val="24"/>
        </w:rPr>
        <w:t>, Thiele J, Orazi A, Kvasnicka HM, Barbui T, Hanson CA, Barosi G, Verstovsek S, Birgegard G, Mesa R, Reilly JT, Gisslinger H, Vannucchi AM, Cervantes F, Finazzi G, Hoffman R, Gilliland DG, Bloomfield CD, Vardiman JW. Proposals and rationale for revision of the World Health Organization diagnostic criteria for polycythemia vera, essential thrombocythemia, and primary myelofibrosis: recommendations from an ad hoc international expert panel. </w:t>
      </w:r>
      <w:r w:rsidRPr="00195F34">
        <w:rPr>
          <w:rFonts w:ascii="Book Antiqua" w:hAnsi="Book Antiqua" w:cs="宋体"/>
          <w:i/>
          <w:iCs/>
          <w:sz w:val="24"/>
          <w:szCs w:val="24"/>
        </w:rPr>
        <w:t>Blood</w:t>
      </w:r>
      <w:r w:rsidRPr="00195F34">
        <w:rPr>
          <w:rFonts w:ascii="Book Antiqua" w:hAnsi="Book Antiqua" w:cs="宋体"/>
          <w:sz w:val="24"/>
          <w:szCs w:val="24"/>
        </w:rPr>
        <w:t> 2007; </w:t>
      </w:r>
      <w:r w:rsidRPr="00195F34">
        <w:rPr>
          <w:rFonts w:ascii="Book Antiqua" w:hAnsi="Book Antiqua" w:cs="宋体"/>
          <w:b/>
          <w:bCs/>
          <w:sz w:val="24"/>
          <w:szCs w:val="24"/>
        </w:rPr>
        <w:t>110</w:t>
      </w:r>
      <w:r w:rsidRPr="00195F34">
        <w:rPr>
          <w:rFonts w:ascii="Book Antiqua" w:hAnsi="Book Antiqua" w:cs="宋体"/>
          <w:sz w:val="24"/>
          <w:szCs w:val="24"/>
        </w:rPr>
        <w:t>: 1092-1097 [PMID: 17488875 DOI: 10.1182/blood-2007-04-083501]</w:t>
      </w:r>
    </w:p>
    <w:p w:rsidR="00702CE8" w:rsidRPr="00195F34" w:rsidRDefault="00702CE8" w:rsidP="00AC3FB8">
      <w:pPr>
        <w:spacing w:line="360" w:lineRule="auto"/>
        <w:jc w:val="both"/>
        <w:rPr>
          <w:rFonts w:ascii="Book Antiqua" w:hAnsi="Book Antiqua" w:cs="宋体"/>
          <w:sz w:val="24"/>
          <w:szCs w:val="24"/>
        </w:rPr>
      </w:pPr>
      <w:r>
        <w:rPr>
          <w:rFonts w:ascii="Book Antiqua" w:hAnsi="Book Antiqua" w:cs="宋体"/>
          <w:sz w:val="24"/>
          <w:szCs w:val="24"/>
        </w:rPr>
        <w:t xml:space="preserve">22 </w:t>
      </w:r>
      <w:r w:rsidRPr="00195F34">
        <w:rPr>
          <w:rFonts w:ascii="Book Antiqua" w:hAnsi="Book Antiqua" w:cs="宋体"/>
          <w:sz w:val="24"/>
          <w:szCs w:val="24"/>
        </w:rPr>
        <w:t>WHO 2008 classification of Tumours of haemotopoiesis and lymphoid tissues. Lyon, France IARC 2008: section MPD: 40.</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23 </w:t>
      </w:r>
      <w:r w:rsidRPr="00195F34">
        <w:rPr>
          <w:rFonts w:ascii="Book Antiqua" w:hAnsi="Book Antiqua" w:cs="宋体"/>
          <w:b/>
          <w:bCs/>
          <w:sz w:val="24"/>
          <w:szCs w:val="24"/>
        </w:rPr>
        <w:t>Georgii A</w:t>
      </w:r>
      <w:r w:rsidRPr="00195F34">
        <w:rPr>
          <w:rFonts w:ascii="Book Antiqua" w:hAnsi="Book Antiqua" w:cs="宋体"/>
          <w:sz w:val="24"/>
          <w:szCs w:val="24"/>
        </w:rPr>
        <w:t>, Vykoupil KF, Thiele J. Chronic megakaryocytic granulocytic myelosis-CMGM. A subtype of chronic myeloid leukemia. </w:t>
      </w:r>
      <w:r w:rsidRPr="00195F34">
        <w:rPr>
          <w:rFonts w:ascii="Book Antiqua" w:hAnsi="Book Antiqua" w:cs="宋体"/>
          <w:i/>
          <w:iCs/>
          <w:sz w:val="24"/>
          <w:szCs w:val="24"/>
        </w:rPr>
        <w:t>Virchows Arch A Pathol Anat Histol</w:t>
      </w:r>
      <w:r w:rsidRPr="00195F34">
        <w:rPr>
          <w:rFonts w:ascii="Book Antiqua" w:hAnsi="Book Antiqua" w:cs="宋体"/>
          <w:sz w:val="24"/>
          <w:szCs w:val="24"/>
        </w:rPr>
        <w:t> 1980; </w:t>
      </w:r>
      <w:r w:rsidRPr="00195F34">
        <w:rPr>
          <w:rFonts w:ascii="Book Antiqua" w:hAnsi="Book Antiqua" w:cs="宋体"/>
          <w:b/>
          <w:bCs/>
          <w:sz w:val="24"/>
          <w:szCs w:val="24"/>
        </w:rPr>
        <w:t>389</w:t>
      </w:r>
      <w:r w:rsidRPr="00195F34">
        <w:rPr>
          <w:rFonts w:ascii="Book Antiqua" w:hAnsi="Book Antiqua" w:cs="宋体"/>
          <w:sz w:val="24"/>
          <w:szCs w:val="24"/>
        </w:rPr>
        <w:t>: 253-268 [PMID: 6935864]</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24 </w:t>
      </w:r>
      <w:r w:rsidRPr="00195F34">
        <w:rPr>
          <w:rFonts w:ascii="Book Antiqua" w:hAnsi="Book Antiqua" w:cs="宋体"/>
          <w:b/>
          <w:bCs/>
          <w:sz w:val="24"/>
          <w:szCs w:val="24"/>
        </w:rPr>
        <w:t>Georgii A</w:t>
      </w:r>
      <w:r w:rsidRPr="00195F34">
        <w:rPr>
          <w:rFonts w:ascii="Book Antiqua" w:hAnsi="Book Antiqua" w:cs="宋体"/>
          <w:sz w:val="24"/>
          <w:szCs w:val="24"/>
        </w:rPr>
        <w:t>, Vykoupil KF, Buhr T, Choritz H, Döhler U, Kaloutsi V, Werner M. Chronic myeloproliferative disorders in bone marrow biopsies. </w:t>
      </w:r>
      <w:r w:rsidRPr="00195F34">
        <w:rPr>
          <w:rFonts w:ascii="Book Antiqua" w:hAnsi="Book Antiqua" w:cs="宋体"/>
          <w:i/>
          <w:iCs/>
          <w:sz w:val="24"/>
          <w:szCs w:val="24"/>
        </w:rPr>
        <w:t>Pathol Res Pract</w:t>
      </w:r>
      <w:r w:rsidRPr="00195F34">
        <w:rPr>
          <w:rFonts w:ascii="Book Antiqua" w:hAnsi="Book Antiqua" w:cs="宋体"/>
          <w:sz w:val="24"/>
          <w:szCs w:val="24"/>
        </w:rPr>
        <w:t> 1990; </w:t>
      </w:r>
      <w:r w:rsidRPr="00195F34">
        <w:rPr>
          <w:rFonts w:ascii="Book Antiqua" w:hAnsi="Book Antiqua" w:cs="宋体"/>
          <w:b/>
          <w:bCs/>
          <w:sz w:val="24"/>
          <w:szCs w:val="24"/>
        </w:rPr>
        <w:t>186</w:t>
      </w:r>
      <w:r w:rsidRPr="00195F34">
        <w:rPr>
          <w:rFonts w:ascii="Book Antiqua" w:hAnsi="Book Antiqua" w:cs="宋体"/>
          <w:sz w:val="24"/>
          <w:szCs w:val="24"/>
        </w:rPr>
        <w:t>: 3-27 [PMID: 2179909 DOI: 10.1016/S0344-0338(11)81008-3]</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25 </w:t>
      </w:r>
      <w:r w:rsidRPr="00195F34">
        <w:rPr>
          <w:rFonts w:ascii="Book Antiqua" w:hAnsi="Book Antiqua" w:cs="宋体"/>
          <w:b/>
          <w:bCs/>
          <w:sz w:val="24"/>
          <w:szCs w:val="24"/>
        </w:rPr>
        <w:t>Georgii A</w:t>
      </w:r>
      <w:r w:rsidRPr="00195F34">
        <w:rPr>
          <w:rFonts w:ascii="Book Antiqua" w:hAnsi="Book Antiqua" w:cs="宋体"/>
          <w:sz w:val="24"/>
          <w:szCs w:val="24"/>
        </w:rPr>
        <w:t>, Buesche G, Kreft A. The histopathology of chronic myeloproliferative diseases. </w:t>
      </w:r>
      <w:r w:rsidRPr="00195F34">
        <w:rPr>
          <w:rFonts w:ascii="Book Antiqua" w:hAnsi="Book Antiqua" w:cs="宋体"/>
          <w:i/>
          <w:iCs/>
          <w:sz w:val="24"/>
          <w:szCs w:val="24"/>
        </w:rPr>
        <w:t>Baillieres Clin Haematol</w:t>
      </w:r>
      <w:r w:rsidRPr="00195F34">
        <w:rPr>
          <w:rFonts w:ascii="Book Antiqua" w:hAnsi="Book Antiqua" w:cs="宋体"/>
          <w:sz w:val="24"/>
          <w:szCs w:val="24"/>
        </w:rPr>
        <w:t> 1998; </w:t>
      </w:r>
      <w:r w:rsidRPr="00195F34">
        <w:rPr>
          <w:rFonts w:ascii="Book Antiqua" w:hAnsi="Book Antiqua" w:cs="宋体"/>
          <w:b/>
          <w:bCs/>
          <w:sz w:val="24"/>
          <w:szCs w:val="24"/>
        </w:rPr>
        <w:t>11</w:t>
      </w:r>
      <w:r w:rsidRPr="00195F34">
        <w:rPr>
          <w:rFonts w:ascii="Book Antiqua" w:hAnsi="Book Antiqua" w:cs="宋体"/>
          <w:sz w:val="24"/>
          <w:szCs w:val="24"/>
        </w:rPr>
        <w:t>: 721-749 [PMID: 10640214 DOI: 10.1016/S0950-3536(98)80036-X]</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26 </w:t>
      </w:r>
      <w:r w:rsidRPr="00195F34">
        <w:rPr>
          <w:rFonts w:ascii="Book Antiqua" w:hAnsi="Book Antiqua" w:cs="宋体"/>
          <w:b/>
          <w:bCs/>
          <w:sz w:val="24"/>
          <w:szCs w:val="24"/>
        </w:rPr>
        <w:t>Thiele J</w:t>
      </w:r>
      <w:r w:rsidRPr="00195F34">
        <w:rPr>
          <w:rFonts w:ascii="Book Antiqua" w:hAnsi="Book Antiqua" w:cs="宋体"/>
          <w:sz w:val="24"/>
          <w:szCs w:val="24"/>
        </w:rPr>
        <w:t>, Zankovich R, Schneider G, Kremer B, Fischer R, Diehl V. Primary (essential) thrombocythemia versus polycythemia vera rubra. A histomorphometric analysis of bone marrow features in trephine biopsies. </w:t>
      </w:r>
      <w:r w:rsidRPr="00195F34">
        <w:rPr>
          <w:rFonts w:ascii="Book Antiqua" w:hAnsi="Book Antiqua" w:cs="宋体"/>
          <w:i/>
          <w:iCs/>
          <w:sz w:val="24"/>
          <w:szCs w:val="24"/>
        </w:rPr>
        <w:t>Anal Quant Cytol Histol</w:t>
      </w:r>
      <w:r w:rsidRPr="00195F34">
        <w:rPr>
          <w:rFonts w:ascii="Book Antiqua" w:hAnsi="Book Antiqua" w:cs="宋体"/>
          <w:sz w:val="24"/>
          <w:szCs w:val="24"/>
        </w:rPr>
        <w:t> 1988; </w:t>
      </w:r>
      <w:r w:rsidRPr="00195F34">
        <w:rPr>
          <w:rFonts w:ascii="Book Antiqua" w:hAnsi="Book Antiqua" w:cs="宋体"/>
          <w:b/>
          <w:bCs/>
          <w:sz w:val="24"/>
          <w:szCs w:val="24"/>
        </w:rPr>
        <w:t>10</w:t>
      </w:r>
      <w:r w:rsidRPr="00195F34">
        <w:rPr>
          <w:rFonts w:ascii="Book Antiqua" w:hAnsi="Book Antiqua" w:cs="宋体"/>
          <w:sz w:val="24"/>
          <w:szCs w:val="24"/>
        </w:rPr>
        <w:t>: 375-382 [PMID: 3207462]</w:t>
      </w:r>
    </w:p>
    <w:p w:rsidR="00702CE8" w:rsidRPr="00195F34" w:rsidRDefault="00702CE8" w:rsidP="00AC3FB8">
      <w:pPr>
        <w:spacing w:line="360" w:lineRule="auto"/>
        <w:jc w:val="both"/>
        <w:rPr>
          <w:rFonts w:ascii="Book Antiqua" w:hAnsi="Book Antiqua" w:cs="宋体"/>
          <w:sz w:val="24"/>
          <w:szCs w:val="24"/>
        </w:rPr>
      </w:pPr>
      <w:r>
        <w:rPr>
          <w:rFonts w:ascii="Book Antiqua" w:hAnsi="Book Antiqua" w:cs="宋体"/>
          <w:sz w:val="24"/>
          <w:szCs w:val="24"/>
        </w:rPr>
        <w:t xml:space="preserve">27 </w:t>
      </w:r>
      <w:r w:rsidRPr="00C765C7">
        <w:rPr>
          <w:rFonts w:ascii="Book Antiqua" w:hAnsi="Book Antiqua" w:cs="宋体"/>
          <w:b/>
          <w:sz w:val="24"/>
          <w:szCs w:val="24"/>
        </w:rPr>
        <w:t>Thiele J</w:t>
      </w:r>
      <w:r w:rsidRPr="00195F34">
        <w:rPr>
          <w:rFonts w:ascii="Book Antiqua" w:hAnsi="Book Antiqua" w:cs="宋体"/>
          <w:sz w:val="24"/>
          <w:szCs w:val="24"/>
        </w:rPr>
        <w:t xml:space="preserve">, Schneider G, Hoeppner B, Wienhold S, Zankovich R, Fischer R. Histomorphometry of bone marrow biopsies in chronic myeloproliferative disorders </w:t>
      </w:r>
      <w:r w:rsidRPr="00195F34">
        <w:rPr>
          <w:rFonts w:ascii="Book Antiqua" w:hAnsi="Book Antiqua" w:cs="宋体"/>
          <w:sz w:val="24"/>
          <w:szCs w:val="24"/>
        </w:rPr>
        <w:lastRenderedPageBreak/>
        <w:t xml:space="preserve">with associated thrombocythosis – features of significance for the diagnosis of primary (essential) thrombocythemia. Virch Arch A Path Anat 1988; </w:t>
      </w:r>
      <w:r w:rsidRPr="00C765C7">
        <w:rPr>
          <w:rFonts w:ascii="Book Antiqua" w:hAnsi="Book Antiqua" w:cs="宋体"/>
          <w:b/>
          <w:sz w:val="24"/>
          <w:szCs w:val="24"/>
        </w:rPr>
        <w:t>413</w:t>
      </w:r>
      <w:r w:rsidRPr="00195F34">
        <w:rPr>
          <w:rFonts w:ascii="Book Antiqua" w:hAnsi="Book Antiqua" w:cs="宋体"/>
          <w:sz w:val="24"/>
          <w:szCs w:val="24"/>
        </w:rPr>
        <w:t>: 407.</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28 </w:t>
      </w:r>
      <w:r w:rsidRPr="00195F34">
        <w:rPr>
          <w:rFonts w:ascii="Book Antiqua" w:hAnsi="Book Antiqua" w:cs="宋体"/>
          <w:b/>
          <w:bCs/>
          <w:sz w:val="24"/>
          <w:szCs w:val="24"/>
        </w:rPr>
        <w:t>Thiele J</w:t>
      </w:r>
      <w:r w:rsidRPr="00195F34">
        <w:rPr>
          <w:rFonts w:ascii="Book Antiqua" w:hAnsi="Book Antiqua" w:cs="宋体"/>
          <w:sz w:val="24"/>
          <w:szCs w:val="24"/>
        </w:rPr>
        <w:t>, Kvasnicka HM, Werden C, Zankovich R, Diehl V, Fischer R. Idiopathic primary osteo-myelofibrosis: a clinico-pathological study on 208 patients with special emphasis on evolution of disease features, differentiation from essential thrombocythemia and variables of prognostic impact. </w:t>
      </w:r>
      <w:r w:rsidRPr="00195F34">
        <w:rPr>
          <w:rFonts w:ascii="Book Antiqua" w:hAnsi="Book Antiqua" w:cs="宋体"/>
          <w:i/>
          <w:iCs/>
          <w:sz w:val="24"/>
          <w:szCs w:val="24"/>
        </w:rPr>
        <w:t>Leuk Lymphoma</w:t>
      </w:r>
      <w:r w:rsidRPr="00195F34">
        <w:rPr>
          <w:rFonts w:ascii="Book Antiqua" w:hAnsi="Book Antiqua" w:cs="宋体"/>
          <w:sz w:val="24"/>
          <w:szCs w:val="24"/>
        </w:rPr>
        <w:t> 1996; </w:t>
      </w:r>
      <w:r w:rsidRPr="00195F34">
        <w:rPr>
          <w:rFonts w:ascii="Book Antiqua" w:hAnsi="Book Antiqua" w:cs="宋体"/>
          <w:b/>
          <w:bCs/>
          <w:sz w:val="24"/>
          <w:szCs w:val="24"/>
        </w:rPr>
        <w:t>22</w:t>
      </w:r>
      <w:r w:rsidRPr="00195F34">
        <w:rPr>
          <w:rFonts w:ascii="Book Antiqua" w:hAnsi="Book Antiqua" w:cs="宋体"/>
          <w:sz w:val="24"/>
          <w:szCs w:val="24"/>
        </w:rPr>
        <w:t>: 303-317 [PMID: 8819080 DOI: 10.3109/10428199609051762]</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29 </w:t>
      </w:r>
      <w:r w:rsidRPr="00195F34">
        <w:rPr>
          <w:rFonts w:ascii="Book Antiqua" w:hAnsi="Book Antiqua" w:cs="宋体"/>
          <w:b/>
          <w:bCs/>
          <w:sz w:val="24"/>
          <w:szCs w:val="24"/>
        </w:rPr>
        <w:t>Thiele J</w:t>
      </w:r>
      <w:r w:rsidRPr="00195F34">
        <w:rPr>
          <w:rFonts w:ascii="Book Antiqua" w:hAnsi="Book Antiqua" w:cs="宋体"/>
          <w:sz w:val="24"/>
          <w:szCs w:val="24"/>
        </w:rPr>
        <w:t>, Kvasnicka HM, Diehl V, Fischer R, Michiels J. Clinicopathological diagnosis and differential criteria of thrombocythemias in various myeloproliferative disorders by histopathology, histochemistry and immunostaining from bone marrow biopsies. </w:t>
      </w:r>
      <w:r w:rsidRPr="00195F34">
        <w:rPr>
          <w:rFonts w:ascii="Book Antiqua" w:hAnsi="Book Antiqua" w:cs="宋体"/>
          <w:i/>
          <w:iCs/>
          <w:sz w:val="24"/>
          <w:szCs w:val="24"/>
        </w:rPr>
        <w:t>Leuk Lymphoma</w:t>
      </w:r>
      <w:r w:rsidRPr="00195F34">
        <w:rPr>
          <w:rFonts w:ascii="Book Antiqua" w:hAnsi="Book Antiqua" w:cs="宋体"/>
          <w:sz w:val="24"/>
          <w:szCs w:val="24"/>
        </w:rPr>
        <w:t> 1999; </w:t>
      </w:r>
      <w:r w:rsidRPr="00195F34">
        <w:rPr>
          <w:rFonts w:ascii="Book Antiqua" w:hAnsi="Book Antiqua" w:cs="宋体"/>
          <w:b/>
          <w:bCs/>
          <w:sz w:val="24"/>
          <w:szCs w:val="24"/>
        </w:rPr>
        <w:t>33</w:t>
      </w:r>
      <w:r w:rsidRPr="00195F34">
        <w:rPr>
          <w:rFonts w:ascii="Book Antiqua" w:hAnsi="Book Antiqua" w:cs="宋体"/>
          <w:sz w:val="24"/>
          <w:szCs w:val="24"/>
        </w:rPr>
        <w:t>: 207-218 [PMID: 10221501]</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30 </w:t>
      </w:r>
      <w:r w:rsidRPr="00195F34">
        <w:rPr>
          <w:rFonts w:ascii="Book Antiqua" w:hAnsi="Book Antiqua" w:cs="宋体"/>
          <w:b/>
          <w:bCs/>
          <w:sz w:val="24"/>
          <w:szCs w:val="24"/>
        </w:rPr>
        <w:t>Lengfelder E</w:t>
      </w:r>
      <w:r w:rsidRPr="00195F34">
        <w:rPr>
          <w:rFonts w:ascii="Book Antiqua" w:hAnsi="Book Antiqua" w:cs="宋体"/>
          <w:sz w:val="24"/>
          <w:szCs w:val="24"/>
        </w:rPr>
        <w:t>, Hochhaus A, Kronawitter U, Höche D, Queisser W, Jahn-Eder M, Burkhardt R, Reiter A, Ansari H, Hehlmann R. Should a platelet limit of 600 x 10(9)/l be used as a diagnostic criterion in essential thrombocythaemia? An analysis of the natural course including early stages. </w:t>
      </w:r>
      <w:r w:rsidRPr="00195F34">
        <w:rPr>
          <w:rFonts w:ascii="Book Antiqua" w:hAnsi="Book Antiqua" w:cs="宋体"/>
          <w:i/>
          <w:iCs/>
          <w:sz w:val="24"/>
          <w:szCs w:val="24"/>
        </w:rPr>
        <w:t>Br J Haematol</w:t>
      </w:r>
      <w:r w:rsidRPr="00195F34">
        <w:rPr>
          <w:rFonts w:ascii="Book Antiqua" w:hAnsi="Book Antiqua" w:cs="宋体"/>
          <w:sz w:val="24"/>
          <w:szCs w:val="24"/>
        </w:rPr>
        <w:t> 1998; </w:t>
      </w:r>
      <w:r w:rsidRPr="00195F34">
        <w:rPr>
          <w:rFonts w:ascii="Book Antiqua" w:hAnsi="Book Antiqua" w:cs="宋体"/>
          <w:b/>
          <w:bCs/>
          <w:sz w:val="24"/>
          <w:szCs w:val="24"/>
        </w:rPr>
        <w:t>100</w:t>
      </w:r>
      <w:r w:rsidRPr="00195F34">
        <w:rPr>
          <w:rFonts w:ascii="Book Antiqua" w:hAnsi="Book Antiqua" w:cs="宋体"/>
          <w:sz w:val="24"/>
          <w:szCs w:val="24"/>
        </w:rPr>
        <w:t>: 15-23 [PMID: 9450785 DOI: 10.1046/j.1365-2141.1998.00529.x]</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31 </w:t>
      </w:r>
      <w:r w:rsidRPr="00195F34">
        <w:rPr>
          <w:rFonts w:ascii="Book Antiqua" w:hAnsi="Book Antiqua" w:cs="宋体"/>
          <w:b/>
          <w:bCs/>
          <w:sz w:val="24"/>
          <w:szCs w:val="24"/>
        </w:rPr>
        <w:t>Liu E</w:t>
      </w:r>
      <w:r w:rsidRPr="00195F34">
        <w:rPr>
          <w:rFonts w:ascii="Book Antiqua" w:hAnsi="Book Antiqua" w:cs="宋体"/>
          <w:sz w:val="24"/>
          <w:szCs w:val="24"/>
        </w:rPr>
        <w:t>, Jelinek J, Pastore YD, Guan Y, Prchal JF, Prchal JT. Discrimination of polycythemias and thrombocytoses by novel, simple, accurate clonality assays and comparison with PRV-1 expression and BFU-E response to erythropoietin. </w:t>
      </w:r>
      <w:r w:rsidRPr="00195F34">
        <w:rPr>
          <w:rFonts w:ascii="Book Antiqua" w:hAnsi="Book Antiqua" w:cs="宋体"/>
          <w:i/>
          <w:iCs/>
          <w:sz w:val="24"/>
          <w:szCs w:val="24"/>
        </w:rPr>
        <w:t>Blood</w:t>
      </w:r>
      <w:r w:rsidRPr="00195F34">
        <w:rPr>
          <w:rFonts w:ascii="Book Antiqua" w:hAnsi="Book Antiqua" w:cs="宋体"/>
          <w:sz w:val="24"/>
          <w:szCs w:val="24"/>
        </w:rPr>
        <w:t> 2003; </w:t>
      </w:r>
      <w:r w:rsidRPr="00195F34">
        <w:rPr>
          <w:rFonts w:ascii="Book Antiqua" w:hAnsi="Book Antiqua" w:cs="宋体"/>
          <w:b/>
          <w:bCs/>
          <w:sz w:val="24"/>
          <w:szCs w:val="24"/>
        </w:rPr>
        <w:t>101</w:t>
      </w:r>
      <w:r w:rsidRPr="00195F34">
        <w:rPr>
          <w:rFonts w:ascii="Book Antiqua" w:hAnsi="Book Antiqua" w:cs="宋体"/>
          <w:sz w:val="24"/>
          <w:szCs w:val="24"/>
        </w:rPr>
        <w:t>: 3294-3301 [PMID: 12515724 DOI: 10.1182/blood-2002-07-2287]</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32 </w:t>
      </w:r>
      <w:r w:rsidRPr="00195F34">
        <w:rPr>
          <w:rFonts w:ascii="Book Antiqua" w:hAnsi="Book Antiqua" w:cs="宋体"/>
          <w:b/>
          <w:bCs/>
          <w:sz w:val="24"/>
          <w:szCs w:val="24"/>
        </w:rPr>
        <w:t>Dobo I</w:t>
      </w:r>
      <w:r w:rsidRPr="00195F34">
        <w:rPr>
          <w:rFonts w:ascii="Book Antiqua" w:hAnsi="Book Antiqua" w:cs="宋体"/>
          <w:sz w:val="24"/>
          <w:szCs w:val="24"/>
        </w:rPr>
        <w:t>, Donnard M, Girodon F, Mossuz P, Boiret N, Boukhari R, Allégraud A, Bascans E, Campos L, Pineau D, Turlure P, Praloran V, Hermouet S. Standardization and comparison of endogenous erythroid colony assays performed with bone marrow or blood progenitors for the diagnosis of polycythemia vera. </w:t>
      </w:r>
      <w:r w:rsidRPr="00195F34">
        <w:rPr>
          <w:rFonts w:ascii="Book Antiqua" w:hAnsi="Book Antiqua" w:cs="宋体"/>
          <w:i/>
          <w:iCs/>
          <w:sz w:val="24"/>
          <w:szCs w:val="24"/>
        </w:rPr>
        <w:t>Hematol J</w:t>
      </w:r>
      <w:r w:rsidRPr="00195F34">
        <w:rPr>
          <w:rFonts w:ascii="Book Antiqua" w:hAnsi="Book Antiqua" w:cs="宋体"/>
          <w:sz w:val="24"/>
          <w:szCs w:val="24"/>
        </w:rPr>
        <w:t> 2004; </w:t>
      </w:r>
      <w:r w:rsidRPr="00195F34">
        <w:rPr>
          <w:rFonts w:ascii="Book Antiqua" w:hAnsi="Book Antiqua" w:cs="宋体"/>
          <w:b/>
          <w:bCs/>
          <w:sz w:val="24"/>
          <w:szCs w:val="24"/>
        </w:rPr>
        <w:t>5</w:t>
      </w:r>
      <w:r w:rsidRPr="00195F34">
        <w:rPr>
          <w:rFonts w:ascii="Book Antiqua" w:hAnsi="Book Antiqua" w:cs="宋体"/>
          <w:sz w:val="24"/>
          <w:szCs w:val="24"/>
        </w:rPr>
        <w:t>: 161-167 [PMID: 15048067 DOI: 10.1038/sj.thj.6200344]</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33 </w:t>
      </w:r>
      <w:r w:rsidRPr="00195F34">
        <w:rPr>
          <w:rFonts w:ascii="Book Antiqua" w:hAnsi="Book Antiqua" w:cs="宋体"/>
          <w:b/>
          <w:bCs/>
          <w:sz w:val="24"/>
          <w:szCs w:val="24"/>
        </w:rPr>
        <w:t>Mossuz P</w:t>
      </w:r>
      <w:r w:rsidRPr="00195F34">
        <w:rPr>
          <w:rFonts w:ascii="Book Antiqua" w:hAnsi="Book Antiqua" w:cs="宋体"/>
          <w:sz w:val="24"/>
          <w:szCs w:val="24"/>
        </w:rPr>
        <w:t xml:space="preserve">, Girodon F, Donnard M, Latger-Cannard V, Dobo I, Boiret N, Lecron JC, Binquet C, Barro C, Hermouet S, Praloran V. Diagnostic value of serum </w:t>
      </w:r>
      <w:r w:rsidRPr="00195F34">
        <w:rPr>
          <w:rFonts w:ascii="Book Antiqua" w:hAnsi="Book Antiqua" w:cs="宋体"/>
          <w:sz w:val="24"/>
          <w:szCs w:val="24"/>
        </w:rPr>
        <w:lastRenderedPageBreak/>
        <w:t>erythropoietin level in patients with absolute erythrocytosis. </w:t>
      </w:r>
      <w:r w:rsidRPr="00195F34">
        <w:rPr>
          <w:rFonts w:ascii="Book Antiqua" w:hAnsi="Book Antiqua" w:cs="宋体"/>
          <w:i/>
          <w:iCs/>
          <w:sz w:val="24"/>
          <w:szCs w:val="24"/>
        </w:rPr>
        <w:t>Haematologica</w:t>
      </w:r>
      <w:r w:rsidRPr="00195F34">
        <w:rPr>
          <w:rFonts w:ascii="Book Antiqua" w:hAnsi="Book Antiqua" w:cs="宋体"/>
          <w:sz w:val="24"/>
          <w:szCs w:val="24"/>
        </w:rPr>
        <w:t> 2004; </w:t>
      </w:r>
      <w:r w:rsidRPr="00195F34">
        <w:rPr>
          <w:rFonts w:ascii="Book Antiqua" w:hAnsi="Book Antiqua" w:cs="宋体"/>
          <w:b/>
          <w:bCs/>
          <w:sz w:val="24"/>
          <w:szCs w:val="24"/>
        </w:rPr>
        <w:t>89</w:t>
      </w:r>
      <w:r w:rsidRPr="00195F34">
        <w:rPr>
          <w:rFonts w:ascii="Book Antiqua" w:hAnsi="Book Antiqua" w:cs="宋体"/>
          <w:sz w:val="24"/>
          <w:szCs w:val="24"/>
        </w:rPr>
        <w:t>: 1194-1198 [PMID: 15477203]</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34 </w:t>
      </w:r>
      <w:r w:rsidRPr="00195F34">
        <w:rPr>
          <w:rFonts w:ascii="Book Antiqua" w:hAnsi="Book Antiqua" w:cs="宋体"/>
          <w:b/>
          <w:bCs/>
          <w:sz w:val="24"/>
          <w:szCs w:val="24"/>
        </w:rPr>
        <w:t>Johansson P</w:t>
      </w:r>
      <w:r w:rsidRPr="00195F34">
        <w:rPr>
          <w:rFonts w:ascii="Book Antiqua" w:hAnsi="Book Antiqua" w:cs="宋体"/>
          <w:sz w:val="24"/>
          <w:szCs w:val="24"/>
        </w:rPr>
        <w:t>, Andréasson B, Safai-Kutti S, Wennström L, Palmqvist L, Ricksten A, Lindstedt G, Kutti J. The presence of a significant association between elevated PRV-1 mRNA expression and low plasma erythropoietin concentration in essential thrombocythaemia. </w:t>
      </w:r>
      <w:r w:rsidRPr="00195F34">
        <w:rPr>
          <w:rFonts w:ascii="Book Antiqua" w:hAnsi="Book Antiqua" w:cs="宋体"/>
          <w:i/>
          <w:iCs/>
          <w:sz w:val="24"/>
          <w:szCs w:val="24"/>
        </w:rPr>
        <w:t>Eur J Haematol</w:t>
      </w:r>
      <w:r w:rsidRPr="00195F34">
        <w:rPr>
          <w:rFonts w:ascii="Book Antiqua" w:hAnsi="Book Antiqua" w:cs="宋体"/>
          <w:sz w:val="24"/>
          <w:szCs w:val="24"/>
        </w:rPr>
        <w:t> 2003; </w:t>
      </w:r>
      <w:r w:rsidRPr="00195F34">
        <w:rPr>
          <w:rFonts w:ascii="Book Antiqua" w:hAnsi="Book Antiqua" w:cs="宋体"/>
          <w:b/>
          <w:bCs/>
          <w:sz w:val="24"/>
          <w:szCs w:val="24"/>
        </w:rPr>
        <w:t>70</w:t>
      </w:r>
      <w:r w:rsidRPr="00195F34">
        <w:rPr>
          <w:rFonts w:ascii="Book Antiqua" w:hAnsi="Book Antiqua" w:cs="宋体"/>
          <w:sz w:val="24"/>
          <w:szCs w:val="24"/>
        </w:rPr>
        <w:t>: 358-362 [PMID: 12756017 DOI: 10.1034/j.1600-0609.2003.00079.x]</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35 </w:t>
      </w:r>
      <w:r w:rsidRPr="00195F34">
        <w:rPr>
          <w:rFonts w:ascii="Book Antiqua" w:hAnsi="Book Antiqua" w:cs="宋体"/>
          <w:b/>
          <w:bCs/>
          <w:sz w:val="24"/>
          <w:szCs w:val="24"/>
        </w:rPr>
        <w:t>Griesshammer M</w:t>
      </w:r>
      <w:r w:rsidRPr="00195F34">
        <w:rPr>
          <w:rFonts w:ascii="Book Antiqua" w:hAnsi="Book Antiqua" w:cs="宋体"/>
          <w:sz w:val="24"/>
          <w:szCs w:val="24"/>
        </w:rPr>
        <w:t>, Klippel S, Strunck E, Temerinac S, Mohr U, Heimpel H, Pahl HL. PRV-1 mRNA expression discriminates two types of essential thrombocythemia. </w:t>
      </w:r>
      <w:r w:rsidRPr="00195F34">
        <w:rPr>
          <w:rFonts w:ascii="Book Antiqua" w:hAnsi="Book Antiqua" w:cs="宋体"/>
          <w:i/>
          <w:iCs/>
          <w:sz w:val="24"/>
          <w:szCs w:val="24"/>
        </w:rPr>
        <w:t>Ann Hematol</w:t>
      </w:r>
      <w:r w:rsidRPr="00195F34">
        <w:rPr>
          <w:rFonts w:ascii="Book Antiqua" w:hAnsi="Book Antiqua" w:cs="宋体"/>
          <w:sz w:val="24"/>
          <w:szCs w:val="24"/>
        </w:rPr>
        <w:t> 2004; </w:t>
      </w:r>
      <w:r w:rsidRPr="00195F34">
        <w:rPr>
          <w:rFonts w:ascii="Book Antiqua" w:hAnsi="Book Antiqua" w:cs="宋体"/>
          <w:b/>
          <w:bCs/>
          <w:sz w:val="24"/>
          <w:szCs w:val="24"/>
        </w:rPr>
        <w:t>83</w:t>
      </w:r>
      <w:r w:rsidRPr="00195F34">
        <w:rPr>
          <w:rFonts w:ascii="Book Antiqua" w:hAnsi="Book Antiqua" w:cs="宋体"/>
          <w:sz w:val="24"/>
          <w:szCs w:val="24"/>
        </w:rPr>
        <w:t>: 364-370 [PMID: 15034760 DOI: 10.1007/s00277-004-0864-9]</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36 </w:t>
      </w:r>
      <w:r w:rsidRPr="00195F34">
        <w:rPr>
          <w:rFonts w:ascii="Book Antiqua" w:hAnsi="Book Antiqua" w:cs="宋体"/>
          <w:b/>
          <w:bCs/>
          <w:sz w:val="24"/>
          <w:szCs w:val="24"/>
        </w:rPr>
        <w:t>Messinezy M</w:t>
      </w:r>
      <w:r w:rsidRPr="00195F34">
        <w:rPr>
          <w:rFonts w:ascii="Book Antiqua" w:hAnsi="Book Antiqua" w:cs="宋体"/>
          <w:sz w:val="24"/>
          <w:szCs w:val="24"/>
        </w:rPr>
        <w:t>, Westwood NB, El-Hemaidi I, Marsden JT, Sherwood RS, Pearson TC. Serum erythropoietin values in erythrocytoses and in primary thrombocythaemia. </w:t>
      </w:r>
      <w:r w:rsidRPr="00195F34">
        <w:rPr>
          <w:rFonts w:ascii="Book Antiqua" w:hAnsi="Book Antiqua" w:cs="宋体"/>
          <w:i/>
          <w:iCs/>
          <w:sz w:val="24"/>
          <w:szCs w:val="24"/>
        </w:rPr>
        <w:t>Br J Haematol</w:t>
      </w:r>
      <w:r w:rsidRPr="00195F34">
        <w:rPr>
          <w:rFonts w:ascii="Book Antiqua" w:hAnsi="Book Antiqua" w:cs="宋体"/>
          <w:sz w:val="24"/>
          <w:szCs w:val="24"/>
        </w:rPr>
        <w:t> 2002; </w:t>
      </w:r>
      <w:r w:rsidRPr="00195F34">
        <w:rPr>
          <w:rFonts w:ascii="Book Antiqua" w:hAnsi="Book Antiqua" w:cs="宋体"/>
          <w:b/>
          <w:bCs/>
          <w:sz w:val="24"/>
          <w:szCs w:val="24"/>
        </w:rPr>
        <w:t>117</w:t>
      </w:r>
      <w:r w:rsidRPr="00195F34">
        <w:rPr>
          <w:rFonts w:ascii="Book Antiqua" w:hAnsi="Book Antiqua" w:cs="宋体"/>
          <w:sz w:val="24"/>
          <w:szCs w:val="24"/>
        </w:rPr>
        <w:t>: 47-53 [PMID: 11918532 DOI: 10.1046/j.1365-2141.2002.03386.x]</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37 </w:t>
      </w:r>
      <w:r w:rsidRPr="00195F34">
        <w:rPr>
          <w:rFonts w:ascii="Book Antiqua" w:hAnsi="Book Antiqua" w:cs="宋体"/>
          <w:b/>
          <w:bCs/>
          <w:sz w:val="24"/>
          <w:szCs w:val="24"/>
        </w:rPr>
        <w:t>Jantunen R</w:t>
      </w:r>
      <w:r w:rsidRPr="00195F34">
        <w:rPr>
          <w:rFonts w:ascii="Book Antiqua" w:hAnsi="Book Antiqua" w:cs="宋体"/>
          <w:sz w:val="24"/>
          <w:szCs w:val="24"/>
        </w:rPr>
        <w:t>, Juvonen E, Ikkala E, Oksanen K, Anttila P, Ruutu T. Development of erythrocytosis in the course of essential thrombocythemia. </w:t>
      </w:r>
      <w:r w:rsidRPr="00195F34">
        <w:rPr>
          <w:rFonts w:ascii="Book Antiqua" w:hAnsi="Book Antiqua" w:cs="宋体"/>
          <w:i/>
          <w:iCs/>
          <w:sz w:val="24"/>
          <w:szCs w:val="24"/>
        </w:rPr>
        <w:t>Ann Hematol</w:t>
      </w:r>
      <w:r w:rsidRPr="00195F34">
        <w:rPr>
          <w:rFonts w:ascii="Book Antiqua" w:hAnsi="Book Antiqua" w:cs="宋体"/>
          <w:sz w:val="24"/>
          <w:szCs w:val="24"/>
        </w:rPr>
        <w:t> 1999; </w:t>
      </w:r>
      <w:r w:rsidRPr="00195F34">
        <w:rPr>
          <w:rFonts w:ascii="Book Antiqua" w:hAnsi="Book Antiqua" w:cs="宋体"/>
          <w:b/>
          <w:bCs/>
          <w:sz w:val="24"/>
          <w:szCs w:val="24"/>
        </w:rPr>
        <w:t>78</w:t>
      </w:r>
      <w:r w:rsidRPr="00195F34">
        <w:rPr>
          <w:rFonts w:ascii="Book Antiqua" w:hAnsi="Book Antiqua" w:cs="宋体"/>
          <w:sz w:val="24"/>
          <w:szCs w:val="24"/>
        </w:rPr>
        <w:t>: 219-222 [PMID: 10391102 DOI: 10.1007/s002770050505]</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38 </w:t>
      </w:r>
      <w:r w:rsidRPr="00195F34">
        <w:rPr>
          <w:rFonts w:ascii="Book Antiqua" w:hAnsi="Book Antiqua" w:cs="宋体"/>
          <w:b/>
          <w:bCs/>
          <w:sz w:val="24"/>
          <w:szCs w:val="24"/>
        </w:rPr>
        <w:t>Sirhan S</w:t>
      </w:r>
      <w:r w:rsidRPr="00195F34">
        <w:rPr>
          <w:rFonts w:ascii="Book Antiqua" w:hAnsi="Book Antiqua" w:cs="宋体"/>
          <w:sz w:val="24"/>
          <w:szCs w:val="24"/>
        </w:rPr>
        <w:t>, Fairbanks VF, Tefferi A. Red cell mass and plasma volume measurements in polycythemia: evaluation of performance and practical utility. </w:t>
      </w:r>
      <w:r w:rsidRPr="00195F34">
        <w:rPr>
          <w:rFonts w:ascii="Book Antiqua" w:hAnsi="Book Antiqua" w:cs="宋体"/>
          <w:i/>
          <w:iCs/>
          <w:sz w:val="24"/>
          <w:szCs w:val="24"/>
        </w:rPr>
        <w:t>Cancer</w:t>
      </w:r>
      <w:r w:rsidRPr="00195F34">
        <w:rPr>
          <w:rFonts w:ascii="Book Antiqua" w:hAnsi="Book Antiqua" w:cs="宋体"/>
          <w:sz w:val="24"/>
          <w:szCs w:val="24"/>
        </w:rPr>
        <w:t> 2005; </w:t>
      </w:r>
      <w:r w:rsidRPr="00195F34">
        <w:rPr>
          <w:rFonts w:ascii="Book Antiqua" w:hAnsi="Book Antiqua" w:cs="宋体"/>
          <w:b/>
          <w:bCs/>
          <w:sz w:val="24"/>
          <w:szCs w:val="24"/>
        </w:rPr>
        <w:t>104</w:t>
      </w:r>
      <w:r w:rsidRPr="00195F34">
        <w:rPr>
          <w:rFonts w:ascii="Book Antiqua" w:hAnsi="Book Antiqua" w:cs="宋体"/>
          <w:sz w:val="24"/>
          <w:szCs w:val="24"/>
        </w:rPr>
        <w:t>: 213-215 [PMID: 15889449 DOI: 10.1002/cncr.21105]</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39 </w:t>
      </w:r>
      <w:r w:rsidRPr="00195F34">
        <w:rPr>
          <w:rFonts w:ascii="Book Antiqua" w:hAnsi="Book Antiqua" w:cs="宋体"/>
          <w:b/>
          <w:bCs/>
          <w:sz w:val="24"/>
          <w:szCs w:val="24"/>
        </w:rPr>
        <w:t>Johansson PL</w:t>
      </w:r>
      <w:r w:rsidRPr="00195F34">
        <w:rPr>
          <w:rFonts w:ascii="Book Antiqua" w:hAnsi="Book Antiqua" w:cs="宋体"/>
          <w:sz w:val="24"/>
          <w:szCs w:val="24"/>
        </w:rPr>
        <w:t>, Safai-Kutti S, Kutti J. An elevated venous haemoglobin concentration cannot be used as a surrogate marker for absolute erythrocytosis: a study of patients with polycythaemia vera and apparent polycythaemia. </w:t>
      </w:r>
      <w:r w:rsidRPr="00195F34">
        <w:rPr>
          <w:rFonts w:ascii="Book Antiqua" w:hAnsi="Book Antiqua" w:cs="宋体"/>
          <w:i/>
          <w:iCs/>
          <w:sz w:val="24"/>
          <w:szCs w:val="24"/>
        </w:rPr>
        <w:t>Br J Haematol</w:t>
      </w:r>
      <w:r w:rsidRPr="00195F34">
        <w:rPr>
          <w:rFonts w:ascii="Book Antiqua" w:hAnsi="Book Antiqua" w:cs="宋体"/>
          <w:sz w:val="24"/>
          <w:szCs w:val="24"/>
        </w:rPr>
        <w:t> 2005; </w:t>
      </w:r>
      <w:r w:rsidRPr="00195F34">
        <w:rPr>
          <w:rFonts w:ascii="Book Antiqua" w:hAnsi="Book Antiqua" w:cs="宋体"/>
          <w:b/>
          <w:bCs/>
          <w:sz w:val="24"/>
          <w:szCs w:val="24"/>
        </w:rPr>
        <w:t>129</w:t>
      </w:r>
      <w:r w:rsidRPr="00195F34">
        <w:rPr>
          <w:rFonts w:ascii="Book Antiqua" w:hAnsi="Book Antiqua" w:cs="宋体"/>
          <w:sz w:val="24"/>
          <w:szCs w:val="24"/>
        </w:rPr>
        <w:t>: 701-705 [PMID: 15916693 DOI: 10.1111/j.1365-2141.2005.05517.x]</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40 </w:t>
      </w:r>
      <w:r w:rsidRPr="00195F34">
        <w:rPr>
          <w:rFonts w:ascii="Book Antiqua" w:hAnsi="Book Antiqua" w:cs="宋体"/>
          <w:b/>
          <w:bCs/>
          <w:sz w:val="24"/>
          <w:szCs w:val="24"/>
        </w:rPr>
        <w:t>Buhr T</w:t>
      </w:r>
      <w:r w:rsidRPr="00195F34">
        <w:rPr>
          <w:rFonts w:ascii="Book Antiqua" w:hAnsi="Book Antiqua" w:cs="宋体"/>
          <w:sz w:val="24"/>
          <w:szCs w:val="24"/>
        </w:rPr>
        <w:t xml:space="preserve">, Hebeda K, Kaloutsi V, Porwit A, Van der Walt J, Kreipe H. European Bone Marrow Working Group trial on reproducibility of World Health Organization criteria to discriminate essential thrombocythemia from prefibrotic primary </w:t>
      </w:r>
      <w:r w:rsidRPr="00195F34">
        <w:rPr>
          <w:rFonts w:ascii="Book Antiqua" w:hAnsi="Book Antiqua" w:cs="宋体"/>
          <w:sz w:val="24"/>
          <w:szCs w:val="24"/>
        </w:rPr>
        <w:lastRenderedPageBreak/>
        <w:t>myelofibrosis. </w:t>
      </w:r>
      <w:r w:rsidRPr="00195F34">
        <w:rPr>
          <w:rFonts w:ascii="Book Antiqua" w:hAnsi="Book Antiqua" w:cs="宋体"/>
          <w:i/>
          <w:iCs/>
          <w:sz w:val="24"/>
          <w:szCs w:val="24"/>
        </w:rPr>
        <w:t>Haematologica</w:t>
      </w:r>
      <w:r w:rsidRPr="00195F34">
        <w:rPr>
          <w:rFonts w:ascii="Book Antiqua" w:hAnsi="Book Antiqua" w:cs="宋体"/>
          <w:sz w:val="24"/>
          <w:szCs w:val="24"/>
        </w:rPr>
        <w:t> 2012; </w:t>
      </w:r>
      <w:r w:rsidRPr="00195F34">
        <w:rPr>
          <w:rFonts w:ascii="Book Antiqua" w:hAnsi="Book Antiqua" w:cs="宋体"/>
          <w:b/>
          <w:bCs/>
          <w:sz w:val="24"/>
          <w:szCs w:val="24"/>
        </w:rPr>
        <w:t>97</w:t>
      </w:r>
      <w:r w:rsidRPr="00195F34">
        <w:rPr>
          <w:rFonts w:ascii="Book Antiqua" w:hAnsi="Book Antiqua" w:cs="宋体"/>
          <w:sz w:val="24"/>
          <w:szCs w:val="24"/>
        </w:rPr>
        <w:t>: 360-365 [PMID: 22058215 DOI: 10.3324/haematol.2011.047811]</w:t>
      </w:r>
    </w:p>
    <w:p w:rsidR="00702CE8"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41 </w:t>
      </w:r>
      <w:r w:rsidRPr="00195F34">
        <w:rPr>
          <w:rFonts w:ascii="Book Antiqua" w:hAnsi="Book Antiqua" w:cs="宋体"/>
          <w:b/>
          <w:bCs/>
          <w:sz w:val="24"/>
          <w:szCs w:val="24"/>
        </w:rPr>
        <w:t>Scott LM</w:t>
      </w:r>
      <w:r w:rsidRPr="00195F34">
        <w:rPr>
          <w:rFonts w:ascii="Book Antiqua" w:hAnsi="Book Antiqua" w:cs="宋体"/>
          <w:sz w:val="24"/>
          <w:szCs w:val="24"/>
        </w:rPr>
        <w:t>, Scott MA, Campbell PJ, Green AR. Progenitors homozygous for the V617F mutation occur in most patients with polycythemia vera, but not essential thrombocythemia. </w:t>
      </w:r>
      <w:r w:rsidRPr="00195F34">
        <w:rPr>
          <w:rFonts w:ascii="Book Antiqua" w:hAnsi="Book Antiqua" w:cs="宋体"/>
          <w:i/>
          <w:iCs/>
          <w:sz w:val="24"/>
          <w:szCs w:val="24"/>
        </w:rPr>
        <w:t>Blood</w:t>
      </w:r>
      <w:r w:rsidRPr="00195F34">
        <w:rPr>
          <w:rFonts w:ascii="Book Antiqua" w:hAnsi="Book Antiqua" w:cs="宋体"/>
          <w:sz w:val="24"/>
          <w:szCs w:val="24"/>
        </w:rPr>
        <w:t> 2006; </w:t>
      </w:r>
      <w:r w:rsidRPr="00195F34">
        <w:rPr>
          <w:rFonts w:ascii="Book Antiqua" w:hAnsi="Book Antiqua" w:cs="宋体"/>
          <w:b/>
          <w:bCs/>
          <w:sz w:val="24"/>
          <w:szCs w:val="24"/>
        </w:rPr>
        <w:t>108</w:t>
      </w:r>
      <w:r w:rsidRPr="00195F34">
        <w:rPr>
          <w:rFonts w:ascii="Book Antiqua" w:hAnsi="Book Antiqua" w:cs="宋体"/>
          <w:sz w:val="24"/>
          <w:szCs w:val="24"/>
        </w:rPr>
        <w:t>: 2435-2437 [PMID: 16772604 DOI: 10.1182/blood-2006-04-018259]</w:t>
      </w:r>
    </w:p>
    <w:p w:rsidR="00702CE8" w:rsidRPr="00195F34" w:rsidRDefault="00702CE8" w:rsidP="00AC3FB8">
      <w:pPr>
        <w:spacing w:line="360" w:lineRule="auto"/>
        <w:jc w:val="both"/>
        <w:rPr>
          <w:rFonts w:ascii="Book Antiqua" w:hAnsi="Book Antiqua" w:cs="宋体"/>
          <w:sz w:val="24"/>
          <w:szCs w:val="24"/>
        </w:rPr>
      </w:pPr>
      <w:r>
        <w:rPr>
          <w:rFonts w:ascii="Book Antiqua" w:hAnsi="Book Antiqua" w:cs="宋体"/>
          <w:sz w:val="24"/>
          <w:szCs w:val="24"/>
        </w:rPr>
        <w:t xml:space="preserve">42 </w:t>
      </w:r>
      <w:r w:rsidRPr="00657B8E">
        <w:rPr>
          <w:rFonts w:ascii="Book Antiqua" w:hAnsi="Book Antiqua" w:cs="宋体"/>
          <w:sz w:val="24"/>
          <w:szCs w:val="24"/>
        </w:rPr>
        <w:t>Dupont</w:t>
      </w:r>
      <w:r>
        <w:rPr>
          <w:rFonts w:ascii="Book Antiqua" w:hAnsi="Book Antiqua" w:cs="宋体"/>
          <w:sz w:val="24"/>
          <w:szCs w:val="24"/>
        </w:rPr>
        <w:t xml:space="preserve"> S</w:t>
      </w:r>
      <w:r w:rsidRPr="00657B8E">
        <w:rPr>
          <w:rFonts w:ascii="Book Antiqua" w:hAnsi="Book Antiqua" w:cs="宋体"/>
          <w:sz w:val="24"/>
          <w:szCs w:val="24"/>
        </w:rPr>
        <w:t>, Massé</w:t>
      </w:r>
      <w:r>
        <w:rPr>
          <w:rFonts w:ascii="Book Antiqua" w:hAnsi="Book Antiqua" w:cs="宋体"/>
          <w:sz w:val="24"/>
          <w:szCs w:val="24"/>
        </w:rPr>
        <w:t xml:space="preserve"> A</w:t>
      </w:r>
      <w:r w:rsidRPr="00657B8E">
        <w:rPr>
          <w:rFonts w:ascii="Book Antiqua" w:hAnsi="Book Antiqua" w:cs="宋体"/>
          <w:sz w:val="24"/>
          <w:szCs w:val="24"/>
        </w:rPr>
        <w:t xml:space="preserve">, </w:t>
      </w:r>
      <w:r>
        <w:rPr>
          <w:rFonts w:ascii="Book Antiqua" w:hAnsi="Book Antiqua" w:cs="宋体"/>
          <w:sz w:val="24"/>
          <w:szCs w:val="24"/>
        </w:rPr>
        <w:t>James C</w:t>
      </w:r>
      <w:r w:rsidRPr="00657B8E">
        <w:rPr>
          <w:rFonts w:ascii="Book Antiqua" w:hAnsi="Book Antiqua" w:cs="宋体" w:hint="eastAsia"/>
          <w:sz w:val="24"/>
          <w:szCs w:val="24"/>
        </w:rPr>
        <w:t>，</w:t>
      </w:r>
      <w:r w:rsidRPr="00657B8E">
        <w:rPr>
          <w:rFonts w:ascii="Book Antiqua" w:hAnsi="Book Antiqua" w:cs="宋体"/>
          <w:sz w:val="24"/>
          <w:szCs w:val="24"/>
        </w:rPr>
        <w:t xml:space="preserve"> Teyssandier</w:t>
      </w:r>
      <w:r>
        <w:rPr>
          <w:rFonts w:ascii="Book Antiqua" w:hAnsi="Book Antiqua" w:cs="宋体"/>
          <w:sz w:val="24"/>
          <w:szCs w:val="24"/>
        </w:rPr>
        <w:t xml:space="preserve"> I</w:t>
      </w:r>
      <w:r w:rsidRPr="00657B8E">
        <w:rPr>
          <w:rFonts w:ascii="Book Antiqua" w:hAnsi="Book Antiqua" w:cs="宋体"/>
          <w:sz w:val="24"/>
          <w:szCs w:val="24"/>
        </w:rPr>
        <w:t>, Lécluse</w:t>
      </w:r>
      <w:r>
        <w:rPr>
          <w:rFonts w:ascii="Book Antiqua" w:hAnsi="Book Antiqua" w:cs="宋体"/>
          <w:sz w:val="24"/>
          <w:szCs w:val="24"/>
        </w:rPr>
        <w:t xml:space="preserve"> Y</w:t>
      </w:r>
      <w:r w:rsidRPr="00657B8E">
        <w:rPr>
          <w:rFonts w:ascii="Book Antiqua" w:hAnsi="Book Antiqua" w:cs="宋体"/>
          <w:sz w:val="24"/>
          <w:szCs w:val="24"/>
        </w:rPr>
        <w:t>,</w:t>
      </w:r>
      <w:r>
        <w:rPr>
          <w:rFonts w:ascii="Book Antiqua" w:hAnsi="Book Antiqua" w:cs="宋体"/>
          <w:sz w:val="24"/>
          <w:szCs w:val="24"/>
        </w:rPr>
        <w:t xml:space="preserve"> </w:t>
      </w:r>
      <w:r w:rsidRPr="00657B8E">
        <w:rPr>
          <w:rFonts w:ascii="Book Antiqua" w:hAnsi="Book Antiqua" w:cs="宋体"/>
          <w:sz w:val="24"/>
          <w:szCs w:val="24"/>
        </w:rPr>
        <w:t>Larbret</w:t>
      </w:r>
      <w:r>
        <w:rPr>
          <w:rFonts w:ascii="Book Antiqua" w:hAnsi="Book Antiqua" w:cs="宋体"/>
          <w:sz w:val="24"/>
          <w:szCs w:val="24"/>
        </w:rPr>
        <w:t xml:space="preserve"> F</w:t>
      </w:r>
      <w:r w:rsidRPr="00657B8E">
        <w:rPr>
          <w:rFonts w:ascii="Book Antiqua" w:hAnsi="Book Antiqua" w:cs="宋体" w:hint="eastAsia"/>
          <w:sz w:val="24"/>
          <w:szCs w:val="24"/>
        </w:rPr>
        <w:t>，</w:t>
      </w:r>
      <w:r w:rsidRPr="00657B8E">
        <w:rPr>
          <w:rFonts w:ascii="Book Antiqua" w:hAnsi="Book Antiqua" w:cs="宋体"/>
          <w:sz w:val="24"/>
          <w:szCs w:val="24"/>
        </w:rPr>
        <w:t xml:space="preserve"> Ugo</w:t>
      </w:r>
      <w:r>
        <w:rPr>
          <w:rFonts w:ascii="Book Antiqua" w:hAnsi="Book Antiqua" w:cs="宋体"/>
          <w:sz w:val="24"/>
          <w:szCs w:val="24"/>
        </w:rPr>
        <w:t xml:space="preserve"> V</w:t>
      </w:r>
      <w:r w:rsidRPr="00657B8E">
        <w:rPr>
          <w:rFonts w:ascii="Book Antiqua" w:hAnsi="Book Antiqua" w:cs="宋体"/>
          <w:sz w:val="24"/>
          <w:szCs w:val="24"/>
        </w:rPr>
        <w:t>,</w:t>
      </w:r>
      <w:r>
        <w:rPr>
          <w:rFonts w:ascii="Book Antiqua" w:hAnsi="Book Antiqua" w:cs="宋体"/>
          <w:sz w:val="24"/>
          <w:szCs w:val="24"/>
        </w:rPr>
        <w:t xml:space="preserve"> </w:t>
      </w:r>
      <w:r w:rsidRPr="00657B8E">
        <w:rPr>
          <w:rFonts w:ascii="Book Antiqua" w:hAnsi="Book Antiqua" w:cs="宋体"/>
          <w:sz w:val="24"/>
          <w:szCs w:val="24"/>
        </w:rPr>
        <w:t>Saulnier</w:t>
      </w:r>
      <w:r>
        <w:rPr>
          <w:rFonts w:ascii="Book Antiqua" w:hAnsi="Book Antiqua" w:cs="宋体"/>
          <w:sz w:val="24"/>
          <w:szCs w:val="24"/>
        </w:rPr>
        <w:t xml:space="preserve"> P, </w:t>
      </w:r>
      <w:r w:rsidRPr="00657B8E">
        <w:rPr>
          <w:rFonts w:ascii="Book Antiqua" w:hAnsi="Book Antiqua" w:cs="宋体"/>
          <w:sz w:val="24"/>
          <w:szCs w:val="24"/>
        </w:rPr>
        <w:t>Koscielny</w:t>
      </w:r>
      <w:r>
        <w:rPr>
          <w:rFonts w:ascii="Book Antiqua" w:hAnsi="Book Antiqua" w:cs="宋体"/>
          <w:sz w:val="24"/>
          <w:szCs w:val="24"/>
        </w:rPr>
        <w:t xml:space="preserve"> S, </w:t>
      </w:r>
      <w:r w:rsidRPr="00657B8E">
        <w:rPr>
          <w:rFonts w:ascii="Book Antiqua" w:hAnsi="Book Antiqua" w:cs="宋体"/>
          <w:sz w:val="24"/>
          <w:szCs w:val="24"/>
        </w:rPr>
        <w:t>Le Couédic</w:t>
      </w:r>
      <w:r>
        <w:rPr>
          <w:rFonts w:ascii="Book Antiqua" w:hAnsi="Book Antiqua" w:cs="宋体"/>
          <w:sz w:val="24"/>
          <w:szCs w:val="24"/>
        </w:rPr>
        <w:t xml:space="preserve"> JP</w:t>
      </w:r>
      <w:r w:rsidRPr="00657B8E">
        <w:rPr>
          <w:rFonts w:ascii="Book Antiqua" w:hAnsi="Book Antiqua" w:cs="宋体"/>
          <w:sz w:val="24"/>
          <w:szCs w:val="24"/>
        </w:rPr>
        <w:t>, Casadevall</w:t>
      </w:r>
      <w:r>
        <w:rPr>
          <w:rFonts w:ascii="Book Antiqua" w:hAnsi="Book Antiqua" w:cs="宋体"/>
          <w:sz w:val="24"/>
          <w:szCs w:val="24"/>
        </w:rPr>
        <w:t xml:space="preserve"> N</w:t>
      </w:r>
      <w:r w:rsidRPr="00657B8E">
        <w:rPr>
          <w:rFonts w:ascii="Book Antiqua" w:hAnsi="Book Antiqua" w:cs="宋体"/>
          <w:sz w:val="24"/>
          <w:szCs w:val="24"/>
        </w:rPr>
        <w:t>, Vainchenker</w:t>
      </w:r>
      <w:r>
        <w:rPr>
          <w:rFonts w:ascii="Book Antiqua" w:hAnsi="Book Antiqua" w:cs="宋体"/>
          <w:sz w:val="24"/>
          <w:szCs w:val="24"/>
        </w:rPr>
        <w:t xml:space="preserve"> W</w:t>
      </w:r>
      <w:r w:rsidRPr="00657B8E">
        <w:rPr>
          <w:rFonts w:ascii="Book Antiqua" w:hAnsi="Book Antiqua" w:cs="宋体"/>
          <w:sz w:val="24"/>
          <w:szCs w:val="24"/>
        </w:rPr>
        <w:t>, Delhommeau</w:t>
      </w:r>
      <w:r>
        <w:rPr>
          <w:rFonts w:ascii="Book Antiqua" w:hAnsi="Book Antiqua" w:cs="宋体"/>
          <w:sz w:val="24"/>
          <w:szCs w:val="24"/>
        </w:rPr>
        <w:t xml:space="preserve"> F. </w:t>
      </w:r>
      <w:r w:rsidRPr="00195F34">
        <w:rPr>
          <w:rFonts w:ascii="Book Antiqua" w:hAnsi="Book Antiqua" w:cs="宋体"/>
          <w:sz w:val="24"/>
          <w:szCs w:val="24"/>
        </w:rPr>
        <w:t>The JAK2V617F mutation triggers erythropoietin hypersensitivity and terminal erythroid amplification in primary cells from patients with poly</w:t>
      </w:r>
      <w:r>
        <w:rPr>
          <w:rFonts w:ascii="Book Antiqua" w:hAnsi="Book Antiqua" w:cs="宋体"/>
          <w:sz w:val="24"/>
          <w:szCs w:val="24"/>
        </w:rPr>
        <w:t>cythemia vera. Blood 27, 2007</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43 </w:t>
      </w:r>
      <w:r w:rsidRPr="00195F34">
        <w:rPr>
          <w:rFonts w:ascii="Book Antiqua" w:hAnsi="Book Antiqua" w:cs="宋体"/>
          <w:b/>
          <w:bCs/>
          <w:sz w:val="24"/>
          <w:szCs w:val="24"/>
        </w:rPr>
        <w:t>Wolanskyj AP</w:t>
      </w:r>
      <w:r w:rsidRPr="00195F34">
        <w:rPr>
          <w:rFonts w:ascii="Book Antiqua" w:hAnsi="Book Antiqua" w:cs="宋体"/>
          <w:sz w:val="24"/>
          <w:szCs w:val="24"/>
        </w:rPr>
        <w:t>, Lasho TL, Schwager SM, McClure RF, Wadleigh M, Lee SJ, Gilliland DG, Tefferi A. JAK2 mutation in essential thrombocythaemia: clinical associations and long-term prognostic relevance. </w:t>
      </w:r>
      <w:r w:rsidRPr="00195F34">
        <w:rPr>
          <w:rFonts w:ascii="Book Antiqua" w:hAnsi="Book Antiqua" w:cs="宋体"/>
          <w:i/>
          <w:iCs/>
          <w:sz w:val="24"/>
          <w:szCs w:val="24"/>
        </w:rPr>
        <w:t>Br J Haematol</w:t>
      </w:r>
      <w:r w:rsidRPr="00195F34">
        <w:rPr>
          <w:rFonts w:ascii="Book Antiqua" w:hAnsi="Book Antiqua" w:cs="宋体"/>
          <w:sz w:val="24"/>
          <w:szCs w:val="24"/>
        </w:rPr>
        <w:t> 2005; </w:t>
      </w:r>
      <w:r w:rsidRPr="00195F34">
        <w:rPr>
          <w:rFonts w:ascii="Book Antiqua" w:hAnsi="Book Antiqua" w:cs="宋体"/>
          <w:b/>
          <w:bCs/>
          <w:sz w:val="24"/>
          <w:szCs w:val="24"/>
        </w:rPr>
        <w:t>131</w:t>
      </w:r>
      <w:r w:rsidRPr="00195F34">
        <w:rPr>
          <w:rFonts w:ascii="Book Antiqua" w:hAnsi="Book Antiqua" w:cs="宋体"/>
          <w:sz w:val="24"/>
          <w:szCs w:val="24"/>
        </w:rPr>
        <w:t>: 208-213 [PMID: 16197451 DOI: 10.1111/j.1365-2141.2005.05764.x]</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44 </w:t>
      </w:r>
      <w:r w:rsidRPr="00195F34">
        <w:rPr>
          <w:rFonts w:ascii="Book Antiqua" w:hAnsi="Book Antiqua" w:cs="宋体"/>
          <w:b/>
          <w:bCs/>
          <w:sz w:val="24"/>
          <w:szCs w:val="24"/>
        </w:rPr>
        <w:t>Antonioli E</w:t>
      </w:r>
      <w:r w:rsidRPr="00195F34">
        <w:rPr>
          <w:rFonts w:ascii="Book Antiqua" w:hAnsi="Book Antiqua" w:cs="宋体"/>
          <w:sz w:val="24"/>
          <w:szCs w:val="24"/>
        </w:rPr>
        <w:t>, Guglielmelli P, Pancrazzi A, Bogani C, Verrucci M, Ponziani V, Longo G, Bosi A, Vannucchi AM. Clinical implications of the JAK2 V617F mutation in essential thrombocythemia. </w:t>
      </w:r>
      <w:r w:rsidRPr="00195F34">
        <w:rPr>
          <w:rFonts w:ascii="Book Antiqua" w:hAnsi="Book Antiqua" w:cs="宋体"/>
          <w:i/>
          <w:iCs/>
          <w:sz w:val="24"/>
          <w:szCs w:val="24"/>
        </w:rPr>
        <w:t>Leukemia</w:t>
      </w:r>
      <w:r w:rsidRPr="00195F34">
        <w:rPr>
          <w:rFonts w:ascii="Book Antiqua" w:hAnsi="Book Antiqua" w:cs="宋体"/>
          <w:sz w:val="24"/>
          <w:szCs w:val="24"/>
        </w:rPr>
        <w:t> 2005; </w:t>
      </w:r>
      <w:r w:rsidRPr="00195F34">
        <w:rPr>
          <w:rFonts w:ascii="Book Antiqua" w:hAnsi="Book Antiqua" w:cs="宋体"/>
          <w:b/>
          <w:bCs/>
          <w:sz w:val="24"/>
          <w:szCs w:val="24"/>
        </w:rPr>
        <w:t>19</w:t>
      </w:r>
      <w:r w:rsidRPr="00195F34">
        <w:rPr>
          <w:rFonts w:ascii="Book Antiqua" w:hAnsi="Book Antiqua" w:cs="宋体"/>
          <w:sz w:val="24"/>
          <w:szCs w:val="24"/>
        </w:rPr>
        <w:t>: 1847-1849 [PMID: 16079890 DOI: 10.1038/sj.leu.2403902]</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45 </w:t>
      </w:r>
      <w:r w:rsidRPr="00195F34">
        <w:rPr>
          <w:rFonts w:ascii="Book Antiqua" w:hAnsi="Book Antiqua" w:cs="宋体"/>
          <w:b/>
          <w:bCs/>
          <w:sz w:val="24"/>
          <w:szCs w:val="24"/>
        </w:rPr>
        <w:t>Cheung B</w:t>
      </w:r>
      <w:r w:rsidRPr="00195F34">
        <w:rPr>
          <w:rFonts w:ascii="Book Antiqua" w:hAnsi="Book Antiqua" w:cs="宋体"/>
          <w:sz w:val="24"/>
          <w:szCs w:val="24"/>
        </w:rPr>
        <w:t>, Radia D, Pantelidis P, Yadegarfar G, Harrison C. The presence of the JAK2 V617F mutation is associated with a higher haemoglobin and increased risk of thrombosis in essential thrombocythaemia. </w:t>
      </w:r>
      <w:r w:rsidRPr="00195F34">
        <w:rPr>
          <w:rFonts w:ascii="Book Antiqua" w:hAnsi="Book Antiqua" w:cs="宋体"/>
          <w:i/>
          <w:iCs/>
          <w:sz w:val="24"/>
          <w:szCs w:val="24"/>
        </w:rPr>
        <w:t>Br J Haematol</w:t>
      </w:r>
      <w:r w:rsidRPr="00195F34">
        <w:rPr>
          <w:rFonts w:ascii="Book Antiqua" w:hAnsi="Book Antiqua" w:cs="宋体"/>
          <w:sz w:val="24"/>
          <w:szCs w:val="24"/>
        </w:rPr>
        <w:t> 2006; </w:t>
      </w:r>
      <w:r w:rsidRPr="00195F34">
        <w:rPr>
          <w:rFonts w:ascii="Book Antiqua" w:hAnsi="Book Antiqua" w:cs="宋体"/>
          <w:b/>
          <w:bCs/>
          <w:sz w:val="24"/>
          <w:szCs w:val="24"/>
        </w:rPr>
        <w:t>132</w:t>
      </w:r>
      <w:r w:rsidRPr="00195F34">
        <w:rPr>
          <w:rFonts w:ascii="Book Antiqua" w:hAnsi="Book Antiqua" w:cs="宋体"/>
          <w:sz w:val="24"/>
          <w:szCs w:val="24"/>
        </w:rPr>
        <w:t>: 244-245 [PMID: 16398659 DOI: 10.1111/j.1365-2141.2005.05858.x]</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46 </w:t>
      </w:r>
      <w:r w:rsidRPr="00195F34">
        <w:rPr>
          <w:rFonts w:ascii="Book Antiqua" w:hAnsi="Book Antiqua" w:cs="宋体"/>
          <w:b/>
          <w:bCs/>
          <w:sz w:val="24"/>
          <w:szCs w:val="24"/>
        </w:rPr>
        <w:t>Alvarez-Larrán A</w:t>
      </w:r>
      <w:r w:rsidRPr="00195F34">
        <w:rPr>
          <w:rFonts w:ascii="Book Antiqua" w:hAnsi="Book Antiqua" w:cs="宋体"/>
          <w:sz w:val="24"/>
          <w:szCs w:val="24"/>
        </w:rPr>
        <w:t>, Cervantes F, Bellosillo B, Giralt M, Juliá A, Hernández-Boluda JC, Bosch A, Hernández-Nieto L, Clapés V, Burgaleta C, Salvador C, Arellano-Rodrigo E, Colomer D, Besses C. Essential thrombocythemia in young individuals: frequency and risk factors for vascular events and evolution to myelofibrosis in 126 patients. </w:t>
      </w:r>
      <w:r w:rsidRPr="00195F34">
        <w:rPr>
          <w:rFonts w:ascii="Book Antiqua" w:hAnsi="Book Antiqua" w:cs="宋体"/>
          <w:i/>
          <w:iCs/>
          <w:sz w:val="24"/>
          <w:szCs w:val="24"/>
        </w:rPr>
        <w:t>Leukemia</w:t>
      </w:r>
      <w:r w:rsidRPr="00195F34">
        <w:rPr>
          <w:rFonts w:ascii="Book Antiqua" w:hAnsi="Book Antiqua" w:cs="宋体"/>
          <w:sz w:val="24"/>
          <w:szCs w:val="24"/>
        </w:rPr>
        <w:t> 2007; </w:t>
      </w:r>
      <w:r w:rsidRPr="00195F34">
        <w:rPr>
          <w:rFonts w:ascii="Book Antiqua" w:hAnsi="Book Antiqua" w:cs="宋体"/>
          <w:b/>
          <w:bCs/>
          <w:sz w:val="24"/>
          <w:szCs w:val="24"/>
        </w:rPr>
        <w:t>21</w:t>
      </w:r>
      <w:r w:rsidRPr="00195F34">
        <w:rPr>
          <w:rFonts w:ascii="Book Antiqua" w:hAnsi="Book Antiqua" w:cs="宋体"/>
          <w:sz w:val="24"/>
          <w:szCs w:val="24"/>
        </w:rPr>
        <w:t>: 1218-1223 [PMID: 17519959 DOI: 10.1038/sj.leu.2404693]</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lastRenderedPageBreak/>
        <w:t>47 </w:t>
      </w:r>
      <w:r w:rsidRPr="00195F34">
        <w:rPr>
          <w:rFonts w:ascii="Book Antiqua" w:hAnsi="Book Antiqua" w:cs="宋体"/>
          <w:b/>
          <w:bCs/>
          <w:sz w:val="24"/>
          <w:szCs w:val="24"/>
        </w:rPr>
        <w:t>Campbell PJ</w:t>
      </w:r>
      <w:r w:rsidRPr="00195F34">
        <w:rPr>
          <w:rFonts w:ascii="Book Antiqua" w:hAnsi="Book Antiqua" w:cs="宋体"/>
          <w:sz w:val="24"/>
          <w:szCs w:val="24"/>
        </w:rPr>
        <w:t>, Green AR. The myeloproliferative disorders. </w:t>
      </w:r>
      <w:r w:rsidRPr="00195F34">
        <w:rPr>
          <w:rFonts w:ascii="Book Antiqua" w:hAnsi="Book Antiqua" w:cs="宋体"/>
          <w:i/>
          <w:iCs/>
          <w:sz w:val="24"/>
          <w:szCs w:val="24"/>
        </w:rPr>
        <w:t>N Engl J Med</w:t>
      </w:r>
      <w:r w:rsidRPr="00195F34">
        <w:rPr>
          <w:rFonts w:ascii="Book Antiqua" w:hAnsi="Book Antiqua" w:cs="宋体"/>
          <w:sz w:val="24"/>
          <w:szCs w:val="24"/>
        </w:rPr>
        <w:t> 2006; </w:t>
      </w:r>
      <w:r w:rsidRPr="00195F34">
        <w:rPr>
          <w:rFonts w:ascii="Book Antiqua" w:hAnsi="Book Antiqua" w:cs="宋体"/>
          <w:b/>
          <w:bCs/>
          <w:sz w:val="24"/>
          <w:szCs w:val="24"/>
        </w:rPr>
        <w:t>355</w:t>
      </w:r>
      <w:r w:rsidRPr="00195F34">
        <w:rPr>
          <w:rFonts w:ascii="Book Antiqua" w:hAnsi="Book Antiqua" w:cs="宋体"/>
          <w:sz w:val="24"/>
          <w:szCs w:val="24"/>
        </w:rPr>
        <w:t>: 2452-2466 [PMID: 17151367 DOI: 10.1056/NEJMra063728]</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48 </w:t>
      </w:r>
      <w:r w:rsidRPr="00195F34">
        <w:rPr>
          <w:rFonts w:ascii="Book Antiqua" w:hAnsi="Book Antiqua" w:cs="宋体"/>
          <w:b/>
          <w:bCs/>
          <w:sz w:val="24"/>
          <w:szCs w:val="24"/>
        </w:rPr>
        <w:t>Campbell PJ</w:t>
      </w:r>
      <w:r w:rsidRPr="00195F34">
        <w:rPr>
          <w:rFonts w:ascii="Book Antiqua" w:hAnsi="Book Antiqua" w:cs="宋体"/>
          <w:sz w:val="24"/>
          <w:szCs w:val="24"/>
        </w:rPr>
        <w:t>, Scott LM, Buck G, Wheatley K, East CL, Marsden JT, Duffy A, Boyd EM, Bench AJ, Scott MA, Vassiliou GS, Milligan DW, Smith SR, Erber WN, Bareford D, Wilkins BS, Reilly JT, Harrison CN, Green AR. Definition of subtypes of essential thrombocythaemia and relation to polycythaemia vera based on JAK2 V617F mutation status: a prospective study. </w:t>
      </w:r>
      <w:r w:rsidRPr="00195F34">
        <w:rPr>
          <w:rFonts w:ascii="Book Antiqua" w:hAnsi="Book Antiqua" w:cs="宋体"/>
          <w:i/>
          <w:iCs/>
          <w:sz w:val="24"/>
          <w:szCs w:val="24"/>
        </w:rPr>
        <w:t>Lancet</w:t>
      </w:r>
      <w:r w:rsidRPr="00195F34">
        <w:rPr>
          <w:rFonts w:ascii="Book Antiqua" w:hAnsi="Book Antiqua" w:cs="宋体"/>
          <w:sz w:val="24"/>
          <w:szCs w:val="24"/>
        </w:rPr>
        <w:t> 2005; </w:t>
      </w:r>
      <w:r w:rsidRPr="00195F34">
        <w:rPr>
          <w:rFonts w:ascii="Book Antiqua" w:hAnsi="Book Antiqua" w:cs="宋体"/>
          <w:b/>
          <w:bCs/>
          <w:sz w:val="24"/>
          <w:szCs w:val="24"/>
        </w:rPr>
        <w:t>366</w:t>
      </w:r>
      <w:r w:rsidRPr="00195F34">
        <w:rPr>
          <w:rFonts w:ascii="Book Antiqua" w:hAnsi="Book Antiqua" w:cs="宋体"/>
          <w:sz w:val="24"/>
          <w:szCs w:val="24"/>
        </w:rPr>
        <w:t>: 1945-1953 [PMID: 16325696 DOI: 10.1016/S0140-6736(05)67785-9]</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49 </w:t>
      </w:r>
      <w:r w:rsidRPr="00195F34">
        <w:rPr>
          <w:rFonts w:ascii="Book Antiqua" w:hAnsi="Book Antiqua" w:cs="宋体"/>
          <w:b/>
          <w:bCs/>
          <w:sz w:val="24"/>
          <w:szCs w:val="24"/>
        </w:rPr>
        <w:t>Tefferi A</w:t>
      </w:r>
      <w:r w:rsidRPr="00195F34">
        <w:rPr>
          <w:rFonts w:ascii="Book Antiqua" w:hAnsi="Book Antiqua" w:cs="宋体"/>
          <w:sz w:val="24"/>
          <w:szCs w:val="24"/>
        </w:rPr>
        <w:t>, Lasho TL, Schwager SM, Strand JS, Elliott M, Mesa R, Li CY, Wadleigh M, Lee SJ, Gilliland DG. The clinical phenotype of wild-type, heterozygous, and homozygous JAK2V617F in polycythemia vera. </w:t>
      </w:r>
      <w:r w:rsidRPr="00195F34">
        <w:rPr>
          <w:rFonts w:ascii="Book Antiqua" w:hAnsi="Book Antiqua" w:cs="宋体"/>
          <w:i/>
          <w:iCs/>
          <w:sz w:val="24"/>
          <w:szCs w:val="24"/>
        </w:rPr>
        <w:t>Cancer</w:t>
      </w:r>
      <w:r w:rsidRPr="00195F34">
        <w:rPr>
          <w:rFonts w:ascii="Book Antiqua" w:hAnsi="Book Antiqua" w:cs="宋体"/>
          <w:sz w:val="24"/>
          <w:szCs w:val="24"/>
        </w:rPr>
        <w:t> 2006; </w:t>
      </w:r>
      <w:r w:rsidRPr="00195F34">
        <w:rPr>
          <w:rFonts w:ascii="Book Antiqua" w:hAnsi="Book Antiqua" w:cs="宋体"/>
          <w:b/>
          <w:bCs/>
          <w:sz w:val="24"/>
          <w:szCs w:val="24"/>
        </w:rPr>
        <w:t>106</w:t>
      </w:r>
      <w:r w:rsidRPr="00195F34">
        <w:rPr>
          <w:rFonts w:ascii="Book Antiqua" w:hAnsi="Book Antiqua" w:cs="宋体"/>
          <w:sz w:val="24"/>
          <w:szCs w:val="24"/>
        </w:rPr>
        <w:t>: 631-635 [PMID: 16369984 DOI: 10.1002/cncr.21645]</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50 </w:t>
      </w:r>
      <w:r w:rsidRPr="00195F34">
        <w:rPr>
          <w:rFonts w:ascii="Book Antiqua" w:hAnsi="Book Antiqua" w:cs="宋体"/>
          <w:b/>
          <w:bCs/>
          <w:sz w:val="24"/>
          <w:szCs w:val="24"/>
        </w:rPr>
        <w:t>Passamonti F</w:t>
      </w:r>
      <w:r w:rsidRPr="00195F34">
        <w:rPr>
          <w:rFonts w:ascii="Book Antiqua" w:hAnsi="Book Antiqua" w:cs="宋体"/>
          <w:sz w:val="24"/>
          <w:szCs w:val="24"/>
        </w:rPr>
        <w:t>, Rumi E, Pietra D, Della Porta MG, Boveri E, Pascutto C, Vanelli L, Arcaini L, Burcheri S, Malcovati L, Lazzarino M, Cazzola M. Relation between JAK2 (V617F) mutation status, granulocyte activation, and constitutive mobilization of CD34+ cells into peripheral blood in myeloproliferative disorders. </w:t>
      </w:r>
      <w:r w:rsidRPr="00195F34">
        <w:rPr>
          <w:rFonts w:ascii="Book Antiqua" w:hAnsi="Book Antiqua" w:cs="宋体"/>
          <w:i/>
          <w:iCs/>
          <w:sz w:val="24"/>
          <w:szCs w:val="24"/>
        </w:rPr>
        <w:t>Blood</w:t>
      </w:r>
      <w:r w:rsidRPr="00195F34">
        <w:rPr>
          <w:rFonts w:ascii="Book Antiqua" w:hAnsi="Book Antiqua" w:cs="宋体"/>
          <w:sz w:val="24"/>
          <w:szCs w:val="24"/>
        </w:rPr>
        <w:t> 2006; </w:t>
      </w:r>
      <w:r w:rsidRPr="00195F34">
        <w:rPr>
          <w:rFonts w:ascii="Book Antiqua" w:hAnsi="Book Antiqua" w:cs="宋体"/>
          <w:b/>
          <w:bCs/>
          <w:sz w:val="24"/>
          <w:szCs w:val="24"/>
        </w:rPr>
        <w:t>107</w:t>
      </w:r>
      <w:r w:rsidRPr="00195F34">
        <w:rPr>
          <w:rFonts w:ascii="Book Antiqua" w:hAnsi="Book Antiqua" w:cs="宋体"/>
          <w:sz w:val="24"/>
          <w:szCs w:val="24"/>
        </w:rPr>
        <w:t>: 3676-3682 [PMID: 16373657 DOI: 10.1182/blood-2005-09-3826]</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51 </w:t>
      </w:r>
      <w:r w:rsidRPr="00195F34">
        <w:rPr>
          <w:rFonts w:ascii="Book Antiqua" w:hAnsi="Book Antiqua" w:cs="宋体"/>
          <w:b/>
          <w:bCs/>
          <w:sz w:val="24"/>
          <w:szCs w:val="24"/>
        </w:rPr>
        <w:t>Bellanné-Chantelot C</w:t>
      </w:r>
      <w:r w:rsidRPr="00195F34">
        <w:rPr>
          <w:rFonts w:ascii="Book Antiqua" w:hAnsi="Book Antiqua" w:cs="宋体"/>
          <w:sz w:val="24"/>
          <w:szCs w:val="24"/>
        </w:rPr>
        <w:t>, Chaumarel I, Labopin M, Bellanger F, Barbu V, De Toma C, Delhommeau F, Casadevall N, Vainchenker W, Thomas G, Najman A. Genetic and clinical implications of the Val617Phe JAK2 mutation in 72 families with myeloproliferative disorders. </w:t>
      </w:r>
      <w:r w:rsidRPr="00195F34">
        <w:rPr>
          <w:rFonts w:ascii="Book Antiqua" w:hAnsi="Book Antiqua" w:cs="宋体"/>
          <w:i/>
          <w:iCs/>
          <w:sz w:val="24"/>
          <w:szCs w:val="24"/>
        </w:rPr>
        <w:t>Blood</w:t>
      </w:r>
      <w:r w:rsidRPr="00195F34">
        <w:rPr>
          <w:rFonts w:ascii="Book Antiqua" w:hAnsi="Book Antiqua" w:cs="宋体"/>
          <w:sz w:val="24"/>
          <w:szCs w:val="24"/>
        </w:rPr>
        <w:t> 2006; </w:t>
      </w:r>
      <w:r w:rsidRPr="00195F34">
        <w:rPr>
          <w:rFonts w:ascii="Book Antiqua" w:hAnsi="Book Antiqua" w:cs="宋体"/>
          <w:b/>
          <w:bCs/>
          <w:sz w:val="24"/>
          <w:szCs w:val="24"/>
        </w:rPr>
        <w:t>108</w:t>
      </w:r>
      <w:r w:rsidRPr="00195F34">
        <w:rPr>
          <w:rFonts w:ascii="Book Antiqua" w:hAnsi="Book Antiqua" w:cs="宋体"/>
          <w:sz w:val="24"/>
          <w:szCs w:val="24"/>
        </w:rPr>
        <w:t>: 346-352 [PMID: 16537803 DOI: 10.1182/blood-2005-12-4852]</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52 </w:t>
      </w:r>
      <w:r w:rsidRPr="00195F34">
        <w:rPr>
          <w:rFonts w:ascii="Book Antiqua" w:hAnsi="Book Antiqua" w:cs="宋体"/>
          <w:b/>
          <w:bCs/>
          <w:sz w:val="24"/>
          <w:szCs w:val="24"/>
        </w:rPr>
        <w:t>Vannucchi AM</w:t>
      </w:r>
      <w:r w:rsidRPr="00195F34">
        <w:rPr>
          <w:rFonts w:ascii="Book Antiqua" w:hAnsi="Book Antiqua" w:cs="宋体"/>
          <w:sz w:val="24"/>
          <w:szCs w:val="24"/>
        </w:rPr>
        <w:t>, Antonioli E, Guglielmelli P, Rambaldi A, Barosi G, Marchioli R, Marfisi RM, Finazzi G, Guerini V, Fabris F, Randi ML, De Stefano V, Caberlon S, Tafuri A, Ruggeri M, Specchia G, Liso V, Rossi E, Pogliani E, Gugliotta L, Bosi A, Barbui T. Clinical profile of homozygous JAK2 617V&amp; gt; F mutation in patients with polycythemia vera or essential thrombocythemia. </w:t>
      </w:r>
      <w:r w:rsidRPr="00195F34">
        <w:rPr>
          <w:rFonts w:ascii="Book Antiqua" w:hAnsi="Book Antiqua" w:cs="宋体"/>
          <w:i/>
          <w:iCs/>
          <w:sz w:val="24"/>
          <w:szCs w:val="24"/>
        </w:rPr>
        <w:t>Blood</w:t>
      </w:r>
      <w:r w:rsidRPr="00195F34">
        <w:rPr>
          <w:rFonts w:ascii="Book Antiqua" w:hAnsi="Book Antiqua" w:cs="宋体"/>
          <w:sz w:val="24"/>
          <w:szCs w:val="24"/>
        </w:rPr>
        <w:t> 2007; </w:t>
      </w:r>
      <w:r w:rsidRPr="00195F34">
        <w:rPr>
          <w:rFonts w:ascii="Book Antiqua" w:hAnsi="Book Antiqua" w:cs="宋体"/>
          <w:b/>
          <w:bCs/>
          <w:sz w:val="24"/>
          <w:szCs w:val="24"/>
        </w:rPr>
        <w:t>110</w:t>
      </w:r>
      <w:r w:rsidRPr="00195F34">
        <w:rPr>
          <w:rFonts w:ascii="Book Antiqua" w:hAnsi="Book Antiqua" w:cs="宋体"/>
          <w:sz w:val="24"/>
          <w:szCs w:val="24"/>
        </w:rPr>
        <w:t>: 840-846 [PMID: 17379742]</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lastRenderedPageBreak/>
        <w:t>53 </w:t>
      </w:r>
      <w:r w:rsidRPr="00195F34">
        <w:rPr>
          <w:rFonts w:ascii="Book Antiqua" w:hAnsi="Book Antiqua" w:cs="宋体"/>
          <w:b/>
          <w:bCs/>
          <w:sz w:val="24"/>
          <w:szCs w:val="24"/>
        </w:rPr>
        <w:t>Vannucchi AM</w:t>
      </w:r>
      <w:r w:rsidRPr="00195F34">
        <w:rPr>
          <w:rFonts w:ascii="Book Antiqua" w:hAnsi="Book Antiqua" w:cs="宋体"/>
          <w:sz w:val="24"/>
          <w:szCs w:val="24"/>
        </w:rPr>
        <w:t>, Antonioli E, Guglielmelli P, Longo G, Pancrazzi A, Ponziani V, Bogani C, Ferrini PR, Rambaldi A, Guerini V, Bosi A, Barbui T. Prospective identification of high-risk polycythemia vera patients based on JAK2(V617F) allele burden. </w:t>
      </w:r>
      <w:r w:rsidRPr="00195F34">
        <w:rPr>
          <w:rFonts w:ascii="Book Antiqua" w:hAnsi="Book Antiqua" w:cs="宋体"/>
          <w:i/>
          <w:iCs/>
          <w:sz w:val="24"/>
          <w:szCs w:val="24"/>
        </w:rPr>
        <w:t>Leukemia</w:t>
      </w:r>
      <w:r w:rsidRPr="00195F34">
        <w:rPr>
          <w:rFonts w:ascii="Book Antiqua" w:hAnsi="Book Antiqua" w:cs="宋体"/>
          <w:sz w:val="24"/>
          <w:szCs w:val="24"/>
        </w:rPr>
        <w:t> 2007; </w:t>
      </w:r>
      <w:r w:rsidRPr="00195F34">
        <w:rPr>
          <w:rFonts w:ascii="Book Antiqua" w:hAnsi="Book Antiqua" w:cs="宋体"/>
          <w:b/>
          <w:bCs/>
          <w:sz w:val="24"/>
          <w:szCs w:val="24"/>
        </w:rPr>
        <w:t>21</w:t>
      </w:r>
      <w:r w:rsidRPr="00195F34">
        <w:rPr>
          <w:rFonts w:ascii="Book Antiqua" w:hAnsi="Book Antiqua" w:cs="宋体"/>
          <w:sz w:val="24"/>
          <w:szCs w:val="24"/>
        </w:rPr>
        <w:t>: 1952-1959 [PMID: 17625606 DOI: 10.1038/sj.leu.2404854]</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54 </w:t>
      </w:r>
      <w:r w:rsidRPr="00195F34">
        <w:rPr>
          <w:rFonts w:ascii="Book Antiqua" w:hAnsi="Book Antiqua" w:cs="宋体"/>
          <w:b/>
          <w:bCs/>
          <w:sz w:val="24"/>
          <w:szCs w:val="24"/>
        </w:rPr>
        <w:t>Chen Z</w:t>
      </w:r>
      <w:r w:rsidRPr="00195F34">
        <w:rPr>
          <w:rFonts w:ascii="Book Antiqua" w:hAnsi="Book Antiqua" w:cs="宋体"/>
          <w:sz w:val="24"/>
          <w:szCs w:val="24"/>
        </w:rPr>
        <w:t>, Notohamiprodjo M, Guan XY, Paietta E, Blackwell S, Stout K, Turner A, Richkind K, Trent JM, Lamb A, Sandberg AA. Gain of 9p in the pathogenesis of polycythemia vera. </w:t>
      </w:r>
      <w:r w:rsidRPr="00195F34">
        <w:rPr>
          <w:rFonts w:ascii="Book Antiqua" w:hAnsi="Book Antiqua" w:cs="宋体"/>
          <w:i/>
          <w:iCs/>
          <w:sz w:val="24"/>
          <w:szCs w:val="24"/>
        </w:rPr>
        <w:t>Genes Chromosomes Cancer</w:t>
      </w:r>
      <w:r w:rsidRPr="00195F34">
        <w:rPr>
          <w:rFonts w:ascii="Book Antiqua" w:hAnsi="Book Antiqua" w:cs="宋体"/>
          <w:sz w:val="24"/>
          <w:szCs w:val="24"/>
        </w:rPr>
        <w:t> 1998; </w:t>
      </w:r>
      <w:r w:rsidRPr="00195F34">
        <w:rPr>
          <w:rFonts w:ascii="Book Antiqua" w:hAnsi="Book Antiqua" w:cs="宋体"/>
          <w:b/>
          <w:bCs/>
          <w:sz w:val="24"/>
          <w:szCs w:val="24"/>
        </w:rPr>
        <w:t>22</w:t>
      </w:r>
      <w:r w:rsidRPr="00195F34">
        <w:rPr>
          <w:rFonts w:ascii="Book Antiqua" w:hAnsi="Book Antiqua" w:cs="宋体"/>
          <w:sz w:val="24"/>
          <w:szCs w:val="24"/>
        </w:rPr>
        <w:t>: 321-324 [PMID: 9669670]</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55 </w:t>
      </w:r>
      <w:r w:rsidRPr="00195F34">
        <w:rPr>
          <w:rFonts w:ascii="Book Antiqua" w:hAnsi="Book Antiqua" w:cs="宋体"/>
          <w:b/>
          <w:bCs/>
          <w:sz w:val="24"/>
          <w:szCs w:val="24"/>
        </w:rPr>
        <w:t>Najfeld V</w:t>
      </w:r>
      <w:r w:rsidRPr="00195F34">
        <w:rPr>
          <w:rFonts w:ascii="Book Antiqua" w:hAnsi="Book Antiqua" w:cs="宋体"/>
          <w:sz w:val="24"/>
          <w:szCs w:val="24"/>
        </w:rPr>
        <w:t>, Montella L, Scalise A, Fruchtman S. Exploring polycythaemia vera with fluorescence in situ hybridization: additional cryptic 9p is the most frequent abnormality detected. </w:t>
      </w:r>
      <w:r w:rsidRPr="00195F34">
        <w:rPr>
          <w:rFonts w:ascii="Book Antiqua" w:hAnsi="Book Antiqua" w:cs="宋体"/>
          <w:i/>
          <w:iCs/>
          <w:sz w:val="24"/>
          <w:szCs w:val="24"/>
        </w:rPr>
        <w:t>Br J Haematol</w:t>
      </w:r>
      <w:r w:rsidRPr="00195F34">
        <w:rPr>
          <w:rFonts w:ascii="Book Antiqua" w:hAnsi="Book Antiqua" w:cs="宋体"/>
          <w:sz w:val="24"/>
          <w:szCs w:val="24"/>
        </w:rPr>
        <w:t> 2002; </w:t>
      </w:r>
      <w:r w:rsidRPr="00195F34">
        <w:rPr>
          <w:rFonts w:ascii="Book Antiqua" w:hAnsi="Book Antiqua" w:cs="宋体"/>
          <w:b/>
          <w:bCs/>
          <w:sz w:val="24"/>
          <w:szCs w:val="24"/>
        </w:rPr>
        <w:t>119</w:t>
      </w:r>
      <w:r w:rsidRPr="00195F34">
        <w:rPr>
          <w:rFonts w:ascii="Book Antiqua" w:hAnsi="Book Antiqua" w:cs="宋体"/>
          <w:sz w:val="24"/>
          <w:szCs w:val="24"/>
        </w:rPr>
        <w:t>: 558-566 [PMID: 12406101 DOI: 10.1046/j.1365-2141.2002.03763.x]</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56 </w:t>
      </w:r>
      <w:r w:rsidRPr="00195F34">
        <w:rPr>
          <w:rFonts w:ascii="Book Antiqua" w:hAnsi="Book Antiqua" w:cs="宋体"/>
          <w:b/>
          <w:bCs/>
          <w:sz w:val="24"/>
          <w:szCs w:val="24"/>
        </w:rPr>
        <w:t>Campbell PJ</w:t>
      </w:r>
      <w:r w:rsidRPr="00195F34">
        <w:rPr>
          <w:rFonts w:ascii="Book Antiqua" w:hAnsi="Book Antiqua" w:cs="宋体"/>
          <w:sz w:val="24"/>
          <w:szCs w:val="24"/>
        </w:rPr>
        <w:t>, Baxter EJ, Beer PA, Scott LM, Bench AJ, Huntly BJ, Erber WN, Kusec R, Larsen TS, Giraudier S, Le Bousse-Kerdilès MC, Griesshammer M, Reilly JT, Cheung BY, Harrison CN, Green AR. Mutation of JAK2 in the myeloproliferative disorders: timing, clonality studies, cytogenetic associations, and role in leukemic transformation. </w:t>
      </w:r>
      <w:r w:rsidRPr="00195F34">
        <w:rPr>
          <w:rFonts w:ascii="Book Antiqua" w:hAnsi="Book Antiqua" w:cs="宋体"/>
          <w:i/>
          <w:iCs/>
          <w:sz w:val="24"/>
          <w:szCs w:val="24"/>
        </w:rPr>
        <w:t>Blood</w:t>
      </w:r>
      <w:r w:rsidRPr="00195F34">
        <w:rPr>
          <w:rFonts w:ascii="Book Antiqua" w:hAnsi="Book Antiqua" w:cs="宋体"/>
          <w:sz w:val="24"/>
          <w:szCs w:val="24"/>
        </w:rPr>
        <w:t> 2006; </w:t>
      </w:r>
      <w:r w:rsidRPr="00195F34">
        <w:rPr>
          <w:rFonts w:ascii="Book Antiqua" w:hAnsi="Book Antiqua" w:cs="宋体"/>
          <w:b/>
          <w:bCs/>
          <w:sz w:val="24"/>
          <w:szCs w:val="24"/>
        </w:rPr>
        <w:t>108</w:t>
      </w:r>
      <w:r w:rsidRPr="00195F34">
        <w:rPr>
          <w:rFonts w:ascii="Book Antiqua" w:hAnsi="Book Antiqua" w:cs="宋体"/>
          <w:sz w:val="24"/>
          <w:szCs w:val="24"/>
        </w:rPr>
        <w:t>: 3548-3555 [PMID: 16873677 DOI: 10.1182/blood-2005-12-013748]</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57 </w:t>
      </w:r>
      <w:r w:rsidRPr="00195F34">
        <w:rPr>
          <w:rFonts w:ascii="Book Antiqua" w:hAnsi="Book Antiqua" w:cs="宋体"/>
          <w:b/>
          <w:bCs/>
          <w:sz w:val="24"/>
          <w:szCs w:val="24"/>
        </w:rPr>
        <w:t>Scott LM</w:t>
      </w:r>
      <w:r w:rsidRPr="00195F34">
        <w:rPr>
          <w:rFonts w:ascii="Book Antiqua" w:hAnsi="Book Antiqua" w:cs="宋体"/>
          <w:sz w:val="24"/>
          <w:szCs w:val="24"/>
        </w:rPr>
        <w:t>, Tong W, Levine RL, Scott MA, Beer PA, Stratton MR, Futreal PA, Erber WN, McMullin MF, Harrison CN, Warren AJ, Gilliland DG, Lodish HF, Green AR. JAK2 exon 12 mutations in polycythemia vera and idiopathic erythrocytosis. </w:t>
      </w:r>
      <w:r w:rsidRPr="00195F34">
        <w:rPr>
          <w:rFonts w:ascii="Book Antiqua" w:hAnsi="Book Antiqua" w:cs="宋体"/>
          <w:i/>
          <w:iCs/>
          <w:sz w:val="24"/>
          <w:szCs w:val="24"/>
        </w:rPr>
        <w:t>N Engl J Med</w:t>
      </w:r>
      <w:r w:rsidRPr="00195F34">
        <w:rPr>
          <w:rFonts w:ascii="Book Antiqua" w:hAnsi="Book Antiqua" w:cs="宋体"/>
          <w:sz w:val="24"/>
          <w:szCs w:val="24"/>
        </w:rPr>
        <w:t> 2007; </w:t>
      </w:r>
      <w:r w:rsidRPr="00195F34">
        <w:rPr>
          <w:rFonts w:ascii="Book Antiqua" w:hAnsi="Book Antiqua" w:cs="宋体"/>
          <w:b/>
          <w:bCs/>
          <w:sz w:val="24"/>
          <w:szCs w:val="24"/>
        </w:rPr>
        <w:t>356</w:t>
      </w:r>
      <w:r w:rsidRPr="00195F34">
        <w:rPr>
          <w:rFonts w:ascii="Book Antiqua" w:hAnsi="Book Antiqua" w:cs="宋体"/>
          <w:sz w:val="24"/>
          <w:szCs w:val="24"/>
        </w:rPr>
        <w:t>: 459-468 [PMID: 17267906 DOI: 10.1056/NEJMoa065202]</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58 </w:t>
      </w:r>
      <w:r w:rsidRPr="00195F34">
        <w:rPr>
          <w:rFonts w:ascii="Book Antiqua" w:hAnsi="Book Antiqua" w:cs="宋体"/>
          <w:b/>
          <w:bCs/>
          <w:sz w:val="24"/>
          <w:szCs w:val="24"/>
        </w:rPr>
        <w:t>Pardanani A</w:t>
      </w:r>
      <w:r w:rsidRPr="00195F34">
        <w:rPr>
          <w:rFonts w:ascii="Book Antiqua" w:hAnsi="Book Antiqua" w:cs="宋体"/>
          <w:sz w:val="24"/>
          <w:szCs w:val="24"/>
        </w:rPr>
        <w:t>, Lasho TL, Finke C, Hanson CA, Tefferi A. Prevalence and clinicopathologic correlates of JAK2 exon 12 mutations in JAK2V617F-negative polycythemia vera. </w:t>
      </w:r>
      <w:r w:rsidRPr="00195F34">
        <w:rPr>
          <w:rFonts w:ascii="Book Antiqua" w:hAnsi="Book Antiqua" w:cs="宋体"/>
          <w:i/>
          <w:iCs/>
          <w:sz w:val="24"/>
          <w:szCs w:val="24"/>
        </w:rPr>
        <w:t>Leukemia</w:t>
      </w:r>
      <w:r w:rsidRPr="00195F34">
        <w:rPr>
          <w:rFonts w:ascii="Book Antiqua" w:hAnsi="Book Antiqua" w:cs="宋体"/>
          <w:sz w:val="24"/>
          <w:szCs w:val="24"/>
        </w:rPr>
        <w:t> 2007; </w:t>
      </w:r>
      <w:r w:rsidRPr="00195F34">
        <w:rPr>
          <w:rFonts w:ascii="Book Antiqua" w:hAnsi="Book Antiqua" w:cs="宋体"/>
          <w:b/>
          <w:bCs/>
          <w:sz w:val="24"/>
          <w:szCs w:val="24"/>
        </w:rPr>
        <w:t>21</w:t>
      </w:r>
      <w:r w:rsidRPr="00195F34">
        <w:rPr>
          <w:rFonts w:ascii="Book Antiqua" w:hAnsi="Book Antiqua" w:cs="宋体"/>
          <w:sz w:val="24"/>
          <w:szCs w:val="24"/>
        </w:rPr>
        <w:t>: 1960-1963 [PMID: 17597810 DOI: 10.1038/sj.leu.2404810]</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59 </w:t>
      </w:r>
      <w:r w:rsidRPr="00195F34">
        <w:rPr>
          <w:rFonts w:ascii="Book Antiqua" w:hAnsi="Book Antiqua" w:cs="宋体"/>
          <w:b/>
          <w:bCs/>
          <w:sz w:val="24"/>
          <w:szCs w:val="24"/>
        </w:rPr>
        <w:t>Pardanani AD</w:t>
      </w:r>
      <w:r w:rsidRPr="00195F34">
        <w:rPr>
          <w:rFonts w:ascii="Book Antiqua" w:hAnsi="Book Antiqua" w:cs="宋体"/>
          <w:sz w:val="24"/>
          <w:szCs w:val="24"/>
        </w:rPr>
        <w:t xml:space="preserve">, Levine RL, Lasho T, Pikman Y, Mesa RA, Wadleigh M, Steensma DP, Elliott MA, Wolanskyj AP, Hogan WJ, McClure RF, Litzow MR, Gilliland DG, Tefferi A. MPL515 mutations in myeloproliferative and other myeloid disorders: a </w:t>
      </w:r>
      <w:r w:rsidRPr="00195F34">
        <w:rPr>
          <w:rFonts w:ascii="Book Antiqua" w:hAnsi="Book Antiqua" w:cs="宋体"/>
          <w:sz w:val="24"/>
          <w:szCs w:val="24"/>
        </w:rPr>
        <w:lastRenderedPageBreak/>
        <w:t>study of 1182 patients. </w:t>
      </w:r>
      <w:r w:rsidRPr="00195F34">
        <w:rPr>
          <w:rFonts w:ascii="Book Antiqua" w:hAnsi="Book Antiqua" w:cs="宋体"/>
          <w:i/>
          <w:iCs/>
          <w:sz w:val="24"/>
          <w:szCs w:val="24"/>
        </w:rPr>
        <w:t>Blood</w:t>
      </w:r>
      <w:r w:rsidRPr="00195F34">
        <w:rPr>
          <w:rFonts w:ascii="Book Antiqua" w:hAnsi="Book Antiqua" w:cs="宋体"/>
          <w:sz w:val="24"/>
          <w:szCs w:val="24"/>
        </w:rPr>
        <w:t> 2006; </w:t>
      </w:r>
      <w:r w:rsidRPr="00195F34">
        <w:rPr>
          <w:rFonts w:ascii="Book Antiqua" w:hAnsi="Book Antiqua" w:cs="宋体"/>
          <w:b/>
          <w:bCs/>
          <w:sz w:val="24"/>
          <w:szCs w:val="24"/>
        </w:rPr>
        <w:t>108</w:t>
      </w:r>
      <w:r w:rsidRPr="00195F34">
        <w:rPr>
          <w:rFonts w:ascii="Book Antiqua" w:hAnsi="Book Antiqua" w:cs="宋体"/>
          <w:sz w:val="24"/>
          <w:szCs w:val="24"/>
        </w:rPr>
        <w:t>: 3472-3476 [PMID: 16868251 DOI: 10.1182/blood-2006-04-018879]</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60 </w:t>
      </w:r>
      <w:r w:rsidRPr="00195F34">
        <w:rPr>
          <w:rFonts w:ascii="Book Antiqua" w:hAnsi="Book Antiqua" w:cs="宋体"/>
          <w:b/>
          <w:bCs/>
          <w:sz w:val="24"/>
          <w:szCs w:val="24"/>
        </w:rPr>
        <w:t>Pikman Y</w:t>
      </w:r>
      <w:r w:rsidRPr="00195F34">
        <w:rPr>
          <w:rFonts w:ascii="Book Antiqua" w:hAnsi="Book Antiqua" w:cs="宋体"/>
          <w:sz w:val="24"/>
          <w:szCs w:val="24"/>
        </w:rPr>
        <w:t>, Lee BH, Mercher T, McDowell E, Ebert BL, Gozo M, Cuker A, Wernig G, Moore S, Galinsky I, DeAngelo DJ, Clark JJ, Lee SJ, Golub TR, Wadleigh M, Gilliland DG, Levine RL. MPLW515L is a novel somatic activating mutation in myelofibrosis with myeloid metaplasia. </w:t>
      </w:r>
      <w:r w:rsidRPr="00195F34">
        <w:rPr>
          <w:rFonts w:ascii="Book Antiqua" w:hAnsi="Book Antiqua" w:cs="宋体"/>
          <w:i/>
          <w:iCs/>
          <w:sz w:val="24"/>
          <w:szCs w:val="24"/>
        </w:rPr>
        <w:t>PLoS Med</w:t>
      </w:r>
      <w:r w:rsidRPr="00195F34">
        <w:rPr>
          <w:rFonts w:ascii="Book Antiqua" w:hAnsi="Book Antiqua" w:cs="宋体"/>
          <w:sz w:val="24"/>
          <w:szCs w:val="24"/>
        </w:rPr>
        <w:t> 2006; </w:t>
      </w:r>
      <w:r w:rsidRPr="00195F34">
        <w:rPr>
          <w:rFonts w:ascii="Book Antiqua" w:hAnsi="Book Antiqua" w:cs="宋体"/>
          <w:b/>
          <w:bCs/>
          <w:sz w:val="24"/>
          <w:szCs w:val="24"/>
        </w:rPr>
        <w:t>3</w:t>
      </w:r>
      <w:r w:rsidRPr="00195F34">
        <w:rPr>
          <w:rFonts w:ascii="Book Antiqua" w:hAnsi="Book Antiqua" w:cs="宋体"/>
          <w:sz w:val="24"/>
          <w:szCs w:val="24"/>
        </w:rPr>
        <w:t>: e270 [PMID: 16834459 DOI: 10.1371/journal.pmed.0030270]</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61 </w:t>
      </w:r>
      <w:r w:rsidRPr="00195F34">
        <w:rPr>
          <w:rFonts w:ascii="Book Antiqua" w:hAnsi="Book Antiqua" w:cs="宋体"/>
          <w:b/>
          <w:bCs/>
          <w:sz w:val="24"/>
          <w:szCs w:val="24"/>
        </w:rPr>
        <w:t>Schmitt-Graeff A</w:t>
      </w:r>
      <w:r w:rsidRPr="00195F34">
        <w:rPr>
          <w:rFonts w:ascii="Book Antiqua" w:hAnsi="Book Antiqua" w:cs="宋体"/>
          <w:sz w:val="24"/>
          <w:szCs w:val="24"/>
        </w:rPr>
        <w:t>, Thiele J, Zuk I, Kvasnicka HM. Essential thrombocythemia with ringed sideroblasts: a heterogeneous spectrum of diseases, but not a distinct entity. </w:t>
      </w:r>
      <w:r w:rsidRPr="00195F34">
        <w:rPr>
          <w:rFonts w:ascii="Book Antiqua" w:hAnsi="Book Antiqua" w:cs="宋体"/>
          <w:i/>
          <w:iCs/>
          <w:sz w:val="24"/>
          <w:szCs w:val="24"/>
        </w:rPr>
        <w:t>Haematologica</w:t>
      </w:r>
      <w:r w:rsidRPr="00195F34">
        <w:rPr>
          <w:rFonts w:ascii="Book Antiqua" w:hAnsi="Book Antiqua" w:cs="宋体"/>
          <w:sz w:val="24"/>
          <w:szCs w:val="24"/>
        </w:rPr>
        <w:t> 2002; </w:t>
      </w:r>
      <w:r w:rsidRPr="00195F34">
        <w:rPr>
          <w:rFonts w:ascii="Book Antiqua" w:hAnsi="Book Antiqua" w:cs="宋体"/>
          <w:b/>
          <w:bCs/>
          <w:sz w:val="24"/>
          <w:szCs w:val="24"/>
        </w:rPr>
        <w:t>87</w:t>
      </w:r>
      <w:r w:rsidRPr="00195F34">
        <w:rPr>
          <w:rFonts w:ascii="Book Antiqua" w:hAnsi="Book Antiqua" w:cs="宋体"/>
          <w:sz w:val="24"/>
          <w:szCs w:val="24"/>
        </w:rPr>
        <w:t>: 392-399 [PMID: 11940483]</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62 </w:t>
      </w:r>
      <w:r w:rsidRPr="00195F34">
        <w:rPr>
          <w:rFonts w:ascii="Book Antiqua" w:hAnsi="Book Antiqua" w:cs="宋体"/>
          <w:b/>
          <w:bCs/>
          <w:sz w:val="24"/>
          <w:szCs w:val="24"/>
        </w:rPr>
        <w:t>Szpurka H</w:t>
      </w:r>
      <w:r w:rsidRPr="00195F34">
        <w:rPr>
          <w:rFonts w:ascii="Book Antiqua" w:hAnsi="Book Antiqua" w:cs="宋体"/>
          <w:sz w:val="24"/>
          <w:szCs w:val="24"/>
        </w:rPr>
        <w:t>, Tiu R, Murugesan G, Aboudola S, Hsi ED, Theil KS, Sekeres MA, Maciejewski JP. Refractory anemia with ringed sideroblasts associated with marked thrombocytosis (RARS-T), another myeloproliferative condition characterized by JAK2 V617F mutation. </w:t>
      </w:r>
      <w:r w:rsidRPr="00195F34">
        <w:rPr>
          <w:rFonts w:ascii="Book Antiqua" w:hAnsi="Book Antiqua" w:cs="宋体"/>
          <w:i/>
          <w:iCs/>
          <w:sz w:val="24"/>
          <w:szCs w:val="24"/>
        </w:rPr>
        <w:t>Blood</w:t>
      </w:r>
      <w:r w:rsidRPr="00195F34">
        <w:rPr>
          <w:rFonts w:ascii="Book Antiqua" w:hAnsi="Book Antiqua" w:cs="宋体"/>
          <w:sz w:val="24"/>
          <w:szCs w:val="24"/>
        </w:rPr>
        <w:t> 2006; </w:t>
      </w:r>
      <w:r w:rsidRPr="00195F34">
        <w:rPr>
          <w:rFonts w:ascii="Book Antiqua" w:hAnsi="Book Antiqua" w:cs="宋体"/>
          <w:b/>
          <w:bCs/>
          <w:sz w:val="24"/>
          <w:szCs w:val="24"/>
        </w:rPr>
        <w:t>108</w:t>
      </w:r>
      <w:r w:rsidRPr="00195F34">
        <w:rPr>
          <w:rFonts w:ascii="Book Antiqua" w:hAnsi="Book Antiqua" w:cs="宋体"/>
          <w:sz w:val="24"/>
          <w:szCs w:val="24"/>
        </w:rPr>
        <w:t>: 2173-2181 [PMID: 16741247 DOI: 10.1182/blood-2006-02-005751]</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63 </w:t>
      </w:r>
      <w:r w:rsidRPr="00195F34">
        <w:rPr>
          <w:rFonts w:ascii="Book Antiqua" w:hAnsi="Book Antiqua" w:cs="宋体"/>
          <w:b/>
          <w:bCs/>
          <w:sz w:val="24"/>
          <w:szCs w:val="24"/>
        </w:rPr>
        <w:t>Gattermann N</w:t>
      </w:r>
      <w:r w:rsidRPr="00195F34">
        <w:rPr>
          <w:rFonts w:ascii="Book Antiqua" w:hAnsi="Book Antiqua" w:cs="宋体"/>
          <w:sz w:val="24"/>
          <w:szCs w:val="24"/>
        </w:rPr>
        <w:t>, Billiet J, Kronenwett R, Zipperer E, Germing U, Nollet F, Criel A, Selleslag D. High frequency of the JAK2 V617F mutation in patients with thrombocytosis (platelet count&amp; gt; 600x109/L) and ringed sideroblasts more than 15% considered as MDS/MPD, unclassifiable. </w:t>
      </w:r>
      <w:r w:rsidRPr="00195F34">
        <w:rPr>
          <w:rFonts w:ascii="Book Antiqua" w:hAnsi="Book Antiqua" w:cs="宋体"/>
          <w:i/>
          <w:iCs/>
          <w:sz w:val="24"/>
          <w:szCs w:val="24"/>
        </w:rPr>
        <w:t>Blood</w:t>
      </w:r>
      <w:r w:rsidRPr="00195F34">
        <w:rPr>
          <w:rFonts w:ascii="Book Antiqua" w:hAnsi="Book Antiqua" w:cs="宋体"/>
          <w:sz w:val="24"/>
          <w:szCs w:val="24"/>
        </w:rPr>
        <w:t> 2007; </w:t>
      </w:r>
      <w:r w:rsidRPr="00195F34">
        <w:rPr>
          <w:rFonts w:ascii="Book Antiqua" w:hAnsi="Book Antiqua" w:cs="宋体"/>
          <w:b/>
          <w:bCs/>
          <w:sz w:val="24"/>
          <w:szCs w:val="24"/>
        </w:rPr>
        <w:t>109</w:t>
      </w:r>
      <w:r w:rsidRPr="00195F34">
        <w:rPr>
          <w:rFonts w:ascii="Book Antiqua" w:hAnsi="Book Antiqua" w:cs="宋体"/>
          <w:sz w:val="24"/>
          <w:szCs w:val="24"/>
        </w:rPr>
        <w:t>: 1334-1335 [PMID: 17244688 DOI: 10.1182/blood-2006-05-022491]</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64 </w:t>
      </w:r>
      <w:r w:rsidRPr="00195F34">
        <w:rPr>
          <w:rFonts w:ascii="Book Antiqua" w:hAnsi="Book Antiqua" w:cs="宋体"/>
          <w:b/>
          <w:bCs/>
          <w:sz w:val="24"/>
          <w:szCs w:val="24"/>
        </w:rPr>
        <w:t>James C</w:t>
      </w:r>
      <w:r w:rsidRPr="00195F34">
        <w:rPr>
          <w:rFonts w:ascii="Book Antiqua" w:hAnsi="Book Antiqua" w:cs="宋体"/>
          <w:sz w:val="24"/>
          <w:szCs w:val="24"/>
        </w:rPr>
        <w:t>, Delhommeau F, Marzac C, Teyssandier I, Couédic JP, Giraudier S, Roy L, Saulnier P, Lacroix L, Maury S, Tulliez M, Vainchenker W, Ugo V, Casadevall N. Detection of JAK2 V617F as a first intention diagnostic test for erythrocytosis. </w:t>
      </w:r>
      <w:r w:rsidRPr="00195F34">
        <w:rPr>
          <w:rFonts w:ascii="Book Antiqua" w:hAnsi="Book Antiqua" w:cs="宋体"/>
          <w:i/>
          <w:iCs/>
          <w:sz w:val="24"/>
          <w:szCs w:val="24"/>
        </w:rPr>
        <w:t>Leukemia</w:t>
      </w:r>
      <w:r w:rsidRPr="00195F34">
        <w:rPr>
          <w:rFonts w:ascii="Book Antiqua" w:hAnsi="Book Antiqua" w:cs="宋体"/>
          <w:sz w:val="24"/>
          <w:szCs w:val="24"/>
        </w:rPr>
        <w:t> 2006; </w:t>
      </w:r>
      <w:r w:rsidRPr="00195F34">
        <w:rPr>
          <w:rFonts w:ascii="Book Antiqua" w:hAnsi="Book Antiqua" w:cs="宋体"/>
          <w:b/>
          <w:bCs/>
          <w:sz w:val="24"/>
          <w:szCs w:val="24"/>
        </w:rPr>
        <w:t>20</w:t>
      </w:r>
      <w:r w:rsidRPr="00195F34">
        <w:rPr>
          <w:rFonts w:ascii="Book Antiqua" w:hAnsi="Book Antiqua" w:cs="宋体"/>
          <w:sz w:val="24"/>
          <w:szCs w:val="24"/>
        </w:rPr>
        <w:t>: 350-353 [PMID: 16341032 DOI: 10.1038/sj.leu.2404069]</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65 </w:t>
      </w:r>
      <w:r w:rsidRPr="00195F34">
        <w:rPr>
          <w:rFonts w:ascii="Book Antiqua" w:hAnsi="Book Antiqua" w:cs="宋体"/>
          <w:b/>
          <w:bCs/>
          <w:sz w:val="24"/>
          <w:szCs w:val="24"/>
        </w:rPr>
        <w:t>Tefferi A</w:t>
      </w:r>
      <w:r w:rsidRPr="00195F34">
        <w:rPr>
          <w:rFonts w:ascii="Book Antiqua" w:hAnsi="Book Antiqua" w:cs="宋体"/>
          <w:sz w:val="24"/>
          <w:szCs w:val="24"/>
        </w:rPr>
        <w:t>, Pardanani A. Mutation screening for JAK2V617F: when to order the test and how to interpret the results. </w:t>
      </w:r>
      <w:r w:rsidRPr="00195F34">
        <w:rPr>
          <w:rFonts w:ascii="Book Antiqua" w:hAnsi="Book Antiqua" w:cs="宋体"/>
          <w:i/>
          <w:iCs/>
          <w:sz w:val="24"/>
          <w:szCs w:val="24"/>
        </w:rPr>
        <w:t>Leuk Res</w:t>
      </w:r>
      <w:r w:rsidRPr="00195F34">
        <w:rPr>
          <w:rFonts w:ascii="Book Antiqua" w:hAnsi="Book Antiqua" w:cs="宋体"/>
          <w:sz w:val="24"/>
          <w:szCs w:val="24"/>
        </w:rPr>
        <w:t> 2006; </w:t>
      </w:r>
      <w:r w:rsidRPr="00195F34">
        <w:rPr>
          <w:rFonts w:ascii="Book Antiqua" w:hAnsi="Book Antiqua" w:cs="宋体"/>
          <w:b/>
          <w:bCs/>
          <w:sz w:val="24"/>
          <w:szCs w:val="24"/>
        </w:rPr>
        <w:t>30</w:t>
      </w:r>
      <w:r w:rsidRPr="00195F34">
        <w:rPr>
          <w:rFonts w:ascii="Book Antiqua" w:hAnsi="Book Antiqua" w:cs="宋体"/>
          <w:sz w:val="24"/>
          <w:szCs w:val="24"/>
        </w:rPr>
        <w:t>: 739-744 [PMID: 16460800]</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lastRenderedPageBreak/>
        <w:t>66 </w:t>
      </w:r>
      <w:r w:rsidRPr="00195F34">
        <w:rPr>
          <w:rFonts w:ascii="Book Antiqua" w:hAnsi="Book Antiqua" w:cs="宋体"/>
          <w:b/>
          <w:bCs/>
          <w:sz w:val="24"/>
          <w:szCs w:val="24"/>
        </w:rPr>
        <w:t>Girodon F</w:t>
      </w:r>
      <w:r w:rsidRPr="00195F34">
        <w:rPr>
          <w:rFonts w:ascii="Book Antiqua" w:hAnsi="Book Antiqua" w:cs="宋体"/>
          <w:sz w:val="24"/>
          <w:szCs w:val="24"/>
        </w:rPr>
        <w:t>, Lippert E, Mossuz P, Dobo I, Boiret-Dupré N, Lesesve JF, Hermouet S, Praloran V. JAK2V617F detection and dosage of serum erythropoietin: first steps of the diagnostic work-up for patients consulting for elevated hematocrit. </w:t>
      </w:r>
      <w:r w:rsidRPr="00195F34">
        <w:rPr>
          <w:rFonts w:ascii="Book Antiqua" w:hAnsi="Book Antiqua" w:cs="宋体"/>
          <w:i/>
          <w:iCs/>
          <w:sz w:val="24"/>
          <w:szCs w:val="24"/>
        </w:rPr>
        <w:t>Haematologica</w:t>
      </w:r>
      <w:r w:rsidRPr="00195F34">
        <w:rPr>
          <w:rFonts w:ascii="Book Antiqua" w:hAnsi="Book Antiqua" w:cs="宋体"/>
          <w:sz w:val="24"/>
          <w:szCs w:val="24"/>
        </w:rPr>
        <w:t> 2007; </w:t>
      </w:r>
      <w:r w:rsidRPr="00195F34">
        <w:rPr>
          <w:rFonts w:ascii="Book Antiqua" w:hAnsi="Book Antiqua" w:cs="宋体"/>
          <w:b/>
          <w:bCs/>
          <w:sz w:val="24"/>
          <w:szCs w:val="24"/>
        </w:rPr>
        <w:t>92</w:t>
      </w:r>
      <w:r w:rsidRPr="00195F34">
        <w:rPr>
          <w:rFonts w:ascii="Book Antiqua" w:hAnsi="Book Antiqua" w:cs="宋体"/>
          <w:sz w:val="24"/>
          <w:szCs w:val="24"/>
        </w:rPr>
        <w:t>: 431-432 [PMID: 17339201 DOI: 10.3324/haematol.10660]</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67 </w:t>
      </w:r>
      <w:r w:rsidRPr="00195F34">
        <w:rPr>
          <w:rFonts w:ascii="Book Antiqua" w:hAnsi="Book Antiqua" w:cs="宋体"/>
          <w:b/>
          <w:bCs/>
          <w:sz w:val="24"/>
          <w:szCs w:val="24"/>
        </w:rPr>
        <w:t>Thiele J</w:t>
      </w:r>
      <w:r w:rsidRPr="00195F34">
        <w:rPr>
          <w:rFonts w:ascii="Book Antiqua" w:hAnsi="Book Antiqua" w:cs="宋体"/>
          <w:sz w:val="24"/>
          <w:szCs w:val="24"/>
        </w:rPr>
        <w:t>, Kvasnicka HM, Diehl V. Bone marrow features of diagnostic impact in erythrocytosis. </w:t>
      </w:r>
      <w:r w:rsidRPr="00195F34">
        <w:rPr>
          <w:rFonts w:ascii="Book Antiqua" w:hAnsi="Book Antiqua" w:cs="宋体"/>
          <w:i/>
          <w:iCs/>
          <w:sz w:val="24"/>
          <w:szCs w:val="24"/>
        </w:rPr>
        <w:t>Ann Hematol</w:t>
      </w:r>
      <w:r w:rsidRPr="00195F34">
        <w:rPr>
          <w:rFonts w:ascii="Book Antiqua" w:hAnsi="Book Antiqua" w:cs="宋体"/>
          <w:sz w:val="24"/>
          <w:szCs w:val="24"/>
        </w:rPr>
        <w:t> 2005; </w:t>
      </w:r>
      <w:r w:rsidRPr="00195F34">
        <w:rPr>
          <w:rFonts w:ascii="Book Antiqua" w:hAnsi="Book Antiqua" w:cs="宋体"/>
          <w:b/>
          <w:bCs/>
          <w:sz w:val="24"/>
          <w:szCs w:val="24"/>
        </w:rPr>
        <w:t>84</w:t>
      </w:r>
      <w:r w:rsidRPr="00195F34">
        <w:rPr>
          <w:rFonts w:ascii="Book Antiqua" w:hAnsi="Book Antiqua" w:cs="宋体"/>
          <w:sz w:val="24"/>
          <w:szCs w:val="24"/>
        </w:rPr>
        <w:t>: 362-367 [PMID: 15803315 DOI: 10.1007/s00277-005-1030-8]</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68 </w:t>
      </w:r>
      <w:r w:rsidRPr="00195F34">
        <w:rPr>
          <w:rFonts w:ascii="Book Antiqua" w:hAnsi="Book Antiqua" w:cs="宋体"/>
          <w:b/>
          <w:bCs/>
          <w:sz w:val="24"/>
          <w:szCs w:val="24"/>
        </w:rPr>
        <w:t>Thiele J</w:t>
      </w:r>
      <w:r w:rsidRPr="00195F34">
        <w:rPr>
          <w:rFonts w:ascii="Book Antiqua" w:hAnsi="Book Antiqua" w:cs="宋体"/>
          <w:sz w:val="24"/>
          <w:szCs w:val="24"/>
        </w:rPr>
        <w:t>, Kvasnicka HM, Diehl V. Initial (latent) polycythemia vera with thrombocytosis mimicking essential thrombocythemia. </w:t>
      </w:r>
      <w:r w:rsidRPr="00195F34">
        <w:rPr>
          <w:rFonts w:ascii="Book Antiqua" w:hAnsi="Book Antiqua" w:cs="宋体"/>
          <w:i/>
          <w:iCs/>
          <w:sz w:val="24"/>
          <w:szCs w:val="24"/>
        </w:rPr>
        <w:t>Acta Haematol</w:t>
      </w:r>
      <w:r w:rsidRPr="00195F34">
        <w:rPr>
          <w:rFonts w:ascii="Book Antiqua" w:hAnsi="Book Antiqua" w:cs="宋体"/>
          <w:sz w:val="24"/>
          <w:szCs w:val="24"/>
        </w:rPr>
        <w:t> 2005; </w:t>
      </w:r>
      <w:r w:rsidRPr="00195F34">
        <w:rPr>
          <w:rFonts w:ascii="Book Antiqua" w:hAnsi="Book Antiqua" w:cs="宋体"/>
          <w:b/>
          <w:bCs/>
          <w:sz w:val="24"/>
          <w:szCs w:val="24"/>
        </w:rPr>
        <w:t>113</w:t>
      </w:r>
      <w:r w:rsidRPr="00195F34">
        <w:rPr>
          <w:rFonts w:ascii="Book Antiqua" w:hAnsi="Book Antiqua" w:cs="宋体"/>
          <w:sz w:val="24"/>
          <w:szCs w:val="24"/>
        </w:rPr>
        <w:t>: 213-219 [PMID: 15983426 DOI: 10.1159/000084673]</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69 </w:t>
      </w:r>
      <w:r w:rsidRPr="00195F34">
        <w:rPr>
          <w:rFonts w:ascii="Book Antiqua" w:hAnsi="Book Antiqua" w:cs="宋体"/>
          <w:b/>
          <w:bCs/>
          <w:sz w:val="24"/>
          <w:szCs w:val="24"/>
        </w:rPr>
        <w:t>Thiele J</w:t>
      </w:r>
      <w:r w:rsidRPr="00195F34">
        <w:rPr>
          <w:rFonts w:ascii="Book Antiqua" w:hAnsi="Book Antiqua" w:cs="宋体"/>
          <w:sz w:val="24"/>
          <w:szCs w:val="24"/>
        </w:rPr>
        <w:t>, Kvasnicka HM, Zankovich R, Diehl V. The value of bone marrow histology in differentiating between early stage Polycythemia vera and secondary (reactive) Polycythemias. </w:t>
      </w:r>
      <w:r w:rsidRPr="00195F34">
        <w:rPr>
          <w:rFonts w:ascii="Book Antiqua" w:hAnsi="Book Antiqua" w:cs="宋体"/>
          <w:i/>
          <w:iCs/>
          <w:sz w:val="24"/>
          <w:szCs w:val="24"/>
        </w:rPr>
        <w:t>Haematologica</w:t>
      </w:r>
      <w:r w:rsidRPr="00195F34">
        <w:rPr>
          <w:rFonts w:ascii="Book Antiqua" w:hAnsi="Book Antiqua" w:cs="宋体"/>
          <w:sz w:val="24"/>
          <w:szCs w:val="24"/>
        </w:rPr>
        <w:t> 2001; </w:t>
      </w:r>
      <w:r w:rsidRPr="00195F34">
        <w:rPr>
          <w:rFonts w:ascii="Book Antiqua" w:hAnsi="Book Antiqua" w:cs="宋体"/>
          <w:b/>
          <w:bCs/>
          <w:sz w:val="24"/>
          <w:szCs w:val="24"/>
        </w:rPr>
        <w:t>86</w:t>
      </w:r>
      <w:r w:rsidRPr="00195F34">
        <w:rPr>
          <w:rFonts w:ascii="Book Antiqua" w:hAnsi="Book Antiqua" w:cs="宋体"/>
          <w:sz w:val="24"/>
          <w:szCs w:val="24"/>
        </w:rPr>
        <w:t>: 368-374 [PMID: 11325641]</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70 </w:t>
      </w:r>
      <w:r w:rsidRPr="00195F34">
        <w:rPr>
          <w:rFonts w:ascii="Book Antiqua" w:hAnsi="Book Antiqua" w:cs="宋体"/>
          <w:b/>
          <w:bCs/>
          <w:sz w:val="24"/>
          <w:szCs w:val="24"/>
        </w:rPr>
        <w:t>Thiele J</w:t>
      </w:r>
      <w:r w:rsidRPr="00195F34">
        <w:rPr>
          <w:rFonts w:ascii="Book Antiqua" w:hAnsi="Book Antiqua" w:cs="宋体"/>
          <w:sz w:val="24"/>
          <w:szCs w:val="24"/>
        </w:rPr>
        <w:t>, Kvasnicka HM, Muehlhausen K, Walter S, Zankovich R, Diehl V. Polycythemia rubra vera versus secondary polycythemias. A clinicopathological evaluation of distinctive features in 199 patients. </w:t>
      </w:r>
      <w:r w:rsidRPr="00195F34">
        <w:rPr>
          <w:rFonts w:ascii="Book Antiqua" w:hAnsi="Book Antiqua" w:cs="宋体"/>
          <w:i/>
          <w:iCs/>
          <w:sz w:val="24"/>
          <w:szCs w:val="24"/>
        </w:rPr>
        <w:t>Pathol Res Pract</w:t>
      </w:r>
      <w:r w:rsidRPr="00195F34">
        <w:rPr>
          <w:rFonts w:ascii="Book Antiqua" w:hAnsi="Book Antiqua" w:cs="宋体"/>
          <w:sz w:val="24"/>
          <w:szCs w:val="24"/>
        </w:rPr>
        <w:t> 2001; </w:t>
      </w:r>
      <w:r w:rsidRPr="00195F34">
        <w:rPr>
          <w:rFonts w:ascii="Book Antiqua" w:hAnsi="Book Antiqua" w:cs="宋体"/>
          <w:b/>
          <w:bCs/>
          <w:sz w:val="24"/>
          <w:szCs w:val="24"/>
        </w:rPr>
        <w:t>197</w:t>
      </w:r>
      <w:r w:rsidRPr="00195F34">
        <w:rPr>
          <w:rFonts w:ascii="Book Antiqua" w:hAnsi="Book Antiqua" w:cs="宋体"/>
          <w:sz w:val="24"/>
          <w:szCs w:val="24"/>
        </w:rPr>
        <w:t>: 77-84 [PMID: 11261821 DOI: 10.1078/0344-0338-5710013]</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71 </w:t>
      </w:r>
      <w:r w:rsidRPr="00195F34">
        <w:rPr>
          <w:rFonts w:ascii="Book Antiqua" w:hAnsi="Book Antiqua" w:cs="宋体"/>
          <w:b/>
          <w:bCs/>
          <w:sz w:val="24"/>
          <w:szCs w:val="24"/>
        </w:rPr>
        <w:t>Kurnick JE</w:t>
      </w:r>
      <w:r w:rsidRPr="00195F34">
        <w:rPr>
          <w:rFonts w:ascii="Book Antiqua" w:hAnsi="Book Antiqua" w:cs="宋体"/>
          <w:sz w:val="24"/>
          <w:szCs w:val="24"/>
        </w:rPr>
        <w:t>, Ward HP, Block MH. Bone marrow sections in the differential diagnosis of polycythemia. </w:t>
      </w:r>
      <w:r w:rsidRPr="00195F34">
        <w:rPr>
          <w:rFonts w:ascii="Book Antiqua" w:hAnsi="Book Antiqua" w:cs="宋体"/>
          <w:i/>
          <w:iCs/>
          <w:sz w:val="24"/>
          <w:szCs w:val="24"/>
        </w:rPr>
        <w:t>Arch Pathol</w:t>
      </w:r>
      <w:r w:rsidRPr="00195F34">
        <w:rPr>
          <w:rFonts w:ascii="Book Antiqua" w:hAnsi="Book Antiqua" w:cs="宋体"/>
          <w:sz w:val="24"/>
          <w:szCs w:val="24"/>
        </w:rPr>
        <w:t> 1972; </w:t>
      </w:r>
      <w:r w:rsidRPr="00195F34">
        <w:rPr>
          <w:rFonts w:ascii="Book Antiqua" w:hAnsi="Book Antiqua" w:cs="宋体"/>
          <w:b/>
          <w:bCs/>
          <w:sz w:val="24"/>
          <w:szCs w:val="24"/>
        </w:rPr>
        <w:t>94</w:t>
      </w:r>
      <w:r w:rsidRPr="00195F34">
        <w:rPr>
          <w:rFonts w:ascii="Book Antiqua" w:hAnsi="Book Antiqua" w:cs="宋体"/>
          <w:sz w:val="24"/>
          <w:szCs w:val="24"/>
        </w:rPr>
        <w:t>: 489-499 [PMID: 5086062]</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72 </w:t>
      </w:r>
      <w:r w:rsidRPr="00195F34">
        <w:rPr>
          <w:rFonts w:ascii="Book Antiqua" w:hAnsi="Book Antiqua" w:cs="宋体"/>
          <w:b/>
          <w:bCs/>
          <w:sz w:val="24"/>
          <w:szCs w:val="24"/>
        </w:rPr>
        <w:t>de la Chapelle A</w:t>
      </w:r>
      <w:r w:rsidRPr="00195F34">
        <w:rPr>
          <w:rFonts w:ascii="Book Antiqua" w:hAnsi="Book Antiqua" w:cs="宋体"/>
          <w:sz w:val="24"/>
          <w:szCs w:val="24"/>
        </w:rPr>
        <w:t>, Träskelin AL, Juvonen E. Truncated erythropoietin receptor causes dominantly inherited benign human erythrocytosis. </w:t>
      </w:r>
      <w:r w:rsidRPr="00195F34">
        <w:rPr>
          <w:rFonts w:ascii="Book Antiqua" w:hAnsi="Book Antiqua" w:cs="宋体"/>
          <w:i/>
          <w:iCs/>
          <w:sz w:val="24"/>
          <w:szCs w:val="24"/>
        </w:rPr>
        <w:t>Proc Natl Acad Sci U S A</w:t>
      </w:r>
      <w:r w:rsidRPr="00195F34">
        <w:rPr>
          <w:rFonts w:ascii="Book Antiqua" w:hAnsi="Book Antiqua" w:cs="宋体"/>
          <w:sz w:val="24"/>
          <w:szCs w:val="24"/>
        </w:rPr>
        <w:t> 1993; </w:t>
      </w:r>
      <w:r w:rsidRPr="00195F34">
        <w:rPr>
          <w:rFonts w:ascii="Book Antiqua" w:hAnsi="Book Antiqua" w:cs="宋体"/>
          <w:b/>
          <w:bCs/>
          <w:sz w:val="24"/>
          <w:szCs w:val="24"/>
        </w:rPr>
        <w:t>90</w:t>
      </w:r>
      <w:r w:rsidRPr="00195F34">
        <w:rPr>
          <w:rFonts w:ascii="Book Antiqua" w:hAnsi="Book Antiqua" w:cs="宋体"/>
          <w:sz w:val="24"/>
          <w:szCs w:val="24"/>
        </w:rPr>
        <w:t>: 4495-4499 [PMID: 8506290 DOI: 10.1073/pnas.90.10.4495]</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73 </w:t>
      </w:r>
      <w:r w:rsidRPr="00195F34">
        <w:rPr>
          <w:rFonts w:ascii="Book Antiqua" w:hAnsi="Book Antiqua" w:cs="宋体"/>
          <w:b/>
          <w:bCs/>
          <w:sz w:val="24"/>
          <w:szCs w:val="24"/>
        </w:rPr>
        <w:t>Juvonen E</w:t>
      </w:r>
      <w:r w:rsidRPr="00195F34">
        <w:rPr>
          <w:rFonts w:ascii="Book Antiqua" w:hAnsi="Book Antiqua" w:cs="宋体"/>
          <w:sz w:val="24"/>
          <w:szCs w:val="24"/>
        </w:rPr>
        <w:t>, Ikkala E, Fyhrquist F, Ruutu T. Autosomal dominant erythrocytosis caused by increased sensitivity to erythropoietin. </w:t>
      </w:r>
      <w:r w:rsidRPr="00195F34">
        <w:rPr>
          <w:rFonts w:ascii="Book Antiqua" w:hAnsi="Book Antiqua" w:cs="宋体"/>
          <w:i/>
          <w:iCs/>
          <w:sz w:val="24"/>
          <w:szCs w:val="24"/>
        </w:rPr>
        <w:t>Blood</w:t>
      </w:r>
      <w:r w:rsidRPr="00195F34">
        <w:rPr>
          <w:rFonts w:ascii="Book Antiqua" w:hAnsi="Book Antiqua" w:cs="宋体"/>
          <w:sz w:val="24"/>
          <w:szCs w:val="24"/>
        </w:rPr>
        <w:t> 1991; </w:t>
      </w:r>
      <w:r w:rsidRPr="00195F34">
        <w:rPr>
          <w:rFonts w:ascii="Book Antiqua" w:hAnsi="Book Antiqua" w:cs="宋体"/>
          <w:b/>
          <w:bCs/>
          <w:sz w:val="24"/>
          <w:szCs w:val="24"/>
        </w:rPr>
        <w:t>78</w:t>
      </w:r>
      <w:r w:rsidRPr="00195F34">
        <w:rPr>
          <w:rFonts w:ascii="Book Antiqua" w:hAnsi="Book Antiqua" w:cs="宋体"/>
          <w:sz w:val="24"/>
          <w:szCs w:val="24"/>
        </w:rPr>
        <w:t>: 3066-3069 [PMID: 1954391]</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74 </w:t>
      </w:r>
      <w:r w:rsidRPr="00195F34">
        <w:rPr>
          <w:rFonts w:ascii="Book Antiqua" w:hAnsi="Book Antiqua" w:cs="宋体"/>
          <w:b/>
          <w:bCs/>
          <w:sz w:val="24"/>
          <w:szCs w:val="24"/>
        </w:rPr>
        <w:t>Michiels JJ</w:t>
      </w:r>
      <w:r w:rsidRPr="00195F34">
        <w:rPr>
          <w:rFonts w:ascii="Book Antiqua" w:hAnsi="Book Antiqua" w:cs="宋体"/>
          <w:sz w:val="24"/>
          <w:szCs w:val="24"/>
        </w:rPr>
        <w:t xml:space="preserve">, Berneman Z, Van Bockstaele D, van der Planken M, De Raeve H, Schroyens W. Clinical and laboratory features, pathobiology of platelet-mediated </w:t>
      </w:r>
      <w:r w:rsidRPr="00195F34">
        <w:rPr>
          <w:rFonts w:ascii="Book Antiqua" w:hAnsi="Book Antiqua" w:cs="宋体"/>
          <w:sz w:val="24"/>
          <w:szCs w:val="24"/>
        </w:rPr>
        <w:lastRenderedPageBreak/>
        <w:t>thrombosis and bleeding complications, and the molecular etiology of essential thrombocythemia and polycythemia vera: therapeutic implications. </w:t>
      </w:r>
      <w:r w:rsidRPr="00195F34">
        <w:rPr>
          <w:rFonts w:ascii="Book Antiqua" w:hAnsi="Book Antiqua" w:cs="宋体"/>
          <w:i/>
          <w:iCs/>
          <w:sz w:val="24"/>
          <w:szCs w:val="24"/>
        </w:rPr>
        <w:t>Semin Thromb Hemost</w:t>
      </w:r>
      <w:r w:rsidRPr="00195F34">
        <w:rPr>
          <w:rFonts w:ascii="Book Antiqua" w:hAnsi="Book Antiqua" w:cs="宋体"/>
          <w:sz w:val="24"/>
          <w:szCs w:val="24"/>
        </w:rPr>
        <w:t> 2006; </w:t>
      </w:r>
      <w:r w:rsidRPr="00195F34">
        <w:rPr>
          <w:rFonts w:ascii="Book Antiqua" w:hAnsi="Book Antiqua" w:cs="宋体"/>
          <w:b/>
          <w:bCs/>
          <w:sz w:val="24"/>
          <w:szCs w:val="24"/>
        </w:rPr>
        <w:t>32</w:t>
      </w:r>
      <w:r w:rsidRPr="00195F34">
        <w:rPr>
          <w:rFonts w:ascii="Book Antiqua" w:hAnsi="Book Antiqua" w:cs="宋体"/>
          <w:sz w:val="24"/>
          <w:szCs w:val="24"/>
        </w:rPr>
        <w:t>: 174-207 [PMID: 16673274 DOI: 10.1055/s-2006-939431]</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75 </w:t>
      </w:r>
      <w:r w:rsidRPr="00195F34">
        <w:rPr>
          <w:rFonts w:ascii="Book Antiqua" w:hAnsi="Book Antiqua" w:cs="宋体"/>
          <w:b/>
          <w:bCs/>
          <w:sz w:val="24"/>
          <w:szCs w:val="24"/>
        </w:rPr>
        <w:t>Thiele J</w:t>
      </w:r>
      <w:r w:rsidRPr="00195F34">
        <w:rPr>
          <w:rFonts w:ascii="Book Antiqua" w:hAnsi="Book Antiqua" w:cs="宋体"/>
          <w:sz w:val="24"/>
          <w:szCs w:val="24"/>
        </w:rPr>
        <w:t>, Kvasnicka HM. Hematopathologic findings in chronic idiopathic myelofibrosis. </w:t>
      </w:r>
      <w:r w:rsidRPr="00195F34">
        <w:rPr>
          <w:rFonts w:ascii="Book Antiqua" w:hAnsi="Book Antiqua" w:cs="宋体"/>
          <w:i/>
          <w:iCs/>
          <w:sz w:val="24"/>
          <w:szCs w:val="24"/>
        </w:rPr>
        <w:t>Semin Oncol</w:t>
      </w:r>
      <w:r w:rsidRPr="00195F34">
        <w:rPr>
          <w:rFonts w:ascii="Book Antiqua" w:hAnsi="Book Antiqua" w:cs="宋体"/>
          <w:sz w:val="24"/>
          <w:szCs w:val="24"/>
        </w:rPr>
        <w:t> 2005; </w:t>
      </w:r>
      <w:r w:rsidRPr="00195F34">
        <w:rPr>
          <w:rFonts w:ascii="Book Antiqua" w:hAnsi="Book Antiqua" w:cs="宋体"/>
          <w:b/>
          <w:bCs/>
          <w:sz w:val="24"/>
          <w:szCs w:val="24"/>
        </w:rPr>
        <w:t>32</w:t>
      </w:r>
      <w:r w:rsidRPr="00195F34">
        <w:rPr>
          <w:rFonts w:ascii="Book Antiqua" w:hAnsi="Book Antiqua" w:cs="宋体"/>
          <w:sz w:val="24"/>
          <w:szCs w:val="24"/>
        </w:rPr>
        <w:t>: 380-394 [PMID: 16202684 DOI: 10.1053/j.seminoncol.2005.04.010]</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76 </w:t>
      </w:r>
      <w:r w:rsidRPr="00195F34">
        <w:rPr>
          <w:rFonts w:ascii="Book Antiqua" w:hAnsi="Book Antiqua" w:cs="宋体"/>
          <w:b/>
          <w:bCs/>
          <w:sz w:val="24"/>
          <w:szCs w:val="24"/>
        </w:rPr>
        <w:t>Kvasnicka HM</w:t>
      </w:r>
      <w:r w:rsidRPr="00195F34">
        <w:rPr>
          <w:rFonts w:ascii="Book Antiqua" w:hAnsi="Book Antiqua" w:cs="宋体"/>
          <w:sz w:val="24"/>
          <w:szCs w:val="24"/>
        </w:rPr>
        <w:t>, Thiele J. The impact of clinicopathological studies on staging and survival in essential thrombocythemia, chronic idiopathic myelofibrosis, and polycythemia rubra vera. </w:t>
      </w:r>
      <w:r w:rsidRPr="00195F34">
        <w:rPr>
          <w:rFonts w:ascii="Book Antiqua" w:hAnsi="Book Antiqua" w:cs="宋体"/>
          <w:i/>
          <w:iCs/>
          <w:sz w:val="24"/>
          <w:szCs w:val="24"/>
        </w:rPr>
        <w:t>Semin Thromb Hemost</w:t>
      </w:r>
      <w:r w:rsidRPr="00195F34">
        <w:rPr>
          <w:rFonts w:ascii="Book Antiqua" w:hAnsi="Book Antiqua" w:cs="宋体"/>
          <w:sz w:val="24"/>
          <w:szCs w:val="24"/>
        </w:rPr>
        <w:t> 2006; </w:t>
      </w:r>
      <w:r w:rsidRPr="00195F34">
        <w:rPr>
          <w:rFonts w:ascii="Book Antiqua" w:hAnsi="Book Antiqua" w:cs="宋体"/>
          <w:b/>
          <w:bCs/>
          <w:sz w:val="24"/>
          <w:szCs w:val="24"/>
        </w:rPr>
        <w:t>32</w:t>
      </w:r>
      <w:r w:rsidRPr="00195F34">
        <w:rPr>
          <w:rFonts w:ascii="Book Antiqua" w:hAnsi="Book Antiqua" w:cs="宋体"/>
          <w:sz w:val="24"/>
          <w:szCs w:val="24"/>
        </w:rPr>
        <w:t>: 362-371 [PMID: 16810612 DOI: 10.1055/s-2006-942757]</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77 </w:t>
      </w:r>
      <w:r w:rsidRPr="00195F34">
        <w:rPr>
          <w:rFonts w:ascii="Book Antiqua" w:hAnsi="Book Antiqua" w:cs="宋体"/>
          <w:b/>
          <w:bCs/>
          <w:sz w:val="24"/>
          <w:szCs w:val="24"/>
        </w:rPr>
        <w:t>Barbui T</w:t>
      </w:r>
      <w:r w:rsidRPr="00195F34">
        <w:rPr>
          <w:rFonts w:ascii="Book Antiqua" w:hAnsi="Book Antiqua" w:cs="宋体"/>
          <w:sz w:val="24"/>
          <w:szCs w:val="24"/>
        </w:rPr>
        <w:t>, Thiele J, Passamonti F, Rumi E, Boveri E, Ruggeri M, Rodeghiero F, d'Amore ES, Randi ML, Bertozzi I, Marino F, Vannucchi AM, Antonioli E, Carrai V, Gisslinger H, Buxhofer-Ausch V, Müllauer L, Carobbio A, Gianatti A, Gangat N, Hanson CA, Tefferi A. Survival and disease progression in essential thrombocythemia are significantly influenced by accurate morphologic diagnosis: an international study. </w:t>
      </w:r>
      <w:r w:rsidRPr="00195F34">
        <w:rPr>
          <w:rFonts w:ascii="Book Antiqua" w:hAnsi="Book Antiqua" w:cs="宋体"/>
          <w:i/>
          <w:iCs/>
          <w:sz w:val="24"/>
          <w:szCs w:val="24"/>
        </w:rPr>
        <w:t>J Clin Oncol</w:t>
      </w:r>
      <w:r w:rsidRPr="00195F34">
        <w:rPr>
          <w:rFonts w:ascii="Book Antiqua" w:hAnsi="Book Antiqua" w:cs="宋体"/>
          <w:sz w:val="24"/>
          <w:szCs w:val="24"/>
        </w:rPr>
        <w:t> 2011; </w:t>
      </w:r>
      <w:r w:rsidRPr="00195F34">
        <w:rPr>
          <w:rFonts w:ascii="Book Antiqua" w:hAnsi="Book Antiqua" w:cs="宋体"/>
          <w:b/>
          <w:bCs/>
          <w:sz w:val="24"/>
          <w:szCs w:val="24"/>
        </w:rPr>
        <w:t>29</w:t>
      </w:r>
      <w:r w:rsidRPr="00195F34">
        <w:rPr>
          <w:rFonts w:ascii="Book Antiqua" w:hAnsi="Book Antiqua" w:cs="宋体"/>
          <w:sz w:val="24"/>
          <w:szCs w:val="24"/>
        </w:rPr>
        <w:t>: 3179-3184 [PMID: 21747083 DOI: 10.1200/JCO.2010.34.5298]</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78 </w:t>
      </w:r>
      <w:r w:rsidRPr="00195F34">
        <w:rPr>
          <w:rFonts w:ascii="Book Antiqua" w:hAnsi="Book Antiqua" w:cs="宋体"/>
          <w:b/>
          <w:bCs/>
          <w:sz w:val="24"/>
          <w:szCs w:val="24"/>
        </w:rPr>
        <w:t>Ellis JT</w:t>
      </w:r>
      <w:r w:rsidRPr="00195F34">
        <w:rPr>
          <w:rFonts w:ascii="Book Antiqua" w:hAnsi="Book Antiqua" w:cs="宋体"/>
          <w:sz w:val="24"/>
          <w:szCs w:val="24"/>
        </w:rPr>
        <w:t>, Silver RT, Coleman M, Geller SA. The bone marrow in polycythemia vera. </w:t>
      </w:r>
      <w:r w:rsidRPr="00195F34">
        <w:rPr>
          <w:rFonts w:ascii="Book Antiqua" w:hAnsi="Book Antiqua" w:cs="宋体"/>
          <w:i/>
          <w:iCs/>
          <w:sz w:val="24"/>
          <w:szCs w:val="24"/>
        </w:rPr>
        <w:t>Semin Hematol</w:t>
      </w:r>
      <w:r w:rsidRPr="00195F34">
        <w:rPr>
          <w:rFonts w:ascii="Book Antiqua" w:hAnsi="Book Antiqua" w:cs="宋体"/>
          <w:sz w:val="24"/>
          <w:szCs w:val="24"/>
        </w:rPr>
        <w:t> 1975; </w:t>
      </w:r>
      <w:r w:rsidRPr="00195F34">
        <w:rPr>
          <w:rFonts w:ascii="Book Antiqua" w:hAnsi="Book Antiqua" w:cs="宋体"/>
          <w:b/>
          <w:bCs/>
          <w:sz w:val="24"/>
          <w:szCs w:val="24"/>
        </w:rPr>
        <w:t>12</w:t>
      </w:r>
      <w:r w:rsidRPr="00195F34">
        <w:rPr>
          <w:rFonts w:ascii="Book Antiqua" w:hAnsi="Book Antiqua" w:cs="宋体"/>
          <w:sz w:val="24"/>
          <w:szCs w:val="24"/>
        </w:rPr>
        <w:t>: 433-444 [PMID: 1198128]</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79 </w:t>
      </w:r>
      <w:r w:rsidRPr="00195F34">
        <w:rPr>
          <w:rFonts w:ascii="Book Antiqua" w:hAnsi="Book Antiqua" w:cs="宋体"/>
          <w:b/>
          <w:bCs/>
          <w:sz w:val="24"/>
          <w:szCs w:val="24"/>
        </w:rPr>
        <w:t>Wilkins BS</w:t>
      </w:r>
      <w:r w:rsidRPr="00195F34">
        <w:rPr>
          <w:rFonts w:ascii="Book Antiqua" w:hAnsi="Book Antiqua" w:cs="宋体"/>
          <w:sz w:val="24"/>
          <w:szCs w:val="24"/>
        </w:rPr>
        <w:t>, Erber WN, Bareford D, Buck G, Wheatley K, East CL, Paul B, Harrison CN, Green AR, Campbell PJ. Bone marrow pathology in essential thrombocythemia: interobserver reliability and utility for identifying disease subtypes. </w:t>
      </w:r>
      <w:r w:rsidRPr="00195F34">
        <w:rPr>
          <w:rFonts w:ascii="Book Antiqua" w:hAnsi="Book Antiqua" w:cs="宋体"/>
          <w:i/>
          <w:iCs/>
          <w:sz w:val="24"/>
          <w:szCs w:val="24"/>
        </w:rPr>
        <w:t>Blood</w:t>
      </w:r>
      <w:r w:rsidRPr="00195F34">
        <w:rPr>
          <w:rFonts w:ascii="Book Antiqua" w:hAnsi="Book Antiqua" w:cs="宋体"/>
          <w:sz w:val="24"/>
          <w:szCs w:val="24"/>
        </w:rPr>
        <w:t> 2008; </w:t>
      </w:r>
      <w:r w:rsidRPr="00195F34">
        <w:rPr>
          <w:rFonts w:ascii="Book Antiqua" w:hAnsi="Book Antiqua" w:cs="宋体"/>
          <w:b/>
          <w:bCs/>
          <w:sz w:val="24"/>
          <w:szCs w:val="24"/>
        </w:rPr>
        <w:t>111</w:t>
      </w:r>
      <w:r w:rsidRPr="00195F34">
        <w:rPr>
          <w:rFonts w:ascii="Book Antiqua" w:hAnsi="Book Antiqua" w:cs="宋体"/>
          <w:sz w:val="24"/>
          <w:szCs w:val="24"/>
        </w:rPr>
        <w:t>: 60-70 [PMID: 17885079 DOI: 10.1182/blood-2007-05-091850]</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80 </w:t>
      </w:r>
      <w:r w:rsidRPr="00195F34">
        <w:rPr>
          <w:rFonts w:ascii="Book Antiqua" w:hAnsi="Book Antiqua" w:cs="宋体"/>
          <w:b/>
          <w:bCs/>
          <w:sz w:val="24"/>
          <w:szCs w:val="24"/>
        </w:rPr>
        <w:t>Thiele J</w:t>
      </w:r>
      <w:r w:rsidRPr="00195F34">
        <w:rPr>
          <w:rFonts w:ascii="Book Antiqua" w:hAnsi="Book Antiqua" w:cs="宋体"/>
          <w:sz w:val="24"/>
          <w:szCs w:val="24"/>
        </w:rPr>
        <w:t>, Kvasnicka HM, Facchetti F, Franco V, van der Walt J, Orazi A. European consensus on grading bone marrow fibrosis and assessment of cellularity. </w:t>
      </w:r>
      <w:r w:rsidRPr="00195F34">
        <w:rPr>
          <w:rFonts w:ascii="Book Antiqua" w:hAnsi="Book Antiqua" w:cs="宋体"/>
          <w:i/>
          <w:iCs/>
          <w:sz w:val="24"/>
          <w:szCs w:val="24"/>
        </w:rPr>
        <w:t>Haematologica</w:t>
      </w:r>
      <w:r w:rsidRPr="00195F34">
        <w:rPr>
          <w:rFonts w:ascii="Book Antiqua" w:hAnsi="Book Antiqua" w:cs="宋体"/>
          <w:sz w:val="24"/>
          <w:szCs w:val="24"/>
        </w:rPr>
        <w:t> 2005; </w:t>
      </w:r>
      <w:r w:rsidRPr="00195F34">
        <w:rPr>
          <w:rFonts w:ascii="Book Antiqua" w:hAnsi="Book Antiqua" w:cs="宋体"/>
          <w:b/>
          <w:bCs/>
          <w:sz w:val="24"/>
          <w:szCs w:val="24"/>
        </w:rPr>
        <w:t>90</w:t>
      </w:r>
      <w:r w:rsidRPr="00195F34">
        <w:rPr>
          <w:rFonts w:ascii="Book Antiqua" w:hAnsi="Book Antiqua" w:cs="宋体"/>
          <w:sz w:val="24"/>
          <w:szCs w:val="24"/>
        </w:rPr>
        <w:t>: 1128-1132 [PMID: 16079113]</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lastRenderedPageBreak/>
        <w:t>81 </w:t>
      </w:r>
      <w:r w:rsidRPr="00195F34">
        <w:rPr>
          <w:rFonts w:ascii="Book Antiqua" w:hAnsi="Book Antiqua" w:cs="宋体"/>
          <w:b/>
          <w:bCs/>
          <w:sz w:val="24"/>
          <w:szCs w:val="24"/>
        </w:rPr>
        <w:t>Michiels JJ</w:t>
      </w:r>
      <w:r w:rsidRPr="00195F34">
        <w:rPr>
          <w:rFonts w:ascii="Book Antiqua" w:hAnsi="Book Antiqua" w:cs="宋体"/>
          <w:sz w:val="24"/>
          <w:szCs w:val="24"/>
        </w:rPr>
        <w:t>, Kutti J, Stark P, Bazzan M, Gugliotta L, Marchioli R, Griesshammer M, van Genderen PJ, Brière J, Kiladjian JJ, Barbui T, Finazzi G, Berlin NI, Pearson TC, Green AC, Fruchtmann SM, Silver RT, Hansmann E, Wehmeier A, Lengfelder E, Landolfi R, Kvasnicka HM, Hasselbalch H, Cervantes F, Thiele J. Diagnosis, pathogenesis and treatment of the myeloproliferative disorders essential thrombocythemia, polycythemia vera and essential megakaryocytic granulocytic metaplasia and myelofibrosis. </w:t>
      </w:r>
      <w:r w:rsidRPr="00195F34">
        <w:rPr>
          <w:rFonts w:ascii="Book Antiqua" w:hAnsi="Book Antiqua" w:cs="宋体"/>
          <w:i/>
          <w:iCs/>
          <w:sz w:val="24"/>
          <w:szCs w:val="24"/>
        </w:rPr>
        <w:t>Neth J Med</w:t>
      </w:r>
      <w:r w:rsidRPr="00195F34">
        <w:rPr>
          <w:rFonts w:ascii="Book Antiqua" w:hAnsi="Book Antiqua" w:cs="宋体"/>
          <w:sz w:val="24"/>
          <w:szCs w:val="24"/>
        </w:rPr>
        <w:t> 1999; </w:t>
      </w:r>
      <w:r w:rsidRPr="00195F34">
        <w:rPr>
          <w:rFonts w:ascii="Book Antiqua" w:hAnsi="Book Antiqua" w:cs="宋体"/>
          <w:b/>
          <w:bCs/>
          <w:sz w:val="24"/>
          <w:szCs w:val="24"/>
        </w:rPr>
        <w:t>54</w:t>
      </w:r>
      <w:r w:rsidRPr="00195F34">
        <w:rPr>
          <w:rFonts w:ascii="Book Antiqua" w:hAnsi="Book Antiqua" w:cs="宋体"/>
          <w:sz w:val="24"/>
          <w:szCs w:val="24"/>
        </w:rPr>
        <w:t>: 46-62 [PMID: 10079679 DOI: 10.1016/S0300-2977(98)00143-0]</w:t>
      </w:r>
    </w:p>
    <w:p w:rsidR="00702CE8" w:rsidRPr="00195F34" w:rsidRDefault="00702CE8" w:rsidP="00AC3FB8">
      <w:pPr>
        <w:spacing w:line="360" w:lineRule="auto"/>
        <w:jc w:val="both"/>
        <w:rPr>
          <w:rFonts w:ascii="Book Antiqua" w:hAnsi="Book Antiqua" w:cs="宋体"/>
          <w:sz w:val="24"/>
          <w:szCs w:val="24"/>
        </w:rPr>
      </w:pPr>
      <w:r>
        <w:rPr>
          <w:rFonts w:ascii="Book Antiqua" w:hAnsi="Book Antiqua" w:cs="宋体"/>
          <w:sz w:val="24"/>
          <w:szCs w:val="24"/>
        </w:rPr>
        <w:t xml:space="preserve">82 </w:t>
      </w:r>
      <w:r w:rsidRPr="000750F6">
        <w:rPr>
          <w:rFonts w:ascii="Book Antiqua" w:hAnsi="Book Antiqua" w:cs="宋体"/>
          <w:b/>
          <w:sz w:val="24"/>
          <w:szCs w:val="24"/>
        </w:rPr>
        <w:t>Michiels JJ</w:t>
      </w:r>
      <w:r w:rsidRPr="00195F34">
        <w:rPr>
          <w:rFonts w:ascii="Book Antiqua" w:hAnsi="Book Antiqua" w:cs="宋体"/>
          <w:sz w:val="24"/>
          <w:szCs w:val="24"/>
        </w:rPr>
        <w:t>, Ten Kate FWJ, Koudstaal PJ, Van Genderen PJJ. Aspirin responsive platelet thrombophilia in essential thrombocythemia and polycythemia vera. World J hematology; 2013 online.</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83 </w:t>
      </w:r>
      <w:r w:rsidRPr="00195F34">
        <w:rPr>
          <w:rFonts w:ascii="Book Antiqua" w:hAnsi="Book Antiqua" w:cs="宋体"/>
          <w:b/>
          <w:bCs/>
          <w:sz w:val="24"/>
          <w:szCs w:val="24"/>
        </w:rPr>
        <w:t>Barbui T</w:t>
      </w:r>
      <w:r w:rsidRPr="00195F34">
        <w:rPr>
          <w:rFonts w:ascii="Book Antiqua" w:hAnsi="Book Antiqua" w:cs="宋体"/>
          <w:sz w:val="24"/>
          <w:szCs w:val="24"/>
        </w:rPr>
        <w:t>, Barosi G, Birgegard G, Cervantes F, Finazzi G, Griesshammer M, Harrison C, Hasselbalch HC, Hehlmann R, Hoffman R, Kiladjian JJ, Kröger N, Mesa R, McMullin MF, Pardanani A, Passamonti F, Vannucchi AM, Reiter A, Silver RT, Verstovsek S, Tefferi A. Philadelphia-negative classical myeloproliferative neoplasms: critical concepts and management recommendations from European LeukemiaNet. </w:t>
      </w:r>
      <w:r w:rsidRPr="00195F34">
        <w:rPr>
          <w:rFonts w:ascii="Book Antiqua" w:hAnsi="Book Antiqua" w:cs="宋体"/>
          <w:i/>
          <w:iCs/>
          <w:sz w:val="24"/>
          <w:szCs w:val="24"/>
        </w:rPr>
        <w:t>J Clin Oncol</w:t>
      </w:r>
      <w:r w:rsidRPr="00195F34">
        <w:rPr>
          <w:rFonts w:ascii="Book Antiqua" w:hAnsi="Book Antiqua" w:cs="宋体"/>
          <w:sz w:val="24"/>
          <w:szCs w:val="24"/>
        </w:rPr>
        <w:t> 2011; </w:t>
      </w:r>
      <w:r w:rsidRPr="00195F34">
        <w:rPr>
          <w:rFonts w:ascii="Book Antiqua" w:hAnsi="Book Antiqua" w:cs="宋体"/>
          <w:b/>
          <w:bCs/>
          <w:sz w:val="24"/>
          <w:szCs w:val="24"/>
        </w:rPr>
        <w:t>29</w:t>
      </w:r>
      <w:r w:rsidRPr="00195F34">
        <w:rPr>
          <w:rFonts w:ascii="Book Antiqua" w:hAnsi="Book Antiqua" w:cs="宋体"/>
          <w:sz w:val="24"/>
          <w:szCs w:val="24"/>
        </w:rPr>
        <w:t>: 761-770 [PMID: 21205761 DOI: 10.1200/JCO.2010.31.8436]</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84 </w:t>
      </w:r>
      <w:r w:rsidRPr="00195F34">
        <w:rPr>
          <w:rFonts w:ascii="Book Antiqua" w:hAnsi="Book Antiqua" w:cs="宋体"/>
          <w:b/>
          <w:bCs/>
          <w:sz w:val="24"/>
          <w:szCs w:val="24"/>
        </w:rPr>
        <w:t>Kiladjian JJ</w:t>
      </w:r>
      <w:r w:rsidRPr="00195F34">
        <w:rPr>
          <w:rFonts w:ascii="Book Antiqua" w:hAnsi="Book Antiqua" w:cs="宋体"/>
          <w:sz w:val="24"/>
          <w:szCs w:val="24"/>
        </w:rPr>
        <w:t>, Cassinat B, Turlure P, Cambier N, Roussel M, Bellucci S, Menot ML, Massonnet G, Dutel JL, Ghomari K, Rousselot P, Grange MJ, Chait Y, Vainchenker W, Parquet N, Abdelkader-Aljassem L, Bernard JF, Rain JD, Chevret S, Chomienne C, Fenaux P. High molecular response rate of polycythemia vera patients treated with pegylated interferon alpha-2a. </w:t>
      </w:r>
      <w:r w:rsidRPr="00195F34">
        <w:rPr>
          <w:rFonts w:ascii="Book Antiqua" w:hAnsi="Book Antiqua" w:cs="宋体"/>
          <w:i/>
          <w:iCs/>
          <w:sz w:val="24"/>
          <w:szCs w:val="24"/>
        </w:rPr>
        <w:t>Blood</w:t>
      </w:r>
      <w:r w:rsidRPr="00195F34">
        <w:rPr>
          <w:rFonts w:ascii="Book Antiqua" w:hAnsi="Book Antiqua" w:cs="宋体"/>
          <w:sz w:val="24"/>
          <w:szCs w:val="24"/>
        </w:rPr>
        <w:t> 2006; </w:t>
      </w:r>
      <w:r w:rsidRPr="00195F34">
        <w:rPr>
          <w:rFonts w:ascii="Book Antiqua" w:hAnsi="Book Antiqua" w:cs="宋体"/>
          <w:b/>
          <w:bCs/>
          <w:sz w:val="24"/>
          <w:szCs w:val="24"/>
        </w:rPr>
        <w:t>108</w:t>
      </w:r>
      <w:r w:rsidRPr="00195F34">
        <w:rPr>
          <w:rFonts w:ascii="Book Antiqua" w:hAnsi="Book Antiqua" w:cs="宋体"/>
          <w:sz w:val="24"/>
          <w:szCs w:val="24"/>
        </w:rPr>
        <w:t>: 2037-2040 [PMID: 16709929]</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85 </w:t>
      </w:r>
      <w:r w:rsidRPr="00195F34">
        <w:rPr>
          <w:rFonts w:ascii="Book Antiqua" w:hAnsi="Book Antiqua" w:cs="宋体"/>
          <w:b/>
          <w:bCs/>
          <w:sz w:val="24"/>
          <w:szCs w:val="24"/>
        </w:rPr>
        <w:t>Quintás-Cardama A</w:t>
      </w:r>
      <w:r w:rsidRPr="00195F34">
        <w:rPr>
          <w:rFonts w:ascii="Book Antiqua" w:hAnsi="Book Antiqua" w:cs="宋体"/>
          <w:sz w:val="24"/>
          <w:szCs w:val="24"/>
        </w:rPr>
        <w:t>, Kantarjian H, Manshouri T, Luthra R, Estrov Z, Pierce S, Richie MA, Borthakur G, Konopleva M, Cortes J, Verstovsek S. Pegylated interferon alfa-2a yields high rates of hematologic and molecular response in patients with advanced essential thrombocythemia and polycythemia vera. </w:t>
      </w:r>
      <w:r w:rsidRPr="00195F34">
        <w:rPr>
          <w:rFonts w:ascii="Book Antiqua" w:hAnsi="Book Antiqua" w:cs="宋体"/>
          <w:i/>
          <w:iCs/>
          <w:sz w:val="24"/>
          <w:szCs w:val="24"/>
        </w:rPr>
        <w:t>J Clin Oncol</w:t>
      </w:r>
      <w:r w:rsidRPr="00195F34">
        <w:rPr>
          <w:rFonts w:ascii="Book Antiqua" w:hAnsi="Book Antiqua" w:cs="宋体"/>
          <w:sz w:val="24"/>
          <w:szCs w:val="24"/>
        </w:rPr>
        <w:t> 2009; </w:t>
      </w:r>
      <w:r w:rsidRPr="00195F34">
        <w:rPr>
          <w:rFonts w:ascii="Book Antiqua" w:hAnsi="Book Antiqua" w:cs="宋体"/>
          <w:b/>
          <w:bCs/>
          <w:sz w:val="24"/>
          <w:szCs w:val="24"/>
        </w:rPr>
        <w:t>27</w:t>
      </w:r>
      <w:r w:rsidRPr="00195F34">
        <w:rPr>
          <w:rFonts w:ascii="Book Antiqua" w:hAnsi="Book Antiqua" w:cs="宋体"/>
          <w:sz w:val="24"/>
          <w:szCs w:val="24"/>
        </w:rPr>
        <w:t>: 5418-5424 [PMID: 19826111 DOI: 10.1200/JCO.2009.23.6075]</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lastRenderedPageBreak/>
        <w:t>86 </w:t>
      </w:r>
      <w:r w:rsidRPr="00195F34">
        <w:rPr>
          <w:rFonts w:ascii="Book Antiqua" w:hAnsi="Book Antiqua" w:cs="宋体"/>
          <w:b/>
          <w:bCs/>
          <w:sz w:val="24"/>
          <w:szCs w:val="24"/>
        </w:rPr>
        <w:t>Larsen TS</w:t>
      </w:r>
      <w:r w:rsidRPr="00195F34">
        <w:rPr>
          <w:rFonts w:ascii="Book Antiqua" w:hAnsi="Book Antiqua" w:cs="宋体"/>
          <w:sz w:val="24"/>
          <w:szCs w:val="24"/>
        </w:rPr>
        <w:t>, Møller MB, de Stricker K, Nørgaard P, Samuelsson J, Marcher C, Andersen MT, Bjerrum OW, Hasselbalch HC. Minimal residual disease and normalization of the bone marrow after long-term treatment with alpha-interferon2b in polycythemia vera. A report on molecular response patterns in seven patients in sustained complete hematological remission. </w:t>
      </w:r>
      <w:r w:rsidRPr="00195F34">
        <w:rPr>
          <w:rFonts w:ascii="Book Antiqua" w:hAnsi="Book Antiqua" w:cs="宋体"/>
          <w:i/>
          <w:iCs/>
          <w:sz w:val="24"/>
          <w:szCs w:val="24"/>
        </w:rPr>
        <w:t>Hematology</w:t>
      </w:r>
      <w:r w:rsidRPr="00195F34">
        <w:rPr>
          <w:rFonts w:ascii="Book Antiqua" w:hAnsi="Book Antiqua" w:cs="宋体"/>
          <w:sz w:val="24"/>
          <w:szCs w:val="24"/>
        </w:rPr>
        <w:t> 2009; </w:t>
      </w:r>
      <w:r w:rsidRPr="00195F34">
        <w:rPr>
          <w:rFonts w:ascii="Book Antiqua" w:hAnsi="Book Antiqua" w:cs="宋体"/>
          <w:b/>
          <w:bCs/>
          <w:sz w:val="24"/>
          <w:szCs w:val="24"/>
        </w:rPr>
        <w:t>14</w:t>
      </w:r>
      <w:r w:rsidRPr="00195F34">
        <w:rPr>
          <w:rFonts w:ascii="Book Antiqua" w:hAnsi="Book Antiqua" w:cs="宋体"/>
          <w:sz w:val="24"/>
          <w:szCs w:val="24"/>
        </w:rPr>
        <w:t>: 331-334 [PMID: 19941739 DOI: 10.1179/102453309X12473408860587]</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87 </w:t>
      </w:r>
      <w:r w:rsidRPr="00195F34">
        <w:rPr>
          <w:rFonts w:ascii="Book Antiqua" w:hAnsi="Book Antiqua" w:cs="宋体"/>
          <w:b/>
          <w:bCs/>
          <w:sz w:val="24"/>
          <w:szCs w:val="24"/>
        </w:rPr>
        <w:t>Verstovsek S</w:t>
      </w:r>
      <w:r w:rsidRPr="00195F34">
        <w:rPr>
          <w:rFonts w:ascii="Book Antiqua" w:hAnsi="Book Antiqua" w:cs="宋体"/>
          <w:sz w:val="24"/>
          <w:szCs w:val="24"/>
        </w:rPr>
        <w:t>, Mesa RA, Gotlib J, Levy RS, Gupta V, DiPersio JF, Catalano JV, Deininger M, Miller C, Silver RT, Talpaz M, Winton EF, Harvey JH, Arcasoy MO, Hexner E, Lyons RM, Paquette R, Raza A, Vaddi K, Erickson-Viitanen S, Koumenis IL, Sun W, Sandor V, Kantarjian HM. A double-blind, placebo-controlled trial of ruxolitinib for myelofibrosis. </w:t>
      </w:r>
      <w:r w:rsidRPr="00195F34">
        <w:rPr>
          <w:rFonts w:ascii="Book Antiqua" w:hAnsi="Book Antiqua" w:cs="宋体"/>
          <w:i/>
          <w:iCs/>
          <w:sz w:val="24"/>
          <w:szCs w:val="24"/>
        </w:rPr>
        <w:t>N Engl J Med</w:t>
      </w:r>
      <w:r w:rsidRPr="00195F34">
        <w:rPr>
          <w:rFonts w:ascii="Book Antiqua" w:hAnsi="Book Antiqua" w:cs="宋体"/>
          <w:sz w:val="24"/>
          <w:szCs w:val="24"/>
        </w:rPr>
        <w:t> 2012; </w:t>
      </w:r>
      <w:r w:rsidRPr="00195F34">
        <w:rPr>
          <w:rFonts w:ascii="Book Antiqua" w:hAnsi="Book Antiqua" w:cs="宋体"/>
          <w:b/>
          <w:bCs/>
          <w:sz w:val="24"/>
          <w:szCs w:val="24"/>
        </w:rPr>
        <w:t>366</w:t>
      </w:r>
      <w:r w:rsidRPr="00195F34">
        <w:rPr>
          <w:rFonts w:ascii="Book Antiqua" w:hAnsi="Book Antiqua" w:cs="宋体"/>
          <w:sz w:val="24"/>
          <w:szCs w:val="24"/>
        </w:rPr>
        <w:t>: 799-807 [PMID: 22375971 DOI: 10.1056/NEJMoa1110557]</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88 </w:t>
      </w:r>
      <w:r w:rsidRPr="00195F34">
        <w:rPr>
          <w:rFonts w:ascii="Book Antiqua" w:hAnsi="Book Antiqua" w:cs="宋体"/>
          <w:b/>
          <w:bCs/>
          <w:sz w:val="24"/>
          <w:szCs w:val="24"/>
        </w:rPr>
        <w:t>Harrison C</w:t>
      </w:r>
      <w:r w:rsidRPr="00195F34">
        <w:rPr>
          <w:rFonts w:ascii="Book Antiqua" w:hAnsi="Book Antiqua" w:cs="宋体"/>
          <w:sz w:val="24"/>
          <w:szCs w:val="24"/>
        </w:rPr>
        <w:t>, Kiladjian JJ, Al-Ali HK, Gisslinger H, Waltzman R, Stalbovskaya V, McQuitty M, Hunter DS, Levy R, Knoops L, Cervantes F, Vannucchi AM, Barbui T, Barosi G. JAK inhibition with ruxolitinib versus best available therapy for myelofibrosis. </w:t>
      </w:r>
      <w:r w:rsidRPr="00195F34">
        <w:rPr>
          <w:rFonts w:ascii="Book Antiqua" w:hAnsi="Book Antiqua" w:cs="宋体"/>
          <w:i/>
          <w:iCs/>
          <w:sz w:val="24"/>
          <w:szCs w:val="24"/>
        </w:rPr>
        <w:t>N Engl J Med</w:t>
      </w:r>
      <w:r w:rsidRPr="00195F34">
        <w:rPr>
          <w:rFonts w:ascii="Book Antiqua" w:hAnsi="Book Antiqua" w:cs="宋体"/>
          <w:sz w:val="24"/>
          <w:szCs w:val="24"/>
        </w:rPr>
        <w:t> 2012; </w:t>
      </w:r>
      <w:r w:rsidRPr="00195F34">
        <w:rPr>
          <w:rFonts w:ascii="Book Antiqua" w:hAnsi="Book Antiqua" w:cs="宋体"/>
          <w:b/>
          <w:bCs/>
          <w:sz w:val="24"/>
          <w:szCs w:val="24"/>
        </w:rPr>
        <w:t>366</w:t>
      </w:r>
      <w:r w:rsidRPr="00195F34">
        <w:rPr>
          <w:rFonts w:ascii="Book Antiqua" w:hAnsi="Book Antiqua" w:cs="宋体"/>
          <w:sz w:val="24"/>
          <w:szCs w:val="24"/>
        </w:rPr>
        <w:t>: 787-798 [PMID: 22375970 DOI: 10.1056/NEJMoa1110556]</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89 </w:t>
      </w:r>
      <w:r w:rsidRPr="00195F34">
        <w:rPr>
          <w:rFonts w:ascii="Book Antiqua" w:hAnsi="Book Antiqua" w:cs="宋体"/>
          <w:b/>
          <w:bCs/>
          <w:sz w:val="24"/>
          <w:szCs w:val="24"/>
        </w:rPr>
        <w:t>Tefferi A</w:t>
      </w:r>
      <w:r w:rsidRPr="00195F34">
        <w:rPr>
          <w:rFonts w:ascii="Book Antiqua" w:hAnsi="Book Antiqua" w:cs="宋体"/>
          <w:sz w:val="24"/>
          <w:szCs w:val="24"/>
        </w:rPr>
        <w:t>. JAK inhibitors for myeloproliferative neoplasms: clarifying facts from myths. </w:t>
      </w:r>
      <w:r w:rsidRPr="00195F34">
        <w:rPr>
          <w:rFonts w:ascii="Book Antiqua" w:hAnsi="Book Antiqua" w:cs="宋体"/>
          <w:i/>
          <w:iCs/>
          <w:sz w:val="24"/>
          <w:szCs w:val="24"/>
        </w:rPr>
        <w:t>Blood</w:t>
      </w:r>
      <w:r w:rsidRPr="00195F34">
        <w:rPr>
          <w:rFonts w:ascii="Book Antiqua" w:hAnsi="Book Antiqua" w:cs="宋体"/>
          <w:sz w:val="24"/>
          <w:szCs w:val="24"/>
        </w:rPr>
        <w:t> 2012; </w:t>
      </w:r>
      <w:r w:rsidRPr="00195F34">
        <w:rPr>
          <w:rFonts w:ascii="Book Antiqua" w:hAnsi="Book Antiqua" w:cs="宋体"/>
          <w:b/>
          <w:bCs/>
          <w:sz w:val="24"/>
          <w:szCs w:val="24"/>
        </w:rPr>
        <w:t>119</w:t>
      </w:r>
      <w:r w:rsidRPr="00195F34">
        <w:rPr>
          <w:rFonts w:ascii="Book Antiqua" w:hAnsi="Book Antiqua" w:cs="宋体"/>
          <w:sz w:val="24"/>
          <w:szCs w:val="24"/>
        </w:rPr>
        <w:t>: 2721-2730 [PMID: 22279053 DOI: 10.1182/blood-2011-11-395228]</w:t>
      </w:r>
    </w:p>
    <w:p w:rsidR="00702CE8" w:rsidRPr="00195F34" w:rsidRDefault="00702CE8" w:rsidP="00AC3FB8">
      <w:pPr>
        <w:spacing w:line="360" w:lineRule="auto"/>
        <w:jc w:val="both"/>
        <w:rPr>
          <w:rFonts w:ascii="Book Antiqua" w:hAnsi="Book Antiqua" w:cs="宋体"/>
          <w:sz w:val="24"/>
          <w:szCs w:val="24"/>
        </w:rPr>
      </w:pPr>
      <w:r w:rsidRPr="00195F34">
        <w:rPr>
          <w:rFonts w:ascii="Book Antiqua" w:hAnsi="Book Antiqua" w:cs="宋体"/>
          <w:sz w:val="24"/>
          <w:szCs w:val="24"/>
        </w:rPr>
        <w:t>90 </w:t>
      </w:r>
      <w:r w:rsidRPr="00195F34">
        <w:rPr>
          <w:rFonts w:ascii="Book Antiqua" w:hAnsi="Book Antiqua" w:cs="宋体"/>
          <w:b/>
          <w:bCs/>
          <w:sz w:val="24"/>
          <w:szCs w:val="24"/>
        </w:rPr>
        <w:t>Verstovsek S</w:t>
      </w:r>
      <w:r w:rsidRPr="00195F34">
        <w:rPr>
          <w:rFonts w:ascii="Book Antiqua" w:hAnsi="Book Antiqua" w:cs="宋体"/>
          <w:sz w:val="24"/>
          <w:szCs w:val="24"/>
        </w:rPr>
        <w:t>, Mesa RA, Gotlib J, Levy RS, Gupta V, DiPersio JF, Catalano JV, Deininger M, Miller C, Silver RT, Talpaz M, Winton EF, Harvey JH, Arcasoy MO, Hexner E, Lyons RM, Paquette R, Raza A, Vaddi K, Erickson-Viitanen S, Sun W, Sandor V, Kantarjian HM. The clinical benefit of ruxolitinib across patient subgroups: analysis of a placebo-controlled, Phase III study in patients with myelofibrosis. </w:t>
      </w:r>
      <w:r w:rsidRPr="00195F34">
        <w:rPr>
          <w:rFonts w:ascii="Book Antiqua" w:hAnsi="Book Antiqua" w:cs="宋体"/>
          <w:i/>
          <w:iCs/>
          <w:sz w:val="24"/>
          <w:szCs w:val="24"/>
        </w:rPr>
        <w:t>Br J Haematol</w:t>
      </w:r>
      <w:r w:rsidRPr="00195F34">
        <w:rPr>
          <w:rFonts w:ascii="Book Antiqua" w:hAnsi="Book Antiqua" w:cs="宋体"/>
          <w:sz w:val="24"/>
          <w:szCs w:val="24"/>
        </w:rPr>
        <w:t> 2013; </w:t>
      </w:r>
      <w:r w:rsidRPr="00195F34">
        <w:rPr>
          <w:rFonts w:ascii="Book Antiqua" w:hAnsi="Book Antiqua" w:cs="宋体"/>
          <w:b/>
          <w:bCs/>
          <w:sz w:val="24"/>
          <w:szCs w:val="24"/>
        </w:rPr>
        <w:t>161</w:t>
      </w:r>
      <w:r w:rsidRPr="00195F34">
        <w:rPr>
          <w:rFonts w:ascii="Book Antiqua" w:hAnsi="Book Antiqua" w:cs="宋体"/>
          <w:sz w:val="24"/>
          <w:szCs w:val="24"/>
        </w:rPr>
        <w:t>: 508-516 [PMID: 23480528 DOI: 10.1111/bjh.12274]</w:t>
      </w:r>
    </w:p>
    <w:p w:rsidR="00702CE8" w:rsidRPr="00195F34" w:rsidRDefault="00702CE8" w:rsidP="00AC3FB8">
      <w:pPr>
        <w:spacing w:line="360" w:lineRule="auto"/>
        <w:jc w:val="both"/>
        <w:rPr>
          <w:rFonts w:ascii="Book Antiqua" w:hAnsi="Book Antiqua"/>
          <w:sz w:val="24"/>
          <w:szCs w:val="24"/>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GB" w:eastAsia="ja-JP"/>
        </w:rPr>
      </w:pPr>
      <w:r w:rsidRPr="00CC3D0A">
        <w:rPr>
          <w:rFonts w:ascii="Book Antiqua" w:eastAsia="MS Mincho" w:hAnsi="Book Antiqua"/>
          <w:b/>
          <w:sz w:val="24"/>
          <w:szCs w:val="24"/>
          <w:lang w:val="en-GB" w:eastAsia="ja-JP"/>
        </w:rPr>
        <w:t xml:space="preserve">Figure 1 </w:t>
      </w:r>
      <w:r w:rsidRPr="00600ED5">
        <w:rPr>
          <w:rFonts w:ascii="Book Antiqua" w:eastAsia="MS Mincho" w:hAnsi="Book Antiqua"/>
          <w:b/>
          <w:sz w:val="24"/>
          <w:szCs w:val="24"/>
          <w:lang w:val="en-GB" w:eastAsia="ja-JP"/>
        </w:rPr>
        <w:t>The concept of Dameshek in 1950 on polycythemia vera as a trilinear myeloproliferative disorder due to an unknown excessive bone marrow stimulating factor and/or a lack or a diminution in the normal inhibitory factor, which appeared to be caused by the acquired heterozygous and/or homozygous JAK2</w:t>
      </w:r>
      <w:r w:rsidRPr="00600ED5">
        <w:rPr>
          <w:rFonts w:ascii="Book Antiqua" w:eastAsia="MS Mincho" w:hAnsi="Book Antiqua"/>
          <w:b/>
          <w:sz w:val="24"/>
          <w:szCs w:val="24"/>
          <w:vertAlign w:val="superscript"/>
          <w:lang w:val="en-GB" w:eastAsia="ja-JP"/>
        </w:rPr>
        <w:t>V617F</w:t>
      </w:r>
      <w:r w:rsidRPr="00600ED5">
        <w:rPr>
          <w:rFonts w:ascii="Book Antiqua" w:eastAsia="MS Mincho" w:hAnsi="Book Antiqua"/>
          <w:b/>
          <w:sz w:val="24"/>
          <w:szCs w:val="24"/>
          <w:lang w:val="en-GB" w:eastAsia="ja-JP"/>
        </w:rPr>
        <w:t xml:space="preserve"> mutation discovered by </w:t>
      </w:r>
      <w:r w:rsidRPr="00D2511E">
        <w:rPr>
          <w:rFonts w:ascii="Book Antiqua" w:eastAsia="MS Mincho" w:hAnsi="Book Antiqua"/>
          <w:b/>
          <w:sz w:val="24"/>
          <w:szCs w:val="24"/>
          <w:lang w:val="en-GB" w:eastAsia="ja-JP"/>
        </w:rPr>
        <w:t>James</w:t>
      </w:r>
      <w:r w:rsidRPr="00D2511E">
        <w:rPr>
          <w:rFonts w:ascii="Book Antiqua" w:hAnsi="Book Antiqua"/>
          <w:b/>
          <w:sz w:val="24"/>
          <w:szCs w:val="24"/>
          <w:vertAlign w:val="superscript"/>
          <w:lang w:val="en-GB" w:eastAsia="zh-CN"/>
        </w:rPr>
        <w:t>[5]</w:t>
      </w:r>
      <w:r w:rsidRPr="00600ED5">
        <w:rPr>
          <w:rFonts w:ascii="Book Antiqua" w:eastAsia="MS Mincho" w:hAnsi="Book Antiqua"/>
          <w:b/>
          <w:sz w:val="24"/>
          <w:szCs w:val="24"/>
          <w:lang w:val="en-GB" w:eastAsia="ja-JP"/>
        </w:rPr>
        <w:t xml:space="preserve">. </w:t>
      </w:r>
      <w:r w:rsidRPr="00CC3D0A">
        <w:rPr>
          <w:rFonts w:ascii="Book Antiqua" w:eastAsia="MS Mincho" w:hAnsi="Book Antiqua"/>
          <w:sz w:val="24"/>
          <w:szCs w:val="24"/>
          <w:lang w:val="en-GB" w:eastAsia="ja-JP"/>
        </w:rPr>
        <w:t xml:space="preserve">The unifying concept of Dameshek in 1951 on lumping the chronic disorders (MPDs) essential thrombocythemia (ET), </w:t>
      </w:r>
      <w:r w:rsidRPr="00D2511E">
        <w:rPr>
          <w:rFonts w:ascii="Book Antiqua" w:eastAsia="MS Mincho" w:hAnsi="Book Antiqua"/>
          <w:sz w:val="24"/>
          <w:szCs w:val="24"/>
          <w:lang w:val="en-GB" w:eastAsia="ja-JP"/>
        </w:rPr>
        <w:t>polycythemia vera (PV),</w:t>
      </w:r>
      <w:r w:rsidRPr="00CC3D0A">
        <w:rPr>
          <w:rFonts w:ascii="Book Antiqua" w:eastAsia="MS Mincho" w:hAnsi="Book Antiqua"/>
          <w:sz w:val="24"/>
          <w:szCs w:val="24"/>
          <w:lang w:val="en-GB" w:eastAsia="ja-JP"/>
        </w:rPr>
        <w:t xml:space="preserve"> agnogenic myeloid metaplasia (AMM) has been broken up by the PVSG in 1975 into Ph-positive (Ph+) thrombocythemia and chronic myeloid leukemia (CML) and the Ph-negative MPDs ET, PV and MF. In 2005, PV indeed proved to be a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mutated trilinear MPD, whereas ET and PMF are either positive or negative for the JAK2</w:t>
      </w:r>
      <w:r w:rsidRPr="00CC3D0A">
        <w:rPr>
          <w:rFonts w:ascii="Book Antiqua" w:eastAsia="MS Mincho" w:hAnsi="Book Antiqua"/>
          <w:sz w:val="24"/>
          <w:szCs w:val="24"/>
          <w:vertAlign w:val="superscript"/>
          <w:lang w:val="en-GB" w:eastAsia="ja-JP"/>
        </w:rPr>
        <w:t>V617F</w:t>
      </w:r>
      <w:r w:rsidRPr="00CC3D0A">
        <w:rPr>
          <w:rFonts w:ascii="Book Antiqua" w:eastAsia="MS Mincho" w:hAnsi="Book Antiqua"/>
          <w:sz w:val="24"/>
          <w:szCs w:val="24"/>
          <w:lang w:val="en-GB" w:eastAsia="ja-JP"/>
        </w:rPr>
        <w:t xml:space="preserve"> mutation.</w:t>
      </w: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sz w:val="24"/>
          <w:szCs w:val="24"/>
          <w:lang w:val="en-GB" w:eastAsia="ja-JP"/>
        </w:rPr>
        <w:t>Figure 2</w:t>
      </w:r>
      <w:r w:rsidRPr="00D42295">
        <w:rPr>
          <w:rFonts w:ascii="Book Antiqua" w:eastAsia="MS Mincho" w:hAnsi="Book Antiqua"/>
          <w:b/>
          <w:sz w:val="24"/>
          <w:szCs w:val="24"/>
          <w:lang w:val="en-GB" w:eastAsia="ja-JP"/>
        </w:rPr>
        <w:t xml:space="preserve"> </w:t>
      </w:r>
      <w:r w:rsidRPr="00D42295">
        <w:rPr>
          <w:rFonts w:ascii="Book Antiqua" w:eastAsia="MS Mincho" w:hAnsi="Book Antiqua"/>
          <w:b/>
          <w:sz w:val="24"/>
          <w:szCs w:val="24"/>
          <w:lang w:eastAsia="ja-JP"/>
        </w:rPr>
        <w:t xml:space="preserve">Bone Marrow diagnosis alone: chronic megakaryocytic granulocytic myeloproliferation by Georgii </w:t>
      </w:r>
      <w:r w:rsidRPr="006A52C0">
        <w:rPr>
          <w:rFonts w:ascii="Book Antiqua" w:eastAsia="MS Mincho" w:hAnsi="Book Antiqua"/>
          <w:b/>
          <w:i/>
          <w:sz w:val="24"/>
          <w:szCs w:val="24"/>
          <w:lang w:eastAsia="ja-JP"/>
        </w:rPr>
        <w:t>et al</w:t>
      </w:r>
      <w:r w:rsidRPr="00280460">
        <w:rPr>
          <w:rFonts w:ascii="Book Antiqua" w:hAnsi="Book Antiqua"/>
          <w:b/>
          <w:sz w:val="24"/>
          <w:szCs w:val="24"/>
          <w:vertAlign w:val="superscript"/>
          <w:lang w:eastAsia="zh-CN"/>
        </w:rPr>
        <w:t>[24]</w:t>
      </w:r>
      <w:r w:rsidRPr="00D42295">
        <w:rPr>
          <w:rFonts w:ascii="Book Antiqua" w:eastAsia="MS Mincho" w:hAnsi="Book Antiqua"/>
          <w:b/>
          <w:sz w:val="24"/>
          <w:szCs w:val="24"/>
          <w:lang w:eastAsia="ja-JP"/>
        </w:rPr>
        <w:t xml:space="preserve"> </w:t>
      </w:r>
      <w:r w:rsidRPr="00D42295">
        <w:rPr>
          <w:rFonts w:ascii="Book Antiqua" w:eastAsia="MS Mincho" w:hAnsi="Book Antiqua"/>
          <w:b/>
          <w:i/>
          <w:sz w:val="24"/>
          <w:szCs w:val="24"/>
          <w:lang w:eastAsia="ja-JP"/>
        </w:rPr>
        <w:t>vs</w:t>
      </w:r>
      <w:r w:rsidRPr="00D42295">
        <w:rPr>
          <w:rFonts w:ascii="Book Antiqua" w:eastAsia="MS Mincho" w:hAnsi="Book Antiqua"/>
          <w:b/>
          <w:sz w:val="24"/>
          <w:szCs w:val="24"/>
          <w:lang w:eastAsia="ja-JP"/>
        </w:rPr>
        <w:t xml:space="preserve"> chronic idiopathic myelofibrosis by Thiele </w:t>
      </w:r>
      <w:r w:rsidRPr="006A52C0">
        <w:rPr>
          <w:rFonts w:ascii="Book Antiqua" w:eastAsia="MS Mincho" w:hAnsi="Book Antiqua"/>
          <w:b/>
          <w:i/>
          <w:sz w:val="24"/>
          <w:szCs w:val="24"/>
          <w:lang w:eastAsia="ja-JP"/>
        </w:rPr>
        <w:t>et al</w:t>
      </w:r>
      <w:r w:rsidRPr="00280460">
        <w:rPr>
          <w:rFonts w:ascii="Book Antiqua" w:hAnsi="Book Antiqua"/>
          <w:b/>
          <w:sz w:val="24"/>
          <w:szCs w:val="24"/>
          <w:vertAlign w:val="superscript"/>
          <w:lang w:eastAsia="zh-CN"/>
        </w:rPr>
        <w:t>[</w:t>
      </w:r>
      <w:r>
        <w:rPr>
          <w:rFonts w:ascii="Book Antiqua" w:hAnsi="Book Antiqua"/>
          <w:b/>
          <w:sz w:val="24"/>
          <w:szCs w:val="24"/>
          <w:vertAlign w:val="superscript"/>
          <w:lang w:eastAsia="zh-CN"/>
        </w:rPr>
        <w:t>29,75</w:t>
      </w:r>
      <w:r w:rsidRPr="00280460">
        <w:rPr>
          <w:rFonts w:ascii="Book Antiqua" w:hAnsi="Book Antiqua"/>
          <w:b/>
          <w:sz w:val="24"/>
          <w:szCs w:val="24"/>
          <w:vertAlign w:val="superscript"/>
          <w:lang w:eastAsia="zh-CN"/>
        </w:rPr>
        <w:t>]</w:t>
      </w:r>
      <w:r w:rsidRPr="00D42295">
        <w:rPr>
          <w:rFonts w:ascii="Book Antiqua" w:eastAsia="MS Mincho" w:hAnsi="Book Antiqua"/>
          <w:b/>
          <w:sz w:val="24"/>
          <w:szCs w:val="24"/>
          <w:lang w:eastAsia="ja-JP"/>
        </w:rPr>
        <w:t xml:space="preserve">, and comparative </w:t>
      </w:r>
      <w:r w:rsidRPr="00AF1D3C">
        <w:rPr>
          <w:rFonts w:ascii="Book Antiqua" w:eastAsia="MS Mincho" w:hAnsi="Book Antiqua"/>
          <w:b/>
          <w:sz w:val="24"/>
          <w:szCs w:val="24"/>
          <w:lang w:eastAsia="ja-JP"/>
        </w:rPr>
        <w:t>World Health Organization and European clinical, molecular and pathological</w:t>
      </w:r>
      <w:r w:rsidRPr="00D42295">
        <w:rPr>
          <w:rFonts w:ascii="Book Antiqua" w:eastAsia="MS Mincho" w:hAnsi="Book Antiqua"/>
          <w:b/>
          <w:sz w:val="24"/>
          <w:szCs w:val="24"/>
          <w:lang w:eastAsia="ja-JP"/>
        </w:rPr>
        <w:t xml:space="preserve"> criteria for prefibrotic </w:t>
      </w:r>
      <w:r w:rsidRPr="00AF1D3C">
        <w:rPr>
          <w:rFonts w:ascii="Book Antiqua" w:eastAsia="MS Mincho" w:hAnsi="Book Antiqua"/>
          <w:b/>
          <w:sz w:val="24"/>
          <w:szCs w:val="24"/>
          <w:lang w:eastAsia="ja-JP"/>
        </w:rPr>
        <w:t>essential thrombocythemia</w:t>
      </w:r>
      <w:r w:rsidRPr="00D42295">
        <w:rPr>
          <w:rFonts w:ascii="Book Antiqua" w:eastAsia="MS Mincho" w:hAnsi="Book Antiqua"/>
          <w:b/>
          <w:sz w:val="24"/>
          <w:szCs w:val="24"/>
          <w:lang w:eastAsia="ja-JP"/>
        </w:rPr>
        <w:t xml:space="preserve">, </w:t>
      </w:r>
      <w:r w:rsidRPr="00AF1D3C">
        <w:rPr>
          <w:rFonts w:ascii="Book Antiqua" w:eastAsia="MS Mincho" w:hAnsi="Book Antiqua"/>
          <w:b/>
          <w:sz w:val="24"/>
          <w:szCs w:val="24"/>
          <w:lang w:eastAsia="ja-JP"/>
        </w:rPr>
        <w:t>polycythemia vera</w:t>
      </w:r>
      <w:r w:rsidRPr="00D42295">
        <w:rPr>
          <w:rFonts w:ascii="Book Antiqua" w:eastAsia="MS Mincho" w:hAnsi="Book Antiqua"/>
          <w:b/>
          <w:sz w:val="24"/>
          <w:szCs w:val="24"/>
          <w:lang w:eastAsia="ja-JP"/>
        </w:rPr>
        <w:t xml:space="preserve"> and </w:t>
      </w:r>
      <w:r w:rsidRPr="006B0393">
        <w:rPr>
          <w:rFonts w:ascii="Book Antiqua" w:eastAsia="MS Mincho" w:hAnsi="Book Antiqua"/>
          <w:b/>
          <w:sz w:val="24"/>
          <w:szCs w:val="24"/>
          <w:lang w:eastAsia="ja-JP"/>
        </w:rPr>
        <w:t>primary megakaryocytic and granulocytic myeloproliferation</w:t>
      </w:r>
      <w:r w:rsidRPr="00D42295">
        <w:rPr>
          <w:rFonts w:ascii="Book Antiqua" w:eastAsia="MS Mincho" w:hAnsi="Book Antiqua"/>
          <w:b/>
          <w:sz w:val="24"/>
          <w:szCs w:val="24"/>
          <w:lang w:eastAsia="ja-JP"/>
        </w:rPr>
        <w:t xml:space="preserve">/chronic idiopathic myelofibrosis </w:t>
      </w:r>
      <w:r w:rsidRPr="00D42295">
        <w:rPr>
          <w:rFonts w:ascii="Book Antiqua" w:eastAsia="MS Mincho" w:hAnsi="Book Antiqua"/>
          <w:b/>
          <w:i/>
          <w:sz w:val="24"/>
          <w:szCs w:val="24"/>
          <w:lang w:eastAsia="ja-JP"/>
        </w:rPr>
        <w:t>vs</w:t>
      </w:r>
      <w:r w:rsidRPr="00D42295">
        <w:rPr>
          <w:rFonts w:ascii="Book Antiqua" w:eastAsia="MS Mincho" w:hAnsi="Book Antiqua"/>
          <w:b/>
          <w:sz w:val="24"/>
          <w:szCs w:val="24"/>
          <w:lang w:eastAsia="ja-JP"/>
        </w:rPr>
        <w:t xml:space="preserve"> fibrotic </w:t>
      </w:r>
      <w:r w:rsidRPr="00AF1D3C">
        <w:rPr>
          <w:rFonts w:ascii="Book Antiqua" w:eastAsia="MS Mincho" w:hAnsi="Book Antiqua"/>
          <w:b/>
          <w:sz w:val="24"/>
          <w:szCs w:val="24"/>
          <w:lang w:eastAsia="ja-JP"/>
        </w:rPr>
        <w:t>chronic megakaryocytic granulocytic myeloproliferation</w:t>
      </w:r>
      <w:r w:rsidRPr="00D42295">
        <w:rPr>
          <w:rFonts w:ascii="Book Antiqua" w:eastAsia="MS Mincho" w:hAnsi="Book Antiqua"/>
          <w:b/>
          <w:sz w:val="24"/>
          <w:szCs w:val="24"/>
          <w:lang w:eastAsia="ja-JP"/>
        </w:rPr>
        <w:t xml:space="preserve">, </w:t>
      </w:r>
      <w:r w:rsidRPr="00AF1D3C">
        <w:rPr>
          <w:rFonts w:ascii="Book Antiqua" w:eastAsia="MS Mincho" w:hAnsi="Book Antiqua"/>
          <w:b/>
          <w:sz w:val="24"/>
          <w:szCs w:val="24"/>
          <w:lang w:eastAsia="ja-JP"/>
        </w:rPr>
        <w:t>chronic idiopathic myelofibrosis</w:t>
      </w:r>
      <w:r w:rsidRPr="00D42295">
        <w:rPr>
          <w:rFonts w:ascii="Book Antiqua" w:eastAsia="MS Mincho" w:hAnsi="Book Antiqua"/>
          <w:b/>
          <w:sz w:val="24"/>
          <w:szCs w:val="24"/>
          <w:lang w:eastAsia="ja-JP"/>
        </w:rPr>
        <w:t>, primary myelofibrosis or aagnogenic myeloid metaplasia</w:t>
      </w:r>
      <w:r w:rsidRPr="00D42295">
        <w:rPr>
          <w:rFonts w:ascii="Book Antiqua" w:eastAsia="MS Mincho" w:hAnsi="Book Antiqua"/>
          <w:b/>
          <w:bCs/>
          <w:sz w:val="24"/>
          <w:szCs w:val="24"/>
          <w:lang w:eastAsia="ja-JP"/>
        </w:rPr>
        <w:t xml:space="preserve">. </w:t>
      </w:r>
      <w:r w:rsidRPr="00CC3D0A">
        <w:rPr>
          <w:rFonts w:ascii="Book Antiqua" w:eastAsia="MS Mincho" w:hAnsi="Book Antiqua"/>
          <w:bCs/>
          <w:sz w:val="24"/>
          <w:szCs w:val="24"/>
          <w:lang w:eastAsia="ja-JP"/>
        </w:rPr>
        <w:lastRenderedPageBreak/>
        <w:t xml:space="preserve">Translation of </w:t>
      </w:r>
      <w:r w:rsidRPr="00CC3D0A">
        <w:rPr>
          <w:rFonts w:ascii="Book Antiqua" w:eastAsia="MS Mincho" w:hAnsi="Book Antiqua"/>
          <w:sz w:val="24"/>
          <w:szCs w:val="24"/>
          <w:lang w:eastAsia="ja-JP"/>
        </w:rPr>
        <w:t xml:space="preserve">PVSG and 2008 </w:t>
      </w:r>
      <w:r w:rsidRPr="00C5026D">
        <w:rPr>
          <w:rFonts w:ascii="Book Antiqua" w:eastAsia="MS Mincho" w:hAnsi="Book Antiqua"/>
          <w:sz w:val="24"/>
          <w:szCs w:val="24"/>
          <w:lang w:eastAsia="ja-JP"/>
        </w:rPr>
        <w:t>World Health Organization</w:t>
      </w:r>
      <w:r w:rsidRPr="00CC3D0A">
        <w:rPr>
          <w:rFonts w:ascii="Book Antiqua" w:eastAsia="MS Mincho" w:hAnsi="Book Antiqua"/>
          <w:sz w:val="24"/>
          <w:szCs w:val="24"/>
          <w:lang w:eastAsia="ja-JP"/>
        </w:rPr>
        <w:t xml:space="preserve"> defined </w:t>
      </w:r>
      <w:r w:rsidRPr="00CC3D0A">
        <w:rPr>
          <w:rFonts w:ascii="Book Antiqua" w:eastAsia="MS Mincho" w:hAnsi="Book Antiqua"/>
          <w:sz w:val="24"/>
          <w:szCs w:val="24"/>
          <w:lang w:val="en-GB" w:eastAsia="ja-JP"/>
        </w:rPr>
        <w:t>essential thrombocythemia (ET)</w:t>
      </w:r>
      <w:r w:rsidRPr="00CC3D0A">
        <w:rPr>
          <w:rFonts w:ascii="Book Antiqua" w:eastAsia="MS Mincho" w:hAnsi="Book Antiqua"/>
          <w:sz w:val="24"/>
          <w:szCs w:val="24"/>
          <w:lang w:eastAsia="ja-JP"/>
        </w:rPr>
        <w:t xml:space="preserve">, </w:t>
      </w:r>
      <w:r w:rsidRPr="00D2511E">
        <w:rPr>
          <w:rFonts w:ascii="Book Antiqua" w:eastAsia="MS Mincho" w:hAnsi="Book Antiqua"/>
          <w:sz w:val="24"/>
          <w:szCs w:val="24"/>
          <w:lang w:val="en-GB" w:eastAsia="ja-JP"/>
        </w:rPr>
        <w:t>polycythemia vera (PV)</w:t>
      </w:r>
      <w:r w:rsidRPr="00CC3D0A">
        <w:rPr>
          <w:rFonts w:ascii="Book Antiqua" w:eastAsia="MS Mincho" w:hAnsi="Book Antiqua"/>
          <w:sz w:val="24"/>
          <w:szCs w:val="24"/>
          <w:lang w:eastAsia="ja-JP"/>
        </w:rPr>
        <w:t>, and</w:t>
      </w:r>
      <w:r w:rsidRPr="0072576E">
        <w:rPr>
          <w:rFonts w:ascii="Book Antiqua" w:eastAsia="MS Mincho" w:hAnsi="Book Antiqua"/>
          <w:sz w:val="24"/>
          <w:szCs w:val="24"/>
          <w:lang w:eastAsia="ja-JP"/>
        </w:rPr>
        <w:t xml:space="preserve"> chronic idiopathic myelofibrosis (CIMF)/chronic megakaryocytic granulocytic myeloproliferation (CMGM)/primary megakaryocytic and granulocytic myeloproliferation (PMGM) a</w:t>
      </w:r>
      <w:r w:rsidRPr="00CC3D0A">
        <w:rPr>
          <w:rFonts w:ascii="Book Antiqua" w:eastAsia="MS Mincho" w:hAnsi="Book Antiqua"/>
          <w:sz w:val="24"/>
          <w:szCs w:val="24"/>
          <w:lang w:eastAsia="ja-JP"/>
        </w:rPr>
        <w:t>ccording to ECMP criteria subdivided in</w:t>
      </w:r>
      <w:r>
        <w:rPr>
          <w:rFonts w:ascii="Book Antiqua" w:eastAsia="MS Mincho" w:hAnsi="Book Antiqua"/>
          <w:sz w:val="24"/>
          <w:szCs w:val="24"/>
          <w:lang w:eastAsia="ja-JP"/>
        </w:rPr>
        <w:t xml:space="preserve"> </w:t>
      </w:r>
      <w:r w:rsidRPr="00CC3D0A">
        <w:rPr>
          <w:rFonts w:ascii="Book Antiqua" w:eastAsia="MS Mincho" w:hAnsi="Book Antiqua"/>
          <w:sz w:val="24"/>
          <w:szCs w:val="24"/>
          <w:lang w:eastAsia="ja-JP"/>
        </w:rPr>
        <w:t>JAK2V617F mutated ET, prodromal PV and PV (red), prefibrotic PMGM (blue) and 3 types of normocellular ET (JAK2</w:t>
      </w:r>
      <w:r w:rsidRPr="00CC3D0A">
        <w:rPr>
          <w:rFonts w:ascii="Book Antiqua" w:eastAsia="MS Mincho" w:hAnsi="Book Antiqua"/>
          <w:sz w:val="24"/>
          <w:szCs w:val="24"/>
          <w:vertAlign w:val="superscript"/>
          <w:lang w:eastAsia="ja-JP"/>
        </w:rPr>
        <w:t>V617F+</w:t>
      </w:r>
      <w:r w:rsidRPr="00CC3D0A">
        <w:rPr>
          <w:rFonts w:ascii="Book Antiqua" w:eastAsia="MS Mincho" w:hAnsi="Book Antiqua"/>
          <w:sz w:val="24"/>
          <w:szCs w:val="24"/>
          <w:lang w:eastAsia="ja-JP"/>
        </w:rPr>
        <w:t xml:space="preserve"> left red, MPL</w:t>
      </w:r>
      <w:r w:rsidRPr="00CC3D0A">
        <w:rPr>
          <w:rFonts w:ascii="Book Antiqua" w:eastAsia="MS Mincho" w:hAnsi="Book Antiqua"/>
          <w:sz w:val="24"/>
          <w:szCs w:val="24"/>
          <w:vertAlign w:val="superscript"/>
          <w:lang w:eastAsia="ja-JP"/>
        </w:rPr>
        <w:t>515+</w:t>
      </w:r>
      <w:r w:rsidRPr="00CC3D0A">
        <w:rPr>
          <w:rFonts w:ascii="Book Antiqua" w:eastAsia="MS Mincho" w:hAnsi="Book Antiqua"/>
          <w:sz w:val="24"/>
          <w:szCs w:val="24"/>
          <w:lang w:eastAsia="ja-JP"/>
        </w:rPr>
        <w:t xml:space="preserve"> blue). </w:t>
      </w: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p>
    <w:p w:rsidR="00702CE8" w:rsidRPr="007E21C8" w:rsidRDefault="00702CE8" w:rsidP="00AC3FB8">
      <w:pPr>
        <w:suppressAutoHyphens/>
        <w:autoSpaceDN w:val="0"/>
        <w:spacing w:after="0" w:line="360" w:lineRule="auto"/>
        <w:jc w:val="both"/>
        <w:rPr>
          <w:rFonts w:ascii="Book Antiqua" w:hAnsi="Book Antiqua"/>
          <w:sz w:val="24"/>
          <w:szCs w:val="24"/>
          <w:lang w:val="en-US" w:eastAsia="zh-CN"/>
        </w:rPr>
      </w:pPr>
      <w:r w:rsidRPr="00CC3D0A">
        <w:rPr>
          <w:rFonts w:ascii="Book Antiqua" w:eastAsia="MS Mincho" w:hAnsi="Book Antiqua"/>
          <w:b/>
          <w:sz w:val="24"/>
          <w:szCs w:val="24"/>
          <w:lang w:val="en-US" w:eastAsia="ja-JP"/>
        </w:rPr>
        <w:t>Figure 3</w:t>
      </w:r>
      <w:r w:rsidRPr="00CC3D0A">
        <w:rPr>
          <w:rFonts w:ascii="Book Antiqua" w:eastAsia="MS Mincho" w:hAnsi="Book Antiqua"/>
          <w:sz w:val="24"/>
          <w:szCs w:val="24"/>
          <w:lang w:val="en-US" w:eastAsia="ja-JP"/>
        </w:rPr>
        <w:t xml:space="preserve"> </w:t>
      </w:r>
      <w:r w:rsidRPr="009155D5">
        <w:rPr>
          <w:rFonts w:ascii="Book Antiqua" w:eastAsia="MS Mincho" w:hAnsi="Book Antiqua"/>
          <w:b/>
          <w:sz w:val="24"/>
          <w:szCs w:val="24"/>
          <w:lang w:val="en-GB" w:eastAsia="ja-JP"/>
        </w:rPr>
        <w:t>Essential thrombocythemia</w:t>
      </w:r>
      <w:r w:rsidRPr="009155D5">
        <w:rPr>
          <w:rFonts w:ascii="Book Antiqua" w:eastAsia="MS Mincho" w:hAnsi="Book Antiqua"/>
          <w:b/>
          <w:sz w:val="24"/>
          <w:szCs w:val="24"/>
          <w:lang w:val="en-US" w:eastAsia="ja-JP"/>
        </w:rPr>
        <w:t xml:space="preserve"> (left upper), </w:t>
      </w:r>
      <w:r w:rsidRPr="009155D5">
        <w:rPr>
          <w:rFonts w:ascii="Book Antiqua" w:eastAsia="MS Mincho" w:hAnsi="Book Antiqua"/>
          <w:b/>
          <w:sz w:val="24"/>
          <w:szCs w:val="24"/>
          <w:lang w:val="en-GB" w:eastAsia="ja-JP"/>
        </w:rPr>
        <w:t>essential thrombocythemia</w:t>
      </w:r>
      <w:r w:rsidRPr="009155D5">
        <w:rPr>
          <w:rFonts w:ascii="Book Antiqua" w:eastAsia="MS Mincho" w:hAnsi="Book Antiqua"/>
          <w:b/>
          <w:sz w:val="24"/>
          <w:szCs w:val="24"/>
          <w:lang w:val="en-US" w:eastAsia="ja-JP"/>
        </w:rPr>
        <w:t>/</w:t>
      </w:r>
      <w:r w:rsidRPr="009155D5">
        <w:rPr>
          <w:rFonts w:ascii="Book Antiqua" w:eastAsia="MS Mincho" w:hAnsi="Book Antiqua"/>
          <w:b/>
          <w:sz w:val="24"/>
          <w:szCs w:val="24"/>
          <w:lang w:val="en-GB" w:eastAsia="ja-JP"/>
        </w:rPr>
        <w:t>polycythemia vera</w:t>
      </w:r>
      <w:r w:rsidRPr="009155D5">
        <w:rPr>
          <w:rFonts w:ascii="Book Antiqua" w:eastAsia="MS Mincho" w:hAnsi="Book Antiqua"/>
          <w:b/>
          <w:sz w:val="24"/>
          <w:szCs w:val="24"/>
          <w:lang w:val="en-US" w:eastAsia="ja-JP"/>
        </w:rPr>
        <w:t xml:space="preserve"> (left right), and trilineear </w:t>
      </w:r>
      <w:r w:rsidRPr="009155D5">
        <w:rPr>
          <w:rFonts w:ascii="Book Antiqua" w:eastAsia="MS Mincho" w:hAnsi="Book Antiqua"/>
          <w:b/>
          <w:sz w:val="24"/>
          <w:szCs w:val="24"/>
          <w:lang w:val="en-GB" w:eastAsia="ja-JP"/>
        </w:rPr>
        <w:t>polycythemia vera</w:t>
      </w:r>
      <w:r w:rsidRPr="009155D5">
        <w:rPr>
          <w:rFonts w:ascii="Book Antiqua" w:eastAsia="MS Mincho" w:hAnsi="Book Antiqua"/>
          <w:b/>
          <w:sz w:val="24"/>
          <w:szCs w:val="24"/>
          <w:lang w:val="en-US" w:eastAsia="ja-JP"/>
        </w:rPr>
        <w:t xml:space="preserve"> (left bottom) bone marrow features in essential thrombocythemia and </w:t>
      </w:r>
      <w:r w:rsidRPr="009155D5">
        <w:rPr>
          <w:rFonts w:ascii="Book Antiqua" w:eastAsia="MS Mincho" w:hAnsi="Book Antiqua"/>
          <w:b/>
          <w:sz w:val="24"/>
          <w:szCs w:val="24"/>
          <w:lang w:val="en-GB" w:eastAsia="ja-JP"/>
        </w:rPr>
        <w:t>polycythemia vera</w:t>
      </w:r>
      <w:r w:rsidRPr="009155D5">
        <w:rPr>
          <w:rFonts w:ascii="Book Antiqua" w:eastAsia="MS Mincho" w:hAnsi="Book Antiqua"/>
          <w:b/>
          <w:sz w:val="24"/>
          <w:szCs w:val="24"/>
          <w:lang w:val="en-US" w:eastAsia="ja-JP"/>
        </w:rPr>
        <w:t xml:space="preserve"> patients.</w:t>
      </w:r>
      <w:r w:rsidRPr="00CC3D0A">
        <w:rPr>
          <w:rFonts w:ascii="Book Antiqua" w:eastAsia="MS Mincho" w:hAnsi="Book Antiqua"/>
          <w:sz w:val="24"/>
          <w:szCs w:val="24"/>
          <w:lang w:val="en-US" w:eastAsia="ja-JP"/>
        </w:rPr>
        <w:t xml:space="preserve"> Pleiomorphic megakaryocytes</w:t>
      </w:r>
      <w:r>
        <w:rPr>
          <w:rFonts w:ascii="Book Antiqua" w:eastAsia="MS Mincho" w:hAnsi="Book Antiqua"/>
          <w:sz w:val="24"/>
          <w:szCs w:val="24"/>
          <w:lang w:val="en-US" w:eastAsia="ja-JP"/>
        </w:rPr>
        <w:t xml:space="preserve"> </w:t>
      </w:r>
      <w:r w:rsidRPr="00CC3D0A">
        <w:rPr>
          <w:rFonts w:ascii="Book Antiqua" w:eastAsia="MS Mincho" w:hAnsi="Book Antiqua"/>
          <w:sz w:val="24"/>
          <w:szCs w:val="24"/>
          <w:lang w:val="en-US" w:eastAsia="ja-JP"/>
        </w:rPr>
        <w:t xml:space="preserve">in </w:t>
      </w:r>
      <w:r w:rsidRPr="00CC3D0A">
        <w:rPr>
          <w:rFonts w:ascii="Book Antiqua" w:eastAsia="MS Mincho" w:hAnsi="Book Antiqua"/>
          <w:sz w:val="24"/>
          <w:szCs w:val="24"/>
          <w:lang w:val="en-GB" w:eastAsia="ja-JP"/>
        </w:rPr>
        <w:t>essential thrombocythemia (ET)</w:t>
      </w:r>
      <w:r w:rsidRPr="00CC3D0A">
        <w:rPr>
          <w:rFonts w:ascii="Book Antiqua" w:eastAsia="MS Mincho" w:hAnsi="Book Antiqua"/>
          <w:sz w:val="24"/>
          <w:szCs w:val="24"/>
          <w:lang w:val="en-US" w:eastAsia="ja-JP"/>
        </w:rPr>
        <w:t xml:space="preserve"> (upper panels) have less hyperlobulated nuclei as compared to </w:t>
      </w:r>
      <w:r w:rsidRPr="00D2511E">
        <w:rPr>
          <w:rFonts w:ascii="Book Antiqua" w:eastAsia="MS Mincho" w:hAnsi="Book Antiqua"/>
          <w:sz w:val="24"/>
          <w:szCs w:val="24"/>
          <w:lang w:val="en-GB" w:eastAsia="ja-JP"/>
        </w:rPr>
        <w:t>polycythemia vera (PV)</w:t>
      </w:r>
      <w:r w:rsidRPr="00CC3D0A">
        <w:rPr>
          <w:rFonts w:ascii="Book Antiqua" w:eastAsia="MS Mincho" w:hAnsi="Book Antiqua"/>
          <w:sz w:val="24"/>
          <w:szCs w:val="24"/>
          <w:lang w:val="en-US" w:eastAsia="ja-JP"/>
        </w:rPr>
        <w:t xml:space="preserve"> (left bottum). Dense clustered pleiomorphic to dysmorphic megakaryocytes in PV/</w:t>
      </w:r>
      <w:r w:rsidRPr="008238D5">
        <w:rPr>
          <w:rFonts w:ascii="Book Antiqua" w:hAnsi="Book Antiqua" w:cs="Arial"/>
          <w:sz w:val="24"/>
          <w:szCs w:val="24"/>
          <w:lang w:val="en-GB" w:eastAsia="nl-NL"/>
        </w:rPr>
        <w:t>Reticulin fibers</w:t>
      </w:r>
      <w:r w:rsidRPr="00CC3D0A">
        <w:rPr>
          <w:rFonts w:ascii="Book Antiqua" w:eastAsia="MS Mincho" w:hAnsi="Book Antiqua"/>
          <w:sz w:val="24"/>
          <w:szCs w:val="24"/>
          <w:lang w:val="en-US" w:eastAsia="ja-JP"/>
        </w:rPr>
        <w:t xml:space="preserve"> </w:t>
      </w:r>
      <w:r>
        <w:rPr>
          <w:rFonts w:ascii="Book Antiqua" w:hAnsi="Book Antiqua"/>
          <w:sz w:val="24"/>
          <w:szCs w:val="24"/>
          <w:lang w:val="en-US" w:eastAsia="zh-CN"/>
        </w:rPr>
        <w:t xml:space="preserve">(RF) </w:t>
      </w:r>
      <w:r w:rsidRPr="00CC3D0A">
        <w:rPr>
          <w:rFonts w:ascii="Book Antiqua" w:eastAsia="MS Mincho" w:hAnsi="Book Antiqua"/>
          <w:sz w:val="24"/>
          <w:szCs w:val="24"/>
          <w:lang w:val="en-US" w:eastAsia="ja-JP"/>
        </w:rPr>
        <w:t>(right bottum) in advanced PV show dysmorphic nuclei but not cloud-like. Please note relative increased erythropiesis in ET</w:t>
      </w:r>
      <w:r>
        <w:rPr>
          <w:rFonts w:ascii="Book Antiqua" w:hAnsi="Book Antiqua"/>
          <w:sz w:val="24"/>
          <w:szCs w:val="24"/>
          <w:lang w:val="en-US" w:eastAsia="zh-CN"/>
        </w:rPr>
        <w:t>.</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p>
    <w:p w:rsidR="00702CE8" w:rsidRPr="00EC42A1" w:rsidRDefault="00702CE8" w:rsidP="00AC3FB8">
      <w:pPr>
        <w:suppressAutoHyphens/>
        <w:autoSpaceDN w:val="0"/>
        <w:spacing w:after="0" w:line="360" w:lineRule="auto"/>
        <w:jc w:val="both"/>
        <w:rPr>
          <w:rFonts w:ascii="Book Antiqua" w:hAnsi="Book Antiqua"/>
          <w:b/>
          <w:sz w:val="24"/>
          <w:szCs w:val="24"/>
          <w:lang w:val="en-US" w:eastAsia="zh-CN"/>
        </w:rPr>
      </w:pPr>
      <w:r w:rsidRPr="00CC3D0A">
        <w:rPr>
          <w:rFonts w:ascii="Book Antiqua" w:eastAsia="MS Mincho" w:hAnsi="Book Antiqua"/>
          <w:b/>
          <w:sz w:val="24"/>
          <w:szCs w:val="24"/>
          <w:lang w:val="en-US" w:eastAsia="ja-JP"/>
        </w:rPr>
        <w:t>Figure</w:t>
      </w:r>
      <w:r>
        <w:rPr>
          <w:rFonts w:ascii="Book Antiqua" w:eastAsia="MS Mincho" w:hAnsi="Book Antiqua"/>
          <w:b/>
          <w:sz w:val="24"/>
          <w:szCs w:val="24"/>
          <w:lang w:val="en-US" w:eastAsia="ja-JP"/>
        </w:rPr>
        <w:t xml:space="preserve"> </w:t>
      </w:r>
      <w:r w:rsidRPr="00CC3D0A">
        <w:rPr>
          <w:rFonts w:ascii="Book Antiqua" w:eastAsia="MS Mincho" w:hAnsi="Book Antiqua"/>
          <w:b/>
          <w:sz w:val="24"/>
          <w:szCs w:val="24"/>
          <w:lang w:val="en-US" w:eastAsia="ja-JP"/>
        </w:rPr>
        <w:t>4</w:t>
      </w:r>
      <w:r w:rsidRPr="00EC42A1">
        <w:rPr>
          <w:rFonts w:ascii="Book Antiqua" w:eastAsia="MS Mincho" w:hAnsi="Book Antiqua"/>
          <w:b/>
          <w:sz w:val="24"/>
          <w:szCs w:val="24"/>
          <w:lang w:val="en-US" w:eastAsia="ja-JP"/>
        </w:rPr>
        <w:t xml:space="preserve"> JAK2</w:t>
      </w:r>
      <w:r w:rsidRPr="00EC42A1">
        <w:rPr>
          <w:rFonts w:ascii="Book Antiqua" w:eastAsia="MS Mincho" w:hAnsi="Book Antiqua"/>
          <w:b/>
          <w:sz w:val="24"/>
          <w:szCs w:val="24"/>
          <w:vertAlign w:val="superscript"/>
          <w:lang w:val="en-US" w:eastAsia="ja-JP"/>
        </w:rPr>
        <w:t>V617F</w:t>
      </w:r>
      <w:r w:rsidRPr="00EC42A1">
        <w:rPr>
          <w:rFonts w:ascii="Book Antiqua" w:eastAsia="MS Mincho" w:hAnsi="Book Antiqua"/>
          <w:b/>
          <w:sz w:val="24"/>
          <w:szCs w:val="24"/>
          <w:lang w:val="en-US" w:eastAsia="ja-JP"/>
        </w:rPr>
        <w:t xml:space="preserve"> mutated</w:t>
      </w:r>
      <w:r w:rsidRPr="00647735">
        <w:rPr>
          <w:rFonts w:ascii="Book Antiqua" w:eastAsia="MS Mincho" w:hAnsi="Book Antiqua"/>
          <w:b/>
          <w:sz w:val="24"/>
          <w:szCs w:val="24"/>
          <w:lang w:val="en-US" w:eastAsia="ja-JP"/>
        </w:rPr>
        <w:t xml:space="preserve"> </w:t>
      </w:r>
      <w:r w:rsidRPr="00647735">
        <w:rPr>
          <w:rFonts w:ascii="Book Antiqua" w:eastAsia="MS Mincho" w:hAnsi="Book Antiqua"/>
          <w:b/>
          <w:sz w:val="24"/>
          <w:szCs w:val="24"/>
          <w:lang w:val="en-GB" w:eastAsia="ja-JP"/>
        </w:rPr>
        <w:t>essential thrombocythemia</w:t>
      </w:r>
      <w:r w:rsidRPr="00647735">
        <w:rPr>
          <w:rFonts w:ascii="Book Antiqua" w:eastAsia="MS Mincho" w:hAnsi="Book Antiqua"/>
          <w:b/>
          <w:sz w:val="24"/>
          <w:szCs w:val="24"/>
          <w:lang w:val="en-US" w:eastAsia="ja-JP"/>
        </w:rPr>
        <w:t xml:space="preserve"> due to megakaryocytic, granulocytic myeloproliferation with slight splenomegaly (spleen 16 cm on echogram) and a hypercellular megakaryocytic granulocytic bone marrow and clusteried pleomorphic clumpsy megakaryocytes with dysmorphic </w:t>
      </w:r>
      <w:r w:rsidRPr="00647735">
        <w:rPr>
          <w:rFonts w:ascii="Book Antiqua" w:eastAsia="MS Mincho" w:hAnsi="Book Antiqua"/>
          <w:b/>
          <w:bCs/>
          <w:sz w:val="24"/>
          <w:szCs w:val="24"/>
          <w:lang w:val="en-US" w:eastAsia="ja-JP"/>
        </w:rPr>
        <w:t>(</w:t>
      </w:r>
      <w:r w:rsidRPr="00647735">
        <w:rPr>
          <w:rFonts w:ascii="Book Antiqua" w:eastAsia="MS Mincho" w:hAnsi="Book Antiqua"/>
          <w:b/>
          <w:sz w:val="24"/>
          <w:szCs w:val="24"/>
          <w:lang w:val="en-US" w:eastAsia="ja-JP"/>
        </w:rPr>
        <w:t xml:space="preserve">not cloud-like) nuclei: prefibrotic </w:t>
      </w:r>
      <w:r w:rsidRPr="00647735">
        <w:rPr>
          <w:rFonts w:ascii="Book Antiqua" w:eastAsia="MS Mincho" w:hAnsi="Book Antiqua"/>
          <w:b/>
          <w:sz w:val="24"/>
          <w:szCs w:val="24"/>
          <w:lang w:val="en-GB" w:eastAsia="ja-JP"/>
        </w:rPr>
        <w:t>essential thrombocythemia</w:t>
      </w:r>
      <w:r w:rsidRPr="00647735">
        <w:rPr>
          <w:rFonts w:ascii="Book Antiqua" w:eastAsia="MS Mincho" w:hAnsi="Book Antiqua"/>
          <w:b/>
          <w:sz w:val="24"/>
          <w:szCs w:val="24"/>
          <w:lang w:val="en-US" w:eastAsia="ja-JP"/>
        </w:rPr>
        <w:t xml:space="preserve"> due to megakaryocytic, granulocytic myeloproliferation</w:t>
      </w:r>
      <w:r w:rsidRPr="00EC42A1">
        <w:rPr>
          <w:rFonts w:ascii="Book Antiqua" w:eastAsia="MS Mincho" w:hAnsi="Book Antiqua"/>
          <w:b/>
          <w:sz w:val="24"/>
          <w:szCs w:val="24"/>
          <w:lang w:val="en-US" w:eastAsia="ja-JP"/>
        </w:rPr>
        <w:t xml:space="preserve">, </w:t>
      </w:r>
      <w:r w:rsidRPr="00D5282C">
        <w:rPr>
          <w:rFonts w:ascii="Book Antiqua" w:hAnsi="Book Antiqua" w:cs="Arial"/>
          <w:b/>
          <w:sz w:val="24"/>
          <w:szCs w:val="24"/>
          <w:lang w:val="en-GB" w:eastAsia="nl-NL"/>
        </w:rPr>
        <w:t>Reticulin fibers</w:t>
      </w:r>
      <w:r w:rsidRPr="00D5282C">
        <w:rPr>
          <w:rFonts w:ascii="Book Antiqua" w:eastAsia="MS Mincho" w:hAnsi="Book Antiqua"/>
          <w:b/>
          <w:sz w:val="24"/>
          <w:szCs w:val="24"/>
          <w:lang w:val="en-US" w:eastAsia="ja-JP"/>
        </w:rPr>
        <w:t xml:space="preserve"> 1 = </w:t>
      </w:r>
      <w:r w:rsidRPr="00D5282C">
        <w:rPr>
          <w:rFonts w:ascii="Book Antiqua" w:eastAsia="MS Mincho" w:hAnsi="Book Antiqua"/>
          <w:b/>
          <w:sz w:val="24"/>
          <w:szCs w:val="24"/>
          <w:lang w:val="en-GB" w:eastAsia="ja-JP"/>
        </w:rPr>
        <w:t>Myelofibrosis</w:t>
      </w:r>
      <w:r w:rsidRPr="00D5282C">
        <w:rPr>
          <w:rFonts w:ascii="Book Antiqua" w:eastAsia="MS Mincho" w:hAnsi="Book Antiqua"/>
          <w:b/>
          <w:sz w:val="24"/>
          <w:szCs w:val="24"/>
          <w:lang w:val="en-US" w:eastAsia="ja-JP"/>
        </w:rPr>
        <w:t xml:space="preserve"> 0</w:t>
      </w:r>
      <w:r w:rsidRPr="00EC42A1">
        <w:rPr>
          <w:rFonts w:ascii="Book Antiqua" w:eastAsia="MS Mincho" w:hAnsi="Book Antiqua"/>
          <w:b/>
          <w:sz w:val="24"/>
          <w:szCs w:val="24"/>
          <w:lang w:val="en-US" w:eastAsia="ja-JP"/>
        </w:rPr>
        <w:t>.</w:t>
      </w: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Pr="00EC42A1"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r w:rsidRPr="00CC3D0A">
        <w:rPr>
          <w:rFonts w:ascii="Book Antiqua" w:eastAsia="MS Mincho" w:hAnsi="Book Antiqua"/>
          <w:b/>
          <w:sz w:val="24"/>
          <w:szCs w:val="24"/>
          <w:lang w:val="en-US" w:eastAsia="ja-JP"/>
        </w:rPr>
        <w:t>Figure 5</w:t>
      </w:r>
      <w:r w:rsidRPr="00F544BD">
        <w:rPr>
          <w:rFonts w:ascii="Book Antiqua" w:eastAsia="MS Mincho" w:hAnsi="Book Antiqua"/>
          <w:b/>
          <w:sz w:val="24"/>
          <w:szCs w:val="24"/>
          <w:lang w:val="en-US" w:eastAsia="ja-JP"/>
        </w:rPr>
        <w:t xml:space="preserve"> Forty-three year-old female with positive </w:t>
      </w:r>
      <w:r w:rsidRPr="00264279">
        <w:rPr>
          <w:rFonts w:ascii="Book Antiqua" w:eastAsia="MS Mincho" w:hAnsi="Book Antiqua"/>
          <w:b/>
          <w:sz w:val="24"/>
          <w:szCs w:val="24"/>
          <w:lang w:val="en-US" w:eastAsia="ja-JP"/>
        </w:rPr>
        <w:t>polycythemia vera</w:t>
      </w:r>
      <w:r w:rsidRPr="00F544BD">
        <w:rPr>
          <w:rFonts w:ascii="Book Antiqua" w:eastAsia="MS Mincho" w:hAnsi="Book Antiqua"/>
          <w:b/>
          <w:sz w:val="24"/>
          <w:szCs w:val="24"/>
          <w:lang w:val="en-US" w:eastAsia="ja-JP"/>
        </w:rPr>
        <w:t xml:space="preserve"> (platelets 405</w:t>
      </w:r>
      <w:r w:rsidRPr="00F544BD">
        <w:rPr>
          <w:rFonts w:ascii="Book Antiqua" w:hAnsi="Book Antiqua"/>
          <w:b/>
          <w:sz w:val="24"/>
          <w:szCs w:val="24"/>
          <w:lang w:val="en-US" w:eastAsia="zh-CN"/>
        </w:rPr>
        <w:t xml:space="preserve"> </w:t>
      </w:r>
      <w:r w:rsidRPr="00F544BD">
        <w:rPr>
          <w:rFonts w:ascii="Book Antiqua" w:hAnsi="Book Antiqua"/>
          <w:b/>
          <w:sz w:val="24"/>
          <w:szCs w:val="24"/>
        </w:rPr>
        <w:t>×</w:t>
      </w:r>
      <w:r w:rsidRPr="00F544BD">
        <w:rPr>
          <w:rFonts w:ascii="Book Antiqua" w:hAnsi="Book Antiqua"/>
          <w:b/>
          <w:sz w:val="24"/>
          <w:szCs w:val="24"/>
          <w:lang w:eastAsia="zh-CN"/>
        </w:rPr>
        <w:t xml:space="preserve"> </w:t>
      </w:r>
      <w:r w:rsidRPr="00F544BD">
        <w:rPr>
          <w:rFonts w:ascii="Book Antiqua" w:eastAsia="MS Mincho" w:hAnsi="Book Antiqua"/>
          <w:b/>
          <w:sz w:val="24"/>
          <w:szCs w:val="24"/>
          <w:lang w:val="en-US" w:eastAsia="ja-JP"/>
        </w:rPr>
        <w:t>10</w:t>
      </w:r>
      <w:r w:rsidRPr="00F544BD">
        <w:rPr>
          <w:rFonts w:ascii="Book Antiqua" w:eastAsia="MS Mincho" w:hAnsi="Book Antiqua"/>
          <w:b/>
          <w:sz w:val="24"/>
          <w:szCs w:val="24"/>
          <w:vertAlign w:val="superscript"/>
          <w:lang w:val="en-GB" w:eastAsia="ja-JP"/>
        </w:rPr>
        <w:t>9</w:t>
      </w:r>
      <w:r w:rsidRPr="00F544BD">
        <w:rPr>
          <w:rFonts w:ascii="Book Antiqua" w:eastAsia="MS Mincho" w:hAnsi="Book Antiqua"/>
          <w:b/>
          <w:sz w:val="24"/>
          <w:szCs w:val="24"/>
          <w:lang w:val="en-US" w:eastAsia="ja-JP"/>
        </w:rPr>
        <w:t xml:space="preserve">/L, low serum </w:t>
      </w:r>
      <w:r w:rsidRPr="00B643B3">
        <w:rPr>
          <w:rFonts w:ascii="Book Antiqua" w:eastAsia="MS Mincho" w:hAnsi="Book Antiqua"/>
          <w:b/>
          <w:sz w:val="24"/>
          <w:szCs w:val="24"/>
          <w:lang w:val="en-US" w:eastAsia="ja-JP"/>
        </w:rPr>
        <w:t>erythropoietin</w:t>
      </w:r>
      <w:r w:rsidRPr="00F544BD">
        <w:rPr>
          <w:rFonts w:ascii="Book Antiqua" w:eastAsia="MS Mincho" w:hAnsi="Book Antiqua"/>
          <w:b/>
          <w:sz w:val="24"/>
          <w:szCs w:val="24"/>
          <w:lang w:val="en-US" w:eastAsia="ja-JP"/>
        </w:rPr>
        <w:t xml:space="preserve">, </w:t>
      </w:r>
      <w:r w:rsidRPr="00796B93">
        <w:rPr>
          <w:rFonts w:ascii="Book Antiqua" w:eastAsia="MS Mincho" w:hAnsi="Book Antiqua"/>
          <w:b/>
          <w:sz w:val="24"/>
          <w:szCs w:val="24"/>
          <w:lang w:val="en-US" w:eastAsia="ja-JP"/>
        </w:rPr>
        <w:t>leukocyte alkaline phosphatase</w:t>
      </w:r>
      <w:r w:rsidRPr="00F544BD">
        <w:rPr>
          <w:rFonts w:ascii="Book Antiqua" w:eastAsia="MS Mincho" w:hAnsi="Book Antiqua"/>
          <w:b/>
          <w:sz w:val="24"/>
          <w:szCs w:val="24"/>
          <w:lang w:val="en-US" w:eastAsia="ja-JP"/>
        </w:rPr>
        <w:t xml:space="preserve"> score 283, hematocrit 0.52, erythrocytes 6.1</w:t>
      </w:r>
      <w:r w:rsidRPr="00F544BD">
        <w:rPr>
          <w:rFonts w:ascii="Book Antiqua" w:hAnsi="Book Antiqua"/>
          <w:b/>
          <w:sz w:val="24"/>
          <w:szCs w:val="24"/>
          <w:lang w:val="en-US" w:eastAsia="zh-CN"/>
        </w:rPr>
        <w:t xml:space="preserve"> </w:t>
      </w:r>
      <w:r w:rsidRPr="00F544BD">
        <w:rPr>
          <w:rFonts w:ascii="Book Antiqua" w:hAnsi="Book Antiqua"/>
          <w:b/>
          <w:sz w:val="24"/>
          <w:szCs w:val="24"/>
        </w:rPr>
        <w:t>×</w:t>
      </w:r>
      <w:r w:rsidRPr="00F544BD">
        <w:rPr>
          <w:rFonts w:ascii="Book Antiqua" w:hAnsi="Book Antiqua"/>
          <w:b/>
          <w:sz w:val="24"/>
          <w:szCs w:val="24"/>
          <w:lang w:eastAsia="zh-CN"/>
        </w:rPr>
        <w:t xml:space="preserve"> </w:t>
      </w:r>
      <w:r w:rsidRPr="00F544BD">
        <w:rPr>
          <w:rFonts w:ascii="Book Antiqua" w:eastAsia="MS Mincho" w:hAnsi="Book Antiqua"/>
          <w:b/>
          <w:sz w:val="24"/>
          <w:szCs w:val="24"/>
          <w:lang w:val="en-US" w:eastAsia="ja-JP"/>
        </w:rPr>
        <w:t>10</w:t>
      </w:r>
      <w:r w:rsidRPr="00F544BD">
        <w:rPr>
          <w:rFonts w:ascii="Book Antiqua" w:eastAsia="MS Mincho" w:hAnsi="Book Antiqua"/>
          <w:b/>
          <w:sz w:val="24"/>
          <w:szCs w:val="24"/>
          <w:vertAlign w:val="superscript"/>
          <w:lang w:val="en-GB" w:eastAsia="ja-JP"/>
        </w:rPr>
        <w:t>12</w:t>
      </w:r>
      <w:r w:rsidRPr="00F544BD">
        <w:rPr>
          <w:rFonts w:ascii="Book Antiqua" w:eastAsia="MS Mincho" w:hAnsi="Book Antiqua"/>
          <w:b/>
          <w:sz w:val="24"/>
          <w:szCs w:val="24"/>
          <w:lang w:val="en-US" w:eastAsia="ja-JP"/>
        </w:rPr>
        <w:t xml:space="preserve">/L, increased red cell mass) with a diagnostic </w:t>
      </w:r>
      <w:r w:rsidRPr="00647735">
        <w:rPr>
          <w:rFonts w:ascii="Book Antiqua" w:eastAsia="MS Mincho" w:hAnsi="Book Antiqua"/>
          <w:b/>
          <w:sz w:val="24"/>
          <w:szCs w:val="24"/>
          <w:lang w:val="en-GB" w:eastAsia="ja-JP"/>
        </w:rPr>
        <w:t>ssential thrombocythemia</w:t>
      </w:r>
      <w:r w:rsidRPr="00F544BD">
        <w:rPr>
          <w:rFonts w:ascii="Book Antiqua" w:eastAsia="MS Mincho" w:hAnsi="Book Antiqua"/>
          <w:b/>
          <w:sz w:val="24"/>
          <w:szCs w:val="24"/>
          <w:lang w:val="en-US" w:eastAsia="ja-JP"/>
        </w:rPr>
        <w:t>/</w:t>
      </w:r>
      <w:r w:rsidRPr="00D2511E">
        <w:rPr>
          <w:rFonts w:ascii="Book Antiqua" w:eastAsia="MS Mincho" w:hAnsi="Book Antiqua"/>
          <w:sz w:val="24"/>
          <w:szCs w:val="24"/>
          <w:lang w:val="en-GB" w:eastAsia="ja-JP"/>
        </w:rPr>
        <w:t>polycythemia vera</w:t>
      </w:r>
      <w:r w:rsidRPr="00F544BD">
        <w:rPr>
          <w:rFonts w:ascii="Book Antiqua" w:eastAsia="MS Mincho" w:hAnsi="Book Antiqua"/>
          <w:b/>
          <w:sz w:val="24"/>
          <w:szCs w:val="24"/>
          <w:lang w:val="en-US" w:eastAsia="ja-JP"/>
        </w:rPr>
        <w:t xml:space="preserve"> bone marrow picture. </w:t>
      </w:r>
      <w:r w:rsidRPr="00CC3D0A">
        <w:rPr>
          <w:rFonts w:ascii="Book Antiqua" w:eastAsia="MS Mincho" w:hAnsi="Book Antiqua"/>
          <w:sz w:val="24"/>
          <w:szCs w:val="24"/>
          <w:lang w:val="en-US" w:eastAsia="ja-JP"/>
        </w:rPr>
        <w:t>Such</w:t>
      </w:r>
      <w:r w:rsidRPr="00D04B9A">
        <w:rPr>
          <w:rFonts w:ascii="Book Antiqua" w:eastAsia="MS Mincho" w:hAnsi="Book Antiqua"/>
          <w:sz w:val="24"/>
          <w:szCs w:val="24"/>
          <w:lang w:val="en-US" w:eastAsia="ja-JP"/>
        </w:rPr>
        <w:t xml:space="preserve"> </w:t>
      </w:r>
      <w:bookmarkStart w:id="12" w:name="OLE_LINK5"/>
      <w:r>
        <w:rPr>
          <w:rFonts w:ascii="Book Antiqua" w:hAnsi="Book Antiqua"/>
          <w:sz w:val="24"/>
          <w:szCs w:val="24"/>
          <w:lang w:val="en-US" w:eastAsia="zh-CN"/>
        </w:rPr>
        <w:t>e</w:t>
      </w:r>
      <w:r w:rsidRPr="00D04B9A">
        <w:rPr>
          <w:rFonts w:ascii="Book Antiqua" w:eastAsia="MS Mincho" w:hAnsi="Book Antiqua"/>
          <w:sz w:val="24"/>
          <w:szCs w:val="24"/>
          <w:lang w:val="en-GB" w:eastAsia="ja-JP"/>
        </w:rPr>
        <w:t>ssential thrombocythemia</w:t>
      </w:r>
      <w:bookmarkEnd w:id="12"/>
      <w:r>
        <w:rPr>
          <w:rFonts w:ascii="Book Antiqua" w:hAnsi="Book Antiqua"/>
          <w:b/>
          <w:sz w:val="24"/>
          <w:szCs w:val="24"/>
          <w:lang w:val="en-GB" w:eastAsia="zh-CN"/>
        </w:rPr>
        <w:t xml:space="preserve"> (</w:t>
      </w:r>
      <w:r w:rsidRPr="00CC3D0A">
        <w:rPr>
          <w:rFonts w:ascii="Book Antiqua" w:eastAsia="MS Mincho" w:hAnsi="Book Antiqua"/>
          <w:sz w:val="24"/>
          <w:szCs w:val="24"/>
          <w:lang w:val="en-US" w:eastAsia="ja-JP"/>
        </w:rPr>
        <w:t>ET</w:t>
      </w:r>
      <w:r>
        <w:rPr>
          <w:rFonts w:ascii="Book Antiqua" w:hAnsi="Book Antiqua"/>
          <w:sz w:val="24"/>
          <w:szCs w:val="24"/>
          <w:lang w:val="en-US" w:eastAsia="zh-CN"/>
        </w:rPr>
        <w:t>)</w:t>
      </w:r>
      <w:r w:rsidRPr="00CC3D0A">
        <w:rPr>
          <w:rFonts w:ascii="Book Antiqua" w:eastAsia="MS Mincho" w:hAnsi="Book Antiqua"/>
          <w:sz w:val="24"/>
          <w:szCs w:val="24"/>
          <w:lang w:val="en-US" w:eastAsia="ja-JP"/>
        </w:rPr>
        <w:t>/</w:t>
      </w:r>
      <w:r w:rsidRPr="00D2511E">
        <w:rPr>
          <w:rFonts w:ascii="Book Antiqua" w:eastAsia="MS Mincho" w:hAnsi="Book Antiqua"/>
          <w:sz w:val="24"/>
          <w:szCs w:val="24"/>
          <w:lang w:val="en-GB" w:eastAsia="ja-JP"/>
        </w:rPr>
        <w:t>polycythemia vera</w:t>
      </w:r>
      <w:r w:rsidRPr="00CC3D0A">
        <w:rPr>
          <w:rFonts w:ascii="Book Antiqua" w:eastAsia="MS Mincho" w:hAnsi="Book Antiqua"/>
          <w:sz w:val="24"/>
          <w:szCs w:val="24"/>
          <w:lang w:val="en-US" w:eastAsia="ja-JP"/>
        </w:rPr>
        <w:t xml:space="preserve"> </w:t>
      </w:r>
      <w:r>
        <w:rPr>
          <w:rFonts w:ascii="Book Antiqua" w:hAnsi="Book Antiqua"/>
          <w:sz w:val="24"/>
          <w:szCs w:val="24"/>
          <w:lang w:val="en-US" w:eastAsia="zh-CN"/>
        </w:rPr>
        <w:t xml:space="preserve">(PV) </w:t>
      </w:r>
      <w:r w:rsidRPr="00CC3D0A">
        <w:rPr>
          <w:rFonts w:ascii="Book Antiqua" w:eastAsia="MS Mincho" w:hAnsi="Book Antiqua"/>
          <w:sz w:val="24"/>
          <w:szCs w:val="24"/>
          <w:lang w:val="en-US" w:eastAsia="ja-JP"/>
        </w:rPr>
        <w:t>pictures are regularly seen in prodromal PV and overt PV.</w:t>
      </w: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Pr="000411C0" w:rsidRDefault="00702CE8" w:rsidP="00AC3FB8">
      <w:pPr>
        <w:suppressAutoHyphens/>
        <w:autoSpaceDN w:val="0"/>
        <w:spacing w:after="0" w:line="360" w:lineRule="auto"/>
        <w:jc w:val="both"/>
        <w:rPr>
          <w:rFonts w:ascii="Book Antiqua" w:hAnsi="Book Antiqua"/>
          <w:sz w:val="24"/>
          <w:szCs w:val="24"/>
          <w:lang w:val="en-US" w:eastAsia="zh-CN"/>
        </w:rPr>
      </w:pPr>
    </w:p>
    <w:p w:rsidR="00702CE8" w:rsidRPr="00C04266" w:rsidRDefault="00702CE8" w:rsidP="00AC3FB8">
      <w:pPr>
        <w:suppressAutoHyphens/>
        <w:autoSpaceDN w:val="0"/>
        <w:spacing w:after="0" w:line="360" w:lineRule="auto"/>
        <w:jc w:val="both"/>
        <w:rPr>
          <w:rFonts w:ascii="Book Antiqua" w:hAnsi="Book Antiqua"/>
          <w:sz w:val="24"/>
          <w:szCs w:val="24"/>
          <w:lang w:val="en-US" w:eastAsia="zh-CN"/>
        </w:rPr>
      </w:pPr>
      <w:r w:rsidRPr="00CC3D0A">
        <w:rPr>
          <w:rFonts w:ascii="Book Antiqua" w:eastAsia="MS Mincho" w:hAnsi="Book Antiqua"/>
          <w:b/>
          <w:sz w:val="24"/>
          <w:szCs w:val="24"/>
          <w:lang w:val="en-US" w:eastAsia="ja-JP"/>
        </w:rPr>
        <w:t>Figure 6</w:t>
      </w:r>
      <w:r w:rsidRPr="00CC3D0A">
        <w:rPr>
          <w:rFonts w:ascii="Book Antiqua" w:eastAsia="MS Mincho" w:hAnsi="Book Antiqua"/>
          <w:sz w:val="24"/>
          <w:szCs w:val="24"/>
          <w:lang w:val="en-US" w:eastAsia="ja-JP"/>
        </w:rPr>
        <w:t xml:space="preserve"> </w:t>
      </w:r>
      <w:r w:rsidRPr="00AF2A1D">
        <w:rPr>
          <w:rFonts w:ascii="Book Antiqua" w:eastAsia="MS Mincho" w:hAnsi="Book Antiqua"/>
          <w:b/>
          <w:sz w:val="24"/>
          <w:szCs w:val="24"/>
          <w:lang w:val="en-US" w:eastAsia="ja-JP"/>
        </w:rPr>
        <w:t xml:space="preserve">JAK2 wild type </w:t>
      </w:r>
      <w:r w:rsidRPr="00341F62">
        <w:rPr>
          <w:rFonts w:ascii="Book Antiqua" w:eastAsia="MS Mincho" w:hAnsi="Book Antiqua"/>
          <w:b/>
          <w:sz w:val="24"/>
          <w:szCs w:val="24"/>
          <w:lang w:val="en-US" w:eastAsia="ja-JP"/>
        </w:rPr>
        <w:t>essential thrombocythemia</w:t>
      </w:r>
      <w:r w:rsidRPr="00AF2A1D">
        <w:rPr>
          <w:rFonts w:ascii="Book Antiqua" w:eastAsia="MS Mincho" w:hAnsi="Book Antiqua"/>
          <w:b/>
          <w:sz w:val="24"/>
          <w:szCs w:val="24"/>
          <w:lang w:val="en-US" w:eastAsia="ja-JP"/>
        </w:rPr>
        <w:t xml:space="preserve"> with platelet counts of 2180</w:t>
      </w:r>
      <w:r>
        <w:rPr>
          <w:rFonts w:ascii="Book Antiqua" w:hAnsi="Book Antiqua"/>
          <w:b/>
          <w:sz w:val="24"/>
          <w:szCs w:val="24"/>
          <w:lang w:val="en-US" w:eastAsia="zh-CN"/>
        </w:rPr>
        <w:t xml:space="preserve"> </w:t>
      </w:r>
      <w:r w:rsidRPr="00CE4867">
        <w:rPr>
          <w:rFonts w:ascii="Book Antiqua" w:hAnsi="Book Antiqua"/>
          <w:sz w:val="24"/>
          <w:szCs w:val="24"/>
        </w:rPr>
        <w:t>×</w:t>
      </w:r>
      <w:r>
        <w:rPr>
          <w:rFonts w:ascii="Book Antiqua" w:hAnsi="Book Antiqua"/>
          <w:sz w:val="24"/>
          <w:szCs w:val="24"/>
          <w:lang w:eastAsia="zh-CN"/>
        </w:rPr>
        <w:t xml:space="preserve"> </w:t>
      </w:r>
      <w:r w:rsidRPr="00AF2A1D">
        <w:rPr>
          <w:rFonts w:ascii="Book Antiqua" w:eastAsia="MS Mincho" w:hAnsi="Book Antiqua"/>
          <w:b/>
          <w:sz w:val="24"/>
          <w:szCs w:val="24"/>
          <w:lang w:val="en-US" w:eastAsia="ja-JP"/>
        </w:rPr>
        <w:t>10/</w:t>
      </w:r>
      <w:r w:rsidRPr="00AF2A1D">
        <w:rPr>
          <w:rFonts w:ascii="Book Antiqua" w:eastAsia="MS Mincho" w:hAnsi="Book Antiqua"/>
          <w:b/>
          <w:sz w:val="24"/>
          <w:szCs w:val="24"/>
          <w:vertAlign w:val="superscript"/>
          <w:lang w:val="en-GB" w:eastAsia="ja-JP"/>
        </w:rPr>
        <w:t>9</w:t>
      </w:r>
      <w:r w:rsidRPr="00AF2A1D">
        <w:rPr>
          <w:rFonts w:ascii="Book Antiqua" w:eastAsia="MS Mincho" w:hAnsi="Book Antiqua"/>
          <w:b/>
          <w:sz w:val="24"/>
          <w:szCs w:val="24"/>
          <w:lang w:val="en-US" w:eastAsia="ja-JP"/>
        </w:rPr>
        <w:t xml:space="preserve">L, no splenomegaly, normal </w:t>
      </w:r>
      <w:r w:rsidRPr="00091B73">
        <w:rPr>
          <w:rFonts w:ascii="Book Antiqua" w:eastAsia="MS Mincho" w:hAnsi="Book Antiqua"/>
          <w:b/>
          <w:sz w:val="24"/>
          <w:szCs w:val="24"/>
          <w:lang w:val="en-US" w:eastAsia="ja-JP"/>
        </w:rPr>
        <w:t>lactodehydrogenase</w:t>
      </w:r>
      <w:r w:rsidRPr="00AF2A1D">
        <w:rPr>
          <w:rFonts w:ascii="Book Antiqua" w:eastAsia="MS Mincho" w:hAnsi="Book Antiqua"/>
          <w:b/>
          <w:sz w:val="24"/>
          <w:szCs w:val="24"/>
          <w:lang w:val="en-US" w:eastAsia="ja-JP"/>
        </w:rPr>
        <w:t xml:space="preserve"> and normal white blood cell differential counts with a characteristc picture of prefibrotic primary dysmegakaryocytic granulocytic myeloproliferation: </w:t>
      </w:r>
      <w:r w:rsidRPr="00A031D1">
        <w:rPr>
          <w:rFonts w:ascii="Book Antiqua" w:eastAsia="MS Mincho" w:hAnsi="Book Antiqua"/>
          <w:b/>
          <w:sz w:val="24"/>
          <w:szCs w:val="24"/>
          <w:lang w:val="en-US" w:eastAsia="ja-JP"/>
        </w:rPr>
        <w:t>primary megakaryocytic and granulocytic myeloproliferation</w:t>
      </w:r>
      <w:r w:rsidRPr="00AF2A1D">
        <w:rPr>
          <w:rFonts w:ascii="Book Antiqua" w:eastAsia="MS Mincho" w:hAnsi="Book Antiqua"/>
          <w:b/>
          <w:sz w:val="24"/>
          <w:szCs w:val="24"/>
          <w:lang w:val="en-US" w:eastAsia="ja-JP"/>
        </w:rPr>
        <w:t xml:space="preserve">. </w:t>
      </w:r>
      <w:r w:rsidRPr="00CC3D0A">
        <w:rPr>
          <w:rFonts w:ascii="Book Antiqua" w:eastAsia="MS Mincho" w:hAnsi="Book Antiqua"/>
          <w:sz w:val="24"/>
          <w:szCs w:val="24"/>
          <w:lang w:val="en-US" w:eastAsia="ja-JP"/>
        </w:rPr>
        <w:t>The megakaryocytes are grouped in dense clusters without normal precursors of hematopoiesis between them. There is a moderate dysmegakayriopoiesis with hyperchromatic cloud-like nuclei. Sometimes the nuclei have an irregular contour. No increase in reticulin-fibers</w:t>
      </w:r>
      <w:r w:rsidRPr="00C04266">
        <w:rPr>
          <w:rFonts w:ascii="Book Antiqua" w:eastAsia="MS Mincho" w:hAnsi="Book Antiqua"/>
          <w:sz w:val="24"/>
          <w:szCs w:val="24"/>
          <w:lang w:val="en-US" w:eastAsia="ja-JP"/>
        </w:rPr>
        <w:t xml:space="preserve">. </w:t>
      </w:r>
      <w:r w:rsidRPr="00C04266">
        <w:rPr>
          <w:rFonts w:ascii="Book Antiqua" w:hAnsi="Book Antiqua" w:cs="Arial"/>
          <w:sz w:val="24"/>
          <w:szCs w:val="24"/>
          <w:lang w:val="en-GB" w:eastAsia="nl-NL"/>
        </w:rPr>
        <w:t>Reticulin fibers</w:t>
      </w:r>
      <w:r w:rsidRPr="00C04266">
        <w:rPr>
          <w:rFonts w:ascii="Book Antiqua" w:eastAsia="MS Mincho" w:hAnsi="Book Antiqua"/>
          <w:sz w:val="24"/>
          <w:szCs w:val="24"/>
          <w:lang w:val="en-US" w:eastAsia="ja-JP"/>
        </w:rPr>
        <w:t xml:space="preserve"> -0</w:t>
      </w:r>
      <w:r w:rsidRPr="00C04266">
        <w:rPr>
          <w:rFonts w:ascii="Book Antiqua" w:hAnsi="Book Antiqua"/>
          <w:sz w:val="24"/>
          <w:szCs w:val="24"/>
          <w:lang w:val="en-US" w:eastAsia="zh-CN"/>
        </w:rPr>
        <w:t>.</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sz w:val="24"/>
          <w:szCs w:val="24"/>
          <w:lang w:val="en-US" w:eastAsia="ja-JP"/>
        </w:rPr>
        <w:t>Figure 7</w:t>
      </w:r>
      <w:r w:rsidRPr="00D568D7">
        <w:rPr>
          <w:rFonts w:ascii="Book Antiqua" w:eastAsia="MS Mincho" w:hAnsi="Book Antiqua"/>
          <w:b/>
          <w:sz w:val="24"/>
          <w:szCs w:val="24"/>
          <w:lang w:val="en-US" w:eastAsia="ja-JP"/>
        </w:rPr>
        <w:t xml:space="preserve"> </w:t>
      </w:r>
      <w:r w:rsidRPr="00A775B2">
        <w:rPr>
          <w:rFonts w:ascii="Book Antiqua" w:eastAsia="MS Mincho" w:hAnsi="Book Antiqua"/>
          <w:b/>
          <w:sz w:val="24"/>
          <w:szCs w:val="24"/>
          <w:lang w:val="en-US" w:eastAsia="ja-JP"/>
        </w:rPr>
        <w:t>Thirty-seven</w:t>
      </w:r>
      <w:r w:rsidRPr="00D568D7">
        <w:rPr>
          <w:rFonts w:ascii="Book Antiqua" w:eastAsia="MS Mincho" w:hAnsi="Book Antiqua"/>
          <w:b/>
          <w:sz w:val="24"/>
          <w:szCs w:val="24"/>
          <w:lang w:val="en-US" w:eastAsia="ja-JP"/>
        </w:rPr>
        <w:t xml:space="preserve">-years old woman (asymptomatic except fatigue) with JAK2 wild type thrombocythemia: platelets 1205 </w:t>
      </w:r>
      <w:r w:rsidRPr="00D568D7">
        <w:rPr>
          <w:rFonts w:ascii="Book Antiqua" w:hAnsi="Book Antiqua"/>
          <w:b/>
          <w:sz w:val="24"/>
          <w:szCs w:val="24"/>
        </w:rPr>
        <w:t>×</w:t>
      </w:r>
      <w:r w:rsidRPr="00D568D7">
        <w:rPr>
          <w:rFonts w:ascii="Book Antiqua" w:hAnsi="Book Antiqua"/>
          <w:b/>
          <w:sz w:val="24"/>
          <w:szCs w:val="24"/>
          <w:lang w:eastAsia="zh-CN"/>
        </w:rPr>
        <w:t xml:space="preserve"> </w:t>
      </w:r>
      <w:r w:rsidRPr="00D568D7">
        <w:rPr>
          <w:rFonts w:ascii="Book Antiqua" w:eastAsia="MS Mincho" w:hAnsi="Book Antiqua"/>
          <w:b/>
          <w:sz w:val="24"/>
          <w:szCs w:val="24"/>
          <w:lang w:val="en-US" w:eastAsia="ja-JP"/>
        </w:rPr>
        <w:t>10/</w:t>
      </w:r>
      <w:r w:rsidRPr="00D568D7">
        <w:rPr>
          <w:rFonts w:ascii="Book Antiqua" w:eastAsia="MS Mincho" w:hAnsi="Book Antiqua"/>
          <w:b/>
          <w:sz w:val="24"/>
          <w:szCs w:val="24"/>
          <w:vertAlign w:val="superscript"/>
          <w:lang w:val="en-US" w:eastAsia="ja-JP"/>
        </w:rPr>
        <w:t>9</w:t>
      </w:r>
      <w:r w:rsidRPr="00D568D7">
        <w:rPr>
          <w:rFonts w:ascii="Book Antiqua" w:eastAsia="MS Mincho" w:hAnsi="Book Antiqua"/>
          <w:b/>
          <w:sz w:val="24"/>
          <w:szCs w:val="24"/>
          <w:lang w:val="en-US" w:eastAsia="ja-JP"/>
        </w:rPr>
        <w:t>/L, Hb 12.5 g/dL, erythrocytes 4.9</w:t>
      </w:r>
      <w:r w:rsidRPr="00D568D7">
        <w:rPr>
          <w:rFonts w:ascii="Book Antiqua" w:hAnsi="Book Antiqua"/>
          <w:b/>
          <w:sz w:val="24"/>
          <w:szCs w:val="24"/>
          <w:lang w:val="en-US" w:eastAsia="zh-CN"/>
        </w:rPr>
        <w:t xml:space="preserve"> </w:t>
      </w:r>
      <w:r w:rsidRPr="00D568D7">
        <w:rPr>
          <w:rFonts w:ascii="Book Antiqua" w:hAnsi="Book Antiqua"/>
          <w:b/>
          <w:sz w:val="24"/>
          <w:szCs w:val="24"/>
        </w:rPr>
        <w:t>×</w:t>
      </w:r>
      <w:r w:rsidRPr="00D568D7">
        <w:rPr>
          <w:rFonts w:ascii="Book Antiqua" w:hAnsi="Book Antiqua"/>
          <w:b/>
          <w:sz w:val="24"/>
          <w:szCs w:val="24"/>
          <w:lang w:eastAsia="zh-CN"/>
        </w:rPr>
        <w:t xml:space="preserve"> </w:t>
      </w:r>
      <w:r w:rsidRPr="00D568D7">
        <w:rPr>
          <w:rFonts w:ascii="Book Antiqua" w:eastAsia="MS Mincho" w:hAnsi="Book Antiqua"/>
          <w:b/>
          <w:sz w:val="24"/>
          <w:szCs w:val="24"/>
          <w:lang w:val="en-US" w:eastAsia="ja-JP"/>
        </w:rPr>
        <w:t>10</w:t>
      </w:r>
      <w:r w:rsidRPr="00D568D7">
        <w:rPr>
          <w:rFonts w:ascii="Book Antiqua" w:eastAsia="MS Mincho" w:hAnsi="Book Antiqua"/>
          <w:b/>
          <w:sz w:val="24"/>
          <w:szCs w:val="24"/>
          <w:vertAlign w:val="superscript"/>
          <w:lang w:val="en-GB" w:eastAsia="ja-JP"/>
        </w:rPr>
        <w:t>12</w:t>
      </w:r>
      <w:r w:rsidRPr="00D568D7">
        <w:rPr>
          <w:rFonts w:ascii="Book Antiqua" w:eastAsia="MS Mincho" w:hAnsi="Book Antiqua"/>
          <w:b/>
          <w:sz w:val="24"/>
          <w:szCs w:val="24"/>
          <w:lang w:val="en-US" w:eastAsia="ja-JP"/>
        </w:rPr>
        <w:t xml:space="preserve">/L, leukocytes 18 </w:t>
      </w:r>
      <w:r w:rsidRPr="00D568D7">
        <w:rPr>
          <w:rFonts w:ascii="Book Antiqua" w:hAnsi="Book Antiqua"/>
          <w:b/>
          <w:sz w:val="24"/>
          <w:szCs w:val="24"/>
        </w:rPr>
        <w:t>×</w:t>
      </w:r>
      <w:r w:rsidRPr="00D568D7">
        <w:rPr>
          <w:rFonts w:ascii="Book Antiqua" w:hAnsi="Book Antiqua"/>
          <w:b/>
          <w:sz w:val="24"/>
          <w:szCs w:val="24"/>
          <w:lang w:eastAsia="zh-CN"/>
        </w:rPr>
        <w:t xml:space="preserve"> </w:t>
      </w:r>
      <w:r w:rsidRPr="00D568D7">
        <w:rPr>
          <w:rFonts w:ascii="Book Antiqua" w:eastAsia="MS Mincho" w:hAnsi="Book Antiqua"/>
          <w:b/>
          <w:sz w:val="24"/>
          <w:szCs w:val="24"/>
          <w:lang w:val="en-US" w:eastAsia="ja-JP"/>
        </w:rPr>
        <w:t>10/</w:t>
      </w:r>
      <w:r w:rsidRPr="00D568D7">
        <w:rPr>
          <w:rFonts w:ascii="Book Antiqua" w:eastAsia="MS Mincho" w:hAnsi="Book Antiqua"/>
          <w:b/>
          <w:sz w:val="24"/>
          <w:szCs w:val="24"/>
          <w:vertAlign w:val="superscript"/>
          <w:lang w:val="en-US" w:eastAsia="ja-JP"/>
        </w:rPr>
        <w:t>9</w:t>
      </w:r>
      <w:r w:rsidRPr="00D568D7">
        <w:rPr>
          <w:rFonts w:ascii="Book Antiqua" w:eastAsia="MS Mincho" w:hAnsi="Book Antiqua"/>
          <w:b/>
          <w:sz w:val="24"/>
          <w:szCs w:val="24"/>
          <w:lang w:val="en-US" w:eastAsia="ja-JP"/>
        </w:rPr>
        <w:t xml:space="preserve">/L, slightly increased </w:t>
      </w:r>
      <w:r w:rsidRPr="00091B73">
        <w:rPr>
          <w:rFonts w:ascii="Book Antiqua" w:eastAsia="MS Mincho" w:hAnsi="Book Antiqua"/>
          <w:b/>
          <w:sz w:val="24"/>
          <w:szCs w:val="24"/>
          <w:lang w:val="en-US" w:eastAsia="ja-JP"/>
        </w:rPr>
        <w:t>lactodehydrogenase</w:t>
      </w:r>
      <w:r w:rsidRPr="00D568D7">
        <w:rPr>
          <w:rFonts w:ascii="Book Antiqua" w:eastAsia="MS Mincho" w:hAnsi="Book Antiqua"/>
          <w:b/>
          <w:sz w:val="24"/>
          <w:szCs w:val="24"/>
          <w:lang w:val="en-US" w:eastAsia="ja-JP"/>
        </w:rPr>
        <w:t xml:space="preserve">, no splenomegaly on palpation as the presenting features of </w:t>
      </w:r>
      <w:r w:rsidRPr="00566F6E">
        <w:rPr>
          <w:rFonts w:ascii="Book Antiqua" w:eastAsia="MS Mincho" w:hAnsi="Book Antiqua"/>
          <w:b/>
          <w:sz w:val="24"/>
          <w:szCs w:val="24"/>
          <w:lang w:val="en-US" w:eastAsia="ja-JP"/>
        </w:rPr>
        <w:t>primary megakaryocytic and granulocytic myeloproliferation</w:t>
      </w:r>
      <w:r w:rsidRPr="00D568D7">
        <w:rPr>
          <w:rFonts w:ascii="Book Antiqua" w:eastAsia="MS Mincho" w:hAnsi="Book Antiqua"/>
          <w:b/>
          <w:sz w:val="24"/>
          <w:szCs w:val="24"/>
          <w:lang w:val="en-US" w:eastAsia="ja-JP"/>
        </w:rPr>
        <w:t xml:space="preserve"> (Table 5). </w:t>
      </w:r>
      <w:r w:rsidRPr="00CC3D0A">
        <w:rPr>
          <w:rFonts w:ascii="Book Antiqua" w:eastAsia="MS Mincho" w:hAnsi="Book Antiqua"/>
          <w:sz w:val="24"/>
          <w:szCs w:val="24"/>
          <w:lang w:val="en-US" w:eastAsia="ja-JP"/>
        </w:rPr>
        <w:t>The megakaryocytes are grouped in dense clusters. There is low degree of dysmegakayryopoiesis with cloud-like nuclei. Sometimes the nuclei have an irregular contour with no real hyperchromasia. Increase in reticulin-fibers with many cross-sections (</w:t>
      </w:r>
      <w:r w:rsidRPr="00C04266">
        <w:rPr>
          <w:rFonts w:ascii="Book Antiqua" w:hAnsi="Book Antiqua" w:cs="Arial"/>
          <w:sz w:val="24"/>
          <w:szCs w:val="24"/>
          <w:lang w:val="en-GB" w:eastAsia="nl-NL"/>
        </w:rPr>
        <w:t>Reticulin fibers</w:t>
      </w:r>
      <w:r w:rsidRPr="00CC3D0A">
        <w:rPr>
          <w:rFonts w:ascii="Book Antiqua" w:eastAsia="MS Mincho" w:hAnsi="Book Antiqua"/>
          <w:sz w:val="24"/>
          <w:szCs w:val="24"/>
          <w:lang w:val="en-US" w:eastAsia="ja-JP"/>
        </w:rPr>
        <w:t>-2</w:t>
      </w:r>
      <w:r w:rsidRPr="0044689A">
        <w:rPr>
          <w:rFonts w:ascii="Book Antiqua" w:eastAsia="MS Mincho" w:hAnsi="Book Antiqua"/>
          <w:sz w:val="24"/>
          <w:szCs w:val="24"/>
          <w:lang w:val="en-US" w:eastAsia="ja-JP"/>
        </w:rPr>
        <w:t>/</w:t>
      </w:r>
      <w:r w:rsidRPr="0044689A">
        <w:rPr>
          <w:rFonts w:ascii="Book Antiqua" w:eastAsia="MS Mincho" w:hAnsi="Book Antiqua"/>
          <w:sz w:val="24"/>
          <w:szCs w:val="24"/>
          <w:lang w:val="en-GB" w:eastAsia="ja-JP"/>
        </w:rPr>
        <w:t xml:space="preserve"> Myelofibrosis</w:t>
      </w:r>
      <w:r w:rsidRPr="0044689A">
        <w:rPr>
          <w:rFonts w:ascii="Book Antiqua" w:eastAsia="MS Mincho" w:hAnsi="Book Antiqua"/>
          <w:sz w:val="24"/>
          <w:szCs w:val="24"/>
          <w:lang w:val="en-US" w:eastAsia="ja-JP"/>
        </w:rPr>
        <w:t>-1)</w:t>
      </w:r>
      <w:r w:rsidRPr="00CC3D0A">
        <w:rPr>
          <w:rFonts w:ascii="Book Antiqua" w:eastAsia="MS Mincho" w:hAnsi="Book Antiqua"/>
          <w:sz w:val="24"/>
          <w:szCs w:val="24"/>
          <w:lang w:val="en-US" w:eastAsia="ja-JP"/>
        </w:rPr>
        <w:t>.</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Pr>
          <w:rFonts w:ascii="Book Antiqua" w:eastAsia="MS Mincho" w:hAnsi="Book Antiqua"/>
          <w:b/>
          <w:sz w:val="24"/>
          <w:szCs w:val="24"/>
          <w:lang w:val="en-US" w:eastAsia="ja-JP"/>
        </w:rPr>
        <w:t>Figure 8</w:t>
      </w:r>
      <w:r w:rsidRPr="00CC3D0A">
        <w:rPr>
          <w:rFonts w:ascii="Book Antiqua" w:eastAsia="MS Mincho" w:hAnsi="Book Antiqua"/>
          <w:sz w:val="24"/>
          <w:szCs w:val="24"/>
          <w:lang w:val="en-US" w:eastAsia="ja-JP"/>
        </w:rPr>
        <w:t xml:space="preserve"> </w:t>
      </w:r>
      <w:r w:rsidRPr="00510BBE">
        <w:rPr>
          <w:rFonts w:ascii="Book Antiqua" w:eastAsia="MS Mincho" w:hAnsi="Book Antiqua"/>
          <w:b/>
          <w:sz w:val="24"/>
          <w:szCs w:val="24"/>
          <w:lang w:val="en-US" w:eastAsia="ja-JP"/>
        </w:rPr>
        <w:t xml:space="preserve">Chronic megakaryocytic granulocytic myelosis according to the Hannover Bone Marrow Classification or primary megakaryocytic granulocytic myeloproliferation: </w:t>
      </w:r>
      <w:r w:rsidRPr="00A1009D">
        <w:rPr>
          <w:rFonts w:ascii="Book Antiqua" w:eastAsia="MS Mincho" w:hAnsi="Book Antiqua"/>
          <w:b/>
          <w:sz w:val="24"/>
          <w:szCs w:val="24"/>
          <w:lang w:val="en-US" w:eastAsia="ja-JP"/>
        </w:rPr>
        <w:t>primary megakaryocytic and granulocytic myeloproliferation</w:t>
      </w:r>
      <w:r w:rsidRPr="00510BBE">
        <w:rPr>
          <w:rFonts w:ascii="Book Antiqua" w:eastAsia="MS Mincho" w:hAnsi="Book Antiqua"/>
          <w:b/>
          <w:sz w:val="24"/>
          <w:szCs w:val="24"/>
          <w:lang w:val="en-US" w:eastAsia="ja-JP"/>
        </w:rPr>
        <w:t xml:space="preserve"> (Table 5) at time of diagnosis in 1995. </w:t>
      </w:r>
      <w:r w:rsidRPr="00462580">
        <w:rPr>
          <w:rFonts w:ascii="Book Antiqua" w:eastAsia="MS Mincho" w:hAnsi="Book Antiqua"/>
          <w:sz w:val="24"/>
          <w:szCs w:val="24"/>
          <w:lang w:val="en-US" w:eastAsia="ja-JP"/>
        </w:rPr>
        <w:t>The megakaryocytes are grouped in thight clusters.</w:t>
      </w:r>
      <w:r w:rsidRPr="00510BBE">
        <w:rPr>
          <w:rFonts w:ascii="Book Antiqua" w:eastAsia="MS Mincho" w:hAnsi="Book Antiqua"/>
          <w:b/>
          <w:sz w:val="24"/>
          <w:szCs w:val="24"/>
          <w:lang w:val="en-US" w:eastAsia="ja-JP"/>
        </w:rPr>
        <w:t xml:space="preserve"> </w:t>
      </w:r>
      <w:r w:rsidRPr="00CC3D0A">
        <w:rPr>
          <w:rFonts w:ascii="Book Antiqua" w:eastAsia="MS Mincho" w:hAnsi="Book Antiqua"/>
          <w:sz w:val="24"/>
          <w:szCs w:val="24"/>
          <w:lang w:val="en-US" w:eastAsia="ja-JP"/>
        </w:rPr>
        <w:t>There is a moderate dysmegakayryopoiesis with hyperchromatic nuclei (in this picture not really cloud-like). Sometimes the nuclei have an irregular contour. Increase in reticulin-fibers with cross-sections (</w:t>
      </w:r>
      <w:r w:rsidRPr="00C04266">
        <w:rPr>
          <w:rFonts w:ascii="Book Antiqua" w:hAnsi="Book Antiqua" w:cs="Arial"/>
          <w:sz w:val="24"/>
          <w:szCs w:val="24"/>
          <w:lang w:val="en-GB" w:eastAsia="nl-NL"/>
        </w:rPr>
        <w:t>Reticulin fibers</w:t>
      </w:r>
      <w:r w:rsidRPr="00CC3D0A">
        <w:rPr>
          <w:rFonts w:ascii="Book Antiqua" w:eastAsia="MS Mincho" w:hAnsi="Book Antiqua"/>
          <w:sz w:val="24"/>
          <w:szCs w:val="24"/>
          <w:lang w:val="en-US" w:eastAsia="ja-JP"/>
        </w:rPr>
        <w:t>-2</w:t>
      </w:r>
      <w:r w:rsidRPr="0044689A">
        <w:rPr>
          <w:rFonts w:ascii="Book Antiqua" w:eastAsia="MS Mincho" w:hAnsi="Book Antiqua"/>
          <w:sz w:val="24"/>
          <w:szCs w:val="24"/>
          <w:lang w:val="en-US" w:eastAsia="ja-JP"/>
        </w:rPr>
        <w:t>/</w:t>
      </w:r>
      <w:r w:rsidRPr="0044689A">
        <w:rPr>
          <w:rFonts w:ascii="Book Antiqua" w:eastAsia="MS Mincho" w:hAnsi="Book Antiqua"/>
          <w:sz w:val="24"/>
          <w:szCs w:val="24"/>
          <w:lang w:val="en-GB" w:eastAsia="ja-JP"/>
        </w:rPr>
        <w:t xml:space="preserve"> Myelofibrosis</w:t>
      </w:r>
      <w:r w:rsidRPr="0044689A">
        <w:rPr>
          <w:rFonts w:ascii="Book Antiqua" w:eastAsia="MS Mincho" w:hAnsi="Book Antiqua"/>
          <w:sz w:val="24"/>
          <w:szCs w:val="24"/>
          <w:lang w:val="en-US" w:eastAsia="ja-JP"/>
        </w:rPr>
        <w:t>-1)</w:t>
      </w:r>
      <w:r w:rsidRPr="00CC3D0A">
        <w:rPr>
          <w:rFonts w:ascii="Book Antiqua" w:eastAsia="MS Mincho" w:hAnsi="Book Antiqua"/>
          <w:sz w:val="24"/>
          <w:szCs w:val="24"/>
          <w:lang w:val="en-US" w:eastAsia="ja-JP"/>
        </w:rPr>
        <w:t>.</w:t>
      </w:r>
    </w:p>
    <w:p w:rsidR="00702CE8" w:rsidRPr="008B38F0" w:rsidRDefault="00702CE8" w:rsidP="00AC3FB8">
      <w:pPr>
        <w:suppressAutoHyphens/>
        <w:autoSpaceDN w:val="0"/>
        <w:spacing w:after="0" w:line="360" w:lineRule="auto"/>
        <w:jc w:val="both"/>
        <w:rPr>
          <w:rFonts w:ascii="Book Antiqua" w:hAnsi="Book Antiqua"/>
          <w:sz w:val="24"/>
          <w:szCs w:val="24"/>
          <w:lang w:val="en-US" w:eastAsia="zh-CN"/>
        </w:rPr>
      </w:pPr>
    </w:p>
    <w:p w:rsidR="00702CE8" w:rsidRPr="00510BBE" w:rsidRDefault="00702CE8" w:rsidP="00AC3FB8">
      <w:pPr>
        <w:suppressAutoHyphens/>
        <w:autoSpaceDN w:val="0"/>
        <w:spacing w:after="0" w:line="360" w:lineRule="auto"/>
        <w:jc w:val="both"/>
        <w:rPr>
          <w:rFonts w:ascii="Book Antiqua" w:hAnsi="Book Antiqua"/>
          <w:sz w:val="24"/>
          <w:szCs w:val="24"/>
          <w:lang w:val="en-US" w:eastAsia="zh-CN"/>
        </w:rPr>
      </w:pPr>
    </w:p>
    <w:p w:rsidR="00702CE8" w:rsidRPr="00A1009D" w:rsidRDefault="00702CE8" w:rsidP="00AC3FB8">
      <w:pPr>
        <w:suppressAutoHyphens/>
        <w:autoSpaceDN w:val="0"/>
        <w:spacing w:after="0" w:line="360" w:lineRule="auto"/>
        <w:jc w:val="both"/>
        <w:rPr>
          <w:rFonts w:ascii="Book Antiqua" w:hAnsi="Book Antiqua"/>
          <w:b/>
          <w:bCs/>
          <w:sz w:val="24"/>
          <w:szCs w:val="24"/>
          <w:lang w:val="en-US" w:eastAsia="zh-CN"/>
        </w:rPr>
      </w:pPr>
      <w:r>
        <w:rPr>
          <w:rFonts w:ascii="Book Antiqua" w:eastAsia="MS Mincho" w:hAnsi="Book Antiqua"/>
          <w:b/>
          <w:bCs/>
          <w:sz w:val="24"/>
          <w:szCs w:val="24"/>
          <w:lang w:val="en-US" w:eastAsia="ja-JP"/>
        </w:rPr>
        <w:lastRenderedPageBreak/>
        <w:t>Figure 9</w:t>
      </w:r>
      <w:r w:rsidRPr="00CC3D0A">
        <w:rPr>
          <w:rFonts w:ascii="Book Antiqua" w:eastAsia="MS Mincho" w:hAnsi="Book Antiqua"/>
          <w:bCs/>
          <w:sz w:val="24"/>
          <w:szCs w:val="24"/>
          <w:lang w:val="en-US" w:eastAsia="ja-JP"/>
        </w:rPr>
        <w:t xml:space="preserve"> </w:t>
      </w:r>
      <w:r w:rsidRPr="00A1009D">
        <w:rPr>
          <w:rFonts w:ascii="Book Antiqua" w:eastAsia="MS Mincho" w:hAnsi="Book Antiqua"/>
          <w:b/>
          <w:bCs/>
          <w:sz w:val="24"/>
          <w:szCs w:val="24"/>
          <w:lang w:val="en-US" w:eastAsia="ja-JP"/>
        </w:rPr>
        <w:t>The case of primary megakaryocytic and granulocytic myeloproliferation in figure 7, who presented in 1995 with microvascular circulation disturbances treated with hydroxyurea for 11 years complicated by mild anemia at platelet counts of 600</w:t>
      </w:r>
      <w:r w:rsidRPr="00A1009D">
        <w:rPr>
          <w:rFonts w:ascii="Book Antiqua" w:hAnsi="Book Antiqua"/>
          <w:b/>
          <w:bCs/>
          <w:sz w:val="24"/>
          <w:szCs w:val="24"/>
          <w:lang w:val="en-US" w:eastAsia="zh-CN"/>
        </w:rPr>
        <w:t xml:space="preserve"> </w:t>
      </w:r>
      <w:r w:rsidRPr="00A1009D">
        <w:rPr>
          <w:rFonts w:ascii="Book Antiqua" w:hAnsi="Book Antiqua"/>
          <w:b/>
          <w:sz w:val="24"/>
          <w:szCs w:val="24"/>
        </w:rPr>
        <w:t>×</w:t>
      </w:r>
      <w:r w:rsidRPr="00A1009D">
        <w:rPr>
          <w:rFonts w:ascii="Book Antiqua" w:hAnsi="Book Antiqua"/>
          <w:b/>
          <w:sz w:val="24"/>
          <w:szCs w:val="24"/>
          <w:lang w:eastAsia="zh-CN"/>
        </w:rPr>
        <w:t xml:space="preserve"> </w:t>
      </w:r>
      <w:r w:rsidRPr="00A1009D">
        <w:rPr>
          <w:rFonts w:ascii="Book Antiqua" w:eastAsia="MS Mincho" w:hAnsi="Book Antiqua"/>
          <w:b/>
          <w:bCs/>
          <w:sz w:val="24"/>
          <w:szCs w:val="24"/>
          <w:lang w:val="en-US" w:eastAsia="ja-JP"/>
        </w:rPr>
        <w:t>10</w:t>
      </w:r>
      <w:r w:rsidRPr="00A1009D">
        <w:rPr>
          <w:rFonts w:ascii="Book Antiqua" w:eastAsia="MS Mincho" w:hAnsi="Book Antiqua"/>
          <w:b/>
          <w:bCs/>
          <w:sz w:val="24"/>
          <w:szCs w:val="24"/>
          <w:vertAlign w:val="superscript"/>
          <w:lang w:val="en-US" w:eastAsia="ja-JP"/>
        </w:rPr>
        <w:t>9</w:t>
      </w:r>
      <w:r w:rsidRPr="00A1009D">
        <w:rPr>
          <w:rFonts w:ascii="Book Antiqua" w:eastAsia="MS Mincho" w:hAnsi="Book Antiqua"/>
          <w:b/>
          <w:bCs/>
          <w:sz w:val="24"/>
          <w:szCs w:val="24"/>
          <w:lang w:val="en-US" w:eastAsia="ja-JP"/>
        </w:rPr>
        <w:t>/L after 10 years of HU treatment.</w:t>
      </w:r>
    </w:p>
    <w:p w:rsidR="00702CE8" w:rsidRDefault="00702CE8" w:rsidP="00AC3FB8">
      <w:pPr>
        <w:suppressAutoHyphens/>
        <w:autoSpaceDN w:val="0"/>
        <w:spacing w:after="0" w:line="360" w:lineRule="auto"/>
        <w:jc w:val="both"/>
        <w:rPr>
          <w:rFonts w:ascii="Book Antiqua" w:hAnsi="Book Antiqua"/>
          <w:bCs/>
          <w:sz w:val="24"/>
          <w:szCs w:val="24"/>
          <w:lang w:val="en-US" w:eastAsia="zh-CN"/>
        </w:rPr>
      </w:pPr>
    </w:p>
    <w:p w:rsidR="00702CE8" w:rsidRDefault="00702CE8" w:rsidP="00AC3FB8">
      <w:pPr>
        <w:suppressAutoHyphens/>
        <w:autoSpaceDN w:val="0"/>
        <w:spacing w:after="0" w:line="360" w:lineRule="auto"/>
        <w:jc w:val="both"/>
        <w:rPr>
          <w:rFonts w:ascii="Book Antiqua" w:hAnsi="Book Antiqua"/>
          <w:bCs/>
          <w:sz w:val="24"/>
          <w:szCs w:val="24"/>
          <w:lang w:val="en-US" w:eastAsia="zh-CN"/>
        </w:rPr>
      </w:pPr>
    </w:p>
    <w:p w:rsidR="00702CE8" w:rsidRPr="00A1009D" w:rsidRDefault="00702CE8" w:rsidP="00AC3FB8">
      <w:pPr>
        <w:suppressAutoHyphens/>
        <w:autoSpaceDN w:val="0"/>
        <w:spacing w:after="0" w:line="360" w:lineRule="auto"/>
        <w:jc w:val="both"/>
        <w:rPr>
          <w:rFonts w:ascii="Book Antiqua" w:hAnsi="Book Antiqua"/>
          <w:bCs/>
          <w:sz w:val="24"/>
          <w:szCs w:val="24"/>
          <w:lang w:val="en-US" w:eastAsia="zh-CN"/>
        </w:rPr>
      </w:pP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Pr>
          <w:rFonts w:ascii="Book Antiqua" w:eastAsia="MS Mincho" w:hAnsi="Book Antiqua"/>
          <w:b/>
          <w:sz w:val="24"/>
          <w:szCs w:val="24"/>
          <w:lang w:val="en-US" w:eastAsia="ja-JP"/>
        </w:rPr>
        <w:t>Figure 10</w:t>
      </w:r>
      <w:r w:rsidRPr="00CC3D0A">
        <w:rPr>
          <w:rFonts w:ascii="Book Antiqua" w:eastAsia="MS Mincho" w:hAnsi="Book Antiqua"/>
          <w:sz w:val="24"/>
          <w:szCs w:val="24"/>
          <w:lang w:val="en-US" w:eastAsia="ja-JP"/>
        </w:rPr>
        <w:t xml:space="preserve"> </w:t>
      </w:r>
      <w:r w:rsidRPr="0001452A">
        <w:rPr>
          <w:rFonts w:ascii="Book Antiqua" w:eastAsia="MS Mincho" w:hAnsi="Book Antiqua"/>
          <w:b/>
          <w:sz w:val="24"/>
          <w:szCs w:val="24"/>
          <w:lang w:val="en-US" w:eastAsia="ja-JP"/>
        </w:rPr>
        <w:t>The case of figures 8 and 9 with primary megakaryocytic and granulocytic myeloproliferation bone marrow features after 10 years of hydroxyurea treatment complicated by slight anemia and increased bundles of reticulin fibers grade 2 to 3, diagnosed as chronic megakaryocytic granulocytic myeloproliferation/</w:t>
      </w:r>
      <w:r w:rsidRPr="0001452A">
        <w:rPr>
          <w:b/>
        </w:rPr>
        <w:t xml:space="preserve"> </w:t>
      </w:r>
      <w:r w:rsidRPr="0001452A">
        <w:rPr>
          <w:rFonts w:ascii="Book Antiqua" w:eastAsia="MS Mincho" w:hAnsi="Book Antiqua"/>
          <w:b/>
          <w:sz w:val="24"/>
          <w:szCs w:val="24"/>
          <w:lang w:val="en-US" w:eastAsia="ja-JP"/>
        </w:rPr>
        <w:t xml:space="preserve">primary megakaryocytic and granulocytic myeloproliferation in 1995 and as JAK2 wild type fibrotic </w:t>
      </w:r>
      <w:r w:rsidRPr="00E00D4D">
        <w:rPr>
          <w:rFonts w:ascii="Book Antiqua" w:eastAsia="MS Mincho" w:hAnsi="Book Antiqua"/>
          <w:b/>
          <w:sz w:val="24"/>
          <w:szCs w:val="24"/>
          <w:lang w:val="en-US" w:eastAsia="ja-JP"/>
        </w:rPr>
        <w:t>primary megakaryocytic and granulocytic myeloproliferation</w:t>
      </w:r>
      <w:r w:rsidRPr="0001452A">
        <w:rPr>
          <w:rFonts w:ascii="Book Antiqua" w:eastAsia="MS Mincho" w:hAnsi="Book Antiqua"/>
          <w:b/>
          <w:sz w:val="24"/>
          <w:szCs w:val="24"/>
          <w:lang w:val="en-US" w:eastAsia="ja-JP"/>
        </w:rPr>
        <w:t xml:space="preserve"> on testing in 2006. The megakaryocytes are grouped in moderately thight clusters. </w:t>
      </w:r>
      <w:r w:rsidRPr="00CC3D0A">
        <w:rPr>
          <w:rFonts w:ascii="Book Antiqua" w:eastAsia="MS Mincho" w:hAnsi="Book Antiqua"/>
          <w:sz w:val="24"/>
          <w:szCs w:val="24"/>
          <w:lang w:val="en-US" w:eastAsia="ja-JP"/>
        </w:rPr>
        <w:t>There is low degree of dysmegakayryopoiesis with cloud-like nuclei. Sometimes the nuclei have an irregular contour. No real hyperchromasia. Increase in reticulin-fibers with many cross-sections (</w:t>
      </w:r>
      <w:r w:rsidRPr="00C04266">
        <w:rPr>
          <w:rFonts w:ascii="Book Antiqua" w:hAnsi="Book Antiqua" w:cs="Arial"/>
          <w:sz w:val="24"/>
          <w:szCs w:val="24"/>
          <w:lang w:val="en-GB" w:eastAsia="nl-NL"/>
        </w:rPr>
        <w:t>Reticulin fibers</w:t>
      </w:r>
      <w:r w:rsidRPr="00CC3D0A">
        <w:rPr>
          <w:rFonts w:ascii="Book Antiqua" w:eastAsia="MS Mincho" w:hAnsi="Book Antiqua"/>
          <w:sz w:val="24"/>
          <w:szCs w:val="24"/>
          <w:lang w:val="en-US" w:eastAsia="ja-JP"/>
        </w:rPr>
        <w:t>-2</w:t>
      </w:r>
      <w:r w:rsidRPr="0044689A">
        <w:rPr>
          <w:rFonts w:ascii="Book Antiqua" w:eastAsia="MS Mincho" w:hAnsi="Book Antiqua"/>
          <w:sz w:val="24"/>
          <w:szCs w:val="24"/>
          <w:lang w:val="en-US" w:eastAsia="ja-JP"/>
        </w:rPr>
        <w:t>/</w:t>
      </w:r>
      <w:r w:rsidRPr="0044689A">
        <w:rPr>
          <w:rFonts w:ascii="Book Antiqua" w:eastAsia="MS Mincho" w:hAnsi="Book Antiqua"/>
          <w:sz w:val="24"/>
          <w:szCs w:val="24"/>
          <w:lang w:val="en-GB" w:eastAsia="ja-JP"/>
        </w:rPr>
        <w:t xml:space="preserve"> Myelofibrosis</w:t>
      </w:r>
      <w:r w:rsidRPr="0044689A">
        <w:rPr>
          <w:rFonts w:ascii="Book Antiqua" w:eastAsia="MS Mincho" w:hAnsi="Book Antiqua"/>
          <w:sz w:val="24"/>
          <w:szCs w:val="24"/>
          <w:lang w:val="en-US" w:eastAsia="ja-JP"/>
        </w:rPr>
        <w:t>-1)</w:t>
      </w:r>
      <w:r w:rsidRPr="00CC3D0A">
        <w:rPr>
          <w:rFonts w:ascii="Book Antiqua" w:eastAsia="MS Mincho" w:hAnsi="Book Antiqua"/>
          <w:sz w:val="24"/>
          <w:szCs w:val="24"/>
          <w:lang w:val="en-US" w:eastAsia="ja-JP"/>
        </w:rPr>
        <w:t xml:space="preserve">. </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sz w:val="24"/>
          <w:szCs w:val="24"/>
          <w:lang w:val="en-US" w:eastAsia="ja-JP"/>
        </w:rPr>
        <w:br/>
      </w:r>
    </w:p>
    <w:p w:rsidR="00702CE8" w:rsidRPr="00242395" w:rsidRDefault="00702CE8" w:rsidP="00AC3FB8">
      <w:pPr>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Pr="00531BA4" w:rsidRDefault="00702CE8" w:rsidP="00AC3FB8">
      <w:pPr>
        <w:suppressAutoHyphens/>
        <w:autoSpaceDN w:val="0"/>
        <w:spacing w:after="0" w:line="360" w:lineRule="auto"/>
        <w:jc w:val="both"/>
        <w:rPr>
          <w:rFonts w:ascii="Book Antiqua" w:hAnsi="Book Antiqua"/>
          <w:b/>
          <w:sz w:val="24"/>
          <w:szCs w:val="24"/>
          <w:lang w:val="en-US" w:eastAsia="zh-CN"/>
        </w:rPr>
      </w:pPr>
      <w:r w:rsidRPr="00531BA4">
        <w:rPr>
          <w:rFonts w:ascii="Book Antiqua" w:hAnsi="Book Antiqua"/>
          <w:b/>
          <w:sz w:val="24"/>
          <w:szCs w:val="24"/>
          <w:lang w:val="en-US" w:eastAsia="zh-CN"/>
        </w:rPr>
        <w:t>Table 1 Blood and bone marrow features in one prospective study of Thrombocythemia Vera Study Group-defined essential thrombocythemia and one retrospective study of PVSG defined essential thrombocythemia at platelet counts above the upper limit of normal</w:t>
      </w:r>
    </w:p>
    <w:tbl>
      <w:tblPr>
        <w:tblW w:w="10367" w:type="dxa"/>
        <w:tblInd w:w="93" w:type="dxa"/>
        <w:tblBorders>
          <w:top w:val="single" w:sz="4" w:space="0" w:color="auto"/>
          <w:bottom w:val="single" w:sz="4" w:space="0" w:color="auto"/>
        </w:tblBorders>
        <w:tblLook w:val="00A0" w:firstRow="1" w:lastRow="0" w:firstColumn="1" w:lastColumn="0" w:noHBand="0" w:noVBand="0"/>
      </w:tblPr>
      <w:tblGrid>
        <w:gridCol w:w="2744"/>
        <w:gridCol w:w="2320"/>
        <w:gridCol w:w="2760"/>
        <w:gridCol w:w="360"/>
        <w:gridCol w:w="2183"/>
      </w:tblGrid>
      <w:tr w:rsidR="00702CE8" w:rsidRPr="00DD0EC2" w:rsidTr="005B27E0">
        <w:trPr>
          <w:trHeight w:val="390"/>
        </w:trPr>
        <w:tc>
          <w:tcPr>
            <w:tcW w:w="2744" w:type="dxa"/>
            <w:tcBorders>
              <w:top w:val="single" w:sz="4" w:space="0" w:color="auto"/>
              <w:bottom w:val="single" w:sz="4" w:space="0" w:color="auto"/>
            </w:tcBorders>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fr-FR" w:eastAsia="zh-CN"/>
              </w:rPr>
              <w:t>Authors</w:t>
            </w:r>
          </w:p>
        </w:tc>
        <w:tc>
          <w:tcPr>
            <w:tcW w:w="2320" w:type="dxa"/>
            <w:tcBorders>
              <w:top w:val="single" w:sz="4" w:space="0" w:color="auto"/>
              <w:bottom w:val="single" w:sz="4" w:space="0" w:color="auto"/>
            </w:tcBorders>
            <w:noWrap/>
            <w:vAlign w:val="center"/>
          </w:tcPr>
          <w:p w:rsidR="00702CE8" w:rsidRPr="000B641D" w:rsidRDefault="00702CE8" w:rsidP="003F752A">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Michiels</w:t>
            </w:r>
            <w:r w:rsidRPr="000B641D">
              <w:rPr>
                <w:rFonts w:ascii="Book Antiqua" w:hAnsi="Book Antiqua" w:cs="宋体"/>
                <w:b/>
                <w:bCs/>
                <w:i/>
                <w:color w:val="000000"/>
                <w:sz w:val="24"/>
                <w:szCs w:val="24"/>
                <w:lang w:val="en-US" w:eastAsia="zh-CN"/>
              </w:rPr>
              <w:t xml:space="preserve"> </w:t>
            </w:r>
            <w:r w:rsidRPr="006A52C0">
              <w:rPr>
                <w:rFonts w:ascii="Book Antiqua" w:hAnsi="Book Antiqua" w:cs="宋体"/>
                <w:b/>
                <w:bCs/>
                <w:i/>
                <w:color w:val="000000"/>
                <w:sz w:val="24"/>
                <w:szCs w:val="24"/>
                <w:lang w:val="en-US" w:eastAsia="zh-CN"/>
              </w:rPr>
              <w:t>et al</w:t>
            </w:r>
            <w:r w:rsidRPr="000B641D">
              <w:rPr>
                <w:rFonts w:ascii="Book Antiqua" w:hAnsi="Book Antiqua" w:cs="宋体"/>
                <w:b/>
                <w:bCs/>
                <w:color w:val="000000"/>
                <w:sz w:val="24"/>
                <w:szCs w:val="24"/>
                <w:vertAlign w:val="superscript"/>
                <w:lang w:val="en-US" w:eastAsia="zh-CN"/>
              </w:rPr>
              <w:t>[11]</w:t>
            </w:r>
          </w:p>
        </w:tc>
        <w:tc>
          <w:tcPr>
            <w:tcW w:w="2760" w:type="dxa"/>
            <w:tcBorders>
              <w:top w:val="single" w:sz="4" w:space="0" w:color="auto"/>
              <w:bottom w:val="single" w:sz="4" w:space="0" w:color="auto"/>
            </w:tcBorders>
            <w:noWrap/>
            <w:vAlign w:val="center"/>
          </w:tcPr>
          <w:p w:rsidR="00702CE8" w:rsidRPr="000B641D" w:rsidRDefault="00702CE8" w:rsidP="003F752A">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 xml:space="preserve">Lengfelder </w:t>
            </w:r>
            <w:r w:rsidRPr="006A52C0">
              <w:rPr>
                <w:rFonts w:ascii="Book Antiqua" w:hAnsi="Book Antiqua" w:cs="宋体"/>
                <w:b/>
                <w:bCs/>
                <w:i/>
                <w:color w:val="000000"/>
                <w:sz w:val="24"/>
                <w:szCs w:val="24"/>
                <w:lang w:val="en-US" w:eastAsia="zh-CN"/>
              </w:rPr>
              <w:t>et al</w:t>
            </w:r>
            <w:r w:rsidRPr="000B641D">
              <w:rPr>
                <w:rFonts w:ascii="Book Antiqua" w:hAnsi="Book Antiqua" w:cs="宋体"/>
                <w:b/>
                <w:bCs/>
                <w:color w:val="000000"/>
                <w:sz w:val="24"/>
                <w:szCs w:val="24"/>
                <w:vertAlign w:val="superscript"/>
                <w:lang w:val="en-US" w:eastAsia="zh-CN"/>
              </w:rPr>
              <w:t>[30]</w:t>
            </w:r>
          </w:p>
        </w:tc>
        <w:tc>
          <w:tcPr>
            <w:tcW w:w="360" w:type="dxa"/>
            <w:tcBorders>
              <w:top w:val="single" w:sz="4" w:space="0" w:color="auto"/>
              <w:bottom w:val="single" w:sz="4" w:space="0" w:color="auto"/>
            </w:tcBorders>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tcBorders>
              <w:top w:val="single" w:sz="4" w:space="0" w:color="auto"/>
              <w:bottom w:val="single" w:sz="4" w:space="0" w:color="auto"/>
            </w:tcBorders>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5B27E0">
        <w:trPr>
          <w:trHeight w:val="330"/>
        </w:trPr>
        <w:tc>
          <w:tcPr>
            <w:tcW w:w="2744" w:type="dxa"/>
            <w:tcBorders>
              <w:top w:val="single" w:sz="4" w:space="0" w:color="auto"/>
            </w:tcBorders>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Type of study</w:t>
            </w:r>
          </w:p>
        </w:tc>
        <w:tc>
          <w:tcPr>
            <w:tcW w:w="2320" w:type="dxa"/>
            <w:tcBorders>
              <w:top w:val="single" w:sz="4" w:space="0" w:color="auto"/>
            </w:tcBorders>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Prospective 1975-85</w:t>
            </w:r>
          </w:p>
        </w:tc>
        <w:tc>
          <w:tcPr>
            <w:tcW w:w="2760" w:type="dxa"/>
            <w:tcBorders>
              <w:top w:val="single" w:sz="4" w:space="0" w:color="auto"/>
            </w:tcBorders>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Retrospective 1975-1995</w:t>
            </w:r>
          </w:p>
        </w:tc>
        <w:tc>
          <w:tcPr>
            <w:tcW w:w="360" w:type="dxa"/>
            <w:tcBorders>
              <w:top w:val="single" w:sz="4" w:space="0" w:color="auto"/>
            </w:tcBorders>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tcBorders>
              <w:top w:val="single" w:sz="4" w:space="0" w:color="auto"/>
            </w:tcBorders>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5B27E0">
        <w:trPr>
          <w:trHeight w:val="33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fr-FR" w:eastAsia="zh-CN"/>
              </w:rPr>
              <w:t>Diagnosis ET</w:t>
            </w:r>
          </w:p>
        </w:tc>
        <w:tc>
          <w:tcPr>
            <w:tcW w:w="232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TVSG criteria</w:t>
            </w:r>
          </w:p>
        </w:tc>
        <w:tc>
          <w:tcPr>
            <w:tcW w:w="276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 xml:space="preserve">PVSG criteria </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5B27E0">
        <w:trPr>
          <w:trHeight w:val="132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fr-FR" w:eastAsia="zh-CN"/>
              </w:rPr>
              <w:t>Inclusion criterion</w:t>
            </w:r>
          </w:p>
        </w:tc>
        <w:tc>
          <w:tcPr>
            <w:tcW w:w="232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ET</w:t>
            </w:r>
          </w:p>
        </w:tc>
        <w:tc>
          <w:tcPr>
            <w:tcW w:w="276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ET</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Tentative diagnosis</w:t>
            </w:r>
          </w:p>
        </w:tc>
      </w:tr>
      <w:tr w:rsidR="00702CE8" w:rsidRPr="00DD0EC2" w:rsidTr="000B641D">
        <w:trPr>
          <w:trHeight w:val="72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 xml:space="preserve">Platelet count </w:t>
            </w:r>
            <w:r w:rsidRPr="00DD0EC2">
              <w:rPr>
                <w:rFonts w:ascii="Book Antiqua" w:hAnsi="Book Antiqua"/>
                <w:b/>
                <w:sz w:val="24"/>
                <w:szCs w:val="24"/>
              </w:rPr>
              <w:t>×</w:t>
            </w:r>
            <w:r w:rsidRPr="00DD0EC2">
              <w:rPr>
                <w:rFonts w:ascii="Book Antiqua" w:hAnsi="Book Antiqua"/>
                <w:sz w:val="24"/>
                <w:szCs w:val="24"/>
                <w:lang w:eastAsia="zh-CN"/>
              </w:rPr>
              <w:t xml:space="preserve"> </w:t>
            </w:r>
            <w:r w:rsidRPr="000B641D">
              <w:rPr>
                <w:rFonts w:ascii="Book Antiqua" w:hAnsi="Book Antiqua" w:cs="宋体"/>
                <w:b/>
                <w:bCs/>
                <w:color w:val="000000"/>
                <w:sz w:val="24"/>
                <w:szCs w:val="24"/>
                <w:lang w:val="en-GB" w:eastAsia="zh-CN"/>
              </w:rPr>
              <w:t>10</w:t>
            </w:r>
            <w:r w:rsidRPr="000B641D">
              <w:rPr>
                <w:rFonts w:ascii="Book Antiqua" w:hAnsi="Book Antiqua" w:cs="宋体"/>
                <w:b/>
                <w:bCs/>
                <w:color w:val="000000"/>
                <w:sz w:val="24"/>
                <w:szCs w:val="24"/>
                <w:vertAlign w:val="superscript"/>
                <w:lang w:val="en-GB" w:eastAsia="zh-CN"/>
              </w:rPr>
              <w:t>9</w:t>
            </w:r>
            <w:r w:rsidRPr="000B641D">
              <w:rPr>
                <w:rFonts w:ascii="Book Antiqua" w:hAnsi="Book Antiqua" w:cs="宋体"/>
                <w:b/>
                <w:bCs/>
                <w:color w:val="000000"/>
                <w:sz w:val="24"/>
                <w:szCs w:val="24"/>
                <w:lang w:val="en-GB" w:eastAsia="zh-CN"/>
              </w:rPr>
              <w:t>/L</w:t>
            </w:r>
          </w:p>
        </w:tc>
        <w:tc>
          <w:tcPr>
            <w:tcW w:w="232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&gt;400</w:t>
            </w:r>
          </w:p>
        </w:tc>
        <w:tc>
          <w:tcPr>
            <w:tcW w:w="276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&gt;350</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WHO-ECMP</w:t>
            </w:r>
            <w:r w:rsidRPr="000B641D">
              <w:rPr>
                <w:rFonts w:ascii="Book Antiqua" w:hAnsi="Book Antiqua" w:cs="宋体"/>
                <w:b/>
                <w:bCs/>
                <w:color w:val="000000"/>
                <w:sz w:val="24"/>
                <w:szCs w:val="24"/>
                <w:vertAlign w:val="superscript"/>
                <w:lang w:val="en-US" w:eastAsia="zh-CN"/>
              </w:rPr>
              <w:t>9</w:t>
            </w:r>
          </w:p>
        </w:tc>
      </w:tr>
      <w:tr w:rsidR="00702CE8" w:rsidRPr="00DD0EC2" w:rsidTr="000B641D">
        <w:trPr>
          <w:trHeight w:val="66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Number of ET patients</w:t>
            </w:r>
          </w:p>
        </w:tc>
        <w:tc>
          <w:tcPr>
            <w:tcW w:w="232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30</w:t>
            </w:r>
          </w:p>
        </w:tc>
        <w:tc>
          <w:tcPr>
            <w:tcW w:w="276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143</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72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 xml:space="preserve">Platelets </w:t>
            </w:r>
            <w:r w:rsidRPr="00DD0EC2">
              <w:rPr>
                <w:rFonts w:ascii="Book Antiqua" w:hAnsi="Book Antiqua"/>
                <w:sz w:val="24"/>
                <w:szCs w:val="24"/>
              </w:rPr>
              <w:t>×</w:t>
            </w:r>
            <w:r w:rsidRPr="00DD0EC2">
              <w:rPr>
                <w:rFonts w:ascii="Book Antiqua" w:hAnsi="Book Antiqua"/>
                <w:sz w:val="24"/>
                <w:szCs w:val="24"/>
                <w:lang w:eastAsia="zh-CN"/>
              </w:rPr>
              <w:t xml:space="preserve"> </w:t>
            </w:r>
            <w:r w:rsidRPr="000B641D">
              <w:rPr>
                <w:rFonts w:ascii="Book Antiqua" w:hAnsi="Book Antiqua" w:cs="宋体"/>
                <w:b/>
                <w:bCs/>
                <w:color w:val="000000"/>
                <w:sz w:val="24"/>
                <w:szCs w:val="24"/>
                <w:lang w:val="en-GB" w:eastAsia="zh-CN"/>
              </w:rPr>
              <w:t>10</w:t>
            </w:r>
            <w:r w:rsidRPr="000B641D">
              <w:rPr>
                <w:rFonts w:ascii="Book Antiqua" w:hAnsi="Book Antiqua" w:cs="宋体"/>
                <w:b/>
                <w:bCs/>
                <w:color w:val="000000"/>
                <w:sz w:val="24"/>
                <w:szCs w:val="24"/>
                <w:vertAlign w:val="superscript"/>
                <w:lang w:val="en-GB" w:eastAsia="zh-CN"/>
              </w:rPr>
              <w:t>9</w:t>
            </w:r>
            <w:r w:rsidRPr="000B641D">
              <w:rPr>
                <w:rFonts w:ascii="Book Antiqua" w:hAnsi="Book Antiqua" w:cs="宋体"/>
                <w:b/>
                <w:bCs/>
                <w:color w:val="000000"/>
                <w:sz w:val="24"/>
                <w:szCs w:val="24"/>
                <w:lang w:val="en-GB" w:eastAsia="zh-CN"/>
              </w:rPr>
              <w:t>/L range</w:t>
            </w:r>
          </w:p>
        </w:tc>
        <w:tc>
          <w:tcPr>
            <w:tcW w:w="232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420-1500</w:t>
            </w:r>
          </w:p>
        </w:tc>
        <w:tc>
          <w:tcPr>
            <w:tcW w:w="276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&lt;350-&gt;2000</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630"/>
        </w:trPr>
        <w:tc>
          <w:tcPr>
            <w:tcW w:w="2744"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GB" w:eastAsia="zh-CN"/>
              </w:rPr>
              <w:t>Below 600</w:t>
            </w:r>
          </w:p>
        </w:tc>
        <w:tc>
          <w:tcPr>
            <w:tcW w:w="232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13%</w:t>
            </w:r>
          </w:p>
        </w:tc>
        <w:tc>
          <w:tcPr>
            <w:tcW w:w="276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29%</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 xml:space="preserve">Early latent ET </w:t>
            </w:r>
          </w:p>
        </w:tc>
      </w:tr>
      <w:tr w:rsidR="00702CE8" w:rsidRPr="00DD0EC2" w:rsidTr="000B641D">
        <w:trPr>
          <w:trHeight w:val="630"/>
        </w:trPr>
        <w:tc>
          <w:tcPr>
            <w:tcW w:w="2744"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GB" w:eastAsia="zh-CN"/>
              </w:rPr>
              <w:t>Between 600-1000</w:t>
            </w:r>
          </w:p>
        </w:tc>
        <w:tc>
          <w:tcPr>
            <w:tcW w:w="232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54%</w:t>
            </w:r>
          </w:p>
        </w:tc>
        <w:tc>
          <w:tcPr>
            <w:tcW w:w="276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45%</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Fits with ET</w:t>
            </w:r>
          </w:p>
        </w:tc>
      </w:tr>
      <w:tr w:rsidR="00702CE8" w:rsidRPr="00DD0EC2" w:rsidTr="000B641D">
        <w:trPr>
          <w:trHeight w:val="630"/>
        </w:trPr>
        <w:tc>
          <w:tcPr>
            <w:tcW w:w="2744"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GB" w:eastAsia="zh-CN"/>
              </w:rPr>
              <w:lastRenderedPageBreak/>
              <w:t>Above 1000</w:t>
            </w:r>
          </w:p>
        </w:tc>
        <w:tc>
          <w:tcPr>
            <w:tcW w:w="232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33%</w:t>
            </w:r>
          </w:p>
        </w:tc>
        <w:tc>
          <w:tcPr>
            <w:tcW w:w="276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26%</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Fits with ET</w:t>
            </w:r>
          </w:p>
        </w:tc>
      </w:tr>
      <w:tr w:rsidR="00702CE8" w:rsidRPr="00DD0EC2" w:rsidTr="000B641D">
        <w:trPr>
          <w:trHeight w:val="33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 xml:space="preserve">Leukocytes </w:t>
            </w:r>
          </w:p>
        </w:tc>
        <w:tc>
          <w:tcPr>
            <w:tcW w:w="232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7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39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 xml:space="preserve"> </w:t>
            </w:r>
            <w:r w:rsidRPr="000B641D">
              <w:rPr>
                <w:rFonts w:ascii="Book Antiqua" w:hAnsi="Book Antiqua" w:cs="宋体"/>
                <w:color w:val="000000"/>
                <w:sz w:val="24"/>
                <w:szCs w:val="24"/>
                <w:lang w:val="en-GB" w:eastAsia="zh-CN"/>
              </w:rPr>
              <w:t>Above 12</w:t>
            </w:r>
            <w:r>
              <w:rPr>
                <w:rFonts w:ascii="Book Antiqua" w:hAnsi="Book Antiqua" w:cs="宋体"/>
                <w:color w:val="000000"/>
                <w:sz w:val="24"/>
                <w:szCs w:val="24"/>
                <w:lang w:val="en-GB" w:eastAsia="zh-CN"/>
              </w:rPr>
              <w:t xml:space="preserve"> </w:t>
            </w:r>
            <w:bookmarkStart w:id="13" w:name="OLE_LINK50"/>
            <w:bookmarkStart w:id="14" w:name="OLE_LINK51"/>
            <w:r w:rsidRPr="00DD0EC2">
              <w:rPr>
                <w:rFonts w:ascii="Book Antiqua" w:hAnsi="Book Antiqua"/>
                <w:sz w:val="24"/>
                <w:szCs w:val="24"/>
              </w:rPr>
              <w:t>×</w:t>
            </w:r>
            <w:bookmarkEnd w:id="13"/>
            <w:bookmarkEnd w:id="14"/>
            <w:r w:rsidRPr="00DD0EC2">
              <w:rPr>
                <w:rFonts w:ascii="Book Antiqua" w:hAnsi="Book Antiqua"/>
                <w:sz w:val="24"/>
                <w:szCs w:val="24"/>
                <w:lang w:eastAsia="zh-CN"/>
              </w:rPr>
              <w:t xml:space="preserve"> </w:t>
            </w:r>
            <w:r w:rsidRPr="000B641D">
              <w:rPr>
                <w:rFonts w:ascii="Book Antiqua" w:hAnsi="Book Antiqua" w:cs="宋体"/>
                <w:color w:val="000000"/>
                <w:sz w:val="24"/>
                <w:szCs w:val="24"/>
                <w:lang w:val="en-GB" w:eastAsia="zh-CN"/>
              </w:rPr>
              <w:t>10</w:t>
            </w:r>
            <w:r w:rsidRPr="000B641D">
              <w:rPr>
                <w:rFonts w:ascii="Book Antiqua" w:hAnsi="Book Antiqua" w:cs="宋体"/>
                <w:color w:val="000000"/>
                <w:sz w:val="24"/>
                <w:szCs w:val="24"/>
                <w:vertAlign w:val="superscript"/>
                <w:lang w:val="en-GB" w:eastAsia="zh-CN"/>
              </w:rPr>
              <w:t>9</w:t>
            </w:r>
            <w:r w:rsidRPr="000B641D">
              <w:rPr>
                <w:rFonts w:ascii="Book Antiqua" w:hAnsi="Book Antiqua" w:cs="宋体"/>
                <w:color w:val="000000"/>
                <w:sz w:val="24"/>
                <w:szCs w:val="24"/>
                <w:lang w:val="en-GB" w:eastAsia="zh-CN"/>
              </w:rPr>
              <w:t xml:space="preserve">/L </w:t>
            </w:r>
          </w:p>
        </w:tc>
        <w:tc>
          <w:tcPr>
            <w:tcW w:w="232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10%</w:t>
            </w:r>
          </w:p>
        </w:tc>
        <w:tc>
          <w:tcPr>
            <w:tcW w:w="276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51%</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33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Hemoglobin</w:t>
            </w:r>
          </w:p>
        </w:tc>
        <w:tc>
          <w:tcPr>
            <w:tcW w:w="232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7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315"/>
        </w:trPr>
        <w:tc>
          <w:tcPr>
            <w:tcW w:w="2744"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GB" w:eastAsia="zh-CN"/>
              </w:rPr>
              <w:t>Below 16 g</w:t>
            </w:r>
            <w:r>
              <w:rPr>
                <w:rFonts w:ascii="Book Antiqua" w:hAnsi="Book Antiqua" w:cs="宋体"/>
                <w:color w:val="000000"/>
                <w:sz w:val="24"/>
                <w:szCs w:val="24"/>
                <w:lang w:val="en-GB" w:eastAsia="zh-CN"/>
              </w:rPr>
              <w:t>/dL</w:t>
            </w:r>
          </w:p>
        </w:tc>
        <w:tc>
          <w:tcPr>
            <w:tcW w:w="232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w:t>
            </w:r>
          </w:p>
        </w:tc>
        <w:tc>
          <w:tcPr>
            <w:tcW w:w="276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80%</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315"/>
        </w:trPr>
        <w:tc>
          <w:tcPr>
            <w:tcW w:w="2744"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GB" w:eastAsia="zh-CN"/>
              </w:rPr>
              <w:t>Below 17 g</w:t>
            </w:r>
            <w:r>
              <w:rPr>
                <w:rFonts w:ascii="Book Antiqua" w:hAnsi="Book Antiqua" w:cs="宋体"/>
                <w:color w:val="000000"/>
                <w:sz w:val="24"/>
                <w:szCs w:val="24"/>
                <w:lang w:val="en-GB" w:eastAsia="zh-CN"/>
              </w:rPr>
              <w:t>/dL</w:t>
            </w:r>
          </w:p>
        </w:tc>
        <w:tc>
          <w:tcPr>
            <w:tcW w:w="232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w:t>
            </w:r>
          </w:p>
        </w:tc>
        <w:tc>
          <w:tcPr>
            <w:tcW w:w="276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100%</w:t>
            </w:r>
          </w:p>
        </w:tc>
        <w:tc>
          <w:tcPr>
            <w:tcW w:w="36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w:t>
            </w: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630"/>
        </w:trPr>
        <w:tc>
          <w:tcPr>
            <w:tcW w:w="2744"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GB" w:eastAsia="zh-CN"/>
              </w:rPr>
              <w:t>Above 16 g</w:t>
            </w:r>
            <w:r>
              <w:rPr>
                <w:rFonts w:ascii="Book Antiqua" w:hAnsi="Book Antiqua" w:cs="宋体"/>
                <w:color w:val="000000"/>
                <w:sz w:val="24"/>
                <w:szCs w:val="24"/>
                <w:lang w:val="en-GB" w:eastAsia="zh-CN"/>
              </w:rPr>
              <w:t>/dL</w:t>
            </w:r>
          </w:p>
        </w:tc>
        <w:tc>
          <w:tcPr>
            <w:tcW w:w="232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w:t>
            </w:r>
          </w:p>
        </w:tc>
        <w:tc>
          <w:tcPr>
            <w:tcW w:w="276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20%</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Fits with PV</w:t>
            </w:r>
          </w:p>
        </w:tc>
      </w:tr>
      <w:tr w:rsidR="00702CE8" w:rsidRPr="00DD0EC2" w:rsidTr="000B641D">
        <w:trPr>
          <w:trHeight w:val="33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Splenomegaly</w:t>
            </w:r>
          </w:p>
        </w:tc>
        <w:tc>
          <w:tcPr>
            <w:tcW w:w="232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7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315"/>
        </w:trPr>
        <w:tc>
          <w:tcPr>
            <w:tcW w:w="2744"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GB" w:eastAsia="zh-CN"/>
              </w:rPr>
              <w:t>No</w:t>
            </w:r>
          </w:p>
        </w:tc>
        <w:tc>
          <w:tcPr>
            <w:tcW w:w="232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63%</w:t>
            </w:r>
          </w:p>
        </w:tc>
        <w:tc>
          <w:tcPr>
            <w:tcW w:w="276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56%</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315"/>
        </w:trPr>
        <w:tc>
          <w:tcPr>
            <w:tcW w:w="2744"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GB" w:eastAsia="zh-CN"/>
              </w:rPr>
              <w:t>Yes</w:t>
            </w:r>
          </w:p>
        </w:tc>
        <w:tc>
          <w:tcPr>
            <w:tcW w:w="232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37%</w:t>
            </w:r>
          </w:p>
        </w:tc>
        <w:tc>
          <w:tcPr>
            <w:tcW w:w="276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44%</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66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Spleen size on echogram</w:t>
            </w:r>
          </w:p>
        </w:tc>
        <w:tc>
          <w:tcPr>
            <w:tcW w:w="232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7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630"/>
        </w:trPr>
        <w:tc>
          <w:tcPr>
            <w:tcW w:w="2744"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F40313">
              <w:rPr>
                <w:rFonts w:ascii="Book Antiqua" w:hAnsi="Book Antiqua" w:cs="宋体"/>
                <w:i/>
                <w:color w:val="000000"/>
                <w:sz w:val="24"/>
                <w:szCs w:val="24"/>
                <w:lang w:val="en-GB" w:eastAsia="zh-CN"/>
              </w:rPr>
              <w:t>n</w:t>
            </w:r>
            <w:r w:rsidRPr="000B641D">
              <w:rPr>
                <w:rFonts w:ascii="Book Antiqua" w:hAnsi="Book Antiqua" w:cs="宋体"/>
                <w:color w:val="000000"/>
                <w:sz w:val="24"/>
                <w:szCs w:val="24"/>
                <w:lang w:val="en-GB" w:eastAsia="zh-CN"/>
              </w:rPr>
              <w:t>&lt;12 / 12-15 / &gt;15 cm</w:t>
            </w:r>
          </w:p>
        </w:tc>
        <w:tc>
          <w:tcPr>
            <w:tcW w:w="2320" w:type="dxa"/>
            <w:noWrap/>
            <w:vAlign w:val="center"/>
          </w:tcPr>
          <w:p w:rsidR="00702CE8" w:rsidRPr="000B641D" w:rsidRDefault="00702CE8" w:rsidP="00AC3FB8">
            <w:pPr>
              <w:spacing w:after="0" w:line="240" w:lineRule="auto"/>
              <w:jc w:val="both"/>
              <w:rPr>
                <w:rFonts w:ascii="Book Antiqua" w:hAnsi="Book Antiqua" w:cs="宋体"/>
                <w:color w:val="000000"/>
                <w:sz w:val="24"/>
                <w:szCs w:val="24"/>
                <w:lang w:val="en-US" w:eastAsia="zh-CN"/>
              </w:rPr>
            </w:pPr>
            <w:r w:rsidRPr="000B641D">
              <w:rPr>
                <w:rFonts w:ascii="Book Antiqua" w:hAnsi="Book Antiqua" w:cs="宋体"/>
                <w:color w:val="000000"/>
                <w:sz w:val="24"/>
                <w:szCs w:val="24"/>
                <w:lang w:val="en-US" w:eastAsia="zh-CN"/>
              </w:rPr>
              <w:t>2019/8/3</w:t>
            </w:r>
          </w:p>
        </w:tc>
        <w:tc>
          <w:tcPr>
            <w:tcW w:w="276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66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Bone marrow biopsy</w:t>
            </w:r>
          </w:p>
        </w:tc>
        <w:tc>
          <w:tcPr>
            <w:tcW w:w="232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7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66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Normal cellularity</w:t>
            </w:r>
          </w:p>
        </w:tc>
        <w:tc>
          <w:tcPr>
            <w:tcW w:w="232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17 (57%)</w:t>
            </w:r>
          </w:p>
        </w:tc>
        <w:tc>
          <w:tcPr>
            <w:tcW w:w="276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52%</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Fits with true ET</w:t>
            </w:r>
          </w:p>
        </w:tc>
      </w:tr>
      <w:tr w:rsidR="00702CE8" w:rsidRPr="00DD0EC2" w:rsidTr="000B641D">
        <w:trPr>
          <w:trHeight w:val="33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Increased cellularity</w:t>
            </w:r>
          </w:p>
        </w:tc>
        <w:tc>
          <w:tcPr>
            <w:tcW w:w="232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13 (43%)</w:t>
            </w:r>
          </w:p>
        </w:tc>
        <w:tc>
          <w:tcPr>
            <w:tcW w:w="276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60%</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bottom"/>
          </w:tcPr>
          <w:p w:rsidR="00702CE8" w:rsidRPr="000B641D" w:rsidRDefault="00702CE8" w:rsidP="00AC3FB8">
            <w:pPr>
              <w:spacing w:after="0" w:line="240" w:lineRule="auto"/>
              <w:jc w:val="both"/>
              <w:rPr>
                <w:rFonts w:ascii="宋体" w:cs="宋体"/>
                <w:color w:val="000000"/>
                <w:lang w:val="en-US" w:eastAsia="zh-CN"/>
              </w:rPr>
            </w:pPr>
          </w:p>
        </w:tc>
      </w:tr>
      <w:tr w:rsidR="00702CE8" w:rsidRPr="00DD0EC2" w:rsidTr="000B641D">
        <w:trPr>
          <w:trHeight w:val="66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Increased erythropiesis</w:t>
            </w:r>
          </w:p>
        </w:tc>
        <w:tc>
          <w:tcPr>
            <w:tcW w:w="232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13 (43%)</w:t>
            </w:r>
          </w:p>
        </w:tc>
        <w:tc>
          <w:tcPr>
            <w:tcW w:w="276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17%</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Fits with early PV</w:t>
            </w:r>
          </w:p>
        </w:tc>
      </w:tr>
      <w:tr w:rsidR="00702CE8" w:rsidRPr="00DD0EC2" w:rsidTr="000B641D">
        <w:trPr>
          <w:trHeight w:val="660"/>
        </w:trPr>
        <w:tc>
          <w:tcPr>
            <w:tcW w:w="2744"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Increased granulopiesis</w:t>
            </w:r>
          </w:p>
        </w:tc>
        <w:tc>
          <w:tcPr>
            <w:tcW w:w="232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0</w:t>
            </w:r>
          </w:p>
        </w:tc>
        <w:tc>
          <w:tcPr>
            <w:tcW w:w="2760"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45%</w:t>
            </w:r>
          </w:p>
        </w:tc>
        <w:tc>
          <w:tcPr>
            <w:tcW w:w="360" w:type="dxa"/>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Fits with CMGM</w:t>
            </w:r>
          </w:p>
        </w:tc>
      </w:tr>
      <w:tr w:rsidR="00702CE8" w:rsidRPr="00DD0EC2" w:rsidTr="005B27E0">
        <w:trPr>
          <w:trHeight w:val="330"/>
        </w:trPr>
        <w:tc>
          <w:tcPr>
            <w:tcW w:w="2744" w:type="dxa"/>
            <w:tcBorders>
              <w:bottom w:val="single" w:sz="4" w:space="0" w:color="auto"/>
            </w:tcBorders>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GB" w:eastAsia="zh-CN"/>
              </w:rPr>
              <w:t>Myelofibrosis</w:t>
            </w:r>
          </w:p>
        </w:tc>
        <w:tc>
          <w:tcPr>
            <w:tcW w:w="2320" w:type="dxa"/>
            <w:tcBorders>
              <w:bottom w:val="single" w:sz="4" w:space="0" w:color="auto"/>
            </w:tcBorders>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No</w:t>
            </w:r>
          </w:p>
        </w:tc>
        <w:tc>
          <w:tcPr>
            <w:tcW w:w="2760" w:type="dxa"/>
            <w:tcBorders>
              <w:bottom w:val="single" w:sz="4" w:space="0" w:color="auto"/>
            </w:tcBorders>
            <w:noWrap/>
            <w:vAlign w:val="center"/>
          </w:tcPr>
          <w:p w:rsidR="00702CE8" w:rsidRPr="000B641D" w:rsidRDefault="00702CE8" w:rsidP="00AC3FB8">
            <w:pPr>
              <w:spacing w:after="0" w:line="240" w:lineRule="auto"/>
              <w:jc w:val="both"/>
              <w:rPr>
                <w:rFonts w:ascii="Book Antiqua" w:hAnsi="Book Antiqua" w:cs="宋体"/>
                <w:b/>
                <w:bCs/>
                <w:color w:val="000000"/>
                <w:sz w:val="24"/>
                <w:szCs w:val="24"/>
                <w:lang w:val="en-US" w:eastAsia="zh-CN"/>
              </w:rPr>
            </w:pPr>
            <w:r w:rsidRPr="000B641D">
              <w:rPr>
                <w:rFonts w:ascii="Book Antiqua" w:hAnsi="Book Antiqua" w:cs="宋体"/>
                <w:b/>
                <w:bCs/>
                <w:color w:val="000000"/>
                <w:sz w:val="24"/>
                <w:szCs w:val="24"/>
                <w:lang w:val="en-US" w:eastAsia="zh-CN"/>
              </w:rPr>
              <w:t>No</w:t>
            </w:r>
          </w:p>
        </w:tc>
        <w:tc>
          <w:tcPr>
            <w:tcW w:w="360" w:type="dxa"/>
            <w:tcBorders>
              <w:bottom w:val="single" w:sz="4" w:space="0" w:color="auto"/>
            </w:tcBorders>
            <w:noWrap/>
            <w:vAlign w:val="bottom"/>
          </w:tcPr>
          <w:p w:rsidR="00702CE8" w:rsidRPr="000B641D" w:rsidRDefault="00702CE8" w:rsidP="00AC3FB8">
            <w:pPr>
              <w:spacing w:after="0" w:line="240" w:lineRule="auto"/>
              <w:jc w:val="both"/>
              <w:rPr>
                <w:rFonts w:ascii="宋体" w:cs="宋体"/>
                <w:color w:val="000000"/>
                <w:lang w:val="en-US" w:eastAsia="zh-CN"/>
              </w:rPr>
            </w:pPr>
          </w:p>
        </w:tc>
        <w:tc>
          <w:tcPr>
            <w:tcW w:w="2183" w:type="dxa"/>
            <w:tcBorders>
              <w:bottom w:val="single" w:sz="4" w:space="0" w:color="auto"/>
            </w:tcBorders>
            <w:noWrap/>
            <w:vAlign w:val="bottom"/>
          </w:tcPr>
          <w:p w:rsidR="00702CE8" w:rsidRPr="000B641D" w:rsidRDefault="00702CE8" w:rsidP="00AC3FB8">
            <w:pPr>
              <w:spacing w:after="0" w:line="240" w:lineRule="auto"/>
              <w:jc w:val="both"/>
              <w:rPr>
                <w:rFonts w:ascii="宋体" w:cs="宋体"/>
                <w:color w:val="000000"/>
                <w:lang w:val="en-US" w:eastAsia="zh-CN"/>
              </w:rPr>
            </w:pPr>
          </w:p>
        </w:tc>
      </w:tr>
    </w:tbl>
    <w:p w:rsidR="00702CE8" w:rsidRDefault="00702CE8" w:rsidP="00AC3FB8">
      <w:pPr>
        <w:suppressAutoHyphens/>
        <w:autoSpaceDN w:val="0"/>
        <w:spacing w:after="0" w:line="360" w:lineRule="auto"/>
        <w:jc w:val="both"/>
        <w:rPr>
          <w:rFonts w:ascii="Book Antiqua" w:hAnsi="Book Antiqua"/>
          <w:sz w:val="24"/>
          <w:szCs w:val="24"/>
          <w:lang w:val="en-US" w:eastAsia="zh-CN"/>
        </w:rPr>
      </w:pPr>
    </w:p>
    <w:p w:rsidR="00702CE8" w:rsidRDefault="00702CE8" w:rsidP="00AC3FB8">
      <w:pPr>
        <w:jc w:val="both"/>
        <w:rPr>
          <w:rFonts w:ascii="Book Antiqua" w:hAnsi="Book Antiqua"/>
          <w:sz w:val="24"/>
          <w:szCs w:val="24"/>
          <w:lang w:val="en-GB" w:eastAsia="zh-CN"/>
        </w:rPr>
      </w:pPr>
      <w:r w:rsidRPr="00224D3A">
        <w:rPr>
          <w:rFonts w:ascii="Book Antiqua" w:hAnsi="Book Antiqua"/>
          <w:sz w:val="24"/>
          <w:szCs w:val="24"/>
          <w:lang w:val="en-US" w:eastAsia="zh-CN"/>
        </w:rPr>
        <w:t>Essential thrombocythemia (ET)</w:t>
      </w:r>
      <w:r w:rsidRPr="000B641D">
        <w:rPr>
          <w:rFonts w:ascii="Book Antiqua" w:hAnsi="Book Antiqua"/>
          <w:sz w:val="24"/>
          <w:szCs w:val="24"/>
        </w:rPr>
        <w:t xml:space="preserve"> according to PVSG criteria appears to be a spectrum of normocellular ET, prodromal </w:t>
      </w:r>
      <w:r w:rsidRPr="00CC3D0A">
        <w:rPr>
          <w:rFonts w:ascii="Book Antiqua" w:eastAsia="MS Mincho" w:hAnsi="Book Antiqua"/>
          <w:sz w:val="24"/>
          <w:szCs w:val="24"/>
          <w:lang w:val="en-GB" w:eastAsia="ja-JP"/>
        </w:rPr>
        <w:t>polycythemia vera (PV)</w:t>
      </w:r>
      <w:r>
        <w:rPr>
          <w:rFonts w:ascii="Book Antiqua" w:hAnsi="Book Antiqua"/>
          <w:sz w:val="24"/>
          <w:szCs w:val="24"/>
          <w:lang w:val="en-GB" w:eastAsia="zh-CN"/>
        </w:rPr>
        <w:t xml:space="preserve"> </w:t>
      </w:r>
      <w:r w:rsidRPr="000B641D">
        <w:rPr>
          <w:rFonts w:ascii="Book Antiqua" w:hAnsi="Book Antiqua"/>
          <w:sz w:val="24"/>
          <w:szCs w:val="24"/>
        </w:rPr>
        <w:t xml:space="preserve">and </w:t>
      </w:r>
      <w:r w:rsidRPr="00CC3D0A">
        <w:rPr>
          <w:rFonts w:ascii="Book Antiqua" w:eastAsia="MS Mincho" w:hAnsi="Book Antiqua"/>
          <w:sz w:val="24"/>
          <w:szCs w:val="24"/>
          <w:lang w:val="en-GB" w:eastAsia="ja-JP"/>
        </w:rPr>
        <w:t>ET due to megakaryocytic, granulocytic myeloproliferation (ET.MGM)</w:t>
      </w:r>
      <w:r w:rsidRPr="000B641D">
        <w:rPr>
          <w:rFonts w:ascii="Book Antiqua" w:hAnsi="Book Antiqua"/>
          <w:sz w:val="24"/>
          <w:szCs w:val="24"/>
        </w:rPr>
        <w:t xml:space="preserve"> or ET associated with chronic or primary megakaryocytic granulocytic myeloproliferation (CMGM/PMGM) when diagnostic WHO-ECMP bone marrow features are applied.</w:t>
      </w:r>
      <w:r>
        <w:rPr>
          <w:rFonts w:ascii="Book Antiqua" w:hAnsi="Book Antiqua"/>
          <w:sz w:val="24"/>
          <w:szCs w:val="24"/>
          <w:lang w:eastAsia="zh-CN"/>
        </w:rPr>
        <w:t xml:space="preserve"> </w:t>
      </w:r>
      <w:r w:rsidRPr="00CC3D0A">
        <w:rPr>
          <w:rFonts w:ascii="Book Antiqua" w:eastAsia="MS Mincho" w:hAnsi="Book Antiqua"/>
          <w:sz w:val="24"/>
          <w:szCs w:val="24"/>
          <w:lang w:val="en-GB" w:eastAsia="ja-JP"/>
        </w:rPr>
        <w:t>TVSG</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Thrombocythemia Vera Study Group</w:t>
      </w:r>
      <w:r>
        <w:rPr>
          <w:rFonts w:ascii="Book Antiqua" w:hAnsi="Book Antiqua"/>
          <w:sz w:val="24"/>
          <w:szCs w:val="24"/>
          <w:lang w:val="en-GB" w:eastAsia="zh-CN"/>
        </w:rPr>
        <w:t>.</w:t>
      </w: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sz w:val="24"/>
          <w:szCs w:val="24"/>
          <w:lang w:val="en-GB" w:eastAsia="zh-CN"/>
        </w:rPr>
      </w:pPr>
    </w:p>
    <w:p w:rsidR="00702CE8" w:rsidRDefault="00702CE8" w:rsidP="00AC3FB8">
      <w:pPr>
        <w:jc w:val="both"/>
        <w:rPr>
          <w:rFonts w:ascii="Book Antiqua" w:hAnsi="Book Antiqua"/>
          <w:b/>
          <w:sz w:val="24"/>
          <w:szCs w:val="24"/>
          <w:lang w:eastAsia="zh-CN"/>
        </w:rPr>
      </w:pPr>
      <w:r w:rsidRPr="0011413E">
        <w:rPr>
          <w:rFonts w:ascii="Book Antiqua" w:hAnsi="Book Antiqua"/>
          <w:b/>
          <w:sz w:val="24"/>
          <w:szCs w:val="24"/>
          <w:lang w:eastAsia="zh-CN"/>
        </w:rPr>
        <w:t xml:space="preserve">Table 2 2008 </w:t>
      </w:r>
      <w:r w:rsidRPr="00E11E5E">
        <w:rPr>
          <w:rFonts w:ascii="Book Antiqua" w:hAnsi="Book Antiqua"/>
          <w:b/>
          <w:sz w:val="24"/>
          <w:szCs w:val="24"/>
          <w:lang w:eastAsia="zh-CN"/>
        </w:rPr>
        <w:t>World Health Organization</w:t>
      </w:r>
      <w:r w:rsidRPr="0011413E">
        <w:rPr>
          <w:rFonts w:ascii="Book Antiqua" w:hAnsi="Book Antiqua"/>
          <w:b/>
          <w:sz w:val="24"/>
          <w:szCs w:val="24"/>
          <w:lang w:eastAsia="zh-CN"/>
        </w:rPr>
        <w:t xml:space="preserve"> and European Clinical, Molecular and Pathological</w:t>
      </w:r>
      <w:r>
        <w:rPr>
          <w:rFonts w:ascii="Book Antiqua" w:hAnsi="Book Antiqua"/>
          <w:b/>
          <w:sz w:val="24"/>
          <w:szCs w:val="24"/>
          <w:lang w:eastAsia="zh-CN"/>
        </w:rPr>
        <w:t xml:space="preserve"> </w:t>
      </w:r>
      <w:r w:rsidRPr="0011413E">
        <w:rPr>
          <w:rFonts w:ascii="Book Antiqua" w:hAnsi="Book Antiqua"/>
          <w:b/>
          <w:sz w:val="24"/>
          <w:szCs w:val="24"/>
          <w:lang w:eastAsia="zh-CN"/>
        </w:rPr>
        <w:t>Criteria for the diagnosis and classification of JAK2V617F mutated essential thrombocythemia into 3 stags or phenotypes: important to differentiate because natural history differs</w:t>
      </w:r>
    </w:p>
    <w:tbl>
      <w:tblPr>
        <w:tblW w:w="12380" w:type="dxa"/>
        <w:tblInd w:w="93" w:type="dxa"/>
        <w:tblBorders>
          <w:top w:val="single" w:sz="8" w:space="0" w:color="000000"/>
          <w:bottom w:val="single" w:sz="8" w:space="0" w:color="000000"/>
        </w:tblBorders>
        <w:tblLook w:val="00A0" w:firstRow="1" w:lastRow="0" w:firstColumn="1" w:lastColumn="0" w:noHBand="0" w:noVBand="0"/>
      </w:tblPr>
      <w:tblGrid>
        <w:gridCol w:w="5560"/>
        <w:gridCol w:w="6820"/>
      </w:tblGrid>
      <w:tr w:rsidR="00702CE8" w:rsidRPr="00DD0EC2" w:rsidTr="0011413E">
        <w:trPr>
          <w:trHeight w:val="600"/>
        </w:trPr>
        <w:tc>
          <w:tcPr>
            <w:tcW w:w="5560" w:type="dxa"/>
            <w:tcBorders>
              <w:top w:val="single" w:sz="8" w:space="0" w:color="000000"/>
              <w:bottom w:val="single" w:sz="8" w:space="0" w:color="000000"/>
            </w:tcBorders>
            <w:vAlign w:val="center"/>
          </w:tcPr>
          <w:p w:rsidR="00702CE8" w:rsidRPr="0011413E" w:rsidRDefault="00702CE8" w:rsidP="00AC3FB8">
            <w:pPr>
              <w:spacing w:after="0" w:line="240" w:lineRule="auto"/>
              <w:jc w:val="both"/>
              <w:rPr>
                <w:rFonts w:ascii="Book Antiqua" w:hAnsi="Book Antiqua" w:cs="宋体"/>
                <w:b/>
                <w:bCs/>
                <w:color w:val="000000"/>
                <w:sz w:val="24"/>
                <w:szCs w:val="24"/>
                <w:lang w:val="en-US" w:eastAsia="zh-CN"/>
              </w:rPr>
            </w:pPr>
            <w:r w:rsidRPr="0011413E">
              <w:rPr>
                <w:rFonts w:ascii="Book Antiqua" w:hAnsi="Book Antiqua" w:cs="宋体"/>
                <w:b/>
                <w:bCs/>
                <w:color w:val="000000"/>
                <w:sz w:val="24"/>
                <w:szCs w:val="24"/>
                <w:lang w:val="en-GB" w:eastAsia="zh-CN"/>
              </w:rPr>
              <w:t>Clinical and molecular criteria</w:t>
            </w:r>
          </w:p>
        </w:tc>
        <w:tc>
          <w:tcPr>
            <w:tcW w:w="6820" w:type="dxa"/>
            <w:tcBorders>
              <w:top w:val="single" w:sz="8" w:space="0" w:color="000000"/>
              <w:bottom w:val="single" w:sz="8" w:space="0" w:color="000000"/>
            </w:tcBorders>
            <w:vAlign w:val="center"/>
          </w:tcPr>
          <w:p w:rsidR="00702CE8" w:rsidRPr="0011413E" w:rsidRDefault="00702CE8" w:rsidP="00AC3FB8">
            <w:pPr>
              <w:spacing w:after="0" w:line="240" w:lineRule="auto"/>
              <w:jc w:val="both"/>
              <w:rPr>
                <w:rFonts w:ascii="Book Antiqua" w:hAnsi="Book Antiqua" w:cs="宋体"/>
                <w:b/>
                <w:bCs/>
                <w:color w:val="000000"/>
                <w:sz w:val="24"/>
                <w:szCs w:val="24"/>
                <w:lang w:val="en-US" w:eastAsia="zh-CN"/>
              </w:rPr>
            </w:pPr>
            <w:r w:rsidRPr="0011413E">
              <w:rPr>
                <w:rFonts w:ascii="Book Antiqua" w:hAnsi="Book Antiqua" w:cs="宋体"/>
                <w:b/>
                <w:bCs/>
                <w:color w:val="000000"/>
                <w:sz w:val="24"/>
                <w:szCs w:val="24"/>
                <w:lang w:val="en-GB" w:eastAsia="zh-CN"/>
              </w:rPr>
              <w:t xml:space="preserve">WHO bone marrow criteria </w:t>
            </w:r>
          </w:p>
        </w:tc>
      </w:tr>
      <w:tr w:rsidR="00702CE8" w:rsidRPr="00DD0EC2" w:rsidTr="0011413E">
        <w:trPr>
          <w:trHeight w:val="465"/>
        </w:trPr>
        <w:tc>
          <w:tcPr>
            <w:tcW w:w="5560" w:type="dxa"/>
            <w:tcBorders>
              <w:top w:val="single" w:sz="8" w:space="0" w:color="000000"/>
            </w:tcBorders>
            <w:vAlign w:val="center"/>
          </w:tcPr>
          <w:p w:rsidR="00702CE8" w:rsidRPr="0011413E" w:rsidRDefault="00702CE8" w:rsidP="00AC3FB8">
            <w:pPr>
              <w:spacing w:after="0" w:line="240" w:lineRule="auto"/>
              <w:jc w:val="both"/>
              <w:rPr>
                <w:rFonts w:ascii="Book Antiqua" w:hAnsi="Book Antiqua" w:cs="宋体"/>
                <w:b/>
                <w:bCs/>
                <w:color w:val="000000"/>
                <w:sz w:val="24"/>
                <w:szCs w:val="24"/>
                <w:lang w:val="en-US" w:eastAsia="zh-CN"/>
              </w:rPr>
            </w:pPr>
            <w:r w:rsidRPr="0011413E">
              <w:rPr>
                <w:rFonts w:ascii="Book Antiqua" w:hAnsi="Book Antiqua" w:cs="宋体"/>
                <w:b/>
                <w:bCs/>
                <w:color w:val="000000"/>
                <w:sz w:val="24"/>
                <w:szCs w:val="24"/>
                <w:lang w:val="en-GB" w:eastAsia="zh-CN"/>
              </w:rPr>
              <w:t>ETstage 1</w:t>
            </w:r>
          </w:p>
        </w:tc>
        <w:tc>
          <w:tcPr>
            <w:tcW w:w="6820" w:type="dxa"/>
            <w:tcBorders>
              <w:top w:val="single" w:sz="8" w:space="0" w:color="000000"/>
            </w:tcBorders>
            <w:vAlign w:val="center"/>
          </w:tcPr>
          <w:p w:rsidR="00702CE8" w:rsidRPr="0011413E" w:rsidRDefault="00702CE8" w:rsidP="00AC3FB8">
            <w:pPr>
              <w:spacing w:after="0" w:line="240" w:lineRule="auto"/>
              <w:jc w:val="both"/>
              <w:rPr>
                <w:rFonts w:ascii="Book Antiqua" w:hAnsi="Book Antiqua" w:cs="宋体"/>
                <w:b/>
                <w:bCs/>
                <w:color w:val="000000"/>
                <w:sz w:val="24"/>
                <w:szCs w:val="24"/>
                <w:lang w:val="en-US" w:eastAsia="zh-CN"/>
              </w:rPr>
            </w:pPr>
            <w:r w:rsidRPr="0011413E">
              <w:rPr>
                <w:rFonts w:ascii="Book Antiqua" w:hAnsi="Book Antiqua" w:cs="宋体"/>
                <w:b/>
                <w:bCs/>
                <w:color w:val="000000"/>
                <w:sz w:val="24"/>
                <w:szCs w:val="24"/>
                <w:lang w:val="en-GB" w:eastAsia="zh-CN"/>
              </w:rPr>
              <w:t>Normocellular ET</w:t>
            </w:r>
          </w:p>
        </w:tc>
      </w:tr>
      <w:tr w:rsidR="00702CE8" w:rsidRPr="00DD0EC2" w:rsidTr="0011413E">
        <w:trPr>
          <w:trHeight w:val="1620"/>
        </w:trPr>
        <w:tc>
          <w:tcPr>
            <w:tcW w:w="556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GB" w:eastAsia="zh-CN"/>
              </w:rPr>
              <w:t xml:space="preserve">Platelet count of &gt;350 </w:t>
            </w:r>
            <w:r w:rsidRPr="00DD0EC2">
              <w:rPr>
                <w:rFonts w:ascii="Book Antiqua" w:hAnsi="Book Antiqua"/>
                <w:sz w:val="24"/>
                <w:szCs w:val="24"/>
              </w:rPr>
              <w:t>×</w:t>
            </w:r>
            <w:r w:rsidRPr="00DD0EC2">
              <w:rPr>
                <w:rFonts w:ascii="Book Antiqua" w:hAnsi="Book Antiqua"/>
                <w:sz w:val="24"/>
                <w:szCs w:val="24"/>
                <w:lang w:eastAsia="zh-CN"/>
              </w:rPr>
              <w:t xml:space="preserve"> </w:t>
            </w:r>
            <w:r w:rsidRPr="0011413E">
              <w:rPr>
                <w:rFonts w:ascii="Book Antiqua" w:hAnsi="Book Antiqua" w:cs="宋体"/>
                <w:color w:val="000000"/>
                <w:sz w:val="24"/>
                <w:szCs w:val="24"/>
                <w:lang w:val="en-GB" w:eastAsia="zh-CN"/>
              </w:rPr>
              <w:t>10</w:t>
            </w:r>
            <w:r w:rsidRPr="0011413E">
              <w:rPr>
                <w:rFonts w:ascii="Book Antiqua" w:hAnsi="Book Antiqua" w:cs="宋体"/>
                <w:color w:val="000000"/>
                <w:sz w:val="24"/>
                <w:szCs w:val="24"/>
                <w:vertAlign w:val="superscript"/>
                <w:lang w:val="en-GB" w:eastAsia="zh-CN"/>
              </w:rPr>
              <w:t>9</w:t>
            </w:r>
            <w:r w:rsidRPr="0011413E">
              <w:rPr>
                <w:rFonts w:ascii="Book Antiqua" w:hAnsi="Book Antiqua" w:cs="宋体"/>
                <w:color w:val="000000"/>
                <w:sz w:val="24"/>
                <w:szCs w:val="24"/>
                <w:lang w:val="en-GB" w:eastAsia="zh-CN"/>
              </w:rPr>
              <w:t>/L and the presence of large platelets in a blood smear in all stages of ET</w:t>
            </w:r>
          </w:p>
        </w:tc>
        <w:tc>
          <w:tcPr>
            <w:tcW w:w="682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t>Predominant proliferation of enlarged</w:t>
            </w:r>
            <w:r w:rsidRPr="0011413E">
              <w:rPr>
                <w:rFonts w:ascii="Book Antiqua" w:hAnsi="Book Antiqua" w:cs="宋体"/>
                <w:b/>
                <w:bCs/>
                <w:color w:val="000000"/>
                <w:sz w:val="24"/>
                <w:szCs w:val="24"/>
                <w:lang w:val="en-US" w:eastAsia="zh-CN"/>
              </w:rPr>
              <w:t xml:space="preserve"> </w:t>
            </w:r>
            <w:r w:rsidRPr="0011413E">
              <w:rPr>
                <w:rFonts w:ascii="Book Antiqua" w:hAnsi="Book Antiqua" w:cs="宋体"/>
                <w:color w:val="000000"/>
                <w:sz w:val="24"/>
                <w:szCs w:val="24"/>
                <w:lang w:val="en-US" w:eastAsia="zh-CN"/>
              </w:rPr>
              <w:t>megakaryocytes with hyperlobulated nuclei and mature</w:t>
            </w:r>
            <w:r w:rsidRPr="0011413E">
              <w:rPr>
                <w:rFonts w:ascii="Book Antiqua" w:hAnsi="Book Antiqua" w:cs="宋体"/>
                <w:b/>
                <w:bCs/>
                <w:color w:val="000000"/>
                <w:sz w:val="24"/>
                <w:szCs w:val="24"/>
                <w:lang w:val="en-US" w:eastAsia="zh-CN"/>
              </w:rPr>
              <w:t xml:space="preserve"> </w:t>
            </w:r>
            <w:r w:rsidRPr="0011413E">
              <w:rPr>
                <w:rFonts w:ascii="Book Antiqua" w:hAnsi="Book Antiqua" w:cs="宋体"/>
                <w:color w:val="000000"/>
                <w:sz w:val="24"/>
                <w:szCs w:val="24"/>
                <w:lang w:val="en-US" w:eastAsia="zh-CN"/>
              </w:rPr>
              <w:t>cytoplasm, lacking conspicuous morphological abnormalities. No increase, proliferation or immaturity of granulopoiesis or</w:t>
            </w:r>
            <w:r w:rsidRPr="0011413E">
              <w:rPr>
                <w:rFonts w:ascii="Book Antiqua" w:hAnsi="Book Antiqua" w:cs="宋体"/>
                <w:b/>
                <w:bCs/>
                <w:color w:val="000000"/>
                <w:sz w:val="24"/>
                <w:szCs w:val="24"/>
                <w:lang w:val="en-US" w:eastAsia="zh-CN"/>
              </w:rPr>
              <w:t xml:space="preserve"> </w:t>
            </w:r>
            <w:r w:rsidRPr="0011413E">
              <w:rPr>
                <w:rFonts w:ascii="Book Antiqua" w:hAnsi="Book Antiqua" w:cs="宋体"/>
                <w:color w:val="000000"/>
                <w:sz w:val="24"/>
                <w:szCs w:val="24"/>
                <w:lang w:val="en-US" w:eastAsia="zh-CN"/>
              </w:rPr>
              <w:t xml:space="preserve">erythropoiesis. </w:t>
            </w:r>
          </w:p>
        </w:tc>
      </w:tr>
      <w:tr w:rsidR="00702CE8" w:rsidRPr="00DD0EC2" w:rsidTr="0011413E">
        <w:trPr>
          <w:trHeight w:val="375"/>
        </w:trPr>
        <w:tc>
          <w:tcPr>
            <w:tcW w:w="556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GB" w:eastAsia="zh-CN"/>
              </w:rPr>
              <w:t>Presence of JAK2-</w:t>
            </w:r>
            <w:r w:rsidRPr="0011413E">
              <w:rPr>
                <w:rFonts w:ascii="Book Antiqua" w:hAnsi="Book Antiqua" w:cs="宋体"/>
                <w:color w:val="000000"/>
                <w:sz w:val="24"/>
                <w:szCs w:val="24"/>
                <w:vertAlign w:val="superscript"/>
                <w:lang w:val="en-GB" w:eastAsia="zh-CN"/>
              </w:rPr>
              <w:t>V617F</w:t>
            </w:r>
            <w:r w:rsidRPr="0011413E">
              <w:rPr>
                <w:rFonts w:ascii="Book Antiqua" w:hAnsi="Book Antiqua" w:cs="宋体"/>
                <w:color w:val="000000"/>
                <w:sz w:val="24"/>
                <w:szCs w:val="24"/>
                <w:lang w:val="en-GB" w:eastAsia="zh-CN"/>
              </w:rPr>
              <w:t xml:space="preserve"> </w:t>
            </w:r>
          </w:p>
        </w:tc>
        <w:tc>
          <w:tcPr>
            <w:tcW w:w="682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t>No progre</w:t>
            </w:r>
            <w:r>
              <w:rPr>
                <w:rFonts w:ascii="Book Antiqua" w:hAnsi="Book Antiqua" w:cs="宋体"/>
                <w:color w:val="000000"/>
                <w:sz w:val="24"/>
                <w:szCs w:val="24"/>
                <w:lang w:val="en-US" w:eastAsia="zh-CN"/>
              </w:rPr>
              <w:t>ssion to post-ET myelofibrosis</w:t>
            </w:r>
          </w:p>
        </w:tc>
      </w:tr>
      <w:tr w:rsidR="00702CE8" w:rsidRPr="00DD0EC2" w:rsidTr="0011413E">
        <w:trPr>
          <w:trHeight w:val="345"/>
        </w:trPr>
        <w:tc>
          <w:tcPr>
            <w:tcW w:w="5560" w:type="dxa"/>
            <w:vAlign w:val="center"/>
          </w:tcPr>
          <w:p w:rsidR="00702CE8" w:rsidRPr="0011413E" w:rsidRDefault="00702CE8" w:rsidP="00AC3FB8">
            <w:pPr>
              <w:spacing w:after="0" w:line="240" w:lineRule="auto"/>
              <w:jc w:val="both"/>
              <w:rPr>
                <w:rFonts w:ascii="Book Antiqua" w:hAnsi="Book Antiqua" w:cs="宋体"/>
                <w:b/>
                <w:bCs/>
                <w:color w:val="000000"/>
                <w:sz w:val="24"/>
                <w:szCs w:val="24"/>
                <w:lang w:val="en-US" w:eastAsia="zh-CN"/>
              </w:rPr>
            </w:pPr>
            <w:r w:rsidRPr="0011413E">
              <w:rPr>
                <w:rFonts w:ascii="Book Antiqua" w:hAnsi="Book Antiqua" w:cs="宋体"/>
                <w:b/>
                <w:bCs/>
                <w:color w:val="000000"/>
                <w:sz w:val="24"/>
                <w:szCs w:val="24"/>
                <w:lang w:val="en-GB" w:eastAsia="zh-CN"/>
              </w:rPr>
              <w:t>ET stage 2</w:t>
            </w:r>
          </w:p>
        </w:tc>
        <w:tc>
          <w:tcPr>
            <w:tcW w:w="6820" w:type="dxa"/>
            <w:vAlign w:val="center"/>
          </w:tcPr>
          <w:p w:rsidR="00702CE8" w:rsidRPr="0011413E" w:rsidRDefault="00702CE8" w:rsidP="00AC3FB8">
            <w:pPr>
              <w:spacing w:after="0" w:line="240" w:lineRule="auto"/>
              <w:jc w:val="both"/>
              <w:rPr>
                <w:rFonts w:ascii="Book Antiqua" w:hAnsi="Book Antiqua" w:cs="宋体"/>
                <w:b/>
                <w:bCs/>
                <w:color w:val="000000"/>
                <w:sz w:val="24"/>
                <w:szCs w:val="24"/>
                <w:lang w:val="en-US" w:eastAsia="zh-CN"/>
              </w:rPr>
            </w:pPr>
            <w:r w:rsidRPr="0011413E">
              <w:rPr>
                <w:rFonts w:ascii="Book Antiqua" w:hAnsi="Book Antiqua" w:cs="宋体"/>
                <w:b/>
                <w:bCs/>
                <w:color w:val="000000"/>
                <w:sz w:val="24"/>
                <w:szCs w:val="24"/>
                <w:lang w:val="en-US" w:eastAsia="zh-CN"/>
              </w:rPr>
              <w:t>Prodromal PV</w:t>
            </w:r>
          </w:p>
        </w:tc>
      </w:tr>
      <w:tr w:rsidR="00702CE8" w:rsidRPr="00DD0EC2" w:rsidTr="0011413E">
        <w:trPr>
          <w:trHeight w:val="1125"/>
        </w:trPr>
        <w:tc>
          <w:tcPr>
            <w:tcW w:w="556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t xml:space="preserve">Platelet count of </w:t>
            </w:r>
            <w:r w:rsidRPr="00DD0EC2">
              <w:rPr>
                <w:rFonts w:ascii="Book Antiqua" w:hAnsi="Book Antiqua"/>
                <w:sz w:val="24"/>
                <w:szCs w:val="24"/>
              </w:rPr>
              <w:t>≥</w:t>
            </w:r>
            <w:r w:rsidRPr="00DD0EC2">
              <w:rPr>
                <w:rFonts w:ascii="Book Antiqua" w:hAnsi="Book Antiqua"/>
                <w:sz w:val="24"/>
                <w:szCs w:val="24"/>
                <w:lang w:eastAsia="zh-CN"/>
              </w:rPr>
              <w:t xml:space="preserve"> </w:t>
            </w:r>
            <w:r w:rsidRPr="0011413E">
              <w:rPr>
                <w:rFonts w:ascii="Book Antiqua" w:hAnsi="Book Antiqua" w:cs="宋体"/>
                <w:color w:val="000000"/>
                <w:sz w:val="24"/>
                <w:szCs w:val="24"/>
                <w:lang w:val="en-US" w:eastAsia="zh-CN"/>
              </w:rPr>
              <w:t xml:space="preserve">350 </w:t>
            </w:r>
            <w:r w:rsidRPr="00DD0EC2">
              <w:rPr>
                <w:rFonts w:ascii="Book Antiqua" w:hAnsi="Book Antiqua"/>
                <w:sz w:val="24"/>
                <w:szCs w:val="24"/>
              </w:rPr>
              <w:t>×</w:t>
            </w:r>
            <w:r w:rsidRPr="00DD0EC2">
              <w:rPr>
                <w:rFonts w:ascii="Book Antiqua" w:hAnsi="Book Antiqua"/>
                <w:sz w:val="24"/>
                <w:szCs w:val="24"/>
                <w:lang w:eastAsia="zh-CN"/>
              </w:rPr>
              <w:t xml:space="preserve"> </w:t>
            </w:r>
            <w:r w:rsidRPr="0011413E">
              <w:rPr>
                <w:rFonts w:ascii="Book Antiqua" w:hAnsi="Book Antiqua" w:cs="宋体"/>
                <w:color w:val="000000"/>
                <w:sz w:val="24"/>
                <w:szCs w:val="24"/>
                <w:lang w:val="en-US" w:eastAsia="zh-CN"/>
              </w:rPr>
              <w:t>10</w:t>
            </w:r>
            <w:r w:rsidRPr="0011413E">
              <w:rPr>
                <w:rFonts w:ascii="Book Antiqua" w:hAnsi="Book Antiqua" w:cs="宋体"/>
                <w:color w:val="000000"/>
                <w:sz w:val="24"/>
                <w:szCs w:val="24"/>
                <w:vertAlign w:val="superscript"/>
                <w:lang w:val="en-US" w:eastAsia="zh-CN"/>
              </w:rPr>
              <w:t>9</w:t>
            </w:r>
            <w:r w:rsidRPr="0011413E">
              <w:rPr>
                <w:rFonts w:ascii="Book Antiqua" w:hAnsi="Book Antiqua" w:cs="宋体"/>
                <w:color w:val="000000"/>
                <w:sz w:val="24"/>
                <w:szCs w:val="24"/>
                <w:lang w:val="en-US" w:eastAsia="zh-CN"/>
              </w:rPr>
              <w:t xml:space="preserve">/L </w:t>
            </w:r>
            <w:r>
              <w:rPr>
                <w:rFonts w:ascii="Book Antiqua" w:hAnsi="Book Antiqua" w:cs="宋体"/>
                <w:color w:val="000000"/>
                <w:sz w:val="24"/>
                <w:szCs w:val="24"/>
                <w:lang w:val="en-US" w:eastAsia="zh-CN"/>
              </w:rPr>
              <w:t>and normal hematocrit: male &lt;51</w:t>
            </w:r>
            <w:r w:rsidRPr="0011413E">
              <w:rPr>
                <w:rFonts w:ascii="Book Antiqua" w:hAnsi="Book Antiqua" w:cs="宋体"/>
                <w:color w:val="000000"/>
                <w:sz w:val="24"/>
                <w:szCs w:val="24"/>
                <w:lang w:val="en-US" w:eastAsia="zh-CN"/>
              </w:rPr>
              <w:t>%, female &lt;</w:t>
            </w:r>
            <w:r>
              <w:rPr>
                <w:rFonts w:ascii="Book Antiqua" w:hAnsi="Book Antiqua" w:cs="宋体"/>
                <w:color w:val="000000"/>
                <w:sz w:val="24"/>
                <w:szCs w:val="24"/>
                <w:lang w:val="en-US" w:eastAsia="zh-CN"/>
              </w:rPr>
              <w:t xml:space="preserve"> 48</w:t>
            </w:r>
            <w:r w:rsidRPr="0011413E">
              <w:rPr>
                <w:rFonts w:ascii="Book Antiqua" w:hAnsi="Book Antiqua" w:cs="宋体"/>
                <w:color w:val="000000"/>
                <w:sz w:val="24"/>
                <w:szCs w:val="24"/>
                <w:lang w:val="en-US" w:eastAsia="zh-CN"/>
              </w:rPr>
              <w:t>%</w:t>
            </w:r>
          </w:p>
        </w:tc>
        <w:tc>
          <w:tcPr>
            <w:tcW w:w="682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t>Increased cellularity with trilineage myeloproliferation (</w:t>
            </w:r>
            <w:r w:rsidRPr="00804188">
              <w:rPr>
                <w:rFonts w:ascii="Book Antiqua" w:hAnsi="Book Antiqua" w:cs="宋体"/>
                <w:i/>
                <w:color w:val="000000"/>
                <w:sz w:val="24"/>
                <w:szCs w:val="24"/>
                <w:lang w:val="en-US" w:eastAsia="zh-CN"/>
              </w:rPr>
              <w:t>i.e.,</w:t>
            </w:r>
            <w:r w:rsidRPr="0011413E">
              <w:rPr>
                <w:rFonts w:ascii="Book Antiqua" w:hAnsi="Book Antiqua" w:cs="宋体"/>
                <w:color w:val="000000"/>
                <w:sz w:val="24"/>
                <w:szCs w:val="24"/>
                <w:lang w:val="en-US" w:eastAsia="zh-CN"/>
              </w:rPr>
              <w:t xml:space="preserve"> panmyelosis). Proliferation and clustering of small to giant (pleomorphic) megakaryocytes.</w:t>
            </w:r>
          </w:p>
        </w:tc>
      </w:tr>
      <w:tr w:rsidR="00702CE8" w:rsidRPr="00DD0EC2" w:rsidTr="0011413E">
        <w:trPr>
          <w:trHeight w:val="1065"/>
        </w:trPr>
        <w:tc>
          <w:tcPr>
            <w:tcW w:w="556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t>erythrocytes &lt;6</w:t>
            </w:r>
            <w:r w:rsidRPr="00DD0EC2">
              <w:rPr>
                <w:rFonts w:ascii="Book Antiqua" w:hAnsi="Book Antiqua"/>
                <w:sz w:val="24"/>
                <w:szCs w:val="24"/>
              </w:rPr>
              <w:t>×</w:t>
            </w:r>
            <w:r w:rsidRPr="0011413E">
              <w:rPr>
                <w:rFonts w:ascii="Book Antiqua" w:hAnsi="Book Antiqua" w:cs="宋体"/>
                <w:color w:val="000000"/>
                <w:sz w:val="24"/>
                <w:szCs w:val="24"/>
                <w:lang w:val="en-US" w:eastAsia="zh-CN"/>
              </w:rPr>
              <w:t>10</w:t>
            </w:r>
            <w:r w:rsidRPr="0011413E">
              <w:rPr>
                <w:rFonts w:ascii="Book Antiqua" w:hAnsi="Book Antiqua" w:cs="宋体"/>
                <w:color w:val="000000"/>
                <w:sz w:val="24"/>
                <w:szCs w:val="24"/>
                <w:vertAlign w:val="superscript"/>
                <w:lang w:val="en-US" w:eastAsia="zh-CN"/>
              </w:rPr>
              <w:t>12</w:t>
            </w:r>
            <w:r w:rsidRPr="0011413E">
              <w:rPr>
                <w:rFonts w:ascii="Book Antiqua" w:hAnsi="Book Antiqua" w:cs="宋体"/>
                <w:color w:val="000000"/>
                <w:sz w:val="24"/>
                <w:szCs w:val="24"/>
                <w:lang w:val="en-US" w:eastAsia="zh-CN"/>
              </w:rPr>
              <w:t>/L</w:t>
            </w:r>
          </w:p>
        </w:tc>
        <w:tc>
          <w:tcPr>
            <w:tcW w:w="682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t>No pronounced inflammatory reaction (plasmacytosis, cellular debris). Absence bone marrow features consistent with congenital polycythem</w:t>
            </w:r>
            <w:r>
              <w:rPr>
                <w:rFonts w:ascii="Book Antiqua" w:hAnsi="Book Antiqua" w:cs="宋体"/>
                <w:color w:val="000000"/>
                <w:sz w:val="24"/>
                <w:szCs w:val="24"/>
                <w:lang w:val="en-US" w:eastAsia="zh-CN"/>
              </w:rPr>
              <w:t>ia and secondary erythrocytosis</w:t>
            </w:r>
          </w:p>
        </w:tc>
      </w:tr>
      <w:tr w:rsidR="00702CE8" w:rsidRPr="00DD0EC2" w:rsidTr="0011413E">
        <w:trPr>
          <w:trHeight w:val="600"/>
        </w:trPr>
        <w:tc>
          <w:tcPr>
            <w:tcW w:w="556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t>Presence of JAK2-</w:t>
            </w:r>
            <w:r w:rsidRPr="0011413E">
              <w:rPr>
                <w:rFonts w:ascii="Book Antiqua" w:hAnsi="Book Antiqua" w:cs="宋体"/>
                <w:color w:val="000000"/>
                <w:sz w:val="24"/>
                <w:szCs w:val="24"/>
                <w:vertAlign w:val="superscript"/>
                <w:lang w:val="en-US" w:eastAsia="zh-CN"/>
              </w:rPr>
              <w:t>V617F</w:t>
            </w:r>
            <w:r w:rsidRPr="0011413E">
              <w:rPr>
                <w:rFonts w:ascii="Book Antiqua" w:hAnsi="Book Antiqua" w:cs="宋体"/>
                <w:color w:val="000000"/>
                <w:sz w:val="24"/>
                <w:szCs w:val="24"/>
                <w:lang w:val="en-US" w:eastAsia="zh-CN"/>
              </w:rPr>
              <w:t xml:space="preserve"> mutation</w:t>
            </w:r>
          </w:p>
        </w:tc>
        <w:tc>
          <w:tcPr>
            <w:tcW w:w="682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t>Progressio</w:t>
            </w:r>
            <w:r>
              <w:rPr>
                <w:rFonts w:ascii="Book Antiqua" w:hAnsi="Book Antiqua" w:cs="宋体"/>
                <w:color w:val="000000"/>
                <w:sz w:val="24"/>
                <w:szCs w:val="24"/>
                <w:lang w:val="en-US" w:eastAsia="zh-CN"/>
              </w:rPr>
              <w:t>n to overt PV during follow-up</w:t>
            </w:r>
          </w:p>
        </w:tc>
      </w:tr>
      <w:tr w:rsidR="00702CE8" w:rsidRPr="00DD0EC2" w:rsidTr="0011413E">
        <w:trPr>
          <w:trHeight w:val="525"/>
        </w:trPr>
        <w:tc>
          <w:tcPr>
            <w:tcW w:w="556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lastRenderedPageBreak/>
              <w:t>Low serum EPO level and/or increased score for leukocyte alkaline phosphatase</w:t>
            </w:r>
          </w:p>
        </w:tc>
        <w:tc>
          <w:tcPr>
            <w:tcW w:w="6820" w:type="dxa"/>
          </w:tcPr>
          <w:p w:rsidR="00702CE8" w:rsidRPr="0011413E" w:rsidRDefault="00702CE8" w:rsidP="00AC3FB8">
            <w:pPr>
              <w:spacing w:after="0" w:line="240" w:lineRule="auto"/>
              <w:jc w:val="both"/>
              <w:rPr>
                <w:rFonts w:ascii="宋体" w:cs="宋体"/>
                <w:color w:val="000000"/>
                <w:lang w:val="en-US" w:eastAsia="zh-CN"/>
              </w:rPr>
            </w:pPr>
            <w:r w:rsidRPr="0011413E">
              <w:rPr>
                <w:rFonts w:ascii="宋体" w:hAnsi="宋体" w:cs="宋体" w:hint="eastAsia"/>
                <w:color w:val="000000"/>
                <w:lang w:val="en-US" w:eastAsia="zh-CN"/>
              </w:rPr>
              <w:t xml:space="preserve">　</w:t>
            </w:r>
          </w:p>
        </w:tc>
      </w:tr>
      <w:tr w:rsidR="00702CE8" w:rsidRPr="00DD0EC2" w:rsidTr="0011413E">
        <w:trPr>
          <w:trHeight w:val="495"/>
        </w:trPr>
        <w:tc>
          <w:tcPr>
            <w:tcW w:w="556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eastAsia="zh-CN"/>
              </w:rPr>
              <w:t>Spontane</w:t>
            </w:r>
            <w:r>
              <w:rPr>
                <w:rFonts w:ascii="Book Antiqua" w:hAnsi="Book Antiqua" w:cs="宋体"/>
                <w:color w:val="000000"/>
                <w:sz w:val="24"/>
                <w:szCs w:val="24"/>
                <w:lang w:eastAsia="zh-CN"/>
              </w:rPr>
              <w:t>ous EEC</w:t>
            </w:r>
          </w:p>
        </w:tc>
        <w:tc>
          <w:tcPr>
            <w:tcW w:w="6820" w:type="dxa"/>
          </w:tcPr>
          <w:p w:rsidR="00702CE8" w:rsidRPr="0011413E" w:rsidRDefault="00702CE8" w:rsidP="00AC3FB8">
            <w:pPr>
              <w:spacing w:after="0" w:line="240" w:lineRule="auto"/>
              <w:jc w:val="both"/>
              <w:rPr>
                <w:rFonts w:ascii="宋体" w:cs="宋体"/>
                <w:color w:val="000000"/>
                <w:lang w:val="en-US" w:eastAsia="zh-CN"/>
              </w:rPr>
            </w:pPr>
            <w:r w:rsidRPr="0011413E">
              <w:rPr>
                <w:rFonts w:ascii="宋体" w:hAnsi="宋体" w:cs="宋体" w:hint="eastAsia"/>
                <w:color w:val="000000"/>
                <w:lang w:val="en-US" w:eastAsia="zh-CN"/>
              </w:rPr>
              <w:t xml:space="preserve">　</w:t>
            </w:r>
          </w:p>
        </w:tc>
      </w:tr>
      <w:tr w:rsidR="00702CE8" w:rsidRPr="00DD0EC2" w:rsidTr="0011413E">
        <w:trPr>
          <w:trHeight w:val="450"/>
        </w:trPr>
        <w:tc>
          <w:tcPr>
            <w:tcW w:w="5560" w:type="dxa"/>
            <w:vAlign w:val="center"/>
          </w:tcPr>
          <w:p w:rsidR="00702CE8" w:rsidRPr="0011413E" w:rsidRDefault="00702CE8" w:rsidP="00AC3FB8">
            <w:pPr>
              <w:spacing w:after="0" w:line="240" w:lineRule="auto"/>
              <w:jc w:val="both"/>
              <w:rPr>
                <w:rFonts w:ascii="Book Antiqua" w:hAnsi="Book Antiqua" w:cs="宋体"/>
                <w:b/>
                <w:bCs/>
                <w:color w:val="000000"/>
                <w:sz w:val="24"/>
                <w:szCs w:val="24"/>
                <w:lang w:val="en-US" w:eastAsia="zh-CN"/>
              </w:rPr>
            </w:pPr>
            <w:r w:rsidRPr="0011413E">
              <w:rPr>
                <w:rFonts w:ascii="Book Antiqua" w:hAnsi="Book Antiqua" w:cs="宋体"/>
                <w:b/>
                <w:bCs/>
                <w:color w:val="000000"/>
                <w:sz w:val="24"/>
                <w:szCs w:val="24"/>
                <w:lang w:val="en-GB" w:eastAsia="zh-CN"/>
              </w:rPr>
              <w:t>ET stage 3</w:t>
            </w:r>
          </w:p>
        </w:tc>
        <w:tc>
          <w:tcPr>
            <w:tcW w:w="6820" w:type="dxa"/>
            <w:vAlign w:val="center"/>
          </w:tcPr>
          <w:p w:rsidR="00702CE8" w:rsidRPr="0011413E" w:rsidRDefault="00702CE8" w:rsidP="00AC3FB8">
            <w:pPr>
              <w:spacing w:after="0" w:line="240" w:lineRule="auto"/>
              <w:jc w:val="both"/>
              <w:rPr>
                <w:rFonts w:ascii="Book Antiqua" w:hAnsi="Book Antiqua" w:cs="宋体"/>
                <w:b/>
                <w:bCs/>
                <w:color w:val="000000"/>
                <w:sz w:val="24"/>
                <w:szCs w:val="24"/>
                <w:lang w:val="en-US" w:eastAsia="zh-CN"/>
              </w:rPr>
            </w:pPr>
            <w:r w:rsidRPr="0011413E">
              <w:rPr>
                <w:rFonts w:ascii="Book Antiqua" w:hAnsi="Book Antiqua" w:cs="宋体"/>
                <w:b/>
                <w:bCs/>
                <w:color w:val="000000"/>
                <w:sz w:val="24"/>
                <w:szCs w:val="24"/>
                <w:lang w:val="en-GB" w:eastAsia="zh-CN"/>
              </w:rPr>
              <w:t xml:space="preserve">ET. MGM </w:t>
            </w:r>
          </w:p>
        </w:tc>
      </w:tr>
      <w:tr w:rsidR="00702CE8" w:rsidRPr="00DD0EC2" w:rsidTr="0011413E">
        <w:trPr>
          <w:trHeight w:val="1785"/>
        </w:trPr>
        <w:tc>
          <w:tcPr>
            <w:tcW w:w="556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GB" w:eastAsia="zh-CN"/>
              </w:rPr>
              <w:t xml:space="preserve">Platelet count of </w:t>
            </w:r>
            <w:r w:rsidRPr="0011413E">
              <w:rPr>
                <w:rFonts w:ascii="Book Antiqua" w:hAnsi="Book Antiqua" w:cs="宋体"/>
                <w:color w:val="000000"/>
                <w:sz w:val="24"/>
                <w:szCs w:val="24"/>
                <w:u w:val="single"/>
                <w:lang w:val="en-GB" w:eastAsia="zh-CN"/>
              </w:rPr>
              <w:t>&gt;</w:t>
            </w:r>
            <w:r>
              <w:rPr>
                <w:rFonts w:ascii="Book Antiqua" w:hAnsi="Book Antiqua" w:cs="宋体"/>
                <w:color w:val="000000"/>
                <w:sz w:val="24"/>
                <w:szCs w:val="24"/>
                <w:u w:val="single"/>
                <w:lang w:val="en-GB" w:eastAsia="zh-CN"/>
              </w:rPr>
              <w:t xml:space="preserve"> </w:t>
            </w:r>
            <w:r w:rsidRPr="0011413E">
              <w:rPr>
                <w:rFonts w:ascii="Book Antiqua" w:hAnsi="Book Antiqua" w:cs="宋体"/>
                <w:color w:val="000000"/>
                <w:sz w:val="24"/>
                <w:szCs w:val="24"/>
                <w:lang w:val="en-GB" w:eastAsia="zh-CN"/>
              </w:rPr>
              <w:t xml:space="preserve">3500 </w:t>
            </w:r>
            <w:r w:rsidRPr="00DD0EC2">
              <w:rPr>
                <w:rFonts w:ascii="Book Antiqua" w:hAnsi="Book Antiqua"/>
                <w:sz w:val="24"/>
                <w:szCs w:val="24"/>
              </w:rPr>
              <w:t>×</w:t>
            </w:r>
            <w:r w:rsidRPr="00DD0EC2">
              <w:rPr>
                <w:rFonts w:ascii="Book Antiqua" w:hAnsi="Book Antiqua"/>
                <w:sz w:val="24"/>
                <w:szCs w:val="24"/>
                <w:lang w:eastAsia="zh-CN"/>
              </w:rPr>
              <w:t xml:space="preserve"> </w:t>
            </w:r>
            <w:r w:rsidRPr="0011413E">
              <w:rPr>
                <w:rFonts w:ascii="Book Antiqua" w:hAnsi="Book Antiqua" w:cs="宋体"/>
                <w:color w:val="000000"/>
                <w:sz w:val="24"/>
                <w:szCs w:val="24"/>
                <w:lang w:val="en-GB" w:eastAsia="zh-CN"/>
              </w:rPr>
              <w:t>10</w:t>
            </w:r>
            <w:r w:rsidRPr="0011413E">
              <w:rPr>
                <w:rFonts w:ascii="Book Antiqua" w:hAnsi="Book Antiqua" w:cs="宋体"/>
                <w:color w:val="000000"/>
                <w:sz w:val="24"/>
                <w:szCs w:val="24"/>
                <w:vertAlign w:val="superscript"/>
                <w:lang w:val="en-GB" w:eastAsia="zh-CN"/>
              </w:rPr>
              <w:t>9</w:t>
            </w:r>
            <w:r w:rsidRPr="0011413E">
              <w:rPr>
                <w:rFonts w:ascii="Book Antiqua" w:hAnsi="Book Antiqua" w:cs="宋体"/>
                <w:color w:val="000000"/>
                <w:sz w:val="24"/>
                <w:szCs w:val="24"/>
                <w:lang w:val="en-GB" w:eastAsia="zh-CN"/>
              </w:rPr>
              <w:t xml:space="preserve">/L and no signs of leuko-erythroblastosis </w:t>
            </w:r>
          </w:p>
        </w:tc>
        <w:tc>
          <w:tcPr>
            <w:tcW w:w="682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t>Increased cellularity due to megakaryocytic and granulocytic myeloproliferation (MGM) and normal or relative reduction of erythroid precursors with various degrees pleiomorphic loosely clustered megakaryocytes containing dysmorphic (not cloud-like</w:t>
            </w:r>
            <w:r>
              <w:rPr>
                <w:rFonts w:ascii="Book Antiqua" w:hAnsi="Book Antiqua" w:cs="宋体"/>
                <w:color w:val="000000"/>
                <w:sz w:val="24"/>
                <w:szCs w:val="24"/>
                <w:lang w:val="en-US" w:eastAsia="zh-CN"/>
              </w:rPr>
              <w:t>) nuclei and maturation defects</w:t>
            </w:r>
          </w:p>
        </w:tc>
      </w:tr>
      <w:tr w:rsidR="00702CE8" w:rsidRPr="00DD0EC2" w:rsidTr="0011413E">
        <w:trPr>
          <w:trHeight w:val="510"/>
        </w:trPr>
        <w:tc>
          <w:tcPr>
            <w:tcW w:w="556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t>Erythrocytes &lt;6</w:t>
            </w:r>
            <w:r>
              <w:rPr>
                <w:rFonts w:ascii="Book Antiqua" w:hAnsi="Book Antiqua" w:cs="宋体"/>
                <w:color w:val="000000"/>
                <w:sz w:val="24"/>
                <w:szCs w:val="24"/>
                <w:lang w:val="en-US" w:eastAsia="zh-CN"/>
              </w:rPr>
              <w:t xml:space="preserve"> </w:t>
            </w:r>
            <w:r w:rsidRPr="00DD0EC2">
              <w:rPr>
                <w:rFonts w:ascii="Book Antiqua" w:hAnsi="Book Antiqua"/>
                <w:sz w:val="24"/>
                <w:szCs w:val="24"/>
              </w:rPr>
              <w:t>×</w:t>
            </w:r>
            <w:r w:rsidRPr="00DD0EC2">
              <w:rPr>
                <w:rFonts w:ascii="Book Antiqua" w:hAnsi="Book Antiqua"/>
                <w:sz w:val="24"/>
                <w:szCs w:val="24"/>
                <w:lang w:eastAsia="zh-CN"/>
              </w:rPr>
              <w:t xml:space="preserve"> </w:t>
            </w:r>
            <w:r w:rsidRPr="0011413E">
              <w:rPr>
                <w:rFonts w:ascii="Book Antiqua" w:hAnsi="Book Antiqua" w:cs="宋体"/>
                <w:color w:val="000000"/>
                <w:sz w:val="24"/>
                <w:szCs w:val="24"/>
                <w:lang w:val="en-US" w:eastAsia="zh-CN"/>
              </w:rPr>
              <w:t>10</w:t>
            </w:r>
            <w:r w:rsidRPr="0011413E">
              <w:rPr>
                <w:rFonts w:ascii="Book Antiqua" w:hAnsi="Book Antiqua" w:cs="宋体"/>
                <w:color w:val="000000"/>
                <w:sz w:val="24"/>
                <w:szCs w:val="24"/>
                <w:vertAlign w:val="superscript"/>
                <w:lang w:val="en-US" w:eastAsia="zh-CN"/>
              </w:rPr>
              <w:t>12</w:t>
            </w:r>
            <w:r w:rsidRPr="0011413E">
              <w:rPr>
                <w:rFonts w:ascii="Book Antiqua" w:hAnsi="Book Antiqua" w:cs="宋体"/>
                <w:color w:val="000000"/>
                <w:sz w:val="24"/>
                <w:szCs w:val="24"/>
                <w:lang w:val="en-US" w:eastAsia="zh-CN"/>
              </w:rPr>
              <w:t>/L</w:t>
            </w:r>
          </w:p>
        </w:tc>
        <w:tc>
          <w:tcPr>
            <w:tcW w:w="682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t>No or slight reticulin fibrosis (RF 0 or 1)</w:t>
            </w:r>
          </w:p>
        </w:tc>
      </w:tr>
      <w:tr w:rsidR="00702CE8" w:rsidRPr="00DD0EC2" w:rsidTr="0011413E">
        <w:trPr>
          <w:trHeight w:val="570"/>
        </w:trPr>
        <w:tc>
          <w:tcPr>
            <w:tcW w:w="556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GB" w:eastAsia="zh-CN"/>
              </w:rPr>
              <w:t>Presence of JAK2-</w:t>
            </w:r>
            <w:r w:rsidRPr="0011413E">
              <w:rPr>
                <w:rFonts w:ascii="Book Antiqua" w:hAnsi="Book Antiqua" w:cs="宋体"/>
                <w:color w:val="000000"/>
                <w:sz w:val="24"/>
                <w:szCs w:val="24"/>
                <w:vertAlign w:val="superscript"/>
                <w:lang w:val="en-GB" w:eastAsia="zh-CN"/>
              </w:rPr>
              <w:t>V617F</w:t>
            </w:r>
            <w:r w:rsidRPr="0011413E">
              <w:rPr>
                <w:rFonts w:ascii="Book Antiqua" w:hAnsi="Book Antiqua" w:cs="宋体"/>
                <w:color w:val="000000"/>
                <w:sz w:val="24"/>
                <w:szCs w:val="24"/>
                <w:lang w:val="en-GB" w:eastAsia="zh-CN"/>
              </w:rPr>
              <w:t xml:space="preserve"> </w:t>
            </w:r>
          </w:p>
        </w:tc>
        <w:tc>
          <w:tcPr>
            <w:tcW w:w="682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US" w:eastAsia="zh-CN"/>
              </w:rPr>
              <w:t xml:space="preserve">Progression to post ET myelofibrosis </w:t>
            </w:r>
          </w:p>
        </w:tc>
      </w:tr>
      <w:tr w:rsidR="00702CE8" w:rsidRPr="00DD0EC2" w:rsidTr="0011413E">
        <w:trPr>
          <w:trHeight w:val="660"/>
        </w:trPr>
        <w:tc>
          <w:tcPr>
            <w:tcW w:w="5560" w:type="dxa"/>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GB" w:eastAsia="zh-CN"/>
              </w:rPr>
              <w:t xml:space="preserve">Slight splenomegaly on ultrasound and no anemia Hb &gt;12g/dL </w:t>
            </w:r>
          </w:p>
        </w:tc>
        <w:tc>
          <w:tcPr>
            <w:tcW w:w="6820" w:type="dxa"/>
          </w:tcPr>
          <w:p w:rsidR="00702CE8" w:rsidRPr="0011413E" w:rsidRDefault="00702CE8" w:rsidP="00AC3FB8">
            <w:pPr>
              <w:spacing w:after="0" w:line="240" w:lineRule="auto"/>
              <w:jc w:val="both"/>
              <w:rPr>
                <w:rFonts w:ascii="宋体" w:cs="宋体"/>
                <w:color w:val="000000"/>
                <w:lang w:val="en-US" w:eastAsia="zh-CN"/>
              </w:rPr>
            </w:pPr>
            <w:r w:rsidRPr="0011413E">
              <w:rPr>
                <w:rFonts w:ascii="宋体" w:hAnsi="宋体" w:cs="宋体" w:hint="eastAsia"/>
                <w:color w:val="000000"/>
                <w:lang w:val="en-US" w:eastAsia="zh-CN"/>
              </w:rPr>
              <w:t xml:space="preserve">　</w:t>
            </w:r>
          </w:p>
        </w:tc>
      </w:tr>
      <w:tr w:rsidR="00702CE8" w:rsidRPr="00DD0EC2" w:rsidTr="0011413E">
        <w:trPr>
          <w:trHeight w:val="645"/>
        </w:trPr>
        <w:tc>
          <w:tcPr>
            <w:tcW w:w="5560" w:type="dxa"/>
            <w:tcBorders>
              <w:bottom w:val="single" w:sz="8" w:space="0" w:color="000000"/>
            </w:tcBorders>
            <w:vAlign w:val="center"/>
          </w:tcPr>
          <w:p w:rsidR="00702CE8" w:rsidRPr="0011413E" w:rsidRDefault="00702CE8" w:rsidP="00AC3FB8">
            <w:pPr>
              <w:spacing w:after="0" w:line="240" w:lineRule="auto"/>
              <w:jc w:val="both"/>
              <w:rPr>
                <w:rFonts w:ascii="Book Antiqua" w:hAnsi="Book Antiqua" w:cs="宋体"/>
                <w:color w:val="000000"/>
                <w:sz w:val="24"/>
                <w:szCs w:val="24"/>
                <w:lang w:val="en-US" w:eastAsia="zh-CN"/>
              </w:rPr>
            </w:pPr>
            <w:r w:rsidRPr="0011413E">
              <w:rPr>
                <w:rFonts w:ascii="Book Antiqua" w:hAnsi="Book Antiqua" w:cs="宋体"/>
                <w:color w:val="000000"/>
                <w:sz w:val="24"/>
                <w:szCs w:val="24"/>
                <w:lang w:val="en-GB" w:eastAsia="zh-CN"/>
              </w:rPr>
              <w:t>No preceding or al</w:t>
            </w:r>
            <w:r>
              <w:rPr>
                <w:rFonts w:ascii="Book Antiqua" w:hAnsi="Book Antiqua" w:cs="宋体"/>
                <w:color w:val="000000"/>
                <w:sz w:val="24"/>
                <w:szCs w:val="24"/>
                <w:lang w:val="en-GB" w:eastAsia="zh-CN"/>
              </w:rPr>
              <w:t>lied of CML, PV, RARS-T or MDS</w:t>
            </w:r>
          </w:p>
        </w:tc>
        <w:tc>
          <w:tcPr>
            <w:tcW w:w="6820" w:type="dxa"/>
            <w:tcBorders>
              <w:bottom w:val="single" w:sz="8" w:space="0" w:color="000000"/>
            </w:tcBorders>
          </w:tcPr>
          <w:p w:rsidR="00702CE8" w:rsidRPr="0011413E" w:rsidRDefault="00702CE8" w:rsidP="00AC3FB8">
            <w:pPr>
              <w:spacing w:after="0" w:line="240" w:lineRule="auto"/>
              <w:jc w:val="both"/>
              <w:rPr>
                <w:rFonts w:ascii="宋体" w:cs="宋体"/>
                <w:color w:val="000000"/>
                <w:lang w:val="en-US" w:eastAsia="zh-CN"/>
              </w:rPr>
            </w:pPr>
            <w:r w:rsidRPr="0011413E">
              <w:rPr>
                <w:rFonts w:ascii="宋体" w:hAnsi="宋体" w:cs="宋体" w:hint="eastAsia"/>
                <w:color w:val="000000"/>
                <w:lang w:val="en-US" w:eastAsia="zh-CN"/>
              </w:rPr>
              <w:t xml:space="preserve">　</w:t>
            </w:r>
          </w:p>
        </w:tc>
      </w:tr>
    </w:tbl>
    <w:p w:rsidR="00702CE8" w:rsidRPr="0011413E" w:rsidRDefault="00702CE8" w:rsidP="00AC3FB8">
      <w:pPr>
        <w:jc w:val="both"/>
        <w:rPr>
          <w:rFonts w:ascii="Book Antiqua" w:hAnsi="Book Antiqua"/>
          <w:b/>
          <w:sz w:val="24"/>
          <w:szCs w:val="24"/>
          <w:lang w:val="en-US"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r w:rsidRPr="00CC3D0A">
        <w:rPr>
          <w:rFonts w:ascii="Book Antiqua" w:hAnsi="Book Antiqua"/>
          <w:bCs/>
          <w:sz w:val="24"/>
          <w:szCs w:val="24"/>
          <w:lang w:val="en-GB" w:eastAsia="nl-NL"/>
        </w:rPr>
        <w:t xml:space="preserve">Minimal criteria for the diagnosis according to </w:t>
      </w:r>
      <w:r w:rsidRPr="00CD4F26">
        <w:rPr>
          <w:rFonts w:ascii="Book Antiqua" w:hAnsi="Book Antiqua"/>
          <w:bCs/>
          <w:sz w:val="24"/>
          <w:szCs w:val="24"/>
          <w:lang w:val="en-GB" w:eastAsia="nl-NL"/>
        </w:rPr>
        <w:t xml:space="preserve">World Health Organization </w:t>
      </w:r>
      <w:r>
        <w:rPr>
          <w:rFonts w:ascii="Book Antiqua" w:hAnsi="Book Antiqua"/>
          <w:bCs/>
          <w:sz w:val="24"/>
          <w:szCs w:val="24"/>
          <w:lang w:val="en-GB" w:eastAsia="zh-CN"/>
        </w:rPr>
        <w:t xml:space="preserve">(WHO) </w:t>
      </w:r>
      <w:r w:rsidRPr="00CD4F26">
        <w:rPr>
          <w:rFonts w:ascii="Book Antiqua" w:hAnsi="Book Antiqua"/>
          <w:bCs/>
          <w:sz w:val="24"/>
          <w:szCs w:val="24"/>
          <w:lang w:val="en-GB" w:eastAsia="nl-NL"/>
        </w:rPr>
        <w:t xml:space="preserve">and European clinical, molecular and pathological </w:t>
      </w:r>
      <w:r w:rsidRPr="00CC3D0A">
        <w:rPr>
          <w:rFonts w:ascii="Book Antiqua" w:hAnsi="Book Antiqua"/>
          <w:bCs/>
          <w:sz w:val="24"/>
          <w:szCs w:val="24"/>
          <w:lang w:val="en-GB" w:eastAsia="nl-NL"/>
        </w:rPr>
        <w:t>criteria</w:t>
      </w:r>
      <w:r>
        <w:rPr>
          <w:rFonts w:ascii="Book Antiqua" w:hAnsi="Book Antiqua"/>
          <w:bCs/>
          <w:sz w:val="24"/>
          <w:szCs w:val="24"/>
          <w:lang w:val="en-GB" w:eastAsia="zh-CN"/>
        </w:rPr>
        <w:t xml:space="preserve">. </w:t>
      </w:r>
      <w:r>
        <w:rPr>
          <w:rFonts w:ascii="Book Antiqua" w:hAnsi="Book Antiqua"/>
          <w:bCs/>
          <w:sz w:val="24"/>
          <w:szCs w:val="24"/>
          <w:lang w:val="en-GB" w:eastAsia="nl-NL"/>
        </w:rPr>
        <w:t xml:space="preserve">Normocellular </w:t>
      </w:r>
      <w:r w:rsidRPr="00224D3A">
        <w:rPr>
          <w:rFonts w:ascii="Book Antiqua" w:hAnsi="Book Antiqua"/>
          <w:sz w:val="24"/>
          <w:szCs w:val="24"/>
          <w:lang w:val="en-US" w:eastAsia="zh-CN"/>
        </w:rPr>
        <w:t>essential thrombocythemia (ET)</w:t>
      </w:r>
      <w:r>
        <w:rPr>
          <w:rFonts w:ascii="Book Antiqua" w:hAnsi="Book Antiqua"/>
          <w:bCs/>
          <w:sz w:val="24"/>
          <w:szCs w:val="24"/>
          <w:lang w:val="en-GB" w:eastAsia="nl-NL"/>
        </w:rPr>
        <w:t>:</w:t>
      </w:r>
      <w:r>
        <w:rPr>
          <w:rFonts w:ascii="Book Antiqua" w:hAnsi="Book Antiqua"/>
          <w:bCs/>
          <w:sz w:val="24"/>
          <w:szCs w:val="24"/>
          <w:lang w:val="en-GB" w:eastAsia="zh-CN"/>
        </w:rPr>
        <w:t xml:space="preserve"> </w:t>
      </w:r>
      <w:r w:rsidRPr="00CC3D0A">
        <w:rPr>
          <w:rFonts w:ascii="Book Antiqua" w:hAnsi="Book Antiqua"/>
          <w:bCs/>
          <w:sz w:val="24"/>
          <w:szCs w:val="24"/>
          <w:lang w:val="en-GB" w:eastAsia="nl-NL"/>
        </w:rPr>
        <w:t>1 and WHO ET bone marrow features</w:t>
      </w:r>
      <w:r>
        <w:rPr>
          <w:rFonts w:ascii="Book Antiqua" w:hAnsi="Book Antiqua"/>
          <w:bCs/>
          <w:sz w:val="24"/>
          <w:szCs w:val="24"/>
          <w:lang w:val="en-GB" w:eastAsia="zh-CN"/>
        </w:rPr>
        <w:t xml:space="preserve">; </w:t>
      </w:r>
      <w:r>
        <w:rPr>
          <w:rFonts w:ascii="Book Antiqua" w:hAnsi="Book Antiqua"/>
          <w:bCs/>
          <w:sz w:val="24"/>
          <w:szCs w:val="24"/>
          <w:lang w:val="en-GB" w:eastAsia="nl-NL"/>
        </w:rPr>
        <w:t xml:space="preserve">Prodromal </w:t>
      </w:r>
      <w:r w:rsidRPr="00CC3D0A">
        <w:rPr>
          <w:rFonts w:ascii="Book Antiqua" w:eastAsia="MS Mincho" w:hAnsi="Book Antiqua"/>
          <w:sz w:val="24"/>
          <w:szCs w:val="24"/>
          <w:lang w:val="en-GB" w:eastAsia="ja-JP"/>
        </w:rPr>
        <w:t>polycythemia vera (PV)</w:t>
      </w:r>
      <w:r>
        <w:rPr>
          <w:rFonts w:ascii="Book Antiqua" w:hAnsi="Book Antiqua"/>
          <w:bCs/>
          <w:sz w:val="24"/>
          <w:szCs w:val="24"/>
          <w:lang w:val="en-GB" w:eastAsia="nl-NL"/>
        </w:rPr>
        <w:t>:</w:t>
      </w:r>
      <w:r>
        <w:rPr>
          <w:rFonts w:ascii="Book Antiqua" w:hAnsi="Book Antiqua"/>
          <w:bCs/>
          <w:sz w:val="24"/>
          <w:szCs w:val="24"/>
          <w:lang w:val="en-GB" w:eastAsia="zh-CN"/>
        </w:rPr>
        <w:t xml:space="preserve"> </w:t>
      </w:r>
      <w:r w:rsidRPr="00CC3D0A">
        <w:rPr>
          <w:rFonts w:ascii="Book Antiqua" w:hAnsi="Book Antiqua"/>
          <w:bCs/>
          <w:sz w:val="24"/>
          <w:szCs w:val="24"/>
          <w:lang w:val="en-GB" w:eastAsia="nl-NL"/>
        </w:rPr>
        <w:t>1 and 2 plus WHO PV bone marrow features</w:t>
      </w:r>
      <w:r>
        <w:rPr>
          <w:rFonts w:ascii="Book Antiqua" w:hAnsi="Book Antiqua"/>
          <w:bCs/>
          <w:sz w:val="24"/>
          <w:szCs w:val="24"/>
          <w:lang w:val="en-GB" w:eastAsia="zh-CN"/>
        </w:rPr>
        <w:t>,</w:t>
      </w:r>
      <w:r w:rsidRPr="00CC3D0A">
        <w:rPr>
          <w:rFonts w:ascii="Book Antiqua" w:hAnsi="Book Antiqua"/>
          <w:bCs/>
          <w:sz w:val="24"/>
          <w:szCs w:val="24"/>
          <w:lang w:val="en-GB" w:eastAsia="nl-NL"/>
        </w:rPr>
        <w:t xml:space="preserve"> 3 and 4 are confirmative for PV</w:t>
      </w:r>
      <w:r>
        <w:rPr>
          <w:rFonts w:ascii="Book Antiqua" w:hAnsi="Book Antiqua"/>
          <w:bCs/>
          <w:sz w:val="24"/>
          <w:szCs w:val="24"/>
          <w:lang w:val="en-GB" w:eastAsia="zh-CN"/>
        </w:rPr>
        <w:t xml:space="preserve">; </w:t>
      </w:r>
      <w:r w:rsidRPr="00CC3D0A">
        <w:rPr>
          <w:rFonts w:ascii="Book Antiqua" w:eastAsia="MS Mincho" w:hAnsi="Book Antiqua"/>
          <w:sz w:val="24"/>
          <w:szCs w:val="24"/>
          <w:lang w:val="en-GB" w:eastAsia="ja-JP"/>
        </w:rPr>
        <w:t>ET due to megakaryocytic, granulocytic myeloproliferation (ET.MGM)</w:t>
      </w:r>
      <w:r>
        <w:rPr>
          <w:rFonts w:ascii="Book Antiqua" w:hAnsi="Book Antiqua"/>
          <w:bCs/>
          <w:sz w:val="24"/>
          <w:szCs w:val="24"/>
          <w:lang w:val="en-GB" w:eastAsia="nl-NL"/>
        </w:rPr>
        <w:t>:</w:t>
      </w:r>
      <w:r>
        <w:rPr>
          <w:rFonts w:ascii="Book Antiqua" w:hAnsi="Book Antiqua"/>
          <w:bCs/>
          <w:sz w:val="24"/>
          <w:szCs w:val="24"/>
          <w:lang w:val="en-GB" w:eastAsia="zh-CN"/>
        </w:rPr>
        <w:t xml:space="preserve"> </w:t>
      </w:r>
      <w:r w:rsidRPr="00CC3D0A">
        <w:rPr>
          <w:rFonts w:ascii="Book Antiqua" w:hAnsi="Book Antiqua"/>
          <w:bCs/>
          <w:sz w:val="24"/>
          <w:szCs w:val="24"/>
          <w:lang w:val="en-GB" w:eastAsia="nl-NL"/>
        </w:rPr>
        <w:t>1 and 2 plus WHO CMF bone marrow features</w:t>
      </w:r>
      <w:r>
        <w:rPr>
          <w:rFonts w:ascii="Book Antiqua" w:hAnsi="Book Antiqua"/>
          <w:bCs/>
          <w:sz w:val="24"/>
          <w:szCs w:val="24"/>
          <w:lang w:val="en-GB" w:eastAsia="zh-CN"/>
        </w:rPr>
        <w:t xml:space="preserve">; </w:t>
      </w:r>
      <w:r w:rsidRPr="00CC3D0A">
        <w:rPr>
          <w:rFonts w:ascii="Book Antiqua" w:hAnsi="Book Antiqua"/>
          <w:bCs/>
          <w:sz w:val="24"/>
          <w:szCs w:val="24"/>
          <w:lang w:val="en-GB" w:eastAsia="nl-NL"/>
        </w:rPr>
        <w:t>EEC, JAK2</w:t>
      </w:r>
      <w:r w:rsidRPr="00CC3D0A">
        <w:rPr>
          <w:rFonts w:ascii="Book Antiqua" w:hAnsi="Book Antiqua"/>
          <w:bCs/>
          <w:sz w:val="24"/>
          <w:szCs w:val="24"/>
          <w:vertAlign w:val="superscript"/>
          <w:lang w:val="en-GB" w:eastAsia="nl-NL"/>
        </w:rPr>
        <w:t>V617F</w:t>
      </w:r>
      <w:r w:rsidRPr="00CC3D0A">
        <w:rPr>
          <w:rFonts w:ascii="Book Antiqua" w:hAnsi="Book Antiqua"/>
          <w:bCs/>
          <w:sz w:val="24"/>
          <w:szCs w:val="24"/>
          <w:lang w:val="en-GB" w:eastAsia="nl-NL"/>
        </w:rPr>
        <w:t xml:space="preserve"> and/or MPL</w:t>
      </w:r>
      <w:r w:rsidRPr="00CC3D0A">
        <w:rPr>
          <w:rFonts w:ascii="Book Antiqua" w:hAnsi="Book Antiqua"/>
          <w:bCs/>
          <w:sz w:val="24"/>
          <w:szCs w:val="24"/>
          <w:vertAlign w:val="superscript"/>
          <w:lang w:val="en-GB" w:eastAsia="nl-NL"/>
        </w:rPr>
        <w:t>515</w:t>
      </w:r>
      <w:r w:rsidRPr="00CC3D0A">
        <w:rPr>
          <w:rFonts w:ascii="Book Antiqua" w:hAnsi="Book Antiqua"/>
          <w:bCs/>
          <w:sz w:val="24"/>
          <w:szCs w:val="24"/>
          <w:lang w:val="en-GB" w:eastAsia="nl-NL"/>
        </w:rPr>
        <w:t xml:space="preserve"> mutations confirm clonal </w:t>
      </w:r>
      <w:bookmarkStart w:id="15" w:name="OLE_LINK3"/>
      <w:bookmarkStart w:id="16" w:name="OLE_LINK4"/>
      <w:r w:rsidRPr="00CC3D0A">
        <w:rPr>
          <w:rFonts w:ascii="Book Antiqua" w:eastAsia="MS Mincho" w:hAnsi="Book Antiqua"/>
          <w:sz w:val="24"/>
          <w:szCs w:val="24"/>
          <w:lang w:val="en-GB" w:eastAsia="ja-JP"/>
        </w:rPr>
        <w:t>myeloproliferative disorders (MPD)</w:t>
      </w:r>
      <w:bookmarkEnd w:id="15"/>
      <w:bookmarkEnd w:id="16"/>
      <w:r>
        <w:rPr>
          <w:rFonts w:ascii="Book Antiqua" w:hAnsi="Book Antiqua"/>
          <w:bCs/>
          <w:sz w:val="24"/>
          <w:szCs w:val="24"/>
          <w:lang w:val="en-GB" w:eastAsia="zh-CN"/>
        </w:rPr>
        <w:t xml:space="preserve">; </w:t>
      </w:r>
      <w:r w:rsidRPr="00CC3D0A">
        <w:rPr>
          <w:rFonts w:ascii="Book Antiqua" w:hAnsi="Book Antiqua"/>
          <w:bCs/>
          <w:sz w:val="24"/>
          <w:szCs w:val="24"/>
          <w:lang w:val="en-GB" w:eastAsia="nl-NL"/>
        </w:rPr>
        <w:t>Masked MPD: normal platelets, leukocytes and hematocrit, but slight splenomegaly on echogram with the presence of JAK2</w:t>
      </w:r>
      <w:r w:rsidRPr="00CC3D0A">
        <w:rPr>
          <w:rFonts w:ascii="Book Antiqua" w:hAnsi="Book Antiqua"/>
          <w:bCs/>
          <w:sz w:val="24"/>
          <w:szCs w:val="24"/>
          <w:vertAlign w:val="superscript"/>
          <w:lang w:val="en-GB" w:eastAsia="nl-NL"/>
        </w:rPr>
        <w:t>V617F</w:t>
      </w:r>
      <w:r w:rsidRPr="00CC3D0A">
        <w:rPr>
          <w:rFonts w:ascii="Book Antiqua" w:hAnsi="Book Antiqua"/>
          <w:bCs/>
          <w:sz w:val="24"/>
          <w:szCs w:val="24"/>
          <w:lang w:val="en-GB" w:eastAsia="nl-NL"/>
        </w:rPr>
        <w:t xml:space="preserve"> mutation and/or a WHO bone marrow is rare (rather frequent in patients with splanchnic vein thrombosis and/or Budd Chiari syndrome).</w:t>
      </w: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Default="00702CE8" w:rsidP="00AC3FB8">
      <w:pPr>
        <w:suppressAutoHyphens/>
        <w:autoSpaceDN w:val="0"/>
        <w:spacing w:after="0" w:line="360" w:lineRule="auto"/>
        <w:jc w:val="both"/>
        <w:rPr>
          <w:rFonts w:ascii="Book Antiqua" w:hAnsi="Book Antiqua"/>
          <w:bCs/>
          <w:sz w:val="24"/>
          <w:szCs w:val="24"/>
          <w:lang w:val="en-GB" w:eastAsia="zh-CN"/>
        </w:rPr>
      </w:pPr>
    </w:p>
    <w:p w:rsidR="00702CE8" w:rsidRPr="0021527B" w:rsidRDefault="00702CE8" w:rsidP="00AC3FB8">
      <w:pPr>
        <w:suppressAutoHyphens/>
        <w:autoSpaceDN w:val="0"/>
        <w:spacing w:after="0" w:line="360" w:lineRule="auto"/>
        <w:jc w:val="both"/>
        <w:rPr>
          <w:rFonts w:ascii="Book Antiqua" w:hAnsi="Book Antiqua"/>
          <w:bCs/>
          <w:sz w:val="24"/>
          <w:szCs w:val="24"/>
          <w:lang w:val="en-GB" w:eastAsia="zh-CN"/>
        </w:rPr>
      </w:pPr>
      <w:r w:rsidRPr="00CC3D0A">
        <w:rPr>
          <w:rFonts w:ascii="Book Antiqua" w:hAnsi="Book Antiqua"/>
          <w:b/>
          <w:sz w:val="24"/>
          <w:szCs w:val="24"/>
          <w:lang w:val="en-GB" w:eastAsia="nl-NL"/>
        </w:rPr>
        <w:t>Table 3</w:t>
      </w:r>
      <w:r w:rsidRPr="00CC3D0A">
        <w:rPr>
          <w:rFonts w:ascii="Book Antiqua" w:hAnsi="Book Antiqua"/>
          <w:sz w:val="24"/>
          <w:szCs w:val="24"/>
          <w:lang w:val="en-GB" w:eastAsia="nl-NL"/>
        </w:rPr>
        <w:t xml:space="preserve"> </w:t>
      </w:r>
      <w:r w:rsidRPr="001C3072">
        <w:rPr>
          <w:rFonts w:ascii="Book Antiqua" w:hAnsi="Book Antiqua"/>
          <w:b/>
          <w:sz w:val="24"/>
          <w:szCs w:val="24"/>
          <w:lang w:val="en-GB" w:eastAsia="nl-NL"/>
        </w:rPr>
        <w:t xml:space="preserve">The 2008 </w:t>
      </w:r>
      <w:r w:rsidRPr="001C3072">
        <w:rPr>
          <w:rFonts w:ascii="Book Antiqua" w:hAnsi="Book Antiqua"/>
          <w:b/>
          <w:bCs/>
          <w:sz w:val="24"/>
          <w:szCs w:val="24"/>
          <w:lang w:val="en-GB" w:eastAsia="nl-NL"/>
        </w:rPr>
        <w:t>World Health Organization</w:t>
      </w:r>
      <w:r w:rsidRPr="001C3072">
        <w:rPr>
          <w:rFonts w:ascii="Book Antiqua" w:hAnsi="Book Antiqua"/>
          <w:b/>
          <w:sz w:val="24"/>
          <w:szCs w:val="24"/>
          <w:lang w:val="en-GB" w:eastAsia="nl-NL"/>
        </w:rPr>
        <w:t xml:space="preserve"> and European clinical, molecular and pathological</w:t>
      </w:r>
      <w:r w:rsidRPr="001C3072">
        <w:rPr>
          <w:rFonts w:ascii="Book Antiqua" w:hAnsi="Book Antiqua"/>
          <w:b/>
          <w:sz w:val="24"/>
          <w:szCs w:val="24"/>
          <w:lang w:val="en-GB" w:eastAsia="zh-CN"/>
        </w:rPr>
        <w:t xml:space="preserve"> </w:t>
      </w:r>
      <w:r w:rsidRPr="001C3072">
        <w:rPr>
          <w:rFonts w:ascii="Book Antiqua" w:hAnsi="Book Antiqua"/>
          <w:b/>
          <w:sz w:val="24"/>
          <w:szCs w:val="24"/>
          <w:lang w:val="en-GB" w:eastAsia="nl-NL"/>
        </w:rPr>
        <w:t>criteria for the diagnosis of polycythemia vera and diagnostic differentiation between polycythemia vera and congenital or acquired erythrocytosis</w:t>
      </w:r>
    </w:p>
    <w:tbl>
      <w:tblPr>
        <w:tblW w:w="9150" w:type="dxa"/>
        <w:tblBorders>
          <w:top w:val="single" w:sz="4" w:space="0" w:color="000000"/>
          <w:bottom w:val="single" w:sz="4" w:space="0" w:color="000000"/>
        </w:tblBorders>
        <w:tblLayout w:type="fixed"/>
        <w:tblCellMar>
          <w:left w:w="10" w:type="dxa"/>
          <w:right w:w="10" w:type="dxa"/>
        </w:tblCellMar>
        <w:tblLook w:val="00A0" w:firstRow="1" w:lastRow="0" w:firstColumn="1" w:lastColumn="0" w:noHBand="0" w:noVBand="0"/>
      </w:tblPr>
      <w:tblGrid>
        <w:gridCol w:w="4509"/>
        <w:gridCol w:w="4641"/>
      </w:tblGrid>
      <w:tr w:rsidR="00702CE8" w:rsidRPr="00DD0EC2" w:rsidTr="0021527B">
        <w:trPr>
          <w:trHeight w:val="402"/>
        </w:trPr>
        <w:tc>
          <w:tcPr>
            <w:tcW w:w="4509" w:type="dxa"/>
            <w:tcBorders>
              <w:top w:val="single" w:sz="4" w:space="0" w:color="000000"/>
              <w:bottom w:val="single" w:sz="4" w:space="0" w:color="000000"/>
            </w:tcBorders>
            <w:tcMar>
              <w:top w:w="0" w:type="dxa"/>
              <w:left w:w="108" w:type="dxa"/>
              <w:bottom w:w="0" w:type="dxa"/>
              <w:right w:w="108" w:type="dxa"/>
            </w:tcMar>
            <w:vAlign w:val="center"/>
          </w:tcPr>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bCs/>
                <w:sz w:val="24"/>
                <w:szCs w:val="24"/>
                <w:lang w:val="en-US" w:eastAsia="ja-JP"/>
              </w:rPr>
              <w:t xml:space="preserve">Clinical and Molecular criteria </w:t>
            </w:r>
          </w:p>
        </w:tc>
        <w:tc>
          <w:tcPr>
            <w:tcW w:w="4641" w:type="dxa"/>
            <w:tcBorders>
              <w:top w:val="single" w:sz="4" w:space="0" w:color="000000"/>
              <w:bottom w:val="single" w:sz="4" w:space="0" w:color="000000"/>
            </w:tcBorders>
            <w:tcMar>
              <w:top w:w="0" w:type="dxa"/>
              <w:left w:w="108" w:type="dxa"/>
              <w:bottom w:w="0" w:type="dxa"/>
              <w:right w:w="108" w:type="dxa"/>
            </w:tcMar>
            <w:vAlign w:val="center"/>
          </w:tcPr>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bCs/>
                <w:sz w:val="24"/>
                <w:szCs w:val="24"/>
                <w:lang w:val="en-US" w:eastAsia="ja-JP"/>
              </w:rPr>
              <w:t>Pathological criteria (WHO)</w:t>
            </w:r>
          </w:p>
        </w:tc>
      </w:tr>
      <w:tr w:rsidR="00702CE8" w:rsidRPr="00DD0EC2" w:rsidTr="0021527B">
        <w:trPr>
          <w:trHeight w:val="285"/>
        </w:trPr>
        <w:tc>
          <w:tcPr>
            <w:tcW w:w="4509" w:type="dxa"/>
            <w:tcBorders>
              <w:top w:val="single" w:sz="4" w:space="0" w:color="000000"/>
            </w:tcBorders>
            <w:tcMar>
              <w:top w:w="0" w:type="dxa"/>
              <w:left w:w="108" w:type="dxa"/>
              <w:bottom w:w="0" w:type="dxa"/>
              <w:right w:w="108" w:type="dxa"/>
            </w:tcMar>
            <w:vAlign w:val="center"/>
          </w:tcPr>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sz w:val="24"/>
                <w:szCs w:val="24"/>
                <w:lang w:val="en-GB" w:eastAsia="ja-JP"/>
              </w:rPr>
              <w:t>Major PV criteria</w:t>
            </w:r>
          </w:p>
        </w:tc>
        <w:tc>
          <w:tcPr>
            <w:tcW w:w="4641" w:type="dxa"/>
            <w:vMerge w:val="restart"/>
            <w:tcBorders>
              <w:top w:val="single" w:sz="4" w:space="0" w:color="000000"/>
            </w:tcBorders>
            <w:tcMar>
              <w:top w:w="0" w:type="dxa"/>
              <w:left w:w="108" w:type="dxa"/>
              <w:bottom w:w="0" w:type="dxa"/>
              <w:right w:w="108" w:type="dxa"/>
            </w:tcMar>
          </w:tcPr>
          <w:p w:rsidR="00702CE8" w:rsidRPr="00CC3D0A" w:rsidRDefault="00702CE8" w:rsidP="00AC3FB8">
            <w:pPr>
              <w:suppressAutoHyphens/>
              <w:autoSpaceDN w:val="0"/>
              <w:spacing w:after="0" w:line="360" w:lineRule="auto"/>
              <w:jc w:val="both"/>
              <w:rPr>
                <w:rFonts w:ascii="Book Antiqua" w:eastAsia="MS Mincho" w:hAnsi="Book Antiqua"/>
                <w:b/>
                <w:bCs/>
                <w:sz w:val="24"/>
                <w:szCs w:val="24"/>
                <w:lang w:val="en-GB" w:eastAsia="ja-JP"/>
              </w:rPr>
            </w:pPr>
            <w:r w:rsidRPr="00CC3D0A">
              <w:rPr>
                <w:rFonts w:ascii="Book Antiqua" w:eastAsia="MS Mincho" w:hAnsi="Book Antiqua"/>
                <w:b/>
                <w:bCs/>
                <w:sz w:val="24"/>
                <w:szCs w:val="24"/>
                <w:lang w:val="en-GB" w:eastAsia="ja-JP"/>
              </w:rPr>
              <w:t>P 1. Early PV</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GB" w:eastAsia="ja-JP"/>
              </w:rPr>
            </w:pP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 xml:space="preserve"> Increased cellularity of bone marrow predominantly due to increased erythropoiesis and loose clusters of large megakaryocytes with hyperlobulated nuclei. No or slight increase of granulopoiesis and reticulin fibrosis.</w:t>
            </w: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t>P 2. Overt PV</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GB" w:eastAsia="ja-JP"/>
              </w:rPr>
            </w:pPr>
            <w:r w:rsidRPr="00CC3D0A">
              <w:rPr>
                <w:rFonts w:ascii="Book Antiqua" w:eastAsia="MS Mincho" w:hAnsi="Book Antiqua"/>
                <w:sz w:val="24"/>
                <w:szCs w:val="24"/>
                <w:lang w:val="en-GB" w:eastAsia="ja-JP"/>
              </w:rPr>
              <w:tab/>
              <w:t>Hypercellular (75-100%) bone marrow</w:t>
            </w:r>
            <w:r>
              <w:rPr>
                <w:rFonts w:ascii="Book Antiqua" w:eastAsia="MS Mincho" w:hAnsi="Book Antiqua"/>
                <w:sz w:val="24"/>
                <w:szCs w:val="24"/>
                <w:lang w:val="en-GB" w:eastAsia="ja-JP"/>
              </w:rPr>
              <w:t xml:space="preserve"> </w:t>
            </w:r>
            <w:r w:rsidRPr="00CC3D0A">
              <w:rPr>
                <w:rFonts w:ascii="Book Antiqua" w:eastAsia="MS Mincho" w:hAnsi="Book Antiqua"/>
                <w:sz w:val="24"/>
                <w:szCs w:val="24"/>
                <w:lang w:val="en-GB" w:eastAsia="ja-JP"/>
              </w:rPr>
              <w:t xml:space="preserve">due to trilinear increase of erythropoiesis, megakaryopoiesis and </w:t>
            </w:r>
            <w:r w:rsidRPr="00CC3D0A">
              <w:rPr>
                <w:rFonts w:ascii="Book Antiqua" w:eastAsia="MS Mincho" w:hAnsi="Book Antiqua"/>
                <w:sz w:val="24"/>
                <w:szCs w:val="24"/>
                <w:lang w:val="en-GB" w:eastAsia="ja-JP"/>
              </w:rPr>
              <w:lastRenderedPageBreak/>
              <w:t>granulopoiesis and clustering of small to giant (pleomorph) megakaryocytes with hyperlobulated nuclei. Absence of stainable iron.</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sz w:val="24"/>
                <w:szCs w:val="24"/>
                <w:lang w:val="en-GB" w:eastAsia="ja-JP"/>
              </w:rPr>
              <w:t>P3.</w:t>
            </w:r>
            <w:r w:rsidRPr="00CC3D0A">
              <w:rPr>
                <w:rFonts w:ascii="Book Antiqua" w:eastAsia="MS Mincho" w:hAnsi="Book Antiqua"/>
                <w:sz w:val="24"/>
                <w:szCs w:val="24"/>
                <w:lang w:val="en-GB" w:eastAsia="ja-JP"/>
              </w:rPr>
              <w:tab/>
              <w:t>Erythrocytosis</w:t>
            </w:r>
          </w:p>
          <w:p w:rsidR="00702CE8" w:rsidRPr="00CC3D0A" w:rsidRDefault="00702CE8" w:rsidP="00AC3FB8">
            <w:pPr>
              <w:widowControl w:val="0"/>
              <w:suppressAutoHyphens/>
              <w:autoSpaceDE w:val="0"/>
              <w:autoSpaceDN w:val="0"/>
              <w:spacing w:after="0" w:line="360" w:lineRule="auto"/>
              <w:jc w:val="both"/>
              <w:rPr>
                <w:rFonts w:ascii="Book Antiqua" w:eastAsia="MS Mincho" w:hAnsi="Book Antiqua" w:cs="Times New Roman Standard"/>
                <w:sz w:val="24"/>
                <w:szCs w:val="24"/>
                <w:lang w:val="en-GB" w:eastAsia="nl-NL"/>
              </w:rPr>
            </w:pPr>
            <w:r>
              <w:rPr>
                <w:rFonts w:ascii="Book Antiqua" w:eastAsia="MS Mincho" w:hAnsi="Book Antiqua" w:cs="Times New Roman Standard"/>
                <w:sz w:val="24"/>
                <w:szCs w:val="24"/>
                <w:lang w:val="en-GB" w:eastAsia="nl-NL"/>
              </w:rPr>
              <w:t xml:space="preserve">   </w:t>
            </w:r>
            <w:r w:rsidRPr="00CC3D0A">
              <w:rPr>
                <w:rFonts w:ascii="Book Antiqua" w:eastAsia="MS Mincho" w:hAnsi="Book Antiqua" w:cs="Times New Roman Standard"/>
                <w:sz w:val="24"/>
                <w:szCs w:val="24"/>
                <w:lang w:val="en-GB" w:eastAsia="nl-NL"/>
              </w:rPr>
              <w:t xml:space="preserve"> Selective increase of erythropoiesis, normal granulopoiesis and megakaryocytes of normal size, morphology and no clustering of megakaryocytes in primary or secondary erythrocytosis</w:t>
            </w:r>
          </w:p>
          <w:p w:rsidR="00702CE8" w:rsidRPr="00CC3D0A" w:rsidRDefault="00702CE8" w:rsidP="00AC3FB8">
            <w:pPr>
              <w:pBdr>
                <w:top w:val="single" w:sz="6" w:space="0" w:color="FFFFFF"/>
                <w:left w:val="single" w:sz="6" w:space="0" w:color="FFFFFF"/>
                <w:bottom w:val="single" w:sz="6" w:space="0" w:color="FFFFFF"/>
                <w:right w:val="single" w:sz="6" w:space="0" w:color="FFFFFF"/>
              </w:pBdr>
              <w:tabs>
                <w:tab w:val="left" w:pos="-1142"/>
                <w:tab w:val="left" w:pos="-720"/>
                <w:tab w:val="left" w:pos="0"/>
                <w:tab w:val="left" w:pos="217"/>
                <w:tab w:val="left" w:pos="111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t>Grading of reticulin fibrosis (RF 0,1, 2, 3)</w:t>
            </w:r>
          </w:p>
          <w:p w:rsidR="00702CE8" w:rsidRPr="00CC3D0A" w:rsidRDefault="00702CE8" w:rsidP="00AC3FB8">
            <w:pPr>
              <w:pBdr>
                <w:top w:val="single" w:sz="6" w:space="0" w:color="FFFFFF"/>
                <w:left w:val="single" w:sz="6" w:space="0" w:color="FFFFFF"/>
                <w:bottom w:val="single" w:sz="6" w:space="0" w:color="FFFFFF"/>
                <w:right w:val="single" w:sz="6" w:space="0" w:color="FFFFFF"/>
              </w:pBdr>
              <w:tabs>
                <w:tab w:val="left" w:pos="-1142"/>
                <w:tab w:val="left" w:pos="-720"/>
                <w:tab w:val="left" w:pos="0"/>
                <w:tab w:val="left" w:pos="217"/>
                <w:tab w:val="left" w:pos="1110"/>
                <w:tab w:val="left" w:pos="2160"/>
                <w:tab w:val="left" w:pos="2880"/>
                <w:tab w:val="left" w:pos="3600"/>
                <w:tab w:val="left" w:pos="4320"/>
                <w:tab w:val="left" w:pos="5040"/>
                <w:tab w:val="left" w:pos="5760"/>
                <w:tab w:val="left" w:pos="6480"/>
                <w:tab w:val="left" w:pos="7200"/>
                <w:tab w:val="left" w:pos="7920"/>
                <w:tab w:val="left" w:pos="8640"/>
              </w:tabs>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sz w:val="24"/>
                <w:szCs w:val="24"/>
                <w:lang w:val="en-GB" w:eastAsia="ja-JP"/>
              </w:rPr>
              <w:t xml:space="preserve">Grading of reticulin and collagen fibrosis; myelofibrosis MF grade 1, 2 and 3 </w:t>
            </w:r>
          </w:p>
        </w:tc>
      </w:tr>
      <w:tr w:rsidR="00702CE8" w:rsidRPr="00DD0EC2" w:rsidTr="0021527B">
        <w:trPr>
          <w:trHeight w:val="2745"/>
        </w:trPr>
        <w:tc>
          <w:tcPr>
            <w:tcW w:w="4509" w:type="dxa"/>
            <w:tcMar>
              <w:top w:w="0" w:type="dxa"/>
              <w:left w:w="108" w:type="dxa"/>
              <w:bottom w:w="0" w:type="dxa"/>
              <w:right w:w="108" w:type="dxa"/>
            </w:tcMar>
            <w:vAlign w:val="center"/>
          </w:tcPr>
          <w:p w:rsidR="00702CE8" w:rsidRPr="00CC3D0A" w:rsidRDefault="00702CE8" w:rsidP="00AC3FB8">
            <w:pPr>
              <w:suppressAutoHyphens/>
              <w:autoSpaceDN w:val="0"/>
              <w:spacing w:after="0" w:line="360" w:lineRule="auto"/>
              <w:jc w:val="both"/>
              <w:rPr>
                <w:rFonts w:ascii="Book Antiqua" w:eastAsia="MS Mincho" w:hAnsi="Book Antiqua"/>
                <w:sz w:val="24"/>
                <w:szCs w:val="24"/>
                <w:vertAlign w:val="superscript"/>
                <w:lang w:val="en-GB" w:eastAsia="ja-JP"/>
              </w:rPr>
            </w:pPr>
            <w:r w:rsidRPr="00CC3D0A">
              <w:rPr>
                <w:rFonts w:ascii="Book Antiqua" w:eastAsia="MS Mincho" w:hAnsi="Book Antiqua"/>
                <w:b/>
                <w:sz w:val="24"/>
                <w:szCs w:val="24"/>
                <w:lang w:val="en-GB" w:eastAsia="ja-JP"/>
              </w:rPr>
              <w:t>A0.</w:t>
            </w:r>
            <w:r w:rsidRPr="00CC3D0A">
              <w:rPr>
                <w:rFonts w:ascii="Book Antiqua" w:eastAsia="MS Mincho" w:hAnsi="Book Antiqua"/>
                <w:b/>
                <w:sz w:val="24"/>
                <w:szCs w:val="24"/>
                <w:lang w:val="en-GB" w:eastAsia="ja-JP"/>
              </w:rPr>
              <w:tab/>
              <w:t xml:space="preserve">Early PV. </w:t>
            </w:r>
            <w:r w:rsidRPr="00CC3D0A">
              <w:rPr>
                <w:rFonts w:ascii="Book Antiqua" w:eastAsia="MS Mincho" w:hAnsi="Book Antiqua"/>
                <w:sz w:val="24"/>
                <w:szCs w:val="24"/>
                <w:lang w:val="en-GB" w:eastAsia="ja-JP"/>
              </w:rPr>
              <w:t>Hematocrit in the upper limit of normal: Ht: 0.45 to 0.51 in male and 0.43 to 0.48 in female. Erythrocytes &lt;6x10</w:t>
            </w:r>
            <w:r w:rsidRPr="00CC3D0A">
              <w:rPr>
                <w:rFonts w:ascii="Book Antiqua" w:eastAsia="MS Mincho" w:hAnsi="Book Antiqua"/>
                <w:sz w:val="24"/>
                <w:szCs w:val="24"/>
                <w:vertAlign w:val="superscript"/>
                <w:lang w:val="en-GB" w:eastAsia="ja-JP"/>
              </w:rPr>
              <w:t>12</w:t>
            </w:r>
            <w:r w:rsidRPr="00CC3D0A">
              <w:rPr>
                <w:rFonts w:ascii="Book Antiqua" w:eastAsia="MS Mincho" w:hAnsi="Book Antiqua"/>
                <w:sz w:val="24"/>
                <w:szCs w:val="24"/>
                <w:lang w:val="en-GB" w:eastAsia="ja-JP"/>
              </w:rPr>
              <w:t>/L</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sz w:val="24"/>
                <w:szCs w:val="24"/>
                <w:lang w:val="en-GB" w:eastAsia="ja-JP"/>
              </w:rPr>
              <w:t>Erythrocytes &gt;6x10</w:t>
            </w:r>
            <w:r w:rsidRPr="00CC3D0A">
              <w:rPr>
                <w:rFonts w:ascii="Book Antiqua" w:eastAsia="MS Mincho" w:hAnsi="Book Antiqua"/>
                <w:sz w:val="24"/>
                <w:szCs w:val="24"/>
                <w:vertAlign w:val="superscript"/>
                <w:lang w:val="en-GB" w:eastAsia="ja-JP"/>
              </w:rPr>
              <w:t>12</w:t>
            </w:r>
            <w:r w:rsidRPr="00CC3D0A">
              <w:rPr>
                <w:rFonts w:ascii="Book Antiqua" w:eastAsia="MS Mincho" w:hAnsi="Book Antiqua"/>
                <w:sz w:val="24"/>
                <w:szCs w:val="24"/>
                <w:lang w:val="en-GB" w:eastAsia="ja-JP"/>
              </w:rPr>
              <w:t>/L</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bCs/>
                <w:sz w:val="24"/>
                <w:szCs w:val="24"/>
                <w:lang w:val="en-GB" w:eastAsia="ja-JP"/>
              </w:rPr>
              <w:t>A1.</w:t>
            </w:r>
            <w:r w:rsidRPr="00CC3D0A">
              <w:rPr>
                <w:rFonts w:ascii="Book Antiqua" w:eastAsia="MS Mincho" w:hAnsi="Book Antiqua"/>
                <w:b/>
                <w:bCs/>
                <w:sz w:val="24"/>
                <w:szCs w:val="24"/>
                <w:lang w:val="en-GB" w:eastAsia="ja-JP"/>
              </w:rPr>
              <w:tab/>
            </w:r>
            <w:r w:rsidRPr="00CC3D0A">
              <w:rPr>
                <w:rFonts w:ascii="Book Antiqua" w:eastAsia="MS Mincho" w:hAnsi="Book Antiqua"/>
                <w:bCs/>
                <w:sz w:val="24"/>
                <w:szCs w:val="24"/>
                <w:lang w:val="en-GB" w:eastAsia="ja-JP"/>
              </w:rPr>
              <w:t>C</w:t>
            </w:r>
            <w:r w:rsidRPr="00CC3D0A">
              <w:rPr>
                <w:rFonts w:ascii="Book Antiqua" w:eastAsia="MS Mincho" w:hAnsi="Book Antiqua"/>
                <w:sz w:val="24"/>
                <w:szCs w:val="24"/>
                <w:lang w:val="en-GB" w:eastAsia="ja-JP"/>
              </w:rPr>
              <w:t>lassical WHO defined PV: Hematocrit &gt;0.51/&gt;0.48 in male/female, Erythrocytes &gt;6x10</w:t>
            </w:r>
            <w:r w:rsidRPr="00CC3D0A">
              <w:rPr>
                <w:rFonts w:ascii="Book Antiqua" w:eastAsia="MS Mincho" w:hAnsi="Book Antiqua"/>
                <w:sz w:val="24"/>
                <w:szCs w:val="24"/>
                <w:vertAlign w:val="superscript"/>
                <w:lang w:val="en-GB" w:eastAsia="ja-JP"/>
              </w:rPr>
              <w:t>12</w:t>
            </w:r>
            <w:r w:rsidRPr="00CC3D0A">
              <w:rPr>
                <w:rFonts w:ascii="Book Antiqua" w:eastAsia="MS Mincho" w:hAnsi="Book Antiqua"/>
                <w:sz w:val="24"/>
                <w:szCs w:val="24"/>
                <w:lang w:val="en-GB" w:eastAsia="ja-JP"/>
              </w:rPr>
              <w:t>/L</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sz w:val="24"/>
                <w:szCs w:val="24"/>
                <w:lang w:val="en-GB" w:eastAsia="ja-JP"/>
              </w:rPr>
              <w:t>A2.</w:t>
            </w:r>
            <w:r w:rsidRPr="00CC3D0A">
              <w:rPr>
                <w:rFonts w:ascii="Book Antiqua" w:eastAsia="MS Mincho" w:hAnsi="Book Antiqua"/>
                <w:b/>
                <w:sz w:val="24"/>
                <w:szCs w:val="24"/>
                <w:lang w:val="en-GB" w:eastAsia="ja-JP"/>
              </w:rPr>
              <w:tab/>
            </w:r>
            <w:r w:rsidRPr="00CC3D0A">
              <w:rPr>
                <w:rFonts w:ascii="Book Antiqua" w:eastAsia="MS Mincho" w:hAnsi="Book Antiqua"/>
                <w:sz w:val="24"/>
                <w:szCs w:val="24"/>
                <w:lang w:val="en-GB" w:eastAsia="ja-JP"/>
              </w:rPr>
              <w:t>Presence of JAK2V617F mutation (sensitivity 95%) or exon 12 mutation</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sz w:val="24"/>
                <w:szCs w:val="24"/>
                <w:lang w:val="en-GB" w:eastAsia="ja-JP"/>
              </w:rPr>
              <w:lastRenderedPageBreak/>
              <w:t>A3.</w:t>
            </w:r>
            <w:r w:rsidRPr="00CC3D0A">
              <w:rPr>
                <w:rFonts w:ascii="Book Antiqua" w:eastAsia="MS Mincho" w:hAnsi="Book Antiqua"/>
                <w:sz w:val="24"/>
                <w:szCs w:val="24"/>
                <w:lang w:val="en-GB" w:eastAsia="ja-JP"/>
              </w:rPr>
              <w:tab/>
              <w:t>Low serum EPO level and/or spontaneous endogenous erythroid colony (EEC) formation</w:t>
            </w:r>
          </w:p>
        </w:tc>
        <w:tc>
          <w:tcPr>
            <w:tcW w:w="4641" w:type="dxa"/>
            <w:vMerge/>
            <w:vAlign w:val="center"/>
          </w:tcPr>
          <w:p w:rsidR="00702CE8" w:rsidRPr="00CC3D0A" w:rsidRDefault="00702CE8" w:rsidP="00AC3FB8">
            <w:pPr>
              <w:spacing w:after="0" w:line="360" w:lineRule="auto"/>
              <w:jc w:val="both"/>
              <w:rPr>
                <w:rFonts w:ascii="Book Antiqua" w:eastAsia="MS Mincho" w:hAnsi="Book Antiqua"/>
                <w:sz w:val="24"/>
                <w:szCs w:val="24"/>
                <w:lang w:val="en-US" w:eastAsia="ja-JP"/>
              </w:rPr>
            </w:pPr>
          </w:p>
        </w:tc>
      </w:tr>
      <w:tr w:rsidR="00702CE8" w:rsidRPr="00DD0EC2" w:rsidTr="0021527B">
        <w:trPr>
          <w:trHeight w:val="285"/>
        </w:trPr>
        <w:tc>
          <w:tcPr>
            <w:tcW w:w="4509" w:type="dxa"/>
            <w:tcMar>
              <w:top w:w="0" w:type="dxa"/>
              <w:left w:w="108" w:type="dxa"/>
              <w:bottom w:w="0" w:type="dxa"/>
              <w:right w:w="108" w:type="dxa"/>
            </w:tcMar>
            <w:vAlign w:val="center"/>
          </w:tcPr>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GB" w:eastAsia="ja-JP"/>
              </w:rPr>
            </w:pPr>
            <w:r w:rsidRPr="00CC3D0A">
              <w:rPr>
                <w:rFonts w:ascii="Book Antiqua" w:eastAsia="MS Mincho" w:hAnsi="Book Antiqua"/>
                <w:b/>
                <w:sz w:val="24"/>
                <w:szCs w:val="24"/>
                <w:lang w:val="en-GB" w:eastAsia="ja-JP"/>
              </w:rPr>
              <w:lastRenderedPageBreak/>
              <w:t>Minor MPD criteria</w:t>
            </w:r>
          </w:p>
        </w:tc>
        <w:tc>
          <w:tcPr>
            <w:tcW w:w="4641" w:type="dxa"/>
            <w:vMerge/>
            <w:vAlign w:val="center"/>
          </w:tcPr>
          <w:p w:rsidR="00702CE8" w:rsidRPr="00CC3D0A" w:rsidRDefault="00702CE8" w:rsidP="00AC3FB8">
            <w:pPr>
              <w:spacing w:after="0" w:line="360" w:lineRule="auto"/>
              <w:jc w:val="both"/>
              <w:rPr>
                <w:rFonts w:ascii="Book Antiqua" w:eastAsia="MS Mincho" w:hAnsi="Book Antiqua"/>
                <w:sz w:val="24"/>
                <w:szCs w:val="24"/>
                <w:lang w:val="en-US" w:eastAsia="ja-JP"/>
              </w:rPr>
            </w:pPr>
          </w:p>
        </w:tc>
      </w:tr>
      <w:tr w:rsidR="00702CE8" w:rsidRPr="00DD0EC2" w:rsidTr="0021527B">
        <w:trPr>
          <w:trHeight w:val="2445"/>
        </w:trPr>
        <w:tc>
          <w:tcPr>
            <w:tcW w:w="4509" w:type="dxa"/>
            <w:tcBorders>
              <w:bottom w:val="single" w:sz="4" w:space="0" w:color="000000"/>
            </w:tcBorders>
            <w:tcMar>
              <w:top w:w="0" w:type="dxa"/>
              <w:left w:w="108" w:type="dxa"/>
              <w:bottom w:w="0" w:type="dxa"/>
              <w:right w:w="108" w:type="dxa"/>
            </w:tcMar>
            <w:vAlign w:val="center"/>
          </w:tcPr>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sz w:val="24"/>
                <w:szCs w:val="24"/>
                <w:lang w:val="en-GB" w:eastAsia="ja-JP"/>
              </w:rPr>
              <w:t>B1.</w:t>
            </w:r>
            <w:r w:rsidRPr="00CC3D0A">
              <w:rPr>
                <w:rFonts w:ascii="Book Antiqua" w:eastAsia="MS Mincho" w:hAnsi="Book Antiqua"/>
                <w:sz w:val="24"/>
                <w:szCs w:val="24"/>
                <w:lang w:val="en-GB" w:eastAsia="ja-JP"/>
              </w:rPr>
              <w:tab/>
              <w:t>Persistent increase of platelet count: grade I: 400-1500, grade II: &gt;1500</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sz w:val="24"/>
                <w:szCs w:val="24"/>
                <w:lang w:val="en-GB" w:eastAsia="ja-JP"/>
              </w:rPr>
              <w:t>B2.</w:t>
            </w:r>
            <w:r w:rsidRPr="00CC3D0A">
              <w:rPr>
                <w:rFonts w:ascii="Book Antiqua" w:eastAsia="MS Mincho" w:hAnsi="Book Antiqua"/>
                <w:sz w:val="24"/>
                <w:szCs w:val="24"/>
                <w:lang w:val="en-GB" w:eastAsia="ja-JP"/>
              </w:rPr>
              <w:tab/>
              <w:t>Granulocytes &gt;10 x10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/l or Leukocytes &gt;12 x10</w:t>
            </w:r>
            <w:r w:rsidRPr="00CC3D0A">
              <w:rPr>
                <w:rFonts w:ascii="Book Antiqua" w:eastAsia="MS Mincho" w:hAnsi="Book Antiqua"/>
                <w:sz w:val="24"/>
                <w:szCs w:val="24"/>
                <w:vertAlign w:val="superscript"/>
                <w:lang w:val="en-GB" w:eastAsia="ja-JP"/>
              </w:rPr>
              <w:t>9</w:t>
            </w:r>
            <w:r w:rsidRPr="00CC3D0A">
              <w:rPr>
                <w:rFonts w:ascii="Book Antiqua" w:eastAsia="MS Mincho" w:hAnsi="Book Antiqua"/>
                <w:sz w:val="24"/>
                <w:szCs w:val="24"/>
                <w:lang w:val="en-GB" w:eastAsia="ja-JP"/>
              </w:rPr>
              <w:t>/l and/or raised LAP-score or increased PRV-1 expression in the absence of fever or infection</w:t>
            </w: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US" w:eastAsia="ja-JP"/>
              </w:rPr>
            </w:pPr>
            <w:r w:rsidRPr="00CC3D0A">
              <w:rPr>
                <w:rFonts w:ascii="Book Antiqua" w:eastAsia="MS Mincho" w:hAnsi="Book Antiqua"/>
                <w:b/>
                <w:sz w:val="24"/>
                <w:szCs w:val="24"/>
                <w:lang w:val="en-GB" w:eastAsia="ja-JP"/>
              </w:rPr>
              <w:t>B3.</w:t>
            </w:r>
            <w:r w:rsidRPr="00CC3D0A">
              <w:rPr>
                <w:rFonts w:ascii="Book Antiqua" w:eastAsia="MS Mincho" w:hAnsi="Book Antiqua"/>
                <w:sz w:val="24"/>
                <w:szCs w:val="24"/>
                <w:lang w:val="en-GB" w:eastAsia="ja-JP"/>
              </w:rPr>
              <w:tab/>
              <w:t>Splenomegaly on palpation or on ultrasound echogram (&gt;12 cm length in diameter)</w:t>
            </w:r>
          </w:p>
        </w:tc>
        <w:tc>
          <w:tcPr>
            <w:tcW w:w="4641" w:type="dxa"/>
            <w:vMerge/>
            <w:tcBorders>
              <w:bottom w:val="single" w:sz="4" w:space="0" w:color="000000"/>
            </w:tcBorders>
            <w:vAlign w:val="center"/>
          </w:tcPr>
          <w:p w:rsidR="00702CE8" w:rsidRPr="00CC3D0A" w:rsidRDefault="00702CE8" w:rsidP="00AC3FB8">
            <w:pPr>
              <w:spacing w:after="0" w:line="360" w:lineRule="auto"/>
              <w:jc w:val="both"/>
              <w:rPr>
                <w:rFonts w:ascii="Book Antiqua" w:eastAsia="MS Mincho" w:hAnsi="Book Antiqua"/>
                <w:sz w:val="24"/>
                <w:szCs w:val="24"/>
                <w:lang w:val="en-US" w:eastAsia="ja-JP"/>
              </w:rPr>
            </w:pPr>
          </w:p>
        </w:tc>
      </w:tr>
    </w:tbl>
    <w:p w:rsidR="00702CE8" w:rsidRPr="00CC3D0A" w:rsidRDefault="00702CE8" w:rsidP="00AC3FB8">
      <w:pPr>
        <w:suppressAutoHyphens/>
        <w:autoSpaceDN w:val="0"/>
        <w:spacing w:after="0" w:line="360" w:lineRule="auto"/>
        <w:jc w:val="both"/>
        <w:rPr>
          <w:rFonts w:ascii="Book Antiqua" w:hAnsi="Book Antiqua"/>
          <w:bCs/>
          <w:sz w:val="24"/>
          <w:szCs w:val="24"/>
          <w:lang w:val="en-GB" w:eastAsia="nl-NL"/>
        </w:rPr>
      </w:pPr>
      <w:r w:rsidRPr="00CD4F26">
        <w:rPr>
          <w:rFonts w:ascii="Book Antiqua" w:hAnsi="Book Antiqua"/>
          <w:bCs/>
          <w:sz w:val="24"/>
          <w:szCs w:val="24"/>
          <w:lang w:val="en-GB" w:eastAsia="nl-NL"/>
        </w:rPr>
        <w:t xml:space="preserve">World Health Organization </w:t>
      </w:r>
      <w:r>
        <w:rPr>
          <w:rFonts w:ascii="Book Antiqua" w:hAnsi="Book Antiqua"/>
          <w:bCs/>
          <w:sz w:val="24"/>
          <w:szCs w:val="24"/>
          <w:lang w:val="en-GB" w:eastAsia="zh-CN"/>
        </w:rPr>
        <w:t xml:space="preserve">(WHO) </w:t>
      </w:r>
      <w:r w:rsidRPr="00CD4F26">
        <w:rPr>
          <w:rFonts w:ascii="Book Antiqua" w:hAnsi="Book Antiqua"/>
          <w:bCs/>
          <w:sz w:val="24"/>
          <w:szCs w:val="24"/>
          <w:lang w:val="en-GB" w:eastAsia="nl-NL"/>
        </w:rPr>
        <w:t xml:space="preserve">and European clinical, molecular and pathological </w:t>
      </w:r>
      <w:r>
        <w:rPr>
          <w:rFonts w:ascii="Book Antiqua" w:hAnsi="Book Antiqua"/>
          <w:bCs/>
          <w:sz w:val="24"/>
          <w:szCs w:val="24"/>
          <w:lang w:val="en-GB" w:eastAsia="zh-CN"/>
        </w:rPr>
        <w:t xml:space="preserve">(ECMP) </w:t>
      </w:r>
      <w:r w:rsidRPr="00CC3D0A">
        <w:rPr>
          <w:rFonts w:ascii="Book Antiqua" w:hAnsi="Book Antiqua"/>
          <w:bCs/>
          <w:sz w:val="24"/>
          <w:szCs w:val="24"/>
          <w:lang w:val="en-GB" w:eastAsia="nl-NL"/>
        </w:rPr>
        <w:t xml:space="preserve">criteria criteria for early and overt </w:t>
      </w:r>
      <w:r w:rsidRPr="00CC3D0A">
        <w:rPr>
          <w:rFonts w:ascii="Book Antiqua" w:hAnsi="Book Antiqua"/>
          <w:sz w:val="24"/>
          <w:szCs w:val="24"/>
          <w:lang w:val="en-GB" w:eastAsia="nl-NL"/>
        </w:rPr>
        <w:t>polycythemia vera</w:t>
      </w:r>
      <w:r w:rsidRPr="00CC3D0A">
        <w:rPr>
          <w:rFonts w:ascii="Book Antiqua" w:hAnsi="Book Antiqua"/>
          <w:bCs/>
          <w:sz w:val="24"/>
          <w:szCs w:val="24"/>
          <w:lang w:val="en-GB" w:eastAsia="nl-NL"/>
        </w:rPr>
        <w:t xml:space="preserve"> </w:t>
      </w:r>
      <w:r>
        <w:rPr>
          <w:rFonts w:ascii="Book Antiqua" w:hAnsi="Book Antiqua"/>
          <w:bCs/>
          <w:sz w:val="24"/>
          <w:szCs w:val="24"/>
          <w:lang w:val="en-GB" w:eastAsia="zh-CN"/>
        </w:rPr>
        <w:t>(</w:t>
      </w:r>
      <w:r w:rsidRPr="00CC3D0A">
        <w:rPr>
          <w:rFonts w:ascii="Book Antiqua" w:hAnsi="Book Antiqua"/>
          <w:bCs/>
          <w:sz w:val="24"/>
          <w:szCs w:val="24"/>
          <w:lang w:val="en-GB" w:eastAsia="nl-NL"/>
        </w:rPr>
        <w:t>PV</w:t>
      </w:r>
      <w:r>
        <w:rPr>
          <w:rFonts w:ascii="Book Antiqua" w:hAnsi="Book Antiqua"/>
          <w:bCs/>
          <w:sz w:val="24"/>
          <w:szCs w:val="24"/>
          <w:lang w:val="en-GB" w:eastAsia="zh-CN"/>
        </w:rPr>
        <w:t xml:space="preserve">). </w:t>
      </w:r>
      <w:r w:rsidRPr="00CC3D0A">
        <w:rPr>
          <w:rFonts w:ascii="Book Antiqua" w:hAnsi="Book Antiqua"/>
          <w:bCs/>
          <w:sz w:val="24"/>
          <w:szCs w:val="24"/>
          <w:lang w:val="en-GB" w:eastAsia="nl-NL"/>
        </w:rPr>
        <w:t>A0, A2, B1 and P1 establish prodromal PV (ET stagee 2) PV ECMP stage 0, or masked PV</w:t>
      </w:r>
      <w:r>
        <w:rPr>
          <w:rFonts w:ascii="Book Antiqua" w:hAnsi="Book Antiqua"/>
          <w:bCs/>
          <w:sz w:val="24"/>
          <w:szCs w:val="24"/>
          <w:lang w:val="en-GB" w:eastAsia="zh-CN"/>
        </w:rPr>
        <w:t xml:space="preserve">; </w:t>
      </w:r>
      <w:r w:rsidRPr="00CC3D0A">
        <w:rPr>
          <w:rFonts w:ascii="Book Antiqua" w:hAnsi="Book Antiqua"/>
          <w:bCs/>
          <w:sz w:val="24"/>
          <w:szCs w:val="24"/>
          <w:lang w:val="en-GB" w:eastAsia="nl-NL"/>
        </w:rPr>
        <w:t>A1, A2, P1 and none of B establish so-called idiopathic erythrocytosis or polycythemic PV ECMP stage 1</w:t>
      </w:r>
      <w:r>
        <w:rPr>
          <w:rFonts w:ascii="Book Antiqua" w:hAnsi="Book Antiqua"/>
          <w:bCs/>
          <w:sz w:val="24"/>
          <w:szCs w:val="24"/>
          <w:lang w:val="en-GB" w:eastAsia="zh-CN"/>
        </w:rPr>
        <w:t xml:space="preserve">. </w:t>
      </w:r>
      <w:r w:rsidRPr="00CC3D0A">
        <w:rPr>
          <w:rFonts w:ascii="Book Antiqua" w:hAnsi="Book Antiqua"/>
          <w:bCs/>
          <w:sz w:val="24"/>
          <w:szCs w:val="24"/>
          <w:lang w:val="en-GB" w:eastAsia="nl-NL"/>
        </w:rPr>
        <w:t>A1, A2, P2 and one or more of B establish WHO defined classic and advanced PV ECMP stage 2 and 3</w:t>
      </w:r>
      <w:r>
        <w:rPr>
          <w:rFonts w:ascii="Book Antiqua" w:hAnsi="Book Antiqua"/>
          <w:bCs/>
          <w:sz w:val="24"/>
          <w:szCs w:val="24"/>
          <w:lang w:val="en-GB" w:eastAsia="zh-CN"/>
        </w:rPr>
        <w:t xml:space="preserve">. </w:t>
      </w:r>
      <w:r w:rsidRPr="00CC3D0A">
        <w:rPr>
          <w:rFonts w:ascii="Book Antiqua" w:hAnsi="Book Antiqua"/>
          <w:bCs/>
          <w:sz w:val="24"/>
          <w:szCs w:val="24"/>
          <w:lang w:val="en-GB" w:eastAsia="nl-NL"/>
        </w:rPr>
        <w:t xml:space="preserve">A1 and P3 with normal or increased values of serum EPO is consistent with congenital or secondary erythrocytosis. A3 confirms early and overt PV without the need of red cell mass measurement for clinicians who do not have access to a hematopathologist expert in </w:t>
      </w:r>
      <w:r w:rsidRPr="00CC3D0A">
        <w:rPr>
          <w:rFonts w:ascii="Book Antiqua" w:eastAsia="MS Mincho" w:hAnsi="Book Antiqua"/>
          <w:sz w:val="24"/>
          <w:szCs w:val="24"/>
          <w:lang w:val="en-GB" w:eastAsia="ja-JP"/>
        </w:rPr>
        <w:t>myeloproliferative disorders (MPD)</w:t>
      </w:r>
      <w:r w:rsidRPr="00CC3D0A">
        <w:rPr>
          <w:rFonts w:ascii="Book Antiqua" w:hAnsi="Book Antiqua"/>
          <w:bCs/>
          <w:sz w:val="24"/>
          <w:szCs w:val="24"/>
          <w:lang w:val="en-GB" w:eastAsia="nl-NL"/>
        </w:rPr>
        <w:t xml:space="preserve">. </w:t>
      </w:r>
    </w:p>
    <w:p w:rsidR="00702CE8" w:rsidRPr="00CC3D0A" w:rsidRDefault="00702CE8" w:rsidP="00AC3FB8">
      <w:pPr>
        <w:suppressAutoHyphens/>
        <w:autoSpaceDN w:val="0"/>
        <w:spacing w:after="0" w:line="360" w:lineRule="auto"/>
        <w:jc w:val="both"/>
        <w:rPr>
          <w:rFonts w:ascii="Book Antiqua" w:hAnsi="Book Antiqua"/>
          <w:bCs/>
          <w:sz w:val="24"/>
          <w:szCs w:val="24"/>
          <w:lang w:val="en-GB" w:eastAsia="nl-NL"/>
        </w:rPr>
      </w:pPr>
    </w:p>
    <w:p w:rsidR="00702CE8" w:rsidRPr="00CC3D0A" w:rsidRDefault="00702CE8" w:rsidP="00AC3FB8">
      <w:pPr>
        <w:suppressAutoHyphens/>
        <w:autoSpaceDN w:val="0"/>
        <w:spacing w:after="0" w:line="360" w:lineRule="auto"/>
        <w:jc w:val="both"/>
        <w:rPr>
          <w:rFonts w:ascii="Book Antiqua" w:eastAsia="MS Mincho" w:hAnsi="Book Antiqua"/>
          <w:sz w:val="24"/>
          <w:szCs w:val="24"/>
          <w:lang w:val="en-GB"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p>
    <w:p w:rsidR="00702CE8" w:rsidRDefault="00702CE8" w:rsidP="00AC3FB8">
      <w:pPr>
        <w:suppressAutoHyphens/>
        <w:autoSpaceDN w:val="0"/>
        <w:spacing w:after="0" w:line="360" w:lineRule="auto"/>
        <w:jc w:val="both"/>
        <w:rPr>
          <w:rFonts w:ascii="Book Antiqua" w:hAnsi="Book Antiqua"/>
          <w:b/>
          <w:sz w:val="24"/>
          <w:szCs w:val="24"/>
          <w:lang w:val="en-US" w:eastAsia="zh-CN"/>
        </w:rPr>
      </w:pPr>
    </w:p>
    <w:p w:rsidR="00702CE8" w:rsidRDefault="00702CE8" w:rsidP="00AC3FB8">
      <w:pPr>
        <w:suppressAutoHyphens/>
        <w:autoSpaceDN w:val="0"/>
        <w:spacing w:after="0" w:line="360" w:lineRule="auto"/>
        <w:jc w:val="both"/>
        <w:rPr>
          <w:rFonts w:ascii="Book Antiqua" w:hAnsi="Book Antiqua"/>
          <w:b/>
          <w:sz w:val="24"/>
          <w:szCs w:val="24"/>
          <w:lang w:val="en-US" w:eastAsia="zh-CN"/>
        </w:rPr>
      </w:pPr>
    </w:p>
    <w:p w:rsidR="00702CE8" w:rsidRDefault="00702CE8" w:rsidP="00AC3FB8">
      <w:pPr>
        <w:suppressAutoHyphens/>
        <w:autoSpaceDN w:val="0"/>
        <w:spacing w:after="0" w:line="360" w:lineRule="auto"/>
        <w:jc w:val="both"/>
        <w:rPr>
          <w:rFonts w:ascii="Book Antiqua" w:hAnsi="Book Antiqua"/>
          <w:b/>
          <w:sz w:val="24"/>
          <w:szCs w:val="24"/>
          <w:lang w:val="en-US" w:eastAsia="zh-CN"/>
        </w:rPr>
      </w:pPr>
    </w:p>
    <w:p w:rsidR="00702CE8" w:rsidRDefault="00702CE8" w:rsidP="00AC3FB8">
      <w:pPr>
        <w:suppressAutoHyphens/>
        <w:autoSpaceDN w:val="0"/>
        <w:spacing w:after="0" w:line="360" w:lineRule="auto"/>
        <w:jc w:val="both"/>
        <w:rPr>
          <w:rFonts w:ascii="Book Antiqua" w:hAnsi="Book Antiqua"/>
          <w:b/>
          <w:sz w:val="24"/>
          <w:szCs w:val="24"/>
          <w:lang w:val="en-US" w:eastAsia="zh-CN"/>
        </w:rPr>
      </w:pPr>
    </w:p>
    <w:p w:rsidR="00702CE8" w:rsidRDefault="00702CE8" w:rsidP="00AC3FB8">
      <w:pPr>
        <w:suppressAutoHyphens/>
        <w:autoSpaceDN w:val="0"/>
        <w:spacing w:after="0" w:line="360" w:lineRule="auto"/>
        <w:jc w:val="both"/>
        <w:rPr>
          <w:rFonts w:ascii="Book Antiqua" w:hAnsi="Book Antiqua"/>
          <w:b/>
          <w:sz w:val="24"/>
          <w:szCs w:val="24"/>
          <w:lang w:val="en-US" w:eastAsia="zh-CN"/>
        </w:rPr>
      </w:pPr>
    </w:p>
    <w:p w:rsidR="00702CE8" w:rsidRDefault="00702CE8" w:rsidP="00AC3FB8">
      <w:pPr>
        <w:suppressAutoHyphens/>
        <w:autoSpaceDN w:val="0"/>
        <w:spacing w:after="0" w:line="360" w:lineRule="auto"/>
        <w:jc w:val="both"/>
        <w:rPr>
          <w:rFonts w:ascii="Book Antiqua" w:hAnsi="Book Antiqua"/>
          <w:b/>
          <w:sz w:val="24"/>
          <w:szCs w:val="24"/>
          <w:lang w:val="en-US" w:eastAsia="zh-CN"/>
        </w:rPr>
      </w:pPr>
    </w:p>
    <w:p w:rsidR="00702CE8" w:rsidRPr="00A24312" w:rsidRDefault="00702CE8" w:rsidP="00AC3FB8">
      <w:pPr>
        <w:suppressAutoHyphens/>
        <w:autoSpaceDN w:val="0"/>
        <w:spacing w:after="0" w:line="360" w:lineRule="auto"/>
        <w:jc w:val="both"/>
        <w:rPr>
          <w:rFonts w:ascii="Book Antiqua" w:hAnsi="Book Antiqua"/>
          <w:b/>
          <w:sz w:val="24"/>
          <w:szCs w:val="24"/>
          <w:lang w:val="en-US" w:eastAsia="zh-CN"/>
        </w:rPr>
      </w:pPr>
      <w:r w:rsidRPr="00CC3D0A">
        <w:rPr>
          <w:rFonts w:ascii="Book Antiqua" w:eastAsia="MS Mincho" w:hAnsi="Book Antiqua"/>
          <w:b/>
          <w:sz w:val="24"/>
          <w:szCs w:val="24"/>
          <w:lang w:val="en-US" w:eastAsia="ja-JP"/>
        </w:rPr>
        <w:t>Table 4</w:t>
      </w:r>
      <w:r>
        <w:rPr>
          <w:rFonts w:ascii="Book Antiqua" w:hAnsi="Book Antiqua"/>
          <w:b/>
          <w:sz w:val="24"/>
          <w:szCs w:val="24"/>
          <w:lang w:val="en-US" w:eastAsia="zh-CN"/>
        </w:rPr>
        <w:t xml:space="preserve"> </w:t>
      </w:r>
      <w:r w:rsidRPr="001C3072">
        <w:rPr>
          <w:rFonts w:ascii="Book Antiqua" w:hAnsi="Book Antiqua"/>
          <w:b/>
          <w:bCs/>
          <w:sz w:val="24"/>
          <w:szCs w:val="24"/>
          <w:lang w:val="en-GB" w:eastAsia="nl-NL"/>
        </w:rPr>
        <w:t>World Health Organization</w:t>
      </w:r>
      <w:r w:rsidRPr="001C3072">
        <w:rPr>
          <w:rFonts w:ascii="Book Antiqua" w:hAnsi="Book Antiqua"/>
          <w:b/>
          <w:sz w:val="24"/>
          <w:szCs w:val="24"/>
          <w:lang w:val="en-GB" w:eastAsia="nl-NL"/>
        </w:rPr>
        <w:t xml:space="preserve"> and European clinical, molecular and pathological</w:t>
      </w:r>
      <w:r w:rsidRPr="00A24312">
        <w:rPr>
          <w:rFonts w:ascii="Book Antiqua" w:hAnsi="Book Antiqua"/>
          <w:b/>
          <w:sz w:val="24"/>
          <w:szCs w:val="24"/>
          <w:lang w:val="en-US" w:eastAsia="zh-CN"/>
        </w:rPr>
        <w:t xml:space="preserve"> criteria for diagnosis and staging of primary megakaryocytic granulocytic myeloproliferation, or primary myelofibrosis </w:t>
      </w:r>
    </w:p>
    <w:tbl>
      <w:tblPr>
        <w:tblW w:w="10710" w:type="dxa"/>
        <w:tblInd w:w="93" w:type="dxa"/>
        <w:tblBorders>
          <w:top w:val="single" w:sz="4" w:space="0" w:color="auto"/>
          <w:bottom w:val="single" w:sz="4" w:space="0" w:color="auto"/>
        </w:tblBorders>
        <w:tblLook w:val="00A0" w:firstRow="1" w:lastRow="0" w:firstColumn="1" w:lastColumn="0" w:noHBand="0" w:noVBand="0"/>
      </w:tblPr>
      <w:tblGrid>
        <w:gridCol w:w="1200"/>
        <w:gridCol w:w="3260"/>
        <w:gridCol w:w="940"/>
        <w:gridCol w:w="4180"/>
        <w:gridCol w:w="1130"/>
      </w:tblGrid>
      <w:tr w:rsidR="00702CE8" w:rsidRPr="00DD0EC2" w:rsidTr="00F33FEA">
        <w:trPr>
          <w:trHeight w:val="330"/>
        </w:trPr>
        <w:tc>
          <w:tcPr>
            <w:tcW w:w="1200" w:type="dxa"/>
            <w:tcBorders>
              <w:top w:val="single" w:sz="4" w:space="0" w:color="auto"/>
              <w:bottom w:val="single" w:sz="4" w:space="0" w:color="auto"/>
            </w:tcBorders>
            <w:noWrap/>
            <w:vAlign w:val="center"/>
          </w:tcPr>
          <w:p w:rsidR="00702CE8" w:rsidRPr="00F33FEA" w:rsidRDefault="00702CE8" w:rsidP="00AC3FB8">
            <w:pPr>
              <w:spacing w:after="0" w:line="240" w:lineRule="auto"/>
              <w:jc w:val="both"/>
              <w:rPr>
                <w:rFonts w:ascii="Book Antiqua" w:hAnsi="Book Antiqua" w:cs="宋体"/>
                <w:b/>
                <w:color w:val="000000"/>
                <w:sz w:val="18"/>
                <w:szCs w:val="18"/>
                <w:lang w:val="en-US" w:eastAsia="zh-CN"/>
              </w:rPr>
            </w:pPr>
            <w:r w:rsidRPr="00F33FEA">
              <w:rPr>
                <w:rFonts w:ascii="Book Antiqua" w:hAnsi="Book Antiqua" w:cs="宋体"/>
                <w:b/>
                <w:color w:val="000000"/>
                <w:sz w:val="18"/>
                <w:szCs w:val="18"/>
                <w:lang w:val="en-US" w:eastAsia="zh-CN"/>
              </w:rPr>
              <w:t>JJ Michiels</w:t>
            </w:r>
          </w:p>
        </w:tc>
        <w:tc>
          <w:tcPr>
            <w:tcW w:w="3260" w:type="dxa"/>
            <w:tcBorders>
              <w:top w:val="single" w:sz="4" w:space="0" w:color="auto"/>
              <w:bottom w:val="single" w:sz="4" w:space="0" w:color="auto"/>
            </w:tcBorders>
            <w:noWrap/>
            <w:vAlign w:val="center"/>
          </w:tcPr>
          <w:p w:rsidR="00702CE8" w:rsidRPr="00F33FEA" w:rsidRDefault="00702CE8" w:rsidP="00AC3FB8">
            <w:pPr>
              <w:spacing w:after="0" w:line="240" w:lineRule="auto"/>
              <w:jc w:val="both"/>
              <w:rPr>
                <w:rFonts w:ascii="Book Antiqua" w:hAnsi="Book Antiqua" w:cs="宋体"/>
                <w:b/>
                <w:color w:val="000000"/>
                <w:sz w:val="18"/>
                <w:szCs w:val="18"/>
                <w:lang w:val="en-US" w:eastAsia="zh-CN"/>
              </w:rPr>
            </w:pPr>
            <w:r w:rsidRPr="00F33FEA">
              <w:rPr>
                <w:rFonts w:ascii="Book Antiqua" w:hAnsi="Book Antiqua" w:cs="宋体"/>
                <w:b/>
                <w:color w:val="000000"/>
                <w:sz w:val="18"/>
                <w:szCs w:val="18"/>
                <w:lang w:val="en-US" w:eastAsia="zh-CN"/>
              </w:rPr>
              <w:t xml:space="preserve">Clinical </w:t>
            </w:r>
            <w:r w:rsidRPr="00F33FEA">
              <w:rPr>
                <w:rFonts w:ascii="Book Antiqua" w:hAnsi="Book Antiqua" w:cs="宋体"/>
                <w:b/>
                <w:bCs/>
                <w:color w:val="000000"/>
                <w:sz w:val="18"/>
                <w:szCs w:val="18"/>
                <w:lang w:val="en-US" w:eastAsia="zh-CN"/>
              </w:rPr>
              <w:t>criteria (2005)</w:t>
            </w:r>
          </w:p>
        </w:tc>
        <w:tc>
          <w:tcPr>
            <w:tcW w:w="940" w:type="dxa"/>
            <w:tcBorders>
              <w:top w:val="single" w:sz="4" w:space="0" w:color="auto"/>
              <w:bottom w:val="single" w:sz="4" w:space="0" w:color="auto"/>
            </w:tcBorders>
            <w:noWrap/>
            <w:vAlign w:val="center"/>
          </w:tcPr>
          <w:p w:rsidR="00702CE8" w:rsidRPr="00F33FEA" w:rsidRDefault="00702CE8" w:rsidP="00AC3FB8">
            <w:pPr>
              <w:spacing w:after="0" w:line="240" w:lineRule="auto"/>
              <w:jc w:val="both"/>
              <w:rPr>
                <w:rFonts w:ascii="Book Antiqua" w:hAnsi="Book Antiqua" w:cs="宋体"/>
                <w:b/>
                <w:bCs/>
                <w:color w:val="000000"/>
                <w:sz w:val="18"/>
                <w:szCs w:val="18"/>
                <w:lang w:val="en-US" w:eastAsia="zh-CN"/>
              </w:rPr>
            </w:pPr>
            <w:r w:rsidRPr="00F33FEA">
              <w:rPr>
                <w:rFonts w:ascii="Book Antiqua" w:hAnsi="Book Antiqua" w:cs="宋体"/>
                <w:b/>
                <w:bCs/>
                <w:color w:val="000000"/>
                <w:sz w:val="18"/>
                <w:szCs w:val="18"/>
                <w:lang w:val="en-US" w:eastAsia="zh-CN"/>
              </w:rPr>
              <w:t>J Thiele</w:t>
            </w:r>
          </w:p>
        </w:tc>
        <w:tc>
          <w:tcPr>
            <w:tcW w:w="4180" w:type="dxa"/>
            <w:tcBorders>
              <w:top w:val="single" w:sz="4" w:space="0" w:color="auto"/>
              <w:bottom w:val="single" w:sz="4" w:space="0" w:color="auto"/>
            </w:tcBorders>
            <w:noWrap/>
            <w:vAlign w:val="center"/>
          </w:tcPr>
          <w:p w:rsidR="00702CE8" w:rsidRPr="00F33FEA" w:rsidRDefault="00702CE8" w:rsidP="00AC3FB8">
            <w:pPr>
              <w:spacing w:after="0" w:line="240" w:lineRule="auto"/>
              <w:jc w:val="both"/>
              <w:rPr>
                <w:rFonts w:ascii="Book Antiqua" w:hAnsi="Book Antiqua" w:cs="宋体"/>
                <w:b/>
                <w:bCs/>
                <w:color w:val="000000"/>
                <w:sz w:val="18"/>
                <w:szCs w:val="18"/>
                <w:lang w:val="en-US" w:eastAsia="zh-CN"/>
              </w:rPr>
            </w:pPr>
            <w:r w:rsidRPr="00F33FEA">
              <w:rPr>
                <w:rFonts w:ascii="Book Antiqua" w:hAnsi="Book Antiqua" w:cs="宋体"/>
                <w:b/>
                <w:bCs/>
                <w:color w:val="000000"/>
                <w:sz w:val="18"/>
                <w:szCs w:val="18"/>
                <w:lang w:val="en-US" w:eastAsia="zh-CN"/>
              </w:rPr>
              <w:t>pathological criteria(2005/2008)</w:t>
            </w:r>
          </w:p>
        </w:tc>
        <w:tc>
          <w:tcPr>
            <w:tcW w:w="1130" w:type="dxa"/>
            <w:tcBorders>
              <w:top w:val="single" w:sz="4" w:space="0" w:color="auto"/>
              <w:bottom w:val="single" w:sz="4" w:space="0" w:color="auto"/>
            </w:tcBorders>
            <w:noWrap/>
            <w:vAlign w:val="center"/>
          </w:tcPr>
          <w:p w:rsidR="00702CE8" w:rsidRPr="00F33FEA" w:rsidRDefault="00702CE8" w:rsidP="00AC3FB8">
            <w:pPr>
              <w:spacing w:after="0" w:line="240" w:lineRule="auto"/>
              <w:jc w:val="both"/>
              <w:rPr>
                <w:rFonts w:ascii="Book Antiqua" w:hAnsi="Book Antiqua" w:cs="宋体"/>
                <w:b/>
                <w:color w:val="000000"/>
                <w:sz w:val="18"/>
                <w:szCs w:val="18"/>
                <w:lang w:val="en-US" w:eastAsia="zh-CN"/>
              </w:rPr>
            </w:pPr>
          </w:p>
        </w:tc>
      </w:tr>
      <w:tr w:rsidR="00702CE8" w:rsidRPr="00DD0EC2" w:rsidTr="00F33FEA">
        <w:trPr>
          <w:trHeight w:val="2400"/>
        </w:trPr>
        <w:tc>
          <w:tcPr>
            <w:tcW w:w="1200" w:type="dxa"/>
            <w:tcBorders>
              <w:top w:val="single" w:sz="4" w:space="0" w:color="auto"/>
            </w:tcBorders>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A1</w:t>
            </w:r>
          </w:p>
        </w:tc>
        <w:tc>
          <w:tcPr>
            <w:tcW w:w="3260" w:type="dxa"/>
            <w:tcBorders>
              <w:top w:val="single" w:sz="4" w:space="0" w:color="auto"/>
            </w:tcBorders>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eastAsia="zh-CN"/>
              </w:rPr>
              <w:t>Hypercellular ET and  no preceding or allied other subtype of myeloproliferative neoplasm: JAK2</w:t>
            </w:r>
            <w:r w:rsidRPr="00F33FEA">
              <w:rPr>
                <w:rFonts w:ascii="Book Antiqua" w:hAnsi="Book Antiqua"/>
                <w:color w:val="000000"/>
                <w:sz w:val="18"/>
                <w:szCs w:val="18"/>
                <w:vertAlign w:val="superscript"/>
                <w:lang w:eastAsia="zh-CN"/>
              </w:rPr>
              <w:t>V617F</w:t>
            </w:r>
            <w:r w:rsidRPr="00F33FEA">
              <w:rPr>
                <w:rFonts w:ascii="Book Antiqua" w:hAnsi="Book Antiqua"/>
                <w:color w:val="000000"/>
                <w:sz w:val="18"/>
                <w:szCs w:val="18"/>
                <w:lang w:eastAsia="zh-CN"/>
              </w:rPr>
              <w:t xml:space="preserve"> or MPL</w:t>
            </w:r>
            <w:r w:rsidRPr="00F33FEA">
              <w:rPr>
                <w:rFonts w:ascii="Book Antiqua" w:hAnsi="Book Antiqua"/>
                <w:color w:val="000000"/>
                <w:sz w:val="18"/>
                <w:szCs w:val="18"/>
                <w:vertAlign w:val="superscript"/>
                <w:lang w:eastAsia="zh-CN"/>
              </w:rPr>
              <w:t>515</w:t>
            </w:r>
            <w:r w:rsidRPr="00F33FEA">
              <w:rPr>
                <w:rFonts w:ascii="Book Antiqua" w:hAnsi="Book Antiqua"/>
                <w:color w:val="000000"/>
                <w:sz w:val="18"/>
                <w:szCs w:val="18"/>
                <w:lang w:eastAsia="zh-CN"/>
              </w:rPr>
              <w:t xml:space="preserve"> normocellular  ET, prodromal or classical PV, Ph</w:t>
            </w:r>
            <w:r w:rsidRPr="00F33FEA">
              <w:rPr>
                <w:rFonts w:ascii="Book Antiqua" w:hAnsi="Book Antiqua"/>
                <w:color w:val="000000"/>
                <w:sz w:val="18"/>
                <w:szCs w:val="18"/>
                <w:vertAlign w:val="superscript"/>
                <w:lang w:eastAsia="zh-CN"/>
              </w:rPr>
              <w:t>1+</w:t>
            </w:r>
            <w:r w:rsidRPr="00F33FEA">
              <w:rPr>
                <w:rFonts w:ascii="Book Antiqua" w:hAnsi="Book Antiqua"/>
                <w:color w:val="000000"/>
                <w:sz w:val="18"/>
                <w:szCs w:val="18"/>
                <w:lang w:eastAsia="zh-CN"/>
              </w:rPr>
              <w:t xml:space="preserve"> CML or MDS</w:t>
            </w:r>
          </w:p>
        </w:tc>
        <w:tc>
          <w:tcPr>
            <w:tcW w:w="940" w:type="dxa"/>
            <w:tcBorders>
              <w:top w:val="single" w:sz="4" w:space="0" w:color="auto"/>
            </w:tcBorders>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B1</w:t>
            </w:r>
          </w:p>
        </w:tc>
        <w:tc>
          <w:tcPr>
            <w:tcW w:w="4180" w:type="dxa"/>
            <w:tcBorders>
              <w:top w:val="single" w:sz="4" w:space="0" w:color="auto"/>
            </w:tcBorders>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Pr>
                <w:rFonts w:ascii="Book Antiqua" w:hAnsi="Book Antiqua"/>
                <w:color w:val="000000"/>
                <w:sz w:val="18"/>
                <w:szCs w:val="18"/>
                <w:lang w:eastAsia="zh-CN"/>
              </w:rPr>
              <w:t>PMGM</w:t>
            </w:r>
            <w:r w:rsidRPr="00F33FEA">
              <w:rPr>
                <w:rFonts w:ascii="Book Antiqua" w:hAnsi="Book Antiqua"/>
                <w:color w:val="000000"/>
                <w:sz w:val="18"/>
                <w:szCs w:val="18"/>
                <w:lang w:eastAsia="zh-CN"/>
              </w:rPr>
              <w:t xml:space="preserve"> and relative reduction of erythroid precursors. Abnormal clustering and increase in atypical giant to medium sized dysmorphic megakaryocytes containing bulky/clumsy (cloud-like) hypolobulated nuclei and definitive maturation defects.</w:t>
            </w:r>
          </w:p>
        </w:tc>
        <w:tc>
          <w:tcPr>
            <w:tcW w:w="1130" w:type="dxa"/>
            <w:tcBorders>
              <w:top w:val="single" w:sz="4" w:space="0" w:color="auto"/>
            </w:tcBorders>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r>
      <w:tr w:rsidR="00702CE8" w:rsidRPr="00DD0EC2" w:rsidTr="00F33FEA">
        <w:trPr>
          <w:trHeight w:val="315"/>
        </w:trPr>
        <w:tc>
          <w:tcPr>
            <w:tcW w:w="120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 xml:space="preserve">C </w:t>
            </w:r>
          </w:p>
        </w:tc>
        <w:tc>
          <w:tcPr>
            <w:tcW w:w="3260" w:type="dxa"/>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val="en-US" w:eastAsia="zh-CN"/>
              </w:rPr>
              <w:t>Clinical stages</w:t>
            </w:r>
          </w:p>
        </w:tc>
        <w:tc>
          <w:tcPr>
            <w:tcW w:w="94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MF</w:t>
            </w:r>
          </w:p>
        </w:tc>
        <w:tc>
          <w:tcPr>
            <w:tcW w:w="418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Staging of myelofibrosis</w:t>
            </w:r>
          </w:p>
        </w:tc>
        <w:tc>
          <w:tcPr>
            <w:tcW w:w="113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r>
      <w:tr w:rsidR="00702CE8" w:rsidRPr="00DD0EC2" w:rsidTr="00F33FEA">
        <w:trPr>
          <w:trHeight w:val="315"/>
        </w:trPr>
        <w:tc>
          <w:tcPr>
            <w:tcW w:w="120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C1</w:t>
            </w:r>
          </w:p>
        </w:tc>
        <w:tc>
          <w:tcPr>
            <w:tcW w:w="326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Early clinical stages</w:t>
            </w:r>
          </w:p>
        </w:tc>
        <w:tc>
          <w:tcPr>
            <w:tcW w:w="94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418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113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r>
      <w:tr w:rsidR="00702CE8" w:rsidRPr="00DD0EC2" w:rsidTr="00F33FEA">
        <w:trPr>
          <w:trHeight w:val="900"/>
        </w:trPr>
        <w:tc>
          <w:tcPr>
            <w:tcW w:w="120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3260" w:type="dxa"/>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eastAsia="zh-CN"/>
              </w:rPr>
              <w:t>Normal hemoglobin or slight anemia, grade I: hemoglobin &gt;12 g/dL</w:t>
            </w:r>
          </w:p>
        </w:tc>
        <w:tc>
          <w:tcPr>
            <w:tcW w:w="94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MF 0</w:t>
            </w:r>
          </w:p>
        </w:tc>
        <w:tc>
          <w:tcPr>
            <w:tcW w:w="4180" w:type="dxa"/>
            <w:noWrap/>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val="en-US" w:eastAsia="zh-CN"/>
              </w:rPr>
              <w:t>Prefibrotic stage PMGM/PMF</w:t>
            </w:r>
          </w:p>
        </w:tc>
        <w:tc>
          <w:tcPr>
            <w:tcW w:w="1130" w:type="dxa"/>
            <w:noWrap/>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eastAsia="zh-CN"/>
              </w:rPr>
              <w:t>RF 0/1</w:t>
            </w:r>
          </w:p>
        </w:tc>
      </w:tr>
      <w:tr w:rsidR="00702CE8" w:rsidRPr="00DD0EC2" w:rsidTr="00F33FEA">
        <w:trPr>
          <w:trHeight w:val="900"/>
        </w:trPr>
        <w:tc>
          <w:tcPr>
            <w:tcW w:w="120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3260" w:type="dxa"/>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eastAsia="zh-CN"/>
              </w:rPr>
              <w:t>No, slight or moderate splenomegaly on ultrasound scan or CT</w:t>
            </w:r>
          </w:p>
        </w:tc>
        <w:tc>
          <w:tcPr>
            <w:tcW w:w="94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MF 1</w:t>
            </w:r>
          </w:p>
        </w:tc>
        <w:tc>
          <w:tcPr>
            <w:tcW w:w="4180" w:type="dxa"/>
            <w:noWrap/>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eastAsia="zh-CN"/>
              </w:rPr>
              <w:t xml:space="preserve">Early fibrotic PMGM/PMF </w:t>
            </w:r>
          </w:p>
        </w:tc>
        <w:tc>
          <w:tcPr>
            <w:tcW w:w="1130" w:type="dxa"/>
            <w:noWrap/>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val="en-US" w:eastAsia="zh-CN"/>
              </w:rPr>
              <w:t xml:space="preserve">RF 2 </w:t>
            </w:r>
          </w:p>
        </w:tc>
      </w:tr>
      <w:tr w:rsidR="00702CE8" w:rsidRPr="00DD0EC2" w:rsidTr="00F33FEA">
        <w:trPr>
          <w:trHeight w:val="960"/>
        </w:trPr>
        <w:tc>
          <w:tcPr>
            <w:tcW w:w="120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3260" w:type="dxa"/>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eastAsia="zh-CN"/>
              </w:rPr>
              <w:t>Hypercellular ET, platelets in excess of 400, 600 or even &gt;1000 x10</w:t>
            </w:r>
            <w:r w:rsidRPr="00F33FEA">
              <w:rPr>
                <w:rFonts w:ascii="Book Antiqua" w:hAnsi="Book Antiqua"/>
                <w:color w:val="000000"/>
                <w:sz w:val="18"/>
                <w:szCs w:val="18"/>
                <w:vertAlign w:val="superscript"/>
                <w:lang w:eastAsia="zh-CN"/>
              </w:rPr>
              <w:t>9</w:t>
            </w:r>
            <w:r w:rsidRPr="00F33FEA">
              <w:rPr>
                <w:rFonts w:ascii="Book Antiqua" w:hAnsi="Book Antiqua"/>
                <w:color w:val="000000"/>
                <w:sz w:val="18"/>
                <w:szCs w:val="18"/>
                <w:lang w:eastAsia="zh-CN"/>
              </w:rPr>
              <w:t>/L</w:t>
            </w:r>
          </w:p>
        </w:tc>
        <w:tc>
          <w:tcPr>
            <w:tcW w:w="940" w:type="dxa"/>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4180" w:type="dxa"/>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113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r>
      <w:tr w:rsidR="00702CE8" w:rsidRPr="00DD0EC2" w:rsidTr="00F33FEA">
        <w:trPr>
          <w:trHeight w:val="900"/>
        </w:trPr>
        <w:tc>
          <w:tcPr>
            <w:tcW w:w="120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3260" w:type="dxa"/>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eastAsia="zh-CN"/>
              </w:rPr>
              <w:t>No leuko-erythroblastic blood picture and/or tear drop erythrocytes</w:t>
            </w:r>
          </w:p>
        </w:tc>
        <w:tc>
          <w:tcPr>
            <w:tcW w:w="940" w:type="dxa"/>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4180" w:type="dxa"/>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113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r>
      <w:tr w:rsidR="00702CE8" w:rsidRPr="00DD0EC2" w:rsidTr="00F33FEA">
        <w:trPr>
          <w:trHeight w:val="315"/>
        </w:trPr>
        <w:tc>
          <w:tcPr>
            <w:tcW w:w="120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C2</w:t>
            </w:r>
          </w:p>
        </w:tc>
        <w:tc>
          <w:tcPr>
            <w:tcW w:w="326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Intermediate clinical stage</w:t>
            </w:r>
          </w:p>
        </w:tc>
        <w:tc>
          <w:tcPr>
            <w:tcW w:w="94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418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113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r>
      <w:tr w:rsidR="00702CE8" w:rsidRPr="00DD0EC2" w:rsidTr="00F33FEA">
        <w:trPr>
          <w:trHeight w:val="600"/>
        </w:trPr>
        <w:tc>
          <w:tcPr>
            <w:tcW w:w="120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3260" w:type="dxa"/>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Anemia</w:t>
            </w:r>
            <w:r w:rsidRPr="00F33FEA">
              <w:rPr>
                <w:rFonts w:ascii="Book Antiqua" w:hAnsi="Book Antiqua"/>
                <w:color w:val="000000"/>
                <w:sz w:val="18"/>
                <w:szCs w:val="18"/>
                <w:lang w:eastAsia="zh-CN"/>
              </w:rPr>
              <w:t xml:space="preserve"> grade II: hemoglobin &gt;10g/dL</w:t>
            </w:r>
          </w:p>
        </w:tc>
        <w:tc>
          <w:tcPr>
            <w:tcW w:w="94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MF 2</w:t>
            </w:r>
          </w:p>
        </w:tc>
        <w:tc>
          <w:tcPr>
            <w:tcW w:w="4180" w:type="dxa"/>
            <w:noWrap/>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val="en-US" w:eastAsia="zh-CN"/>
              </w:rPr>
              <w:t xml:space="preserve">Manifest fibrotic PMGM/PMF </w:t>
            </w:r>
          </w:p>
        </w:tc>
        <w:tc>
          <w:tcPr>
            <w:tcW w:w="1130" w:type="dxa"/>
            <w:noWrap/>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val="en-US" w:eastAsia="zh-CN"/>
              </w:rPr>
              <w:t>RF 3 = RCF</w:t>
            </w:r>
          </w:p>
        </w:tc>
      </w:tr>
      <w:tr w:rsidR="00702CE8" w:rsidRPr="00DD0EC2" w:rsidTr="00F33FEA">
        <w:trPr>
          <w:trHeight w:val="900"/>
        </w:trPr>
        <w:tc>
          <w:tcPr>
            <w:tcW w:w="120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3260" w:type="dxa"/>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eastAsia="zh-CN"/>
              </w:rPr>
              <w:t>Definitive leuko-erythroblastic blood picture and/or tear drop erythrocytes</w:t>
            </w:r>
          </w:p>
        </w:tc>
        <w:tc>
          <w:tcPr>
            <w:tcW w:w="94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MF 3</w:t>
            </w:r>
          </w:p>
        </w:tc>
        <w:tc>
          <w:tcPr>
            <w:tcW w:w="4180" w:type="dxa"/>
            <w:noWrap/>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val="en-US" w:eastAsia="zh-CN"/>
              </w:rPr>
              <w:t>Advanced fibrotic PMGM/PMF</w:t>
            </w:r>
          </w:p>
        </w:tc>
        <w:tc>
          <w:tcPr>
            <w:tcW w:w="113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r w:rsidRPr="00F33FEA">
              <w:rPr>
                <w:rFonts w:ascii="Book Antiqua" w:hAnsi="Book Antiqua" w:cs="宋体"/>
                <w:color w:val="000000"/>
                <w:sz w:val="18"/>
                <w:szCs w:val="18"/>
                <w:lang w:val="en-US" w:eastAsia="zh-CN"/>
              </w:rPr>
              <w:t>RF 4 = RCF</w:t>
            </w:r>
          </w:p>
        </w:tc>
      </w:tr>
      <w:tr w:rsidR="00702CE8" w:rsidRPr="00DD0EC2" w:rsidTr="00F33FEA">
        <w:trPr>
          <w:trHeight w:val="600"/>
        </w:trPr>
        <w:tc>
          <w:tcPr>
            <w:tcW w:w="120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3260" w:type="dxa"/>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eastAsia="zh-CN"/>
              </w:rPr>
              <w:t xml:space="preserve">Splenomegaly, increased </w:t>
            </w:r>
            <w:r>
              <w:rPr>
                <w:rFonts w:ascii="Book Antiqua" w:hAnsi="Book Antiqua"/>
                <w:color w:val="000000"/>
                <w:sz w:val="18"/>
                <w:szCs w:val="18"/>
                <w:lang w:eastAsia="zh-CN"/>
              </w:rPr>
              <w:t>LDH</w:t>
            </w:r>
          </w:p>
        </w:tc>
        <w:tc>
          <w:tcPr>
            <w:tcW w:w="94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418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113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r>
      <w:tr w:rsidR="00702CE8" w:rsidRPr="00DD0EC2" w:rsidTr="00F33FEA">
        <w:trPr>
          <w:trHeight w:val="315"/>
        </w:trPr>
        <w:tc>
          <w:tcPr>
            <w:tcW w:w="120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C3</w:t>
            </w:r>
          </w:p>
        </w:tc>
        <w:tc>
          <w:tcPr>
            <w:tcW w:w="326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Advanced clinical stage</w:t>
            </w:r>
          </w:p>
        </w:tc>
        <w:tc>
          <w:tcPr>
            <w:tcW w:w="94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418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113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r>
      <w:tr w:rsidR="00702CE8" w:rsidRPr="00DD0EC2" w:rsidTr="00F33FEA">
        <w:trPr>
          <w:trHeight w:val="600"/>
        </w:trPr>
        <w:tc>
          <w:tcPr>
            <w:tcW w:w="120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3260" w:type="dxa"/>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eastAsia="zh-CN"/>
              </w:rPr>
              <w:t>Anemia grade III: hemoglobin &lt;10 g/l</w:t>
            </w:r>
          </w:p>
        </w:tc>
        <w:tc>
          <w:tcPr>
            <w:tcW w:w="940" w:type="dxa"/>
            <w:noWrap/>
            <w:vAlign w:val="center"/>
          </w:tcPr>
          <w:p w:rsidR="00702CE8" w:rsidRPr="00F33FEA" w:rsidRDefault="00702CE8" w:rsidP="00AC3FB8">
            <w:pPr>
              <w:spacing w:after="0" w:line="240" w:lineRule="auto"/>
              <w:jc w:val="both"/>
              <w:rPr>
                <w:rFonts w:ascii="Book Antiqua" w:hAnsi="Book Antiqua"/>
                <w:b/>
                <w:bCs/>
                <w:color w:val="000000"/>
                <w:sz w:val="18"/>
                <w:szCs w:val="18"/>
                <w:lang w:val="en-US" w:eastAsia="zh-CN"/>
              </w:rPr>
            </w:pPr>
            <w:r w:rsidRPr="00F33FEA">
              <w:rPr>
                <w:rFonts w:ascii="Book Antiqua" w:hAnsi="Book Antiqua"/>
                <w:b/>
                <w:bCs/>
                <w:color w:val="000000"/>
                <w:sz w:val="18"/>
                <w:szCs w:val="18"/>
                <w:lang w:eastAsia="zh-CN"/>
              </w:rPr>
              <w:t>MF 3</w:t>
            </w:r>
            <w:r w:rsidRPr="00F33FEA">
              <w:rPr>
                <w:rFonts w:ascii="Book Antiqua" w:hAnsi="Book Antiqua"/>
                <w:color w:val="000000"/>
                <w:sz w:val="18"/>
                <w:szCs w:val="18"/>
                <w:lang w:eastAsia="zh-CN"/>
              </w:rPr>
              <w:t xml:space="preserve"> </w:t>
            </w:r>
          </w:p>
        </w:tc>
        <w:tc>
          <w:tcPr>
            <w:tcW w:w="4180" w:type="dxa"/>
            <w:noWrap/>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val="en-US" w:eastAsia="zh-CN"/>
              </w:rPr>
              <w:t>Osteosclerosis</w:t>
            </w:r>
          </w:p>
        </w:tc>
        <w:tc>
          <w:tcPr>
            <w:tcW w:w="113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r>
      <w:tr w:rsidR="00702CE8" w:rsidRPr="00DD0EC2" w:rsidTr="00F33FEA">
        <w:trPr>
          <w:trHeight w:val="600"/>
        </w:trPr>
        <w:tc>
          <w:tcPr>
            <w:tcW w:w="120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3260" w:type="dxa"/>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eastAsia="zh-CN"/>
              </w:rPr>
              <w:t>Splenomegaly and increased, normal or decreased platelet count</w:t>
            </w:r>
          </w:p>
        </w:tc>
        <w:tc>
          <w:tcPr>
            <w:tcW w:w="94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418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1130" w:type="dxa"/>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r>
      <w:tr w:rsidR="00702CE8" w:rsidRPr="00DD0EC2" w:rsidTr="00F33FEA">
        <w:trPr>
          <w:trHeight w:val="960"/>
        </w:trPr>
        <w:tc>
          <w:tcPr>
            <w:tcW w:w="1200" w:type="dxa"/>
            <w:tcBorders>
              <w:bottom w:val="single" w:sz="4" w:space="0" w:color="auto"/>
            </w:tcBorders>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3260" w:type="dxa"/>
            <w:tcBorders>
              <w:bottom w:val="single" w:sz="4" w:space="0" w:color="auto"/>
            </w:tcBorders>
            <w:vAlign w:val="center"/>
          </w:tcPr>
          <w:p w:rsidR="00702CE8" w:rsidRPr="00F33FEA" w:rsidRDefault="00702CE8" w:rsidP="00AC3FB8">
            <w:pPr>
              <w:spacing w:after="0" w:line="240" w:lineRule="auto"/>
              <w:jc w:val="both"/>
              <w:rPr>
                <w:rFonts w:ascii="Book Antiqua" w:hAnsi="Book Antiqua"/>
                <w:color w:val="000000"/>
                <w:sz w:val="18"/>
                <w:szCs w:val="18"/>
                <w:lang w:val="en-US" w:eastAsia="zh-CN"/>
              </w:rPr>
            </w:pPr>
            <w:r w:rsidRPr="00F33FEA">
              <w:rPr>
                <w:rFonts w:ascii="Book Antiqua" w:hAnsi="Book Antiqua"/>
                <w:color w:val="000000"/>
                <w:sz w:val="18"/>
                <w:szCs w:val="18"/>
                <w:lang w:eastAsia="zh-CN"/>
              </w:rPr>
              <w:t>Thrombocytopenia, leukocytosis,leukopenia, increased circulating CD34</w:t>
            </w:r>
            <w:r w:rsidRPr="00F33FEA">
              <w:rPr>
                <w:rFonts w:ascii="Book Antiqua" w:hAnsi="Book Antiqua"/>
                <w:color w:val="000000"/>
                <w:sz w:val="18"/>
                <w:szCs w:val="18"/>
                <w:vertAlign w:val="superscript"/>
                <w:lang w:eastAsia="zh-CN"/>
              </w:rPr>
              <w:t>+</w:t>
            </w:r>
            <w:r w:rsidRPr="00F33FEA">
              <w:rPr>
                <w:rFonts w:ascii="Book Antiqua" w:hAnsi="Book Antiqua"/>
                <w:color w:val="000000"/>
                <w:sz w:val="18"/>
                <w:szCs w:val="18"/>
                <w:lang w:eastAsia="zh-CN"/>
              </w:rPr>
              <w:t xml:space="preserve"> cells</w:t>
            </w:r>
          </w:p>
        </w:tc>
        <w:tc>
          <w:tcPr>
            <w:tcW w:w="940" w:type="dxa"/>
            <w:tcBorders>
              <w:bottom w:val="single" w:sz="4" w:space="0" w:color="auto"/>
            </w:tcBorders>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4180" w:type="dxa"/>
            <w:tcBorders>
              <w:bottom w:val="single" w:sz="4" w:space="0" w:color="auto"/>
            </w:tcBorders>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c>
          <w:tcPr>
            <w:tcW w:w="1130" w:type="dxa"/>
            <w:tcBorders>
              <w:bottom w:val="single" w:sz="4" w:space="0" w:color="auto"/>
            </w:tcBorders>
            <w:noWrap/>
            <w:vAlign w:val="center"/>
          </w:tcPr>
          <w:p w:rsidR="00702CE8" w:rsidRPr="00F33FEA" w:rsidRDefault="00702CE8" w:rsidP="00AC3FB8">
            <w:pPr>
              <w:spacing w:after="0" w:line="240" w:lineRule="auto"/>
              <w:jc w:val="both"/>
              <w:rPr>
                <w:rFonts w:ascii="Book Antiqua" w:hAnsi="Book Antiqua" w:cs="宋体"/>
                <w:color w:val="000000"/>
                <w:sz w:val="18"/>
                <w:szCs w:val="18"/>
                <w:lang w:val="en-US" w:eastAsia="zh-CN"/>
              </w:rPr>
            </w:pPr>
          </w:p>
        </w:tc>
      </w:tr>
    </w:tbl>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r w:rsidRPr="00CC3D0A">
        <w:rPr>
          <w:rFonts w:ascii="Book Antiqua" w:eastAsia="MS Mincho" w:hAnsi="Book Antiqua"/>
          <w:b/>
          <w:sz w:val="24"/>
          <w:szCs w:val="24"/>
          <w:lang w:val="en-US" w:eastAsia="ja-JP"/>
        </w:rPr>
        <w:t xml:space="preserve"> </w:t>
      </w:r>
    </w:p>
    <w:p w:rsidR="00702CE8" w:rsidRPr="00DC1BE1" w:rsidRDefault="00702CE8" w:rsidP="00AC3FB8">
      <w:pPr>
        <w:spacing w:after="0" w:line="360" w:lineRule="auto"/>
        <w:jc w:val="both"/>
        <w:rPr>
          <w:lang w:eastAsia="zh-CN"/>
        </w:rPr>
      </w:pPr>
      <w:r w:rsidRPr="00F33FEA">
        <w:rPr>
          <w:rFonts w:ascii="Book Antiqua" w:hAnsi="Book Antiqua"/>
          <w:color w:val="000000"/>
          <w:sz w:val="24"/>
          <w:szCs w:val="24"/>
          <w:lang w:eastAsia="zh-CN"/>
        </w:rPr>
        <w:t>ET</w:t>
      </w:r>
      <w:r w:rsidRPr="00F36B29">
        <w:rPr>
          <w:rFonts w:ascii="Book Antiqua" w:hAnsi="Book Antiqua"/>
          <w:color w:val="000000"/>
          <w:sz w:val="24"/>
          <w:szCs w:val="24"/>
          <w:lang w:eastAsia="zh-CN"/>
        </w:rPr>
        <w:t>: E</w:t>
      </w:r>
      <w:r w:rsidRPr="00F33FEA">
        <w:rPr>
          <w:rFonts w:ascii="Book Antiqua" w:hAnsi="Book Antiqua"/>
          <w:color w:val="000000"/>
          <w:sz w:val="24"/>
          <w:szCs w:val="24"/>
          <w:lang w:eastAsia="zh-CN"/>
        </w:rPr>
        <w:t>ssential thrombocythemia</w:t>
      </w:r>
      <w:r w:rsidRPr="00F36B29">
        <w:rPr>
          <w:rFonts w:ascii="Book Antiqua" w:hAnsi="Book Antiqua"/>
          <w:color w:val="000000"/>
          <w:sz w:val="24"/>
          <w:szCs w:val="24"/>
          <w:lang w:eastAsia="zh-CN"/>
        </w:rPr>
        <w:t xml:space="preserve">; </w:t>
      </w:r>
      <w:r w:rsidRPr="00F33FEA">
        <w:rPr>
          <w:rFonts w:ascii="Book Antiqua" w:hAnsi="Book Antiqua"/>
          <w:color w:val="000000"/>
          <w:sz w:val="24"/>
          <w:szCs w:val="24"/>
          <w:lang w:eastAsia="zh-CN"/>
        </w:rPr>
        <w:t>PMGM</w:t>
      </w:r>
      <w:r w:rsidRPr="00F36B29">
        <w:rPr>
          <w:rFonts w:ascii="Book Antiqua" w:hAnsi="Book Antiqua"/>
          <w:color w:val="000000"/>
          <w:sz w:val="24"/>
          <w:szCs w:val="24"/>
          <w:lang w:eastAsia="zh-CN"/>
        </w:rPr>
        <w:t xml:space="preserve">: </w:t>
      </w:r>
      <w:r w:rsidRPr="00F33FEA">
        <w:rPr>
          <w:rFonts w:ascii="Book Antiqua" w:hAnsi="Book Antiqua"/>
          <w:color w:val="000000"/>
          <w:sz w:val="24"/>
          <w:szCs w:val="24"/>
          <w:lang w:eastAsia="zh-CN"/>
        </w:rPr>
        <w:t>Primary megakaryocytic and granulocytic myeloproliferation</w:t>
      </w:r>
      <w:r w:rsidRPr="00F36B29">
        <w:rPr>
          <w:rFonts w:ascii="Book Antiqua" w:hAnsi="Book Antiqua"/>
          <w:color w:val="000000"/>
          <w:sz w:val="24"/>
          <w:szCs w:val="24"/>
          <w:lang w:eastAsia="zh-CN"/>
        </w:rPr>
        <w:t xml:space="preserve">; </w:t>
      </w:r>
      <w:r w:rsidRPr="00F36B29">
        <w:rPr>
          <w:rFonts w:ascii="Book Antiqua" w:hAnsi="Book Antiqua"/>
          <w:sz w:val="24"/>
          <w:szCs w:val="24"/>
        </w:rPr>
        <w:t xml:space="preserve">CT: </w:t>
      </w:r>
      <w:bookmarkStart w:id="17" w:name="OLE_LINK23"/>
      <w:bookmarkStart w:id="18" w:name="OLE_LINK24"/>
      <w:r w:rsidRPr="00F36B29">
        <w:rPr>
          <w:rFonts w:ascii="Book Antiqua" w:hAnsi="Book Antiqua"/>
          <w:sz w:val="24"/>
          <w:szCs w:val="24"/>
        </w:rPr>
        <w:t>Computed tomography</w:t>
      </w:r>
      <w:bookmarkEnd w:id="17"/>
      <w:bookmarkEnd w:id="18"/>
      <w:r w:rsidRPr="0073398C">
        <w:rPr>
          <w:rFonts w:ascii="Book Antiqua" w:hAnsi="Book Antiqua"/>
          <w:sz w:val="24"/>
          <w:szCs w:val="24"/>
        </w:rPr>
        <w:t>;</w:t>
      </w:r>
      <w:r w:rsidRPr="0073398C">
        <w:rPr>
          <w:rFonts w:ascii="Book Antiqua" w:hAnsi="Book Antiqua"/>
          <w:color w:val="000000"/>
          <w:sz w:val="24"/>
          <w:szCs w:val="24"/>
          <w:lang w:eastAsia="zh-CN"/>
        </w:rPr>
        <w:t xml:space="preserve"> </w:t>
      </w:r>
      <w:r w:rsidRPr="00F33FEA">
        <w:rPr>
          <w:rFonts w:ascii="Book Antiqua" w:hAnsi="Book Antiqua"/>
          <w:color w:val="000000"/>
          <w:sz w:val="24"/>
          <w:szCs w:val="24"/>
          <w:lang w:eastAsia="zh-CN"/>
        </w:rPr>
        <w:t>LDH</w:t>
      </w:r>
      <w:r w:rsidRPr="0073398C">
        <w:rPr>
          <w:rFonts w:ascii="Book Antiqua" w:hAnsi="Book Antiqua"/>
          <w:color w:val="000000"/>
          <w:sz w:val="24"/>
          <w:szCs w:val="24"/>
          <w:lang w:eastAsia="zh-CN"/>
        </w:rPr>
        <w:t>:</w:t>
      </w:r>
      <w:r w:rsidRPr="0073398C">
        <w:rPr>
          <w:rFonts w:ascii="Book Antiqua" w:hAnsi="Book Antiqua"/>
          <w:sz w:val="24"/>
          <w:szCs w:val="24"/>
          <w:lang w:eastAsia="zh-CN"/>
        </w:rPr>
        <w:t xml:space="preserve"> </w:t>
      </w:r>
      <w:r w:rsidRPr="0073398C">
        <w:rPr>
          <w:rFonts w:ascii="Book Antiqua" w:hAnsi="Book Antiqua"/>
          <w:color w:val="000000"/>
          <w:sz w:val="24"/>
          <w:szCs w:val="24"/>
          <w:lang w:eastAsia="zh-CN"/>
        </w:rPr>
        <w:t>L</w:t>
      </w:r>
      <w:r w:rsidRPr="00F33FEA">
        <w:rPr>
          <w:rFonts w:ascii="Book Antiqua" w:hAnsi="Book Antiqua"/>
          <w:color w:val="000000"/>
          <w:sz w:val="24"/>
          <w:szCs w:val="24"/>
          <w:lang w:eastAsia="zh-CN"/>
        </w:rPr>
        <w:t>actodehydrogenase</w:t>
      </w:r>
      <w:r w:rsidRPr="0073398C">
        <w:rPr>
          <w:rFonts w:ascii="Book Antiqua" w:hAnsi="Book Antiqua"/>
          <w:color w:val="000000"/>
          <w:sz w:val="24"/>
          <w:szCs w:val="24"/>
          <w:lang w:eastAsia="zh-CN"/>
        </w:rPr>
        <w:t>;</w:t>
      </w:r>
      <w:r>
        <w:rPr>
          <w:rFonts w:ascii="Book Antiqua" w:hAnsi="Book Antiqua"/>
          <w:color w:val="000000"/>
          <w:sz w:val="24"/>
          <w:szCs w:val="24"/>
          <w:lang w:eastAsia="zh-CN"/>
        </w:rPr>
        <w:t xml:space="preserve"> </w:t>
      </w:r>
      <w:r w:rsidRPr="00CC3D0A">
        <w:rPr>
          <w:rFonts w:ascii="Book Antiqua" w:hAnsi="Book Antiqua"/>
          <w:bCs/>
          <w:sz w:val="24"/>
          <w:szCs w:val="24"/>
          <w:lang w:val="en-GB" w:eastAsia="nl-NL"/>
        </w:rPr>
        <w:t>PV</w:t>
      </w:r>
      <w:r>
        <w:rPr>
          <w:rFonts w:ascii="Book Antiqua" w:hAnsi="Book Antiqua"/>
          <w:bCs/>
          <w:sz w:val="24"/>
          <w:szCs w:val="24"/>
          <w:lang w:val="en-GB" w:eastAsia="zh-CN"/>
        </w:rPr>
        <w:t>:</w:t>
      </w:r>
      <w:r w:rsidRPr="00CC3D0A">
        <w:rPr>
          <w:rFonts w:ascii="Book Antiqua" w:hAnsi="Book Antiqua"/>
          <w:sz w:val="24"/>
          <w:szCs w:val="24"/>
          <w:lang w:val="en-GB" w:eastAsia="nl-NL"/>
        </w:rPr>
        <w:t xml:space="preserve"> Polycythemia vera</w:t>
      </w:r>
      <w:r>
        <w:rPr>
          <w:rFonts w:ascii="Book Antiqua" w:hAnsi="Book Antiqua"/>
          <w:bCs/>
          <w:sz w:val="24"/>
          <w:szCs w:val="24"/>
          <w:lang w:val="en-GB" w:eastAsia="zh-CN"/>
        </w:rPr>
        <w:t xml:space="preserve">; </w:t>
      </w:r>
      <w:r w:rsidRPr="00CC3D0A">
        <w:rPr>
          <w:rFonts w:ascii="Book Antiqua" w:eastAsia="MS Mincho" w:hAnsi="Book Antiqua"/>
          <w:sz w:val="24"/>
          <w:szCs w:val="24"/>
          <w:lang w:val="en-GB" w:eastAsia="ja-JP"/>
        </w:rPr>
        <w:t>CML</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Chronic myeloid leukemia</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PMF</w:t>
      </w:r>
      <w:r>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Primary myelofibrosis</w:t>
      </w:r>
      <w:r>
        <w:rPr>
          <w:rFonts w:ascii="Book Antiqua" w:hAnsi="Book Antiqua"/>
          <w:sz w:val="24"/>
          <w:szCs w:val="24"/>
          <w:lang w:val="en-GB" w:eastAsia="zh-CN"/>
        </w:rPr>
        <w:t xml:space="preserve">; </w:t>
      </w:r>
      <w:r w:rsidRPr="00CC3D0A">
        <w:rPr>
          <w:rFonts w:ascii="Book Antiqua" w:eastAsia="MS Mincho" w:hAnsi="Book Antiqua"/>
          <w:sz w:val="24"/>
          <w:szCs w:val="24"/>
          <w:lang w:val="en-US" w:eastAsia="ja-JP"/>
        </w:rPr>
        <w:t>RF</w:t>
      </w:r>
      <w:r>
        <w:rPr>
          <w:rFonts w:ascii="Book Antiqua" w:hAnsi="Book Antiqua"/>
          <w:sz w:val="24"/>
          <w:szCs w:val="24"/>
          <w:lang w:val="en-US" w:eastAsia="zh-CN"/>
        </w:rPr>
        <w:t xml:space="preserve">: </w:t>
      </w:r>
      <w:r w:rsidRPr="00CC3D0A">
        <w:rPr>
          <w:rFonts w:ascii="Book Antiqua" w:eastAsia="MS Mincho" w:hAnsi="Book Antiqua"/>
          <w:sz w:val="24"/>
          <w:szCs w:val="24"/>
          <w:lang w:val="en-US" w:eastAsia="ja-JP"/>
        </w:rPr>
        <w:t>Reticulin fibrosis</w:t>
      </w:r>
      <w:r>
        <w:rPr>
          <w:rFonts w:ascii="Book Antiqua" w:hAnsi="Book Antiqua"/>
          <w:sz w:val="24"/>
          <w:szCs w:val="24"/>
          <w:lang w:val="en-US" w:eastAsia="zh-CN"/>
        </w:rPr>
        <w:t xml:space="preserve">; </w:t>
      </w:r>
      <w:r w:rsidRPr="00CC3D0A">
        <w:rPr>
          <w:rFonts w:ascii="Book Antiqua" w:eastAsia="MS Mincho" w:hAnsi="Book Antiqua"/>
          <w:sz w:val="24"/>
          <w:szCs w:val="24"/>
          <w:lang w:val="en-US" w:eastAsia="ja-JP"/>
        </w:rPr>
        <w:t>RCF</w:t>
      </w:r>
      <w:r>
        <w:rPr>
          <w:rFonts w:ascii="Book Antiqua" w:hAnsi="Book Antiqua"/>
          <w:sz w:val="24"/>
          <w:szCs w:val="24"/>
          <w:lang w:val="en-US" w:eastAsia="zh-CN"/>
        </w:rPr>
        <w:t xml:space="preserve">: </w:t>
      </w:r>
      <w:r w:rsidRPr="00CC3D0A">
        <w:rPr>
          <w:rFonts w:ascii="Book Antiqua" w:eastAsia="MS Mincho" w:hAnsi="Book Antiqua"/>
          <w:sz w:val="24"/>
          <w:szCs w:val="24"/>
          <w:lang w:val="en-US" w:eastAsia="ja-JP"/>
        </w:rPr>
        <w:t>Reticulin/collagen fibrosis</w:t>
      </w:r>
      <w:r>
        <w:rPr>
          <w:rFonts w:ascii="Book Antiqua" w:hAnsi="Book Antiqua"/>
          <w:sz w:val="24"/>
          <w:szCs w:val="24"/>
          <w:lang w:val="en-US" w:eastAsia="zh-CN"/>
        </w:rPr>
        <w:t>.</w:t>
      </w:r>
    </w:p>
    <w:p w:rsidR="00702CE8" w:rsidRPr="008653C9" w:rsidRDefault="00702CE8" w:rsidP="00AC3FB8">
      <w:pPr>
        <w:suppressAutoHyphens/>
        <w:autoSpaceDN w:val="0"/>
        <w:spacing w:after="0" w:line="360" w:lineRule="auto"/>
        <w:jc w:val="both"/>
        <w:rPr>
          <w:rFonts w:ascii="Book Antiqua" w:hAnsi="Book Antiqua"/>
          <w:b/>
          <w:sz w:val="24"/>
          <w:szCs w:val="24"/>
          <w:lang w:val="en-US" w:eastAsia="zh-CN"/>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p>
    <w:p w:rsidR="00702CE8" w:rsidRPr="00CC3D0A" w:rsidRDefault="00702CE8" w:rsidP="00AC3FB8">
      <w:pPr>
        <w:suppressAutoHyphens/>
        <w:autoSpaceDN w:val="0"/>
        <w:spacing w:after="0" w:line="360" w:lineRule="auto"/>
        <w:jc w:val="both"/>
        <w:rPr>
          <w:rFonts w:ascii="Book Antiqua" w:eastAsia="MS Mincho" w:hAnsi="Book Antiqua"/>
          <w:b/>
          <w:sz w:val="24"/>
          <w:szCs w:val="24"/>
          <w:lang w:val="en-US" w:eastAsia="ja-JP"/>
        </w:rPr>
      </w:pPr>
    </w:p>
    <w:p w:rsidR="00702CE8" w:rsidRDefault="00702CE8" w:rsidP="00AC3FB8">
      <w:pPr>
        <w:suppressAutoHyphens/>
        <w:autoSpaceDN w:val="0"/>
        <w:spacing w:after="0" w:line="360" w:lineRule="auto"/>
        <w:jc w:val="both"/>
        <w:rPr>
          <w:rFonts w:ascii="Book Antiqua" w:hAnsi="Book Antiqua"/>
          <w:b/>
          <w:sz w:val="24"/>
          <w:szCs w:val="24"/>
          <w:lang w:val="en-GB" w:eastAsia="zh-CN"/>
        </w:rPr>
      </w:pPr>
      <w:r w:rsidRPr="00CC3D0A">
        <w:rPr>
          <w:rFonts w:ascii="Book Antiqua" w:eastAsia="MS Mincho" w:hAnsi="Book Antiqua"/>
          <w:b/>
          <w:sz w:val="24"/>
          <w:szCs w:val="24"/>
          <w:lang w:val="en-US" w:eastAsia="ja-JP"/>
        </w:rPr>
        <w:br w:type="page"/>
      </w:r>
      <w:r>
        <w:rPr>
          <w:rFonts w:ascii="Book Antiqua" w:eastAsia="MS Mincho" w:hAnsi="Book Antiqua"/>
          <w:b/>
          <w:sz w:val="24"/>
          <w:szCs w:val="24"/>
          <w:lang w:val="en-US" w:eastAsia="ja-JP"/>
        </w:rPr>
        <w:lastRenderedPageBreak/>
        <w:t>Table 5</w:t>
      </w:r>
      <w:r w:rsidRPr="00CC3D0A">
        <w:rPr>
          <w:rFonts w:ascii="Book Antiqua" w:eastAsia="MS Mincho" w:hAnsi="Book Antiqua"/>
          <w:sz w:val="24"/>
          <w:szCs w:val="24"/>
          <w:lang w:val="en-US" w:eastAsia="ja-JP"/>
        </w:rPr>
        <w:t xml:space="preserve"> </w:t>
      </w:r>
      <w:r w:rsidRPr="00CC3D0A">
        <w:rPr>
          <w:rFonts w:ascii="Book Antiqua" w:eastAsia="MS Mincho" w:hAnsi="Book Antiqua"/>
          <w:b/>
          <w:sz w:val="24"/>
          <w:szCs w:val="24"/>
          <w:lang w:val="en-GB" w:eastAsia="ja-JP"/>
        </w:rPr>
        <w:t>Grading of reticulin fibrosis</w:t>
      </w:r>
      <w:r>
        <w:rPr>
          <w:rFonts w:ascii="Book Antiqua" w:hAnsi="Book Antiqua"/>
          <w:b/>
          <w:sz w:val="24"/>
          <w:szCs w:val="24"/>
          <w:vertAlign w:val="superscript"/>
          <w:lang w:val="en-GB" w:eastAsia="zh-CN"/>
        </w:rPr>
        <w:t xml:space="preserve"> </w:t>
      </w:r>
      <w:r w:rsidRPr="00CC3D0A">
        <w:rPr>
          <w:rFonts w:ascii="Book Antiqua" w:eastAsia="MS Mincho" w:hAnsi="Book Antiqua"/>
          <w:b/>
          <w:sz w:val="24"/>
          <w:szCs w:val="24"/>
          <w:lang w:val="en-GB" w:eastAsia="ja-JP"/>
        </w:rPr>
        <w:t xml:space="preserve">and myelofibrosis </w:t>
      </w:r>
    </w:p>
    <w:tbl>
      <w:tblPr>
        <w:tblW w:w="4945" w:type="pct"/>
        <w:tblInd w:w="51" w:type="dxa"/>
        <w:tblBorders>
          <w:top w:val="single" w:sz="8" w:space="0" w:color="auto"/>
          <w:bottom w:val="single" w:sz="8" w:space="0" w:color="auto"/>
        </w:tblBorders>
        <w:tblLook w:val="00A0" w:firstRow="1" w:lastRow="0" w:firstColumn="1" w:lastColumn="0" w:noHBand="0" w:noVBand="0"/>
      </w:tblPr>
      <w:tblGrid>
        <w:gridCol w:w="1758"/>
        <w:gridCol w:w="1407"/>
        <w:gridCol w:w="6021"/>
      </w:tblGrid>
      <w:tr w:rsidR="00702CE8" w:rsidRPr="00DD0EC2" w:rsidTr="006C7E1A">
        <w:tc>
          <w:tcPr>
            <w:tcW w:w="957" w:type="pct"/>
            <w:tcBorders>
              <w:top w:val="single" w:sz="8" w:space="0" w:color="auto"/>
              <w:bottom w:val="single" w:sz="8" w:space="0" w:color="auto"/>
            </w:tcBorders>
          </w:tcPr>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Grading</w:t>
            </w:r>
            <w:r w:rsidRPr="00DD0EC2">
              <w:rPr>
                <w:rFonts w:ascii="Book Antiqua" w:hAnsi="Book Antiqua"/>
                <w:sz w:val="24"/>
                <w:szCs w:val="24"/>
                <w:vertAlign w:val="superscript"/>
                <w:lang w:val="en-US"/>
              </w:rPr>
              <w:t>[78,79]</w:t>
            </w:r>
            <w:r w:rsidRPr="00DD0EC2">
              <w:rPr>
                <w:rFonts w:ascii="Book Antiqua" w:hAnsi="Book Antiqua"/>
                <w:sz w:val="24"/>
                <w:szCs w:val="24"/>
                <w:lang w:val="en-GB"/>
              </w:rPr>
              <w:t xml:space="preserve"> </w:t>
            </w:r>
          </w:p>
        </w:tc>
        <w:tc>
          <w:tcPr>
            <w:tcW w:w="766" w:type="pct"/>
            <w:tcBorders>
              <w:top w:val="single" w:sz="8" w:space="0" w:color="auto"/>
              <w:bottom w:val="single" w:sz="8" w:space="0" w:color="auto"/>
            </w:tcBorders>
          </w:tcPr>
          <w:p w:rsidR="00702CE8" w:rsidRPr="00DD0EC2" w:rsidRDefault="00702CE8" w:rsidP="00AC3FB8">
            <w:pPr>
              <w:jc w:val="both"/>
              <w:rPr>
                <w:rFonts w:ascii="Book Antiqua" w:hAnsi="Book Antiqua"/>
                <w:sz w:val="24"/>
                <w:szCs w:val="24"/>
              </w:rPr>
            </w:pPr>
            <w:r w:rsidRPr="00DD0EC2">
              <w:rPr>
                <w:rFonts w:ascii="Book Antiqua" w:hAnsi="Book Antiqua"/>
                <w:sz w:val="24"/>
                <w:szCs w:val="24"/>
              </w:rPr>
              <w:t>Grading of MF</w:t>
            </w:r>
            <w:r w:rsidRPr="00DD0EC2">
              <w:rPr>
                <w:rFonts w:ascii="Book Antiqua" w:hAnsi="Book Antiqua"/>
                <w:sz w:val="24"/>
                <w:szCs w:val="24"/>
                <w:vertAlign w:val="superscript"/>
              </w:rPr>
              <w:t>[80]</w:t>
            </w:r>
          </w:p>
        </w:tc>
        <w:tc>
          <w:tcPr>
            <w:tcW w:w="3277" w:type="pct"/>
            <w:tcBorders>
              <w:top w:val="single" w:sz="8" w:space="0" w:color="auto"/>
              <w:bottom w:val="single" w:sz="8" w:space="0" w:color="auto"/>
            </w:tcBorders>
          </w:tcPr>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Description of RF</w:t>
            </w:r>
            <w:r w:rsidRPr="00DD0EC2">
              <w:rPr>
                <w:rFonts w:ascii="Book Antiqua" w:hAnsi="Book Antiqua"/>
                <w:sz w:val="24"/>
                <w:szCs w:val="24"/>
                <w:vertAlign w:val="superscript"/>
                <w:lang w:val="en-GB"/>
              </w:rPr>
              <w:t xml:space="preserve"> </w:t>
            </w:r>
            <w:r w:rsidRPr="00DD0EC2">
              <w:rPr>
                <w:rFonts w:ascii="Book Antiqua" w:hAnsi="Book Antiqua"/>
                <w:sz w:val="24"/>
                <w:szCs w:val="24"/>
                <w:lang w:val="en-GB"/>
              </w:rPr>
              <w:t>and RCF</w:t>
            </w:r>
            <w:r w:rsidRPr="00DD0EC2">
              <w:rPr>
                <w:rFonts w:ascii="Book Antiqua" w:hAnsi="Book Antiqua"/>
                <w:sz w:val="24"/>
                <w:szCs w:val="24"/>
                <w:vertAlign w:val="superscript"/>
                <w:lang w:val="en-GB"/>
              </w:rPr>
              <w:t xml:space="preserve"> </w:t>
            </w:r>
            <w:r w:rsidRPr="00DD0EC2">
              <w:rPr>
                <w:rFonts w:ascii="Book Antiqua" w:hAnsi="Book Antiqua"/>
                <w:sz w:val="24"/>
                <w:szCs w:val="24"/>
                <w:lang w:val="en-GB"/>
              </w:rPr>
              <w:t>in MF</w:t>
            </w:r>
            <w:r w:rsidRPr="00DD0EC2">
              <w:rPr>
                <w:rFonts w:ascii="Book Antiqua" w:hAnsi="Book Antiqua"/>
                <w:sz w:val="24"/>
                <w:szCs w:val="24"/>
                <w:vertAlign w:val="superscript"/>
                <w:lang w:val="en-GB"/>
              </w:rPr>
              <w:t xml:space="preserve"> </w:t>
            </w:r>
            <w:r w:rsidRPr="00DD0EC2">
              <w:rPr>
                <w:rFonts w:ascii="Book Antiqua" w:hAnsi="Book Antiqua"/>
                <w:sz w:val="24"/>
                <w:szCs w:val="24"/>
                <w:lang w:val="en-GB"/>
              </w:rPr>
              <w:t>as a secondary event in MPN</w:t>
            </w:r>
          </w:p>
        </w:tc>
      </w:tr>
      <w:tr w:rsidR="00702CE8" w:rsidRPr="00DD0EC2" w:rsidTr="006C7E1A">
        <w:tc>
          <w:tcPr>
            <w:tcW w:w="957" w:type="pct"/>
            <w:tcBorders>
              <w:top w:val="single" w:sz="8" w:space="0" w:color="auto"/>
            </w:tcBorders>
            <w:tcMar>
              <w:top w:w="57" w:type="dxa"/>
              <w:left w:w="57" w:type="dxa"/>
              <w:bottom w:w="57" w:type="dxa"/>
              <w:right w:w="57" w:type="dxa"/>
            </w:tcMar>
          </w:tcPr>
          <w:p w:rsidR="00702CE8" w:rsidRPr="00DD0EC2" w:rsidRDefault="00702CE8" w:rsidP="00AC3FB8">
            <w:pPr>
              <w:jc w:val="both"/>
              <w:rPr>
                <w:rFonts w:ascii="Book Antiqua" w:hAnsi="Book Antiqua"/>
                <w:bCs/>
                <w:sz w:val="24"/>
                <w:szCs w:val="24"/>
                <w:lang w:val="en-GB"/>
              </w:rPr>
            </w:pPr>
            <w:r w:rsidRPr="00DD0EC2">
              <w:rPr>
                <w:rFonts w:ascii="Book Antiqua" w:hAnsi="Book Antiqua"/>
                <w:bCs/>
                <w:sz w:val="24"/>
                <w:szCs w:val="24"/>
                <w:lang w:val="en-GB"/>
              </w:rPr>
              <w:t>Normal RF-0</w:t>
            </w:r>
          </w:p>
        </w:tc>
        <w:tc>
          <w:tcPr>
            <w:tcW w:w="766" w:type="pct"/>
            <w:tcBorders>
              <w:top w:val="single" w:sz="8" w:space="0" w:color="auto"/>
            </w:tcBorders>
            <w:tcMar>
              <w:top w:w="57" w:type="dxa"/>
              <w:left w:w="57" w:type="dxa"/>
              <w:bottom w:w="57" w:type="dxa"/>
              <w:right w:w="57" w:type="dxa"/>
            </w:tcMar>
          </w:tcPr>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MF 0</w:t>
            </w:r>
          </w:p>
        </w:tc>
        <w:tc>
          <w:tcPr>
            <w:tcW w:w="3277" w:type="pct"/>
            <w:tcBorders>
              <w:top w:val="single" w:sz="8" w:space="0" w:color="auto"/>
            </w:tcBorders>
            <w:tcMar>
              <w:top w:w="57" w:type="dxa"/>
              <w:left w:w="57" w:type="dxa"/>
              <w:bottom w:w="57" w:type="dxa"/>
              <w:right w:w="57" w:type="dxa"/>
            </w:tcMar>
          </w:tcPr>
          <w:p w:rsidR="00702CE8" w:rsidRPr="00DD0EC2" w:rsidRDefault="00702CE8" w:rsidP="00AC3FB8">
            <w:pPr>
              <w:jc w:val="both"/>
              <w:rPr>
                <w:rFonts w:ascii="Book Antiqua" w:hAnsi="Book Antiqua"/>
                <w:sz w:val="24"/>
                <w:szCs w:val="24"/>
                <w:lang w:val="en-GB"/>
              </w:rPr>
            </w:pPr>
            <w:r w:rsidRPr="00DD0EC2">
              <w:rPr>
                <w:rFonts w:ascii="Book Antiqua" w:hAnsi="Book Antiqua"/>
                <w:bCs/>
                <w:sz w:val="24"/>
                <w:szCs w:val="24"/>
                <w:lang w:val="en-GB"/>
              </w:rPr>
              <w:t>No reticulin fibers, occasional individual fibers or focal areas with tiny amount of reticulin fiber network</w:t>
            </w:r>
          </w:p>
        </w:tc>
      </w:tr>
      <w:tr w:rsidR="00702CE8" w:rsidRPr="00DD0EC2" w:rsidTr="006C7E1A">
        <w:tc>
          <w:tcPr>
            <w:tcW w:w="957" w:type="pct"/>
            <w:tcMar>
              <w:top w:w="57" w:type="dxa"/>
              <w:left w:w="57" w:type="dxa"/>
              <w:bottom w:w="57" w:type="dxa"/>
              <w:right w:w="57" w:type="dxa"/>
            </w:tcMar>
          </w:tcPr>
          <w:p w:rsidR="00702CE8" w:rsidRPr="00DD0EC2" w:rsidRDefault="00702CE8" w:rsidP="00AC3FB8">
            <w:pPr>
              <w:jc w:val="both"/>
              <w:rPr>
                <w:rFonts w:ascii="Book Antiqua" w:hAnsi="Book Antiqua"/>
                <w:bCs/>
                <w:sz w:val="24"/>
                <w:szCs w:val="24"/>
                <w:lang w:val="en-GB"/>
              </w:rPr>
            </w:pPr>
            <w:r w:rsidRPr="00DD0EC2">
              <w:rPr>
                <w:rFonts w:ascii="Book Antiqua" w:hAnsi="Book Antiqua"/>
                <w:bCs/>
                <w:sz w:val="24"/>
                <w:szCs w:val="24"/>
                <w:lang w:val="en-GB"/>
              </w:rPr>
              <w:t>RF 1</w:t>
            </w:r>
            <w:r w:rsidRPr="00DD0EC2">
              <w:rPr>
                <w:rFonts w:ascii="Book Antiqua" w:hAnsi="Book Antiqua"/>
                <w:bCs/>
                <w:sz w:val="24"/>
                <w:szCs w:val="24"/>
                <w:lang w:val="en-GB"/>
              </w:rPr>
              <w:br/>
              <w:t>Slight increase</w:t>
            </w:r>
          </w:p>
        </w:tc>
        <w:tc>
          <w:tcPr>
            <w:tcW w:w="766" w:type="pct"/>
            <w:tcMar>
              <w:top w:w="57" w:type="dxa"/>
              <w:left w:w="57" w:type="dxa"/>
              <w:bottom w:w="57" w:type="dxa"/>
              <w:right w:w="57" w:type="dxa"/>
            </w:tcMar>
          </w:tcPr>
          <w:p w:rsidR="00702CE8" w:rsidRPr="00DD0EC2" w:rsidRDefault="00702CE8" w:rsidP="00AC3FB8">
            <w:pPr>
              <w:jc w:val="both"/>
              <w:rPr>
                <w:rFonts w:ascii="Book Antiqua" w:hAnsi="Book Antiqua"/>
                <w:sz w:val="24"/>
                <w:szCs w:val="24"/>
                <w:lang w:val="en-GB"/>
              </w:rPr>
            </w:pPr>
            <w:r w:rsidRPr="00DD0EC2">
              <w:rPr>
                <w:rFonts w:ascii="Book Antiqua" w:hAnsi="Book Antiqua"/>
                <w:bCs/>
                <w:sz w:val="24"/>
                <w:szCs w:val="24"/>
                <w:lang w:val="en-GB"/>
              </w:rPr>
              <w:t xml:space="preserve"> </w:t>
            </w:r>
            <w:r w:rsidRPr="00DD0EC2">
              <w:rPr>
                <w:rFonts w:ascii="Book Antiqua" w:hAnsi="Book Antiqua"/>
                <w:sz w:val="24"/>
                <w:szCs w:val="24"/>
                <w:lang w:val="en-GB"/>
              </w:rPr>
              <w:t xml:space="preserve"> MF 0</w:t>
            </w:r>
          </w:p>
        </w:tc>
        <w:tc>
          <w:tcPr>
            <w:tcW w:w="3277" w:type="pct"/>
            <w:tcMar>
              <w:top w:w="57" w:type="dxa"/>
              <w:left w:w="57" w:type="dxa"/>
              <w:bottom w:w="57" w:type="dxa"/>
              <w:right w:w="57" w:type="dxa"/>
            </w:tcMar>
          </w:tcPr>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Fine reticulin fiber network throughout much of section and no course reticukin fibers</w:t>
            </w:r>
          </w:p>
        </w:tc>
      </w:tr>
      <w:tr w:rsidR="00702CE8" w:rsidRPr="00DD0EC2" w:rsidTr="006C7E1A">
        <w:tc>
          <w:tcPr>
            <w:tcW w:w="957" w:type="pct"/>
            <w:tcMar>
              <w:top w:w="57" w:type="dxa"/>
              <w:left w:w="57" w:type="dxa"/>
              <w:bottom w:w="57" w:type="dxa"/>
              <w:right w:w="57" w:type="dxa"/>
            </w:tcMar>
          </w:tcPr>
          <w:p w:rsidR="00702CE8" w:rsidRPr="00DD0EC2" w:rsidRDefault="00702CE8" w:rsidP="00AC3FB8">
            <w:pPr>
              <w:jc w:val="both"/>
              <w:rPr>
                <w:rFonts w:ascii="Book Antiqua" w:hAnsi="Book Antiqua"/>
                <w:bCs/>
                <w:sz w:val="24"/>
                <w:szCs w:val="24"/>
                <w:lang w:val="en-GB"/>
              </w:rPr>
            </w:pPr>
            <w:r w:rsidRPr="00DD0EC2">
              <w:rPr>
                <w:rFonts w:ascii="Book Antiqua" w:hAnsi="Book Antiqua"/>
                <w:bCs/>
                <w:sz w:val="24"/>
                <w:szCs w:val="24"/>
                <w:lang w:val="en-GB"/>
              </w:rPr>
              <w:t>RF 2</w:t>
            </w:r>
            <w:r w:rsidRPr="00DD0EC2">
              <w:rPr>
                <w:rFonts w:ascii="Book Antiqua" w:hAnsi="Book Antiqua"/>
                <w:bCs/>
                <w:sz w:val="24"/>
                <w:szCs w:val="24"/>
                <w:lang w:val="en-GB"/>
              </w:rPr>
              <w:br/>
              <w:t xml:space="preserve">Moderate ncrease </w:t>
            </w:r>
          </w:p>
        </w:tc>
        <w:tc>
          <w:tcPr>
            <w:tcW w:w="766" w:type="pct"/>
            <w:tcMar>
              <w:top w:w="57" w:type="dxa"/>
              <w:left w:w="57" w:type="dxa"/>
              <w:bottom w:w="57" w:type="dxa"/>
              <w:right w:w="57" w:type="dxa"/>
            </w:tcMar>
          </w:tcPr>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 xml:space="preserve">MF 1 </w:t>
            </w:r>
          </w:p>
        </w:tc>
        <w:tc>
          <w:tcPr>
            <w:tcW w:w="3277" w:type="pct"/>
            <w:tcMar>
              <w:top w:w="57" w:type="dxa"/>
              <w:left w:w="57" w:type="dxa"/>
              <w:bottom w:w="57" w:type="dxa"/>
              <w:right w:w="57" w:type="dxa"/>
            </w:tcMar>
          </w:tcPr>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 xml:space="preserve">Diffuse fine  reticuline network  with focal collections of thick course reticulin fibers and no collagenisation </w:t>
            </w:r>
          </w:p>
        </w:tc>
      </w:tr>
      <w:tr w:rsidR="00702CE8" w:rsidRPr="00DD0EC2" w:rsidTr="006C7E1A">
        <w:tc>
          <w:tcPr>
            <w:tcW w:w="957" w:type="pct"/>
            <w:tcMar>
              <w:top w:w="57" w:type="dxa"/>
              <w:left w:w="57" w:type="dxa"/>
              <w:bottom w:w="57" w:type="dxa"/>
              <w:right w:w="57" w:type="dxa"/>
            </w:tcMar>
          </w:tcPr>
          <w:p w:rsidR="00702CE8" w:rsidRPr="00DD0EC2" w:rsidRDefault="00702CE8" w:rsidP="00AC3FB8">
            <w:pPr>
              <w:jc w:val="both"/>
              <w:rPr>
                <w:rFonts w:ascii="Book Antiqua" w:hAnsi="Book Antiqua"/>
                <w:bCs/>
                <w:sz w:val="24"/>
                <w:szCs w:val="24"/>
                <w:lang w:val="en-GB"/>
              </w:rPr>
            </w:pPr>
            <w:r w:rsidRPr="00DD0EC2">
              <w:rPr>
                <w:rFonts w:ascii="Book Antiqua" w:hAnsi="Book Antiqua"/>
                <w:bCs/>
                <w:sz w:val="24"/>
                <w:szCs w:val="24"/>
                <w:lang w:val="en-GB"/>
              </w:rPr>
              <w:t>RF 3 = RCF</w:t>
            </w:r>
          </w:p>
          <w:p w:rsidR="00702CE8" w:rsidRPr="00DD0EC2" w:rsidRDefault="00702CE8" w:rsidP="00AC3FB8">
            <w:pPr>
              <w:jc w:val="both"/>
              <w:rPr>
                <w:rFonts w:ascii="Book Antiqua" w:hAnsi="Book Antiqua"/>
                <w:bCs/>
                <w:sz w:val="24"/>
                <w:szCs w:val="24"/>
                <w:lang w:val="en-GB"/>
              </w:rPr>
            </w:pPr>
            <w:r w:rsidRPr="00DD0EC2">
              <w:rPr>
                <w:rFonts w:ascii="Book Antiqua" w:hAnsi="Book Antiqua"/>
                <w:bCs/>
                <w:sz w:val="24"/>
                <w:szCs w:val="24"/>
                <w:lang w:val="en-GB"/>
              </w:rPr>
              <w:t xml:space="preserve">Marked increase </w:t>
            </w:r>
          </w:p>
        </w:tc>
        <w:tc>
          <w:tcPr>
            <w:tcW w:w="766" w:type="pct"/>
            <w:tcMar>
              <w:top w:w="57" w:type="dxa"/>
              <w:left w:w="57" w:type="dxa"/>
              <w:bottom w:w="57" w:type="dxa"/>
              <w:right w:w="57" w:type="dxa"/>
            </w:tcMar>
          </w:tcPr>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MF 2</w:t>
            </w:r>
          </w:p>
        </w:tc>
        <w:tc>
          <w:tcPr>
            <w:tcW w:w="3277" w:type="pct"/>
            <w:tcMar>
              <w:top w:w="57" w:type="dxa"/>
              <w:left w:w="57" w:type="dxa"/>
              <w:bottom w:w="57" w:type="dxa"/>
              <w:right w:w="57" w:type="dxa"/>
            </w:tcMar>
          </w:tcPr>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Diffuse and dense increase in reticulin with extensive intersections, and presence of collagen fibers and no or minor osteosclerosis</w:t>
            </w:r>
          </w:p>
        </w:tc>
      </w:tr>
      <w:tr w:rsidR="00702CE8" w:rsidRPr="00DD0EC2" w:rsidTr="006C7E1A">
        <w:tc>
          <w:tcPr>
            <w:tcW w:w="957" w:type="pct"/>
            <w:tcBorders>
              <w:bottom w:val="single" w:sz="8" w:space="0" w:color="auto"/>
            </w:tcBorders>
            <w:tcMar>
              <w:top w:w="57" w:type="dxa"/>
              <w:left w:w="57" w:type="dxa"/>
              <w:bottom w:w="57" w:type="dxa"/>
              <w:right w:w="57" w:type="dxa"/>
            </w:tcMar>
          </w:tcPr>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RF 4 = RCF</w:t>
            </w:r>
            <w:r w:rsidRPr="00DD0EC2">
              <w:rPr>
                <w:rFonts w:ascii="Book Antiqua" w:hAnsi="Book Antiqua"/>
                <w:sz w:val="24"/>
                <w:szCs w:val="24"/>
                <w:lang w:val="en-GB" w:eastAsia="zh-CN"/>
              </w:rPr>
              <w:t xml:space="preserve"> and </w:t>
            </w:r>
            <w:r w:rsidRPr="00DD0EC2">
              <w:rPr>
                <w:rFonts w:ascii="Book Antiqua" w:hAnsi="Book Antiqua"/>
                <w:sz w:val="24"/>
                <w:szCs w:val="24"/>
                <w:lang w:val="en-GB"/>
              </w:rPr>
              <w:t>O</w:t>
            </w:r>
          </w:p>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 xml:space="preserve">OS Dry tap </w:t>
            </w:r>
          </w:p>
        </w:tc>
        <w:tc>
          <w:tcPr>
            <w:tcW w:w="766" w:type="pct"/>
            <w:tcBorders>
              <w:bottom w:val="single" w:sz="8" w:space="0" w:color="auto"/>
            </w:tcBorders>
            <w:tcMar>
              <w:top w:w="57" w:type="dxa"/>
              <w:left w:w="57" w:type="dxa"/>
              <w:bottom w:w="57" w:type="dxa"/>
              <w:right w:w="57" w:type="dxa"/>
            </w:tcMar>
          </w:tcPr>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MF 3</w:t>
            </w:r>
          </w:p>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Sclerotic</w:t>
            </w:r>
          </w:p>
        </w:tc>
        <w:tc>
          <w:tcPr>
            <w:tcW w:w="3277" w:type="pct"/>
            <w:tcBorders>
              <w:bottom w:val="single" w:sz="8" w:space="0" w:color="auto"/>
            </w:tcBorders>
            <w:tcMar>
              <w:top w:w="57" w:type="dxa"/>
              <w:left w:w="57" w:type="dxa"/>
              <w:bottom w:w="57" w:type="dxa"/>
              <w:right w:w="57" w:type="dxa"/>
            </w:tcMar>
          </w:tcPr>
          <w:p w:rsidR="00702CE8" w:rsidRPr="00DD0EC2" w:rsidRDefault="00702CE8" w:rsidP="00AC3FB8">
            <w:pPr>
              <w:jc w:val="both"/>
              <w:rPr>
                <w:rFonts w:ascii="Book Antiqua" w:hAnsi="Book Antiqua"/>
                <w:sz w:val="24"/>
                <w:szCs w:val="24"/>
                <w:lang w:val="en-GB"/>
              </w:rPr>
            </w:pPr>
            <w:r w:rsidRPr="00DD0EC2">
              <w:rPr>
                <w:rFonts w:ascii="Book Antiqua" w:hAnsi="Book Antiqua"/>
                <w:sz w:val="24"/>
                <w:szCs w:val="24"/>
                <w:lang w:val="en-GB"/>
              </w:rPr>
              <w:t>Diffuse and dense reticulin with with coarse bundles of collagen associated with significant osteosclerosis (O)</w:t>
            </w:r>
          </w:p>
        </w:tc>
      </w:tr>
    </w:tbl>
    <w:p w:rsidR="00702CE8" w:rsidRPr="001C3072" w:rsidRDefault="00702CE8" w:rsidP="00AC3FB8">
      <w:pPr>
        <w:suppressAutoHyphens/>
        <w:autoSpaceDN w:val="0"/>
        <w:spacing w:after="0" w:line="360" w:lineRule="auto"/>
        <w:jc w:val="both"/>
        <w:rPr>
          <w:rFonts w:ascii="Book Antiqua" w:hAnsi="Book Antiqua"/>
          <w:b/>
          <w:sz w:val="24"/>
          <w:szCs w:val="24"/>
          <w:lang w:val="en-GB" w:eastAsia="zh-CN"/>
        </w:rPr>
      </w:pPr>
    </w:p>
    <w:p w:rsidR="00702CE8" w:rsidRPr="008F6B58" w:rsidRDefault="00702CE8" w:rsidP="00AC3FB8">
      <w:pPr>
        <w:suppressAutoHyphens/>
        <w:autoSpaceDN w:val="0"/>
        <w:spacing w:after="0" w:line="360" w:lineRule="auto"/>
        <w:jc w:val="both"/>
        <w:rPr>
          <w:rFonts w:ascii="Book Antiqua" w:hAnsi="Book Antiqua" w:cs="Arial"/>
          <w:sz w:val="24"/>
          <w:szCs w:val="24"/>
          <w:lang w:val="en-GB" w:eastAsia="zh-CN"/>
        </w:rPr>
      </w:pPr>
      <w:r w:rsidRPr="008238D5">
        <w:rPr>
          <w:rFonts w:ascii="Book Antiqua" w:eastAsia="MS Mincho" w:hAnsi="Book Antiqua"/>
          <w:sz w:val="24"/>
          <w:szCs w:val="24"/>
          <w:lang w:val="en-GB" w:eastAsia="ja-JP"/>
        </w:rPr>
        <w:t>MF</w:t>
      </w:r>
      <w:r w:rsidRPr="008238D5">
        <w:rPr>
          <w:rFonts w:ascii="Book Antiqua" w:hAnsi="Book Antiqua"/>
          <w:sz w:val="24"/>
          <w:szCs w:val="24"/>
          <w:lang w:val="en-GB" w:eastAsia="zh-CN"/>
        </w:rPr>
        <w:t xml:space="preserve">: </w:t>
      </w:r>
      <w:r w:rsidRPr="008238D5">
        <w:rPr>
          <w:rFonts w:ascii="Book Antiqua" w:eastAsia="MS Mincho" w:hAnsi="Book Antiqua"/>
          <w:sz w:val="24"/>
          <w:szCs w:val="24"/>
          <w:lang w:val="en-GB" w:eastAsia="ja-JP"/>
        </w:rPr>
        <w:t>Myelofibrosis</w:t>
      </w:r>
      <w:r w:rsidRPr="008238D5">
        <w:rPr>
          <w:rFonts w:ascii="Book Antiqua" w:hAnsi="Book Antiqua"/>
          <w:sz w:val="24"/>
          <w:szCs w:val="24"/>
          <w:lang w:val="en-GB" w:eastAsia="zh-CN"/>
        </w:rPr>
        <w:t xml:space="preserve">; </w:t>
      </w:r>
      <w:r w:rsidRPr="008238D5">
        <w:rPr>
          <w:rFonts w:ascii="Book Antiqua" w:hAnsi="Book Antiqua" w:cs="Arial"/>
          <w:sz w:val="24"/>
          <w:szCs w:val="24"/>
          <w:lang w:val="en-GB" w:eastAsia="nl-NL"/>
        </w:rPr>
        <w:t>RF</w:t>
      </w:r>
      <w:r w:rsidRPr="008238D5">
        <w:rPr>
          <w:rFonts w:ascii="Book Antiqua" w:hAnsi="Book Antiqua" w:cs="Arial"/>
          <w:sz w:val="24"/>
          <w:szCs w:val="24"/>
          <w:lang w:val="en-GB" w:eastAsia="zh-CN"/>
        </w:rPr>
        <w:t xml:space="preserve">: </w:t>
      </w:r>
      <w:r w:rsidRPr="008238D5">
        <w:rPr>
          <w:rFonts w:ascii="Book Antiqua" w:hAnsi="Book Antiqua" w:cs="Arial"/>
          <w:sz w:val="24"/>
          <w:szCs w:val="24"/>
          <w:lang w:val="en-GB" w:eastAsia="nl-NL"/>
        </w:rPr>
        <w:t>Reticulin fibers</w:t>
      </w:r>
      <w:r w:rsidRPr="008238D5">
        <w:rPr>
          <w:rFonts w:ascii="Book Antiqua" w:hAnsi="Book Antiqua" w:cs="Arial"/>
          <w:sz w:val="24"/>
          <w:szCs w:val="24"/>
          <w:lang w:val="en-GB" w:eastAsia="zh-CN"/>
        </w:rPr>
        <w:t xml:space="preserve">; </w:t>
      </w:r>
      <w:r w:rsidRPr="008238D5">
        <w:rPr>
          <w:rFonts w:ascii="Book Antiqua" w:hAnsi="Book Antiqua" w:cs="Arial"/>
          <w:sz w:val="24"/>
          <w:szCs w:val="24"/>
          <w:lang w:val="en-GB" w:eastAsia="nl-NL"/>
        </w:rPr>
        <w:t>RCF</w:t>
      </w:r>
      <w:r w:rsidRPr="008238D5">
        <w:rPr>
          <w:rFonts w:ascii="Book Antiqua" w:hAnsi="Book Antiqua" w:cs="Arial"/>
          <w:sz w:val="24"/>
          <w:szCs w:val="24"/>
          <w:lang w:val="en-GB" w:eastAsia="zh-CN"/>
        </w:rPr>
        <w:t>: R</w:t>
      </w:r>
      <w:r w:rsidRPr="008238D5">
        <w:rPr>
          <w:rFonts w:ascii="Book Antiqua" w:hAnsi="Book Antiqua" w:cs="Arial"/>
          <w:sz w:val="24"/>
          <w:szCs w:val="24"/>
          <w:lang w:val="en-GB" w:eastAsia="nl-NL"/>
        </w:rPr>
        <w:t>eticulin/collagen fibers</w:t>
      </w:r>
      <w:r w:rsidRPr="008238D5">
        <w:rPr>
          <w:rFonts w:ascii="Book Antiqua" w:hAnsi="Book Antiqua" w:cs="Arial"/>
          <w:sz w:val="24"/>
          <w:szCs w:val="24"/>
          <w:lang w:val="en-GB" w:eastAsia="zh-CN"/>
        </w:rPr>
        <w:t xml:space="preserve">; </w:t>
      </w:r>
      <w:r w:rsidRPr="008238D5">
        <w:rPr>
          <w:rFonts w:ascii="Book Antiqua" w:hAnsi="Book Antiqua" w:cs="Arial"/>
          <w:sz w:val="24"/>
          <w:szCs w:val="24"/>
          <w:lang w:val="en-GB" w:eastAsia="nl-NL"/>
        </w:rPr>
        <w:t>MPN</w:t>
      </w:r>
      <w:r w:rsidRPr="008238D5">
        <w:rPr>
          <w:rFonts w:ascii="Book Antiqua" w:hAnsi="Book Antiqua" w:cs="Arial"/>
          <w:sz w:val="24"/>
          <w:szCs w:val="24"/>
          <w:lang w:val="en-GB" w:eastAsia="zh-CN"/>
        </w:rPr>
        <w:t>:</w:t>
      </w:r>
      <w:r w:rsidRPr="008238D5">
        <w:rPr>
          <w:rFonts w:ascii="Book Antiqua" w:hAnsi="Book Antiqua" w:cs="Arial"/>
          <w:sz w:val="24"/>
          <w:szCs w:val="24"/>
          <w:lang w:val="en-GB" w:eastAsia="nl-NL"/>
        </w:rPr>
        <w:t xml:space="preserve"> Myeloproliferative neoplasms</w:t>
      </w:r>
      <w:r w:rsidRPr="008238D5">
        <w:rPr>
          <w:rFonts w:ascii="Book Antiqua" w:hAnsi="Book Antiqua" w:cs="Arial"/>
          <w:sz w:val="24"/>
          <w:szCs w:val="24"/>
          <w:lang w:val="en-GB" w:eastAsia="zh-CN"/>
        </w:rPr>
        <w:t>;</w:t>
      </w:r>
      <w:r>
        <w:rPr>
          <w:rFonts w:ascii="Book Antiqua" w:hAnsi="Book Antiqua" w:cs="Arial"/>
          <w:sz w:val="24"/>
          <w:szCs w:val="24"/>
          <w:lang w:val="en-GB" w:eastAsia="zh-CN"/>
        </w:rPr>
        <w:t xml:space="preserve"> O: </w:t>
      </w:r>
      <w:r w:rsidRPr="00CC3D0A">
        <w:rPr>
          <w:rFonts w:ascii="Book Antiqua" w:hAnsi="Book Antiqua" w:cs="Arial"/>
          <w:sz w:val="24"/>
          <w:szCs w:val="24"/>
          <w:lang w:val="en-GB" w:eastAsia="nl-NL"/>
        </w:rPr>
        <w:t>Osteosclerosis</w:t>
      </w:r>
      <w:r>
        <w:rPr>
          <w:rFonts w:ascii="Book Antiqua" w:hAnsi="Book Antiqua" w:cs="Arial"/>
          <w:sz w:val="24"/>
          <w:szCs w:val="24"/>
          <w:lang w:val="en-GB" w:eastAsia="zh-CN"/>
        </w:rPr>
        <w:t>.</w:t>
      </w:r>
    </w:p>
    <w:p w:rsidR="00702CE8" w:rsidRPr="008F6B58" w:rsidRDefault="00702CE8" w:rsidP="00AC3FB8">
      <w:pPr>
        <w:suppressAutoHyphens/>
        <w:autoSpaceDN w:val="0"/>
        <w:spacing w:after="0" w:line="360" w:lineRule="auto"/>
        <w:jc w:val="both"/>
        <w:rPr>
          <w:rFonts w:ascii="Book Antiqua" w:hAnsi="Book Antiqua"/>
          <w:sz w:val="24"/>
          <w:szCs w:val="24"/>
          <w:lang w:val="en-GB" w:eastAsia="zh-CN"/>
        </w:rPr>
      </w:pPr>
    </w:p>
    <w:p w:rsidR="00702CE8" w:rsidRDefault="00702CE8" w:rsidP="00AC3FB8">
      <w:pPr>
        <w:spacing w:after="0" w:line="360" w:lineRule="auto"/>
        <w:jc w:val="both"/>
        <w:rPr>
          <w:rFonts w:ascii="Book Antiqua" w:hAnsi="Book Antiqua"/>
          <w:b/>
          <w:sz w:val="24"/>
          <w:szCs w:val="24"/>
          <w:lang w:val="en-GB" w:eastAsia="zh-CN"/>
        </w:rPr>
      </w:pPr>
    </w:p>
    <w:p w:rsidR="00702CE8" w:rsidRDefault="00702CE8" w:rsidP="00AC3FB8">
      <w:pPr>
        <w:spacing w:after="0" w:line="360" w:lineRule="auto"/>
        <w:jc w:val="both"/>
        <w:rPr>
          <w:rFonts w:ascii="Book Antiqua" w:hAnsi="Book Antiqua"/>
          <w:b/>
          <w:sz w:val="24"/>
          <w:szCs w:val="24"/>
          <w:lang w:val="en-GB" w:eastAsia="zh-CN"/>
        </w:rPr>
      </w:pPr>
    </w:p>
    <w:p w:rsidR="00702CE8" w:rsidRDefault="00702CE8" w:rsidP="00AC3FB8">
      <w:pPr>
        <w:spacing w:after="0" w:line="360" w:lineRule="auto"/>
        <w:jc w:val="both"/>
        <w:rPr>
          <w:rFonts w:ascii="Book Antiqua" w:hAnsi="Book Antiqua"/>
          <w:b/>
          <w:sz w:val="24"/>
          <w:szCs w:val="24"/>
          <w:lang w:val="en-GB" w:eastAsia="zh-CN"/>
        </w:rPr>
      </w:pPr>
    </w:p>
    <w:p w:rsidR="00702CE8" w:rsidRDefault="00702CE8" w:rsidP="00AC3FB8">
      <w:pPr>
        <w:spacing w:after="0" w:line="360" w:lineRule="auto"/>
        <w:jc w:val="both"/>
        <w:rPr>
          <w:rFonts w:ascii="Book Antiqua" w:hAnsi="Book Antiqua"/>
          <w:b/>
          <w:sz w:val="24"/>
          <w:szCs w:val="24"/>
          <w:lang w:val="en-GB" w:eastAsia="zh-CN"/>
        </w:rPr>
      </w:pPr>
    </w:p>
    <w:p w:rsidR="00702CE8" w:rsidRDefault="00702CE8" w:rsidP="00AC3FB8">
      <w:pPr>
        <w:spacing w:after="0" w:line="360" w:lineRule="auto"/>
        <w:jc w:val="both"/>
        <w:rPr>
          <w:rFonts w:ascii="Book Antiqua" w:hAnsi="Book Antiqua"/>
          <w:b/>
          <w:sz w:val="24"/>
          <w:szCs w:val="24"/>
          <w:lang w:val="en-GB" w:eastAsia="zh-CN"/>
        </w:rPr>
      </w:pPr>
    </w:p>
    <w:p w:rsidR="00702CE8" w:rsidRDefault="00702CE8" w:rsidP="00AC3FB8">
      <w:pPr>
        <w:spacing w:after="0" w:line="360" w:lineRule="auto"/>
        <w:jc w:val="both"/>
        <w:rPr>
          <w:rFonts w:ascii="Book Antiqua" w:hAnsi="Book Antiqua"/>
          <w:b/>
          <w:sz w:val="24"/>
          <w:szCs w:val="24"/>
          <w:lang w:val="en-GB" w:eastAsia="zh-CN"/>
        </w:rPr>
      </w:pPr>
    </w:p>
    <w:p w:rsidR="00702CE8" w:rsidRDefault="00702CE8" w:rsidP="00AC3FB8">
      <w:pPr>
        <w:spacing w:after="0" w:line="360" w:lineRule="auto"/>
        <w:jc w:val="both"/>
        <w:rPr>
          <w:rFonts w:ascii="Book Antiqua" w:hAnsi="Book Antiqua"/>
          <w:b/>
          <w:sz w:val="24"/>
          <w:szCs w:val="24"/>
          <w:lang w:val="en-GB" w:eastAsia="zh-CN"/>
        </w:rPr>
      </w:pPr>
    </w:p>
    <w:p w:rsidR="00702CE8" w:rsidRDefault="00702CE8" w:rsidP="00AC3FB8">
      <w:pPr>
        <w:spacing w:after="0" w:line="360" w:lineRule="auto"/>
        <w:jc w:val="both"/>
        <w:rPr>
          <w:rFonts w:ascii="Book Antiqua" w:hAnsi="Book Antiqua"/>
          <w:b/>
          <w:sz w:val="24"/>
          <w:szCs w:val="24"/>
          <w:lang w:val="en-GB" w:eastAsia="zh-CN"/>
        </w:rPr>
      </w:pPr>
    </w:p>
    <w:p w:rsidR="00702CE8" w:rsidRDefault="00702CE8" w:rsidP="00AC3FB8">
      <w:pPr>
        <w:spacing w:after="0" w:line="360" w:lineRule="auto"/>
        <w:jc w:val="both"/>
        <w:rPr>
          <w:rFonts w:ascii="Book Antiqua" w:hAnsi="Book Antiqua"/>
          <w:b/>
          <w:sz w:val="24"/>
          <w:szCs w:val="24"/>
          <w:lang w:val="en-GB" w:eastAsia="zh-CN"/>
        </w:rPr>
      </w:pPr>
      <w:r w:rsidRPr="00D75AE6">
        <w:rPr>
          <w:rFonts w:ascii="Book Antiqua" w:hAnsi="Book Antiqua"/>
          <w:b/>
          <w:sz w:val="24"/>
          <w:szCs w:val="24"/>
          <w:lang w:val="en-GB" w:eastAsia="zh-CN"/>
        </w:rPr>
        <w:lastRenderedPageBreak/>
        <w:t xml:space="preserve">Table 6 </w:t>
      </w:r>
      <w:r w:rsidRPr="00CA6F7F">
        <w:rPr>
          <w:rFonts w:ascii="Book Antiqua" w:hAnsi="Book Antiqua"/>
          <w:b/>
          <w:bCs/>
          <w:sz w:val="24"/>
          <w:szCs w:val="24"/>
          <w:lang w:val="en-GB" w:eastAsia="nl-NL"/>
        </w:rPr>
        <w:t>World Health Organization</w:t>
      </w:r>
      <w:r w:rsidRPr="00CA6F7F">
        <w:rPr>
          <w:rFonts w:ascii="Book Antiqua" w:hAnsi="Book Antiqua"/>
          <w:b/>
          <w:sz w:val="24"/>
          <w:szCs w:val="24"/>
          <w:lang w:val="en-GB" w:eastAsia="nl-NL"/>
        </w:rPr>
        <w:t xml:space="preserve"> and European clinical, molecular and pathological</w:t>
      </w:r>
      <w:r w:rsidRPr="00D75AE6">
        <w:rPr>
          <w:rFonts w:ascii="Book Antiqua" w:hAnsi="Book Antiqua"/>
          <w:b/>
          <w:sz w:val="24"/>
          <w:szCs w:val="24"/>
          <w:lang w:val="en-GB" w:eastAsia="zh-CN"/>
        </w:rPr>
        <w:t xml:space="preserve"> staging of prodromal, classical and advanced polycythemia vera related to therapy</w:t>
      </w:r>
    </w:p>
    <w:tbl>
      <w:tblPr>
        <w:tblW w:w="10755" w:type="dxa"/>
        <w:tblInd w:w="-1059" w:type="dxa"/>
        <w:tblBorders>
          <w:top w:val="single" w:sz="8" w:space="0" w:color="auto"/>
          <w:bottom w:val="single" w:sz="8" w:space="0" w:color="auto"/>
        </w:tblBorders>
        <w:tblLayout w:type="fixed"/>
        <w:tblLook w:val="00A0" w:firstRow="1" w:lastRow="0" w:firstColumn="1" w:lastColumn="0" w:noHBand="0" w:noVBand="0"/>
      </w:tblPr>
      <w:tblGrid>
        <w:gridCol w:w="2410"/>
        <w:gridCol w:w="1134"/>
        <w:gridCol w:w="992"/>
        <w:gridCol w:w="1276"/>
        <w:gridCol w:w="1276"/>
        <w:gridCol w:w="1116"/>
        <w:gridCol w:w="1294"/>
        <w:gridCol w:w="1257"/>
      </w:tblGrid>
      <w:tr w:rsidR="00702CE8" w:rsidRPr="00DD0EC2" w:rsidTr="00D75AE6">
        <w:trPr>
          <w:trHeight w:val="224"/>
        </w:trPr>
        <w:tc>
          <w:tcPr>
            <w:tcW w:w="2410" w:type="dxa"/>
            <w:tcBorders>
              <w:top w:val="single" w:sz="8" w:space="0" w:color="auto"/>
              <w:bottom w:val="single" w:sz="8" w:space="0" w:color="auto"/>
            </w:tcBorders>
            <w:vAlign w:val="center"/>
          </w:tcPr>
          <w:p w:rsidR="00702CE8" w:rsidRPr="00CC3D0A" w:rsidRDefault="00702CE8" w:rsidP="00AC3FB8">
            <w:pPr>
              <w:spacing w:after="0" w:line="360" w:lineRule="auto"/>
              <w:jc w:val="both"/>
              <w:rPr>
                <w:rFonts w:ascii="Book Antiqua" w:eastAsia="MS Mincho" w:hAnsi="Book Antiqua"/>
                <w:b/>
                <w:sz w:val="24"/>
                <w:szCs w:val="24"/>
                <w:lang w:val="en-GB"/>
              </w:rPr>
            </w:pPr>
            <w:r w:rsidRPr="00CC3D0A">
              <w:rPr>
                <w:rFonts w:ascii="Book Antiqua" w:eastAsia="MS Mincho" w:hAnsi="Book Antiqua"/>
                <w:b/>
                <w:sz w:val="24"/>
                <w:szCs w:val="24"/>
                <w:lang w:val="en-GB"/>
              </w:rPr>
              <w:t xml:space="preserve">PV, ECMP stage </w:t>
            </w:r>
          </w:p>
        </w:tc>
        <w:tc>
          <w:tcPr>
            <w:tcW w:w="1134" w:type="dxa"/>
            <w:tcBorders>
              <w:top w:val="single" w:sz="8" w:space="0" w:color="auto"/>
              <w:bottom w:val="single" w:sz="8" w:space="0" w:color="auto"/>
            </w:tcBorders>
            <w:vAlign w:val="center"/>
          </w:tcPr>
          <w:p w:rsidR="00702CE8" w:rsidRPr="00CC3D0A" w:rsidRDefault="00702CE8" w:rsidP="00AC3FB8">
            <w:pPr>
              <w:spacing w:after="0" w:line="360" w:lineRule="auto"/>
              <w:jc w:val="both"/>
              <w:rPr>
                <w:rFonts w:ascii="Book Antiqua" w:eastAsia="MS Mincho" w:hAnsi="Book Antiqua"/>
                <w:b/>
                <w:sz w:val="24"/>
                <w:szCs w:val="24"/>
                <w:lang w:val="en-GB"/>
              </w:rPr>
            </w:pPr>
            <w:r w:rsidRPr="00CC3D0A">
              <w:rPr>
                <w:rFonts w:ascii="Book Antiqua" w:eastAsia="MS Mincho" w:hAnsi="Book Antiqua"/>
                <w:b/>
                <w:sz w:val="24"/>
                <w:szCs w:val="24"/>
                <w:lang w:val="en-GB"/>
              </w:rPr>
              <w:t>0</w:t>
            </w:r>
          </w:p>
        </w:tc>
        <w:tc>
          <w:tcPr>
            <w:tcW w:w="992" w:type="dxa"/>
            <w:tcBorders>
              <w:top w:val="single" w:sz="8" w:space="0" w:color="auto"/>
              <w:bottom w:val="single" w:sz="8" w:space="0" w:color="auto"/>
            </w:tcBorders>
            <w:tcMar>
              <w:top w:w="28" w:type="dxa"/>
              <w:left w:w="57" w:type="dxa"/>
              <w:bottom w:w="28" w:type="dxa"/>
              <w:right w:w="57" w:type="dxa"/>
            </w:tcMar>
            <w:vAlign w:val="center"/>
          </w:tcPr>
          <w:p w:rsidR="00702CE8" w:rsidRPr="00CC3D0A" w:rsidRDefault="00702CE8" w:rsidP="00AC3FB8">
            <w:pPr>
              <w:spacing w:after="0" w:line="360" w:lineRule="auto"/>
              <w:jc w:val="both"/>
              <w:rPr>
                <w:rFonts w:ascii="Book Antiqua" w:eastAsia="MS Mincho" w:hAnsi="Book Antiqua"/>
                <w:b/>
                <w:sz w:val="24"/>
                <w:szCs w:val="24"/>
                <w:lang w:val="en-GB"/>
              </w:rPr>
            </w:pPr>
          </w:p>
        </w:tc>
        <w:tc>
          <w:tcPr>
            <w:tcW w:w="1276" w:type="dxa"/>
            <w:tcBorders>
              <w:top w:val="single" w:sz="8" w:space="0" w:color="auto"/>
              <w:bottom w:val="single" w:sz="8" w:space="0" w:color="auto"/>
            </w:tcBorders>
            <w:tcMar>
              <w:top w:w="28" w:type="dxa"/>
              <w:left w:w="57" w:type="dxa"/>
              <w:bottom w:w="28" w:type="dxa"/>
              <w:right w:w="57" w:type="dxa"/>
            </w:tcMar>
            <w:vAlign w:val="center"/>
          </w:tcPr>
          <w:p w:rsidR="00702CE8" w:rsidRPr="00CC3D0A" w:rsidRDefault="00702CE8" w:rsidP="00AC3FB8">
            <w:pPr>
              <w:spacing w:after="0" w:line="360" w:lineRule="auto"/>
              <w:jc w:val="both"/>
              <w:rPr>
                <w:rFonts w:ascii="Book Antiqua" w:eastAsia="MS Mincho" w:hAnsi="Book Antiqua"/>
                <w:b/>
                <w:sz w:val="24"/>
                <w:szCs w:val="24"/>
                <w:lang w:val="en-GB"/>
              </w:rPr>
            </w:pPr>
            <w:r w:rsidRPr="00CC3D0A">
              <w:rPr>
                <w:rFonts w:ascii="Book Antiqua" w:eastAsia="MS Mincho" w:hAnsi="Book Antiqua"/>
                <w:b/>
                <w:sz w:val="24"/>
                <w:szCs w:val="24"/>
                <w:lang w:val="en-GB"/>
              </w:rPr>
              <w:t>1</w:t>
            </w:r>
          </w:p>
        </w:tc>
        <w:tc>
          <w:tcPr>
            <w:tcW w:w="1276" w:type="dxa"/>
            <w:tcBorders>
              <w:top w:val="single" w:sz="8" w:space="0" w:color="auto"/>
              <w:bottom w:val="single" w:sz="8" w:space="0" w:color="auto"/>
            </w:tcBorders>
            <w:tcMar>
              <w:top w:w="28" w:type="dxa"/>
              <w:left w:w="57" w:type="dxa"/>
              <w:bottom w:w="28" w:type="dxa"/>
              <w:right w:w="57" w:type="dxa"/>
            </w:tcMar>
            <w:vAlign w:val="center"/>
          </w:tcPr>
          <w:p w:rsidR="00702CE8" w:rsidRPr="00CC3D0A" w:rsidRDefault="00702CE8" w:rsidP="00AC3FB8">
            <w:pPr>
              <w:spacing w:after="0" w:line="360" w:lineRule="auto"/>
              <w:jc w:val="both"/>
              <w:rPr>
                <w:rFonts w:ascii="Book Antiqua" w:eastAsia="MS Mincho" w:hAnsi="Book Antiqua"/>
                <w:b/>
                <w:sz w:val="24"/>
                <w:szCs w:val="24"/>
                <w:lang w:val="en-GB"/>
              </w:rPr>
            </w:pPr>
            <w:r w:rsidRPr="00CC3D0A">
              <w:rPr>
                <w:rFonts w:ascii="Book Antiqua" w:eastAsia="MS Mincho" w:hAnsi="Book Antiqua"/>
                <w:b/>
                <w:sz w:val="24"/>
                <w:szCs w:val="24"/>
                <w:lang w:val="en-GB"/>
              </w:rPr>
              <w:t>2</w:t>
            </w:r>
          </w:p>
        </w:tc>
        <w:tc>
          <w:tcPr>
            <w:tcW w:w="1116" w:type="dxa"/>
            <w:tcBorders>
              <w:top w:val="single" w:sz="8" w:space="0" w:color="auto"/>
              <w:bottom w:val="single" w:sz="8" w:space="0" w:color="auto"/>
            </w:tcBorders>
            <w:tcMar>
              <w:top w:w="28" w:type="dxa"/>
              <w:left w:w="57" w:type="dxa"/>
              <w:bottom w:w="28" w:type="dxa"/>
              <w:right w:w="57" w:type="dxa"/>
            </w:tcMar>
            <w:vAlign w:val="center"/>
          </w:tcPr>
          <w:p w:rsidR="00702CE8" w:rsidRPr="00CC3D0A" w:rsidRDefault="00702CE8" w:rsidP="00AC3FB8">
            <w:pPr>
              <w:spacing w:after="0" w:line="360" w:lineRule="auto"/>
              <w:jc w:val="both"/>
              <w:rPr>
                <w:rFonts w:ascii="Book Antiqua" w:eastAsia="MS Mincho" w:hAnsi="Book Antiqua"/>
                <w:b/>
                <w:sz w:val="24"/>
                <w:szCs w:val="24"/>
                <w:lang w:val="en-GB"/>
              </w:rPr>
            </w:pPr>
            <w:r w:rsidRPr="00CC3D0A">
              <w:rPr>
                <w:rFonts w:ascii="Book Antiqua" w:eastAsia="MS Mincho" w:hAnsi="Book Antiqua"/>
                <w:b/>
                <w:sz w:val="24"/>
                <w:szCs w:val="24"/>
                <w:lang w:val="en-GB"/>
              </w:rPr>
              <w:t>3</w:t>
            </w:r>
          </w:p>
        </w:tc>
        <w:tc>
          <w:tcPr>
            <w:tcW w:w="1294" w:type="dxa"/>
            <w:tcBorders>
              <w:top w:val="single" w:sz="8" w:space="0" w:color="auto"/>
              <w:bottom w:val="single" w:sz="8" w:space="0" w:color="auto"/>
            </w:tcBorders>
            <w:vAlign w:val="center"/>
          </w:tcPr>
          <w:p w:rsidR="00702CE8" w:rsidRPr="00CC3D0A" w:rsidRDefault="00702CE8" w:rsidP="00AC3FB8">
            <w:pPr>
              <w:spacing w:after="0" w:line="360" w:lineRule="auto"/>
              <w:jc w:val="both"/>
              <w:rPr>
                <w:rFonts w:ascii="Book Antiqua" w:eastAsia="MS Mincho" w:hAnsi="Book Antiqua"/>
                <w:b/>
                <w:sz w:val="24"/>
                <w:szCs w:val="24"/>
                <w:lang w:val="en-GB"/>
              </w:rPr>
            </w:pPr>
            <w:r w:rsidRPr="00CC3D0A">
              <w:rPr>
                <w:rFonts w:ascii="Book Antiqua" w:eastAsia="MS Mincho" w:hAnsi="Book Antiqua"/>
                <w:b/>
                <w:sz w:val="24"/>
                <w:szCs w:val="24"/>
                <w:lang w:val="en-GB"/>
              </w:rPr>
              <w:t>4</w:t>
            </w:r>
          </w:p>
        </w:tc>
        <w:tc>
          <w:tcPr>
            <w:tcW w:w="1257" w:type="dxa"/>
            <w:tcBorders>
              <w:top w:val="single" w:sz="8" w:space="0" w:color="auto"/>
              <w:bottom w:val="single" w:sz="8" w:space="0" w:color="auto"/>
            </w:tcBorders>
            <w:vAlign w:val="center"/>
          </w:tcPr>
          <w:p w:rsidR="00702CE8" w:rsidRPr="00CC3D0A" w:rsidRDefault="00702CE8" w:rsidP="00AC3FB8">
            <w:pPr>
              <w:spacing w:after="0" w:line="360" w:lineRule="auto"/>
              <w:jc w:val="both"/>
              <w:rPr>
                <w:rFonts w:ascii="Book Antiqua" w:eastAsia="MS Mincho" w:hAnsi="Book Antiqua"/>
                <w:b/>
                <w:sz w:val="24"/>
                <w:szCs w:val="24"/>
                <w:lang w:val="en-GB"/>
              </w:rPr>
            </w:pPr>
            <w:r w:rsidRPr="00CC3D0A">
              <w:rPr>
                <w:rFonts w:ascii="Book Antiqua" w:eastAsia="MS Mincho" w:hAnsi="Book Antiqua"/>
                <w:b/>
                <w:sz w:val="24"/>
                <w:szCs w:val="24"/>
                <w:lang w:val="en-GB"/>
              </w:rPr>
              <w:t>5</w:t>
            </w:r>
          </w:p>
        </w:tc>
      </w:tr>
      <w:tr w:rsidR="00702CE8" w:rsidRPr="00DD0EC2" w:rsidTr="00D75AE6">
        <w:trPr>
          <w:trHeight w:val="417"/>
        </w:trPr>
        <w:tc>
          <w:tcPr>
            <w:tcW w:w="2410" w:type="dxa"/>
            <w:tcBorders>
              <w:top w:val="single" w:sz="8" w:space="0" w:color="auto"/>
            </w:tcBorders>
            <w:vAlign w:val="center"/>
          </w:tcPr>
          <w:p w:rsidR="00702CE8" w:rsidRPr="00CC3D0A" w:rsidRDefault="00702CE8" w:rsidP="00AC3FB8">
            <w:pPr>
              <w:spacing w:after="0" w:line="360" w:lineRule="auto"/>
              <w:jc w:val="both"/>
              <w:rPr>
                <w:rFonts w:ascii="Book Antiqua" w:eastAsia="MS Mincho" w:hAnsi="Book Antiqua"/>
                <w:b/>
                <w:sz w:val="24"/>
                <w:szCs w:val="24"/>
                <w:lang w:val="en-GB"/>
              </w:rPr>
            </w:pPr>
            <w:r w:rsidRPr="00CC3D0A">
              <w:rPr>
                <w:rFonts w:ascii="Book Antiqua" w:eastAsia="MS Mincho" w:hAnsi="Book Antiqua"/>
                <w:b/>
                <w:sz w:val="24"/>
                <w:szCs w:val="24"/>
                <w:lang w:val="en-GB"/>
              </w:rPr>
              <w:t>Michiels ECMP</w:t>
            </w:r>
          </w:p>
          <w:p w:rsidR="00702CE8" w:rsidRPr="00CC3D0A" w:rsidRDefault="00702CE8" w:rsidP="00AC3FB8">
            <w:pPr>
              <w:spacing w:after="0" w:line="360" w:lineRule="auto"/>
              <w:jc w:val="both"/>
              <w:rPr>
                <w:rFonts w:ascii="Book Antiqua" w:eastAsia="MS Mincho" w:hAnsi="Book Antiqua"/>
                <w:b/>
                <w:sz w:val="24"/>
                <w:szCs w:val="24"/>
                <w:lang w:val="en-GB"/>
              </w:rPr>
            </w:pPr>
            <w:r w:rsidRPr="00CC3D0A">
              <w:rPr>
                <w:rFonts w:ascii="Book Antiqua" w:eastAsia="MS Mincho" w:hAnsi="Book Antiqua"/>
                <w:b/>
                <w:sz w:val="24"/>
                <w:szCs w:val="24"/>
                <w:lang w:val="en-GB"/>
              </w:rPr>
              <w:t>Clinical diagnosis</w:t>
            </w:r>
          </w:p>
        </w:tc>
        <w:tc>
          <w:tcPr>
            <w:tcW w:w="1134" w:type="dxa"/>
            <w:tcBorders>
              <w:top w:val="single" w:sz="8" w:space="0" w:color="auto"/>
            </w:tcBorders>
            <w:vAlign w:val="cente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Erythrocy-</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themic</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PV</w:t>
            </w:r>
          </w:p>
        </w:tc>
        <w:tc>
          <w:tcPr>
            <w:tcW w:w="992" w:type="dxa"/>
            <w:tcBorders>
              <w:top w:val="single" w:sz="8" w:space="0" w:color="auto"/>
            </w:tcBorders>
            <w:tcMar>
              <w:top w:w="28" w:type="dxa"/>
              <w:left w:w="57" w:type="dxa"/>
              <w:bottom w:w="28" w:type="dxa"/>
              <w:right w:w="57" w:type="dxa"/>
            </w:tcMar>
            <w:vAlign w:val="cente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 xml:space="preserve">Prodromal </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 xml:space="preserve">PV </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mimicking</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ET</w:t>
            </w:r>
          </w:p>
        </w:tc>
        <w:tc>
          <w:tcPr>
            <w:tcW w:w="1276" w:type="dxa"/>
            <w:tcBorders>
              <w:top w:val="single" w:sz="8" w:space="0" w:color="auto"/>
            </w:tcBorders>
            <w:tcMar>
              <w:top w:w="28" w:type="dxa"/>
              <w:left w:w="57" w:type="dxa"/>
              <w:bottom w:w="28" w:type="dxa"/>
              <w:right w:w="57" w:type="dxa"/>
            </w:tcMar>
            <w:vAlign w:val="cente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polycythemic PV</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prefibrotic</w:t>
            </w:r>
          </w:p>
        </w:tc>
        <w:tc>
          <w:tcPr>
            <w:tcW w:w="1276" w:type="dxa"/>
            <w:tcBorders>
              <w:top w:val="single" w:sz="8" w:space="0" w:color="auto"/>
            </w:tcBorders>
            <w:tcMar>
              <w:top w:w="28" w:type="dxa"/>
              <w:left w:w="57" w:type="dxa"/>
              <w:bottom w:w="28" w:type="dxa"/>
              <w:right w:w="57" w:type="dxa"/>
            </w:tcMar>
            <w:vAlign w:val="cente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 xml:space="preserve">Classic </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PV</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prefibrotic</w:t>
            </w:r>
          </w:p>
        </w:tc>
        <w:tc>
          <w:tcPr>
            <w:tcW w:w="1116" w:type="dxa"/>
            <w:tcBorders>
              <w:top w:val="single" w:sz="8" w:space="0" w:color="auto"/>
            </w:tcBorders>
            <w:tcMar>
              <w:top w:w="28" w:type="dxa"/>
              <w:left w:w="57" w:type="dxa"/>
              <w:bottom w:w="28" w:type="dxa"/>
              <w:right w:w="57" w:type="dxa"/>
            </w:tcMar>
            <w:vAlign w:val="cente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 xml:space="preserve">Advanced </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PV</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PMF stage</w:t>
            </w:r>
          </w:p>
        </w:tc>
        <w:tc>
          <w:tcPr>
            <w:tcW w:w="1294" w:type="dxa"/>
            <w:tcBorders>
              <w:top w:val="single" w:sz="8" w:space="0" w:color="auto"/>
            </w:tcBorders>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hAnsi="Book Antiqua"/>
                <w:sz w:val="24"/>
                <w:szCs w:val="24"/>
                <w:lang w:val="en-GB"/>
              </w:rPr>
              <w:t>Post-PV</w:t>
            </w:r>
          </w:p>
          <w:p w:rsidR="00702CE8" w:rsidRPr="00CC3D0A" w:rsidRDefault="00702CE8" w:rsidP="00AC3FB8">
            <w:pPr>
              <w:spacing w:after="0" w:line="360" w:lineRule="auto"/>
              <w:jc w:val="both"/>
              <w:rPr>
                <w:rFonts w:ascii="Book Antiqua" w:eastAsia="Times New Roman" w:hAnsi="Book Antiqua"/>
                <w:sz w:val="24"/>
                <w:szCs w:val="24"/>
                <w:lang w:val="en-GB"/>
              </w:rPr>
            </w:pPr>
            <w:r w:rsidRPr="00CC3D0A">
              <w:rPr>
                <w:rFonts w:ascii="Book Antiqua" w:hAnsi="Book Antiqua"/>
                <w:sz w:val="24"/>
                <w:szCs w:val="24"/>
                <w:lang w:val="en-GB"/>
              </w:rPr>
              <w:t xml:space="preserve"> AMM</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Neoplastic</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features</w:t>
            </w:r>
          </w:p>
        </w:tc>
        <w:tc>
          <w:tcPr>
            <w:tcW w:w="1257" w:type="dxa"/>
            <w:tcBorders>
              <w:top w:val="single" w:sz="8" w:space="0" w:color="auto"/>
            </w:tcBorders>
            <w:vAlign w:val="cente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Spent phase</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 xml:space="preserve">‘anemic’ PV </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MDS</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AL</w:t>
            </w:r>
          </w:p>
        </w:tc>
      </w:tr>
      <w:tr w:rsidR="00702CE8" w:rsidRPr="00DD0EC2" w:rsidTr="00D75AE6">
        <w:trPr>
          <w:trHeight w:val="209"/>
        </w:trPr>
        <w:tc>
          <w:tcPr>
            <w:tcW w:w="2410"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 xml:space="preserve">LAP-score and/or PRV-1 </w:t>
            </w:r>
          </w:p>
        </w:tc>
        <w:tc>
          <w:tcPr>
            <w:tcW w:w="113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N/↑</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29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variable</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variable</w:t>
            </w:r>
          </w:p>
        </w:tc>
      </w:tr>
      <w:tr w:rsidR="00702CE8" w:rsidRPr="00DD0EC2" w:rsidTr="00D75AE6">
        <w:trPr>
          <w:trHeight w:val="209"/>
        </w:trPr>
        <w:tc>
          <w:tcPr>
            <w:tcW w:w="2410"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Red cell mass (RCM)</w:t>
            </w:r>
          </w:p>
        </w:tc>
        <w:tc>
          <w:tcPr>
            <w:tcW w:w="113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N</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29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variable</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N/↓</w:t>
            </w:r>
          </w:p>
        </w:tc>
      </w:tr>
      <w:tr w:rsidR="00702CE8" w:rsidRPr="00DD0EC2" w:rsidTr="00D75AE6">
        <w:trPr>
          <w:trHeight w:val="417"/>
        </w:trPr>
        <w:tc>
          <w:tcPr>
            <w:tcW w:w="2410"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Serum EPO</w:t>
            </w:r>
          </w:p>
        </w:tc>
        <w:tc>
          <w:tcPr>
            <w:tcW w:w="1134" w:type="dxa"/>
          </w:tcPr>
          <w:p w:rsidR="00702CE8" w:rsidRPr="00CC3D0A" w:rsidRDefault="00702CE8" w:rsidP="00AC3FB8">
            <w:pPr>
              <w:spacing w:after="0" w:line="360" w:lineRule="auto"/>
              <w:jc w:val="both"/>
              <w:rPr>
                <w:rFonts w:ascii="Book Antiqua" w:eastAsia="MS Mincho" w:hAnsi="Book Antiqua"/>
                <w:sz w:val="24"/>
                <w:szCs w:val="24"/>
              </w:rPr>
            </w:pPr>
            <w:r w:rsidRPr="00CC3D0A">
              <w:rPr>
                <w:rFonts w:ascii="Book Antiqua" w:hAnsi="Book Antiqua"/>
                <w:sz w:val="24"/>
                <w:szCs w:val="24"/>
                <w:lang w:val="en-GB"/>
              </w:rPr>
              <w:t>N/↓</w:t>
            </w:r>
          </w:p>
          <w:p w:rsidR="00702CE8" w:rsidRPr="00CC3D0A" w:rsidRDefault="00702CE8" w:rsidP="00AC3FB8">
            <w:pPr>
              <w:spacing w:after="0" w:line="360" w:lineRule="auto"/>
              <w:jc w:val="both"/>
              <w:rPr>
                <w:rFonts w:ascii="Book Antiqua" w:hAnsi="Book Antiqua"/>
                <w:sz w:val="24"/>
                <w:szCs w:val="24"/>
                <w:lang w:val="en-GB"/>
              </w:rPr>
            </w:pP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rPr>
            </w:pPr>
            <w:r w:rsidRPr="00CC3D0A">
              <w:rPr>
                <w:rFonts w:ascii="Book Antiqua" w:hAnsi="Book Antiqua"/>
                <w:sz w:val="24"/>
                <w:szCs w:val="24"/>
                <w:lang w:val="en-GB"/>
              </w:rPr>
              <w:t>N/↓</w:t>
            </w:r>
          </w:p>
          <w:p w:rsidR="00702CE8" w:rsidRPr="00CC3D0A" w:rsidRDefault="00702CE8" w:rsidP="00AC3FB8">
            <w:pPr>
              <w:spacing w:after="0" w:line="360" w:lineRule="auto"/>
              <w:jc w:val="both"/>
              <w:rPr>
                <w:rFonts w:ascii="Book Antiqua" w:hAnsi="Book Antiqua"/>
                <w:sz w:val="24"/>
                <w:szCs w:val="24"/>
                <w:lang w:val="en-GB"/>
              </w:rPr>
            </w:pP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29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variable</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N/↓</w:t>
            </w:r>
          </w:p>
        </w:tc>
      </w:tr>
      <w:tr w:rsidR="00702CE8" w:rsidRPr="00DD0EC2" w:rsidTr="00D75AE6">
        <w:trPr>
          <w:trHeight w:val="224"/>
        </w:trPr>
        <w:tc>
          <w:tcPr>
            <w:tcW w:w="2410"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 xml:space="preserve">Leukocytes </w:t>
            </w:r>
            <w:r w:rsidRPr="00DD0EC2">
              <w:rPr>
                <w:rFonts w:ascii="Book Antiqua" w:hAnsi="Book Antiqua"/>
                <w:sz w:val="24"/>
                <w:szCs w:val="24"/>
              </w:rPr>
              <w:t>×</w:t>
            </w:r>
            <w:r w:rsidRPr="00DD0EC2">
              <w:rPr>
                <w:rFonts w:ascii="Book Antiqua" w:hAnsi="Book Antiqua"/>
                <w:sz w:val="24"/>
                <w:szCs w:val="24"/>
                <w:lang w:eastAsia="zh-CN"/>
              </w:rPr>
              <w:t xml:space="preserve"> </w:t>
            </w:r>
            <w:r w:rsidRPr="00CC3D0A">
              <w:rPr>
                <w:rFonts w:ascii="Book Antiqua" w:hAnsi="Book Antiqua"/>
                <w:sz w:val="24"/>
                <w:szCs w:val="24"/>
                <w:lang w:val="en-GB"/>
              </w:rPr>
              <w:t>10</w:t>
            </w:r>
            <w:r w:rsidRPr="00CC3D0A">
              <w:rPr>
                <w:rFonts w:ascii="Book Antiqua" w:hAnsi="Book Antiqua"/>
                <w:sz w:val="24"/>
                <w:szCs w:val="24"/>
                <w:vertAlign w:val="superscript"/>
                <w:lang w:val="en-GB"/>
              </w:rPr>
              <w:t>9</w:t>
            </w:r>
            <w:r w:rsidRPr="00CC3D0A">
              <w:rPr>
                <w:rFonts w:ascii="Book Antiqua" w:hAnsi="Book Antiqua"/>
                <w:sz w:val="24"/>
                <w:szCs w:val="24"/>
                <w:lang w:val="en-GB"/>
              </w:rPr>
              <w:t>/L</w:t>
            </w:r>
          </w:p>
        </w:tc>
        <w:tc>
          <w:tcPr>
            <w:tcW w:w="113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&lt;12</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&lt;12</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&lt;12</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N-&gt;12</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&gt;15</w:t>
            </w:r>
          </w:p>
        </w:tc>
        <w:tc>
          <w:tcPr>
            <w:tcW w:w="129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&gt;20</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&gt;20</w:t>
            </w:r>
          </w:p>
        </w:tc>
      </w:tr>
      <w:tr w:rsidR="00702CE8" w:rsidRPr="00DD0EC2" w:rsidTr="00D75AE6">
        <w:trPr>
          <w:trHeight w:val="209"/>
        </w:trPr>
        <w:tc>
          <w:tcPr>
            <w:tcW w:w="2410"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 xml:space="preserve">Platelets </w:t>
            </w:r>
            <w:r w:rsidRPr="00DD0EC2">
              <w:rPr>
                <w:rFonts w:ascii="Book Antiqua" w:hAnsi="Book Antiqua"/>
                <w:sz w:val="24"/>
                <w:szCs w:val="24"/>
              </w:rPr>
              <w:t>×</w:t>
            </w:r>
            <w:r w:rsidRPr="00DD0EC2">
              <w:rPr>
                <w:rFonts w:ascii="Book Antiqua" w:hAnsi="Book Antiqua"/>
                <w:sz w:val="24"/>
                <w:szCs w:val="24"/>
                <w:lang w:eastAsia="zh-CN"/>
              </w:rPr>
              <w:t xml:space="preserve"> </w:t>
            </w:r>
            <w:r w:rsidRPr="00CC3D0A">
              <w:rPr>
                <w:rFonts w:ascii="Book Antiqua" w:hAnsi="Book Antiqua"/>
                <w:sz w:val="24"/>
                <w:szCs w:val="24"/>
                <w:lang w:val="en-GB"/>
              </w:rPr>
              <w:t>10</w:t>
            </w:r>
            <w:r w:rsidRPr="00CC3D0A">
              <w:rPr>
                <w:rFonts w:ascii="Book Antiqua" w:hAnsi="Book Antiqua"/>
                <w:sz w:val="24"/>
                <w:szCs w:val="24"/>
                <w:vertAlign w:val="superscript"/>
                <w:lang w:val="en-GB"/>
              </w:rPr>
              <w:t>9</w:t>
            </w:r>
            <w:r w:rsidRPr="00CC3D0A">
              <w:rPr>
                <w:rFonts w:ascii="Book Antiqua" w:hAnsi="Book Antiqua"/>
                <w:sz w:val="24"/>
                <w:szCs w:val="24"/>
                <w:lang w:val="en-GB"/>
              </w:rPr>
              <w:t>/L</w:t>
            </w:r>
          </w:p>
        </w:tc>
        <w:tc>
          <w:tcPr>
            <w:tcW w:w="113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&lt;400</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&gt;400</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&lt;400</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&gt;400</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&lt; or &gt;1000</w:t>
            </w:r>
          </w:p>
        </w:tc>
        <w:tc>
          <w:tcPr>
            <w:tcW w:w="129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variable</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variable</w:t>
            </w:r>
          </w:p>
        </w:tc>
      </w:tr>
      <w:tr w:rsidR="00702CE8" w:rsidRPr="00DD0EC2" w:rsidTr="00D75AE6">
        <w:trPr>
          <w:trHeight w:val="42"/>
        </w:trPr>
        <w:tc>
          <w:tcPr>
            <w:tcW w:w="2410" w:type="dxa"/>
          </w:tcPr>
          <w:p w:rsidR="00702CE8" w:rsidRPr="00CC3D0A" w:rsidRDefault="00702CE8" w:rsidP="00AC3FB8">
            <w:pPr>
              <w:spacing w:after="0" w:line="360" w:lineRule="auto"/>
              <w:jc w:val="both"/>
              <w:rPr>
                <w:rFonts w:ascii="Book Antiqua" w:eastAsia="Times New Roman" w:hAnsi="Book Antiqua"/>
                <w:sz w:val="24"/>
                <w:szCs w:val="24"/>
              </w:rPr>
            </w:pPr>
          </w:p>
        </w:tc>
        <w:tc>
          <w:tcPr>
            <w:tcW w:w="1134" w:type="dxa"/>
          </w:tcPr>
          <w:p w:rsidR="00702CE8" w:rsidRPr="00CC3D0A" w:rsidRDefault="00702CE8" w:rsidP="00AC3FB8">
            <w:pPr>
              <w:spacing w:after="0" w:line="360" w:lineRule="auto"/>
              <w:jc w:val="both"/>
              <w:rPr>
                <w:rFonts w:ascii="Book Antiqua" w:hAnsi="Book Antiqua"/>
                <w:sz w:val="24"/>
                <w:szCs w:val="24"/>
                <w:lang w:val="en-GB"/>
              </w:rPr>
            </w:pP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p>
        </w:tc>
        <w:tc>
          <w:tcPr>
            <w:tcW w:w="1294" w:type="dxa"/>
          </w:tcPr>
          <w:p w:rsidR="00702CE8" w:rsidRPr="00CC3D0A" w:rsidRDefault="00702CE8" w:rsidP="00AC3FB8">
            <w:pPr>
              <w:spacing w:after="0" w:line="360" w:lineRule="auto"/>
              <w:jc w:val="both"/>
              <w:rPr>
                <w:rFonts w:ascii="Book Antiqua" w:hAnsi="Book Antiqua"/>
                <w:sz w:val="24"/>
                <w:szCs w:val="24"/>
                <w:lang w:val="en-GB"/>
              </w:rPr>
            </w:pPr>
          </w:p>
        </w:tc>
        <w:tc>
          <w:tcPr>
            <w:tcW w:w="1257" w:type="dxa"/>
          </w:tcPr>
          <w:p w:rsidR="00702CE8" w:rsidRPr="00CC3D0A" w:rsidRDefault="00702CE8" w:rsidP="00AC3FB8">
            <w:pPr>
              <w:spacing w:after="0" w:line="360" w:lineRule="auto"/>
              <w:jc w:val="both"/>
              <w:rPr>
                <w:rFonts w:ascii="Book Antiqua" w:hAnsi="Book Antiqua"/>
                <w:sz w:val="24"/>
                <w:szCs w:val="24"/>
                <w:lang w:val="en-GB"/>
              </w:rPr>
            </w:pPr>
          </w:p>
        </w:tc>
      </w:tr>
      <w:tr w:rsidR="00702CE8" w:rsidRPr="00DD0EC2" w:rsidTr="00D75AE6">
        <w:trPr>
          <w:trHeight w:val="224"/>
        </w:trPr>
        <w:tc>
          <w:tcPr>
            <w:tcW w:w="2410" w:type="dxa"/>
          </w:tcPr>
          <w:p w:rsidR="00702CE8" w:rsidRPr="00CC3D0A" w:rsidRDefault="00702CE8" w:rsidP="00AC3FB8">
            <w:pPr>
              <w:spacing w:after="0" w:line="360" w:lineRule="auto"/>
              <w:jc w:val="both"/>
              <w:rPr>
                <w:rFonts w:ascii="Book Antiqua" w:hAnsi="Book Antiqua"/>
                <w:sz w:val="24"/>
                <w:szCs w:val="24"/>
                <w:lang w:val="it-IT"/>
              </w:rPr>
            </w:pPr>
            <w:r>
              <w:rPr>
                <w:rFonts w:ascii="Book Antiqua" w:hAnsi="Book Antiqua"/>
                <w:sz w:val="24"/>
                <w:szCs w:val="24"/>
                <w:lang w:val="it-IT"/>
              </w:rPr>
              <w:t xml:space="preserve"> </w:t>
            </w:r>
            <w:r w:rsidRPr="00CC3D0A">
              <w:rPr>
                <w:rFonts w:ascii="Book Antiqua" w:hAnsi="Book Antiqua"/>
                <w:sz w:val="24"/>
                <w:szCs w:val="24"/>
                <w:lang w:val="it-IT"/>
              </w:rPr>
              <w:t>Hemoglobin g</w:t>
            </w:r>
            <w:r>
              <w:rPr>
                <w:rFonts w:ascii="Book Antiqua" w:hAnsi="Book Antiqua"/>
                <w:sz w:val="24"/>
                <w:szCs w:val="24"/>
                <w:lang w:val="it-IT"/>
              </w:rPr>
              <w:t>/dL</w:t>
            </w:r>
            <w:r w:rsidRPr="00CC3D0A">
              <w:rPr>
                <w:rFonts w:ascii="Book Antiqua" w:hAnsi="Book Antiqua"/>
                <w:sz w:val="24"/>
                <w:szCs w:val="24"/>
                <w:lang w:val="it-IT"/>
              </w:rPr>
              <w:t xml:space="preserve"> (mmol/L)</w:t>
            </w:r>
          </w:p>
        </w:tc>
        <w:tc>
          <w:tcPr>
            <w:tcW w:w="113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&gt;16 (10)</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&lt;16 (10)</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&gt;16 (10)</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&gt;16 (10)</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&gt;16 (10)</w:t>
            </w:r>
          </w:p>
        </w:tc>
        <w:tc>
          <w:tcPr>
            <w:tcW w:w="129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N / &gt;12</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&lt;12</w:t>
            </w:r>
          </w:p>
        </w:tc>
      </w:tr>
      <w:tr w:rsidR="00702CE8" w:rsidRPr="00DD0EC2" w:rsidTr="00D75AE6">
        <w:trPr>
          <w:trHeight w:val="209"/>
        </w:trPr>
        <w:tc>
          <w:tcPr>
            <w:tcW w:w="2410" w:type="dxa"/>
          </w:tcPr>
          <w:p w:rsidR="00702CE8" w:rsidRPr="00CC3D0A" w:rsidRDefault="00702CE8" w:rsidP="00AC3FB8">
            <w:pPr>
              <w:spacing w:after="0" w:line="360" w:lineRule="auto"/>
              <w:jc w:val="both"/>
              <w:rPr>
                <w:rFonts w:ascii="Book Antiqua" w:hAnsi="Book Antiqua"/>
                <w:sz w:val="24"/>
                <w:szCs w:val="24"/>
                <w:lang w:val="en-GB"/>
              </w:rPr>
            </w:pPr>
            <w:r>
              <w:rPr>
                <w:rFonts w:ascii="Book Antiqua" w:hAnsi="Book Antiqua"/>
                <w:sz w:val="24"/>
                <w:szCs w:val="24"/>
                <w:lang w:val="en-GB"/>
              </w:rPr>
              <w:t xml:space="preserve"> </w:t>
            </w:r>
            <w:r w:rsidRPr="00CC3D0A">
              <w:rPr>
                <w:rFonts w:ascii="Book Antiqua" w:hAnsi="Book Antiqua"/>
                <w:sz w:val="24"/>
                <w:szCs w:val="24"/>
                <w:lang w:val="en-GB"/>
              </w:rPr>
              <w:t>Hematocrit</w:t>
            </w:r>
          </w:p>
        </w:tc>
        <w:tc>
          <w:tcPr>
            <w:tcW w:w="113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&gt;0.51</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&lt;0.51</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&gt;0.51</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&gt;0.51</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&gt;0.51</w:t>
            </w:r>
          </w:p>
        </w:tc>
        <w:tc>
          <w:tcPr>
            <w:tcW w:w="129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variable</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N↓</w:t>
            </w:r>
          </w:p>
        </w:tc>
      </w:tr>
      <w:tr w:rsidR="00702CE8" w:rsidRPr="00DD0EC2" w:rsidTr="00D75AE6">
        <w:trPr>
          <w:trHeight w:val="52"/>
        </w:trPr>
        <w:tc>
          <w:tcPr>
            <w:tcW w:w="2410" w:type="dxa"/>
          </w:tcPr>
          <w:p w:rsidR="00702CE8" w:rsidRPr="00CC3D0A" w:rsidRDefault="00702CE8" w:rsidP="00AC3FB8">
            <w:pPr>
              <w:spacing w:after="0" w:line="360" w:lineRule="auto"/>
              <w:jc w:val="both"/>
              <w:rPr>
                <w:rFonts w:ascii="Book Antiqua" w:hAnsi="Book Antiqua"/>
                <w:sz w:val="24"/>
                <w:szCs w:val="24"/>
                <w:lang w:val="en-GB"/>
              </w:rPr>
            </w:pPr>
            <w:r>
              <w:rPr>
                <w:rFonts w:ascii="Book Antiqua" w:hAnsi="Book Antiqua"/>
                <w:sz w:val="24"/>
                <w:szCs w:val="24"/>
                <w:lang w:val="en-GB"/>
              </w:rPr>
              <w:t xml:space="preserve"> </w:t>
            </w:r>
            <w:r w:rsidRPr="00CC3D0A">
              <w:rPr>
                <w:rFonts w:ascii="Book Antiqua" w:hAnsi="Book Antiqua"/>
                <w:sz w:val="24"/>
                <w:szCs w:val="24"/>
                <w:lang w:val="en-GB"/>
              </w:rPr>
              <w:t xml:space="preserve">Erythrocytes </w:t>
            </w:r>
            <w:r w:rsidRPr="00DD0EC2">
              <w:rPr>
                <w:rFonts w:ascii="Book Antiqua" w:hAnsi="Book Antiqua"/>
                <w:sz w:val="24"/>
                <w:szCs w:val="24"/>
              </w:rPr>
              <w:t>×</w:t>
            </w:r>
            <w:r w:rsidRPr="00CC3D0A">
              <w:rPr>
                <w:rFonts w:ascii="Book Antiqua" w:hAnsi="Book Antiqua"/>
                <w:sz w:val="24"/>
                <w:szCs w:val="24"/>
                <w:lang w:val="en-GB"/>
              </w:rPr>
              <w:t>10</w:t>
            </w:r>
            <w:r w:rsidRPr="00CC3D0A">
              <w:rPr>
                <w:rFonts w:ascii="Book Antiqua" w:hAnsi="Book Antiqua"/>
                <w:sz w:val="24"/>
                <w:szCs w:val="24"/>
                <w:vertAlign w:val="superscript"/>
                <w:lang w:val="en-GB"/>
              </w:rPr>
              <w:t>12</w:t>
            </w:r>
            <w:r w:rsidRPr="00CC3D0A">
              <w:rPr>
                <w:rFonts w:ascii="Book Antiqua" w:hAnsi="Book Antiqua"/>
                <w:sz w:val="24"/>
                <w:szCs w:val="24"/>
                <w:lang w:val="en-GB"/>
              </w:rPr>
              <w:t>/L</w:t>
            </w:r>
          </w:p>
        </w:tc>
        <w:tc>
          <w:tcPr>
            <w:tcW w:w="113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&gt;6</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&lt;6</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&gt;6</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&gt;6</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&gt;6</w:t>
            </w:r>
          </w:p>
        </w:tc>
        <w:tc>
          <w:tcPr>
            <w:tcW w:w="129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variable</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N/↓</w:t>
            </w:r>
          </w:p>
        </w:tc>
      </w:tr>
      <w:tr w:rsidR="00702CE8" w:rsidRPr="00DD0EC2" w:rsidTr="00D75AE6">
        <w:trPr>
          <w:trHeight w:val="209"/>
        </w:trPr>
        <w:tc>
          <w:tcPr>
            <w:tcW w:w="2410"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 xml:space="preserve">ECMP bone marrow </w:t>
            </w:r>
          </w:p>
        </w:tc>
        <w:tc>
          <w:tcPr>
            <w:tcW w:w="113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Early PV</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Pro-PV</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Early PV</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Trilinear PV</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Trilinear PV</w:t>
            </w:r>
          </w:p>
        </w:tc>
        <w:tc>
          <w:tcPr>
            <w:tcW w:w="129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Trilinear /MF</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MF</w:t>
            </w:r>
          </w:p>
        </w:tc>
      </w:tr>
      <w:tr w:rsidR="00702CE8" w:rsidRPr="00DD0EC2" w:rsidTr="00D75AE6">
        <w:trPr>
          <w:trHeight w:val="209"/>
        </w:trPr>
        <w:tc>
          <w:tcPr>
            <w:tcW w:w="2410" w:type="dxa"/>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hAnsi="Book Antiqua"/>
                <w:sz w:val="24"/>
                <w:szCs w:val="24"/>
                <w:lang w:val="en-GB"/>
              </w:rPr>
              <w:t>Bone marrow cellularity (%)</w:t>
            </w:r>
          </w:p>
          <w:p w:rsidR="00702CE8" w:rsidRPr="00DD0EC2" w:rsidRDefault="00702CE8" w:rsidP="00AC3FB8">
            <w:pPr>
              <w:spacing w:after="0" w:line="360" w:lineRule="auto"/>
              <w:jc w:val="both"/>
              <w:rPr>
                <w:rFonts w:ascii="Book Antiqua" w:hAnsi="Book Antiqua"/>
                <w:sz w:val="24"/>
                <w:szCs w:val="24"/>
                <w:vertAlign w:val="superscript"/>
                <w:lang w:val="en-GB" w:eastAsia="zh-CN"/>
              </w:rPr>
            </w:pPr>
            <w:r w:rsidRPr="00CC3D0A">
              <w:rPr>
                <w:rFonts w:ascii="Book Antiqua" w:hAnsi="Book Antiqua"/>
                <w:sz w:val="24"/>
                <w:szCs w:val="24"/>
                <w:lang w:val="en-GB"/>
              </w:rPr>
              <w:lastRenderedPageBreak/>
              <w:t>Grading myelofibrosis</w:t>
            </w:r>
            <w:r w:rsidRPr="00DD0EC2">
              <w:rPr>
                <w:rFonts w:ascii="Book Antiqua" w:hAnsi="Book Antiqua"/>
                <w:sz w:val="24"/>
                <w:szCs w:val="24"/>
                <w:vertAlign w:val="superscript"/>
                <w:lang w:val="en-GB" w:eastAsia="zh-CN"/>
              </w:rPr>
              <w:t>[</w:t>
            </w:r>
            <w:r w:rsidRPr="00CC3D0A">
              <w:rPr>
                <w:rFonts w:ascii="Book Antiqua" w:hAnsi="Book Antiqua"/>
                <w:sz w:val="24"/>
                <w:szCs w:val="24"/>
                <w:vertAlign w:val="superscript"/>
                <w:lang w:val="en-GB"/>
              </w:rPr>
              <w:t>57</w:t>
            </w:r>
            <w:r w:rsidRPr="00DD0EC2">
              <w:rPr>
                <w:rFonts w:ascii="Book Antiqua" w:hAnsi="Book Antiqua"/>
                <w:sz w:val="24"/>
                <w:szCs w:val="24"/>
                <w:vertAlign w:val="superscript"/>
                <w:lang w:val="en-GB" w:eastAsia="zh-CN"/>
              </w:rPr>
              <w:t>]</w:t>
            </w:r>
          </w:p>
        </w:tc>
        <w:tc>
          <w:tcPr>
            <w:tcW w:w="1134" w:type="dxa"/>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hAnsi="Book Antiqua"/>
                <w:sz w:val="24"/>
                <w:szCs w:val="24"/>
                <w:lang w:val="en-GB"/>
              </w:rPr>
              <w:lastRenderedPageBreak/>
              <w:t>50-80</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RF 0-1</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hAnsi="Book Antiqua"/>
                <w:sz w:val="24"/>
                <w:szCs w:val="24"/>
                <w:lang w:val="en-GB"/>
              </w:rPr>
              <w:t>50-80</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RF 0-1</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hAnsi="Book Antiqua"/>
                <w:sz w:val="24"/>
                <w:szCs w:val="24"/>
                <w:lang w:val="en-GB"/>
              </w:rPr>
              <w:t>60-90</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RF 0-1</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hAnsi="Book Antiqua"/>
                <w:sz w:val="24"/>
                <w:szCs w:val="24"/>
                <w:lang w:val="en-GB"/>
              </w:rPr>
              <w:t>80-100</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 xml:space="preserve">RF 0/1, </w:t>
            </w:r>
            <w:r w:rsidRPr="00CC3D0A">
              <w:rPr>
                <w:rFonts w:ascii="Book Antiqua" w:hAnsi="Book Antiqua"/>
                <w:sz w:val="24"/>
                <w:szCs w:val="24"/>
                <w:lang w:val="en-GB"/>
              </w:rPr>
              <w:lastRenderedPageBreak/>
              <w:t>MF 0</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hAnsi="Book Antiqua"/>
                <w:sz w:val="24"/>
                <w:szCs w:val="24"/>
                <w:lang w:val="en-GB"/>
              </w:rPr>
              <w:lastRenderedPageBreak/>
              <w:t>80-100</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 xml:space="preserve">RCF 2, </w:t>
            </w:r>
            <w:r w:rsidRPr="00CC3D0A">
              <w:rPr>
                <w:rFonts w:ascii="Book Antiqua" w:hAnsi="Book Antiqua"/>
                <w:sz w:val="24"/>
                <w:szCs w:val="24"/>
                <w:lang w:val="en-GB"/>
              </w:rPr>
              <w:lastRenderedPageBreak/>
              <w:t>MF 1</w:t>
            </w:r>
          </w:p>
        </w:tc>
        <w:tc>
          <w:tcPr>
            <w:tcW w:w="1294" w:type="dxa"/>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hAnsi="Book Antiqua"/>
                <w:sz w:val="24"/>
                <w:szCs w:val="24"/>
                <w:lang w:val="en-GB"/>
              </w:rPr>
              <w:lastRenderedPageBreak/>
              <w:t>Decreased</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lastRenderedPageBreak/>
              <w:t xml:space="preserve">RCF 3, MF 2 </w:t>
            </w:r>
          </w:p>
        </w:tc>
        <w:tc>
          <w:tcPr>
            <w:tcW w:w="1257" w:type="dxa"/>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hAnsi="Book Antiqua"/>
                <w:sz w:val="24"/>
                <w:szCs w:val="24"/>
                <w:lang w:val="en-GB"/>
              </w:rPr>
              <w:lastRenderedPageBreak/>
              <w:t>Decreased</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lastRenderedPageBreak/>
              <w:t>RCF 4 MF 3</w:t>
            </w:r>
          </w:p>
        </w:tc>
      </w:tr>
      <w:tr w:rsidR="00702CE8" w:rsidRPr="00DD0EC2" w:rsidTr="00D75AE6">
        <w:trPr>
          <w:trHeight w:val="224"/>
        </w:trPr>
        <w:tc>
          <w:tcPr>
            <w:tcW w:w="2410"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lastRenderedPageBreak/>
              <w:t>Splenomegaly on palpation</w:t>
            </w:r>
          </w:p>
        </w:tc>
        <w:tc>
          <w:tcPr>
            <w:tcW w:w="113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no</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No/+</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No/+</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29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/large</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large</w:t>
            </w:r>
          </w:p>
        </w:tc>
      </w:tr>
      <w:tr w:rsidR="00702CE8" w:rsidRPr="00DD0EC2" w:rsidTr="00D75AE6">
        <w:trPr>
          <w:trHeight w:val="209"/>
        </w:trPr>
        <w:tc>
          <w:tcPr>
            <w:tcW w:w="2410"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Spleen size, echogram cm</w:t>
            </w:r>
          </w:p>
        </w:tc>
        <w:tc>
          <w:tcPr>
            <w:tcW w:w="113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&lt;12</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&lt;12-15</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12-15</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12-18</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18-&gt;20</w:t>
            </w:r>
          </w:p>
        </w:tc>
        <w:tc>
          <w:tcPr>
            <w:tcW w:w="129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&gt;20</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&gt;20</w:t>
            </w:r>
          </w:p>
        </w:tc>
      </w:tr>
      <w:tr w:rsidR="00702CE8" w:rsidRPr="00DD0EC2" w:rsidTr="00D75AE6">
        <w:trPr>
          <w:trHeight w:val="209"/>
        </w:trPr>
        <w:tc>
          <w:tcPr>
            <w:tcW w:w="2410"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Spontaneous EEC+</w:t>
            </w:r>
          </w:p>
        </w:tc>
        <w:tc>
          <w:tcPr>
            <w:tcW w:w="113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294"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r>
      <w:tr w:rsidR="00702CE8" w:rsidRPr="00DD0EC2" w:rsidTr="00D75AE6">
        <w:trPr>
          <w:trHeight w:val="224"/>
        </w:trPr>
        <w:tc>
          <w:tcPr>
            <w:tcW w:w="2410" w:type="dxa"/>
          </w:tcPr>
          <w:p w:rsidR="00702CE8" w:rsidRPr="00CC3D0A" w:rsidRDefault="00702CE8" w:rsidP="00AC3FB8">
            <w:pPr>
              <w:spacing w:after="0" w:line="360" w:lineRule="auto"/>
              <w:jc w:val="both"/>
              <w:rPr>
                <w:rFonts w:ascii="Book Antiqua" w:eastAsia="Times New Roman" w:hAnsi="Book Antiqua"/>
                <w:sz w:val="24"/>
                <w:szCs w:val="24"/>
              </w:rPr>
            </w:pPr>
          </w:p>
        </w:tc>
        <w:tc>
          <w:tcPr>
            <w:tcW w:w="1134" w:type="dxa"/>
          </w:tcPr>
          <w:p w:rsidR="00702CE8" w:rsidRPr="00CC3D0A" w:rsidRDefault="00702CE8" w:rsidP="00AC3FB8">
            <w:pPr>
              <w:spacing w:after="0" w:line="360" w:lineRule="auto"/>
              <w:jc w:val="both"/>
              <w:rPr>
                <w:rFonts w:ascii="Book Antiqua" w:eastAsia="Times New Roman" w:hAnsi="Book Antiqua"/>
                <w:sz w:val="24"/>
                <w:szCs w:val="24"/>
              </w:rPr>
            </w:pP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Times New Roman" w:hAnsi="Book Antiqua"/>
                <w:sz w:val="24"/>
                <w:szCs w:val="24"/>
              </w:rPr>
            </w:pP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Times New Roman" w:hAnsi="Book Antiqua"/>
                <w:sz w:val="24"/>
                <w:szCs w:val="24"/>
              </w:rPr>
            </w:pP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Times New Roman" w:hAnsi="Book Antiqua"/>
                <w:sz w:val="24"/>
                <w:szCs w:val="24"/>
              </w:rPr>
            </w:pP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Times New Roman" w:hAnsi="Book Antiqua"/>
                <w:sz w:val="24"/>
                <w:szCs w:val="24"/>
              </w:rPr>
            </w:pPr>
          </w:p>
        </w:tc>
        <w:tc>
          <w:tcPr>
            <w:tcW w:w="1294" w:type="dxa"/>
          </w:tcPr>
          <w:p w:rsidR="00702CE8" w:rsidRPr="00CC3D0A" w:rsidRDefault="00702CE8" w:rsidP="00AC3FB8">
            <w:pPr>
              <w:spacing w:after="0" w:line="360" w:lineRule="auto"/>
              <w:jc w:val="both"/>
              <w:rPr>
                <w:rFonts w:ascii="Book Antiqua" w:eastAsia="Times New Roman" w:hAnsi="Book Antiqua"/>
                <w:sz w:val="24"/>
                <w:szCs w:val="24"/>
              </w:rPr>
            </w:pPr>
          </w:p>
        </w:tc>
        <w:tc>
          <w:tcPr>
            <w:tcW w:w="1257" w:type="dxa"/>
          </w:tcPr>
          <w:p w:rsidR="00702CE8" w:rsidRPr="00CC3D0A" w:rsidRDefault="00702CE8" w:rsidP="00AC3FB8">
            <w:pPr>
              <w:spacing w:after="0" w:line="360" w:lineRule="auto"/>
              <w:jc w:val="both"/>
              <w:rPr>
                <w:rFonts w:ascii="Book Antiqua" w:eastAsia="Times New Roman" w:hAnsi="Book Antiqua"/>
                <w:sz w:val="24"/>
                <w:szCs w:val="24"/>
              </w:rPr>
            </w:pPr>
          </w:p>
        </w:tc>
      </w:tr>
      <w:tr w:rsidR="00702CE8" w:rsidRPr="00DD0EC2" w:rsidTr="00D75AE6">
        <w:trPr>
          <w:trHeight w:val="209"/>
        </w:trPr>
        <w:tc>
          <w:tcPr>
            <w:tcW w:w="2410" w:type="dxa"/>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 xml:space="preserve"> JAK2</w:t>
            </w:r>
            <w:r w:rsidRPr="00CC3D0A">
              <w:rPr>
                <w:rFonts w:ascii="Book Antiqua" w:eastAsia="MS Mincho" w:hAnsi="Book Antiqua"/>
                <w:sz w:val="24"/>
                <w:szCs w:val="24"/>
                <w:vertAlign w:val="superscript"/>
                <w:lang w:val="en-GB"/>
              </w:rPr>
              <w:t>V617F</w:t>
            </w:r>
            <w:r>
              <w:rPr>
                <w:rFonts w:ascii="Book Antiqua" w:eastAsia="MS Mincho" w:hAnsi="Book Antiqua"/>
                <w:sz w:val="24"/>
                <w:szCs w:val="24"/>
                <w:vertAlign w:val="superscript"/>
                <w:lang w:val="en-GB"/>
              </w:rPr>
              <w:t xml:space="preserve"> </w:t>
            </w:r>
            <w:r w:rsidRPr="00CC3D0A">
              <w:rPr>
                <w:rFonts w:ascii="Book Antiqua" w:eastAsia="MS Mincho" w:hAnsi="Book Antiqua"/>
                <w:sz w:val="24"/>
                <w:szCs w:val="24"/>
                <w:lang w:val="en-GB"/>
              </w:rPr>
              <w:t xml:space="preserve">in Granulocytes </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 xml:space="preserve">and BFU-e (exon 12) </w:t>
            </w:r>
          </w:p>
        </w:tc>
        <w:tc>
          <w:tcPr>
            <w:tcW w:w="1134" w:type="dxa"/>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w:t>
            </w:r>
          </w:p>
        </w:tc>
        <w:tc>
          <w:tcPr>
            <w:tcW w:w="1294" w:type="dxa"/>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w:t>
            </w:r>
          </w:p>
        </w:tc>
        <w:tc>
          <w:tcPr>
            <w:tcW w:w="1257" w:type="dxa"/>
          </w:tcPr>
          <w:p w:rsidR="00702CE8" w:rsidRPr="00CC3D0A" w:rsidRDefault="00702CE8" w:rsidP="00AC3FB8">
            <w:pPr>
              <w:spacing w:after="0" w:line="360" w:lineRule="auto"/>
              <w:jc w:val="both"/>
              <w:rPr>
                <w:rFonts w:ascii="Book Antiqua" w:eastAsia="Times New Roman" w:hAnsi="Book Antiqua"/>
                <w:sz w:val="24"/>
                <w:szCs w:val="24"/>
                <w:lang w:val="en-GB"/>
              </w:rPr>
            </w:pPr>
            <w:r w:rsidRPr="00CC3D0A">
              <w:rPr>
                <w:rFonts w:ascii="Book Antiqua" w:hAnsi="Book Antiqua"/>
                <w:sz w:val="24"/>
                <w:szCs w:val="24"/>
                <w:lang w:val="en-GB"/>
              </w:rPr>
              <w:t>++</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w:t>
            </w:r>
          </w:p>
        </w:tc>
      </w:tr>
      <w:tr w:rsidR="00702CE8" w:rsidRPr="00DD0EC2" w:rsidTr="00D75AE6">
        <w:trPr>
          <w:trHeight w:val="209"/>
        </w:trPr>
        <w:tc>
          <w:tcPr>
            <w:tcW w:w="2410" w:type="dxa"/>
          </w:tcPr>
          <w:p w:rsidR="00702CE8" w:rsidRPr="00CC3D0A" w:rsidRDefault="00702CE8" w:rsidP="00AC3FB8">
            <w:pPr>
              <w:spacing w:after="0" w:line="360" w:lineRule="auto"/>
              <w:jc w:val="both"/>
              <w:rPr>
                <w:rFonts w:ascii="Book Antiqua" w:eastAsia="MS Mincho" w:hAnsi="Book Antiqua"/>
                <w:b/>
                <w:sz w:val="24"/>
                <w:szCs w:val="24"/>
                <w:lang w:val="en-GB"/>
              </w:rPr>
            </w:pPr>
            <w:r w:rsidRPr="00CC3D0A">
              <w:rPr>
                <w:rFonts w:ascii="Book Antiqua" w:eastAsia="MS Mincho" w:hAnsi="Book Antiqua"/>
                <w:b/>
                <w:sz w:val="24"/>
                <w:szCs w:val="24"/>
                <w:lang w:val="en-GB"/>
              </w:rPr>
              <w:t>Therapeutic implications</w:t>
            </w:r>
          </w:p>
          <w:p w:rsidR="00702CE8" w:rsidRPr="00CC3D0A" w:rsidRDefault="00702CE8" w:rsidP="00AC3FB8">
            <w:pPr>
              <w:spacing w:after="0" w:line="360" w:lineRule="auto"/>
              <w:jc w:val="both"/>
              <w:rPr>
                <w:rFonts w:ascii="Book Antiqua" w:eastAsia="MS Mincho" w:hAnsi="Book Antiqua"/>
                <w:b/>
                <w:sz w:val="24"/>
                <w:szCs w:val="24"/>
                <w:lang w:val="en-GB"/>
              </w:rPr>
            </w:pPr>
          </w:p>
        </w:tc>
        <w:tc>
          <w:tcPr>
            <w:tcW w:w="1134" w:type="dxa"/>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Low risk</w:t>
            </w:r>
          </w:p>
        </w:tc>
        <w:tc>
          <w:tcPr>
            <w:tcW w:w="992"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Low risk</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Low risk</w:t>
            </w:r>
          </w:p>
        </w:tc>
        <w:tc>
          <w:tcPr>
            <w:tcW w:w="1276"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Intermediate risk PV</w:t>
            </w:r>
          </w:p>
        </w:tc>
        <w:tc>
          <w:tcPr>
            <w:tcW w:w="1116" w:type="dxa"/>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High risk PV</w:t>
            </w:r>
          </w:p>
        </w:tc>
        <w:tc>
          <w:tcPr>
            <w:tcW w:w="1294" w:type="dxa"/>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Post-PV MF</w:t>
            </w:r>
          </w:p>
        </w:tc>
        <w:tc>
          <w:tcPr>
            <w:tcW w:w="1257" w:type="dxa"/>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Spent PV</w:t>
            </w:r>
          </w:p>
        </w:tc>
      </w:tr>
      <w:tr w:rsidR="00702CE8" w:rsidRPr="00DD0EC2" w:rsidTr="00D75AE6">
        <w:trPr>
          <w:trHeight w:val="382"/>
        </w:trPr>
        <w:tc>
          <w:tcPr>
            <w:tcW w:w="2410" w:type="dxa"/>
            <w:tcBorders>
              <w:bottom w:val="single" w:sz="8" w:space="0" w:color="auto"/>
            </w:tcBorders>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hAnsi="Book Antiqua"/>
                <w:sz w:val="24"/>
                <w:szCs w:val="24"/>
                <w:lang w:val="en-GB"/>
              </w:rPr>
              <w:t>First line treatment option</w:t>
            </w:r>
            <w:r w:rsidRPr="00CC3D0A">
              <w:rPr>
                <w:rFonts w:ascii="Book Antiqua" w:hAnsi="Book Antiqua"/>
                <w:sz w:val="24"/>
                <w:szCs w:val="24"/>
                <w:vertAlign w:val="superscript"/>
                <w:lang w:val="en-US"/>
              </w:rPr>
              <w:t>[82,83]</w:t>
            </w:r>
          </w:p>
          <w:p w:rsidR="00702CE8" w:rsidRPr="00CC3D0A" w:rsidRDefault="00702CE8" w:rsidP="00AC3FB8">
            <w:pPr>
              <w:spacing w:after="0" w:line="360" w:lineRule="auto"/>
              <w:jc w:val="both"/>
              <w:rPr>
                <w:rFonts w:ascii="Book Antiqua" w:hAnsi="Book Antiqua"/>
                <w:sz w:val="24"/>
                <w:szCs w:val="24"/>
                <w:lang w:val="en-US"/>
              </w:rPr>
            </w:pPr>
            <w:r w:rsidRPr="00CC3D0A">
              <w:rPr>
                <w:rFonts w:ascii="Book Antiqua" w:hAnsi="Book Antiqua"/>
                <w:sz w:val="24"/>
                <w:szCs w:val="24"/>
                <w:lang w:val="en-US"/>
              </w:rPr>
              <w:t>Asp/Phleb</w:t>
            </w:r>
            <w:r w:rsidRPr="00CC3D0A">
              <w:rPr>
                <w:rFonts w:ascii="Book Antiqua" w:hAnsi="Book Antiqua"/>
                <w:sz w:val="24"/>
                <w:szCs w:val="24"/>
                <w:vertAlign w:val="superscript"/>
                <w:lang w:val="en-US"/>
              </w:rPr>
              <w:t>[82,83]</w:t>
            </w:r>
            <w:r w:rsidRPr="00CC3D0A">
              <w:rPr>
                <w:rFonts w:ascii="Book Antiqua" w:hAnsi="Book Antiqua"/>
                <w:sz w:val="24"/>
                <w:szCs w:val="24"/>
                <w:lang w:val="en-US"/>
              </w:rPr>
              <w:t xml:space="preserve">. </w:t>
            </w:r>
          </w:p>
          <w:p w:rsidR="00702CE8" w:rsidRPr="00CC3D0A" w:rsidRDefault="00702CE8" w:rsidP="00AC3FB8">
            <w:pPr>
              <w:spacing w:after="0" w:line="360" w:lineRule="auto"/>
              <w:jc w:val="both"/>
              <w:rPr>
                <w:rFonts w:ascii="Book Antiqua" w:eastAsia="Times New Roman" w:hAnsi="Book Antiqua"/>
                <w:sz w:val="24"/>
                <w:szCs w:val="24"/>
                <w:lang w:val="en-US"/>
              </w:rPr>
            </w:pPr>
            <w:r w:rsidRPr="00CC3D0A">
              <w:rPr>
                <w:rFonts w:ascii="Book Antiqua" w:hAnsi="Book Antiqua"/>
                <w:sz w:val="24"/>
                <w:szCs w:val="24"/>
                <w:lang w:val="en-US"/>
              </w:rPr>
              <w:t>IFN</w:t>
            </w:r>
            <w:r w:rsidRPr="00CC3D0A">
              <w:rPr>
                <w:rFonts w:ascii="Book Antiqua" w:hAnsi="Book Antiqua"/>
                <w:sz w:val="24"/>
                <w:szCs w:val="24"/>
                <w:vertAlign w:val="superscript"/>
                <w:lang w:val="en-US"/>
              </w:rPr>
              <w:t>[84-86]</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MPN reductive</w:t>
            </w:r>
            <w:r>
              <w:rPr>
                <w:rFonts w:ascii="Book Antiqua" w:hAnsi="Book Antiqua"/>
                <w:sz w:val="24"/>
                <w:szCs w:val="24"/>
                <w:lang w:val="en-GB"/>
              </w:rPr>
              <w:t xml:space="preserve"> </w:t>
            </w:r>
            <w:r w:rsidRPr="00CC3D0A">
              <w:rPr>
                <w:rFonts w:ascii="Book Antiqua" w:hAnsi="Book Antiqua"/>
                <w:sz w:val="24"/>
                <w:szCs w:val="24"/>
                <w:lang w:val="en-GB"/>
              </w:rPr>
              <w:t>treatment</w:t>
            </w:r>
          </w:p>
          <w:p w:rsidR="00702CE8" w:rsidRPr="00CC3D0A" w:rsidRDefault="00702CE8" w:rsidP="00AC3FB8">
            <w:pPr>
              <w:spacing w:after="0" w:line="360" w:lineRule="auto"/>
              <w:jc w:val="both"/>
              <w:rPr>
                <w:rFonts w:ascii="Book Antiqua" w:hAnsi="Book Antiqua"/>
                <w:sz w:val="24"/>
                <w:szCs w:val="24"/>
              </w:rPr>
            </w:pPr>
            <w:r w:rsidRPr="00CC3D0A">
              <w:rPr>
                <w:rFonts w:ascii="Book Antiqua" w:hAnsi="Book Antiqua"/>
                <w:sz w:val="24"/>
                <w:szCs w:val="24"/>
              </w:rPr>
              <w:t>Hydroxyurea</w:t>
            </w:r>
            <w:r w:rsidRPr="00CC3D0A">
              <w:rPr>
                <w:rFonts w:ascii="Book Antiqua" w:hAnsi="Book Antiqua"/>
                <w:sz w:val="24"/>
                <w:szCs w:val="24"/>
                <w:vertAlign w:val="superscript"/>
                <w:lang w:val="en-US"/>
              </w:rPr>
              <w:t>[83]</w:t>
            </w:r>
          </w:p>
          <w:p w:rsidR="00702CE8" w:rsidRPr="00CC3D0A" w:rsidRDefault="00702CE8" w:rsidP="00AC3FB8">
            <w:pPr>
              <w:spacing w:after="0" w:line="360" w:lineRule="auto"/>
              <w:jc w:val="both"/>
              <w:rPr>
                <w:rFonts w:ascii="Book Antiqua" w:hAnsi="Book Antiqua"/>
                <w:sz w:val="24"/>
                <w:szCs w:val="24"/>
              </w:rPr>
            </w:pPr>
            <w:r w:rsidRPr="00CC3D0A">
              <w:rPr>
                <w:rFonts w:ascii="Book Antiqua" w:hAnsi="Book Antiqua"/>
                <w:sz w:val="24"/>
                <w:szCs w:val="24"/>
              </w:rPr>
              <w:t>JAK2 inhibitor</w:t>
            </w:r>
            <w:r w:rsidRPr="00CC3D0A">
              <w:rPr>
                <w:rFonts w:ascii="Book Antiqua" w:hAnsi="Book Antiqua"/>
                <w:sz w:val="24"/>
                <w:szCs w:val="24"/>
                <w:vertAlign w:val="superscript"/>
              </w:rPr>
              <w:t>[87-90]</w:t>
            </w:r>
          </w:p>
        </w:tc>
        <w:tc>
          <w:tcPr>
            <w:tcW w:w="1134" w:type="dxa"/>
            <w:tcBorders>
              <w:bottom w:val="single" w:sz="8" w:space="0" w:color="auto"/>
            </w:tcBorders>
          </w:tcPr>
          <w:p w:rsidR="00702CE8" w:rsidRPr="00CC3D0A" w:rsidRDefault="00702CE8" w:rsidP="00AC3FB8">
            <w:pPr>
              <w:spacing w:after="0" w:line="360" w:lineRule="auto"/>
              <w:jc w:val="both"/>
              <w:rPr>
                <w:rFonts w:ascii="Book Antiqua" w:eastAsia="Times New Roman" w:hAnsi="Book Antiqua"/>
                <w:sz w:val="24"/>
                <w:szCs w:val="24"/>
                <w:lang w:val="en-GB"/>
              </w:rPr>
            </w:pPr>
            <w:r w:rsidRPr="00CC3D0A">
              <w:rPr>
                <w:rFonts w:ascii="Book Antiqua" w:hAnsi="Book Antiqua"/>
                <w:sz w:val="24"/>
                <w:szCs w:val="24"/>
                <w:lang w:val="en-GB"/>
              </w:rPr>
              <w:t>Aspirin</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Phlebotomy</w:t>
            </w:r>
          </w:p>
        </w:tc>
        <w:tc>
          <w:tcPr>
            <w:tcW w:w="992" w:type="dxa"/>
            <w:tcBorders>
              <w:bottom w:val="single" w:sz="8" w:space="0" w:color="auto"/>
            </w:tcBorders>
            <w:tcMar>
              <w:top w:w="28" w:type="dxa"/>
              <w:left w:w="57" w:type="dxa"/>
              <w:bottom w:w="28" w:type="dxa"/>
              <w:right w:w="57" w:type="dxa"/>
            </w:tcMar>
          </w:tcPr>
          <w:p w:rsidR="00702CE8" w:rsidRPr="00CC3D0A" w:rsidRDefault="00702CE8" w:rsidP="00AC3FB8">
            <w:pPr>
              <w:spacing w:after="0" w:line="360" w:lineRule="auto"/>
              <w:jc w:val="both"/>
              <w:rPr>
                <w:rFonts w:ascii="Book Antiqua" w:eastAsia="Times New Roman" w:hAnsi="Book Antiqua"/>
                <w:sz w:val="24"/>
                <w:szCs w:val="24"/>
                <w:lang w:val="en-GB"/>
              </w:rPr>
            </w:pPr>
            <w:r w:rsidRPr="00CC3D0A">
              <w:rPr>
                <w:rFonts w:ascii="Book Antiqua" w:hAnsi="Book Antiqua"/>
                <w:sz w:val="24"/>
                <w:szCs w:val="24"/>
                <w:lang w:val="en-GB"/>
              </w:rPr>
              <w:t>Aspirin</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Phlebotomy</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Low dose IFN?</w:t>
            </w:r>
          </w:p>
        </w:tc>
        <w:tc>
          <w:tcPr>
            <w:tcW w:w="1276" w:type="dxa"/>
            <w:tcBorders>
              <w:bottom w:val="single" w:sz="8" w:space="0" w:color="auto"/>
            </w:tcBorders>
            <w:tcMar>
              <w:top w:w="28" w:type="dxa"/>
              <w:left w:w="57" w:type="dxa"/>
              <w:bottom w:w="28" w:type="dxa"/>
              <w:right w:w="57" w:type="dxa"/>
            </w:tcMar>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hAnsi="Book Antiqua"/>
                <w:sz w:val="24"/>
                <w:szCs w:val="24"/>
                <w:lang w:val="en-GB"/>
              </w:rPr>
              <w:t>Phlebotomy</w:t>
            </w:r>
          </w:p>
          <w:p w:rsidR="00702CE8" w:rsidRPr="00CC3D0A" w:rsidRDefault="00702CE8" w:rsidP="00AC3FB8">
            <w:pPr>
              <w:spacing w:after="0" w:line="360" w:lineRule="auto"/>
              <w:jc w:val="both"/>
              <w:rPr>
                <w:rFonts w:ascii="Book Antiqua" w:eastAsia="Times New Roman" w:hAnsi="Book Antiqua"/>
                <w:sz w:val="24"/>
                <w:szCs w:val="24"/>
                <w:lang w:val="en-GB"/>
              </w:rPr>
            </w:pPr>
            <w:r w:rsidRPr="00CC3D0A">
              <w:rPr>
                <w:rFonts w:ascii="Book Antiqua" w:hAnsi="Book Antiqua"/>
                <w:sz w:val="24"/>
                <w:szCs w:val="24"/>
                <w:lang w:val="en-GB"/>
              </w:rPr>
              <w:t>Aspirin</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 xml:space="preserve">Low dose IFN </w:t>
            </w:r>
            <w:r w:rsidRPr="00CC3D0A">
              <w:rPr>
                <w:rFonts w:ascii="Book Antiqua" w:hAnsi="Book Antiqua"/>
                <w:sz w:val="24"/>
                <w:szCs w:val="24"/>
                <w:lang w:val="en-GB"/>
              </w:rPr>
              <w:sym w:font="Wingdings" w:char="F0E0"/>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Complete response</w:t>
            </w:r>
          </w:p>
        </w:tc>
        <w:tc>
          <w:tcPr>
            <w:tcW w:w="1276" w:type="dxa"/>
            <w:tcBorders>
              <w:bottom w:val="single" w:sz="8" w:space="0" w:color="auto"/>
            </w:tcBorders>
            <w:tcMar>
              <w:top w:w="28" w:type="dxa"/>
              <w:left w:w="57" w:type="dxa"/>
              <w:bottom w:w="28" w:type="dxa"/>
              <w:right w:w="57" w:type="dxa"/>
            </w:tcMar>
          </w:tcPr>
          <w:p w:rsidR="00702CE8" w:rsidRPr="00DD0EC2" w:rsidRDefault="00702CE8" w:rsidP="00AC3FB8">
            <w:pPr>
              <w:spacing w:after="0" w:line="360" w:lineRule="auto"/>
              <w:jc w:val="both"/>
              <w:rPr>
                <w:rFonts w:ascii="Book Antiqua" w:hAnsi="Book Antiqua"/>
                <w:sz w:val="24"/>
                <w:szCs w:val="24"/>
                <w:lang w:val="en-GB" w:eastAsia="zh-CN"/>
              </w:rPr>
            </w:pPr>
            <w:r w:rsidRPr="00CC3D0A">
              <w:rPr>
                <w:rFonts w:ascii="Book Antiqua" w:hAnsi="Book Antiqua"/>
                <w:sz w:val="24"/>
                <w:szCs w:val="24"/>
                <w:lang w:val="en-GB"/>
              </w:rPr>
              <w:t>Phlebotomy</w:t>
            </w:r>
            <w:r w:rsidRPr="00DD0EC2">
              <w:rPr>
                <w:rFonts w:ascii="Book Antiqua" w:hAnsi="Book Antiqua"/>
                <w:sz w:val="24"/>
                <w:szCs w:val="24"/>
                <w:vertAlign w:val="superscript"/>
                <w:lang w:val="en-GB" w:eastAsia="zh-CN"/>
              </w:rPr>
              <w:t>1</w:t>
            </w:r>
          </w:p>
          <w:p w:rsidR="00702CE8" w:rsidRPr="00CC3D0A" w:rsidRDefault="00702CE8" w:rsidP="00AC3FB8">
            <w:pPr>
              <w:spacing w:after="0" w:line="360" w:lineRule="auto"/>
              <w:jc w:val="both"/>
              <w:rPr>
                <w:rFonts w:ascii="Book Antiqua" w:eastAsia="Times New Roman" w:hAnsi="Book Antiqua"/>
                <w:sz w:val="24"/>
                <w:szCs w:val="24"/>
                <w:lang w:val="en-GB"/>
              </w:rPr>
            </w:pPr>
            <w:r w:rsidRPr="00CC3D0A">
              <w:rPr>
                <w:rFonts w:ascii="Book Antiqua" w:hAnsi="Book Antiqua"/>
                <w:sz w:val="24"/>
                <w:szCs w:val="24"/>
                <w:lang w:val="en-GB"/>
              </w:rPr>
              <w:t>Aspirin</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 xml:space="preserve">IFN </w:t>
            </w:r>
            <w:r w:rsidRPr="00CC3D0A">
              <w:rPr>
                <w:rFonts w:ascii="Book Antiqua" w:hAnsi="Book Antiqua"/>
                <w:sz w:val="24"/>
                <w:szCs w:val="24"/>
                <w:lang w:val="en-GB"/>
              </w:rPr>
              <w:sym w:font="Wingdings" w:char="F0E0"/>
            </w:r>
            <w:r w:rsidRPr="00CC3D0A">
              <w:rPr>
                <w:rFonts w:ascii="Book Antiqua" w:hAnsi="Book Antiqua"/>
                <w:sz w:val="24"/>
                <w:szCs w:val="24"/>
                <w:lang w:val="en-GB"/>
              </w:rPr>
              <w:t xml:space="preserve"> </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 xml:space="preserve">If resistant </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sym w:font="Wingdings" w:char="F0E0"/>
            </w:r>
            <w:r w:rsidRPr="00CC3D0A">
              <w:rPr>
                <w:rFonts w:ascii="Book Antiqua" w:hAnsi="Book Antiqua"/>
                <w:sz w:val="24"/>
                <w:szCs w:val="24"/>
                <w:lang w:val="en-GB"/>
              </w:rPr>
              <w:t xml:space="preserve"> HU</w:t>
            </w:r>
          </w:p>
        </w:tc>
        <w:tc>
          <w:tcPr>
            <w:tcW w:w="1116" w:type="dxa"/>
            <w:tcBorders>
              <w:bottom w:val="single" w:sz="8" w:space="0" w:color="auto"/>
            </w:tcBorders>
            <w:tcMar>
              <w:top w:w="28" w:type="dxa"/>
              <w:left w:w="57" w:type="dxa"/>
              <w:bottom w:w="28" w:type="dxa"/>
              <w:right w:w="57" w:type="dxa"/>
            </w:tcMar>
          </w:tcPr>
          <w:p w:rsidR="00702CE8" w:rsidRPr="00CC3D0A" w:rsidRDefault="00702CE8" w:rsidP="00AC3FB8">
            <w:pPr>
              <w:spacing w:after="0" w:line="360" w:lineRule="auto"/>
              <w:jc w:val="both"/>
              <w:rPr>
                <w:rFonts w:ascii="Book Antiqua" w:eastAsia="Times New Roman" w:hAnsi="Book Antiqua"/>
                <w:sz w:val="24"/>
                <w:szCs w:val="24"/>
                <w:lang w:val="en-GB"/>
              </w:rPr>
            </w:pPr>
            <w:r w:rsidRPr="00CC3D0A">
              <w:rPr>
                <w:rFonts w:ascii="Book Antiqua" w:hAnsi="Book Antiqua"/>
                <w:sz w:val="24"/>
                <w:szCs w:val="24"/>
                <w:lang w:val="en-GB"/>
              </w:rPr>
              <w:t xml:space="preserve">If IFN resistant </w:t>
            </w:r>
            <w:r w:rsidRPr="00CC3D0A">
              <w:rPr>
                <w:rFonts w:ascii="Book Antiqua" w:hAnsi="Book Antiqua"/>
                <w:sz w:val="24"/>
                <w:szCs w:val="24"/>
                <w:lang w:val="en-GB"/>
              </w:rPr>
              <w:sym w:font="Wingdings" w:char="F0E0"/>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HU</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or</w:t>
            </w:r>
          </w:p>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 xml:space="preserve"> HU first line</w:t>
            </w:r>
          </w:p>
        </w:tc>
        <w:tc>
          <w:tcPr>
            <w:tcW w:w="1294" w:type="dxa"/>
            <w:tcBorders>
              <w:bottom w:val="single" w:sz="8" w:space="0" w:color="auto"/>
            </w:tcBorders>
          </w:tcPr>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JAK2</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 xml:space="preserve">Inhibitor </w:t>
            </w:r>
            <w:r w:rsidRPr="00CC3D0A">
              <w:rPr>
                <w:rFonts w:ascii="Book Antiqua" w:eastAsia="MS Mincho" w:hAnsi="Book Antiqua"/>
                <w:sz w:val="24"/>
                <w:szCs w:val="24"/>
                <w:lang w:val="en-GB"/>
              </w:rPr>
              <w:sym w:font="Wingdings" w:char="F0E0"/>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Palliative</w:t>
            </w:r>
          </w:p>
          <w:p w:rsidR="00702CE8" w:rsidRPr="00CC3D0A" w:rsidRDefault="00702CE8" w:rsidP="00AC3FB8">
            <w:pPr>
              <w:spacing w:after="0" w:line="360" w:lineRule="auto"/>
              <w:jc w:val="both"/>
              <w:rPr>
                <w:rFonts w:ascii="Book Antiqua" w:eastAsia="MS Mincho" w:hAnsi="Book Antiqua"/>
                <w:sz w:val="24"/>
                <w:szCs w:val="24"/>
                <w:lang w:val="en-GB"/>
              </w:rPr>
            </w:pPr>
            <w:r w:rsidRPr="00CC3D0A">
              <w:rPr>
                <w:rFonts w:ascii="Book Antiqua" w:eastAsia="MS Mincho" w:hAnsi="Book Antiqua"/>
                <w:sz w:val="24"/>
                <w:szCs w:val="24"/>
                <w:lang w:val="en-GB"/>
              </w:rPr>
              <w:t>Aspirin?</w:t>
            </w:r>
          </w:p>
        </w:tc>
        <w:tc>
          <w:tcPr>
            <w:tcW w:w="1257" w:type="dxa"/>
            <w:tcBorders>
              <w:bottom w:val="single" w:sz="8" w:space="0" w:color="auto"/>
            </w:tcBorders>
          </w:tcPr>
          <w:p w:rsidR="00702CE8" w:rsidRPr="00CC3D0A" w:rsidRDefault="00702CE8" w:rsidP="00AC3FB8">
            <w:pPr>
              <w:spacing w:after="0" w:line="360" w:lineRule="auto"/>
              <w:jc w:val="both"/>
              <w:rPr>
                <w:rFonts w:ascii="Book Antiqua" w:hAnsi="Book Antiqua"/>
                <w:sz w:val="24"/>
                <w:szCs w:val="24"/>
                <w:lang w:val="en-GB"/>
              </w:rPr>
            </w:pPr>
            <w:r w:rsidRPr="00CC3D0A">
              <w:rPr>
                <w:rFonts w:ascii="Book Antiqua" w:hAnsi="Book Antiqua"/>
                <w:sz w:val="24"/>
                <w:szCs w:val="24"/>
                <w:lang w:val="en-GB"/>
              </w:rPr>
              <w:t>Supportive</w:t>
            </w:r>
          </w:p>
        </w:tc>
      </w:tr>
    </w:tbl>
    <w:p w:rsidR="00702CE8" w:rsidRPr="00827C16" w:rsidRDefault="00702CE8" w:rsidP="00AC3FB8">
      <w:pPr>
        <w:spacing w:after="0" w:line="360" w:lineRule="auto"/>
        <w:jc w:val="both"/>
        <w:rPr>
          <w:rFonts w:ascii="Book Antiqua" w:hAnsi="Book Antiqua"/>
          <w:sz w:val="24"/>
          <w:szCs w:val="24"/>
          <w:lang w:val="en-US" w:eastAsia="zh-CN"/>
        </w:rPr>
      </w:pPr>
      <w:r w:rsidRPr="0070566D">
        <w:rPr>
          <w:rFonts w:ascii="Book Antiqua" w:hAnsi="Book Antiqua"/>
          <w:sz w:val="24"/>
          <w:szCs w:val="24"/>
          <w:vertAlign w:val="superscript"/>
          <w:lang w:val="en-GB" w:eastAsia="zh-CN"/>
        </w:rPr>
        <w:t>1</w:t>
      </w:r>
      <w:r w:rsidRPr="00CC3D0A">
        <w:rPr>
          <w:rFonts w:ascii="Book Antiqua" w:hAnsi="Book Antiqua"/>
          <w:sz w:val="24"/>
          <w:szCs w:val="24"/>
          <w:lang w:val="en-GB" w:eastAsia="nl-NL"/>
        </w:rPr>
        <w:t>↑</w:t>
      </w:r>
      <w:r>
        <w:rPr>
          <w:rFonts w:ascii="Book Antiqua" w:hAnsi="Book Antiqua"/>
          <w:sz w:val="24"/>
          <w:szCs w:val="24"/>
          <w:lang w:val="en-GB" w:eastAsia="zh-CN"/>
        </w:rPr>
        <w:t>:</w:t>
      </w:r>
      <w:r w:rsidRPr="00CC3D0A">
        <w:rPr>
          <w:rFonts w:ascii="Book Antiqua" w:hAnsi="Book Antiqua"/>
          <w:sz w:val="24"/>
          <w:szCs w:val="24"/>
          <w:lang w:val="en-GB" w:eastAsia="nl-NL"/>
        </w:rPr>
        <w:t xml:space="preserve"> Increased</w:t>
      </w:r>
      <w:r>
        <w:rPr>
          <w:rFonts w:ascii="Book Antiqua" w:hAnsi="Book Antiqua"/>
          <w:sz w:val="24"/>
          <w:szCs w:val="24"/>
          <w:lang w:val="en-GB" w:eastAsia="zh-CN"/>
        </w:rPr>
        <w:t>;</w:t>
      </w:r>
      <w:r>
        <w:rPr>
          <w:rFonts w:ascii="Book Antiqua" w:hAnsi="Book Antiqua"/>
          <w:sz w:val="24"/>
          <w:szCs w:val="24"/>
          <w:lang w:val="en-GB" w:eastAsia="nl-NL"/>
        </w:rPr>
        <w:t xml:space="preserve"> </w:t>
      </w:r>
      <w:r w:rsidRPr="00CC3D0A">
        <w:rPr>
          <w:rFonts w:ascii="Book Antiqua" w:hAnsi="Book Antiqua"/>
          <w:sz w:val="24"/>
          <w:szCs w:val="24"/>
          <w:lang w:val="en-GB" w:eastAsia="nl-NL"/>
        </w:rPr>
        <w:t>↓</w:t>
      </w:r>
      <w:r>
        <w:rPr>
          <w:rFonts w:ascii="Book Antiqua" w:hAnsi="Book Antiqua"/>
          <w:sz w:val="24"/>
          <w:szCs w:val="24"/>
          <w:lang w:val="en-GB" w:eastAsia="zh-CN"/>
        </w:rPr>
        <w:t>:</w:t>
      </w:r>
      <w:r w:rsidRPr="00CC3D0A">
        <w:rPr>
          <w:rFonts w:ascii="Book Antiqua" w:hAnsi="Book Antiqua"/>
          <w:sz w:val="24"/>
          <w:szCs w:val="24"/>
          <w:lang w:val="en-GB" w:eastAsia="nl-NL"/>
        </w:rPr>
        <w:t xml:space="preserve"> Decreased, N</w:t>
      </w:r>
      <w:r>
        <w:rPr>
          <w:rFonts w:ascii="Book Antiqua" w:hAnsi="Book Antiqua"/>
          <w:sz w:val="24"/>
          <w:szCs w:val="24"/>
          <w:lang w:val="en-GB" w:eastAsia="zh-CN"/>
        </w:rPr>
        <w:t xml:space="preserve">: </w:t>
      </w:r>
      <w:r w:rsidRPr="00CC3D0A">
        <w:rPr>
          <w:rFonts w:ascii="Book Antiqua" w:hAnsi="Book Antiqua"/>
          <w:sz w:val="24"/>
          <w:szCs w:val="24"/>
          <w:lang w:val="en-GB" w:eastAsia="nl-NL"/>
        </w:rPr>
        <w:t>Normal, +</w:t>
      </w:r>
      <w:r>
        <w:rPr>
          <w:rFonts w:ascii="Book Antiqua" w:hAnsi="Book Antiqua"/>
          <w:sz w:val="24"/>
          <w:szCs w:val="24"/>
          <w:lang w:val="en-GB" w:eastAsia="zh-CN"/>
        </w:rPr>
        <w:t>:</w:t>
      </w:r>
      <w:r w:rsidRPr="00CC3D0A">
        <w:rPr>
          <w:rFonts w:ascii="Book Antiqua" w:hAnsi="Book Antiqua"/>
          <w:sz w:val="24"/>
          <w:szCs w:val="24"/>
          <w:lang w:val="en-GB" w:eastAsia="nl-NL"/>
        </w:rPr>
        <w:t xml:space="preserve"> Present or heterozygous; ++</w:t>
      </w:r>
      <w:r>
        <w:rPr>
          <w:rFonts w:ascii="Book Antiqua" w:hAnsi="Book Antiqua"/>
          <w:sz w:val="24"/>
          <w:szCs w:val="24"/>
          <w:lang w:val="en-GB" w:eastAsia="zh-CN"/>
        </w:rPr>
        <w:t>:</w:t>
      </w:r>
      <w:r w:rsidRPr="00CC3D0A">
        <w:rPr>
          <w:rFonts w:ascii="Book Antiqua" w:hAnsi="Book Antiqua"/>
          <w:sz w:val="24"/>
          <w:szCs w:val="24"/>
          <w:lang w:val="en-GB" w:eastAsia="nl-NL"/>
        </w:rPr>
        <w:t xml:space="preserve"> Homozygous</w:t>
      </w:r>
      <w:r>
        <w:rPr>
          <w:rFonts w:ascii="Book Antiqua" w:hAnsi="Book Antiqua"/>
          <w:sz w:val="24"/>
          <w:szCs w:val="24"/>
          <w:lang w:val="en-GB" w:eastAsia="zh-CN"/>
        </w:rPr>
        <w:t>. ECMP:</w:t>
      </w:r>
      <w:r w:rsidRPr="000C122F">
        <w:rPr>
          <w:rFonts w:ascii="Book Antiqua" w:hAnsi="Book Antiqua"/>
          <w:sz w:val="24"/>
          <w:szCs w:val="24"/>
          <w:lang w:val="en-GB" w:eastAsia="zh-CN"/>
        </w:rPr>
        <w:t xml:space="preserve"> </w:t>
      </w:r>
      <w:r w:rsidRPr="000C122F">
        <w:rPr>
          <w:rFonts w:ascii="Book Antiqua" w:hAnsi="Book Antiqua"/>
          <w:sz w:val="24"/>
          <w:szCs w:val="24"/>
          <w:lang w:val="en-GB" w:eastAsia="nl-NL"/>
        </w:rPr>
        <w:t>European clinical, molecular and pathological</w:t>
      </w:r>
      <w:r>
        <w:rPr>
          <w:rFonts w:ascii="Book Antiqua" w:hAnsi="Book Antiqua"/>
          <w:sz w:val="24"/>
          <w:szCs w:val="24"/>
          <w:lang w:val="en-GB" w:eastAsia="zh-CN"/>
        </w:rPr>
        <w:t xml:space="preserve">; </w:t>
      </w:r>
      <w:r w:rsidRPr="002B6E15">
        <w:rPr>
          <w:rFonts w:ascii="Book Antiqua" w:hAnsi="Book Antiqua"/>
          <w:sz w:val="24"/>
          <w:szCs w:val="24"/>
          <w:lang w:val="en-GB" w:eastAsia="zh-CN"/>
        </w:rPr>
        <w:t xml:space="preserve">PV: Polycythemia vera; </w:t>
      </w:r>
      <w:r>
        <w:rPr>
          <w:rFonts w:ascii="Book Antiqua" w:hAnsi="Book Antiqua"/>
          <w:sz w:val="24"/>
          <w:szCs w:val="24"/>
          <w:lang w:val="en-GB" w:eastAsia="zh-CN"/>
        </w:rPr>
        <w:t xml:space="preserve">MPN: </w:t>
      </w:r>
      <w:r w:rsidRPr="00AE14ED">
        <w:rPr>
          <w:rFonts w:ascii="Book Antiqua" w:eastAsia="MS Mincho" w:hAnsi="Book Antiqua"/>
          <w:sz w:val="24"/>
          <w:szCs w:val="24"/>
          <w:lang w:val="en-GB" w:eastAsia="ja-JP"/>
        </w:rPr>
        <w:t>Myeloproliferative Neoplasms</w:t>
      </w:r>
      <w:r>
        <w:rPr>
          <w:rFonts w:ascii="Book Antiqua" w:hAnsi="Book Antiqua"/>
          <w:sz w:val="24"/>
          <w:szCs w:val="24"/>
          <w:lang w:val="en-GB" w:eastAsia="zh-CN"/>
        </w:rPr>
        <w:t xml:space="preserve">; </w:t>
      </w:r>
      <w:r w:rsidRPr="008238D5">
        <w:rPr>
          <w:rFonts w:ascii="Book Antiqua" w:eastAsia="MS Mincho" w:hAnsi="Book Antiqua"/>
          <w:sz w:val="24"/>
          <w:szCs w:val="24"/>
          <w:lang w:val="en-GB" w:eastAsia="ja-JP"/>
        </w:rPr>
        <w:t>MF</w:t>
      </w:r>
      <w:r w:rsidRPr="008238D5">
        <w:rPr>
          <w:rFonts w:ascii="Book Antiqua" w:hAnsi="Book Antiqua"/>
          <w:sz w:val="24"/>
          <w:szCs w:val="24"/>
          <w:lang w:val="en-GB" w:eastAsia="zh-CN"/>
        </w:rPr>
        <w:t xml:space="preserve">: </w:t>
      </w:r>
      <w:r w:rsidRPr="008238D5">
        <w:rPr>
          <w:rFonts w:ascii="Book Antiqua" w:eastAsia="MS Mincho" w:hAnsi="Book Antiqua"/>
          <w:sz w:val="24"/>
          <w:szCs w:val="24"/>
          <w:lang w:val="en-GB" w:eastAsia="ja-JP"/>
        </w:rPr>
        <w:t>Myelofibrosis</w:t>
      </w:r>
      <w:r w:rsidRPr="008238D5">
        <w:rPr>
          <w:rFonts w:ascii="Book Antiqua" w:hAnsi="Book Antiqua"/>
          <w:sz w:val="24"/>
          <w:szCs w:val="24"/>
          <w:lang w:val="en-GB" w:eastAsia="zh-CN"/>
        </w:rPr>
        <w:t xml:space="preserve">; </w:t>
      </w:r>
      <w:r w:rsidRPr="00CC3D0A">
        <w:rPr>
          <w:rFonts w:ascii="Book Antiqua" w:eastAsia="MS Mincho" w:hAnsi="Book Antiqua"/>
          <w:sz w:val="24"/>
          <w:szCs w:val="24"/>
          <w:lang w:val="en-GB" w:eastAsia="ja-JP"/>
        </w:rPr>
        <w:t>AMM</w:t>
      </w:r>
      <w:r>
        <w:rPr>
          <w:rFonts w:ascii="Book Antiqua" w:hAnsi="Book Antiqua"/>
          <w:sz w:val="24"/>
          <w:szCs w:val="24"/>
          <w:lang w:val="en-GB" w:eastAsia="zh-CN"/>
        </w:rPr>
        <w:t>:</w:t>
      </w:r>
      <w:r w:rsidRPr="00CC3D0A">
        <w:rPr>
          <w:rFonts w:ascii="Book Antiqua" w:eastAsia="MS Mincho" w:hAnsi="Book Antiqua"/>
          <w:sz w:val="24"/>
          <w:szCs w:val="24"/>
          <w:lang w:val="en-GB" w:eastAsia="ja-JP"/>
        </w:rPr>
        <w:t xml:space="preserve"> Agnogenic myeloid metaplasia</w:t>
      </w:r>
      <w:r>
        <w:rPr>
          <w:rFonts w:ascii="Book Antiqua" w:hAnsi="Book Antiqua"/>
          <w:sz w:val="24"/>
          <w:szCs w:val="24"/>
          <w:lang w:val="en-GB" w:eastAsia="zh-CN"/>
        </w:rPr>
        <w:t xml:space="preserve">; IFN: </w:t>
      </w:r>
      <w:r w:rsidRPr="0007543B">
        <w:rPr>
          <w:rFonts w:ascii="Book Antiqua" w:hAnsi="Book Antiqua"/>
          <w:sz w:val="24"/>
          <w:szCs w:val="24"/>
          <w:lang w:val="en-GB" w:eastAsia="zh-CN"/>
        </w:rPr>
        <w:t>Interferon</w:t>
      </w:r>
      <w:r>
        <w:rPr>
          <w:rFonts w:ascii="Book Antiqua" w:hAnsi="Book Antiqua"/>
          <w:sz w:val="24"/>
          <w:szCs w:val="24"/>
          <w:lang w:val="en-GB" w:eastAsia="zh-CN"/>
        </w:rPr>
        <w:t xml:space="preserve">; </w:t>
      </w:r>
      <w:r w:rsidRPr="00CC3D0A">
        <w:rPr>
          <w:rFonts w:ascii="Book Antiqua" w:hAnsi="Book Antiqua"/>
          <w:sz w:val="24"/>
          <w:szCs w:val="24"/>
          <w:lang w:val="en-GB"/>
        </w:rPr>
        <w:t>EEC</w:t>
      </w:r>
      <w:proofErr w:type="gramStart"/>
      <w:r>
        <w:rPr>
          <w:rFonts w:ascii="Book Antiqua" w:hAnsi="Book Antiqua"/>
          <w:sz w:val="24"/>
          <w:szCs w:val="24"/>
          <w:lang w:val="en-GB" w:eastAsia="zh-CN"/>
        </w:rPr>
        <w:t>:</w:t>
      </w:r>
      <w:r w:rsidRPr="0007543B">
        <w:rPr>
          <w:rFonts w:ascii="Book Antiqua" w:hAnsi="Book Antiqua"/>
          <w:sz w:val="24"/>
          <w:szCs w:val="24"/>
          <w:lang w:val="en-GB" w:eastAsia="zh-CN"/>
        </w:rPr>
        <w:t>Endogenous</w:t>
      </w:r>
      <w:proofErr w:type="gramEnd"/>
      <w:r w:rsidRPr="0007543B">
        <w:rPr>
          <w:rFonts w:ascii="Book Antiqua" w:hAnsi="Book Antiqua"/>
          <w:sz w:val="24"/>
          <w:szCs w:val="24"/>
          <w:lang w:val="en-GB" w:eastAsia="zh-CN"/>
        </w:rPr>
        <w:t xml:space="preserve"> erythroid colony formation</w:t>
      </w:r>
      <w:r w:rsidR="001D42DE">
        <w:rPr>
          <w:rFonts w:ascii="Book Antiqua" w:hAnsi="Book Antiqua"/>
          <w:sz w:val="24"/>
          <w:szCs w:val="24"/>
          <w:lang w:val="en-GB" w:eastAsia="zh-CN"/>
        </w:rPr>
        <w:t>.</w:t>
      </w:r>
      <w:r>
        <w:rPr>
          <w:rFonts w:ascii="Book Antiqua" w:hAnsi="Book Antiqua"/>
          <w:sz w:val="24"/>
          <w:szCs w:val="24"/>
          <w:lang w:val="en-GB" w:eastAsia="zh-CN"/>
        </w:rPr>
        <w:t xml:space="preserve">  </w:t>
      </w:r>
    </w:p>
    <w:p w:rsidR="00702CE8" w:rsidRDefault="00702CE8" w:rsidP="00AC3FB8">
      <w:pPr>
        <w:suppressAutoHyphens/>
        <w:autoSpaceDN w:val="0"/>
        <w:spacing w:after="0" w:line="360" w:lineRule="auto"/>
        <w:jc w:val="both"/>
        <w:rPr>
          <w:rFonts w:ascii="Book Antiqua" w:hAnsi="Book Antiqua"/>
          <w:b/>
          <w:sz w:val="24"/>
          <w:szCs w:val="24"/>
          <w:lang w:val="en-GB" w:eastAsia="zh-CN"/>
        </w:rPr>
      </w:pPr>
    </w:p>
    <w:p w:rsidR="00702CE8" w:rsidRDefault="00702CE8" w:rsidP="00AC3FB8">
      <w:pPr>
        <w:suppressAutoHyphens/>
        <w:autoSpaceDN w:val="0"/>
        <w:spacing w:after="0" w:line="360" w:lineRule="auto"/>
        <w:jc w:val="both"/>
        <w:rPr>
          <w:rFonts w:ascii="Book Antiqua" w:hAnsi="Book Antiqua"/>
          <w:b/>
          <w:sz w:val="24"/>
          <w:szCs w:val="24"/>
          <w:lang w:val="en-GB" w:eastAsia="zh-CN"/>
        </w:rPr>
      </w:pPr>
    </w:p>
    <w:p w:rsidR="00702CE8" w:rsidRDefault="00702CE8" w:rsidP="00AC3FB8">
      <w:pPr>
        <w:suppressAutoHyphens/>
        <w:autoSpaceDN w:val="0"/>
        <w:spacing w:after="0" w:line="360" w:lineRule="auto"/>
        <w:jc w:val="both"/>
        <w:rPr>
          <w:rFonts w:ascii="Book Antiqua" w:hAnsi="Book Antiqua"/>
          <w:b/>
          <w:sz w:val="24"/>
          <w:szCs w:val="24"/>
          <w:lang w:val="en-GB" w:eastAsia="zh-CN"/>
        </w:rPr>
      </w:pPr>
    </w:p>
    <w:p w:rsidR="00702CE8" w:rsidRDefault="00702CE8" w:rsidP="00AC3FB8">
      <w:pPr>
        <w:suppressAutoHyphens/>
        <w:autoSpaceDN w:val="0"/>
        <w:spacing w:after="0" w:line="360" w:lineRule="auto"/>
        <w:jc w:val="both"/>
        <w:rPr>
          <w:rFonts w:ascii="Book Antiqua" w:hAnsi="Book Antiqua"/>
          <w:b/>
          <w:sz w:val="24"/>
          <w:szCs w:val="24"/>
          <w:lang w:val="en-GB" w:eastAsia="zh-CN"/>
        </w:rPr>
      </w:pPr>
    </w:p>
    <w:sectPr w:rsidR="00702CE8" w:rsidSect="00857C4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3F" w:rsidRDefault="0090343F" w:rsidP="002C6ABD">
      <w:pPr>
        <w:spacing w:after="0" w:line="240" w:lineRule="auto"/>
      </w:pPr>
      <w:r>
        <w:separator/>
      </w:r>
    </w:p>
  </w:endnote>
  <w:endnote w:type="continuationSeparator" w:id="0">
    <w:p w:rsidR="0090343F" w:rsidRDefault="0090343F" w:rsidP="002C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E8" w:rsidRDefault="0090343F">
    <w:pPr>
      <w:pStyle w:val="a5"/>
      <w:jc w:val="center"/>
    </w:pPr>
    <w:r>
      <w:fldChar w:fldCharType="begin"/>
    </w:r>
    <w:r>
      <w:instrText>PAGE   \* MERGEFORMAT</w:instrText>
    </w:r>
    <w:r>
      <w:fldChar w:fldCharType="separate"/>
    </w:r>
    <w:r w:rsidR="001D42DE" w:rsidRPr="001D42DE">
      <w:rPr>
        <w:noProof/>
        <w:lang w:val="nl-NL"/>
      </w:rPr>
      <w:t>1</w:t>
    </w:r>
    <w:r>
      <w:rPr>
        <w:noProof/>
        <w:lang w:val="nl-NL"/>
      </w:rPr>
      <w:fldChar w:fldCharType="end"/>
    </w:r>
  </w:p>
  <w:p w:rsidR="00702CE8" w:rsidRDefault="00702C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3F" w:rsidRDefault="0090343F" w:rsidP="002C6ABD">
      <w:pPr>
        <w:spacing w:after="0" w:line="240" w:lineRule="auto"/>
      </w:pPr>
      <w:r>
        <w:separator/>
      </w:r>
    </w:p>
  </w:footnote>
  <w:footnote w:type="continuationSeparator" w:id="0">
    <w:p w:rsidR="0090343F" w:rsidRDefault="0090343F" w:rsidP="002C6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5198"/>
    <w:multiLevelType w:val="hybridMultilevel"/>
    <w:tmpl w:val="5472FDAC"/>
    <w:lvl w:ilvl="0" w:tplc="6D70EE32">
      <w:start w:val="1"/>
      <w:numFmt w:val="decimal"/>
      <w:lvlText w:val="%1."/>
      <w:lvlJc w:val="left"/>
      <w:pPr>
        <w:tabs>
          <w:tab w:val="num" w:pos="360"/>
        </w:tabs>
        <w:ind w:left="360" w:hanging="360"/>
      </w:pPr>
      <w:rPr>
        <w:rFonts w:cs="Times New Roman"/>
        <w:color w:val="auto"/>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
    <w:nsid w:val="22F54BD9"/>
    <w:multiLevelType w:val="multilevel"/>
    <w:tmpl w:val="1F70619C"/>
    <w:styleLink w:val="LFO1"/>
    <w:lvl w:ilvl="0">
      <w:start w:val="1"/>
      <w:numFmt w:val="decimal"/>
      <w:pStyle w:val="NummertjeChar"/>
      <w:lvlText w:val="%1."/>
      <w:lvlJc w:val="left"/>
      <w:pPr>
        <w:ind w:left="36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655B253A"/>
    <w:multiLevelType w:val="hybridMultilevel"/>
    <w:tmpl w:val="6922B6F8"/>
    <w:lvl w:ilvl="0" w:tplc="0413000F">
      <w:start w:val="1"/>
      <w:numFmt w:val="decimal"/>
      <w:lvlText w:val="%1."/>
      <w:lvlJc w:val="left"/>
      <w:pPr>
        <w:tabs>
          <w:tab w:val="num" w:pos="786"/>
        </w:tabs>
        <w:ind w:left="786"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3">
    <w:nsid w:val="6852596A"/>
    <w:multiLevelType w:val="multilevel"/>
    <w:tmpl w:val="DE5AC1B8"/>
    <w:lvl w:ilvl="0">
      <w:start w:val="1"/>
      <w:numFmt w:val="decimal"/>
      <w:lvlText w:val="%1."/>
      <w:lvlJc w:val="left"/>
      <w:pPr>
        <w:ind w:left="502" w:hanging="360"/>
      </w:pPr>
      <w:rPr>
        <w:rFonts w:ascii="Times New Roman" w:eastAsia="MS Mincho" w:hAnsi="Times New Roman" w:cs="Times New Roman"/>
      </w:rPr>
    </w:lvl>
    <w:lvl w:ilvl="1">
      <w:start w:val="1"/>
      <w:numFmt w:val="decimal"/>
      <w:lvlText w:val="%2."/>
      <w:lvlJc w:val="left"/>
      <w:pPr>
        <w:ind w:left="1260" w:hanging="360"/>
      </w:pPr>
      <w:rPr>
        <w:rFonts w:cs="Times New Roman"/>
      </w:rPr>
    </w:lvl>
    <w:lvl w:ilvl="2">
      <w:start w:val="1"/>
      <w:numFmt w:val="decimal"/>
      <w:lvlText w:val="%3."/>
      <w:lvlJc w:val="left"/>
      <w:pPr>
        <w:ind w:left="1980" w:hanging="360"/>
      </w:pPr>
      <w:rPr>
        <w:rFonts w:cs="Times New Roman"/>
      </w:rPr>
    </w:lvl>
    <w:lvl w:ilvl="3">
      <w:start w:val="1"/>
      <w:numFmt w:val="decimal"/>
      <w:lvlText w:val="%4."/>
      <w:lvlJc w:val="left"/>
      <w:pPr>
        <w:ind w:left="2700" w:hanging="360"/>
      </w:pPr>
      <w:rPr>
        <w:rFonts w:cs="Times New Roman"/>
      </w:rPr>
    </w:lvl>
    <w:lvl w:ilvl="4">
      <w:start w:val="1"/>
      <w:numFmt w:val="decimal"/>
      <w:lvlText w:val="%5."/>
      <w:lvlJc w:val="left"/>
      <w:pPr>
        <w:ind w:left="3420" w:hanging="360"/>
      </w:pPr>
      <w:rPr>
        <w:rFonts w:cs="Times New Roman"/>
      </w:rPr>
    </w:lvl>
    <w:lvl w:ilvl="5">
      <w:start w:val="1"/>
      <w:numFmt w:val="decimal"/>
      <w:lvlText w:val="%6."/>
      <w:lvlJc w:val="left"/>
      <w:pPr>
        <w:ind w:left="4140" w:hanging="360"/>
      </w:pPr>
      <w:rPr>
        <w:rFonts w:cs="Times New Roman"/>
      </w:rPr>
    </w:lvl>
    <w:lvl w:ilvl="6">
      <w:start w:val="1"/>
      <w:numFmt w:val="decimal"/>
      <w:lvlText w:val="%7."/>
      <w:lvlJc w:val="left"/>
      <w:pPr>
        <w:ind w:left="4860" w:hanging="360"/>
      </w:pPr>
      <w:rPr>
        <w:rFonts w:cs="Times New Roman"/>
      </w:rPr>
    </w:lvl>
    <w:lvl w:ilvl="7">
      <w:start w:val="1"/>
      <w:numFmt w:val="decimal"/>
      <w:lvlText w:val="%8."/>
      <w:lvlJc w:val="left"/>
      <w:pPr>
        <w:ind w:left="5580" w:hanging="360"/>
      </w:pPr>
      <w:rPr>
        <w:rFonts w:cs="Times New Roman"/>
      </w:rPr>
    </w:lvl>
    <w:lvl w:ilvl="8">
      <w:start w:val="1"/>
      <w:numFmt w:val="decimal"/>
      <w:lvlText w:val="%9."/>
      <w:lvlJc w:val="left"/>
      <w:pPr>
        <w:ind w:left="630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AA"/>
    <w:rsid w:val="00006FCF"/>
    <w:rsid w:val="00010F13"/>
    <w:rsid w:val="0001124E"/>
    <w:rsid w:val="0001452A"/>
    <w:rsid w:val="00017FA0"/>
    <w:rsid w:val="0002402A"/>
    <w:rsid w:val="00027318"/>
    <w:rsid w:val="0003297D"/>
    <w:rsid w:val="00032AE7"/>
    <w:rsid w:val="00037A27"/>
    <w:rsid w:val="000411C0"/>
    <w:rsid w:val="000418E7"/>
    <w:rsid w:val="00043139"/>
    <w:rsid w:val="00043E5D"/>
    <w:rsid w:val="0004547A"/>
    <w:rsid w:val="00053633"/>
    <w:rsid w:val="00064440"/>
    <w:rsid w:val="00071758"/>
    <w:rsid w:val="00071C26"/>
    <w:rsid w:val="000750F6"/>
    <w:rsid w:val="0007543B"/>
    <w:rsid w:val="00077299"/>
    <w:rsid w:val="00077383"/>
    <w:rsid w:val="0008783C"/>
    <w:rsid w:val="00091B73"/>
    <w:rsid w:val="00092C6B"/>
    <w:rsid w:val="000A335F"/>
    <w:rsid w:val="000A6143"/>
    <w:rsid w:val="000A68E7"/>
    <w:rsid w:val="000B0344"/>
    <w:rsid w:val="000B176E"/>
    <w:rsid w:val="000B1B41"/>
    <w:rsid w:val="000B641D"/>
    <w:rsid w:val="000C122F"/>
    <w:rsid w:val="000C7D06"/>
    <w:rsid w:val="000D2CBE"/>
    <w:rsid w:val="000E3D63"/>
    <w:rsid w:val="000E62A8"/>
    <w:rsid w:val="001022FB"/>
    <w:rsid w:val="001124F0"/>
    <w:rsid w:val="0011413E"/>
    <w:rsid w:val="0011480D"/>
    <w:rsid w:val="00125AD1"/>
    <w:rsid w:val="00136DA4"/>
    <w:rsid w:val="00150090"/>
    <w:rsid w:val="00151AFF"/>
    <w:rsid w:val="00151B6B"/>
    <w:rsid w:val="00156F62"/>
    <w:rsid w:val="0016404E"/>
    <w:rsid w:val="00165633"/>
    <w:rsid w:val="00167B40"/>
    <w:rsid w:val="0017742A"/>
    <w:rsid w:val="001809AF"/>
    <w:rsid w:val="001911E7"/>
    <w:rsid w:val="00193C96"/>
    <w:rsid w:val="00195F34"/>
    <w:rsid w:val="001A5D99"/>
    <w:rsid w:val="001B18DF"/>
    <w:rsid w:val="001B5D77"/>
    <w:rsid w:val="001B6628"/>
    <w:rsid w:val="001C182A"/>
    <w:rsid w:val="001C3072"/>
    <w:rsid w:val="001D0AE4"/>
    <w:rsid w:val="001D42DE"/>
    <w:rsid w:val="001D63C7"/>
    <w:rsid w:val="001E138C"/>
    <w:rsid w:val="001E2841"/>
    <w:rsid w:val="001F38C1"/>
    <w:rsid w:val="001F3F60"/>
    <w:rsid w:val="001F415F"/>
    <w:rsid w:val="001F4329"/>
    <w:rsid w:val="001F75FD"/>
    <w:rsid w:val="002021FA"/>
    <w:rsid w:val="002130FF"/>
    <w:rsid w:val="0021527B"/>
    <w:rsid w:val="00224D3A"/>
    <w:rsid w:val="00227F5E"/>
    <w:rsid w:val="00230709"/>
    <w:rsid w:val="002355D1"/>
    <w:rsid w:val="00236CEB"/>
    <w:rsid w:val="00242375"/>
    <w:rsid w:val="00242395"/>
    <w:rsid w:val="00244B85"/>
    <w:rsid w:val="002515C2"/>
    <w:rsid w:val="00255FCE"/>
    <w:rsid w:val="00262617"/>
    <w:rsid w:val="00264279"/>
    <w:rsid w:val="002725A2"/>
    <w:rsid w:val="0027496A"/>
    <w:rsid w:val="00276144"/>
    <w:rsid w:val="00280460"/>
    <w:rsid w:val="00282A2D"/>
    <w:rsid w:val="00282C8E"/>
    <w:rsid w:val="0028741B"/>
    <w:rsid w:val="00296E32"/>
    <w:rsid w:val="002A2B11"/>
    <w:rsid w:val="002B6B69"/>
    <w:rsid w:val="002B6E15"/>
    <w:rsid w:val="002B7ADC"/>
    <w:rsid w:val="002C6ABD"/>
    <w:rsid w:val="002D04FF"/>
    <w:rsid w:val="002D5362"/>
    <w:rsid w:val="002D7BA8"/>
    <w:rsid w:val="002E1F5B"/>
    <w:rsid w:val="002E2496"/>
    <w:rsid w:val="002E3EE6"/>
    <w:rsid w:val="002E6285"/>
    <w:rsid w:val="002F041B"/>
    <w:rsid w:val="002F11EC"/>
    <w:rsid w:val="002F1419"/>
    <w:rsid w:val="002F494E"/>
    <w:rsid w:val="003007FF"/>
    <w:rsid w:val="00302239"/>
    <w:rsid w:val="00305EAB"/>
    <w:rsid w:val="0031312C"/>
    <w:rsid w:val="00313171"/>
    <w:rsid w:val="003169CF"/>
    <w:rsid w:val="00324C32"/>
    <w:rsid w:val="00325383"/>
    <w:rsid w:val="003313A5"/>
    <w:rsid w:val="00331E79"/>
    <w:rsid w:val="003347B5"/>
    <w:rsid w:val="00336CCF"/>
    <w:rsid w:val="003378E8"/>
    <w:rsid w:val="003408E1"/>
    <w:rsid w:val="00340D65"/>
    <w:rsid w:val="0034195B"/>
    <w:rsid w:val="00341F62"/>
    <w:rsid w:val="00355C28"/>
    <w:rsid w:val="00356B1B"/>
    <w:rsid w:val="00357D7B"/>
    <w:rsid w:val="003611E4"/>
    <w:rsid w:val="00376B5B"/>
    <w:rsid w:val="00390C7D"/>
    <w:rsid w:val="00391203"/>
    <w:rsid w:val="0039520D"/>
    <w:rsid w:val="003A01FC"/>
    <w:rsid w:val="003A1715"/>
    <w:rsid w:val="003B2E8E"/>
    <w:rsid w:val="003B3342"/>
    <w:rsid w:val="003B424E"/>
    <w:rsid w:val="003B79DA"/>
    <w:rsid w:val="003C115A"/>
    <w:rsid w:val="003C485C"/>
    <w:rsid w:val="003C4FAA"/>
    <w:rsid w:val="003D47BC"/>
    <w:rsid w:val="003E718E"/>
    <w:rsid w:val="003F752A"/>
    <w:rsid w:val="004018EE"/>
    <w:rsid w:val="00421E83"/>
    <w:rsid w:val="00424A83"/>
    <w:rsid w:val="0043061E"/>
    <w:rsid w:val="00444D0E"/>
    <w:rsid w:val="0044689A"/>
    <w:rsid w:val="004475A8"/>
    <w:rsid w:val="00451CBF"/>
    <w:rsid w:val="00454178"/>
    <w:rsid w:val="00456861"/>
    <w:rsid w:val="00462580"/>
    <w:rsid w:val="00483BAF"/>
    <w:rsid w:val="00487750"/>
    <w:rsid w:val="004926EC"/>
    <w:rsid w:val="004927B7"/>
    <w:rsid w:val="0049311B"/>
    <w:rsid w:val="004977C4"/>
    <w:rsid w:val="004A0F84"/>
    <w:rsid w:val="004A2349"/>
    <w:rsid w:val="004A52A9"/>
    <w:rsid w:val="004B0BBD"/>
    <w:rsid w:val="004B20A9"/>
    <w:rsid w:val="004B289E"/>
    <w:rsid w:val="004B3CB2"/>
    <w:rsid w:val="004C3CCB"/>
    <w:rsid w:val="004C75C0"/>
    <w:rsid w:val="004D40E4"/>
    <w:rsid w:val="004D4313"/>
    <w:rsid w:val="004D4C2F"/>
    <w:rsid w:val="004D64CC"/>
    <w:rsid w:val="004E16DE"/>
    <w:rsid w:val="004E5635"/>
    <w:rsid w:val="004F00FE"/>
    <w:rsid w:val="004F2CB5"/>
    <w:rsid w:val="004F3BDE"/>
    <w:rsid w:val="00502A1D"/>
    <w:rsid w:val="00502E68"/>
    <w:rsid w:val="00506609"/>
    <w:rsid w:val="00506EA4"/>
    <w:rsid w:val="00510BBE"/>
    <w:rsid w:val="00515DA1"/>
    <w:rsid w:val="0053085F"/>
    <w:rsid w:val="00530D9E"/>
    <w:rsid w:val="00531BA4"/>
    <w:rsid w:val="00540288"/>
    <w:rsid w:val="00551A82"/>
    <w:rsid w:val="0055273B"/>
    <w:rsid w:val="0056139F"/>
    <w:rsid w:val="005665AF"/>
    <w:rsid w:val="00566F6E"/>
    <w:rsid w:val="0057021D"/>
    <w:rsid w:val="005703B0"/>
    <w:rsid w:val="00571B73"/>
    <w:rsid w:val="00573466"/>
    <w:rsid w:val="005766CD"/>
    <w:rsid w:val="005807D7"/>
    <w:rsid w:val="005833F4"/>
    <w:rsid w:val="0058406D"/>
    <w:rsid w:val="00586E02"/>
    <w:rsid w:val="00596949"/>
    <w:rsid w:val="005A0F4E"/>
    <w:rsid w:val="005A13FF"/>
    <w:rsid w:val="005A3A94"/>
    <w:rsid w:val="005B27E0"/>
    <w:rsid w:val="005B4C43"/>
    <w:rsid w:val="005B7D7A"/>
    <w:rsid w:val="005C00E5"/>
    <w:rsid w:val="005C5631"/>
    <w:rsid w:val="005C6A5F"/>
    <w:rsid w:val="005C766B"/>
    <w:rsid w:val="005D13EC"/>
    <w:rsid w:val="005D18B9"/>
    <w:rsid w:val="005D7628"/>
    <w:rsid w:val="005E0C7B"/>
    <w:rsid w:val="005E3535"/>
    <w:rsid w:val="005F2B7C"/>
    <w:rsid w:val="005F3112"/>
    <w:rsid w:val="00600ED5"/>
    <w:rsid w:val="006050E3"/>
    <w:rsid w:val="0061280D"/>
    <w:rsid w:val="006200D2"/>
    <w:rsid w:val="006211AB"/>
    <w:rsid w:val="0062535F"/>
    <w:rsid w:val="00631262"/>
    <w:rsid w:val="006321D3"/>
    <w:rsid w:val="006345C7"/>
    <w:rsid w:val="00635056"/>
    <w:rsid w:val="00645C40"/>
    <w:rsid w:val="00647735"/>
    <w:rsid w:val="00656989"/>
    <w:rsid w:val="00657B8E"/>
    <w:rsid w:val="00670B3D"/>
    <w:rsid w:val="006720D3"/>
    <w:rsid w:val="006739B6"/>
    <w:rsid w:val="00680C23"/>
    <w:rsid w:val="006911A8"/>
    <w:rsid w:val="006937E9"/>
    <w:rsid w:val="00694C75"/>
    <w:rsid w:val="006A0387"/>
    <w:rsid w:val="006A27DF"/>
    <w:rsid w:val="006A52C0"/>
    <w:rsid w:val="006A5FFB"/>
    <w:rsid w:val="006A664D"/>
    <w:rsid w:val="006B0393"/>
    <w:rsid w:val="006B10CF"/>
    <w:rsid w:val="006B5064"/>
    <w:rsid w:val="006B6535"/>
    <w:rsid w:val="006C7E1A"/>
    <w:rsid w:val="006D3ACC"/>
    <w:rsid w:val="006D49B4"/>
    <w:rsid w:val="006D5F34"/>
    <w:rsid w:val="006E1364"/>
    <w:rsid w:val="006E3983"/>
    <w:rsid w:val="006E74CF"/>
    <w:rsid w:val="006F1A18"/>
    <w:rsid w:val="006F28B0"/>
    <w:rsid w:val="006F2EC7"/>
    <w:rsid w:val="006F5491"/>
    <w:rsid w:val="0070292E"/>
    <w:rsid w:val="00702CE8"/>
    <w:rsid w:val="0070566D"/>
    <w:rsid w:val="00706C94"/>
    <w:rsid w:val="00713E56"/>
    <w:rsid w:val="007161AA"/>
    <w:rsid w:val="0072576E"/>
    <w:rsid w:val="007258DB"/>
    <w:rsid w:val="007264AA"/>
    <w:rsid w:val="00732C37"/>
    <w:rsid w:val="0073398C"/>
    <w:rsid w:val="00734B5D"/>
    <w:rsid w:val="00740DD9"/>
    <w:rsid w:val="00741C59"/>
    <w:rsid w:val="00741F4F"/>
    <w:rsid w:val="0074320A"/>
    <w:rsid w:val="00747306"/>
    <w:rsid w:val="00751188"/>
    <w:rsid w:val="0075233F"/>
    <w:rsid w:val="00752F76"/>
    <w:rsid w:val="00760A5B"/>
    <w:rsid w:val="007620FF"/>
    <w:rsid w:val="00766D9A"/>
    <w:rsid w:val="007712C5"/>
    <w:rsid w:val="00771FA3"/>
    <w:rsid w:val="0077516D"/>
    <w:rsid w:val="007804BC"/>
    <w:rsid w:val="00784A64"/>
    <w:rsid w:val="00787577"/>
    <w:rsid w:val="00793763"/>
    <w:rsid w:val="00796B93"/>
    <w:rsid w:val="007A4B80"/>
    <w:rsid w:val="007A55B6"/>
    <w:rsid w:val="007A76EF"/>
    <w:rsid w:val="007B2982"/>
    <w:rsid w:val="007B3A9B"/>
    <w:rsid w:val="007B4723"/>
    <w:rsid w:val="007C0737"/>
    <w:rsid w:val="007C3073"/>
    <w:rsid w:val="007D7CF1"/>
    <w:rsid w:val="007E21C8"/>
    <w:rsid w:val="007E34C9"/>
    <w:rsid w:val="007E4509"/>
    <w:rsid w:val="007E7CAF"/>
    <w:rsid w:val="007F1F31"/>
    <w:rsid w:val="007F3A79"/>
    <w:rsid w:val="007F5A18"/>
    <w:rsid w:val="00801924"/>
    <w:rsid w:val="0080417C"/>
    <w:rsid w:val="00804188"/>
    <w:rsid w:val="008148F4"/>
    <w:rsid w:val="00817405"/>
    <w:rsid w:val="008203C0"/>
    <w:rsid w:val="008238D5"/>
    <w:rsid w:val="00827158"/>
    <w:rsid w:val="00827C16"/>
    <w:rsid w:val="00832295"/>
    <w:rsid w:val="00834E40"/>
    <w:rsid w:val="0083525E"/>
    <w:rsid w:val="00835714"/>
    <w:rsid w:val="008401AC"/>
    <w:rsid w:val="00840D94"/>
    <w:rsid w:val="00843673"/>
    <w:rsid w:val="00846112"/>
    <w:rsid w:val="0085520D"/>
    <w:rsid w:val="00857C47"/>
    <w:rsid w:val="008608F0"/>
    <w:rsid w:val="0086155E"/>
    <w:rsid w:val="008653C9"/>
    <w:rsid w:val="008664B6"/>
    <w:rsid w:val="0087203B"/>
    <w:rsid w:val="00872B51"/>
    <w:rsid w:val="00874043"/>
    <w:rsid w:val="00874A5B"/>
    <w:rsid w:val="00876489"/>
    <w:rsid w:val="00876BAE"/>
    <w:rsid w:val="00892E42"/>
    <w:rsid w:val="008A2D5B"/>
    <w:rsid w:val="008A4020"/>
    <w:rsid w:val="008A4228"/>
    <w:rsid w:val="008A749D"/>
    <w:rsid w:val="008B0E2E"/>
    <w:rsid w:val="008B38F0"/>
    <w:rsid w:val="008B499F"/>
    <w:rsid w:val="008B4A3F"/>
    <w:rsid w:val="008B6650"/>
    <w:rsid w:val="008C0D50"/>
    <w:rsid w:val="008C170E"/>
    <w:rsid w:val="008C1E33"/>
    <w:rsid w:val="008C2577"/>
    <w:rsid w:val="008C3999"/>
    <w:rsid w:val="008C41AC"/>
    <w:rsid w:val="008C5638"/>
    <w:rsid w:val="008D5E04"/>
    <w:rsid w:val="008E3125"/>
    <w:rsid w:val="008E3170"/>
    <w:rsid w:val="008E3981"/>
    <w:rsid w:val="008F3E34"/>
    <w:rsid w:val="008F6B58"/>
    <w:rsid w:val="0090343F"/>
    <w:rsid w:val="00904A1E"/>
    <w:rsid w:val="009071D5"/>
    <w:rsid w:val="009155D5"/>
    <w:rsid w:val="0092175D"/>
    <w:rsid w:val="00921F1D"/>
    <w:rsid w:val="00924722"/>
    <w:rsid w:val="00925A65"/>
    <w:rsid w:val="00931AE9"/>
    <w:rsid w:val="00941183"/>
    <w:rsid w:val="0094188B"/>
    <w:rsid w:val="00941D94"/>
    <w:rsid w:val="00942F23"/>
    <w:rsid w:val="00943031"/>
    <w:rsid w:val="00944619"/>
    <w:rsid w:val="00954ADA"/>
    <w:rsid w:val="0095731C"/>
    <w:rsid w:val="0096097F"/>
    <w:rsid w:val="00985796"/>
    <w:rsid w:val="00986CDC"/>
    <w:rsid w:val="0099108C"/>
    <w:rsid w:val="00992B1F"/>
    <w:rsid w:val="0099472E"/>
    <w:rsid w:val="009A7237"/>
    <w:rsid w:val="009B0CA3"/>
    <w:rsid w:val="009B0FB7"/>
    <w:rsid w:val="009B557F"/>
    <w:rsid w:val="009C3856"/>
    <w:rsid w:val="009C67D4"/>
    <w:rsid w:val="009C6FE6"/>
    <w:rsid w:val="009D1026"/>
    <w:rsid w:val="009D522F"/>
    <w:rsid w:val="009D68C9"/>
    <w:rsid w:val="009E036C"/>
    <w:rsid w:val="009E1FDC"/>
    <w:rsid w:val="009E33FC"/>
    <w:rsid w:val="009E5A17"/>
    <w:rsid w:val="009E6C30"/>
    <w:rsid w:val="00A00DA6"/>
    <w:rsid w:val="00A031D1"/>
    <w:rsid w:val="00A05404"/>
    <w:rsid w:val="00A07C90"/>
    <w:rsid w:val="00A1009D"/>
    <w:rsid w:val="00A23237"/>
    <w:rsid w:val="00A236CD"/>
    <w:rsid w:val="00A24312"/>
    <w:rsid w:val="00A4496E"/>
    <w:rsid w:val="00A44CAE"/>
    <w:rsid w:val="00A45A31"/>
    <w:rsid w:val="00A53D35"/>
    <w:rsid w:val="00A5681A"/>
    <w:rsid w:val="00A63531"/>
    <w:rsid w:val="00A71AF8"/>
    <w:rsid w:val="00A74452"/>
    <w:rsid w:val="00A775B2"/>
    <w:rsid w:val="00A827F4"/>
    <w:rsid w:val="00A86F2B"/>
    <w:rsid w:val="00AA1790"/>
    <w:rsid w:val="00AA1BAA"/>
    <w:rsid w:val="00AA1D9C"/>
    <w:rsid w:val="00AA5C42"/>
    <w:rsid w:val="00AC2D95"/>
    <w:rsid w:val="00AC3FB8"/>
    <w:rsid w:val="00AD3507"/>
    <w:rsid w:val="00AD6FBB"/>
    <w:rsid w:val="00AE14ED"/>
    <w:rsid w:val="00AE1D4B"/>
    <w:rsid w:val="00AE7733"/>
    <w:rsid w:val="00AF1D3C"/>
    <w:rsid w:val="00AF2A1D"/>
    <w:rsid w:val="00B00ADC"/>
    <w:rsid w:val="00B152DE"/>
    <w:rsid w:val="00B160D8"/>
    <w:rsid w:val="00B16C7B"/>
    <w:rsid w:val="00B24EDE"/>
    <w:rsid w:val="00B361FC"/>
    <w:rsid w:val="00B363D6"/>
    <w:rsid w:val="00B4201C"/>
    <w:rsid w:val="00B50FD9"/>
    <w:rsid w:val="00B5183A"/>
    <w:rsid w:val="00B52F63"/>
    <w:rsid w:val="00B577B4"/>
    <w:rsid w:val="00B63F24"/>
    <w:rsid w:val="00B643B3"/>
    <w:rsid w:val="00B65B2D"/>
    <w:rsid w:val="00B71694"/>
    <w:rsid w:val="00B72C20"/>
    <w:rsid w:val="00B7757D"/>
    <w:rsid w:val="00B80220"/>
    <w:rsid w:val="00B80B52"/>
    <w:rsid w:val="00B94721"/>
    <w:rsid w:val="00B9509E"/>
    <w:rsid w:val="00B96937"/>
    <w:rsid w:val="00BA0990"/>
    <w:rsid w:val="00BA4852"/>
    <w:rsid w:val="00BB0744"/>
    <w:rsid w:val="00BB19C7"/>
    <w:rsid w:val="00BB201F"/>
    <w:rsid w:val="00BB304D"/>
    <w:rsid w:val="00BB3825"/>
    <w:rsid w:val="00BB4822"/>
    <w:rsid w:val="00BB5B9A"/>
    <w:rsid w:val="00BC5421"/>
    <w:rsid w:val="00BD5A20"/>
    <w:rsid w:val="00BE145C"/>
    <w:rsid w:val="00BE7882"/>
    <w:rsid w:val="00BF0981"/>
    <w:rsid w:val="00BF0BA0"/>
    <w:rsid w:val="00BF6DE1"/>
    <w:rsid w:val="00C00189"/>
    <w:rsid w:val="00C04266"/>
    <w:rsid w:val="00C0684D"/>
    <w:rsid w:val="00C135AA"/>
    <w:rsid w:val="00C13710"/>
    <w:rsid w:val="00C32842"/>
    <w:rsid w:val="00C351ED"/>
    <w:rsid w:val="00C36FBF"/>
    <w:rsid w:val="00C41BE2"/>
    <w:rsid w:val="00C441E1"/>
    <w:rsid w:val="00C5026D"/>
    <w:rsid w:val="00C51580"/>
    <w:rsid w:val="00C529A9"/>
    <w:rsid w:val="00C66434"/>
    <w:rsid w:val="00C66C18"/>
    <w:rsid w:val="00C66EAC"/>
    <w:rsid w:val="00C709BA"/>
    <w:rsid w:val="00C75E6C"/>
    <w:rsid w:val="00C765C7"/>
    <w:rsid w:val="00C80DB7"/>
    <w:rsid w:val="00C84924"/>
    <w:rsid w:val="00C94725"/>
    <w:rsid w:val="00CA3D0C"/>
    <w:rsid w:val="00CA514C"/>
    <w:rsid w:val="00CA6F7F"/>
    <w:rsid w:val="00CA79A8"/>
    <w:rsid w:val="00CB1E1F"/>
    <w:rsid w:val="00CC1FD9"/>
    <w:rsid w:val="00CC3D0A"/>
    <w:rsid w:val="00CD3C4E"/>
    <w:rsid w:val="00CD4F26"/>
    <w:rsid w:val="00CD7D81"/>
    <w:rsid w:val="00CE4867"/>
    <w:rsid w:val="00CF0082"/>
    <w:rsid w:val="00CF2611"/>
    <w:rsid w:val="00CF740F"/>
    <w:rsid w:val="00CF7877"/>
    <w:rsid w:val="00D04B9A"/>
    <w:rsid w:val="00D06EB7"/>
    <w:rsid w:val="00D20A82"/>
    <w:rsid w:val="00D2499E"/>
    <w:rsid w:val="00D2511E"/>
    <w:rsid w:val="00D30EB6"/>
    <w:rsid w:val="00D31443"/>
    <w:rsid w:val="00D3205F"/>
    <w:rsid w:val="00D32A96"/>
    <w:rsid w:val="00D42295"/>
    <w:rsid w:val="00D50D5C"/>
    <w:rsid w:val="00D512AF"/>
    <w:rsid w:val="00D5282C"/>
    <w:rsid w:val="00D54506"/>
    <w:rsid w:val="00D568D7"/>
    <w:rsid w:val="00D67D7F"/>
    <w:rsid w:val="00D70563"/>
    <w:rsid w:val="00D70E6D"/>
    <w:rsid w:val="00D75AE6"/>
    <w:rsid w:val="00D802D4"/>
    <w:rsid w:val="00D81EA4"/>
    <w:rsid w:val="00D83209"/>
    <w:rsid w:val="00D91ABD"/>
    <w:rsid w:val="00D92EB6"/>
    <w:rsid w:val="00D96C7B"/>
    <w:rsid w:val="00D97E17"/>
    <w:rsid w:val="00DA3062"/>
    <w:rsid w:val="00DA4FC3"/>
    <w:rsid w:val="00DB59DF"/>
    <w:rsid w:val="00DC1BE1"/>
    <w:rsid w:val="00DC4BB6"/>
    <w:rsid w:val="00DC5D0B"/>
    <w:rsid w:val="00DC5D26"/>
    <w:rsid w:val="00DC723D"/>
    <w:rsid w:val="00DD0EC2"/>
    <w:rsid w:val="00DD4CAB"/>
    <w:rsid w:val="00DD7C80"/>
    <w:rsid w:val="00DF1511"/>
    <w:rsid w:val="00DF1596"/>
    <w:rsid w:val="00DF5A8C"/>
    <w:rsid w:val="00E00D4D"/>
    <w:rsid w:val="00E01469"/>
    <w:rsid w:val="00E02703"/>
    <w:rsid w:val="00E0592C"/>
    <w:rsid w:val="00E11E5E"/>
    <w:rsid w:val="00E17E21"/>
    <w:rsid w:val="00E21118"/>
    <w:rsid w:val="00E21C4E"/>
    <w:rsid w:val="00E220E1"/>
    <w:rsid w:val="00E3772D"/>
    <w:rsid w:val="00E42274"/>
    <w:rsid w:val="00E426B9"/>
    <w:rsid w:val="00E46CAA"/>
    <w:rsid w:val="00E544A2"/>
    <w:rsid w:val="00E74AE7"/>
    <w:rsid w:val="00E8433F"/>
    <w:rsid w:val="00E84401"/>
    <w:rsid w:val="00E9177E"/>
    <w:rsid w:val="00EA6AA0"/>
    <w:rsid w:val="00EA707A"/>
    <w:rsid w:val="00EA7C74"/>
    <w:rsid w:val="00EB3359"/>
    <w:rsid w:val="00EC03F7"/>
    <w:rsid w:val="00EC42A1"/>
    <w:rsid w:val="00EC45DF"/>
    <w:rsid w:val="00EC5921"/>
    <w:rsid w:val="00EC7BFD"/>
    <w:rsid w:val="00EE546C"/>
    <w:rsid w:val="00EE57A9"/>
    <w:rsid w:val="00EE58EC"/>
    <w:rsid w:val="00EF28DD"/>
    <w:rsid w:val="00EF41A5"/>
    <w:rsid w:val="00EF6274"/>
    <w:rsid w:val="00F03C3A"/>
    <w:rsid w:val="00F03CA8"/>
    <w:rsid w:val="00F04347"/>
    <w:rsid w:val="00F06662"/>
    <w:rsid w:val="00F12242"/>
    <w:rsid w:val="00F13900"/>
    <w:rsid w:val="00F148D8"/>
    <w:rsid w:val="00F15C85"/>
    <w:rsid w:val="00F15FF3"/>
    <w:rsid w:val="00F307A0"/>
    <w:rsid w:val="00F31EC9"/>
    <w:rsid w:val="00F33FEA"/>
    <w:rsid w:val="00F3442B"/>
    <w:rsid w:val="00F36B29"/>
    <w:rsid w:val="00F40313"/>
    <w:rsid w:val="00F46C3F"/>
    <w:rsid w:val="00F510EC"/>
    <w:rsid w:val="00F52A8B"/>
    <w:rsid w:val="00F53181"/>
    <w:rsid w:val="00F5389E"/>
    <w:rsid w:val="00F544BD"/>
    <w:rsid w:val="00F55654"/>
    <w:rsid w:val="00F55AD1"/>
    <w:rsid w:val="00F655E1"/>
    <w:rsid w:val="00F71BD3"/>
    <w:rsid w:val="00F77E1D"/>
    <w:rsid w:val="00F84EAD"/>
    <w:rsid w:val="00F86A35"/>
    <w:rsid w:val="00F87863"/>
    <w:rsid w:val="00F92021"/>
    <w:rsid w:val="00F94D22"/>
    <w:rsid w:val="00FA16F1"/>
    <w:rsid w:val="00FA3317"/>
    <w:rsid w:val="00FA565B"/>
    <w:rsid w:val="00FA577A"/>
    <w:rsid w:val="00FA5DA0"/>
    <w:rsid w:val="00FD11D0"/>
    <w:rsid w:val="00FD46A5"/>
    <w:rsid w:val="00FD55F2"/>
    <w:rsid w:val="00FD5E4B"/>
    <w:rsid w:val="00FE0695"/>
    <w:rsid w:val="00FE2AD2"/>
    <w:rsid w:val="00FE5368"/>
    <w:rsid w:val="00FF0B55"/>
    <w:rsid w:val="00FF1D45"/>
    <w:rsid w:val="00FF5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47"/>
    <w:pPr>
      <w:spacing w:after="200" w:line="276" w:lineRule="auto"/>
    </w:pPr>
    <w:rPr>
      <w:kern w:val="0"/>
      <w:sz w:val="22"/>
      <w:lang w:val="nl-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161AA"/>
    <w:rPr>
      <w:rFonts w:cs="Times New Roman"/>
      <w:color w:val="0000FF"/>
      <w:u w:val="single" w:color="000000"/>
    </w:rPr>
  </w:style>
  <w:style w:type="character" w:styleId="a4">
    <w:name w:val="FollowedHyperlink"/>
    <w:basedOn w:val="a0"/>
    <w:uiPriority w:val="99"/>
    <w:semiHidden/>
    <w:rsid w:val="007161AA"/>
    <w:rPr>
      <w:rFonts w:cs="Times New Roman"/>
      <w:color w:val="800080"/>
      <w:u w:val="single" w:color="000000"/>
    </w:rPr>
  </w:style>
  <w:style w:type="paragraph" w:styleId="a5">
    <w:name w:val="footer"/>
    <w:basedOn w:val="a"/>
    <w:link w:val="Char"/>
    <w:uiPriority w:val="99"/>
    <w:rsid w:val="007161AA"/>
    <w:pPr>
      <w:tabs>
        <w:tab w:val="center" w:pos="4536"/>
        <w:tab w:val="right" w:pos="9072"/>
      </w:tabs>
      <w:suppressAutoHyphens/>
      <w:autoSpaceDN w:val="0"/>
      <w:spacing w:after="0" w:line="240" w:lineRule="auto"/>
    </w:pPr>
    <w:rPr>
      <w:rFonts w:ascii="Times New Roman" w:eastAsia="MS Mincho" w:hAnsi="Times New Roman"/>
      <w:sz w:val="24"/>
      <w:szCs w:val="24"/>
      <w:lang w:val="en-US" w:eastAsia="ja-JP"/>
    </w:rPr>
  </w:style>
  <w:style w:type="character" w:customStyle="1" w:styleId="Char">
    <w:name w:val="页脚 Char"/>
    <w:basedOn w:val="a0"/>
    <w:link w:val="a5"/>
    <w:uiPriority w:val="99"/>
    <w:locked/>
    <w:rsid w:val="007161AA"/>
    <w:rPr>
      <w:rFonts w:ascii="Times New Roman" w:eastAsia="MS Mincho" w:hAnsi="Times New Roman" w:cs="Times New Roman"/>
      <w:sz w:val="24"/>
      <w:szCs w:val="24"/>
      <w:lang w:val="en-US" w:eastAsia="ja-JP"/>
    </w:rPr>
  </w:style>
  <w:style w:type="paragraph" w:styleId="a6">
    <w:name w:val="Body Text"/>
    <w:basedOn w:val="a"/>
    <w:link w:val="Char0"/>
    <w:uiPriority w:val="99"/>
    <w:rsid w:val="007161AA"/>
    <w:pPr>
      <w:suppressAutoHyphens/>
      <w:autoSpaceDN w:val="0"/>
      <w:spacing w:after="120" w:line="240" w:lineRule="auto"/>
    </w:pPr>
    <w:rPr>
      <w:rFonts w:ascii="Times New Roman" w:eastAsia="MS Mincho" w:hAnsi="Times New Roman"/>
      <w:sz w:val="24"/>
      <w:szCs w:val="20"/>
      <w:lang w:val="en-US" w:eastAsia="nl-NL"/>
    </w:rPr>
  </w:style>
  <w:style w:type="character" w:customStyle="1" w:styleId="Char0">
    <w:name w:val="正文文本 Char"/>
    <w:basedOn w:val="a0"/>
    <w:link w:val="a6"/>
    <w:uiPriority w:val="99"/>
    <w:locked/>
    <w:rsid w:val="007161AA"/>
    <w:rPr>
      <w:rFonts w:ascii="Times New Roman" w:eastAsia="MS Mincho" w:hAnsi="Times New Roman" w:cs="Times New Roman"/>
      <w:sz w:val="20"/>
      <w:szCs w:val="20"/>
      <w:lang w:val="en-US" w:eastAsia="nl-NL"/>
    </w:rPr>
  </w:style>
  <w:style w:type="paragraph" w:styleId="a7">
    <w:name w:val="Balloon Text"/>
    <w:basedOn w:val="a"/>
    <w:link w:val="Char1"/>
    <w:uiPriority w:val="99"/>
    <w:semiHidden/>
    <w:rsid w:val="007161AA"/>
    <w:pPr>
      <w:suppressAutoHyphens/>
      <w:autoSpaceDN w:val="0"/>
      <w:spacing w:after="0" w:line="240" w:lineRule="auto"/>
    </w:pPr>
    <w:rPr>
      <w:rFonts w:ascii="Tahoma" w:eastAsia="MS Mincho" w:hAnsi="Tahoma" w:cs="Tahoma"/>
      <w:sz w:val="16"/>
      <w:szCs w:val="16"/>
      <w:lang w:val="en-US" w:eastAsia="ja-JP"/>
    </w:rPr>
  </w:style>
  <w:style w:type="character" w:customStyle="1" w:styleId="Char1">
    <w:name w:val="批注框文本 Char"/>
    <w:basedOn w:val="a0"/>
    <w:link w:val="a7"/>
    <w:uiPriority w:val="99"/>
    <w:semiHidden/>
    <w:locked/>
    <w:rsid w:val="007161AA"/>
    <w:rPr>
      <w:rFonts w:ascii="Tahoma" w:eastAsia="MS Mincho" w:hAnsi="Tahoma" w:cs="Tahoma"/>
      <w:sz w:val="16"/>
      <w:szCs w:val="16"/>
      <w:lang w:val="en-US" w:eastAsia="ja-JP"/>
    </w:rPr>
  </w:style>
  <w:style w:type="paragraph" w:customStyle="1" w:styleId="tabeltitel">
    <w:name w:val="tabeltitel"/>
    <w:basedOn w:val="a"/>
    <w:uiPriority w:val="99"/>
    <w:rsid w:val="007161AA"/>
    <w:pPr>
      <w:pBdr>
        <w:top w:val="single" w:sz="6" w:space="0" w:color="FFFFFF"/>
        <w:left w:val="single" w:sz="6" w:space="0" w:color="FFFFFF"/>
        <w:bottom w:val="single" w:sz="6" w:space="0" w:color="FFFFFF"/>
        <w:right w:val="single" w:sz="6" w:space="0" w:color="FFFFFF"/>
      </w:pBdr>
      <w:tabs>
        <w:tab w:val="left" w:pos="0"/>
        <w:tab w:val="left" w:pos="2700"/>
      </w:tabs>
      <w:suppressAutoHyphens/>
      <w:autoSpaceDN w:val="0"/>
      <w:spacing w:after="0" w:line="280" w:lineRule="exact"/>
    </w:pPr>
    <w:rPr>
      <w:rFonts w:ascii="Times New Roman" w:hAnsi="Times New Roman"/>
      <w:sz w:val="24"/>
      <w:szCs w:val="24"/>
      <w:lang w:val="en-GB" w:eastAsia="nl-NL"/>
    </w:rPr>
  </w:style>
  <w:style w:type="paragraph" w:customStyle="1" w:styleId="tabelvoetnoot">
    <w:name w:val="tabelvoetnoot"/>
    <w:basedOn w:val="a"/>
    <w:uiPriority w:val="99"/>
    <w:rsid w:val="007161AA"/>
    <w:pPr>
      <w:suppressAutoHyphens/>
      <w:autoSpaceDN w:val="0"/>
      <w:spacing w:after="0" w:line="240" w:lineRule="auto"/>
    </w:pPr>
    <w:rPr>
      <w:rFonts w:ascii="Times New Roman" w:hAnsi="Times New Roman"/>
      <w:bCs/>
      <w:sz w:val="20"/>
      <w:szCs w:val="20"/>
      <w:lang w:val="en-GB" w:eastAsia="nl-NL"/>
    </w:rPr>
  </w:style>
  <w:style w:type="paragraph" w:customStyle="1" w:styleId="NummertjeChar">
    <w:name w:val="Nummertje Char"/>
    <w:basedOn w:val="a"/>
    <w:uiPriority w:val="99"/>
    <w:rsid w:val="007161AA"/>
    <w:pPr>
      <w:numPr>
        <w:numId w:val="1"/>
      </w:numPr>
      <w:tabs>
        <w:tab w:val="left" w:pos="358"/>
      </w:tabs>
      <w:suppressAutoHyphens/>
      <w:autoSpaceDN w:val="0"/>
      <w:spacing w:after="0" w:line="240" w:lineRule="auto"/>
    </w:pPr>
    <w:rPr>
      <w:rFonts w:ascii="Times New Roman" w:eastAsia="MS Mincho" w:hAnsi="Times New Roman"/>
      <w:sz w:val="24"/>
      <w:szCs w:val="24"/>
      <w:lang w:eastAsia="nl-NL"/>
    </w:rPr>
  </w:style>
  <w:style w:type="paragraph" w:customStyle="1" w:styleId="1">
    <w:name w:val="1"/>
    <w:uiPriority w:val="99"/>
    <w:rsid w:val="007161AA"/>
    <w:pPr>
      <w:widowControl w:val="0"/>
      <w:suppressAutoHyphens/>
      <w:autoSpaceDE w:val="0"/>
      <w:autoSpaceDN w:val="0"/>
    </w:pPr>
    <w:rPr>
      <w:rFonts w:ascii="Times New Roman Standard" w:eastAsia="MS Mincho" w:hAnsi="Times New Roman Standard" w:cs="Times New Roman Standard"/>
      <w:kern w:val="0"/>
      <w:sz w:val="24"/>
      <w:szCs w:val="24"/>
      <w:lang w:val="nl-NL" w:eastAsia="nl-NL"/>
    </w:rPr>
  </w:style>
  <w:style w:type="paragraph" w:customStyle="1" w:styleId="Nummertje">
    <w:name w:val="Nummertje"/>
    <w:basedOn w:val="a"/>
    <w:uiPriority w:val="99"/>
    <w:rsid w:val="007161AA"/>
    <w:pPr>
      <w:tabs>
        <w:tab w:val="left" w:pos="358"/>
      </w:tabs>
      <w:suppressAutoHyphens/>
      <w:autoSpaceDN w:val="0"/>
      <w:spacing w:after="0" w:line="240" w:lineRule="auto"/>
      <w:ind w:left="284" w:hanging="284"/>
    </w:pPr>
    <w:rPr>
      <w:rFonts w:ascii="Times New Roman" w:eastAsia="MS Mincho" w:hAnsi="Times New Roman"/>
      <w:sz w:val="24"/>
      <w:szCs w:val="24"/>
      <w:lang w:eastAsia="nl-NL"/>
    </w:rPr>
  </w:style>
  <w:style w:type="character" w:customStyle="1" w:styleId="NummertjeCharChar">
    <w:name w:val="Nummertje Char Char"/>
    <w:uiPriority w:val="99"/>
    <w:rsid w:val="007161AA"/>
    <w:rPr>
      <w:rFonts w:ascii="MS Mincho" w:eastAsia="MS Mincho" w:hAnsi="MS Mincho"/>
      <w:sz w:val="24"/>
      <w:lang w:val="nl-NL" w:eastAsia="nl-NL"/>
    </w:rPr>
  </w:style>
  <w:style w:type="character" w:customStyle="1" w:styleId="textstylestyle1">
    <w:name w:val="textstyle style1"/>
    <w:basedOn w:val="a0"/>
    <w:uiPriority w:val="99"/>
    <w:rsid w:val="007161AA"/>
    <w:rPr>
      <w:rFonts w:cs="Times New Roman"/>
    </w:rPr>
  </w:style>
  <w:style w:type="paragraph" w:styleId="a8">
    <w:name w:val="header"/>
    <w:basedOn w:val="a"/>
    <w:link w:val="Char2"/>
    <w:uiPriority w:val="99"/>
    <w:rsid w:val="002C6ABD"/>
    <w:pPr>
      <w:tabs>
        <w:tab w:val="center" w:pos="4536"/>
        <w:tab w:val="right" w:pos="9072"/>
      </w:tabs>
      <w:spacing w:after="0" w:line="240" w:lineRule="auto"/>
    </w:pPr>
  </w:style>
  <w:style w:type="character" w:customStyle="1" w:styleId="Char2">
    <w:name w:val="页眉 Char"/>
    <w:basedOn w:val="a0"/>
    <w:link w:val="a8"/>
    <w:uiPriority w:val="99"/>
    <w:locked/>
    <w:rsid w:val="002C6ABD"/>
    <w:rPr>
      <w:rFonts w:cs="Times New Roman"/>
    </w:rPr>
  </w:style>
  <w:style w:type="character" w:styleId="a9">
    <w:name w:val="annotation reference"/>
    <w:basedOn w:val="a0"/>
    <w:uiPriority w:val="99"/>
    <w:rsid w:val="004D64CC"/>
    <w:rPr>
      <w:rFonts w:cs="Times New Roman"/>
      <w:sz w:val="21"/>
      <w:szCs w:val="21"/>
    </w:rPr>
  </w:style>
  <w:style w:type="paragraph" w:styleId="aa">
    <w:name w:val="annotation text"/>
    <w:basedOn w:val="a"/>
    <w:link w:val="Char3"/>
    <w:uiPriority w:val="99"/>
    <w:rsid w:val="004D64CC"/>
    <w:pPr>
      <w:spacing w:after="0" w:line="240" w:lineRule="auto"/>
    </w:pPr>
    <w:rPr>
      <w:rFonts w:ascii="Times New Roman" w:hAnsi="Times New Roman"/>
      <w:sz w:val="24"/>
      <w:szCs w:val="24"/>
      <w:lang w:val="en-US"/>
    </w:rPr>
  </w:style>
  <w:style w:type="character" w:customStyle="1" w:styleId="Char3">
    <w:name w:val="批注文字 Char"/>
    <w:basedOn w:val="a0"/>
    <w:link w:val="aa"/>
    <w:uiPriority w:val="99"/>
    <w:locked/>
    <w:rsid w:val="004D64CC"/>
    <w:rPr>
      <w:rFonts w:ascii="Times New Roman" w:eastAsia="宋体" w:hAnsi="Times New Roman" w:cs="Times New Roman"/>
      <w:sz w:val="24"/>
      <w:szCs w:val="24"/>
      <w:lang w:val="en-US"/>
    </w:rPr>
  </w:style>
  <w:style w:type="paragraph" w:styleId="ab">
    <w:name w:val="annotation subject"/>
    <w:basedOn w:val="aa"/>
    <w:next w:val="aa"/>
    <w:link w:val="Char4"/>
    <w:uiPriority w:val="99"/>
    <w:semiHidden/>
    <w:rsid w:val="004F3BDE"/>
    <w:pPr>
      <w:spacing w:after="200" w:line="276" w:lineRule="auto"/>
    </w:pPr>
    <w:rPr>
      <w:rFonts w:ascii="Calibri" w:hAnsi="Calibri"/>
      <w:b/>
      <w:bCs/>
      <w:sz w:val="22"/>
      <w:szCs w:val="22"/>
      <w:lang w:val="nl-NL"/>
    </w:rPr>
  </w:style>
  <w:style w:type="character" w:customStyle="1" w:styleId="Char4">
    <w:name w:val="批注主题 Char"/>
    <w:basedOn w:val="Char3"/>
    <w:link w:val="ab"/>
    <w:uiPriority w:val="99"/>
    <w:semiHidden/>
    <w:locked/>
    <w:rsid w:val="004F3BDE"/>
    <w:rPr>
      <w:rFonts w:ascii="Times New Roman" w:eastAsia="宋体" w:hAnsi="Times New Roman" w:cs="Times New Roman"/>
      <w:b/>
      <w:bCs/>
      <w:sz w:val="24"/>
      <w:szCs w:val="24"/>
      <w:lang w:val="en-US"/>
    </w:rPr>
  </w:style>
  <w:style w:type="character" w:styleId="ac">
    <w:name w:val="Strong"/>
    <w:basedOn w:val="a0"/>
    <w:uiPriority w:val="99"/>
    <w:qFormat/>
    <w:rsid w:val="00AD6FBB"/>
    <w:rPr>
      <w:rFonts w:cs="Times New Roman"/>
      <w:b/>
    </w:rPr>
  </w:style>
  <w:style w:type="numbering" w:customStyle="1" w:styleId="LFO1">
    <w:name w:val="LFO1"/>
    <w:rsid w:val="000919C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C47"/>
    <w:pPr>
      <w:spacing w:after="200" w:line="276" w:lineRule="auto"/>
    </w:pPr>
    <w:rPr>
      <w:kern w:val="0"/>
      <w:sz w:val="22"/>
      <w:lang w:val="nl-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161AA"/>
    <w:rPr>
      <w:rFonts w:cs="Times New Roman"/>
      <w:color w:val="0000FF"/>
      <w:u w:val="single" w:color="000000"/>
    </w:rPr>
  </w:style>
  <w:style w:type="character" w:styleId="a4">
    <w:name w:val="FollowedHyperlink"/>
    <w:basedOn w:val="a0"/>
    <w:uiPriority w:val="99"/>
    <w:semiHidden/>
    <w:rsid w:val="007161AA"/>
    <w:rPr>
      <w:rFonts w:cs="Times New Roman"/>
      <w:color w:val="800080"/>
      <w:u w:val="single" w:color="000000"/>
    </w:rPr>
  </w:style>
  <w:style w:type="paragraph" w:styleId="a5">
    <w:name w:val="footer"/>
    <w:basedOn w:val="a"/>
    <w:link w:val="Char"/>
    <w:uiPriority w:val="99"/>
    <w:rsid w:val="007161AA"/>
    <w:pPr>
      <w:tabs>
        <w:tab w:val="center" w:pos="4536"/>
        <w:tab w:val="right" w:pos="9072"/>
      </w:tabs>
      <w:suppressAutoHyphens/>
      <w:autoSpaceDN w:val="0"/>
      <w:spacing w:after="0" w:line="240" w:lineRule="auto"/>
    </w:pPr>
    <w:rPr>
      <w:rFonts w:ascii="Times New Roman" w:eastAsia="MS Mincho" w:hAnsi="Times New Roman"/>
      <w:sz w:val="24"/>
      <w:szCs w:val="24"/>
      <w:lang w:val="en-US" w:eastAsia="ja-JP"/>
    </w:rPr>
  </w:style>
  <w:style w:type="character" w:customStyle="1" w:styleId="Char">
    <w:name w:val="页脚 Char"/>
    <w:basedOn w:val="a0"/>
    <w:link w:val="a5"/>
    <w:uiPriority w:val="99"/>
    <w:locked/>
    <w:rsid w:val="007161AA"/>
    <w:rPr>
      <w:rFonts w:ascii="Times New Roman" w:eastAsia="MS Mincho" w:hAnsi="Times New Roman" w:cs="Times New Roman"/>
      <w:sz w:val="24"/>
      <w:szCs w:val="24"/>
      <w:lang w:val="en-US" w:eastAsia="ja-JP"/>
    </w:rPr>
  </w:style>
  <w:style w:type="paragraph" w:styleId="a6">
    <w:name w:val="Body Text"/>
    <w:basedOn w:val="a"/>
    <w:link w:val="Char0"/>
    <w:uiPriority w:val="99"/>
    <w:rsid w:val="007161AA"/>
    <w:pPr>
      <w:suppressAutoHyphens/>
      <w:autoSpaceDN w:val="0"/>
      <w:spacing w:after="120" w:line="240" w:lineRule="auto"/>
    </w:pPr>
    <w:rPr>
      <w:rFonts w:ascii="Times New Roman" w:eastAsia="MS Mincho" w:hAnsi="Times New Roman"/>
      <w:sz w:val="24"/>
      <w:szCs w:val="20"/>
      <w:lang w:val="en-US" w:eastAsia="nl-NL"/>
    </w:rPr>
  </w:style>
  <w:style w:type="character" w:customStyle="1" w:styleId="Char0">
    <w:name w:val="正文文本 Char"/>
    <w:basedOn w:val="a0"/>
    <w:link w:val="a6"/>
    <w:uiPriority w:val="99"/>
    <w:locked/>
    <w:rsid w:val="007161AA"/>
    <w:rPr>
      <w:rFonts w:ascii="Times New Roman" w:eastAsia="MS Mincho" w:hAnsi="Times New Roman" w:cs="Times New Roman"/>
      <w:sz w:val="20"/>
      <w:szCs w:val="20"/>
      <w:lang w:val="en-US" w:eastAsia="nl-NL"/>
    </w:rPr>
  </w:style>
  <w:style w:type="paragraph" w:styleId="a7">
    <w:name w:val="Balloon Text"/>
    <w:basedOn w:val="a"/>
    <w:link w:val="Char1"/>
    <w:uiPriority w:val="99"/>
    <w:semiHidden/>
    <w:rsid w:val="007161AA"/>
    <w:pPr>
      <w:suppressAutoHyphens/>
      <w:autoSpaceDN w:val="0"/>
      <w:spacing w:after="0" w:line="240" w:lineRule="auto"/>
    </w:pPr>
    <w:rPr>
      <w:rFonts w:ascii="Tahoma" w:eastAsia="MS Mincho" w:hAnsi="Tahoma" w:cs="Tahoma"/>
      <w:sz w:val="16"/>
      <w:szCs w:val="16"/>
      <w:lang w:val="en-US" w:eastAsia="ja-JP"/>
    </w:rPr>
  </w:style>
  <w:style w:type="character" w:customStyle="1" w:styleId="Char1">
    <w:name w:val="批注框文本 Char"/>
    <w:basedOn w:val="a0"/>
    <w:link w:val="a7"/>
    <w:uiPriority w:val="99"/>
    <w:semiHidden/>
    <w:locked/>
    <w:rsid w:val="007161AA"/>
    <w:rPr>
      <w:rFonts w:ascii="Tahoma" w:eastAsia="MS Mincho" w:hAnsi="Tahoma" w:cs="Tahoma"/>
      <w:sz w:val="16"/>
      <w:szCs w:val="16"/>
      <w:lang w:val="en-US" w:eastAsia="ja-JP"/>
    </w:rPr>
  </w:style>
  <w:style w:type="paragraph" w:customStyle="1" w:styleId="tabeltitel">
    <w:name w:val="tabeltitel"/>
    <w:basedOn w:val="a"/>
    <w:uiPriority w:val="99"/>
    <w:rsid w:val="007161AA"/>
    <w:pPr>
      <w:pBdr>
        <w:top w:val="single" w:sz="6" w:space="0" w:color="FFFFFF"/>
        <w:left w:val="single" w:sz="6" w:space="0" w:color="FFFFFF"/>
        <w:bottom w:val="single" w:sz="6" w:space="0" w:color="FFFFFF"/>
        <w:right w:val="single" w:sz="6" w:space="0" w:color="FFFFFF"/>
      </w:pBdr>
      <w:tabs>
        <w:tab w:val="left" w:pos="0"/>
        <w:tab w:val="left" w:pos="2700"/>
      </w:tabs>
      <w:suppressAutoHyphens/>
      <w:autoSpaceDN w:val="0"/>
      <w:spacing w:after="0" w:line="280" w:lineRule="exact"/>
    </w:pPr>
    <w:rPr>
      <w:rFonts w:ascii="Times New Roman" w:hAnsi="Times New Roman"/>
      <w:sz w:val="24"/>
      <w:szCs w:val="24"/>
      <w:lang w:val="en-GB" w:eastAsia="nl-NL"/>
    </w:rPr>
  </w:style>
  <w:style w:type="paragraph" w:customStyle="1" w:styleId="tabelvoetnoot">
    <w:name w:val="tabelvoetnoot"/>
    <w:basedOn w:val="a"/>
    <w:uiPriority w:val="99"/>
    <w:rsid w:val="007161AA"/>
    <w:pPr>
      <w:suppressAutoHyphens/>
      <w:autoSpaceDN w:val="0"/>
      <w:spacing w:after="0" w:line="240" w:lineRule="auto"/>
    </w:pPr>
    <w:rPr>
      <w:rFonts w:ascii="Times New Roman" w:hAnsi="Times New Roman"/>
      <w:bCs/>
      <w:sz w:val="20"/>
      <w:szCs w:val="20"/>
      <w:lang w:val="en-GB" w:eastAsia="nl-NL"/>
    </w:rPr>
  </w:style>
  <w:style w:type="paragraph" w:customStyle="1" w:styleId="NummertjeChar">
    <w:name w:val="Nummertje Char"/>
    <w:basedOn w:val="a"/>
    <w:uiPriority w:val="99"/>
    <w:rsid w:val="007161AA"/>
    <w:pPr>
      <w:numPr>
        <w:numId w:val="1"/>
      </w:numPr>
      <w:tabs>
        <w:tab w:val="left" w:pos="358"/>
      </w:tabs>
      <w:suppressAutoHyphens/>
      <w:autoSpaceDN w:val="0"/>
      <w:spacing w:after="0" w:line="240" w:lineRule="auto"/>
    </w:pPr>
    <w:rPr>
      <w:rFonts w:ascii="Times New Roman" w:eastAsia="MS Mincho" w:hAnsi="Times New Roman"/>
      <w:sz w:val="24"/>
      <w:szCs w:val="24"/>
      <w:lang w:eastAsia="nl-NL"/>
    </w:rPr>
  </w:style>
  <w:style w:type="paragraph" w:customStyle="1" w:styleId="1">
    <w:name w:val="1"/>
    <w:uiPriority w:val="99"/>
    <w:rsid w:val="007161AA"/>
    <w:pPr>
      <w:widowControl w:val="0"/>
      <w:suppressAutoHyphens/>
      <w:autoSpaceDE w:val="0"/>
      <w:autoSpaceDN w:val="0"/>
    </w:pPr>
    <w:rPr>
      <w:rFonts w:ascii="Times New Roman Standard" w:eastAsia="MS Mincho" w:hAnsi="Times New Roman Standard" w:cs="Times New Roman Standard"/>
      <w:kern w:val="0"/>
      <w:sz w:val="24"/>
      <w:szCs w:val="24"/>
      <w:lang w:val="nl-NL" w:eastAsia="nl-NL"/>
    </w:rPr>
  </w:style>
  <w:style w:type="paragraph" w:customStyle="1" w:styleId="Nummertje">
    <w:name w:val="Nummertje"/>
    <w:basedOn w:val="a"/>
    <w:uiPriority w:val="99"/>
    <w:rsid w:val="007161AA"/>
    <w:pPr>
      <w:tabs>
        <w:tab w:val="left" w:pos="358"/>
      </w:tabs>
      <w:suppressAutoHyphens/>
      <w:autoSpaceDN w:val="0"/>
      <w:spacing w:after="0" w:line="240" w:lineRule="auto"/>
      <w:ind w:left="284" w:hanging="284"/>
    </w:pPr>
    <w:rPr>
      <w:rFonts w:ascii="Times New Roman" w:eastAsia="MS Mincho" w:hAnsi="Times New Roman"/>
      <w:sz w:val="24"/>
      <w:szCs w:val="24"/>
      <w:lang w:eastAsia="nl-NL"/>
    </w:rPr>
  </w:style>
  <w:style w:type="character" w:customStyle="1" w:styleId="NummertjeCharChar">
    <w:name w:val="Nummertje Char Char"/>
    <w:uiPriority w:val="99"/>
    <w:rsid w:val="007161AA"/>
    <w:rPr>
      <w:rFonts w:ascii="MS Mincho" w:eastAsia="MS Mincho" w:hAnsi="MS Mincho"/>
      <w:sz w:val="24"/>
      <w:lang w:val="nl-NL" w:eastAsia="nl-NL"/>
    </w:rPr>
  </w:style>
  <w:style w:type="character" w:customStyle="1" w:styleId="textstylestyle1">
    <w:name w:val="textstyle style1"/>
    <w:basedOn w:val="a0"/>
    <w:uiPriority w:val="99"/>
    <w:rsid w:val="007161AA"/>
    <w:rPr>
      <w:rFonts w:cs="Times New Roman"/>
    </w:rPr>
  </w:style>
  <w:style w:type="paragraph" w:styleId="a8">
    <w:name w:val="header"/>
    <w:basedOn w:val="a"/>
    <w:link w:val="Char2"/>
    <w:uiPriority w:val="99"/>
    <w:rsid w:val="002C6ABD"/>
    <w:pPr>
      <w:tabs>
        <w:tab w:val="center" w:pos="4536"/>
        <w:tab w:val="right" w:pos="9072"/>
      </w:tabs>
      <w:spacing w:after="0" w:line="240" w:lineRule="auto"/>
    </w:pPr>
  </w:style>
  <w:style w:type="character" w:customStyle="1" w:styleId="Char2">
    <w:name w:val="页眉 Char"/>
    <w:basedOn w:val="a0"/>
    <w:link w:val="a8"/>
    <w:uiPriority w:val="99"/>
    <w:locked/>
    <w:rsid w:val="002C6ABD"/>
    <w:rPr>
      <w:rFonts w:cs="Times New Roman"/>
    </w:rPr>
  </w:style>
  <w:style w:type="character" w:styleId="a9">
    <w:name w:val="annotation reference"/>
    <w:basedOn w:val="a0"/>
    <w:uiPriority w:val="99"/>
    <w:rsid w:val="004D64CC"/>
    <w:rPr>
      <w:rFonts w:cs="Times New Roman"/>
      <w:sz w:val="21"/>
      <w:szCs w:val="21"/>
    </w:rPr>
  </w:style>
  <w:style w:type="paragraph" w:styleId="aa">
    <w:name w:val="annotation text"/>
    <w:basedOn w:val="a"/>
    <w:link w:val="Char3"/>
    <w:uiPriority w:val="99"/>
    <w:rsid w:val="004D64CC"/>
    <w:pPr>
      <w:spacing w:after="0" w:line="240" w:lineRule="auto"/>
    </w:pPr>
    <w:rPr>
      <w:rFonts w:ascii="Times New Roman" w:hAnsi="Times New Roman"/>
      <w:sz w:val="24"/>
      <w:szCs w:val="24"/>
      <w:lang w:val="en-US"/>
    </w:rPr>
  </w:style>
  <w:style w:type="character" w:customStyle="1" w:styleId="Char3">
    <w:name w:val="批注文字 Char"/>
    <w:basedOn w:val="a0"/>
    <w:link w:val="aa"/>
    <w:uiPriority w:val="99"/>
    <w:locked/>
    <w:rsid w:val="004D64CC"/>
    <w:rPr>
      <w:rFonts w:ascii="Times New Roman" w:eastAsia="宋体" w:hAnsi="Times New Roman" w:cs="Times New Roman"/>
      <w:sz w:val="24"/>
      <w:szCs w:val="24"/>
      <w:lang w:val="en-US"/>
    </w:rPr>
  </w:style>
  <w:style w:type="paragraph" w:styleId="ab">
    <w:name w:val="annotation subject"/>
    <w:basedOn w:val="aa"/>
    <w:next w:val="aa"/>
    <w:link w:val="Char4"/>
    <w:uiPriority w:val="99"/>
    <w:semiHidden/>
    <w:rsid w:val="004F3BDE"/>
    <w:pPr>
      <w:spacing w:after="200" w:line="276" w:lineRule="auto"/>
    </w:pPr>
    <w:rPr>
      <w:rFonts w:ascii="Calibri" w:hAnsi="Calibri"/>
      <w:b/>
      <w:bCs/>
      <w:sz w:val="22"/>
      <w:szCs w:val="22"/>
      <w:lang w:val="nl-NL"/>
    </w:rPr>
  </w:style>
  <w:style w:type="character" w:customStyle="1" w:styleId="Char4">
    <w:name w:val="批注主题 Char"/>
    <w:basedOn w:val="Char3"/>
    <w:link w:val="ab"/>
    <w:uiPriority w:val="99"/>
    <w:semiHidden/>
    <w:locked/>
    <w:rsid w:val="004F3BDE"/>
    <w:rPr>
      <w:rFonts w:ascii="Times New Roman" w:eastAsia="宋体" w:hAnsi="Times New Roman" w:cs="Times New Roman"/>
      <w:b/>
      <w:bCs/>
      <w:sz w:val="24"/>
      <w:szCs w:val="24"/>
      <w:lang w:val="en-US"/>
    </w:rPr>
  </w:style>
  <w:style w:type="character" w:styleId="ac">
    <w:name w:val="Strong"/>
    <w:basedOn w:val="a0"/>
    <w:uiPriority w:val="99"/>
    <w:qFormat/>
    <w:rsid w:val="00AD6FBB"/>
    <w:rPr>
      <w:rFonts w:cs="Times New Roman"/>
      <w:b/>
    </w:rPr>
  </w:style>
  <w:style w:type="numbering" w:customStyle="1" w:styleId="LFO1">
    <w:name w:val="LFO1"/>
    <w:rsid w:val="000919C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00363">
      <w:marLeft w:val="0"/>
      <w:marRight w:val="0"/>
      <w:marTop w:val="0"/>
      <w:marBottom w:val="0"/>
      <w:divBdr>
        <w:top w:val="none" w:sz="0" w:space="0" w:color="auto"/>
        <w:left w:val="none" w:sz="0" w:space="0" w:color="auto"/>
        <w:bottom w:val="none" w:sz="0" w:space="0" w:color="auto"/>
        <w:right w:val="none" w:sz="0" w:space="0" w:color="auto"/>
      </w:divBdr>
    </w:div>
    <w:div w:id="1645500364">
      <w:marLeft w:val="0"/>
      <w:marRight w:val="0"/>
      <w:marTop w:val="0"/>
      <w:marBottom w:val="0"/>
      <w:divBdr>
        <w:top w:val="none" w:sz="0" w:space="0" w:color="auto"/>
        <w:left w:val="none" w:sz="0" w:space="0" w:color="auto"/>
        <w:bottom w:val="none" w:sz="0" w:space="0" w:color="auto"/>
        <w:right w:val="none" w:sz="0" w:space="0" w:color="auto"/>
      </w:divBdr>
    </w:div>
    <w:div w:id="1645500365">
      <w:marLeft w:val="0"/>
      <w:marRight w:val="0"/>
      <w:marTop w:val="0"/>
      <w:marBottom w:val="0"/>
      <w:divBdr>
        <w:top w:val="none" w:sz="0" w:space="0" w:color="auto"/>
        <w:left w:val="none" w:sz="0" w:space="0" w:color="auto"/>
        <w:bottom w:val="none" w:sz="0" w:space="0" w:color="auto"/>
        <w:right w:val="none" w:sz="0" w:space="0" w:color="auto"/>
      </w:divBdr>
    </w:div>
    <w:div w:id="1645500366">
      <w:marLeft w:val="0"/>
      <w:marRight w:val="0"/>
      <w:marTop w:val="0"/>
      <w:marBottom w:val="0"/>
      <w:divBdr>
        <w:top w:val="none" w:sz="0" w:space="0" w:color="auto"/>
        <w:left w:val="none" w:sz="0" w:space="0" w:color="auto"/>
        <w:bottom w:val="none" w:sz="0" w:space="0" w:color="auto"/>
        <w:right w:val="none" w:sz="0" w:space="0" w:color="auto"/>
      </w:divBdr>
    </w:div>
    <w:div w:id="1645500367">
      <w:marLeft w:val="0"/>
      <w:marRight w:val="0"/>
      <w:marTop w:val="0"/>
      <w:marBottom w:val="0"/>
      <w:divBdr>
        <w:top w:val="none" w:sz="0" w:space="0" w:color="auto"/>
        <w:left w:val="none" w:sz="0" w:space="0" w:color="auto"/>
        <w:bottom w:val="none" w:sz="0" w:space="0" w:color="auto"/>
        <w:right w:val="none" w:sz="0" w:space="0" w:color="auto"/>
      </w:divBdr>
    </w:div>
    <w:div w:id="1645500368">
      <w:marLeft w:val="0"/>
      <w:marRight w:val="0"/>
      <w:marTop w:val="0"/>
      <w:marBottom w:val="0"/>
      <w:divBdr>
        <w:top w:val="none" w:sz="0" w:space="0" w:color="auto"/>
        <w:left w:val="none" w:sz="0" w:space="0" w:color="auto"/>
        <w:bottom w:val="none" w:sz="0" w:space="0" w:color="auto"/>
        <w:right w:val="none" w:sz="0" w:space="0" w:color="auto"/>
      </w:divBdr>
    </w:div>
    <w:div w:id="1645500369">
      <w:marLeft w:val="0"/>
      <w:marRight w:val="0"/>
      <w:marTop w:val="0"/>
      <w:marBottom w:val="0"/>
      <w:divBdr>
        <w:top w:val="none" w:sz="0" w:space="0" w:color="auto"/>
        <w:left w:val="none" w:sz="0" w:space="0" w:color="auto"/>
        <w:bottom w:val="none" w:sz="0" w:space="0" w:color="auto"/>
        <w:right w:val="none" w:sz="0" w:space="0" w:color="auto"/>
      </w:divBdr>
    </w:div>
    <w:div w:id="1645500370">
      <w:marLeft w:val="0"/>
      <w:marRight w:val="0"/>
      <w:marTop w:val="0"/>
      <w:marBottom w:val="0"/>
      <w:divBdr>
        <w:top w:val="none" w:sz="0" w:space="0" w:color="auto"/>
        <w:left w:val="none" w:sz="0" w:space="0" w:color="auto"/>
        <w:bottom w:val="none" w:sz="0" w:space="0" w:color="auto"/>
        <w:right w:val="none" w:sz="0" w:space="0" w:color="auto"/>
      </w:divBdr>
    </w:div>
    <w:div w:id="1645500371">
      <w:marLeft w:val="0"/>
      <w:marRight w:val="0"/>
      <w:marTop w:val="0"/>
      <w:marBottom w:val="0"/>
      <w:divBdr>
        <w:top w:val="none" w:sz="0" w:space="0" w:color="auto"/>
        <w:left w:val="none" w:sz="0" w:space="0" w:color="auto"/>
        <w:bottom w:val="none" w:sz="0" w:space="0" w:color="auto"/>
        <w:right w:val="none" w:sz="0" w:space="0" w:color="auto"/>
      </w:divBdr>
    </w:div>
    <w:div w:id="1645500372">
      <w:marLeft w:val="0"/>
      <w:marRight w:val="0"/>
      <w:marTop w:val="0"/>
      <w:marBottom w:val="0"/>
      <w:divBdr>
        <w:top w:val="none" w:sz="0" w:space="0" w:color="auto"/>
        <w:left w:val="none" w:sz="0" w:space="0" w:color="auto"/>
        <w:bottom w:val="none" w:sz="0" w:space="0" w:color="auto"/>
        <w:right w:val="none" w:sz="0" w:space="0" w:color="auto"/>
      </w:divBdr>
    </w:div>
    <w:div w:id="1645500373">
      <w:marLeft w:val="0"/>
      <w:marRight w:val="0"/>
      <w:marTop w:val="0"/>
      <w:marBottom w:val="0"/>
      <w:divBdr>
        <w:top w:val="none" w:sz="0" w:space="0" w:color="auto"/>
        <w:left w:val="none" w:sz="0" w:space="0" w:color="auto"/>
        <w:bottom w:val="none" w:sz="0" w:space="0" w:color="auto"/>
        <w:right w:val="none" w:sz="0" w:space="0" w:color="auto"/>
      </w:divBdr>
    </w:div>
    <w:div w:id="1645500374">
      <w:marLeft w:val="0"/>
      <w:marRight w:val="0"/>
      <w:marTop w:val="0"/>
      <w:marBottom w:val="0"/>
      <w:divBdr>
        <w:top w:val="none" w:sz="0" w:space="0" w:color="auto"/>
        <w:left w:val="none" w:sz="0" w:space="0" w:color="auto"/>
        <w:bottom w:val="none" w:sz="0" w:space="0" w:color="auto"/>
        <w:right w:val="none" w:sz="0" w:space="0" w:color="auto"/>
      </w:divBdr>
    </w:div>
    <w:div w:id="1645500375">
      <w:marLeft w:val="0"/>
      <w:marRight w:val="0"/>
      <w:marTop w:val="0"/>
      <w:marBottom w:val="0"/>
      <w:divBdr>
        <w:top w:val="none" w:sz="0" w:space="0" w:color="auto"/>
        <w:left w:val="none" w:sz="0" w:space="0" w:color="auto"/>
        <w:bottom w:val="none" w:sz="0" w:space="0" w:color="auto"/>
        <w:right w:val="none" w:sz="0" w:space="0" w:color="auto"/>
      </w:divBdr>
    </w:div>
    <w:div w:id="1645500376">
      <w:marLeft w:val="0"/>
      <w:marRight w:val="0"/>
      <w:marTop w:val="0"/>
      <w:marBottom w:val="0"/>
      <w:divBdr>
        <w:top w:val="none" w:sz="0" w:space="0" w:color="auto"/>
        <w:left w:val="none" w:sz="0" w:space="0" w:color="auto"/>
        <w:bottom w:val="none" w:sz="0" w:space="0" w:color="auto"/>
        <w:right w:val="none" w:sz="0" w:space="0" w:color="auto"/>
      </w:divBdr>
    </w:div>
    <w:div w:id="1645500377">
      <w:marLeft w:val="0"/>
      <w:marRight w:val="0"/>
      <w:marTop w:val="0"/>
      <w:marBottom w:val="0"/>
      <w:divBdr>
        <w:top w:val="none" w:sz="0" w:space="0" w:color="auto"/>
        <w:left w:val="none" w:sz="0" w:space="0" w:color="auto"/>
        <w:bottom w:val="none" w:sz="0" w:space="0" w:color="auto"/>
        <w:right w:val="none" w:sz="0" w:space="0" w:color="auto"/>
      </w:divBdr>
    </w:div>
    <w:div w:id="16455003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odheartcenter@upcmail.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pn-stichting.nl/doctors_brochure_2004.pdf" TargetMode="External"/><Relationship Id="rId5" Type="http://schemas.openxmlformats.org/officeDocument/2006/relationships/webSettings" Target="webSettings.xml"/><Relationship Id="rId10" Type="http://schemas.openxmlformats.org/officeDocument/2006/relationships/hyperlink" Target="http://www.mpn-stichting.nl/doctors_brochure_2004.pdf" TargetMode="External"/><Relationship Id="rId4" Type="http://schemas.openxmlformats.org/officeDocument/2006/relationships/settings" Target="settings.xml"/><Relationship Id="rId9" Type="http://schemas.openxmlformats.org/officeDocument/2006/relationships/hyperlink" Target="http://www.mpn-stichting.nl/doctors_brochure_200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12618</Words>
  <Characters>71925</Characters>
  <Application>Microsoft Office Word</Application>
  <DocSecurity>0</DocSecurity>
  <Lines>599</Lines>
  <Paragraphs>168</Paragraphs>
  <ScaleCrop>false</ScaleCrop>
  <Company>Microsoft</Company>
  <LinksUpToDate>false</LinksUpToDate>
  <CharactersWithSpaces>84375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Michiels</dc:creator>
  <cp:lastModifiedBy>LS Ma</cp:lastModifiedBy>
  <cp:revision>2</cp:revision>
  <cp:lastPrinted>2013-06-14T10:22:00Z</cp:lastPrinted>
  <dcterms:created xsi:type="dcterms:W3CDTF">2013-06-17T16:30:00Z</dcterms:created>
  <dcterms:modified xsi:type="dcterms:W3CDTF">2013-06-17T16:30:00Z</dcterms:modified>
</cp:coreProperties>
</file>