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7AED" w:rsidRPr="00BA60F0" w:rsidRDefault="00157AED" w:rsidP="00746849">
      <w:pPr>
        <w:adjustRightInd w:val="0"/>
        <w:snapToGrid w:val="0"/>
        <w:spacing w:after="0" w:line="360" w:lineRule="auto"/>
        <w:jc w:val="both"/>
        <w:rPr>
          <w:rFonts w:ascii="Book Antiqua" w:hAnsi="Book Antiqua" w:cs="Arial"/>
          <w:b/>
          <w:color w:val="222222"/>
          <w:sz w:val="24"/>
          <w:szCs w:val="24"/>
          <w:shd w:val="clear" w:color="auto" w:fill="FFFFFF"/>
          <w:lang w:val="en-US"/>
        </w:rPr>
      </w:pPr>
      <w:r w:rsidRPr="00BA60F0">
        <w:rPr>
          <w:rFonts w:ascii="Book Antiqua" w:hAnsi="Book Antiqua" w:cs="Arial"/>
          <w:b/>
          <w:color w:val="222222"/>
          <w:sz w:val="24"/>
          <w:szCs w:val="24"/>
          <w:shd w:val="clear" w:color="auto" w:fill="FFFFFF"/>
          <w:lang w:val="en-US"/>
        </w:rPr>
        <w:t>Name of Journal: World Journal of Gastroenterology</w:t>
      </w:r>
    </w:p>
    <w:p w:rsidR="00157AED" w:rsidRPr="00BA60F0" w:rsidRDefault="00157AED" w:rsidP="00746849">
      <w:pPr>
        <w:adjustRightInd w:val="0"/>
        <w:snapToGrid w:val="0"/>
        <w:spacing w:after="0" w:line="360" w:lineRule="auto"/>
        <w:jc w:val="both"/>
        <w:rPr>
          <w:rFonts w:ascii="Book Antiqua" w:hAnsi="Book Antiqua" w:cs="Arial"/>
          <w:b/>
          <w:color w:val="222222"/>
          <w:sz w:val="24"/>
          <w:szCs w:val="24"/>
          <w:shd w:val="clear" w:color="auto" w:fill="FFFFFF"/>
          <w:lang w:val="en-US"/>
        </w:rPr>
      </w:pPr>
      <w:r w:rsidRPr="00BA60F0">
        <w:rPr>
          <w:rFonts w:ascii="Book Antiqua" w:hAnsi="Book Antiqua" w:cs="Arial"/>
          <w:b/>
          <w:color w:val="222222"/>
          <w:sz w:val="24"/>
          <w:szCs w:val="24"/>
          <w:shd w:val="clear" w:color="auto" w:fill="FFFFFF"/>
          <w:lang w:val="en-US"/>
        </w:rPr>
        <w:t xml:space="preserve">ESPS Manuscript NO: </w:t>
      </w:r>
      <w:r w:rsidRPr="00BA60F0">
        <w:rPr>
          <w:rFonts w:ascii="Book Antiqua" w:hAnsi="Book Antiqua" w:cs="Arial"/>
          <w:b/>
          <w:sz w:val="24"/>
          <w:szCs w:val="24"/>
          <w:lang w:val="en-US"/>
        </w:rPr>
        <w:t>18858</w:t>
      </w:r>
    </w:p>
    <w:p w:rsidR="00157AED" w:rsidRDefault="00157AED" w:rsidP="00746849">
      <w:pPr>
        <w:adjustRightInd w:val="0"/>
        <w:snapToGrid w:val="0"/>
        <w:spacing w:after="0" w:line="360" w:lineRule="auto"/>
        <w:jc w:val="both"/>
        <w:rPr>
          <w:rFonts w:ascii="Book Antiqua" w:hAnsi="Book Antiqua" w:cs="Arial"/>
          <w:b/>
          <w:color w:val="222222"/>
          <w:sz w:val="24"/>
          <w:szCs w:val="24"/>
          <w:shd w:val="clear" w:color="auto" w:fill="FFFFFF"/>
          <w:lang w:val="en-US" w:eastAsia="zh-CN"/>
        </w:rPr>
      </w:pPr>
      <w:r w:rsidRPr="00BA60F0">
        <w:rPr>
          <w:rFonts w:ascii="Book Antiqua" w:hAnsi="Book Antiqua" w:cs="Arial"/>
          <w:b/>
          <w:color w:val="222222"/>
          <w:sz w:val="24"/>
          <w:szCs w:val="24"/>
          <w:shd w:val="clear" w:color="auto" w:fill="FFFFFF"/>
          <w:lang w:val="en-US"/>
        </w:rPr>
        <w:t>Manuscript Type:</w:t>
      </w:r>
      <w:r w:rsidRPr="00BA60F0">
        <w:rPr>
          <w:rFonts w:ascii="Book Antiqua" w:hAnsi="Book Antiqua" w:cs="Arial"/>
          <w:b/>
          <w:color w:val="222222"/>
          <w:sz w:val="24"/>
          <w:szCs w:val="24"/>
          <w:shd w:val="clear" w:color="auto" w:fill="FFFFFF"/>
          <w:lang w:val="en-US" w:eastAsia="zh-CN"/>
        </w:rPr>
        <w:t xml:space="preserve"> TOPIC HIGHLIG</w:t>
      </w:r>
      <w:r w:rsidR="00F97C23" w:rsidRPr="00BA60F0">
        <w:rPr>
          <w:rFonts w:ascii="Book Antiqua" w:hAnsi="Book Antiqua" w:cs="Arial"/>
          <w:b/>
          <w:color w:val="222222"/>
          <w:sz w:val="24"/>
          <w:szCs w:val="24"/>
          <w:shd w:val="clear" w:color="auto" w:fill="FFFFFF"/>
          <w:lang w:val="en-US" w:eastAsia="zh-CN"/>
        </w:rPr>
        <w:t>H</w:t>
      </w:r>
      <w:r w:rsidR="00166CF4" w:rsidRPr="00BA60F0">
        <w:rPr>
          <w:rFonts w:ascii="Book Antiqua" w:hAnsi="Book Antiqua" w:cs="Arial"/>
          <w:b/>
          <w:color w:val="222222"/>
          <w:sz w:val="24"/>
          <w:szCs w:val="24"/>
          <w:shd w:val="clear" w:color="auto" w:fill="FFFFFF"/>
          <w:lang w:val="en-US" w:eastAsia="zh-CN"/>
        </w:rPr>
        <w:t>T</w:t>
      </w:r>
      <w:r w:rsidR="00BA60F0">
        <w:rPr>
          <w:rFonts w:ascii="Book Antiqua" w:hAnsi="Book Antiqua" w:cs="Arial" w:hint="eastAsia"/>
          <w:b/>
          <w:color w:val="222222"/>
          <w:sz w:val="24"/>
          <w:szCs w:val="24"/>
          <w:shd w:val="clear" w:color="auto" w:fill="FFFFFF"/>
          <w:lang w:val="en-US" w:eastAsia="zh-CN"/>
        </w:rPr>
        <w:t>S</w:t>
      </w:r>
    </w:p>
    <w:p w:rsidR="0044152C" w:rsidRDefault="0044152C" w:rsidP="00746849">
      <w:pPr>
        <w:adjustRightInd w:val="0"/>
        <w:snapToGrid w:val="0"/>
        <w:spacing w:after="0" w:line="360" w:lineRule="auto"/>
        <w:jc w:val="both"/>
        <w:rPr>
          <w:rFonts w:ascii="Book Antiqua" w:hAnsi="Book Antiqua" w:cs="Arial"/>
          <w:b/>
          <w:color w:val="222222"/>
          <w:sz w:val="24"/>
          <w:szCs w:val="24"/>
          <w:shd w:val="clear" w:color="auto" w:fill="FFFFFF"/>
          <w:lang w:val="en-US" w:eastAsia="zh-CN"/>
        </w:rPr>
      </w:pPr>
    </w:p>
    <w:p w:rsidR="00157AED" w:rsidRDefault="0044152C" w:rsidP="00746849">
      <w:pPr>
        <w:adjustRightInd w:val="0"/>
        <w:snapToGrid w:val="0"/>
        <w:spacing w:after="0" w:line="360" w:lineRule="auto"/>
        <w:jc w:val="both"/>
        <w:rPr>
          <w:rFonts w:ascii="Book Antiqua" w:hAnsi="Book Antiqua" w:cs="Arial"/>
          <w:b/>
          <w:sz w:val="24"/>
          <w:szCs w:val="24"/>
          <w:lang w:val="en-US" w:eastAsia="zh-CN"/>
        </w:rPr>
      </w:pPr>
      <w:r w:rsidRPr="0044152C">
        <w:rPr>
          <w:rFonts w:ascii="Book Antiqua" w:hAnsi="Book Antiqua" w:cs="Arial"/>
          <w:b/>
          <w:sz w:val="24"/>
          <w:szCs w:val="24"/>
          <w:lang w:val="en-US" w:eastAsia="zh-CN"/>
        </w:rPr>
        <w:t>2015 Advances in Gastric Cancer</w:t>
      </w:r>
      <w:r w:rsidR="00914E49">
        <w:rPr>
          <w:rFonts w:ascii="Book Antiqua" w:hAnsi="Book Antiqua" w:cs="Arial" w:hint="eastAsia"/>
          <w:b/>
          <w:sz w:val="24"/>
          <w:szCs w:val="24"/>
          <w:lang w:val="en-US" w:eastAsia="zh-CN"/>
        </w:rPr>
        <w:t xml:space="preserve"> </w:t>
      </w:r>
    </w:p>
    <w:p w:rsidR="0044152C" w:rsidRPr="00BA60F0" w:rsidRDefault="0044152C" w:rsidP="00746849">
      <w:pPr>
        <w:adjustRightInd w:val="0"/>
        <w:snapToGrid w:val="0"/>
        <w:spacing w:after="0" w:line="360" w:lineRule="auto"/>
        <w:jc w:val="both"/>
        <w:rPr>
          <w:rFonts w:ascii="Book Antiqua" w:hAnsi="Book Antiqua" w:cs="Arial"/>
          <w:b/>
          <w:sz w:val="24"/>
          <w:szCs w:val="24"/>
          <w:lang w:val="en-US" w:eastAsia="zh-CN"/>
        </w:rPr>
      </w:pPr>
    </w:p>
    <w:p w:rsidR="00F40D68" w:rsidRPr="00BA60F0" w:rsidRDefault="00BA60F0" w:rsidP="00746849">
      <w:pPr>
        <w:adjustRightInd w:val="0"/>
        <w:snapToGrid w:val="0"/>
        <w:spacing w:after="0" w:line="360" w:lineRule="auto"/>
        <w:jc w:val="both"/>
        <w:rPr>
          <w:rFonts w:ascii="Book Antiqua" w:hAnsi="Book Antiqua" w:cs="Tahoma"/>
          <w:b/>
          <w:color w:val="231F20"/>
          <w:sz w:val="24"/>
          <w:szCs w:val="24"/>
          <w:lang w:val="en-US"/>
        </w:rPr>
      </w:pPr>
      <w:r w:rsidRPr="00BA60F0">
        <w:rPr>
          <w:rFonts w:ascii="Book Antiqua" w:hAnsi="Book Antiqua" w:cs="Tahoma"/>
          <w:b/>
          <w:color w:val="231F20"/>
          <w:sz w:val="24"/>
          <w:szCs w:val="24"/>
          <w:lang w:val="en-US"/>
        </w:rPr>
        <w:t xml:space="preserve">Second-line treatment of metastatic gastric cancer: </w:t>
      </w:r>
      <w:r w:rsidRPr="0044152C">
        <w:rPr>
          <w:rFonts w:ascii="Book Antiqua" w:hAnsi="Book Antiqua" w:cs="Tahoma"/>
          <w:b/>
          <w:caps/>
          <w:color w:val="231F20"/>
          <w:sz w:val="24"/>
          <w:szCs w:val="24"/>
          <w:lang w:val="en-US"/>
        </w:rPr>
        <w:t>c</w:t>
      </w:r>
      <w:r w:rsidRPr="00BA60F0">
        <w:rPr>
          <w:rFonts w:ascii="Book Antiqua" w:hAnsi="Book Antiqua" w:cs="Tahoma"/>
          <w:b/>
          <w:color w:val="231F20"/>
          <w:sz w:val="24"/>
          <w:szCs w:val="24"/>
          <w:lang w:val="en-US"/>
        </w:rPr>
        <w:t>urrent options and future directions</w:t>
      </w:r>
    </w:p>
    <w:p w:rsidR="00E54EF2" w:rsidRPr="00BA60F0" w:rsidRDefault="00E54EF2" w:rsidP="00746849">
      <w:pPr>
        <w:adjustRightInd w:val="0"/>
        <w:snapToGrid w:val="0"/>
        <w:spacing w:after="0" w:line="360" w:lineRule="auto"/>
        <w:jc w:val="both"/>
        <w:rPr>
          <w:rFonts w:ascii="Book Antiqua" w:hAnsi="Book Antiqua" w:cs="Arial"/>
          <w:b/>
          <w:sz w:val="24"/>
          <w:szCs w:val="24"/>
          <w:lang w:val="en-US" w:eastAsia="zh-CN"/>
        </w:rPr>
      </w:pPr>
    </w:p>
    <w:p w:rsidR="00157AED" w:rsidRPr="00BA60F0" w:rsidRDefault="00166CF4" w:rsidP="00746849">
      <w:pPr>
        <w:adjustRightInd w:val="0"/>
        <w:snapToGrid w:val="0"/>
        <w:spacing w:after="0" w:line="360" w:lineRule="auto"/>
        <w:jc w:val="both"/>
        <w:rPr>
          <w:rFonts w:ascii="Book Antiqua" w:hAnsi="Book Antiqua" w:cs="Tahoma"/>
          <w:b/>
          <w:color w:val="231F20"/>
          <w:sz w:val="24"/>
          <w:szCs w:val="24"/>
          <w:lang w:val="en-US" w:eastAsia="zh-CN"/>
        </w:rPr>
      </w:pPr>
      <w:r w:rsidRPr="00BA60F0">
        <w:rPr>
          <w:rFonts w:ascii="Book Antiqua" w:hAnsi="Book Antiqua" w:cs="Tahoma"/>
          <w:color w:val="231F20"/>
          <w:sz w:val="24"/>
          <w:szCs w:val="24"/>
          <w:lang w:val="en-US"/>
        </w:rPr>
        <w:t xml:space="preserve">Kanagavel D </w:t>
      </w:r>
      <w:r w:rsidR="002A772E" w:rsidRPr="002A772E">
        <w:rPr>
          <w:rFonts w:ascii="Book Antiqua" w:hAnsi="Book Antiqua" w:cs="Tahoma"/>
          <w:i/>
          <w:color w:val="231F20"/>
          <w:sz w:val="24"/>
          <w:szCs w:val="24"/>
          <w:lang w:val="en-US"/>
        </w:rPr>
        <w:t>et al</w:t>
      </w:r>
      <w:r w:rsidR="002A772E">
        <w:rPr>
          <w:rFonts w:ascii="Book Antiqua" w:hAnsi="Book Antiqua" w:cs="Tahoma" w:hint="eastAsia"/>
          <w:i/>
          <w:color w:val="231F20"/>
          <w:sz w:val="24"/>
          <w:szCs w:val="24"/>
          <w:lang w:val="en-US" w:eastAsia="zh-CN"/>
        </w:rPr>
        <w:t>.</w:t>
      </w:r>
      <w:r w:rsidRPr="00BA60F0">
        <w:rPr>
          <w:rFonts w:ascii="Book Antiqua" w:hAnsi="Book Antiqua" w:cs="Tahoma"/>
          <w:color w:val="231F20"/>
          <w:sz w:val="24"/>
          <w:szCs w:val="24"/>
          <w:lang w:val="en-US"/>
        </w:rPr>
        <w:t xml:space="preserve"> </w:t>
      </w:r>
      <w:r w:rsidR="00B44F41" w:rsidRPr="00BA60F0">
        <w:rPr>
          <w:rFonts w:ascii="Book Antiqua" w:hAnsi="Book Antiqua" w:cs="Tahoma"/>
          <w:color w:val="231F20"/>
          <w:sz w:val="24"/>
          <w:szCs w:val="24"/>
          <w:lang w:val="en-US"/>
        </w:rPr>
        <w:t xml:space="preserve">Second-line treatment of </w:t>
      </w:r>
      <w:r w:rsidR="008F69E9" w:rsidRPr="00BA60F0">
        <w:rPr>
          <w:rFonts w:ascii="Book Antiqua" w:hAnsi="Book Antiqua" w:cs="Tahoma"/>
          <w:color w:val="231F20"/>
          <w:sz w:val="24"/>
          <w:szCs w:val="24"/>
          <w:lang w:val="en-US"/>
        </w:rPr>
        <w:t>metastatic</w:t>
      </w:r>
      <w:r w:rsidR="00B44F41" w:rsidRPr="00BA60F0">
        <w:rPr>
          <w:rFonts w:ascii="Book Antiqua" w:hAnsi="Book Antiqua" w:cs="Tahoma"/>
          <w:color w:val="231F20"/>
          <w:sz w:val="24"/>
          <w:szCs w:val="24"/>
          <w:lang w:val="en-US"/>
        </w:rPr>
        <w:t xml:space="preserve"> gastric cancer</w:t>
      </w:r>
    </w:p>
    <w:p w:rsidR="00157AED" w:rsidRPr="00BA60F0" w:rsidRDefault="00157AED" w:rsidP="00746849">
      <w:pPr>
        <w:adjustRightInd w:val="0"/>
        <w:snapToGrid w:val="0"/>
        <w:spacing w:after="0" w:line="360" w:lineRule="auto"/>
        <w:jc w:val="both"/>
        <w:rPr>
          <w:rFonts w:ascii="Book Antiqua" w:hAnsi="Book Antiqua" w:cs="Tahoma"/>
          <w:b/>
          <w:color w:val="231F20"/>
          <w:sz w:val="24"/>
          <w:szCs w:val="24"/>
          <w:lang w:val="en-US" w:eastAsia="zh-CN"/>
        </w:rPr>
      </w:pPr>
    </w:p>
    <w:p w:rsidR="00157AED" w:rsidRPr="0044152C" w:rsidRDefault="00354413" w:rsidP="00746849">
      <w:pPr>
        <w:adjustRightInd w:val="0"/>
        <w:snapToGrid w:val="0"/>
        <w:spacing w:after="0" w:line="360" w:lineRule="auto"/>
        <w:jc w:val="both"/>
        <w:rPr>
          <w:rFonts w:ascii="Book Antiqua" w:hAnsi="Book Antiqua" w:cs="Tahoma"/>
          <w:color w:val="231F20"/>
          <w:sz w:val="24"/>
          <w:szCs w:val="24"/>
          <w:lang w:val="en-US"/>
        </w:rPr>
      </w:pPr>
      <w:r w:rsidRPr="0044152C">
        <w:rPr>
          <w:rFonts w:ascii="Book Antiqua" w:hAnsi="Book Antiqua" w:cs="Tahoma"/>
          <w:color w:val="231F20"/>
          <w:sz w:val="24"/>
          <w:szCs w:val="24"/>
          <w:lang w:val="en-US"/>
        </w:rPr>
        <w:t>Dheepak Kanagavel, Mikhail Fedyanin, Alexey Tryakin, Sergei Tjulandin</w:t>
      </w:r>
    </w:p>
    <w:p w:rsidR="00166CF4" w:rsidRPr="00BA60F0" w:rsidRDefault="00166CF4" w:rsidP="00746849">
      <w:pPr>
        <w:adjustRightInd w:val="0"/>
        <w:snapToGrid w:val="0"/>
        <w:spacing w:after="0" w:line="360" w:lineRule="auto"/>
        <w:jc w:val="both"/>
        <w:rPr>
          <w:rFonts w:ascii="Book Antiqua" w:hAnsi="Book Antiqua" w:cs="Tahoma"/>
          <w:b/>
          <w:color w:val="231F20"/>
          <w:sz w:val="24"/>
          <w:szCs w:val="24"/>
          <w:lang w:val="en-US"/>
        </w:rPr>
      </w:pPr>
    </w:p>
    <w:p w:rsidR="00166CF4" w:rsidRPr="0044152C" w:rsidRDefault="00166CF4" w:rsidP="00746849">
      <w:pPr>
        <w:adjustRightInd w:val="0"/>
        <w:snapToGrid w:val="0"/>
        <w:spacing w:after="0" w:line="360" w:lineRule="auto"/>
        <w:rPr>
          <w:lang w:eastAsia="zh-CN"/>
        </w:rPr>
      </w:pPr>
      <w:r w:rsidRPr="00BA60F0">
        <w:rPr>
          <w:rFonts w:ascii="Book Antiqua" w:hAnsi="Book Antiqua" w:cs="Tahoma"/>
          <w:b/>
          <w:color w:val="231F20"/>
          <w:sz w:val="24"/>
          <w:szCs w:val="24"/>
          <w:lang w:val="en-US"/>
        </w:rPr>
        <w:t xml:space="preserve">Dheepak Kanagavel, </w:t>
      </w:r>
      <w:r w:rsidR="0044152C" w:rsidRPr="00BA60F0">
        <w:rPr>
          <w:rFonts w:ascii="Book Antiqua" w:hAnsi="Book Antiqua" w:cs="Tahoma"/>
          <w:b/>
          <w:color w:val="231F20"/>
          <w:sz w:val="24"/>
          <w:szCs w:val="24"/>
          <w:lang w:val="en-US"/>
        </w:rPr>
        <w:t>Mikhail Fedyanin,</w:t>
      </w:r>
      <w:r w:rsidR="0044152C">
        <w:rPr>
          <w:rFonts w:hint="eastAsia"/>
          <w:lang w:eastAsia="zh-CN"/>
        </w:rPr>
        <w:t xml:space="preserve"> </w:t>
      </w:r>
      <w:r w:rsidR="0044152C" w:rsidRPr="00BA60F0">
        <w:rPr>
          <w:rFonts w:ascii="Book Antiqua" w:hAnsi="Book Antiqua" w:cs="Tahoma"/>
          <w:b/>
          <w:color w:val="231F20"/>
          <w:sz w:val="24"/>
          <w:szCs w:val="24"/>
          <w:lang w:val="en-US"/>
        </w:rPr>
        <w:t>Alexey Tryakin,</w:t>
      </w:r>
      <w:r w:rsidR="0044152C">
        <w:rPr>
          <w:rFonts w:hint="eastAsia"/>
          <w:lang w:eastAsia="zh-CN"/>
        </w:rPr>
        <w:t xml:space="preserve"> </w:t>
      </w:r>
      <w:r w:rsidR="0044152C" w:rsidRPr="00BA60F0">
        <w:rPr>
          <w:rFonts w:ascii="Book Antiqua" w:hAnsi="Book Antiqua" w:cs="Tahoma"/>
          <w:b/>
          <w:color w:val="231F20"/>
          <w:sz w:val="24"/>
          <w:szCs w:val="24"/>
          <w:lang w:val="en-US"/>
        </w:rPr>
        <w:t>Sergei Tjulandin,</w:t>
      </w:r>
      <w:r w:rsidR="0044152C">
        <w:rPr>
          <w:rFonts w:ascii="Book Antiqua" w:hAnsi="Book Antiqua" w:cs="Tahoma" w:hint="eastAsia"/>
          <w:b/>
          <w:color w:val="231F20"/>
          <w:sz w:val="24"/>
          <w:szCs w:val="24"/>
          <w:lang w:val="en-US" w:eastAsia="zh-CN"/>
        </w:rPr>
        <w:t xml:space="preserve"> </w:t>
      </w:r>
      <w:r w:rsidRPr="00BA60F0">
        <w:rPr>
          <w:rFonts w:ascii="Book Antiqua" w:hAnsi="Book Antiqua" w:cs="Tahoma"/>
          <w:color w:val="231F20"/>
          <w:sz w:val="24"/>
          <w:szCs w:val="24"/>
          <w:lang w:val="en-US"/>
        </w:rPr>
        <w:t xml:space="preserve">Department of Clinical Pharmacology </w:t>
      </w:r>
      <w:r w:rsidR="0044152C">
        <w:rPr>
          <w:rFonts w:ascii="Book Antiqua" w:hAnsi="Book Antiqua" w:cs="Tahoma" w:hint="eastAsia"/>
          <w:color w:val="231F20"/>
          <w:sz w:val="24"/>
          <w:szCs w:val="24"/>
          <w:lang w:val="en-US" w:eastAsia="zh-CN"/>
        </w:rPr>
        <w:t>and</w:t>
      </w:r>
      <w:r w:rsidRPr="00BA60F0">
        <w:rPr>
          <w:rFonts w:ascii="Book Antiqua" w:hAnsi="Book Antiqua" w:cs="Tahoma"/>
          <w:color w:val="231F20"/>
          <w:sz w:val="24"/>
          <w:szCs w:val="24"/>
          <w:lang w:val="en-US"/>
        </w:rPr>
        <w:t xml:space="preserve"> Chemotherapy</w:t>
      </w:r>
      <w:r w:rsidR="0044152C">
        <w:rPr>
          <w:rFonts w:ascii="Book Antiqua" w:hAnsi="Book Antiqua" w:cs="Tahoma" w:hint="eastAsia"/>
          <w:color w:val="231F20"/>
          <w:sz w:val="24"/>
          <w:szCs w:val="24"/>
          <w:lang w:val="en-US" w:eastAsia="zh-CN"/>
        </w:rPr>
        <w:t>,</w:t>
      </w:r>
      <w:r w:rsidRPr="00BA60F0">
        <w:rPr>
          <w:rFonts w:ascii="Book Antiqua" w:hAnsi="Book Antiqua" w:cs="Tahoma"/>
          <w:color w:val="231F20"/>
          <w:sz w:val="24"/>
          <w:szCs w:val="24"/>
          <w:lang w:val="en-US"/>
        </w:rPr>
        <w:t xml:space="preserve"> N. N. Blokhin Russian Cancer Research Center, Moscow 115478, Russia</w:t>
      </w:r>
    </w:p>
    <w:p w:rsidR="00157AED" w:rsidRPr="00BA60F0" w:rsidRDefault="00157AED" w:rsidP="00746849">
      <w:pPr>
        <w:adjustRightInd w:val="0"/>
        <w:snapToGrid w:val="0"/>
        <w:spacing w:after="0" w:line="360" w:lineRule="auto"/>
        <w:jc w:val="both"/>
        <w:rPr>
          <w:rFonts w:ascii="Book Antiqua" w:hAnsi="Book Antiqua" w:cs="Arial"/>
          <w:b/>
          <w:sz w:val="24"/>
          <w:szCs w:val="24"/>
          <w:lang w:val="en-US" w:eastAsia="zh-CN"/>
        </w:rPr>
      </w:pPr>
    </w:p>
    <w:p w:rsidR="00166CF4" w:rsidRDefault="00157AED" w:rsidP="00746849">
      <w:pPr>
        <w:adjustRightInd w:val="0"/>
        <w:snapToGrid w:val="0"/>
        <w:spacing w:after="0" w:line="360" w:lineRule="auto"/>
        <w:jc w:val="both"/>
        <w:rPr>
          <w:rFonts w:ascii="Book Antiqua" w:hAnsi="Book Antiqua"/>
          <w:color w:val="000000"/>
          <w:sz w:val="24"/>
          <w:szCs w:val="24"/>
          <w:lang w:val="en-US" w:eastAsia="zh-CN"/>
        </w:rPr>
      </w:pPr>
      <w:r w:rsidRPr="00BA60F0">
        <w:rPr>
          <w:rFonts w:ascii="Book Antiqua" w:hAnsi="Book Antiqua"/>
          <w:b/>
          <w:color w:val="000000"/>
          <w:sz w:val="24"/>
          <w:szCs w:val="24"/>
          <w:lang w:val="en-US"/>
        </w:rPr>
        <w:t>Author contributions:</w:t>
      </w:r>
      <w:r w:rsidR="005911FD" w:rsidRPr="00BA60F0">
        <w:rPr>
          <w:rFonts w:ascii="Book Antiqua" w:hAnsi="Book Antiqua"/>
          <w:b/>
          <w:color w:val="000000"/>
          <w:sz w:val="24"/>
          <w:szCs w:val="24"/>
          <w:lang w:val="en-US"/>
        </w:rPr>
        <w:t xml:space="preserve"> </w:t>
      </w:r>
      <w:r w:rsidR="00166CF4" w:rsidRPr="00BA60F0">
        <w:rPr>
          <w:rFonts w:ascii="Book Antiqua" w:hAnsi="Book Antiqua"/>
          <w:color w:val="000000"/>
          <w:sz w:val="24"/>
          <w:szCs w:val="24"/>
          <w:lang w:val="en-US"/>
        </w:rPr>
        <w:t>Kanagavel D, Fedyanin A, Tryakin A and Tjulandin S contributed equally to this work; Tryakin A and Tjulandin S designed research; Kanagavel D and Fedyanin A performed research and analyzed data; and Kanagavel D, Fedyanin A, Tryakin A and Tjulandin S wrote the paper.</w:t>
      </w:r>
    </w:p>
    <w:p w:rsidR="0044152C" w:rsidRPr="00BA60F0" w:rsidRDefault="0044152C" w:rsidP="00746849">
      <w:pPr>
        <w:adjustRightInd w:val="0"/>
        <w:snapToGrid w:val="0"/>
        <w:spacing w:after="0" w:line="360" w:lineRule="auto"/>
        <w:jc w:val="both"/>
        <w:rPr>
          <w:rFonts w:ascii="Book Antiqua" w:hAnsi="Book Antiqua"/>
          <w:color w:val="000000"/>
          <w:sz w:val="24"/>
          <w:szCs w:val="24"/>
          <w:lang w:val="en-US" w:eastAsia="zh-CN"/>
        </w:rPr>
      </w:pPr>
    </w:p>
    <w:p w:rsidR="00157AED" w:rsidRDefault="00157AED" w:rsidP="00746849">
      <w:pPr>
        <w:autoSpaceDE w:val="0"/>
        <w:autoSpaceDN w:val="0"/>
        <w:adjustRightInd w:val="0"/>
        <w:snapToGrid w:val="0"/>
        <w:spacing w:after="0" w:line="360" w:lineRule="auto"/>
        <w:jc w:val="both"/>
        <w:rPr>
          <w:rFonts w:ascii="Book Antiqua" w:hAnsi="Book Antiqua" w:cs="Book Antiqua"/>
          <w:sz w:val="24"/>
          <w:szCs w:val="24"/>
          <w:lang w:val="en-US" w:eastAsia="zh-CN"/>
        </w:rPr>
      </w:pPr>
      <w:r w:rsidRPr="00BA60F0">
        <w:rPr>
          <w:rFonts w:ascii="Book Antiqua" w:hAnsi="Book Antiqua" w:cs="Tahoma"/>
          <w:b/>
          <w:bCs/>
          <w:color w:val="000000"/>
          <w:sz w:val="24"/>
          <w:szCs w:val="24"/>
          <w:lang w:val="en-US"/>
        </w:rPr>
        <w:t>Conflict-of-interest statement:</w:t>
      </w:r>
      <w:r w:rsidR="00166CF4" w:rsidRPr="00BA60F0">
        <w:rPr>
          <w:rFonts w:ascii="Book Antiqua" w:hAnsi="Book Antiqua" w:cs="Tahoma"/>
          <w:b/>
          <w:bCs/>
          <w:color w:val="000000"/>
          <w:sz w:val="24"/>
          <w:szCs w:val="24"/>
          <w:lang w:val="en-US"/>
        </w:rPr>
        <w:t xml:space="preserve"> </w:t>
      </w:r>
      <w:r w:rsidR="00166CF4" w:rsidRPr="00BA60F0">
        <w:rPr>
          <w:rFonts w:ascii="Book Antiqua" w:hAnsi="Book Antiqua" w:cs="Book Antiqua"/>
          <w:sz w:val="24"/>
          <w:szCs w:val="24"/>
          <w:lang w:val="en-US" w:eastAsia="en-US"/>
        </w:rPr>
        <w:t>The authors have no conflict of interest to report</w:t>
      </w:r>
      <w:r w:rsidR="0044152C">
        <w:rPr>
          <w:rFonts w:ascii="Book Antiqua" w:hAnsi="Book Antiqua" w:cs="Book Antiqua" w:hint="eastAsia"/>
          <w:sz w:val="24"/>
          <w:szCs w:val="24"/>
          <w:lang w:val="en-US" w:eastAsia="zh-CN"/>
        </w:rPr>
        <w:t>.</w:t>
      </w:r>
    </w:p>
    <w:p w:rsidR="0044152C" w:rsidRDefault="0044152C" w:rsidP="00746849">
      <w:pPr>
        <w:autoSpaceDE w:val="0"/>
        <w:autoSpaceDN w:val="0"/>
        <w:adjustRightInd w:val="0"/>
        <w:snapToGrid w:val="0"/>
        <w:spacing w:after="0" w:line="360" w:lineRule="auto"/>
        <w:jc w:val="both"/>
        <w:rPr>
          <w:rFonts w:ascii="Book Antiqua" w:hAnsi="Book Antiqua" w:cs="Tahoma"/>
          <w:b/>
          <w:bCs/>
          <w:color w:val="000000"/>
          <w:sz w:val="24"/>
          <w:szCs w:val="24"/>
          <w:lang w:val="en-US" w:eastAsia="zh-CN"/>
        </w:rPr>
      </w:pPr>
    </w:p>
    <w:p w:rsidR="003358B1" w:rsidRPr="009652B7" w:rsidRDefault="003358B1" w:rsidP="003358B1">
      <w:pPr>
        <w:spacing w:line="360" w:lineRule="auto"/>
        <w:jc w:val="both"/>
        <w:rPr>
          <w:color w:val="000000"/>
          <w:sz w:val="24"/>
        </w:rPr>
      </w:pPr>
      <w:bookmarkStart w:id="0" w:name="OLE_LINK507"/>
      <w:bookmarkStart w:id="1" w:name="OLE_LINK506"/>
      <w:bookmarkStart w:id="2" w:name="OLE_LINK496"/>
      <w:bookmarkStart w:id="3" w:name="OLE_LINK479"/>
      <w:r w:rsidRPr="00C05FCE">
        <w:rPr>
          <w:rFonts w:ascii="Book Antiqua" w:hAnsi="Book Antiqua"/>
          <w:b/>
          <w:color w:val="000000"/>
          <w:sz w:val="24"/>
        </w:rPr>
        <w:t xml:space="preserve">Open-Access: </w:t>
      </w:r>
      <w:r w:rsidRPr="00C05FCE">
        <w:rPr>
          <w:rFonts w:ascii="Book Antiqua" w:hAnsi="Book Antiqua"/>
          <w:color w:val="000000"/>
          <w:sz w:val="24"/>
        </w:rPr>
        <w:t>This article is an open-access</w:t>
      </w:r>
      <w:r w:rsidRPr="00C05FCE">
        <w:rPr>
          <w:rFonts w:ascii="Book Antiqua" w:hAnsi="Book Antiqua" w:hint="eastAsia"/>
          <w:color w:val="000000"/>
          <w:sz w:val="24"/>
        </w:rPr>
        <w:t xml:space="preserve"> </w:t>
      </w:r>
      <w:r w:rsidRPr="00C05FCE">
        <w:rPr>
          <w:rFonts w:ascii="Book Antiqua" w:hAnsi="Book Antiqua"/>
          <w:color w:val="000000"/>
          <w:sz w:val="24"/>
        </w:rPr>
        <w:t>article</w:t>
      </w:r>
      <w:r w:rsidRPr="00C05FCE">
        <w:rPr>
          <w:rFonts w:ascii="Book Antiqua" w:hAnsi="Book Antiqua" w:hint="eastAsia"/>
          <w:color w:val="000000"/>
          <w:sz w:val="24"/>
        </w:rPr>
        <w:t xml:space="preserve"> </w:t>
      </w:r>
      <w:r w:rsidRPr="00C05FCE">
        <w:rPr>
          <w:rFonts w:ascii="Book Antiqua" w:hAnsi="Book Antiqua"/>
          <w:color w:val="000000"/>
          <w:sz w:val="24"/>
        </w:rPr>
        <w:t>which was selected by an in-house editor and fully peer-reviewed by external reviewers. It is distributed</w:t>
      </w:r>
      <w:r w:rsidRPr="00C05FCE">
        <w:rPr>
          <w:rFonts w:ascii="Book Antiqua" w:hAnsi="Book Antiqua" w:hint="eastAsia"/>
          <w:color w:val="000000"/>
          <w:sz w:val="24"/>
        </w:rPr>
        <w:t xml:space="preserve"> </w:t>
      </w:r>
      <w:r w:rsidRPr="00C05FCE">
        <w:rPr>
          <w:rFonts w:ascii="Book Antiqua" w:hAnsi="Book Antiqua"/>
          <w:color w:val="000000"/>
          <w:sz w:val="24"/>
        </w:rPr>
        <w:t>in</w:t>
      </w:r>
      <w:r w:rsidRPr="00C05FCE">
        <w:rPr>
          <w:rFonts w:ascii="Book Antiqua" w:hAnsi="Book Antiqua" w:hint="eastAsia"/>
          <w:color w:val="000000"/>
          <w:sz w:val="24"/>
        </w:rPr>
        <w:t xml:space="preserve"> </w:t>
      </w:r>
      <w:r w:rsidRPr="00C05FCE">
        <w:rPr>
          <w:rFonts w:ascii="Book Antiqua" w:hAnsi="Book Antiqua"/>
          <w:color w:val="000000"/>
          <w:sz w:val="24"/>
        </w:rPr>
        <w:t>accordance</w:t>
      </w:r>
      <w:r w:rsidRPr="00C05FCE">
        <w:rPr>
          <w:rFonts w:ascii="Book Antiqua" w:hAnsi="Book Antiqua" w:hint="eastAsia"/>
          <w:color w:val="000000"/>
          <w:sz w:val="24"/>
        </w:rPr>
        <w:t xml:space="preserve"> </w:t>
      </w:r>
      <w:r w:rsidRPr="00C05FCE">
        <w:rPr>
          <w:rFonts w:ascii="Book Antiqua" w:hAnsi="Book Antiqua"/>
          <w:color w:val="000000"/>
          <w:sz w:val="24"/>
        </w:rPr>
        <w:t>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0"/>
      <w:bookmarkEnd w:id="1"/>
      <w:bookmarkEnd w:id="2"/>
      <w:bookmarkEnd w:id="3"/>
    </w:p>
    <w:p w:rsidR="003358B1" w:rsidRPr="003358B1" w:rsidRDefault="003358B1" w:rsidP="003358B1">
      <w:pPr>
        <w:autoSpaceDE w:val="0"/>
        <w:autoSpaceDN w:val="0"/>
        <w:adjustRightInd w:val="0"/>
        <w:snapToGrid w:val="0"/>
        <w:spacing w:after="0" w:line="360" w:lineRule="auto"/>
        <w:jc w:val="both"/>
        <w:rPr>
          <w:rFonts w:ascii="Book Antiqua" w:hAnsi="Book Antiqua" w:cs="Tahoma"/>
          <w:b/>
          <w:bCs/>
          <w:color w:val="000000"/>
          <w:sz w:val="24"/>
          <w:szCs w:val="24"/>
          <w:lang w:val="en-US" w:eastAsia="zh-CN"/>
        </w:rPr>
      </w:pPr>
    </w:p>
    <w:p w:rsidR="00157AED" w:rsidRPr="00BA60F0" w:rsidRDefault="00157AED" w:rsidP="00746849">
      <w:pPr>
        <w:adjustRightInd w:val="0"/>
        <w:snapToGrid w:val="0"/>
        <w:spacing w:after="0" w:line="360" w:lineRule="auto"/>
        <w:jc w:val="both"/>
        <w:rPr>
          <w:rFonts w:ascii="Book Antiqua" w:hAnsi="Book Antiqua"/>
          <w:sz w:val="24"/>
          <w:szCs w:val="24"/>
          <w:lang w:val="en-US"/>
        </w:rPr>
      </w:pPr>
      <w:r w:rsidRPr="00BA60F0">
        <w:rPr>
          <w:rFonts w:ascii="Book Antiqua" w:hAnsi="Book Antiqua"/>
          <w:b/>
          <w:sz w:val="24"/>
          <w:szCs w:val="24"/>
          <w:lang w:val="en-US"/>
        </w:rPr>
        <w:t xml:space="preserve">Correspondence to: </w:t>
      </w:r>
      <w:r w:rsidR="00166CF4" w:rsidRPr="00BA60F0">
        <w:rPr>
          <w:rFonts w:ascii="Book Antiqua" w:hAnsi="Book Antiqua"/>
          <w:b/>
          <w:sz w:val="24"/>
          <w:szCs w:val="24"/>
          <w:lang w:val="en-US"/>
        </w:rPr>
        <w:t xml:space="preserve">Sergei </w:t>
      </w:r>
      <w:r w:rsidR="0044152C" w:rsidRPr="0044152C">
        <w:rPr>
          <w:rFonts w:ascii="Book Antiqua" w:hAnsi="Book Antiqua"/>
          <w:b/>
          <w:caps/>
          <w:sz w:val="24"/>
          <w:szCs w:val="24"/>
          <w:lang w:val="en-US"/>
        </w:rPr>
        <w:t>t</w:t>
      </w:r>
      <w:r w:rsidR="0044152C" w:rsidRPr="00BA60F0">
        <w:rPr>
          <w:rFonts w:ascii="Book Antiqua" w:hAnsi="Book Antiqua"/>
          <w:b/>
          <w:sz w:val="24"/>
          <w:szCs w:val="24"/>
          <w:lang w:val="en-US"/>
        </w:rPr>
        <w:t>julandin</w:t>
      </w:r>
      <w:r w:rsidR="00166CF4" w:rsidRPr="0044152C">
        <w:rPr>
          <w:rFonts w:ascii="Book Antiqua" w:hAnsi="Book Antiqua"/>
          <w:b/>
          <w:sz w:val="24"/>
          <w:szCs w:val="24"/>
          <w:lang w:val="en-US"/>
        </w:rPr>
        <w:t xml:space="preserve">, </w:t>
      </w:r>
      <w:r w:rsidR="0044152C" w:rsidRPr="0044152C">
        <w:rPr>
          <w:rFonts w:ascii="Book Antiqua" w:hAnsi="Book Antiqua" w:hint="eastAsia"/>
          <w:b/>
          <w:sz w:val="24"/>
          <w:szCs w:val="24"/>
          <w:lang w:val="en-US" w:eastAsia="zh-CN"/>
        </w:rPr>
        <w:t>Professor,</w:t>
      </w:r>
      <w:r w:rsidR="0044152C">
        <w:rPr>
          <w:rFonts w:ascii="Book Antiqua" w:hAnsi="Book Antiqua" w:hint="eastAsia"/>
          <w:sz w:val="24"/>
          <w:szCs w:val="24"/>
          <w:lang w:val="en-US" w:eastAsia="zh-CN"/>
        </w:rPr>
        <w:t xml:space="preserve"> </w:t>
      </w:r>
      <w:r w:rsidR="00166CF4" w:rsidRPr="00BA60F0">
        <w:rPr>
          <w:rFonts w:ascii="Book Antiqua" w:hAnsi="Book Antiqua"/>
          <w:sz w:val="24"/>
          <w:szCs w:val="24"/>
          <w:lang w:val="en-US"/>
        </w:rPr>
        <w:t xml:space="preserve">Department of Clinical Pharmacology </w:t>
      </w:r>
      <w:r w:rsidR="0044152C">
        <w:rPr>
          <w:rFonts w:ascii="Book Antiqua" w:hAnsi="Book Antiqua" w:hint="eastAsia"/>
          <w:sz w:val="24"/>
          <w:szCs w:val="24"/>
          <w:lang w:val="en-US" w:eastAsia="zh-CN"/>
        </w:rPr>
        <w:t>and</w:t>
      </w:r>
      <w:r w:rsidR="00166CF4" w:rsidRPr="00BA60F0">
        <w:rPr>
          <w:rFonts w:ascii="Book Antiqua" w:hAnsi="Book Antiqua"/>
          <w:sz w:val="24"/>
          <w:szCs w:val="24"/>
          <w:lang w:val="en-US"/>
        </w:rPr>
        <w:t xml:space="preserve"> Chemotherapy, N. N. Blokhin Russian Cancer Research Center, 24, Kashirskoe Shosse, Moscow 115478, Russia. </w:t>
      </w:r>
      <w:r w:rsidR="005911FD" w:rsidRPr="0044152C">
        <w:rPr>
          <w:rFonts w:ascii="Book Antiqua" w:hAnsi="Book Antiqua"/>
          <w:sz w:val="24"/>
          <w:szCs w:val="24"/>
          <w:lang w:val="en-US"/>
        </w:rPr>
        <w:t>stjulandin@mail.ru</w:t>
      </w:r>
      <w:r w:rsidR="005911FD" w:rsidRPr="00BA60F0">
        <w:rPr>
          <w:rFonts w:ascii="Book Antiqua" w:hAnsi="Book Antiqua"/>
          <w:sz w:val="24"/>
          <w:szCs w:val="24"/>
          <w:lang w:val="en-US"/>
        </w:rPr>
        <w:t xml:space="preserve"> </w:t>
      </w:r>
    </w:p>
    <w:p w:rsidR="00157AED" w:rsidRPr="00BA60F0" w:rsidRDefault="005911FD" w:rsidP="00746849">
      <w:pPr>
        <w:adjustRightInd w:val="0"/>
        <w:snapToGrid w:val="0"/>
        <w:spacing w:after="0" w:line="360" w:lineRule="auto"/>
        <w:jc w:val="both"/>
        <w:rPr>
          <w:rFonts w:ascii="Book Antiqua" w:hAnsi="Book Antiqua"/>
          <w:sz w:val="24"/>
          <w:szCs w:val="24"/>
          <w:lang w:val="en-US"/>
        </w:rPr>
      </w:pPr>
      <w:r w:rsidRPr="00BA60F0">
        <w:rPr>
          <w:rFonts w:ascii="Book Antiqua" w:hAnsi="Book Antiqua"/>
          <w:b/>
          <w:sz w:val="24"/>
          <w:szCs w:val="24"/>
          <w:lang w:val="en-US"/>
        </w:rPr>
        <w:lastRenderedPageBreak/>
        <w:t xml:space="preserve">Telephone: </w:t>
      </w:r>
      <w:r w:rsidR="00166CF4" w:rsidRPr="00BA60F0">
        <w:rPr>
          <w:rFonts w:ascii="Book Antiqua" w:hAnsi="Book Antiqua"/>
          <w:sz w:val="24"/>
          <w:szCs w:val="24"/>
          <w:lang w:val="en-US"/>
        </w:rPr>
        <w:t>+7-499-</w:t>
      </w:r>
      <w:r w:rsidRPr="00BA60F0">
        <w:rPr>
          <w:rFonts w:ascii="Book Antiqua" w:hAnsi="Book Antiqua"/>
          <w:sz w:val="24"/>
          <w:szCs w:val="24"/>
          <w:lang w:val="en-US"/>
        </w:rPr>
        <w:t>324</w:t>
      </w:r>
      <w:r w:rsidR="00166CF4" w:rsidRPr="00BA60F0">
        <w:rPr>
          <w:rFonts w:ascii="Book Antiqua" w:hAnsi="Book Antiqua"/>
          <w:sz w:val="24"/>
          <w:szCs w:val="24"/>
          <w:lang w:val="en-US"/>
        </w:rPr>
        <w:t>9844</w:t>
      </w:r>
    </w:p>
    <w:p w:rsidR="00157AED" w:rsidRDefault="00157AED" w:rsidP="00746849">
      <w:pPr>
        <w:adjustRightInd w:val="0"/>
        <w:snapToGrid w:val="0"/>
        <w:spacing w:after="0" w:line="360" w:lineRule="auto"/>
        <w:jc w:val="both"/>
        <w:rPr>
          <w:rFonts w:ascii="Book Antiqua" w:hAnsi="Book Antiqua"/>
          <w:sz w:val="24"/>
          <w:szCs w:val="24"/>
          <w:lang w:val="en-US" w:eastAsia="zh-CN"/>
        </w:rPr>
      </w:pPr>
      <w:r w:rsidRPr="00BA60F0">
        <w:rPr>
          <w:rFonts w:ascii="Book Antiqua" w:hAnsi="Book Antiqua"/>
          <w:b/>
          <w:sz w:val="24"/>
          <w:szCs w:val="24"/>
          <w:lang w:val="en-US"/>
        </w:rPr>
        <w:t>Fax:</w:t>
      </w:r>
      <w:r w:rsidR="00166CF4" w:rsidRPr="00BA60F0">
        <w:rPr>
          <w:rFonts w:ascii="Book Antiqua" w:hAnsi="Book Antiqua"/>
          <w:b/>
          <w:sz w:val="24"/>
          <w:szCs w:val="24"/>
          <w:lang w:val="en-US"/>
        </w:rPr>
        <w:t xml:space="preserve"> </w:t>
      </w:r>
      <w:r w:rsidR="005911FD" w:rsidRPr="00BA60F0">
        <w:rPr>
          <w:rFonts w:ascii="Book Antiqua" w:hAnsi="Book Antiqua"/>
          <w:sz w:val="24"/>
          <w:szCs w:val="24"/>
          <w:lang w:val="en-US"/>
        </w:rPr>
        <w:t>+7-499-32498</w:t>
      </w:r>
      <w:r w:rsidR="00166CF4" w:rsidRPr="00BA60F0">
        <w:rPr>
          <w:rFonts w:ascii="Book Antiqua" w:hAnsi="Book Antiqua"/>
          <w:sz w:val="24"/>
          <w:szCs w:val="24"/>
          <w:lang w:val="en-US"/>
        </w:rPr>
        <w:t>34</w:t>
      </w:r>
    </w:p>
    <w:p w:rsidR="009F267D" w:rsidRPr="00BA60F0" w:rsidRDefault="009F267D" w:rsidP="00746849">
      <w:pPr>
        <w:adjustRightInd w:val="0"/>
        <w:snapToGrid w:val="0"/>
        <w:spacing w:after="0" w:line="360" w:lineRule="auto"/>
        <w:jc w:val="both"/>
        <w:rPr>
          <w:rFonts w:ascii="Book Antiqua" w:hAnsi="Book Antiqua"/>
          <w:sz w:val="24"/>
          <w:szCs w:val="24"/>
          <w:lang w:val="en-US" w:eastAsia="zh-CN"/>
        </w:rPr>
      </w:pPr>
    </w:p>
    <w:p w:rsidR="00157AED" w:rsidRPr="00BA60F0" w:rsidRDefault="00157AED" w:rsidP="00746849">
      <w:pPr>
        <w:adjustRightInd w:val="0"/>
        <w:snapToGrid w:val="0"/>
        <w:spacing w:after="0" w:line="360" w:lineRule="auto"/>
        <w:jc w:val="both"/>
        <w:rPr>
          <w:rFonts w:ascii="Book Antiqua" w:hAnsi="Book Antiqua"/>
          <w:b/>
          <w:sz w:val="24"/>
          <w:szCs w:val="24"/>
          <w:lang w:val="en-US"/>
        </w:rPr>
      </w:pPr>
      <w:r w:rsidRPr="00BA60F0">
        <w:rPr>
          <w:rFonts w:ascii="Book Antiqua" w:hAnsi="Book Antiqua"/>
          <w:b/>
          <w:sz w:val="24"/>
          <w:szCs w:val="24"/>
          <w:lang w:val="en-US"/>
        </w:rPr>
        <w:t xml:space="preserve">Received: </w:t>
      </w:r>
      <w:r w:rsidR="00A6109F" w:rsidRPr="00A11C75">
        <w:rPr>
          <w:rFonts w:ascii="Book Antiqua" w:hAnsi="Book Antiqua"/>
          <w:sz w:val="24"/>
        </w:rPr>
        <w:t>April</w:t>
      </w:r>
      <w:r w:rsidR="00A6109F">
        <w:rPr>
          <w:rFonts w:ascii="Book Antiqua" w:hAnsi="Book Antiqua" w:hint="eastAsia"/>
          <w:sz w:val="24"/>
          <w:lang w:eastAsia="zh-CN"/>
        </w:rPr>
        <w:t xml:space="preserve"> 28, 2015</w:t>
      </w:r>
      <w:r w:rsidRPr="00BA60F0">
        <w:rPr>
          <w:rFonts w:ascii="Book Antiqua" w:hAnsi="Book Antiqua"/>
          <w:b/>
          <w:sz w:val="24"/>
          <w:szCs w:val="24"/>
          <w:lang w:val="en-US"/>
        </w:rPr>
        <w:t xml:space="preserve">  </w:t>
      </w:r>
    </w:p>
    <w:p w:rsidR="00157AED" w:rsidRPr="00BA60F0" w:rsidRDefault="00157AED" w:rsidP="00746849">
      <w:pPr>
        <w:adjustRightInd w:val="0"/>
        <w:snapToGrid w:val="0"/>
        <w:spacing w:after="0" w:line="360" w:lineRule="auto"/>
        <w:jc w:val="both"/>
        <w:rPr>
          <w:rFonts w:ascii="Book Antiqua" w:hAnsi="Book Antiqua"/>
          <w:b/>
          <w:sz w:val="24"/>
          <w:szCs w:val="24"/>
          <w:lang w:val="en-US" w:eastAsia="zh-CN"/>
        </w:rPr>
      </w:pPr>
      <w:r w:rsidRPr="00BA60F0">
        <w:rPr>
          <w:rFonts w:ascii="Book Antiqua" w:hAnsi="Book Antiqua"/>
          <w:b/>
          <w:sz w:val="24"/>
          <w:szCs w:val="24"/>
          <w:lang w:val="en-US"/>
        </w:rPr>
        <w:t>Peer-review started:</w:t>
      </w:r>
      <w:r w:rsidR="00A6109F">
        <w:rPr>
          <w:rFonts w:ascii="Book Antiqua" w:hAnsi="Book Antiqua" w:hint="eastAsia"/>
          <w:b/>
          <w:sz w:val="24"/>
          <w:szCs w:val="24"/>
          <w:lang w:val="en-US" w:eastAsia="zh-CN"/>
        </w:rPr>
        <w:t xml:space="preserve"> </w:t>
      </w:r>
      <w:r w:rsidR="00A6109F" w:rsidRPr="00A11C75">
        <w:rPr>
          <w:rFonts w:ascii="Book Antiqua" w:hAnsi="Book Antiqua"/>
          <w:sz w:val="24"/>
        </w:rPr>
        <w:t>May</w:t>
      </w:r>
      <w:r w:rsidR="00A6109F">
        <w:rPr>
          <w:rFonts w:ascii="Book Antiqua" w:hAnsi="Book Antiqua" w:hint="eastAsia"/>
          <w:sz w:val="24"/>
          <w:lang w:eastAsia="zh-CN"/>
        </w:rPr>
        <w:t xml:space="preserve"> 5, 2015</w:t>
      </w:r>
    </w:p>
    <w:p w:rsidR="00157AED" w:rsidRPr="00BA60F0" w:rsidRDefault="00157AED" w:rsidP="00746849">
      <w:pPr>
        <w:adjustRightInd w:val="0"/>
        <w:snapToGrid w:val="0"/>
        <w:spacing w:after="0" w:line="360" w:lineRule="auto"/>
        <w:jc w:val="both"/>
        <w:rPr>
          <w:rFonts w:ascii="Book Antiqua" w:hAnsi="Book Antiqua"/>
          <w:b/>
          <w:sz w:val="24"/>
          <w:szCs w:val="24"/>
          <w:lang w:val="en-US" w:eastAsia="zh-CN"/>
        </w:rPr>
      </w:pPr>
      <w:r w:rsidRPr="00BA60F0">
        <w:rPr>
          <w:rFonts w:ascii="Book Antiqua" w:hAnsi="Book Antiqua"/>
          <w:b/>
          <w:sz w:val="24"/>
          <w:szCs w:val="24"/>
          <w:lang w:val="en-US"/>
        </w:rPr>
        <w:t>First decision:</w:t>
      </w:r>
      <w:r w:rsidR="00A6109F">
        <w:rPr>
          <w:rFonts w:ascii="Book Antiqua" w:hAnsi="Book Antiqua" w:hint="eastAsia"/>
          <w:b/>
          <w:sz w:val="24"/>
          <w:szCs w:val="24"/>
          <w:lang w:val="en-US" w:eastAsia="zh-CN"/>
        </w:rPr>
        <w:t xml:space="preserve"> </w:t>
      </w:r>
      <w:r w:rsidR="00A6109F" w:rsidRPr="00A11C75">
        <w:rPr>
          <w:rFonts w:ascii="Book Antiqua" w:hAnsi="Book Antiqua"/>
          <w:sz w:val="24"/>
        </w:rPr>
        <w:t>July</w:t>
      </w:r>
      <w:r w:rsidR="00A6109F">
        <w:rPr>
          <w:rFonts w:ascii="Book Antiqua" w:hAnsi="Book Antiqua" w:hint="eastAsia"/>
          <w:sz w:val="24"/>
          <w:lang w:eastAsia="zh-CN"/>
        </w:rPr>
        <w:t xml:space="preserve"> 13, 2015</w:t>
      </w:r>
    </w:p>
    <w:p w:rsidR="00157AED" w:rsidRPr="00BA60F0" w:rsidRDefault="00A6109F" w:rsidP="00746849">
      <w:pPr>
        <w:adjustRightInd w:val="0"/>
        <w:snapToGrid w:val="0"/>
        <w:spacing w:after="0" w:line="360" w:lineRule="auto"/>
        <w:jc w:val="both"/>
        <w:rPr>
          <w:rFonts w:ascii="Book Antiqua" w:hAnsi="Book Antiqua"/>
          <w:b/>
          <w:sz w:val="24"/>
          <w:szCs w:val="24"/>
          <w:lang w:val="en-US" w:eastAsia="zh-CN"/>
        </w:rPr>
      </w:pPr>
      <w:r>
        <w:rPr>
          <w:rFonts w:ascii="Book Antiqua" w:hAnsi="Book Antiqua"/>
          <w:b/>
          <w:sz w:val="24"/>
          <w:szCs w:val="24"/>
          <w:lang w:val="en-US"/>
        </w:rPr>
        <w:t xml:space="preserve">Revised: </w:t>
      </w:r>
      <w:bookmarkStart w:id="4" w:name="OLE_LINK12"/>
      <w:bookmarkStart w:id="5" w:name="OLE_LINK13"/>
      <w:r w:rsidRPr="00A11C75">
        <w:rPr>
          <w:rFonts w:ascii="Book Antiqua" w:hAnsi="Book Antiqua"/>
          <w:sz w:val="24"/>
        </w:rPr>
        <w:t>August</w:t>
      </w:r>
      <w:bookmarkEnd w:id="4"/>
      <w:bookmarkEnd w:id="5"/>
      <w:r>
        <w:rPr>
          <w:rFonts w:ascii="Book Antiqua" w:hAnsi="Book Antiqua" w:hint="eastAsia"/>
          <w:sz w:val="24"/>
          <w:lang w:eastAsia="zh-CN"/>
        </w:rPr>
        <w:t xml:space="preserve"> 14, 2015</w:t>
      </w:r>
    </w:p>
    <w:p w:rsidR="00157AED" w:rsidRPr="00BA60F0" w:rsidRDefault="00157AED" w:rsidP="00746849">
      <w:pPr>
        <w:adjustRightInd w:val="0"/>
        <w:snapToGrid w:val="0"/>
        <w:spacing w:after="0" w:line="360" w:lineRule="auto"/>
        <w:jc w:val="both"/>
        <w:rPr>
          <w:rFonts w:ascii="Book Antiqua" w:hAnsi="Book Antiqua"/>
          <w:b/>
          <w:sz w:val="24"/>
          <w:szCs w:val="24"/>
          <w:lang w:val="en-US"/>
        </w:rPr>
      </w:pPr>
      <w:r w:rsidRPr="00BA60F0">
        <w:rPr>
          <w:rFonts w:ascii="Book Antiqua" w:hAnsi="Book Antiqua"/>
          <w:b/>
          <w:sz w:val="24"/>
          <w:szCs w:val="24"/>
          <w:lang w:val="en-US"/>
        </w:rPr>
        <w:t>Accepted:</w:t>
      </w:r>
      <w:r w:rsidR="00DA36EA" w:rsidRPr="00DA36EA">
        <w:rPr>
          <w:rFonts w:ascii="Book Antiqua" w:hAnsi="Book Antiqua"/>
          <w:color w:val="000000"/>
          <w:sz w:val="24"/>
        </w:rPr>
        <w:t xml:space="preserve"> </w:t>
      </w:r>
      <w:r w:rsidR="00DA36EA">
        <w:rPr>
          <w:rFonts w:ascii="Book Antiqua" w:hAnsi="Book Antiqua"/>
          <w:color w:val="000000"/>
          <w:sz w:val="24"/>
        </w:rPr>
        <w:t>September 28</w:t>
      </w:r>
      <w:r w:rsidR="00DA36EA" w:rsidRPr="004B5E0D">
        <w:rPr>
          <w:rFonts w:ascii="Book Antiqua" w:hAnsi="Book Antiqua"/>
          <w:color w:val="000000"/>
          <w:sz w:val="24"/>
        </w:rPr>
        <w:t>, 2015</w:t>
      </w:r>
      <w:bookmarkStart w:id="6" w:name="_GoBack"/>
      <w:bookmarkEnd w:id="6"/>
      <w:r w:rsidRPr="00BA60F0">
        <w:rPr>
          <w:rFonts w:ascii="Book Antiqua" w:hAnsi="Book Antiqua"/>
          <w:b/>
          <w:sz w:val="24"/>
          <w:szCs w:val="24"/>
          <w:lang w:val="en-US"/>
        </w:rPr>
        <w:t xml:space="preserve">  </w:t>
      </w:r>
    </w:p>
    <w:p w:rsidR="00157AED" w:rsidRPr="00BA60F0" w:rsidRDefault="00157AED" w:rsidP="00746849">
      <w:pPr>
        <w:adjustRightInd w:val="0"/>
        <w:snapToGrid w:val="0"/>
        <w:spacing w:after="0" w:line="360" w:lineRule="auto"/>
        <w:jc w:val="both"/>
        <w:rPr>
          <w:rFonts w:ascii="Book Antiqua" w:hAnsi="Book Antiqua"/>
          <w:b/>
          <w:sz w:val="24"/>
          <w:szCs w:val="24"/>
          <w:lang w:val="en-US"/>
        </w:rPr>
      </w:pPr>
      <w:r w:rsidRPr="00BA60F0">
        <w:rPr>
          <w:rFonts w:ascii="Book Antiqua" w:hAnsi="Book Antiqua"/>
          <w:b/>
          <w:sz w:val="24"/>
          <w:szCs w:val="24"/>
          <w:lang w:val="en-US"/>
        </w:rPr>
        <w:t>Article in press:</w:t>
      </w:r>
    </w:p>
    <w:p w:rsidR="00157AED" w:rsidRPr="00BA60F0" w:rsidRDefault="00157AED" w:rsidP="00746849">
      <w:pPr>
        <w:adjustRightInd w:val="0"/>
        <w:snapToGrid w:val="0"/>
        <w:spacing w:after="0" w:line="360" w:lineRule="auto"/>
        <w:jc w:val="both"/>
        <w:rPr>
          <w:rFonts w:ascii="Book Antiqua" w:hAnsi="Book Antiqua"/>
          <w:sz w:val="24"/>
          <w:szCs w:val="24"/>
          <w:lang w:val="en-US"/>
        </w:rPr>
      </w:pPr>
      <w:r w:rsidRPr="00BA60F0">
        <w:rPr>
          <w:rFonts w:ascii="Book Antiqua" w:hAnsi="Book Antiqua"/>
          <w:b/>
          <w:sz w:val="24"/>
          <w:szCs w:val="24"/>
          <w:lang w:val="en-US"/>
        </w:rPr>
        <w:t>Published online:</w:t>
      </w:r>
    </w:p>
    <w:p w:rsidR="00A6109F" w:rsidRDefault="00A6109F" w:rsidP="00746849">
      <w:pPr>
        <w:adjustRightInd w:val="0"/>
        <w:snapToGrid w:val="0"/>
        <w:spacing w:after="0" w:line="360" w:lineRule="auto"/>
        <w:jc w:val="both"/>
        <w:rPr>
          <w:rFonts w:ascii="Book Antiqua" w:hAnsi="Book Antiqua" w:cs="Arial"/>
          <w:b/>
          <w:sz w:val="24"/>
          <w:szCs w:val="24"/>
          <w:lang w:val="en-US" w:eastAsia="zh-CN"/>
        </w:rPr>
      </w:pPr>
      <w:r>
        <w:rPr>
          <w:rFonts w:ascii="Book Antiqua" w:hAnsi="Book Antiqua" w:cs="Arial"/>
          <w:b/>
          <w:sz w:val="24"/>
          <w:szCs w:val="24"/>
          <w:lang w:val="en-US" w:eastAsia="zh-CN"/>
        </w:rPr>
        <w:br w:type="page"/>
      </w:r>
    </w:p>
    <w:p w:rsidR="00157AED" w:rsidRPr="00BA60F0" w:rsidRDefault="00157AED" w:rsidP="00746849">
      <w:pPr>
        <w:adjustRightInd w:val="0"/>
        <w:snapToGrid w:val="0"/>
        <w:spacing w:after="0" w:line="360" w:lineRule="auto"/>
        <w:jc w:val="both"/>
        <w:rPr>
          <w:rFonts w:ascii="Book Antiqua" w:hAnsi="Book Antiqua" w:cs="Arial"/>
          <w:b/>
          <w:sz w:val="24"/>
          <w:szCs w:val="24"/>
          <w:lang w:val="en-US" w:eastAsia="zh-CN"/>
        </w:rPr>
      </w:pPr>
      <w:r w:rsidRPr="00BA60F0">
        <w:rPr>
          <w:rFonts w:ascii="Book Antiqua" w:hAnsi="Book Antiqua" w:cs="Arial"/>
          <w:b/>
          <w:sz w:val="24"/>
          <w:szCs w:val="24"/>
          <w:lang w:val="en-US" w:eastAsia="zh-CN"/>
        </w:rPr>
        <w:lastRenderedPageBreak/>
        <w:t>Abstract</w:t>
      </w:r>
    </w:p>
    <w:p w:rsidR="001925C9" w:rsidRPr="00BA60F0" w:rsidRDefault="001925C9" w:rsidP="00746849">
      <w:pPr>
        <w:adjustRightInd w:val="0"/>
        <w:snapToGrid w:val="0"/>
        <w:spacing w:after="0" w:line="360" w:lineRule="auto"/>
        <w:jc w:val="both"/>
        <w:rPr>
          <w:rFonts w:ascii="Book Antiqua" w:hAnsi="Book Antiqua"/>
          <w:sz w:val="24"/>
          <w:szCs w:val="24"/>
          <w:lang w:val="en-US"/>
        </w:rPr>
      </w:pPr>
      <w:bookmarkStart w:id="7" w:name="OLE_LINK33"/>
      <w:bookmarkStart w:id="8" w:name="OLE_LINK34"/>
      <w:bookmarkStart w:id="9" w:name="OLE_LINK49"/>
      <w:r w:rsidRPr="00BA60F0">
        <w:rPr>
          <w:rFonts w:ascii="Book Antiqua" w:hAnsi="Book Antiqua" w:cs="Arial"/>
          <w:sz w:val="24"/>
          <w:szCs w:val="24"/>
          <w:lang w:val="en-US"/>
        </w:rPr>
        <w:t>Gastric cancer remains one among the leading causes of cancer-related deaths, regardless of its decreasing incidence and newly available treatment options. Most patients present at an advanced stage and are treated with upfront systemic chemotherapy. Those patients receiving first-line therapy may initially respond to treatment, but many of them relapse over time. In such condition, second-line treatment for disease progression remains the only available option. Although there exists no standard approach in the second-line setting, several phase III trials have shown modest survival benefit in patients receiving irinotecan, taxane and ramucirumab over the best supportive care or active agents. This review analyzes the currently available treatment regimens and future directions of research in the second-line setting for metastatic gastric cancer with the best available evidence. Additionally, the prognostic factors that influence patient survival in those receiving second-line therapy are discussed.</w:t>
      </w:r>
    </w:p>
    <w:p w:rsidR="00BA60F0" w:rsidRDefault="00BA60F0" w:rsidP="00746849">
      <w:pPr>
        <w:adjustRightInd w:val="0"/>
        <w:snapToGrid w:val="0"/>
        <w:spacing w:after="0" w:line="360" w:lineRule="auto"/>
        <w:jc w:val="both"/>
        <w:rPr>
          <w:rFonts w:ascii="Book Antiqua" w:hAnsi="Book Antiqua" w:cs="Arial"/>
          <w:b/>
          <w:sz w:val="24"/>
          <w:szCs w:val="24"/>
          <w:lang w:val="en-US" w:eastAsia="zh-CN"/>
        </w:rPr>
      </w:pPr>
    </w:p>
    <w:p w:rsidR="00157AED" w:rsidRPr="00BA60F0" w:rsidRDefault="00157AED" w:rsidP="00746849">
      <w:pPr>
        <w:adjustRightInd w:val="0"/>
        <w:snapToGrid w:val="0"/>
        <w:spacing w:after="0" w:line="360" w:lineRule="auto"/>
        <w:jc w:val="both"/>
        <w:rPr>
          <w:rFonts w:ascii="Book Antiqua" w:hAnsi="Book Antiqua" w:cs="Arial"/>
          <w:sz w:val="24"/>
          <w:szCs w:val="24"/>
          <w:lang w:val="en-US"/>
        </w:rPr>
      </w:pPr>
      <w:r w:rsidRPr="00BA60F0">
        <w:rPr>
          <w:rFonts w:ascii="Book Antiqua" w:hAnsi="Book Antiqua" w:cs="Arial"/>
          <w:b/>
          <w:sz w:val="24"/>
          <w:szCs w:val="24"/>
          <w:lang w:val="en-US"/>
        </w:rPr>
        <w:t>Key words:</w:t>
      </w:r>
      <w:r w:rsidR="006A7B58" w:rsidRPr="00BA60F0">
        <w:rPr>
          <w:rFonts w:ascii="Book Antiqua" w:hAnsi="Book Antiqua" w:cs="Arial"/>
          <w:sz w:val="24"/>
          <w:szCs w:val="24"/>
          <w:lang w:val="en-US"/>
        </w:rPr>
        <w:t xml:space="preserve"> </w:t>
      </w:r>
      <w:r w:rsidR="00A6109F" w:rsidRPr="00BA60F0">
        <w:rPr>
          <w:rFonts w:ascii="Book Antiqua" w:hAnsi="Book Antiqua" w:cs="Arial"/>
          <w:sz w:val="24"/>
          <w:szCs w:val="24"/>
          <w:lang w:val="en-US"/>
        </w:rPr>
        <w:t xml:space="preserve">Metastatic </w:t>
      </w:r>
      <w:r w:rsidR="006A7B58" w:rsidRPr="00BA60F0">
        <w:rPr>
          <w:rFonts w:ascii="Book Antiqua" w:hAnsi="Book Antiqua" w:cs="Arial"/>
          <w:sz w:val="24"/>
          <w:szCs w:val="24"/>
          <w:lang w:val="en-US"/>
        </w:rPr>
        <w:t xml:space="preserve">gastric cancer; </w:t>
      </w:r>
      <w:r w:rsidR="00A6109F" w:rsidRPr="00BA60F0">
        <w:rPr>
          <w:rFonts w:ascii="Book Antiqua" w:hAnsi="Book Antiqua" w:cs="Arial"/>
          <w:sz w:val="24"/>
          <w:szCs w:val="24"/>
          <w:lang w:val="en-US"/>
        </w:rPr>
        <w:t>Second</w:t>
      </w:r>
      <w:r w:rsidR="006A7B58" w:rsidRPr="00BA60F0">
        <w:rPr>
          <w:rFonts w:ascii="Book Antiqua" w:hAnsi="Book Antiqua" w:cs="Arial"/>
          <w:sz w:val="24"/>
          <w:szCs w:val="24"/>
          <w:lang w:val="en-US"/>
        </w:rPr>
        <w:t xml:space="preserve">-line chemotherapy; </w:t>
      </w:r>
      <w:r w:rsidR="00A6109F" w:rsidRPr="00BA60F0">
        <w:rPr>
          <w:rFonts w:ascii="Book Antiqua" w:hAnsi="Book Antiqua" w:cs="Arial"/>
          <w:sz w:val="24"/>
          <w:szCs w:val="24"/>
          <w:lang w:val="en-US"/>
        </w:rPr>
        <w:t xml:space="preserve">Targeted </w:t>
      </w:r>
      <w:r w:rsidR="006A7B58" w:rsidRPr="00BA60F0">
        <w:rPr>
          <w:rFonts w:ascii="Book Antiqua" w:hAnsi="Book Antiqua" w:cs="Arial"/>
          <w:sz w:val="24"/>
          <w:szCs w:val="24"/>
          <w:lang w:val="en-US"/>
        </w:rPr>
        <w:t xml:space="preserve">therapy; </w:t>
      </w:r>
      <w:r w:rsidR="00A6109F" w:rsidRPr="00BA60F0">
        <w:rPr>
          <w:rFonts w:ascii="Book Antiqua" w:hAnsi="Book Antiqua" w:cs="Arial"/>
          <w:sz w:val="24"/>
          <w:szCs w:val="24"/>
          <w:lang w:val="en-US"/>
        </w:rPr>
        <w:t>Taxane</w:t>
      </w:r>
      <w:r w:rsidR="006A7B58" w:rsidRPr="00BA60F0">
        <w:rPr>
          <w:rFonts w:ascii="Book Antiqua" w:hAnsi="Book Antiqua" w:cs="Arial"/>
          <w:sz w:val="24"/>
          <w:szCs w:val="24"/>
          <w:lang w:val="en-US"/>
        </w:rPr>
        <w:t xml:space="preserve">; </w:t>
      </w:r>
      <w:r w:rsidR="00A6109F" w:rsidRPr="00BA60F0">
        <w:rPr>
          <w:rFonts w:ascii="Book Antiqua" w:hAnsi="Book Antiqua" w:cs="Arial"/>
          <w:sz w:val="24"/>
          <w:szCs w:val="24"/>
          <w:lang w:val="en-US"/>
        </w:rPr>
        <w:t>Irinotecan</w:t>
      </w:r>
      <w:r w:rsidR="006A7B58" w:rsidRPr="00BA60F0">
        <w:rPr>
          <w:rFonts w:ascii="Book Antiqua" w:hAnsi="Book Antiqua" w:cs="Arial"/>
          <w:sz w:val="24"/>
          <w:szCs w:val="24"/>
          <w:lang w:val="en-US"/>
        </w:rPr>
        <w:t xml:space="preserve">; </w:t>
      </w:r>
      <w:r w:rsidR="00A6109F" w:rsidRPr="00BA60F0">
        <w:rPr>
          <w:rFonts w:ascii="Book Antiqua" w:hAnsi="Book Antiqua" w:cs="Arial"/>
          <w:sz w:val="24"/>
          <w:szCs w:val="24"/>
          <w:lang w:val="en-US"/>
        </w:rPr>
        <w:t>Ramucirumab</w:t>
      </w:r>
    </w:p>
    <w:p w:rsidR="00BA60F0" w:rsidRDefault="00BA60F0" w:rsidP="00746849">
      <w:pPr>
        <w:adjustRightInd w:val="0"/>
        <w:snapToGrid w:val="0"/>
        <w:spacing w:after="0" w:line="360" w:lineRule="auto"/>
        <w:jc w:val="both"/>
        <w:rPr>
          <w:rFonts w:ascii="Book Antiqua" w:hAnsi="Book Antiqua" w:cs="Arial"/>
          <w:b/>
          <w:sz w:val="24"/>
          <w:szCs w:val="24"/>
          <w:lang w:val="en-US" w:eastAsia="zh-CN"/>
        </w:rPr>
      </w:pPr>
    </w:p>
    <w:p w:rsidR="00A6109F" w:rsidRDefault="00A6109F" w:rsidP="00746849">
      <w:pPr>
        <w:autoSpaceDE w:val="0"/>
        <w:autoSpaceDN w:val="0"/>
        <w:adjustRightInd w:val="0"/>
        <w:snapToGrid w:val="0"/>
        <w:spacing w:after="0" w:line="360" w:lineRule="auto"/>
        <w:rPr>
          <w:rFonts w:ascii="Book Antiqua" w:hAnsi="Book Antiqua" w:cs="Arial Unicode MS"/>
          <w:sz w:val="24"/>
        </w:rPr>
      </w:pPr>
      <w:bookmarkStart w:id="10" w:name="OLE_LINK98"/>
      <w:bookmarkStart w:id="11" w:name="OLE_LINK156"/>
      <w:bookmarkStart w:id="12" w:name="OLE_LINK196"/>
      <w:bookmarkStart w:id="13" w:name="OLE_LINK217"/>
      <w:bookmarkStart w:id="14" w:name="OLE_LINK242"/>
      <w:bookmarkStart w:id="15" w:name="OLE_LINK247"/>
      <w:bookmarkStart w:id="16" w:name="OLE_LINK311"/>
      <w:bookmarkStart w:id="17" w:name="OLE_LINK312"/>
      <w:bookmarkStart w:id="18" w:name="OLE_LINK325"/>
      <w:bookmarkStart w:id="19" w:name="OLE_LINK330"/>
      <w:bookmarkStart w:id="20" w:name="OLE_LINK513"/>
      <w:bookmarkStart w:id="21" w:name="OLE_LINK514"/>
      <w:bookmarkStart w:id="22" w:name="OLE_LINK464"/>
      <w:bookmarkStart w:id="23" w:name="OLE_LINK465"/>
      <w:bookmarkStart w:id="24" w:name="OLE_LINK466"/>
      <w:bookmarkStart w:id="25" w:name="OLE_LINK470"/>
      <w:bookmarkStart w:id="26" w:name="OLE_LINK471"/>
      <w:bookmarkStart w:id="27" w:name="OLE_LINK472"/>
      <w:bookmarkStart w:id="28" w:name="OLE_LINK474"/>
      <w:bookmarkStart w:id="29" w:name="OLE_LINK512"/>
      <w:bookmarkStart w:id="30" w:name="OLE_LINK800"/>
      <w:bookmarkStart w:id="31" w:name="OLE_LINK982"/>
      <w:bookmarkStart w:id="32" w:name="OLE_LINK1027"/>
      <w:bookmarkStart w:id="33" w:name="OLE_LINK504"/>
      <w:bookmarkStart w:id="34" w:name="OLE_LINK546"/>
      <w:bookmarkStart w:id="35" w:name="OLE_LINK547"/>
      <w:bookmarkStart w:id="36" w:name="OLE_LINK575"/>
      <w:bookmarkStart w:id="37" w:name="OLE_LINK640"/>
      <w:bookmarkStart w:id="38" w:name="OLE_LINK672"/>
      <w:bookmarkStart w:id="39" w:name="OLE_LINK714"/>
      <w:bookmarkStart w:id="40" w:name="OLE_LINK651"/>
      <w:bookmarkStart w:id="41" w:name="OLE_LINK652"/>
      <w:bookmarkStart w:id="42" w:name="OLE_LINK744"/>
      <w:bookmarkStart w:id="43" w:name="OLE_LINK758"/>
      <w:bookmarkStart w:id="44" w:name="OLE_LINK787"/>
      <w:bookmarkStart w:id="45" w:name="OLE_LINK807"/>
      <w:bookmarkStart w:id="46" w:name="OLE_LINK820"/>
      <w:bookmarkStart w:id="47" w:name="OLE_LINK862"/>
      <w:bookmarkStart w:id="48" w:name="OLE_LINK879"/>
      <w:bookmarkStart w:id="49" w:name="OLE_LINK906"/>
      <w:bookmarkStart w:id="50" w:name="OLE_LINK928"/>
      <w:bookmarkStart w:id="51" w:name="OLE_LINK960"/>
      <w:bookmarkStart w:id="52" w:name="OLE_LINK861"/>
      <w:bookmarkStart w:id="53" w:name="OLE_LINK983"/>
      <w:bookmarkStart w:id="54" w:name="OLE_LINK1334"/>
      <w:bookmarkStart w:id="55" w:name="OLE_LINK1029"/>
      <w:bookmarkStart w:id="56" w:name="OLE_LINK1060"/>
      <w:bookmarkStart w:id="57" w:name="OLE_LINK1061"/>
      <w:bookmarkStart w:id="58" w:name="OLE_LINK1348"/>
      <w:bookmarkStart w:id="59" w:name="OLE_LINK1086"/>
      <w:bookmarkStart w:id="60" w:name="OLE_LINK1100"/>
      <w:bookmarkStart w:id="61" w:name="OLE_LINK1125"/>
      <w:bookmarkStart w:id="62" w:name="OLE_LINK1163"/>
      <w:bookmarkStart w:id="63" w:name="OLE_LINK1193"/>
      <w:bookmarkStart w:id="64" w:name="OLE_LINK1219"/>
      <w:bookmarkStart w:id="65" w:name="OLE_LINK1247"/>
      <w:bookmarkStart w:id="66" w:name="OLE_LINK1284"/>
      <w:bookmarkStart w:id="67" w:name="OLE_LINK1313"/>
      <w:bookmarkStart w:id="68" w:name="OLE_LINK1361"/>
      <w:bookmarkStart w:id="69" w:name="OLE_LINK1384"/>
      <w:bookmarkStart w:id="70" w:name="OLE_LINK1403"/>
      <w:bookmarkStart w:id="71" w:name="OLE_LINK1437"/>
      <w:bookmarkStart w:id="72" w:name="OLE_LINK1454"/>
      <w:bookmarkStart w:id="73" w:name="OLE_LINK1480"/>
      <w:bookmarkStart w:id="74" w:name="OLE_LINK1504"/>
      <w:bookmarkStart w:id="75" w:name="OLE_LINK1516"/>
      <w:bookmarkStart w:id="76" w:name="OLE_LINK135"/>
      <w:bookmarkStart w:id="77" w:name="OLE_LINK216"/>
      <w:bookmarkStart w:id="78" w:name="OLE_LINK259"/>
      <w:bookmarkStart w:id="79" w:name="OLE_LINK1186"/>
      <w:bookmarkStart w:id="80" w:name="OLE_LINK1265"/>
      <w:bookmarkStart w:id="81" w:name="OLE_LINK1373"/>
      <w:bookmarkStart w:id="82" w:name="OLE_LINK1478"/>
      <w:bookmarkStart w:id="83" w:name="OLE_LINK1644"/>
      <w:bookmarkStart w:id="84" w:name="OLE_LINK1884"/>
      <w:bookmarkStart w:id="85" w:name="OLE_LINK1885"/>
      <w:bookmarkStart w:id="86" w:name="OLE_LINK1538"/>
      <w:bookmarkStart w:id="87" w:name="OLE_LINK1539"/>
      <w:bookmarkStart w:id="88" w:name="OLE_LINK1543"/>
      <w:bookmarkStart w:id="89" w:name="OLE_LINK1549"/>
      <w:bookmarkStart w:id="90" w:name="OLE_LINK1778"/>
      <w:bookmarkStart w:id="91" w:name="OLE_LINK1756"/>
      <w:bookmarkStart w:id="92" w:name="OLE_LINK1776"/>
      <w:bookmarkStart w:id="93" w:name="OLE_LINK1777"/>
      <w:bookmarkStart w:id="94" w:name="OLE_LINK1868"/>
      <w:bookmarkStart w:id="95" w:name="OLE_LINK1744"/>
      <w:bookmarkStart w:id="96" w:name="OLE_LINK1817"/>
      <w:bookmarkStart w:id="97" w:name="OLE_LINK1835"/>
      <w:bookmarkStart w:id="98" w:name="OLE_LINK1866"/>
      <w:bookmarkStart w:id="99" w:name="OLE_LINK1882"/>
      <w:bookmarkStart w:id="100" w:name="OLE_LINK1901"/>
      <w:bookmarkStart w:id="101" w:name="OLE_LINK1902"/>
      <w:bookmarkStart w:id="102" w:name="OLE_LINK2013"/>
      <w:bookmarkStart w:id="103" w:name="OLE_LINK1894"/>
      <w:bookmarkStart w:id="104" w:name="OLE_LINK1929"/>
      <w:bookmarkStart w:id="105" w:name="OLE_LINK1941"/>
      <w:bookmarkStart w:id="106" w:name="OLE_LINK1995"/>
      <w:bookmarkStart w:id="107" w:name="OLE_LINK1938"/>
      <w:bookmarkStart w:id="108" w:name="OLE_LINK2081"/>
      <w:bookmarkStart w:id="109" w:name="OLE_LINK2082"/>
      <w:bookmarkStart w:id="110" w:name="OLE_LINK2292"/>
      <w:bookmarkStart w:id="111" w:name="OLE_LINK1931"/>
      <w:bookmarkStart w:id="112" w:name="OLE_LINK1964"/>
      <w:bookmarkStart w:id="113" w:name="OLE_LINK2020"/>
      <w:bookmarkStart w:id="114" w:name="OLE_LINK2071"/>
      <w:bookmarkStart w:id="115" w:name="OLE_LINK2134"/>
      <w:bookmarkStart w:id="116" w:name="OLE_LINK2265"/>
      <w:bookmarkStart w:id="117" w:name="OLE_LINK2562"/>
      <w:bookmarkStart w:id="118" w:name="OLE_LINK1923"/>
      <w:bookmarkStart w:id="119" w:name="OLE_LINK2192"/>
      <w:bookmarkStart w:id="120" w:name="OLE_LINK2110"/>
      <w:bookmarkStart w:id="121" w:name="OLE_LINK2445"/>
      <w:bookmarkStart w:id="122" w:name="OLE_LINK2446"/>
      <w:bookmarkStart w:id="123" w:name="OLE_LINK2169"/>
      <w:bookmarkStart w:id="124" w:name="OLE_LINK2190"/>
      <w:bookmarkStart w:id="125" w:name="OLE_LINK2331"/>
      <w:bookmarkStart w:id="126" w:name="OLE_LINK2345"/>
      <w:bookmarkStart w:id="127" w:name="OLE_LINK2467"/>
      <w:bookmarkStart w:id="128" w:name="OLE_LINK2484"/>
      <w:bookmarkStart w:id="129" w:name="OLE_LINK2157"/>
      <w:bookmarkStart w:id="130" w:name="OLE_LINK2221"/>
      <w:bookmarkStart w:id="131" w:name="OLE_LINK2252"/>
      <w:bookmarkStart w:id="132" w:name="OLE_LINK2348"/>
      <w:bookmarkStart w:id="133" w:name="OLE_LINK2451"/>
      <w:bookmarkStart w:id="134" w:name="OLE_LINK2627"/>
      <w:bookmarkStart w:id="135" w:name="OLE_LINK2482"/>
      <w:bookmarkStart w:id="136" w:name="OLE_LINK2663"/>
      <w:bookmarkStart w:id="137" w:name="OLE_LINK2761"/>
      <w:bookmarkStart w:id="138" w:name="OLE_LINK2856"/>
      <w:bookmarkStart w:id="139" w:name="OLE_LINK2993"/>
      <w:bookmarkStart w:id="140" w:name="OLE_LINK2643"/>
      <w:bookmarkStart w:id="141" w:name="OLE_LINK2583"/>
      <w:bookmarkStart w:id="142" w:name="OLE_LINK2762"/>
      <w:bookmarkStart w:id="143" w:name="OLE_LINK2962"/>
      <w:bookmarkStart w:id="144" w:name="OLE_LINK2582"/>
      <w:r w:rsidRPr="00412B34">
        <w:rPr>
          <w:rFonts w:ascii="Book Antiqua" w:hAnsi="Book Antiqua"/>
          <w:b/>
          <w:color w:val="000000"/>
          <w:sz w:val="24"/>
          <w:lang w:val="en-GB"/>
        </w:rPr>
        <w:t xml:space="preserve">© </w:t>
      </w:r>
      <w:r w:rsidRPr="00412B34">
        <w:rPr>
          <w:rFonts w:ascii="Book Antiqua" w:eastAsia="AdvTimes" w:hAnsi="Book Antiqua" w:cs="AdvTimes"/>
          <w:b/>
          <w:color w:val="000000"/>
          <w:sz w:val="24"/>
        </w:rPr>
        <w:t>The Author(s) 2015.</w:t>
      </w:r>
      <w:r w:rsidRPr="004269F8">
        <w:rPr>
          <w:rFonts w:ascii="Book Antiqua" w:eastAsia="AdvTimes" w:hAnsi="Book Antiqua" w:cs="AdvTimes"/>
          <w:color w:val="000000"/>
          <w:sz w:val="24"/>
        </w:rPr>
        <w:t xml:space="preserve"> </w:t>
      </w:r>
      <w:r w:rsidRPr="00897D49">
        <w:rPr>
          <w:rFonts w:ascii="Book Antiqua" w:eastAsia="AdvTimes" w:hAnsi="Book Antiqua" w:cs="AdvTimes"/>
          <w:color w:val="000000"/>
          <w:sz w:val="24"/>
        </w:rPr>
        <w:t>Published by</w:t>
      </w:r>
      <w:r w:rsidRPr="004269F8">
        <w:rPr>
          <w:rFonts w:ascii="Book Antiqua" w:eastAsia="AdvTimes" w:hAnsi="Book Antiqua" w:cs="AdvTimes"/>
          <w:color w:val="000000"/>
          <w:sz w:val="24"/>
        </w:rPr>
        <w:t xml:space="preserve"> </w:t>
      </w:r>
      <w:r w:rsidRPr="004269F8">
        <w:rPr>
          <w:rFonts w:ascii="Book Antiqua" w:hAnsi="Book Antiqua" w:cs="Arial Unicode MS"/>
          <w:color w:val="000000"/>
          <w:sz w:val="24"/>
          <w:lang w:val="en-GB"/>
        </w:rPr>
        <w:t>Baishideng Publishing Group Inc.</w:t>
      </w:r>
      <w:r w:rsidRPr="008E6844">
        <w:rPr>
          <w:rFonts w:ascii="Book Antiqua" w:hAnsi="Book Antiqua" w:cs="Arial Unicode MS"/>
          <w:sz w:val="24"/>
        </w:rPr>
        <w:t xml:space="preserve"> </w:t>
      </w:r>
      <w:r w:rsidRPr="00836DCC">
        <w:rPr>
          <w:rFonts w:ascii="Book Antiqua" w:hAnsi="Book Antiqua" w:cs="Arial Unicode MS"/>
          <w:sz w:val="24"/>
        </w:rPr>
        <w:t>All rights reserved.</w:t>
      </w:r>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p>
    <w:p w:rsidR="00A6109F" w:rsidRDefault="00A6109F" w:rsidP="00746849">
      <w:pPr>
        <w:adjustRightInd w:val="0"/>
        <w:snapToGrid w:val="0"/>
        <w:spacing w:after="0" w:line="360" w:lineRule="auto"/>
        <w:jc w:val="both"/>
        <w:rPr>
          <w:rFonts w:ascii="Book Antiqua" w:hAnsi="Book Antiqua" w:cs="Arial"/>
          <w:b/>
          <w:sz w:val="24"/>
          <w:szCs w:val="24"/>
          <w:lang w:val="en-US" w:eastAsia="zh-CN"/>
        </w:rPr>
      </w:pPr>
    </w:p>
    <w:p w:rsidR="00157AED" w:rsidRDefault="00157AED" w:rsidP="00746849">
      <w:pPr>
        <w:adjustRightInd w:val="0"/>
        <w:snapToGrid w:val="0"/>
        <w:spacing w:after="0" w:line="360" w:lineRule="auto"/>
        <w:jc w:val="both"/>
        <w:rPr>
          <w:rFonts w:ascii="Book Antiqua" w:hAnsi="Book Antiqua" w:cs="Arial"/>
          <w:sz w:val="24"/>
          <w:szCs w:val="24"/>
          <w:lang w:val="en-US" w:eastAsia="zh-CN"/>
        </w:rPr>
      </w:pPr>
      <w:r w:rsidRPr="00BA60F0">
        <w:rPr>
          <w:rFonts w:ascii="Book Antiqua" w:hAnsi="Book Antiqua" w:cs="Arial"/>
          <w:b/>
          <w:sz w:val="24"/>
          <w:szCs w:val="24"/>
          <w:lang w:val="en-US"/>
        </w:rPr>
        <w:t>Core tip:</w:t>
      </w:r>
      <w:bookmarkEnd w:id="7"/>
      <w:bookmarkEnd w:id="8"/>
      <w:bookmarkEnd w:id="9"/>
      <w:r w:rsidRPr="00BA60F0">
        <w:rPr>
          <w:rFonts w:ascii="Book Antiqua" w:eastAsia="Arial Unicode MS" w:hAnsi="Book Antiqua" w:cs="Arial Unicode MS"/>
          <w:b/>
          <w:sz w:val="24"/>
          <w:szCs w:val="24"/>
          <w:lang w:val="en-US"/>
        </w:rPr>
        <w:t xml:space="preserve"> </w:t>
      </w:r>
      <w:bookmarkStart w:id="145" w:name="OLE_LINK21"/>
      <w:bookmarkStart w:id="146" w:name="OLE_LINK22"/>
      <w:r w:rsidR="00410BC4" w:rsidRPr="00BA60F0">
        <w:rPr>
          <w:rFonts w:ascii="Book Antiqua" w:hAnsi="Book Antiqua" w:cs="Arial"/>
          <w:sz w:val="24"/>
          <w:szCs w:val="24"/>
          <w:lang w:val="en-US"/>
        </w:rPr>
        <w:t>This systematic review has analyzed the current</w:t>
      </w:r>
      <w:r w:rsidR="00B61576" w:rsidRPr="00BA60F0">
        <w:rPr>
          <w:rFonts w:ascii="Book Antiqua" w:hAnsi="Book Antiqua" w:cs="Arial"/>
          <w:sz w:val="24"/>
          <w:szCs w:val="24"/>
          <w:lang w:val="en-US"/>
        </w:rPr>
        <w:t>ly available treatment options with chemotherapy and targeted agents</w:t>
      </w:r>
      <w:r w:rsidR="00410BC4" w:rsidRPr="00BA60F0">
        <w:rPr>
          <w:rFonts w:ascii="Book Antiqua" w:hAnsi="Book Antiqua" w:cs="Arial"/>
          <w:sz w:val="24"/>
          <w:szCs w:val="24"/>
          <w:lang w:val="en-US"/>
        </w:rPr>
        <w:t xml:space="preserve"> in the second-line </w:t>
      </w:r>
      <w:r w:rsidR="00D10F1E" w:rsidRPr="00BA60F0">
        <w:rPr>
          <w:rFonts w:ascii="Book Antiqua" w:hAnsi="Book Antiqua" w:cs="Arial"/>
          <w:sz w:val="24"/>
          <w:szCs w:val="24"/>
          <w:lang w:val="en-US"/>
        </w:rPr>
        <w:t>treatment</w:t>
      </w:r>
      <w:r w:rsidR="00B61576" w:rsidRPr="00BA60F0">
        <w:rPr>
          <w:rFonts w:ascii="Book Antiqua" w:hAnsi="Book Antiqua" w:cs="Arial"/>
          <w:sz w:val="24"/>
          <w:szCs w:val="24"/>
          <w:lang w:val="en-US"/>
        </w:rPr>
        <w:t xml:space="preserve"> of metastatic gastric cancer</w:t>
      </w:r>
      <w:r w:rsidR="00410BC4" w:rsidRPr="00BA60F0">
        <w:rPr>
          <w:rFonts w:ascii="Book Antiqua" w:hAnsi="Book Antiqua" w:cs="Arial"/>
          <w:sz w:val="24"/>
          <w:szCs w:val="24"/>
          <w:lang w:val="en-US"/>
        </w:rPr>
        <w:t xml:space="preserve">. </w:t>
      </w:r>
      <w:r w:rsidR="00B61576" w:rsidRPr="00BA60F0">
        <w:rPr>
          <w:rFonts w:ascii="Book Antiqua" w:hAnsi="Book Antiqua" w:cs="Arial"/>
          <w:sz w:val="24"/>
          <w:szCs w:val="24"/>
          <w:lang w:val="en-US"/>
        </w:rPr>
        <w:t>In addition</w:t>
      </w:r>
      <w:r w:rsidR="00410BC4" w:rsidRPr="00BA60F0">
        <w:rPr>
          <w:rFonts w:ascii="Book Antiqua" w:hAnsi="Book Antiqua" w:cs="Arial"/>
          <w:sz w:val="24"/>
          <w:szCs w:val="24"/>
          <w:lang w:val="en-US"/>
        </w:rPr>
        <w:t xml:space="preserve">, </w:t>
      </w:r>
      <w:r w:rsidR="00B61576" w:rsidRPr="00BA60F0">
        <w:rPr>
          <w:rFonts w:ascii="Book Antiqua" w:hAnsi="Book Antiqua" w:cs="Arial"/>
          <w:sz w:val="24"/>
          <w:szCs w:val="24"/>
          <w:lang w:val="en-US"/>
        </w:rPr>
        <w:t xml:space="preserve">this review has discussed </w:t>
      </w:r>
      <w:r w:rsidR="00410BC4" w:rsidRPr="00BA60F0">
        <w:rPr>
          <w:rFonts w:ascii="Book Antiqua" w:hAnsi="Book Antiqua" w:cs="Arial"/>
          <w:sz w:val="24"/>
          <w:szCs w:val="24"/>
          <w:lang w:val="en-US"/>
        </w:rPr>
        <w:t xml:space="preserve">the future directions </w:t>
      </w:r>
      <w:r w:rsidR="00B61576" w:rsidRPr="00BA60F0">
        <w:rPr>
          <w:rFonts w:ascii="Book Antiqua" w:hAnsi="Book Antiqua" w:cs="Arial"/>
          <w:sz w:val="24"/>
          <w:szCs w:val="24"/>
          <w:lang w:val="en-US"/>
        </w:rPr>
        <w:t xml:space="preserve">of research </w:t>
      </w:r>
      <w:r w:rsidR="00CF25DA" w:rsidRPr="00BA60F0">
        <w:rPr>
          <w:rFonts w:ascii="Book Antiqua" w:hAnsi="Book Antiqua" w:cs="Arial"/>
          <w:sz w:val="24"/>
          <w:szCs w:val="24"/>
          <w:lang w:val="en-US"/>
        </w:rPr>
        <w:t>and the prognostic factors that influence patient survival in those receiving second-line therapy for</w:t>
      </w:r>
      <w:r w:rsidR="00B61576" w:rsidRPr="00BA60F0">
        <w:rPr>
          <w:rFonts w:ascii="Book Antiqua" w:hAnsi="Book Antiqua" w:cs="Arial"/>
          <w:sz w:val="24"/>
          <w:szCs w:val="24"/>
          <w:lang w:val="en-US"/>
        </w:rPr>
        <w:t xml:space="preserve"> metastatic gastric cancer</w:t>
      </w:r>
      <w:r w:rsidR="00410BC4" w:rsidRPr="00BA60F0">
        <w:rPr>
          <w:rFonts w:ascii="Book Antiqua" w:hAnsi="Book Antiqua" w:cs="Arial"/>
          <w:sz w:val="24"/>
          <w:szCs w:val="24"/>
          <w:lang w:val="en-US"/>
        </w:rPr>
        <w:t>.</w:t>
      </w:r>
    </w:p>
    <w:p w:rsidR="00A6109F" w:rsidRDefault="00A6109F" w:rsidP="00746849">
      <w:pPr>
        <w:adjustRightInd w:val="0"/>
        <w:snapToGrid w:val="0"/>
        <w:spacing w:after="0" w:line="360" w:lineRule="auto"/>
        <w:jc w:val="both"/>
        <w:rPr>
          <w:rFonts w:ascii="Book Antiqua" w:hAnsi="Book Antiqua" w:cs="Arial"/>
          <w:sz w:val="24"/>
          <w:szCs w:val="24"/>
          <w:lang w:val="en-US" w:eastAsia="zh-CN"/>
        </w:rPr>
      </w:pPr>
    </w:p>
    <w:p w:rsidR="00A6109F" w:rsidRPr="00A6109F" w:rsidRDefault="00A6109F" w:rsidP="00746849">
      <w:pPr>
        <w:adjustRightInd w:val="0"/>
        <w:snapToGrid w:val="0"/>
        <w:spacing w:after="0" w:line="360" w:lineRule="auto"/>
        <w:jc w:val="both"/>
        <w:rPr>
          <w:rFonts w:ascii="Book Antiqua" w:hAnsi="Book Antiqua" w:cs="Tahoma"/>
          <w:color w:val="231F20"/>
          <w:sz w:val="24"/>
          <w:szCs w:val="24"/>
          <w:lang w:val="en-US" w:eastAsia="zh-CN"/>
        </w:rPr>
      </w:pPr>
      <w:r w:rsidRPr="0044152C">
        <w:rPr>
          <w:rFonts w:ascii="Book Antiqua" w:hAnsi="Book Antiqua" w:cs="Tahoma"/>
          <w:color w:val="231F20"/>
          <w:sz w:val="24"/>
          <w:szCs w:val="24"/>
          <w:lang w:val="en-US"/>
        </w:rPr>
        <w:t>Kanagavel</w:t>
      </w:r>
      <w:r>
        <w:rPr>
          <w:rFonts w:ascii="Book Antiqua" w:hAnsi="Book Antiqua" w:cs="Tahoma" w:hint="eastAsia"/>
          <w:color w:val="231F20"/>
          <w:sz w:val="24"/>
          <w:szCs w:val="24"/>
          <w:lang w:val="en-US" w:eastAsia="zh-CN"/>
        </w:rPr>
        <w:t xml:space="preserve"> D</w:t>
      </w:r>
      <w:r w:rsidRPr="0044152C">
        <w:rPr>
          <w:rFonts w:ascii="Book Antiqua" w:hAnsi="Book Antiqua" w:cs="Tahoma"/>
          <w:color w:val="231F20"/>
          <w:sz w:val="24"/>
          <w:szCs w:val="24"/>
          <w:lang w:val="en-US"/>
        </w:rPr>
        <w:t>, Fedyanin</w:t>
      </w:r>
      <w:r>
        <w:rPr>
          <w:rFonts w:ascii="Book Antiqua" w:hAnsi="Book Antiqua" w:cs="Tahoma" w:hint="eastAsia"/>
          <w:color w:val="231F20"/>
          <w:sz w:val="24"/>
          <w:szCs w:val="24"/>
          <w:lang w:val="en-US" w:eastAsia="zh-CN"/>
        </w:rPr>
        <w:t xml:space="preserve"> M</w:t>
      </w:r>
      <w:r w:rsidRPr="0044152C">
        <w:rPr>
          <w:rFonts w:ascii="Book Antiqua" w:hAnsi="Book Antiqua" w:cs="Tahoma"/>
          <w:color w:val="231F20"/>
          <w:sz w:val="24"/>
          <w:szCs w:val="24"/>
          <w:lang w:val="en-US"/>
        </w:rPr>
        <w:t>, Tryakin</w:t>
      </w:r>
      <w:r>
        <w:rPr>
          <w:rFonts w:ascii="Book Antiqua" w:hAnsi="Book Antiqua" w:cs="Tahoma" w:hint="eastAsia"/>
          <w:color w:val="231F20"/>
          <w:sz w:val="24"/>
          <w:szCs w:val="24"/>
          <w:lang w:val="en-US" w:eastAsia="zh-CN"/>
        </w:rPr>
        <w:t xml:space="preserve"> A</w:t>
      </w:r>
      <w:r w:rsidRPr="0044152C">
        <w:rPr>
          <w:rFonts w:ascii="Book Antiqua" w:hAnsi="Book Antiqua" w:cs="Tahoma"/>
          <w:color w:val="231F20"/>
          <w:sz w:val="24"/>
          <w:szCs w:val="24"/>
          <w:lang w:val="en-US"/>
        </w:rPr>
        <w:t>, Tjulandin</w:t>
      </w:r>
      <w:r>
        <w:rPr>
          <w:rFonts w:ascii="Book Antiqua" w:hAnsi="Book Antiqua" w:cs="Tahoma" w:hint="eastAsia"/>
          <w:color w:val="231F20"/>
          <w:sz w:val="24"/>
          <w:szCs w:val="24"/>
          <w:lang w:val="en-US" w:eastAsia="zh-CN"/>
        </w:rPr>
        <w:t xml:space="preserve"> S. </w:t>
      </w:r>
      <w:r w:rsidRPr="00A6109F">
        <w:rPr>
          <w:rFonts w:ascii="Book Antiqua" w:hAnsi="Book Antiqua" w:cs="Tahoma"/>
          <w:color w:val="231F20"/>
          <w:sz w:val="24"/>
          <w:szCs w:val="24"/>
          <w:lang w:val="en-US"/>
        </w:rPr>
        <w:t xml:space="preserve">Second-line treatment of metastatic gastric cancer: </w:t>
      </w:r>
      <w:r w:rsidRPr="00A6109F">
        <w:rPr>
          <w:rFonts w:ascii="Book Antiqua" w:hAnsi="Book Antiqua" w:cs="Tahoma"/>
          <w:caps/>
          <w:color w:val="231F20"/>
          <w:sz w:val="24"/>
          <w:szCs w:val="24"/>
          <w:lang w:val="en-US"/>
        </w:rPr>
        <w:t>c</w:t>
      </w:r>
      <w:r w:rsidRPr="00A6109F">
        <w:rPr>
          <w:rFonts w:ascii="Book Antiqua" w:hAnsi="Book Antiqua" w:cs="Tahoma"/>
          <w:color w:val="231F20"/>
          <w:sz w:val="24"/>
          <w:szCs w:val="24"/>
          <w:lang w:val="en-US"/>
        </w:rPr>
        <w:t>urrent options and future directions</w:t>
      </w:r>
      <w:r>
        <w:rPr>
          <w:rFonts w:ascii="Book Antiqua" w:hAnsi="Book Antiqua" w:cs="Tahoma" w:hint="eastAsia"/>
          <w:color w:val="231F20"/>
          <w:sz w:val="24"/>
          <w:szCs w:val="24"/>
          <w:lang w:val="en-US" w:eastAsia="zh-CN"/>
        </w:rPr>
        <w:t xml:space="preserve">. </w:t>
      </w:r>
      <w:r w:rsidRPr="00A6109F">
        <w:rPr>
          <w:rFonts w:ascii="Book Antiqua" w:hAnsi="Book Antiqua" w:cs="Tahoma"/>
          <w:i/>
          <w:color w:val="231F20"/>
          <w:sz w:val="24"/>
          <w:szCs w:val="24"/>
          <w:lang w:val="en-US" w:eastAsia="zh-CN"/>
        </w:rPr>
        <w:t>World J Gastroenterol</w:t>
      </w:r>
      <w:r w:rsidRPr="00A6109F">
        <w:rPr>
          <w:rFonts w:ascii="Book Antiqua" w:hAnsi="Book Antiqua" w:cs="Tahoma"/>
          <w:color w:val="231F20"/>
          <w:sz w:val="24"/>
          <w:szCs w:val="24"/>
          <w:lang w:val="en-US" w:eastAsia="zh-CN"/>
        </w:rPr>
        <w:t xml:space="preserve"> 201</w:t>
      </w:r>
      <w:r w:rsidRPr="00A6109F">
        <w:rPr>
          <w:rFonts w:ascii="Book Antiqua" w:hAnsi="Book Antiqua" w:cs="Tahoma" w:hint="eastAsia"/>
          <w:color w:val="231F20"/>
          <w:sz w:val="24"/>
          <w:szCs w:val="24"/>
          <w:lang w:val="en-US" w:eastAsia="zh-CN"/>
        </w:rPr>
        <w:t>5</w:t>
      </w:r>
      <w:r w:rsidRPr="00A6109F">
        <w:rPr>
          <w:rFonts w:ascii="Book Antiqua" w:hAnsi="Book Antiqua" w:cs="Tahoma"/>
          <w:color w:val="231F20"/>
          <w:sz w:val="24"/>
          <w:szCs w:val="24"/>
          <w:lang w:val="en-US" w:eastAsia="zh-CN"/>
        </w:rPr>
        <w:t>; In press</w:t>
      </w:r>
    </w:p>
    <w:p w:rsidR="00A6109F" w:rsidRPr="00A6109F" w:rsidRDefault="00A6109F" w:rsidP="00746849">
      <w:pPr>
        <w:adjustRightInd w:val="0"/>
        <w:snapToGrid w:val="0"/>
        <w:spacing w:after="0" w:line="360" w:lineRule="auto"/>
        <w:jc w:val="both"/>
        <w:rPr>
          <w:rFonts w:ascii="Book Antiqua" w:hAnsi="Book Antiqua" w:cs="Tahoma"/>
          <w:color w:val="231F20"/>
          <w:sz w:val="24"/>
          <w:szCs w:val="24"/>
          <w:lang w:val="en-US" w:eastAsia="zh-CN"/>
        </w:rPr>
      </w:pPr>
    </w:p>
    <w:p w:rsidR="00A6109F" w:rsidRDefault="00A6109F" w:rsidP="00746849">
      <w:pPr>
        <w:adjustRightInd w:val="0"/>
        <w:snapToGrid w:val="0"/>
        <w:spacing w:after="0" w:line="360" w:lineRule="auto"/>
        <w:jc w:val="both"/>
        <w:rPr>
          <w:rFonts w:ascii="Book Antiqua" w:hAnsi="Book Antiqua" w:cs="Arial"/>
          <w:sz w:val="24"/>
          <w:szCs w:val="24"/>
          <w:lang w:val="en-US" w:eastAsia="zh-CN"/>
        </w:rPr>
      </w:pPr>
      <w:r>
        <w:rPr>
          <w:rFonts w:ascii="Book Antiqua" w:hAnsi="Book Antiqua" w:cs="Arial"/>
          <w:sz w:val="24"/>
          <w:szCs w:val="24"/>
          <w:lang w:val="en-US" w:eastAsia="zh-CN"/>
        </w:rPr>
        <w:br w:type="page"/>
      </w:r>
    </w:p>
    <w:bookmarkEnd w:id="145"/>
    <w:bookmarkEnd w:id="146"/>
    <w:p w:rsidR="006A7B58" w:rsidRPr="00BA60F0" w:rsidRDefault="006A7B58" w:rsidP="00746849">
      <w:pPr>
        <w:adjustRightInd w:val="0"/>
        <w:snapToGrid w:val="0"/>
        <w:spacing w:after="0" w:line="360" w:lineRule="auto"/>
        <w:jc w:val="both"/>
        <w:rPr>
          <w:rFonts w:ascii="Book Antiqua" w:hAnsi="Book Antiqua" w:cs="Arial"/>
          <w:b/>
          <w:sz w:val="24"/>
          <w:szCs w:val="24"/>
          <w:lang w:val="en-US"/>
        </w:rPr>
      </w:pPr>
      <w:r w:rsidRPr="00BA60F0">
        <w:rPr>
          <w:rFonts w:ascii="Book Antiqua" w:hAnsi="Book Antiqua" w:cs="Arial"/>
          <w:b/>
          <w:sz w:val="24"/>
          <w:szCs w:val="24"/>
          <w:lang w:val="en-US"/>
        </w:rPr>
        <w:lastRenderedPageBreak/>
        <w:t>INTRODUCTION</w:t>
      </w:r>
    </w:p>
    <w:p w:rsidR="006A7B58" w:rsidRPr="00BA60F0" w:rsidRDefault="006A7B58" w:rsidP="00746849">
      <w:pPr>
        <w:adjustRightInd w:val="0"/>
        <w:snapToGrid w:val="0"/>
        <w:spacing w:after="0" w:line="360" w:lineRule="auto"/>
        <w:jc w:val="both"/>
        <w:rPr>
          <w:rFonts w:ascii="Book Antiqua" w:hAnsi="Book Antiqua" w:cs="Arial"/>
          <w:sz w:val="24"/>
          <w:szCs w:val="24"/>
          <w:lang w:val="en-US"/>
        </w:rPr>
      </w:pPr>
      <w:r w:rsidRPr="00BA60F0">
        <w:rPr>
          <w:rFonts w:ascii="Book Antiqua" w:hAnsi="Book Antiqua" w:cs="Arial"/>
          <w:sz w:val="24"/>
          <w:szCs w:val="24"/>
          <w:lang w:val="en-US"/>
        </w:rPr>
        <w:t>Gastric cancer (GC) remains one of the major causes of cancer-related deaths</w:t>
      </w:r>
      <w:r w:rsidR="00A54716" w:rsidRPr="00BA60F0">
        <w:rPr>
          <w:rFonts w:ascii="Book Antiqua" w:hAnsi="Book Antiqua" w:cs="Arial"/>
          <w:sz w:val="24"/>
          <w:szCs w:val="24"/>
          <w:lang w:val="en-US"/>
        </w:rPr>
        <w:t xml:space="preserve"> ranking at number three</w:t>
      </w:r>
      <w:r w:rsidRPr="00BA60F0">
        <w:rPr>
          <w:rFonts w:ascii="Book Antiqua" w:hAnsi="Book Antiqua" w:cs="Arial"/>
          <w:sz w:val="24"/>
          <w:szCs w:val="24"/>
          <w:lang w:val="en-US"/>
        </w:rPr>
        <w:t xml:space="preserve">, despite its decreasing incidence. About one million new cases of gastric cancer were estimated to have occurred in 2012, making it currently the fifth most common malignancy in the world, behind cancers of the lung, breast, colorectum and prostate. </w:t>
      </w:r>
      <w:r w:rsidR="00A54716" w:rsidRPr="00BA60F0">
        <w:rPr>
          <w:rFonts w:ascii="Book Antiqua" w:hAnsi="Book Antiqua" w:cs="Arial"/>
          <w:sz w:val="24"/>
          <w:szCs w:val="24"/>
          <w:lang w:val="en-US"/>
        </w:rPr>
        <w:t>More than 70% of diagnosed gastric cancer cases are registered in developing countries</w:t>
      </w:r>
      <w:r w:rsidRPr="00BA60F0">
        <w:rPr>
          <w:rFonts w:ascii="Book Antiqua" w:hAnsi="Book Antiqua" w:cs="Arial"/>
          <w:sz w:val="24"/>
          <w:szCs w:val="24"/>
          <w:vertAlign w:val="superscript"/>
          <w:lang w:val="en-US"/>
        </w:rPr>
        <w:t>[1-3]</w:t>
      </w:r>
      <w:r w:rsidRPr="00BA60F0">
        <w:rPr>
          <w:rFonts w:ascii="Book Antiqua" w:hAnsi="Book Antiqua" w:cs="Arial"/>
          <w:sz w:val="24"/>
          <w:szCs w:val="24"/>
          <w:lang w:val="en-US"/>
        </w:rPr>
        <w:t>.</w:t>
      </w:r>
    </w:p>
    <w:p w:rsidR="006A7B58" w:rsidRPr="00BA60F0" w:rsidRDefault="006A7B58" w:rsidP="00746849">
      <w:pPr>
        <w:adjustRightInd w:val="0"/>
        <w:snapToGrid w:val="0"/>
        <w:spacing w:after="0" w:line="360" w:lineRule="auto"/>
        <w:ind w:firstLine="708"/>
        <w:jc w:val="both"/>
        <w:rPr>
          <w:rFonts w:ascii="Book Antiqua" w:hAnsi="Book Antiqua" w:cs="Arial"/>
          <w:sz w:val="24"/>
          <w:szCs w:val="24"/>
          <w:lang w:val="en-US"/>
        </w:rPr>
      </w:pPr>
      <w:r w:rsidRPr="00BA60F0">
        <w:rPr>
          <w:rFonts w:ascii="Book Antiqua" w:hAnsi="Book Antiqua" w:cs="Arial"/>
          <w:sz w:val="24"/>
          <w:szCs w:val="24"/>
          <w:lang w:val="en-US"/>
        </w:rPr>
        <w:t>The disease presents as localized disease in only one-third of patients and as locally advanced or metastatic disease in the remaining two-thirds of patients. Surgery (subtotal or total gastrectomy with radical lymph node dissection) remains the primary mainstay in the treatment of GC. Despite the curative-intent resections,</w:t>
      </w:r>
      <w:r w:rsidR="00634E3B" w:rsidRPr="00BA60F0">
        <w:rPr>
          <w:rFonts w:ascii="Book Antiqua" w:hAnsi="Book Antiqua" w:cs="Arial"/>
          <w:sz w:val="24"/>
          <w:szCs w:val="24"/>
          <w:lang w:val="en-US"/>
        </w:rPr>
        <w:t xml:space="preserve"> in up to 70% of cases,</w:t>
      </w:r>
      <w:r w:rsidRPr="00BA60F0">
        <w:rPr>
          <w:rFonts w:ascii="Book Antiqua" w:hAnsi="Book Antiqua" w:cs="Arial"/>
          <w:sz w:val="24"/>
          <w:szCs w:val="24"/>
          <w:lang w:val="en-US"/>
        </w:rPr>
        <w:t xml:space="preserve"> the relapse rate </w:t>
      </w:r>
      <w:r w:rsidR="00634E3B" w:rsidRPr="00BA60F0">
        <w:rPr>
          <w:rFonts w:ascii="Book Antiqua" w:hAnsi="Book Antiqua" w:cs="Arial"/>
          <w:sz w:val="24"/>
          <w:szCs w:val="24"/>
          <w:lang w:val="en-US"/>
        </w:rPr>
        <w:t>remains high</w:t>
      </w:r>
      <w:r w:rsidRPr="00BA60F0">
        <w:rPr>
          <w:rFonts w:ascii="Book Antiqua" w:hAnsi="Book Antiqua" w:cs="Arial"/>
          <w:sz w:val="24"/>
          <w:szCs w:val="24"/>
          <w:vertAlign w:val="superscript"/>
          <w:lang w:val="en-US"/>
        </w:rPr>
        <w:t>[4]</w:t>
      </w:r>
      <w:r w:rsidRPr="00BA60F0">
        <w:rPr>
          <w:rFonts w:ascii="Book Antiqua" w:hAnsi="Book Antiqua" w:cs="Arial"/>
          <w:sz w:val="24"/>
          <w:szCs w:val="24"/>
          <w:lang w:val="en-US"/>
        </w:rPr>
        <w:t xml:space="preserve">. </w:t>
      </w:r>
      <w:r w:rsidR="00634E3B" w:rsidRPr="00BA60F0">
        <w:rPr>
          <w:rFonts w:ascii="Book Antiqua" w:hAnsi="Book Antiqua" w:cs="Arial"/>
          <w:sz w:val="24"/>
          <w:szCs w:val="24"/>
          <w:lang w:val="en-US"/>
        </w:rPr>
        <w:t>In such patients, 5</w:t>
      </w:r>
      <w:r w:rsidRPr="00BA60F0">
        <w:rPr>
          <w:rFonts w:ascii="Book Antiqua" w:hAnsi="Book Antiqua" w:cs="Arial"/>
          <w:sz w:val="24"/>
          <w:szCs w:val="24"/>
          <w:lang w:val="en-US"/>
        </w:rPr>
        <w:t xml:space="preserve">-year survival rates do not exceed 25% </w:t>
      </w:r>
      <w:r w:rsidR="00634E3B" w:rsidRPr="00BA60F0">
        <w:rPr>
          <w:rFonts w:ascii="Book Antiqua" w:hAnsi="Book Antiqua" w:cs="Arial"/>
          <w:sz w:val="24"/>
          <w:szCs w:val="24"/>
          <w:lang w:val="en-US"/>
        </w:rPr>
        <w:t>and prognosis remains poor</w:t>
      </w:r>
      <w:r w:rsidRPr="00BA60F0">
        <w:rPr>
          <w:rFonts w:ascii="Book Antiqua" w:hAnsi="Book Antiqua" w:cs="Arial"/>
          <w:sz w:val="24"/>
          <w:szCs w:val="24"/>
          <w:vertAlign w:val="superscript"/>
          <w:lang w:val="en-US"/>
        </w:rPr>
        <w:t>[5]</w:t>
      </w:r>
      <w:r w:rsidRPr="00BA60F0">
        <w:rPr>
          <w:rFonts w:ascii="Book Antiqua" w:hAnsi="Book Antiqua" w:cs="Arial"/>
          <w:sz w:val="24"/>
          <w:szCs w:val="24"/>
          <w:lang w:val="en-US"/>
        </w:rPr>
        <w:t xml:space="preserve">. </w:t>
      </w:r>
    </w:p>
    <w:p w:rsidR="006A7B58" w:rsidRPr="00BA60F0" w:rsidRDefault="00634E3B" w:rsidP="00746849">
      <w:pPr>
        <w:adjustRightInd w:val="0"/>
        <w:snapToGrid w:val="0"/>
        <w:spacing w:after="0" w:line="360" w:lineRule="auto"/>
        <w:ind w:firstLine="708"/>
        <w:jc w:val="both"/>
        <w:rPr>
          <w:rFonts w:ascii="Book Antiqua" w:hAnsi="Book Antiqua" w:cs="Arial"/>
          <w:sz w:val="24"/>
          <w:szCs w:val="24"/>
          <w:lang w:val="en-US"/>
        </w:rPr>
      </w:pPr>
      <w:r w:rsidRPr="00BA60F0">
        <w:rPr>
          <w:rFonts w:ascii="Book Antiqua" w:hAnsi="Book Antiqua" w:cs="Arial"/>
          <w:sz w:val="24"/>
          <w:szCs w:val="24"/>
          <w:lang w:val="en-US"/>
        </w:rPr>
        <w:t>Most</w:t>
      </w:r>
      <w:r w:rsidR="006A7B58" w:rsidRPr="00BA60F0">
        <w:rPr>
          <w:rFonts w:ascii="Book Antiqua" w:hAnsi="Book Antiqua" w:cs="Arial"/>
          <w:sz w:val="24"/>
          <w:szCs w:val="24"/>
          <w:lang w:val="en-US"/>
        </w:rPr>
        <w:t xml:space="preserve"> of </w:t>
      </w:r>
      <w:r w:rsidRPr="00BA60F0">
        <w:rPr>
          <w:rFonts w:ascii="Book Antiqua" w:hAnsi="Book Antiqua" w:cs="Arial"/>
          <w:sz w:val="24"/>
          <w:szCs w:val="24"/>
          <w:lang w:val="en-US"/>
        </w:rPr>
        <w:t xml:space="preserve">the </w:t>
      </w:r>
      <w:r w:rsidR="006A7B58" w:rsidRPr="00BA60F0">
        <w:rPr>
          <w:rFonts w:ascii="Book Antiqua" w:hAnsi="Book Antiqua" w:cs="Arial"/>
          <w:sz w:val="24"/>
          <w:szCs w:val="24"/>
          <w:lang w:val="en-US"/>
        </w:rPr>
        <w:t xml:space="preserve">patients, including those with early-stage disease, </w:t>
      </w:r>
      <w:r w:rsidRPr="00BA60F0">
        <w:rPr>
          <w:rFonts w:ascii="Book Antiqua" w:hAnsi="Book Antiqua" w:cs="Arial"/>
          <w:sz w:val="24"/>
          <w:szCs w:val="24"/>
          <w:lang w:val="en-US"/>
        </w:rPr>
        <w:t>relapse</w:t>
      </w:r>
      <w:r w:rsidR="006A7B58" w:rsidRPr="00BA60F0">
        <w:rPr>
          <w:rFonts w:ascii="Book Antiqua" w:hAnsi="Book Antiqua" w:cs="Arial"/>
          <w:sz w:val="24"/>
          <w:szCs w:val="24"/>
          <w:lang w:val="en-US"/>
        </w:rPr>
        <w:t xml:space="preserve"> at some point during the course of their disease. </w:t>
      </w:r>
      <w:r w:rsidRPr="00BA60F0">
        <w:rPr>
          <w:rFonts w:ascii="Book Antiqua" w:hAnsi="Book Antiqua" w:cs="Arial"/>
          <w:sz w:val="24"/>
          <w:szCs w:val="24"/>
          <w:lang w:val="en-US"/>
        </w:rPr>
        <w:t>Among available treatment modalities, only s</w:t>
      </w:r>
      <w:r w:rsidR="006A7B58" w:rsidRPr="00BA60F0">
        <w:rPr>
          <w:rFonts w:ascii="Book Antiqua" w:hAnsi="Book Antiqua" w:cs="Arial"/>
          <w:sz w:val="24"/>
          <w:szCs w:val="24"/>
          <w:lang w:val="en-US"/>
        </w:rPr>
        <w:t xml:space="preserve">ystemic chemotherapy has demonstrated a superior survival rate in this </w:t>
      </w:r>
      <w:r w:rsidRPr="00BA60F0">
        <w:rPr>
          <w:rFonts w:ascii="Book Antiqua" w:hAnsi="Book Antiqua" w:cs="Arial"/>
          <w:sz w:val="24"/>
          <w:szCs w:val="24"/>
          <w:lang w:val="en-US"/>
        </w:rPr>
        <w:t>group</w:t>
      </w:r>
      <w:r w:rsidR="006A7B58" w:rsidRPr="00BA60F0">
        <w:rPr>
          <w:rFonts w:ascii="Book Antiqua" w:hAnsi="Book Antiqua" w:cs="Arial"/>
          <w:sz w:val="24"/>
          <w:szCs w:val="24"/>
          <w:lang w:val="en-US"/>
        </w:rPr>
        <w:t xml:space="preserve"> of patients</w:t>
      </w:r>
      <w:r w:rsidR="006A7B58" w:rsidRPr="00BA60F0">
        <w:rPr>
          <w:rFonts w:ascii="Book Antiqua" w:hAnsi="Book Antiqua" w:cs="Arial"/>
          <w:sz w:val="24"/>
          <w:szCs w:val="24"/>
          <w:vertAlign w:val="superscript"/>
          <w:lang w:val="en-US"/>
        </w:rPr>
        <w:t>[6]</w:t>
      </w:r>
      <w:r w:rsidR="006A7B58" w:rsidRPr="00BA60F0">
        <w:rPr>
          <w:rFonts w:ascii="Book Antiqua" w:hAnsi="Book Antiqua" w:cs="Arial"/>
          <w:sz w:val="24"/>
          <w:szCs w:val="24"/>
          <w:lang w:val="en-US"/>
        </w:rPr>
        <w:t>. Most patients do not respond or relapse within a short time from the end of first-line therapy. The literature shows that approximately 20</w:t>
      </w:r>
      <w:r w:rsidR="00A6109F">
        <w:rPr>
          <w:rFonts w:ascii="Book Antiqua" w:hAnsi="Book Antiqua" w:cs="Arial" w:hint="eastAsia"/>
          <w:sz w:val="24"/>
          <w:szCs w:val="24"/>
          <w:lang w:val="en-US" w:eastAsia="zh-CN"/>
        </w:rPr>
        <w:t>%</w:t>
      </w:r>
      <w:r w:rsidR="006A7B58" w:rsidRPr="00BA60F0">
        <w:rPr>
          <w:rFonts w:ascii="Book Antiqua" w:hAnsi="Book Antiqua" w:cs="Arial"/>
          <w:sz w:val="24"/>
          <w:szCs w:val="24"/>
          <w:lang w:val="en-US"/>
        </w:rPr>
        <w:t>-30% of patients receive further treatment with second-line chemotherapy</w:t>
      </w:r>
      <w:r w:rsidR="006A7B58" w:rsidRPr="00BA60F0">
        <w:rPr>
          <w:rFonts w:ascii="Book Antiqua" w:hAnsi="Book Antiqua" w:cs="Arial"/>
          <w:sz w:val="24"/>
          <w:szCs w:val="24"/>
          <w:vertAlign w:val="superscript"/>
          <w:lang w:val="en-US"/>
        </w:rPr>
        <w:t>[7]</w:t>
      </w:r>
      <w:r w:rsidR="006A7B58" w:rsidRPr="00BA60F0">
        <w:rPr>
          <w:rFonts w:ascii="Book Antiqua" w:hAnsi="Book Antiqua" w:cs="Arial"/>
          <w:sz w:val="24"/>
          <w:szCs w:val="24"/>
          <w:lang w:val="en-US"/>
        </w:rPr>
        <w:t>. In the past, various cytotoxic agents (5-fluorouracil, cisplatin, mitomycin C, methotrexate, docetaxel, paclitaxel, nab-paclitaxel, pemetrexed, S-1, irinotecan and oxaliplatin) have been studied extensively either as monotherapy or in combination in the second-line setting. The median OS of patients receiving second-line therapy ranges from 3.5 to 10.7 mo, with an objective response rate of 4.8</w:t>
      </w:r>
      <w:r w:rsidR="00A6109F">
        <w:rPr>
          <w:rFonts w:ascii="Book Antiqua" w:hAnsi="Book Antiqua" w:cs="Arial" w:hint="eastAsia"/>
          <w:sz w:val="24"/>
          <w:szCs w:val="24"/>
          <w:lang w:val="en-US" w:eastAsia="zh-CN"/>
        </w:rPr>
        <w:t>%</w:t>
      </w:r>
      <w:r w:rsidR="006A7B58" w:rsidRPr="00BA60F0">
        <w:rPr>
          <w:rFonts w:ascii="Book Antiqua" w:hAnsi="Book Antiqua" w:cs="Arial"/>
          <w:sz w:val="24"/>
          <w:szCs w:val="24"/>
          <w:lang w:val="en-US"/>
        </w:rPr>
        <w:t xml:space="preserve">-52.3%. There were no effective treatment options until the positive results of recent phase III studies were published. </w:t>
      </w:r>
    </w:p>
    <w:p w:rsidR="006A7B58" w:rsidRPr="00BA60F0" w:rsidRDefault="006A7B58" w:rsidP="00746849">
      <w:pPr>
        <w:adjustRightInd w:val="0"/>
        <w:snapToGrid w:val="0"/>
        <w:spacing w:after="0" w:line="360" w:lineRule="auto"/>
        <w:ind w:firstLine="708"/>
        <w:jc w:val="both"/>
        <w:rPr>
          <w:rFonts w:ascii="Book Antiqua" w:hAnsi="Book Antiqua" w:cs="Arial"/>
          <w:sz w:val="24"/>
          <w:szCs w:val="24"/>
          <w:lang w:val="en-US"/>
        </w:rPr>
      </w:pPr>
      <w:r w:rsidRPr="00BA60F0">
        <w:rPr>
          <w:rFonts w:ascii="Book Antiqua" w:hAnsi="Book Antiqua" w:cs="Arial"/>
          <w:sz w:val="24"/>
          <w:szCs w:val="24"/>
          <w:lang w:val="en-US"/>
        </w:rPr>
        <w:t>This systemic review evaluates the currently available evidence on the therapeutic options in the second-line setting. Additionally, the prognostic factors that influence patient survival in those receiving second-line therapy are discussed.</w:t>
      </w:r>
    </w:p>
    <w:p w:rsidR="002A772E" w:rsidRDefault="002A772E" w:rsidP="00746849">
      <w:pPr>
        <w:adjustRightInd w:val="0"/>
        <w:snapToGrid w:val="0"/>
        <w:spacing w:after="0" w:line="360" w:lineRule="auto"/>
        <w:jc w:val="both"/>
        <w:rPr>
          <w:rFonts w:ascii="Book Antiqua" w:hAnsi="Book Antiqua" w:cs="Arial"/>
          <w:sz w:val="24"/>
          <w:szCs w:val="24"/>
          <w:lang w:val="en-US" w:eastAsia="zh-CN"/>
        </w:rPr>
      </w:pPr>
    </w:p>
    <w:p w:rsidR="002A772E" w:rsidRPr="002A772E" w:rsidRDefault="002A772E" w:rsidP="00746849">
      <w:pPr>
        <w:adjustRightInd w:val="0"/>
        <w:snapToGrid w:val="0"/>
        <w:spacing w:after="0" w:line="360" w:lineRule="auto"/>
        <w:jc w:val="both"/>
        <w:rPr>
          <w:rFonts w:ascii="Book Antiqua" w:hAnsi="Book Antiqua" w:cs="Arial"/>
          <w:b/>
          <w:caps/>
          <w:sz w:val="24"/>
          <w:szCs w:val="24"/>
          <w:lang w:val="en-US" w:eastAsia="zh-CN"/>
        </w:rPr>
      </w:pPr>
      <w:r w:rsidRPr="002A772E">
        <w:rPr>
          <w:rFonts w:ascii="Book Antiqua" w:hAnsi="Book Antiqua" w:cs="Arial"/>
          <w:b/>
          <w:caps/>
          <w:sz w:val="24"/>
          <w:szCs w:val="24"/>
          <w:lang w:val="en-US"/>
        </w:rPr>
        <w:t xml:space="preserve">literature </w:t>
      </w:r>
      <w:r w:rsidRPr="002A772E">
        <w:rPr>
          <w:rFonts w:ascii="Book Antiqua" w:hAnsi="Book Antiqua" w:cs="Arial" w:hint="eastAsia"/>
          <w:b/>
          <w:caps/>
          <w:sz w:val="24"/>
          <w:szCs w:val="24"/>
          <w:lang w:val="en-US" w:eastAsia="zh-CN"/>
        </w:rPr>
        <w:t>REARCH</w:t>
      </w:r>
    </w:p>
    <w:p w:rsidR="006A7B58" w:rsidRDefault="006A7B58" w:rsidP="00746849">
      <w:pPr>
        <w:adjustRightInd w:val="0"/>
        <w:snapToGrid w:val="0"/>
        <w:spacing w:after="0" w:line="360" w:lineRule="auto"/>
        <w:jc w:val="both"/>
        <w:rPr>
          <w:rFonts w:ascii="Book Antiqua" w:hAnsi="Book Antiqua" w:cs="Arial"/>
          <w:sz w:val="24"/>
          <w:szCs w:val="24"/>
          <w:lang w:val="en-US" w:eastAsia="zh-CN"/>
        </w:rPr>
      </w:pPr>
      <w:r w:rsidRPr="00BA60F0">
        <w:rPr>
          <w:rFonts w:ascii="Book Antiqua" w:hAnsi="Book Antiqua" w:cs="Arial"/>
          <w:sz w:val="24"/>
          <w:szCs w:val="24"/>
          <w:lang w:val="en-US"/>
        </w:rPr>
        <w:t xml:space="preserve">The literature database search for second-line therapy in metastatic gastric cancer was performed using MEDLINE and PubMed for original articles published from a dataset of a minimum of 25 patients, review articles, and key abstracts from articles published in English during the period from 1990 to 2015. </w:t>
      </w:r>
    </w:p>
    <w:p w:rsidR="002A772E" w:rsidRPr="00BA60F0" w:rsidRDefault="002A772E" w:rsidP="00746849">
      <w:pPr>
        <w:adjustRightInd w:val="0"/>
        <w:snapToGrid w:val="0"/>
        <w:spacing w:after="0" w:line="360" w:lineRule="auto"/>
        <w:jc w:val="both"/>
        <w:rPr>
          <w:rFonts w:ascii="Book Antiqua" w:hAnsi="Book Antiqua" w:cs="Arial"/>
          <w:sz w:val="24"/>
          <w:szCs w:val="24"/>
          <w:lang w:val="en-US" w:eastAsia="zh-CN"/>
        </w:rPr>
      </w:pPr>
    </w:p>
    <w:p w:rsidR="006A7B58" w:rsidRPr="007952D5" w:rsidRDefault="007952D5" w:rsidP="00746849">
      <w:pPr>
        <w:adjustRightInd w:val="0"/>
        <w:snapToGrid w:val="0"/>
        <w:spacing w:after="0" w:line="360" w:lineRule="auto"/>
        <w:jc w:val="both"/>
        <w:rPr>
          <w:rFonts w:ascii="Book Antiqua" w:hAnsi="Book Antiqua" w:cs="Arial"/>
          <w:b/>
          <w:i/>
          <w:sz w:val="24"/>
          <w:szCs w:val="24"/>
          <w:lang w:val="en-US"/>
        </w:rPr>
      </w:pPr>
      <w:r w:rsidRPr="007952D5">
        <w:rPr>
          <w:rFonts w:ascii="Book Antiqua" w:hAnsi="Book Antiqua" w:cs="Arial"/>
          <w:b/>
          <w:i/>
          <w:sz w:val="24"/>
          <w:szCs w:val="24"/>
          <w:lang w:val="en-US"/>
        </w:rPr>
        <w:t>First-line therapy</w:t>
      </w:r>
    </w:p>
    <w:p w:rsidR="006A7B58" w:rsidRPr="00BA60F0" w:rsidRDefault="006A7B58" w:rsidP="00746849">
      <w:pPr>
        <w:adjustRightInd w:val="0"/>
        <w:snapToGrid w:val="0"/>
        <w:spacing w:after="0" w:line="360" w:lineRule="auto"/>
        <w:jc w:val="both"/>
        <w:rPr>
          <w:rFonts w:ascii="Book Antiqua" w:hAnsi="Book Antiqua" w:cs="Arial"/>
          <w:sz w:val="24"/>
          <w:szCs w:val="24"/>
          <w:lang w:val="en-US"/>
        </w:rPr>
      </w:pPr>
      <w:r w:rsidRPr="00BA60F0">
        <w:rPr>
          <w:rFonts w:ascii="Book Antiqua" w:hAnsi="Book Antiqua" w:cs="Arial"/>
          <w:sz w:val="24"/>
          <w:szCs w:val="24"/>
          <w:lang w:val="en-US"/>
        </w:rPr>
        <w:lastRenderedPageBreak/>
        <w:t>In metastatic gastric cancer, systemic chemotherapy has been shown to improve overall survival (OS) and quality of life (QoL) compared with best supportive care (BSC) alone</w:t>
      </w:r>
      <w:r w:rsidRPr="00BA60F0">
        <w:rPr>
          <w:rFonts w:ascii="Book Antiqua" w:hAnsi="Book Antiqua" w:cs="Arial"/>
          <w:sz w:val="24"/>
          <w:szCs w:val="24"/>
          <w:vertAlign w:val="superscript"/>
          <w:lang w:val="en-US"/>
        </w:rPr>
        <w:t>[8-10]</w:t>
      </w:r>
      <w:r w:rsidRPr="00BA60F0">
        <w:rPr>
          <w:rFonts w:ascii="Book Antiqua" w:hAnsi="Book Antiqua" w:cs="Arial"/>
          <w:sz w:val="24"/>
          <w:szCs w:val="24"/>
          <w:lang w:val="en-US"/>
        </w:rPr>
        <w:t>. In patients receiving first-line therapy for metastatic gastric cancer, the median survival time ranges from 9.5-13 mo with objective responses ranging from 25%-54%</w:t>
      </w:r>
      <w:r w:rsidRPr="00BA60F0">
        <w:rPr>
          <w:rFonts w:ascii="Book Antiqua" w:hAnsi="Book Antiqua" w:cs="Arial"/>
          <w:sz w:val="24"/>
          <w:szCs w:val="24"/>
          <w:vertAlign w:val="superscript"/>
          <w:lang w:val="en-US"/>
        </w:rPr>
        <w:t>[11-16]</w:t>
      </w:r>
      <w:r w:rsidRPr="00BA60F0">
        <w:rPr>
          <w:rFonts w:ascii="Book Antiqua" w:hAnsi="Book Antiqua" w:cs="Arial"/>
          <w:sz w:val="24"/>
          <w:szCs w:val="24"/>
          <w:lang w:val="en-US"/>
        </w:rPr>
        <w:t xml:space="preserve">. The meta-analysis performed by Wagner </w:t>
      </w:r>
      <w:r w:rsidR="002A772E" w:rsidRPr="002A772E">
        <w:rPr>
          <w:rFonts w:ascii="Book Antiqua" w:hAnsi="Book Antiqua" w:cs="Arial"/>
          <w:i/>
          <w:sz w:val="24"/>
          <w:szCs w:val="24"/>
          <w:lang w:val="en-US"/>
        </w:rPr>
        <w:t>et al</w:t>
      </w:r>
      <w:r w:rsidRPr="00BA60F0">
        <w:rPr>
          <w:rFonts w:ascii="Book Antiqua" w:hAnsi="Book Antiqua" w:cs="Arial"/>
          <w:sz w:val="24"/>
          <w:szCs w:val="24"/>
          <w:vertAlign w:val="superscript"/>
          <w:lang w:val="en-US"/>
        </w:rPr>
        <w:t>[17]</w:t>
      </w:r>
      <w:r w:rsidRPr="00BA60F0">
        <w:rPr>
          <w:rFonts w:ascii="Book Antiqua" w:hAnsi="Book Antiqua" w:cs="Arial"/>
          <w:sz w:val="24"/>
          <w:szCs w:val="24"/>
          <w:lang w:val="en-US"/>
        </w:rPr>
        <w:t xml:space="preserve">, which included 35 trials with 5726 patients, demonstrated a significant survival benefit in favor of combination chemotherapy (HR </w:t>
      </w:r>
      <w:r w:rsidR="007952D5">
        <w:rPr>
          <w:rFonts w:ascii="Book Antiqua" w:hAnsi="Book Antiqua" w:cs="Arial" w:hint="eastAsia"/>
          <w:sz w:val="24"/>
          <w:szCs w:val="24"/>
          <w:lang w:val="en-US" w:eastAsia="zh-CN"/>
        </w:rPr>
        <w:t xml:space="preserve">= </w:t>
      </w:r>
      <w:r w:rsidRPr="00BA60F0">
        <w:rPr>
          <w:rFonts w:ascii="Book Antiqua" w:hAnsi="Book Antiqua" w:cs="Arial"/>
          <w:sz w:val="24"/>
          <w:szCs w:val="24"/>
          <w:lang w:val="en-US"/>
        </w:rPr>
        <w:t xml:space="preserve">0.82; </w:t>
      </w:r>
      <w:r w:rsidR="007952D5">
        <w:rPr>
          <w:rFonts w:ascii="Book Antiqua" w:hAnsi="Book Antiqua" w:cs="Arial"/>
          <w:sz w:val="24"/>
          <w:szCs w:val="24"/>
          <w:lang w:val="en-US"/>
        </w:rPr>
        <w:t>95%CI:</w:t>
      </w:r>
      <w:r w:rsidRPr="00BA60F0">
        <w:rPr>
          <w:rFonts w:ascii="Book Antiqua" w:hAnsi="Book Antiqua" w:cs="Arial"/>
          <w:sz w:val="24"/>
          <w:szCs w:val="24"/>
          <w:lang w:val="en-US"/>
        </w:rPr>
        <w:t xml:space="preserve"> 0.74</w:t>
      </w:r>
      <w:r w:rsidR="007952D5">
        <w:rPr>
          <w:rFonts w:ascii="Book Antiqua" w:hAnsi="Book Antiqua" w:cs="Arial" w:hint="eastAsia"/>
          <w:sz w:val="24"/>
          <w:szCs w:val="24"/>
          <w:lang w:val="en-US" w:eastAsia="zh-CN"/>
        </w:rPr>
        <w:t>-</w:t>
      </w:r>
      <w:r w:rsidRPr="00BA60F0">
        <w:rPr>
          <w:rFonts w:ascii="Book Antiqua" w:hAnsi="Book Antiqua" w:cs="Arial"/>
          <w:sz w:val="24"/>
          <w:szCs w:val="24"/>
          <w:lang w:val="en-US"/>
        </w:rPr>
        <w:t>0.90, 1914 patients) compared with single-agent chemotherapy; a significant survival benefit was observed for regimens including 5-FU, anthracyclines and cisplatin (</w:t>
      </w:r>
      <w:r w:rsidR="007952D5">
        <w:rPr>
          <w:rFonts w:ascii="Book Antiqua" w:hAnsi="Book Antiqua" w:cs="Arial"/>
          <w:sz w:val="24"/>
          <w:szCs w:val="24"/>
          <w:lang w:val="en-US"/>
        </w:rPr>
        <w:t>HR</w:t>
      </w:r>
      <w:r w:rsidRPr="00BA60F0">
        <w:rPr>
          <w:rFonts w:ascii="Book Antiqua" w:hAnsi="Book Antiqua" w:cs="Arial"/>
          <w:sz w:val="24"/>
          <w:szCs w:val="24"/>
          <w:lang w:val="en-US"/>
        </w:rPr>
        <w:t xml:space="preserve"> </w:t>
      </w:r>
      <w:r w:rsidR="007952D5">
        <w:rPr>
          <w:rFonts w:ascii="Book Antiqua" w:hAnsi="Book Antiqua" w:cs="Arial" w:hint="eastAsia"/>
          <w:sz w:val="24"/>
          <w:szCs w:val="24"/>
          <w:lang w:val="en-US" w:eastAsia="zh-CN"/>
        </w:rPr>
        <w:t xml:space="preserve">= </w:t>
      </w:r>
      <w:r w:rsidRPr="00BA60F0">
        <w:rPr>
          <w:rFonts w:ascii="Book Antiqua" w:hAnsi="Book Antiqua" w:cs="Arial"/>
          <w:sz w:val="24"/>
          <w:szCs w:val="24"/>
          <w:lang w:val="en-US"/>
        </w:rPr>
        <w:t>0.82; 95%</w:t>
      </w:r>
      <w:r w:rsidR="007952D5">
        <w:rPr>
          <w:rFonts w:ascii="Book Antiqua" w:hAnsi="Book Antiqua" w:cs="Arial"/>
          <w:sz w:val="24"/>
          <w:szCs w:val="24"/>
          <w:lang w:val="en-US"/>
        </w:rPr>
        <w:t>CI</w:t>
      </w:r>
      <w:r w:rsidR="007952D5">
        <w:rPr>
          <w:rFonts w:ascii="Book Antiqua" w:hAnsi="Book Antiqua" w:cs="Arial" w:hint="eastAsia"/>
          <w:sz w:val="24"/>
          <w:szCs w:val="24"/>
          <w:lang w:val="en-US" w:eastAsia="zh-CN"/>
        </w:rPr>
        <w:t>:</w:t>
      </w:r>
      <w:r w:rsidR="007952D5">
        <w:rPr>
          <w:rFonts w:ascii="Book Antiqua" w:hAnsi="Book Antiqua" w:cs="Arial"/>
          <w:sz w:val="24"/>
          <w:szCs w:val="24"/>
          <w:lang w:val="en-US"/>
        </w:rPr>
        <w:t xml:space="preserve"> 0.73</w:t>
      </w:r>
      <w:r w:rsidR="007952D5">
        <w:rPr>
          <w:rFonts w:ascii="Book Antiqua" w:hAnsi="Book Antiqua" w:cs="Arial" w:hint="eastAsia"/>
          <w:sz w:val="24"/>
          <w:szCs w:val="24"/>
          <w:lang w:val="en-US" w:eastAsia="zh-CN"/>
        </w:rPr>
        <w:t>-</w:t>
      </w:r>
      <w:r w:rsidRPr="00BA60F0">
        <w:rPr>
          <w:rFonts w:ascii="Book Antiqua" w:hAnsi="Book Antiqua" w:cs="Arial"/>
          <w:sz w:val="24"/>
          <w:szCs w:val="24"/>
          <w:lang w:val="en-US"/>
        </w:rPr>
        <w:t xml:space="preserve">0.92, 1147 </w:t>
      </w:r>
      <w:r w:rsidR="00435F70" w:rsidRPr="00BA60F0">
        <w:rPr>
          <w:rFonts w:ascii="Book Antiqua" w:hAnsi="Book Antiqua" w:cs="Arial"/>
          <w:sz w:val="24"/>
          <w:szCs w:val="24"/>
          <w:lang w:val="en-US"/>
        </w:rPr>
        <w:t>patients</w:t>
      </w:r>
      <w:r w:rsidRPr="00BA60F0">
        <w:rPr>
          <w:rFonts w:ascii="Book Antiqua" w:hAnsi="Book Antiqua" w:cs="Arial"/>
          <w:sz w:val="24"/>
          <w:szCs w:val="24"/>
          <w:lang w:val="en-US"/>
        </w:rPr>
        <w:t xml:space="preserve">), and non-significant survival benefits in favor of the Irinotecan- (HR </w:t>
      </w:r>
      <w:r w:rsidR="007952D5">
        <w:rPr>
          <w:rFonts w:ascii="Book Antiqua" w:hAnsi="Book Antiqua" w:cs="Arial" w:hint="eastAsia"/>
          <w:sz w:val="24"/>
          <w:szCs w:val="24"/>
          <w:lang w:val="en-US" w:eastAsia="zh-CN"/>
        </w:rPr>
        <w:t xml:space="preserve">= </w:t>
      </w:r>
      <w:r w:rsidRPr="00BA60F0">
        <w:rPr>
          <w:rFonts w:ascii="Book Antiqua" w:hAnsi="Book Antiqua" w:cs="Arial"/>
          <w:sz w:val="24"/>
          <w:szCs w:val="24"/>
          <w:lang w:val="en-US"/>
        </w:rPr>
        <w:t xml:space="preserve">0.86; </w:t>
      </w:r>
      <w:r w:rsidR="007952D5">
        <w:rPr>
          <w:rFonts w:ascii="Book Antiqua" w:hAnsi="Book Antiqua" w:cs="Arial"/>
          <w:sz w:val="24"/>
          <w:szCs w:val="24"/>
          <w:lang w:val="en-US"/>
        </w:rPr>
        <w:t>95%CI:</w:t>
      </w:r>
      <w:r w:rsidRPr="00BA60F0">
        <w:rPr>
          <w:rFonts w:ascii="Book Antiqua" w:hAnsi="Book Antiqua" w:cs="Arial"/>
          <w:sz w:val="24"/>
          <w:szCs w:val="24"/>
          <w:lang w:val="en-US"/>
        </w:rPr>
        <w:t xml:space="preserve"> 0.73</w:t>
      </w:r>
      <w:r w:rsidR="007952D5">
        <w:rPr>
          <w:rFonts w:ascii="Book Antiqua" w:hAnsi="Book Antiqua" w:cs="Arial" w:hint="eastAsia"/>
          <w:sz w:val="24"/>
          <w:szCs w:val="24"/>
          <w:lang w:val="en-US" w:eastAsia="zh-CN"/>
        </w:rPr>
        <w:t>-</w:t>
      </w:r>
      <w:r w:rsidRPr="00BA60F0">
        <w:rPr>
          <w:rFonts w:ascii="Book Antiqua" w:hAnsi="Book Antiqua" w:cs="Arial"/>
          <w:sz w:val="24"/>
          <w:szCs w:val="24"/>
          <w:lang w:val="en-US"/>
        </w:rPr>
        <w:t xml:space="preserve">1.02, 639 </w:t>
      </w:r>
      <w:r w:rsidR="00435F70" w:rsidRPr="00BA60F0">
        <w:rPr>
          <w:rFonts w:ascii="Book Antiqua" w:hAnsi="Book Antiqua" w:cs="Arial"/>
          <w:sz w:val="24"/>
          <w:szCs w:val="24"/>
          <w:lang w:val="en-US"/>
        </w:rPr>
        <w:t>patients</w:t>
      </w:r>
      <w:r w:rsidRPr="00BA60F0">
        <w:rPr>
          <w:rFonts w:ascii="Book Antiqua" w:hAnsi="Book Antiqua" w:cs="Arial"/>
          <w:sz w:val="24"/>
          <w:szCs w:val="24"/>
          <w:lang w:val="en-US"/>
        </w:rPr>
        <w:t xml:space="preserve">) and docetaxel-containing (HR </w:t>
      </w:r>
      <w:r w:rsidR="007952D5">
        <w:rPr>
          <w:rFonts w:ascii="Book Antiqua" w:hAnsi="Book Antiqua" w:cs="Arial" w:hint="eastAsia"/>
          <w:sz w:val="24"/>
          <w:szCs w:val="24"/>
          <w:lang w:val="en-US" w:eastAsia="zh-CN"/>
        </w:rPr>
        <w:t xml:space="preserve">= </w:t>
      </w:r>
      <w:r w:rsidRPr="00BA60F0">
        <w:rPr>
          <w:rFonts w:ascii="Book Antiqua" w:hAnsi="Book Antiqua" w:cs="Arial"/>
          <w:sz w:val="24"/>
          <w:szCs w:val="24"/>
          <w:lang w:val="en-US"/>
        </w:rPr>
        <w:t xml:space="preserve">0.93; </w:t>
      </w:r>
      <w:r w:rsidR="007952D5">
        <w:rPr>
          <w:rFonts w:ascii="Book Antiqua" w:hAnsi="Book Antiqua" w:cs="Arial"/>
          <w:sz w:val="24"/>
          <w:szCs w:val="24"/>
          <w:lang w:val="en-US"/>
        </w:rPr>
        <w:t>95%CI:</w:t>
      </w:r>
      <w:r w:rsidRPr="00BA60F0">
        <w:rPr>
          <w:rFonts w:ascii="Book Antiqua" w:hAnsi="Book Antiqua" w:cs="Arial"/>
          <w:sz w:val="24"/>
          <w:szCs w:val="24"/>
          <w:lang w:val="en-US"/>
        </w:rPr>
        <w:t xml:space="preserve"> 0.75</w:t>
      </w:r>
      <w:r w:rsidR="007952D5">
        <w:rPr>
          <w:rFonts w:ascii="Book Antiqua" w:hAnsi="Book Antiqua" w:cs="Arial" w:hint="eastAsia"/>
          <w:sz w:val="24"/>
          <w:szCs w:val="24"/>
          <w:lang w:val="en-US" w:eastAsia="zh-CN"/>
        </w:rPr>
        <w:t>-</w:t>
      </w:r>
      <w:r w:rsidRPr="00BA60F0">
        <w:rPr>
          <w:rFonts w:ascii="Book Antiqua" w:hAnsi="Book Antiqua" w:cs="Arial"/>
          <w:sz w:val="24"/>
          <w:szCs w:val="24"/>
          <w:lang w:val="en-US"/>
        </w:rPr>
        <w:t xml:space="preserve">1.15, 805 participants) regimens were demonstrated. This shows that a multi-agent chemotherapy regimen comprising fluoropyrimidines and platinum derivatives acts as an effective regimen in the first-line therapy for metastatic gastric cancer. When delivering first-line therapy, one should remember that the REAL II study established the non-inferiority of capecitabine to infusional 5-fluorouracil (HR </w:t>
      </w:r>
      <w:r w:rsidR="007952D5">
        <w:rPr>
          <w:rFonts w:ascii="Book Antiqua" w:hAnsi="Book Antiqua" w:cs="Arial" w:hint="eastAsia"/>
          <w:sz w:val="24"/>
          <w:szCs w:val="24"/>
          <w:lang w:val="en-US" w:eastAsia="zh-CN"/>
        </w:rPr>
        <w:t xml:space="preserve">= </w:t>
      </w:r>
      <w:r w:rsidRPr="00BA60F0">
        <w:rPr>
          <w:rFonts w:ascii="Book Antiqua" w:hAnsi="Book Antiqua" w:cs="Arial"/>
          <w:sz w:val="24"/>
          <w:szCs w:val="24"/>
          <w:lang w:val="en-US"/>
        </w:rPr>
        <w:t xml:space="preserve">0.86, </w:t>
      </w:r>
      <w:r w:rsidR="007952D5">
        <w:rPr>
          <w:rFonts w:ascii="Book Antiqua" w:hAnsi="Book Antiqua" w:cs="Arial"/>
          <w:sz w:val="24"/>
          <w:szCs w:val="24"/>
          <w:lang w:val="en-US"/>
        </w:rPr>
        <w:t>95%CI:</w:t>
      </w:r>
      <w:r w:rsidRPr="00BA60F0">
        <w:rPr>
          <w:rFonts w:ascii="Book Antiqua" w:hAnsi="Book Antiqua" w:cs="Arial"/>
          <w:sz w:val="24"/>
          <w:szCs w:val="24"/>
          <w:lang w:val="en-US"/>
        </w:rPr>
        <w:t xml:space="preserve"> 0.80-0.99) and the non-inferiority of oxaliplatin to cisplatin (HR = 0.92; </w:t>
      </w:r>
      <w:r w:rsidR="007952D5">
        <w:rPr>
          <w:rFonts w:ascii="Book Antiqua" w:hAnsi="Book Antiqua" w:cs="Arial"/>
          <w:sz w:val="24"/>
          <w:szCs w:val="24"/>
          <w:lang w:val="en-US"/>
        </w:rPr>
        <w:t>95%CI:</w:t>
      </w:r>
      <w:r w:rsidRPr="00BA60F0">
        <w:rPr>
          <w:rFonts w:ascii="Book Antiqua" w:hAnsi="Book Antiqua" w:cs="Arial"/>
          <w:sz w:val="24"/>
          <w:szCs w:val="24"/>
          <w:lang w:val="en-US"/>
        </w:rPr>
        <w:t xml:space="preserve"> 0.80-1.10) in two-by-two comparisons</w:t>
      </w:r>
      <w:r w:rsidRPr="00BA60F0">
        <w:rPr>
          <w:rFonts w:ascii="Book Antiqua" w:hAnsi="Book Antiqua" w:cs="Arial"/>
          <w:sz w:val="24"/>
          <w:szCs w:val="24"/>
          <w:vertAlign w:val="superscript"/>
          <w:lang w:val="en-US"/>
        </w:rPr>
        <w:t>[13]</w:t>
      </w:r>
      <w:r w:rsidRPr="00BA60F0">
        <w:rPr>
          <w:rFonts w:ascii="Book Antiqua" w:hAnsi="Book Antiqua" w:cs="Arial"/>
          <w:sz w:val="24"/>
          <w:szCs w:val="24"/>
          <w:lang w:val="en-US"/>
        </w:rPr>
        <w:t xml:space="preserve">. Additionally, Guimbaud </w:t>
      </w:r>
      <w:r w:rsidR="002A772E" w:rsidRPr="002A772E">
        <w:rPr>
          <w:rFonts w:ascii="Book Antiqua" w:hAnsi="Book Antiqua" w:cs="Arial"/>
          <w:i/>
          <w:sz w:val="24"/>
          <w:szCs w:val="24"/>
          <w:lang w:val="en-US"/>
        </w:rPr>
        <w:t>et al</w:t>
      </w:r>
      <w:r w:rsidR="007952D5" w:rsidRPr="00BA60F0">
        <w:rPr>
          <w:rFonts w:ascii="Book Antiqua" w:hAnsi="Book Antiqua" w:cs="Arial"/>
          <w:color w:val="000000"/>
          <w:sz w:val="24"/>
          <w:szCs w:val="24"/>
          <w:shd w:val="clear" w:color="auto" w:fill="FFFFFF"/>
          <w:vertAlign w:val="superscript"/>
          <w:lang w:val="en-US"/>
        </w:rPr>
        <w:t>[16]</w:t>
      </w:r>
      <w:r w:rsidRPr="00BA60F0">
        <w:rPr>
          <w:rFonts w:ascii="Book Antiqua" w:hAnsi="Book Antiqua" w:cs="Arial"/>
          <w:sz w:val="24"/>
          <w:szCs w:val="24"/>
          <w:lang w:val="en-US"/>
        </w:rPr>
        <w:t xml:space="preserve"> showed that </w:t>
      </w:r>
      <w:r w:rsidRPr="00BA60F0">
        <w:rPr>
          <w:rFonts w:ascii="Book Antiqua" w:hAnsi="Book Antiqua" w:cs="Arial"/>
          <w:color w:val="000000"/>
          <w:sz w:val="24"/>
          <w:szCs w:val="24"/>
          <w:shd w:val="clear" w:color="auto" w:fill="FFFFFF"/>
          <w:lang w:val="en-US"/>
        </w:rPr>
        <w:t xml:space="preserve">FOLFIRI (irinotecan, 5-fluorouracil and leucovorin) is an acceptable alternative to a platinum-based ECX (epirubicin, cisplatin and capecitabine) regimen </w:t>
      </w:r>
      <w:r w:rsidRPr="00BA60F0">
        <w:rPr>
          <w:rFonts w:ascii="Book Antiqua" w:hAnsi="Book Antiqua" w:cs="Arial"/>
          <w:sz w:val="24"/>
          <w:szCs w:val="24"/>
          <w:lang w:val="en-US"/>
        </w:rPr>
        <w:t>in first-line settings</w:t>
      </w:r>
      <w:r w:rsidRPr="00BA60F0">
        <w:rPr>
          <w:rFonts w:ascii="Book Antiqua" w:hAnsi="Book Antiqua" w:cs="Arial"/>
          <w:color w:val="000000"/>
          <w:sz w:val="24"/>
          <w:szCs w:val="24"/>
          <w:shd w:val="clear" w:color="auto" w:fill="FFFFFF"/>
          <w:lang w:val="en-US"/>
        </w:rPr>
        <w:t xml:space="preserve">, especially in patients who are not able to receive platinum-based agents. </w:t>
      </w:r>
      <w:r w:rsidRPr="00BA60F0">
        <w:rPr>
          <w:rFonts w:ascii="Book Antiqua" w:hAnsi="Book Antiqua" w:cs="Arial"/>
          <w:sz w:val="24"/>
          <w:szCs w:val="24"/>
          <w:lang w:val="en-US"/>
        </w:rPr>
        <w:t>Trastuzumab in combination with chemotherapy was found to significantly prolong survival when given as a first-line treatment for patients with HER2-positive gastric cancer</w:t>
      </w:r>
      <w:r w:rsidRPr="00BA60F0">
        <w:rPr>
          <w:rFonts w:ascii="Book Antiqua" w:hAnsi="Book Antiqua" w:cs="Arial"/>
          <w:sz w:val="24"/>
          <w:szCs w:val="24"/>
          <w:vertAlign w:val="superscript"/>
          <w:lang w:val="en-US"/>
        </w:rPr>
        <w:t>[18]</w:t>
      </w:r>
      <w:r w:rsidRPr="00BA60F0">
        <w:rPr>
          <w:rFonts w:ascii="Book Antiqua" w:hAnsi="Book Antiqua" w:cs="Arial"/>
          <w:sz w:val="24"/>
          <w:szCs w:val="24"/>
          <w:lang w:val="en-US"/>
        </w:rPr>
        <w:t>.</w:t>
      </w:r>
    </w:p>
    <w:p w:rsidR="007952D5" w:rsidRDefault="007952D5" w:rsidP="00746849">
      <w:pPr>
        <w:adjustRightInd w:val="0"/>
        <w:snapToGrid w:val="0"/>
        <w:spacing w:after="0" w:line="360" w:lineRule="auto"/>
        <w:jc w:val="both"/>
        <w:rPr>
          <w:rFonts w:ascii="Book Antiqua" w:hAnsi="Book Antiqua" w:cs="Arial"/>
          <w:b/>
          <w:sz w:val="24"/>
          <w:szCs w:val="24"/>
          <w:lang w:val="en-US" w:eastAsia="zh-CN"/>
        </w:rPr>
      </w:pPr>
    </w:p>
    <w:p w:rsidR="006A7B58" w:rsidRPr="007952D5" w:rsidRDefault="006A7B58" w:rsidP="00746849">
      <w:pPr>
        <w:adjustRightInd w:val="0"/>
        <w:snapToGrid w:val="0"/>
        <w:spacing w:after="0" w:line="360" w:lineRule="auto"/>
        <w:jc w:val="both"/>
        <w:rPr>
          <w:rFonts w:ascii="Book Antiqua" w:hAnsi="Book Antiqua" w:cs="Arial"/>
          <w:b/>
          <w:i/>
          <w:sz w:val="24"/>
          <w:szCs w:val="24"/>
          <w:lang w:val="en-US"/>
        </w:rPr>
      </w:pPr>
      <w:r w:rsidRPr="007952D5">
        <w:rPr>
          <w:rFonts w:ascii="Book Antiqua" w:hAnsi="Book Antiqua" w:cs="Arial"/>
          <w:b/>
          <w:i/>
          <w:sz w:val="24"/>
          <w:szCs w:val="24"/>
          <w:lang w:val="en-US"/>
        </w:rPr>
        <w:t>S</w:t>
      </w:r>
      <w:r w:rsidR="007952D5" w:rsidRPr="007952D5">
        <w:rPr>
          <w:rFonts w:ascii="Book Antiqua" w:hAnsi="Book Antiqua" w:cs="Arial"/>
          <w:b/>
          <w:i/>
          <w:sz w:val="24"/>
          <w:szCs w:val="24"/>
          <w:lang w:val="en-US"/>
        </w:rPr>
        <w:t>econd-line therapy</w:t>
      </w:r>
    </w:p>
    <w:p w:rsidR="006A7B58" w:rsidRPr="007952D5" w:rsidRDefault="007952D5" w:rsidP="00746849">
      <w:pPr>
        <w:adjustRightInd w:val="0"/>
        <w:snapToGrid w:val="0"/>
        <w:spacing w:after="0" w:line="360" w:lineRule="auto"/>
        <w:jc w:val="both"/>
        <w:rPr>
          <w:rFonts w:ascii="Book Antiqua" w:hAnsi="Book Antiqua" w:cs="Arial"/>
          <w:b/>
          <w:sz w:val="24"/>
          <w:szCs w:val="24"/>
          <w:lang w:val="en-US"/>
        </w:rPr>
      </w:pPr>
      <w:r>
        <w:rPr>
          <w:rFonts w:ascii="Book Antiqua" w:hAnsi="Book Antiqua" w:cs="Arial"/>
          <w:b/>
          <w:sz w:val="24"/>
          <w:szCs w:val="24"/>
          <w:lang w:val="en-US"/>
        </w:rPr>
        <w:t>Cytotoxic agents</w:t>
      </w:r>
      <w:r>
        <w:rPr>
          <w:rFonts w:ascii="Book Antiqua" w:hAnsi="Book Antiqua" w:cs="Arial" w:hint="eastAsia"/>
          <w:b/>
          <w:sz w:val="24"/>
          <w:szCs w:val="24"/>
          <w:lang w:val="en-US" w:eastAsia="zh-CN"/>
        </w:rPr>
        <w:t xml:space="preserve">: </w:t>
      </w:r>
      <w:r w:rsidR="006A7B58" w:rsidRPr="00BA60F0">
        <w:rPr>
          <w:rFonts w:ascii="Book Antiqua" w:hAnsi="Book Antiqua" w:cs="Arial"/>
          <w:sz w:val="24"/>
          <w:szCs w:val="24"/>
          <w:lang w:val="en-US"/>
        </w:rPr>
        <w:t>A larger number of phase II</w:t>
      </w:r>
      <w:r w:rsidR="006A7B58" w:rsidRPr="00BA60F0">
        <w:rPr>
          <w:rFonts w:ascii="Book Antiqua" w:hAnsi="Book Antiqua" w:cs="Arial"/>
          <w:sz w:val="24"/>
          <w:szCs w:val="24"/>
          <w:vertAlign w:val="superscript"/>
          <w:lang w:val="en-US"/>
        </w:rPr>
        <w:t>[19-61]</w:t>
      </w:r>
      <w:r w:rsidR="006A7B58" w:rsidRPr="00BA60F0">
        <w:rPr>
          <w:rFonts w:ascii="Book Antiqua" w:hAnsi="Book Antiqua" w:cs="Arial"/>
          <w:sz w:val="24"/>
          <w:szCs w:val="24"/>
          <w:lang w:val="en-US"/>
        </w:rPr>
        <w:t xml:space="preserve"> and phase III</w:t>
      </w:r>
      <w:r w:rsidR="006A7B58" w:rsidRPr="00BA60F0">
        <w:rPr>
          <w:rFonts w:ascii="Book Antiqua" w:hAnsi="Book Antiqua" w:cs="Arial"/>
          <w:sz w:val="24"/>
          <w:szCs w:val="24"/>
          <w:vertAlign w:val="superscript"/>
          <w:lang w:val="en-US"/>
        </w:rPr>
        <w:t>[62-78]</w:t>
      </w:r>
      <w:r w:rsidR="006A7B58" w:rsidRPr="00BA60F0">
        <w:rPr>
          <w:rFonts w:ascii="Book Antiqua" w:hAnsi="Book Antiqua" w:cs="Arial"/>
          <w:sz w:val="24"/>
          <w:szCs w:val="24"/>
          <w:lang w:val="en-US"/>
        </w:rPr>
        <w:t xml:space="preserve"> studies have been conducted in the second-line setting, which are summarized in Tables 1, 2 and 3. Data from phase III trials show that the median OS ranges from 3.7 to 13.9 mo, with an</w:t>
      </w:r>
      <w:r>
        <w:rPr>
          <w:rFonts w:ascii="Book Antiqua" w:hAnsi="Book Antiqua" w:cs="Arial"/>
          <w:sz w:val="24"/>
          <w:szCs w:val="24"/>
          <w:lang w:val="en-US"/>
        </w:rPr>
        <w:t xml:space="preserve"> objective response rate of 13%-</w:t>
      </w:r>
      <w:r w:rsidR="006A7B58" w:rsidRPr="00BA60F0">
        <w:rPr>
          <w:rFonts w:ascii="Book Antiqua" w:hAnsi="Book Antiqua" w:cs="Arial"/>
          <w:sz w:val="24"/>
          <w:szCs w:val="24"/>
          <w:lang w:val="en-US"/>
        </w:rPr>
        <w:t>27%.</w:t>
      </w:r>
    </w:p>
    <w:p w:rsidR="006A7B58" w:rsidRPr="00BA60F0" w:rsidRDefault="006A7B58" w:rsidP="00746849">
      <w:pPr>
        <w:adjustRightInd w:val="0"/>
        <w:snapToGrid w:val="0"/>
        <w:spacing w:after="0" w:line="360" w:lineRule="auto"/>
        <w:ind w:firstLineChars="200" w:firstLine="480"/>
        <w:jc w:val="both"/>
        <w:rPr>
          <w:rFonts w:ascii="Book Antiqua" w:hAnsi="Book Antiqua" w:cs="Arial"/>
          <w:sz w:val="24"/>
          <w:szCs w:val="24"/>
          <w:lang w:val="en-US"/>
        </w:rPr>
      </w:pPr>
      <w:r w:rsidRPr="00BA60F0">
        <w:rPr>
          <w:rFonts w:ascii="Book Antiqua" w:hAnsi="Book Antiqua" w:cs="Arial"/>
          <w:sz w:val="24"/>
          <w:szCs w:val="24"/>
          <w:lang w:val="en-US"/>
        </w:rPr>
        <w:t>The German AIO trial</w:t>
      </w:r>
      <w:r w:rsidRPr="00BA60F0">
        <w:rPr>
          <w:rFonts w:ascii="Book Antiqua" w:hAnsi="Book Antiqua" w:cs="Arial"/>
          <w:sz w:val="24"/>
          <w:szCs w:val="24"/>
          <w:vertAlign w:val="superscript"/>
          <w:lang w:val="en-US"/>
        </w:rPr>
        <w:t>[62]</w:t>
      </w:r>
      <w:r w:rsidRPr="00BA60F0">
        <w:rPr>
          <w:rFonts w:ascii="Book Antiqua" w:hAnsi="Book Antiqua" w:cs="Arial"/>
          <w:sz w:val="24"/>
          <w:szCs w:val="24"/>
          <w:lang w:val="en-US"/>
        </w:rPr>
        <w:t xml:space="preserve"> was the first randomized trial that studied whether second-line chemotherapy could prolong survival in gastric cancer. In this study, Irinotecan was compared with BSC to show a survival benefit in patients with metastatic gastric and gastro-esophageal junction adenocarcinoma. This randomized phase III study included 40 patients. The study was terminated prematurely due to slow patient accrual. All the patients had received prior fluoropyrimidine/platinum combination and exhibited disease progression within 6 mo </w:t>
      </w:r>
      <w:r w:rsidRPr="00BA60F0">
        <w:rPr>
          <w:rFonts w:ascii="Book Antiqua" w:hAnsi="Book Antiqua" w:cs="Arial"/>
          <w:sz w:val="24"/>
          <w:szCs w:val="24"/>
          <w:lang w:val="en-US"/>
        </w:rPr>
        <w:lastRenderedPageBreak/>
        <w:t>following first-line therapy. The irinotecan arm and BSC arm had 21 and 19 patients with Eastern Cooperative Oncology Group Performance Status (ECOG PS) 0-1/2 in 17/4 and 14/5 patients, respectively. This showed that the administration of irinotecan (250 mg/m</w:t>
      </w:r>
      <w:r w:rsidRPr="00BA60F0">
        <w:rPr>
          <w:rFonts w:ascii="Book Antiqua" w:hAnsi="Book Antiqua" w:cs="Arial"/>
          <w:sz w:val="24"/>
          <w:szCs w:val="24"/>
          <w:vertAlign w:val="superscript"/>
          <w:lang w:val="en-US"/>
        </w:rPr>
        <w:t xml:space="preserve">2 </w:t>
      </w:r>
      <w:r w:rsidRPr="00BA60F0">
        <w:rPr>
          <w:rFonts w:ascii="Book Antiqua" w:hAnsi="Book Antiqua" w:cs="Arial"/>
          <w:sz w:val="24"/>
          <w:szCs w:val="24"/>
          <w:lang w:val="en-US"/>
        </w:rPr>
        <w:t>d1, escalated up to 350 mg/m</w:t>
      </w:r>
      <w:r w:rsidRPr="00BA60F0">
        <w:rPr>
          <w:rFonts w:ascii="Book Antiqua" w:hAnsi="Book Antiqua" w:cs="Arial"/>
          <w:sz w:val="24"/>
          <w:szCs w:val="24"/>
          <w:vertAlign w:val="superscript"/>
          <w:lang w:val="en-US"/>
        </w:rPr>
        <w:t>2</w:t>
      </w:r>
      <w:r w:rsidR="007952D5">
        <w:rPr>
          <w:rFonts w:ascii="Book Antiqua" w:hAnsi="Book Antiqua" w:cs="Arial"/>
          <w:sz w:val="24"/>
          <w:szCs w:val="24"/>
          <w:lang w:val="en-US"/>
        </w:rPr>
        <w:t>, every 3 wk</w:t>
      </w:r>
      <w:r w:rsidRPr="00BA60F0">
        <w:rPr>
          <w:rFonts w:ascii="Book Antiqua" w:hAnsi="Book Antiqua" w:cs="Arial"/>
          <w:sz w:val="24"/>
          <w:szCs w:val="24"/>
          <w:lang w:val="en-US"/>
        </w:rPr>
        <w:t xml:space="preserve">) as second-line chemotherapy significantly prolongs OS when compared with BSC. This was the first evidence that second-line chemotherapy resulted in substantial </w:t>
      </w:r>
      <w:r w:rsidR="00435F70" w:rsidRPr="00BA60F0">
        <w:rPr>
          <w:rFonts w:ascii="Book Antiqua" w:hAnsi="Book Antiqua" w:cs="Arial"/>
          <w:sz w:val="24"/>
          <w:szCs w:val="24"/>
          <w:lang w:val="en-US"/>
        </w:rPr>
        <w:t>improvement</w:t>
      </w:r>
      <w:r w:rsidRPr="00BA60F0">
        <w:rPr>
          <w:rFonts w:ascii="Book Antiqua" w:hAnsi="Book Antiqua" w:cs="Arial"/>
          <w:sz w:val="24"/>
          <w:szCs w:val="24"/>
          <w:lang w:val="en-US"/>
        </w:rPr>
        <w:t xml:space="preserve"> of survival. The median OS was 4.0 (</w:t>
      </w:r>
      <w:r w:rsidR="007952D5">
        <w:rPr>
          <w:rFonts w:ascii="Book Antiqua" w:hAnsi="Book Antiqua" w:cs="Arial"/>
          <w:sz w:val="24"/>
          <w:szCs w:val="24"/>
          <w:lang w:val="en-US"/>
        </w:rPr>
        <w:t>95%CI:</w:t>
      </w:r>
      <w:r w:rsidRPr="00BA60F0">
        <w:rPr>
          <w:rFonts w:ascii="Book Antiqua" w:hAnsi="Book Antiqua" w:cs="Arial"/>
          <w:sz w:val="24"/>
          <w:szCs w:val="24"/>
          <w:lang w:val="en-US"/>
        </w:rPr>
        <w:t xml:space="preserve"> 3.6-7.5) months in the irinotecan arm and 2.4 (</w:t>
      </w:r>
      <w:r w:rsidR="007952D5">
        <w:rPr>
          <w:rFonts w:ascii="Book Antiqua" w:hAnsi="Book Antiqua" w:cs="Arial"/>
          <w:sz w:val="24"/>
          <w:szCs w:val="24"/>
          <w:lang w:val="en-US"/>
        </w:rPr>
        <w:t>95%CI:</w:t>
      </w:r>
      <w:r w:rsidRPr="00BA60F0">
        <w:rPr>
          <w:rFonts w:ascii="Book Antiqua" w:hAnsi="Book Antiqua" w:cs="Arial"/>
          <w:sz w:val="24"/>
          <w:szCs w:val="24"/>
          <w:lang w:val="en-US"/>
        </w:rPr>
        <w:t xml:space="preserve"> 1.7-4.9) months in the BSC arm, HR</w:t>
      </w:r>
      <w:r w:rsidR="007952D5">
        <w:rPr>
          <w:rFonts w:ascii="Book Antiqua" w:hAnsi="Book Antiqua" w:cs="Arial" w:hint="eastAsia"/>
          <w:sz w:val="24"/>
          <w:szCs w:val="24"/>
          <w:lang w:val="en-US" w:eastAsia="zh-CN"/>
        </w:rPr>
        <w:t xml:space="preserve"> </w:t>
      </w:r>
      <w:r w:rsidRPr="00BA60F0">
        <w:rPr>
          <w:rFonts w:ascii="Book Antiqua" w:hAnsi="Book Antiqua" w:cs="Arial"/>
          <w:sz w:val="24"/>
          <w:szCs w:val="24"/>
          <w:lang w:val="en-US"/>
        </w:rPr>
        <w:t>=</w:t>
      </w:r>
      <w:r w:rsidR="007952D5">
        <w:rPr>
          <w:rFonts w:ascii="Book Antiqua" w:hAnsi="Book Antiqua" w:cs="Arial" w:hint="eastAsia"/>
          <w:sz w:val="24"/>
          <w:szCs w:val="24"/>
          <w:lang w:val="en-US" w:eastAsia="zh-CN"/>
        </w:rPr>
        <w:t xml:space="preserve"> </w:t>
      </w:r>
      <w:r w:rsidRPr="00BA60F0">
        <w:rPr>
          <w:rFonts w:ascii="Book Antiqua" w:hAnsi="Book Antiqua" w:cs="Arial"/>
          <w:sz w:val="24"/>
          <w:szCs w:val="24"/>
          <w:lang w:val="en-US"/>
        </w:rPr>
        <w:t>0.48 (</w:t>
      </w:r>
      <w:r w:rsidR="007952D5">
        <w:rPr>
          <w:rFonts w:ascii="Book Antiqua" w:hAnsi="Book Antiqua" w:cs="Arial"/>
          <w:sz w:val="24"/>
          <w:szCs w:val="24"/>
          <w:lang w:val="en-US"/>
        </w:rPr>
        <w:t>95%CI:</w:t>
      </w:r>
      <w:r w:rsidRPr="00BA60F0">
        <w:rPr>
          <w:rFonts w:ascii="Book Antiqua" w:hAnsi="Book Antiqua" w:cs="Arial"/>
          <w:sz w:val="24"/>
          <w:szCs w:val="24"/>
          <w:lang w:val="en-US"/>
        </w:rPr>
        <w:t xml:space="preserve"> 0.25-0.92), </w:t>
      </w:r>
      <w:r w:rsidR="007952D5" w:rsidRPr="007952D5">
        <w:rPr>
          <w:rFonts w:ascii="Book Antiqua" w:hAnsi="Book Antiqua" w:cs="Arial"/>
          <w:i/>
          <w:caps/>
          <w:sz w:val="24"/>
          <w:szCs w:val="24"/>
          <w:lang w:val="en-US"/>
        </w:rPr>
        <w:t xml:space="preserve">p = </w:t>
      </w:r>
      <w:r w:rsidRPr="00BA60F0">
        <w:rPr>
          <w:rFonts w:ascii="Book Antiqua" w:hAnsi="Book Antiqua" w:cs="Arial"/>
          <w:sz w:val="24"/>
          <w:szCs w:val="24"/>
          <w:lang w:val="en-US"/>
        </w:rPr>
        <w:t>0.023. There were no objective responses with 58% stable disease (SD) in the irinotecan arm. However, 44% of patients had tumor-related symptom relief. The most common grade 3-4 toxicities were diarrhea (5 patients) and febrile neutropenia (2 patients)</w:t>
      </w:r>
      <w:r w:rsidRPr="00BA60F0">
        <w:rPr>
          <w:rFonts w:ascii="Book Antiqua" w:hAnsi="Book Antiqua" w:cs="Arial"/>
          <w:sz w:val="24"/>
          <w:szCs w:val="24"/>
          <w:vertAlign w:val="superscript"/>
          <w:lang w:val="en-US"/>
        </w:rPr>
        <w:t>[62]</w:t>
      </w:r>
      <w:r w:rsidRPr="00BA60F0">
        <w:rPr>
          <w:rFonts w:ascii="Book Antiqua" w:hAnsi="Book Antiqua" w:cs="Arial"/>
          <w:sz w:val="24"/>
          <w:szCs w:val="24"/>
          <w:lang w:val="en-US"/>
        </w:rPr>
        <w:t>.</w:t>
      </w:r>
    </w:p>
    <w:p w:rsidR="006A7B58" w:rsidRPr="00BA60F0" w:rsidRDefault="006A7B58" w:rsidP="00746849">
      <w:pPr>
        <w:adjustRightInd w:val="0"/>
        <w:snapToGrid w:val="0"/>
        <w:spacing w:after="0" w:line="360" w:lineRule="auto"/>
        <w:ind w:firstLine="708"/>
        <w:jc w:val="both"/>
        <w:rPr>
          <w:rFonts w:ascii="Book Antiqua" w:hAnsi="Book Antiqua" w:cs="Arial"/>
          <w:sz w:val="24"/>
          <w:szCs w:val="24"/>
          <w:lang w:val="en-US"/>
        </w:rPr>
      </w:pPr>
      <w:r w:rsidRPr="00BA60F0">
        <w:rPr>
          <w:rFonts w:ascii="Book Antiqua" w:hAnsi="Book Antiqua" w:cs="Arial"/>
          <w:sz w:val="24"/>
          <w:szCs w:val="24"/>
          <w:lang w:val="en-US"/>
        </w:rPr>
        <w:t>In the Korean phase III randomized trial</w:t>
      </w:r>
      <w:r w:rsidRPr="00BA60F0">
        <w:rPr>
          <w:rFonts w:ascii="Book Antiqua" w:hAnsi="Book Antiqua" w:cs="Arial"/>
          <w:sz w:val="24"/>
          <w:szCs w:val="24"/>
          <w:vertAlign w:val="superscript"/>
          <w:lang w:val="en-US"/>
        </w:rPr>
        <w:t>[63]</w:t>
      </w:r>
      <w:r w:rsidRPr="00BA60F0">
        <w:rPr>
          <w:rFonts w:ascii="Book Antiqua" w:hAnsi="Book Antiqua" w:cs="Arial"/>
          <w:sz w:val="24"/>
          <w:szCs w:val="24"/>
          <w:lang w:val="en-US"/>
        </w:rPr>
        <w:t>, 202 patients with metastatic gastric cancer and an ECOG PS of 0 or 1 received one or two prior chemotherapy regimens involving both a fluoropyrimidine and a platinum agent and were randomly assigned at a ratio of 2:1 to either salvage chemotherapy (docetaxel 60 mg/m</w:t>
      </w:r>
      <w:r w:rsidRPr="00BA60F0">
        <w:rPr>
          <w:rFonts w:ascii="Book Antiqua" w:hAnsi="Book Antiqua" w:cs="Arial"/>
          <w:sz w:val="24"/>
          <w:szCs w:val="24"/>
          <w:vertAlign w:val="superscript"/>
          <w:lang w:val="en-US"/>
        </w:rPr>
        <w:t>2</w:t>
      </w:r>
      <w:r w:rsidRPr="00BA60F0">
        <w:rPr>
          <w:rFonts w:ascii="Book Antiqua" w:hAnsi="Book Antiqua" w:cs="Arial"/>
          <w:sz w:val="24"/>
          <w:szCs w:val="24"/>
          <w:lang w:val="en-US"/>
        </w:rPr>
        <w:t xml:space="preserve"> every 3 weeks or irinotecan 150 mg/m</w:t>
      </w:r>
      <w:r w:rsidRPr="00BA60F0">
        <w:rPr>
          <w:rFonts w:ascii="Book Antiqua" w:hAnsi="Book Antiqua" w:cs="Arial"/>
          <w:sz w:val="24"/>
          <w:szCs w:val="24"/>
          <w:vertAlign w:val="superscript"/>
          <w:lang w:val="en-US"/>
        </w:rPr>
        <w:t>2</w:t>
      </w:r>
      <w:r w:rsidR="007952D5">
        <w:rPr>
          <w:rFonts w:ascii="Book Antiqua" w:hAnsi="Book Antiqua" w:cs="Arial"/>
          <w:sz w:val="24"/>
          <w:szCs w:val="24"/>
          <w:lang w:val="en-US"/>
        </w:rPr>
        <w:t xml:space="preserve"> every 2 wk</w:t>
      </w:r>
      <w:r w:rsidRPr="00BA60F0">
        <w:rPr>
          <w:rFonts w:ascii="Book Antiqua" w:hAnsi="Book Antiqua" w:cs="Arial"/>
          <w:sz w:val="24"/>
          <w:szCs w:val="24"/>
          <w:lang w:val="en-US"/>
        </w:rPr>
        <w:t xml:space="preserve"> plus BSC) or BSC. The addition of second-line chemotherapy to BSC produced significant improvement in median OS (5.3 mo) when compared with BSC alone (3.8 mo) (HR</w:t>
      </w:r>
      <w:r w:rsidR="007952D5">
        <w:rPr>
          <w:rFonts w:ascii="Book Antiqua" w:hAnsi="Book Antiqua" w:cs="Arial" w:hint="eastAsia"/>
          <w:sz w:val="24"/>
          <w:szCs w:val="24"/>
          <w:lang w:val="en-US" w:eastAsia="zh-CN"/>
        </w:rPr>
        <w:t xml:space="preserve"> </w:t>
      </w:r>
      <w:r w:rsidRPr="00BA60F0">
        <w:rPr>
          <w:rFonts w:ascii="Book Antiqua" w:hAnsi="Book Antiqua" w:cs="Arial"/>
          <w:sz w:val="24"/>
          <w:szCs w:val="24"/>
          <w:lang w:val="en-US"/>
        </w:rPr>
        <w:t>=</w:t>
      </w:r>
      <w:r w:rsidR="007952D5">
        <w:rPr>
          <w:rFonts w:ascii="Book Antiqua" w:hAnsi="Book Antiqua" w:cs="Arial" w:hint="eastAsia"/>
          <w:sz w:val="24"/>
          <w:szCs w:val="24"/>
          <w:lang w:val="en-US" w:eastAsia="zh-CN"/>
        </w:rPr>
        <w:t xml:space="preserve"> </w:t>
      </w:r>
      <w:r w:rsidRPr="00BA60F0">
        <w:rPr>
          <w:rFonts w:ascii="Book Antiqua" w:hAnsi="Book Antiqua" w:cs="Arial"/>
          <w:sz w:val="24"/>
          <w:szCs w:val="24"/>
          <w:lang w:val="en-US"/>
        </w:rPr>
        <w:t xml:space="preserve">0.657, </w:t>
      </w:r>
      <w:r w:rsidR="007952D5">
        <w:rPr>
          <w:rFonts w:ascii="Book Antiqua" w:hAnsi="Book Antiqua" w:cs="Arial"/>
          <w:sz w:val="24"/>
          <w:szCs w:val="24"/>
          <w:lang w:val="en-US"/>
        </w:rPr>
        <w:t>95%CI:</w:t>
      </w:r>
      <w:r w:rsidRPr="00BA60F0">
        <w:rPr>
          <w:rFonts w:ascii="Book Antiqua" w:hAnsi="Book Antiqua" w:cs="Arial"/>
          <w:sz w:val="24"/>
          <w:szCs w:val="24"/>
          <w:lang w:val="en-US"/>
        </w:rPr>
        <w:t xml:space="preserve"> 0.485</w:t>
      </w:r>
      <w:r w:rsidR="007952D5">
        <w:rPr>
          <w:rFonts w:ascii="Book Antiqua" w:hAnsi="Book Antiqua" w:cs="Arial" w:hint="eastAsia"/>
          <w:sz w:val="24"/>
          <w:szCs w:val="24"/>
          <w:lang w:val="en-US" w:eastAsia="zh-CN"/>
        </w:rPr>
        <w:t>-</w:t>
      </w:r>
      <w:r w:rsidRPr="00BA60F0">
        <w:rPr>
          <w:rFonts w:ascii="Book Antiqua" w:hAnsi="Book Antiqua" w:cs="Arial"/>
          <w:sz w:val="24"/>
          <w:szCs w:val="24"/>
          <w:lang w:val="en-US"/>
        </w:rPr>
        <w:t xml:space="preserve">0.891; </w:t>
      </w:r>
      <w:r w:rsidR="007952D5" w:rsidRPr="007952D5">
        <w:rPr>
          <w:rFonts w:ascii="Book Antiqua" w:hAnsi="Book Antiqua" w:cs="Arial"/>
          <w:i/>
          <w:caps/>
          <w:sz w:val="24"/>
          <w:szCs w:val="24"/>
          <w:lang w:val="en-US"/>
        </w:rPr>
        <w:t xml:space="preserve">p = </w:t>
      </w:r>
      <w:r w:rsidRPr="00BA60F0">
        <w:rPr>
          <w:rFonts w:ascii="Book Antiqua" w:hAnsi="Book Antiqua" w:cs="Arial"/>
          <w:sz w:val="24"/>
          <w:szCs w:val="24"/>
          <w:lang w:val="en-US"/>
        </w:rPr>
        <w:t xml:space="preserve">0.007). The survival benefit </w:t>
      </w:r>
      <w:r w:rsidR="00435F70" w:rsidRPr="00BA60F0">
        <w:rPr>
          <w:rFonts w:ascii="Book Antiqua" w:hAnsi="Book Antiqua" w:cs="Arial"/>
          <w:sz w:val="24"/>
          <w:szCs w:val="24"/>
          <w:lang w:val="en-US"/>
        </w:rPr>
        <w:t>remained</w:t>
      </w:r>
      <w:r w:rsidRPr="00BA60F0">
        <w:rPr>
          <w:rFonts w:ascii="Book Antiqua" w:hAnsi="Book Antiqua" w:cs="Arial"/>
          <w:sz w:val="24"/>
          <w:szCs w:val="24"/>
          <w:lang w:val="en-US"/>
        </w:rPr>
        <w:t xml:space="preserve"> consistent </w:t>
      </w:r>
      <w:r w:rsidR="00435F70" w:rsidRPr="00BA60F0">
        <w:rPr>
          <w:rFonts w:ascii="Book Antiqua" w:hAnsi="Book Antiqua" w:cs="Arial"/>
          <w:sz w:val="24"/>
          <w:szCs w:val="24"/>
          <w:lang w:val="en-US"/>
        </w:rPr>
        <w:t>among the</w:t>
      </w:r>
      <w:r w:rsidRPr="00BA60F0">
        <w:rPr>
          <w:rFonts w:ascii="Book Antiqua" w:hAnsi="Book Antiqua" w:cs="Arial"/>
          <w:sz w:val="24"/>
          <w:szCs w:val="24"/>
          <w:lang w:val="en-US"/>
        </w:rPr>
        <w:t xml:space="preserve"> prospectively defined subgroups, including age, PS, number of prior treatments, metastatic sites, hemoglobin levels, and response to prior chemotherapy. </w:t>
      </w:r>
      <w:r w:rsidR="00435F70" w:rsidRPr="00BA60F0">
        <w:rPr>
          <w:rFonts w:ascii="Book Antiqua" w:hAnsi="Book Antiqua" w:cs="Arial"/>
          <w:sz w:val="24"/>
          <w:szCs w:val="24"/>
          <w:lang w:val="en-US"/>
        </w:rPr>
        <w:t>No</w:t>
      </w:r>
      <w:r w:rsidRPr="00BA60F0">
        <w:rPr>
          <w:rFonts w:ascii="Book Antiqua" w:hAnsi="Book Antiqua" w:cs="Arial"/>
          <w:sz w:val="24"/>
          <w:szCs w:val="24"/>
          <w:lang w:val="en-US"/>
        </w:rPr>
        <w:t xml:space="preserve"> difference in median OS between docetaxel and irinotecan (5.2 </w:t>
      </w:r>
      <w:r w:rsidR="007952D5">
        <w:rPr>
          <w:rFonts w:ascii="Book Antiqua" w:hAnsi="Book Antiqua" w:cs="Arial" w:hint="eastAsia"/>
          <w:sz w:val="24"/>
          <w:szCs w:val="24"/>
          <w:lang w:val="en-US" w:eastAsia="zh-CN"/>
        </w:rPr>
        <w:t xml:space="preserve">mo </w:t>
      </w:r>
      <w:r w:rsidR="007952D5" w:rsidRPr="007952D5">
        <w:rPr>
          <w:rFonts w:ascii="Book Antiqua" w:hAnsi="Book Antiqua" w:cs="Arial"/>
          <w:i/>
          <w:sz w:val="24"/>
          <w:szCs w:val="24"/>
          <w:lang w:val="en-US"/>
        </w:rPr>
        <w:t>vs</w:t>
      </w:r>
      <w:r w:rsidRPr="00BA60F0">
        <w:rPr>
          <w:rFonts w:ascii="Book Antiqua" w:hAnsi="Book Antiqua" w:cs="Arial"/>
          <w:sz w:val="24"/>
          <w:szCs w:val="24"/>
          <w:lang w:val="en-US"/>
        </w:rPr>
        <w:t xml:space="preserve"> 6.5 mo, </w:t>
      </w:r>
      <w:r w:rsidR="007952D5" w:rsidRPr="007952D5">
        <w:rPr>
          <w:rFonts w:ascii="Book Antiqua" w:hAnsi="Book Antiqua" w:cs="Arial"/>
          <w:i/>
          <w:caps/>
          <w:sz w:val="24"/>
          <w:szCs w:val="24"/>
          <w:lang w:val="en-US"/>
        </w:rPr>
        <w:t xml:space="preserve">p = </w:t>
      </w:r>
      <w:r w:rsidRPr="00BA60F0">
        <w:rPr>
          <w:rFonts w:ascii="Book Antiqua" w:hAnsi="Book Antiqua" w:cs="Arial"/>
          <w:sz w:val="24"/>
          <w:szCs w:val="24"/>
          <w:lang w:val="en-US"/>
        </w:rPr>
        <w:t>0.116)</w:t>
      </w:r>
      <w:r w:rsidR="00435F70" w:rsidRPr="00BA60F0">
        <w:rPr>
          <w:rFonts w:ascii="Book Antiqua" w:hAnsi="Book Antiqua" w:cs="Arial"/>
          <w:sz w:val="24"/>
          <w:szCs w:val="24"/>
          <w:lang w:val="en-US"/>
        </w:rPr>
        <w:t xml:space="preserve"> was registered</w:t>
      </w:r>
      <w:r w:rsidRPr="00BA60F0">
        <w:rPr>
          <w:rFonts w:ascii="Book Antiqua" w:hAnsi="Book Antiqua" w:cs="Arial"/>
          <w:sz w:val="24"/>
          <w:szCs w:val="24"/>
          <w:lang w:val="en-US"/>
        </w:rPr>
        <w:t xml:space="preserve">. The most common toxicity of chemotherapy </w:t>
      </w:r>
      <w:r w:rsidR="00435F70" w:rsidRPr="00BA60F0">
        <w:rPr>
          <w:rFonts w:ascii="Book Antiqua" w:hAnsi="Book Antiqua" w:cs="Arial"/>
          <w:sz w:val="24"/>
          <w:szCs w:val="24"/>
          <w:lang w:val="en-US"/>
        </w:rPr>
        <w:t>being</w:t>
      </w:r>
      <w:r w:rsidRPr="00BA60F0">
        <w:rPr>
          <w:rFonts w:ascii="Book Antiqua" w:hAnsi="Book Antiqua" w:cs="Arial"/>
          <w:sz w:val="24"/>
          <w:szCs w:val="24"/>
          <w:lang w:val="en-US"/>
        </w:rPr>
        <w:t xml:space="preserve"> myelosuppression and was easily manageable. Median relative dose-intensities </w:t>
      </w:r>
      <w:r w:rsidR="00435F70" w:rsidRPr="00BA60F0">
        <w:rPr>
          <w:rFonts w:ascii="Book Antiqua" w:hAnsi="Book Antiqua" w:cs="Arial"/>
          <w:sz w:val="24"/>
          <w:szCs w:val="24"/>
          <w:lang w:val="en-US"/>
        </w:rPr>
        <w:t xml:space="preserve">for docetaxel and irinotecan arm were </w:t>
      </w:r>
      <w:r w:rsidRPr="00BA60F0">
        <w:rPr>
          <w:rFonts w:ascii="Book Antiqua" w:hAnsi="Book Antiqua" w:cs="Arial"/>
          <w:sz w:val="24"/>
          <w:szCs w:val="24"/>
          <w:lang w:val="en-US"/>
        </w:rPr>
        <w:t>95% and 93%</w:t>
      </w:r>
      <w:r w:rsidR="00435F70" w:rsidRPr="00BA60F0">
        <w:rPr>
          <w:rFonts w:ascii="Book Antiqua" w:hAnsi="Book Antiqua" w:cs="Arial"/>
          <w:sz w:val="24"/>
          <w:szCs w:val="24"/>
          <w:lang w:val="en-US"/>
        </w:rPr>
        <w:t>, respectively</w:t>
      </w:r>
      <w:r w:rsidRPr="00BA60F0">
        <w:rPr>
          <w:rFonts w:ascii="Book Antiqua" w:hAnsi="Book Antiqua" w:cs="Arial"/>
          <w:sz w:val="24"/>
          <w:szCs w:val="24"/>
          <w:lang w:val="en-US"/>
        </w:rPr>
        <w:t xml:space="preserve">. Moreover, patients in the chemotherapy arm more frequently received further treatment than those in the BSC arm (40% </w:t>
      </w:r>
      <w:r w:rsidRPr="007952D5">
        <w:rPr>
          <w:rFonts w:ascii="Book Antiqua" w:hAnsi="Book Antiqua" w:cs="Arial"/>
          <w:i/>
          <w:sz w:val="24"/>
          <w:szCs w:val="24"/>
          <w:lang w:val="en-US"/>
        </w:rPr>
        <w:t>v</w:t>
      </w:r>
      <w:r w:rsidR="007952D5" w:rsidRPr="007952D5">
        <w:rPr>
          <w:rFonts w:ascii="Book Antiqua" w:hAnsi="Book Antiqua" w:cs="Arial" w:hint="eastAsia"/>
          <w:i/>
          <w:sz w:val="24"/>
          <w:szCs w:val="24"/>
          <w:lang w:val="en-US" w:eastAsia="zh-CN"/>
        </w:rPr>
        <w:t>s</w:t>
      </w:r>
      <w:r w:rsidRPr="00BA60F0">
        <w:rPr>
          <w:rFonts w:ascii="Book Antiqua" w:hAnsi="Book Antiqua" w:cs="Arial"/>
          <w:sz w:val="24"/>
          <w:szCs w:val="24"/>
          <w:lang w:val="en-US"/>
        </w:rPr>
        <w:t xml:space="preserve"> 22%; </w:t>
      </w:r>
      <w:r w:rsidR="007952D5" w:rsidRPr="007952D5">
        <w:rPr>
          <w:rFonts w:ascii="Book Antiqua" w:hAnsi="Book Antiqua" w:cs="Arial"/>
          <w:i/>
          <w:caps/>
          <w:sz w:val="24"/>
          <w:szCs w:val="24"/>
          <w:lang w:val="en-US"/>
        </w:rPr>
        <w:t xml:space="preserve">p = </w:t>
      </w:r>
      <w:r w:rsidRPr="00BA60F0">
        <w:rPr>
          <w:rFonts w:ascii="Book Antiqua" w:hAnsi="Book Antiqua" w:cs="Arial"/>
          <w:sz w:val="24"/>
          <w:szCs w:val="24"/>
          <w:lang w:val="en-US"/>
        </w:rPr>
        <w:t>0.011)</w:t>
      </w:r>
      <w:r w:rsidRPr="00BA60F0">
        <w:rPr>
          <w:rFonts w:ascii="Book Antiqua" w:hAnsi="Book Antiqua" w:cs="Arial"/>
          <w:sz w:val="24"/>
          <w:szCs w:val="24"/>
          <w:vertAlign w:val="superscript"/>
          <w:lang w:val="en-US"/>
        </w:rPr>
        <w:t>[63]</w:t>
      </w:r>
      <w:r w:rsidRPr="00BA60F0">
        <w:rPr>
          <w:rFonts w:ascii="Book Antiqua" w:hAnsi="Book Antiqua" w:cs="Arial"/>
          <w:sz w:val="24"/>
          <w:szCs w:val="24"/>
          <w:lang w:val="en-US"/>
        </w:rPr>
        <w:t>.</w:t>
      </w:r>
    </w:p>
    <w:p w:rsidR="006A7B58" w:rsidRPr="00BA60F0" w:rsidRDefault="006A7B58" w:rsidP="00746849">
      <w:pPr>
        <w:adjustRightInd w:val="0"/>
        <w:snapToGrid w:val="0"/>
        <w:spacing w:after="0" w:line="360" w:lineRule="auto"/>
        <w:ind w:firstLine="708"/>
        <w:jc w:val="both"/>
        <w:rPr>
          <w:rFonts w:ascii="Book Antiqua" w:hAnsi="Book Antiqua" w:cs="Arial"/>
          <w:sz w:val="24"/>
          <w:szCs w:val="24"/>
          <w:lang w:val="en-US"/>
        </w:rPr>
      </w:pPr>
      <w:r w:rsidRPr="00BA60F0">
        <w:rPr>
          <w:rFonts w:ascii="Book Antiqua" w:hAnsi="Book Antiqua" w:cs="Arial"/>
          <w:sz w:val="24"/>
          <w:szCs w:val="24"/>
          <w:lang w:val="en-US"/>
        </w:rPr>
        <w:t>In the Japanese WJOG 4007 phase III trial</w:t>
      </w:r>
      <w:r w:rsidRPr="00BA60F0">
        <w:rPr>
          <w:rFonts w:ascii="Book Antiqua" w:hAnsi="Book Antiqua" w:cs="Arial"/>
          <w:sz w:val="24"/>
          <w:szCs w:val="24"/>
          <w:vertAlign w:val="superscript"/>
          <w:lang w:val="en-US"/>
        </w:rPr>
        <w:t>[64]</w:t>
      </w:r>
      <w:r w:rsidRPr="00BA60F0">
        <w:rPr>
          <w:rFonts w:ascii="Book Antiqua" w:hAnsi="Book Antiqua" w:cs="Arial"/>
          <w:sz w:val="24"/>
          <w:szCs w:val="24"/>
          <w:lang w:val="en-US"/>
        </w:rPr>
        <w:t>, 223 patients with metastatic gastric cancer refractory to fluoropyrimidine and platinum combination treatment were randomly assigned to receive either paclitaxel (80 mg/m</w:t>
      </w:r>
      <w:r w:rsidRPr="00BA60F0">
        <w:rPr>
          <w:rFonts w:ascii="Book Antiqua" w:hAnsi="Book Antiqua" w:cs="Arial"/>
          <w:sz w:val="24"/>
          <w:szCs w:val="24"/>
          <w:vertAlign w:val="superscript"/>
          <w:lang w:val="en-US"/>
        </w:rPr>
        <w:t>2</w:t>
      </w:r>
      <w:r w:rsidRPr="00BA60F0">
        <w:rPr>
          <w:rFonts w:ascii="Book Antiqua" w:hAnsi="Book Antiqua" w:cs="Arial"/>
          <w:sz w:val="24"/>
          <w:szCs w:val="24"/>
          <w:lang w:val="en-US"/>
        </w:rPr>
        <w:t xml:space="preserve"> o</w:t>
      </w:r>
      <w:r w:rsidR="007952D5">
        <w:rPr>
          <w:rFonts w:ascii="Book Antiqua" w:hAnsi="Book Antiqua" w:cs="Arial"/>
          <w:sz w:val="24"/>
          <w:szCs w:val="24"/>
          <w:lang w:val="en-US"/>
        </w:rPr>
        <w:t>n days 1, 8, and 15, every 4 wk</w:t>
      </w:r>
      <w:r w:rsidRPr="00BA60F0">
        <w:rPr>
          <w:rFonts w:ascii="Book Antiqua" w:hAnsi="Book Antiqua" w:cs="Arial"/>
          <w:sz w:val="24"/>
          <w:szCs w:val="24"/>
          <w:lang w:val="en-US"/>
        </w:rPr>
        <w:t>) or irinotecan (150 mg/m</w:t>
      </w:r>
      <w:r w:rsidRPr="00BA60F0">
        <w:rPr>
          <w:rFonts w:ascii="Book Antiqua" w:hAnsi="Book Antiqua" w:cs="Arial"/>
          <w:sz w:val="24"/>
          <w:szCs w:val="24"/>
          <w:vertAlign w:val="superscript"/>
          <w:lang w:val="en-US"/>
        </w:rPr>
        <w:t>2</w:t>
      </w:r>
      <w:r w:rsidR="007952D5">
        <w:rPr>
          <w:rFonts w:ascii="Book Antiqua" w:hAnsi="Book Antiqua" w:cs="Arial"/>
          <w:sz w:val="24"/>
          <w:szCs w:val="24"/>
          <w:lang w:val="en-US"/>
        </w:rPr>
        <w:t xml:space="preserve"> on days 1 and 15, every 4 wk</w:t>
      </w:r>
      <w:r w:rsidRPr="00BA60F0">
        <w:rPr>
          <w:rFonts w:ascii="Book Antiqua" w:hAnsi="Book Antiqua" w:cs="Arial"/>
          <w:sz w:val="24"/>
          <w:szCs w:val="24"/>
          <w:lang w:val="en-US"/>
        </w:rPr>
        <w:t xml:space="preserve">). Nearly all patients had an ECOG PS of 0 or 1 (96%), the primary tumor was not resected in most patients (65%–66%), most had received prior S-1 plus cisplatin (79%–84%), and equal numbers of patients had intestinal or diffuse histology according to the Lauren classification. Patients with large volume ascites or bowel obstruction due to peritoneal carcinomatosis were excluded. After a median follow-up of 17.6 months, OS was similar with paclitaxel and irinotecan </w:t>
      </w:r>
      <w:r w:rsidR="007952D5">
        <w:rPr>
          <w:rFonts w:ascii="Book Antiqua" w:hAnsi="Book Antiqua" w:cs="Arial" w:hint="eastAsia"/>
          <w:sz w:val="24"/>
          <w:szCs w:val="24"/>
          <w:lang w:val="en-US" w:eastAsia="zh-CN"/>
        </w:rPr>
        <w:t>[</w:t>
      </w:r>
      <w:r w:rsidRPr="00BA60F0">
        <w:rPr>
          <w:rFonts w:ascii="Book Antiqua" w:hAnsi="Book Antiqua" w:cs="Arial"/>
          <w:sz w:val="24"/>
          <w:szCs w:val="24"/>
          <w:lang w:val="en-US"/>
        </w:rPr>
        <w:t xml:space="preserve">9.5 and 8.4 mo, </w:t>
      </w:r>
      <w:r w:rsidR="007952D5">
        <w:rPr>
          <w:rFonts w:ascii="Book Antiqua" w:hAnsi="Book Antiqua" w:cs="Arial" w:hint="eastAsia"/>
          <w:sz w:val="24"/>
          <w:szCs w:val="24"/>
          <w:lang w:val="en-US" w:eastAsia="zh-CN"/>
        </w:rPr>
        <w:t>(</w:t>
      </w:r>
      <w:r w:rsidRPr="00BA60F0">
        <w:rPr>
          <w:rFonts w:ascii="Book Antiqua" w:hAnsi="Book Antiqua" w:cs="Arial"/>
          <w:sz w:val="24"/>
          <w:szCs w:val="24"/>
          <w:lang w:val="en-US"/>
        </w:rPr>
        <w:t xml:space="preserve">HR </w:t>
      </w:r>
      <w:r w:rsidR="007952D5">
        <w:rPr>
          <w:rFonts w:ascii="Book Antiqua" w:hAnsi="Book Antiqua" w:cs="Arial" w:hint="eastAsia"/>
          <w:sz w:val="24"/>
          <w:szCs w:val="24"/>
          <w:lang w:val="en-US" w:eastAsia="zh-CN"/>
        </w:rPr>
        <w:t xml:space="preserve">= </w:t>
      </w:r>
      <w:r w:rsidRPr="00BA60F0">
        <w:rPr>
          <w:rFonts w:ascii="Book Antiqua" w:hAnsi="Book Antiqua" w:cs="Arial"/>
          <w:sz w:val="24"/>
          <w:szCs w:val="24"/>
          <w:lang w:val="en-US"/>
        </w:rPr>
        <w:t xml:space="preserve">1.13, </w:t>
      </w:r>
      <w:r w:rsidR="007952D5" w:rsidRPr="007952D5">
        <w:rPr>
          <w:rFonts w:ascii="Book Antiqua" w:hAnsi="Book Antiqua" w:cs="Arial"/>
          <w:i/>
          <w:caps/>
          <w:sz w:val="24"/>
          <w:szCs w:val="24"/>
          <w:lang w:val="en-US"/>
        </w:rPr>
        <w:t xml:space="preserve">p = </w:t>
      </w:r>
      <w:r w:rsidRPr="00BA60F0">
        <w:rPr>
          <w:rFonts w:ascii="Book Antiqua" w:hAnsi="Book Antiqua" w:cs="Arial"/>
          <w:sz w:val="24"/>
          <w:szCs w:val="24"/>
          <w:lang w:val="en-US"/>
        </w:rPr>
        <w:t>0.38</w:t>
      </w:r>
      <w:r w:rsidR="007952D5">
        <w:rPr>
          <w:rFonts w:ascii="Book Antiqua" w:hAnsi="Book Antiqua" w:cs="Arial" w:hint="eastAsia"/>
          <w:sz w:val="24"/>
          <w:szCs w:val="24"/>
          <w:lang w:val="en-US" w:eastAsia="zh-CN"/>
        </w:rPr>
        <w:t>)</w:t>
      </w:r>
      <w:r w:rsidRPr="00BA60F0">
        <w:rPr>
          <w:rFonts w:ascii="Book Antiqua" w:hAnsi="Book Antiqua" w:cs="Arial"/>
          <w:sz w:val="24"/>
          <w:szCs w:val="24"/>
          <w:lang w:val="en-US"/>
        </w:rPr>
        <w:t>, respectively</w:t>
      </w:r>
      <w:r w:rsidR="007952D5">
        <w:rPr>
          <w:rFonts w:ascii="Book Antiqua" w:hAnsi="Book Antiqua" w:cs="Arial" w:hint="eastAsia"/>
          <w:sz w:val="24"/>
          <w:szCs w:val="24"/>
          <w:lang w:val="en-US" w:eastAsia="zh-CN"/>
        </w:rPr>
        <w:t>]</w:t>
      </w:r>
      <w:r w:rsidRPr="00BA60F0">
        <w:rPr>
          <w:rFonts w:ascii="Book Antiqua" w:hAnsi="Book Antiqua" w:cs="Arial"/>
          <w:sz w:val="24"/>
          <w:szCs w:val="24"/>
          <w:lang w:val="en-US"/>
        </w:rPr>
        <w:t>, as was progression-</w:t>
      </w:r>
      <w:r w:rsidRPr="00BA60F0">
        <w:rPr>
          <w:rFonts w:ascii="Book Antiqua" w:hAnsi="Book Antiqua" w:cs="Arial"/>
          <w:sz w:val="24"/>
          <w:szCs w:val="24"/>
          <w:lang w:val="en-US"/>
        </w:rPr>
        <w:lastRenderedPageBreak/>
        <w:t xml:space="preserve">free survival (PFS) (3.6 and 2.3 months [HR 1.14, </w:t>
      </w:r>
      <w:r w:rsidR="007952D5" w:rsidRPr="007952D5">
        <w:rPr>
          <w:rFonts w:ascii="Book Antiqua" w:hAnsi="Book Antiqua" w:cs="Arial"/>
          <w:i/>
          <w:caps/>
          <w:sz w:val="24"/>
          <w:szCs w:val="24"/>
          <w:lang w:val="en-US"/>
        </w:rPr>
        <w:t xml:space="preserve">p = </w:t>
      </w:r>
      <w:r w:rsidRPr="00BA60F0">
        <w:rPr>
          <w:rFonts w:ascii="Book Antiqua" w:hAnsi="Book Antiqua" w:cs="Arial"/>
          <w:sz w:val="24"/>
          <w:szCs w:val="24"/>
          <w:lang w:val="en-US"/>
        </w:rPr>
        <w:t xml:space="preserve">0.33]) and response rate (21% and 14%, </w:t>
      </w:r>
      <w:r w:rsidR="007952D5" w:rsidRPr="007952D5">
        <w:rPr>
          <w:rFonts w:ascii="Book Antiqua" w:hAnsi="Book Antiqua" w:cs="Arial"/>
          <w:i/>
          <w:caps/>
          <w:sz w:val="24"/>
          <w:szCs w:val="24"/>
          <w:lang w:val="en-US"/>
        </w:rPr>
        <w:t xml:space="preserve">p = </w:t>
      </w:r>
      <w:r w:rsidRPr="00BA60F0">
        <w:rPr>
          <w:rFonts w:ascii="Book Antiqua" w:hAnsi="Book Antiqua" w:cs="Arial"/>
          <w:sz w:val="24"/>
          <w:szCs w:val="24"/>
          <w:lang w:val="en-US"/>
        </w:rPr>
        <w:t xml:space="preserve">0.24). Patients who received irinotecan experienced more grade 3-4 neutropenia (39.1% </w:t>
      </w:r>
      <w:r w:rsidR="007952D5" w:rsidRPr="007952D5">
        <w:rPr>
          <w:rFonts w:ascii="Book Antiqua" w:hAnsi="Book Antiqua" w:cs="Arial"/>
          <w:i/>
          <w:sz w:val="24"/>
          <w:szCs w:val="24"/>
          <w:lang w:val="en-US"/>
        </w:rPr>
        <w:t>vs</w:t>
      </w:r>
      <w:r w:rsidRPr="00BA60F0">
        <w:rPr>
          <w:rFonts w:ascii="Book Antiqua" w:hAnsi="Book Antiqua" w:cs="Arial"/>
          <w:sz w:val="24"/>
          <w:szCs w:val="24"/>
          <w:lang w:val="en-US"/>
        </w:rPr>
        <w:t xml:space="preserve"> 28.7%) and diarrhea (4.5% </w:t>
      </w:r>
      <w:r w:rsidR="007952D5" w:rsidRPr="007952D5">
        <w:rPr>
          <w:rFonts w:ascii="Book Antiqua" w:hAnsi="Book Antiqua" w:cs="Arial"/>
          <w:i/>
          <w:sz w:val="24"/>
          <w:szCs w:val="24"/>
          <w:lang w:val="en-US"/>
        </w:rPr>
        <w:t>vs</w:t>
      </w:r>
      <w:r w:rsidRPr="00BA60F0">
        <w:rPr>
          <w:rFonts w:ascii="Book Antiqua" w:hAnsi="Book Antiqua" w:cs="Arial"/>
          <w:sz w:val="24"/>
          <w:szCs w:val="24"/>
          <w:lang w:val="en-US"/>
        </w:rPr>
        <w:t xml:space="preserve"> 0.9%), whereas patients receiving paclitaxel experienced more grade 3-4 sensory neuropathy (7.4% </w:t>
      </w:r>
      <w:r w:rsidR="007952D5" w:rsidRPr="007952D5">
        <w:rPr>
          <w:rFonts w:ascii="Book Antiqua" w:hAnsi="Book Antiqua" w:cs="Arial"/>
          <w:i/>
          <w:sz w:val="24"/>
          <w:szCs w:val="24"/>
          <w:lang w:val="en-US"/>
        </w:rPr>
        <w:t>vs</w:t>
      </w:r>
      <w:r w:rsidRPr="00BA60F0">
        <w:rPr>
          <w:rFonts w:ascii="Book Antiqua" w:hAnsi="Book Antiqua" w:cs="Arial"/>
          <w:sz w:val="24"/>
          <w:szCs w:val="24"/>
          <w:lang w:val="en-US"/>
        </w:rPr>
        <w:t xml:space="preserve"> 0%). The authors concluded that paclitaxel and irinotecan are reasonable second-line treatment options for metastatic gastric cancer</w:t>
      </w:r>
      <w:r w:rsidRPr="00BA60F0">
        <w:rPr>
          <w:rFonts w:ascii="Book Antiqua" w:hAnsi="Book Antiqua" w:cs="Arial"/>
          <w:sz w:val="24"/>
          <w:szCs w:val="24"/>
          <w:vertAlign w:val="superscript"/>
          <w:lang w:val="en-US"/>
        </w:rPr>
        <w:t>[64]</w:t>
      </w:r>
      <w:r w:rsidRPr="00BA60F0">
        <w:rPr>
          <w:rFonts w:ascii="Book Antiqua" w:hAnsi="Book Antiqua" w:cs="Arial"/>
          <w:sz w:val="24"/>
          <w:szCs w:val="24"/>
          <w:lang w:val="en-US"/>
        </w:rPr>
        <w:t>.</w:t>
      </w:r>
    </w:p>
    <w:p w:rsidR="006A7B58" w:rsidRPr="00BA60F0" w:rsidRDefault="006A7B58" w:rsidP="00746849">
      <w:pPr>
        <w:adjustRightInd w:val="0"/>
        <w:snapToGrid w:val="0"/>
        <w:spacing w:after="0" w:line="360" w:lineRule="auto"/>
        <w:ind w:firstLine="708"/>
        <w:jc w:val="both"/>
        <w:rPr>
          <w:rFonts w:ascii="Book Antiqua" w:hAnsi="Book Antiqua" w:cs="Arial"/>
          <w:sz w:val="24"/>
          <w:szCs w:val="24"/>
          <w:lang w:val="en-US"/>
        </w:rPr>
      </w:pPr>
      <w:r w:rsidRPr="00BA60F0">
        <w:rPr>
          <w:rFonts w:ascii="Book Antiqua" w:hAnsi="Book Antiqua" w:cs="Arial"/>
          <w:sz w:val="24"/>
          <w:szCs w:val="24"/>
          <w:lang w:val="en-US"/>
        </w:rPr>
        <w:t>In the COUGAR-02 phase 3 trial conducted in the U</w:t>
      </w:r>
      <w:r w:rsidR="007952D5">
        <w:rPr>
          <w:rFonts w:ascii="Book Antiqua" w:hAnsi="Book Antiqua" w:cs="Arial" w:hint="eastAsia"/>
          <w:sz w:val="24"/>
          <w:szCs w:val="24"/>
          <w:lang w:val="en-US" w:eastAsia="zh-CN"/>
        </w:rPr>
        <w:t>nited Kingdom</w:t>
      </w:r>
      <w:r w:rsidRPr="00BA60F0">
        <w:rPr>
          <w:rFonts w:ascii="Book Antiqua" w:hAnsi="Book Antiqua" w:cs="Arial"/>
          <w:sz w:val="24"/>
          <w:szCs w:val="24"/>
          <w:vertAlign w:val="superscript"/>
          <w:lang w:val="en-US"/>
        </w:rPr>
        <w:t>[65]</w:t>
      </w:r>
      <w:r w:rsidRPr="00BA60F0">
        <w:rPr>
          <w:rFonts w:ascii="Book Antiqua" w:hAnsi="Book Antiqua" w:cs="Arial"/>
          <w:sz w:val="24"/>
          <w:szCs w:val="24"/>
          <w:lang w:val="en-US"/>
        </w:rPr>
        <w:t>, 168 patients with metastatic adenocarcinoma of the esophagus, gastro-esophageal junction, or stomach that had progressed on or within 6 mo of treatment with a platinum and fluoropyrimidine combination were recruited. Patients with an ECOG PS of 0 to 2 were randomly assigned to docetaxel 75 mg/m</w:t>
      </w:r>
      <w:r w:rsidRPr="00BA60F0">
        <w:rPr>
          <w:rFonts w:ascii="Book Antiqua" w:hAnsi="Book Antiqua" w:cs="Arial"/>
          <w:sz w:val="24"/>
          <w:szCs w:val="24"/>
          <w:vertAlign w:val="superscript"/>
          <w:lang w:val="en-US"/>
        </w:rPr>
        <w:t>2</w:t>
      </w:r>
      <w:r w:rsidR="00F84BA0">
        <w:rPr>
          <w:rFonts w:ascii="Book Antiqua" w:hAnsi="Book Antiqua" w:cs="Arial"/>
          <w:sz w:val="24"/>
          <w:szCs w:val="24"/>
          <w:lang w:val="en-US"/>
        </w:rPr>
        <w:t xml:space="preserve"> every 3 wk</w:t>
      </w:r>
      <w:r w:rsidRPr="00BA60F0">
        <w:rPr>
          <w:rFonts w:ascii="Book Antiqua" w:hAnsi="Book Antiqua" w:cs="Arial"/>
          <w:sz w:val="24"/>
          <w:szCs w:val="24"/>
          <w:lang w:val="en-US"/>
        </w:rPr>
        <w:t xml:space="preserve"> for a maximum of 6 cycles plus BSC and BSC alone. </w:t>
      </w:r>
      <w:r w:rsidRPr="00BA60F0">
        <w:rPr>
          <w:rFonts w:ascii="Book Antiqua" w:hAnsi="Book Antiqua" w:cs="Arial"/>
          <w:color w:val="000000"/>
          <w:sz w:val="24"/>
          <w:szCs w:val="24"/>
          <w:shd w:val="clear" w:color="auto" w:fill="FFFFFF"/>
          <w:lang w:val="en-US"/>
        </w:rPr>
        <w:t xml:space="preserve">After a median follow-up of 12 mo, median OS was modestly improved with docetaxel compared with BSC alone (5.2 </w:t>
      </w:r>
      <w:r w:rsidR="007952D5" w:rsidRPr="007952D5">
        <w:rPr>
          <w:rFonts w:ascii="Book Antiqua" w:hAnsi="Book Antiqua" w:cs="Arial"/>
          <w:i/>
          <w:color w:val="000000"/>
          <w:sz w:val="24"/>
          <w:szCs w:val="24"/>
          <w:shd w:val="clear" w:color="auto" w:fill="FFFFFF"/>
          <w:lang w:val="en-US"/>
        </w:rPr>
        <w:t>vs</w:t>
      </w:r>
      <w:r w:rsidRPr="00BA60F0">
        <w:rPr>
          <w:rFonts w:ascii="Book Antiqua" w:hAnsi="Book Antiqua" w:cs="Arial"/>
          <w:color w:val="000000"/>
          <w:sz w:val="24"/>
          <w:szCs w:val="24"/>
          <w:shd w:val="clear" w:color="auto" w:fill="FFFFFF"/>
          <w:lang w:val="en-US"/>
        </w:rPr>
        <w:t xml:space="preserve"> 3.6 mo; HR</w:t>
      </w:r>
      <w:r w:rsidR="00F84BA0">
        <w:rPr>
          <w:rFonts w:ascii="Book Antiqua" w:hAnsi="Book Antiqua" w:cs="Arial" w:hint="eastAsia"/>
          <w:color w:val="000000"/>
          <w:sz w:val="24"/>
          <w:szCs w:val="24"/>
          <w:shd w:val="clear" w:color="auto" w:fill="FFFFFF"/>
          <w:lang w:val="en-US" w:eastAsia="zh-CN"/>
        </w:rPr>
        <w:t xml:space="preserve"> </w:t>
      </w:r>
      <w:r w:rsidRPr="00BA60F0">
        <w:rPr>
          <w:rFonts w:ascii="Book Antiqua" w:hAnsi="Book Antiqua" w:cs="Arial"/>
          <w:color w:val="000000"/>
          <w:sz w:val="24"/>
          <w:szCs w:val="24"/>
          <w:shd w:val="clear" w:color="auto" w:fill="FFFFFF"/>
          <w:lang w:val="en-US"/>
        </w:rPr>
        <w:t>=</w:t>
      </w:r>
      <w:r w:rsidR="00F84BA0">
        <w:rPr>
          <w:rFonts w:ascii="Book Antiqua" w:hAnsi="Book Antiqua" w:cs="Arial" w:hint="eastAsia"/>
          <w:color w:val="000000"/>
          <w:sz w:val="24"/>
          <w:szCs w:val="24"/>
          <w:shd w:val="clear" w:color="auto" w:fill="FFFFFF"/>
          <w:lang w:val="en-US" w:eastAsia="zh-CN"/>
        </w:rPr>
        <w:t xml:space="preserve"> </w:t>
      </w:r>
      <w:r w:rsidRPr="00BA60F0">
        <w:rPr>
          <w:rFonts w:ascii="Book Antiqua" w:hAnsi="Book Antiqua" w:cs="Arial"/>
          <w:color w:val="000000"/>
          <w:sz w:val="24"/>
          <w:szCs w:val="24"/>
          <w:shd w:val="clear" w:color="auto" w:fill="FFFFFF"/>
          <w:lang w:val="en-US"/>
        </w:rPr>
        <w:t>0.67;</w:t>
      </w:r>
      <w:r w:rsidRPr="00BA60F0">
        <w:rPr>
          <w:rStyle w:val="apple-converted-space"/>
          <w:rFonts w:ascii="Book Antiqua" w:hAnsi="Book Antiqua" w:cs="Arial"/>
          <w:color w:val="000000"/>
          <w:sz w:val="24"/>
          <w:szCs w:val="24"/>
          <w:shd w:val="clear" w:color="auto" w:fill="FFFFFF"/>
          <w:lang w:val="en-US"/>
        </w:rPr>
        <w:t> </w:t>
      </w:r>
      <w:r w:rsidR="007952D5" w:rsidRPr="007952D5">
        <w:rPr>
          <w:rStyle w:val="Emphasis"/>
          <w:rFonts w:ascii="Book Antiqua" w:hAnsi="Book Antiqua" w:cs="Arial"/>
          <w:caps/>
          <w:color w:val="000000"/>
          <w:sz w:val="24"/>
          <w:szCs w:val="24"/>
          <w:bdr w:val="none" w:sz="0" w:space="0" w:color="auto" w:frame="1"/>
          <w:shd w:val="clear" w:color="auto" w:fill="FFFFFF"/>
          <w:lang w:val="en-US"/>
        </w:rPr>
        <w:t xml:space="preserve">p = </w:t>
      </w:r>
      <w:r w:rsidRPr="00BA60F0">
        <w:rPr>
          <w:rFonts w:ascii="Book Antiqua" w:hAnsi="Book Antiqua" w:cs="Arial"/>
          <w:color w:val="000000"/>
          <w:sz w:val="24"/>
          <w:szCs w:val="24"/>
          <w:shd w:val="clear" w:color="auto" w:fill="FFFFFF"/>
          <w:lang w:val="en-US"/>
        </w:rPr>
        <w:t>0.01).</w:t>
      </w:r>
      <w:r w:rsidRPr="00BA60F0">
        <w:rPr>
          <w:rFonts w:ascii="Book Antiqua" w:hAnsi="Book Antiqua" w:cs="Arial"/>
          <w:sz w:val="24"/>
          <w:szCs w:val="24"/>
          <w:lang w:val="en-US"/>
        </w:rPr>
        <w:t xml:space="preserve"> Responses were registered in 7% of assessable patients receiving docetaxel. Grade 3-4 toxicities in docetaxel included neutropenia (15%) leading to neutropenic fever (7%). Health-related quality-of-life measurements indicated no detrimental effect of chemotherapy and potential improvements in pain (</w:t>
      </w:r>
      <w:r w:rsidR="007952D5" w:rsidRPr="007952D5">
        <w:rPr>
          <w:rFonts w:ascii="Book Antiqua" w:hAnsi="Book Antiqua" w:cs="Arial"/>
          <w:i/>
          <w:caps/>
          <w:sz w:val="24"/>
          <w:szCs w:val="24"/>
          <w:lang w:val="en-US"/>
        </w:rPr>
        <w:t xml:space="preserve">p = </w:t>
      </w:r>
      <w:r w:rsidRPr="00BA60F0">
        <w:rPr>
          <w:rFonts w:ascii="Book Antiqua" w:hAnsi="Book Antiqua" w:cs="Arial"/>
          <w:sz w:val="24"/>
          <w:szCs w:val="24"/>
          <w:lang w:val="en-US"/>
        </w:rPr>
        <w:t>0.01) and nausea (</w:t>
      </w:r>
      <w:r w:rsidR="007952D5" w:rsidRPr="007952D5">
        <w:rPr>
          <w:rFonts w:ascii="Book Antiqua" w:hAnsi="Book Antiqua" w:cs="Arial"/>
          <w:i/>
          <w:caps/>
          <w:sz w:val="24"/>
          <w:szCs w:val="24"/>
          <w:lang w:val="en-US"/>
        </w:rPr>
        <w:t xml:space="preserve">p = </w:t>
      </w:r>
      <w:r w:rsidRPr="00BA60F0">
        <w:rPr>
          <w:rFonts w:ascii="Book Antiqua" w:hAnsi="Book Antiqua" w:cs="Arial"/>
          <w:sz w:val="24"/>
          <w:szCs w:val="24"/>
          <w:lang w:val="en-US"/>
        </w:rPr>
        <w:t>0.02)</w:t>
      </w:r>
      <w:r w:rsidRPr="00BA60F0">
        <w:rPr>
          <w:rFonts w:ascii="Book Antiqua" w:hAnsi="Book Antiqua" w:cs="Arial"/>
          <w:sz w:val="24"/>
          <w:szCs w:val="24"/>
          <w:vertAlign w:val="superscript"/>
          <w:lang w:val="en-US"/>
        </w:rPr>
        <w:t>[65]</w:t>
      </w:r>
      <w:r w:rsidRPr="00BA60F0">
        <w:rPr>
          <w:rFonts w:ascii="Book Antiqua" w:hAnsi="Book Antiqua" w:cs="Arial"/>
          <w:sz w:val="24"/>
          <w:szCs w:val="24"/>
          <w:lang w:val="en-US"/>
        </w:rPr>
        <w:t>.</w:t>
      </w:r>
    </w:p>
    <w:p w:rsidR="006A7B58" w:rsidRPr="00BA60F0" w:rsidRDefault="006A7B58" w:rsidP="00746849">
      <w:pPr>
        <w:adjustRightInd w:val="0"/>
        <w:snapToGrid w:val="0"/>
        <w:spacing w:after="0" w:line="360" w:lineRule="auto"/>
        <w:ind w:firstLine="708"/>
        <w:jc w:val="both"/>
        <w:rPr>
          <w:rFonts w:ascii="Book Antiqua" w:hAnsi="Book Antiqua" w:cs="Arial"/>
          <w:sz w:val="24"/>
          <w:szCs w:val="24"/>
          <w:lang w:val="en-US"/>
        </w:rPr>
      </w:pPr>
      <w:r w:rsidRPr="00BA60F0">
        <w:rPr>
          <w:rFonts w:ascii="Book Antiqua" w:hAnsi="Book Antiqua" w:cs="Arial"/>
          <w:sz w:val="24"/>
          <w:szCs w:val="24"/>
          <w:lang w:val="en-US"/>
        </w:rPr>
        <w:t>In an another Japanese phase III study (TCOG GI-0801/BIRIP)</w:t>
      </w:r>
      <w:r w:rsidRPr="00BA60F0">
        <w:rPr>
          <w:rFonts w:ascii="Book Antiqua" w:hAnsi="Book Antiqua" w:cs="Arial"/>
          <w:sz w:val="24"/>
          <w:szCs w:val="24"/>
          <w:vertAlign w:val="superscript"/>
          <w:lang w:val="en-US"/>
        </w:rPr>
        <w:t>[66]</w:t>
      </w:r>
      <w:r w:rsidRPr="00BA60F0">
        <w:rPr>
          <w:rFonts w:ascii="Book Antiqua" w:hAnsi="Book Antiqua" w:cs="Arial"/>
          <w:sz w:val="24"/>
          <w:szCs w:val="24"/>
          <w:lang w:val="en-US"/>
        </w:rPr>
        <w:t>, 130 patients with metastatic or recurrent gastric cancer refractory to S-1-based first-line chemotherapy were randomly assigned to receive BIRIP (irinotecan 60 mg/m</w:t>
      </w:r>
      <w:r w:rsidRPr="00BA60F0">
        <w:rPr>
          <w:rFonts w:ascii="Book Antiqua" w:hAnsi="Book Antiqua" w:cs="Arial"/>
          <w:sz w:val="24"/>
          <w:szCs w:val="24"/>
          <w:vertAlign w:val="superscript"/>
          <w:lang w:val="en-US"/>
        </w:rPr>
        <w:t>2</w:t>
      </w:r>
      <w:r w:rsidRPr="00BA60F0">
        <w:rPr>
          <w:rFonts w:ascii="Book Antiqua" w:hAnsi="Book Antiqua" w:cs="Arial"/>
          <w:sz w:val="24"/>
          <w:szCs w:val="24"/>
          <w:lang w:val="en-US"/>
        </w:rPr>
        <w:t xml:space="preserve"> plus cisplatin 30 mg/m</w:t>
      </w:r>
      <w:r w:rsidRPr="00BA60F0">
        <w:rPr>
          <w:rFonts w:ascii="Book Antiqua" w:hAnsi="Book Antiqua" w:cs="Arial"/>
          <w:sz w:val="24"/>
          <w:szCs w:val="24"/>
          <w:vertAlign w:val="superscript"/>
          <w:lang w:val="en-US"/>
        </w:rPr>
        <w:t>2</w:t>
      </w:r>
      <w:r w:rsidR="00F84BA0">
        <w:rPr>
          <w:rFonts w:ascii="Book Antiqua" w:hAnsi="Book Antiqua" w:cs="Arial"/>
          <w:sz w:val="24"/>
          <w:szCs w:val="24"/>
          <w:lang w:val="en-US"/>
        </w:rPr>
        <w:t>, every 2 wk</w:t>
      </w:r>
      <w:r w:rsidRPr="00BA60F0">
        <w:rPr>
          <w:rFonts w:ascii="Book Antiqua" w:hAnsi="Book Antiqua" w:cs="Arial"/>
          <w:sz w:val="24"/>
          <w:szCs w:val="24"/>
          <w:lang w:val="en-US"/>
        </w:rPr>
        <w:t>) or irinotecan alone at a dose of 150 mg/m</w:t>
      </w:r>
      <w:r w:rsidRPr="00BA60F0">
        <w:rPr>
          <w:rFonts w:ascii="Book Antiqua" w:hAnsi="Book Antiqua" w:cs="Arial"/>
          <w:sz w:val="24"/>
          <w:szCs w:val="24"/>
          <w:vertAlign w:val="superscript"/>
          <w:lang w:val="en-US"/>
        </w:rPr>
        <w:t>2</w:t>
      </w:r>
      <w:r w:rsidR="00F84BA0">
        <w:rPr>
          <w:rFonts w:ascii="Book Antiqua" w:hAnsi="Book Antiqua" w:cs="Arial"/>
          <w:sz w:val="24"/>
          <w:szCs w:val="24"/>
          <w:lang w:val="en-US"/>
        </w:rPr>
        <w:t xml:space="preserve"> every 2 wk</w:t>
      </w:r>
      <w:r w:rsidRPr="00BA60F0">
        <w:rPr>
          <w:rFonts w:ascii="Book Antiqua" w:hAnsi="Book Antiqua" w:cs="Arial"/>
          <w:sz w:val="24"/>
          <w:szCs w:val="24"/>
          <w:lang w:val="en-US"/>
        </w:rPr>
        <w:t xml:space="preserve">. Less than 60% of patients had received platinum agents in the first-line setting. Enrolled patients had an ECOG PS score of either 0 or 1. With more than 70% of patients in Japan receiving third-line therapy, the primary endpoint of this study was the PFS benefit of the BIRIP regimen over irinotecan monotherapy. The median PFS was significantly longer in the BIRIP group than in the irinotecan group </w:t>
      </w:r>
      <w:r w:rsidR="00F84BA0">
        <w:rPr>
          <w:rFonts w:ascii="Book Antiqua" w:hAnsi="Book Antiqua" w:cs="Arial" w:hint="eastAsia"/>
          <w:sz w:val="24"/>
          <w:szCs w:val="24"/>
          <w:lang w:val="en-US" w:eastAsia="zh-CN"/>
        </w:rPr>
        <w:t>[</w:t>
      </w:r>
      <w:r w:rsidRPr="00BA60F0">
        <w:rPr>
          <w:rFonts w:ascii="Book Antiqua" w:hAnsi="Book Antiqua" w:cs="Arial"/>
          <w:sz w:val="24"/>
          <w:szCs w:val="24"/>
          <w:lang w:val="en-US"/>
        </w:rPr>
        <w:t xml:space="preserve">3.8 </w:t>
      </w:r>
      <w:r w:rsidR="007952D5" w:rsidRPr="007952D5">
        <w:rPr>
          <w:rFonts w:ascii="Book Antiqua" w:hAnsi="Book Antiqua" w:cs="Arial"/>
          <w:i/>
          <w:sz w:val="24"/>
          <w:szCs w:val="24"/>
          <w:lang w:val="en-US"/>
        </w:rPr>
        <w:t>vs</w:t>
      </w:r>
      <w:r w:rsidRPr="00BA60F0">
        <w:rPr>
          <w:rFonts w:ascii="Book Antiqua" w:hAnsi="Book Antiqua" w:cs="Arial"/>
          <w:sz w:val="24"/>
          <w:szCs w:val="24"/>
          <w:lang w:val="en-US"/>
        </w:rPr>
        <w:t xml:space="preserve"> 2.8 mo </w:t>
      </w:r>
      <w:r w:rsidR="00F84BA0">
        <w:rPr>
          <w:rFonts w:ascii="Book Antiqua" w:hAnsi="Book Antiqua" w:cs="Arial" w:hint="eastAsia"/>
          <w:sz w:val="24"/>
          <w:szCs w:val="24"/>
          <w:lang w:val="en-US" w:eastAsia="zh-CN"/>
        </w:rPr>
        <w:t>(</w:t>
      </w:r>
      <w:r w:rsidRPr="00BA60F0">
        <w:rPr>
          <w:rFonts w:ascii="Book Antiqua" w:hAnsi="Book Antiqua" w:cs="Arial"/>
          <w:sz w:val="24"/>
          <w:szCs w:val="24"/>
          <w:lang w:val="en-US"/>
        </w:rPr>
        <w:t xml:space="preserve">HR </w:t>
      </w:r>
      <w:r w:rsidR="00F84BA0">
        <w:rPr>
          <w:rFonts w:ascii="Book Antiqua" w:hAnsi="Book Antiqua" w:cs="Arial" w:hint="eastAsia"/>
          <w:sz w:val="24"/>
          <w:szCs w:val="24"/>
          <w:lang w:val="en-US" w:eastAsia="zh-CN"/>
        </w:rPr>
        <w:t xml:space="preserve">= </w:t>
      </w:r>
      <w:r w:rsidRPr="00BA60F0">
        <w:rPr>
          <w:rFonts w:ascii="Book Antiqua" w:hAnsi="Book Antiqua" w:cs="Arial"/>
          <w:sz w:val="24"/>
          <w:szCs w:val="24"/>
          <w:lang w:val="en-US"/>
        </w:rPr>
        <w:t xml:space="preserve">0.68, </w:t>
      </w:r>
      <w:r w:rsidR="007952D5" w:rsidRPr="007952D5">
        <w:rPr>
          <w:rFonts w:ascii="Book Antiqua" w:hAnsi="Book Antiqua" w:cs="Arial"/>
          <w:i/>
          <w:caps/>
          <w:sz w:val="24"/>
          <w:szCs w:val="24"/>
          <w:lang w:val="en-US"/>
        </w:rPr>
        <w:t xml:space="preserve">p = </w:t>
      </w:r>
      <w:r w:rsidRPr="00BA60F0">
        <w:rPr>
          <w:rFonts w:ascii="Book Antiqua" w:hAnsi="Book Antiqua" w:cs="Arial"/>
          <w:sz w:val="24"/>
          <w:szCs w:val="24"/>
          <w:lang w:val="en-US"/>
        </w:rPr>
        <w:t>0.0398</w:t>
      </w:r>
      <w:r w:rsidR="00326BD4">
        <w:rPr>
          <w:rFonts w:ascii="Book Antiqua" w:hAnsi="Book Antiqua" w:cs="Arial" w:hint="eastAsia"/>
          <w:sz w:val="24"/>
          <w:szCs w:val="24"/>
          <w:lang w:val="en-US" w:eastAsia="zh-CN"/>
        </w:rPr>
        <w:t>)]</w:t>
      </w:r>
      <w:r w:rsidRPr="00BA60F0">
        <w:rPr>
          <w:rFonts w:ascii="Book Antiqua" w:hAnsi="Book Antiqua" w:cs="Arial"/>
          <w:sz w:val="24"/>
          <w:szCs w:val="24"/>
          <w:lang w:val="en-US"/>
        </w:rPr>
        <w:t xml:space="preserve">. The median OS was 10.7 mo in the BIRIP arm and 10.1 mo in the irinotecan arm </w:t>
      </w:r>
      <w:r w:rsidR="00326BD4">
        <w:rPr>
          <w:rFonts w:ascii="Book Antiqua" w:hAnsi="Book Antiqua" w:cs="Arial" w:hint="eastAsia"/>
          <w:sz w:val="24"/>
          <w:szCs w:val="24"/>
          <w:lang w:val="en-US" w:eastAsia="zh-CN"/>
        </w:rPr>
        <w:t>(</w:t>
      </w:r>
      <w:r w:rsidRPr="00BA60F0">
        <w:rPr>
          <w:rFonts w:ascii="Book Antiqua" w:hAnsi="Book Antiqua" w:cs="Arial"/>
          <w:sz w:val="24"/>
          <w:szCs w:val="24"/>
          <w:lang w:val="en-US"/>
        </w:rPr>
        <w:t xml:space="preserve">HR </w:t>
      </w:r>
      <w:r w:rsidR="00326BD4">
        <w:rPr>
          <w:rFonts w:ascii="Book Antiqua" w:hAnsi="Book Antiqua" w:cs="Arial" w:hint="eastAsia"/>
          <w:sz w:val="24"/>
          <w:szCs w:val="24"/>
          <w:lang w:val="en-US" w:eastAsia="zh-CN"/>
        </w:rPr>
        <w:t xml:space="preserve">= </w:t>
      </w:r>
      <w:r w:rsidRPr="00BA60F0">
        <w:rPr>
          <w:rFonts w:ascii="Book Antiqua" w:hAnsi="Book Antiqua" w:cs="Arial"/>
          <w:sz w:val="24"/>
          <w:szCs w:val="24"/>
          <w:lang w:val="en-US"/>
        </w:rPr>
        <w:t xml:space="preserve">1.0, </w:t>
      </w:r>
      <w:r w:rsidR="007952D5" w:rsidRPr="007952D5">
        <w:rPr>
          <w:rFonts w:ascii="Book Antiqua" w:hAnsi="Book Antiqua" w:cs="Arial"/>
          <w:i/>
          <w:caps/>
          <w:sz w:val="24"/>
          <w:szCs w:val="24"/>
          <w:lang w:val="en-US"/>
        </w:rPr>
        <w:t xml:space="preserve">p = </w:t>
      </w:r>
      <w:r w:rsidRPr="00BA60F0">
        <w:rPr>
          <w:rFonts w:ascii="Book Antiqua" w:hAnsi="Book Antiqua" w:cs="Arial"/>
          <w:sz w:val="24"/>
          <w:szCs w:val="24"/>
          <w:lang w:val="en-US"/>
        </w:rPr>
        <w:t>0.9823</w:t>
      </w:r>
      <w:r w:rsidR="00326BD4">
        <w:rPr>
          <w:rFonts w:ascii="Book Antiqua" w:hAnsi="Book Antiqua" w:cs="Arial" w:hint="eastAsia"/>
          <w:sz w:val="24"/>
          <w:szCs w:val="24"/>
          <w:lang w:val="en-US" w:eastAsia="zh-CN"/>
        </w:rPr>
        <w:t>)</w:t>
      </w:r>
      <w:r w:rsidRPr="00BA60F0">
        <w:rPr>
          <w:rFonts w:ascii="Book Antiqua" w:hAnsi="Book Antiqua" w:cs="Arial"/>
          <w:sz w:val="24"/>
          <w:szCs w:val="24"/>
          <w:lang w:val="en-US"/>
        </w:rPr>
        <w:t xml:space="preserve">. Although the response rates were not significantly higher in the BIRIP arm, when compared with irinotecan arm (22% </w:t>
      </w:r>
      <w:r w:rsidRPr="00326BD4">
        <w:rPr>
          <w:rFonts w:ascii="Book Antiqua" w:hAnsi="Book Antiqua" w:cs="Arial"/>
          <w:i/>
          <w:sz w:val="24"/>
          <w:szCs w:val="24"/>
          <w:lang w:val="en-US"/>
        </w:rPr>
        <w:t>vs</w:t>
      </w:r>
      <w:r w:rsidRPr="00BA60F0">
        <w:rPr>
          <w:rFonts w:ascii="Book Antiqua" w:hAnsi="Book Antiqua" w:cs="Arial"/>
          <w:sz w:val="24"/>
          <w:szCs w:val="24"/>
          <w:lang w:val="en-US"/>
        </w:rPr>
        <w:t xml:space="preserve"> 16%, </w:t>
      </w:r>
      <w:r w:rsidR="007952D5" w:rsidRPr="007952D5">
        <w:rPr>
          <w:rFonts w:ascii="Book Antiqua" w:hAnsi="Book Antiqua" w:cs="Arial"/>
          <w:i/>
          <w:caps/>
          <w:sz w:val="24"/>
          <w:szCs w:val="24"/>
          <w:lang w:val="en-US"/>
        </w:rPr>
        <w:t xml:space="preserve">p = </w:t>
      </w:r>
      <w:r w:rsidRPr="00BA60F0">
        <w:rPr>
          <w:rFonts w:ascii="Book Antiqua" w:hAnsi="Book Antiqua" w:cs="Arial"/>
          <w:sz w:val="24"/>
          <w:szCs w:val="24"/>
          <w:lang w:val="en-US"/>
        </w:rPr>
        <w:t xml:space="preserve">0.4975), the disease control rate was significantly better in the BIRIP group (75% </w:t>
      </w:r>
      <w:r w:rsidR="007952D5" w:rsidRPr="007952D5">
        <w:rPr>
          <w:rFonts w:ascii="Book Antiqua" w:hAnsi="Book Antiqua" w:cs="Arial"/>
          <w:i/>
          <w:sz w:val="24"/>
          <w:szCs w:val="24"/>
          <w:lang w:val="en-US"/>
        </w:rPr>
        <w:t>vs</w:t>
      </w:r>
      <w:r w:rsidRPr="00BA60F0">
        <w:rPr>
          <w:rFonts w:ascii="Book Antiqua" w:hAnsi="Book Antiqua" w:cs="Arial"/>
          <w:sz w:val="24"/>
          <w:szCs w:val="24"/>
          <w:lang w:val="en-US"/>
        </w:rPr>
        <w:t xml:space="preserve"> 54%, </w:t>
      </w:r>
      <w:r w:rsidR="007952D5" w:rsidRPr="007952D5">
        <w:rPr>
          <w:rFonts w:ascii="Book Antiqua" w:hAnsi="Book Antiqua" w:cs="Arial"/>
          <w:i/>
          <w:caps/>
          <w:sz w:val="24"/>
          <w:szCs w:val="24"/>
          <w:lang w:val="en-US"/>
        </w:rPr>
        <w:t xml:space="preserve">p = </w:t>
      </w:r>
      <w:r w:rsidRPr="00BA60F0">
        <w:rPr>
          <w:rFonts w:ascii="Book Antiqua" w:hAnsi="Book Antiqua" w:cs="Arial"/>
          <w:sz w:val="24"/>
          <w:szCs w:val="24"/>
          <w:lang w:val="en-US"/>
        </w:rPr>
        <w:t>0.0162). The incidences of grade 3-4 safety events did not differ between the two groups. BIRIP had a good tolerability profile and was associated with no febrile neutropenia and less diarrhea. Thus, the BIRIP regimen significantly prolonged PFS compared with irinotecan alone. However, these results did not translate to the overall survival benefit</w:t>
      </w:r>
      <w:r w:rsidRPr="00BA60F0">
        <w:rPr>
          <w:rFonts w:ascii="Book Antiqua" w:hAnsi="Book Antiqua" w:cs="Arial"/>
          <w:sz w:val="24"/>
          <w:szCs w:val="24"/>
          <w:vertAlign w:val="superscript"/>
          <w:lang w:val="en-US"/>
        </w:rPr>
        <w:t>[66]</w:t>
      </w:r>
      <w:r w:rsidRPr="00BA60F0">
        <w:rPr>
          <w:rFonts w:ascii="Book Antiqua" w:hAnsi="Book Antiqua" w:cs="Arial"/>
          <w:sz w:val="24"/>
          <w:szCs w:val="24"/>
          <w:lang w:val="en-US"/>
        </w:rPr>
        <w:t>.</w:t>
      </w:r>
    </w:p>
    <w:p w:rsidR="006A7B58" w:rsidRPr="00BA60F0" w:rsidRDefault="006A7B58" w:rsidP="00746849">
      <w:pPr>
        <w:adjustRightInd w:val="0"/>
        <w:snapToGrid w:val="0"/>
        <w:spacing w:after="0" w:line="360" w:lineRule="auto"/>
        <w:ind w:firstLine="708"/>
        <w:jc w:val="both"/>
        <w:rPr>
          <w:rFonts w:ascii="Book Antiqua" w:hAnsi="Book Antiqua" w:cs="Arial"/>
          <w:sz w:val="24"/>
          <w:szCs w:val="24"/>
          <w:lang w:val="en-US"/>
        </w:rPr>
      </w:pPr>
      <w:r w:rsidRPr="00BA60F0">
        <w:rPr>
          <w:rFonts w:ascii="Book Antiqua" w:hAnsi="Book Antiqua" w:cs="Arial"/>
          <w:sz w:val="24"/>
          <w:szCs w:val="24"/>
          <w:lang w:val="en-US"/>
        </w:rPr>
        <w:t>A recently published Japanese phase III randomized study (TRICS)</w:t>
      </w:r>
      <w:r w:rsidRPr="00BA60F0">
        <w:rPr>
          <w:rFonts w:ascii="Book Antiqua" w:hAnsi="Book Antiqua" w:cs="Arial"/>
          <w:sz w:val="24"/>
          <w:szCs w:val="24"/>
          <w:vertAlign w:val="superscript"/>
          <w:lang w:val="en-US"/>
        </w:rPr>
        <w:t>[67]</w:t>
      </w:r>
      <w:r w:rsidRPr="00BA60F0">
        <w:rPr>
          <w:rFonts w:ascii="Book Antiqua" w:hAnsi="Book Antiqua" w:cs="Arial"/>
          <w:sz w:val="24"/>
          <w:szCs w:val="24"/>
          <w:lang w:val="en-US"/>
        </w:rPr>
        <w:t xml:space="preserve"> included platinum-naïve patients progressing following S-1 monotherapy for metastatic gastric cancer or relapsed </w:t>
      </w:r>
      <w:r w:rsidRPr="00BA60F0">
        <w:rPr>
          <w:rFonts w:ascii="Book Antiqua" w:hAnsi="Book Antiqua" w:cs="Arial"/>
          <w:sz w:val="24"/>
          <w:szCs w:val="24"/>
          <w:lang w:val="en-US"/>
        </w:rPr>
        <w:lastRenderedPageBreak/>
        <w:t>within 6 mo after completion of S-1 adjuvant therapy. Approximately 168 patients with an ECOG PS of 0 or 1 were randomly allocated to irinotecan 60 mg/m</w:t>
      </w:r>
      <w:r w:rsidRPr="00BA60F0">
        <w:rPr>
          <w:rFonts w:ascii="Book Antiqua" w:hAnsi="Book Antiqua" w:cs="Arial"/>
          <w:sz w:val="24"/>
          <w:szCs w:val="24"/>
          <w:vertAlign w:val="superscript"/>
          <w:lang w:val="en-US"/>
        </w:rPr>
        <w:t>2</w:t>
      </w:r>
      <w:r w:rsidRPr="00BA60F0">
        <w:rPr>
          <w:rFonts w:ascii="Book Antiqua" w:hAnsi="Book Antiqua" w:cs="Arial"/>
          <w:sz w:val="24"/>
          <w:szCs w:val="24"/>
          <w:lang w:val="en-US"/>
        </w:rPr>
        <w:t xml:space="preserve"> and cisplatin 30 mg/m</w:t>
      </w:r>
      <w:r w:rsidRPr="00BA60F0">
        <w:rPr>
          <w:rFonts w:ascii="Book Antiqua" w:hAnsi="Book Antiqua" w:cs="Arial"/>
          <w:sz w:val="24"/>
          <w:szCs w:val="24"/>
          <w:vertAlign w:val="superscript"/>
          <w:lang w:val="en-US"/>
        </w:rPr>
        <w:t xml:space="preserve">2 </w:t>
      </w:r>
      <w:r w:rsidRPr="00BA60F0">
        <w:rPr>
          <w:rFonts w:ascii="Book Antiqua" w:hAnsi="Book Antiqua" w:cs="Arial"/>
          <w:sz w:val="24"/>
          <w:szCs w:val="24"/>
          <w:lang w:val="en-US"/>
        </w:rPr>
        <w:t>every 2 w</w:t>
      </w:r>
      <w:r w:rsidR="00326BD4">
        <w:rPr>
          <w:rFonts w:ascii="Book Antiqua" w:hAnsi="Book Antiqua" w:cs="Arial"/>
          <w:sz w:val="24"/>
          <w:szCs w:val="24"/>
          <w:lang w:val="en-US"/>
        </w:rPr>
        <w:t>k</w:t>
      </w:r>
      <w:r w:rsidRPr="00BA60F0">
        <w:rPr>
          <w:rFonts w:ascii="Book Antiqua" w:hAnsi="Book Antiqua" w:cs="Arial"/>
          <w:sz w:val="24"/>
          <w:szCs w:val="24"/>
          <w:lang w:val="en-US"/>
        </w:rPr>
        <w:t xml:space="preserve"> (</w:t>
      </w:r>
      <w:r w:rsidR="00326BD4" w:rsidRPr="00326BD4">
        <w:rPr>
          <w:rFonts w:ascii="Book Antiqua" w:hAnsi="Book Antiqua" w:cs="Arial"/>
          <w:i/>
          <w:sz w:val="24"/>
          <w:szCs w:val="24"/>
          <w:lang w:val="en-US"/>
        </w:rPr>
        <w:t xml:space="preserve">n = </w:t>
      </w:r>
      <w:r w:rsidRPr="00BA60F0">
        <w:rPr>
          <w:rFonts w:ascii="Book Antiqua" w:hAnsi="Book Antiqua" w:cs="Arial"/>
          <w:sz w:val="24"/>
          <w:szCs w:val="24"/>
          <w:lang w:val="en-US"/>
        </w:rPr>
        <w:t>84) or irinotecan 150 mg/m</w:t>
      </w:r>
      <w:r w:rsidRPr="00BA60F0">
        <w:rPr>
          <w:rFonts w:ascii="Book Antiqua" w:hAnsi="Book Antiqua" w:cs="Arial"/>
          <w:sz w:val="24"/>
          <w:szCs w:val="24"/>
          <w:vertAlign w:val="superscript"/>
          <w:lang w:val="en-US"/>
        </w:rPr>
        <w:t xml:space="preserve">2 </w:t>
      </w:r>
      <w:r w:rsidR="00326BD4">
        <w:rPr>
          <w:rFonts w:ascii="Book Antiqua" w:hAnsi="Book Antiqua" w:cs="Arial"/>
          <w:sz w:val="24"/>
          <w:szCs w:val="24"/>
          <w:lang w:val="en-US"/>
        </w:rPr>
        <w:t>every 2 wk</w:t>
      </w:r>
      <w:r w:rsidRPr="00BA60F0">
        <w:rPr>
          <w:rFonts w:ascii="Book Antiqua" w:hAnsi="Book Antiqua" w:cs="Arial"/>
          <w:sz w:val="24"/>
          <w:szCs w:val="24"/>
          <w:lang w:val="en-US"/>
        </w:rPr>
        <w:t xml:space="preserve"> (</w:t>
      </w:r>
      <w:r w:rsidR="00326BD4" w:rsidRPr="00326BD4">
        <w:rPr>
          <w:rFonts w:ascii="Book Antiqua" w:hAnsi="Book Antiqua" w:cs="Arial"/>
          <w:i/>
          <w:sz w:val="24"/>
          <w:szCs w:val="24"/>
          <w:lang w:val="en-US"/>
        </w:rPr>
        <w:t xml:space="preserve">n = </w:t>
      </w:r>
      <w:r w:rsidRPr="00BA60F0">
        <w:rPr>
          <w:rFonts w:ascii="Book Antiqua" w:hAnsi="Book Antiqua" w:cs="Arial"/>
          <w:sz w:val="24"/>
          <w:szCs w:val="24"/>
          <w:lang w:val="en-US"/>
        </w:rPr>
        <w:t xml:space="preserve">84). No significant differences were observed in the OS (13.9 </w:t>
      </w:r>
      <w:r w:rsidR="007952D5" w:rsidRPr="007952D5">
        <w:rPr>
          <w:rFonts w:ascii="Book Antiqua" w:hAnsi="Book Antiqua" w:cs="Arial"/>
          <w:i/>
          <w:sz w:val="24"/>
          <w:szCs w:val="24"/>
          <w:lang w:val="en-US"/>
        </w:rPr>
        <w:t>vs</w:t>
      </w:r>
      <w:r w:rsidRPr="00BA60F0">
        <w:rPr>
          <w:rFonts w:ascii="Book Antiqua" w:hAnsi="Book Antiqua" w:cs="Arial"/>
          <w:sz w:val="24"/>
          <w:szCs w:val="24"/>
          <w:lang w:val="en-US"/>
        </w:rPr>
        <w:t xml:space="preserve"> 12.7 mo, HR </w:t>
      </w:r>
      <w:r w:rsidR="00326BD4">
        <w:rPr>
          <w:rFonts w:ascii="Book Antiqua" w:hAnsi="Book Antiqua" w:cs="Arial" w:hint="eastAsia"/>
          <w:sz w:val="24"/>
          <w:szCs w:val="24"/>
          <w:lang w:val="en-US" w:eastAsia="zh-CN"/>
        </w:rPr>
        <w:t xml:space="preserve">= </w:t>
      </w:r>
      <w:r w:rsidRPr="00BA60F0">
        <w:rPr>
          <w:rFonts w:ascii="Book Antiqua" w:hAnsi="Book Antiqua" w:cs="Arial"/>
          <w:sz w:val="24"/>
          <w:szCs w:val="24"/>
          <w:lang w:val="en-US"/>
        </w:rPr>
        <w:t>0.834</w:t>
      </w:r>
      <w:r w:rsidR="00326BD4">
        <w:rPr>
          <w:rFonts w:ascii="Book Antiqua" w:hAnsi="Book Antiqua" w:cs="Arial" w:hint="eastAsia"/>
          <w:sz w:val="24"/>
          <w:szCs w:val="24"/>
          <w:lang w:val="en-US" w:eastAsia="zh-CN"/>
        </w:rPr>
        <w:t>,</w:t>
      </w:r>
      <w:r w:rsidRPr="00BA60F0">
        <w:rPr>
          <w:rFonts w:ascii="Book Antiqua" w:hAnsi="Book Antiqua" w:cs="Arial"/>
          <w:sz w:val="24"/>
          <w:szCs w:val="24"/>
          <w:lang w:val="en-US"/>
        </w:rPr>
        <w:t xml:space="preserve"> </w:t>
      </w:r>
      <w:r w:rsidR="007952D5">
        <w:rPr>
          <w:rFonts w:ascii="Book Antiqua" w:hAnsi="Book Antiqua" w:cs="Arial"/>
          <w:sz w:val="24"/>
          <w:szCs w:val="24"/>
          <w:lang w:val="en-US"/>
        </w:rPr>
        <w:t>95%CI:</w:t>
      </w:r>
      <w:r w:rsidRPr="00BA60F0">
        <w:rPr>
          <w:rFonts w:ascii="Book Antiqua" w:hAnsi="Book Antiqua" w:cs="Arial"/>
          <w:sz w:val="24"/>
          <w:szCs w:val="24"/>
          <w:lang w:val="en-US"/>
        </w:rPr>
        <w:t xml:space="preserve"> 0.596–1.167), PFS (4.6 </w:t>
      </w:r>
      <w:r w:rsidR="007952D5" w:rsidRPr="007952D5">
        <w:rPr>
          <w:rFonts w:ascii="Book Antiqua" w:hAnsi="Book Antiqua" w:cs="Arial"/>
          <w:i/>
          <w:sz w:val="24"/>
          <w:szCs w:val="24"/>
          <w:lang w:val="en-US"/>
        </w:rPr>
        <w:t>vs</w:t>
      </w:r>
      <w:r w:rsidRPr="00BA60F0">
        <w:rPr>
          <w:rFonts w:ascii="Book Antiqua" w:hAnsi="Book Antiqua" w:cs="Arial"/>
          <w:sz w:val="24"/>
          <w:szCs w:val="24"/>
          <w:lang w:val="en-US"/>
        </w:rPr>
        <w:t xml:space="preserve"> 4.1 mo, HR </w:t>
      </w:r>
      <w:r w:rsidR="00326BD4">
        <w:rPr>
          <w:rFonts w:ascii="Book Antiqua" w:hAnsi="Book Antiqua" w:cs="Arial" w:hint="eastAsia"/>
          <w:sz w:val="24"/>
          <w:szCs w:val="24"/>
          <w:lang w:val="en-US" w:eastAsia="zh-CN"/>
        </w:rPr>
        <w:t xml:space="preserve">= </w:t>
      </w:r>
      <w:r w:rsidRPr="00BA60F0">
        <w:rPr>
          <w:rFonts w:ascii="Book Antiqua" w:hAnsi="Book Antiqua" w:cs="Arial"/>
          <w:sz w:val="24"/>
          <w:szCs w:val="24"/>
          <w:lang w:val="en-US"/>
        </w:rPr>
        <w:t>0.860</w:t>
      </w:r>
      <w:r w:rsidR="00326BD4">
        <w:rPr>
          <w:rFonts w:ascii="Book Antiqua" w:hAnsi="Book Antiqua" w:cs="Arial" w:hint="eastAsia"/>
          <w:sz w:val="24"/>
          <w:szCs w:val="24"/>
          <w:lang w:val="en-US" w:eastAsia="zh-CN"/>
        </w:rPr>
        <w:t>,</w:t>
      </w:r>
      <w:r w:rsidRPr="00BA60F0">
        <w:rPr>
          <w:rFonts w:ascii="Book Antiqua" w:hAnsi="Book Antiqua" w:cs="Arial"/>
          <w:sz w:val="24"/>
          <w:szCs w:val="24"/>
          <w:lang w:val="en-US"/>
        </w:rPr>
        <w:t xml:space="preserve"> </w:t>
      </w:r>
      <w:r w:rsidR="007952D5">
        <w:rPr>
          <w:rFonts w:ascii="Book Antiqua" w:hAnsi="Book Antiqua" w:cs="Arial"/>
          <w:sz w:val="24"/>
          <w:szCs w:val="24"/>
          <w:lang w:val="en-US"/>
        </w:rPr>
        <w:t>95%CI:</w:t>
      </w:r>
      <w:r w:rsidRPr="00BA60F0">
        <w:rPr>
          <w:rFonts w:ascii="Book Antiqua" w:hAnsi="Book Antiqua" w:cs="Arial"/>
          <w:sz w:val="24"/>
          <w:szCs w:val="24"/>
          <w:lang w:val="en-US"/>
        </w:rPr>
        <w:t xml:space="preserve"> 0.615–1.203) and response rates (16.9% </w:t>
      </w:r>
      <w:r w:rsidR="007952D5" w:rsidRPr="007952D5">
        <w:rPr>
          <w:rFonts w:ascii="Book Antiqua" w:hAnsi="Book Antiqua" w:cs="Arial"/>
          <w:i/>
          <w:sz w:val="24"/>
          <w:szCs w:val="24"/>
          <w:lang w:val="en-US"/>
        </w:rPr>
        <w:t>vs</w:t>
      </w:r>
      <w:r w:rsidRPr="00BA60F0">
        <w:rPr>
          <w:rFonts w:ascii="Book Antiqua" w:hAnsi="Book Antiqua" w:cs="Arial"/>
          <w:sz w:val="24"/>
          <w:szCs w:val="24"/>
          <w:lang w:val="en-US"/>
        </w:rPr>
        <w:t xml:space="preserve"> 15.4%, </w:t>
      </w:r>
      <w:r w:rsidR="007952D5" w:rsidRPr="007952D5">
        <w:rPr>
          <w:rFonts w:ascii="Book Antiqua" w:hAnsi="Book Antiqua" w:cs="Arial"/>
          <w:i/>
          <w:caps/>
          <w:sz w:val="24"/>
          <w:szCs w:val="24"/>
          <w:lang w:val="en-US"/>
        </w:rPr>
        <w:t xml:space="preserve">p = </w:t>
      </w:r>
      <w:r w:rsidRPr="00BA60F0">
        <w:rPr>
          <w:rFonts w:ascii="Book Antiqua" w:hAnsi="Book Antiqua" w:cs="Arial"/>
          <w:sz w:val="24"/>
          <w:szCs w:val="24"/>
          <w:lang w:val="en-US"/>
        </w:rPr>
        <w:t xml:space="preserve">0.812). The favorable long-term survival rates observed in this study may be due to the favorable prognostic characteristics of the patients, as only patients with an ECOG PS of 0–1 were considered, the median number of metastatic sites was 1, and only 21% of patients had 2 or more metastatic sites. Compared to the irinotecan arm, the irinotecan/cisplatin arm showed significantly higher grade 3–4 toxicities, regarding anemia (16% </w:t>
      </w:r>
      <w:r w:rsidR="007952D5" w:rsidRPr="007952D5">
        <w:rPr>
          <w:rFonts w:ascii="Book Antiqua" w:hAnsi="Book Antiqua" w:cs="Arial"/>
          <w:i/>
          <w:sz w:val="24"/>
          <w:szCs w:val="24"/>
          <w:lang w:val="en-US"/>
        </w:rPr>
        <w:t>vs</w:t>
      </w:r>
      <w:r w:rsidRPr="00BA60F0">
        <w:rPr>
          <w:rFonts w:ascii="Book Antiqua" w:hAnsi="Book Antiqua" w:cs="Arial"/>
          <w:sz w:val="24"/>
          <w:szCs w:val="24"/>
          <w:lang w:val="en-US"/>
        </w:rPr>
        <w:t xml:space="preserve"> 4%) and lactate dehydrogenase level (5% </w:t>
      </w:r>
      <w:r w:rsidR="007952D5" w:rsidRPr="007952D5">
        <w:rPr>
          <w:rFonts w:ascii="Book Antiqua" w:hAnsi="Book Antiqua" w:cs="Arial"/>
          <w:i/>
          <w:sz w:val="24"/>
          <w:szCs w:val="24"/>
          <w:lang w:val="en-US"/>
        </w:rPr>
        <w:t>vs</w:t>
      </w:r>
      <w:r w:rsidRPr="00BA60F0">
        <w:rPr>
          <w:rFonts w:ascii="Book Antiqua" w:hAnsi="Book Antiqua" w:cs="Arial"/>
          <w:sz w:val="24"/>
          <w:szCs w:val="24"/>
          <w:lang w:val="en-US"/>
        </w:rPr>
        <w:t xml:space="preserve"> 0%). There was no survival benefit observed upon adding cisplatin to irinotecan after failure of S-1 monotherapy</w:t>
      </w:r>
      <w:r w:rsidRPr="00BA60F0">
        <w:rPr>
          <w:rFonts w:ascii="Book Antiqua" w:hAnsi="Book Antiqua" w:cs="Arial"/>
          <w:sz w:val="24"/>
          <w:szCs w:val="24"/>
          <w:vertAlign w:val="superscript"/>
          <w:lang w:val="en-US"/>
        </w:rPr>
        <w:t>[67]</w:t>
      </w:r>
      <w:r w:rsidRPr="00BA60F0">
        <w:rPr>
          <w:rFonts w:ascii="Book Antiqua" w:hAnsi="Book Antiqua" w:cs="Arial"/>
          <w:sz w:val="24"/>
          <w:szCs w:val="24"/>
          <w:lang w:val="en-US"/>
        </w:rPr>
        <w:t xml:space="preserve">. </w:t>
      </w:r>
    </w:p>
    <w:p w:rsidR="006A7B58" w:rsidRPr="00BA60F0" w:rsidRDefault="006A7B58" w:rsidP="00746849">
      <w:pPr>
        <w:adjustRightInd w:val="0"/>
        <w:snapToGrid w:val="0"/>
        <w:spacing w:after="0" w:line="360" w:lineRule="auto"/>
        <w:ind w:firstLine="708"/>
        <w:jc w:val="both"/>
        <w:rPr>
          <w:rFonts w:ascii="Book Antiqua" w:hAnsi="Book Antiqua" w:cs="Arial"/>
          <w:sz w:val="24"/>
          <w:szCs w:val="24"/>
          <w:lang w:val="en-US"/>
        </w:rPr>
      </w:pPr>
      <w:r w:rsidRPr="00BA60F0">
        <w:rPr>
          <w:rFonts w:ascii="Book Antiqua" w:hAnsi="Book Antiqua" w:cs="Arial"/>
          <w:sz w:val="24"/>
          <w:szCs w:val="24"/>
          <w:lang w:val="en-US"/>
        </w:rPr>
        <w:t xml:space="preserve">The meta-analysis by Kim </w:t>
      </w:r>
      <w:r w:rsidR="002A772E" w:rsidRPr="002A772E">
        <w:rPr>
          <w:rFonts w:ascii="Book Antiqua" w:hAnsi="Book Antiqua" w:cs="Arial"/>
          <w:i/>
          <w:sz w:val="24"/>
          <w:szCs w:val="24"/>
          <w:lang w:val="en-US"/>
        </w:rPr>
        <w:t>et al</w:t>
      </w:r>
      <w:r w:rsidRPr="00BA60F0">
        <w:rPr>
          <w:rFonts w:ascii="Book Antiqua" w:hAnsi="Book Antiqua" w:cs="Arial"/>
          <w:sz w:val="24"/>
          <w:szCs w:val="24"/>
          <w:vertAlign w:val="superscript"/>
          <w:lang w:val="en-US"/>
        </w:rPr>
        <w:t>[68]</w:t>
      </w:r>
      <w:r w:rsidRPr="00BA60F0">
        <w:rPr>
          <w:rFonts w:ascii="Book Antiqua" w:hAnsi="Book Antiqua" w:cs="Arial"/>
          <w:sz w:val="24"/>
          <w:szCs w:val="24"/>
          <w:lang w:val="en-US"/>
        </w:rPr>
        <w:t xml:space="preserve"> demonstrated evidence to support the efficacy of second-line chemotherapy in the treatment of metastatic gastric cancer. The meta-analysis pooled together 410 patients from three randomized trials</w:t>
      </w:r>
      <w:r w:rsidR="00326BD4">
        <w:rPr>
          <w:rFonts w:ascii="Book Antiqua" w:hAnsi="Book Antiqua" w:cs="Arial"/>
          <w:sz w:val="24"/>
          <w:szCs w:val="24"/>
          <w:vertAlign w:val="superscript"/>
          <w:lang w:val="en-US"/>
        </w:rPr>
        <w:t>[62,63,</w:t>
      </w:r>
      <w:r w:rsidRPr="00BA60F0">
        <w:rPr>
          <w:rFonts w:ascii="Book Antiqua" w:hAnsi="Book Antiqua" w:cs="Arial"/>
          <w:sz w:val="24"/>
          <w:szCs w:val="24"/>
          <w:vertAlign w:val="superscript"/>
          <w:lang w:val="en-US"/>
        </w:rPr>
        <w:t>65]</w:t>
      </w:r>
      <w:r w:rsidRPr="00BA60F0">
        <w:rPr>
          <w:rFonts w:ascii="Book Antiqua" w:hAnsi="Book Antiqua" w:cs="Arial"/>
          <w:sz w:val="24"/>
          <w:szCs w:val="24"/>
          <w:lang w:val="en-US"/>
        </w:rPr>
        <w:t xml:space="preserve"> evaluating chemotherapy (docetaxel/irinotecan) versus BSC as second-line therapy in patients with metastatic gastric cancer. This meta-analysis demonstrated that there exists a clear </w:t>
      </w:r>
      <w:r w:rsidR="009423E1" w:rsidRPr="00BA60F0">
        <w:rPr>
          <w:rFonts w:ascii="Book Antiqua" w:hAnsi="Book Antiqua" w:cs="Arial"/>
          <w:sz w:val="24"/>
          <w:szCs w:val="24"/>
          <w:lang w:val="en-US"/>
        </w:rPr>
        <w:t>survival</w:t>
      </w:r>
      <w:r w:rsidRPr="00BA60F0">
        <w:rPr>
          <w:rFonts w:ascii="Book Antiqua" w:hAnsi="Book Antiqua" w:cs="Arial"/>
          <w:sz w:val="24"/>
          <w:szCs w:val="24"/>
          <w:lang w:val="en-US"/>
        </w:rPr>
        <w:t xml:space="preserve"> benefit </w:t>
      </w:r>
      <w:r w:rsidR="009423E1" w:rsidRPr="00BA60F0">
        <w:rPr>
          <w:rFonts w:ascii="Book Antiqua" w:hAnsi="Book Antiqua" w:cs="Arial"/>
          <w:sz w:val="24"/>
          <w:szCs w:val="24"/>
          <w:lang w:val="en-US"/>
        </w:rPr>
        <w:t>with a 36% reduction in the risk of death when using</w:t>
      </w:r>
      <w:r w:rsidRPr="00BA60F0">
        <w:rPr>
          <w:rFonts w:ascii="Book Antiqua" w:hAnsi="Book Antiqua" w:cs="Arial"/>
          <w:sz w:val="24"/>
          <w:szCs w:val="24"/>
          <w:lang w:val="en-US"/>
        </w:rPr>
        <w:t xml:space="preserve"> second-line chemotherapy in patients with metastatic gastric cancer (HR </w:t>
      </w:r>
      <w:r w:rsidR="00326BD4">
        <w:rPr>
          <w:rFonts w:ascii="Book Antiqua" w:hAnsi="Book Antiqua" w:cs="Arial" w:hint="eastAsia"/>
          <w:sz w:val="24"/>
          <w:szCs w:val="24"/>
          <w:lang w:val="en-US" w:eastAsia="zh-CN"/>
        </w:rPr>
        <w:t xml:space="preserve">= </w:t>
      </w:r>
      <w:r w:rsidRPr="00BA60F0">
        <w:rPr>
          <w:rFonts w:ascii="Book Antiqua" w:hAnsi="Book Antiqua" w:cs="Arial"/>
          <w:sz w:val="24"/>
          <w:szCs w:val="24"/>
          <w:lang w:val="en-US"/>
        </w:rPr>
        <w:t xml:space="preserve">0.64; </w:t>
      </w:r>
      <w:r w:rsidR="007952D5">
        <w:rPr>
          <w:rFonts w:ascii="Book Antiqua" w:hAnsi="Book Antiqua" w:cs="Arial"/>
          <w:sz w:val="24"/>
          <w:szCs w:val="24"/>
          <w:lang w:val="en-US"/>
        </w:rPr>
        <w:t>95%CI:</w:t>
      </w:r>
      <w:r w:rsidRPr="00BA60F0">
        <w:rPr>
          <w:rFonts w:ascii="Book Antiqua" w:hAnsi="Book Antiqua" w:cs="Arial"/>
          <w:sz w:val="24"/>
          <w:szCs w:val="24"/>
          <w:lang w:val="en-US"/>
        </w:rPr>
        <w:t xml:space="preserve"> 0.52–0.79, </w:t>
      </w:r>
      <w:r w:rsidR="00326BD4" w:rsidRPr="00326BD4">
        <w:rPr>
          <w:rFonts w:ascii="Book Antiqua" w:hAnsi="Book Antiqua" w:cs="Arial"/>
          <w:i/>
          <w:caps/>
          <w:sz w:val="24"/>
          <w:szCs w:val="24"/>
          <w:lang w:val="en-US"/>
        </w:rPr>
        <w:t xml:space="preserve">p &lt; </w:t>
      </w:r>
      <w:r w:rsidRPr="00BA60F0">
        <w:rPr>
          <w:rFonts w:ascii="Book Antiqua" w:hAnsi="Book Antiqua" w:cs="Arial"/>
          <w:sz w:val="24"/>
          <w:szCs w:val="24"/>
          <w:lang w:val="en-US"/>
        </w:rPr>
        <w:t xml:space="preserve">0.0001). </w:t>
      </w:r>
      <w:r w:rsidR="009423E1" w:rsidRPr="00BA60F0">
        <w:rPr>
          <w:rFonts w:ascii="Book Antiqua" w:hAnsi="Book Antiqua" w:cs="Arial"/>
          <w:sz w:val="24"/>
          <w:szCs w:val="24"/>
          <w:lang w:val="en-US"/>
        </w:rPr>
        <w:t>The</w:t>
      </w:r>
      <w:r w:rsidRPr="00BA60F0">
        <w:rPr>
          <w:rFonts w:ascii="Book Antiqua" w:hAnsi="Book Antiqua" w:cs="Arial"/>
          <w:sz w:val="24"/>
          <w:szCs w:val="24"/>
          <w:lang w:val="en-US"/>
        </w:rPr>
        <w:t xml:space="preserve"> observed </w:t>
      </w:r>
      <w:r w:rsidR="009423E1" w:rsidRPr="00BA60F0">
        <w:rPr>
          <w:rFonts w:ascii="Book Antiqua" w:hAnsi="Book Antiqua" w:cs="Arial"/>
          <w:sz w:val="24"/>
          <w:szCs w:val="24"/>
          <w:lang w:val="en-US"/>
        </w:rPr>
        <w:t>results were consistent irrespective</w:t>
      </w:r>
      <w:r w:rsidRPr="00BA60F0">
        <w:rPr>
          <w:rFonts w:ascii="Book Antiqua" w:hAnsi="Book Antiqua" w:cs="Arial"/>
          <w:sz w:val="24"/>
          <w:szCs w:val="24"/>
          <w:lang w:val="en-US"/>
        </w:rPr>
        <w:t xml:space="preserve"> of the administered drugs, and the </w:t>
      </w:r>
      <w:r w:rsidR="009423E1" w:rsidRPr="00BA60F0">
        <w:rPr>
          <w:rFonts w:ascii="Book Antiqua" w:hAnsi="Book Antiqua" w:cs="Arial"/>
          <w:sz w:val="24"/>
          <w:szCs w:val="24"/>
          <w:lang w:val="en-US"/>
        </w:rPr>
        <w:t xml:space="preserve">extent of survival </w:t>
      </w:r>
      <w:r w:rsidRPr="00BA60F0">
        <w:rPr>
          <w:rFonts w:ascii="Book Antiqua" w:hAnsi="Book Antiqua" w:cs="Arial"/>
          <w:sz w:val="24"/>
          <w:szCs w:val="24"/>
          <w:lang w:val="en-US"/>
        </w:rPr>
        <w:t xml:space="preserve">benefit was similar between European and Asian populations (HR </w:t>
      </w:r>
      <w:r w:rsidR="00326BD4">
        <w:rPr>
          <w:rFonts w:ascii="Book Antiqua" w:hAnsi="Book Antiqua" w:cs="Arial" w:hint="eastAsia"/>
          <w:sz w:val="24"/>
          <w:szCs w:val="24"/>
          <w:lang w:val="en-US" w:eastAsia="zh-CN"/>
        </w:rPr>
        <w:t xml:space="preserve">= </w:t>
      </w:r>
      <w:r w:rsidRPr="00BA60F0">
        <w:rPr>
          <w:rFonts w:ascii="Book Antiqua" w:hAnsi="Book Antiqua" w:cs="Arial"/>
          <w:sz w:val="24"/>
          <w:szCs w:val="24"/>
          <w:lang w:val="en-US"/>
        </w:rPr>
        <w:t>0.63 and 0.657, respectively)</w:t>
      </w:r>
      <w:r w:rsidRPr="00BA60F0">
        <w:rPr>
          <w:rFonts w:ascii="Book Antiqua" w:hAnsi="Book Antiqua" w:cs="Arial"/>
          <w:sz w:val="24"/>
          <w:szCs w:val="24"/>
          <w:vertAlign w:val="superscript"/>
          <w:lang w:val="en-US"/>
        </w:rPr>
        <w:t>[68]</w:t>
      </w:r>
      <w:r w:rsidRPr="00BA60F0">
        <w:rPr>
          <w:rFonts w:ascii="Book Antiqua" w:hAnsi="Book Antiqua" w:cs="Arial"/>
          <w:sz w:val="24"/>
          <w:szCs w:val="24"/>
          <w:lang w:val="en-US"/>
        </w:rPr>
        <w:t>.</w:t>
      </w:r>
    </w:p>
    <w:p w:rsidR="00326BD4" w:rsidRDefault="00326BD4" w:rsidP="00746849">
      <w:pPr>
        <w:adjustRightInd w:val="0"/>
        <w:snapToGrid w:val="0"/>
        <w:spacing w:after="0" w:line="360" w:lineRule="auto"/>
        <w:jc w:val="both"/>
        <w:rPr>
          <w:rFonts w:ascii="Book Antiqua" w:hAnsi="Book Antiqua" w:cs="Arial"/>
          <w:b/>
          <w:sz w:val="24"/>
          <w:szCs w:val="24"/>
          <w:lang w:val="en-US" w:eastAsia="zh-CN"/>
        </w:rPr>
      </w:pPr>
    </w:p>
    <w:p w:rsidR="006A7B58" w:rsidRPr="00326BD4" w:rsidRDefault="00326BD4" w:rsidP="00746849">
      <w:pPr>
        <w:adjustRightInd w:val="0"/>
        <w:snapToGrid w:val="0"/>
        <w:spacing w:after="0" w:line="360" w:lineRule="auto"/>
        <w:jc w:val="both"/>
        <w:rPr>
          <w:rFonts w:ascii="Book Antiqua" w:hAnsi="Book Antiqua" w:cs="Arial"/>
          <w:b/>
          <w:sz w:val="24"/>
          <w:szCs w:val="24"/>
          <w:lang w:val="en-US" w:eastAsia="zh-CN"/>
        </w:rPr>
      </w:pPr>
      <w:r w:rsidRPr="00BA60F0">
        <w:rPr>
          <w:rFonts w:ascii="Book Antiqua" w:hAnsi="Book Antiqua" w:cs="Arial"/>
          <w:b/>
          <w:sz w:val="24"/>
          <w:szCs w:val="24"/>
          <w:lang w:val="en-US"/>
        </w:rPr>
        <w:t>Biological agents</w:t>
      </w:r>
      <w:r>
        <w:rPr>
          <w:rFonts w:ascii="Book Antiqua" w:hAnsi="Book Antiqua" w:cs="Arial" w:hint="eastAsia"/>
          <w:b/>
          <w:sz w:val="24"/>
          <w:szCs w:val="24"/>
          <w:lang w:val="en-US" w:eastAsia="zh-CN"/>
        </w:rPr>
        <w:t xml:space="preserve">: </w:t>
      </w:r>
      <w:r w:rsidR="009423E1" w:rsidRPr="00BA60F0">
        <w:rPr>
          <w:rFonts w:ascii="Book Antiqua" w:hAnsi="Book Antiqua" w:cs="Arial"/>
          <w:sz w:val="24"/>
          <w:szCs w:val="24"/>
          <w:lang w:val="en-US"/>
        </w:rPr>
        <w:t xml:space="preserve">With the arrival of </w:t>
      </w:r>
      <w:r w:rsidR="006A7B58" w:rsidRPr="00BA60F0">
        <w:rPr>
          <w:rFonts w:ascii="Book Antiqua" w:hAnsi="Book Antiqua" w:cs="Arial"/>
          <w:sz w:val="24"/>
          <w:szCs w:val="24"/>
          <w:lang w:val="en-US"/>
        </w:rPr>
        <w:t xml:space="preserve">ToGA </w:t>
      </w:r>
      <w:r w:rsidR="009423E1" w:rsidRPr="00BA60F0">
        <w:rPr>
          <w:rFonts w:ascii="Book Antiqua" w:hAnsi="Book Antiqua" w:cs="Arial"/>
          <w:sz w:val="24"/>
          <w:szCs w:val="24"/>
          <w:lang w:val="en-US"/>
        </w:rPr>
        <w:t xml:space="preserve">study data, a new era of targeted therapy was </w:t>
      </w:r>
      <w:r w:rsidR="004A0D20" w:rsidRPr="00BA60F0">
        <w:rPr>
          <w:rFonts w:ascii="Book Antiqua" w:hAnsi="Book Antiqua" w:cs="Arial"/>
          <w:sz w:val="24"/>
          <w:szCs w:val="24"/>
          <w:lang w:val="en-US"/>
        </w:rPr>
        <w:t>opened</w:t>
      </w:r>
      <w:r w:rsidR="009423E1" w:rsidRPr="00BA60F0">
        <w:rPr>
          <w:rFonts w:ascii="Book Antiqua" w:hAnsi="Book Antiqua" w:cs="Arial"/>
          <w:sz w:val="24"/>
          <w:szCs w:val="24"/>
          <w:lang w:val="en-US"/>
        </w:rPr>
        <w:t xml:space="preserve"> </w:t>
      </w:r>
      <w:r w:rsidR="004A0D20" w:rsidRPr="00BA60F0">
        <w:rPr>
          <w:rFonts w:ascii="Book Antiqua" w:hAnsi="Book Antiqua" w:cs="Arial"/>
          <w:sz w:val="24"/>
          <w:szCs w:val="24"/>
          <w:lang w:val="en-US"/>
        </w:rPr>
        <w:t>for</w:t>
      </w:r>
      <w:r w:rsidR="009423E1" w:rsidRPr="00BA60F0">
        <w:rPr>
          <w:rFonts w:ascii="Book Antiqua" w:hAnsi="Book Antiqua" w:cs="Arial"/>
          <w:sz w:val="24"/>
          <w:szCs w:val="24"/>
          <w:lang w:val="en-US"/>
        </w:rPr>
        <w:t xml:space="preserve"> gastric cancer</w:t>
      </w:r>
      <w:r w:rsidR="006A7B58" w:rsidRPr="00BA60F0">
        <w:rPr>
          <w:rFonts w:ascii="Book Antiqua" w:hAnsi="Book Antiqua" w:cs="Arial"/>
          <w:sz w:val="24"/>
          <w:szCs w:val="24"/>
          <w:vertAlign w:val="superscript"/>
          <w:lang w:val="en-US"/>
        </w:rPr>
        <w:t>[18]</w:t>
      </w:r>
      <w:r w:rsidR="006A7B58" w:rsidRPr="00BA60F0">
        <w:rPr>
          <w:rFonts w:ascii="Book Antiqua" w:hAnsi="Book Antiqua" w:cs="Arial"/>
          <w:sz w:val="24"/>
          <w:szCs w:val="24"/>
          <w:lang w:val="en-US"/>
        </w:rPr>
        <w:t>. Ramucirumab is the first biological agent that showed a survival benefit in patients with metastatic gastric or gastro-esophageal junction adenocarcinoma progressing after first-line chemotherapy, given either as a single drug</w:t>
      </w:r>
      <w:r w:rsidR="006A7B58" w:rsidRPr="00BA60F0">
        <w:rPr>
          <w:rFonts w:ascii="Book Antiqua" w:hAnsi="Book Antiqua" w:cs="Arial"/>
          <w:sz w:val="24"/>
          <w:szCs w:val="24"/>
          <w:vertAlign w:val="superscript"/>
          <w:lang w:val="en-US"/>
        </w:rPr>
        <w:t>[69]</w:t>
      </w:r>
      <w:r w:rsidR="006A7B58" w:rsidRPr="00BA60F0">
        <w:rPr>
          <w:rFonts w:ascii="Book Antiqua" w:hAnsi="Book Antiqua" w:cs="Arial"/>
          <w:sz w:val="24"/>
          <w:szCs w:val="24"/>
          <w:lang w:val="en-US"/>
        </w:rPr>
        <w:t xml:space="preserve"> or in combination with paclitaxel</w:t>
      </w:r>
      <w:r w:rsidR="006A7B58" w:rsidRPr="00BA60F0">
        <w:rPr>
          <w:rFonts w:ascii="Book Antiqua" w:hAnsi="Book Antiqua" w:cs="Arial"/>
          <w:sz w:val="24"/>
          <w:szCs w:val="24"/>
          <w:vertAlign w:val="superscript"/>
          <w:lang w:val="en-US"/>
        </w:rPr>
        <w:t>[70]</w:t>
      </w:r>
      <w:r w:rsidR="006A7B58" w:rsidRPr="00BA60F0">
        <w:rPr>
          <w:rFonts w:ascii="Book Antiqua" w:hAnsi="Book Antiqua" w:cs="Arial"/>
          <w:sz w:val="24"/>
          <w:szCs w:val="24"/>
          <w:lang w:val="en-US"/>
        </w:rPr>
        <w:t>. Ramucirumab is a fully human Immunoglobulin G1 monoclonal antibody receptor antagonist designed to bind the extracellular domain of Vascular Endothelial Growth Factor (VEGF) Receptor-2, thereby blocking the binding of VEGF ligands and inhibiting receptor activation and thus inhibiting angiogenesis</w:t>
      </w:r>
      <w:r w:rsidR="006A7B58" w:rsidRPr="00BA60F0">
        <w:rPr>
          <w:rFonts w:ascii="Book Antiqua" w:hAnsi="Book Antiqua" w:cs="Arial"/>
          <w:sz w:val="24"/>
          <w:szCs w:val="24"/>
          <w:vertAlign w:val="superscript"/>
          <w:lang w:val="en-US"/>
        </w:rPr>
        <w:t>[71]</w:t>
      </w:r>
      <w:r w:rsidR="006A7B58" w:rsidRPr="00BA60F0">
        <w:rPr>
          <w:rFonts w:ascii="Book Antiqua" w:hAnsi="Book Antiqua" w:cs="Arial"/>
          <w:sz w:val="24"/>
          <w:szCs w:val="24"/>
          <w:lang w:val="en-US"/>
        </w:rPr>
        <w:t xml:space="preserve">. </w:t>
      </w:r>
    </w:p>
    <w:p w:rsidR="006A7B58" w:rsidRPr="00BA60F0" w:rsidRDefault="006A7B58" w:rsidP="00746849">
      <w:pPr>
        <w:adjustRightInd w:val="0"/>
        <w:snapToGrid w:val="0"/>
        <w:spacing w:after="0" w:line="360" w:lineRule="auto"/>
        <w:ind w:firstLine="708"/>
        <w:jc w:val="both"/>
        <w:rPr>
          <w:rFonts w:ascii="Book Antiqua" w:hAnsi="Book Antiqua" w:cs="Arial"/>
          <w:sz w:val="24"/>
          <w:szCs w:val="24"/>
          <w:lang w:val="en-US"/>
        </w:rPr>
      </w:pPr>
      <w:r w:rsidRPr="00BA60F0">
        <w:rPr>
          <w:rFonts w:ascii="Book Antiqua" w:hAnsi="Book Antiqua" w:cs="Arial"/>
          <w:sz w:val="24"/>
          <w:szCs w:val="24"/>
          <w:lang w:val="en-US"/>
        </w:rPr>
        <w:t>In the phase III randomized study (REGARD)</w:t>
      </w:r>
      <w:r w:rsidRPr="00BA60F0">
        <w:rPr>
          <w:rFonts w:ascii="Book Antiqua" w:hAnsi="Book Antiqua" w:cs="Arial"/>
          <w:sz w:val="24"/>
          <w:szCs w:val="24"/>
          <w:vertAlign w:val="superscript"/>
          <w:lang w:val="en-US"/>
        </w:rPr>
        <w:t>[69]</w:t>
      </w:r>
      <w:r w:rsidRPr="00BA60F0">
        <w:rPr>
          <w:rFonts w:ascii="Book Antiqua" w:hAnsi="Book Antiqua" w:cs="Arial"/>
          <w:sz w:val="24"/>
          <w:szCs w:val="24"/>
          <w:lang w:val="en-US"/>
        </w:rPr>
        <w:t>, 355 patients from all parts of the world who progressed after platinum- or fluoropyrimidine-based first-line chemotherapy were randomized to receive either ramuciru</w:t>
      </w:r>
      <w:r w:rsidR="00326BD4">
        <w:rPr>
          <w:rFonts w:ascii="Book Antiqua" w:hAnsi="Book Antiqua" w:cs="Arial"/>
          <w:sz w:val="24"/>
          <w:szCs w:val="24"/>
          <w:lang w:val="en-US"/>
        </w:rPr>
        <w:t>mab 8 mg/kg on day 1 every 2 wk</w:t>
      </w:r>
      <w:r w:rsidRPr="00BA60F0">
        <w:rPr>
          <w:rFonts w:ascii="Book Antiqua" w:hAnsi="Book Antiqua" w:cs="Arial"/>
          <w:sz w:val="24"/>
          <w:szCs w:val="24"/>
          <w:lang w:val="en-US"/>
        </w:rPr>
        <w:t xml:space="preserve"> (</w:t>
      </w:r>
      <w:r w:rsidR="00326BD4" w:rsidRPr="00326BD4">
        <w:rPr>
          <w:rFonts w:ascii="Book Antiqua" w:hAnsi="Book Antiqua" w:cs="Arial"/>
          <w:i/>
          <w:sz w:val="24"/>
          <w:szCs w:val="24"/>
          <w:lang w:val="en-US"/>
        </w:rPr>
        <w:t xml:space="preserve">n = </w:t>
      </w:r>
      <w:r w:rsidRPr="00BA60F0">
        <w:rPr>
          <w:rFonts w:ascii="Book Antiqua" w:hAnsi="Book Antiqua" w:cs="Arial"/>
          <w:sz w:val="24"/>
          <w:szCs w:val="24"/>
          <w:lang w:val="en-US"/>
        </w:rPr>
        <w:t>238) or placebo (</w:t>
      </w:r>
      <w:r w:rsidR="00326BD4" w:rsidRPr="00326BD4">
        <w:rPr>
          <w:rFonts w:ascii="Book Antiqua" w:hAnsi="Book Antiqua" w:cs="Arial"/>
          <w:i/>
          <w:sz w:val="24"/>
          <w:szCs w:val="24"/>
          <w:lang w:val="en-US"/>
        </w:rPr>
        <w:t xml:space="preserve">n </w:t>
      </w:r>
      <w:r w:rsidR="00326BD4" w:rsidRPr="00326BD4">
        <w:rPr>
          <w:rFonts w:ascii="Book Antiqua" w:hAnsi="Book Antiqua" w:cs="Arial"/>
          <w:i/>
          <w:sz w:val="24"/>
          <w:szCs w:val="24"/>
          <w:lang w:val="en-US"/>
        </w:rPr>
        <w:lastRenderedPageBreak/>
        <w:t xml:space="preserve">= </w:t>
      </w:r>
      <w:r w:rsidRPr="00BA60F0">
        <w:rPr>
          <w:rFonts w:ascii="Book Antiqua" w:hAnsi="Book Antiqua" w:cs="Arial"/>
          <w:sz w:val="24"/>
          <w:szCs w:val="24"/>
          <w:lang w:val="en-US"/>
        </w:rPr>
        <w:t>117). Almost all the patients had an ECOG PS of 0-1. In the active treatment arm, 65% of patients had a progression-free interval of ≥</w:t>
      </w:r>
      <w:r w:rsidR="00326BD4">
        <w:rPr>
          <w:rFonts w:ascii="Book Antiqua" w:hAnsi="Book Antiqua" w:cs="Arial" w:hint="eastAsia"/>
          <w:sz w:val="24"/>
          <w:szCs w:val="24"/>
          <w:lang w:val="en-US" w:eastAsia="zh-CN"/>
        </w:rPr>
        <w:t xml:space="preserve"> </w:t>
      </w:r>
      <w:r w:rsidRPr="00BA60F0">
        <w:rPr>
          <w:rFonts w:ascii="Book Antiqua" w:hAnsi="Book Antiqua" w:cs="Arial"/>
          <w:sz w:val="24"/>
          <w:szCs w:val="24"/>
          <w:lang w:val="en-US"/>
        </w:rPr>
        <w:t xml:space="preserve">6 mo from the end of the previous treatment. Single agent ramucirumab showed a significant survival benefit when compared with the placebo arm (median OS - 5.2 </w:t>
      </w:r>
      <w:r w:rsidR="007952D5" w:rsidRPr="007952D5">
        <w:rPr>
          <w:rFonts w:ascii="Book Antiqua" w:hAnsi="Book Antiqua" w:cs="Arial"/>
          <w:i/>
          <w:sz w:val="24"/>
          <w:szCs w:val="24"/>
          <w:lang w:val="en-US"/>
        </w:rPr>
        <w:t>vs</w:t>
      </w:r>
      <w:r w:rsidRPr="00BA60F0">
        <w:rPr>
          <w:rFonts w:ascii="Book Antiqua" w:hAnsi="Book Antiqua" w:cs="Arial"/>
          <w:sz w:val="24"/>
          <w:szCs w:val="24"/>
          <w:lang w:val="en-US"/>
        </w:rPr>
        <w:t xml:space="preserve"> 3.8 mo, HR </w:t>
      </w:r>
      <w:r w:rsidR="00326BD4">
        <w:rPr>
          <w:rFonts w:ascii="Book Antiqua" w:hAnsi="Book Antiqua" w:cs="Arial" w:hint="eastAsia"/>
          <w:sz w:val="24"/>
          <w:szCs w:val="24"/>
          <w:lang w:val="en-US" w:eastAsia="zh-CN"/>
        </w:rPr>
        <w:t xml:space="preserve">= </w:t>
      </w:r>
      <w:r w:rsidRPr="00BA60F0">
        <w:rPr>
          <w:rFonts w:ascii="Book Antiqua" w:hAnsi="Book Antiqua" w:cs="Arial"/>
          <w:sz w:val="24"/>
          <w:szCs w:val="24"/>
          <w:lang w:val="en-US"/>
        </w:rPr>
        <w:t xml:space="preserve">0.776, </w:t>
      </w:r>
      <w:r w:rsidR="007952D5" w:rsidRPr="007952D5">
        <w:rPr>
          <w:rFonts w:ascii="Book Antiqua" w:hAnsi="Book Antiqua" w:cs="Arial"/>
          <w:i/>
          <w:caps/>
          <w:sz w:val="24"/>
          <w:szCs w:val="24"/>
          <w:lang w:val="en-US"/>
        </w:rPr>
        <w:t xml:space="preserve">p = </w:t>
      </w:r>
      <w:r w:rsidRPr="00BA60F0">
        <w:rPr>
          <w:rFonts w:ascii="Book Antiqua" w:hAnsi="Book Antiqua" w:cs="Arial"/>
          <w:sz w:val="24"/>
          <w:szCs w:val="24"/>
          <w:lang w:val="en-US"/>
        </w:rPr>
        <w:t>0</w:t>
      </w:r>
      <w:r w:rsidR="00326BD4">
        <w:rPr>
          <w:rFonts w:ascii="Book Antiqua" w:hAnsi="Book Antiqua" w:cs="Arial"/>
          <w:sz w:val="24"/>
          <w:szCs w:val="24"/>
          <w:lang w:val="en-US"/>
        </w:rPr>
        <w:t>.047). Estimated rates of 12-w</w:t>
      </w:r>
      <w:r w:rsidRPr="00BA60F0">
        <w:rPr>
          <w:rFonts w:ascii="Book Antiqua" w:hAnsi="Book Antiqua" w:cs="Arial"/>
          <w:sz w:val="24"/>
          <w:szCs w:val="24"/>
          <w:lang w:val="en-US"/>
        </w:rPr>
        <w:t xml:space="preserve">k PFS were 40.1% in patients in the ramucirumab arm and 15.8% in the placebo arm. The rate of disease control was significantly higher in patients given ramucirumab than in those given placebo (49% </w:t>
      </w:r>
      <w:r w:rsidR="007952D5" w:rsidRPr="007952D5">
        <w:rPr>
          <w:rFonts w:ascii="Book Antiqua" w:hAnsi="Book Antiqua" w:cs="Arial"/>
          <w:i/>
          <w:sz w:val="24"/>
          <w:szCs w:val="24"/>
          <w:lang w:val="en-US"/>
        </w:rPr>
        <w:t>vs</w:t>
      </w:r>
      <w:r w:rsidRPr="00BA60F0">
        <w:rPr>
          <w:rFonts w:ascii="Book Antiqua" w:hAnsi="Book Antiqua" w:cs="Arial"/>
          <w:sz w:val="24"/>
          <w:szCs w:val="24"/>
          <w:lang w:val="en-US"/>
        </w:rPr>
        <w:t xml:space="preserve"> 23%). The median time to deterioration in ECOG PS to a score of 2 or worse was 5.1 mo in the ramucirumab arm and 2.4 mo in the placebo arm (HR </w:t>
      </w:r>
      <w:r w:rsidR="00326BD4">
        <w:rPr>
          <w:rFonts w:ascii="Book Antiqua" w:hAnsi="Book Antiqua" w:cs="Arial" w:hint="eastAsia"/>
          <w:sz w:val="24"/>
          <w:szCs w:val="24"/>
          <w:lang w:val="en-US" w:eastAsia="zh-CN"/>
        </w:rPr>
        <w:t xml:space="preserve">= </w:t>
      </w:r>
      <w:r w:rsidRPr="00BA60F0">
        <w:rPr>
          <w:rFonts w:ascii="Book Antiqua" w:hAnsi="Book Antiqua" w:cs="Arial"/>
          <w:sz w:val="24"/>
          <w:szCs w:val="24"/>
          <w:lang w:val="en-US"/>
        </w:rPr>
        <w:t xml:space="preserve">0.586, </w:t>
      </w:r>
      <w:r w:rsidR="007952D5" w:rsidRPr="007952D5">
        <w:rPr>
          <w:rFonts w:ascii="Book Antiqua" w:hAnsi="Book Antiqua" w:cs="Arial"/>
          <w:i/>
          <w:caps/>
          <w:sz w:val="24"/>
          <w:szCs w:val="24"/>
          <w:lang w:val="en-US"/>
        </w:rPr>
        <w:t xml:space="preserve">p = </w:t>
      </w:r>
      <w:r w:rsidRPr="00BA60F0">
        <w:rPr>
          <w:rFonts w:ascii="Book Antiqua" w:hAnsi="Book Antiqua" w:cs="Arial"/>
          <w:sz w:val="24"/>
          <w:szCs w:val="24"/>
          <w:lang w:val="en-US"/>
        </w:rPr>
        <w:t>0.002). With regard to safety, more patients in the ramucirumab group had grade ≥</w:t>
      </w:r>
      <w:r w:rsidR="00326BD4">
        <w:rPr>
          <w:rFonts w:ascii="Book Antiqua" w:hAnsi="Book Antiqua" w:cs="Arial" w:hint="eastAsia"/>
          <w:sz w:val="24"/>
          <w:szCs w:val="24"/>
          <w:lang w:val="en-US" w:eastAsia="zh-CN"/>
        </w:rPr>
        <w:t xml:space="preserve"> </w:t>
      </w:r>
      <w:r w:rsidRPr="00BA60F0">
        <w:rPr>
          <w:rFonts w:ascii="Book Antiqua" w:hAnsi="Book Antiqua" w:cs="Arial"/>
          <w:sz w:val="24"/>
          <w:szCs w:val="24"/>
          <w:lang w:val="en-US"/>
        </w:rPr>
        <w:t xml:space="preserve">3 hypertension than those in the placebo group (8% </w:t>
      </w:r>
      <w:r w:rsidR="007952D5" w:rsidRPr="007952D5">
        <w:rPr>
          <w:rFonts w:ascii="Book Antiqua" w:hAnsi="Book Antiqua" w:cs="Arial"/>
          <w:i/>
          <w:sz w:val="24"/>
          <w:szCs w:val="24"/>
          <w:lang w:val="en-US"/>
        </w:rPr>
        <w:t>vs</w:t>
      </w:r>
      <w:r w:rsidRPr="00BA60F0">
        <w:rPr>
          <w:rFonts w:ascii="Book Antiqua" w:hAnsi="Book Antiqua" w:cs="Arial"/>
          <w:sz w:val="24"/>
          <w:szCs w:val="24"/>
          <w:lang w:val="en-US"/>
        </w:rPr>
        <w:t xml:space="preserve"> 3%)</w:t>
      </w:r>
      <w:r w:rsidRPr="00BA60F0">
        <w:rPr>
          <w:rFonts w:ascii="Book Antiqua" w:hAnsi="Book Antiqua" w:cs="Arial"/>
          <w:sz w:val="24"/>
          <w:szCs w:val="24"/>
          <w:vertAlign w:val="superscript"/>
          <w:lang w:val="en-US"/>
        </w:rPr>
        <w:t>[69]</w:t>
      </w:r>
      <w:r w:rsidRPr="00BA60F0">
        <w:rPr>
          <w:rFonts w:ascii="Book Antiqua" w:hAnsi="Book Antiqua" w:cs="Arial"/>
          <w:sz w:val="24"/>
          <w:szCs w:val="24"/>
          <w:lang w:val="en-US"/>
        </w:rPr>
        <w:t xml:space="preserve">. </w:t>
      </w:r>
    </w:p>
    <w:p w:rsidR="006A7B58" w:rsidRPr="00BA60F0" w:rsidRDefault="006A7B58" w:rsidP="00746849">
      <w:pPr>
        <w:adjustRightInd w:val="0"/>
        <w:snapToGrid w:val="0"/>
        <w:spacing w:after="0" w:line="360" w:lineRule="auto"/>
        <w:ind w:firstLine="708"/>
        <w:jc w:val="both"/>
        <w:rPr>
          <w:rFonts w:ascii="Book Antiqua" w:hAnsi="Book Antiqua" w:cs="Arial"/>
          <w:sz w:val="24"/>
          <w:szCs w:val="24"/>
          <w:lang w:val="en-US"/>
        </w:rPr>
      </w:pPr>
      <w:r w:rsidRPr="00BA60F0">
        <w:rPr>
          <w:rFonts w:ascii="Book Antiqua" w:hAnsi="Book Antiqua" w:cs="Arial"/>
          <w:sz w:val="24"/>
          <w:szCs w:val="24"/>
          <w:lang w:val="en-US"/>
        </w:rPr>
        <w:t>In another large phase III randomized study (RAINBOW)</w:t>
      </w:r>
      <w:r w:rsidRPr="00BA60F0">
        <w:rPr>
          <w:rFonts w:ascii="Book Antiqua" w:hAnsi="Book Antiqua" w:cs="Arial"/>
          <w:sz w:val="24"/>
          <w:szCs w:val="24"/>
          <w:vertAlign w:val="superscript"/>
          <w:lang w:val="en-US"/>
        </w:rPr>
        <w:t>[70]</w:t>
      </w:r>
      <w:r w:rsidRPr="00BA60F0">
        <w:rPr>
          <w:rFonts w:ascii="Book Antiqua" w:hAnsi="Book Antiqua" w:cs="Arial"/>
          <w:sz w:val="24"/>
          <w:szCs w:val="24"/>
          <w:lang w:val="en-US"/>
        </w:rPr>
        <w:t>, 655 patients with a PS score of 0-1 received either ramucirumab 8 mg/kg (</w:t>
      </w:r>
      <w:r w:rsidR="00326BD4" w:rsidRPr="00326BD4">
        <w:rPr>
          <w:rFonts w:ascii="Book Antiqua" w:hAnsi="Book Antiqua" w:cs="Arial"/>
          <w:i/>
          <w:sz w:val="24"/>
          <w:szCs w:val="24"/>
          <w:lang w:val="en-US"/>
        </w:rPr>
        <w:t xml:space="preserve">n = </w:t>
      </w:r>
      <w:r w:rsidRPr="00BA60F0">
        <w:rPr>
          <w:rFonts w:ascii="Book Antiqua" w:hAnsi="Book Antiqua" w:cs="Arial"/>
          <w:sz w:val="24"/>
          <w:szCs w:val="24"/>
          <w:lang w:val="en-US"/>
        </w:rPr>
        <w:t>330) or placebo (</w:t>
      </w:r>
      <w:r w:rsidR="00326BD4" w:rsidRPr="00326BD4">
        <w:rPr>
          <w:rFonts w:ascii="Book Antiqua" w:hAnsi="Book Antiqua" w:cs="Arial"/>
          <w:i/>
          <w:sz w:val="24"/>
          <w:szCs w:val="24"/>
          <w:lang w:val="en-US"/>
        </w:rPr>
        <w:t xml:space="preserve">n = </w:t>
      </w:r>
      <w:r w:rsidRPr="00BA60F0">
        <w:rPr>
          <w:rFonts w:ascii="Book Antiqua" w:hAnsi="Book Antiqua" w:cs="Arial"/>
          <w:sz w:val="24"/>
          <w:szCs w:val="24"/>
          <w:lang w:val="en-US"/>
        </w:rPr>
        <w:t>335) on days 1 and 15, plus paclitaxel 80 mg/m² on days 1, 8, and 15 of a 28-d cycle. In both arms, 75% of patients had a time-to-progression duration of &lt;</w:t>
      </w:r>
      <w:r w:rsidR="00326BD4">
        <w:rPr>
          <w:rFonts w:ascii="Book Antiqua" w:hAnsi="Book Antiqua" w:cs="Arial" w:hint="eastAsia"/>
          <w:sz w:val="24"/>
          <w:szCs w:val="24"/>
          <w:lang w:val="en-US" w:eastAsia="zh-CN"/>
        </w:rPr>
        <w:t xml:space="preserve"> </w:t>
      </w:r>
      <w:r w:rsidRPr="00BA60F0">
        <w:rPr>
          <w:rFonts w:ascii="Book Antiqua" w:hAnsi="Book Antiqua" w:cs="Arial"/>
          <w:sz w:val="24"/>
          <w:szCs w:val="24"/>
          <w:lang w:val="en-US"/>
        </w:rPr>
        <w:t xml:space="preserve">6 mo on first-line therapy. More than 70% and 20% of patients received a doublet and triplet regimen in first-line therapy (containing both fluoropyrimidines and platinum agents), respectively. Median OS (9.6 </w:t>
      </w:r>
      <w:r w:rsidR="007952D5" w:rsidRPr="007952D5">
        <w:rPr>
          <w:rFonts w:ascii="Book Antiqua" w:hAnsi="Book Antiqua" w:cs="Arial"/>
          <w:i/>
          <w:sz w:val="24"/>
          <w:szCs w:val="24"/>
          <w:lang w:val="en-US"/>
        </w:rPr>
        <w:t>vs</w:t>
      </w:r>
      <w:r w:rsidRPr="00BA60F0">
        <w:rPr>
          <w:rFonts w:ascii="Book Antiqua" w:hAnsi="Book Antiqua" w:cs="Arial"/>
          <w:sz w:val="24"/>
          <w:szCs w:val="24"/>
          <w:lang w:val="en-US"/>
        </w:rPr>
        <w:t xml:space="preserve"> 7.4 mo. HR </w:t>
      </w:r>
      <w:r w:rsidR="00326BD4">
        <w:rPr>
          <w:rFonts w:ascii="Book Antiqua" w:hAnsi="Book Antiqua" w:cs="Arial" w:hint="eastAsia"/>
          <w:sz w:val="24"/>
          <w:szCs w:val="24"/>
          <w:lang w:val="en-US" w:eastAsia="zh-CN"/>
        </w:rPr>
        <w:t xml:space="preserve">= </w:t>
      </w:r>
      <w:r w:rsidRPr="00BA60F0">
        <w:rPr>
          <w:rFonts w:ascii="Book Antiqua" w:hAnsi="Book Antiqua" w:cs="Arial"/>
          <w:sz w:val="24"/>
          <w:szCs w:val="24"/>
          <w:lang w:val="en-US"/>
        </w:rPr>
        <w:t xml:space="preserve">0.807, </w:t>
      </w:r>
      <w:r w:rsidR="007952D5" w:rsidRPr="007952D5">
        <w:rPr>
          <w:rFonts w:ascii="Book Antiqua" w:hAnsi="Book Antiqua" w:cs="Arial"/>
          <w:i/>
          <w:caps/>
          <w:sz w:val="24"/>
          <w:szCs w:val="24"/>
          <w:lang w:val="en-US"/>
        </w:rPr>
        <w:t xml:space="preserve">p = </w:t>
      </w:r>
      <w:r w:rsidRPr="00BA60F0">
        <w:rPr>
          <w:rFonts w:ascii="Book Antiqua" w:hAnsi="Book Antiqua" w:cs="Arial"/>
          <w:sz w:val="24"/>
          <w:szCs w:val="24"/>
          <w:lang w:val="en-US"/>
        </w:rPr>
        <w:t xml:space="preserve">0.017) and median PFS (4.4 </w:t>
      </w:r>
      <w:r w:rsidR="007952D5" w:rsidRPr="007952D5">
        <w:rPr>
          <w:rFonts w:ascii="Book Antiqua" w:hAnsi="Book Antiqua" w:cs="Arial"/>
          <w:i/>
          <w:sz w:val="24"/>
          <w:szCs w:val="24"/>
          <w:lang w:val="en-US"/>
        </w:rPr>
        <w:t>vs</w:t>
      </w:r>
      <w:r w:rsidRPr="00BA60F0">
        <w:rPr>
          <w:rFonts w:ascii="Book Antiqua" w:hAnsi="Book Antiqua" w:cs="Arial"/>
          <w:sz w:val="24"/>
          <w:szCs w:val="24"/>
          <w:lang w:val="en-US"/>
        </w:rPr>
        <w:t xml:space="preserve"> 2.9 mo. HR </w:t>
      </w:r>
      <w:r w:rsidR="00326BD4">
        <w:rPr>
          <w:rFonts w:ascii="Book Antiqua" w:hAnsi="Book Antiqua" w:cs="Arial" w:hint="eastAsia"/>
          <w:sz w:val="24"/>
          <w:szCs w:val="24"/>
          <w:lang w:val="en-US" w:eastAsia="zh-CN"/>
        </w:rPr>
        <w:t xml:space="preserve">= </w:t>
      </w:r>
      <w:r w:rsidRPr="00BA60F0">
        <w:rPr>
          <w:rFonts w:ascii="Book Antiqua" w:hAnsi="Book Antiqua" w:cs="Arial"/>
          <w:sz w:val="24"/>
          <w:szCs w:val="24"/>
          <w:lang w:val="en-US"/>
        </w:rPr>
        <w:t xml:space="preserve">0.635, </w:t>
      </w:r>
      <w:r w:rsidR="007952D5" w:rsidRPr="007952D5">
        <w:rPr>
          <w:rFonts w:ascii="Book Antiqua" w:hAnsi="Book Antiqua" w:cs="Arial"/>
          <w:i/>
          <w:caps/>
          <w:sz w:val="24"/>
          <w:szCs w:val="24"/>
          <w:lang w:val="en-US"/>
        </w:rPr>
        <w:t xml:space="preserve">p </w:t>
      </w:r>
      <w:r w:rsidR="00326BD4" w:rsidRPr="00326BD4">
        <w:rPr>
          <w:rFonts w:ascii="Book Antiqua" w:eastAsia="SimSun" w:hAnsi="Book Antiqua" w:cs="Arial"/>
          <w:i/>
          <w:caps/>
          <w:sz w:val="24"/>
          <w:szCs w:val="24"/>
          <w:lang w:val="en-US"/>
        </w:rPr>
        <w:t>≤</w:t>
      </w:r>
      <w:r w:rsidR="00326BD4">
        <w:rPr>
          <w:rFonts w:ascii="Book Antiqua" w:hAnsi="Book Antiqua" w:cs="Arial" w:hint="eastAsia"/>
          <w:i/>
          <w:caps/>
          <w:sz w:val="24"/>
          <w:szCs w:val="24"/>
          <w:lang w:val="en-US" w:eastAsia="zh-CN"/>
        </w:rPr>
        <w:t xml:space="preserve"> </w:t>
      </w:r>
      <w:r w:rsidRPr="00BA60F0">
        <w:rPr>
          <w:rFonts w:ascii="Book Antiqua" w:hAnsi="Book Antiqua" w:cs="Arial"/>
          <w:sz w:val="24"/>
          <w:szCs w:val="24"/>
          <w:lang w:val="en-US"/>
        </w:rPr>
        <w:t xml:space="preserve">0.001) were significantly increased in the ramucirumab plus paclitaxel arm compared with the placebo and paclitaxel arm. Preplanned forest plot analyses showed an OS benefit in all subgroups. Grade ≥ 3 adverse events that occurred more often in the Ramucirumab plus Paclitaxel arm included neutropenia (41% </w:t>
      </w:r>
      <w:r w:rsidR="007952D5" w:rsidRPr="007952D5">
        <w:rPr>
          <w:rFonts w:ascii="Book Antiqua" w:hAnsi="Book Antiqua" w:cs="Arial"/>
          <w:i/>
          <w:sz w:val="24"/>
          <w:szCs w:val="24"/>
          <w:lang w:val="en-US"/>
        </w:rPr>
        <w:t>vs</w:t>
      </w:r>
      <w:r w:rsidRPr="00BA60F0">
        <w:rPr>
          <w:rFonts w:ascii="Book Antiqua" w:hAnsi="Book Antiqua" w:cs="Arial"/>
          <w:sz w:val="24"/>
          <w:szCs w:val="24"/>
          <w:lang w:val="en-US"/>
        </w:rPr>
        <w:t xml:space="preserve"> 19%), hypertension (14% </w:t>
      </w:r>
      <w:r w:rsidR="007952D5" w:rsidRPr="007952D5">
        <w:rPr>
          <w:rFonts w:ascii="Book Antiqua" w:hAnsi="Book Antiqua" w:cs="Arial"/>
          <w:i/>
          <w:sz w:val="24"/>
          <w:szCs w:val="24"/>
          <w:lang w:val="en-US"/>
        </w:rPr>
        <w:t>vs</w:t>
      </w:r>
      <w:r w:rsidRPr="00BA60F0">
        <w:rPr>
          <w:rFonts w:ascii="Book Antiqua" w:hAnsi="Book Antiqua" w:cs="Arial"/>
          <w:sz w:val="24"/>
          <w:szCs w:val="24"/>
          <w:lang w:val="en-US"/>
        </w:rPr>
        <w:t xml:space="preserve"> 2%), fatigue (12% </w:t>
      </w:r>
      <w:r w:rsidR="007952D5" w:rsidRPr="007952D5">
        <w:rPr>
          <w:rFonts w:ascii="Book Antiqua" w:hAnsi="Book Antiqua" w:cs="Arial"/>
          <w:i/>
          <w:sz w:val="24"/>
          <w:szCs w:val="24"/>
          <w:lang w:val="en-US"/>
        </w:rPr>
        <w:t>vs</w:t>
      </w:r>
      <w:r w:rsidRPr="00BA60F0">
        <w:rPr>
          <w:rFonts w:ascii="Book Antiqua" w:hAnsi="Book Antiqua" w:cs="Arial"/>
          <w:sz w:val="24"/>
          <w:szCs w:val="24"/>
          <w:lang w:val="en-US"/>
        </w:rPr>
        <w:t xml:space="preserve"> 5%), anemia (30</w:t>
      </w:r>
      <w:r w:rsidR="00326BD4">
        <w:rPr>
          <w:rFonts w:ascii="Book Antiqua" w:hAnsi="Book Antiqua" w:cs="Arial" w:hint="eastAsia"/>
          <w:sz w:val="24"/>
          <w:szCs w:val="24"/>
          <w:lang w:val="en-US" w:eastAsia="zh-CN"/>
        </w:rPr>
        <w:t>%</w:t>
      </w:r>
      <w:r w:rsidRPr="00BA60F0">
        <w:rPr>
          <w:rFonts w:ascii="Book Antiqua" w:hAnsi="Book Antiqua" w:cs="Arial"/>
          <w:sz w:val="24"/>
          <w:szCs w:val="24"/>
          <w:lang w:val="en-US"/>
        </w:rPr>
        <w:t xml:space="preserve"> </w:t>
      </w:r>
      <w:r w:rsidR="007952D5" w:rsidRPr="007952D5">
        <w:rPr>
          <w:rFonts w:ascii="Book Antiqua" w:hAnsi="Book Antiqua" w:cs="Arial"/>
          <w:i/>
          <w:sz w:val="24"/>
          <w:szCs w:val="24"/>
          <w:lang w:val="en-US"/>
        </w:rPr>
        <w:t>vs</w:t>
      </w:r>
      <w:r w:rsidRPr="00BA60F0">
        <w:rPr>
          <w:rFonts w:ascii="Book Antiqua" w:hAnsi="Book Antiqua" w:cs="Arial"/>
          <w:sz w:val="24"/>
          <w:szCs w:val="24"/>
          <w:lang w:val="en-US"/>
        </w:rPr>
        <w:t xml:space="preserve"> 10%), and abdominal pain (6% </w:t>
      </w:r>
      <w:r w:rsidR="007952D5" w:rsidRPr="007952D5">
        <w:rPr>
          <w:rFonts w:ascii="Book Antiqua" w:hAnsi="Book Antiqua" w:cs="Arial"/>
          <w:i/>
          <w:sz w:val="24"/>
          <w:szCs w:val="24"/>
          <w:lang w:val="en-US"/>
        </w:rPr>
        <w:t>vs</w:t>
      </w:r>
      <w:r w:rsidRPr="00BA60F0">
        <w:rPr>
          <w:rFonts w:ascii="Book Antiqua" w:hAnsi="Book Antiqua" w:cs="Arial"/>
          <w:sz w:val="24"/>
          <w:szCs w:val="24"/>
          <w:lang w:val="en-US"/>
        </w:rPr>
        <w:t xml:space="preserve"> 3%). Thus, the addition of ramucirumab to paclitaxel significantly increased OS, and this regimen could be considered as a new standard of second-line treatment for patients with metastatic gastric cancer</w:t>
      </w:r>
      <w:r w:rsidRPr="00BA60F0">
        <w:rPr>
          <w:rFonts w:ascii="Book Antiqua" w:hAnsi="Book Antiqua" w:cs="Arial"/>
          <w:sz w:val="24"/>
          <w:szCs w:val="24"/>
          <w:vertAlign w:val="superscript"/>
          <w:lang w:val="en-US"/>
        </w:rPr>
        <w:t>[70]</w:t>
      </w:r>
      <w:r w:rsidRPr="00BA60F0">
        <w:rPr>
          <w:rFonts w:ascii="Book Antiqua" w:hAnsi="Book Antiqua" w:cs="Arial"/>
          <w:sz w:val="24"/>
          <w:szCs w:val="24"/>
          <w:lang w:val="en-US"/>
        </w:rPr>
        <w:t>.</w:t>
      </w:r>
    </w:p>
    <w:p w:rsidR="006A7B58" w:rsidRPr="00BA60F0" w:rsidRDefault="006A7B58" w:rsidP="00746849">
      <w:pPr>
        <w:adjustRightInd w:val="0"/>
        <w:snapToGrid w:val="0"/>
        <w:spacing w:after="0" w:line="360" w:lineRule="auto"/>
        <w:ind w:firstLine="708"/>
        <w:jc w:val="both"/>
        <w:rPr>
          <w:rFonts w:ascii="Book Antiqua" w:hAnsi="Book Antiqua" w:cs="Arial"/>
          <w:sz w:val="24"/>
          <w:szCs w:val="24"/>
          <w:lang w:val="en-US"/>
        </w:rPr>
      </w:pPr>
      <w:r w:rsidRPr="00BA60F0">
        <w:rPr>
          <w:rFonts w:ascii="Book Antiqua" w:hAnsi="Book Antiqua" w:cs="Arial"/>
          <w:sz w:val="24"/>
          <w:szCs w:val="24"/>
          <w:lang w:val="en-US"/>
        </w:rPr>
        <w:t>Antiangiogenic therapy is not solely limited to monoclonal antibodies. In addition to ramucirumab, there are several other agents, such as apatinib and regorafenib, that exhibit an antiangiogenic effect. Apatinib is an oral VEGFR2 tyrosine kinase inhibitor (TKI). The results of a randomized phase III study conducted in China that investigated the survival benefit of apatinib over placebo were presented in 2014. Patients who failed to improve after two prior lines of treatment were randomly assigned to receive apatinib (</w:t>
      </w:r>
      <w:r w:rsidR="00326BD4" w:rsidRPr="00326BD4">
        <w:rPr>
          <w:rFonts w:ascii="Book Antiqua" w:hAnsi="Book Antiqua" w:cs="Arial"/>
          <w:i/>
          <w:sz w:val="24"/>
          <w:szCs w:val="24"/>
          <w:lang w:val="en-US"/>
        </w:rPr>
        <w:t xml:space="preserve">n = </w:t>
      </w:r>
      <w:r w:rsidRPr="00BA60F0">
        <w:rPr>
          <w:rFonts w:ascii="Book Antiqua" w:hAnsi="Book Antiqua" w:cs="Arial"/>
          <w:sz w:val="24"/>
          <w:szCs w:val="24"/>
          <w:lang w:val="en-US"/>
        </w:rPr>
        <w:t>180, 850 mg once daily) and placebo (</w:t>
      </w:r>
      <w:r w:rsidR="00326BD4" w:rsidRPr="00326BD4">
        <w:rPr>
          <w:rFonts w:ascii="Book Antiqua" w:hAnsi="Book Antiqua" w:cs="Arial"/>
          <w:i/>
          <w:sz w:val="24"/>
          <w:szCs w:val="24"/>
          <w:lang w:val="en-US"/>
        </w:rPr>
        <w:t xml:space="preserve">n = </w:t>
      </w:r>
      <w:r w:rsidRPr="00BA60F0">
        <w:rPr>
          <w:rFonts w:ascii="Book Antiqua" w:hAnsi="Book Antiqua" w:cs="Arial"/>
          <w:sz w:val="24"/>
          <w:szCs w:val="24"/>
          <w:lang w:val="en-US"/>
        </w:rPr>
        <w:t xml:space="preserve">90). The median OS was significantly higher in the apatinib arm compared to the placebo arm (195 </w:t>
      </w:r>
      <w:r w:rsidR="007952D5" w:rsidRPr="007952D5">
        <w:rPr>
          <w:rFonts w:ascii="Book Antiqua" w:hAnsi="Book Antiqua" w:cs="Arial"/>
          <w:i/>
          <w:sz w:val="24"/>
          <w:szCs w:val="24"/>
          <w:lang w:val="en-US"/>
        </w:rPr>
        <w:t>vs</w:t>
      </w:r>
      <w:r w:rsidRPr="00BA60F0">
        <w:rPr>
          <w:rFonts w:ascii="Book Antiqua" w:hAnsi="Book Antiqua" w:cs="Arial"/>
          <w:sz w:val="24"/>
          <w:szCs w:val="24"/>
          <w:lang w:val="en-US"/>
        </w:rPr>
        <w:t xml:space="preserve"> 140 d, HR </w:t>
      </w:r>
      <w:r w:rsidR="00326BD4">
        <w:rPr>
          <w:rFonts w:ascii="Book Antiqua" w:hAnsi="Book Antiqua" w:cs="Arial" w:hint="eastAsia"/>
          <w:sz w:val="24"/>
          <w:szCs w:val="24"/>
          <w:lang w:val="en-US" w:eastAsia="zh-CN"/>
        </w:rPr>
        <w:t xml:space="preserve">= </w:t>
      </w:r>
      <w:r w:rsidRPr="00BA60F0">
        <w:rPr>
          <w:rFonts w:ascii="Book Antiqua" w:hAnsi="Book Antiqua" w:cs="Arial"/>
          <w:sz w:val="24"/>
          <w:szCs w:val="24"/>
          <w:lang w:val="en-US"/>
        </w:rPr>
        <w:t xml:space="preserve">0.71, </w:t>
      </w:r>
      <w:r w:rsidR="00326BD4" w:rsidRPr="00326BD4">
        <w:rPr>
          <w:rFonts w:ascii="Book Antiqua" w:hAnsi="Book Antiqua" w:cs="Arial"/>
          <w:i/>
          <w:caps/>
          <w:sz w:val="24"/>
          <w:szCs w:val="24"/>
          <w:lang w:val="en-US"/>
        </w:rPr>
        <w:t xml:space="preserve">p &lt; </w:t>
      </w:r>
      <w:r w:rsidRPr="00BA60F0">
        <w:rPr>
          <w:rFonts w:ascii="Book Antiqua" w:hAnsi="Book Antiqua" w:cs="Arial"/>
          <w:sz w:val="24"/>
          <w:szCs w:val="24"/>
          <w:lang w:val="en-US"/>
        </w:rPr>
        <w:t xml:space="preserve">0.016) as well as PFS (78 </w:t>
      </w:r>
      <w:r w:rsidR="007952D5" w:rsidRPr="007952D5">
        <w:rPr>
          <w:rFonts w:ascii="Book Antiqua" w:hAnsi="Book Antiqua" w:cs="Arial"/>
          <w:i/>
          <w:sz w:val="24"/>
          <w:szCs w:val="24"/>
          <w:lang w:val="en-US"/>
        </w:rPr>
        <w:t>vs</w:t>
      </w:r>
      <w:r w:rsidRPr="00BA60F0">
        <w:rPr>
          <w:rFonts w:ascii="Book Antiqua" w:hAnsi="Book Antiqua" w:cs="Arial"/>
          <w:sz w:val="24"/>
          <w:szCs w:val="24"/>
          <w:lang w:val="en-US"/>
        </w:rPr>
        <w:t xml:space="preserve"> 53 d, HR </w:t>
      </w:r>
      <w:r w:rsidR="00326BD4">
        <w:rPr>
          <w:rFonts w:ascii="Book Antiqua" w:hAnsi="Book Antiqua" w:cs="Arial" w:hint="eastAsia"/>
          <w:sz w:val="24"/>
          <w:szCs w:val="24"/>
          <w:lang w:val="en-US" w:eastAsia="zh-CN"/>
        </w:rPr>
        <w:t xml:space="preserve">= </w:t>
      </w:r>
      <w:r w:rsidRPr="00BA60F0">
        <w:rPr>
          <w:rFonts w:ascii="Book Antiqua" w:hAnsi="Book Antiqua" w:cs="Arial"/>
          <w:sz w:val="24"/>
          <w:szCs w:val="24"/>
          <w:lang w:val="en-US"/>
        </w:rPr>
        <w:t xml:space="preserve">0.44, </w:t>
      </w:r>
      <w:r w:rsidR="00326BD4" w:rsidRPr="00326BD4">
        <w:rPr>
          <w:rFonts w:ascii="Book Antiqua" w:hAnsi="Book Antiqua" w:cs="Arial"/>
          <w:i/>
          <w:caps/>
          <w:sz w:val="24"/>
          <w:szCs w:val="24"/>
          <w:lang w:val="en-US"/>
        </w:rPr>
        <w:t xml:space="preserve">p &lt; </w:t>
      </w:r>
      <w:r w:rsidRPr="00BA60F0">
        <w:rPr>
          <w:rFonts w:ascii="Book Antiqua" w:hAnsi="Book Antiqua" w:cs="Arial"/>
          <w:sz w:val="24"/>
          <w:szCs w:val="24"/>
          <w:lang w:val="en-US"/>
        </w:rPr>
        <w:t>0.0001)</w:t>
      </w:r>
      <w:r w:rsidRPr="00BA60F0">
        <w:rPr>
          <w:rFonts w:ascii="Book Antiqua" w:hAnsi="Book Antiqua" w:cs="Arial"/>
          <w:sz w:val="24"/>
          <w:szCs w:val="24"/>
          <w:vertAlign w:val="superscript"/>
          <w:lang w:val="en-US"/>
        </w:rPr>
        <w:t>[72]</w:t>
      </w:r>
      <w:r w:rsidRPr="00BA60F0">
        <w:rPr>
          <w:rFonts w:ascii="Book Antiqua" w:hAnsi="Book Antiqua" w:cs="Arial"/>
          <w:sz w:val="24"/>
          <w:szCs w:val="24"/>
          <w:lang w:val="en-US"/>
        </w:rPr>
        <w:t xml:space="preserve">. </w:t>
      </w:r>
    </w:p>
    <w:p w:rsidR="006A7B58" w:rsidRPr="00BA60F0" w:rsidRDefault="006A7B58" w:rsidP="00746849">
      <w:pPr>
        <w:adjustRightInd w:val="0"/>
        <w:snapToGrid w:val="0"/>
        <w:spacing w:after="0" w:line="360" w:lineRule="auto"/>
        <w:ind w:firstLine="708"/>
        <w:jc w:val="both"/>
        <w:rPr>
          <w:rFonts w:ascii="Book Antiqua" w:hAnsi="Book Antiqua" w:cs="Arial"/>
          <w:sz w:val="24"/>
          <w:szCs w:val="24"/>
          <w:lang w:val="en-US"/>
        </w:rPr>
      </w:pPr>
      <w:r w:rsidRPr="00BA60F0">
        <w:rPr>
          <w:rFonts w:ascii="Book Antiqua" w:hAnsi="Book Antiqua" w:cs="Arial"/>
          <w:sz w:val="24"/>
          <w:szCs w:val="24"/>
          <w:lang w:val="en-US"/>
        </w:rPr>
        <w:lastRenderedPageBreak/>
        <w:t>In 2015, the preliminary results of a randomized phase II study (INTEGRATE), which studied the efficacy and safety of regorafenib over BSC in metastatic gastric cancer patients who failed to improve after one or two lines of chemotherapy, were reported. Regorafenib is an oral small-molecule inhibitor of multiple protein kinases, including those involved in angiogenesis (VEGFR 1, 2, and 3, TK with Ig and EGF homology domain 2), oncogenesis (KIT, RET, RAF-1, BRAF), and the tumor microenvironment (platelet-derived growth factor receptor-β, fibroblast growth factor receptor)</w:t>
      </w:r>
      <w:r w:rsidRPr="00BA60F0">
        <w:rPr>
          <w:rFonts w:ascii="Book Antiqua" w:hAnsi="Book Antiqua" w:cs="Arial"/>
          <w:sz w:val="24"/>
          <w:szCs w:val="24"/>
          <w:vertAlign w:val="superscript"/>
          <w:lang w:val="en-US"/>
        </w:rPr>
        <w:t>[73]</w:t>
      </w:r>
      <w:r w:rsidRPr="00BA60F0">
        <w:rPr>
          <w:rFonts w:ascii="Book Antiqua" w:hAnsi="Book Antiqua" w:cs="Arial"/>
          <w:sz w:val="24"/>
          <w:szCs w:val="24"/>
          <w:lang w:val="en-US"/>
        </w:rPr>
        <w:t xml:space="preserve">. A total of 152 patients were randomly assigned to receive regorafenib (160 mg, days 1-21 every 28 d) plus BSC over placebo plus BSC in a 2:1 fashion. The median PFS was improved in the regorafenib arm compared with placebo (11.1 </w:t>
      </w:r>
      <w:r w:rsidR="007952D5" w:rsidRPr="007952D5">
        <w:rPr>
          <w:rFonts w:ascii="Book Antiqua" w:hAnsi="Book Antiqua" w:cs="Arial"/>
          <w:i/>
          <w:sz w:val="24"/>
          <w:szCs w:val="24"/>
          <w:lang w:val="en-US"/>
        </w:rPr>
        <w:t>vs</w:t>
      </w:r>
      <w:r w:rsidR="00326BD4">
        <w:rPr>
          <w:rFonts w:ascii="Book Antiqua" w:hAnsi="Book Antiqua" w:cs="Arial"/>
          <w:sz w:val="24"/>
          <w:szCs w:val="24"/>
          <w:lang w:val="en-US"/>
        </w:rPr>
        <w:t xml:space="preserve"> 3.9 wk</w:t>
      </w:r>
      <w:r w:rsidRPr="00BA60F0">
        <w:rPr>
          <w:rFonts w:ascii="Book Antiqua" w:hAnsi="Book Antiqua" w:cs="Arial"/>
          <w:sz w:val="24"/>
          <w:szCs w:val="24"/>
          <w:lang w:val="en-US"/>
        </w:rPr>
        <w:t xml:space="preserve">, HR </w:t>
      </w:r>
      <w:r w:rsidR="00326BD4">
        <w:rPr>
          <w:rFonts w:ascii="Book Antiqua" w:hAnsi="Book Antiqua" w:cs="Arial" w:hint="eastAsia"/>
          <w:sz w:val="24"/>
          <w:szCs w:val="24"/>
          <w:lang w:val="en-US" w:eastAsia="zh-CN"/>
        </w:rPr>
        <w:t xml:space="preserve">= </w:t>
      </w:r>
      <w:r w:rsidRPr="00BA60F0">
        <w:rPr>
          <w:rFonts w:ascii="Book Antiqua" w:hAnsi="Book Antiqua" w:cs="Arial"/>
          <w:sz w:val="24"/>
          <w:szCs w:val="24"/>
          <w:lang w:val="en-US"/>
        </w:rPr>
        <w:t xml:space="preserve">0.41 </w:t>
      </w:r>
      <w:r w:rsidRPr="00326BD4">
        <w:rPr>
          <w:rFonts w:ascii="Book Antiqua" w:hAnsi="Book Antiqua" w:cs="Arial"/>
          <w:i/>
          <w:caps/>
          <w:sz w:val="24"/>
          <w:szCs w:val="24"/>
          <w:lang w:val="en-US"/>
        </w:rPr>
        <w:t>p</w:t>
      </w:r>
      <w:r w:rsidRPr="00BA60F0">
        <w:rPr>
          <w:rFonts w:ascii="Book Antiqua" w:hAnsi="Book Antiqua" w:cs="Arial"/>
          <w:sz w:val="24"/>
          <w:szCs w:val="24"/>
          <w:lang w:val="en-US"/>
        </w:rPr>
        <w:t xml:space="preserve"> &lt;</w:t>
      </w:r>
      <w:r w:rsidR="00326BD4">
        <w:rPr>
          <w:rFonts w:ascii="Book Antiqua" w:hAnsi="Book Antiqua" w:cs="Arial" w:hint="eastAsia"/>
          <w:sz w:val="24"/>
          <w:szCs w:val="24"/>
          <w:lang w:val="en-US" w:eastAsia="zh-CN"/>
        </w:rPr>
        <w:t xml:space="preserve"> </w:t>
      </w:r>
      <w:r w:rsidRPr="00BA60F0">
        <w:rPr>
          <w:rFonts w:ascii="Book Antiqua" w:hAnsi="Book Antiqua" w:cs="Arial"/>
          <w:sz w:val="24"/>
          <w:szCs w:val="24"/>
          <w:lang w:val="en-US"/>
        </w:rPr>
        <w:t>0.0001). OS data have not yet been reported. Regorafenib therapy was well tolerated, and there were no new safety signals</w:t>
      </w:r>
      <w:r w:rsidRPr="00BA60F0">
        <w:rPr>
          <w:rFonts w:ascii="Book Antiqua" w:hAnsi="Book Antiqua" w:cs="Arial"/>
          <w:sz w:val="24"/>
          <w:szCs w:val="24"/>
          <w:vertAlign w:val="superscript"/>
          <w:lang w:val="en-US"/>
        </w:rPr>
        <w:t>[74]</w:t>
      </w:r>
      <w:r w:rsidRPr="00BA60F0">
        <w:rPr>
          <w:rFonts w:ascii="Book Antiqua" w:hAnsi="Book Antiqua" w:cs="Arial"/>
          <w:sz w:val="24"/>
          <w:szCs w:val="24"/>
          <w:lang w:val="en-US"/>
        </w:rPr>
        <w:t>.</w:t>
      </w:r>
    </w:p>
    <w:p w:rsidR="006A7B58" w:rsidRPr="00BA60F0" w:rsidRDefault="006A7B58" w:rsidP="00746849">
      <w:pPr>
        <w:adjustRightInd w:val="0"/>
        <w:snapToGrid w:val="0"/>
        <w:spacing w:after="0" w:line="360" w:lineRule="auto"/>
        <w:ind w:firstLine="708"/>
        <w:jc w:val="both"/>
        <w:rPr>
          <w:rFonts w:ascii="Book Antiqua" w:hAnsi="Book Antiqua" w:cs="Arial"/>
          <w:sz w:val="24"/>
          <w:szCs w:val="24"/>
          <w:lang w:val="en-US"/>
        </w:rPr>
      </w:pPr>
      <w:r w:rsidRPr="00BA60F0">
        <w:rPr>
          <w:rFonts w:ascii="Book Antiqua" w:hAnsi="Book Antiqua" w:cs="Arial"/>
          <w:sz w:val="24"/>
          <w:szCs w:val="24"/>
          <w:lang w:val="en-US"/>
        </w:rPr>
        <w:t>Lapatinib, a EGFR1-2 TKI, did not show survival benefit in first-line therapy when combined with capecitabine plus oxaliplatin in HER2-positive advanced or metastatic gastric and esophageal adenocarcinomas in the TRIO-013/LOGiC trial</w:t>
      </w:r>
      <w:r w:rsidRPr="00BA60F0">
        <w:rPr>
          <w:rFonts w:ascii="Book Antiqua" w:hAnsi="Book Antiqua" w:cs="Arial"/>
          <w:sz w:val="24"/>
          <w:szCs w:val="24"/>
          <w:vertAlign w:val="superscript"/>
          <w:lang w:val="en-US"/>
        </w:rPr>
        <w:t>[75]</w:t>
      </w:r>
      <w:r w:rsidRPr="00BA60F0">
        <w:rPr>
          <w:rFonts w:ascii="Book Antiqua" w:hAnsi="Book Antiqua" w:cs="Arial"/>
          <w:sz w:val="24"/>
          <w:szCs w:val="24"/>
          <w:lang w:val="en-US"/>
        </w:rPr>
        <w:t>. Lapatinib was also studied in a phase III randomized (TyTAN) study in second-line treatment for an Asian population</w:t>
      </w:r>
      <w:r w:rsidRPr="00BA60F0">
        <w:rPr>
          <w:rFonts w:ascii="Book Antiqua" w:hAnsi="Book Antiqua" w:cs="Arial"/>
          <w:sz w:val="24"/>
          <w:szCs w:val="24"/>
          <w:vertAlign w:val="superscript"/>
          <w:lang w:val="en-US"/>
        </w:rPr>
        <w:t>[76]</w:t>
      </w:r>
      <w:r w:rsidRPr="00BA60F0">
        <w:rPr>
          <w:rFonts w:ascii="Book Antiqua" w:hAnsi="Book Antiqua" w:cs="Arial"/>
          <w:sz w:val="24"/>
          <w:szCs w:val="24"/>
          <w:lang w:val="en-US"/>
        </w:rPr>
        <w:t>. Patients deemed HER2-positive by FISH (</w:t>
      </w:r>
      <w:r w:rsidR="00326BD4" w:rsidRPr="00326BD4">
        <w:rPr>
          <w:rFonts w:ascii="Book Antiqua" w:hAnsi="Book Antiqua" w:cs="Arial"/>
          <w:i/>
          <w:sz w:val="24"/>
          <w:szCs w:val="24"/>
          <w:lang w:val="en-US"/>
        </w:rPr>
        <w:t xml:space="preserve">n = </w:t>
      </w:r>
      <w:r w:rsidRPr="00BA60F0">
        <w:rPr>
          <w:rFonts w:ascii="Book Antiqua" w:hAnsi="Book Antiqua" w:cs="Arial"/>
          <w:sz w:val="24"/>
          <w:szCs w:val="24"/>
          <w:lang w:val="en-US"/>
        </w:rPr>
        <w:t>420) were either randomized to receive lapatinib (1500 mg once daily) plus paclitaxel (80 mg/m</w:t>
      </w:r>
      <w:r w:rsidRPr="00BA60F0">
        <w:rPr>
          <w:rFonts w:ascii="Book Antiqua" w:hAnsi="Book Antiqua" w:cs="Arial"/>
          <w:sz w:val="24"/>
          <w:szCs w:val="24"/>
          <w:vertAlign w:val="superscript"/>
          <w:lang w:val="en-US"/>
        </w:rPr>
        <w:t>2</w:t>
      </w:r>
      <w:r w:rsidR="00326BD4">
        <w:rPr>
          <w:rFonts w:ascii="Book Antiqua" w:hAnsi="Book Antiqua" w:cs="Arial"/>
          <w:sz w:val="24"/>
          <w:szCs w:val="24"/>
          <w:lang w:val="en-US"/>
        </w:rPr>
        <w:t xml:space="preserve"> on days 1,8,15 every 4 wk</w:t>
      </w:r>
      <w:r w:rsidRPr="00BA60F0">
        <w:rPr>
          <w:rFonts w:ascii="Book Antiqua" w:hAnsi="Book Antiqua" w:cs="Arial"/>
          <w:sz w:val="24"/>
          <w:szCs w:val="24"/>
          <w:lang w:val="en-US"/>
        </w:rPr>
        <w:t xml:space="preserve">) or paclitaxel alone. In the intent-to-treat (ITT) population, the median OS was improved in the experimental arm from 8.9 to 11 mo (HR </w:t>
      </w:r>
      <w:r w:rsidR="00326BD4">
        <w:rPr>
          <w:rFonts w:ascii="Book Antiqua" w:hAnsi="Book Antiqua" w:cs="Arial" w:hint="eastAsia"/>
          <w:sz w:val="24"/>
          <w:szCs w:val="24"/>
          <w:lang w:val="en-US" w:eastAsia="zh-CN"/>
        </w:rPr>
        <w:t xml:space="preserve">= </w:t>
      </w:r>
      <w:r w:rsidRPr="00BA60F0">
        <w:rPr>
          <w:rFonts w:ascii="Book Antiqua" w:hAnsi="Book Antiqua" w:cs="Arial"/>
          <w:sz w:val="24"/>
          <w:szCs w:val="24"/>
          <w:lang w:val="en-US"/>
        </w:rPr>
        <w:t xml:space="preserve">0.84; </w:t>
      </w:r>
      <w:r w:rsidR="007952D5" w:rsidRPr="007952D5">
        <w:rPr>
          <w:rFonts w:ascii="Book Antiqua" w:hAnsi="Book Antiqua" w:cs="Arial"/>
          <w:i/>
          <w:caps/>
          <w:sz w:val="24"/>
          <w:szCs w:val="24"/>
          <w:lang w:val="en-US"/>
        </w:rPr>
        <w:t xml:space="preserve">p = </w:t>
      </w:r>
      <w:r w:rsidRPr="00BA60F0">
        <w:rPr>
          <w:rFonts w:ascii="Book Antiqua" w:hAnsi="Book Antiqua" w:cs="Arial"/>
          <w:sz w:val="24"/>
          <w:szCs w:val="24"/>
          <w:lang w:val="en-US"/>
        </w:rPr>
        <w:t xml:space="preserve">0.2088). There was no significant difference in the median PFS (5.4 </w:t>
      </w:r>
      <w:r w:rsidRPr="00326BD4">
        <w:rPr>
          <w:rFonts w:ascii="Book Antiqua" w:hAnsi="Book Antiqua" w:cs="Arial"/>
          <w:i/>
          <w:sz w:val="24"/>
          <w:szCs w:val="24"/>
          <w:lang w:val="en-US"/>
        </w:rPr>
        <w:t>v</w:t>
      </w:r>
      <w:r w:rsidR="00326BD4" w:rsidRPr="00326BD4">
        <w:rPr>
          <w:rFonts w:ascii="Book Antiqua" w:hAnsi="Book Antiqua" w:cs="Arial" w:hint="eastAsia"/>
          <w:i/>
          <w:sz w:val="24"/>
          <w:szCs w:val="24"/>
          <w:lang w:val="en-US" w:eastAsia="zh-CN"/>
        </w:rPr>
        <w:t>s</w:t>
      </w:r>
      <w:r w:rsidRPr="00BA60F0">
        <w:rPr>
          <w:rFonts w:ascii="Book Antiqua" w:hAnsi="Book Antiqua" w:cs="Arial"/>
          <w:sz w:val="24"/>
          <w:szCs w:val="24"/>
          <w:lang w:val="en-US"/>
        </w:rPr>
        <w:t xml:space="preserve"> 4.4 mo) or TTP (5.5 </w:t>
      </w:r>
      <w:r w:rsidR="00326BD4" w:rsidRPr="00326BD4">
        <w:rPr>
          <w:rFonts w:ascii="Book Antiqua" w:hAnsi="Book Antiqua" w:cs="Arial"/>
          <w:i/>
          <w:sz w:val="24"/>
          <w:szCs w:val="24"/>
          <w:lang w:val="en-US"/>
        </w:rPr>
        <w:t>v</w:t>
      </w:r>
      <w:r w:rsidR="00326BD4" w:rsidRPr="00326BD4">
        <w:rPr>
          <w:rFonts w:ascii="Book Antiqua" w:hAnsi="Book Antiqua" w:cs="Arial" w:hint="eastAsia"/>
          <w:i/>
          <w:sz w:val="24"/>
          <w:szCs w:val="24"/>
          <w:lang w:val="en-US" w:eastAsia="zh-CN"/>
        </w:rPr>
        <w:t>s</w:t>
      </w:r>
      <w:r w:rsidRPr="00BA60F0">
        <w:rPr>
          <w:rFonts w:ascii="Book Antiqua" w:hAnsi="Book Antiqua" w:cs="Arial"/>
          <w:sz w:val="24"/>
          <w:szCs w:val="24"/>
          <w:lang w:val="en-US"/>
        </w:rPr>
        <w:t xml:space="preserve"> 4.4 mo). Around one-third of patients had tumors with no HER2 expression (0/1+) according to immunohistochemistry (IHC) in both arms. Pre-planned subgroup analysis showed a significant OS benefit in patients with IHC 3+ expression treated with lapatinib (14 mo) compared to those treated with paclitaxel alone (7.6 mo, HR = 0.59; </w:t>
      </w:r>
      <w:r w:rsidRPr="00326BD4">
        <w:rPr>
          <w:rFonts w:ascii="Book Antiqua" w:hAnsi="Book Antiqua" w:cs="Arial"/>
          <w:i/>
          <w:caps/>
          <w:sz w:val="24"/>
          <w:szCs w:val="24"/>
          <w:lang w:val="en-US"/>
        </w:rPr>
        <w:t>p</w:t>
      </w:r>
      <w:r w:rsidRPr="00BA60F0">
        <w:rPr>
          <w:rFonts w:ascii="Book Antiqua" w:hAnsi="Book Antiqua" w:cs="Arial"/>
          <w:sz w:val="24"/>
          <w:szCs w:val="24"/>
          <w:lang w:val="en-US"/>
        </w:rPr>
        <w:t xml:space="preserve"> = 0.0176)</w:t>
      </w:r>
      <w:r w:rsidRPr="00BA60F0">
        <w:rPr>
          <w:rFonts w:ascii="Book Antiqua" w:hAnsi="Book Antiqua" w:cs="Arial"/>
          <w:sz w:val="24"/>
          <w:szCs w:val="24"/>
          <w:vertAlign w:val="superscript"/>
          <w:lang w:val="en-US"/>
        </w:rPr>
        <w:t>[76]</w:t>
      </w:r>
      <w:r w:rsidRPr="00BA60F0">
        <w:rPr>
          <w:rFonts w:ascii="Book Antiqua" w:hAnsi="Book Antiqua" w:cs="Arial"/>
          <w:sz w:val="24"/>
          <w:szCs w:val="24"/>
          <w:lang w:val="en-US"/>
        </w:rPr>
        <w:t xml:space="preserve">. </w:t>
      </w:r>
    </w:p>
    <w:p w:rsidR="006A7B58" w:rsidRPr="00BA60F0" w:rsidRDefault="006A7B58" w:rsidP="00746849">
      <w:pPr>
        <w:adjustRightInd w:val="0"/>
        <w:snapToGrid w:val="0"/>
        <w:spacing w:after="0" w:line="360" w:lineRule="auto"/>
        <w:ind w:firstLine="708"/>
        <w:jc w:val="both"/>
        <w:rPr>
          <w:rFonts w:ascii="Book Antiqua" w:hAnsi="Book Antiqua" w:cs="Arial"/>
          <w:sz w:val="24"/>
          <w:szCs w:val="24"/>
          <w:lang w:val="en-US"/>
        </w:rPr>
      </w:pPr>
      <w:r w:rsidRPr="00BA60F0">
        <w:rPr>
          <w:rFonts w:ascii="Book Antiqua" w:hAnsi="Book Antiqua" w:cs="Arial"/>
          <w:sz w:val="24"/>
          <w:szCs w:val="24"/>
          <w:lang w:val="en-US"/>
        </w:rPr>
        <w:t xml:space="preserve">Gefitinib, an EGFR1 TKI, was investigated in the second-line treatment of metastatic esophageal cancer or type I/II Siewert junctional tumors in a phase III randomized trial (COG study). Approximately 450 patients with a squamous-cell carcinoma or adenocarcinoma with WHO PS 0–2 were randomly assigned to receive gefitinib 500 mg/d or placebo. Gefitinib resulted in a statistically significant improvement of PFS (HR </w:t>
      </w:r>
      <w:r w:rsidR="00326BD4">
        <w:rPr>
          <w:rFonts w:ascii="Book Antiqua" w:hAnsi="Book Antiqua" w:cs="Arial" w:hint="eastAsia"/>
          <w:sz w:val="24"/>
          <w:szCs w:val="24"/>
          <w:lang w:val="en-US" w:eastAsia="zh-CN"/>
        </w:rPr>
        <w:t xml:space="preserve">= </w:t>
      </w:r>
      <w:r w:rsidRPr="00BA60F0">
        <w:rPr>
          <w:rFonts w:ascii="Book Antiqua" w:hAnsi="Book Antiqua" w:cs="Arial"/>
          <w:sz w:val="24"/>
          <w:szCs w:val="24"/>
          <w:lang w:val="en-US"/>
        </w:rPr>
        <w:t xml:space="preserve">0.8), but not OS (3.73 </w:t>
      </w:r>
      <w:r w:rsidR="007952D5" w:rsidRPr="007952D5">
        <w:rPr>
          <w:rFonts w:ascii="Book Antiqua" w:hAnsi="Book Antiqua" w:cs="Arial"/>
          <w:i/>
          <w:sz w:val="24"/>
          <w:szCs w:val="24"/>
          <w:lang w:val="en-US"/>
        </w:rPr>
        <w:t>vs</w:t>
      </w:r>
      <w:r w:rsidRPr="00BA60F0">
        <w:rPr>
          <w:rFonts w:ascii="Book Antiqua" w:hAnsi="Book Antiqua" w:cs="Arial"/>
          <w:sz w:val="24"/>
          <w:szCs w:val="24"/>
          <w:lang w:val="en-US"/>
        </w:rPr>
        <w:t xml:space="preserve"> 3.67 mo, HR </w:t>
      </w:r>
      <w:r w:rsidR="00326BD4">
        <w:rPr>
          <w:rFonts w:ascii="Book Antiqua" w:hAnsi="Book Antiqua" w:cs="Arial" w:hint="eastAsia"/>
          <w:sz w:val="24"/>
          <w:szCs w:val="24"/>
          <w:lang w:val="en-US" w:eastAsia="zh-CN"/>
        </w:rPr>
        <w:t xml:space="preserve">= </w:t>
      </w:r>
      <w:r w:rsidRPr="00BA60F0">
        <w:rPr>
          <w:rFonts w:ascii="Book Antiqua" w:hAnsi="Book Antiqua" w:cs="Arial"/>
          <w:sz w:val="24"/>
          <w:szCs w:val="24"/>
          <w:lang w:val="en-US"/>
        </w:rPr>
        <w:t xml:space="preserve">0.90, </w:t>
      </w:r>
      <w:r w:rsidR="007952D5" w:rsidRPr="007952D5">
        <w:rPr>
          <w:rFonts w:ascii="Book Antiqua" w:hAnsi="Book Antiqua" w:cs="Arial"/>
          <w:i/>
          <w:caps/>
          <w:sz w:val="24"/>
          <w:szCs w:val="24"/>
          <w:lang w:val="en-US"/>
        </w:rPr>
        <w:t xml:space="preserve">p = </w:t>
      </w:r>
      <w:r w:rsidRPr="00BA60F0">
        <w:rPr>
          <w:rFonts w:ascii="Book Antiqua" w:hAnsi="Book Antiqua" w:cs="Arial"/>
          <w:sz w:val="24"/>
          <w:szCs w:val="24"/>
          <w:lang w:val="en-US"/>
        </w:rPr>
        <w:t>0.29)</w:t>
      </w:r>
      <w:r w:rsidRPr="00BA60F0">
        <w:rPr>
          <w:rFonts w:ascii="Book Antiqua" w:hAnsi="Book Antiqua" w:cs="Arial"/>
          <w:sz w:val="24"/>
          <w:szCs w:val="24"/>
          <w:vertAlign w:val="superscript"/>
          <w:lang w:val="en-US"/>
        </w:rPr>
        <w:t>[77]</w:t>
      </w:r>
      <w:r w:rsidRPr="00BA60F0">
        <w:rPr>
          <w:rFonts w:ascii="Book Antiqua" w:hAnsi="Book Antiqua" w:cs="Arial"/>
          <w:sz w:val="24"/>
          <w:szCs w:val="24"/>
          <w:lang w:val="en-US"/>
        </w:rPr>
        <w:t>.</w:t>
      </w:r>
    </w:p>
    <w:p w:rsidR="006A7B58" w:rsidRDefault="006A7B58" w:rsidP="00746849">
      <w:pPr>
        <w:adjustRightInd w:val="0"/>
        <w:snapToGrid w:val="0"/>
        <w:spacing w:after="0" w:line="360" w:lineRule="auto"/>
        <w:ind w:firstLine="708"/>
        <w:jc w:val="both"/>
        <w:rPr>
          <w:rFonts w:ascii="Book Antiqua" w:hAnsi="Book Antiqua" w:cs="Arial"/>
          <w:sz w:val="24"/>
          <w:szCs w:val="24"/>
          <w:lang w:val="en-US" w:eastAsia="zh-CN"/>
        </w:rPr>
      </w:pPr>
      <w:r w:rsidRPr="00BA60F0">
        <w:rPr>
          <w:rFonts w:ascii="Book Antiqua" w:hAnsi="Book Antiqua" w:cs="Arial"/>
          <w:sz w:val="24"/>
          <w:szCs w:val="24"/>
          <w:lang w:val="en-US"/>
        </w:rPr>
        <w:t xml:space="preserve">Everolimus is an oral mammalian target of rapamycin (mTOR) inhibitor. Everolimus was studied in a phase III randomized study (GRANITE-I) in metastatic gastric cancer patients progressing after one or two lines of previous systemic chemotherapy. A total of 656 patients </w:t>
      </w:r>
      <w:r w:rsidRPr="00BA60F0">
        <w:rPr>
          <w:rFonts w:ascii="Book Antiqua" w:hAnsi="Book Antiqua" w:cs="Arial"/>
          <w:sz w:val="24"/>
          <w:szCs w:val="24"/>
          <w:lang w:val="en-US"/>
        </w:rPr>
        <w:lastRenderedPageBreak/>
        <w:t>were randomized in a 2:1 fashion to everolimus plus BSC (</w:t>
      </w:r>
      <w:r w:rsidR="00326BD4" w:rsidRPr="00326BD4">
        <w:rPr>
          <w:rFonts w:ascii="Book Antiqua" w:hAnsi="Book Antiqua" w:cs="Arial"/>
          <w:i/>
          <w:sz w:val="24"/>
          <w:szCs w:val="24"/>
          <w:lang w:val="en-US"/>
        </w:rPr>
        <w:t xml:space="preserve">n = </w:t>
      </w:r>
      <w:r w:rsidRPr="00BA60F0">
        <w:rPr>
          <w:rFonts w:ascii="Book Antiqua" w:hAnsi="Book Antiqua" w:cs="Arial"/>
          <w:sz w:val="24"/>
          <w:szCs w:val="24"/>
          <w:lang w:val="en-US"/>
        </w:rPr>
        <w:t>439) or placebo plus BSC (</w:t>
      </w:r>
      <w:r w:rsidR="00326BD4" w:rsidRPr="00326BD4">
        <w:rPr>
          <w:rFonts w:ascii="Book Antiqua" w:hAnsi="Book Antiqua" w:cs="Arial"/>
          <w:i/>
          <w:sz w:val="24"/>
          <w:szCs w:val="24"/>
          <w:lang w:val="en-US"/>
        </w:rPr>
        <w:t xml:space="preserve">n = </w:t>
      </w:r>
      <w:r w:rsidRPr="00BA60F0">
        <w:rPr>
          <w:rFonts w:ascii="Book Antiqua" w:hAnsi="Book Antiqua" w:cs="Arial"/>
          <w:sz w:val="24"/>
          <w:szCs w:val="24"/>
          <w:lang w:val="en-US"/>
        </w:rPr>
        <w:t xml:space="preserve">217). In both arms, 48% of patients had received one previous therapy and 52% had received two previous therapies. Compared with BSC, everolimus did not significantly improve survival (median OS - 5.4 </w:t>
      </w:r>
      <w:r w:rsidR="007952D5" w:rsidRPr="007952D5">
        <w:rPr>
          <w:rFonts w:ascii="Book Antiqua" w:hAnsi="Book Antiqua" w:cs="Arial"/>
          <w:i/>
          <w:sz w:val="24"/>
          <w:szCs w:val="24"/>
          <w:lang w:val="en-US"/>
        </w:rPr>
        <w:t>vs</w:t>
      </w:r>
      <w:r w:rsidRPr="00BA60F0">
        <w:rPr>
          <w:rFonts w:ascii="Book Antiqua" w:hAnsi="Book Antiqua" w:cs="Arial"/>
          <w:sz w:val="24"/>
          <w:szCs w:val="24"/>
          <w:lang w:val="en-US"/>
        </w:rPr>
        <w:t xml:space="preserve"> 4.3 mo. HR </w:t>
      </w:r>
      <w:r w:rsidR="00326BD4">
        <w:rPr>
          <w:rFonts w:ascii="Book Antiqua" w:hAnsi="Book Antiqua" w:cs="Arial" w:hint="eastAsia"/>
          <w:sz w:val="24"/>
          <w:szCs w:val="24"/>
          <w:lang w:val="en-US" w:eastAsia="zh-CN"/>
        </w:rPr>
        <w:t xml:space="preserve">= </w:t>
      </w:r>
      <w:r w:rsidRPr="00BA60F0">
        <w:rPr>
          <w:rFonts w:ascii="Book Antiqua" w:hAnsi="Book Antiqua" w:cs="Arial"/>
          <w:sz w:val="24"/>
          <w:szCs w:val="24"/>
          <w:lang w:val="en-US"/>
        </w:rPr>
        <w:t xml:space="preserve">0.90, </w:t>
      </w:r>
      <w:r w:rsidR="007952D5" w:rsidRPr="007952D5">
        <w:rPr>
          <w:rFonts w:ascii="Book Antiqua" w:hAnsi="Book Antiqua" w:cs="Arial"/>
          <w:i/>
          <w:caps/>
          <w:sz w:val="24"/>
          <w:szCs w:val="24"/>
          <w:lang w:val="en-US"/>
        </w:rPr>
        <w:t xml:space="preserve">p = </w:t>
      </w:r>
      <w:r w:rsidRPr="00BA60F0">
        <w:rPr>
          <w:rFonts w:ascii="Book Antiqua" w:hAnsi="Book Antiqua" w:cs="Arial"/>
          <w:sz w:val="24"/>
          <w:szCs w:val="24"/>
          <w:lang w:val="en-US"/>
        </w:rPr>
        <w:t>0.124)</w:t>
      </w:r>
      <w:r w:rsidRPr="00BA60F0">
        <w:rPr>
          <w:rFonts w:ascii="Book Antiqua" w:hAnsi="Book Antiqua" w:cs="Arial"/>
          <w:sz w:val="24"/>
          <w:szCs w:val="24"/>
          <w:vertAlign w:val="superscript"/>
          <w:lang w:val="en-US"/>
        </w:rPr>
        <w:t>[78]</w:t>
      </w:r>
      <w:r w:rsidRPr="00BA60F0">
        <w:rPr>
          <w:rFonts w:ascii="Book Antiqua" w:hAnsi="Book Antiqua" w:cs="Arial"/>
          <w:sz w:val="24"/>
          <w:szCs w:val="24"/>
          <w:lang w:val="en-US"/>
        </w:rPr>
        <w:t xml:space="preserve">. </w:t>
      </w:r>
    </w:p>
    <w:p w:rsidR="00326BD4" w:rsidRPr="00BA60F0" w:rsidRDefault="00326BD4" w:rsidP="00746849">
      <w:pPr>
        <w:adjustRightInd w:val="0"/>
        <w:snapToGrid w:val="0"/>
        <w:spacing w:after="0" w:line="360" w:lineRule="auto"/>
        <w:ind w:firstLine="708"/>
        <w:jc w:val="both"/>
        <w:rPr>
          <w:rFonts w:ascii="Book Antiqua" w:hAnsi="Book Antiqua" w:cs="Arial"/>
          <w:sz w:val="24"/>
          <w:szCs w:val="24"/>
          <w:lang w:val="en-US" w:eastAsia="zh-CN"/>
        </w:rPr>
      </w:pPr>
    </w:p>
    <w:p w:rsidR="006A7B58" w:rsidRPr="00BA60F0" w:rsidRDefault="006A7B58" w:rsidP="00746849">
      <w:pPr>
        <w:adjustRightInd w:val="0"/>
        <w:snapToGrid w:val="0"/>
        <w:spacing w:after="0" w:line="360" w:lineRule="auto"/>
        <w:jc w:val="both"/>
        <w:rPr>
          <w:rFonts w:ascii="Book Antiqua" w:hAnsi="Book Antiqua" w:cs="Arial"/>
          <w:sz w:val="24"/>
          <w:szCs w:val="24"/>
          <w:lang w:val="en-US"/>
        </w:rPr>
      </w:pPr>
      <w:r w:rsidRPr="00BA60F0">
        <w:rPr>
          <w:rFonts w:ascii="Book Antiqua" w:hAnsi="Book Antiqua" w:cs="Arial"/>
          <w:b/>
          <w:sz w:val="24"/>
          <w:szCs w:val="24"/>
          <w:lang w:val="en-US"/>
        </w:rPr>
        <w:t>FUTURE DIRECTIONS</w:t>
      </w:r>
    </w:p>
    <w:p w:rsidR="006A7B58" w:rsidRPr="00BA60F0" w:rsidRDefault="006A7B58" w:rsidP="00746849">
      <w:pPr>
        <w:adjustRightInd w:val="0"/>
        <w:snapToGrid w:val="0"/>
        <w:spacing w:after="0" w:line="360" w:lineRule="auto"/>
        <w:jc w:val="both"/>
        <w:rPr>
          <w:rFonts w:ascii="Book Antiqua" w:hAnsi="Book Antiqua" w:cs="Arial"/>
          <w:sz w:val="24"/>
          <w:szCs w:val="24"/>
          <w:lang w:val="en-US"/>
        </w:rPr>
      </w:pPr>
      <w:r w:rsidRPr="00BA60F0">
        <w:rPr>
          <w:rFonts w:ascii="Book Antiqua" w:hAnsi="Book Antiqua" w:cs="Arial"/>
          <w:sz w:val="24"/>
          <w:szCs w:val="24"/>
          <w:lang w:val="en-US"/>
        </w:rPr>
        <w:t xml:space="preserve">In the second-line treatment of metastatic gastric cancer, factors such as hepatocyte growth factor receptor (c-Met), fibroblast growth factor receptor (FGFR), epithelial cell adhesion molecule (EpCAM), insulin-like growth factor receptor 1 (IGF-1R), phosphatidylinositol 3-kinases (PI3K), cyclin dependent kinases (CDK), mitogen-activated protein kinases (MAPK), immune checkpoints (PD-1 and PD-L1), matrix metalloproteinases, proteasomes, histone deacetylases, chaperone proteins, and other molecular structures are under evaluation. Novel drugs directed against those specific targets are under clinical investigation. </w:t>
      </w:r>
    </w:p>
    <w:p w:rsidR="006A7B58" w:rsidRPr="00BA60F0" w:rsidRDefault="006A7B58" w:rsidP="00746849">
      <w:pPr>
        <w:adjustRightInd w:val="0"/>
        <w:snapToGrid w:val="0"/>
        <w:spacing w:after="0" w:line="360" w:lineRule="auto"/>
        <w:ind w:firstLine="708"/>
        <w:jc w:val="both"/>
        <w:rPr>
          <w:rFonts w:ascii="Book Antiqua" w:hAnsi="Book Antiqua" w:cs="Arial"/>
          <w:sz w:val="24"/>
          <w:szCs w:val="24"/>
          <w:lang w:val="en-US"/>
        </w:rPr>
      </w:pPr>
      <w:r w:rsidRPr="00BA60F0">
        <w:rPr>
          <w:rFonts w:ascii="Book Antiqua" w:hAnsi="Book Antiqua" w:cs="Arial"/>
          <w:sz w:val="24"/>
          <w:szCs w:val="24"/>
          <w:lang w:val="en-US"/>
        </w:rPr>
        <w:t>Preclinical data suggest that the hepatocyte growth factor (HGF)/MET pathway may represent a therapeutic target for gastric adenocarcinoma</w:t>
      </w:r>
      <w:r w:rsidRPr="00BA60F0">
        <w:rPr>
          <w:rFonts w:ascii="Book Antiqua" w:hAnsi="Book Antiqua" w:cs="Arial"/>
          <w:sz w:val="24"/>
          <w:szCs w:val="24"/>
          <w:vertAlign w:val="superscript"/>
          <w:lang w:val="en-US"/>
        </w:rPr>
        <w:t>[79,80]</w:t>
      </w:r>
      <w:r w:rsidRPr="00BA60F0">
        <w:rPr>
          <w:rFonts w:ascii="Book Antiqua" w:hAnsi="Book Antiqua" w:cs="Arial"/>
          <w:sz w:val="24"/>
          <w:szCs w:val="24"/>
          <w:lang w:val="en-US"/>
        </w:rPr>
        <w:t>. The expression of receptors to HGF is found in up to 74% of cases of gastric adenocarcinoma. However, mutations in the c-Met gene are found in 10% of cases, and gene amplification is found in 2</w:t>
      </w:r>
      <w:r w:rsidR="00326BD4">
        <w:rPr>
          <w:rFonts w:ascii="Book Antiqua" w:hAnsi="Book Antiqua" w:cs="Arial" w:hint="eastAsia"/>
          <w:sz w:val="24"/>
          <w:szCs w:val="24"/>
          <w:lang w:val="en-US" w:eastAsia="zh-CN"/>
        </w:rPr>
        <w:t>%</w:t>
      </w:r>
      <w:r w:rsidRPr="00BA60F0">
        <w:rPr>
          <w:rFonts w:ascii="Book Antiqua" w:hAnsi="Book Antiqua" w:cs="Arial"/>
          <w:sz w:val="24"/>
          <w:szCs w:val="24"/>
          <w:lang w:val="en-US"/>
        </w:rPr>
        <w:t>-23% of gastric tumors</w:t>
      </w:r>
      <w:r w:rsidRPr="00BA60F0">
        <w:rPr>
          <w:rFonts w:ascii="Book Antiqua" w:hAnsi="Book Antiqua" w:cs="Arial"/>
          <w:sz w:val="24"/>
          <w:szCs w:val="24"/>
          <w:vertAlign w:val="superscript"/>
          <w:lang w:val="en-US"/>
        </w:rPr>
        <w:t>[81-85]</w:t>
      </w:r>
      <w:r w:rsidRPr="00BA60F0">
        <w:rPr>
          <w:rFonts w:ascii="Book Antiqua" w:hAnsi="Book Antiqua" w:cs="Arial"/>
          <w:sz w:val="24"/>
          <w:szCs w:val="24"/>
          <w:lang w:val="en-US"/>
        </w:rPr>
        <w:t>. C-Met overexpression has been associated with poor prognosis. Signals sent from the HGF receptor activate a wide range of cellular signaling pathways, which promote proliferation, migration and survival. This has made c-Met a potential therapeutic target. The c-Met inhibitors crizotinib and foretinib did not show significant activity in c-Met gene-amplified gastric cancer</w:t>
      </w:r>
      <w:r w:rsidRPr="00BA60F0">
        <w:rPr>
          <w:rFonts w:ascii="Book Antiqua" w:hAnsi="Book Antiqua" w:cs="Arial"/>
          <w:sz w:val="24"/>
          <w:szCs w:val="24"/>
          <w:vertAlign w:val="superscript"/>
          <w:lang w:val="en-US"/>
        </w:rPr>
        <w:t>[84,86]</w:t>
      </w:r>
      <w:r w:rsidRPr="00BA60F0">
        <w:rPr>
          <w:rFonts w:ascii="Book Antiqua" w:hAnsi="Book Antiqua" w:cs="Arial"/>
          <w:sz w:val="24"/>
          <w:szCs w:val="24"/>
          <w:lang w:val="en-US"/>
        </w:rPr>
        <w:t>. However, monoclonal antibodies to c-Met, including rilotumumab and onartuzumab, are being actively studied in phase III studies</w:t>
      </w:r>
      <w:r w:rsidRPr="00BA60F0">
        <w:rPr>
          <w:rFonts w:ascii="Book Antiqua" w:hAnsi="Book Antiqua" w:cs="Arial"/>
          <w:sz w:val="24"/>
          <w:szCs w:val="24"/>
          <w:vertAlign w:val="superscript"/>
          <w:lang w:val="en-US"/>
        </w:rPr>
        <w:t>[87,88]</w:t>
      </w:r>
      <w:r w:rsidRPr="00BA60F0">
        <w:rPr>
          <w:rFonts w:ascii="Book Antiqua" w:hAnsi="Book Antiqua" w:cs="Arial"/>
          <w:sz w:val="24"/>
          <w:szCs w:val="24"/>
          <w:lang w:val="en-US"/>
        </w:rPr>
        <w:t xml:space="preserve"> in the first-line treatment of metastatic gastric cancer. Rilotumumab showed promising results in a randomized phase II placebo-controlled study. Approximately 121 patients with metastatic gastric cancer receiving first-line therapy with epirubicin, cisplatin and capecitabine (ECX) were randomly assigned to receive rilotumumab or placebo (40 to rilotumumab 15 mg/kg; 42 to rilotumumab 7.5 mg/kg; 39 to placebo). ECX plus rilotumumab significantly reduced the risk of disease progression compared with placebo (HR </w:t>
      </w:r>
      <w:r w:rsidR="00326BD4">
        <w:rPr>
          <w:rFonts w:ascii="Book Antiqua" w:hAnsi="Book Antiqua" w:cs="Arial" w:hint="eastAsia"/>
          <w:sz w:val="24"/>
          <w:szCs w:val="24"/>
          <w:lang w:val="en-US" w:eastAsia="zh-CN"/>
        </w:rPr>
        <w:t xml:space="preserve">= </w:t>
      </w:r>
      <w:r w:rsidRPr="00BA60F0">
        <w:rPr>
          <w:rFonts w:ascii="Book Antiqua" w:hAnsi="Book Antiqua" w:cs="Arial"/>
          <w:sz w:val="24"/>
          <w:szCs w:val="24"/>
          <w:lang w:val="en-US"/>
        </w:rPr>
        <w:t xml:space="preserve">0.6, </w:t>
      </w:r>
      <w:r w:rsidR="007952D5" w:rsidRPr="007952D5">
        <w:rPr>
          <w:rFonts w:ascii="Book Antiqua" w:hAnsi="Book Antiqua" w:cs="Arial"/>
          <w:i/>
          <w:caps/>
          <w:sz w:val="24"/>
          <w:szCs w:val="24"/>
          <w:lang w:val="en-US"/>
        </w:rPr>
        <w:t xml:space="preserve">p = </w:t>
      </w:r>
      <w:r w:rsidRPr="00BA60F0">
        <w:rPr>
          <w:rFonts w:ascii="Book Antiqua" w:hAnsi="Book Antiqua" w:cs="Arial"/>
          <w:sz w:val="24"/>
          <w:szCs w:val="24"/>
          <w:lang w:val="en-US"/>
        </w:rPr>
        <w:t>0.016). However, there was no significant difference in overall survival. It should be noted that only 56% of the patients included in the study had a tumor expressing the c-Met gene</w:t>
      </w:r>
      <w:r w:rsidRPr="00BA60F0">
        <w:rPr>
          <w:rFonts w:ascii="Book Antiqua" w:hAnsi="Book Antiqua" w:cs="Arial"/>
          <w:sz w:val="24"/>
          <w:szCs w:val="24"/>
          <w:vertAlign w:val="superscript"/>
          <w:lang w:val="en-US"/>
        </w:rPr>
        <w:t>[89]</w:t>
      </w:r>
      <w:r w:rsidRPr="00BA60F0">
        <w:rPr>
          <w:rFonts w:ascii="Book Antiqua" w:hAnsi="Book Antiqua" w:cs="Arial"/>
          <w:sz w:val="24"/>
          <w:szCs w:val="24"/>
          <w:lang w:val="en-US"/>
        </w:rPr>
        <w:t>. The results of two other studies on c-Met inhibitors were presented in ASCO GI 2015</w:t>
      </w:r>
      <w:r w:rsidRPr="00BA60F0">
        <w:rPr>
          <w:rFonts w:ascii="Book Antiqua" w:hAnsi="Book Antiqua" w:cs="Arial"/>
          <w:sz w:val="24"/>
          <w:szCs w:val="24"/>
          <w:vertAlign w:val="superscript"/>
          <w:lang w:val="en-US"/>
        </w:rPr>
        <w:t>[90,91]</w:t>
      </w:r>
      <w:r w:rsidRPr="00BA60F0">
        <w:rPr>
          <w:rFonts w:ascii="Book Antiqua" w:hAnsi="Book Antiqua" w:cs="Arial"/>
          <w:sz w:val="24"/>
          <w:szCs w:val="24"/>
          <w:lang w:val="en-US"/>
        </w:rPr>
        <w:t xml:space="preserve">. AMG337, a selective inhibitor of the tyrosine kinase c-Met, was investigated in a phase I study in patients with gene amplification. An objective response was </w:t>
      </w:r>
      <w:r w:rsidRPr="00BA60F0">
        <w:rPr>
          <w:rFonts w:ascii="Book Antiqua" w:hAnsi="Book Antiqua" w:cs="Arial"/>
          <w:sz w:val="24"/>
          <w:szCs w:val="24"/>
          <w:lang w:val="en-US"/>
        </w:rPr>
        <w:lastRenderedPageBreak/>
        <w:t>achieved in 8 out of 13 (62%) patients with gastric cancer</w:t>
      </w:r>
      <w:r w:rsidRPr="00BA60F0">
        <w:rPr>
          <w:rFonts w:ascii="Book Antiqua" w:hAnsi="Book Antiqua" w:cs="Arial"/>
          <w:sz w:val="24"/>
          <w:szCs w:val="24"/>
          <w:vertAlign w:val="superscript"/>
          <w:lang w:val="en-US"/>
        </w:rPr>
        <w:t>[90]</w:t>
      </w:r>
      <w:r w:rsidRPr="00BA60F0">
        <w:rPr>
          <w:rFonts w:ascii="Book Antiqua" w:hAnsi="Book Antiqua" w:cs="Arial"/>
          <w:sz w:val="24"/>
          <w:szCs w:val="24"/>
          <w:lang w:val="en-US"/>
        </w:rPr>
        <w:t>. Onartuzumab, a monoclonal antibody to c-MET, was studied in combination with a FOLFOX regimen in a randomized phase II study, which included 123 patients with metastatic gastric cancer. The study did not improve the long-term results. The most possible explanation for the study’s failure could be the patient selection, which was based on overexpression rather than gene amplification</w:t>
      </w:r>
      <w:r w:rsidRPr="00BA60F0">
        <w:rPr>
          <w:rFonts w:ascii="Book Antiqua" w:hAnsi="Book Antiqua" w:cs="Arial"/>
          <w:sz w:val="24"/>
          <w:szCs w:val="24"/>
          <w:vertAlign w:val="superscript"/>
          <w:lang w:val="en-US"/>
        </w:rPr>
        <w:t>[91]</w:t>
      </w:r>
      <w:r w:rsidRPr="00BA60F0">
        <w:rPr>
          <w:rFonts w:ascii="Book Antiqua" w:hAnsi="Book Antiqua" w:cs="Arial"/>
          <w:sz w:val="24"/>
          <w:szCs w:val="24"/>
          <w:lang w:val="en-US"/>
        </w:rPr>
        <w:t xml:space="preserve">. Thus, the blockade of c-met has become an extremely promising strategy in the targeted therapy of gastric cancer. </w:t>
      </w:r>
    </w:p>
    <w:p w:rsidR="006A7B58" w:rsidRPr="00BA60F0" w:rsidRDefault="006A7B58" w:rsidP="00746849">
      <w:pPr>
        <w:adjustRightInd w:val="0"/>
        <w:snapToGrid w:val="0"/>
        <w:spacing w:after="0" w:line="360" w:lineRule="auto"/>
        <w:ind w:firstLine="708"/>
        <w:jc w:val="both"/>
        <w:rPr>
          <w:rFonts w:ascii="Book Antiqua" w:hAnsi="Book Antiqua" w:cs="Arial"/>
          <w:sz w:val="24"/>
          <w:szCs w:val="24"/>
          <w:lang w:val="en-US"/>
        </w:rPr>
      </w:pPr>
      <w:r w:rsidRPr="00BA60F0">
        <w:rPr>
          <w:rFonts w:ascii="Book Antiqua" w:hAnsi="Book Antiqua" w:cs="Arial"/>
          <w:sz w:val="24"/>
          <w:szCs w:val="24"/>
          <w:lang w:val="en-US"/>
        </w:rPr>
        <w:t>In recent years, agents targeting immune checkpoints (PD-1 and PD-L1) are gaining momentum in oncology. Programmed cell death- 1 (PD-1), an immunoinhibitory receptor of the CD28 family, plays a major role in the immune escape of tumors</w:t>
      </w:r>
      <w:r w:rsidRPr="00BA60F0">
        <w:rPr>
          <w:rFonts w:ascii="Book Antiqua" w:hAnsi="Book Antiqua" w:cs="Arial"/>
          <w:sz w:val="24"/>
          <w:szCs w:val="24"/>
          <w:vertAlign w:val="superscript"/>
          <w:lang w:val="en-US"/>
        </w:rPr>
        <w:t>[92]</w:t>
      </w:r>
      <w:r w:rsidRPr="00BA60F0">
        <w:rPr>
          <w:rFonts w:ascii="Book Antiqua" w:hAnsi="Book Antiqua" w:cs="Arial"/>
          <w:sz w:val="24"/>
          <w:szCs w:val="24"/>
          <w:lang w:val="en-US"/>
        </w:rPr>
        <w:t>. One of the mechanisms by which tumors evade host T cells is by activating immune checkpoints that block T-cell activation. The presence of PD-L1 on tumor cells allows them to escape the cytotoxic effects of immune cells. Pembrolizumab, a highly selective humanized IgG4/kappa isotype monoclonal antibody that blocks PD-1’s interaction with its ligands PD-L1 and PD-L2, was approved for the treatment of metastatic melanoma in 2014. Pembrolizumab was studied in a phase Ib study, which was presented at the ESMO meeting in 2014</w:t>
      </w:r>
      <w:r w:rsidRPr="00BA60F0">
        <w:rPr>
          <w:rFonts w:ascii="Book Antiqua" w:hAnsi="Book Antiqua" w:cs="Arial"/>
          <w:sz w:val="24"/>
          <w:szCs w:val="24"/>
          <w:vertAlign w:val="superscript"/>
          <w:lang w:val="en-US"/>
        </w:rPr>
        <w:t>[93]</w:t>
      </w:r>
      <w:r w:rsidRPr="00BA60F0">
        <w:rPr>
          <w:rFonts w:ascii="Book Antiqua" w:hAnsi="Book Antiqua" w:cs="Arial"/>
          <w:sz w:val="24"/>
          <w:szCs w:val="24"/>
          <w:lang w:val="en-US"/>
        </w:rPr>
        <w:t>. Among 39 patients with chemotherapy-refractory metastatic gastric or gastro-esophageal junction carcinoma and PD-L1 expression in ≥</w:t>
      </w:r>
      <w:r w:rsidR="00326BD4">
        <w:rPr>
          <w:rFonts w:ascii="Book Antiqua" w:hAnsi="Book Antiqua" w:cs="Arial" w:hint="eastAsia"/>
          <w:sz w:val="24"/>
          <w:szCs w:val="24"/>
          <w:lang w:val="en-US" w:eastAsia="zh-CN"/>
        </w:rPr>
        <w:t xml:space="preserve"> </w:t>
      </w:r>
      <w:r w:rsidRPr="00BA60F0">
        <w:rPr>
          <w:rFonts w:ascii="Book Antiqua" w:hAnsi="Book Antiqua" w:cs="Arial"/>
          <w:sz w:val="24"/>
          <w:szCs w:val="24"/>
          <w:lang w:val="en-US"/>
        </w:rPr>
        <w:t>1% of tumor cells, pembrolizumab administration achieved an objective response of 31% with a median response duration of 6 mo. There was a correlation between the degree of expression of PD-L1 and objective tumor response</w:t>
      </w:r>
      <w:r w:rsidRPr="00BA60F0">
        <w:rPr>
          <w:rFonts w:ascii="Book Antiqua" w:hAnsi="Book Antiqua" w:cs="Arial"/>
          <w:sz w:val="24"/>
          <w:szCs w:val="24"/>
          <w:vertAlign w:val="superscript"/>
          <w:lang w:val="en-US"/>
        </w:rPr>
        <w:t>[93]</w:t>
      </w:r>
      <w:r w:rsidRPr="00BA60F0">
        <w:rPr>
          <w:rFonts w:ascii="Book Antiqua" w:hAnsi="Book Antiqua" w:cs="Arial"/>
          <w:sz w:val="24"/>
          <w:szCs w:val="24"/>
          <w:lang w:val="en-US"/>
        </w:rPr>
        <w:t>. Following these encouraging results, a randomized phase II study has been initiated to investigate the efficacy of pembrolizumab in monotherapy or in combination with cisplatin and 5-fluorouracil for the first-line treatment of metastatic gastric cancer.</w:t>
      </w:r>
    </w:p>
    <w:p w:rsidR="006A7B58" w:rsidRPr="00BA60F0" w:rsidRDefault="006A7B58" w:rsidP="00746849">
      <w:pPr>
        <w:adjustRightInd w:val="0"/>
        <w:snapToGrid w:val="0"/>
        <w:spacing w:after="0" w:line="360" w:lineRule="auto"/>
        <w:ind w:firstLine="708"/>
        <w:jc w:val="both"/>
        <w:rPr>
          <w:rFonts w:ascii="Book Antiqua" w:hAnsi="Book Antiqua" w:cs="Arial"/>
          <w:sz w:val="24"/>
          <w:szCs w:val="24"/>
          <w:lang w:val="en-US"/>
        </w:rPr>
      </w:pPr>
      <w:r w:rsidRPr="00BA60F0">
        <w:rPr>
          <w:rFonts w:ascii="Book Antiqua" w:hAnsi="Book Antiqua" w:cs="Arial"/>
          <w:sz w:val="24"/>
          <w:szCs w:val="24"/>
          <w:lang w:val="en-US"/>
        </w:rPr>
        <w:t>BRCA mutations in gastric cancer are extremely rare. However, the decrease in the activity of certain components of homologous recombination occurs in 35%</w:t>
      </w:r>
      <w:r w:rsidRPr="00BA60F0">
        <w:rPr>
          <w:rFonts w:ascii="Book Antiqua" w:hAnsi="Book Antiqua" w:cs="Arial"/>
          <w:sz w:val="24"/>
          <w:szCs w:val="24"/>
          <w:vertAlign w:val="superscript"/>
          <w:lang w:val="en-US"/>
        </w:rPr>
        <w:t>[94]</w:t>
      </w:r>
      <w:r w:rsidRPr="00BA60F0">
        <w:rPr>
          <w:rFonts w:ascii="Book Antiqua" w:hAnsi="Book Antiqua" w:cs="Arial"/>
          <w:sz w:val="24"/>
          <w:szCs w:val="24"/>
          <w:lang w:val="en-US"/>
        </w:rPr>
        <w:t>. Changes in the activity of other molecules are not directly associated with the process of homologous recombination, up to 70% (PTEN dysfunction, Mutation of p53 and ERCC1)</w:t>
      </w:r>
      <w:r w:rsidRPr="00BA60F0">
        <w:rPr>
          <w:rFonts w:ascii="Book Antiqua" w:hAnsi="Book Antiqua" w:cs="Arial"/>
          <w:sz w:val="24"/>
          <w:szCs w:val="24"/>
          <w:vertAlign w:val="superscript"/>
          <w:lang w:val="en-US"/>
        </w:rPr>
        <w:t>[95-97]</w:t>
      </w:r>
      <w:r w:rsidRPr="00BA60F0">
        <w:rPr>
          <w:rFonts w:ascii="Book Antiqua" w:hAnsi="Book Antiqua" w:cs="Arial"/>
          <w:sz w:val="24"/>
          <w:szCs w:val="24"/>
          <w:lang w:val="en-US"/>
        </w:rPr>
        <w:t xml:space="preserve">. Preclinical data indicate that olaparib, an oral </w:t>
      </w:r>
      <w:r w:rsidRPr="00BA60F0">
        <w:rPr>
          <w:rFonts w:ascii="Book Antiqua" w:hAnsi="Book Antiqua" w:cs="Arial"/>
          <w:color w:val="000000"/>
          <w:sz w:val="24"/>
          <w:szCs w:val="24"/>
          <w:shd w:val="clear" w:color="auto" w:fill="FFFFFF"/>
          <w:lang w:val="en-US"/>
        </w:rPr>
        <w:t xml:space="preserve">poly (ADP-ribose) polymerase inhibitor, </w:t>
      </w:r>
      <w:r w:rsidRPr="00BA60F0">
        <w:rPr>
          <w:rFonts w:ascii="Book Antiqua" w:hAnsi="Book Antiqua" w:cs="Arial"/>
          <w:sz w:val="24"/>
          <w:szCs w:val="24"/>
          <w:lang w:val="en-US"/>
        </w:rPr>
        <w:t>showed increased efficiency when combined with chemotherapeutic agents</w:t>
      </w:r>
      <w:r w:rsidRPr="00BA60F0">
        <w:rPr>
          <w:rFonts w:ascii="Book Antiqua" w:hAnsi="Book Antiqua" w:cs="Arial"/>
          <w:sz w:val="24"/>
          <w:szCs w:val="24"/>
          <w:vertAlign w:val="superscript"/>
          <w:lang w:val="en-US"/>
        </w:rPr>
        <w:t>[98]</w:t>
      </w:r>
      <w:r w:rsidRPr="00BA60F0">
        <w:rPr>
          <w:rFonts w:ascii="Book Antiqua" w:hAnsi="Book Antiqua" w:cs="Arial"/>
          <w:sz w:val="24"/>
          <w:szCs w:val="24"/>
          <w:lang w:val="en-US"/>
        </w:rPr>
        <w:t>. A randomized phase II study compared the efficacy of olaparib (100 bid, daily) (</w:t>
      </w:r>
      <w:r w:rsidR="00326BD4" w:rsidRPr="00326BD4">
        <w:rPr>
          <w:rFonts w:ascii="Book Antiqua" w:hAnsi="Book Antiqua" w:cs="Arial"/>
          <w:i/>
          <w:sz w:val="24"/>
          <w:szCs w:val="24"/>
          <w:lang w:val="en-US"/>
        </w:rPr>
        <w:t xml:space="preserve">n = </w:t>
      </w:r>
      <w:r w:rsidRPr="00BA60F0">
        <w:rPr>
          <w:rFonts w:ascii="Book Antiqua" w:hAnsi="Book Antiqua" w:cs="Arial"/>
          <w:sz w:val="24"/>
          <w:szCs w:val="24"/>
          <w:lang w:val="en-US"/>
        </w:rPr>
        <w:t>61) or placebo (</w:t>
      </w:r>
      <w:r w:rsidR="00326BD4" w:rsidRPr="00326BD4">
        <w:rPr>
          <w:rFonts w:ascii="Book Antiqua" w:hAnsi="Book Antiqua" w:cs="Arial"/>
          <w:i/>
          <w:sz w:val="24"/>
          <w:szCs w:val="24"/>
          <w:lang w:val="en-US"/>
        </w:rPr>
        <w:t xml:space="preserve">n = </w:t>
      </w:r>
      <w:r w:rsidRPr="00BA60F0">
        <w:rPr>
          <w:rFonts w:ascii="Book Antiqua" w:hAnsi="Book Antiqua" w:cs="Arial"/>
          <w:sz w:val="24"/>
          <w:szCs w:val="24"/>
          <w:lang w:val="en-US"/>
        </w:rPr>
        <w:t>62) in combination with paclitaxel (80 mg/m</w:t>
      </w:r>
      <w:r w:rsidRPr="00BA60F0">
        <w:rPr>
          <w:rFonts w:ascii="Book Antiqua" w:hAnsi="Book Antiqua" w:cs="Arial"/>
          <w:sz w:val="24"/>
          <w:szCs w:val="24"/>
          <w:vertAlign w:val="superscript"/>
          <w:lang w:val="en-US"/>
        </w:rPr>
        <w:t>2</w:t>
      </w:r>
      <w:r w:rsidRPr="00BA60F0">
        <w:rPr>
          <w:rFonts w:ascii="Book Antiqua" w:hAnsi="Book Antiqua" w:cs="Arial"/>
          <w:sz w:val="24"/>
          <w:szCs w:val="24"/>
          <w:lang w:val="en-US"/>
        </w:rPr>
        <w:t xml:space="preserve"> days 1, 8, 15 per 28-day cycle) on both arms as second-line therapy in patients with recurrent/metastatic gastric cancer. Investigators found that in the absence of ATM expression in tumors, which constitute the surrogate of homologous recombination </w:t>
      </w:r>
      <w:r w:rsidRPr="00BA60F0">
        <w:rPr>
          <w:rFonts w:ascii="Book Antiqua" w:hAnsi="Book Antiqua" w:cs="Arial"/>
          <w:sz w:val="24"/>
          <w:szCs w:val="24"/>
          <w:lang w:val="en-US"/>
        </w:rPr>
        <w:lastRenderedPageBreak/>
        <w:t>deficiency, the addition of olaparib to paclitaxel significantly increased OS, but not PFS</w:t>
      </w:r>
      <w:r w:rsidRPr="00BA60F0">
        <w:rPr>
          <w:rFonts w:ascii="Book Antiqua" w:hAnsi="Book Antiqua" w:cs="Arial"/>
          <w:sz w:val="24"/>
          <w:szCs w:val="24"/>
          <w:vertAlign w:val="superscript"/>
          <w:lang w:val="en-US"/>
        </w:rPr>
        <w:t>[99]</w:t>
      </w:r>
      <w:r w:rsidRPr="00BA60F0">
        <w:rPr>
          <w:rFonts w:ascii="Book Antiqua" w:hAnsi="Book Antiqua" w:cs="Arial"/>
          <w:sz w:val="24"/>
          <w:szCs w:val="24"/>
          <w:lang w:val="en-US"/>
        </w:rPr>
        <w:t>. This has created a new dimension of research in the targeted therapy of gastric cancer – the influence on the DNA repair mechanisms in tumors.</w:t>
      </w:r>
    </w:p>
    <w:p w:rsidR="006A7B58" w:rsidRDefault="006A7B58" w:rsidP="00746849">
      <w:pPr>
        <w:adjustRightInd w:val="0"/>
        <w:snapToGrid w:val="0"/>
        <w:spacing w:after="0" w:line="360" w:lineRule="auto"/>
        <w:ind w:firstLine="708"/>
        <w:jc w:val="both"/>
        <w:rPr>
          <w:rFonts w:ascii="Book Antiqua" w:hAnsi="Book Antiqua" w:cs="Arial"/>
          <w:sz w:val="24"/>
          <w:szCs w:val="24"/>
          <w:lang w:val="en-US" w:eastAsia="zh-CN"/>
        </w:rPr>
      </w:pPr>
      <w:r w:rsidRPr="00BA60F0">
        <w:rPr>
          <w:rFonts w:ascii="Book Antiqua" w:hAnsi="Book Antiqua" w:cs="Arial"/>
          <w:sz w:val="24"/>
          <w:szCs w:val="24"/>
          <w:lang w:val="en-US"/>
        </w:rPr>
        <w:t>Currently, one of the most studied biomarkers in oncology is the therapeutic targets for fibroblast growth factor receptors (FGFR) and their ligands. The family of human FGF comprises 22 proteins and 5 types of receptors for FGF (FGFR). The FGF/FGFR complex is involved in the differentiation and proliferation of various cells</w:t>
      </w:r>
      <w:r w:rsidRPr="00BA60F0">
        <w:rPr>
          <w:rFonts w:ascii="Book Antiqua" w:hAnsi="Book Antiqua" w:cs="Arial"/>
          <w:sz w:val="24"/>
          <w:szCs w:val="24"/>
          <w:vertAlign w:val="superscript"/>
          <w:lang w:val="en-US"/>
        </w:rPr>
        <w:t>[100,101]</w:t>
      </w:r>
      <w:r w:rsidRPr="00BA60F0">
        <w:rPr>
          <w:rFonts w:ascii="Book Antiqua" w:hAnsi="Book Antiqua" w:cs="Arial"/>
          <w:sz w:val="24"/>
          <w:szCs w:val="24"/>
          <w:lang w:val="en-US"/>
        </w:rPr>
        <w:t>. In gastric cancer, the gene amplification of FGFR4 is associated with poor prognosis</w:t>
      </w:r>
      <w:r w:rsidRPr="00BA60F0">
        <w:rPr>
          <w:rFonts w:ascii="Book Antiqua" w:hAnsi="Book Antiqua" w:cs="Arial"/>
          <w:sz w:val="24"/>
          <w:szCs w:val="24"/>
          <w:vertAlign w:val="superscript"/>
          <w:lang w:val="en-US"/>
        </w:rPr>
        <w:t>[102,103]</w:t>
      </w:r>
      <w:r w:rsidRPr="00BA60F0">
        <w:rPr>
          <w:rFonts w:ascii="Book Antiqua" w:hAnsi="Book Antiqua" w:cs="Arial"/>
          <w:sz w:val="24"/>
          <w:szCs w:val="24"/>
          <w:lang w:val="en-US"/>
        </w:rPr>
        <w:t>. As in other tumor types, the presence of the FGFR4 gene polymorphism Gly388Arg has proved to be of prognostic significance in gastric cancer</w:t>
      </w:r>
      <w:r w:rsidRPr="00BA60F0">
        <w:rPr>
          <w:rFonts w:ascii="Book Antiqua" w:hAnsi="Book Antiqua" w:cs="Arial"/>
          <w:sz w:val="24"/>
          <w:szCs w:val="24"/>
          <w:vertAlign w:val="superscript"/>
          <w:lang w:val="en-US"/>
        </w:rPr>
        <w:t>[104]</w:t>
      </w:r>
      <w:r w:rsidRPr="00BA60F0">
        <w:rPr>
          <w:rFonts w:ascii="Book Antiqua" w:hAnsi="Book Antiqua" w:cs="Arial"/>
          <w:sz w:val="24"/>
          <w:szCs w:val="24"/>
          <w:lang w:val="en-US"/>
        </w:rPr>
        <w:t>. In a Japanese study</w:t>
      </w:r>
      <w:r w:rsidRPr="00BA60F0">
        <w:rPr>
          <w:rFonts w:ascii="Book Antiqua" w:hAnsi="Book Antiqua" w:cs="Arial"/>
          <w:sz w:val="24"/>
          <w:szCs w:val="24"/>
          <w:vertAlign w:val="superscript"/>
          <w:lang w:val="en-US"/>
        </w:rPr>
        <w:t>[105]</w:t>
      </w:r>
      <w:r w:rsidRPr="00BA60F0">
        <w:rPr>
          <w:rFonts w:ascii="Book Antiqua" w:hAnsi="Book Antiqua" w:cs="Arial"/>
          <w:sz w:val="24"/>
          <w:szCs w:val="24"/>
          <w:lang w:val="en-US"/>
        </w:rPr>
        <w:t xml:space="preserve">, which included tumor samples from 222 gastric cancer patients, high levels of expression of FGFR 1, 2, 3, and 4 (without amplification) were detected in 30%, 51%, 64% and 79% of tumors, respectively. The overexpression of FGFR1, FGFR2 or FGFR4 was found to be significantly associated with tumor progression, including depth of invasion, lymph node metastasis, pathological stage and distant metastasis or recurrent disease. Therefore, FGFR-targeted therapeutics using small-molecule compounds that inhibit the binding of FGF to FGFR is a promising direction for research. For example, the </w:t>
      </w:r>
      <w:r w:rsidRPr="00BA60F0">
        <w:rPr>
          <w:rFonts w:ascii="Book Antiqua" w:hAnsi="Book Antiqua" w:cs="Arial"/>
          <w:color w:val="000000"/>
          <w:sz w:val="24"/>
          <w:szCs w:val="24"/>
          <w:shd w:val="clear" w:color="auto" w:fill="FFFFFF"/>
          <w:lang w:val="en-US"/>
        </w:rPr>
        <w:t xml:space="preserve">inhibition of FGFR2 signaling by AZD4547, </w:t>
      </w:r>
      <w:r w:rsidRPr="00BA60F0">
        <w:rPr>
          <w:rFonts w:ascii="Book Antiqua" w:hAnsi="Book Antiqua" w:cs="Arial"/>
          <w:sz w:val="24"/>
          <w:szCs w:val="24"/>
          <w:lang w:val="en-US"/>
        </w:rPr>
        <w:t xml:space="preserve">a FGFR inhibitor, </w:t>
      </w:r>
      <w:r w:rsidRPr="00BA60F0">
        <w:rPr>
          <w:rFonts w:ascii="Book Antiqua" w:hAnsi="Book Antiqua" w:cs="Arial"/>
          <w:color w:val="000000"/>
          <w:sz w:val="24"/>
          <w:szCs w:val="24"/>
          <w:shd w:val="clear" w:color="auto" w:fill="FFFFFF"/>
          <w:lang w:val="en-US"/>
        </w:rPr>
        <w:t>resulted in significant dose-dependent tumor growth inhibition in FGFR2-amplified</w:t>
      </w:r>
      <w:r w:rsidRPr="00BA60F0">
        <w:rPr>
          <w:rStyle w:val="apple-converted-space"/>
          <w:rFonts w:ascii="Book Antiqua" w:hAnsi="Book Antiqua" w:cs="Arial"/>
          <w:color w:val="000000"/>
          <w:sz w:val="24"/>
          <w:szCs w:val="24"/>
          <w:shd w:val="clear" w:color="auto" w:fill="FFFFFF"/>
          <w:lang w:val="en-US"/>
        </w:rPr>
        <w:t> </w:t>
      </w:r>
      <w:r w:rsidRPr="00BA60F0">
        <w:rPr>
          <w:rFonts w:ascii="Book Antiqua" w:hAnsi="Book Antiqua" w:cs="Arial"/>
          <w:sz w:val="24"/>
          <w:szCs w:val="24"/>
          <w:lang w:val="en-US"/>
        </w:rPr>
        <w:t>gastric cancer cell lines</w:t>
      </w:r>
      <w:r w:rsidRPr="00BA60F0">
        <w:rPr>
          <w:rFonts w:ascii="Book Antiqua" w:hAnsi="Book Antiqua" w:cs="Arial"/>
          <w:sz w:val="24"/>
          <w:szCs w:val="24"/>
          <w:vertAlign w:val="superscript"/>
          <w:lang w:val="en-US"/>
        </w:rPr>
        <w:t>[106]</w:t>
      </w:r>
      <w:r w:rsidRPr="00BA60F0">
        <w:rPr>
          <w:rFonts w:ascii="Book Antiqua" w:hAnsi="Book Antiqua" w:cs="Arial"/>
          <w:sz w:val="24"/>
          <w:szCs w:val="24"/>
          <w:lang w:val="en-US"/>
        </w:rPr>
        <w:t>. AZD4547 is currently being studied in a randomized phase II trial as monotherapy and in combination with paclitaxel for the second-line treatment of patients with metastatic gastric or gastro-esophageal junction cancer with FGFR2 polysomy or gene amplification</w:t>
      </w:r>
      <w:r w:rsidRPr="00BA60F0">
        <w:rPr>
          <w:rFonts w:ascii="Book Antiqua" w:hAnsi="Book Antiqua" w:cs="Arial"/>
          <w:sz w:val="24"/>
          <w:szCs w:val="24"/>
          <w:vertAlign w:val="superscript"/>
          <w:lang w:val="en-US"/>
        </w:rPr>
        <w:t>[107]</w:t>
      </w:r>
      <w:r w:rsidRPr="00BA60F0">
        <w:rPr>
          <w:rFonts w:ascii="Book Antiqua" w:hAnsi="Book Antiqua" w:cs="Arial"/>
          <w:sz w:val="24"/>
          <w:szCs w:val="24"/>
          <w:lang w:val="en-US"/>
        </w:rPr>
        <w:t>.</w:t>
      </w:r>
    </w:p>
    <w:p w:rsidR="00326BD4" w:rsidRPr="00BA60F0" w:rsidRDefault="00326BD4" w:rsidP="00746849">
      <w:pPr>
        <w:adjustRightInd w:val="0"/>
        <w:snapToGrid w:val="0"/>
        <w:spacing w:after="0" w:line="360" w:lineRule="auto"/>
        <w:ind w:firstLine="708"/>
        <w:jc w:val="both"/>
        <w:rPr>
          <w:rFonts w:ascii="Book Antiqua" w:hAnsi="Book Antiqua" w:cs="Arial"/>
          <w:sz w:val="24"/>
          <w:szCs w:val="24"/>
          <w:lang w:val="en-US" w:eastAsia="zh-CN"/>
        </w:rPr>
      </w:pPr>
    </w:p>
    <w:p w:rsidR="006A7B58" w:rsidRPr="00BA60F0" w:rsidRDefault="006A7B58" w:rsidP="00746849">
      <w:pPr>
        <w:adjustRightInd w:val="0"/>
        <w:snapToGrid w:val="0"/>
        <w:spacing w:after="0" w:line="360" w:lineRule="auto"/>
        <w:jc w:val="both"/>
        <w:rPr>
          <w:rFonts w:ascii="Book Antiqua" w:hAnsi="Book Antiqua" w:cs="Arial"/>
          <w:b/>
          <w:sz w:val="24"/>
          <w:szCs w:val="24"/>
          <w:lang w:val="en-US"/>
        </w:rPr>
      </w:pPr>
      <w:r w:rsidRPr="00BA60F0">
        <w:rPr>
          <w:rFonts w:ascii="Book Antiqua" w:hAnsi="Book Antiqua" w:cs="Arial"/>
          <w:b/>
          <w:sz w:val="24"/>
          <w:szCs w:val="24"/>
          <w:lang w:val="en-US"/>
        </w:rPr>
        <w:t>DISCUSSION</w:t>
      </w:r>
    </w:p>
    <w:p w:rsidR="006A7B58" w:rsidRPr="00BA60F0" w:rsidRDefault="006A7B58" w:rsidP="00746849">
      <w:pPr>
        <w:adjustRightInd w:val="0"/>
        <w:snapToGrid w:val="0"/>
        <w:spacing w:after="0" w:line="360" w:lineRule="auto"/>
        <w:jc w:val="both"/>
        <w:rPr>
          <w:rFonts w:ascii="Book Antiqua" w:hAnsi="Book Antiqua" w:cs="Arial"/>
          <w:sz w:val="24"/>
          <w:szCs w:val="24"/>
          <w:lang w:val="en-US"/>
        </w:rPr>
      </w:pPr>
      <w:r w:rsidRPr="00BA60F0">
        <w:rPr>
          <w:rFonts w:ascii="Book Antiqua" w:hAnsi="Book Antiqua" w:cs="Arial"/>
          <w:sz w:val="24"/>
          <w:szCs w:val="24"/>
          <w:lang w:val="en-US"/>
        </w:rPr>
        <w:t xml:space="preserve">Although data from randomized clinical trials show an increased survival benefit with second-line therapy, not all patients are offered second-line therapy in real-life clinical practice. This could possibly be explained by the poor PS, which the majority of patients experience with disease progression after first-line therapy. In Japan, almost all patients with metastatic gastric cancer receive second-line therapy and more than 50% of patients receive three lines of therapy. However, in western countries, only half of the patient population is offered second-line treatment on progression after first-line therapy. These regional ethnic differences should be taken in to consideration before translating the survival benefit from clinical studies to real-life practice. Additionally, the OS benefit obtained from phase III studies was observed in selected </w:t>
      </w:r>
      <w:r w:rsidRPr="00BA60F0">
        <w:rPr>
          <w:rFonts w:ascii="Book Antiqua" w:hAnsi="Book Antiqua" w:cs="Arial"/>
          <w:sz w:val="24"/>
          <w:szCs w:val="24"/>
          <w:lang w:val="en-US"/>
        </w:rPr>
        <w:lastRenderedPageBreak/>
        <w:t>patients who had adequate organ function and no severe co-morbidities at the time of entry into the study.</w:t>
      </w:r>
    </w:p>
    <w:p w:rsidR="006A7B58" w:rsidRPr="00BA60F0" w:rsidRDefault="006A7B58" w:rsidP="00746849">
      <w:pPr>
        <w:adjustRightInd w:val="0"/>
        <w:snapToGrid w:val="0"/>
        <w:spacing w:after="0" w:line="360" w:lineRule="auto"/>
        <w:ind w:firstLine="708"/>
        <w:jc w:val="both"/>
        <w:rPr>
          <w:rFonts w:ascii="Book Antiqua" w:hAnsi="Book Antiqua" w:cs="Arial"/>
          <w:sz w:val="24"/>
          <w:szCs w:val="24"/>
          <w:lang w:val="en-US"/>
        </w:rPr>
      </w:pPr>
      <w:r w:rsidRPr="00BA60F0">
        <w:rPr>
          <w:rFonts w:ascii="Book Antiqua" w:hAnsi="Book Antiqua" w:cs="Arial"/>
          <w:sz w:val="24"/>
          <w:szCs w:val="24"/>
          <w:lang w:val="en-US"/>
        </w:rPr>
        <w:t>In order to obtain a clear survival benefit, it would be more rational to use second-line therapy in a separate group of patients with higher predictive survival rate who are likely to benefit from second-line therapy. This would allow us to spare the adverse effects of cytotoxic agents in patients with lower predictive survival rates. Of the randomized clinical trials</w:t>
      </w:r>
      <w:r w:rsidRPr="00BA60F0">
        <w:rPr>
          <w:rFonts w:ascii="Book Antiqua" w:hAnsi="Book Antiqua" w:cs="Arial"/>
          <w:sz w:val="24"/>
          <w:szCs w:val="24"/>
          <w:vertAlign w:val="superscript"/>
          <w:lang w:val="en-US"/>
        </w:rPr>
        <w:t>[62,63,69]</w:t>
      </w:r>
      <w:r w:rsidRPr="00BA60F0">
        <w:rPr>
          <w:rFonts w:ascii="Book Antiqua" w:hAnsi="Book Antiqua" w:cs="Arial"/>
          <w:sz w:val="24"/>
          <w:szCs w:val="24"/>
          <w:lang w:val="en-US"/>
        </w:rPr>
        <w:t>, several factors, such as poor performance status, presence of peritoneal metastases, gastro-esophageal location of the primary tumor and a chemotherapy-free interval of &lt;</w:t>
      </w:r>
      <w:r w:rsidR="00326BD4">
        <w:rPr>
          <w:rFonts w:ascii="Book Antiqua" w:hAnsi="Book Antiqua" w:cs="Arial" w:hint="eastAsia"/>
          <w:sz w:val="24"/>
          <w:szCs w:val="24"/>
          <w:lang w:val="en-US" w:eastAsia="zh-CN"/>
        </w:rPr>
        <w:t xml:space="preserve"> </w:t>
      </w:r>
      <w:r w:rsidRPr="00BA60F0">
        <w:rPr>
          <w:rFonts w:ascii="Book Antiqua" w:hAnsi="Book Antiqua" w:cs="Arial"/>
          <w:sz w:val="24"/>
          <w:szCs w:val="24"/>
          <w:lang w:val="en-US"/>
        </w:rPr>
        <w:t>3 mo were identified as clinicopathological prognostic factors for reduced OS. Moreover, several other retrospective studies identified similar prognostic factors (performance status, time to progression of first-line chemotherapy and hemoglobin levels)</w:t>
      </w:r>
      <w:r w:rsidRPr="00BA60F0">
        <w:rPr>
          <w:rFonts w:ascii="Book Antiqua" w:hAnsi="Book Antiqua" w:cs="Arial"/>
          <w:sz w:val="24"/>
          <w:szCs w:val="24"/>
          <w:vertAlign w:val="superscript"/>
          <w:lang w:val="en-US"/>
        </w:rPr>
        <w:t>[25,33,108-110]</w:t>
      </w:r>
      <w:r w:rsidRPr="00BA60F0">
        <w:rPr>
          <w:rFonts w:ascii="Book Antiqua" w:hAnsi="Book Antiqua" w:cs="Arial"/>
          <w:sz w:val="24"/>
          <w:szCs w:val="24"/>
          <w:lang w:val="en-US"/>
        </w:rPr>
        <w:t xml:space="preserve">. Therefore, factors such as the patient’s general condition, metastatic extent, previously used cytotoxic agents, toxicity profile, cumulative toxicity, lack of cross-resistance to previously used agents, and previous response to first-line therapy should always be considered while administering second-line therapy. The role of second-line therapy in metastatic gastric cancer should not only be improving OS but also achieving better symptom control and improved QoL. Park </w:t>
      </w:r>
      <w:r w:rsidR="002A772E" w:rsidRPr="002A772E">
        <w:rPr>
          <w:rFonts w:ascii="Book Antiqua" w:hAnsi="Book Antiqua" w:cs="Arial"/>
          <w:i/>
          <w:sz w:val="24"/>
          <w:szCs w:val="24"/>
          <w:lang w:val="en-US"/>
        </w:rPr>
        <w:t>et al</w:t>
      </w:r>
      <w:r w:rsidR="00326BD4" w:rsidRPr="00BA60F0">
        <w:rPr>
          <w:rFonts w:ascii="Book Antiqua" w:hAnsi="Book Antiqua" w:cs="Arial"/>
          <w:sz w:val="24"/>
          <w:szCs w:val="24"/>
          <w:vertAlign w:val="superscript"/>
          <w:lang w:val="en-US"/>
        </w:rPr>
        <w:t>[111]</w:t>
      </w:r>
      <w:r w:rsidRPr="00BA60F0">
        <w:rPr>
          <w:rFonts w:ascii="Book Antiqua" w:hAnsi="Book Antiqua" w:cs="Arial"/>
          <w:sz w:val="24"/>
          <w:szCs w:val="24"/>
          <w:lang w:val="en-US"/>
        </w:rPr>
        <w:t xml:space="preserve"> found that second-line therapy by itself improves the QoL and Hospital Anxiety and Depression Scale (HADS) scores in patients with metastatic gastric cancer, regardless of the objective tumor response. This shows that second-line therapy is justified in patients who are physically </w:t>
      </w:r>
      <w:r w:rsidR="004A0D20" w:rsidRPr="00BA60F0">
        <w:rPr>
          <w:rFonts w:ascii="Book Antiqua" w:hAnsi="Book Antiqua" w:cs="Arial"/>
          <w:sz w:val="24"/>
          <w:szCs w:val="24"/>
          <w:lang w:val="en-US"/>
        </w:rPr>
        <w:t>fit</w:t>
      </w:r>
      <w:r w:rsidRPr="00BA60F0">
        <w:rPr>
          <w:rFonts w:ascii="Book Antiqua" w:hAnsi="Book Antiqua" w:cs="Arial"/>
          <w:sz w:val="24"/>
          <w:szCs w:val="24"/>
          <w:lang w:val="en-US"/>
        </w:rPr>
        <w:t xml:space="preserve"> and willing to receive further chemotherapy. These findings are different from the traditional endpoints such as tumor response rate and survival rate.</w:t>
      </w:r>
    </w:p>
    <w:p w:rsidR="006A7B58" w:rsidRPr="00BA60F0" w:rsidRDefault="006A7B58" w:rsidP="00746849">
      <w:pPr>
        <w:adjustRightInd w:val="0"/>
        <w:snapToGrid w:val="0"/>
        <w:spacing w:after="0" w:line="360" w:lineRule="auto"/>
        <w:ind w:firstLine="708"/>
        <w:jc w:val="both"/>
        <w:rPr>
          <w:rFonts w:ascii="Book Antiqua" w:hAnsi="Book Antiqua" w:cs="Arial"/>
          <w:sz w:val="24"/>
          <w:szCs w:val="24"/>
          <w:lang w:val="en-US"/>
        </w:rPr>
      </w:pPr>
      <w:r w:rsidRPr="00BA60F0">
        <w:rPr>
          <w:rFonts w:ascii="Book Antiqua" w:hAnsi="Book Antiqua" w:cs="Arial"/>
          <w:sz w:val="24"/>
          <w:szCs w:val="24"/>
          <w:lang w:val="en-US"/>
        </w:rPr>
        <w:t>A recent meta-analysis</w:t>
      </w:r>
      <w:r w:rsidRPr="00BA60F0">
        <w:rPr>
          <w:rFonts w:ascii="Book Antiqua" w:hAnsi="Book Antiqua" w:cs="Arial"/>
          <w:sz w:val="24"/>
          <w:szCs w:val="24"/>
          <w:vertAlign w:val="superscript"/>
          <w:lang w:val="en-US"/>
        </w:rPr>
        <w:t>[112]</w:t>
      </w:r>
      <w:r w:rsidRPr="00BA60F0">
        <w:rPr>
          <w:rFonts w:ascii="Book Antiqua" w:hAnsi="Book Antiqua" w:cs="Arial"/>
          <w:sz w:val="24"/>
          <w:szCs w:val="24"/>
          <w:lang w:val="en-US"/>
        </w:rPr>
        <w:t xml:space="preserve"> analyzed the published phase III trials</w:t>
      </w:r>
      <w:r w:rsidRPr="00BA60F0">
        <w:rPr>
          <w:rFonts w:ascii="Book Antiqua" w:hAnsi="Book Antiqua" w:cs="Arial"/>
          <w:sz w:val="24"/>
          <w:szCs w:val="24"/>
          <w:vertAlign w:val="superscript"/>
          <w:lang w:val="en-US"/>
        </w:rPr>
        <w:t>[62,63,65,69,78]</w:t>
      </w:r>
      <w:r w:rsidRPr="00BA60F0">
        <w:rPr>
          <w:rFonts w:ascii="Book Antiqua" w:hAnsi="Book Antiqua" w:cs="Arial"/>
          <w:sz w:val="24"/>
          <w:szCs w:val="24"/>
          <w:lang w:val="en-US"/>
        </w:rPr>
        <w:t xml:space="preserve"> that compared active treatment to BSC in metastatic gastric cancer. Both chemotherapy and ramucirumab had similar activity in terms of the reduction of the risk of death by 27% and 22%, respectively. This analysis demonstrated that a significant OS benefit was registered with active second-line treatments (irinotecan, docetaxel, ramucirumab), even in patients with </w:t>
      </w:r>
      <w:r w:rsidR="00920936" w:rsidRPr="00BA60F0">
        <w:rPr>
          <w:rFonts w:ascii="Book Antiqua" w:hAnsi="Book Antiqua" w:cs="Arial"/>
          <w:sz w:val="24"/>
          <w:szCs w:val="24"/>
          <w:lang w:val="en-US"/>
        </w:rPr>
        <w:t>impaired</w:t>
      </w:r>
      <w:r w:rsidRPr="00BA60F0">
        <w:rPr>
          <w:rFonts w:ascii="Book Antiqua" w:hAnsi="Book Antiqua" w:cs="Arial"/>
          <w:sz w:val="24"/>
          <w:szCs w:val="24"/>
          <w:lang w:val="en-US"/>
        </w:rPr>
        <w:t xml:space="preserve"> performance status </w:t>
      </w:r>
      <w:r w:rsidR="004E53B6">
        <w:rPr>
          <w:rFonts w:ascii="Book Antiqua" w:hAnsi="Book Antiqua" w:cs="Arial" w:hint="eastAsia"/>
          <w:sz w:val="24"/>
          <w:szCs w:val="24"/>
          <w:lang w:val="en-US" w:eastAsia="zh-CN"/>
        </w:rPr>
        <w:t>[</w:t>
      </w:r>
      <w:r w:rsidRPr="00BA60F0">
        <w:rPr>
          <w:rFonts w:ascii="Book Antiqua" w:hAnsi="Book Antiqua" w:cs="Arial"/>
          <w:sz w:val="24"/>
          <w:szCs w:val="24"/>
          <w:lang w:val="en-US"/>
        </w:rPr>
        <w:t>ECOG ≥</w:t>
      </w:r>
      <w:r w:rsidR="004E53B6">
        <w:rPr>
          <w:rFonts w:ascii="Book Antiqua" w:hAnsi="Book Antiqua" w:cs="Arial" w:hint="eastAsia"/>
          <w:sz w:val="24"/>
          <w:szCs w:val="24"/>
          <w:lang w:val="en-US" w:eastAsia="zh-CN"/>
        </w:rPr>
        <w:t xml:space="preserve"> </w:t>
      </w:r>
      <w:r w:rsidRPr="00BA60F0">
        <w:rPr>
          <w:rFonts w:ascii="Book Antiqua" w:hAnsi="Book Antiqua" w:cs="Arial"/>
          <w:sz w:val="24"/>
          <w:szCs w:val="24"/>
          <w:lang w:val="en-US"/>
        </w:rPr>
        <w:t xml:space="preserve">1, HR </w:t>
      </w:r>
      <w:r w:rsidR="004E53B6">
        <w:rPr>
          <w:rFonts w:ascii="Book Antiqua" w:hAnsi="Book Antiqua" w:cs="Arial" w:hint="eastAsia"/>
          <w:sz w:val="24"/>
          <w:szCs w:val="24"/>
          <w:lang w:val="en-US" w:eastAsia="zh-CN"/>
        </w:rPr>
        <w:t xml:space="preserve">= </w:t>
      </w:r>
      <w:r w:rsidRPr="00BA60F0">
        <w:rPr>
          <w:rFonts w:ascii="Book Antiqua" w:hAnsi="Book Antiqua" w:cs="Arial"/>
          <w:sz w:val="24"/>
          <w:szCs w:val="24"/>
          <w:lang w:val="en-US"/>
        </w:rPr>
        <w:t>0.82 (0.79–0.85)</w:t>
      </w:r>
      <w:r w:rsidR="004E53B6">
        <w:rPr>
          <w:rFonts w:ascii="Book Antiqua" w:hAnsi="Book Antiqua" w:cs="Arial" w:hint="eastAsia"/>
          <w:sz w:val="24"/>
          <w:szCs w:val="24"/>
          <w:lang w:val="en-US" w:eastAsia="zh-CN"/>
        </w:rPr>
        <w:t>]</w:t>
      </w:r>
      <w:r w:rsidRPr="00BA60F0">
        <w:rPr>
          <w:rFonts w:ascii="Book Antiqua" w:hAnsi="Book Antiqua" w:cs="Arial"/>
          <w:sz w:val="24"/>
          <w:szCs w:val="24"/>
          <w:vertAlign w:val="superscript"/>
          <w:lang w:val="en-US"/>
        </w:rPr>
        <w:t>[112]</w:t>
      </w:r>
      <w:r w:rsidRPr="00BA60F0">
        <w:rPr>
          <w:rFonts w:ascii="Book Antiqua" w:hAnsi="Book Antiqua" w:cs="Arial"/>
          <w:sz w:val="24"/>
          <w:szCs w:val="24"/>
          <w:lang w:val="en-US"/>
        </w:rPr>
        <w:t>. This suggests that patients with symptomatic disease should not be excluded from further lines of treatment following the failure of first-line therapy. It should be noted that for the first time in the second-line setting, the addition of a targeted agent (ramucirumab) to standard chemotherapy (paclitaxel) demonstrated a significant survival benefit by increasing the median OS from 7.4 to 9.6 mo (</w:t>
      </w:r>
      <w:r w:rsidRPr="004E53B6">
        <w:rPr>
          <w:rFonts w:ascii="Book Antiqua" w:hAnsi="Book Antiqua" w:cs="Arial"/>
          <w:i/>
          <w:caps/>
          <w:sz w:val="24"/>
          <w:szCs w:val="24"/>
          <w:lang w:val="en-US"/>
        </w:rPr>
        <w:t>p</w:t>
      </w:r>
      <w:r w:rsidRPr="00BA60F0">
        <w:rPr>
          <w:rFonts w:ascii="Book Antiqua" w:hAnsi="Book Antiqua" w:cs="Arial"/>
          <w:sz w:val="24"/>
          <w:szCs w:val="24"/>
          <w:lang w:val="en-US"/>
        </w:rPr>
        <w:t xml:space="preserve"> = 0.017) and median PFS from 2.9 to 4.4 mo. However, the other biological agents, such as everolimus, lapatinib and gefitinib, failed to show a survival benefit when administered as </w:t>
      </w:r>
      <w:r w:rsidRPr="00BA60F0">
        <w:rPr>
          <w:rFonts w:ascii="Book Antiqua" w:hAnsi="Book Antiqua" w:cs="Arial"/>
          <w:sz w:val="24"/>
          <w:szCs w:val="24"/>
          <w:lang w:val="en-US"/>
        </w:rPr>
        <w:lastRenderedPageBreak/>
        <w:t>second-line therapy. In addition to HER2 overexpression, to date, there are no predictive biomarkers in the treatment of metastatic gastric cancer. This has reemphasized the fact that clinical studies with better patient selection based on predictive biomarkers are necessary.</w:t>
      </w:r>
    </w:p>
    <w:p w:rsidR="006A7B58" w:rsidRPr="00BA60F0" w:rsidRDefault="006A7B58" w:rsidP="00746849">
      <w:pPr>
        <w:adjustRightInd w:val="0"/>
        <w:snapToGrid w:val="0"/>
        <w:spacing w:after="0" w:line="360" w:lineRule="auto"/>
        <w:ind w:firstLine="708"/>
        <w:jc w:val="both"/>
        <w:rPr>
          <w:rFonts w:ascii="Book Antiqua" w:hAnsi="Book Antiqua" w:cs="Arial"/>
          <w:sz w:val="24"/>
          <w:szCs w:val="24"/>
          <w:lang w:val="en-US"/>
        </w:rPr>
      </w:pPr>
      <w:r w:rsidRPr="00BA60F0">
        <w:rPr>
          <w:rFonts w:ascii="Book Antiqua" w:hAnsi="Book Antiqua" w:cs="Arial"/>
          <w:sz w:val="24"/>
          <w:szCs w:val="24"/>
          <w:lang w:val="en-US"/>
        </w:rPr>
        <w:t>Older microarray studies</w:t>
      </w:r>
      <w:r w:rsidRPr="00BA60F0">
        <w:rPr>
          <w:rFonts w:ascii="Book Antiqua" w:hAnsi="Book Antiqua" w:cs="Arial"/>
          <w:sz w:val="24"/>
          <w:szCs w:val="24"/>
          <w:vertAlign w:val="superscript"/>
          <w:lang w:val="en-US"/>
        </w:rPr>
        <w:t>[113-117]</w:t>
      </w:r>
      <w:r w:rsidRPr="00BA60F0">
        <w:rPr>
          <w:rFonts w:ascii="Book Antiqua" w:hAnsi="Book Antiqua" w:cs="Arial"/>
          <w:sz w:val="24"/>
          <w:szCs w:val="24"/>
          <w:lang w:val="en-US"/>
        </w:rPr>
        <w:t xml:space="preserve"> performed in gastric cancer cell lines described the expression changes associated with morphological and tissue type differences in gastric cancer. This approach has changed as pathway signatures (rather than individual genes) are used as the basis for cancer classification. Recently, the Cancer Genome Atlas (TCGA) project</w:t>
      </w:r>
      <w:r w:rsidRPr="00BA60F0">
        <w:rPr>
          <w:rFonts w:ascii="Book Antiqua" w:hAnsi="Book Antiqua" w:cs="Arial"/>
          <w:sz w:val="24"/>
          <w:szCs w:val="24"/>
          <w:vertAlign w:val="superscript"/>
          <w:lang w:val="en-US"/>
        </w:rPr>
        <w:t>[118]</w:t>
      </w:r>
      <w:r w:rsidRPr="00BA60F0">
        <w:rPr>
          <w:rFonts w:ascii="Book Antiqua" w:hAnsi="Book Antiqua" w:cs="Arial"/>
          <w:sz w:val="24"/>
          <w:szCs w:val="24"/>
          <w:lang w:val="en-US"/>
        </w:rPr>
        <w:t xml:space="preserve"> proposed a molecular classification dividing gastric cancer into four genomic subtypes: Epstein–Barr virus-infected tumors, which display recurrent PIK3CA mutations, extreme DNA hypermethylation, and amplification of JAK2, PD-L1/2; microsatellite unstable tumors, which show elevated mutation rates, including mutations of genes encoding targetable oncogenic signaling proteins; genomically stable tumors, which are enriched for the diffuse histological variant and mutations of RHOA or fusions involving RHO-family GTPase-activating proteins; and chromosomally unstable tumors, which show marked aneuploidy and focal amplification of receptor tyrosine kinases. This classification has provided a roadmap for better patient stratification for clinical studies that are to be planned with targeted agents.</w:t>
      </w:r>
    </w:p>
    <w:p w:rsidR="004E53B6" w:rsidRDefault="004E53B6" w:rsidP="00746849">
      <w:pPr>
        <w:adjustRightInd w:val="0"/>
        <w:snapToGrid w:val="0"/>
        <w:spacing w:after="0" w:line="360" w:lineRule="auto"/>
        <w:jc w:val="both"/>
        <w:rPr>
          <w:rFonts w:ascii="Book Antiqua" w:hAnsi="Book Antiqua" w:cs="Arial"/>
          <w:b/>
          <w:sz w:val="24"/>
          <w:szCs w:val="24"/>
          <w:lang w:val="en-US" w:eastAsia="zh-CN"/>
        </w:rPr>
      </w:pPr>
    </w:p>
    <w:p w:rsidR="006A7B58" w:rsidRPr="00BA60F0" w:rsidRDefault="006A7B58" w:rsidP="00746849">
      <w:pPr>
        <w:adjustRightInd w:val="0"/>
        <w:snapToGrid w:val="0"/>
        <w:spacing w:after="0" w:line="360" w:lineRule="auto"/>
        <w:jc w:val="both"/>
        <w:rPr>
          <w:rFonts w:ascii="Book Antiqua" w:hAnsi="Book Antiqua" w:cs="Arial"/>
          <w:sz w:val="24"/>
          <w:szCs w:val="24"/>
          <w:lang w:val="en-US"/>
        </w:rPr>
      </w:pPr>
      <w:r w:rsidRPr="00BA60F0">
        <w:rPr>
          <w:rFonts w:ascii="Book Antiqua" w:hAnsi="Book Antiqua" w:cs="Arial"/>
          <w:b/>
          <w:sz w:val="24"/>
          <w:szCs w:val="24"/>
          <w:lang w:val="en-US"/>
        </w:rPr>
        <w:t>CONCLUSION</w:t>
      </w:r>
    </w:p>
    <w:p w:rsidR="006A7B58" w:rsidRPr="00BA60F0" w:rsidRDefault="006A7B58" w:rsidP="00746849">
      <w:pPr>
        <w:adjustRightInd w:val="0"/>
        <w:snapToGrid w:val="0"/>
        <w:spacing w:after="0" w:line="360" w:lineRule="auto"/>
        <w:jc w:val="both"/>
        <w:rPr>
          <w:rFonts w:ascii="Book Antiqua" w:hAnsi="Book Antiqua" w:cs="Arial"/>
          <w:sz w:val="24"/>
          <w:szCs w:val="24"/>
          <w:lang w:val="en-US"/>
        </w:rPr>
      </w:pPr>
      <w:r w:rsidRPr="00BA60F0">
        <w:rPr>
          <w:rFonts w:ascii="Book Antiqua" w:hAnsi="Book Antiqua" w:cs="Arial"/>
          <w:sz w:val="24"/>
          <w:szCs w:val="24"/>
          <w:lang w:val="en-US"/>
        </w:rPr>
        <w:t>In the second-line setting, to date, three agents (irinotecan, taxane and ramucirumab) have shown a survival benefit over BSC or active agents in randomized phase III studies. Furthermore, a paradigm shift from disease-specific new drug development to biomarker-oriented investigations is gaining momentum in the treatment of metastatic gastric cancer. Clinical trials of molecular targeted agents should focus on specific patient subsets. This will result in individualizing therapeutic strategies by maximizing drug efficacy and minimizing adverse effects in patients with metastatic gastric cancer.</w:t>
      </w:r>
    </w:p>
    <w:p w:rsidR="004E53B6" w:rsidRDefault="004E53B6" w:rsidP="00746849">
      <w:pPr>
        <w:adjustRightInd w:val="0"/>
        <w:snapToGrid w:val="0"/>
        <w:spacing w:after="0" w:line="360" w:lineRule="auto"/>
        <w:jc w:val="both"/>
        <w:rPr>
          <w:rFonts w:ascii="Book Antiqua" w:hAnsi="Book Antiqua"/>
          <w:b/>
          <w:sz w:val="24"/>
          <w:szCs w:val="24"/>
          <w:lang w:val="en-US" w:eastAsia="zh-CN"/>
        </w:rPr>
      </w:pPr>
    </w:p>
    <w:p w:rsidR="004E53B6" w:rsidRDefault="004E53B6" w:rsidP="00746849">
      <w:pPr>
        <w:adjustRightInd w:val="0"/>
        <w:snapToGrid w:val="0"/>
        <w:spacing w:after="0" w:line="360" w:lineRule="auto"/>
        <w:jc w:val="both"/>
        <w:rPr>
          <w:rFonts w:ascii="Book Antiqua" w:hAnsi="Book Antiqua"/>
          <w:b/>
          <w:sz w:val="24"/>
          <w:szCs w:val="24"/>
          <w:lang w:val="en-US" w:eastAsia="zh-CN"/>
        </w:rPr>
      </w:pPr>
      <w:r>
        <w:rPr>
          <w:rFonts w:ascii="Book Antiqua" w:hAnsi="Book Antiqua"/>
          <w:b/>
          <w:sz w:val="24"/>
          <w:szCs w:val="24"/>
          <w:lang w:val="en-US" w:eastAsia="zh-CN"/>
        </w:rPr>
        <w:br w:type="page"/>
      </w:r>
    </w:p>
    <w:p w:rsidR="007E5678" w:rsidRDefault="0006764D" w:rsidP="00746849">
      <w:pPr>
        <w:adjustRightInd w:val="0"/>
        <w:snapToGrid w:val="0"/>
        <w:spacing w:after="0" w:line="360" w:lineRule="auto"/>
        <w:jc w:val="both"/>
        <w:rPr>
          <w:rFonts w:ascii="Book Antiqua" w:hAnsi="Book Antiqua"/>
          <w:b/>
          <w:sz w:val="24"/>
          <w:szCs w:val="24"/>
          <w:lang w:val="en-US" w:eastAsia="zh-CN"/>
        </w:rPr>
      </w:pPr>
      <w:r>
        <w:rPr>
          <w:rFonts w:ascii="Book Antiqua" w:hAnsi="Book Antiqua"/>
          <w:b/>
          <w:sz w:val="24"/>
          <w:szCs w:val="24"/>
          <w:lang w:val="en-US"/>
        </w:rPr>
        <w:lastRenderedPageBreak/>
        <w:t>REFERENCES</w:t>
      </w:r>
    </w:p>
    <w:p w:rsidR="00CE72EE" w:rsidRPr="00851544" w:rsidRDefault="00CE72EE" w:rsidP="00746849">
      <w:pPr>
        <w:adjustRightInd w:val="0"/>
        <w:snapToGrid w:val="0"/>
        <w:spacing w:after="0" w:line="360" w:lineRule="auto"/>
        <w:jc w:val="both"/>
        <w:rPr>
          <w:rFonts w:ascii="Book Antiqua" w:eastAsia="SimSun" w:hAnsi="Book Antiqua" w:cs="SimSun"/>
          <w:color w:val="000000"/>
          <w:sz w:val="24"/>
          <w:szCs w:val="24"/>
          <w:lang w:val="en-US" w:eastAsia="zh-CN"/>
        </w:rPr>
      </w:pPr>
      <w:r w:rsidRPr="00851544">
        <w:rPr>
          <w:rFonts w:ascii="Book Antiqua" w:eastAsia="SimSun" w:hAnsi="Book Antiqua" w:cs="SimSun"/>
          <w:color w:val="000000"/>
          <w:sz w:val="24"/>
          <w:szCs w:val="24"/>
          <w:lang w:val="en-US" w:eastAsia="zh-CN"/>
        </w:rPr>
        <w:t>1 </w:t>
      </w:r>
      <w:r w:rsidRPr="00851544">
        <w:rPr>
          <w:rFonts w:ascii="Book Antiqua" w:eastAsia="SimSun" w:hAnsi="Book Antiqua" w:cs="SimSun"/>
          <w:b/>
          <w:bCs/>
          <w:color w:val="000000"/>
          <w:sz w:val="24"/>
          <w:szCs w:val="24"/>
          <w:lang w:val="en-US" w:eastAsia="zh-CN"/>
        </w:rPr>
        <w:t>Correa P</w:t>
      </w:r>
      <w:r w:rsidRPr="00851544">
        <w:rPr>
          <w:rFonts w:ascii="Book Antiqua" w:eastAsia="SimSun" w:hAnsi="Book Antiqua" w:cs="SimSun"/>
          <w:color w:val="000000"/>
          <w:sz w:val="24"/>
          <w:szCs w:val="24"/>
          <w:lang w:val="en-US" w:eastAsia="zh-CN"/>
        </w:rPr>
        <w:t>, Chen VW. Gastric cancer. </w:t>
      </w:r>
      <w:r w:rsidRPr="00851544">
        <w:rPr>
          <w:rFonts w:ascii="Book Antiqua" w:eastAsia="SimSun" w:hAnsi="Book Antiqua" w:cs="SimSun"/>
          <w:i/>
          <w:iCs/>
          <w:color w:val="000000"/>
          <w:sz w:val="24"/>
          <w:szCs w:val="24"/>
          <w:lang w:val="en-US" w:eastAsia="zh-CN"/>
        </w:rPr>
        <w:t>Cancer Surv</w:t>
      </w:r>
      <w:r w:rsidRPr="00851544">
        <w:rPr>
          <w:rFonts w:ascii="Book Antiqua" w:eastAsia="SimSun" w:hAnsi="Book Antiqua" w:cs="SimSun"/>
          <w:color w:val="000000"/>
          <w:sz w:val="24"/>
          <w:szCs w:val="24"/>
          <w:lang w:val="en-US" w:eastAsia="zh-CN"/>
        </w:rPr>
        <w:t> 1994; </w:t>
      </w:r>
      <w:r w:rsidRPr="00851544">
        <w:rPr>
          <w:rFonts w:ascii="Book Antiqua" w:eastAsia="SimSun" w:hAnsi="Book Antiqua" w:cs="SimSun"/>
          <w:b/>
          <w:bCs/>
          <w:color w:val="000000"/>
          <w:sz w:val="24"/>
          <w:szCs w:val="24"/>
          <w:lang w:val="en-US" w:eastAsia="zh-CN"/>
        </w:rPr>
        <w:t>19-20</w:t>
      </w:r>
      <w:r w:rsidRPr="00851544">
        <w:rPr>
          <w:rFonts w:ascii="Book Antiqua" w:eastAsia="SimSun" w:hAnsi="Book Antiqua" w:cs="SimSun"/>
          <w:color w:val="000000"/>
          <w:sz w:val="24"/>
          <w:szCs w:val="24"/>
          <w:lang w:val="en-US" w:eastAsia="zh-CN"/>
        </w:rPr>
        <w:t>: 55-76 [PMID: 7534641]</w:t>
      </w:r>
    </w:p>
    <w:p w:rsidR="00CE72EE" w:rsidRPr="00851544" w:rsidRDefault="00CE72EE" w:rsidP="00746849">
      <w:pPr>
        <w:adjustRightInd w:val="0"/>
        <w:snapToGrid w:val="0"/>
        <w:spacing w:after="0" w:line="360" w:lineRule="auto"/>
        <w:jc w:val="both"/>
        <w:rPr>
          <w:rFonts w:ascii="Book Antiqua" w:eastAsia="SimSun" w:hAnsi="Book Antiqua" w:cs="SimSun"/>
          <w:color w:val="000000"/>
          <w:sz w:val="24"/>
          <w:szCs w:val="24"/>
          <w:lang w:val="en-US" w:eastAsia="zh-CN"/>
        </w:rPr>
      </w:pPr>
      <w:r w:rsidRPr="00851544">
        <w:rPr>
          <w:rFonts w:ascii="Book Antiqua" w:eastAsia="SimSun" w:hAnsi="Book Antiqua" w:cs="SimSun"/>
          <w:color w:val="000000"/>
          <w:sz w:val="24"/>
          <w:szCs w:val="24"/>
          <w:lang w:val="en-US" w:eastAsia="zh-CN"/>
        </w:rPr>
        <w:t>2 </w:t>
      </w:r>
      <w:r w:rsidRPr="00851544">
        <w:rPr>
          <w:rFonts w:ascii="Book Antiqua" w:eastAsia="SimSun" w:hAnsi="Book Antiqua" w:cs="SimSun"/>
          <w:b/>
          <w:bCs/>
          <w:color w:val="000000"/>
          <w:sz w:val="24"/>
          <w:szCs w:val="24"/>
          <w:lang w:val="en-US" w:eastAsia="zh-CN"/>
        </w:rPr>
        <w:t>Ferlay J</w:t>
      </w:r>
      <w:r w:rsidRPr="00851544">
        <w:rPr>
          <w:rFonts w:ascii="Book Antiqua" w:eastAsia="SimSun" w:hAnsi="Book Antiqua" w:cs="SimSun"/>
          <w:color w:val="000000"/>
          <w:sz w:val="24"/>
          <w:szCs w:val="24"/>
          <w:lang w:val="en-US" w:eastAsia="zh-CN"/>
        </w:rPr>
        <w:t>, Soerjomataram I, Dikshit R, Eser S, Mathers C, Rebelo M, Parkin DM, Forman D, Bray F. Cancer incidence and mortality worldwide: sources, methods and major patterns in GLOBOCAN 2012. </w:t>
      </w:r>
      <w:r w:rsidRPr="00851544">
        <w:rPr>
          <w:rFonts w:ascii="Book Antiqua" w:eastAsia="SimSun" w:hAnsi="Book Antiqua" w:cs="SimSun"/>
          <w:i/>
          <w:iCs/>
          <w:color w:val="000000"/>
          <w:sz w:val="24"/>
          <w:szCs w:val="24"/>
          <w:lang w:val="en-US" w:eastAsia="zh-CN"/>
        </w:rPr>
        <w:t>Int J Cancer</w:t>
      </w:r>
      <w:r w:rsidRPr="00851544">
        <w:rPr>
          <w:rFonts w:ascii="Book Antiqua" w:eastAsia="SimSun" w:hAnsi="Book Antiqua" w:cs="SimSun"/>
          <w:color w:val="000000"/>
          <w:sz w:val="24"/>
          <w:szCs w:val="24"/>
          <w:lang w:val="en-US" w:eastAsia="zh-CN"/>
        </w:rPr>
        <w:t> 2015; </w:t>
      </w:r>
      <w:r w:rsidRPr="00851544">
        <w:rPr>
          <w:rFonts w:ascii="Book Antiqua" w:eastAsia="SimSun" w:hAnsi="Book Antiqua" w:cs="SimSun"/>
          <w:b/>
          <w:bCs/>
          <w:color w:val="000000"/>
          <w:sz w:val="24"/>
          <w:szCs w:val="24"/>
          <w:lang w:val="en-US" w:eastAsia="zh-CN"/>
        </w:rPr>
        <w:t>136</w:t>
      </w:r>
      <w:r w:rsidRPr="00851544">
        <w:rPr>
          <w:rFonts w:ascii="Book Antiqua" w:eastAsia="SimSun" w:hAnsi="Book Antiqua" w:cs="SimSun"/>
          <w:color w:val="000000"/>
          <w:sz w:val="24"/>
          <w:szCs w:val="24"/>
          <w:lang w:val="en-US" w:eastAsia="zh-CN"/>
        </w:rPr>
        <w:t>: E359-E386 [PMID: 25220842 DOI: 10.1002/ijc.29210]</w:t>
      </w:r>
    </w:p>
    <w:p w:rsidR="00CE72EE" w:rsidRPr="00851544" w:rsidRDefault="00CE72EE" w:rsidP="00746849">
      <w:pPr>
        <w:adjustRightInd w:val="0"/>
        <w:snapToGrid w:val="0"/>
        <w:spacing w:after="0" w:line="360" w:lineRule="auto"/>
        <w:jc w:val="both"/>
        <w:rPr>
          <w:rFonts w:ascii="Book Antiqua" w:eastAsia="SimSun" w:hAnsi="Book Antiqua" w:cs="SimSun"/>
          <w:color w:val="000000"/>
          <w:sz w:val="24"/>
          <w:szCs w:val="24"/>
          <w:lang w:val="en-US" w:eastAsia="zh-CN"/>
        </w:rPr>
      </w:pPr>
      <w:r w:rsidRPr="00851544">
        <w:rPr>
          <w:rFonts w:ascii="Book Antiqua" w:eastAsia="SimSun" w:hAnsi="Book Antiqua" w:cs="SimSun"/>
          <w:color w:val="000000"/>
          <w:sz w:val="24"/>
          <w:szCs w:val="24"/>
          <w:lang w:val="en-US" w:eastAsia="zh-CN"/>
        </w:rPr>
        <w:t>3 Stomach Cancer: Estimated Incidence, Mortality and Prevalence Worldwide in 2012. Available from: URL: http: //globocan.iarc.fr/old/FactSheets/cancers/stomach-new.asp</w:t>
      </w:r>
    </w:p>
    <w:p w:rsidR="00CE72EE" w:rsidRPr="00851544" w:rsidRDefault="00CE72EE" w:rsidP="00746849">
      <w:pPr>
        <w:adjustRightInd w:val="0"/>
        <w:snapToGrid w:val="0"/>
        <w:spacing w:after="0" w:line="360" w:lineRule="auto"/>
        <w:jc w:val="both"/>
        <w:rPr>
          <w:rFonts w:ascii="Book Antiqua" w:eastAsia="SimSun" w:hAnsi="Book Antiqua" w:cs="SimSun"/>
          <w:color w:val="000000"/>
          <w:sz w:val="24"/>
          <w:szCs w:val="24"/>
          <w:lang w:val="en-US" w:eastAsia="zh-CN"/>
        </w:rPr>
      </w:pPr>
      <w:r w:rsidRPr="00851544">
        <w:rPr>
          <w:rFonts w:ascii="Book Antiqua" w:eastAsia="SimSun" w:hAnsi="Book Antiqua" w:cs="SimSun"/>
          <w:color w:val="000000"/>
          <w:sz w:val="24"/>
          <w:szCs w:val="24"/>
          <w:lang w:val="en-US" w:eastAsia="zh-CN"/>
        </w:rPr>
        <w:t>4 </w:t>
      </w:r>
      <w:r w:rsidRPr="00851544">
        <w:rPr>
          <w:rFonts w:ascii="Book Antiqua" w:eastAsia="SimSun" w:hAnsi="Book Antiqua" w:cs="SimSun"/>
          <w:b/>
          <w:bCs/>
          <w:color w:val="000000"/>
          <w:sz w:val="24"/>
          <w:szCs w:val="24"/>
          <w:lang w:val="en-US" w:eastAsia="zh-CN"/>
        </w:rPr>
        <w:t>Rougier P</w:t>
      </w:r>
      <w:r w:rsidRPr="00851544">
        <w:rPr>
          <w:rFonts w:ascii="Book Antiqua" w:eastAsia="SimSun" w:hAnsi="Book Antiqua" w:cs="SimSun"/>
          <w:color w:val="000000"/>
          <w:sz w:val="24"/>
          <w:szCs w:val="24"/>
          <w:lang w:val="en-US" w:eastAsia="zh-CN"/>
        </w:rPr>
        <w:t>, Lasser P, Ducreux M, Mahjoubi M, Bognel C, Elias D. Preoperative chemotherapy of locally advanced gastric cancer. </w:t>
      </w:r>
      <w:r w:rsidRPr="00851544">
        <w:rPr>
          <w:rFonts w:ascii="Book Antiqua" w:eastAsia="SimSun" w:hAnsi="Book Antiqua" w:cs="SimSun"/>
          <w:i/>
          <w:iCs/>
          <w:color w:val="000000"/>
          <w:sz w:val="24"/>
          <w:szCs w:val="24"/>
          <w:lang w:val="en-US" w:eastAsia="zh-CN"/>
        </w:rPr>
        <w:t>Ann Oncol</w:t>
      </w:r>
      <w:r w:rsidRPr="00851544">
        <w:rPr>
          <w:rFonts w:ascii="Book Antiqua" w:eastAsia="SimSun" w:hAnsi="Book Antiqua" w:cs="SimSun"/>
          <w:color w:val="000000"/>
          <w:sz w:val="24"/>
          <w:szCs w:val="24"/>
          <w:lang w:val="en-US" w:eastAsia="zh-CN"/>
        </w:rPr>
        <w:t> 1994; </w:t>
      </w:r>
      <w:r w:rsidRPr="00851544">
        <w:rPr>
          <w:rFonts w:ascii="Book Antiqua" w:eastAsia="SimSun" w:hAnsi="Book Antiqua" w:cs="SimSun"/>
          <w:b/>
          <w:bCs/>
          <w:color w:val="000000"/>
          <w:sz w:val="24"/>
          <w:szCs w:val="24"/>
          <w:lang w:val="en-US" w:eastAsia="zh-CN"/>
        </w:rPr>
        <w:t xml:space="preserve">5 </w:t>
      </w:r>
      <w:r w:rsidRPr="00851544">
        <w:rPr>
          <w:rFonts w:ascii="Book Antiqua" w:eastAsia="SimSun" w:hAnsi="Book Antiqua" w:cs="SimSun"/>
          <w:bCs/>
          <w:color w:val="000000"/>
          <w:sz w:val="24"/>
          <w:szCs w:val="24"/>
          <w:lang w:val="en-US" w:eastAsia="zh-CN"/>
        </w:rPr>
        <w:t>Suppl 3</w:t>
      </w:r>
      <w:r w:rsidRPr="00851544">
        <w:rPr>
          <w:rFonts w:ascii="Book Antiqua" w:eastAsia="SimSun" w:hAnsi="Book Antiqua" w:cs="SimSun"/>
          <w:color w:val="000000"/>
          <w:sz w:val="24"/>
          <w:szCs w:val="24"/>
          <w:lang w:val="en-US" w:eastAsia="zh-CN"/>
        </w:rPr>
        <w:t>: 59-68 [PMID: 8204531 DOI: 10.1093/annonc/5.suppl_3.S59]</w:t>
      </w:r>
    </w:p>
    <w:p w:rsidR="00CE72EE" w:rsidRPr="00851544" w:rsidRDefault="00CE72EE" w:rsidP="00746849">
      <w:pPr>
        <w:adjustRightInd w:val="0"/>
        <w:snapToGrid w:val="0"/>
        <w:spacing w:after="0" w:line="360" w:lineRule="auto"/>
        <w:jc w:val="both"/>
        <w:rPr>
          <w:rFonts w:ascii="Book Antiqua" w:eastAsia="SimSun" w:hAnsi="Book Antiqua" w:cs="SimSun"/>
          <w:color w:val="000000"/>
          <w:sz w:val="24"/>
          <w:szCs w:val="24"/>
          <w:lang w:val="en-US" w:eastAsia="zh-CN"/>
        </w:rPr>
      </w:pPr>
      <w:r w:rsidRPr="00851544">
        <w:rPr>
          <w:rFonts w:ascii="Book Antiqua" w:eastAsia="SimSun" w:hAnsi="Book Antiqua" w:cs="SimSun"/>
          <w:color w:val="000000"/>
          <w:sz w:val="24"/>
          <w:szCs w:val="24"/>
          <w:lang w:val="en-US" w:eastAsia="zh-CN"/>
        </w:rPr>
        <w:t>5 </w:t>
      </w:r>
      <w:r w:rsidRPr="00851544">
        <w:rPr>
          <w:rFonts w:ascii="Book Antiqua" w:eastAsia="SimSun" w:hAnsi="Book Antiqua" w:cs="SimSun"/>
          <w:b/>
          <w:bCs/>
          <w:color w:val="000000"/>
          <w:sz w:val="24"/>
          <w:szCs w:val="24"/>
          <w:lang w:val="en-US" w:eastAsia="zh-CN"/>
        </w:rPr>
        <w:t>Berrino F</w:t>
      </w:r>
      <w:r w:rsidRPr="00851544">
        <w:rPr>
          <w:rFonts w:ascii="Book Antiqua" w:eastAsia="SimSun" w:hAnsi="Book Antiqua" w:cs="SimSun"/>
          <w:color w:val="000000"/>
          <w:sz w:val="24"/>
          <w:szCs w:val="24"/>
          <w:lang w:val="en-US" w:eastAsia="zh-CN"/>
        </w:rPr>
        <w:t>, De Angelis R, Sant M, Rosso S, Bielska-Lasota M, Coebergh JW, Santaquilani M; EUROCARE Working group. Survival for eight major cancers and all cancers combined for European adults diagnosed in 1995-99: results of the EUROCARE-4 study. </w:t>
      </w:r>
      <w:r w:rsidRPr="00851544">
        <w:rPr>
          <w:rFonts w:ascii="Book Antiqua" w:eastAsia="SimSun" w:hAnsi="Book Antiqua" w:cs="SimSun"/>
          <w:i/>
          <w:iCs/>
          <w:color w:val="000000"/>
          <w:sz w:val="24"/>
          <w:szCs w:val="24"/>
          <w:lang w:val="en-US" w:eastAsia="zh-CN"/>
        </w:rPr>
        <w:t>Lancet Oncol</w:t>
      </w:r>
      <w:r w:rsidRPr="00851544">
        <w:rPr>
          <w:rFonts w:ascii="Book Antiqua" w:eastAsia="SimSun" w:hAnsi="Book Antiqua" w:cs="SimSun"/>
          <w:color w:val="000000"/>
          <w:sz w:val="24"/>
          <w:szCs w:val="24"/>
          <w:lang w:val="en-US" w:eastAsia="zh-CN"/>
        </w:rPr>
        <w:t> 2007; </w:t>
      </w:r>
      <w:r w:rsidRPr="00851544">
        <w:rPr>
          <w:rFonts w:ascii="Book Antiqua" w:eastAsia="SimSun" w:hAnsi="Book Antiqua" w:cs="SimSun"/>
          <w:b/>
          <w:bCs/>
          <w:color w:val="000000"/>
          <w:sz w:val="24"/>
          <w:szCs w:val="24"/>
          <w:lang w:val="en-US" w:eastAsia="zh-CN"/>
        </w:rPr>
        <w:t>8</w:t>
      </w:r>
      <w:r w:rsidRPr="00851544">
        <w:rPr>
          <w:rFonts w:ascii="Book Antiqua" w:eastAsia="SimSun" w:hAnsi="Book Antiqua" w:cs="SimSun"/>
          <w:color w:val="000000"/>
          <w:sz w:val="24"/>
          <w:szCs w:val="24"/>
          <w:lang w:val="en-US" w:eastAsia="zh-CN"/>
        </w:rPr>
        <w:t>: 773-783 [PMID: 17714991 DOI: 10.1016/S1470-2045(07)70245-0]</w:t>
      </w:r>
    </w:p>
    <w:p w:rsidR="00CE72EE" w:rsidRPr="00851544" w:rsidRDefault="00CE72EE" w:rsidP="00746849">
      <w:pPr>
        <w:adjustRightInd w:val="0"/>
        <w:snapToGrid w:val="0"/>
        <w:spacing w:after="0" w:line="360" w:lineRule="auto"/>
        <w:jc w:val="both"/>
        <w:rPr>
          <w:rFonts w:ascii="Book Antiqua" w:eastAsia="SimSun" w:hAnsi="Book Antiqua" w:cs="SimSun"/>
          <w:color w:val="000000"/>
          <w:sz w:val="24"/>
          <w:szCs w:val="24"/>
          <w:lang w:val="en-US" w:eastAsia="zh-CN"/>
        </w:rPr>
      </w:pPr>
      <w:r w:rsidRPr="00851544">
        <w:rPr>
          <w:rFonts w:ascii="Book Antiqua" w:eastAsia="SimSun" w:hAnsi="Book Antiqua" w:cs="SimSun"/>
          <w:color w:val="000000"/>
          <w:sz w:val="24"/>
          <w:szCs w:val="24"/>
          <w:lang w:val="en-US" w:eastAsia="zh-CN"/>
        </w:rPr>
        <w:t>6 </w:t>
      </w:r>
      <w:r w:rsidRPr="00851544">
        <w:rPr>
          <w:rFonts w:ascii="Book Antiqua" w:eastAsia="SimSun" w:hAnsi="Book Antiqua" w:cs="SimSun"/>
          <w:b/>
          <w:bCs/>
          <w:color w:val="000000"/>
          <w:sz w:val="24"/>
          <w:szCs w:val="24"/>
          <w:lang w:val="en-US" w:eastAsia="zh-CN"/>
        </w:rPr>
        <w:t>Janunger KG</w:t>
      </w:r>
      <w:r w:rsidRPr="00851544">
        <w:rPr>
          <w:rFonts w:ascii="Book Antiqua" w:eastAsia="SimSun" w:hAnsi="Book Antiqua" w:cs="SimSun"/>
          <w:color w:val="000000"/>
          <w:sz w:val="24"/>
          <w:szCs w:val="24"/>
          <w:lang w:val="en-US" w:eastAsia="zh-CN"/>
        </w:rPr>
        <w:t>, Hafström L, Glimelius B. Chemotherapy in gastric cancer: a review and updated meta-analysis. </w:t>
      </w:r>
      <w:r w:rsidRPr="00851544">
        <w:rPr>
          <w:rFonts w:ascii="Book Antiqua" w:eastAsia="SimSun" w:hAnsi="Book Antiqua" w:cs="SimSun"/>
          <w:i/>
          <w:iCs/>
          <w:color w:val="000000"/>
          <w:sz w:val="24"/>
          <w:szCs w:val="24"/>
          <w:lang w:val="en-US" w:eastAsia="zh-CN"/>
        </w:rPr>
        <w:t>Eur J Surg</w:t>
      </w:r>
      <w:r w:rsidRPr="00851544">
        <w:rPr>
          <w:rFonts w:ascii="Book Antiqua" w:eastAsia="SimSun" w:hAnsi="Book Antiqua" w:cs="SimSun"/>
          <w:color w:val="000000"/>
          <w:sz w:val="24"/>
          <w:szCs w:val="24"/>
          <w:lang w:val="en-US" w:eastAsia="zh-CN"/>
        </w:rPr>
        <w:t> 2002; </w:t>
      </w:r>
      <w:r w:rsidRPr="00851544">
        <w:rPr>
          <w:rFonts w:ascii="Book Antiqua" w:eastAsia="SimSun" w:hAnsi="Book Antiqua" w:cs="SimSun"/>
          <w:b/>
          <w:bCs/>
          <w:color w:val="000000"/>
          <w:sz w:val="24"/>
          <w:szCs w:val="24"/>
          <w:lang w:val="en-US" w:eastAsia="zh-CN"/>
        </w:rPr>
        <w:t>168</w:t>
      </w:r>
      <w:r w:rsidRPr="00851544">
        <w:rPr>
          <w:rFonts w:ascii="Book Antiqua" w:eastAsia="SimSun" w:hAnsi="Book Antiqua" w:cs="SimSun"/>
          <w:color w:val="000000"/>
          <w:sz w:val="24"/>
          <w:szCs w:val="24"/>
          <w:lang w:val="en-US" w:eastAsia="zh-CN"/>
        </w:rPr>
        <w:t>: 597-608 [PMID: 12699095 DOI: 10.1002/ejs.6161681106]</w:t>
      </w:r>
    </w:p>
    <w:p w:rsidR="00CE72EE" w:rsidRPr="00851544" w:rsidRDefault="00CE72EE" w:rsidP="00746849">
      <w:pPr>
        <w:adjustRightInd w:val="0"/>
        <w:snapToGrid w:val="0"/>
        <w:spacing w:after="0" w:line="360" w:lineRule="auto"/>
        <w:jc w:val="both"/>
        <w:rPr>
          <w:rFonts w:ascii="Book Antiqua" w:eastAsia="SimSun" w:hAnsi="Book Antiqua" w:cs="SimSun"/>
          <w:color w:val="000000"/>
          <w:sz w:val="24"/>
          <w:szCs w:val="24"/>
          <w:lang w:val="en-US" w:eastAsia="zh-CN"/>
        </w:rPr>
      </w:pPr>
      <w:r w:rsidRPr="00851544">
        <w:rPr>
          <w:rFonts w:ascii="Book Antiqua" w:eastAsia="SimSun" w:hAnsi="Book Antiqua" w:cs="SimSun"/>
          <w:color w:val="000000"/>
          <w:sz w:val="24"/>
          <w:szCs w:val="24"/>
          <w:lang w:val="en-US" w:eastAsia="zh-CN"/>
        </w:rPr>
        <w:t>7 </w:t>
      </w:r>
      <w:r w:rsidRPr="00851544">
        <w:rPr>
          <w:rFonts w:ascii="Book Antiqua" w:eastAsia="SimSun" w:hAnsi="Book Antiqua" w:cs="SimSun"/>
          <w:b/>
          <w:bCs/>
          <w:color w:val="000000"/>
          <w:sz w:val="24"/>
          <w:szCs w:val="24"/>
          <w:lang w:val="en-US" w:eastAsia="zh-CN"/>
        </w:rPr>
        <w:t>Wilson D</w:t>
      </w:r>
      <w:r w:rsidRPr="00851544">
        <w:rPr>
          <w:rFonts w:ascii="Book Antiqua" w:eastAsia="SimSun" w:hAnsi="Book Antiqua" w:cs="SimSun"/>
          <w:color w:val="000000"/>
          <w:sz w:val="24"/>
          <w:szCs w:val="24"/>
          <w:lang w:val="en-US" w:eastAsia="zh-CN"/>
        </w:rPr>
        <w:t>, Hiller L, Geh JI. Review of second-line chemotherapy for advanced gastric adenocarcinoma. </w:t>
      </w:r>
      <w:r w:rsidRPr="00851544">
        <w:rPr>
          <w:rFonts w:ascii="Book Antiqua" w:eastAsia="SimSun" w:hAnsi="Book Antiqua" w:cs="SimSun"/>
          <w:i/>
          <w:iCs/>
          <w:color w:val="000000"/>
          <w:sz w:val="24"/>
          <w:szCs w:val="24"/>
          <w:lang w:val="en-US" w:eastAsia="zh-CN"/>
        </w:rPr>
        <w:t>Clin Oncol (R Coll Radiol)</w:t>
      </w:r>
      <w:r w:rsidRPr="00851544">
        <w:rPr>
          <w:rFonts w:ascii="Book Antiqua" w:eastAsia="SimSun" w:hAnsi="Book Antiqua" w:cs="SimSun"/>
          <w:color w:val="000000"/>
          <w:sz w:val="24"/>
          <w:szCs w:val="24"/>
          <w:lang w:val="en-US" w:eastAsia="zh-CN"/>
        </w:rPr>
        <w:t> 2005; </w:t>
      </w:r>
      <w:r w:rsidRPr="00851544">
        <w:rPr>
          <w:rFonts w:ascii="Book Antiqua" w:eastAsia="SimSun" w:hAnsi="Book Antiqua" w:cs="SimSun"/>
          <w:b/>
          <w:bCs/>
          <w:color w:val="000000"/>
          <w:sz w:val="24"/>
          <w:szCs w:val="24"/>
          <w:lang w:val="en-US" w:eastAsia="zh-CN"/>
        </w:rPr>
        <w:t>17</w:t>
      </w:r>
      <w:r w:rsidRPr="00851544">
        <w:rPr>
          <w:rFonts w:ascii="Book Antiqua" w:eastAsia="SimSun" w:hAnsi="Book Antiqua" w:cs="SimSun"/>
          <w:color w:val="000000"/>
          <w:sz w:val="24"/>
          <w:szCs w:val="24"/>
          <w:lang w:val="en-US" w:eastAsia="zh-CN"/>
        </w:rPr>
        <w:t>: 81-90 [PMID: 15830569 DOI: 10.1016/j.clon.2004.10.006]</w:t>
      </w:r>
    </w:p>
    <w:p w:rsidR="00CE72EE" w:rsidRPr="00851544" w:rsidRDefault="00CE72EE" w:rsidP="00746849">
      <w:pPr>
        <w:adjustRightInd w:val="0"/>
        <w:snapToGrid w:val="0"/>
        <w:spacing w:after="0" w:line="360" w:lineRule="auto"/>
        <w:jc w:val="both"/>
        <w:rPr>
          <w:rFonts w:ascii="Book Antiqua" w:eastAsia="SimSun" w:hAnsi="Book Antiqua" w:cs="SimSun"/>
          <w:color w:val="000000"/>
          <w:sz w:val="24"/>
          <w:szCs w:val="24"/>
          <w:lang w:val="en-US" w:eastAsia="zh-CN"/>
        </w:rPr>
      </w:pPr>
      <w:r w:rsidRPr="00851544">
        <w:rPr>
          <w:rFonts w:ascii="Book Antiqua" w:eastAsia="SimSun" w:hAnsi="Book Antiqua" w:cs="SimSun"/>
          <w:color w:val="000000"/>
          <w:sz w:val="24"/>
          <w:szCs w:val="24"/>
          <w:lang w:val="en-US" w:eastAsia="zh-CN"/>
        </w:rPr>
        <w:t>8 </w:t>
      </w:r>
      <w:r w:rsidRPr="00851544">
        <w:rPr>
          <w:rFonts w:ascii="Book Antiqua" w:eastAsia="SimSun" w:hAnsi="Book Antiqua" w:cs="SimSun"/>
          <w:b/>
          <w:bCs/>
          <w:color w:val="000000"/>
          <w:sz w:val="24"/>
          <w:szCs w:val="24"/>
          <w:lang w:val="en-US" w:eastAsia="zh-CN"/>
        </w:rPr>
        <w:t>Murad AM</w:t>
      </w:r>
      <w:r w:rsidRPr="00851544">
        <w:rPr>
          <w:rFonts w:ascii="Book Antiqua" w:eastAsia="SimSun" w:hAnsi="Book Antiqua" w:cs="SimSun"/>
          <w:color w:val="000000"/>
          <w:sz w:val="24"/>
          <w:szCs w:val="24"/>
          <w:lang w:val="en-US" w:eastAsia="zh-CN"/>
        </w:rPr>
        <w:t>, Santiago FF, Petroianu A, Rocha PR, Rodrigues MA, Rausch M. Modified therapy with 5-fluorouracil, doxorubicin, and methotrexate in advanced gastric cancer. </w:t>
      </w:r>
      <w:r w:rsidRPr="00851544">
        <w:rPr>
          <w:rFonts w:ascii="Book Antiqua" w:eastAsia="SimSun" w:hAnsi="Book Antiqua" w:cs="SimSun"/>
          <w:i/>
          <w:iCs/>
          <w:color w:val="000000"/>
          <w:sz w:val="24"/>
          <w:szCs w:val="24"/>
          <w:lang w:val="en-US" w:eastAsia="zh-CN"/>
        </w:rPr>
        <w:t>Cancer</w:t>
      </w:r>
      <w:r w:rsidRPr="00851544">
        <w:rPr>
          <w:rFonts w:ascii="Book Antiqua" w:eastAsia="SimSun" w:hAnsi="Book Antiqua" w:cs="SimSun"/>
          <w:color w:val="000000"/>
          <w:sz w:val="24"/>
          <w:szCs w:val="24"/>
          <w:lang w:val="en-US" w:eastAsia="zh-CN"/>
        </w:rPr>
        <w:t> 1993; </w:t>
      </w:r>
      <w:r w:rsidRPr="00851544">
        <w:rPr>
          <w:rFonts w:ascii="Book Antiqua" w:eastAsia="SimSun" w:hAnsi="Book Antiqua" w:cs="SimSun"/>
          <w:b/>
          <w:bCs/>
          <w:color w:val="000000"/>
          <w:sz w:val="24"/>
          <w:szCs w:val="24"/>
          <w:lang w:val="en-US" w:eastAsia="zh-CN"/>
        </w:rPr>
        <w:t>72</w:t>
      </w:r>
      <w:r w:rsidRPr="00851544">
        <w:rPr>
          <w:rFonts w:ascii="Book Antiqua" w:eastAsia="SimSun" w:hAnsi="Book Antiqua" w:cs="SimSun"/>
          <w:color w:val="000000"/>
          <w:sz w:val="24"/>
          <w:szCs w:val="24"/>
          <w:lang w:val="en-US" w:eastAsia="zh-CN"/>
        </w:rPr>
        <w:t>: 37-41 [PMID: 8508427]</w:t>
      </w:r>
    </w:p>
    <w:p w:rsidR="00CE72EE" w:rsidRPr="00851544" w:rsidRDefault="00CE72EE" w:rsidP="00746849">
      <w:pPr>
        <w:adjustRightInd w:val="0"/>
        <w:snapToGrid w:val="0"/>
        <w:spacing w:after="0" w:line="360" w:lineRule="auto"/>
        <w:jc w:val="both"/>
        <w:rPr>
          <w:rFonts w:ascii="Book Antiqua" w:eastAsia="SimSun" w:hAnsi="Book Antiqua" w:cs="SimSun"/>
          <w:color w:val="000000"/>
          <w:sz w:val="24"/>
          <w:szCs w:val="24"/>
          <w:lang w:val="en-US" w:eastAsia="zh-CN"/>
        </w:rPr>
      </w:pPr>
      <w:r w:rsidRPr="00851544">
        <w:rPr>
          <w:rFonts w:ascii="Book Antiqua" w:eastAsia="SimSun" w:hAnsi="Book Antiqua" w:cs="SimSun"/>
          <w:color w:val="000000"/>
          <w:sz w:val="24"/>
          <w:szCs w:val="24"/>
          <w:lang w:val="en-US" w:eastAsia="zh-CN"/>
        </w:rPr>
        <w:t>9 </w:t>
      </w:r>
      <w:r w:rsidRPr="00851544">
        <w:rPr>
          <w:rFonts w:ascii="Book Antiqua" w:eastAsia="SimSun" w:hAnsi="Book Antiqua" w:cs="SimSun"/>
          <w:b/>
          <w:bCs/>
          <w:color w:val="000000"/>
          <w:sz w:val="24"/>
          <w:szCs w:val="24"/>
          <w:lang w:val="en-US" w:eastAsia="zh-CN"/>
        </w:rPr>
        <w:t>Pyrhönen S</w:t>
      </w:r>
      <w:r w:rsidRPr="00851544">
        <w:rPr>
          <w:rFonts w:ascii="Book Antiqua" w:eastAsia="SimSun" w:hAnsi="Book Antiqua" w:cs="SimSun"/>
          <w:color w:val="000000"/>
          <w:sz w:val="24"/>
          <w:szCs w:val="24"/>
          <w:lang w:val="en-US" w:eastAsia="zh-CN"/>
        </w:rPr>
        <w:t>, Kuitunen T, Nyandoto P, Kouri M. Randomised comparison of fluorouracil, epidoxorubicin and methotrexate (FEMTX) plus supportive care with supportive care alone in patients with non-resectable gastric cancer. </w:t>
      </w:r>
      <w:r w:rsidRPr="00851544">
        <w:rPr>
          <w:rFonts w:ascii="Book Antiqua" w:eastAsia="SimSun" w:hAnsi="Book Antiqua" w:cs="SimSun"/>
          <w:i/>
          <w:iCs/>
          <w:color w:val="000000"/>
          <w:sz w:val="24"/>
          <w:szCs w:val="24"/>
          <w:lang w:val="en-US" w:eastAsia="zh-CN"/>
        </w:rPr>
        <w:t>Br J Cancer</w:t>
      </w:r>
      <w:r w:rsidRPr="00851544">
        <w:rPr>
          <w:rFonts w:ascii="Book Antiqua" w:eastAsia="SimSun" w:hAnsi="Book Antiqua" w:cs="SimSun"/>
          <w:color w:val="000000"/>
          <w:sz w:val="24"/>
          <w:szCs w:val="24"/>
          <w:lang w:val="en-US" w:eastAsia="zh-CN"/>
        </w:rPr>
        <w:t> 1995; </w:t>
      </w:r>
      <w:r w:rsidRPr="00851544">
        <w:rPr>
          <w:rFonts w:ascii="Book Antiqua" w:eastAsia="SimSun" w:hAnsi="Book Antiqua" w:cs="SimSun"/>
          <w:b/>
          <w:bCs/>
          <w:color w:val="000000"/>
          <w:sz w:val="24"/>
          <w:szCs w:val="24"/>
          <w:lang w:val="en-US" w:eastAsia="zh-CN"/>
        </w:rPr>
        <w:t>71</w:t>
      </w:r>
      <w:r w:rsidRPr="00851544">
        <w:rPr>
          <w:rFonts w:ascii="Book Antiqua" w:eastAsia="SimSun" w:hAnsi="Book Antiqua" w:cs="SimSun"/>
          <w:color w:val="000000"/>
          <w:sz w:val="24"/>
          <w:szCs w:val="24"/>
          <w:lang w:val="en-US" w:eastAsia="zh-CN"/>
        </w:rPr>
        <w:t>: 587-591 [PMID: 7533517]</w:t>
      </w:r>
    </w:p>
    <w:p w:rsidR="00CE72EE" w:rsidRPr="00851544" w:rsidRDefault="00CE72EE" w:rsidP="00746849">
      <w:pPr>
        <w:adjustRightInd w:val="0"/>
        <w:snapToGrid w:val="0"/>
        <w:spacing w:after="0" w:line="360" w:lineRule="auto"/>
        <w:jc w:val="both"/>
        <w:rPr>
          <w:rFonts w:ascii="Book Antiqua" w:eastAsia="SimSun" w:hAnsi="Book Antiqua" w:cs="SimSun"/>
          <w:color w:val="000000"/>
          <w:sz w:val="24"/>
          <w:szCs w:val="24"/>
          <w:lang w:val="en-US" w:eastAsia="zh-CN"/>
        </w:rPr>
      </w:pPr>
      <w:r w:rsidRPr="00851544">
        <w:rPr>
          <w:rFonts w:ascii="Book Antiqua" w:eastAsia="SimSun" w:hAnsi="Book Antiqua" w:cs="SimSun"/>
          <w:color w:val="000000"/>
          <w:sz w:val="24"/>
          <w:szCs w:val="24"/>
          <w:lang w:val="en-US" w:eastAsia="zh-CN"/>
        </w:rPr>
        <w:t>10 </w:t>
      </w:r>
      <w:r w:rsidRPr="00851544">
        <w:rPr>
          <w:rFonts w:ascii="Book Antiqua" w:eastAsia="SimSun" w:hAnsi="Book Antiqua" w:cs="SimSun"/>
          <w:b/>
          <w:bCs/>
          <w:color w:val="000000"/>
          <w:sz w:val="24"/>
          <w:szCs w:val="24"/>
          <w:lang w:val="en-US" w:eastAsia="zh-CN"/>
        </w:rPr>
        <w:t>Glimelius B</w:t>
      </w:r>
      <w:r w:rsidRPr="00851544">
        <w:rPr>
          <w:rFonts w:ascii="Book Antiqua" w:eastAsia="SimSun" w:hAnsi="Book Antiqua" w:cs="SimSun"/>
          <w:color w:val="000000"/>
          <w:sz w:val="24"/>
          <w:szCs w:val="24"/>
          <w:lang w:val="en-US" w:eastAsia="zh-CN"/>
        </w:rPr>
        <w:t>, Ekström K, Hoffman K, Graf W, Sjödén PO, Haglund U, Svensson C, Enander LK, Linné T, Sellström H, Heuman R. Randomized comparison between chemotherapy plus best supportive care with best supportive care in advanced gastric cancer. </w:t>
      </w:r>
      <w:r w:rsidRPr="00851544">
        <w:rPr>
          <w:rFonts w:ascii="Book Antiqua" w:eastAsia="SimSun" w:hAnsi="Book Antiqua" w:cs="SimSun"/>
          <w:i/>
          <w:iCs/>
          <w:color w:val="000000"/>
          <w:sz w:val="24"/>
          <w:szCs w:val="24"/>
          <w:lang w:val="en-US" w:eastAsia="zh-CN"/>
        </w:rPr>
        <w:t>Ann Oncol</w:t>
      </w:r>
      <w:r w:rsidRPr="00851544">
        <w:rPr>
          <w:rFonts w:ascii="Book Antiqua" w:eastAsia="SimSun" w:hAnsi="Book Antiqua" w:cs="SimSun"/>
          <w:color w:val="000000"/>
          <w:sz w:val="24"/>
          <w:szCs w:val="24"/>
          <w:lang w:val="en-US" w:eastAsia="zh-CN"/>
        </w:rPr>
        <w:t> 1997; </w:t>
      </w:r>
      <w:r w:rsidRPr="00851544">
        <w:rPr>
          <w:rFonts w:ascii="Book Antiqua" w:eastAsia="SimSun" w:hAnsi="Book Antiqua" w:cs="SimSun"/>
          <w:b/>
          <w:bCs/>
          <w:color w:val="000000"/>
          <w:sz w:val="24"/>
          <w:szCs w:val="24"/>
          <w:lang w:val="en-US" w:eastAsia="zh-CN"/>
        </w:rPr>
        <w:t>8</w:t>
      </w:r>
      <w:r w:rsidRPr="00851544">
        <w:rPr>
          <w:rFonts w:ascii="Book Antiqua" w:eastAsia="SimSun" w:hAnsi="Book Antiqua" w:cs="SimSun"/>
          <w:color w:val="000000"/>
          <w:sz w:val="24"/>
          <w:szCs w:val="24"/>
          <w:lang w:val="en-US" w:eastAsia="zh-CN"/>
        </w:rPr>
        <w:t>: 163-168 [PMID: 9093725]</w:t>
      </w:r>
    </w:p>
    <w:p w:rsidR="00CE72EE" w:rsidRPr="00851544" w:rsidRDefault="00CE72EE" w:rsidP="00746849">
      <w:pPr>
        <w:adjustRightInd w:val="0"/>
        <w:snapToGrid w:val="0"/>
        <w:spacing w:after="0" w:line="360" w:lineRule="auto"/>
        <w:jc w:val="both"/>
        <w:rPr>
          <w:rFonts w:ascii="Book Antiqua" w:eastAsia="SimSun" w:hAnsi="Book Antiqua" w:cs="SimSun"/>
          <w:color w:val="000000"/>
          <w:sz w:val="24"/>
          <w:szCs w:val="24"/>
          <w:lang w:val="en-US" w:eastAsia="zh-CN"/>
        </w:rPr>
      </w:pPr>
      <w:r w:rsidRPr="00851544">
        <w:rPr>
          <w:rFonts w:ascii="Book Antiqua" w:eastAsia="SimSun" w:hAnsi="Book Antiqua" w:cs="SimSun"/>
          <w:color w:val="000000"/>
          <w:sz w:val="24"/>
          <w:szCs w:val="24"/>
          <w:lang w:val="en-US" w:eastAsia="zh-CN"/>
        </w:rPr>
        <w:t>11 </w:t>
      </w:r>
      <w:r w:rsidRPr="00851544">
        <w:rPr>
          <w:rFonts w:ascii="Book Antiqua" w:eastAsia="SimSun" w:hAnsi="Book Antiqua" w:cs="SimSun"/>
          <w:b/>
          <w:bCs/>
          <w:color w:val="000000"/>
          <w:sz w:val="24"/>
          <w:szCs w:val="24"/>
          <w:lang w:val="en-US" w:eastAsia="zh-CN"/>
        </w:rPr>
        <w:t>Van Cutsem E</w:t>
      </w:r>
      <w:r w:rsidRPr="00851544">
        <w:rPr>
          <w:rFonts w:ascii="Book Antiqua" w:eastAsia="SimSun" w:hAnsi="Book Antiqua" w:cs="SimSun"/>
          <w:color w:val="000000"/>
          <w:sz w:val="24"/>
          <w:szCs w:val="24"/>
          <w:lang w:val="en-US" w:eastAsia="zh-CN"/>
        </w:rPr>
        <w:t xml:space="preserve">, Moiseyenko VM, Tjulandin S, Majlis A, Constenla M, Boni C, Rodrigues A, Fodor M, Chao Y, Voznyi E, Risse ML, Ajani JA; V325 Study Group. Phase III study of docetaxel and cisplatin plus fluorouracil compared with cisplatin and fluorouracil as first-line therapy for </w:t>
      </w:r>
      <w:r w:rsidRPr="00851544">
        <w:rPr>
          <w:rFonts w:ascii="Book Antiqua" w:eastAsia="SimSun" w:hAnsi="Book Antiqua" w:cs="SimSun"/>
          <w:color w:val="000000"/>
          <w:sz w:val="24"/>
          <w:szCs w:val="24"/>
          <w:lang w:val="en-US" w:eastAsia="zh-CN"/>
        </w:rPr>
        <w:lastRenderedPageBreak/>
        <w:t>advanced gastric cancer: a report of the V325 Study Group. </w:t>
      </w:r>
      <w:r w:rsidRPr="00851544">
        <w:rPr>
          <w:rFonts w:ascii="Book Antiqua" w:eastAsia="SimSun" w:hAnsi="Book Antiqua" w:cs="SimSun"/>
          <w:i/>
          <w:iCs/>
          <w:color w:val="000000"/>
          <w:sz w:val="24"/>
          <w:szCs w:val="24"/>
          <w:lang w:val="en-US" w:eastAsia="zh-CN"/>
        </w:rPr>
        <w:t>J Clin Oncol</w:t>
      </w:r>
      <w:r w:rsidRPr="00851544">
        <w:rPr>
          <w:rFonts w:ascii="Book Antiqua" w:eastAsia="SimSun" w:hAnsi="Book Antiqua" w:cs="SimSun"/>
          <w:color w:val="000000"/>
          <w:sz w:val="24"/>
          <w:szCs w:val="24"/>
          <w:lang w:val="en-US" w:eastAsia="zh-CN"/>
        </w:rPr>
        <w:t> 2006; </w:t>
      </w:r>
      <w:r w:rsidRPr="00851544">
        <w:rPr>
          <w:rFonts w:ascii="Book Antiqua" w:eastAsia="SimSun" w:hAnsi="Book Antiqua" w:cs="SimSun"/>
          <w:b/>
          <w:bCs/>
          <w:color w:val="000000"/>
          <w:sz w:val="24"/>
          <w:szCs w:val="24"/>
          <w:lang w:val="en-US" w:eastAsia="zh-CN"/>
        </w:rPr>
        <w:t>24</w:t>
      </w:r>
      <w:r w:rsidRPr="00851544">
        <w:rPr>
          <w:rFonts w:ascii="Book Antiqua" w:eastAsia="SimSun" w:hAnsi="Book Antiqua" w:cs="SimSun"/>
          <w:color w:val="000000"/>
          <w:sz w:val="24"/>
          <w:szCs w:val="24"/>
          <w:lang w:val="en-US" w:eastAsia="zh-CN"/>
        </w:rPr>
        <w:t>: 4991-4997 [PMID: 17075117 DOI: 10.1200/JCO.2006.06.8429]</w:t>
      </w:r>
    </w:p>
    <w:p w:rsidR="00CE72EE" w:rsidRPr="00851544" w:rsidRDefault="00CE72EE" w:rsidP="00746849">
      <w:pPr>
        <w:adjustRightInd w:val="0"/>
        <w:snapToGrid w:val="0"/>
        <w:spacing w:after="0" w:line="360" w:lineRule="auto"/>
        <w:jc w:val="both"/>
        <w:rPr>
          <w:rFonts w:ascii="Book Antiqua" w:eastAsia="SimSun" w:hAnsi="Book Antiqua" w:cs="SimSun"/>
          <w:color w:val="000000"/>
          <w:sz w:val="24"/>
          <w:szCs w:val="24"/>
          <w:lang w:val="en-US" w:eastAsia="zh-CN"/>
        </w:rPr>
      </w:pPr>
      <w:r w:rsidRPr="00851544">
        <w:rPr>
          <w:rFonts w:ascii="Book Antiqua" w:eastAsia="SimSun" w:hAnsi="Book Antiqua" w:cs="SimSun"/>
          <w:color w:val="000000"/>
          <w:sz w:val="24"/>
          <w:szCs w:val="24"/>
          <w:lang w:val="en-US" w:eastAsia="zh-CN"/>
        </w:rPr>
        <w:t>12 </w:t>
      </w:r>
      <w:r w:rsidRPr="00851544">
        <w:rPr>
          <w:rFonts w:ascii="Book Antiqua" w:eastAsia="SimSun" w:hAnsi="Book Antiqua" w:cs="SimSun"/>
          <w:b/>
          <w:bCs/>
          <w:color w:val="000000"/>
          <w:sz w:val="24"/>
          <w:szCs w:val="24"/>
          <w:lang w:val="en-US" w:eastAsia="zh-CN"/>
        </w:rPr>
        <w:t>Roth AD</w:t>
      </w:r>
      <w:r w:rsidRPr="00851544">
        <w:rPr>
          <w:rFonts w:ascii="Book Antiqua" w:eastAsia="SimSun" w:hAnsi="Book Antiqua" w:cs="SimSun"/>
          <w:color w:val="000000"/>
          <w:sz w:val="24"/>
          <w:szCs w:val="24"/>
          <w:lang w:val="en-US" w:eastAsia="zh-CN"/>
        </w:rPr>
        <w:t>, Fazio N, Stupp R, Falk S, Bernhard J, Saletti P, Köberle D, Borner MM, Rufibach K, Maibach R, Wernli M, Leslie M, Glynne-Jones R, Widmer L, Seymour M, de Braud F; Swiss Group for Clinical Cancer Research. Docetaxel, cisplatin, and fluorouracil; docetaxel and cisplatin; and epirubicin, cisplatin, and fluorouracil as systemic treatment for advanced gastric carcinoma: a randomized phase II trial of the Swiss Group for Clinical Cancer Research. </w:t>
      </w:r>
      <w:r w:rsidRPr="00851544">
        <w:rPr>
          <w:rFonts w:ascii="Book Antiqua" w:eastAsia="SimSun" w:hAnsi="Book Antiqua" w:cs="SimSun"/>
          <w:i/>
          <w:iCs/>
          <w:color w:val="000000"/>
          <w:sz w:val="24"/>
          <w:szCs w:val="24"/>
          <w:lang w:val="en-US" w:eastAsia="zh-CN"/>
        </w:rPr>
        <w:t>J Clin Oncol</w:t>
      </w:r>
      <w:r w:rsidRPr="00851544">
        <w:rPr>
          <w:rFonts w:ascii="Book Antiqua" w:eastAsia="SimSun" w:hAnsi="Book Antiqua" w:cs="SimSun"/>
          <w:color w:val="000000"/>
          <w:sz w:val="24"/>
          <w:szCs w:val="24"/>
          <w:lang w:val="en-US" w:eastAsia="zh-CN"/>
        </w:rPr>
        <w:t> 2007; </w:t>
      </w:r>
      <w:r w:rsidRPr="00851544">
        <w:rPr>
          <w:rFonts w:ascii="Book Antiqua" w:eastAsia="SimSun" w:hAnsi="Book Antiqua" w:cs="SimSun"/>
          <w:b/>
          <w:bCs/>
          <w:color w:val="000000"/>
          <w:sz w:val="24"/>
          <w:szCs w:val="24"/>
          <w:lang w:val="en-US" w:eastAsia="zh-CN"/>
        </w:rPr>
        <w:t>25</w:t>
      </w:r>
      <w:r w:rsidRPr="00851544">
        <w:rPr>
          <w:rFonts w:ascii="Book Antiqua" w:eastAsia="SimSun" w:hAnsi="Book Antiqua" w:cs="SimSun"/>
          <w:color w:val="000000"/>
          <w:sz w:val="24"/>
          <w:szCs w:val="24"/>
          <w:lang w:val="en-US" w:eastAsia="zh-CN"/>
        </w:rPr>
        <w:t>: 3217-3223 [PMID: 17664469 DOI: 10.1200/JCO.2006.08.0135]</w:t>
      </w:r>
    </w:p>
    <w:p w:rsidR="00CE72EE" w:rsidRPr="00851544" w:rsidRDefault="00CE72EE" w:rsidP="00746849">
      <w:pPr>
        <w:adjustRightInd w:val="0"/>
        <w:snapToGrid w:val="0"/>
        <w:spacing w:after="0" w:line="360" w:lineRule="auto"/>
        <w:jc w:val="both"/>
        <w:rPr>
          <w:rFonts w:ascii="Book Antiqua" w:eastAsia="SimSun" w:hAnsi="Book Antiqua" w:cs="SimSun"/>
          <w:color w:val="000000"/>
          <w:sz w:val="24"/>
          <w:szCs w:val="24"/>
          <w:lang w:val="en-US" w:eastAsia="zh-CN"/>
        </w:rPr>
      </w:pPr>
      <w:r w:rsidRPr="00851544">
        <w:rPr>
          <w:rFonts w:ascii="Book Antiqua" w:eastAsia="SimSun" w:hAnsi="Book Antiqua" w:cs="SimSun"/>
          <w:color w:val="000000"/>
          <w:sz w:val="24"/>
          <w:szCs w:val="24"/>
          <w:lang w:val="en-US" w:eastAsia="zh-CN"/>
        </w:rPr>
        <w:t>13 </w:t>
      </w:r>
      <w:r w:rsidRPr="00851544">
        <w:rPr>
          <w:rFonts w:ascii="Book Antiqua" w:eastAsia="SimSun" w:hAnsi="Book Antiqua" w:cs="SimSun"/>
          <w:b/>
          <w:bCs/>
          <w:color w:val="000000"/>
          <w:sz w:val="24"/>
          <w:szCs w:val="24"/>
          <w:lang w:val="en-US" w:eastAsia="zh-CN"/>
        </w:rPr>
        <w:t>Cunningham D</w:t>
      </w:r>
      <w:r w:rsidRPr="00851544">
        <w:rPr>
          <w:rFonts w:ascii="Book Antiqua" w:eastAsia="SimSun" w:hAnsi="Book Antiqua" w:cs="SimSun"/>
          <w:color w:val="000000"/>
          <w:sz w:val="24"/>
          <w:szCs w:val="24"/>
          <w:lang w:val="en-US" w:eastAsia="zh-CN"/>
        </w:rPr>
        <w:t>, Starling N, Rao S, Iveson T, Nicolson M, Coxon F, Middleton G, Daniel F, Oates J, Norman AR; Upper Gastrointestinal Clinical Studies Group of the National Cancer Research Institute of the United Kingdom. Capecitabine and oxaliplatin for advanced esophagogastric cancer. </w:t>
      </w:r>
      <w:r w:rsidRPr="00851544">
        <w:rPr>
          <w:rFonts w:ascii="Book Antiqua" w:eastAsia="SimSun" w:hAnsi="Book Antiqua" w:cs="SimSun"/>
          <w:i/>
          <w:iCs/>
          <w:color w:val="000000"/>
          <w:sz w:val="24"/>
          <w:szCs w:val="24"/>
          <w:lang w:val="en-US" w:eastAsia="zh-CN"/>
        </w:rPr>
        <w:t>N Engl J Med</w:t>
      </w:r>
      <w:r w:rsidRPr="00851544">
        <w:rPr>
          <w:rFonts w:ascii="Book Antiqua" w:eastAsia="SimSun" w:hAnsi="Book Antiqua" w:cs="SimSun"/>
          <w:color w:val="000000"/>
          <w:sz w:val="24"/>
          <w:szCs w:val="24"/>
          <w:lang w:val="en-US" w:eastAsia="zh-CN"/>
        </w:rPr>
        <w:t> 2008; </w:t>
      </w:r>
      <w:r w:rsidRPr="00851544">
        <w:rPr>
          <w:rFonts w:ascii="Book Antiqua" w:eastAsia="SimSun" w:hAnsi="Book Antiqua" w:cs="SimSun"/>
          <w:b/>
          <w:bCs/>
          <w:color w:val="000000"/>
          <w:sz w:val="24"/>
          <w:szCs w:val="24"/>
          <w:lang w:val="en-US" w:eastAsia="zh-CN"/>
        </w:rPr>
        <w:t>358</w:t>
      </w:r>
      <w:r w:rsidRPr="00851544">
        <w:rPr>
          <w:rFonts w:ascii="Book Antiqua" w:eastAsia="SimSun" w:hAnsi="Book Antiqua" w:cs="SimSun"/>
          <w:color w:val="000000"/>
          <w:sz w:val="24"/>
          <w:szCs w:val="24"/>
          <w:lang w:val="en-US" w:eastAsia="zh-CN"/>
        </w:rPr>
        <w:t>: 36-46 [PMID: 18172173 DOI: 10.1056/NEJMoa073149]</w:t>
      </w:r>
    </w:p>
    <w:p w:rsidR="00CE72EE" w:rsidRPr="00851544" w:rsidRDefault="00CE72EE" w:rsidP="00746849">
      <w:pPr>
        <w:adjustRightInd w:val="0"/>
        <w:snapToGrid w:val="0"/>
        <w:spacing w:after="0" w:line="360" w:lineRule="auto"/>
        <w:jc w:val="both"/>
        <w:rPr>
          <w:rFonts w:ascii="Book Antiqua" w:eastAsia="SimSun" w:hAnsi="Book Antiqua" w:cs="SimSun"/>
          <w:color w:val="000000"/>
          <w:sz w:val="24"/>
          <w:szCs w:val="24"/>
          <w:lang w:val="en-US" w:eastAsia="zh-CN"/>
        </w:rPr>
      </w:pPr>
      <w:r w:rsidRPr="00851544">
        <w:rPr>
          <w:rFonts w:ascii="Book Antiqua" w:eastAsia="SimSun" w:hAnsi="Book Antiqua" w:cs="SimSun"/>
          <w:color w:val="000000"/>
          <w:sz w:val="24"/>
          <w:szCs w:val="24"/>
          <w:lang w:val="en-US" w:eastAsia="zh-CN"/>
        </w:rPr>
        <w:t>14 </w:t>
      </w:r>
      <w:r w:rsidRPr="00851544">
        <w:rPr>
          <w:rFonts w:ascii="Book Antiqua" w:eastAsia="SimSun" w:hAnsi="Book Antiqua" w:cs="SimSun"/>
          <w:b/>
          <w:bCs/>
          <w:color w:val="000000"/>
          <w:sz w:val="24"/>
          <w:szCs w:val="24"/>
          <w:lang w:val="en-US" w:eastAsia="zh-CN"/>
        </w:rPr>
        <w:t>Koizumi W</w:t>
      </w:r>
      <w:r w:rsidRPr="00851544">
        <w:rPr>
          <w:rFonts w:ascii="Book Antiqua" w:eastAsia="SimSun" w:hAnsi="Book Antiqua" w:cs="SimSun"/>
          <w:color w:val="000000"/>
          <w:sz w:val="24"/>
          <w:szCs w:val="24"/>
          <w:lang w:val="en-US" w:eastAsia="zh-CN"/>
        </w:rPr>
        <w:t>, Kim YH, Fujii M, Kim HK, Imamura H, Lee KH, Hara T, Chung HC, Satoh T, Cho JY, Hosaka H, Tsuji A, Takagane A, Inokuchi M, Tanabe K, Okuno T, Ogura M, Yoshida K, Takeuchi M, Nakajima T; JACCRO and KCSG Study Group. Addition of docetaxel to S-1 without platinum prolongs survival of patients with advanced gastric cancer: a randomized study (START). </w:t>
      </w:r>
      <w:r w:rsidRPr="00851544">
        <w:rPr>
          <w:rFonts w:ascii="Book Antiqua" w:eastAsia="SimSun" w:hAnsi="Book Antiqua" w:cs="SimSun"/>
          <w:i/>
          <w:iCs/>
          <w:color w:val="000000"/>
          <w:sz w:val="24"/>
          <w:szCs w:val="24"/>
          <w:lang w:val="en-US" w:eastAsia="zh-CN"/>
        </w:rPr>
        <w:t>J Cancer Res Clin Oncol</w:t>
      </w:r>
      <w:r w:rsidRPr="00851544">
        <w:rPr>
          <w:rFonts w:ascii="Book Antiqua" w:eastAsia="SimSun" w:hAnsi="Book Antiqua" w:cs="SimSun"/>
          <w:color w:val="000000"/>
          <w:sz w:val="24"/>
          <w:szCs w:val="24"/>
          <w:lang w:val="en-US" w:eastAsia="zh-CN"/>
        </w:rPr>
        <w:t> 2014; </w:t>
      </w:r>
      <w:r w:rsidRPr="00851544">
        <w:rPr>
          <w:rFonts w:ascii="Book Antiqua" w:eastAsia="SimSun" w:hAnsi="Book Antiqua" w:cs="SimSun"/>
          <w:b/>
          <w:bCs/>
          <w:color w:val="000000"/>
          <w:sz w:val="24"/>
          <w:szCs w:val="24"/>
          <w:lang w:val="en-US" w:eastAsia="zh-CN"/>
        </w:rPr>
        <w:t>140</w:t>
      </w:r>
      <w:r w:rsidRPr="00851544">
        <w:rPr>
          <w:rFonts w:ascii="Book Antiqua" w:eastAsia="SimSun" w:hAnsi="Book Antiqua" w:cs="SimSun"/>
          <w:color w:val="000000"/>
          <w:sz w:val="24"/>
          <w:szCs w:val="24"/>
          <w:lang w:val="en-US" w:eastAsia="zh-CN"/>
        </w:rPr>
        <w:t>: 319-328 [PMID: 24366758 DOI: 10.1007/s00432-013-1563-5]</w:t>
      </w:r>
    </w:p>
    <w:p w:rsidR="00CE72EE" w:rsidRPr="00851544" w:rsidRDefault="00CE72EE" w:rsidP="00746849">
      <w:pPr>
        <w:adjustRightInd w:val="0"/>
        <w:snapToGrid w:val="0"/>
        <w:spacing w:after="0" w:line="360" w:lineRule="auto"/>
        <w:jc w:val="both"/>
        <w:rPr>
          <w:rFonts w:ascii="Book Antiqua" w:eastAsia="SimSun" w:hAnsi="Book Antiqua" w:cs="SimSun"/>
          <w:color w:val="000000"/>
          <w:sz w:val="24"/>
          <w:szCs w:val="24"/>
          <w:lang w:val="en-US" w:eastAsia="zh-CN"/>
        </w:rPr>
      </w:pPr>
      <w:r w:rsidRPr="00851544">
        <w:rPr>
          <w:rFonts w:ascii="Book Antiqua" w:eastAsia="SimSun" w:hAnsi="Book Antiqua" w:cs="SimSun"/>
          <w:color w:val="000000"/>
          <w:sz w:val="24"/>
          <w:szCs w:val="24"/>
          <w:lang w:val="en-US" w:eastAsia="zh-CN"/>
        </w:rPr>
        <w:t>15 </w:t>
      </w:r>
      <w:r w:rsidRPr="00851544">
        <w:rPr>
          <w:rFonts w:ascii="Book Antiqua" w:eastAsia="SimSun" w:hAnsi="Book Antiqua" w:cs="SimSun"/>
          <w:b/>
          <w:bCs/>
          <w:color w:val="000000"/>
          <w:sz w:val="24"/>
          <w:szCs w:val="24"/>
          <w:lang w:val="en-US" w:eastAsia="zh-CN"/>
        </w:rPr>
        <w:t>Koizumi W</w:t>
      </w:r>
      <w:r w:rsidRPr="00851544">
        <w:rPr>
          <w:rFonts w:ascii="Book Antiqua" w:eastAsia="SimSun" w:hAnsi="Book Antiqua" w:cs="SimSun"/>
          <w:color w:val="000000"/>
          <w:sz w:val="24"/>
          <w:szCs w:val="24"/>
          <w:lang w:val="en-US" w:eastAsia="zh-CN"/>
        </w:rPr>
        <w:t>, Narahara H, Hara T, Takagane A, Akiya T, Takagi M, Miyashita K, Nishizaki T, Kobayashi O, Takiyama W, Toh Y, Nagaie T, Takagi S, Yamamura Y, Yanaoka K, Orita H, Takeuchi M. S-1 plus cisplatin versus S-1 alone for first-line treatment of advanced gastric cancer (SPIRITS trial): a phase III trial. </w:t>
      </w:r>
      <w:r w:rsidRPr="00851544">
        <w:rPr>
          <w:rFonts w:ascii="Book Antiqua" w:eastAsia="SimSun" w:hAnsi="Book Antiqua" w:cs="SimSun"/>
          <w:i/>
          <w:iCs/>
          <w:color w:val="000000"/>
          <w:sz w:val="24"/>
          <w:szCs w:val="24"/>
          <w:lang w:val="en-US" w:eastAsia="zh-CN"/>
        </w:rPr>
        <w:t>Lancet Oncol</w:t>
      </w:r>
      <w:r w:rsidRPr="00851544">
        <w:rPr>
          <w:rFonts w:ascii="Book Antiqua" w:eastAsia="SimSun" w:hAnsi="Book Antiqua" w:cs="SimSun"/>
          <w:color w:val="000000"/>
          <w:sz w:val="24"/>
          <w:szCs w:val="24"/>
          <w:lang w:val="en-US" w:eastAsia="zh-CN"/>
        </w:rPr>
        <w:t> 2008; </w:t>
      </w:r>
      <w:r w:rsidRPr="00851544">
        <w:rPr>
          <w:rFonts w:ascii="Book Antiqua" w:eastAsia="SimSun" w:hAnsi="Book Antiqua" w:cs="SimSun"/>
          <w:b/>
          <w:bCs/>
          <w:color w:val="000000"/>
          <w:sz w:val="24"/>
          <w:szCs w:val="24"/>
          <w:lang w:val="en-US" w:eastAsia="zh-CN"/>
        </w:rPr>
        <w:t>9</w:t>
      </w:r>
      <w:r w:rsidRPr="00851544">
        <w:rPr>
          <w:rFonts w:ascii="Book Antiqua" w:eastAsia="SimSun" w:hAnsi="Book Antiqua" w:cs="SimSun"/>
          <w:color w:val="000000"/>
          <w:sz w:val="24"/>
          <w:szCs w:val="24"/>
          <w:lang w:val="en-US" w:eastAsia="zh-CN"/>
        </w:rPr>
        <w:t>: 215-221 [PMID: 18282805 DOI: 10.1016/S1470-2045(08)70035-4]</w:t>
      </w:r>
    </w:p>
    <w:p w:rsidR="00CE72EE" w:rsidRPr="00851544" w:rsidRDefault="00CE72EE" w:rsidP="00746849">
      <w:pPr>
        <w:adjustRightInd w:val="0"/>
        <w:snapToGrid w:val="0"/>
        <w:spacing w:after="0" w:line="360" w:lineRule="auto"/>
        <w:jc w:val="both"/>
        <w:rPr>
          <w:rFonts w:ascii="Book Antiqua" w:eastAsia="SimSun" w:hAnsi="Book Antiqua" w:cs="SimSun"/>
          <w:color w:val="000000"/>
          <w:sz w:val="24"/>
          <w:szCs w:val="24"/>
          <w:lang w:val="en-US" w:eastAsia="zh-CN"/>
        </w:rPr>
      </w:pPr>
      <w:r w:rsidRPr="00851544">
        <w:rPr>
          <w:rFonts w:ascii="Book Antiqua" w:eastAsia="SimSun" w:hAnsi="Book Antiqua" w:cs="SimSun"/>
          <w:color w:val="000000"/>
          <w:sz w:val="24"/>
          <w:szCs w:val="24"/>
          <w:lang w:val="en-US" w:eastAsia="zh-CN"/>
        </w:rPr>
        <w:t>16 </w:t>
      </w:r>
      <w:r w:rsidRPr="00851544">
        <w:rPr>
          <w:rFonts w:ascii="Book Antiqua" w:eastAsia="SimSun" w:hAnsi="Book Antiqua" w:cs="SimSun"/>
          <w:b/>
          <w:bCs/>
          <w:color w:val="000000"/>
          <w:sz w:val="24"/>
          <w:szCs w:val="24"/>
          <w:lang w:val="en-US" w:eastAsia="zh-CN"/>
        </w:rPr>
        <w:t>Guimbaud R</w:t>
      </w:r>
      <w:r w:rsidRPr="00851544">
        <w:rPr>
          <w:rFonts w:ascii="Book Antiqua" w:eastAsia="SimSun" w:hAnsi="Book Antiqua" w:cs="SimSun"/>
          <w:color w:val="000000"/>
          <w:sz w:val="24"/>
          <w:szCs w:val="24"/>
          <w:lang w:val="en-US" w:eastAsia="zh-CN"/>
        </w:rPr>
        <w:t>, Louvet C, Ries P, Ychou M, Maillard E, André T, Gornet JM, Aparicio T, Nguyen S, Azzedine A, Etienne PL, Boucher E, Rebischung C, Hammel P, Rougier P, Bedenne L, Bouché O. Prospective, randomized, multicenter, phase III study of fluorouracil, leucovorin, and irinotecan versus epirubicin, cisplatin, and capecitabine in advanced gastric adenocarcinoma: a French intergroup (Fédération Francophone de Cancérologie Digestive, Fédération Nationale des Centres de Lutte Contre le Cancer, and Groupe Coopérateur Multidisciplinaire en Oncologie) study. </w:t>
      </w:r>
      <w:r w:rsidRPr="00851544">
        <w:rPr>
          <w:rFonts w:ascii="Book Antiqua" w:eastAsia="SimSun" w:hAnsi="Book Antiqua" w:cs="SimSun"/>
          <w:i/>
          <w:iCs/>
          <w:color w:val="000000"/>
          <w:sz w:val="24"/>
          <w:szCs w:val="24"/>
          <w:lang w:val="en-US" w:eastAsia="zh-CN"/>
        </w:rPr>
        <w:t>J Clin Oncol</w:t>
      </w:r>
      <w:r w:rsidRPr="00851544">
        <w:rPr>
          <w:rFonts w:ascii="Book Antiqua" w:eastAsia="SimSun" w:hAnsi="Book Antiqua" w:cs="SimSun"/>
          <w:color w:val="000000"/>
          <w:sz w:val="24"/>
          <w:szCs w:val="24"/>
          <w:lang w:val="en-US" w:eastAsia="zh-CN"/>
        </w:rPr>
        <w:t> 2014; </w:t>
      </w:r>
      <w:r w:rsidRPr="00851544">
        <w:rPr>
          <w:rFonts w:ascii="Book Antiqua" w:eastAsia="SimSun" w:hAnsi="Book Antiqua" w:cs="SimSun"/>
          <w:b/>
          <w:bCs/>
          <w:color w:val="000000"/>
          <w:sz w:val="24"/>
          <w:szCs w:val="24"/>
          <w:lang w:val="en-US" w:eastAsia="zh-CN"/>
        </w:rPr>
        <w:t>32</w:t>
      </w:r>
      <w:r w:rsidRPr="00851544">
        <w:rPr>
          <w:rFonts w:ascii="Book Antiqua" w:eastAsia="SimSun" w:hAnsi="Book Antiqua" w:cs="SimSun"/>
          <w:color w:val="000000"/>
          <w:sz w:val="24"/>
          <w:szCs w:val="24"/>
          <w:lang w:val="en-US" w:eastAsia="zh-CN"/>
        </w:rPr>
        <w:t>: 3520-3526 [PMID: 25287828 DOI: 10.1200/JCO.2013.54.1011]</w:t>
      </w:r>
    </w:p>
    <w:p w:rsidR="00CE72EE" w:rsidRPr="00851544" w:rsidRDefault="00CE72EE" w:rsidP="00746849">
      <w:pPr>
        <w:adjustRightInd w:val="0"/>
        <w:snapToGrid w:val="0"/>
        <w:spacing w:after="0" w:line="360" w:lineRule="auto"/>
        <w:jc w:val="both"/>
        <w:rPr>
          <w:rFonts w:ascii="Book Antiqua" w:eastAsia="SimSun" w:hAnsi="Book Antiqua" w:cs="SimSun"/>
          <w:color w:val="000000"/>
          <w:sz w:val="24"/>
          <w:szCs w:val="24"/>
          <w:lang w:val="en-US" w:eastAsia="zh-CN"/>
        </w:rPr>
      </w:pPr>
      <w:r w:rsidRPr="00851544">
        <w:rPr>
          <w:rFonts w:ascii="Book Antiqua" w:eastAsia="SimSun" w:hAnsi="Book Antiqua" w:cs="SimSun"/>
          <w:color w:val="000000"/>
          <w:sz w:val="24"/>
          <w:szCs w:val="24"/>
          <w:lang w:val="en-US" w:eastAsia="zh-CN"/>
        </w:rPr>
        <w:lastRenderedPageBreak/>
        <w:t>17 </w:t>
      </w:r>
      <w:r w:rsidRPr="00851544">
        <w:rPr>
          <w:rFonts w:ascii="Book Antiqua" w:eastAsia="SimSun" w:hAnsi="Book Antiqua" w:cs="SimSun"/>
          <w:b/>
          <w:bCs/>
          <w:color w:val="000000"/>
          <w:sz w:val="24"/>
          <w:szCs w:val="24"/>
          <w:lang w:val="en-US" w:eastAsia="zh-CN"/>
        </w:rPr>
        <w:t>Wagner AD</w:t>
      </w:r>
      <w:r w:rsidRPr="00851544">
        <w:rPr>
          <w:rFonts w:ascii="Book Antiqua" w:eastAsia="SimSun" w:hAnsi="Book Antiqua" w:cs="SimSun"/>
          <w:color w:val="000000"/>
          <w:sz w:val="24"/>
          <w:szCs w:val="24"/>
          <w:lang w:val="en-US" w:eastAsia="zh-CN"/>
        </w:rPr>
        <w:t>, Unverzagt S, Grothe W, Kleber G, Grothey A, Haerting J, Fleig WE. Chemotherapy for advanced gastric cancer. </w:t>
      </w:r>
      <w:r w:rsidRPr="00851544">
        <w:rPr>
          <w:rFonts w:ascii="Book Antiqua" w:eastAsia="SimSun" w:hAnsi="Book Antiqua" w:cs="SimSun"/>
          <w:i/>
          <w:iCs/>
          <w:color w:val="000000"/>
          <w:sz w:val="24"/>
          <w:szCs w:val="24"/>
          <w:lang w:val="en-US" w:eastAsia="zh-CN"/>
        </w:rPr>
        <w:t>Cochrane Database Syst Rev</w:t>
      </w:r>
      <w:r w:rsidRPr="00851544">
        <w:rPr>
          <w:rFonts w:ascii="Book Antiqua" w:eastAsia="SimSun" w:hAnsi="Book Antiqua" w:cs="SimSun"/>
          <w:color w:val="000000"/>
          <w:sz w:val="24"/>
          <w:szCs w:val="24"/>
          <w:lang w:val="en-US" w:eastAsia="zh-CN"/>
        </w:rPr>
        <w:t> 2010; </w:t>
      </w:r>
      <w:r w:rsidRPr="00851544">
        <w:rPr>
          <w:rFonts w:ascii="Book Antiqua" w:eastAsia="SimSun" w:hAnsi="Book Antiqua" w:cs="SimSun"/>
          <w:b/>
          <w:color w:val="000000"/>
          <w:sz w:val="24"/>
          <w:szCs w:val="24"/>
          <w:lang w:val="en-US" w:eastAsia="zh-CN"/>
        </w:rPr>
        <w:t>(3)</w:t>
      </w:r>
      <w:r w:rsidRPr="00851544">
        <w:rPr>
          <w:rFonts w:ascii="Book Antiqua" w:eastAsia="SimSun" w:hAnsi="Book Antiqua" w:cs="SimSun"/>
          <w:color w:val="000000"/>
          <w:sz w:val="24"/>
          <w:szCs w:val="24"/>
          <w:lang w:val="en-US" w:eastAsia="zh-CN"/>
        </w:rPr>
        <w:t>: CD004064 [PMID: 20238327 DOI: 10.1002/14651858.CD004064.pub3]</w:t>
      </w:r>
    </w:p>
    <w:p w:rsidR="00CE72EE" w:rsidRPr="00851544" w:rsidRDefault="00CE72EE" w:rsidP="00746849">
      <w:pPr>
        <w:adjustRightInd w:val="0"/>
        <w:snapToGrid w:val="0"/>
        <w:spacing w:after="0" w:line="360" w:lineRule="auto"/>
        <w:jc w:val="both"/>
        <w:rPr>
          <w:rFonts w:ascii="Book Antiqua" w:eastAsia="SimSun" w:hAnsi="Book Antiqua" w:cs="SimSun"/>
          <w:color w:val="000000"/>
          <w:sz w:val="24"/>
          <w:szCs w:val="24"/>
          <w:lang w:val="en-US" w:eastAsia="zh-CN"/>
        </w:rPr>
      </w:pPr>
      <w:r w:rsidRPr="00851544">
        <w:rPr>
          <w:rFonts w:ascii="Book Antiqua" w:eastAsia="SimSun" w:hAnsi="Book Antiqua" w:cs="SimSun"/>
          <w:color w:val="000000"/>
          <w:sz w:val="24"/>
          <w:szCs w:val="24"/>
          <w:lang w:val="en-US" w:eastAsia="zh-CN"/>
        </w:rPr>
        <w:t>18 </w:t>
      </w:r>
      <w:r w:rsidRPr="00851544">
        <w:rPr>
          <w:rFonts w:ascii="Book Antiqua" w:eastAsia="SimSun" w:hAnsi="Book Antiqua" w:cs="SimSun"/>
          <w:b/>
          <w:bCs/>
          <w:color w:val="000000"/>
          <w:sz w:val="24"/>
          <w:szCs w:val="24"/>
          <w:lang w:val="en-US" w:eastAsia="zh-CN"/>
        </w:rPr>
        <w:t>Bang YJ</w:t>
      </w:r>
      <w:r w:rsidRPr="00851544">
        <w:rPr>
          <w:rFonts w:ascii="Book Antiqua" w:eastAsia="SimSun" w:hAnsi="Book Antiqua" w:cs="SimSun"/>
          <w:color w:val="000000"/>
          <w:sz w:val="24"/>
          <w:szCs w:val="24"/>
          <w:lang w:val="en-US" w:eastAsia="zh-CN"/>
        </w:rPr>
        <w:t>, Van Cutsem E, Feyereislova A, Chung HC, Shen L, Sawaki A, Lordick F, Ohtsu A, Omuro Y, Satoh T, Aprile G, Kulikov E, Hill J, Lehle M, Rüschoff J, Kang YK; ToGA Trial Investigators. Trastuzumab in combination with chemotherapy versus chemotherapy alone for treatment of HER2-positive advanced gastric or gastro-oesophageal junction cancer (ToGA): a phase 3, open-label, randomised controlled trial. </w:t>
      </w:r>
      <w:r w:rsidRPr="00851544">
        <w:rPr>
          <w:rFonts w:ascii="Book Antiqua" w:eastAsia="SimSun" w:hAnsi="Book Antiqua" w:cs="SimSun"/>
          <w:i/>
          <w:iCs/>
          <w:color w:val="000000"/>
          <w:sz w:val="24"/>
          <w:szCs w:val="24"/>
          <w:lang w:val="en-US" w:eastAsia="zh-CN"/>
        </w:rPr>
        <w:t>Lancet</w:t>
      </w:r>
      <w:r w:rsidRPr="00851544">
        <w:rPr>
          <w:rFonts w:ascii="Book Antiqua" w:eastAsia="SimSun" w:hAnsi="Book Antiqua" w:cs="SimSun"/>
          <w:color w:val="000000"/>
          <w:sz w:val="24"/>
          <w:szCs w:val="24"/>
          <w:lang w:val="en-US" w:eastAsia="zh-CN"/>
        </w:rPr>
        <w:t> 2010; </w:t>
      </w:r>
      <w:r w:rsidRPr="00851544">
        <w:rPr>
          <w:rFonts w:ascii="Book Antiqua" w:eastAsia="SimSun" w:hAnsi="Book Antiqua" w:cs="SimSun"/>
          <w:b/>
          <w:bCs/>
          <w:color w:val="000000"/>
          <w:sz w:val="24"/>
          <w:szCs w:val="24"/>
          <w:lang w:val="en-US" w:eastAsia="zh-CN"/>
        </w:rPr>
        <w:t>376</w:t>
      </w:r>
      <w:r w:rsidRPr="00851544">
        <w:rPr>
          <w:rFonts w:ascii="Book Antiqua" w:eastAsia="SimSun" w:hAnsi="Book Antiqua" w:cs="SimSun"/>
          <w:color w:val="000000"/>
          <w:sz w:val="24"/>
          <w:szCs w:val="24"/>
          <w:lang w:val="en-US" w:eastAsia="zh-CN"/>
        </w:rPr>
        <w:t>: 687-697 [PMID: 20728210 DOI: 10.1016/S0140-6736(10)61121-X]</w:t>
      </w:r>
    </w:p>
    <w:p w:rsidR="00CE72EE" w:rsidRPr="00851544" w:rsidRDefault="00CE72EE" w:rsidP="00746849">
      <w:pPr>
        <w:adjustRightInd w:val="0"/>
        <w:snapToGrid w:val="0"/>
        <w:spacing w:after="0" w:line="360" w:lineRule="auto"/>
        <w:jc w:val="both"/>
        <w:rPr>
          <w:rFonts w:ascii="Book Antiqua" w:eastAsia="SimSun" w:hAnsi="Book Antiqua" w:cs="SimSun"/>
          <w:color w:val="000000"/>
          <w:sz w:val="24"/>
          <w:szCs w:val="24"/>
          <w:lang w:val="en-US" w:eastAsia="zh-CN"/>
        </w:rPr>
      </w:pPr>
      <w:r w:rsidRPr="00851544">
        <w:rPr>
          <w:rFonts w:ascii="Book Antiqua" w:eastAsia="SimSun" w:hAnsi="Book Antiqua" w:cs="SimSun"/>
          <w:color w:val="000000"/>
          <w:sz w:val="24"/>
          <w:szCs w:val="24"/>
          <w:lang w:val="en-US" w:eastAsia="zh-CN"/>
        </w:rPr>
        <w:t>19 </w:t>
      </w:r>
      <w:r w:rsidRPr="00851544">
        <w:rPr>
          <w:rFonts w:ascii="Book Antiqua" w:eastAsia="SimSun" w:hAnsi="Book Antiqua" w:cs="SimSun"/>
          <w:b/>
          <w:bCs/>
          <w:color w:val="000000"/>
          <w:sz w:val="24"/>
          <w:szCs w:val="24"/>
          <w:lang w:val="en-US" w:eastAsia="zh-CN"/>
        </w:rPr>
        <w:t>Chun JH</w:t>
      </w:r>
      <w:r w:rsidRPr="00851544">
        <w:rPr>
          <w:rFonts w:ascii="Book Antiqua" w:eastAsia="SimSun" w:hAnsi="Book Antiqua" w:cs="SimSun"/>
          <w:color w:val="000000"/>
          <w:sz w:val="24"/>
          <w:szCs w:val="24"/>
          <w:lang w:val="en-US" w:eastAsia="zh-CN"/>
        </w:rPr>
        <w:t>, Kim HK, Lee JS, Choi JY, Lee HG, Yoon SM, Choi IJ, Ryu KW, Kim YW, Bae JM. Weekly irinotecan in patients with metastatic gastric cancer failing cisplatin-based chemotherapy. </w:t>
      </w:r>
      <w:r w:rsidRPr="00851544">
        <w:rPr>
          <w:rFonts w:ascii="Book Antiqua" w:eastAsia="SimSun" w:hAnsi="Book Antiqua" w:cs="SimSun"/>
          <w:i/>
          <w:iCs/>
          <w:color w:val="000000"/>
          <w:sz w:val="24"/>
          <w:szCs w:val="24"/>
          <w:lang w:val="en-US" w:eastAsia="zh-CN"/>
        </w:rPr>
        <w:t>Jpn J Clin Oncol</w:t>
      </w:r>
      <w:r w:rsidRPr="00851544">
        <w:rPr>
          <w:rFonts w:ascii="Book Antiqua" w:eastAsia="SimSun" w:hAnsi="Book Antiqua" w:cs="SimSun"/>
          <w:color w:val="000000"/>
          <w:sz w:val="24"/>
          <w:szCs w:val="24"/>
          <w:lang w:val="en-US" w:eastAsia="zh-CN"/>
        </w:rPr>
        <w:t> 2004; </w:t>
      </w:r>
      <w:r w:rsidRPr="00851544">
        <w:rPr>
          <w:rFonts w:ascii="Book Antiqua" w:eastAsia="SimSun" w:hAnsi="Book Antiqua" w:cs="SimSun"/>
          <w:b/>
          <w:bCs/>
          <w:color w:val="000000"/>
          <w:sz w:val="24"/>
          <w:szCs w:val="24"/>
          <w:lang w:val="en-US" w:eastAsia="zh-CN"/>
        </w:rPr>
        <w:t>34</w:t>
      </w:r>
      <w:r w:rsidRPr="00851544">
        <w:rPr>
          <w:rFonts w:ascii="Book Antiqua" w:eastAsia="SimSun" w:hAnsi="Book Antiqua" w:cs="SimSun"/>
          <w:color w:val="000000"/>
          <w:sz w:val="24"/>
          <w:szCs w:val="24"/>
          <w:lang w:val="en-US" w:eastAsia="zh-CN"/>
        </w:rPr>
        <w:t>: 8-13 [PMID: 15020657 DOI: 10.1093/jjco/hyh006]</w:t>
      </w:r>
    </w:p>
    <w:p w:rsidR="00CE72EE" w:rsidRPr="00851544" w:rsidRDefault="00CE72EE" w:rsidP="00746849">
      <w:pPr>
        <w:adjustRightInd w:val="0"/>
        <w:snapToGrid w:val="0"/>
        <w:spacing w:after="0" w:line="360" w:lineRule="auto"/>
        <w:jc w:val="both"/>
        <w:rPr>
          <w:rFonts w:ascii="Book Antiqua" w:eastAsia="SimSun" w:hAnsi="Book Antiqua" w:cs="SimSun"/>
          <w:color w:val="000000"/>
          <w:sz w:val="24"/>
          <w:szCs w:val="24"/>
          <w:lang w:val="en-US" w:eastAsia="zh-CN"/>
        </w:rPr>
      </w:pPr>
      <w:r w:rsidRPr="00851544">
        <w:rPr>
          <w:rFonts w:ascii="Book Antiqua" w:eastAsia="SimSun" w:hAnsi="Book Antiqua" w:cs="SimSun"/>
          <w:color w:val="000000"/>
          <w:sz w:val="24"/>
          <w:szCs w:val="24"/>
          <w:lang w:val="en-US" w:eastAsia="zh-CN"/>
        </w:rPr>
        <w:t>20 </w:t>
      </w:r>
      <w:r w:rsidRPr="00851544">
        <w:rPr>
          <w:rFonts w:ascii="Book Antiqua" w:eastAsia="SimSun" w:hAnsi="Book Antiqua" w:cs="SimSun"/>
          <w:b/>
          <w:bCs/>
          <w:color w:val="000000"/>
          <w:sz w:val="24"/>
          <w:szCs w:val="24"/>
          <w:lang w:val="en-US" w:eastAsia="zh-CN"/>
        </w:rPr>
        <w:t>Mochizuki Y</w:t>
      </w:r>
      <w:r w:rsidRPr="00851544">
        <w:rPr>
          <w:rFonts w:ascii="Book Antiqua" w:eastAsia="SimSun" w:hAnsi="Book Antiqua" w:cs="SimSun"/>
          <w:color w:val="000000"/>
          <w:sz w:val="24"/>
          <w:szCs w:val="24"/>
          <w:lang w:val="en-US" w:eastAsia="zh-CN"/>
        </w:rPr>
        <w:t>, Ohashi N, Kojima H, Ishigure K, Kinoshita T, Eguchi T, Fujitake S, Ito S, Fujiwara M, Kodera Y. CPT-11 as a second-line treatment for patients with advanced/metastatic gastric cancer who failed S-1 (CCOG0702). </w:t>
      </w:r>
      <w:r w:rsidRPr="00851544">
        <w:rPr>
          <w:rFonts w:ascii="Book Antiqua" w:eastAsia="SimSun" w:hAnsi="Book Antiqua" w:cs="SimSun"/>
          <w:i/>
          <w:iCs/>
          <w:color w:val="000000"/>
          <w:sz w:val="24"/>
          <w:szCs w:val="24"/>
          <w:lang w:val="en-US" w:eastAsia="zh-CN"/>
        </w:rPr>
        <w:t>Cancer Chemother Pharmacol</w:t>
      </w:r>
      <w:r w:rsidRPr="00851544">
        <w:rPr>
          <w:rFonts w:ascii="Book Antiqua" w:eastAsia="SimSun" w:hAnsi="Book Antiqua" w:cs="SimSun"/>
          <w:color w:val="000000"/>
          <w:sz w:val="24"/>
          <w:szCs w:val="24"/>
          <w:lang w:val="en-US" w:eastAsia="zh-CN"/>
        </w:rPr>
        <w:t> 2013; </w:t>
      </w:r>
      <w:r w:rsidRPr="00851544">
        <w:rPr>
          <w:rFonts w:ascii="Book Antiqua" w:eastAsia="SimSun" w:hAnsi="Book Antiqua" w:cs="SimSun"/>
          <w:b/>
          <w:bCs/>
          <w:color w:val="000000"/>
          <w:sz w:val="24"/>
          <w:szCs w:val="24"/>
          <w:lang w:val="en-US" w:eastAsia="zh-CN"/>
        </w:rPr>
        <w:t>72</w:t>
      </w:r>
      <w:r w:rsidRPr="00851544">
        <w:rPr>
          <w:rFonts w:ascii="Book Antiqua" w:eastAsia="SimSun" w:hAnsi="Book Antiqua" w:cs="SimSun"/>
          <w:color w:val="000000"/>
          <w:sz w:val="24"/>
          <w:szCs w:val="24"/>
          <w:lang w:val="en-US" w:eastAsia="zh-CN"/>
        </w:rPr>
        <w:t>: 629-635 [PMID: 23881212 DOI: 10.1007/s00280-013-2235-5]</w:t>
      </w:r>
    </w:p>
    <w:p w:rsidR="00CE72EE" w:rsidRPr="00851544" w:rsidRDefault="00CE72EE" w:rsidP="00746849">
      <w:pPr>
        <w:adjustRightInd w:val="0"/>
        <w:snapToGrid w:val="0"/>
        <w:spacing w:after="0" w:line="360" w:lineRule="auto"/>
        <w:jc w:val="both"/>
        <w:rPr>
          <w:rFonts w:ascii="Book Antiqua" w:eastAsia="SimSun" w:hAnsi="Book Antiqua" w:cs="SimSun"/>
          <w:color w:val="000000"/>
          <w:sz w:val="24"/>
          <w:szCs w:val="24"/>
          <w:lang w:val="en-US" w:eastAsia="zh-CN"/>
        </w:rPr>
      </w:pPr>
      <w:r w:rsidRPr="00851544">
        <w:rPr>
          <w:rFonts w:ascii="Book Antiqua" w:eastAsia="SimSun" w:hAnsi="Book Antiqua" w:cs="SimSun"/>
          <w:color w:val="000000"/>
          <w:sz w:val="24"/>
          <w:szCs w:val="24"/>
          <w:lang w:val="en-US" w:eastAsia="zh-CN"/>
        </w:rPr>
        <w:t>21 </w:t>
      </w:r>
      <w:r w:rsidRPr="00851544">
        <w:rPr>
          <w:rFonts w:ascii="Book Antiqua" w:eastAsia="SimSun" w:hAnsi="Book Antiqua" w:cs="SimSun"/>
          <w:b/>
          <w:bCs/>
          <w:color w:val="000000"/>
          <w:sz w:val="24"/>
          <w:szCs w:val="24"/>
          <w:lang w:val="en-US" w:eastAsia="zh-CN"/>
        </w:rPr>
        <w:t>Cascinu S</w:t>
      </w:r>
      <w:r w:rsidRPr="00851544">
        <w:rPr>
          <w:rFonts w:ascii="Book Antiqua" w:eastAsia="SimSun" w:hAnsi="Book Antiqua" w:cs="SimSun"/>
          <w:color w:val="000000"/>
          <w:sz w:val="24"/>
          <w:szCs w:val="24"/>
          <w:lang w:val="en-US" w:eastAsia="zh-CN"/>
        </w:rPr>
        <w:t>, Graziano F, Cardarelli N, Marcellini M, Giordani P, Menichetti ET, Catalano G. Phase II study of paclitaxel in pretreated advanced gastric cancer. </w:t>
      </w:r>
      <w:r w:rsidRPr="00851544">
        <w:rPr>
          <w:rFonts w:ascii="Book Antiqua" w:eastAsia="SimSun" w:hAnsi="Book Antiqua" w:cs="SimSun"/>
          <w:i/>
          <w:iCs/>
          <w:color w:val="000000"/>
          <w:sz w:val="24"/>
          <w:szCs w:val="24"/>
          <w:lang w:val="en-US" w:eastAsia="zh-CN"/>
        </w:rPr>
        <w:t>Anticancer Drugs</w:t>
      </w:r>
      <w:r w:rsidRPr="00851544">
        <w:rPr>
          <w:rFonts w:ascii="Book Antiqua" w:eastAsia="SimSun" w:hAnsi="Book Antiqua" w:cs="SimSun"/>
          <w:color w:val="000000"/>
          <w:sz w:val="24"/>
          <w:szCs w:val="24"/>
          <w:lang w:val="en-US" w:eastAsia="zh-CN"/>
        </w:rPr>
        <w:t> 1998; </w:t>
      </w:r>
      <w:r w:rsidRPr="00851544">
        <w:rPr>
          <w:rFonts w:ascii="Book Antiqua" w:eastAsia="SimSun" w:hAnsi="Book Antiqua" w:cs="SimSun"/>
          <w:b/>
          <w:bCs/>
          <w:color w:val="000000"/>
          <w:sz w:val="24"/>
          <w:szCs w:val="24"/>
          <w:lang w:val="en-US" w:eastAsia="zh-CN"/>
        </w:rPr>
        <w:t>9</w:t>
      </w:r>
      <w:r w:rsidRPr="00851544">
        <w:rPr>
          <w:rFonts w:ascii="Book Antiqua" w:eastAsia="SimSun" w:hAnsi="Book Antiqua" w:cs="SimSun"/>
          <w:color w:val="000000"/>
          <w:sz w:val="24"/>
          <w:szCs w:val="24"/>
          <w:lang w:val="en-US" w:eastAsia="zh-CN"/>
        </w:rPr>
        <w:t>: 307-310 [PMID: 9635920]</w:t>
      </w:r>
    </w:p>
    <w:p w:rsidR="00CE72EE" w:rsidRPr="00851544" w:rsidRDefault="00CE72EE" w:rsidP="00746849">
      <w:pPr>
        <w:adjustRightInd w:val="0"/>
        <w:snapToGrid w:val="0"/>
        <w:spacing w:after="0" w:line="360" w:lineRule="auto"/>
        <w:jc w:val="both"/>
        <w:rPr>
          <w:rFonts w:ascii="Book Antiqua" w:eastAsia="SimSun" w:hAnsi="Book Antiqua" w:cs="SimSun"/>
          <w:color w:val="000000"/>
          <w:sz w:val="24"/>
          <w:szCs w:val="24"/>
          <w:lang w:val="en-US" w:eastAsia="zh-CN"/>
        </w:rPr>
      </w:pPr>
      <w:r w:rsidRPr="00851544">
        <w:rPr>
          <w:rFonts w:ascii="Book Antiqua" w:eastAsia="SimSun" w:hAnsi="Book Antiqua" w:cs="SimSun"/>
          <w:color w:val="000000"/>
          <w:sz w:val="24"/>
          <w:szCs w:val="24"/>
          <w:lang w:val="en-US" w:eastAsia="zh-CN"/>
        </w:rPr>
        <w:t>22 </w:t>
      </w:r>
      <w:r w:rsidRPr="00851544">
        <w:rPr>
          <w:rFonts w:ascii="Book Antiqua" w:eastAsia="SimSun" w:hAnsi="Book Antiqua" w:cs="SimSun"/>
          <w:b/>
          <w:bCs/>
          <w:color w:val="000000"/>
          <w:sz w:val="24"/>
          <w:szCs w:val="24"/>
          <w:lang w:val="en-US" w:eastAsia="zh-CN"/>
        </w:rPr>
        <w:t>Hironaka S</w:t>
      </w:r>
      <w:r w:rsidRPr="00851544">
        <w:rPr>
          <w:rFonts w:ascii="Book Antiqua" w:eastAsia="SimSun" w:hAnsi="Book Antiqua" w:cs="SimSun"/>
          <w:color w:val="000000"/>
          <w:sz w:val="24"/>
          <w:szCs w:val="24"/>
          <w:lang w:val="en-US" w:eastAsia="zh-CN"/>
        </w:rPr>
        <w:t>, Zenda S, Boku N, Fukutomi A, Yoshino T, Onozawa Y. Weekly paclitaxel as second-line chemotherapy for advanced or recurrent gastric cancer. </w:t>
      </w:r>
      <w:r w:rsidRPr="00851544">
        <w:rPr>
          <w:rFonts w:ascii="Book Antiqua" w:eastAsia="SimSun" w:hAnsi="Book Antiqua" w:cs="SimSun"/>
          <w:i/>
          <w:iCs/>
          <w:color w:val="000000"/>
          <w:sz w:val="24"/>
          <w:szCs w:val="24"/>
          <w:lang w:val="en-US" w:eastAsia="zh-CN"/>
        </w:rPr>
        <w:t>Gastric Cancer</w:t>
      </w:r>
      <w:r w:rsidRPr="00851544">
        <w:rPr>
          <w:rFonts w:ascii="Book Antiqua" w:eastAsia="SimSun" w:hAnsi="Book Antiqua" w:cs="SimSun"/>
          <w:color w:val="000000"/>
          <w:sz w:val="24"/>
          <w:szCs w:val="24"/>
          <w:lang w:val="en-US" w:eastAsia="zh-CN"/>
        </w:rPr>
        <w:t> 2006; </w:t>
      </w:r>
      <w:r w:rsidRPr="00851544">
        <w:rPr>
          <w:rFonts w:ascii="Book Antiqua" w:eastAsia="SimSun" w:hAnsi="Book Antiqua" w:cs="SimSun"/>
          <w:b/>
          <w:bCs/>
          <w:color w:val="000000"/>
          <w:sz w:val="24"/>
          <w:szCs w:val="24"/>
          <w:lang w:val="en-US" w:eastAsia="zh-CN"/>
        </w:rPr>
        <w:t>9</w:t>
      </w:r>
      <w:r w:rsidRPr="00851544">
        <w:rPr>
          <w:rFonts w:ascii="Book Antiqua" w:eastAsia="SimSun" w:hAnsi="Book Antiqua" w:cs="SimSun"/>
          <w:color w:val="000000"/>
          <w:sz w:val="24"/>
          <w:szCs w:val="24"/>
          <w:lang w:val="en-US" w:eastAsia="zh-CN"/>
        </w:rPr>
        <w:t>: 14-18 [PMID: 16557431 DOI: 10.1007/s10120-005-0351-6]</w:t>
      </w:r>
    </w:p>
    <w:p w:rsidR="00CE72EE" w:rsidRPr="00851544" w:rsidRDefault="00CE72EE" w:rsidP="00746849">
      <w:pPr>
        <w:adjustRightInd w:val="0"/>
        <w:snapToGrid w:val="0"/>
        <w:spacing w:after="0" w:line="360" w:lineRule="auto"/>
        <w:jc w:val="both"/>
        <w:rPr>
          <w:rFonts w:ascii="Book Antiqua" w:eastAsia="SimSun" w:hAnsi="Book Antiqua" w:cs="SimSun"/>
          <w:color w:val="000000"/>
          <w:sz w:val="24"/>
          <w:szCs w:val="24"/>
          <w:lang w:val="en-US" w:eastAsia="zh-CN"/>
        </w:rPr>
      </w:pPr>
      <w:r w:rsidRPr="00851544">
        <w:rPr>
          <w:rFonts w:ascii="Book Antiqua" w:eastAsia="SimSun" w:hAnsi="Book Antiqua" w:cs="SimSun"/>
          <w:color w:val="000000"/>
          <w:sz w:val="24"/>
          <w:szCs w:val="24"/>
          <w:lang w:val="en-US" w:eastAsia="zh-CN"/>
        </w:rPr>
        <w:t>23 </w:t>
      </w:r>
      <w:r w:rsidRPr="00851544">
        <w:rPr>
          <w:rFonts w:ascii="Book Antiqua" w:eastAsia="SimSun" w:hAnsi="Book Antiqua" w:cs="SimSun"/>
          <w:b/>
          <w:bCs/>
          <w:color w:val="000000"/>
          <w:sz w:val="24"/>
          <w:szCs w:val="24"/>
          <w:lang w:val="en-US" w:eastAsia="zh-CN"/>
        </w:rPr>
        <w:t>Kodera Y</w:t>
      </w:r>
      <w:r w:rsidRPr="00851544">
        <w:rPr>
          <w:rFonts w:ascii="Book Antiqua" w:eastAsia="SimSun" w:hAnsi="Book Antiqua" w:cs="SimSun"/>
          <w:color w:val="000000"/>
          <w:sz w:val="24"/>
          <w:szCs w:val="24"/>
          <w:lang w:val="en-US" w:eastAsia="zh-CN"/>
        </w:rPr>
        <w:t>, Ito S, Mochizuki Y, Fujitake S, Koshikawa K, Kanyama Y, Matsui T, Kojima H, Takase T, Ohashi N, Fujiwara M, Sakamoto J, Akimasa N; Chubu Clinical Cancer Group. A phase II study of weekly paclitaxel as second-line chemotherapy for advanced gastric Cancer (CCOG0302 study). </w:t>
      </w:r>
      <w:r w:rsidRPr="00851544">
        <w:rPr>
          <w:rFonts w:ascii="Book Antiqua" w:eastAsia="SimSun" w:hAnsi="Book Antiqua" w:cs="SimSun"/>
          <w:i/>
          <w:iCs/>
          <w:color w:val="000000"/>
          <w:sz w:val="24"/>
          <w:szCs w:val="24"/>
          <w:lang w:val="en-US" w:eastAsia="zh-CN"/>
        </w:rPr>
        <w:t>Anticancer Res</w:t>
      </w:r>
      <w:r w:rsidRPr="00851544">
        <w:rPr>
          <w:rFonts w:ascii="Book Antiqua" w:eastAsia="SimSun" w:hAnsi="Book Antiqua" w:cs="SimSun"/>
          <w:color w:val="000000"/>
          <w:sz w:val="24"/>
          <w:szCs w:val="24"/>
          <w:lang w:val="en-US" w:eastAsia="zh-CN"/>
        </w:rPr>
        <w:t> 2007; </w:t>
      </w:r>
      <w:r w:rsidRPr="00851544">
        <w:rPr>
          <w:rFonts w:ascii="Book Antiqua" w:eastAsia="SimSun" w:hAnsi="Book Antiqua" w:cs="SimSun"/>
          <w:b/>
          <w:bCs/>
          <w:color w:val="000000"/>
          <w:sz w:val="24"/>
          <w:szCs w:val="24"/>
          <w:lang w:val="en-US" w:eastAsia="zh-CN"/>
        </w:rPr>
        <w:t>27</w:t>
      </w:r>
      <w:r w:rsidRPr="00851544">
        <w:rPr>
          <w:rFonts w:ascii="Book Antiqua" w:eastAsia="SimSun" w:hAnsi="Book Antiqua" w:cs="SimSun"/>
          <w:color w:val="000000"/>
          <w:sz w:val="24"/>
          <w:szCs w:val="24"/>
          <w:lang w:val="en-US" w:eastAsia="zh-CN"/>
        </w:rPr>
        <w:t>: 2667-2671 [PMID: 17695430]</w:t>
      </w:r>
    </w:p>
    <w:p w:rsidR="00CE72EE" w:rsidRPr="00851544" w:rsidRDefault="00CE72EE" w:rsidP="00746849">
      <w:pPr>
        <w:adjustRightInd w:val="0"/>
        <w:snapToGrid w:val="0"/>
        <w:spacing w:after="0" w:line="360" w:lineRule="auto"/>
        <w:jc w:val="both"/>
        <w:rPr>
          <w:rFonts w:ascii="Book Antiqua" w:eastAsia="SimSun" w:hAnsi="Book Antiqua" w:cs="SimSun"/>
          <w:color w:val="000000"/>
          <w:sz w:val="24"/>
          <w:szCs w:val="24"/>
          <w:lang w:val="en-US" w:eastAsia="zh-CN"/>
        </w:rPr>
      </w:pPr>
      <w:r w:rsidRPr="00851544">
        <w:rPr>
          <w:rFonts w:ascii="Book Antiqua" w:eastAsia="SimSun" w:hAnsi="Book Antiqua" w:cs="SimSun"/>
          <w:color w:val="000000"/>
          <w:sz w:val="24"/>
          <w:szCs w:val="24"/>
          <w:lang w:val="en-US" w:eastAsia="zh-CN"/>
        </w:rPr>
        <w:t>24 </w:t>
      </w:r>
      <w:r w:rsidRPr="00851544">
        <w:rPr>
          <w:rFonts w:ascii="Book Antiqua" w:eastAsia="SimSun" w:hAnsi="Book Antiqua" w:cs="SimSun"/>
          <w:b/>
          <w:bCs/>
          <w:color w:val="000000"/>
          <w:sz w:val="24"/>
          <w:szCs w:val="24"/>
          <w:lang w:val="en-US" w:eastAsia="zh-CN"/>
        </w:rPr>
        <w:t>Giuliani F</w:t>
      </w:r>
      <w:r w:rsidRPr="00851544">
        <w:rPr>
          <w:rFonts w:ascii="Book Antiqua" w:eastAsia="SimSun" w:hAnsi="Book Antiqua" w:cs="SimSun"/>
          <w:color w:val="000000"/>
          <w:sz w:val="24"/>
          <w:szCs w:val="24"/>
          <w:lang w:val="en-US" w:eastAsia="zh-CN"/>
        </w:rPr>
        <w:t>, Gebbia V, De Vita F, Maiello E, Di Bisceglie M, Catalano G, Gebbia N, Colucci G. Docetaxel as salvage therapy in advanced gastric cancer: a phase II study of the Gruppo Oncologico Italia Meridionale (G.O.I.M.). </w:t>
      </w:r>
      <w:r w:rsidRPr="00851544">
        <w:rPr>
          <w:rFonts w:ascii="Book Antiqua" w:eastAsia="SimSun" w:hAnsi="Book Antiqua" w:cs="SimSun"/>
          <w:i/>
          <w:iCs/>
          <w:color w:val="000000"/>
          <w:sz w:val="24"/>
          <w:szCs w:val="24"/>
          <w:lang w:val="en-US" w:eastAsia="zh-CN"/>
        </w:rPr>
        <w:t>Anticancer Res</w:t>
      </w:r>
      <w:r w:rsidRPr="00851544">
        <w:rPr>
          <w:rFonts w:ascii="Book Antiqua" w:eastAsia="SimSun" w:hAnsi="Book Antiqua" w:cs="SimSun"/>
          <w:color w:val="000000"/>
          <w:sz w:val="24"/>
          <w:szCs w:val="24"/>
          <w:lang w:val="en-US" w:eastAsia="zh-CN"/>
        </w:rPr>
        <w:t> 2003; </w:t>
      </w:r>
      <w:r w:rsidRPr="00851544">
        <w:rPr>
          <w:rFonts w:ascii="Book Antiqua" w:eastAsia="SimSun" w:hAnsi="Book Antiqua" w:cs="SimSun"/>
          <w:b/>
          <w:bCs/>
          <w:color w:val="000000"/>
          <w:sz w:val="24"/>
          <w:szCs w:val="24"/>
          <w:lang w:val="en-US" w:eastAsia="zh-CN"/>
        </w:rPr>
        <w:t>23</w:t>
      </w:r>
      <w:r w:rsidRPr="00851544">
        <w:rPr>
          <w:rFonts w:ascii="Book Antiqua" w:eastAsia="SimSun" w:hAnsi="Book Antiqua" w:cs="SimSun"/>
          <w:color w:val="000000"/>
          <w:sz w:val="24"/>
          <w:szCs w:val="24"/>
          <w:lang w:val="en-US" w:eastAsia="zh-CN"/>
        </w:rPr>
        <w:t>: 4219-4222 [PMID: 14666628]</w:t>
      </w:r>
    </w:p>
    <w:p w:rsidR="00CE72EE" w:rsidRPr="00851544" w:rsidRDefault="00CE72EE" w:rsidP="00746849">
      <w:pPr>
        <w:adjustRightInd w:val="0"/>
        <w:snapToGrid w:val="0"/>
        <w:spacing w:after="0" w:line="360" w:lineRule="auto"/>
        <w:jc w:val="both"/>
        <w:rPr>
          <w:rFonts w:ascii="Book Antiqua" w:eastAsia="SimSun" w:hAnsi="Book Antiqua" w:cs="SimSun"/>
          <w:color w:val="000000"/>
          <w:sz w:val="24"/>
          <w:szCs w:val="24"/>
          <w:lang w:val="en-US" w:eastAsia="zh-CN"/>
        </w:rPr>
      </w:pPr>
      <w:r w:rsidRPr="00851544">
        <w:rPr>
          <w:rFonts w:ascii="Book Antiqua" w:eastAsia="SimSun" w:hAnsi="Book Antiqua" w:cs="SimSun"/>
          <w:color w:val="000000"/>
          <w:sz w:val="24"/>
          <w:szCs w:val="24"/>
          <w:lang w:val="en-US" w:eastAsia="zh-CN"/>
        </w:rPr>
        <w:t>25 </w:t>
      </w:r>
      <w:r w:rsidRPr="00851544">
        <w:rPr>
          <w:rFonts w:ascii="Book Antiqua" w:eastAsia="SimSun" w:hAnsi="Book Antiqua" w:cs="SimSun"/>
          <w:b/>
          <w:bCs/>
          <w:color w:val="000000"/>
          <w:sz w:val="24"/>
          <w:szCs w:val="24"/>
          <w:lang w:val="en-US" w:eastAsia="zh-CN"/>
        </w:rPr>
        <w:t>Jo JC</w:t>
      </w:r>
      <w:r w:rsidRPr="00851544">
        <w:rPr>
          <w:rFonts w:ascii="Book Antiqua" w:eastAsia="SimSun" w:hAnsi="Book Antiqua" w:cs="SimSun"/>
          <w:color w:val="000000"/>
          <w:sz w:val="24"/>
          <w:szCs w:val="24"/>
          <w:lang w:val="en-US" w:eastAsia="zh-CN"/>
        </w:rPr>
        <w:t>, Lee JL, Ryu MH, Sym SJ, Lee SS, Chang HM, Kim TW, Lee JS, Kang YK. Docetaxel monotherapy as a second-line treatment after failure of fluoropyrimidine and platinum in advanced gastric cancer: experience of 154 patients with prognostic factor analysis. </w:t>
      </w:r>
      <w:r w:rsidRPr="00851544">
        <w:rPr>
          <w:rFonts w:ascii="Book Antiqua" w:eastAsia="SimSun" w:hAnsi="Book Antiqua" w:cs="SimSun"/>
          <w:i/>
          <w:iCs/>
          <w:color w:val="000000"/>
          <w:sz w:val="24"/>
          <w:szCs w:val="24"/>
          <w:lang w:val="en-US" w:eastAsia="zh-CN"/>
        </w:rPr>
        <w:t>Jpn J Clin Oncol</w:t>
      </w:r>
      <w:r w:rsidRPr="00851544">
        <w:rPr>
          <w:rFonts w:ascii="Book Antiqua" w:eastAsia="SimSun" w:hAnsi="Book Antiqua" w:cs="SimSun"/>
          <w:color w:val="000000"/>
          <w:sz w:val="24"/>
          <w:szCs w:val="24"/>
          <w:lang w:val="en-US" w:eastAsia="zh-CN"/>
        </w:rPr>
        <w:t> 2007; </w:t>
      </w:r>
      <w:r w:rsidRPr="00851544">
        <w:rPr>
          <w:rFonts w:ascii="Book Antiqua" w:eastAsia="SimSun" w:hAnsi="Book Antiqua" w:cs="SimSun"/>
          <w:b/>
          <w:bCs/>
          <w:color w:val="000000"/>
          <w:sz w:val="24"/>
          <w:szCs w:val="24"/>
          <w:lang w:val="en-US" w:eastAsia="zh-CN"/>
        </w:rPr>
        <w:t>37</w:t>
      </w:r>
      <w:r w:rsidRPr="00851544">
        <w:rPr>
          <w:rFonts w:ascii="Book Antiqua" w:eastAsia="SimSun" w:hAnsi="Book Antiqua" w:cs="SimSun"/>
          <w:color w:val="000000"/>
          <w:sz w:val="24"/>
          <w:szCs w:val="24"/>
          <w:lang w:val="en-US" w:eastAsia="zh-CN"/>
        </w:rPr>
        <w:t>: 936-941 [PMID: 18211985 DOI: 10.1093/jjco/hym123]</w:t>
      </w:r>
    </w:p>
    <w:p w:rsidR="00CE72EE" w:rsidRPr="00851544" w:rsidRDefault="00CE72EE" w:rsidP="00746849">
      <w:pPr>
        <w:adjustRightInd w:val="0"/>
        <w:snapToGrid w:val="0"/>
        <w:spacing w:after="0" w:line="360" w:lineRule="auto"/>
        <w:jc w:val="both"/>
        <w:rPr>
          <w:rFonts w:ascii="Book Antiqua" w:eastAsia="SimSun" w:hAnsi="Book Antiqua" w:cs="SimSun"/>
          <w:color w:val="000000"/>
          <w:sz w:val="24"/>
          <w:szCs w:val="24"/>
          <w:lang w:val="en-US" w:eastAsia="zh-CN"/>
        </w:rPr>
      </w:pPr>
      <w:r w:rsidRPr="00851544">
        <w:rPr>
          <w:rFonts w:ascii="Book Antiqua" w:eastAsia="SimSun" w:hAnsi="Book Antiqua" w:cs="SimSun"/>
          <w:color w:val="000000"/>
          <w:sz w:val="24"/>
          <w:szCs w:val="24"/>
          <w:lang w:val="en-US" w:eastAsia="zh-CN"/>
        </w:rPr>
        <w:lastRenderedPageBreak/>
        <w:t>26 </w:t>
      </w:r>
      <w:r w:rsidRPr="00851544">
        <w:rPr>
          <w:rFonts w:ascii="Book Antiqua" w:eastAsia="SimSun" w:hAnsi="Book Antiqua" w:cs="SimSun"/>
          <w:b/>
          <w:bCs/>
          <w:color w:val="000000"/>
          <w:sz w:val="24"/>
          <w:szCs w:val="24"/>
          <w:lang w:val="en-US" w:eastAsia="zh-CN"/>
        </w:rPr>
        <w:t>Lee JL</w:t>
      </w:r>
      <w:r w:rsidRPr="00851544">
        <w:rPr>
          <w:rFonts w:ascii="Book Antiqua" w:eastAsia="SimSun" w:hAnsi="Book Antiqua" w:cs="SimSun"/>
          <w:color w:val="000000"/>
          <w:sz w:val="24"/>
          <w:szCs w:val="24"/>
          <w:lang w:val="en-US" w:eastAsia="zh-CN"/>
        </w:rPr>
        <w:t>, Ryu MH, Chang HM, Kim TW, Yook JH, Oh ST, Kim BS, Kim M, Chun YJ, Lee JS, Kang YK. A phase II study of docetaxel as salvage chemotherapy in advanced gastric cancer after failure of fluoropyrimidine and platinum combination chemotherapy. </w:t>
      </w:r>
      <w:r w:rsidRPr="00851544">
        <w:rPr>
          <w:rFonts w:ascii="Book Antiqua" w:eastAsia="SimSun" w:hAnsi="Book Antiqua" w:cs="SimSun"/>
          <w:i/>
          <w:iCs/>
          <w:color w:val="000000"/>
          <w:sz w:val="24"/>
          <w:szCs w:val="24"/>
          <w:lang w:val="en-US" w:eastAsia="zh-CN"/>
        </w:rPr>
        <w:t>Cancer Chemother Pharmacol</w:t>
      </w:r>
      <w:r w:rsidRPr="00851544">
        <w:rPr>
          <w:rFonts w:ascii="Book Antiqua" w:eastAsia="SimSun" w:hAnsi="Book Antiqua" w:cs="SimSun"/>
          <w:color w:val="000000"/>
          <w:sz w:val="24"/>
          <w:szCs w:val="24"/>
          <w:lang w:val="en-US" w:eastAsia="zh-CN"/>
        </w:rPr>
        <w:t> 2008; </w:t>
      </w:r>
      <w:r w:rsidRPr="00851544">
        <w:rPr>
          <w:rFonts w:ascii="Book Antiqua" w:eastAsia="SimSun" w:hAnsi="Book Antiqua" w:cs="SimSun"/>
          <w:b/>
          <w:bCs/>
          <w:color w:val="000000"/>
          <w:sz w:val="24"/>
          <w:szCs w:val="24"/>
          <w:lang w:val="en-US" w:eastAsia="zh-CN"/>
        </w:rPr>
        <w:t>61</w:t>
      </w:r>
      <w:r w:rsidRPr="00851544">
        <w:rPr>
          <w:rFonts w:ascii="Book Antiqua" w:eastAsia="SimSun" w:hAnsi="Book Antiqua" w:cs="SimSun"/>
          <w:color w:val="000000"/>
          <w:sz w:val="24"/>
          <w:szCs w:val="24"/>
          <w:lang w:val="en-US" w:eastAsia="zh-CN"/>
        </w:rPr>
        <w:t>: 631-637 [PMID: 17520252 DOI: 10.1007/s00280-007-0516-6]</w:t>
      </w:r>
    </w:p>
    <w:p w:rsidR="00CE72EE" w:rsidRPr="00851544" w:rsidRDefault="00CE72EE" w:rsidP="00746849">
      <w:pPr>
        <w:adjustRightInd w:val="0"/>
        <w:snapToGrid w:val="0"/>
        <w:spacing w:after="0" w:line="360" w:lineRule="auto"/>
        <w:jc w:val="both"/>
        <w:rPr>
          <w:rFonts w:ascii="Book Antiqua" w:eastAsia="SimSun" w:hAnsi="Book Antiqua" w:cs="SimSun"/>
          <w:color w:val="000000"/>
          <w:sz w:val="24"/>
          <w:szCs w:val="24"/>
          <w:lang w:val="en-US" w:eastAsia="zh-CN"/>
        </w:rPr>
      </w:pPr>
      <w:r w:rsidRPr="00851544">
        <w:rPr>
          <w:rFonts w:ascii="Book Antiqua" w:eastAsia="SimSun" w:hAnsi="Book Antiqua" w:cs="SimSun"/>
          <w:color w:val="000000"/>
          <w:sz w:val="24"/>
          <w:szCs w:val="24"/>
          <w:lang w:val="en-US" w:eastAsia="zh-CN"/>
        </w:rPr>
        <w:t>27 </w:t>
      </w:r>
      <w:r w:rsidRPr="00851544">
        <w:rPr>
          <w:rFonts w:ascii="Book Antiqua" w:eastAsia="SimSun" w:hAnsi="Book Antiqua" w:cs="SimSun"/>
          <w:b/>
          <w:bCs/>
          <w:color w:val="000000"/>
          <w:sz w:val="24"/>
          <w:szCs w:val="24"/>
          <w:lang w:val="en-US" w:eastAsia="zh-CN"/>
        </w:rPr>
        <w:t>Sasaki Y</w:t>
      </w:r>
      <w:r w:rsidRPr="00851544">
        <w:rPr>
          <w:rFonts w:ascii="Book Antiqua" w:eastAsia="SimSun" w:hAnsi="Book Antiqua" w:cs="SimSun"/>
          <w:color w:val="000000"/>
          <w:sz w:val="24"/>
          <w:szCs w:val="24"/>
          <w:lang w:val="en-US" w:eastAsia="zh-CN"/>
        </w:rPr>
        <w:t>, Nishina T, Yasui H, Goto M, Muro K, Tsuji A, Koizumi W, Toh Y, Hara T, Miyata Y. Phase II trial of nanoparticle albumin-bound paclitaxel as second-line chemotherapy for unresectable or recurrent gastric cancer. </w:t>
      </w:r>
      <w:r w:rsidRPr="00851544">
        <w:rPr>
          <w:rFonts w:ascii="Book Antiqua" w:eastAsia="SimSun" w:hAnsi="Book Antiqua" w:cs="SimSun"/>
          <w:i/>
          <w:iCs/>
          <w:color w:val="000000"/>
          <w:sz w:val="24"/>
          <w:szCs w:val="24"/>
          <w:lang w:val="en-US" w:eastAsia="zh-CN"/>
        </w:rPr>
        <w:t>Cancer Sci</w:t>
      </w:r>
      <w:r w:rsidRPr="00851544">
        <w:rPr>
          <w:rFonts w:ascii="Book Antiqua" w:eastAsia="SimSun" w:hAnsi="Book Antiqua" w:cs="SimSun"/>
          <w:color w:val="000000"/>
          <w:sz w:val="24"/>
          <w:szCs w:val="24"/>
          <w:lang w:val="en-US" w:eastAsia="zh-CN"/>
        </w:rPr>
        <w:t> 2014; </w:t>
      </w:r>
      <w:r w:rsidRPr="00851544">
        <w:rPr>
          <w:rFonts w:ascii="Book Antiqua" w:eastAsia="SimSun" w:hAnsi="Book Antiqua" w:cs="SimSun"/>
          <w:b/>
          <w:bCs/>
          <w:color w:val="000000"/>
          <w:sz w:val="24"/>
          <w:szCs w:val="24"/>
          <w:lang w:val="en-US" w:eastAsia="zh-CN"/>
        </w:rPr>
        <w:t>105</w:t>
      </w:r>
      <w:r w:rsidRPr="00851544">
        <w:rPr>
          <w:rFonts w:ascii="Book Antiqua" w:eastAsia="SimSun" w:hAnsi="Book Antiqua" w:cs="SimSun"/>
          <w:color w:val="000000"/>
          <w:sz w:val="24"/>
          <w:szCs w:val="24"/>
          <w:lang w:val="en-US" w:eastAsia="zh-CN"/>
        </w:rPr>
        <w:t>: 812-817 [PMID: 24716542 DOI: 10.1111/cas.12419]</w:t>
      </w:r>
    </w:p>
    <w:p w:rsidR="00CE72EE" w:rsidRPr="00851544" w:rsidRDefault="00CE72EE" w:rsidP="00746849">
      <w:pPr>
        <w:adjustRightInd w:val="0"/>
        <w:snapToGrid w:val="0"/>
        <w:spacing w:after="0" w:line="360" w:lineRule="auto"/>
        <w:jc w:val="both"/>
        <w:rPr>
          <w:rFonts w:ascii="Book Antiqua" w:eastAsia="SimSun" w:hAnsi="Book Antiqua" w:cs="SimSun"/>
          <w:color w:val="000000"/>
          <w:sz w:val="24"/>
          <w:szCs w:val="24"/>
          <w:lang w:val="en-US" w:eastAsia="zh-CN"/>
        </w:rPr>
      </w:pPr>
      <w:r w:rsidRPr="00851544">
        <w:rPr>
          <w:rFonts w:ascii="Book Antiqua" w:eastAsia="SimSun" w:hAnsi="Book Antiqua" w:cs="SimSun"/>
          <w:color w:val="000000"/>
          <w:sz w:val="24"/>
          <w:szCs w:val="24"/>
          <w:lang w:val="en-US" w:eastAsia="zh-CN"/>
        </w:rPr>
        <w:t>28 </w:t>
      </w:r>
      <w:r w:rsidRPr="00851544">
        <w:rPr>
          <w:rFonts w:ascii="Book Antiqua" w:eastAsia="SimSun" w:hAnsi="Book Antiqua" w:cs="SimSun"/>
          <w:b/>
          <w:bCs/>
          <w:color w:val="000000"/>
          <w:sz w:val="24"/>
          <w:szCs w:val="24"/>
          <w:lang w:val="en-US" w:eastAsia="zh-CN"/>
        </w:rPr>
        <w:t>Zhang DS</w:t>
      </w:r>
      <w:r w:rsidRPr="00851544">
        <w:rPr>
          <w:rFonts w:ascii="Book Antiqua" w:eastAsia="SimSun" w:hAnsi="Book Antiqua" w:cs="SimSun"/>
          <w:color w:val="000000"/>
          <w:sz w:val="24"/>
          <w:szCs w:val="24"/>
          <w:lang w:val="en-US" w:eastAsia="zh-CN"/>
        </w:rPr>
        <w:t>, Jin Y, Luo HY, Wang ZQ, Qiu MZ, Wang FH, Li YH, Xu RH. Pemetrexed for previously treated patients with metastatic gastric cancer: a prospective phase II study. </w:t>
      </w:r>
      <w:r w:rsidRPr="00851544">
        <w:rPr>
          <w:rFonts w:ascii="Book Antiqua" w:eastAsia="SimSun" w:hAnsi="Book Antiqua" w:cs="SimSun"/>
          <w:i/>
          <w:iCs/>
          <w:color w:val="000000"/>
          <w:sz w:val="24"/>
          <w:szCs w:val="24"/>
          <w:lang w:val="en-US" w:eastAsia="zh-CN"/>
        </w:rPr>
        <w:t>Br J Cancer</w:t>
      </w:r>
      <w:r w:rsidRPr="00851544">
        <w:rPr>
          <w:rFonts w:ascii="Book Antiqua" w:eastAsia="SimSun" w:hAnsi="Book Antiqua" w:cs="SimSun"/>
          <w:color w:val="000000"/>
          <w:sz w:val="24"/>
          <w:szCs w:val="24"/>
          <w:lang w:val="en-US" w:eastAsia="zh-CN"/>
        </w:rPr>
        <w:t> 2015; </w:t>
      </w:r>
      <w:r w:rsidRPr="00851544">
        <w:rPr>
          <w:rFonts w:ascii="Book Antiqua" w:eastAsia="SimSun" w:hAnsi="Book Antiqua" w:cs="SimSun"/>
          <w:b/>
          <w:bCs/>
          <w:color w:val="000000"/>
          <w:sz w:val="24"/>
          <w:szCs w:val="24"/>
          <w:lang w:val="en-US" w:eastAsia="zh-CN"/>
        </w:rPr>
        <w:t>112</w:t>
      </w:r>
      <w:r w:rsidRPr="00851544">
        <w:rPr>
          <w:rFonts w:ascii="Book Antiqua" w:eastAsia="SimSun" w:hAnsi="Book Antiqua" w:cs="SimSun"/>
          <w:color w:val="000000"/>
          <w:sz w:val="24"/>
          <w:szCs w:val="24"/>
          <w:lang w:val="en-US" w:eastAsia="zh-CN"/>
        </w:rPr>
        <w:t>: 266-270 [PMID: 25474247 DOI: 10.1038/bjc.2014.607]</w:t>
      </w:r>
    </w:p>
    <w:p w:rsidR="00CE72EE" w:rsidRPr="00851544" w:rsidRDefault="00CE72EE" w:rsidP="00746849">
      <w:pPr>
        <w:adjustRightInd w:val="0"/>
        <w:snapToGrid w:val="0"/>
        <w:spacing w:after="0" w:line="360" w:lineRule="auto"/>
        <w:jc w:val="both"/>
        <w:rPr>
          <w:rFonts w:ascii="Book Antiqua" w:eastAsia="SimSun" w:hAnsi="Book Antiqua" w:cs="SimSun"/>
          <w:color w:val="000000"/>
          <w:sz w:val="24"/>
          <w:szCs w:val="24"/>
          <w:lang w:val="en-US" w:eastAsia="zh-CN"/>
        </w:rPr>
      </w:pPr>
      <w:r w:rsidRPr="00851544">
        <w:rPr>
          <w:rFonts w:ascii="Book Antiqua" w:eastAsia="SimSun" w:hAnsi="Book Antiqua" w:cs="SimSun"/>
          <w:color w:val="000000"/>
          <w:sz w:val="24"/>
          <w:szCs w:val="24"/>
          <w:lang w:val="en-US" w:eastAsia="zh-CN"/>
        </w:rPr>
        <w:t>29 </w:t>
      </w:r>
      <w:r w:rsidRPr="00851544">
        <w:rPr>
          <w:rFonts w:ascii="Book Antiqua" w:eastAsia="SimSun" w:hAnsi="Book Antiqua" w:cs="SimSun"/>
          <w:b/>
          <w:bCs/>
          <w:color w:val="000000"/>
          <w:sz w:val="24"/>
          <w:szCs w:val="24"/>
          <w:lang w:val="en-US" w:eastAsia="zh-CN"/>
        </w:rPr>
        <w:t>Bang YJ</w:t>
      </w:r>
      <w:r w:rsidRPr="00851544">
        <w:rPr>
          <w:rFonts w:ascii="Book Antiqua" w:eastAsia="SimSun" w:hAnsi="Book Antiqua" w:cs="SimSun"/>
          <w:color w:val="000000"/>
          <w:sz w:val="24"/>
          <w:szCs w:val="24"/>
          <w:lang w:val="en-US" w:eastAsia="zh-CN"/>
        </w:rPr>
        <w:t>, Kang YK, Kang WK, Boku N, Chung HC, Chen JS, Doi T, Sun Y, Shen L, Qin S, Ng WT, Tursi JM, Lechuga MJ, Lu DR, Ruiz-Garcia A, Sobrero A. Phase II study of sunitinib as second-line treatment for advanced gastric cancer. </w:t>
      </w:r>
      <w:r w:rsidRPr="00851544">
        <w:rPr>
          <w:rFonts w:ascii="Book Antiqua" w:eastAsia="SimSun" w:hAnsi="Book Antiqua" w:cs="SimSun"/>
          <w:i/>
          <w:iCs/>
          <w:color w:val="000000"/>
          <w:sz w:val="24"/>
          <w:szCs w:val="24"/>
          <w:lang w:val="en-US" w:eastAsia="zh-CN"/>
        </w:rPr>
        <w:t>Invest New Drugs</w:t>
      </w:r>
      <w:r w:rsidRPr="00851544">
        <w:rPr>
          <w:rFonts w:ascii="Book Antiqua" w:eastAsia="SimSun" w:hAnsi="Book Antiqua" w:cs="SimSun"/>
          <w:color w:val="000000"/>
          <w:sz w:val="24"/>
          <w:szCs w:val="24"/>
          <w:lang w:val="en-US" w:eastAsia="zh-CN"/>
        </w:rPr>
        <w:t> 2011; </w:t>
      </w:r>
      <w:r w:rsidRPr="00851544">
        <w:rPr>
          <w:rFonts w:ascii="Book Antiqua" w:eastAsia="SimSun" w:hAnsi="Book Antiqua" w:cs="SimSun"/>
          <w:b/>
          <w:bCs/>
          <w:color w:val="000000"/>
          <w:sz w:val="24"/>
          <w:szCs w:val="24"/>
          <w:lang w:val="en-US" w:eastAsia="zh-CN"/>
        </w:rPr>
        <w:t>29</w:t>
      </w:r>
      <w:r w:rsidRPr="00851544">
        <w:rPr>
          <w:rFonts w:ascii="Book Antiqua" w:eastAsia="SimSun" w:hAnsi="Book Antiqua" w:cs="SimSun"/>
          <w:color w:val="000000"/>
          <w:sz w:val="24"/>
          <w:szCs w:val="24"/>
          <w:lang w:val="en-US" w:eastAsia="zh-CN"/>
        </w:rPr>
        <w:t>: 1449-1458 [PMID: 20461441 DOI: 10.1007/s10637-010-9438-y]</w:t>
      </w:r>
    </w:p>
    <w:p w:rsidR="00CE72EE" w:rsidRPr="00851544" w:rsidRDefault="00CE72EE" w:rsidP="00746849">
      <w:pPr>
        <w:adjustRightInd w:val="0"/>
        <w:snapToGrid w:val="0"/>
        <w:spacing w:after="0" w:line="360" w:lineRule="auto"/>
        <w:jc w:val="both"/>
        <w:rPr>
          <w:rFonts w:ascii="Book Antiqua" w:eastAsia="SimSun" w:hAnsi="Book Antiqua" w:cs="SimSun"/>
          <w:color w:val="000000"/>
          <w:sz w:val="24"/>
          <w:szCs w:val="24"/>
          <w:lang w:val="en-US" w:eastAsia="zh-CN"/>
        </w:rPr>
      </w:pPr>
      <w:r w:rsidRPr="00851544">
        <w:rPr>
          <w:rFonts w:ascii="Book Antiqua" w:eastAsia="SimSun" w:hAnsi="Book Antiqua" w:cs="SimSun"/>
          <w:color w:val="000000"/>
          <w:sz w:val="24"/>
          <w:szCs w:val="24"/>
          <w:lang w:val="en-US" w:eastAsia="zh-CN"/>
        </w:rPr>
        <w:t>30 </w:t>
      </w:r>
      <w:r w:rsidRPr="00851544">
        <w:rPr>
          <w:rFonts w:ascii="Book Antiqua" w:eastAsia="SimSun" w:hAnsi="Book Antiqua" w:cs="SimSun"/>
          <w:b/>
          <w:bCs/>
          <w:color w:val="000000"/>
          <w:sz w:val="24"/>
          <w:szCs w:val="24"/>
          <w:lang w:val="en-US" w:eastAsia="zh-CN"/>
        </w:rPr>
        <w:t>Doi T</w:t>
      </w:r>
      <w:r w:rsidRPr="00851544">
        <w:rPr>
          <w:rFonts w:ascii="Book Antiqua" w:eastAsia="SimSun" w:hAnsi="Book Antiqua" w:cs="SimSun"/>
          <w:color w:val="000000"/>
          <w:sz w:val="24"/>
          <w:szCs w:val="24"/>
          <w:lang w:val="en-US" w:eastAsia="zh-CN"/>
        </w:rPr>
        <w:t>, Muro K, Boku N, Yamada Y, Nishina T, Takiuchi H, Komatsu Y, Hamamoto Y, Ohno N, Fujita Y, Robson M, Ohtsu A. Multicenter phase II study of everolimus in patients with previously treated metastatic gastric cancer. </w:t>
      </w:r>
      <w:r w:rsidRPr="00851544">
        <w:rPr>
          <w:rFonts w:ascii="Book Antiqua" w:eastAsia="SimSun" w:hAnsi="Book Antiqua" w:cs="SimSun"/>
          <w:i/>
          <w:iCs/>
          <w:color w:val="000000"/>
          <w:sz w:val="24"/>
          <w:szCs w:val="24"/>
          <w:lang w:val="en-US" w:eastAsia="zh-CN"/>
        </w:rPr>
        <w:t>J Clin Oncol</w:t>
      </w:r>
      <w:r w:rsidRPr="00851544">
        <w:rPr>
          <w:rFonts w:ascii="Book Antiqua" w:eastAsia="SimSun" w:hAnsi="Book Antiqua" w:cs="SimSun"/>
          <w:color w:val="000000"/>
          <w:sz w:val="24"/>
          <w:szCs w:val="24"/>
          <w:lang w:val="en-US" w:eastAsia="zh-CN"/>
        </w:rPr>
        <w:t> 2010; </w:t>
      </w:r>
      <w:r w:rsidRPr="00851544">
        <w:rPr>
          <w:rFonts w:ascii="Book Antiqua" w:eastAsia="SimSun" w:hAnsi="Book Antiqua" w:cs="SimSun"/>
          <w:b/>
          <w:bCs/>
          <w:color w:val="000000"/>
          <w:sz w:val="24"/>
          <w:szCs w:val="24"/>
          <w:lang w:val="en-US" w:eastAsia="zh-CN"/>
        </w:rPr>
        <w:t>28</w:t>
      </w:r>
      <w:r w:rsidRPr="00851544">
        <w:rPr>
          <w:rFonts w:ascii="Book Antiqua" w:eastAsia="SimSun" w:hAnsi="Book Antiqua" w:cs="SimSun"/>
          <w:color w:val="000000"/>
          <w:sz w:val="24"/>
          <w:szCs w:val="24"/>
          <w:lang w:val="en-US" w:eastAsia="zh-CN"/>
        </w:rPr>
        <w:t>: 1904-1910 [PMID: 20231677 DOI: 10.1200/JCO.2009.26.2923]</w:t>
      </w:r>
    </w:p>
    <w:p w:rsidR="00CE72EE" w:rsidRPr="00851544" w:rsidRDefault="00CE72EE" w:rsidP="00746849">
      <w:pPr>
        <w:adjustRightInd w:val="0"/>
        <w:snapToGrid w:val="0"/>
        <w:spacing w:after="0" w:line="360" w:lineRule="auto"/>
        <w:jc w:val="both"/>
        <w:rPr>
          <w:rFonts w:ascii="Book Antiqua" w:eastAsia="SimSun" w:hAnsi="Book Antiqua" w:cs="SimSun"/>
          <w:color w:val="000000"/>
          <w:sz w:val="24"/>
          <w:szCs w:val="24"/>
          <w:lang w:val="en-US" w:eastAsia="zh-CN"/>
        </w:rPr>
      </w:pPr>
      <w:r w:rsidRPr="00851544">
        <w:rPr>
          <w:rFonts w:ascii="Book Antiqua" w:eastAsia="SimSun" w:hAnsi="Book Antiqua" w:cs="SimSun"/>
          <w:color w:val="000000"/>
          <w:sz w:val="24"/>
          <w:szCs w:val="24"/>
          <w:lang w:val="en-US" w:eastAsia="zh-CN"/>
        </w:rPr>
        <w:t>31 </w:t>
      </w:r>
      <w:r w:rsidRPr="00851544">
        <w:rPr>
          <w:rFonts w:ascii="Book Antiqua" w:eastAsia="SimSun" w:hAnsi="Book Antiqua" w:cs="SimSun"/>
          <w:b/>
          <w:bCs/>
          <w:color w:val="000000"/>
          <w:sz w:val="24"/>
          <w:szCs w:val="24"/>
          <w:lang w:val="en-US" w:eastAsia="zh-CN"/>
        </w:rPr>
        <w:t>Assersohn L</w:t>
      </w:r>
      <w:r w:rsidRPr="00851544">
        <w:rPr>
          <w:rFonts w:ascii="Book Antiqua" w:eastAsia="SimSun" w:hAnsi="Book Antiqua" w:cs="SimSun"/>
          <w:color w:val="000000"/>
          <w:sz w:val="24"/>
          <w:szCs w:val="24"/>
          <w:lang w:val="en-US" w:eastAsia="zh-CN"/>
        </w:rPr>
        <w:t>, Brown G, Cunningham D, Ward C, Oates J, Waters JS, Hill ME, Norman AR. Phase II study of irinotecan and 5-fluorouracil/leucovorin in patients with primary refractory or relapsed advanced oesophageal and gastric carcinoma. </w:t>
      </w:r>
      <w:r w:rsidRPr="00851544">
        <w:rPr>
          <w:rFonts w:ascii="Book Antiqua" w:eastAsia="SimSun" w:hAnsi="Book Antiqua" w:cs="SimSun"/>
          <w:i/>
          <w:iCs/>
          <w:color w:val="000000"/>
          <w:sz w:val="24"/>
          <w:szCs w:val="24"/>
          <w:lang w:val="en-US" w:eastAsia="zh-CN"/>
        </w:rPr>
        <w:t>Ann Oncol</w:t>
      </w:r>
      <w:r w:rsidRPr="00851544">
        <w:rPr>
          <w:rFonts w:ascii="Book Antiqua" w:eastAsia="SimSun" w:hAnsi="Book Antiqua" w:cs="SimSun"/>
          <w:color w:val="000000"/>
          <w:sz w:val="24"/>
          <w:szCs w:val="24"/>
          <w:lang w:val="en-US" w:eastAsia="zh-CN"/>
        </w:rPr>
        <w:t> 2004; </w:t>
      </w:r>
      <w:r w:rsidRPr="00851544">
        <w:rPr>
          <w:rFonts w:ascii="Book Antiqua" w:eastAsia="SimSun" w:hAnsi="Book Antiqua" w:cs="SimSun"/>
          <w:b/>
          <w:bCs/>
          <w:color w:val="000000"/>
          <w:sz w:val="24"/>
          <w:szCs w:val="24"/>
          <w:lang w:val="en-US" w:eastAsia="zh-CN"/>
        </w:rPr>
        <w:t>15</w:t>
      </w:r>
      <w:r w:rsidRPr="00851544">
        <w:rPr>
          <w:rFonts w:ascii="Book Antiqua" w:eastAsia="SimSun" w:hAnsi="Book Antiqua" w:cs="SimSun"/>
          <w:color w:val="000000"/>
          <w:sz w:val="24"/>
          <w:szCs w:val="24"/>
          <w:lang w:val="en-US" w:eastAsia="zh-CN"/>
        </w:rPr>
        <w:t>: 64-69 [PMID: 14679122 DOI: 10.1093/annonc/mdh007]</w:t>
      </w:r>
    </w:p>
    <w:p w:rsidR="00CE72EE" w:rsidRPr="00851544" w:rsidRDefault="00CE72EE" w:rsidP="00746849">
      <w:pPr>
        <w:adjustRightInd w:val="0"/>
        <w:snapToGrid w:val="0"/>
        <w:spacing w:after="0" w:line="360" w:lineRule="auto"/>
        <w:jc w:val="both"/>
        <w:rPr>
          <w:rFonts w:ascii="Book Antiqua" w:eastAsia="SimSun" w:hAnsi="Book Antiqua" w:cs="SimSun"/>
          <w:color w:val="000000"/>
          <w:sz w:val="24"/>
          <w:szCs w:val="24"/>
          <w:lang w:val="en-US" w:eastAsia="zh-CN"/>
        </w:rPr>
      </w:pPr>
      <w:r w:rsidRPr="00851544">
        <w:rPr>
          <w:rFonts w:ascii="Book Antiqua" w:eastAsia="SimSun" w:hAnsi="Book Antiqua" w:cs="SimSun"/>
          <w:color w:val="000000"/>
          <w:sz w:val="24"/>
          <w:szCs w:val="24"/>
          <w:lang w:val="en-US" w:eastAsia="zh-CN"/>
        </w:rPr>
        <w:t>32 </w:t>
      </w:r>
      <w:r w:rsidRPr="00851544">
        <w:rPr>
          <w:rFonts w:ascii="Book Antiqua" w:eastAsia="SimSun" w:hAnsi="Book Antiqua" w:cs="SimSun"/>
          <w:b/>
          <w:bCs/>
          <w:color w:val="000000"/>
          <w:sz w:val="24"/>
          <w:szCs w:val="24"/>
          <w:lang w:val="en-US" w:eastAsia="zh-CN"/>
        </w:rPr>
        <w:t>Kim ST</w:t>
      </w:r>
      <w:r w:rsidRPr="00851544">
        <w:rPr>
          <w:rFonts w:ascii="Book Antiqua" w:eastAsia="SimSun" w:hAnsi="Book Antiqua" w:cs="SimSun"/>
          <w:color w:val="000000"/>
          <w:sz w:val="24"/>
          <w:szCs w:val="24"/>
          <w:lang w:val="en-US" w:eastAsia="zh-CN"/>
        </w:rPr>
        <w:t>, Kang WK, Kang JH, Park KW, Lee J, Lee SH, Park JO, Kim K, Kim WS, Jung CW, Park YS, Im YH, Park K. Salvage chemotherapy with irinotecan, 5-fluorouracil and leucovorin for taxane- and cisplatin-refractory, metastatic gastric cancer. </w:t>
      </w:r>
      <w:r w:rsidRPr="00851544">
        <w:rPr>
          <w:rFonts w:ascii="Book Antiqua" w:eastAsia="SimSun" w:hAnsi="Book Antiqua" w:cs="SimSun"/>
          <w:i/>
          <w:iCs/>
          <w:color w:val="000000"/>
          <w:sz w:val="24"/>
          <w:szCs w:val="24"/>
          <w:lang w:val="en-US" w:eastAsia="zh-CN"/>
        </w:rPr>
        <w:t>Br J Cancer</w:t>
      </w:r>
      <w:r w:rsidRPr="00851544">
        <w:rPr>
          <w:rFonts w:ascii="Book Antiqua" w:eastAsia="SimSun" w:hAnsi="Book Antiqua" w:cs="SimSun"/>
          <w:color w:val="000000"/>
          <w:sz w:val="24"/>
          <w:szCs w:val="24"/>
          <w:lang w:val="en-US" w:eastAsia="zh-CN"/>
        </w:rPr>
        <w:t> 2005; </w:t>
      </w:r>
      <w:r w:rsidRPr="00851544">
        <w:rPr>
          <w:rFonts w:ascii="Book Antiqua" w:eastAsia="SimSun" w:hAnsi="Book Antiqua" w:cs="SimSun"/>
          <w:b/>
          <w:bCs/>
          <w:color w:val="000000"/>
          <w:sz w:val="24"/>
          <w:szCs w:val="24"/>
          <w:lang w:val="en-US" w:eastAsia="zh-CN"/>
        </w:rPr>
        <w:t>92</w:t>
      </w:r>
      <w:r w:rsidRPr="00851544">
        <w:rPr>
          <w:rFonts w:ascii="Book Antiqua" w:eastAsia="SimSun" w:hAnsi="Book Antiqua" w:cs="SimSun"/>
          <w:color w:val="000000"/>
          <w:sz w:val="24"/>
          <w:szCs w:val="24"/>
          <w:lang w:val="en-US" w:eastAsia="zh-CN"/>
        </w:rPr>
        <w:t>: 1850-1854 [PMID: 15870718 DOI: 10.1038/sj.bjc.6602575]</w:t>
      </w:r>
    </w:p>
    <w:p w:rsidR="00CE72EE" w:rsidRPr="00851544" w:rsidRDefault="00CE72EE" w:rsidP="00746849">
      <w:pPr>
        <w:adjustRightInd w:val="0"/>
        <w:snapToGrid w:val="0"/>
        <w:spacing w:after="0" w:line="360" w:lineRule="auto"/>
        <w:jc w:val="both"/>
        <w:rPr>
          <w:rFonts w:ascii="Book Antiqua" w:eastAsia="SimSun" w:hAnsi="Book Antiqua" w:cs="SimSun"/>
          <w:color w:val="000000"/>
          <w:sz w:val="24"/>
          <w:szCs w:val="24"/>
          <w:lang w:val="en-US" w:eastAsia="zh-CN"/>
        </w:rPr>
      </w:pPr>
      <w:r w:rsidRPr="00851544">
        <w:rPr>
          <w:rFonts w:ascii="Book Antiqua" w:eastAsia="SimSun" w:hAnsi="Book Antiqua" w:cs="SimSun"/>
          <w:color w:val="000000"/>
          <w:sz w:val="24"/>
          <w:szCs w:val="24"/>
          <w:lang w:val="en-US" w:eastAsia="zh-CN"/>
        </w:rPr>
        <w:t>33 </w:t>
      </w:r>
      <w:r w:rsidRPr="00851544">
        <w:rPr>
          <w:rFonts w:ascii="Book Antiqua" w:eastAsia="SimSun" w:hAnsi="Book Antiqua" w:cs="SimSun"/>
          <w:b/>
          <w:bCs/>
          <w:color w:val="000000"/>
          <w:sz w:val="24"/>
          <w:szCs w:val="24"/>
          <w:lang w:val="en-US" w:eastAsia="zh-CN"/>
        </w:rPr>
        <w:t>Seo MD</w:t>
      </w:r>
      <w:r w:rsidRPr="00851544">
        <w:rPr>
          <w:rFonts w:ascii="Book Antiqua" w:eastAsia="SimSun" w:hAnsi="Book Antiqua" w:cs="SimSun"/>
          <w:color w:val="000000"/>
          <w:sz w:val="24"/>
          <w:szCs w:val="24"/>
          <w:lang w:val="en-US" w:eastAsia="zh-CN"/>
        </w:rPr>
        <w:t>, Lee KW, Lim JH, Yi HG, Kim DY, Oh DY, Kim JH, Im SA, Kim TY, Lee JS, Bang YJ. Irinotecan combined with 5-fluorouracil and leucovorin as second-line chemotherapy for metastatic or relapsed gastric cancer. </w:t>
      </w:r>
      <w:r w:rsidRPr="00851544">
        <w:rPr>
          <w:rFonts w:ascii="Book Antiqua" w:eastAsia="SimSun" w:hAnsi="Book Antiqua" w:cs="SimSun"/>
          <w:i/>
          <w:iCs/>
          <w:color w:val="000000"/>
          <w:sz w:val="24"/>
          <w:szCs w:val="24"/>
          <w:lang w:val="en-US" w:eastAsia="zh-CN"/>
        </w:rPr>
        <w:t>Jpn J Clin Oncol</w:t>
      </w:r>
      <w:r w:rsidRPr="00851544">
        <w:rPr>
          <w:rFonts w:ascii="Book Antiqua" w:eastAsia="SimSun" w:hAnsi="Book Antiqua" w:cs="SimSun"/>
          <w:color w:val="000000"/>
          <w:sz w:val="24"/>
          <w:szCs w:val="24"/>
          <w:lang w:val="en-US" w:eastAsia="zh-CN"/>
        </w:rPr>
        <w:t> 2008; </w:t>
      </w:r>
      <w:r w:rsidRPr="00851544">
        <w:rPr>
          <w:rFonts w:ascii="Book Antiqua" w:eastAsia="SimSun" w:hAnsi="Book Antiqua" w:cs="SimSun"/>
          <w:b/>
          <w:bCs/>
          <w:color w:val="000000"/>
          <w:sz w:val="24"/>
          <w:szCs w:val="24"/>
          <w:lang w:val="en-US" w:eastAsia="zh-CN"/>
        </w:rPr>
        <w:t>38</w:t>
      </w:r>
      <w:r w:rsidRPr="00851544">
        <w:rPr>
          <w:rFonts w:ascii="Book Antiqua" w:eastAsia="SimSun" w:hAnsi="Book Antiqua" w:cs="SimSun"/>
          <w:color w:val="000000"/>
          <w:sz w:val="24"/>
          <w:szCs w:val="24"/>
          <w:lang w:val="en-US" w:eastAsia="zh-CN"/>
        </w:rPr>
        <w:t>: 589-595 [PMID: 18772169 DOI: 10.1093/jjco/hyn078]</w:t>
      </w:r>
    </w:p>
    <w:p w:rsidR="00CE72EE" w:rsidRPr="00851544" w:rsidRDefault="00CE72EE" w:rsidP="00746849">
      <w:pPr>
        <w:adjustRightInd w:val="0"/>
        <w:snapToGrid w:val="0"/>
        <w:spacing w:after="0" w:line="360" w:lineRule="auto"/>
        <w:jc w:val="both"/>
        <w:rPr>
          <w:rFonts w:ascii="Book Antiqua" w:eastAsia="SimSun" w:hAnsi="Book Antiqua" w:cs="SimSun"/>
          <w:color w:val="000000"/>
          <w:sz w:val="24"/>
          <w:szCs w:val="24"/>
          <w:lang w:val="en-US" w:eastAsia="zh-CN"/>
        </w:rPr>
      </w:pPr>
      <w:r w:rsidRPr="00851544">
        <w:rPr>
          <w:rFonts w:ascii="Book Antiqua" w:eastAsia="SimSun" w:hAnsi="Book Antiqua" w:cs="SimSun"/>
          <w:color w:val="000000"/>
          <w:sz w:val="24"/>
          <w:szCs w:val="24"/>
          <w:lang w:val="en-US" w:eastAsia="zh-CN"/>
        </w:rPr>
        <w:t>34 </w:t>
      </w:r>
      <w:r w:rsidRPr="00851544">
        <w:rPr>
          <w:rFonts w:ascii="Book Antiqua" w:eastAsia="SimSun" w:hAnsi="Book Antiqua" w:cs="SimSun"/>
          <w:b/>
          <w:bCs/>
          <w:color w:val="000000"/>
          <w:sz w:val="24"/>
          <w:szCs w:val="24"/>
          <w:lang w:val="en-US" w:eastAsia="zh-CN"/>
        </w:rPr>
        <w:t>Baek JH</w:t>
      </w:r>
      <w:r w:rsidRPr="00851544">
        <w:rPr>
          <w:rFonts w:ascii="Book Antiqua" w:eastAsia="SimSun" w:hAnsi="Book Antiqua" w:cs="SimSun"/>
          <w:color w:val="000000"/>
          <w:sz w:val="24"/>
          <w:szCs w:val="24"/>
          <w:lang w:val="en-US" w:eastAsia="zh-CN"/>
        </w:rPr>
        <w:t xml:space="preserve">, Kim JG, Sohn SK, Kim DH, Lee KB, Song HS, Kwon KY, Do YR, Ryoo HM, Bae SH, Park KU, Kim MK, Lee KH, Hyun MS, Chung HY, Yu W. Biweekly irinotecan and cisplatin as </w:t>
      </w:r>
      <w:r w:rsidRPr="00851544">
        <w:rPr>
          <w:rFonts w:ascii="Book Antiqua" w:eastAsia="SimSun" w:hAnsi="Book Antiqua" w:cs="SimSun"/>
          <w:color w:val="000000"/>
          <w:sz w:val="24"/>
          <w:szCs w:val="24"/>
          <w:lang w:val="en-US" w:eastAsia="zh-CN"/>
        </w:rPr>
        <w:lastRenderedPageBreak/>
        <w:t>second-line chemotherapy in pretreated patients with advanced gastric cancer: a multicenter phase II study. </w:t>
      </w:r>
      <w:r w:rsidRPr="00851544">
        <w:rPr>
          <w:rFonts w:ascii="Book Antiqua" w:eastAsia="SimSun" w:hAnsi="Book Antiqua" w:cs="SimSun"/>
          <w:i/>
          <w:iCs/>
          <w:color w:val="000000"/>
          <w:sz w:val="24"/>
          <w:szCs w:val="24"/>
          <w:lang w:val="en-US" w:eastAsia="zh-CN"/>
        </w:rPr>
        <w:t>J Korean Med Sci</w:t>
      </w:r>
      <w:r w:rsidRPr="00851544">
        <w:rPr>
          <w:rFonts w:ascii="Book Antiqua" w:eastAsia="SimSun" w:hAnsi="Book Antiqua" w:cs="SimSun"/>
          <w:color w:val="000000"/>
          <w:sz w:val="24"/>
          <w:szCs w:val="24"/>
          <w:lang w:val="en-US" w:eastAsia="zh-CN"/>
        </w:rPr>
        <w:t> 2005; </w:t>
      </w:r>
      <w:r w:rsidRPr="00851544">
        <w:rPr>
          <w:rFonts w:ascii="Book Antiqua" w:eastAsia="SimSun" w:hAnsi="Book Antiqua" w:cs="SimSun"/>
          <w:b/>
          <w:bCs/>
          <w:color w:val="000000"/>
          <w:sz w:val="24"/>
          <w:szCs w:val="24"/>
          <w:lang w:val="en-US" w:eastAsia="zh-CN"/>
        </w:rPr>
        <w:t>20</w:t>
      </w:r>
      <w:r w:rsidRPr="00851544">
        <w:rPr>
          <w:rFonts w:ascii="Book Antiqua" w:eastAsia="SimSun" w:hAnsi="Book Antiqua" w:cs="SimSun"/>
          <w:color w:val="000000"/>
          <w:sz w:val="24"/>
          <w:szCs w:val="24"/>
          <w:lang w:val="en-US" w:eastAsia="zh-CN"/>
        </w:rPr>
        <w:t>: 966-970 [PMID: 16361806 DOI: 10.3346/jkms.2005.20.6.966]</w:t>
      </w:r>
    </w:p>
    <w:p w:rsidR="00CE72EE" w:rsidRPr="00851544" w:rsidRDefault="00CE72EE" w:rsidP="00746849">
      <w:pPr>
        <w:adjustRightInd w:val="0"/>
        <w:snapToGrid w:val="0"/>
        <w:spacing w:after="0" w:line="360" w:lineRule="auto"/>
        <w:jc w:val="both"/>
        <w:rPr>
          <w:rFonts w:ascii="Book Antiqua" w:eastAsia="SimSun" w:hAnsi="Book Antiqua" w:cs="SimSun"/>
          <w:color w:val="000000"/>
          <w:sz w:val="24"/>
          <w:szCs w:val="24"/>
          <w:lang w:val="en-US" w:eastAsia="zh-CN"/>
        </w:rPr>
      </w:pPr>
      <w:r w:rsidRPr="00851544">
        <w:rPr>
          <w:rFonts w:ascii="Book Antiqua" w:eastAsia="SimSun" w:hAnsi="Book Antiqua" w:cs="SimSun"/>
          <w:color w:val="000000"/>
          <w:sz w:val="24"/>
          <w:szCs w:val="24"/>
          <w:lang w:val="en-US" w:eastAsia="zh-CN"/>
        </w:rPr>
        <w:t>35 </w:t>
      </w:r>
      <w:r w:rsidRPr="00851544">
        <w:rPr>
          <w:rFonts w:ascii="Book Antiqua" w:eastAsia="SimSun" w:hAnsi="Book Antiqua" w:cs="SimSun"/>
          <w:b/>
          <w:bCs/>
          <w:color w:val="000000"/>
          <w:sz w:val="24"/>
          <w:szCs w:val="24"/>
          <w:lang w:val="en-US" w:eastAsia="zh-CN"/>
        </w:rPr>
        <w:t>Takahari D</w:t>
      </w:r>
      <w:r w:rsidRPr="00851544">
        <w:rPr>
          <w:rFonts w:ascii="Book Antiqua" w:eastAsia="SimSun" w:hAnsi="Book Antiqua" w:cs="SimSun"/>
          <w:color w:val="000000"/>
          <w:sz w:val="24"/>
          <w:szCs w:val="24"/>
          <w:lang w:val="en-US" w:eastAsia="zh-CN"/>
        </w:rPr>
        <w:t>, Shimada Y, Takeshita S, Nishitani H, Takashima A, Okita N, Hirashima Y, Kato K, Hamaguchi T, Yamada Y, Shirao K. Second-line chemotherapy with irinotecan plus cisplatin after the failure of S-1 monotherapy for advanced gastric cancer. </w:t>
      </w:r>
      <w:r w:rsidRPr="00851544">
        <w:rPr>
          <w:rFonts w:ascii="Book Antiqua" w:eastAsia="SimSun" w:hAnsi="Book Antiqua" w:cs="SimSun"/>
          <w:i/>
          <w:iCs/>
          <w:color w:val="000000"/>
          <w:sz w:val="24"/>
          <w:szCs w:val="24"/>
          <w:lang w:val="en-US" w:eastAsia="zh-CN"/>
        </w:rPr>
        <w:t>Gastric Cancer</w:t>
      </w:r>
      <w:r w:rsidRPr="00851544">
        <w:rPr>
          <w:rFonts w:ascii="Book Antiqua" w:eastAsia="SimSun" w:hAnsi="Book Antiqua" w:cs="SimSun"/>
          <w:color w:val="000000"/>
          <w:sz w:val="24"/>
          <w:szCs w:val="24"/>
          <w:lang w:val="en-US" w:eastAsia="zh-CN"/>
        </w:rPr>
        <w:t> 2010; </w:t>
      </w:r>
      <w:r w:rsidRPr="00851544">
        <w:rPr>
          <w:rFonts w:ascii="Book Antiqua" w:eastAsia="SimSun" w:hAnsi="Book Antiqua" w:cs="SimSun"/>
          <w:b/>
          <w:bCs/>
          <w:color w:val="000000"/>
          <w:sz w:val="24"/>
          <w:szCs w:val="24"/>
          <w:lang w:val="en-US" w:eastAsia="zh-CN"/>
        </w:rPr>
        <w:t>13</w:t>
      </w:r>
      <w:r w:rsidRPr="00851544">
        <w:rPr>
          <w:rFonts w:ascii="Book Antiqua" w:eastAsia="SimSun" w:hAnsi="Book Antiqua" w:cs="SimSun"/>
          <w:color w:val="000000"/>
          <w:sz w:val="24"/>
          <w:szCs w:val="24"/>
          <w:lang w:val="en-US" w:eastAsia="zh-CN"/>
        </w:rPr>
        <w:t>: 186-190 [PMID: 20820988 DOI: 10.1007/s10120-010-0557-0]</w:t>
      </w:r>
    </w:p>
    <w:p w:rsidR="00CE72EE" w:rsidRPr="00851544" w:rsidRDefault="00CE72EE" w:rsidP="00746849">
      <w:pPr>
        <w:adjustRightInd w:val="0"/>
        <w:snapToGrid w:val="0"/>
        <w:spacing w:after="0" w:line="360" w:lineRule="auto"/>
        <w:jc w:val="both"/>
        <w:rPr>
          <w:rFonts w:ascii="Book Antiqua" w:eastAsia="SimSun" w:hAnsi="Book Antiqua" w:cs="SimSun"/>
          <w:color w:val="000000"/>
          <w:sz w:val="24"/>
          <w:szCs w:val="24"/>
          <w:lang w:val="en-US" w:eastAsia="zh-CN"/>
        </w:rPr>
      </w:pPr>
      <w:r w:rsidRPr="00851544">
        <w:rPr>
          <w:rFonts w:ascii="Book Antiqua" w:eastAsia="SimSun" w:hAnsi="Book Antiqua" w:cs="SimSun"/>
          <w:color w:val="000000"/>
          <w:sz w:val="24"/>
          <w:szCs w:val="24"/>
          <w:lang w:val="en-US" w:eastAsia="zh-CN"/>
        </w:rPr>
        <w:t>36 </w:t>
      </w:r>
      <w:r w:rsidRPr="00851544">
        <w:rPr>
          <w:rFonts w:ascii="Book Antiqua" w:eastAsia="SimSun" w:hAnsi="Book Antiqua" w:cs="SimSun"/>
          <w:b/>
          <w:bCs/>
          <w:color w:val="000000"/>
          <w:sz w:val="24"/>
          <w:szCs w:val="24"/>
          <w:lang w:val="en-US" w:eastAsia="zh-CN"/>
        </w:rPr>
        <w:t>Giuliani F</w:t>
      </w:r>
      <w:r w:rsidRPr="00851544">
        <w:rPr>
          <w:rFonts w:ascii="Book Antiqua" w:eastAsia="SimSun" w:hAnsi="Book Antiqua" w:cs="SimSun"/>
          <w:color w:val="000000"/>
          <w:sz w:val="24"/>
          <w:szCs w:val="24"/>
          <w:lang w:val="en-US" w:eastAsia="zh-CN"/>
        </w:rPr>
        <w:t>, Molica S, Maiello E, Battaglia C, Gebbia V, Di Bisceglie M, Vinciarelli G, Gebbia N, Colucci G; Gruppo Oncologico dell' Italia Meridionale (prot. 2106). Irinotecan (CPT-11) and mitomycin-C (MMC) as second-line therapy in advanced gastric cancer: a phase II study of the Gruppo Oncologico dell' Italia Meridionale (prot. 2106). </w:t>
      </w:r>
      <w:r w:rsidRPr="00851544">
        <w:rPr>
          <w:rFonts w:ascii="Book Antiqua" w:eastAsia="SimSun" w:hAnsi="Book Antiqua" w:cs="SimSun"/>
          <w:i/>
          <w:iCs/>
          <w:color w:val="000000"/>
          <w:sz w:val="24"/>
          <w:szCs w:val="24"/>
          <w:lang w:val="en-US" w:eastAsia="zh-CN"/>
        </w:rPr>
        <w:t>Am J Clin Oncol</w:t>
      </w:r>
      <w:r w:rsidRPr="00851544">
        <w:rPr>
          <w:rFonts w:ascii="Book Antiqua" w:eastAsia="SimSun" w:hAnsi="Book Antiqua" w:cs="SimSun"/>
          <w:color w:val="000000"/>
          <w:sz w:val="24"/>
          <w:szCs w:val="24"/>
          <w:lang w:val="en-US" w:eastAsia="zh-CN"/>
        </w:rPr>
        <w:t> 2005; </w:t>
      </w:r>
      <w:r w:rsidRPr="00851544">
        <w:rPr>
          <w:rFonts w:ascii="Book Antiqua" w:eastAsia="SimSun" w:hAnsi="Book Antiqua" w:cs="SimSun"/>
          <w:b/>
          <w:bCs/>
          <w:color w:val="000000"/>
          <w:sz w:val="24"/>
          <w:szCs w:val="24"/>
          <w:lang w:val="en-US" w:eastAsia="zh-CN"/>
        </w:rPr>
        <w:t>28</w:t>
      </w:r>
      <w:r w:rsidRPr="00851544">
        <w:rPr>
          <w:rFonts w:ascii="Book Antiqua" w:eastAsia="SimSun" w:hAnsi="Book Antiqua" w:cs="SimSun"/>
          <w:color w:val="000000"/>
          <w:sz w:val="24"/>
          <w:szCs w:val="24"/>
          <w:lang w:val="en-US" w:eastAsia="zh-CN"/>
        </w:rPr>
        <w:t>: 581-585 [PMID: 16317268]</w:t>
      </w:r>
    </w:p>
    <w:p w:rsidR="00CE72EE" w:rsidRPr="00851544" w:rsidRDefault="00CE72EE" w:rsidP="00746849">
      <w:pPr>
        <w:adjustRightInd w:val="0"/>
        <w:snapToGrid w:val="0"/>
        <w:spacing w:after="0" w:line="360" w:lineRule="auto"/>
        <w:jc w:val="both"/>
        <w:rPr>
          <w:rFonts w:ascii="Book Antiqua" w:eastAsia="SimSun" w:hAnsi="Book Antiqua" w:cs="SimSun"/>
          <w:color w:val="000000"/>
          <w:sz w:val="24"/>
          <w:szCs w:val="24"/>
          <w:lang w:val="en-US" w:eastAsia="zh-CN"/>
        </w:rPr>
      </w:pPr>
      <w:r w:rsidRPr="00851544">
        <w:rPr>
          <w:rFonts w:ascii="Book Antiqua" w:eastAsia="SimSun" w:hAnsi="Book Antiqua" w:cs="SimSun"/>
          <w:color w:val="000000"/>
          <w:sz w:val="24"/>
          <w:szCs w:val="24"/>
          <w:lang w:val="en-US" w:eastAsia="zh-CN"/>
        </w:rPr>
        <w:t>37 </w:t>
      </w:r>
      <w:r w:rsidRPr="00851544">
        <w:rPr>
          <w:rFonts w:ascii="Book Antiqua" w:eastAsia="SimSun" w:hAnsi="Book Antiqua" w:cs="SimSun"/>
          <w:b/>
          <w:bCs/>
          <w:color w:val="000000"/>
          <w:sz w:val="24"/>
          <w:szCs w:val="24"/>
          <w:lang w:val="en-US" w:eastAsia="zh-CN"/>
        </w:rPr>
        <w:t>Hamaguchi T</w:t>
      </w:r>
      <w:r w:rsidRPr="00851544">
        <w:rPr>
          <w:rFonts w:ascii="Book Antiqua" w:eastAsia="SimSun" w:hAnsi="Book Antiqua" w:cs="SimSun"/>
          <w:color w:val="000000"/>
          <w:sz w:val="24"/>
          <w:szCs w:val="24"/>
          <w:lang w:val="en-US" w:eastAsia="zh-CN"/>
        </w:rPr>
        <w:t>, Shirao K, Ohtsu A, Hyodo I, Arai Y, Takiuchi H, Fujii H, Yoshida M, Saito H, Denda T, Koizumi W, Iwase H, Boku N; Gastrointestinal Oncology Study Group of Japan Clinical Oncology Group. A phase II study of biweekly mitomycin C and irinotecan combination therapy in patients with fluoropyrimidine-resistant advanced gastric cancer: a report from the Gastrointestinal Oncology Group of the Japan Clinical Oncology Group (JCOG0109-DI Trial). </w:t>
      </w:r>
      <w:r w:rsidRPr="00851544">
        <w:rPr>
          <w:rFonts w:ascii="Book Antiqua" w:eastAsia="SimSun" w:hAnsi="Book Antiqua" w:cs="SimSun"/>
          <w:i/>
          <w:iCs/>
          <w:color w:val="000000"/>
          <w:sz w:val="24"/>
          <w:szCs w:val="24"/>
          <w:lang w:val="en-US" w:eastAsia="zh-CN"/>
        </w:rPr>
        <w:t>Gastric Cancer</w:t>
      </w:r>
      <w:r w:rsidRPr="00851544">
        <w:rPr>
          <w:rFonts w:ascii="Book Antiqua" w:eastAsia="SimSun" w:hAnsi="Book Antiqua" w:cs="SimSun"/>
          <w:color w:val="000000"/>
          <w:sz w:val="24"/>
          <w:szCs w:val="24"/>
          <w:lang w:val="en-US" w:eastAsia="zh-CN"/>
        </w:rPr>
        <w:t> 2011; </w:t>
      </w:r>
      <w:r w:rsidRPr="00851544">
        <w:rPr>
          <w:rFonts w:ascii="Book Antiqua" w:eastAsia="SimSun" w:hAnsi="Book Antiqua" w:cs="SimSun"/>
          <w:b/>
          <w:bCs/>
          <w:color w:val="000000"/>
          <w:sz w:val="24"/>
          <w:szCs w:val="24"/>
          <w:lang w:val="en-US" w:eastAsia="zh-CN"/>
        </w:rPr>
        <w:t>14</w:t>
      </w:r>
      <w:r w:rsidRPr="00851544">
        <w:rPr>
          <w:rFonts w:ascii="Book Antiqua" w:eastAsia="SimSun" w:hAnsi="Book Antiqua" w:cs="SimSun"/>
          <w:color w:val="000000"/>
          <w:sz w:val="24"/>
          <w:szCs w:val="24"/>
          <w:lang w:val="en-US" w:eastAsia="zh-CN"/>
        </w:rPr>
        <w:t>: 226-233 [PMID: 21503598 DOI: 10.1007/s10120-011-0030-8]</w:t>
      </w:r>
    </w:p>
    <w:p w:rsidR="00CE72EE" w:rsidRPr="00851544" w:rsidRDefault="00CE72EE" w:rsidP="00746849">
      <w:pPr>
        <w:adjustRightInd w:val="0"/>
        <w:snapToGrid w:val="0"/>
        <w:spacing w:after="0" w:line="360" w:lineRule="auto"/>
        <w:jc w:val="both"/>
        <w:rPr>
          <w:rFonts w:ascii="Book Antiqua" w:eastAsia="SimSun" w:hAnsi="Book Antiqua" w:cs="SimSun"/>
          <w:color w:val="000000"/>
          <w:sz w:val="24"/>
          <w:szCs w:val="24"/>
          <w:lang w:val="en-US" w:eastAsia="zh-CN"/>
        </w:rPr>
      </w:pPr>
      <w:r w:rsidRPr="00851544">
        <w:rPr>
          <w:rFonts w:ascii="Book Antiqua" w:eastAsia="SimSun" w:hAnsi="Book Antiqua" w:cs="SimSun"/>
          <w:color w:val="000000"/>
          <w:sz w:val="24"/>
          <w:szCs w:val="24"/>
          <w:lang w:val="en-US" w:eastAsia="zh-CN"/>
        </w:rPr>
        <w:t>38 </w:t>
      </w:r>
      <w:r w:rsidRPr="00851544">
        <w:rPr>
          <w:rFonts w:ascii="Book Antiqua" w:eastAsia="SimSun" w:hAnsi="Book Antiqua" w:cs="SimSun"/>
          <w:b/>
          <w:bCs/>
          <w:color w:val="000000"/>
          <w:sz w:val="24"/>
          <w:szCs w:val="24"/>
          <w:lang w:val="en-US" w:eastAsia="zh-CN"/>
        </w:rPr>
        <w:t>Sun Q</w:t>
      </w:r>
      <w:r w:rsidRPr="00851544">
        <w:rPr>
          <w:rFonts w:ascii="Book Antiqua" w:eastAsia="SimSun" w:hAnsi="Book Antiqua" w:cs="SimSun"/>
          <w:color w:val="000000"/>
          <w:sz w:val="24"/>
          <w:szCs w:val="24"/>
          <w:lang w:val="en-US" w:eastAsia="zh-CN"/>
        </w:rPr>
        <w:t>, Hang M, Xu W, Mao W, Hang X, Li M, Zhang J. Irinotecan plus capecitabine as a second-line treatment after failure of 5-fluorouracil and platinum in patients with advanced gastric cancer. </w:t>
      </w:r>
      <w:r w:rsidRPr="00851544">
        <w:rPr>
          <w:rFonts w:ascii="Book Antiqua" w:eastAsia="SimSun" w:hAnsi="Book Antiqua" w:cs="SimSun"/>
          <w:i/>
          <w:iCs/>
          <w:color w:val="000000"/>
          <w:sz w:val="24"/>
          <w:szCs w:val="24"/>
          <w:lang w:val="en-US" w:eastAsia="zh-CN"/>
        </w:rPr>
        <w:t>Jpn J Clin Oncol</w:t>
      </w:r>
      <w:r w:rsidRPr="00851544">
        <w:rPr>
          <w:rFonts w:ascii="Book Antiqua" w:eastAsia="SimSun" w:hAnsi="Book Antiqua" w:cs="SimSun"/>
          <w:color w:val="000000"/>
          <w:sz w:val="24"/>
          <w:szCs w:val="24"/>
          <w:lang w:val="en-US" w:eastAsia="zh-CN"/>
        </w:rPr>
        <w:t> 2009; </w:t>
      </w:r>
      <w:r w:rsidRPr="00851544">
        <w:rPr>
          <w:rFonts w:ascii="Book Antiqua" w:eastAsia="SimSun" w:hAnsi="Book Antiqua" w:cs="SimSun"/>
          <w:b/>
          <w:bCs/>
          <w:color w:val="000000"/>
          <w:sz w:val="24"/>
          <w:szCs w:val="24"/>
          <w:lang w:val="en-US" w:eastAsia="zh-CN"/>
        </w:rPr>
        <w:t>39</w:t>
      </w:r>
      <w:r w:rsidRPr="00851544">
        <w:rPr>
          <w:rFonts w:ascii="Book Antiqua" w:eastAsia="SimSun" w:hAnsi="Book Antiqua" w:cs="SimSun"/>
          <w:color w:val="000000"/>
          <w:sz w:val="24"/>
          <w:szCs w:val="24"/>
          <w:lang w:val="en-US" w:eastAsia="zh-CN"/>
        </w:rPr>
        <w:t>: 791-796 [PMID: 19797415 DOI: 10.1093/jjco/hyp116]</w:t>
      </w:r>
    </w:p>
    <w:p w:rsidR="00CE72EE" w:rsidRPr="00851544" w:rsidRDefault="00CE72EE" w:rsidP="00746849">
      <w:pPr>
        <w:adjustRightInd w:val="0"/>
        <w:snapToGrid w:val="0"/>
        <w:spacing w:after="0" w:line="360" w:lineRule="auto"/>
        <w:jc w:val="both"/>
        <w:rPr>
          <w:rFonts w:ascii="Book Antiqua" w:eastAsia="SimSun" w:hAnsi="Book Antiqua" w:cs="SimSun"/>
          <w:color w:val="000000"/>
          <w:sz w:val="24"/>
          <w:szCs w:val="24"/>
          <w:lang w:val="en-US" w:eastAsia="zh-CN"/>
        </w:rPr>
      </w:pPr>
      <w:r w:rsidRPr="00851544">
        <w:rPr>
          <w:rFonts w:ascii="Book Antiqua" w:eastAsia="SimSun" w:hAnsi="Book Antiqua" w:cs="SimSun"/>
          <w:color w:val="000000"/>
          <w:sz w:val="24"/>
          <w:szCs w:val="24"/>
          <w:lang w:val="en-US" w:eastAsia="zh-CN"/>
        </w:rPr>
        <w:t>39 </w:t>
      </w:r>
      <w:r w:rsidRPr="00851544">
        <w:rPr>
          <w:rFonts w:ascii="Book Antiqua" w:eastAsia="SimSun" w:hAnsi="Book Antiqua" w:cs="SimSun"/>
          <w:b/>
          <w:bCs/>
          <w:color w:val="000000"/>
          <w:sz w:val="24"/>
          <w:szCs w:val="24"/>
          <w:lang w:val="en-US" w:eastAsia="zh-CN"/>
        </w:rPr>
        <w:t>Schønnemann KR</w:t>
      </w:r>
      <w:r w:rsidRPr="00851544">
        <w:rPr>
          <w:rFonts w:ascii="Book Antiqua" w:eastAsia="SimSun" w:hAnsi="Book Antiqua" w:cs="SimSun"/>
          <w:color w:val="000000"/>
          <w:sz w:val="24"/>
          <w:szCs w:val="24"/>
          <w:lang w:val="en-US" w:eastAsia="zh-CN"/>
        </w:rPr>
        <w:t>, Yilmaz M, Bjerregaard JK, Nielsen KM, Pfeiffer P. Phase II study of biweekly cetuximab in combination with irinotecan as second-line treatment in patients with platinum-resistant gastro-oesophageal cancer. </w:t>
      </w:r>
      <w:r w:rsidRPr="00851544">
        <w:rPr>
          <w:rFonts w:ascii="Book Antiqua" w:eastAsia="SimSun" w:hAnsi="Book Antiqua" w:cs="SimSun"/>
          <w:i/>
          <w:iCs/>
          <w:color w:val="000000"/>
          <w:sz w:val="24"/>
          <w:szCs w:val="24"/>
          <w:lang w:val="en-US" w:eastAsia="zh-CN"/>
        </w:rPr>
        <w:t>Eur J Cancer</w:t>
      </w:r>
      <w:r w:rsidRPr="00851544">
        <w:rPr>
          <w:rFonts w:ascii="Book Antiqua" w:eastAsia="SimSun" w:hAnsi="Book Antiqua" w:cs="SimSun"/>
          <w:color w:val="000000"/>
          <w:sz w:val="24"/>
          <w:szCs w:val="24"/>
          <w:lang w:val="en-US" w:eastAsia="zh-CN"/>
        </w:rPr>
        <w:t> 2012; </w:t>
      </w:r>
      <w:r w:rsidRPr="00851544">
        <w:rPr>
          <w:rFonts w:ascii="Book Antiqua" w:eastAsia="SimSun" w:hAnsi="Book Antiqua" w:cs="SimSun"/>
          <w:b/>
          <w:bCs/>
          <w:color w:val="000000"/>
          <w:sz w:val="24"/>
          <w:szCs w:val="24"/>
          <w:lang w:val="en-US" w:eastAsia="zh-CN"/>
        </w:rPr>
        <w:t>48</w:t>
      </w:r>
      <w:r w:rsidRPr="00851544">
        <w:rPr>
          <w:rFonts w:ascii="Book Antiqua" w:eastAsia="SimSun" w:hAnsi="Book Antiqua" w:cs="SimSun"/>
          <w:color w:val="000000"/>
          <w:sz w:val="24"/>
          <w:szCs w:val="24"/>
          <w:lang w:val="en-US" w:eastAsia="zh-CN"/>
        </w:rPr>
        <w:t>: 510-517 [PMID: 22244801 DOI: 10.1016/j.ejca.2011.12.005]</w:t>
      </w:r>
    </w:p>
    <w:p w:rsidR="00CE72EE" w:rsidRPr="00851544" w:rsidRDefault="00CE72EE" w:rsidP="00746849">
      <w:pPr>
        <w:adjustRightInd w:val="0"/>
        <w:snapToGrid w:val="0"/>
        <w:spacing w:after="0" w:line="360" w:lineRule="auto"/>
        <w:jc w:val="both"/>
        <w:rPr>
          <w:rFonts w:ascii="Book Antiqua" w:eastAsia="SimSun" w:hAnsi="Book Antiqua" w:cs="SimSun"/>
          <w:color w:val="000000"/>
          <w:sz w:val="24"/>
          <w:szCs w:val="24"/>
          <w:lang w:val="en-US" w:eastAsia="zh-CN"/>
        </w:rPr>
      </w:pPr>
      <w:r w:rsidRPr="00851544">
        <w:rPr>
          <w:rFonts w:ascii="Book Antiqua" w:eastAsia="SimSun" w:hAnsi="Book Antiqua" w:cs="SimSun"/>
          <w:color w:val="000000"/>
          <w:sz w:val="24"/>
          <w:szCs w:val="24"/>
          <w:lang w:val="en-US" w:eastAsia="zh-CN"/>
        </w:rPr>
        <w:t>40 </w:t>
      </w:r>
      <w:r w:rsidRPr="00851544">
        <w:rPr>
          <w:rFonts w:ascii="Book Antiqua" w:eastAsia="SimSun" w:hAnsi="Book Antiqua" w:cs="SimSun"/>
          <w:b/>
          <w:bCs/>
          <w:color w:val="000000"/>
          <w:sz w:val="24"/>
          <w:szCs w:val="24"/>
          <w:lang w:val="en-US" w:eastAsia="zh-CN"/>
        </w:rPr>
        <w:t>Sym SJ</w:t>
      </w:r>
      <w:r w:rsidRPr="00851544">
        <w:rPr>
          <w:rFonts w:ascii="Book Antiqua" w:eastAsia="SimSun" w:hAnsi="Book Antiqua" w:cs="SimSun"/>
          <w:color w:val="000000"/>
          <w:sz w:val="24"/>
          <w:szCs w:val="24"/>
          <w:lang w:val="en-US" w:eastAsia="zh-CN"/>
        </w:rPr>
        <w:t>, Hong J, Park J, Cho EK, Lee JH, Park YH, Lee WK, Chung M, Kim HS, Park SH, Shin DB. A randomized phase II study of biweekly irinotecan monotherapy or a combination of irinotecan plus 5-fluorouracil/leucovorin (mFOLFIRI) in patients with metastatic gastric adenocarcinoma refractory to or progressive after first-line chemotherapy. </w:t>
      </w:r>
      <w:r w:rsidRPr="00851544">
        <w:rPr>
          <w:rFonts w:ascii="Book Antiqua" w:eastAsia="SimSun" w:hAnsi="Book Antiqua" w:cs="SimSun"/>
          <w:i/>
          <w:iCs/>
          <w:color w:val="000000"/>
          <w:sz w:val="24"/>
          <w:szCs w:val="24"/>
          <w:lang w:val="en-US" w:eastAsia="zh-CN"/>
        </w:rPr>
        <w:t>Cancer Chemother Pharmacol</w:t>
      </w:r>
      <w:r w:rsidRPr="00851544">
        <w:rPr>
          <w:rFonts w:ascii="Book Antiqua" w:eastAsia="SimSun" w:hAnsi="Book Antiqua" w:cs="SimSun"/>
          <w:color w:val="000000"/>
          <w:sz w:val="24"/>
          <w:szCs w:val="24"/>
          <w:lang w:val="en-US" w:eastAsia="zh-CN"/>
        </w:rPr>
        <w:t> 2013; </w:t>
      </w:r>
      <w:r w:rsidRPr="00851544">
        <w:rPr>
          <w:rFonts w:ascii="Book Antiqua" w:eastAsia="SimSun" w:hAnsi="Book Antiqua" w:cs="SimSun"/>
          <w:b/>
          <w:bCs/>
          <w:color w:val="000000"/>
          <w:sz w:val="24"/>
          <w:szCs w:val="24"/>
          <w:lang w:val="en-US" w:eastAsia="zh-CN"/>
        </w:rPr>
        <w:t>71</w:t>
      </w:r>
      <w:r w:rsidRPr="00851544">
        <w:rPr>
          <w:rFonts w:ascii="Book Antiqua" w:eastAsia="SimSun" w:hAnsi="Book Antiqua" w:cs="SimSun"/>
          <w:color w:val="000000"/>
          <w:sz w:val="24"/>
          <w:szCs w:val="24"/>
          <w:lang w:val="en-US" w:eastAsia="zh-CN"/>
        </w:rPr>
        <w:t>: 481-488 [PMID: 23192279 DOI: 10.1007/s00280-012-2027-3]</w:t>
      </w:r>
    </w:p>
    <w:p w:rsidR="00CE72EE" w:rsidRPr="00851544" w:rsidRDefault="00CE72EE" w:rsidP="00746849">
      <w:pPr>
        <w:adjustRightInd w:val="0"/>
        <w:snapToGrid w:val="0"/>
        <w:spacing w:after="0" w:line="360" w:lineRule="auto"/>
        <w:jc w:val="both"/>
        <w:rPr>
          <w:rFonts w:ascii="Book Antiqua" w:eastAsia="SimSun" w:hAnsi="Book Antiqua" w:cs="SimSun"/>
          <w:color w:val="000000"/>
          <w:sz w:val="24"/>
          <w:szCs w:val="24"/>
          <w:lang w:val="en-US" w:eastAsia="zh-CN"/>
        </w:rPr>
      </w:pPr>
      <w:r w:rsidRPr="00851544">
        <w:rPr>
          <w:rFonts w:ascii="Book Antiqua" w:eastAsia="SimSun" w:hAnsi="Book Antiqua" w:cs="SimSun"/>
          <w:color w:val="000000"/>
          <w:sz w:val="24"/>
          <w:szCs w:val="24"/>
          <w:lang w:val="en-US" w:eastAsia="zh-CN"/>
        </w:rPr>
        <w:t>41 </w:t>
      </w:r>
      <w:r w:rsidRPr="00851544">
        <w:rPr>
          <w:rFonts w:ascii="Book Antiqua" w:eastAsia="SimSun" w:hAnsi="Book Antiqua" w:cs="SimSun"/>
          <w:b/>
          <w:bCs/>
          <w:color w:val="000000"/>
          <w:sz w:val="24"/>
          <w:szCs w:val="24"/>
          <w:lang w:val="en-US" w:eastAsia="zh-CN"/>
        </w:rPr>
        <w:t>Arai W</w:t>
      </w:r>
      <w:r w:rsidRPr="00851544">
        <w:rPr>
          <w:rFonts w:ascii="Book Antiqua" w:eastAsia="SimSun" w:hAnsi="Book Antiqua" w:cs="SimSun"/>
          <w:color w:val="000000"/>
          <w:sz w:val="24"/>
          <w:szCs w:val="24"/>
          <w:lang w:val="en-US" w:eastAsia="zh-CN"/>
        </w:rPr>
        <w:t xml:space="preserve">, Hosoya Y, Hyodo M, Haruta H, Kurashina K, Saito S, Hirashima Y, Yokoyama T, Zuiki T, Sakuma K, Yasuda Y, Nagai H. Doxifluridine combined with weekly paclitaxel for </w:t>
      </w:r>
      <w:r w:rsidRPr="00851544">
        <w:rPr>
          <w:rFonts w:ascii="Book Antiqua" w:eastAsia="SimSun" w:hAnsi="Book Antiqua" w:cs="SimSun"/>
          <w:color w:val="000000"/>
          <w:sz w:val="24"/>
          <w:szCs w:val="24"/>
          <w:lang w:val="en-US" w:eastAsia="zh-CN"/>
        </w:rPr>
        <w:lastRenderedPageBreak/>
        <w:t>second-line treatment in patients with gastric cancer resistant to TS-1. </w:t>
      </w:r>
      <w:r w:rsidRPr="00851544">
        <w:rPr>
          <w:rFonts w:ascii="Book Antiqua" w:eastAsia="SimSun" w:hAnsi="Book Antiqua" w:cs="SimSun"/>
          <w:i/>
          <w:iCs/>
          <w:color w:val="000000"/>
          <w:sz w:val="24"/>
          <w:szCs w:val="24"/>
          <w:lang w:val="en-US" w:eastAsia="zh-CN"/>
        </w:rPr>
        <w:t>Int J Clin Oncol</w:t>
      </w:r>
      <w:r w:rsidRPr="00851544">
        <w:rPr>
          <w:rFonts w:ascii="Book Antiqua" w:eastAsia="SimSun" w:hAnsi="Book Antiqua" w:cs="SimSun"/>
          <w:color w:val="000000"/>
          <w:sz w:val="24"/>
          <w:szCs w:val="24"/>
          <w:lang w:val="en-US" w:eastAsia="zh-CN"/>
        </w:rPr>
        <w:t> 2007; </w:t>
      </w:r>
      <w:r w:rsidRPr="00851544">
        <w:rPr>
          <w:rFonts w:ascii="Book Antiqua" w:eastAsia="SimSun" w:hAnsi="Book Antiqua" w:cs="SimSun"/>
          <w:b/>
          <w:bCs/>
          <w:color w:val="000000"/>
          <w:sz w:val="24"/>
          <w:szCs w:val="24"/>
          <w:lang w:val="en-US" w:eastAsia="zh-CN"/>
        </w:rPr>
        <w:t>12</w:t>
      </w:r>
      <w:r w:rsidRPr="00851544">
        <w:rPr>
          <w:rFonts w:ascii="Book Antiqua" w:eastAsia="SimSun" w:hAnsi="Book Antiqua" w:cs="SimSun"/>
          <w:color w:val="000000"/>
          <w:sz w:val="24"/>
          <w:szCs w:val="24"/>
          <w:lang w:val="en-US" w:eastAsia="zh-CN"/>
        </w:rPr>
        <w:t>: 146-149 [PMID: 17443283 DOI: 10.1007/s10147-006-0642-x]</w:t>
      </w:r>
    </w:p>
    <w:p w:rsidR="00CE72EE" w:rsidRPr="00851544" w:rsidRDefault="00CE72EE" w:rsidP="00746849">
      <w:pPr>
        <w:adjustRightInd w:val="0"/>
        <w:snapToGrid w:val="0"/>
        <w:spacing w:after="0" w:line="360" w:lineRule="auto"/>
        <w:jc w:val="both"/>
        <w:rPr>
          <w:rFonts w:ascii="Book Antiqua" w:eastAsia="SimSun" w:hAnsi="Book Antiqua" w:cs="SimSun"/>
          <w:color w:val="000000"/>
          <w:sz w:val="24"/>
          <w:szCs w:val="24"/>
          <w:lang w:val="en-US" w:eastAsia="zh-CN"/>
        </w:rPr>
      </w:pPr>
      <w:r w:rsidRPr="00851544">
        <w:rPr>
          <w:rFonts w:ascii="Book Antiqua" w:eastAsia="SimSun" w:hAnsi="Book Antiqua" w:cs="SimSun"/>
          <w:color w:val="000000"/>
          <w:sz w:val="24"/>
          <w:szCs w:val="24"/>
          <w:lang w:val="en-US" w:eastAsia="zh-CN"/>
        </w:rPr>
        <w:t>42 </w:t>
      </w:r>
      <w:r w:rsidRPr="00851544">
        <w:rPr>
          <w:rFonts w:ascii="Book Antiqua" w:hAnsi="Book Antiqua"/>
          <w:b/>
          <w:bCs/>
          <w:color w:val="000000"/>
          <w:sz w:val="24"/>
          <w:szCs w:val="24"/>
        </w:rPr>
        <w:t>Takiuchi H</w:t>
      </w:r>
      <w:r w:rsidRPr="00851544">
        <w:rPr>
          <w:rFonts w:ascii="Book Antiqua" w:hAnsi="Book Antiqua"/>
          <w:color w:val="000000"/>
          <w:sz w:val="24"/>
          <w:szCs w:val="24"/>
        </w:rPr>
        <w:t>, Goto M, Imamura H, Furukawa H, Imano M, Imamoto H, Kimura Y, Ishida H, Fujitani K, Narahara H, Shimokawa T. Multi-center phase II study for combination therapy with paclitaxel/doxifluridine to treat advanced/recurrent gastric cancer showing resistance to S-1 (OGSG 0302).</w:t>
      </w:r>
      <w:r w:rsidRPr="00851544">
        <w:rPr>
          <w:rStyle w:val="apple-converted-space"/>
          <w:rFonts w:ascii="Book Antiqua" w:hAnsi="Book Antiqua"/>
          <w:color w:val="000000"/>
          <w:sz w:val="24"/>
          <w:szCs w:val="24"/>
        </w:rPr>
        <w:t> </w:t>
      </w:r>
      <w:r w:rsidRPr="00851544">
        <w:rPr>
          <w:rFonts w:ascii="Book Antiqua" w:hAnsi="Book Antiqua"/>
          <w:i/>
          <w:iCs/>
          <w:color w:val="000000"/>
          <w:sz w:val="24"/>
          <w:szCs w:val="24"/>
        </w:rPr>
        <w:t>Jpn J Clin Oncol</w:t>
      </w:r>
      <w:r w:rsidRPr="00851544">
        <w:rPr>
          <w:rStyle w:val="apple-converted-space"/>
          <w:rFonts w:ascii="Book Antiqua" w:hAnsi="Book Antiqua"/>
          <w:color w:val="000000"/>
          <w:sz w:val="24"/>
          <w:szCs w:val="24"/>
        </w:rPr>
        <w:t> </w:t>
      </w:r>
      <w:r w:rsidRPr="00851544">
        <w:rPr>
          <w:rFonts w:ascii="Book Antiqua" w:hAnsi="Book Antiqua"/>
          <w:color w:val="000000"/>
          <w:sz w:val="24"/>
          <w:szCs w:val="24"/>
        </w:rPr>
        <w:t>2008;</w:t>
      </w:r>
      <w:r w:rsidRPr="00851544">
        <w:rPr>
          <w:rStyle w:val="apple-converted-space"/>
          <w:rFonts w:ascii="Book Antiqua" w:hAnsi="Book Antiqua"/>
          <w:color w:val="000000"/>
          <w:sz w:val="24"/>
          <w:szCs w:val="24"/>
        </w:rPr>
        <w:t> </w:t>
      </w:r>
      <w:r w:rsidRPr="00851544">
        <w:rPr>
          <w:rFonts w:ascii="Book Antiqua" w:hAnsi="Book Antiqua"/>
          <w:b/>
          <w:bCs/>
          <w:color w:val="000000"/>
          <w:sz w:val="24"/>
          <w:szCs w:val="24"/>
        </w:rPr>
        <w:t>38</w:t>
      </w:r>
      <w:r w:rsidRPr="00851544">
        <w:rPr>
          <w:rFonts w:ascii="Book Antiqua" w:hAnsi="Book Antiqua"/>
          <w:color w:val="000000"/>
          <w:sz w:val="24"/>
          <w:szCs w:val="24"/>
        </w:rPr>
        <w:t>: 176-181 [PMID: 18281707 DOI: 10.1093/jjco/hyn003]</w:t>
      </w:r>
    </w:p>
    <w:p w:rsidR="00CE72EE" w:rsidRPr="00851544" w:rsidRDefault="00CE72EE" w:rsidP="00746849">
      <w:pPr>
        <w:adjustRightInd w:val="0"/>
        <w:snapToGrid w:val="0"/>
        <w:spacing w:after="0" w:line="360" w:lineRule="auto"/>
        <w:jc w:val="both"/>
        <w:rPr>
          <w:rFonts w:ascii="Book Antiqua" w:eastAsia="SimSun" w:hAnsi="Book Antiqua" w:cs="SimSun"/>
          <w:color w:val="000000"/>
          <w:sz w:val="24"/>
          <w:szCs w:val="24"/>
          <w:lang w:val="en-US" w:eastAsia="zh-CN"/>
        </w:rPr>
      </w:pPr>
      <w:r w:rsidRPr="00851544">
        <w:rPr>
          <w:rFonts w:ascii="Book Antiqua" w:eastAsia="SimSun" w:hAnsi="Book Antiqua" w:cs="SimSun"/>
          <w:color w:val="000000"/>
          <w:sz w:val="24"/>
          <w:szCs w:val="24"/>
          <w:lang w:val="en-US" w:eastAsia="zh-CN"/>
        </w:rPr>
        <w:t>43 </w:t>
      </w:r>
      <w:r w:rsidRPr="00851544">
        <w:rPr>
          <w:rFonts w:ascii="Book Antiqua" w:eastAsia="SimSun" w:hAnsi="Book Antiqua" w:cs="SimSun"/>
          <w:b/>
          <w:bCs/>
          <w:color w:val="000000"/>
          <w:sz w:val="24"/>
          <w:szCs w:val="24"/>
          <w:lang w:val="en-US" w:eastAsia="zh-CN"/>
        </w:rPr>
        <w:t>Stathopoulos GP</w:t>
      </w:r>
      <w:r w:rsidRPr="00851544">
        <w:rPr>
          <w:rFonts w:ascii="Book Antiqua" w:eastAsia="SimSun" w:hAnsi="Book Antiqua" w:cs="SimSun"/>
          <w:color w:val="000000"/>
          <w:sz w:val="24"/>
          <w:szCs w:val="24"/>
          <w:lang w:val="en-US" w:eastAsia="zh-CN"/>
        </w:rPr>
        <w:t>, Rigatos SK, Fountzilas G, Polyzos A, Stathopoulos JG. Paclitaxel and carboplatin in pretreated advanced gastric cancer: a phase II study. </w:t>
      </w:r>
      <w:r w:rsidRPr="00851544">
        <w:rPr>
          <w:rFonts w:ascii="Book Antiqua" w:eastAsia="SimSun" w:hAnsi="Book Antiqua" w:cs="SimSun"/>
          <w:i/>
          <w:iCs/>
          <w:color w:val="000000"/>
          <w:sz w:val="24"/>
          <w:szCs w:val="24"/>
          <w:lang w:val="en-US" w:eastAsia="zh-CN"/>
        </w:rPr>
        <w:t>Oncol Rep</w:t>
      </w:r>
      <w:r w:rsidRPr="00851544">
        <w:rPr>
          <w:rFonts w:ascii="Book Antiqua" w:eastAsia="SimSun" w:hAnsi="Book Antiqua" w:cs="SimSun"/>
          <w:color w:val="000000"/>
          <w:sz w:val="24"/>
          <w:szCs w:val="24"/>
          <w:lang w:val="en-US" w:eastAsia="zh-CN"/>
        </w:rPr>
        <w:t> 2002; </w:t>
      </w:r>
      <w:r w:rsidRPr="00851544">
        <w:rPr>
          <w:rFonts w:ascii="Book Antiqua" w:eastAsia="SimSun" w:hAnsi="Book Antiqua" w:cs="SimSun"/>
          <w:b/>
          <w:bCs/>
          <w:color w:val="000000"/>
          <w:sz w:val="24"/>
          <w:szCs w:val="24"/>
          <w:lang w:val="en-US" w:eastAsia="zh-CN"/>
        </w:rPr>
        <w:t>9</w:t>
      </w:r>
      <w:r w:rsidRPr="00851544">
        <w:rPr>
          <w:rFonts w:ascii="Book Antiqua" w:eastAsia="SimSun" w:hAnsi="Book Antiqua" w:cs="SimSun"/>
          <w:color w:val="000000"/>
          <w:sz w:val="24"/>
          <w:szCs w:val="24"/>
          <w:lang w:val="en-US" w:eastAsia="zh-CN"/>
        </w:rPr>
        <w:t>: 89-92 [PMID: 11748462]</w:t>
      </w:r>
    </w:p>
    <w:p w:rsidR="00CE72EE" w:rsidRPr="00851544" w:rsidRDefault="00CE72EE" w:rsidP="00746849">
      <w:pPr>
        <w:adjustRightInd w:val="0"/>
        <w:snapToGrid w:val="0"/>
        <w:spacing w:after="0" w:line="360" w:lineRule="auto"/>
        <w:jc w:val="both"/>
        <w:rPr>
          <w:rFonts w:ascii="Book Antiqua" w:eastAsia="SimSun" w:hAnsi="Book Antiqua" w:cs="SimSun"/>
          <w:color w:val="000000"/>
          <w:sz w:val="24"/>
          <w:szCs w:val="24"/>
          <w:lang w:val="en-US" w:eastAsia="zh-CN"/>
        </w:rPr>
      </w:pPr>
      <w:r w:rsidRPr="00851544">
        <w:rPr>
          <w:rFonts w:ascii="Book Antiqua" w:eastAsia="SimSun" w:hAnsi="Book Antiqua" w:cs="SimSun"/>
          <w:color w:val="000000"/>
          <w:sz w:val="24"/>
          <w:szCs w:val="24"/>
          <w:lang w:val="en-US" w:eastAsia="zh-CN"/>
        </w:rPr>
        <w:t>44 </w:t>
      </w:r>
      <w:r w:rsidRPr="00851544">
        <w:rPr>
          <w:rFonts w:ascii="Book Antiqua" w:eastAsia="SimSun" w:hAnsi="Book Antiqua" w:cs="SimSun"/>
          <w:b/>
          <w:bCs/>
          <w:color w:val="000000"/>
          <w:sz w:val="24"/>
          <w:szCs w:val="24"/>
          <w:lang w:val="en-US" w:eastAsia="zh-CN"/>
        </w:rPr>
        <w:t>Lee KW</w:t>
      </w:r>
      <w:r w:rsidRPr="00851544">
        <w:rPr>
          <w:rFonts w:ascii="Book Antiqua" w:eastAsia="SimSun" w:hAnsi="Book Antiqua" w:cs="SimSun"/>
          <w:color w:val="000000"/>
          <w:sz w:val="24"/>
          <w:szCs w:val="24"/>
          <w:lang w:val="en-US" w:eastAsia="zh-CN"/>
        </w:rPr>
        <w:t>, Kim JH, Yun T, Song EK, Na II, Shin H, Oh SY, Choi IS, Oh do Y, Kim DW, Im SA, Kim TY, Lee JS, Heo DS, Bang YJ, Kim NK. Phase II study of low-dose paclitaxel and cisplatin as a second-line therapy after 5-fluorouracil/platinum chemotherapy in gastric cancer. </w:t>
      </w:r>
      <w:r w:rsidRPr="00851544">
        <w:rPr>
          <w:rFonts w:ascii="Book Antiqua" w:eastAsia="SimSun" w:hAnsi="Book Antiqua" w:cs="SimSun"/>
          <w:i/>
          <w:iCs/>
          <w:color w:val="000000"/>
          <w:sz w:val="24"/>
          <w:szCs w:val="24"/>
          <w:lang w:val="en-US" w:eastAsia="zh-CN"/>
        </w:rPr>
        <w:t>J Korean Med Sci</w:t>
      </w:r>
      <w:r w:rsidRPr="00851544">
        <w:rPr>
          <w:rFonts w:ascii="Book Antiqua" w:eastAsia="SimSun" w:hAnsi="Book Antiqua" w:cs="SimSun"/>
          <w:color w:val="000000"/>
          <w:sz w:val="24"/>
          <w:szCs w:val="24"/>
          <w:lang w:val="en-US" w:eastAsia="zh-CN"/>
        </w:rPr>
        <w:t> 2007; </w:t>
      </w:r>
      <w:r w:rsidRPr="00851544">
        <w:rPr>
          <w:rFonts w:ascii="Book Antiqua" w:eastAsia="SimSun" w:hAnsi="Book Antiqua" w:cs="SimSun"/>
          <w:b/>
          <w:bCs/>
          <w:color w:val="000000"/>
          <w:sz w:val="24"/>
          <w:szCs w:val="24"/>
          <w:lang w:val="en-US" w:eastAsia="zh-CN"/>
        </w:rPr>
        <w:t xml:space="preserve">22 </w:t>
      </w:r>
      <w:r w:rsidRPr="00851544">
        <w:rPr>
          <w:rFonts w:ascii="Book Antiqua" w:eastAsia="SimSun" w:hAnsi="Book Antiqua" w:cs="SimSun"/>
          <w:bCs/>
          <w:color w:val="000000"/>
          <w:sz w:val="24"/>
          <w:szCs w:val="24"/>
          <w:lang w:val="en-US" w:eastAsia="zh-CN"/>
        </w:rPr>
        <w:t>Suppl</w:t>
      </w:r>
      <w:r w:rsidRPr="00851544">
        <w:rPr>
          <w:rFonts w:ascii="Book Antiqua" w:eastAsia="SimSun" w:hAnsi="Book Antiqua" w:cs="SimSun"/>
          <w:color w:val="000000"/>
          <w:sz w:val="24"/>
          <w:szCs w:val="24"/>
          <w:lang w:val="en-US" w:eastAsia="zh-CN"/>
        </w:rPr>
        <w:t>: S115-S121 [PMID: 17923737 DOI: 10.3346/jkms.2007.22.S.S115]</w:t>
      </w:r>
    </w:p>
    <w:p w:rsidR="00CE72EE" w:rsidRPr="00851544" w:rsidRDefault="00CE72EE" w:rsidP="00746849">
      <w:pPr>
        <w:adjustRightInd w:val="0"/>
        <w:snapToGrid w:val="0"/>
        <w:spacing w:after="0" w:line="360" w:lineRule="auto"/>
        <w:jc w:val="both"/>
        <w:rPr>
          <w:rFonts w:ascii="Book Antiqua" w:eastAsia="SimSun" w:hAnsi="Book Antiqua" w:cs="SimSun"/>
          <w:color w:val="000000"/>
          <w:sz w:val="24"/>
          <w:szCs w:val="24"/>
          <w:lang w:val="en-US" w:eastAsia="zh-CN"/>
        </w:rPr>
      </w:pPr>
      <w:r w:rsidRPr="00851544">
        <w:rPr>
          <w:rFonts w:ascii="Book Antiqua" w:eastAsia="SimSun" w:hAnsi="Book Antiqua" w:cs="SimSun"/>
          <w:color w:val="000000"/>
          <w:sz w:val="24"/>
          <w:szCs w:val="24"/>
          <w:lang w:val="en-US" w:eastAsia="zh-CN"/>
        </w:rPr>
        <w:t>45 </w:t>
      </w:r>
      <w:r w:rsidRPr="00851544">
        <w:rPr>
          <w:rFonts w:ascii="Book Antiqua" w:eastAsia="SimSun" w:hAnsi="Book Antiqua" w:cs="SimSun"/>
          <w:b/>
          <w:bCs/>
          <w:color w:val="000000"/>
          <w:sz w:val="24"/>
          <w:szCs w:val="24"/>
          <w:lang w:val="en-US" w:eastAsia="zh-CN"/>
        </w:rPr>
        <w:t>Baize N</w:t>
      </w:r>
      <w:r w:rsidRPr="00851544">
        <w:rPr>
          <w:rFonts w:ascii="Book Antiqua" w:eastAsia="SimSun" w:hAnsi="Book Antiqua" w:cs="SimSun"/>
          <w:color w:val="000000"/>
          <w:sz w:val="24"/>
          <w:szCs w:val="24"/>
          <w:lang w:val="en-US" w:eastAsia="zh-CN"/>
        </w:rPr>
        <w:t>, Abakar-Mahamat A, Mounier N, Berthier F, Caroli-Bosc FX. Phase II study of paclitaxel combined with capecitabine as second-line treatment for advanced gastric carcinoma after failure of cisplatin-based regimens. </w:t>
      </w:r>
      <w:r w:rsidRPr="00851544">
        <w:rPr>
          <w:rFonts w:ascii="Book Antiqua" w:eastAsia="SimSun" w:hAnsi="Book Antiqua" w:cs="SimSun"/>
          <w:i/>
          <w:iCs/>
          <w:color w:val="000000"/>
          <w:sz w:val="24"/>
          <w:szCs w:val="24"/>
          <w:lang w:val="en-US" w:eastAsia="zh-CN"/>
        </w:rPr>
        <w:t>Cancer Chemother Pharmacol</w:t>
      </w:r>
      <w:r w:rsidRPr="00851544">
        <w:rPr>
          <w:rFonts w:ascii="Book Antiqua" w:eastAsia="SimSun" w:hAnsi="Book Antiqua" w:cs="SimSun"/>
          <w:color w:val="000000"/>
          <w:sz w:val="24"/>
          <w:szCs w:val="24"/>
          <w:lang w:val="en-US" w:eastAsia="zh-CN"/>
        </w:rPr>
        <w:t> 2009; </w:t>
      </w:r>
      <w:r w:rsidRPr="00851544">
        <w:rPr>
          <w:rFonts w:ascii="Book Antiqua" w:eastAsia="SimSun" w:hAnsi="Book Antiqua" w:cs="SimSun"/>
          <w:b/>
          <w:bCs/>
          <w:color w:val="000000"/>
          <w:sz w:val="24"/>
          <w:szCs w:val="24"/>
          <w:lang w:val="en-US" w:eastAsia="zh-CN"/>
        </w:rPr>
        <w:t>64</w:t>
      </w:r>
      <w:r w:rsidRPr="00851544">
        <w:rPr>
          <w:rFonts w:ascii="Book Antiqua" w:eastAsia="SimSun" w:hAnsi="Book Antiqua" w:cs="SimSun"/>
          <w:color w:val="000000"/>
          <w:sz w:val="24"/>
          <w:szCs w:val="24"/>
          <w:lang w:val="en-US" w:eastAsia="zh-CN"/>
        </w:rPr>
        <w:t>: 549-555 [PMID: 19123051 DOI: 10.1007/s00280-008-0903-7]</w:t>
      </w:r>
    </w:p>
    <w:p w:rsidR="00CE72EE" w:rsidRPr="00851544" w:rsidRDefault="00CE72EE" w:rsidP="00746849">
      <w:pPr>
        <w:adjustRightInd w:val="0"/>
        <w:snapToGrid w:val="0"/>
        <w:spacing w:after="0" w:line="360" w:lineRule="auto"/>
        <w:jc w:val="both"/>
        <w:rPr>
          <w:rFonts w:ascii="Book Antiqua" w:eastAsia="SimSun" w:hAnsi="Book Antiqua" w:cs="SimSun"/>
          <w:color w:val="000000"/>
          <w:sz w:val="24"/>
          <w:szCs w:val="24"/>
          <w:lang w:val="en-US" w:eastAsia="zh-CN"/>
        </w:rPr>
      </w:pPr>
      <w:r w:rsidRPr="00851544">
        <w:rPr>
          <w:rFonts w:ascii="Book Antiqua" w:eastAsia="SimSun" w:hAnsi="Book Antiqua" w:cs="SimSun"/>
          <w:color w:val="000000"/>
          <w:sz w:val="24"/>
          <w:szCs w:val="24"/>
          <w:lang w:val="en-US" w:eastAsia="zh-CN"/>
        </w:rPr>
        <w:t>46 </w:t>
      </w:r>
      <w:r w:rsidRPr="00851544">
        <w:rPr>
          <w:rFonts w:ascii="Book Antiqua" w:eastAsia="SimSun" w:hAnsi="Book Antiqua" w:cs="SimSun"/>
          <w:b/>
          <w:bCs/>
          <w:color w:val="000000"/>
          <w:sz w:val="24"/>
          <w:szCs w:val="24"/>
          <w:lang w:val="en-US" w:eastAsia="zh-CN"/>
        </w:rPr>
        <w:t>Zhang XT</w:t>
      </w:r>
      <w:r w:rsidRPr="00851544">
        <w:rPr>
          <w:rFonts w:ascii="Book Antiqua" w:eastAsia="SimSun" w:hAnsi="Book Antiqua" w:cs="SimSun"/>
          <w:color w:val="000000"/>
          <w:sz w:val="24"/>
          <w:szCs w:val="24"/>
          <w:lang w:val="en-US" w:eastAsia="zh-CN"/>
        </w:rPr>
        <w:t>, Li J, Bai Y, Chu YP, Li J, Li Y, Gong JF, Shen L. A phase II study of triweekly paclitaxel and capecitabine combination therapy in patients with fluoropyrimidine-platinum-resistant metastatic gastric adenocarcinoma. </w:t>
      </w:r>
      <w:r w:rsidRPr="00851544">
        <w:rPr>
          <w:rFonts w:ascii="Book Antiqua" w:eastAsia="SimSun" w:hAnsi="Book Antiqua" w:cs="SimSun"/>
          <w:i/>
          <w:iCs/>
          <w:color w:val="000000"/>
          <w:sz w:val="24"/>
          <w:szCs w:val="24"/>
          <w:lang w:val="en-US" w:eastAsia="zh-CN"/>
        </w:rPr>
        <w:t>J Cancer Res Ther</w:t>
      </w:r>
      <w:r w:rsidRPr="00851544">
        <w:rPr>
          <w:rFonts w:ascii="Book Antiqua" w:eastAsia="SimSun" w:hAnsi="Book Antiqua" w:cs="SimSun"/>
          <w:color w:val="000000"/>
          <w:sz w:val="24"/>
          <w:szCs w:val="24"/>
          <w:lang w:val="en-US" w:eastAsia="zh-CN"/>
        </w:rPr>
        <w:t> 2013; </w:t>
      </w:r>
      <w:r w:rsidRPr="00851544">
        <w:rPr>
          <w:rFonts w:ascii="Book Antiqua" w:eastAsia="SimSun" w:hAnsi="Book Antiqua" w:cs="SimSun"/>
          <w:b/>
          <w:bCs/>
          <w:color w:val="000000"/>
          <w:sz w:val="24"/>
          <w:szCs w:val="24"/>
          <w:lang w:val="en-US" w:eastAsia="zh-CN"/>
        </w:rPr>
        <w:t xml:space="preserve">9 </w:t>
      </w:r>
      <w:r w:rsidRPr="00851544">
        <w:rPr>
          <w:rFonts w:ascii="Book Antiqua" w:eastAsia="SimSun" w:hAnsi="Book Antiqua" w:cs="SimSun"/>
          <w:bCs/>
          <w:color w:val="000000"/>
          <w:sz w:val="24"/>
          <w:szCs w:val="24"/>
          <w:lang w:val="en-US" w:eastAsia="zh-CN"/>
        </w:rPr>
        <w:t>Suppl</w:t>
      </w:r>
      <w:r w:rsidRPr="00851544">
        <w:rPr>
          <w:rFonts w:ascii="Book Antiqua" w:eastAsia="SimSun" w:hAnsi="Book Antiqua" w:cs="SimSun"/>
          <w:color w:val="000000"/>
          <w:sz w:val="24"/>
          <w:szCs w:val="24"/>
          <w:lang w:val="en-US" w:eastAsia="zh-CN"/>
        </w:rPr>
        <w:t>: S153-S157 [PMID: 24516052 DOI: 10.4103/0973-1482.122512]</w:t>
      </w:r>
    </w:p>
    <w:p w:rsidR="00CE72EE" w:rsidRPr="00851544" w:rsidRDefault="00CE72EE" w:rsidP="00746849">
      <w:pPr>
        <w:adjustRightInd w:val="0"/>
        <w:snapToGrid w:val="0"/>
        <w:spacing w:after="0" w:line="360" w:lineRule="auto"/>
        <w:jc w:val="both"/>
        <w:rPr>
          <w:rFonts w:ascii="Book Antiqua" w:eastAsia="SimSun" w:hAnsi="Book Antiqua" w:cs="SimSun"/>
          <w:color w:val="000000"/>
          <w:sz w:val="24"/>
          <w:szCs w:val="24"/>
          <w:lang w:val="en-US" w:eastAsia="zh-CN"/>
        </w:rPr>
      </w:pPr>
      <w:r w:rsidRPr="00851544">
        <w:rPr>
          <w:rFonts w:ascii="Book Antiqua" w:eastAsia="SimSun" w:hAnsi="Book Antiqua" w:cs="SimSun"/>
          <w:color w:val="000000"/>
          <w:sz w:val="24"/>
          <w:szCs w:val="24"/>
          <w:lang w:val="en-US" w:eastAsia="zh-CN"/>
        </w:rPr>
        <w:t>47 </w:t>
      </w:r>
      <w:r w:rsidRPr="00851544">
        <w:rPr>
          <w:rFonts w:ascii="Book Antiqua" w:eastAsia="SimSun" w:hAnsi="Book Antiqua" w:cs="SimSun"/>
          <w:b/>
          <w:bCs/>
          <w:color w:val="000000"/>
          <w:sz w:val="24"/>
          <w:szCs w:val="24"/>
          <w:lang w:val="en-US" w:eastAsia="zh-CN"/>
        </w:rPr>
        <w:t>Zheng Y</w:t>
      </w:r>
      <w:r w:rsidRPr="00851544">
        <w:rPr>
          <w:rFonts w:ascii="Book Antiqua" w:eastAsia="SimSun" w:hAnsi="Book Antiqua" w:cs="SimSun"/>
          <w:color w:val="000000"/>
          <w:sz w:val="24"/>
          <w:szCs w:val="24"/>
          <w:lang w:val="en-US" w:eastAsia="zh-CN"/>
        </w:rPr>
        <w:t>, Fang W, Mao C, Qian J, Zhao P, Zhang X, Jiang H, Zheng Y, Xu N. Biweekly S-1 plus paclitaxel (SPA) as second-line chemotherapy after failure from fluoropyrimidine and platinum in advanced gastric cancer: a phase II study. </w:t>
      </w:r>
      <w:r w:rsidRPr="00851544">
        <w:rPr>
          <w:rFonts w:ascii="Book Antiqua" w:eastAsia="SimSun" w:hAnsi="Book Antiqua" w:cs="SimSun"/>
          <w:i/>
          <w:iCs/>
          <w:color w:val="000000"/>
          <w:sz w:val="24"/>
          <w:szCs w:val="24"/>
          <w:lang w:val="en-US" w:eastAsia="zh-CN"/>
        </w:rPr>
        <w:t>Cancer Chemother Pharmacol</w:t>
      </w:r>
      <w:r w:rsidRPr="00851544">
        <w:rPr>
          <w:rFonts w:ascii="Book Antiqua" w:eastAsia="SimSun" w:hAnsi="Book Antiqua" w:cs="SimSun"/>
          <w:color w:val="000000"/>
          <w:sz w:val="24"/>
          <w:szCs w:val="24"/>
          <w:lang w:val="en-US" w:eastAsia="zh-CN"/>
        </w:rPr>
        <w:t> 2014; </w:t>
      </w:r>
      <w:r w:rsidRPr="00851544">
        <w:rPr>
          <w:rFonts w:ascii="Book Antiqua" w:eastAsia="SimSun" w:hAnsi="Book Antiqua" w:cs="SimSun"/>
          <w:b/>
          <w:bCs/>
          <w:color w:val="000000"/>
          <w:sz w:val="24"/>
          <w:szCs w:val="24"/>
          <w:lang w:val="en-US" w:eastAsia="zh-CN"/>
        </w:rPr>
        <w:t>74</w:t>
      </w:r>
      <w:r w:rsidRPr="00851544">
        <w:rPr>
          <w:rFonts w:ascii="Book Antiqua" w:eastAsia="SimSun" w:hAnsi="Book Antiqua" w:cs="SimSun"/>
          <w:color w:val="000000"/>
          <w:sz w:val="24"/>
          <w:szCs w:val="24"/>
          <w:lang w:val="en-US" w:eastAsia="zh-CN"/>
        </w:rPr>
        <w:t>: 503-509 [PMID: 25038612 DOI: 10.1007/s00280-014-2537-2]</w:t>
      </w:r>
    </w:p>
    <w:p w:rsidR="00CE72EE" w:rsidRPr="00851544" w:rsidRDefault="00CE72EE" w:rsidP="00746849">
      <w:pPr>
        <w:adjustRightInd w:val="0"/>
        <w:snapToGrid w:val="0"/>
        <w:spacing w:after="0" w:line="360" w:lineRule="auto"/>
        <w:jc w:val="both"/>
        <w:rPr>
          <w:rFonts w:ascii="Book Antiqua" w:eastAsia="SimSun" w:hAnsi="Book Antiqua" w:cs="SimSun"/>
          <w:color w:val="000000"/>
          <w:sz w:val="24"/>
          <w:szCs w:val="24"/>
          <w:lang w:val="en-US" w:eastAsia="zh-CN"/>
        </w:rPr>
      </w:pPr>
      <w:r w:rsidRPr="00851544">
        <w:rPr>
          <w:rFonts w:ascii="Book Antiqua" w:eastAsia="SimSun" w:hAnsi="Book Antiqua" w:cs="SimSun"/>
          <w:color w:val="000000"/>
          <w:sz w:val="24"/>
          <w:szCs w:val="24"/>
          <w:lang w:val="en-US" w:eastAsia="zh-CN"/>
        </w:rPr>
        <w:t>48 </w:t>
      </w:r>
      <w:r w:rsidRPr="00851544">
        <w:rPr>
          <w:rFonts w:ascii="Book Antiqua" w:eastAsia="SimSun" w:hAnsi="Book Antiqua" w:cs="SimSun"/>
          <w:b/>
          <w:bCs/>
          <w:color w:val="000000"/>
          <w:sz w:val="24"/>
          <w:szCs w:val="24"/>
          <w:lang w:val="en-US" w:eastAsia="zh-CN"/>
        </w:rPr>
        <w:t>Park SH</w:t>
      </w:r>
      <w:r w:rsidRPr="00851544">
        <w:rPr>
          <w:rFonts w:ascii="Book Antiqua" w:eastAsia="SimSun" w:hAnsi="Book Antiqua" w:cs="SimSun"/>
          <w:color w:val="000000"/>
          <w:sz w:val="24"/>
          <w:szCs w:val="24"/>
          <w:lang w:val="en-US" w:eastAsia="zh-CN"/>
        </w:rPr>
        <w:t>, Kang WK, Lee HR, Park J, Lee KE, Lee SH, Park JO, Kim K, Kim WS, Chung CW, Im YH, Lee MH, Park CH, Park K. Docetaxel plus cisplatin as second-line therapy in metastatic or recurrent advanced gastric cancer progressing on 5-fluorouracil-based regimen. </w:t>
      </w:r>
      <w:r w:rsidRPr="00851544">
        <w:rPr>
          <w:rFonts w:ascii="Book Antiqua" w:eastAsia="SimSun" w:hAnsi="Book Antiqua" w:cs="SimSun"/>
          <w:i/>
          <w:iCs/>
          <w:color w:val="000000"/>
          <w:sz w:val="24"/>
          <w:szCs w:val="24"/>
          <w:lang w:val="en-US" w:eastAsia="zh-CN"/>
        </w:rPr>
        <w:t>Am J Clin Oncol</w:t>
      </w:r>
      <w:r w:rsidRPr="00851544">
        <w:rPr>
          <w:rFonts w:ascii="Book Antiqua" w:eastAsia="SimSun" w:hAnsi="Book Antiqua" w:cs="SimSun"/>
          <w:color w:val="000000"/>
          <w:sz w:val="24"/>
          <w:szCs w:val="24"/>
          <w:lang w:val="en-US" w:eastAsia="zh-CN"/>
        </w:rPr>
        <w:t> 2004; </w:t>
      </w:r>
      <w:r w:rsidRPr="00851544">
        <w:rPr>
          <w:rFonts w:ascii="Book Antiqua" w:eastAsia="SimSun" w:hAnsi="Book Antiqua" w:cs="SimSun"/>
          <w:b/>
          <w:bCs/>
          <w:color w:val="000000"/>
          <w:sz w:val="24"/>
          <w:szCs w:val="24"/>
          <w:lang w:val="en-US" w:eastAsia="zh-CN"/>
        </w:rPr>
        <w:t>27</w:t>
      </w:r>
      <w:r w:rsidRPr="00851544">
        <w:rPr>
          <w:rFonts w:ascii="Book Antiqua" w:eastAsia="SimSun" w:hAnsi="Book Antiqua" w:cs="SimSun"/>
          <w:color w:val="000000"/>
          <w:sz w:val="24"/>
          <w:szCs w:val="24"/>
          <w:lang w:val="en-US" w:eastAsia="zh-CN"/>
        </w:rPr>
        <w:t>: 477-480 [PMID: 15596914 DOI: 10.1097/01.coc.0000136018.81814.79]</w:t>
      </w:r>
    </w:p>
    <w:p w:rsidR="00CE72EE" w:rsidRPr="00851544" w:rsidRDefault="00CE72EE" w:rsidP="00746849">
      <w:pPr>
        <w:adjustRightInd w:val="0"/>
        <w:snapToGrid w:val="0"/>
        <w:spacing w:after="0" w:line="360" w:lineRule="auto"/>
        <w:jc w:val="both"/>
        <w:rPr>
          <w:rFonts w:ascii="Book Antiqua" w:eastAsia="SimSun" w:hAnsi="Book Antiqua" w:cs="SimSun"/>
          <w:color w:val="000000"/>
          <w:sz w:val="24"/>
          <w:szCs w:val="24"/>
          <w:lang w:val="en-US" w:eastAsia="zh-CN"/>
        </w:rPr>
      </w:pPr>
      <w:r w:rsidRPr="00851544">
        <w:rPr>
          <w:rFonts w:ascii="Book Antiqua" w:eastAsia="SimSun" w:hAnsi="Book Antiqua" w:cs="SimSun"/>
          <w:color w:val="000000"/>
          <w:sz w:val="24"/>
          <w:szCs w:val="24"/>
          <w:lang w:val="en-US" w:eastAsia="zh-CN"/>
        </w:rPr>
        <w:t>49 </w:t>
      </w:r>
      <w:r w:rsidRPr="00851544">
        <w:rPr>
          <w:rFonts w:ascii="Book Antiqua" w:eastAsia="SimSun" w:hAnsi="Book Antiqua" w:cs="SimSun"/>
          <w:b/>
          <w:bCs/>
          <w:color w:val="000000"/>
          <w:sz w:val="24"/>
          <w:szCs w:val="24"/>
          <w:lang w:val="en-US" w:eastAsia="zh-CN"/>
        </w:rPr>
        <w:t>Kunisaki C</w:t>
      </w:r>
      <w:r w:rsidRPr="00851544">
        <w:rPr>
          <w:rFonts w:ascii="Book Antiqua" w:eastAsia="SimSun" w:hAnsi="Book Antiqua" w:cs="SimSun"/>
          <w:color w:val="000000"/>
          <w:sz w:val="24"/>
          <w:szCs w:val="24"/>
          <w:lang w:val="en-US" w:eastAsia="zh-CN"/>
        </w:rPr>
        <w:t>, Imada T, Yamada R, Hatori S, Ono H, Otsuka Y, Matsuda G, Nomura M, Akiyama H, Kubo A, Shimada H. Phase II study of docetaxel plus cisplatin as a second-line combined therapy in patients with advanced gastric carcinoma. </w:t>
      </w:r>
      <w:r w:rsidRPr="00851544">
        <w:rPr>
          <w:rFonts w:ascii="Book Antiqua" w:eastAsia="SimSun" w:hAnsi="Book Antiqua" w:cs="SimSun"/>
          <w:i/>
          <w:iCs/>
          <w:color w:val="000000"/>
          <w:sz w:val="24"/>
          <w:szCs w:val="24"/>
          <w:lang w:val="en-US" w:eastAsia="zh-CN"/>
        </w:rPr>
        <w:t>Anticancer Res</w:t>
      </w:r>
      <w:r w:rsidRPr="00851544">
        <w:rPr>
          <w:rFonts w:ascii="Book Antiqua" w:eastAsia="SimSun" w:hAnsi="Book Antiqua" w:cs="SimSun"/>
          <w:color w:val="000000"/>
          <w:sz w:val="24"/>
          <w:szCs w:val="24"/>
          <w:lang w:val="en-US" w:eastAsia="zh-CN"/>
        </w:rPr>
        <w:t> 2005; </w:t>
      </w:r>
      <w:r w:rsidRPr="00851544">
        <w:rPr>
          <w:rFonts w:ascii="Book Antiqua" w:eastAsia="SimSun" w:hAnsi="Book Antiqua" w:cs="SimSun"/>
          <w:b/>
          <w:bCs/>
          <w:color w:val="000000"/>
          <w:sz w:val="24"/>
          <w:szCs w:val="24"/>
          <w:lang w:val="en-US" w:eastAsia="zh-CN"/>
        </w:rPr>
        <w:t>25</w:t>
      </w:r>
      <w:r w:rsidRPr="00851544">
        <w:rPr>
          <w:rFonts w:ascii="Book Antiqua" w:eastAsia="SimSun" w:hAnsi="Book Antiqua" w:cs="SimSun"/>
          <w:color w:val="000000"/>
          <w:sz w:val="24"/>
          <w:szCs w:val="24"/>
          <w:lang w:val="en-US" w:eastAsia="zh-CN"/>
        </w:rPr>
        <w:t>: 2973-2977 [PMID: 16080554]</w:t>
      </w:r>
    </w:p>
    <w:p w:rsidR="00CE72EE" w:rsidRPr="00851544" w:rsidRDefault="00CE72EE" w:rsidP="00746849">
      <w:pPr>
        <w:adjustRightInd w:val="0"/>
        <w:snapToGrid w:val="0"/>
        <w:spacing w:after="0" w:line="360" w:lineRule="auto"/>
        <w:jc w:val="both"/>
        <w:rPr>
          <w:rFonts w:ascii="Book Antiqua" w:eastAsia="SimSun" w:hAnsi="Book Antiqua" w:cs="SimSun"/>
          <w:color w:val="000000"/>
          <w:sz w:val="24"/>
          <w:szCs w:val="24"/>
          <w:lang w:val="en-US" w:eastAsia="zh-CN"/>
        </w:rPr>
      </w:pPr>
      <w:r w:rsidRPr="00851544">
        <w:rPr>
          <w:rFonts w:ascii="Book Antiqua" w:eastAsia="SimSun" w:hAnsi="Book Antiqua" w:cs="SimSun"/>
          <w:color w:val="000000"/>
          <w:sz w:val="24"/>
          <w:szCs w:val="24"/>
          <w:lang w:val="en-US" w:eastAsia="zh-CN"/>
        </w:rPr>
        <w:lastRenderedPageBreak/>
        <w:t>50 </w:t>
      </w:r>
      <w:r w:rsidRPr="00851544">
        <w:rPr>
          <w:rFonts w:ascii="Book Antiqua" w:eastAsia="SimSun" w:hAnsi="Book Antiqua" w:cs="SimSun"/>
          <w:b/>
          <w:bCs/>
          <w:color w:val="000000"/>
          <w:sz w:val="24"/>
          <w:szCs w:val="24"/>
          <w:lang w:val="en-US" w:eastAsia="zh-CN"/>
        </w:rPr>
        <w:t>Polyzos A</w:t>
      </w:r>
      <w:r w:rsidRPr="00851544">
        <w:rPr>
          <w:rFonts w:ascii="Book Antiqua" w:eastAsia="SimSun" w:hAnsi="Book Antiqua" w:cs="SimSun"/>
          <w:color w:val="000000"/>
          <w:sz w:val="24"/>
          <w:szCs w:val="24"/>
          <w:lang w:val="en-US" w:eastAsia="zh-CN"/>
        </w:rPr>
        <w:t>, Tsavaris N, Kosmas C, Polyzos K, Giannopoulos A, Felekouras E, Nikiteas N, Kouraklis G, Griniatsos J, Safioleas M, Stamatakos M, Pikoulis E, Papachristodoulou A, Gogas H. Subsets of patients with advanced gastric cancer responding to second-line chemotherapy with docetaxel-cisplatin. </w:t>
      </w:r>
      <w:r w:rsidRPr="00851544">
        <w:rPr>
          <w:rFonts w:ascii="Book Antiqua" w:eastAsia="SimSun" w:hAnsi="Book Antiqua" w:cs="SimSun"/>
          <w:i/>
          <w:iCs/>
          <w:color w:val="000000"/>
          <w:sz w:val="24"/>
          <w:szCs w:val="24"/>
          <w:lang w:val="en-US" w:eastAsia="zh-CN"/>
        </w:rPr>
        <w:t>Anticancer Res</w:t>
      </w:r>
      <w:r w:rsidRPr="00851544">
        <w:rPr>
          <w:rFonts w:ascii="Book Antiqua" w:eastAsia="SimSun" w:hAnsi="Book Antiqua" w:cs="SimSun"/>
          <w:color w:val="000000"/>
          <w:sz w:val="24"/>
          <w:szCs w:val="24"/>
          <w:lang w:val="en-US" w:eastAsia="zh-CN"/>
        </w:rPr>
        <w:t> 2006; </w:t>
      </w:r>
      <w:r w:rsidRPr="00851544">
        <w:rPr>
          <w:rFonts w:ascii="Book Antiqua" w:eastAsia="SimSun" w:hAnsi="Book Antiqua" w:cs="SimSun"/>
          <w:b/>
          <w:bCs/>
          <w:color w:val="000000"/>
          <w:sz w:val="24"/>
          <w:szCs w:val="24"/>
          <w:lang w:val="en-US" w:eastAsia="zh-CN"/>
        </w:rPr>
        <w:t>26</w:t>
      </w:r>
      <w:r w:rsidRPr="00851544">
        <w:rPr>
          <w:rFonts w:ascii="Book Antiqua" w:eastAsia="SimSun" w:hAnsi="Book Antiqua" w:cs="SimSun"/>
          <w:color w:val="000000"/>
          <w:sz w:val="24"/>
          <w:szCs w:val="24"/>
          <w:lang w:val="en-US" w:eastAsia="zh-CN"/>
        </w:rPr>
        <w:t>: 3749-3753 [PMID: 17094396]</w:t>
      </w:r>
    </w:p>
    <w:p w:rsidR="00CE72EE" w:rsidRPr="00851544" w:rsidRDefault="00CE72EE" w:rsidP="00746849">
      <w:pPr>
        <w:adjustRightInd w:val="0"/>
        <w:snapToGrid w:val="0"/>
        <w:spacing w:after="0" w:line="360" w:lineRule="auto"/>
        <w:jc w:val="both"/>
        <w:rPr>
          <w:rFonts w:ascii="Book Antiqua" w:eastAsia="SimSun" w:hAnsi="Book Antiqua" w:cs="SimSun"/>
          <w:color w:val="000000"/>
          <w:sz w:val="24"/>
          <w:szCs w:val="24"/>
          <w:lang w:val="en-US" w:eastAsia="zh-CN"/>
        </w:rPr>
      </w:pPr>
      <w:r w:rsidRPr="00851544">
        <w:rPr>
          <w:rFonts w:ascii="Book Antiqua" w:eastAsia="SimSun" w:hAnsi="Book Antiqua" w:cs="SimSun"/>
          <w:color w:val="000000"/>
          <w:sz w:val="24"/>
          <w:szCs w:val="24"/>
          <w:lang w:val="en-US" w:eastAsia="zh-CN"/>
        </w:rPr>
        <w:t>51 </w:t>
      </w:r>
      <w:r w:rsidRPr="00851544">
        <w:rPr>
          <w:rFonts w:ascii="Book Antiqua" w:eastAsia="SimSun" w:hAnsi="Book Antiqua" w:cs="SimSun"/>
          <w:b/>
          <w:bCs/>
          <w:color w:val="000000"/>
          <w:sz w:val="24"/>
          <w:szCs w:val="24"/>
          <w:lang w:val="en-US" w:eastAsia="zh-CN"/>
        </w:rPr>
        <w:t>Barone C</w:t>
      </w:r>
      <w:r w:rsidRPr="00851544">
        <w:rPr>
          <w:rFonts w:ascii="Book Antiqua" w:eastAsia="SimSun" w:hAnsi="Book Antiqua" w:cs="SimSun"/>
          <w:color w:val="000000"/>
          <w:sz w:val="24"/>
          <w:szCs w:val="24"/>
          <w:lang w:val="en-US" w:eastAsia="zh-CN"/>
        </w:rPr>
        <w:t>, Basso M, Schinzari G, Pozzo C, Trigila N, D'Argento E, Quirino M, Astone A, Cassano A. Docetaxel and oxaliplatin combination in second-line treatment of patients with advanced gastric cancer. </w:t>
      </w:r>
      <w:r w:rsidRPr="00851544">
        <w:rPr>
          <w:rFonts w:ascii="Book Antiqua" w:eastAsia="SimSun" w:hAnsi="Book Antiqua" w:cs="SimSun"/>
          <w:i/>
          <w:iCs/>
          <w:color w:val="000000"/>
          <w:sz w:val="24"/>
          <w:szCs w:val="24"/>
          <w:lang w:val="en-US" w:eastAsia="zh-CN"/>
        </w:rPr>
        <w:t>Gastric Cancer</w:t>
      </w:r>
      <w:r w:rsidRPr="00851544">
        <w:rPr>
          <w:rFonts w:ascii="Book Antiqua" w:eastAsia="SimSun" w:hAnsi="Book Antiqua" w:cs="SimSun"/>
          <w:color w:val="000000"/>
          <w:sz w:val="24"/>
          <w:szCs w:val="24"/>
          <w:lang w:val="en-US" w:eastAsia="zh-CN"/>
        </w:rPr>
        <w:t> 2007; </w:t>
      </w:r>
      <w:r w:rsidRPr="00851544">
        <w:rPr>
          <w:rFonts w:ascii="Book Antiqua" w:eastAsia="SimSun" w:hAnsi="Book Antiqua" w:cs="SimSun"/>
          <w:b/>
          <w:bCs/>
          <w:color w:val="000000"/>
          <w:sz w:val="24"/>
          <w:szCs w:val="24"/>
          <w:lang w:val="en-US" w:eastAsia="zh-CN"/>
        </w:rPr>
        <w:t>10</w:t>
      </w:r>
      <w:r w:rsidRPr="00851544">
        <w:rPr>
          <w:rFonts w:ascii="Book Antiqua" w:eastAsia="SimSun" w:hAnsi="Book Antiqua" w:cs="SimSun"/>
          <w:color w:val="000000"/>
          <w:sz w:val="24"/>
          <w:szCs w:val="24"/>
          <w:lang w:val="en-US" w:eastAsia="zh-CN"/>
        </w:rPr>
        <w:t>: 104-111 [PMID: 17577620 DOI: 10.1007/s10120-007-0415-x]</w:t>
      </w:r>
    </w:p>
    <w:p w:rsidR="00CE72EE" w:rsidRPr="00851544" w:rsidRDefault="00CE72EE" w:rsidP="00746849">
      <w:pPr>
        <w:adjustRightInd w:val="0"/>
        <w:snapToGrid w:val="0"/>
        <w:spacing w:after="0" w:line="360" w:lineRule="auto"/>
        <w:jc w:val="both"/>
        <w:rPr>
          <w:rFonts w:ascii="Book Antiqua" w:eastAsia="SimSun" w:hAnsi="Book Antiqua" w:cs="SimSun"/>
          <w:color w:val="000000"/>
          <w:sz w:val="24"/>
          <w:szCs w:val="24"/>
          <w:lang w:val="en-US" w:eastAsia="zh-CN"/>
        </w:rPr>
      </w:pPr>
      <w:r w:rsidRPr="00851544">
        <w:rPr>
          <w:rFonts w:ascii="Book Antiqua" w:eastAsia="SimSun" w:hAnsi="Book Antiqua" w:cs="SimSun"/>
          <w:color w:val="000000"/>
          <w:sz w:val="24"/>
          <w:szCs w:val="24"/>
          <w:lang w:val="en-US" w:eastAsia="zh-CN"/>
        </w:rPr>
        <w:t>52 </w:t>
      </w:r>
      <w:r w:rsidRPr="00851544">
        <w:rPr>
          <w:rFonts w:ascii="Book Antiqua" w:eastAsia="SimSun" w:hAnsi="Book Antiqua" w:cs="SimSun"/>
          <w:b/>
          <w:bCs/>
          <w:color w:val="000000"/>
          <w:sz w:val="24"/>
          <w:szCs w:val="24"/>
          <w:lang w:val="en-US" w:eastAsia="zh-CN"/>
        </w:rPr>
        <w:t>Zhong H</w:t>
      </w:r>
      <w:r w:rsidRPr="00851544">
        <w:rPr>
          <w:rFonts w:ascii="Book Antiqua" w:eastAsia="SimSun" w:hAnsi="Book Antiqua" w:cs="SimSun"/>
          <w:color w:val="000000"/>
          <w:sz w:val="24"/>
          <w:szCs w:val="24"/>
          <w:lang w:val="en-US" w:eastAsia="zh-CN"/>
        </w:rPr>
        <w:t>, Zhang Y, Ma S, Ying JE, Yang Y, Yong D, Hang X, Sun Q, Zhong B, Wang D. Docetaxel plus oxaliplatin (DOCOX) as a second-line treatment after failure of fluoropyrimidine and platinum in Chinese patients with advanced gastric cancer. </w:t>
      </w:r>
      <w:r w:rsidRPr="00851544">
        <w:rPr>
          <w:rFonts w:ascii="Book Antiqua" w:eastAsia="SimSun" w:hAnsi="Book Antiqua" w:cs="SimSun"/>
          <w:i/>
          <w:iCs/>
          <w:color w:val="000000"/>
          <w:sz w:val="24"/>
          <w:szCs w:val="24"/>
          <w:lang w:val="en-US" w:eastAsia="zh-CN"/>
        </w:rPr>
        <w:t>Anticancer Drugs</w:t>
      </w:r>
      <w:r w:rsidRPr="00851544">
        <w:rPr>
          <w:rFonts w:ascii="Book Antiqua" w:eastAsia="SimSun" w:hAnsi="Book Antiqua" w:cs="SimSun"/>
          <w:color w:val="000000"/>
          <w:sz w:val="24"/>
          <w:szCs w:val="24"/>
          <w:lang w:val="en-US" w:eastAsia="zh-CN"/>
        </w:rPr>
        <w:t> 2008; </w:t>
      </w:r>
      <w:r w:rsidRPr="00851544">
        <w:rPr>
          <w:rFonts w:ascii="Book Antiqua" w:eastAsia="SimSun" w:hAnsi="Book Antiqua" w:cs="SimSun"/>
          <w:b/>
          <w:bCs/>
          <w:color w:val="000000"/>
          <w:sz w:val="24"/>
          <w:szCs w:val="24"/>
          <w:lang w:val="en-US" w:eastAsia="zh-CN"/>
        </w:rPr>
        <w:t>19</w:t>
      </w:r>
      <w:r w:rsidRPr="00851544">
        <w:rPr>
          <w:rFonts w:ascii="Book Antiqua" w:eastAsia="SimSun" w:hAnsi="Book Antiqua" w:cs="SimSun"/>
          <w:color w:val="000000"/>
          <w:sz w:val="24"/>
          <w:szCs w:val="24"/>
          <w:lang w:val="en-US" w:eastAsia="zh-CN"/>
        </w:rPr>
        <w:t>: 1013-1018 [PMID: 18827567 DOI: 10.1097/CAD.0b013e328314b5ab]</w:t>
      </w:r>
    </w:p>
    <w:p w:rsidR="00CE72EE" w:rsidRPr="00851544" w:rsidRDefault="00CE72EE" w:rsidP="00746849">
      <w:pPr>
        <w:adjustRightInd w:val="0"/>
        <w:snapToGrid w:val="0"/>
        <w:spacing w:after="0" w:line="360" w:lineRule="auto"/>
        <w:jc w:val="both"/>
        <w:rPr>
          <w:rFonts w:ascii="Book Antiqua" w:eastAsia="SimSun" w:hAnsi="Book Antiqua" w:cs="SimSun"/>
          <w:color w:val="000000"/>
          <w:sz w:val="24"/>
          <w:szCs w:val="24"/>
          <w:lang w:val="en-US" w:eastAsia="zh-CN"/>
        </w:rPr>
      </w:pPr>
      <w:r w:rsidRPr="00851544">
        <w:rPr>
          <w:rFonts w:ascii="Book Antiqua" w:eastAsia="SimSun" w:hAnsi="Book Antiqua" w:cs="SimSun"/>
          <w:color w:val="000000"/>
          <w:sz w:val="24"/>
          <w:szCs w:val="24"/>
          <w:lang w:val="en-US" w:eastAsia="zh-CN"/>
        </w:rPr>
        <w:t>53 </w:t>
      </w:r>
      <w:r w:rsidRPr="00851544">
        <w:rPr>
          <w:rFonts w:ascii="Book Antiqua" w:eastAsia="SimSun" w:hAnsi="Book Antiqua" w:cs="SimSun"/>
          <w:b/>
          <w:bCs/>
          <w:color w:val="000000"/>
          <w:sz w:val="24"/>
          <w:szCs w:val="24"/>
          <w:lang w:val="en-US" w:eastAsia="zh-CN"/>
        </w:rPr>
        <w:t>Nguyen S</w:t>
      </w:r>
      <w:r w:rsidRPr="00851544">
        <w:rPr>
          <w:rFonts w:ascii="Book Antiqua" w:eastAsia="SimSun" w:hAnsi="Book Antiqua" w:cs="SimSun"/>
          <w:color w:val="000000"/>
          <w:sz w:val="24"/>
          <w:szCs w:val="24"/>
          <w:lang w:val="en-US" w:eastAsia="zh-CN"/>
        </w:rPr>
        <w:t>, Rebischung C, Van Ongeval J, Flesch M, Bennamoun M, André T, Ychou M, Gamelin E, Carola E, Louvet C. Epirubicin-docetaxel in advanced gastric cancer: two phase II studies as second and first line treatment. </w:t>
      </w:r>
      <w:r w:rsidRPr="00851544">
        <w:rPr>
          <w:rFonts w:ascii="Book Antiqua" w:eastAsia="SimSun" w:hAnsi="Book Antiqua" w:cs="SimSun"/>
          <w:i/>
          <w:iCs/>
          <w:color w:val="000000"/>
          <w:sz w:val="24"/>
          <w:szCs w:val="24"/>
          <w:lang w:val="en-US" w:eastAsia="zh-CN"/>
        </w:rPr>
        <w:t>Bull Cancer</w:t>
      </w:r>
      <w:r w:rsidRPr="00851544">
        <w:rPr>
          <w:rFonts w:ascii="Book Antiqua" w:eastAsia="SimSun" w:hAnsi="Book Antiqua" w:cs="SimSun"/>
          <w:color w:val="000000"/>
          <w:sz w:val="24"/>
          <w:szCs w:val="24"/>
          <w:lang w:val="en-US" w:eastAsia="zh-CN"/>
        </w:rPr>
        <w:t> 2006; </w:t>
      </w:r>
      <w:r w:rsidRPr="00851544">
        <w:rPr>
          <w:rFonts w:ascii="Book Antiqua" w:eastAsia="SimSun" w:hAnsi="Book Antiqua" w:cs="SimSun"/>
          <w:b/>
          <w:bCs/>
          <w:color w:val="000000"/>
          <w:sz w:val="24"/>
          <w:szCs w:val="24"/>
          <w:lang w:val="en-US" w:eastAsia="zh-CN"/>
        </w:rPr>
        <w:t>93</w:t>
      </w:r>
      <w:r w:rsidRPr="00851544">
        <w:rPr>
          <w:rFonts w:ascii="Book Antiqua" w:eastAsia="SimSun" w:hAnsi="Book Antiqua" w:cs="SimSun"/>
          <w:color w:val="000000"/>
          <w:sz w:val="24"/>
          <w:szCs w:val="24"/>
          <w:lang w:val="en-US" w:eastAsia="zh-CN"/>
        </w:rPr>
        <w:t>: E1-E6 [PMID: 16455499]</w:t>
      </w:r>
    </w:p>
    <w:p w:rsidR="00CE72EE" w:rsidRPr="00851544" w:rsidRDefault="00CE72EE" w:rsidP="00746849">
      <w:pPr>
        <w:adjustRightInd w:val="0"/>
        <w:snapToGrid w:val="0"/>
        <w:spacing w:after="0" w:line="360" w:lineRule="auto"/>
        <w:jc w:val="both"/>
        <w:rPr>
          <w:rFonts w:ascii="Book Antiqua" w:eastAsia="SimSun" w:hAnsi="Book Antiqua" w:cs="SimSun"/>
          <w:color w:val="000000"/>
          <w:sz w:val="24"/>
          <w:szCs w:val="24"/>
          <w:lang w:val="en-US" w:eastAsia="zh-CN"/>
        </w:rPr>
      </w:pPr>
      <w:r w:rsidRPr="00851544">
        <w:rPr>
          <w:rFonts w:ascii="Book Antiqua" w:eastAsia="SimSun" w:hAnsi="Book Antiqua" w:cs="SimSun"/>
          <w:color w:val="000000"/>
          <w:sz w:val="24"/>
          <w:szCs w:val="24"/>
          <w:lang w:val="en-US" w:eastAsia="zh-CN"/>
        </w:rPr>
        <w:t>54 </w:t>
      </w:r>
      <w:r w:rsidRPr="00851544">
        <w:rPr>
          <w:rFonts w:ascii="Book Antiqua" w:eastAsia="SimSun" w:hAnsi="Book Antiqua" w:cs="SimSun"/>
          <w:b/>
          <w:bCs/>
          <w:color w:val="000000"/>
          <w:sz w:val="24"/>
          <w:szCs w:val="24"/>
          <w:lang w:val="en-US" w:eastAsia="zh-CN"/>
        </w:rPr>
        <w:t>Rosati G</w:t>
      </w:r>
      <w:r w:rsidRPr="00851544">
        <w:rPr>
          <w:rFonts w:ascii="Book Antiqua" w:eastAsia="SimSun" w:hAnsi="Book Antiqua" w:cs="SimSun"/>
          <w:color w:val="000000"/>
          <w:sz w:val="24"/>
          <w:szCs w:val="24"/>
          <w:lang w:val="en-US" w:eastAsia="zh-CN"/>
        </w:rPr>
        <w:t>, Bilancia D, Germano D, Dinota A, Romano R, Reggiardo G, Manzione L. Reduced dose intensity of docetaxel plus capecitabine as second-line palliative chemotherapy in patients with metastatic gastric cancer: a phase II study. </w:t>
      </w:r>
      <w:r w:rsidRPr="00851544">
        <w:rPr>
          <w:rFonts w:ascii="Book Antiqua" w:eastAsia="SimSun" w:hAnsi="Book Antiqua" w:cs="SimSun"/>
          <w:i/>
          <w:iCs/>
          <w:color w:val="000000"/>
          <w:sz w:val="24"/>
          <w:szCs w:val="24"/>
          <w:lang w:val="en-US" w:eastAsia="zh-CN"/>
        </w:rPr>
        <w:t>Ann Oncol</w:t>
      </w:r>
      <w:r w:rsidRPr="00851544">
        <w:rPr>
          <w:rFonts w:ascii="Book Antiqua" w:eastAsia="SimSun" w:hAnsi="Book Antiqua" w:cs="SimSun"/>
          <w:color w:val="000000"/>
          <w:sz w:val="24"/>
          <w:szCs w:val="24"/>
          <w:lang w:val="en-US" w:eastAsia="zh-CN"/>
        </w:rPr>
        <w:t> 2007; </w:t>
      </w:r>
      <w:r w:rsidRPr="00851544">
        <w:rPr>
          <w:rFonts w:ascii="Book Antiqua" w:eastAsia="SimSun" w:hAnsi="Book Antiqua" w:cs="SimSun"/>
          <w:b/>
          <w:bCs/>
          <w:color w:val="000000"/>
          <w:sz w:val="24"/>
          <w:szCs w:val="24"/>
          <w:lang w:val="en-US" w:eastAsia="zh-CN"/>
        </w:rPr>
        <w:t xml:space="preserve">18 </w:t>
      </w:r>
      <w:r w:rsidRPr="00851544">
        <w:rPr>
          <w:rFonts w:ascii="Book Antiqua" w:eastAsia="SimSun" w:hAnsi="Book Antiqua" w:cs="SimSun"/>
          <w:bCs/>
          <w:color w:val="000000"/>
          <w:sz w:val="24"/>
          <w:szCs w:val="24"/>
          <w:lang w:val="en-US" w:eastAsia="zh-CN"/>
        </w:rPr>
        <w:t>Suppl 6</w:t>
      </w:r>
      <w:r w:rsidRPr="00851544">
        <w:rPr>
          <w:rFonts w:ascii="Book Antiqua" w:eastAsia="SimSun" w:hAnsi="Book Antiqua" w:cs="SimSun"/>
          <w:color w:val="000000"/>
          <w:sz w:val="24"/>
          <w:szCs w:val="24"/>
          <w:lang w:val="en-US" w:eastAsia="zh-CN"/>
        </w:rPr>
        <w:t>: vi128-vi132 [PMID: 17591806 DOI: 10.1093/annonc/mdm241]</w:t>
      </w:r>
    </w:p>
    <w:p w:rsidR="00CE72EE" w:rsidRPr="00851544" w:rsidRDefault="00CE72EE" w:rsidP="00746849">
      <w:pPr>
        <w:adjustRightInd w:val="0"/>
        <w:snapToGrid w:val="0"/>
        <w:spacing w:after="0" w:line="360" w:lineRule="auto"/>
        <w:jc w:val="both"/>
        <w:rPr>
          <w:rFonts w:ascii="Book Antiqua" w:eastAsia="SimSun" w:hAnsi="Book Antiqua" w:cs="SimSun"/>
          <w:color w:val="000000"/>
          <w:sz w:val="24"/>
          <w:szCs w:val="24"/>
          <w:lang w:val="en-US" w:eastAsia="zh-CN"/>
        </w:rPr>
      </w:pPr>
      <w:r w:rsidRPr="00851544">
        <w:rPr>
          <w:rFonts w:ascii="Book Antiqua" w:eastAsia="SimSun" w:hAnsi="Book Antiqua" w:cs="SimSun"/>
          <w:color w:val="000000"/>
          <w:sz w:val="24"/>
          <w:szCs w:val="24"/>
          <w:lang w:val="en-US" w:eastAsia="zh-CN"/>
        </w:rPr>
        <w:t>55 </w:t>
      </w:r>
      <w:r w:rsidRPr="00851544">
        <w:rPr>
          <w:rFonts w:ascii="Book Antiqua" w:eastAsia="SimSun" w:hAnsi="Book Antiqua" w:cs="SimSun"/>
          <w:b/>
          <w:bCs/>
          <w:color w:val="000000"/>
          <w:sz w:val="24"/>
          <w:szCs w:val="24"/>
          <w:lang w:val="en-US" w:eastAsia="zh-CN"/>
        </w:rPr>
        <w:t>Yildiz R</w:t>
      </w:r>
      <w:r w:rsidRPr="00851544">
        <w:rPr>
          <w:rFonts w:ascii="Book Antiqua" w:eastAsia="SimSun" w:hAnsi="Book Antiqua" w:cs="SimSun"/>
          <w:color w:val="000000"/>
          <w:sz w:val="24"/>
          <w:szCs w:val="24"/>
          <w:lang w:val="en-US" w:eastAsia="zh-CN"/>
        </w:rPr>
        <w:t>, Kalender ME, Dane F, Sevinc A, Gumus M, Camci C, Alici S, Kaya AO, Yaman E, Ozturk B, Coskun U, Benekli M, Uncu D, Buyukberber S. Docetaxel combined with oral etoposide as second-line treatment for advanced gastric carcinoma after failure of platinum- and fluoropyrimidine-based regimens. </w:t>
      </w:r>
      <w:r w:rsidRPr="00851544">
        <w:rPr>
          <w:rFonts w:ascii="Book Antiqua" w:eastAsia="SimSun" w:hAnsi="Book Antiqua" w:cs="SimSun"/>
          <w:i/>
          <w:iCs/>
          <w:color w:val="000000"/>
          <w:sz w:val="24"/>
          <w:szCs w:val="24"/>
          <w:lang w:val="en-US" w:eastAsia="zh-CN"/>
        </w:rPr>
        <w:t>J Oncol Pharm Pract</w:t>
      </w:r>
      <w:r w:rsidRPr="00851544">
        <w:rPr>
          <w:rFonts w:ascii="Book Antiqua" w:eastAsia="SimSun" w:hAnsi="Book Antiqua" w:cs="SimSun"/>
          <w:color w:val="000000"/>
          <w:sz w:val="24"/>
          <w:szCs w:val="24"/>
          <w:lang w:val="en-US" w:eastAsia="zh-CN"/>
        </w:rPr>
        <w:t> 2010; </w:t>
      </w:r>
      <w:r w:rsidRPr="00851544">
        <w:rPr>
          <w:rFonts w:ascii="Book Antiqua" w:eastAsia="SimSun" w:hAnsi="Book Antiqua" w:cs="SimSun"/>
          <w:b/>
          <w:bCs/>
          <w:color w:val="000000"/>
          <w:sz w:val="24"/>
          <w:szCs w:val="24"/>
          <w:lang w:val="en-US" w:eastAsia="zh-CN"/>
        </w:rPr>
        <w:t>16</w:t>
      </w:r>
      <w:r w:rsidRPr="00851544">
        <w:rPr>
          <w:rFonts w:ascii="Book Antiqua" w:eastAsia="SimSun" w:hAnsi="Book Antiqua" w:cs="SimSun"/>
          <w:color w:val="000000"/>
          <w:sz w:val="24"/>
          <w:szCs w:val="24"/>
          <w:lang w:val="en-US" w:eastAsia="zh-CN"/>
        </w:rPr>
        <w:t>: 173-178 [PMID: 19833685 DOI: 10.1177/1078155209347402]</w:t>
      </w:r>
    </w:p>
    <w:p w:rsidR="00CE72EE" w:rsidRPr="00851544" w:rsidRDefault="00CE72EE" w:rsidP="00746849">
      <w:pPr>
        <w:adjustRightInd w:val="0"/>
        <w:snapToGrid w:val="0"/>
        <w:spacing w:after="0" w:line="360" w:lineRule="auto"/>
        <w:jc w:val="both"/>
        <w:rPr>
          <w:rFonts w:ascii="Book Antiqua" w:eastAsia="SimSun" w:hAnsi="Book Antiqua" w:cs="SimSun"/>
          <w:color w:val="000000"/>
          <w:sz w:val="24"/>
          <w:szCs w:val="24"/>
          <w:lang w:val="en-US" w:eastAsia="zh-CN"/>
        </w:rPr>
      </w:pPr>
      <w:r w:rsidRPr="00851544">
        <w:rPr>
          <w:rFonts w:ascii="Book Antiqua" w:eastAsia="SimSun" w:hAnsi="Book Antiqua" w:cs="SimSun"/>
          <w:color w:val="000000"/>
          <w:sz w:val="24"/>
          <w:szCs w:val="24"/>
          <w:lang w:val="en-US" w:eastAsia="zh-CN"/>
        </w:rPr>
        <w:t>56 </w:t>
      </w:r>
      <w:r w:rsidRPr="00851544">
        <w:rPr>
          <w:rFonts w:ascii="Book Antiqua" w:eastAsia="SimSun" w:hAnsi="Book Antiqua" w:cs="SimSun"/>
          <w:b/>
          <w:bCs/>
          <w:color w:val="000000"/>
          <w:sz w:val="24"/>
          <w:szCs w:val="24"/>
          <w:lang w:val="en-US" w:eastAsia="zh-CN"/>
        </w:rPr>
        <w:t>Tebbutt NC</w:t>
      </w:r>
      <w:r w:rsidRPr="00851544">
        <w:rPr>
          <w:rFonts w:ascii="Book Antiqua" w:eastAsia="SimSun" w:hAnsi="Book Antiqua" w:cs="SimSun"/>
          <w:color w:val="000000"/>
          <w:sz w:val="24"/>
          <w:szCs w:val="24"/>
          <w:lang w:val="en-US" w:eastAsia="zh-CN"/>
        </w:rPr>
        <w:t>, Parry MM, Zannino D, Strickland AH, Van Hazel GA, Pavlakis N, Ganju V, Mellor D, Dobrovic A, Gebski VJ; Australasian Gastro-Intestinal Trials Group (AGITG). Docetaxel plus cetuximab as second-line treatment for docetaxel-refractory oesophagogastric cancer: the AGITG ATTAX2 trial. </w:t>
      </w:r>
      <w:r w:rsidRPr="00851544">
        <w:rPr>
          <w:rFonts w:ascii="Book Antiqua" w:eastAsia="SimSun" w:hAnsi="Book Antiqua" w:cs="SimSun"/>
          <w:i/>
          <w:iCs/>
          <w:color w:val="000000"/>
          <w:sz w:val="24"/>
          <w:szCs w:val="24"/>
          <w:lang w:val="en-US" w:eastAsia="zh-CN"/>
        </w:rPr>
        <w:t>Br J Cancer</w:t>
      </w:r>
      <w:r w:rsidRPr="00851544">
        <w:rPr>
          <w:rFonts w:ascii="Book Antiqua" w:eastAsia="SimSun" w:hAnsi="Book Antiqua" w:cs="SimSun"/>
          <w:color w:val="000000"/>
          <w:sz w:val="24"/>
          <w:szCs w:val="24"/>
          <w:lang w:val="en-US" w:eastAsia="zh-CN"/>
        </w:rPr>
        <w:t> 2013; </w:t>
      </w:r>
      <w:r w:rsidRPr="00851544">
        <w:rPr>
          <w:rFonts w:ascii="Book Antiqua" w:eastAsia="SimSun" w:hAnsi="Book Antiqua" w:cs="SimSun"/>
          <w:b/>
          <w:bCs/>
          <w:color w:val="000000"/>
          <w:sz w:val="24"/>
          <w:szCs w:val="24"/>
          <w:lang w:val="en-US" w:eastAsia="zh-CN"/>
        </w:rPr>
        <w:t>108</w:t>
      </w:r>
      <w:r w:rsidRPr="00851544">
        <w:rPr>
          <w:rFonts w:ascii="Book Antiqua" w:eastAsia="SimSun" w:hAnsi="Book Antiqua" w:cs="SimSun"/>
          <w:color w:val="000000"/>
          <w:sz w:val="24"/>
          <w:szCs w:val="24"/>
          <w:lang w:val="en-US" w:eastAsia="zh-CN"/>
        </w:rPr>
        <w:t>: 771-774 [PMID: 23412099 DOI: 10.1038/bjc.2013.41]</w:t>
      </w:r>
    </w:p>
    <w:p w:rsidR="00CE72EE" w:rsidRPr="00851544" w:rsidRDefault="00CE72EE" w:rsidP="00746849">
      <w:pPr>
        <w:adjustRightInd w:val="0"/>
        <w:snapToGrid w:val="0"/>
        <w:spacing w:after="0" w:line="360" w:lineRule="auto"/>
        <w:jc w:val="both"/>
        <w:rPr>
          <w:rFonts w:ascii="Book Antiqua" w:eastAsia="SimSun" w:hAnsi="Book Antiqua" w:cs="SimSun"/>
          <w:color w:val="000000"/>
          <w:sz w:val="24"/>
          <w:szCs w:val="24"/>
          <w:lang w:val="en-US" w:eastAsia="zh-CN"/>
        </w:rPr>
      </w:pPr>
      <w:r w:rsidRPr="00851544">
        <w:rPr>
          <w:rFonts w:ascii="Book Antiqua" w:eastAsia="SimSun" w:hAnsi="Book Antiqua" w:cs="SimSun"/>
          <w:color w:val="000000"/>
          <w:sz w:val="24"/>
          <w:szCs w:val="24"/>
          <w:lang w:val="en-US" w:eastAsia="zh-CN"/>
        </w:rPr>
        <w:t>57 </w:t>
      </w:r>
      <w:r w:rsidRPr="00851544">
        <w:rPr>
          <w:rFonts w:ascii="Book Antiqua" w:eastAsia="SimSun" w:hAnsi="Book Antiqua" w:cs="SimSun"/>
          <w:b/>
          <w:bCs/>
          <w:color w:val="000000"/>
          <w:sz w:val="24"/>
          <w:szCs w:val="24"/>
          <w:lang w:val="en-US" w:eastAsia="zh-CN"/>
        </w:rPr>
        <w:t>Park SH</w:t>
      </w:r>
      <w:r w:rsidRPr="00851544">
        <w:rPr>
          <w:rFonts w:ascii="Book Antiqua" w:eastAsia="SimSun" w:hAnsi="Book Antiqua" w:cs="SimSun"/>
          <w:color w:val="000000"/>
          <w:sz w:val="24"/>
          <w:szCs w:val="24"/>
          <w:lang w:val="en-US" w:eastAsia="zh-CN"/>
        </w:rPr>
        <w:t>, Kim YS, Hong J, Park J, Nam E, Cho EK, Shin DB, Lee JH, Lee WK, Chung M. Mitomycin C plus S-1 as second-line therapy in patients with advanced gastric cancer: a noncomparative phase II study. </w:t>
      </w:r>
      <w:r w:rsidRPr="00851544">
        <w:rPr>
          <w:rFonts w:ascii="Book Antiqua" w:eastAsia="SimSun" w:hAnsi="Book Antiqua" w:cs="SimSun"/>
          <w:i/>
          <w:iCs/>
          <w:color w:val="000000"/>
          <w:sz w:val="24"/>
          <w:szCs w:val="24"/>
          <w:lang w:val="en-US" w:eastAsia="zh-CN"/>
        </w:rPr>
        <w:t>Anticancer Drugs</w:t>
      </w:r>
      <w:r w:rsidRPr="00851544">
        <w:rPr>
          <w:rFonts w:ascii="Book Antiqua" w:eastAsia="SimSun" w:hAnsi="Book Antiqua" w:cs="SimSun"/>
          <w:color w:val="000000"/>
          <w:sz w:val="24"/>
          <w:szCs w:val="24"/>
          <w:lang w:val="en-US" w:eastAsia="zh-CN"/>
        </w:rPr>
        <w:t> 2008; </w:t>
      </w:r>
      <w:r w:rsidRPr="00851544">
        <w:rPr>
          <w:rFonts w:ascii="Book Antiqua" w:eastAsia="SimSun" w:hAnsi="Book Antiqua" w:cs="SimSun"/>
          <w:b/>
          <w:bCs/>
          <w:color w:val="000000"/>
          <w:sz w:val="24"/>
          <w:szCs w:val="24"/>
          <w:lang w:val="en-US" w:eastAsia="zh-CN"/>
        </w:rPr>
        <w:t>19</w:t>
      </w:r>
      <w:r w:rsidRPr="00851544">
        <w:rPr>
          <w:rFonts w:ascii="Book Antiqua" w:eastAsia="SimSun" w:hAnsi="Book Antiqua" w:cs="SimSun"/>
          <w:color w:val="000000"/>
          <w:sz w:val="24"/>
          <w:szCs w:val="24"/>
          <w:lang w:val="en-US" w:eastAsia="zh-CN"/>
        </w:rPr>
        <w:t>: 303-307 [PMID: 18510177]</w:t>
      </w:r>
    </w:p>
    <w:p w:rsidR="00CE72EE" w:rsidRPr="00851544" w:rsidRDefault="00CE72EE" w:rsidP="00746849">
      <w:pPr>
        <w:adjustRightInd w:val="0"/>
        <w:snapToGrid w:val="0"/>
        <w:spacing w:after="0" w:line="360" w:lineRule="auto"/>
        <w:jc w:val="both"/>
        <w:rPr>
          <w:rFonts w:ascii="Book Antiqua" w:eastAsia="SimSun" w:hAnsi="Book Antiqua" w:cs="SimSun"/>
          <w:color w:val="000000"/>
          <w:sz w:val="24"/>
          <w:szCs w:val="24"/>
          <w:lang w:val="en-US" w:eastAsia="zh-CN"/>
        </w:rPr>
      </w:pPr>
      <w:r w:rsidRPr="00851544">
        <w:rPr>
          <w:rFonts w:ascii="Book Antiqua" w:eastAsia="SimSun" w:hAnsi="Book Antiqua" w:cs="SimSun"/>
          <w:color w:val="000000"/>
          <w:sz w:val="24"/>
          <w:szCs w:val="24"/>
          <w:lang w:val="en-US" w:eastAsia="zh-CN"/>
        </w:rPr>
        <w:lastRenderedPageBreak/>
        <w:t>58 </w:t>
      </w:r>
      <w:r w:rsidRPr="00851544">
        <w:rPr>
          <w:rFonts w:ascii="Book Antiqua" w:eastAsia="SimSun" w:hAnsi="Book Antiqua" w:cs="SimSun"/>
          <w:b/>
          <w:bCs/>
          <w:color w:val="000000"/>
          <w:sz w:val="24"/>
          <w:szCs w:val="24"/>
          <w:lang w:val="en-US" w:eastAsia="zh-CN"/>
        </w:rPr>
        <w:t>Miranda MB</w:t>
      </w:r>
      <w:r w:rsidRPr="00851544">
        <w:rPr>
          <w:rFonts w:ascii="Book Antiqua" w:eastAsia="SimSun" w:hAnsi="Book Antiqua" w:cs="SimSun"/>
          <w:color w:val="000000"/>
          <w:sz w:val="24"/>
          <w:szCs w:val="24"/>
          <w:lang w:val="en-US" w:eastAsia="zh-CN"/>
        </w:rPr>
        <w:t>, Hartmann JT, Al-Batran SE, Kripp M, Gencer D, Hochhaus A, Hofheinz RD, Merx K. Mitomycin C and capecitabine in pretreated patients with metastatic gastric cancer: a multicenter phase II study. </w:t>
      </w:r>
      <w:r w:rsidRPr="00851544">
        <w:rPr>
          <w:rFonts w:ascii="Book Antiqua" w:eastAsia="SimSun" w:hAnsi="Book Antiqua" w:cs="SimSun"/>
          <w:i/>
          <w:iCs/>
          <w:color w:val="000000"/>
          <w:sz w:val="24"/>
          <w:szCs w:val="24"/>
          <w:lang w:val="en-US" w:eastAsia="zh-CN"/>
        </w:rPr>
        <w:t>J Cancer Res Clin Oncol</w:t>
      </w:r>
      <w:r w:rsidRPr="00851544">
        <w:rPr>
          <w:rFonts w:ascii="Book Antiqua" w:eastAsia="SimSun" w:hAnsi="Book Antiqua" w:cs="SimSun"/>
          <w:color w:val="000000"/>
          <w:sz w:val="24"/>
          <w:szCs w:val="24"/>
          <w:lang w:val="en-US" w:eastAsia="zh-CN"/>
        </w:rPr>
        <w:t> 2014; </w:t>
      </w:r>
      <w:r w:rsidRPr="00851544">
        <w:rPr>
          <w:rFonts w:ascii="Book Antiqua" w:eastAsia="SimSun" w:hAnsi="Book Antiqua" w:cs="SimSun"/>
          <w:b/>
          <w:bCs/>
          <w:color w:val="000000"/>
          <w:sz w:val="24"/>
          <w:szCs w:val="24"/>
          <w:lang w:val="en-US" w:eastAsia="zh-CN"/>
        </w:rPr>
        <w:t>140</w:t>
      </w:r>
      <w:r w:rsidRPr="00851544">
        <w:rPr>
          <w:rFonts w:ascii="Book Antiqua" w:eastAsia="SimSun" w:hAnsi="Book Antiqua" w:cs="SimSun"/>
          <w:color w:val="000000"/>
          <w:sz w:val="24"/>
          <w:szCs w:val="24"/>
          <w:lang w:val="en-US" w:eastAsia="zh-CN"/>
        </w:rPr>
        <w:t>: 829-837 [PMID: 24556803 DOI: 10.1007/s00432-014-1619-1]</w:t>
      </w:r>
    </w:p>
    <w:p w:rsidR="00CE72EE" w:rsidRPr="00851544" w:rsidRDefault="00CE72EE" w:rsidP="00746849">
      <w:pPr>
        <w:adjustRightInd w:val="0"/>
        <w:snapToGrid w:val="0"/>
        <w:spacing w:after="0" w:line="360" w:lineRule="auto"/>
        <w:jc w:val="both"/>
        <w:rPr>
          <w:rFonts w:ascii="Book Antiqua" w:eastAsia="SimSun" w:hAnsi="Book Antiqua" w:cs="SimSun"/>
          <w:color w:val="000000"/>
          <w:sz w:val="24"/>
          <w:szCs w:val="24"/>
          <w:lang w:val="en-US" w:eastAsia="zh-CN"/>
        </w:rPr>
      </w:pPr>
      <w:r w:rsidRPr="00851544">
        <w:rPr>
          <w:rFonts w:ascii="Book Antiqua" w:eastAsia="SimSun" w:hAnsi="Book Antiqua" w:cs="SimSun"/>
          <w:color w:val="000000"/>
          <w:sz w:val="24"/>
          <w:szCs w:val="24"/>
          <w:lang w:val="en-US" w:eastAsia="zh-CN"/>
        </w:rPr>
        <w:t>59 </w:t>
      </w:r>
      <w:r w:rsidRPr="00851544">
        <w:rPr>
          <w:rFonts w:ascii="Book Antiqua" w:eastAsia="SimSun" w:hAnsi="Book Antiqua" w:cs="SimSun"/>
          <w:b/>
          <w:bCs/>
          <w:color w:val="000000"/>
          <w:sz w:val="24"/>
          <w:szCs w:val="24"/>
          <w:lang w:val="en-US" w:eastAsia="zh-CN"/>
        </w:rPr>
        <w:t>Hamaguchi T</w:t>
      </w:r>
      <w:r w:rsidRPr="00851544">
        <w:rPr>
          <w:rFonts w:ascii="Book Antiqua" w:eastAsia="SimSun" w:hAnsi="Book Antiqua" w:cs="SimSun"/>
          <w:color w:val="000000"/>
          <w:sz w:val="24"/>
          <w:szCs w:val="24"/>
          <w:lang w:val="en-US" w:eastAsia="zh-CN"/>
        </w:rPr>
        <w:t>, Shirao K, Yamamichi N, Hyodo I, Koizumi W, Seki S, Imamura T, Honma H, Ohtsu A, Boku N, Mukai T, Yamamoto S, Fukuda H, Yoshida S; Gastrointestinal Oncology Study Group of Japan Clinical Oncology Group. A phase II study of sequential methotrexate and 5-fluorouracil chemotherapy in previously treated gastric cancer: a report from the Gastrointestinal Oncology Group of the Japan Clinical Oncology Group, JCOG 9207 trial. </w:t>
      </w:r>
      <w:r w:rsidRPr="00851544">
        <w:rPr>
          <w:rFonts w:ascii="Book Antiqua" w:eastAsia="SimSun" w:hAnsi="Book Antiqua" w:cs="SimSun"/>
          <w:i/>
          <w:iCs/>
          <w:color w:val="000000"/>
          <w:sz w:val="24"/>
          <w:szCs w:val="24"/>
          <w:lang w:val="en-US" w:eastAsia="zh-CN"/>
        </w:rPr>
        <w:t>Jpn J Clin Oncol</w:t>
      </w:r>
      <w:r w:rsidRPr="00851544">
        <w:rPr>
          <w:rFonts w:ascii="Book Antiqua" w:eastAsia="SimSun" w:hAnsi="Book Antiqua" w:cs="SimSun"/>
          <w:color w:val="000000"/>
          <w:sz w:val="24"/>
          <w:szCs w:val="24"/>
          <w:lang w:val="en-US" w:eastAsia="zh-CN"/>
        </w:rPr>
        <w:t> 2008; </w:t>
      </w:r>
      <w:r w:rsidRPr="00851544">
        <w:rPr>
          <w:rFonts w:ascii="Book Antiqua" w:eastAsia="SimSun" w:hAnsi="Book Antiqua" w:cs="SimSun"/>
          <w:b/>
          <w:bCs/>
          <w:color w:val="000000"/>
          <w:sz w:val="24"/>
          <w:szCs w:val="24"/>
          <w:lang w:val="en-US" w:eastAsia="zh-CN"/>
        </w:rPr>
        <w:t>38</w:t>
      </w:r>
      <w:r w:rsidRPr="00851544">
        <w:rPr>
          <w:rFonts w:ascii="Book Antiqua" w:eastAsia="SimSun" w:hAnsi="Book Antiqua" w:cs="SimSun"/>
          <w:color w:val="000000"/>
          <w:sz w:val="24"/>
          <w:szCs w:val="24"/>
          <w:lang w:val="en-US" w:eastAsia="zh-CN"/>
        </w:rPr>
        <w:t>: 432-437 [PMID: 18515821 DOI: 10.1093/jjco/hyn043]</w:t>
      </w:r>
    </w:p>
    <w:p w:rsidR="00CE72EE" w:rsidRPr="00851544" w:rsidRDefault="00CE72EE" w:rsidP="00746849">
      <w:pPr>
        <w:adjustRightInd w:val="0"/>
        <w:snapToGrid w:val="0"/>
        <w:spacing w:after="0" w:line="360" w:lineRule="auto"/>
        <w:jc w:val="both"/>
        <w:rPr>
          <w:rFonts w:ascii="Book Antiqua" w:eastAsia="SimSun" w:hAnsi="Book Antiqua" w:cs="SimSun"/>
          <w:color w:val="000000"/>
          <w:sz w:val="24"/>
          <w:szCs w:val="24"/>
          <w:lang w:val="en-US" w:eastAsia="zh-CN"/>
        </w:rPr>
      </w:pPr>
      <w:r w:rsidRPr="00851544">
        <w:rPr>
          <w:rFonts w:ascii="Book Antiqua" w:eastAsia="SimSun" w:hAnsi="Book Antiqua" w:cs="SimSun"/>
          <w:color w:val="000000"/>
          <w:sz w:val="24"/>
          <w:szCs w:val="24"/>
          <w:lang w:val="en-US" w:eastAsia="zh-CN"/>
        </w:rPr>
        <w:t>60 </w:t>
      </w:r>
      <w:r w:rsidRPr="00851544">
        <w:rPr>
          <w:rFonts w:ascii="Book Antiqua" w:eastAsia="SimSun" w:hAnsi="Book Antiqua" w:cs="SimSun"/>
          <w:b/>
          <w:bCs/>
          <w:color w:val="000000"/>
          <w:sz w:val="24"/>
          <w:szCs w:val="24"/>
          <w:lang w:val="en-US" w:eastAsia="zh-CN"/>
        </w:rPr>
        <w:t>Sencan O</w:t>
      </w:r>
      <w:r w:rsidRPr="00851544">
        <w:rPr>
          <w:rFonts w:ascii="Book Antiqua" w:eastAsia="SimSun" w:hAnsi="Book Antiqua" w:cs="SimSun"/>
          <w:color w:val="000000"/>
          <w:sz w:val="24"/>
          <w:szCs w:val="24"/>
          <w:lang w:val="en-US" w:eastAsia="zh-CN"/>
        </w:rPr>
        <w:t>, Buyukcelik A, Yalcin B, Boruban MC, Akbulut H, Demirkazik A, Senler FC, Onur H, Icli F. The symptomatic benefit (the clinical benefit response) from the second-line chemotherapy in patients with advanced gastric adenocarcinoma. </w:t>
      </w:r>
      <w:r w:rsidRPr="00851544">
        <w:rPr>
          <w:rFonts w:ascii="Book Antiqua" w:eastAsia="SimSun" w:hAnsi="Book Antiqua" w:cs="SimSun"/>
          <w:i/>
          <w:iCs/>
          <w:color w:val="000000"/>
          <w:sz w:val="24"/>
          <w:szCs w:val="24"/>
          <w:lang w:val="en-US" w:eastAsia="zh-CN"/>
        </w:rPr>
        <w:t>Eur J Cancer Care (Engl)</w:t>
      </w:r>
      <w:r w:rsidRPr="00851544">
        <w:rPr>
          <w:rFonts w:ascii="Book Antiqua" w:eastAsia="SimSun" w:hAnsi="Book Antiqua" w:cs="SimSun"/>
          <w:color w:val="000000"/>
          <w:sz w:val="24"/>
          <w:szCs w:val="24"/>
          <w:lang w:val="en-US" w:eastAsia="zh-CN"/>
        </w:rPr>
        <w:t> 2008; </w:t>
      </w:r>
      <w:r w:rsidRPr="00851544">
        <w:rPr>
          <w:rFonts w:ascii="Book Antiqua" w:eastAsia="SimSun" w:hAnsi="Book Antiqua" w:cs="SimSun"/>
          <w:b/>
          <w:bCs/>
          <w:color w:val="000000"/>
          <w:sz w:val="24"/>
          <w:szCs w:val="24"/>
          <w:lang w:val="en-US" w:eastAsia="zh-CN"/>
        </w:rPr>
        <w:t>17</w:t>
      </w:r>
      <w:r w:rsidRPr="00851544">
        <w:rPr>
          <w:rFonts w:ascii="Book Antiqua" w:eastAsia="SimSun" w:hAnsi="Book Antiqua" w:cs="SimSun"/>
          <w:color w:val="000000"/>
          <w:sz w:val="24"/>
          <w:szCs w:val="24"/>
          <w:lang w:val="en-US" w:eastAsia="zh-CN"/>
        </w:rPr>
        <w:t>: 26-32 [PMID: 18181888 DOI: 10.1111/j.1365-2354.2007.00798.x]</w:t>
      </w:r>
    </w:p>
    <w:p w:rsidR="00CE72EE" w:rsidRPr="00851544" w:rsidRDefault="00CE72EE" w:rsidP="00746849">
      <w:pPr>
        <w:adjustRightInd w:val="0"/>
        <w:snapToGrid w:val="0"/>
        <w:spacing w:after="0" w:line="360" w:lineRule="auto"/>
        <w:jc w:val="both"/>
        <w:rPr>
          <w:rFonts w:ascii="Book Antiqua" w:eastAsia="SimSun" w:hAnsi="Book Antiqua" w:cs="SimSun"/>
          <w:color w:val="000000"/>
          <w:sz w:val="24"/>
          <w:szCs w:val="24"/>
          <w:lang w:val="en-US" w:eastAsia="zh-CN"/>
        </w:rPr>
      </w:pPr>
      <w:r w:rsidRPr="00851544">
        <w:rPr>
          <w:rFonts w:ascii="Book Antiqua" w:eastAsia="SimSun" w:hAnsi="Book Antiqua" w:cs="SimSun"/>
          <w:color w:val="000000"/>
          <w:sz w:val="24"/>
          <w:szCs w:val="24"/>
          <w:lang w:val="en-US" w:eastAsia="zh-CN"/>
        </w:rPr>
        <w:t>61 </w:t>
      </w:r>
      <w:r w:rsidRPr="00851544">
        <w:rPr>
          <w:rFonts w:ascii="Book Antiqua" w:eastAsia="SimSun" w:hAnsi="Book Antiqua" w:cs="SimSun"/>
          <w:b/>
          <w:bCs/>
          <w:color w:val="000000"/>
          <w:sz w:val="24"/>
          <w:szCs w:val="24"/>
          <w:lang w:val="en-US" w:eastAsia="zh-CN"/>
        </w:rPr>
        <w:t>Martin-Richard M</w:t>
      </w:r>
      <w:r w:rsidRPr="00851544">
        <w:rPr>
          <w:rFonts w:ascii="Book Antiqua" w:eastAsia="SimSun" w:hAnsi="Book Antiqua" w:cs="SimSun"/>
          <w:color w:val="000000"/>
          <w:sz w:val="24"/>
          <w:szCs w:val="24"/>
          <w:lang w:val="en-US" w:eastAsia="zh-CN"/>
        </w:rPr>
        <w:t>, Gallego R, Pericay C, Garcia Foncillas J, Queralt B, Casado E, Barriuso J, Iranzo V, Juez I, Visa L, Saigi E, Barnadas A, Garcia-Albeniz X, Maurel J. Multicenter phase II study of oxaliplatin and sorafenib in advanced gastric adenocarcinoma after failure of cisplatin and fluoropyrimidine treatment. A GEMCAD study. </w:t>
      </w:r>
      <w:r w:rsidRPr="00851544">
        <w:rPr>
          <w:rFonts w:ascii="Book Antiqua" w:eastAsia="SimSun" w:hAnsi="Book Antiqua" w:cs="SimSun"/>
          <w:i/>
          <w:iCs/>
          <w:color w:val="000000"/>
          <w:sz w:val="24"/>
          <w:szCs w:val="24"/>
          <w:lang w:val="en-US" w:eastAsia="zh-CN"/>
        </w:rPr>
        <w:t>Invest New Drugs</w:t>
      </w:r>
      <w:r w:rsidRPr="00851544">
        <w:rPr>
          <w:rFonts w:ascii="Book Antiqua" w:eastAsia="SimSun" w:hAnsi="Book Antiqua" w:cs="SimSun"/>
          <w:color w:val="000000"/>
          <w:sz w:val="24"/>
          <w:szCs w:val="24"/>
          <w:lang w:val="en-US" w:eastAsia="zh-CN"/>
        </w:rPr>
        <w:t> 2013; </w:t>
      </w:r>
      <w:r w:rsidRPr="00851544">
        <w:rPr>
          <w:rFonts w:ascii="Book Antiqua" w:eastAsia="SimSun" w:hAnsi="Book Antiqua" w:cs="SimSun"/>
          <w:b/>
          <w:bCs/>
          <w:color w:val="000000"/>
          <w:sz w:val="24"/>
          <w:szCs w:val="24"/>
          <w:lang w:val="en-US" w:eastAsia="zh-CN"/>
        </w:rPr>
        <w:t>31</w:t>
      </w:r>
      <w:r w:rsidRPr="00851544">
        <w:rPr>
          <w:rFonts w:ascii="Book Antiqua" w:eastAsia="SimSun" w:hAnsi="Book Antiqua" w:cs="SimSun"/>
          <w:color w:val="000000"/>
          <w:sz w:val="24"/>
          <w:szCs w:val="24"/>
          <w:lang w:val="en-US" w:eastAsia="zh-CN"/>
        </w:rPr>
        <w:t>: 1573-1579 [PMID: 24077981 DOI: 10.1007/s10637-013-0020-2]</w:t>
      </w:r>
    </w:p>
    <w:p w:rsidR="00CE72EE" w:rsidRPr="00851544" w:rsidRDefault="00CE72EE" w:rsidP="00746849">
      <w:pPr>
        <w:adjustRightInd w:val="0"/>
        <w:snapToGrid w:val="0"/>
        <w:spacing w:after="0" w:line="360" w:lineRule="auto"/>
        <w:jc w:val="both"/>
        <w:rPr>
          <w:rFonts w:ascii="Book Antiqua" w:eastAsia="SimSun" w:hAnsi="Book Antiqua" w:cs="SimSun"/>
          <w:color w:val="000000"/>
          <w:sz w:val="24"/>
          <w:szCs w:val="24"/>
          <w:lang w:val="en-US" w:eastAsia="zh-CN"/>
        </w:rPr>
      </w:pPr>
      <w:r w:rsidRPr="00851544">
        <w:rPr>
          <w:rFonts w:ascii="Book Antiqua" w:eastAsia="SimSun" w:hAnsi="Book Antiqua" w:cs="SimSun"/>
          <w:color w:val="000000"/>
          <w:sz w:val="24"/>
          <w:szCs w:val="24"/>
          <w:lang w:val="en-US" w:eastAsia="zh-CN"/>
        </w:rPr>
        <w:t>62 </w:t>
      </w:r>
      <w:r w:rsidRPr="00851544">
        <w:rPr>
          <w:rFonts w:ascii="Book Antiqua" w:eastAsia="SimSun" w:hAnsi="Book Antiqua" w:cs="SimSun"/>
          <w:b/>
          <w:bCs/>
          <w:color w:val="000000"/>
          <w:sz w:val="24"/>
          <w:szCs w:val="24"/>
          <w:lang w:val="en-US" w:eastAsia="zh-CN"/>
        </w:rPr>
        <w:t>Thuss-Patience PC</w:t>
      </w:r>
      <w:r w:rsidRPr="00851544">
        <w:rPr>
          <w:rFonts w:ascii="Book Antiqua" w:eastAsia="SimSun" w:hAnsi="Book Antiqua" w:cs="SimSun"/>
          <w:color w:val="000000"/>
          <w:sz w:val="24"/>
          <w:szCs w:val="24"/>
          <w:lang w:val="en-US" w:eastAsia="zh-CN"/>
        </w:rPr>
        <w:t>, Kretzschmar A, Bichev D, Deist T, Hinke A, Breithaupt K, Dogan Y, Gebauer B, Schumacher G, Reichardt P. Survival advantage for irinotecan versus best supportive care as second-line chemotherapy in gastric cancer--a randomised phase III study of the Arbeitsgemeinschaft Internistische Onkologie (AIO). </w:t>
      </w:r>
      <w:r w:rsidRPr="00851544">
        <w:rPr>
          <w:rFonts w:ascii="Book Antiqua" w:eastAsia="SimSun" w:hAnsi="Book Antiqua" w:cs="SimSun"/>
          <w:i/>
          <w:iCs/>
          <w:color w:val="000000"/>
          <w:sz w:val="24"/>
          <w:szCs w:val="24"/>
          <w:lang w:val="en-US" w:eastAsia="zh-CN"/>
        </w:rPr>
        <w:t>Eur J Cancer</w:t>
      </w:r>
      <w:r w:rsidRPr="00851544">
        <w:rPr>
          <w:rFonts w:ascii="Book Antiqua" w:eastAsia="SimSun" w:hAnsi="Book Antiqua" w:cs="SimSun"/>
          <w:color w:val="000000"/>
          <w:sz w:val="24"/>
          <w:szCs w:val="24"/>
          <w:lang w:val="en-US" w:eastAsia="zh-CN"/>
        </w:rPr>
        <w:t> 2011; </w:t>
      </w:r>
      <w:r w:rsidRPr="00851544">
        <w:rPr>
          <w:rFonts w:ascii="Book Antiqua" w:eastAsia="SimSun" w:hAnsi="Book Antiqua" w:cs="SimSun"/>
          <w:b/>
          <w:bCs/>
          <w:color w:val="000000"/>
          <w:sz w:val="24"/>
          <w:szCs w:val="24"/>
          <w:lang w:val="en-US" w:eastAsia="zh-CN"/>
        </w:rPr>
        <w:t>47</w:t>
      </w:r>
      <w:r w:rsidRPr="00851544">
        <w:rPr>
          <w:rFonts w:ascii="Book Antiqua" w:eastAsia="SimSun" w:hAnsi="Book Antiqua" w:cs="SimSun"/>
          <w:color w:val="000000"/>
          <w:sz w:val="24"/>
          <w:szCs w:val="24"/>
          <w:lang w:val="en-US" w:eastAsia="zh-CN"/>
        </w:rPr>
        <w:t>: 2306-2314 [PMID: 21742485 DOI: 10.1016/j.ejca.2011.06.002]</w:t>
      </w:r>
    </w:p>
    <w:p w:rsidR="00CE72EE" w:rsidRPr="00851544" w:rsidRDefault="00CE72EE" w:rsidP="00746849">
      <w:pPr>
        <w:adjustRightInd w:val="0"/>
        <w:snapToGrid w:val="0"/>
        <w:spacing w:after="0" w:line="360" w:lineRule="auto"/>
        <w:jc w:val="both"/>
        <w:rPr>
          <w:rFonts w:ascii="Book Antiqua" w:eastAsia="SimSun" w:hAnsi="Book Antiqua" w:cs="SimSun"/>
          <w:color w:val="000000"/>
          <w:sz w:val="24"/>
          <w:szCs w:val="24"/>
          <w:lang w:val="en-US" w:eastAsia="zh-CN"/>
        </w:rPr>
      </w:pPr>
      <w:r w:rsidRPr="00851544">
        <w:rPr>
          <w:rFonts w:ascii="Book Antiqua" w:eastAsia="SimSun" w:hAnsi="Book Antiqua" w:cs="SimSun"/>
          <w:color w:val="000000"/>
          <w:sz w:val="24"/>
          <w:szCs w:val="24"/>
          <w:lang w:val="en-US" w:eastAsia="zh-CN"/>
        </w:rPr>
        <w:t>63 </w:t>
      </w:r>
      <w:r w:rsidRPr="00851544">
        <w:rPr>
          <w:rFonts w:ascii="Book Antiqua" w:eastAsia="SimSun" w:hAnsi="Book Antiqua" w:cs="SimSun"/>
          <w:b/>
          <w:bCs/>
          <w:color w:val="000000"/>
          <w:sz w:val="24"/>
          <w:szCs w:val="24"/>
          <w:lang w:val="en-US" w:eastAsia="zh-CN"/>
        </w:rPr>
        <w:t>Kang JH</w:t>
      </w:r>
      <w:r w:rsidRPr="00851544">
        <w:rPr>
          <w:rFonts w:ascii="Book Antiqua" w:eastAsia="SimSun" w:hAnsi="Book Antiqua" w:cs="SimSun"/>
          <w:color w:val="000000"/>
          <w:sz w:val="24"/>
          <w:szCs w:val="24"/>
          <w:lang w:val="en-US" w:eastAsia="zh-CN"/>
        </w:rPr>
        <w:t>, Lee SI, Lim do H, Park KW, Oh SY, Kwon HC, Hwang IG, Lee SC, Nam E, Shin DB, Lee J, Park JO, Park YS, Lim HY, Kang WK, Park SH. Salvage chemotherapy for pretreated gastric cancer: a randomized phase III trial comparing chemotherapy plus best supportive care with best supportive care alone. </w:t>
      </w:r>
      <w:r w:rsidRPr="00851544">
        <w:rPr>
          <w:rFonts w:ascii="Book Antiqua" w:eastAsia="SimSun" w:hAnsi="Book Antiqua" w:cs="SimSun"/>
          <w:i/>
          <w:iCs/>
          <w:color w:val="000000"/>
          <w:sz w:val="24"/>
          <w:szCs w:val="24"/>
          <w:lang w:val="en-US" w:eastAsia="zh-CN"/>
        </w:rPr>
        <w:t>J Clin Oncol</w:t>
      </w:r>
      <w:r w:rsidRPr="00851544">
        <w:rPr>
          <w:rFonts w:ascii="Book Antiqua" w:eastAsia="SimSun" w:hAnsi="Book Antiqua" w:cs="SimSun"/>
          <w:color w:val="000000"/>
          <w:sz w:val="24"/>
          <w:szCs w:val="24"/>
          <w:lang w:val="en-US" w:eastAsia="zh-CN"/>
        </w:rPr>
        <w:t> 2012; </w:t>
      </w:r>
      <w:r w:rsidRPr="00851544">
        <w:rPr>
          <w:rFonts w:ascii="Book Antiqua" w:eastAsia="SimSun" w:hAnsi="Book Antiqua" w:cs="SimSun"/>
          <w:b/>
          <w:bCs/>
          <w:color w:val="000000"/>
          <w:sz w:val="24"/>
          <w:szCs w:val="24"/>
          <w:lang w:val="en-US" w:eastAsia="zh-CN"/>
        </w:rPr>
        <w:t>30</w:t>
      </w:r>
      <w:r w:rsidRPr="00851544">
        <w:rPr>
          <w:rFonts w:ascii="Book Antiqua" w:eastAsia="SimSun" w:hAnsi="Book Antiqua" w:cs="SimSun"/>
          <w:color w:val="000000"/>
          <w:sz w:val="24"/>
          <w:szCs w:val="24"/>
          <w:lang w:val="en-US" w:eastAsia="zh-CN"/>
        </w:rPr>
        <w:t>: 1513-1518 [PMID: 22412140 DOI: 10.1200/JCO.2011.39.4585]</w:t>
      </w:r>
    </w:p>
    <w:p w:rsidR="00CE72EE" w:rsidRPr="00851544" w:rsidRDefault="00CE72EE" w:rsidP="00746849">
      <w:pPr>
        <w:adjustRightInd w:val="0"/>
        <w:snapToGrid w:val="0"/>
        <w:spacing w:after="0" w:line="360" w:lineRule="auto"/>
        <w:jc w:val="both"/>
        <w:rPr>
          <w:rFonts w:ascii="Book Antiqua" w:eastAsia="SimSun" w:hAnsi="Book Antiqua" w:cs="SimSun"/>
          <w:color w:val="000000"/>
          <w:sz w:val="24"/>
          <w:szCs w:val="24"/>
          <w:lang w:val="en-US" w:eastAsia="zh-CN"/>
        </w:rPr>
      </w:pPr>
      <w:r w:rsidRPr="00851544">
        <w:rPr>
          <w:rFonts w:ascii="Book Antiqua" w:eastAsia="SimSun" w:hAnsi="Book Antiqua" w:cs="SimSun"/>
          <w:color w:val="000000"/>
          <w:sz w:val="24"/>
          <w:szCs w:val="24"/>
          <w:lang w:val="en-US" w:eastAsia="zh-CN"/>
        </w:rPr>
        <w:t>64 </w:t>
      </w:r>
      <w:r w:rsidRPr="00851544">
        <w:rPr>
          <w:rFonts w:ascii="Book Antiqua" w:eastAsia="SimSun" w:hAnsi="Book Antiqua" w:cs="SimSun"/>
          <w:b/>
          <w:bCs/>
          <w:color w:val="000000"/>
          <w:sz w:val="24"/>
          <w:szCs w:val="24"/>
          <w:lang w:val="en-US" w:eastAsia="zh-CN"/>
        </w:rPr>
        <w:t>Hironaka S</w:t>
      </w:r>
      <w:r w:rsidRPr="00851544">
        <w:rPr>
          <w:rFonts w:ascii="Book Antiqua" w:eastAsia="SimSun" w:hAnsi="Book Antiqua" w:cs="SimSun"/>
          <w:color w:val="000000"/>
          <w:sz w:val="24"/>
          <w:szCs w:val="24"/>
          <w:lang w:val="en-US" w:eastAsia="zh-CN"/>
        </w:rPr>
        <w:t xml:space="preserve">, Ueda S, Yasui H, Nishina T, Tsuda M, Tsumura T, Sugimoto N, Shimodaira H, Tokunaga S, Moriwaki T, Esaki T, Nagase M, Fujitani K, Yamaguchi K, Ura T, Hamamoto Y, Morita S, Okamoto I, Boku N, Hyodo I. Randomized, open-label, phase III study comparing irinotecan with paclitaxel in patients with advanced gastric cancer without severe peritoneal </w:t>
      </w:r>
      <w:r w:rsidRPr="00851544">
        <w:rPr>
          <w:rFonts w:ascii="Book Antiqua" w:eastAsia="SimSun" w:hAnsi="Book Antiqua" w:cs="SimSun"/>
          <w:color w:val="000000"/>
          <w:sz w:val="24"/>
          <w:szCs w:val="24"/>
          <w:lang w:val="en-US" w:eastAsia="zh-CN"/>
        </w:rPr>
        <w:lastRenderedPageBreak/>
        <w:t>metastasis after failure of prior combination chemotherapy using fluoropyrimidine plus platinum: WJOG 4007 trial. </w:t>
      </w:r>
      <w:r w:rsidRPr="00851544">
        <w:rPr>
          <w:rFonts w:ascii="Book Antiqua" w:eastAsia="SimSun" w:hAnsi="Book Antiqua" w:cs="SimSun"/>
          <w:i/>
          <w:iCs/>
          <w:color w:val="000000"/>
          <w:sz w:val="24"/>
          <w:szCs w:val="24"/>
          <w:lang w:val="en-US" w:eastAsia="zh-CN"/>
        </w:rPr>
        <w:t>J Clin Oncol</w:t>
      </w:r>
      <w:r w:rsidRPr="00851544">
        <w:rPr>
          <w:rFonts w:ascii="Book Antiqua" w:eastAsia="SimSun" w:hAnsi="Book Antiqua" w:cs="SimSun"/>
          <w:color w:val="000000"/>
          <w:sz w:val="24"/>
          <w:szCs w:val="24"/>
          <w:lang w:val="en-US" w:eastAsia="zh-CN"/>
        </w:rPr>
        <w:t> 2013; </w:t>
      </w:r>
      <w:r w:rsidRPr="00851544">
        <w:rPr>
          <w:rFonts w:ascii="Book Antiqua" w:eastAsia="SimSun" w:hAnsi="Book Antiqua" w:cs="SimSun"/>
          <w:b/>
          <w:bCs/>
          <w:color w:val="000000"/>
          <w:sz w:val="24"/>
          <w:szCs w:val="24"/>
          <w:lang w:val="en-US" w:eastAsia="zh-CN"/>
        </w:rPr>
        <w:t>31</w:t>
      </w:r>
      <w:r w:rsidRPr="00851544">
        <w:rPr>
          <w:rFonts w:ascii="Book Antiqua" w:eastAsia="SimSun" w:hAnsi="Book Antiqua" w:cs="SimSun"/>
          <w:color w:val="000000"/>
          <w:sz w:val="24"/>
          <w:szCs w:val="24"/>
          <w:lang w:val="en-US" w:eastAsia="zh-CN"/>
        </w:rPr>
        <w:t>: 4438-4444 [PMID: 24190112 DOI: 10.1200/JCO.2012.48.5805]</w:t>
      </w:r>
    </w:p>
    <w:p w:rsidR="00CE72EE" w:rsidRPr="00851544" w:rsidRDefault="00CE72EE" w:rsidP="00746849">
      <w:pPr>
        <w:adjustRightInd w:val="0"/>
        <w:snapToGrid w:val="0"/>
        <w:spacing w:after="0" w:line="360" w:lineRule="auto"/>
        <w:jc w:val="both"/>
        <w:rPr>
          <w:rFonts w:ascii="Book Antiqua" w:eastAsia="SimSun" w:hAnsi="Book Antiqua" w:cs="SimSun"/>
          <w:color w:val="000000"/>
          <w:sz w:val="24"/>
          <w:szCs w:val="24"/>
          <w:lang w:val="en-US" w:eastAsia="zh-CN"/>
        </w:rPr>
      </w:pPr>
      <w:r w:rsidRPr="00851544">
        <w:rPr>
          <w:rFonts w:ascii="Book Antiqua" w:eastAsia="SimSun" w:hAnsi="Book Antiqua" w:cs="SimSun"/>
          <w:color w:val="000000"/>
          <w:sz w:val="24"/>
          <w:szCs w:val="24"/>
          <w:lang w:val="en-US" w:eastAsia="zh-CN"/>
        </w:rPr>
        <w:t>65 </w:t>
      </w:r>
      <w:r w:rsidRPr="00851544">
        <w:rPr>
          <w:rFonts w:ascii="Book Antiqua" w:eastAsia="SimSun" w:hAnsi="Book Antiqua" w:cs="SimSun"/>
          <w:b/>
          <w:bCs/>
          <w:color w:val="000000"/>
          <w:sz w:val="24"/>
          <w:szCs w:val="24"/>
          <w:lang w:val="en-US" w:eastAsia="zh-CN"/>
        </w:rPr>
        <w:t>Ford HE</w:t>
      </w:r>
      <w:r w:rsidRPr="00851544">
        <w:rPr>
          <w:rFonts w:ascii="Book Antiqua" w:eastAsia="SimSun" w:hAnsi="Book Antiqua" w:cs="SimSun"/>
          <w:color w:val="000000"/>
          <w:sz w:val="24"/>
          <w:szCs w:val="24"/>
          <w:lang w:val="en-US" w:eastAsia="zh-CN"/>
        </w:rPr>
        <w:t>, Marshall A, Bridgewater JA, Janowitz T, Coxon FY, Wadsley J, Mansoor W, Fyfe D, Madhusudan S, Middleton GW, Swinson D, Falk S, Chau I, Cunningham D, Kareclas P, Cook N, Blazeby JM, Dunn JA; COUGAR-02 Investigators. Docetaxel versus active symptom control for refractory oesophagogastric adenocarcinoma (COUGAR-02): an open-label, phase 3 randomised controlled trial. </w:t>
      </w:r>
      <w:r w:rsidRPr="00851544">
        <w:rPr>
          <w:rFonts w:ascii="Book Antiqua" w:eastAsia="SimSun" w:hAnsi="Book Antiqua" w:cs="SimSun"/>
          <w:i/>
          <w:iCs/>
          <w:color w:val="000000"/>
          <w:sz w:val="24"/>
          <w:szCs w:val="24"/>
          <w:lang w:val="en-US" w:eastAsia="zh-CN"/>
        </w:rPr>
        <w:t>Lancet Oncol</w:t>
      </w:r>
      <w:r w:rsidRPr="00851544">
        <w:rPr>
          <w:rFonts w:ascii="Book Antiqua" w:eastAsia="SimSun" w:hAnsi="Book Antiqua" w:cs="SimSun"/>
          <w:color w:val="000000"/>
          <w:sz w:val="24"/>
          <w:szCs w:val="24"/>
          <w:lang w:val="en-US" w:eastAsia="zh-CN"/>
        </w:rPr>
        <w:t> 2014; </w:t>
      </w:r>
      <w:r w:rsidRPr="00851544">
        <w:rPr>
          <w:rFonts w:ascii="Book Antiqua" w:eastAsia="SimSun" w:hAnsi="Book Antiqua" w:cs="SimSun"/>
          <w:b/>
          <w:bCs/>
          <w:color w:val="000000"/>
          <w:sz w:val="24"/>
          <w:szCs w:val="24"/>
          <w:lang w:val="en-US" w:eastAsia="zh-CN"/>
        </w:rPr>
        <w:t>15</w:t>
      </w:r>
      <w:r w:rsidRPr="00851544">
        <w:rPr>
          <w:rFonts w:ascii="Book Antiqua" w:eastAsia="SimSun" w:hAnsi="Book Antiqua" w:cs="SimSun"/>
          <w:color w:val="000000"/>
          <w:sz w:val="24"/>
          <w:szCs w:val="24"/>
          <w:lang w:val="en-US" w:eastAsia="zh-CN"/>
        </w:rPr>
        <w:t>: 78-86 [PMID: 24332238 DOI: 10.1016/S1470-2045(13)70549-7]</w:t>
      </w:r>
    </w:p>
    <w:p w:rsidR="00CE72EE" w:rsidRPr="00851544" w:rsidRDefault="00CE72EE" w:rsidP="00746849">
      <w:pPr>
        <w:adjustRightInd w:val="0"/>
        <w:snapToGrid w:val="0"/>
        <w:spacing w:after="0" w:line="360" w:lineRule="auto"/>
        <w:jc w:val="both"/>
        <w:rPr>
          <w:rFonts w:ascii="Book Antiqua" w:eastAsia="SimSun" w:hAnsi="Book Antiqua" w:cs="SimSun"/>
          <w:color w:val="000000"/>
          <w:sz w:val="24"/>
          <w:szCs w:val="24"/>
          <w:lang w:val="en-US" w:eastAsia="zh-CN"/>
        </w:rPr>
      </w:pPr>
      <w:r w:rsidRPr="00851544">
        <w:rPr>
          <w:rFonts w:ascii="Book Antiqua" w:eastAsia="SimSun" w:hAnsi="Book Antiqua" w:cs="SimSun"/>
          <w:color w:val="000000"/>
          <w:sz w:val="24"/>
          <w:szCs w:val="24"/>
          <w:lang w:val="en-US" w:eastAsia="zh-CN"/>
        </w:rPr>
        <w:t>66 </w:t>
      </w:r>
      <w:r w:rsidRPr="00851544">
        <w:rPr>
          <w:rFonts w:ascii="Book Antiqua" w:eastAsia="SimSun" w:hAnsi="Book Antiqua" w:cs="SimSun"/>
          <w:b/>
          <w:bCs/>
          <w:color w:val="000000"/>
          <w:sz w:val="24"/>
          <w:szCs w:val="24"/>
          <w:lang w:val="en-US" w:eastAsia="zh-CN"/>
        </w:rPr>
        <w:t>Higuchi K</w:t>
      </w:r>
      <w:r w:rsidRPr="00851544">
        <w:rPr>
          <w:rFonts w:ascii="Book Antiqua" w:eastAsia="SimSun" w:hAnsi="Book Antiqua" w:cs="SimSun"/>
          <w:color w:val="000000"/>
          <w:sz w:val="24"/>
          <w:szCs w:val="24"/>
          <w:lang w:val="en-US" w:eastAsia="zh-CN"/>
        </w:rPr>
        <w:t>, Tanabe S, Shimada K, Hosaka H, Sasaki E, Nakayama N, Takeda Y, Moriwaki T, Amagai K, Sekikawa T, Sakuyama T, Kanda T, Sasaki T, Azuma M, Takahashi F, Takeuchi M, Koizumi W; Tokyo Cooperative Oncology Group, Tokyo, Japan. Biweekly irinotecan plus cisplatin versus irinotecan alone as second-line treatment for advanced gastric cancer: a randomised phase III trial (TCOG GI-0801/BIRIP trial). </w:t>
      </w:r>
      <w:r w:rsidRPr="00851544">
        <w:rPr>
          <w:rFonts w:ascii="Book Antiqua" w:eastAsia="SimSun" w:hAnsi="Book Antiqua" w:cs="SimSun"/>
          <w:i/>
          <w:iCs/>
          <w:color w:val="000000"/>
          <w:sz w:val="24"/>
          <w:szCs w:val="24"/>
          <w:lang w:val="en-US" w:eastAsia="zh-CN"/>
        </w:rPr>
        <w:t>Eur J Cancer</w:t>
      </w:r>
      <w:r w:rsidRPr="00851544">
        <w:rPr>
          <w:rFonts w:ascii="Book Antiqua" w:eastAsia="SimSun" w:hAnsi="Book Antiqua" w:cs="SimSun"/>
          <w:color w:val="000000"/>
          <w:sz w:val="24"/>
          <w:szCs w:val="24"/>
          <w:lang w:val="en-US" w:eastAsia="zh-CN"/>
        </w:rPr>
        <w:t> 2014; </w:t>
      </w:r>
      <w:r w:rsidRPr="00851544">
        <w:rPr>
          <w:rFonts w:ascii="Book Antiqua" w:eastAsia="SimSun" w:hAnsi="Book Antiqua" w:cs="SimSun"/>
          <w:b/>
          <w:bCs/>
          <w:color w:val="000000"/>
          <w:sz w:val="24"/>
          <w:szCs w:val="24"/>
          <w:lang w:val="en-US" w:eastAsia="zh-CN"/>
        </w:rPr>
        <w:t>50</w:t>
      </w:r>
      <w:r w:rsidRPr="00851544">
        <w:rPr>
          <w:rFonts w:ascii="Book Antiqua" w:eastAsia="SimSun" w:hAnsi="Book Antiqua" w:cs="SimSun"/>
          <w:color w:val="000000"/>
          <w:sz w:val="24"/>
          <w:szCs w:val="24"/>
          <w:lang w:val="en-US" w:eastAsia="zh-CN"/>
        </w:rPr>
        <w:t>: 1437-1445 [PMID: 24560487 DOI: 10.1016/j.ejca.2014.01.020]</w:t>
      </w:r>
    </w:p>
    <w:p w:rsidR="00CE72EE" w:rsidRPr="00851544" w:rsidRDefault="00CE72EE" w:rsidP="00746849">
      <w:pPr>
        <w:adjustRightInd w:val="0"/>
        <w:snapToGrid w:val="0"/>
        <w:spacing w:after="0" w:line="360" w:lineRule="auto"/>
        <w:jc w:val="both"/>
        <w:rPr>
          <w:rFonts w:ascii="Book Antiqua" w:eastAsia="SimSun" w:hAnsi="Book Antiqua" w:cs="SimSun"/>
          <w:color w:val="000000"/>
          <w:sz w:val="24"/>
          <w:szCs w:val="24"/>
          <w:lang w:val="en-US" w:eastAsia="zh-CN"/>
        </w:rPr>
      </w:pPr>
      <w:r w:rsidRPr="00851544">
        <w:rPr>
          <w:rFonts w:ascii="Book Antiqua" w:eastAsia="SimSun" w:hAnsi="Book Antiqua" w:cs="SimSun"/>
          <w:color w:val="000000"/>
          <w:sz w:val="24"/>
          <w:szCs w:val="24"/>
          <w:lang w:val="en-US" w:eastAsia="zh-CN"/>
        </w:rPr>
        <w:t>67 </w:t>
      </w:r>
      <w:r w:rsidRPr="00851544">
        <w:rPr>
          <w:rFonts w:ascii="Book Antiqua" w:eastAsia="SimSun" w:hAnsi="Book Antiqua" w:cs="SimSun"/>
          <w:b/>
          <w:bCs/>
          <w:color w:val="000000"/>
          <w:sz w:val="24"/>
          <w:szCs w:val="24"/>
          <w:lang w:val="en-US" w:eastAsia="zh-CN"/>
        </w:rPr>
        <w:t>Nishikawa K</w:t>
      </w:r>
      <w:r w:rsidRPr="00851544">
        <w:rPr>
          <w:rFonts w:ascii="Book Antiqua" w:eastAsia="SimSun" w:hAnsi="Book Antiqua" w:cs="SimSun"/>
          <w:color w:val="000000"/>
          <w:sz w:val="24"/>
          <w:szCs w:val="24"/>
          <w:lang w:val="en-US" w:eastAsia="zh-CN"/>
        </w:rPr>
        <w:t>, Fujitani K, Inagaki H, Akamaru Y, Tokunaga S, Takagi M, Tamura S, Sugimoto N, Shigematsu T, Yoshikawa T, Ishiguro T, Nakamura M, Morita S, Miyashita Y, Tsuburaya A, Sakamoto J, Tsujinaka T. Randomised phase III trial of second-line irinotecan plus cisplatin versus irinotecan alone in patients with advanced gastric cancer refractory to S-1 monotherapy: TRICS trial. </w:t>
      </w:r>
      <w:r w:rsidRPr="00851544">
        <w:rPr>
          <w:rFonts w:ascii="Book Antiqua" w:eastAsia="SimSun" w:hAnsi="Book Antiqua" w:cs="SimSun"/>
          <w:i/>
          <w:iCs/>
          <w:color w:val="000000"/>
          <w:sz w:val="24"/>
          <w:szCs w:val="24"/>
          <w:lang w:val="en-US" w:eastAsia="zh-CN"/>
        </w:rPr>
        <w:t>Eur J Cancer</w:t>
      </w:r>
      <w:r w:rsidRPr="00851544">
        <w:rPr>
          <w:rFonts w:ascii="Book Antiqua" w:eastAsia="SimSun" w:hAnsi="Book Antiqua" w:cs="SimSun"/>
          <w:color w:val="000000"/>
          <w:sz w:val="24"/>
          <w:szCs w:val="24"/>
          <w:lang w:val="en-US" w:eastAsia="zh-CN"/>
        </w:rPr>
        <w:t> 2015; </w:t>
      </w:r>
      <w:r w:rsidRPr="00851544">
        <w:rPr>
          <w:rFonts w:ascii="Book Antiqua" w:eastAsia="SimSun" w:hAnsi="Book Antiqua" w:cs="SimSun"/>
          <w:b/>
          <w:bCs/>
          <w:color w:val="000000"/>
          <w:sz w:val="24"/>
          <w:szCs w:val="24"/>
          <w:lang w:val="en-US" w:eastAsia="zh-CN"/>
        </w:rPr>
        <w:t>51</w:t>
      </w:r>
      <w:r w:rsidRPr="00851544">
        <w:rPr>
          <w:rFonts w:ascii="Book Antiqua" w:eastAsia="SimSun" w:hAnsi="Book Antiqua" w:cs="SimSun"/>
          <w:color w:val="000000"/>
          <w:sz w:val="24"/>
          <w:szCs w:val="24"/>
          <w:lang w:val="en-US" w:eastAsia="zh-CN"/>
        </w:rPr>
        <w:t>: 808-816 [PMID: 25797356 DOI: 10.1016/j.ejca.2015.02.009]</w:t>
      </w:r>
    </w:p>
    <w:p w:rsidR="00CE72EE" w:rsidRPr="00851544" w:rsidRDefault="00CE72EE" w:rsidP="00746849">
      <w:pPr>
        <w:adjustRightInd w:val="0"/>
        <w:snapToGrid w:val="0"/>
        <w:spacing w:after="0" w:line="360" w:lineRule="auto"/>
        <w:jc w:val="both"/>
        <w:rPr>
          <w:rFonts w:ascii="Book Antiqua" w:eastAsia="SimSun" w:hAnsi="Book Antiqua" w:cs="SimSun"/>
          <w:color w:val="000000"/>
          <w:sz w:val="24"/>
          <w:szCs w:val="24"/>
          <w:lang w:val="en-US" w:eastAsia="zh-CN"/>
        </w:rPr>
      </w:pPr>
      <w:r w:rsidRPr="00851544">
        <w:rPr>
          <w:rFonts w:ascii="Book Antiqua" w:eastAsia="SimSun" w:hAnsi="Book Antiqua" w:cs="SimSun"/>
          <w:color w:val="000000"/>
          <w:sz w:val="24"/>
          <w:szCs w:val="24"/>
          <w:lang w:val="en-US" w:eastAsia="zh-CN"/>
        </w:rPr>
        <w:t>68 </w:t>
      </w:r>
      <w:r w:rsidRPr="00851544">
        <w:rPr>
          <w:rFonts w:ascii="Book Antiqua" w:eastAsia="SimSun" w:hAnsi="Book Antiqua" w:cs="SimSun"/>
          <w:b/>
          <w:bCs/>
          <w:color w:val="000000"/>
          <w:sz w:val="24"/>
          <w:szCs w:val="24"/>
          <w:lang w:val="en-US" w:eastAsia="zh-CN"/>
        </w:rPr>
        <w:t>Kim HS</w:t>
      </w:r>
      <w:r w:rsidRPr="00851544">
        <w:rPr>
          <w:rFonts w:ascii="Book Antiqua" w:eastAsia="SimSun" w:hAnsi="Book Antiqua" w:cs="SimSun"/>
          <w:color w:val="000000"/>
          <w:sz w:val="24"/>
          <w:szCs w:val="24"/>
          <w:lang w:val="en-US" w:eastAsia="zh-CN"/>
        </w:rPr>
        <w:t>, Kim HJ, Kim SY, Kim TY, Lee KW, Baek SK, Kim TY, Ryu MH, Nam BH, Zang DY; REGARD Trial Investigators. Second-line chemotherapy versus supportive cancer treatment in advanced gastric cancer: a meta-analysis. </w:t>
      </w:r>
      <w:r w:rsidRPr="00851544">
        <w:rPr>
          <w:rFonts w:ascii="Book Antiqua" w:eastAsia="SimSun" w:hAnsi="Book Antiqua" w:cs="SimSun"/>
          <w:i/>
          <w:iCs/>
          <w:color w:val="000000"/>
          <w:sz w:val="24"/>
          <w:szCs w:val="24"/>
          <w:lang w:val="en-US" w:eastAsia="zh-CN"/>
        </w:rPr>
        <w:t>Ann Oncol</w:t>
      </w:r>
      <w:r w:rsidRPr="00851544">
        <w:rPr>
          <w:rFonts w:ascii="Book Antiqua" w:eastAsia="SimSun" w:hAnsi="Book Antiqua" w:cs="SimSun"/>
          <w:color w:val="000000"/>
          <w:sz w:val="24"/>
          <w:szCs w:val="24"/>
          <w:lang w:val="en-US" w:eastAsia="zh-CN"/>
        </w:rPr>
        <w:t> 2013; </w:t>
      </w:r>
      <w:r w:rsidRPr="00851544">
        <w:rPr>
          <w:rFonts w:ascii="Book Antiqua" w:eastAsia="SimSun" w:hAnsi="Book Antiqua" w:cs="SimSun"/>
          <w:b/>
          <w:bCs/>
          <w:color w:val="000000"/>
          <w:sz w:val="24"/>
          <w:szCs w:val="24"/>
          <w:lang w:val="en-US" w:eastAsia="zh-CN"/>
        </w:rPr>
        <w:t>24</w:t>
      </w:r>
      <w:r w:rsidRPr="00851544">
        <w:rPr>
          <w:rFonts w:ascii="Book Antiqua" w:eastAsia="SimSun" w:hAnsi="Book Antiqua" w:cs="SimSun"/>
          <w:color w:val="000000"/>
          <w:sz w:val="24"/>
          <w:szCs w:val="24"/>
          <w:lang w:val="en-US" w:eastAsia="zh-CN"/>
        </w:rPr>
        <w:t>: 2850-2854 [PMID: 23942775 DOI: 10.1093/annonc/mdt351]</w:t>
      </w:r>
    </w:p>
    <w:p w:rsidR="00CE72EE" w:rsidRPr="00851544" w:rsidRDefault="00CE72EE" w:rsidP="00746849">
      <w:pPr>
        <w:adjustRightInd w:val="0"/>
        <w:snapToGrid w:val="0"/>
        <w:spacing w:after="0" w:line="360" w:lineRule="auto"/>
        <w:jc w:val="both"/>
        <w:rPr>
          <w:rFonts w:ascii="Book Antiqua" w:eastAsia="SimSun" w:hAnsi="Book Antiqua" w:cs="SimSun"/>
          <w:color w:val="000000"/>
          <w:sz w:val="24"/>
          <w:szCs w:val="24"/>
          <w:lang w:val="en-US" w:eastAsia="zh-CN"/>
        </w:rPr>
      </w:pPr>
      <w:r w:rsidRPr="00851544">
        <w:rPr>
          <w:rFonts w:ascii="Book Antiqua" w:eastAsia="SimSun" w:hAnsi="Book Antiqua" w:cs="SimSun"/>
          <w:color w:val="000000"/>
          <w:sz w:val="24"/>
          <w:szCs w:val="24"/>
          <w:lang w:val="en-US" w:eastAsia="zh-CN"/>
        </w:rPr>
        <w:t>69 </w:t>
      </w:r>
      <w:r w:rsidRPr="00851544">
        <w:rPr>
          <w:rFonts w:ascii="Book Antiqua" w:eastAsia="SimSun" w:hAnsi="Book Antiqua" w:cs="SimSun"/>
          <w:b/>
          <w:bCs/>
          <w:color w:val="000000"/>
          <w:sz w:val="24"/>
          <w:szCs w:val="24"/>
          <w:lang w:val="en-US" w:eastAsia="zh-CN"/>
        </w:rPr>
        <w:t>Fuchs CS</w:t>
      </w:r>
      <w:r w:rsidRPr="00851544">
        <w:rPr>
          <w:rFonts w:ascii="Book Antiqua" w:eastAsia="SimSun" w:hAnsi="Book Antiqua" w:cs="SimSun"/>
          <w:color w:val="000000"/>
          <w:sz w:val="24"/>
          <w:szCs w:val="24"/>
          <w:lang w:val="en-US" w:eastAsia="zh-CN"/>
        </w:rPr>
        <w:t>, Tomasek J, Yong CJ, Dumitru F, Passalacqua R, Goswami C, Safran H, dos Santos LV, Aprile G, Ferry DR, Melichar B, Tehfe M, Topuzov E, Zalcberg JR, Chau I, Campbell W, Sivanandan C, Pikiel J, Koshiji M, Hsu Y, Liepa AM, Gao L, Schwartz JD, Tabernero J. Ramucirumab monotherapy for previously treated advanced gastric or gastro-oesophageal junction adenocarcinoma (REGARD): an international, randomised, multicentre, placebo-controlled, phase 3 trial. </w:t>
      </w:r>
      <w:r w:rsidRPr="00851544">
        <w:rPr>
          <w:rFonts w:ascii="Book Antiqua" w:eastAsia="SimSun" w:hAnsi="Book Antiqua" w:cs="SimSun"/>
          <w:i/>
          <w:iCs/>
          <w:color w:val="000000"/>
          <w:sz w:val="24"/>
          <w:szCs w:val="24"/>
          <w:lang w:val="en-US" w:eastAsia="zh-CN"/>
        </w:rPr>
        <w:t>Lancet</w:t>
      </w:r>
      <w:r w:rsidRPr="00851544">
        <w:rPr>
          <w:rFonts w:ascii="Book Antiqua" w:eastAsia="SimSun" w:hAnsi="Book Antiqua" w:cs="SimSun"/>
          <w:color w:val="000000"/>
          <w:sz w:val="24"/>
          <w:szCs w:val="24"/>
          <w:lang w:val="en-US" w:eastAsia="zh-CN"/>
        </w:rPr>
        <w:t> 2014; </w:t>
      </w:r>
      <w:r w:rsidRPr="00851544">
        <w:rPr>
          <w:rFonts w:ascii="Book Antiqua" w:eastAsia="SimSun" w:hAnsi="Book Antiqua" w:cs="SimSun"/>
          <w:b/>
          <w:bCs/>
          <w:color w:val="000000"/>
          <w:sz w:val="24"/>
          <w:szCs w:val="24"/>
          <w:lang w:val="en-US" w:eastAsia="zh-CN"/>
        </w:rPr>
        <w:t>383</w:t>
      </w:r>
      <w:r w:rsidRPr="00851544">
        <w:rPr>
          <w:rFonts w:ascii="Book Antiqua" w:eastAsia="SimSun" w:hAnsi="Book Antiqua" w:cs="SimSun"/>
          <w:color w:val="000000"/>
          <w:sz w:val="24"/>
          <w:szCs w:val="24"/>
          <w:lang w:val="en-US" w:eastAsia="zh-CN"/>
        </w:rPr>
        <w:t>: 31-39 [PMID: 24094768 DOI: 10.1016/S0140-6736(13)61719-5]</w:t>
      </w:r>
    </w:p>
    <w:p w:rsidR="00CE72EE" w:rsidRPr="00851544" w:rsidRDefault="00CE72EE" w:rsidP="00746849">
      <w:pPr>
        <w:adjustRightInd w:val="0"/>
        <w:snapToGrid w:val="0"/>
        <w:spacing w:after="0" w:line="360" w:lineRule="auto"/>
        <w:jc w:val="both"/>
        <w:rPr>
          <w:rFonts w:ascii="Book Antiqua" w:eastAsia="SimSun" w:hAnsi="Book Antiqua" w:cs="SimSun"/>
          <w:color w:val="000000"/>
          <w:sz w:val="24"/>
          <w:szCs w:val="24"/>
          <w:lang w:val="en-US" w:eastAsia="zh-CN"/>
        </w:rPr>
      </w:pPr>
      <w:r w:rsidRPr="00851544">
        <w:rPr>
          <w:rFonts w:ascii="Book Antiqua" w:eastAsia="SimSun" w:hAnsi="Book Antiqua" w:cs="SimSun"/>
          <w:color w:val="000000"/>
          <w:sz w:val="24"/>
          <w:szCs w:val="24"/>
          <w:lang w:val="en-US" w:eastAsia="zh-CN"/>
        </w:rPr>
        <w:t>70 </w:t>
      </w:r>
      <w:r w:rsidRPr="00851544">
        <w:rPr>
          <w:rFonts w:ascii="Book Antiqua" w:eastAsia="SimSun" w:hAnsi="Book Antiqua" w:cs="SimSun"/>
          <w:b/>
          <w:bCs/>
          <w:color w:val="000000"/>
          <w:sz w:val="24"/>
          <w:szCs w:val="24"/>
          <w:lang w:val="en-US" w:eastAsia="zh-CN"/>
        </w:rPr>
        <w:t>Wilke H</w:t>
      </w:r>
      <w:r w:rsidRPr="00851544">
        <w:rPr>
          <w:rFonts w:ascii="Book Antiqua" w:eastAsia="SimSun" w:hAnsi="Book Antiqua" w:cs="SimSun"/>
          <w:color w:val="000000"/>
          <w:sz w:val="24"/>
          <w:szCs w:val="24"/>
          <w:lang w:val="en-US" w:eastAsia="zh-CN"/>
        </w:rPr>
        <w:t xml:space="preserve">, Muro K, Van Cutsem E, Oh SC, Bodoky G, Shimada Y, Hironaka S, Sugimoto N, Lipatov O, Kim TY, Cunningham D, Rougier P, Komatsu Y, Ajani J, Emig M, Carlesi R, Ferry D, </w:t>
      </w:r>
      <w:r w:rsidRPr="00851544">
        <w:rPr>
          <w:rFonts w:ascii="Book Antiqua" w:eastAsia="SimSun" w:hAnsi="Book Antiqua" w:cs="SimSun"/>
          <w:color w:val="000000"/>
          <w:sz w:val="24"/>
          <w:szCs w:val="24"/>
          <w:lang w:val="en-US" w:eastAsia="zh-CN"/>
        </w:rPr>
        <w:lastRenderedPageBreak/>
        <w:t>Chandrawansa K, Schwartz JD, Ohtsu A; RAINBOW Study Group. Ramucirumab plus paclitaxel versus placebo plus paclitaxel in patients with previously treated advanced gastric or gastro-oesophageal junction adenocarcinoma (RAINBOW): a double-blind, randomised phase 3 trial. </w:t>
      </w:r>
      <w:r w:rsidRPr="00851544">
        <w:rPr>
          <w:rFonts w:ascii="Book Antiqua" w:eastAsia="SimSun" w:hAnsi="Book Antiqua" w:cs="SimSun"/>
          <w:i/>
          <w:iCs/>
          <w:color w:val="000000"/>
          <w:sz w:val="24"/>
          <w:szCs w:val="24"/>
          <w:lang w:val="en-US" w:eastAsia="zh-CN"/>
        </w:rPr>
        <w:t>Lancet Oncol</w:t>
      </w:r>
      <w:r w:rsidRPr="00851544">
        <w:rPr>
          <w:rFonts w:ascii="Book Antiqua" w:eastAsia="SimSun" w:hAnsi="Book Antiqua" w:cs="SimSun"/>
          <w:color w:val="000000"/>
          <w:sz w:val="24"/>
          <w:szCs w:val="24"/>
          <w:lang w:val="en-US" w:eastAsia="zh-CN"/>
        </w:rPr>
        <w:t> 2014; </w:t>
      </w:r>
      <w:r w:rsidRPr="00851544">
        <w:rPr>
          <w:rFonts w:ascii="Book Antiqua" w:eastAsia="SimSun" w:hAnsi="Book Antiqua" w:cs="SimSun"/>
          <w:b/>
          <w:bCs/>
          <w:color w:val="000000"/>
          <w:sz w:val="24"/>
          <w:szCs w:val="24"/>
          <w:lang w:val="en-US" w:eastAsia="zh-CN"/>
        </w:rPr>
        <w:t>15</w:t>
      </w:r>
      <w:r w:rsidRPr="00851544">
        <w:rPr>
          <w:rFonts w:ascii="Book Antiqua" w:eastAsia="SimSun" w:hAnsi="Book Antiqua" w:cs="SimSun"/>
          <w:color w:val="000000"/>
          <w:sz w:val="24"/>
          <w:szCs w:val="24"/>
          <w:lang w:val="en-US" w:eastAsia="zh-CN"/>
        </w:rPr>
        <w:t>: 1224-1235 [PMID: 25240821 DOI: 10.1016/S1470-2045(14)70420-6]</w:t>
      </w:r>
    </w:p>
    <w:p w:rsidR="00CE72EE" w:rsidRPr="00851544" w:rsidRDefault="00CE72EE" w:rsidP="00746849">
      <w:pPr>
        <w:adjustRightInd w:val="0"/>
        <w:snapToGrid w:val="0"/>
        <w:spacing w:after="0" w:line="360" w:lineRule="auto"/>
        <w:jc w:val="both"/>
        <w:rPr>
          <w:rFonts w:ascii="Book Antiqua" w:eastAsia="SimSun" w:hAnsi="Book Antiqua" w:cs="SimSun"/>
          <w:color w:val="000000"/>
          <w:sz w:val="24"/>
          <w:szCs w:val="24"/>
          <w:lang w:val="en-US" w:eastAsia="zh-CN"/>
        </w:rPr>
      </w:pPr>
      <w:r w:rsidRPr="00851544">
        <w:rPr>
          <w:rFonts w:ascii="Book Antiqua" w:eastAsia="SimSun" w:hAnsi="Book Antiqua" w:cs="SimSun"/>
          <w:color w:val="000000"/>
          <w:sz w:val="24"/>
          <w:szCs w:val="24"/>
          <w:lang w:val="en-US" w:eastAsia="zh-CN"/>
        </w:rPr>
        <w:t xml:space="preserve">71 </w:t>
      </w:r>
      <w:r w:rsidRPr="00851544">
        <w:rPr>
          <w:rFonts w:ascii="Book Antiqua" w:eastAsia="SimSun" w:hAnsi="Book Antiqua" w:cs="SimSun"/>
          <w:b/>
          <w:bCs/>
          <w:color w:val="000000"/>
          <w:sz w:val="24"/>
          <w:szCs w:val="24"/>
          <w:lang w:val="en-US" w:eastAsia="zh-CN"/>
        </w:rPr>
        <w:t>Spratlin JL</w:t>
      </w:r>
      <w:r w:rsidRPr="00851544">
        <w:rPr>
          <w:rFonts w:ascii="Book Antiqua" w:eastAsia="SimSun" w:hAnsi="Book Antiqua" w:cs="SimSun"/>
          <w:color w:val="000000"/>
          <w:sz w:val="24"/>
          <w:szCs w:val="24"/>
          <w:lang w:val="en-US" w:eastAsia="zh-CN"/>
        </w:rPr>
        <w:t>, Cohen RB, Eadens M, Gore L, Camidge DR, Diab S, Leong S, O'Bryant C, Chow LQ, Serkova NJ, Meropol NJ, Lewis NL, Chiorean EG, Fox F, Youssoufian H, Rowinsky EK, Eckhardt SG. Phase I pharmacologic and biologic study of ramucirumab (IMC-1121B), a fully human immunoglobulin G1 monoclonal antibody targeting the vascular endothelial growth factor receptor-2. </w:t>
      </w:r>
      <w:r w:rsidRPr="00851544">
        <w:rPr>
          <w:rFonts w:ascii="Book Antiqua" w:eastAsia="SimSun" w:hAnsi="Book Antiqua" w:cs="SimSun"/>
          <w:i/>
          <w:iCs/>
          <w:color w:val="000000"/>
          <w:sz w:val="24"/>
          <w:szCs w:val="24"/>
          <w:lang w:val="en-US" w:eastAsia="zh-CN"/>
        </w:rPr>
        <w:t>J Clin Oncol</w:t>
      </w:r>
      <w:r w:rsidRPr="00851544">
        <w:rPr>
          <w:rFonts w:ascii="Book Antiqua" w:eastAsia="SimSun" w:hAnsi="Book Antiqua" w:cs="SimSun"/>
          <w:color w:val="000000"/>
          <w:sz w:val="24"/>
          <w:szCs w:val="24"/>
          <w:lang w:val="en-US" w:eastAsia="zh-CN"/>
        </w:rPr>
        <w:t> 2010; </w:t>
      </w:r>
      <w:r w:rsidRPr="00851544">
        <w:rPr>
          <w:rFonts w:ascii="Book Antiqua" w:eastAsia="SimSun" w:hAnsi="Book Antiqua" w:cs="SimSun"/>
          <w:b/>
          <w:bCs/>
          <w:color w:val="000000"/>
          <w:sz w:val="24"/>
          <w:szCs w:val="24"/>
          <w:lang w:val="en-US" w:eastAsia="zh-CN"/>
        </w:rPr>
        <w:t>28</w:t>
      </w:r>
      <w:r w:rsidRPr="00851544">
        <w:rPr>
          <w:rFonts w:ascii="Book Antiqua" w:eastAsia="SimSun" w:hAnsi="Book Antiqua" w:cs="SimSun"/>
          <w:color w:val="000000"/>
          <w:sz w:val="24"/>
          <w:szCs w:val="24"/>
          <w:lang w:val="en-US" w:eastAsia="zh-CN"/>
        </w:rPr>
        <w:t>: 780-787 [PMID: 20048182 DOI: 10.1200/JCO.2009.23.7537]</w:t>
      </w:r>
    </w:p>
    <w:p w:rsidR="00CE72EE" w:rsidRPr="00851544" w:rsidRDefault="00CE72EE" w:rsidP="00746849">
      <w:pPr>
        <w:adjustRightInd w:val="0"/>
        <w:snapToGrid w:val="0"/>
        <w:spacing w:after="0" w:line="360" w:lineRule="auto"/>
        <w:jc w:val="both"/>
        <w:rPr>
          <w:rFonts w:ascii="Book Antiqua" w:eastAsia="SimSun" w:hAnsi="Book Antiqua" w:cs="SimSun"/>
          <w:color w:val="000000"/>
          <w:sz w:val="24"/>
          <w:szCs w:val="24"/>
          <w:lang w:val="en-US" w:eastAsia="zh-CN"/>
        </w:rPr>
      </w:pPr>
      <w:r w:rsidRPr="00851544">
        <w:rPr>
          <w:rFonts w:ascii="Book Antiqua" w:eastAsia="SimSun" w:hAnsi="Book Antiqua" w:cs="SimSun"/>
          <w:color w:val="000000"/>
          <w:sz w:val="24"/>
          <w:szCs w:val="24"/>
          <w:lang w:val="en-US" w:eastAsia="zh-CN"/>
        </w:rPr>
        <w:t xml:space="preserve">72 </w:t>
      </w:r>
      <w:r w:rsidRPr="00851544">
        <w:rPr>
          <w:rFonts w:ascii="Book Antiqua" w:eastAsia="SimSun" w:hAnsi="Book Antiqua" w:cs="SimSun"/>
          <w:b/>
          <w:color w:val="000000"/>
          <w:sz w:val="24"/>
          <w:szCs w:val="24"/>
          <w:lang w:val="en-US" w:eastAsia="zh-CN"/>
        </w:rPr>
        <w:t>Qin SK</w:t>
      </w:r>
      <w:r w:rsidRPr="00851544">
        <w:rPr>
          <w:rFonts w:ascii="Book Antiqua" w:eastAsia="SimSun" w:hAnsi="Book Antiqua" w:cs="SimSun"/>
          <w:color w:val="000000"/>
          <w:sz w:val="24"/>
          <w:szCs w:val="24"/>
          <w:lang w:val="en-US" w:eastAsia="zh-CN"/>
        </w:rPr>
        <w:t xml:space="preserve">. Phase III study of apatinib in advanced gastric cancer: A randomized, double-blind, placebo-controlled trial. </w:t>
      </w:r>
      <w:r w:rsidRPr="00851544">
        <w:rPr>
          <w:rFonts w:ascii="Book Antiqua" w:eastAsia="SimSun" w:hAnsi="Book Antiqua" w:cs="SimSun"/>
          <w:i/>
          <w:color w:val="000000"/>
          <w:sz w:val="24"/>
          <w:szCs w:val="24"/>
          <w:lang w:val="en-US" w:eastAsia="zh-CN"/>
        </w:rPr>
        <w:t xml:space="preserve">J Clin Oncol </w:t>
      </w:r>
      <w:r w:rsidRPr="00851544">
        <w:rPr>
          <w:rFonts w:ascii="Book Antiqua" w:eastAsia="SimSun" w:hAnsi="Book Antiqua" w:cs="SimSun"/>
          <w:color w:val="000000"/>
          <w:sz w:val="24"/>
          <w:szCs w:val="24"/>
          <w:lang w:val="en-US" w:eastAsia="zh-CN"/>
        </w:rPr>
        <w:t xml:space="preserve">2014; </w:t>
      </w:r>
      <w:r w:rsidRPr="00851544">
        <w:rPr>
          <w:rFonts w:ascii="Book Antiqua" w:eastAsia="SimSun" w:hAnsi="Book Antiqua" w:cs="SimSun"/>
          <w:b/>
          <w:color w:val="000000"/>
          <w:sz w:val="24"/>
          <w:szCs w:val="24"/>
          <w:lang w:val="en-US" w:eastAsia="zh-CN"/>
        </w:rPr>
        <w:t>32</w:t>
      </w:r>
      <w:r w:rsidRPr="00851544">
        <w:rPr>
          <w:rFonts w:ascii="Book Antiqua" w:eastAsia="SimSun" w:hAnsi="Book Antiqua" w:cs="SimSun"/>
          <w:color w:val="000000"/>
          <w:sz w:val="24"/>
          <w:szCs w:val="24"/>
          <w:lang w:val="en-US" w:eastAsia="zh-CN"/>
        </w:rPr>
        <w:t>: 5s</w:t>
      </w:r>
    </w:p>
    <w:p w:rsidR="00CE72EE" w:rsidRPr="00851544" w:rsidRDefault="00CE72EE" w:rsidP="00746849">
      <w:pPr>
        <w:adjustRightInd w:val="0"/>
        <w:snapToGrid w:val="0"/>
        <w:spacing w:after="0" w:line="360" w:lineRule="auto"/>
        <w:jc w:val="both"/>
        <w:rPr>
          <w:rFonts w:ascii="Book Antiqua" w:eastAsia="SimSun" w:hAnsi="Book Antiqua" w:cs="SimSun"/>
          <w:color w:val="000000"/>
          <w:sz w:val="24"/>
          <w:szCs w:val="24"/>
          <w:lang w:val="en-US" w:eastAsia="zh-CN"/>
        </w:rPr>
      </w:pPr>
      <w:r w:rsidRPr="00851544">
        <w:rPr>
          <w:rFonts w:ascii="Book Antiqua" w:eastAsia="SimSun" w:hAnsi="Book Antiqua" w:cs="SimSun"/>
          <w:color w:val="000000"/>
          <w:sz w:val="24"/>
          <w:szCs w:val="24"/>
          <w:lang w:val="en-US" w:eastAsia="zh-CN"/>
        </w:rPr>
        <w:t>73 </w:t>
      </w:r>
      <w:r w:rsidRPr="00851544">
        <w:rPr>
          <w:rFonts w:ascii="Book Antiqua" w:eastAsia="SimSun" w:hAnsi="Book Antiqua" w:cs="SimSun"/>
          <w:b/>
          <w:bCs/>
          <w:color w:val="000000"/>
          <w:sz w:val="24"/>
          <w:szCs w:val="24"/>
          <w:lang w:val="en-US" w:eastAsia="zh-CN"/>
        </w:rPr>
        <w:t>Wilhelm SM</w:t>
      </w:r>
      <w:r w:rsidRPr="00851544">
        <w:rPr>
          <w:rFonts w:ascii="Book Antiqua" w:eastAsia="SimSun" w:hAnsi="Book Antiqua" w:cs="SimSun"/>
          <w:color w:val="000000"/>
          <w:sz w:val="24"/>
          <w:szCs w:val="24"/>
          <w:lang w:val="en-US" w:eastAsia="zh-CN"/>
        </w:rPr>
        <w:t>, Dumas J, Adnane L, Lynch M, Carter CA, Schütz G, Thierauch KH, Zopf D. Regorafenib (BAY 73-4506): a new oral multikinase inhibitor of angiogenic, stromal and oncogenic receptor tyrosine kinases with potent preclinical antitumor activity. </w:t>
      </w:r>
      <w:r w:rsidRPr="00851544">
        <w:rPr>
          <w:rFonts w:ascii="Book Antiqua" w:eastAsia="SimSun" w:hAnsi="Book Antiqua" w:cs="SimSun"/>
          <w:i/>
          <w:iCs/>
          <w:color w:val="000000"/>
          <w:sz w:val="24"/>
          <w:szCs w:val="24"/>
          <w:lang w:val="en-US" w:eastAsia="zh-CN"/>
        </w:rPr>
        <w:t>Int J Cancer</w:t>
      </w:r>
      <w:r w:rsidRPr="00851544">
        <w:rPr>
          <w:rFonts w:ascii="Book Antiqua" w:eastAsia="SimSun" w:hAnsi="Book Antiqua" w:cs="SimSun"/>
          <w:color w:val="000000"/>
          <w:sz w:val="24"/>
          <w:szCs w:val="24"/>
          <w:lang w:val="en-US" w:eastAsia="zh-CN"/>
        </w:rPr>
        <w:t> 2011; </w:t>
      </w:r>
      <w:r w:rsidRPr="00851544">
        <w:rPr>
          <w:rFonts w:ascii="Book Antiqua" w:eastAsia="SimSun" w:hAnsi="Book Antiqua" w:cs="SimSun"/>
          <w:b/>
          <w:bCs/>
          <w:color w:val="000000"/>
          <w:sz w:val="24"/>
          <w:szCs w:val="24"/>
          <w:lang w:val="en-US" w:eastAsia="zh-CN"/>
        </w:rPr>
        <w:t>129</w:t>
      </w:r>
      <w:r w:rsidRPr="00851544">
        <w:rPr>
          <w:rFonts w:ascii="Book Antiqua" w:eastAsia="SimSun" w:hAnsi="Book Antiqua" w:cs="SimSun"/>
          <w:color w:val="000000"/>
          <w:sz w:val="24"/>
          <w:szCs w:val="24"/>
          <w:lang w:val="en-US" w:eastAsia="zh-CN"/>
        </w:rPr>
        <w:t>: 245-255 [PMID: 21170960 DOI: 10.1002/ijc.25864]</w:t>
      </w:r>
    </w:p>
    <w:p w:rsidR="00CE72EE" w:rsidRPr="00851544" w:rsidRDefault="00CE72EE" w:rsidP="00746849">
      <w:pPr>
        <w:adjustRightInd w:val="0"/>
        <w:snapToGrid w:val="0"/>
        <w:spacing w:after="0" w:line="360" w:lineRule="auto"/>
        <w:jc w:val="both"/>
        <w:rPr>
          <w:rFonts w:ascii="Book Antiqua" w:eastAsia="SimSun" w:hAnsi="Book Antiqua" w:cs="SimSun"/>
          <w:color w:val="000000"/>
          <w:sz w:val="24"/>
          <w:szCs w:val="24"/>
          <w:lang w:val="en-US" w:eastAsia="zh-CN"/>
        </w:rPr>
      </w:pPr>
      <w:r w:rsidRPr="00851544">
        <w:rPr>
          <w:rFonts w:ascii="Book Antiqua" w:eastAsia="SimSun" w:hAnsi="Book Antiqua" w:cs="SimSun"/>
          <w:color w:val="000000"/>
          <w:sz w:val="24"/>
          <w:szCs w:val="24"/>
          <w:lang w:val="en-US" w:eastAsia="zh-CN"/>
        </w:rPr>
        <w:t xml:space="preserve">74 </w:t>
      </w:r>
      <w:r w:rsidRPr="00851544">
        <w:rPr>
          <w:rFonts w:ascii="Book Antiqua" w:eastAsia="SimSun" w:hAnsi="Book Antiqua" w:cs="SimSun"/>
          <w:b/>
          <w:color w:val="000000"/>
          <w:sz w:val="24"/>
          <w:szCs w:val="24"/>
          <w:lang w:val="en-US" w:eastAsia="zh-CN"/>
        </w:rPr>
        <w:t>Sjoquist KM</w:t>
      </w:r>
      <w:r w:rsidRPr="00851544">
        <w:rPr>
          <w:rFonts w:ascii="Book Antiqua" w:eastAsia="SimSun" w:hAnsi="Book Antiqua" w:cs="SimSun"/>
          <w:color w:val="000000"/>
          <w:sz w:val="24"/>
          <w:szCs w:val="24"/>
          <w:lang w:val="en-US" w:eastAsia="zh-CN"/>
        </w:rPr>
        <w:t>, Tsobanis E, Martin A, Kang YK, Bang YJ, O'Callaghan CJ, Tebbutt NC, Rha SY, Lee J, Cho JY, Lipton LR, Burnell MJ, Alcindor T, Strickland A, Wong M, Kim JW, Simes J, Zalcberg JR, Goldstein D. INTEGRATE: A randomized phase II double-blind placebo-controlled study of regorafenib in refractory advanced oesophagogastric cancer (AOGC)—A study by the Australasian Gastrointestinal Trials Group (AGITG), first results.</w:t>
      </w:r>
      <w:r w:rsidRPr="00851544">
        <w:rPr>
          <w:rFonts w:ascii="Book Antiqua" w:eastAsia="SimSun" w:hAnsi="Book Antiqua" w:cs="SimSun"/>
          <w:i/>
          <w:color w:val="000000"/>
          <w:sz w:val="24"/>
          <w:szCs w:val="24"/>
          <w:lang w:val="en-US" w:eastAsia="zh-CN"/>
        </w:rPr>
        <w:t xml:space="preserve"> J Clin Oncol </w:t>
      </w:r>
      <w:r w:rsidRPr="00851544">
        <w:rPr>
          <w:rFonts w:ascii="Book Antiqua" w:eastAsia="SimSun" w:hAnsi="Book Antiqua" w:cs="SimSun"/>
          <w:color w:val="000000"/>
          <w:sz w:val="24"/>
          <w:szCs w:val="24"/>
          <w:lang w:val="en-US" w:eastAsia="zh-CN"/>
        </w:rPr>
        <w:t xml:space="preserve">2015; </w:t>
      </w:r>
      <w:r w:rsidRPr="00851544">
        <w:rPr>
          <w:rFonts w:ascii="Book Antiqua" w:eastAsia="SimSun" w:hAnsi="Book Antiqua" w:cs="SimSun"/>
          <w:b/>
          <w:color w:val="000000"/>
          <w:sz w:val="24"/>
          <w:szCs w:val="24"/>
          <w:lang w:val="en-US" w:eastAsia="zh-CN"/>
        </w:rPr>
        <w:t>33</w:t>
      </w:r>
      <w:r w:rsidRPr="00851544">
        <w:rPr>
          <w:rFonts w:ascii="Book Antiqua" w:eastAsia="SimSun" w:hAnsi="Book Antiqua" w:cs="SimSun"/>
          <w:color w:val="000000"/>
          <w:sz w:val="24"/>
          <w:szCs w:val="24"/>
          <w:lang w:val="en-US" w:eastAsia="zh-CN"/>
        </w:rPr>
        <w:t xml:space="preserve"> (suppl 3; abstr 9)</w:t>
      </w:r>
    </w:p>
    <w:p w:rsidR="00CE72EE" w:rsidRPr="00851544" w:rsidRDefault="00CE72EE" w:rsidP="00746849">
      <w:pPr>
        <w:adjustRightInd w:val="0"/>
        <w:snapToGrid w:val="0"/>
        <w:spacing w:after="0" w:line="360" w:lineRule="auto"/>
        <w:jc w:val="both"/>
        <w:rPr>
          <w:rFonts w:ascii="Book Antiqua" w:eastAsia="SimSun" w:hAnsi="Book Antiqua" w:cs="SimSun"/>
          <w:color w:val="000000"/>
          <w:sz w:val="24"/>
          <w:szCs w:val="24"/>
          <w:lang w:val="en-US" w:eastAsia="zh-CN"/>
        </w:rPr>
      </w:pPr>
      <w:r w:rsidRPr="00851544">
        <w:rPr>
          <w:rFonts w:ascii="Book Antiqua" w:eastAsia="SimSun" w:hAnsi="Book Antiqua" w:cs="SimSun"/>
          <w:color w:val="000000"/>
          <w:sz w:val="24"/>
          <w:szCs w:val="24"/>
          <w:lang w:val="en-US" w:eastAsia="zh-CN"/>
        </w:rPr>
        <w:t xml:space="preserve">75 </w:t>
      </w:r>
      <w:r w:rsidRPr="00851544">
        <w:rPr>
          <w:rFonts w:ascii="Book Antiqua" w:eastAsia="SimSun" w:hAnsi="Book Antiqua" w:cs="SimSun"/>
          <w:b/>
          <w:color w:val="000000"/>
          <w:sz w:val="24"/>
          <w:szCs w:val="24"/>
          <w:lang w:val="en-US" w:eastAsia="zh-CN"/>
        </w:rPr>
        <w:t>Hecht JR</w:t>
      </w:r>
      <w:r w:rsidRPr="00851544">
        <w:rPr>
          <w:rFonts w:ascii="Book Antiqua" w:eastAsia="SimSun" w:hAnsi="Book Antiqua" w:cs="SimSun"/>
          <w:color w:val="000000"/>
          <w:sz w:val="24"/>
          <w:szCs w:val="24"/>
          <w:lang w:val="en-US" w:eastAsia="zh-CN"/>
        </w:rPr>
        <w:t xml:space="preserve">, Bang YJ, Qin S, Chung HC, Xu JM, Park JO, Jeziorski K, Shparyk Y, Hoff PF, Sobrero AF, Salman P, Li J, Protsenko S, Buyse ME, Afenjar K, Kaneko T, Kemner A, Santillana S, Press MF, Slamon DJ. Lapatinib in combination with capecitabine plus oxaliplatin (CapeOx) in HER2-positive advanced or metastatic gastric, esophageal, or gastroesophageal adenocarcinoma (AC): The TRIO-013/LOGiC Trial. </w:t>
      </w:r>
      <w:r w:rsidRPr="00851544">
        <w:rPr>
          <w:rFonts w:ascii="Book Antiqua" w:eastAsia="SimSun" w:hAnsi="Book Antiqua" w:cs="SimSun"/>
          <w:i/>
          <w:color w:val="000000"/>
          <w:sz w:val="24"/>
          <w:szCs w:val="24"/>
          <w:lang w:val="en-US" w:eastAsia="zh-CN"/>
        </w:rPr>
        <w:t>J Clin Oncol</w:t>
      </w:r>
      <w:r w:rsidRPr="00851544">
        <w:rPr>
          <w:rFonts w:ascii="Book Antiqua" w:eastAsia="SimSun" w:hAnsi="Book Antiqua" w:cs="SimSun"/>
          <w:color w:val="000000"/>
          <w:sz w:val="24"/>
          <w:szCs w:val="24"/>
          <w:lang w:val="en-US" w:eastAsia="zh-CN"/>
        </w:rPr>
        <w:t xml:space="preserve"> 2013; </w:t>
      </w:r>
      <w:r w:rsidRPr="00851544">
        <w:rPr>
          <w:rFonts w:ascii="Book Antiqua" w:eastAsia="SimSun" w:hAnsi="Book Antiqua" w:cs="SimSun"/>
          <w:b/>
          <w:color w:val="000000"/>
          <w:sz w:val="24"/>
          <w:szCs w:val="24"/>
          <w:lang w:val="en-US" w:eastAsia="zh-CN"/>
        </w:rPr>
        <w:t>31</w:t>
      </w:r>
      <w:r w:rsidRPr="00851544">
        <w:rPr>
          <w:rFonts w:ascii="Book Antiqua" w:eastAsia="SimSun" w:hAnsi="Book Antiqua" w:cs="SimSun"/>
          <w:color w:val="000000"/>
          <w:sz w:val="24"/>
          <w:szCs w:val="24"/>
          <w:lang w:val="en-US" w:eastAsia="zh-CN"/>
        </w:rPr>
        <w:t xml:space="preserve"> (suppl; abstr LBA4001)</w:t>
      </w:r>
    </w:p>
    <w:p w:rsidR="00CE72EE" w:rsidRPr="00851544" w:rsidRDefault="00CE72EE" w:rsidP="00746849">
      <w:pPr>
        <w:adjustRightInd w:val="0"/>
        <w:snapToGrid w:val="0"/>
        <w:spacing w:after="0" w:line="360" w:lineRule="auto"/>
        <w:jc w:val="both"/>
        <w:rPr>
          <w:rFonts w:ascii="Book Antiqua" w:eastAsia="SimSun" w:hAnsi="Book Antiqua" w:cs="SimSun"/>
          <w:color w:val="000000"/>
          <w:sz w:val="24"/>
          <w:szCs w:val="24"/>
          <w:lang w:val="en-US" w:eastAsia="zh-CN"/>
        </w:rPr>
      </w:pPr>
      <w:r w:rsidRPr="00851544">
        <w:rPr>
          <w:rFonts w:ascii="Book Antiqua" w:eastAsia="SimSun" w:hAnsi="Book Antiqua" w:cs="SimSun"/>
          <w:color w:val="000000"/>
          <w:sz w:val="24"/>
          <w:szCs w:val="24"/>
          <w:lang w:val="en-US" w:eastAsia="zh-CN"/>
        </w:rPr>
        <w:t>76 </w:t>
      </w:r>
      <w:r w:rsidRPr="00851544">
        <w:rPr>
          <w:rFonts w:ascii="Book Antiqua" w:eastAsia="SimSun" w:hAnsi="Book Antiqua" w:cs="SimSun"/>
          <w:b/>
          <w:bCs/>
          <w:color w:val="000000"/>
          <w:sz w:val="24"/>
          <w:szCs w:val="24"/>
          <w:lang w:val="en-US" w:eastAsia="zh-CN"/>
        </w:rPr>
        <w:t>Satoh T</w:t>
      </w:r>
      <w:r w:rsidRPr="00851544">
        <w:rPr>
          <w:rFonts w:ascii="Book Antiqua" w:eastAsia="SimSun" w:hAnsi="Book Antiqua" w:cs="SimSun"/>
          <w:color w:val="000000"/>
          <w:sz w:val="24"/>
          <w:szCs w:val="24"/>
          <w:lang w:val="en-US" w:eastAsia="zh-CN"/>
        </w:rPr>
        <w:t>, Xu RH, Chung HC, Sun GP, Doi T, Xu JM, Tsuji A, Omuro Y, Li J, Wang JW, Miwa H, Qin SK, Chung IJ, Yeh KH, Feng JF, Mukaiyama A, Kobayashi M, Ohtsu A, Bang YJ. Lapatinib plus paclitaxel versus paclitaxel alone in the second-line treatment of HER2-amplified advanced gastric cancer in Asian populations: TyTAN--a randomized, phase III study. </w:t>
      </w:r>
      <w:r w:rsidRPr="00851544">
        <w:rPr>
          <w:rFonts w:ascii="Book Antiqua" w:eastAsia="SimSun" w:hAnsi="Book Antiqua" w:cs="SimSun"/>
          <w:i/>
          <w:iCs/>
          <w:color w:val="000000"/>
          <w:sz w:val="24"/>
          <w:szCs w:val="24"/>
          <w:lang w:val="en-US" w:eastAsia="zh-CN"/>
        </w:rPr>
        <w:t>J Clin Oncol</w:t>
      </w:r>
      <w:r w:rsidRPr="00851544">
        <w:rPr>
          <w:rFonts w:ascii="Book Antiqua" w:eastAsia="SimSun" w:hAnsi="Book Antiqua" w:cs="SimSun"/>
          <w:color w:val="000000"/>
          <w:sz w:val="24"/>
          <w:szCs w:val="24"/>
          <w:lang w:val="en-US" w:eastAsia="zh-CN"/>
        </w:rPr>
        <w:t> 2014; </w:t>
      </w:r>
      <w:r w:rsidRPr="00851544">
        <w:rPr>
          <w:rFonts w:ascii="Book Antiqua" w:eastAsia="SimSun" w:hAnsi="Book Antiqua" w:cs="SimSun"/>
          <w:b/>
          <w:bCs/>
          <w:color w:val="000000"/>
          <w:sz w:val="24"/>
          <w:szCs w:val="24"/>
          <w:lang w:val="en-US" w:eastAsia="zh-CN"/>
        </w:rPr>
        <w:t>32</w:t>
      </w:r>
      <w:r w:rsidRPr="00851544">
        <w:rPr>
          <w:rFonts w:ascii="Book Antiqua" w:eastAsia="SimSun" w:hAnsi="Book Antiqua" w:cs="SimSun"/>
          <w:color w:val="000000"/>
          <w:sz w:val="24"/>
          <w:szCs w:val="24"/>
          <w:lang w:val="en-US" w:eastAsia="zh-CN"/>
        </w:rPr>
        <w:t>: 2039-2049 [PMID: 24868024 DOI: 10.1200/JCO.2013.53.6136]</w:t>
      </w:r>
    </w:p>
    <w:p w:rsidR="00CE72EE" w:rsidRPr="00851544" w:rsidRDefault="00CE72EE" w:rsidP="00746849">
      <w:pPr>
        <w:adjustRightInd w:val="0"/>
        <w:snapToGrid w:val="0"/>
        <w:spacing w:after="0" w:line="360" w:lineRule="auto"/>
        <w:jc w:val="both"/>
        <w:rPr>
          <w:rFonts w:ascii="Book Antiqua" w:eastAsia="SimSun" w:hAnsi="Book Antiqua" w:cs="SimSun"/>
          <w:color w:val="000000"/>
          <w:sz w:val="24"/>
          <w:szCs w:val="24"/>
          <w:lang w:val="en-US" w:eastAsia="zh-CN"/>
        </w:rPr>
      </w:pPr>
      <w:r w:rsidRPr="00851544">
        <w:rPr>
          <w:rFonts w:ascii="Book Antiqua" w:eastAsia="SimSun" w:hAnsi="Book Antiqua" w:cs="SimSun"/>
          <w:color w:val="000000"/>
          <w:sz w:val="24"/>
          <w:szCs w:val="24"/>
          <w:lang w:val="en-US" w:eastAsia="zh-CN"/>
        </w:rPr>
        <w:t>77 </w:t>
      </w:r>
      <w:r w:rsidRPr="00851544">
        <w:rPr>
          <w:rFonts w:ascii="Book Antiqua" w:eastAsia="SimSun" w:hAnsi="Book Antiqua" w:cs="SimSun"/>
          <w:b/>
          <w:bCs/>
          <w:color w:val="000000"/>
          <w:sz w:val="24"/>
          <w:szCs w:val="24"/>
          <w:lang w:val="en-US" w:eastAsia="zh-CN"/>
        </w:rPr>
        <w:t>Dutton SJ</w:t>
      </w:r>
      <w:r w:rsidRPr="00851544">
        <w:rPr>
          <w:rFonts w:ascii="Book Antiqua" w:eastAsia="SimSun" w:hAnsi="Book Antiqua" w:cs="SimSun"/>
          <w:color w:val="000000"/>
          <w:sz w:val="24"/>
          <w:szCs w:val="24"/>
          <w:lang w:val="en-US" w:eastAsia="zh-CN"/>
        </w:rPr>
        <w:t xml:space="preserve">, Ferry DR, Blazeby JM, Abbas H, Dahle-Smith A, Mansoor W, Thompson J, Harrison M, Chatterjee A, Falk S, Garcia-Alonso A, Fyfe DW, Hubner RA, Gamble T, Peachey L, </w:t>
      </w:r>
      <w:r w:rsidRPr="00851544">
        <w:rPr>
          <w:rFonts w:ascii="Book Antiqua" w:eastAsia="SimSun" w:hAnsi="Book Antiqua" w:cs="SimSun"/>
          <w:color w:val="000000"/>
          <w:sz w:val="24"/>
          <w:szCs w:val="24"/>
          <w:lang w:val="en-US" w:eastAsia="zh-CN"/>
        </w:rPr>
        <w:lastRenderedPageBreak/>
        <w:t>Davoudianfar M, Pearson SR, Julier P, Jankowski J, Kerr R, Petty RD. Gefitinib for oesophageal cancer progressing after chemotherapy (COG): a phase 3, multicentre, double-blind, placebo-controlled randomised trial. </w:t>
      </w:r>
      <w:r w:rsidRPr="00851544">
        <w:rPr>
          <w:rFonts w:ascii="Book Antiqua" w:eastAsia="SimSun" w:hAnsi="Book Antiqua" w:cs="SimSun"/>
          <w:i/>
          <w:iCs/>
          <w:color w:val="000000"/>
          <w:sz w:val="24"/>
          <w:szCs w:val="24"/>
          <w:lang w:val="en-US" w:eastAsia="zh-CN"/>
        </w:rPr>
        <w:t>Lancet Oncol</w:t>
      </w:r>
      <w:r w:rsidRPr="00851544">
        <w:rPr>
          <w:rFonts w:ascii="Book Antiqua" w:eastAsia="SimSun" w:hAnsi="Book Antiqua" w:cs="SimSun"/>
          <w:color w:val="000000"/>
          <w:sz w:val="24"/>
          <w:szCs w:val="24"/>
          <w:lang w:val="en-US" w:eastAsia="zh-CN"/>
        </w:rPr>
        <w:t> 2014; </w:t>
      </w:r>
      <w:r w:rsidRPr="00851544">
        <w:rPr>
          <w:rFonts w:ascii="Book Antiqua" w:eastAsia="SimSun" w:hAnsi="Book Antiqua" w:cs="SimSun"/>
          <w:b/>
          <w:bCs/>
          <w:color w:val="000000"/>
          <w:sz w:val="24"/>
          <w:szCs w:val="24"/>
          <w:lang w:val="en-US" w:eastAsia="zh-CN"/>
        </w:rPr>
        <w:t>15</w:t>
      </w:r>
      <w:r w:rsidRPr="00851544">
        <w:rPr>
          <w:rFonts w:ascii="Book Antiqua" w:eastAsia="SimSun" w:hAnsi="Book Antiqua" w:cs="SimSun"/>
          <w:color w:val="000000"/>
          <w:sz w:val="24"/>
          <w:szCs w:val="24"/>
          <w:lang w:val="en-US" w:eastAsia="zh-CN"/>
        </w:rPr>
        <w:t>: 894-904 [PMID: 24950987 DOI: 10.1016/S1470-2045(14)70024-5]</w:t>
      </w:r>
    </w:p>
    <w:p w:rsidR="00CE72EE" w:rsidRPr="00851544" w:rsidRDefault="00CE72EE" w:rsidP="00746849">
      <w:pPr>
        <w:adjustRightInd w:val="0"/>
        <w:snapToGrid w:val="0"/>
        <w:spacing w:after="0" w:line="360" w:lineRule="auto"/>
        <w:jc w:val="both"/>
        <w:rPr>
          <w:rFonts w:ascii="Book Antiqua" w:eastAsia="SimSun" w:hAnsi="Book Antiqua" w:cs="SimSun"/>
          <w:color w:val="000000"/>
          <w:sz w:val="24"/>
          <w:szCs w:val="24"/>
          <w:lang w:val="en-US" w:eastAsia="zh-CN"/>
        </w:rPr>
      </w:pPr>
      <w:r w:rsidRPr="00851544">
        <w:rPr>
          <w:rFonts w:ascii="Book Antiqua" w:eastAsia="SimSun" w:hAnsi="Book Antiqua" w:cs="SimSun"/>
          <w:color w:val="000000"/>
          <w:sz w:val="24"/>
          <w:szCs w:val="24"/>
          <w:lang w:val="en-US" w:eastAsia="zh-CN"/>
        </w:rPr>
        <w:t>78 </w:t>
      </w:r>
      <w:r w:rsidRPr="00851544">
        <w:rPr>
          <w:rFonts w:ascii="Book Antiqua" w:eastAsia="SimSun" w:hAnsi="Book Antiqua" w:cs="SimSun"/>
          <w:b/>
          <w:bCs/>
          <w:color w:val="000000"/>
          <w:sz w:val="24"/>
          <w:szCs w:val="24"/>
          <w:lang w:val="en-US" w:eastAsia="zh-CN"/>
        </w:rPr>
        <w:t>Ohtsu A</w:t>
      </w:r>
      <w:r w:rsidRPr="00851544">
        <w:rPr>
          <w:rFonts w:ascii="Book Antiqua" w:eastAsia="SimSun" w:hAnsi="Book Antiqua" w:cs="SimSun"/>
          <w:color w:val="000000"/>
          <w:sz w:val="24"/>
          <w:szCs w:val="24"/>
          <w:lang w:val="en-US" w:eastAsia="zh-CN"/>
        </w:rPr>
        <w:t>, Ajani JA, Bai YX, Bang YJ, Chung HC, Pan HM, Sahmoud T, Shen L, Yeh KH, Chin K, Muro K, Kim YH, Ferry D, Tebbutt NC, Al-Batran SE, Smith H, Costantini C, Rizvi S, Lebwohl D, Van Cutsem E. Everolimus for previously treated advanced gastric cancer: results of the randomized, double-blind, phase III GRANITE-1 study. </w:t>
      </w:r>
      <w:r w:rsidRPr="00851544">
        <w:rPr>
          <w:rFonts w:ascii="Book Antiqua" w:eastAsia="SimSun" w:hAnsi="Book Antiqua" w:cs="SimSun"/>
          <w:i/>
          <w:iCs/>
          <w:color w:val="000000"/>
          <w:sz w:val="24"/>
          <w:szCs w:val="24"/>
          <w:lang w:val="en-US" w:eastAsia="zh-CN"/>
        </w:rPr>
        <w:t>J Clin Oncol</w:t>
      </w:r>
      <w:r w:rsidRPr="00851544">
        <w:rPr>
          <w:rFonts w:ascii="Book Antiqua" w:eastAsia="SimSun" w:hAnsi="Book Antiqua" w:cs="SimSun"/>
          <w:color w:val="000000"/>
          <w:sz w:val="24"/>
          <w:szCs w:val="24"/>
          <w:lang w:val="en-US" w:eastAsia="zh-CN"/>
        </w:rPr>
        <w:t> 2013; </w:t>
      </w:r>
      <w:r w:rsidRPr="00851544">
        <w:rPr>
          <w:rFonts w:ascii="Book Antiqua" w:eastAsia="SimSun" w:hAnsi="Book Antiqua" w:cs="SimSun"/>
          <w:b/>
          <w:bCs/>
          <w:color w:val="000000"/>
          <w:sz w:val="24"/>
          <w:szCs w:val="24"/>
          <w:lang w:val="en-US" w:eastAsia="zh-CN"/>
        </w:rPr>
        <w:t>31</w:t>
      </w:r>
      <w:r w:rsidRPr="00851544">
        <w:rPr>
          <w:rFonts w:ascii="Book Antiqua" w:eastAsia="SimSun" w:hAnsi="Book Antiqua" w:cs="SimSun"/>
          <w:color w:val="000000"/>
          <w:sz w:val="24"/>
          <w:szCs w:val="24"/>
          <w:lang w:val="en-US" w:eastAsia="zh-CN"/>
        </w:rPr>
        <w:t>: 3935-3943 [PMID: 24043745 DOI: 10.1200/JCO.2012.48.3552]</w:t>
      </w:r>
    </w:p>
    <w:p w:rsidR="00CE72EE" w:rsidRPr="00851544" w:rsidRDefault="00CE72EE" w:rsidP="00746849">
      <w:pPr>
        <w:adjustRightInd w:val="0"/>
        <w:snapToGrid w:val="0"/>
        <w:spacing w:after="0" w:line="360" w:lineRule="auto"/>
        <w:jc w:val="both"/>
        <w:rPr>
          <w:rFonts w:ascii="Book Antiqua" w:eastAsia="SimSun" w:hAnsi="Book Antiqua" w:cs="SimSun"/>
          <w:color w:val="000000"/>
          <w:sz w:val="24"/>
          <w:szCs w:val="24"/>
          <w:lang w:val="en-US" w:eastAsia="zh-CN"/>
        </w:rPr>
      </w:pPr>
      <w:r w:rsidRPr="00851544">
        <w:rPr>
          <w:rFonts w:ascii="Book Antiqua" w:eastAsia="SimSun" w:hAnsi="Book Antiqua" w:cs="SimSun"/>
          <w:color w:val="000000"/>
          <w:sz w:val="24"/>
          <w:szCs w:val="24"/>
          <w:lang w:val="en-US" w:eastAsia="zh-CN"/>
        </w:rPr>
        <w:t>79 </w:t>
      </w:r>
      <w:r w:rsidRPr="00851544">
        <w:rPr>
          <w:rFonts w:ascii="Book Antiqua" w:eastAsia="SimSun" w:hAnsi="Book Antiqua" w:cs="SimSun"/>
          <w:b/>
          <w:bCs/>
          <w:color w:val="000000"/>
          <w:sz w:val="24"/>
          <w:szCs w:val="24"/>
          <w:lang w:val="en-US" w:eastAsia="zh-CN"/>
        </w:rPr>
        <w:t>Smolen GA</w:t>
      </w:r>
      <w:r w:rsidRPr="00851544">
        <w:rPr>
          <w:rFonts w:ascii="Book Antiqua" w:eastAsia="SimSun" w:hAnsi="Book Antiqua" w:cs="SimSun"/>
          <w:color w:val="000000"/>
          <w:sz w:val="24"/>
          <w:szCs w:val="24"/>
          <w:lang w:val="en-US" w:eastAsia="zh-CN"/>
        </w:rPr>
        <w:t>, Sordella R, Muir B, Mohapatra G, Barmettler A, Archibald H, Kim WJ, Okimoto RA, Bell DW, Sgroi DC, Christensen JG, Settleman J, Haber DA. Amplification of MET may identify a subset of cancers with extreme sensitivity to the selective tyrosine kinase inhibitor PHA-665752. </w:t>
      </w:r>
      <w:r w:rsidRPr="00851544">
        <w:rPr>
          <w:rFonts w:ascii="Book Antiqua" w:eastAsia="SimSun" w:hAnsi="Book Antiqua" w:cs="SimSun"/>
          <w:i/>
          <w:iCs/>
          <w:color w:val="000000"/>
          <w:sz w:val="24"/>
          <w:szCs w:val="24"/>
          <w:lang w:val="en-US" w:eastAsia="zh-CN"/>
        </w:rPr>
        <w:t>Proc Natl Acad Sci USA</w:t>
      </w:r>
      <w:r w:rsidRPr="00851544">
        <w:rPr>
          <w:rFonts w:ascii="Book Antiqua" w:eastAsia="SimSun" w:hAnsi="Book Antiqua" w:cs="SimSun"/>
          <w:color w:val="000000"/>
          <w:sz w:val="24"/>
          <w:szCs w:val="24"/>
          <w:lang w:val="en-US" w:eastAsia="zh-CN"/>
        </w:rPr>
        <w:t> 2006; </w:t>
      </w:r>
      <w:r w:rsidRPr="00851544">
        <w:rPr>
          <w:rFonts w:ascii="Book Antiqua" w:eastAsia="SimSun" w:hAnsi="Book Antiqua" w:cs="SimSun"/>
          <w:b/>
          <w:bCs/>
          <w:color w:val="000000"/>
          <w:sz w:val="24"/>
          <w:szCs w:val="24"/>
          <w:lang w:val="en-US" w:eastAsia="zh-CN"/>
        </w:rPr>
        <w:t>103</w:t>
      </w:r>
      <w:r w:rsidRPr="00851544">
        <w:rPr>
          <w:rFonts w:ascii="Book Antiqua" w:eastAsia="SimSun" w:hAnsi="Book Antiqua" w:cs="SimSun"/>
          <w:color w:val="000000"/>
          <w:sz w:val="24"/>
          <w:szCs w:val="24"/>
          <w:lang w:val="en-US" w:eastAsia="zh-CN"/>
        </w:rPr>
        <w:t>: 2316-2321 [PMID: 16461907 DOI: 10.1073/pnas.0508776103]</w:t>
      </w:r>
    </w:p>
    <w:p w:rsidR="00CE72EE" w:rsidRPr="00851544" w:rsidRDefault="00CE72EE" w:rsidP="00746849">
      <w:pPr>
        <w:adjustRightInd w:val="0"/>
        <w:snapToGrid w:val="0"/>
        <w:spacing w:after="0" w:line="360" w:lineRule="auto"/>
        <w:jc w:val="both"/>
        <w:rPr>
          <w:rFonts w:ascii="Book Antiqua" w:eastAsia="SimSun" w:hAnsi="Book Antiqua" w:cs="SimSun"/>
          <w:color w:val="000000"/>
          <w:sz w:val="24"/>
          <w:szCs w:val="24"/>
          <w:lang w:val="en-US" w:eastAsia="zh-CN"/>
        </w:rPr>
      </w:pPr>
      <w:r w:rsidRPr="00851544">
        <w:rPr>
          <w:rFonts w:ascii="Book Antiqua" w:eastAsia="SimSun" w:hAnsi="Book Antiqua" w:cs="SimSun"/>
          <w:color w:val="000000"/>
          <w:sz w:val="24"/>
          <w:szCs w:val="24"/>
          <w:lang w:val="en-US" w:eastAsia="zh-CN"/>
        </w:rPr>
        <w:t>80 </w:t>
      </w:r>
      <w:r w:rsidRPr="00851544">
        <w:rPr>
          <w:rFonts w:ascii="Book Antiqua" w:eastAsia="SimSun" w:hAnsi="Book Antiqua" w:cs="SimSun"/>
          <w:b/>
          <w:bCs/>
          <w:color w:val="000000"/>
          <w:sz w:val="24"/>
          <w:szCs w:val="24"/>
          <w:lang w:val="en-US" w:eastAsia="zh-CN"/>
        </w:rPr>
        <w:t>Nakajima M</w:t>
      </w:r>
      <w:r w:rsidRPr="00851544">
        <w:rPr>
          <w:rFonts w:ascii="Book Antiqua" w:eastAsia="SimSun" w:hAnsi="Book Antiqua" w:cs="SimSun"/>
          <w:color w:val="000000"/>
          <w:sz w:val="24"/>
          <w:szCs w:val="24"/>
          <w:lang w:val="en-US" w:eastAsia="zh-CN"/>
        </w:rPr>
        <w:t>, Sawada H, Yamada Y, Watanabe A, Tatsumi M, Yamashita J, Matsuda M, Sakaguchi T, Hirao T, Nakano H. The prognostic significance of amplification and overexpression of c-met and c-erb B-2 in human gastric carcinomas. </w:t>
      </w:r>
      <w:r w:rsidRPr="00851544">
        <w:rPr>
          <w:rFonts w:ascii="Book Antiqua" w:eastAsia="SimSun" w:hAnsi="Book Antiqua" w:cs="SimSun"/>
          <w:i/>
          <w:iCs/>
          <w:color w:val="000000"/>
          <w:sz w:val="24"/>
          <w:szCs w:val="24"/>
          <w:lang w:val="en-US" w:eastAsia="zh-CN"/>
        </w:rPr>
        <w:t>Cancer</w:t>
      </w:r>
      <w:r w:rsidRPr="00851544">
        <w:rPr>
          <w:rFonts w:ascii="Book Antiqua" w:eastAsia="SimSun" w:hAnsi="Book Antiqua" w:cs="SimSun"/>
          <w:color w:val="000000"/>
          <w:sz w:val="24"/>
          <w:szCs w:val="24"/>
          <w:lang w:val="en-US" w:eastAsia="zh-CN"/>
        </w:rPr>
        <w:t> 1999; </w:t>
      </w:r>
      <w:r w:rsidRPr="00851544">
        <w:rPr>
          <w:rFonts w:ascii="Book Antiqua" w:eastAsia="SimSun" w:hAnsi="Book Antiqua" w:cs="SimSun"/>
          <w:b/>
          <w:bCs/>
          <w:color w:val="000000"/>
          <w:sz w:val="24"/>
          <w:szCs w:val="24"/>
          <w:lang w:val="en-US" w:eastAsia="zh-CN"/>
        </w:rPr>
        <w:t>85</w:t>
      </w:r>
      <w:r w:rsidRPr="00851544">
        <w:rPr>
          <w:rFonts w:ascii="Book Antiqua" w:eastAsia="SimSun" w:hAnsi="Book Antiqua" w:cs="SimSun"/>
          <w:color w:val="000000"/>
          <w:sz w:val="24"/>
          <w:szCs w:val="24"/>
          <w:lang w:val="en-US" w:eastAsia="zh-CN"/>
        </w:rPr>
        <w:t>: 1894-1902 [PMID: 10223227 DOI: 10.1002/(SICI)1097-0142(19990501)85:9&lt;1894::AID-CNCR3&gt;3.0.CO;2-J]</w:t>
      </w:r>
    </w:p>
    <w:p w:rsidR="00CE72EE" w:rsidRPr="00851544" w:rsidRDefault="00CE72EE" w:rsidP="00746849">
      <w:pPr>
        <w:adjustRightInd w:val="0"/>
        <w:snapToGrid w:val="0"/>
        <w:spacing w:after="0" w:line="360" w:lineRule="auto"/>
        <w:jc w:val="both"/>
        <w:rPr>
          <w:rFonts w:ascii="Book Antiqua" w:eastAsia="SimSun" w:hAnsi="Book Antiqua" w:cs="SimSun"/>
          <w:color w:val="000000"/>
          <w:sz w:val="24"/>
          <w:szCs w:val="24"/>
          <w:lang w:val="en-US" w:eastAsia="zh-CN"/>
        </w:rPr>
      </w:pPr>
      <w:r w:rsidRPr="00851544">
        <w:rPr>
          <w:rFonts w:ascii="Book Antiqua" w:eastAsia="SimSun" w:hAnsi="Book Antiqua" w:cs="SimSun"/>
          <w:color w:val="000000"/>
          <w:sz w:val="24"/>
          <w:szCs w:val="24"/>
          <w:lang w:val="en-US" w:eastAsia="zh-CN"/>
        </w:rPr>
        <w:t>81 </w:t>
      </w:r>
      <w:r w:rsidRPr="00851544">
        <w:rPr>
          <w:rFonts w:ascii="Book Antiqua" w:eastAsia="SimSun" w:hAnsi="Book Antiqua" w:cs="SimSun"/>
          <w:b/>
          <w:bCs/>
          <w:color w:val="000000"/>
          <w:sz w:val="24"/>
          <w:szCs w:val="24"/>
          <w:lang w:val="en-US" w:eastAsia="zh-CN"/>
        </w:rPr>
        <w:t>Taniguchi K</w:t>
      </w:r>
      <w:r w:rsidRPr="00851544">
        <w:rPr>
          <w:rFonts w:ascii="Book Antiqua" w:eastAsia="SimSun" w:hAnsi="Book Antiqua" w:cs="SimSun"/>
          <w:color w:val="000000"/>
          <w:sz w:val="24"/>
          <w:szCs w:val="24"/>
          <w:lang w:val="en-US" w:eastAsia="zh-CN"/>
        </w:rPr>
        <w:t>, Yonemura Y, Nojima N, Hirono Y, Fushida S, Fujimura T, Miwa K, Endo Y, Yamamoto H, Watanabe H. The relation between the growth patterns of gastric carcinoma and the expression of hepatocyte growth factor receptor (c-met), autocrine motility factor receptor, and urokinase-type plasminogen activator receptor. </w:t>
      </w:r>
      <w:r w:rsidRPr="00851544">
        <w:rPr>
          <w:rFonts w:ascii="Book Antiqua" w:eastAsia="SimSun" w:hAnsi="Book Antiqua" w:cs="SimSun"/>
          <w:i/>
          <w:iCs/>
          <w:color w:val="000000"/>
          <w:sz w:val="24"/>
          <w:szCs w:val="24"/>
          <w:lang w:val="en-US" w:eastAsia="zh-CN"/>
        </w:rPr>
        <w:t>Cancer</w:t>
      </w:r>
      <w:r w:rsidRPr="00851544">
        <w:rPr>
          <w:rFonts w:ascii="Book Antiqua" w:eastAsia="SimSun" w:hAnsi="Book Antiqua" w:cs="SimSun"/>
          <w:color w:val="000000"/>
          <w:sz w:val="24"/>
          <w:szCs w:val="24"/>
          <w:lang w:val="en-US" w:eastAsia="zh-CN"/>
        </w:rPr>
        <w:t> 1998; </w:t>
      </w:r>
      <w:r w:rsidRPr="00851544">
        <w:rPr>
          <w:rFonts w:ascii="Book Antiqua" w:eastAsia="SimSun" w:hAnsi="Book Antiqua" w:cs="SimSun"/>
          <w:b/>
          <w:bCs/>
          <w:color w:val="000000"/>
          <w:sz w:val="24"/>
          <w:szCs w:val="24"/>
          <w:lang w:val="en-US" w:eastAsia="zh-CN"/>
        </w:rPr>
        <w:t>82</w:t>
      </w:r>
      <w:r w:rsidRPr="00851544">
        <w:rPr>
          <w:rFonts w:ascii="Book Antiqua" w:eastAsia="SimSun" w:hAnsi="Book Antiqua" w:cs="SimSun"/>
          <w:color w:val="000000"/>
          <w:sz w:val="24"/>
          <w:szCs w:val="24"/>
          <w:lang w:val="en-US" w:eastAsia="zh-CN"/>
        </w:rPr>
        <w:t>: 2112-2122 [PMID: 9610690 DOI: 10.1002/(SICI)1097-0142(19980601)82:11&lt;2112::AID-CNCR5&gt;3.0.CO;2-X]</w:t>
      </w:r>
    </w:p>
    <w:p w:rsidR="00CE72EE" w:rsidRPr="00851544" w:rsidRDefault="00CE72EE" w:rsidP="00746849">
      <w:pPr>
        <w:adjustRightInd w:val="0"/>
        <w:snapToGrid w:val="0"/>
        <w:spacing w:after="0" w:line="360" w:lineRule="auto"/>
        <w:jc w:val="both"/>
        <w:rPr>
          <w:rFonts w:ascii="Book Antiqua" w:eastAsia="SimSun" w:hAnsi="Book Antiqua" w:cs="SimSun"/>
          <w:color w:val="000000"/>
          <w:sz w:val="24"/>
          <w:szCs w:val="24"/>
          <w:lang w:val="en-US" w:eastAsia="zh-CN"/>
        </w:rPr>
      </w:pPr>
      <w:r w:rsidRPr="00851544">
        <w:rPr>
          <w:rFonts w:ascii="Book Antiqua" w:eastAsia="SimSun" w:hAnsi="Book Antiqua" w:cs="SimSun"/>
          <w:color w:val="000000"/>
          <w:sz w:val="24"/>
          <w:szCs w:val="24"/>
          <w:lang w:val="en-US" w:eastAsia="zh-CN"/>
        </w:rPr>
        <w:t>82 </w:t>
      </w:r>
      <w:r w:rsidRPr="00851544">
        <w:rPr>
          <w:rFonts w:ascii="Book Antiqua" w:eastAsia="SimSun" w:hAnsi="Book Antiqua" w:cs="SimSun"/>
          <w:b/>
          <w:bCs/>
          <w:color w:val="000000"/>
          <w:sz w:val="24"/>
          <w:szCs w:val="24"/>
          <w:lang w:val="en-US" w:eastAsia="zh-CN"/>
        </w:rPr>
        <w:t>Wu CW</w:t>
      </w:r>
      <w:r w:rsidRPr="00851544">
        <w:rPr>
          <w:rFonts w:ascii="Book Antiqua" w:eastAsia="SimSun" w:hAnsi="Book Antiqua" w:cs="SimSun"/>
          <w:color w:val="000000"/>
          <w:sz w:val="24"/>
          <w:szCs w:val="24"/>
          <w:lang w:val="en-US" w:eastAsia="zh-CN"/>
        </w:rPr>
        <w:t>, Li AF, Chi CW, Chung WW, Liu TY, Lui WY, P'eng FK. Hepatocyte growth factor and Met/HGF receptors in patients with gastric adenocarcinoma. </w:t>
      </w:r>
      <w:r w:rsidRPr="00851544">
        <w:rPr>
          <w:rFonts w:ascii="Book Antiqua" w:eastAsia="SimSun" w:hAnsi="Book Antiqua" w:cs="SimSun"/>
          <w:i/>
          <w:iCs/>
          <w:color w:val="000000"/>
          <w:sz w:val="24"/>
          <w:szCs w:val="24"/>
          <w:lang w:val="en-US" w:eastAsia="zh-CN"/>
        </w:rPr>
        <w:t>Oncol Rep</w:t>
      </w:r>
      <w:r w:rsidRPr="00851544">
        <w:rPr>
          <w:rFonts w:ascii="Book Antiqua" w:eastAsia="SimSun" w:hAnsi="Book Antiqua" w:cs="SimSun"/>
          <w:color w:val="000000"/>
          <w:sz w:val="24"/>
          <w:szCs w:val="24"/>
          <w:lang w:val="en-US" w:eastAsia="zh-CN"/>
        </w:rPr>
        <w:t> 1998; </w:t>
      </w:r>
      <w:r w:rsidRPr="00851544">
        <w:rPr>
          <w:rFonts w:ascii="Book Antiqua" w:eastAsia="SimSun" w:hAnsi="Book Antiqua" w:cs="SimSun"/>
          <w:b/>
          <w:bCs/>
          <w:color w:val="000000"/>
          <w:sz w:val="24"/>
          <w:szCs w:val="24"/>
          <w:lang w:val="en-US" w:eastAsia="zh-CN"/>
        </w:rPr>
        <w:t>5</w:t>
      </w:r>
      <w:r w:rsidRPr="00851544">
        <w:rPr>
          <w:rFonts w:ascii="Book Antiqua" w:eastAsia="SimSun" w:hAnsi="Book Antiqua" w:cs="SimSun"/>
          <w:color w:val="000000"/>
          <w:sz w:val="24"/>
          <w:szCs w:val="24"/>
          <w:lang w:val="en-US" w:eastAsia="zh-CN"/>
        </w:rPr>
        <w:t>: 817-822 [PMID: 9625824]</w:t>
      </w:r>
    </w:p>
    <w:p w:rsidR="00CE72EE" w:rsidRPr="00851544" w:rsidRDefault="00CE72EE" w:rsidP="00746849">
      <w:pPr>
        <w:adjustRightInd w:val="0"/>
        <w:snapToGrid w:val="0"/>
        <w:spacing w:after="0" w:line="360" w:lineRule="auto"/>
        <w:jc w:val="both"/>
        <w:rPr>
          <w:rFonts w:ascii="Book Antiqua" w:eastAsia="SimSun" w:hAnsi="Book Antiqua" w:cs="SimSun"/>
          <w:color w:val="000000"/>
          <w:sz w:val="24"/>
          <w:szCs w:val="24"/>
          <w:lang w:val="en-US" w:eastAsia="zh-CN"/>
        </w:rPr>
      </w:pPr>
      <w:r w:rsidRPr="00851544">
        <w:rPr>
          <w:rFonts w:ascii="Book Antiqua" w:eastAsia="SimSun" w:hAnsi="Book Antiqua" w:cs="SimSun"/>
          <w:color w:val="000000"/>
          <w:sz w:val="24"/>
          <w:szCs w:val="24"/>
          <w:lang w:val="en-US" w:eastAsia="zh-CN"/>
        </w:rPr>
        <w:t>83 </w:t>
      </w:r>
      <w:r w:rsidRPr="00851544">
        <w:rPr>
          <w:rFonts w:ascii="Book Antiqua" w:eastAsia="SimSun" w:hAnsi="Book Antiqua" w:cs="SimSun"/>
          <w:b/>
          <w:bCs/>
          <w:color w:val="000000"/>
          <w:sz w:val="24"/>
          <w:szCs w:val="24"/>
          <w:lang w:val="en-US" w:eastAsia="zh-CN"/>
        </w:rPr>
        <w:t>Janjigian YY</w:t>
      </w:r>
      <w:r w:rsidRPr="00851544">
        <w:rPr>
          <w:rFonts w:ascii="Book Antiqua" w:eastAsia="SimSun" w:hAnsi="Book Antiqua" w:cs="SimSun"/>
          <w:color w:val="000000"/>
          <w:sz w:val="24"/>
          <w:szCs w:val="24"/>
          <w:lang w:val="en-US" w:eastAsia="zh-CN"/>
        </w:rPr>
        <w:t>, Tang LH, Coit DG, Kelsen DP, Francone TD, Weiser MR, Jhanwar SC, Shah MA. MET expression and amplification in patients with localized gastric cancer. </w:t>
      </w:r>
      <w:r w:rsidRPr="00851544">
        <w:rPr>
          <w:rFonts w:ascii="Book Antiqua" w:eastAsia="SimSun" w:hAnsi="Book Antiqua" w:cs="SimSun"/>
          <w:i/>
          <w:iCs/>
          <w:color w:val="000000"/>
          <w:sz w:val="24"/>
          <w:szCs w:val="24"/>
          <w:lang w:val="en-US" w:eastAsia="zh-CN"/>
        </w:rPr>
        <w:t>Cancer Epidemiol Biomarkers Prev</w:t>
      </w:r>
      <w:r w:rsidRPr="00851544">
        <w:rPr>
          <w:rFonts w:ascii="Book Antiqua" w:eastAsia="SimSun" w:hAnsi="Book Antiqua" w:cs="SimSun"/>
          <w:color w:val="000000"/>
          <w:sz w:val="24"/>
          <w:szCs w:val="24"/>
          <w:lang w:val="en-US" w:eastAsia="zh-CN"/>
        </w:rPr>
        <w:t> 2011; </w:t>
      </w:r>
      <w:r w:rsidRPr="00851544">
        <w:rPr>
          <w:rFonts w:ascii="Book Antiqua" w:eastAsia="SimSun" w:hAnsi="Book Antiqua" w:cs="SimSun"/>
          <w:b/>
          <w:bCs/>
          <w:color w:val="000000"/>
          <w:sz w:val="24"/>
          <w:szCs w:val="24"/>
          <w:lang w:val="en-US" w:eastAsia="zh-CN"/>
        </w:rPr>
        <w:t>20</w:t>
      </w:r>
      <w:r w:rsidRPr="00851544">
        <w:rPr>
          <w:rFonts w:ascii="Book Antiqua" w:eastAsia="SimSun" w:hAnsi="Book Antiqua" w:cs="SimSun"/>
          <w:color w:val="000000"/>
          <w:sz w:val="24"/>
          <w:szCs w:val="24"/>
          <w:lang w:val="en-US" w:eastAsia="zh-CN"/>
        </w:rPr>
        <w:t>: 1021-1027 [PMID: 21393565 DOI: 10.1158/1055-9965.EPI-10-1080]</w:t>
      </w:r>
    </w:p>
    <w:p w:rsidR="00CE72EE" w:rsidRPr="00851544" w:rsidRDefault="00CE72EE" w:rsidP="00746849">
      <w:pPr>
        <w:adjustRightInd w:val="0"/>
        <w:snapToGrid w:val="0"/>
        <w:spacing w:after="0" w:line="360" w:lineRule="auto"/>
        <w:jc w:val="both"/>
        <w:rPr>
          <w:rFonts w:ascii="Book Antiqua" w:eastAsia="SimSun" w:hAnsi="Book Antiqua" w:cs="SimSun"/>
          <w:color w:val="000000"/>
          <w:sz w:val="24"/>
          <w:szCs w:val="24"/>
          <w:lang w:val="en-US" w:eastAsia="zh-CN"/>
        </w:rPr>
      </w:pPr>
      <w:r w:rsidRPr="00851544">
        <w:rPr>
          <w:rFonts w:ascii="Book Antiqua" w:eastAsia="SimSun" w:hAnsi="Book Antiqua" w:cs="SimSun"/>
          <w:color w:val="000000"/>
          <w:sz w:val="24"/>
          <w:szCs w:val="24"/>
          <w:lang w:val="en-US" w:eastAsia="zh-CN"/>
        </w:rPr>
        <w:t>84 </w:t>
      </w:r>
      <w:r w:rsidRPr="00851544">
        <w:rPr>
          <w:rFonts w:ascii="Book Antiqua" w:eastAsia="SimSun" w:hAnsi="Book Antiqua" w:cs="SimSun"/>
          <w:b/>
          <w:bCs/>
          <w:color w:val="000000"/>
          <w:sz w:val="24"/>
          <w:szCs w:val="24"/>
          <w:lang w:val="en-US" w:eastAsia="zh-CN"/>
        </w:rPr>
        <w:t>Lennerz JK</w:t>
      </w:r>
      <w:r w:rsidRPr="00851544">
        <w:rPr>
          <w:rFonts w:ascii="Book Antiqua" w:eastAsia="SimSun" w:hAnsi="Book Antiqua" w:cs="SimSun"/>
          <w:color w:val="000000"/>
          <w:sz w:val="24"/>
          <w:szCs w:val="24"/>
          <w:lang w:val="en-US" w:eastAsia="zh-CN"/>
        </w:rPr>
        <w:t xml:space="preserve">, Kwak EL, Ackerman A, Michael M, Fox SB, Bergethon K, Lauwers GY, Christensen JG, Wilner KD, Haber DA, Salgia R, Bang YJ, Clark JW, Solomon BJ, Iafrate AJ. MET amplification identifies a small and aggressive subgroup of esophagogastric adenocarcinoma </w:t>
      </w:r>
      <w:r w:rsidRPr="00851544">
        <w:rPr>
          <w:rFonts w:ascii="Book Antiqua" w:eastAsia="SimSun" w:hAnsi="Book Antiqua" w:cs="SimSun"/>
          <w:color w:val="000000"/>
          <w:sz w:val="24"/>
          <w:szCs w:val="24"/>
          <w:lang w:val="en-US" w:eastAsia="zh-CN"/>
        </w:rPr>
        <w:lastRenderedPageBreak/>
        <w:t>with evidence of responsiveness to crizotinib. </w:t>
      </w:r>
      <w:r w:rsidRPr="00851544">
        <w:rPr>
          <w:rFonts w:ascii="Book Antiqua" w:eastAsia="SimSun" w:hAnsi="Book Antiqua" w:cs="SimSun"/>
          <w:i/>
          <w:iCs/>
          <w:color w:val="000000"/>
          <w:sz w:val="24"/>
          <w:szCs w:val="24"/>
          <w:lang w:val="en-US" w:eastAsia="zh-CN"/>
        </w:rPr>
        <w:t>J Clin Oncol</w:t>
      </w:r>
      <w:r w:rsidRPr="00851544">
        <w:rPr>
          <w:rFonts w:ascii="Book Antiqua" w:eastAsia="SimSun" w:hAnsi="Book Antiqua" w:cs="SimSun"/>
          <w:color w:val="000000"/>
          <w:sz w:val="24"/>
          <w:szCs w:val="24"/>
          <w:lang w:val="en-US" w:eastAsia="zh-CN"/>
        </w:rPr>
        <w:t> 2011; </w:t>
      </w:r>
      <w:r w:rsidRPr="00851544">
        <w:rPr>
          <w:rFonts w:ascii="Book Antiqua" w:eastAsia="SimSun" w:hAnsi="Book Antiqua" w:cs="SimSun"/>
          <w:b/>
          <w:bCs/>
          <w:color w:val="000000"/>
          <w:sz w:val="24"/>
          <w:szCs w:val="24"/>
          <w:lang w:val="en-US" w:eastAsia="zh-CN"/>
        </w:rPr>
        <w:t>29</w:t>
      </w:r>
      <w:r w:rsidRPr="00851544">
        <w:rPr>
          <w:rFonts w:ascii="Book Antiqua" w:eastAsia="SimSun" w:hAnsi="Book Antiqua" w:cs="SimSun"/>
          <w:color w:val="000000"/>
          <w:sz w:val="24"/>
          <w:szCs w:val="24"/>
          <w:lang w:val="en-US" w:eastAsia="zh-CN"/>
        </w:rPr>
        <w:t>: 4803-4810 [PMID: 22042947 DOI: 10.1200/JCO.2011.35.4928.]</w:t>
      </w:r>
    </w:p>
    <w:p w:rsidR="00CE72EE" w:rsidRPr="00851544" w:rsidRDefault="00CE72EE" w:rsidP="00746849">
      <w:pPr>
        <w:adjustRightInd w:val="0"/>
        <w:snapToGrid w:val="0"/>
        <w:spacing w:after="0" w:line="360" w:lineRule="auto"/>
        <w:jc w:val="both"/>
        <w:rPr>
          <w:rFonts w:ascii="Book Antiqua" w:eastAsia="SimSun" w:hAnsi="Book Antiqua" w:cs="SimSun"/>
          <w:color w:val="000000"/>
          <w:sz w:val="24"/>
          <w:szCs w:val="24"/>
          <w:lang w:val="en-US" w:eastAsia="zh-CN"/>
        </w:rPr>
      </w:pPr>
      <w:r w:rsidRPr="00851544">
        <w:rPr>
          <w:rFonts w:ascii="Book Antiqua" w:eastAsia="SimSun" w:hAnsi="Book Antiqua" w:cs="SimSun"/>
          <w:color w:val="000000"/>
          <w:sz w:val="24"/>
          <w:szCs w:val="24"/>
          <w:lang w:val="en-US" w:eastAsia="zh-CN"/>
        </w:rPr>
        <w:t>85 </w:t>
      </w:r>
      <w:r w:rsidRPr="00851544">
        <w:rPr>
          <w:rFonts w:ascii="Book Antiqua" w:eastAsia="SimSun" w:hAnsi="Book Antiqua" w:cs="SimSun"/>
          <w:b/>
          <w:bCs/>
          <w:color w:val="000000"/>
          <w:sz w:val="24"/>
          <w:szCs w:val="24"/>
          <w:lang w:val="en-US" w:eastAsia="zh-CN"/>
        </w:rPr>
        <w:t>Drebber U</w:t>
      </w:r>
      <w:r w:rsidRPr="00851544">
        <w:rPr>
          <w:rFonts w:ascii="Book Antiqua" w:eastAsia="SimSun" w:hAnsi="Book Antiqua" w:cs="SimSun"/>
          <w:color w:val="000000"/>
          <w:sz w:val="24"/>
          <w:szCs w:val="24"/>
          <w:lang w:val="en-US" w:eastAsia="zh-CN"/>
        </w:rPr>
        <w:t>, Baldus SE, Nolden B, Grass G, Bollschweiler E, Dienes HP, Hölscher AH, Mönig SP. The overexpression of c-met as a prognostic indicator for gastric carcinoma compared to p53 and p21 nuclear accumulation. </w:t>
      </w:r>
      <w:r w:rsidRPr="00851544">
        <w:rPr>
          <w:rFonts w:ascii="Book Antiqua" w:eastAsia="SimSun" w:hAnsi="Book Antiqua" w:cs="SimSun"/>
          <w:i/>
          <w:iCs/>
          <w:color w:val="000000"/>
          <w:sz w:val="24"/>
          <w:szCs w:val="24"/>
          <w:lang w:val="en-US" w:eastAsia="zh-CN"/>
        </w:rPr>
        <w:t>Oncol Rep</w:t>
      </w:r>
      <w:r w:rsidRPr="00851544">
        <w:rPr>
          <w:rFonts w:ascii="Book Antiqua" w:eastAsia="SimSun" w:hAnsi="Book Antiqua" w:cs="SimSun"/>
          <w:color w:val="000000"/>
          <w:sz w:val="24"/>
          <w:szCs w:val="24"/>
          <w:lang w:val="en-US" w:eastAsia="zh-CN"/>
        </w:rPr>
        <w:t> 2008; </w:t>
      </w:r>
      <w:r w:rsidRPr="00851544">
        <w:rPr>
          <w:rFonts w:ascii="Book Antiqua" w:eastAsia="SimSun" w:hAnsi="Book Antiqua" w:cs="SimSun"/>
          <w:b/>
          <w:bCs/>
          <w:color w:val="000000"/>
          <w:sz w:val="24"/>
          <w:szCs w:val="24"/>
          <w:lang w:val="en-US" w:eastAsia="zh-CN"/>
        </w:rPr>
        <w:t>19</w:t>
      </w:r>
      <w:r w:rsidRPr="00851544">
        <w:rPr>
          <w:rFonts w:ascii="Book Antiqua" w:eastAsia="SimSun" w:hAnsi="Book Antiqua" w:cs="SimSun"/>
          <w:color w:val="000000"/>
          <w:sz w:val="24"/>
          <w:szCs w:val="24"/>
          <w:lang w:val="en-US" w:eastAsia="zh-CN"/>
        </w:rPr>
        <w:t>: 1477-1483 [PMID: 18497953]</w:t>
      </w:r>
    </w:p>
    <w:p w:rsidR="00CE72EE" w:rsidRPr="00851544" w:rsidRDefault="00CE72EE" w:rsidP="00746849">
      <w:pPr>
        <w:adjustRightInd w:val="0"/>
        <w:snapToGrid w:val="0"/>
        <w:spacing w:after="0" w:line="360" w:lineRule="auto"/>
        <w:jc w:val="both"/>
        <w:rPr>
          <w:rFonts w:ascii="Book Antiqua" w:eastAsia="SimSun" w:hAnsi="Book Antiqua" w:cs="SimSun"/>
          <w:color w:val="000000"/>
          <w:sz w:val="24"/>
          <w:szCs w:val="24"/>
          <w:lang w:val="en-US" w:eastAsia="zh-CN"/>
        </w:rPr>
      </w:pPr>
      <w:r w:rsidRPr="00851544">
        <w:rPr>
          <w:rFonts w:ascii="Book Antiqua" w:eastAsia="SimSun" w:hAnsi="Book Antiqua" w:cs="SimSun"/>
          <w:color w:val="000000"/>
          <w:sz w:val="24"/>
          <w:szCs w:val="24"/>
          <w:lang w:val="en-US" w:eastAsia="zh-CN"/>
        </w:rPr>
        <w:t>86 </w:t>
      </w:r>
      <w:r w:rsidRPr="00851544">
        <w:rPr>
          <w:rFonts w:ascii="Book Antiqua" w:eastAsia="SimSun" w:hAnsi="Book Antiqua" w:cs="SimSun"/>
          <w:b/>
          <w:bCs/>
          <w:color w:val="000000"/>
          <w:sz w:val="24"/>
          <w:szCs w:val="24"/>
          <w:lang w:val="en-US" w:eastAsia="zh-CN"/>
        </w:rPr>
        <w:t>Shah MA</w:t>
      </w:r>
      <w:r w:rsidRPr="00851544">
        <w:rPr>
          <w:rFonts w:ascii="Book Antiqua" w:eastAsia="SimSun" w:hAnsi="Book Antiqua" w:cs="SimSun"/>
          <w:color w:val="000000"/>
          <w:sz w:val="24"/>
          <w:szCs w:val="24"/>
          <w:lang w:val="en-US" w:eastAsia="zh-CN"/>
        </w:rPr>
        <w:t>, Wainberg ZA, Catenacci DV, Hochster HS, Ford J, Kunz P, Lee FC, Kallender H, Cecchi F, Rabe DC, Keer H, Martin AM, Liu Y, Gagnon R, Bonate P, Liu L, Gilmer T, Bottaro DP. Phase II study evaluating 2 dosing schedules of oral foretinib (GSK1363089), cMET/VEGFR2 inhibitor, in patients with metastatic gastric cancer. </w:t>
      </w:r>
      <w:r w:rsidRPr="00851544">
        <w:rPr>
          <w:rFonts w:ascii="Book Antiqua" w:eastAsia="SimSun" w:hAnsi="Book Antiqua" w:cs="SimSun"/>
          <w:i/>
          <w:iCs/>
          <w:color w:val="000000"/>
          <w:sz w:val="24"/>
          <w:szCs w:val="24"/>
          <w:lang w:val="en-US" w:eastAsia="zh-CN"/>
        </w:rPr>
        <w:t>PLoS One</w:t>
      </w:r>
      <w:r w:rsidRPr="00851544">
        <w:rPr>
          <w:rFonts w:ascii="Book Antiqua" w:eastAsia="SimSun" w:hAnsi="Book Antiqua" w:cs="SimSun"/>
          <w:color w:val="000000"/>
          <w:sz w:val="24"/>
          <w:szCs w:val="24"/>
          <w:lang w:val="en-US" w:eastAsia="zh-CN"/>
        </w:rPr>
        <w:t> 2013; </w:t>
      </w:r>
      <w:r w:rsidRPr="00851544">
        <w:rPr>
          <w:rFonts w:ascii="Book Antiqua" w:eastAsia="SimSun" w:hAnsi="Book Antiqua" w:cs="SimSun"/>
          <w:b/>
          <w:bCs/>
          <w:color w:val="000000"/>
          <w:sz w:val="24"/>
          <w:szCs w:val="24"/>
          <w:lang w:val="en-US" w:eastAsia="zh-CN"/>
        </w:rPr>
        <w:t>8</w:t>
      </w:r>
      <w:r w:rsidRPr="00851544">
        <w:rPr>
          <w:rFonts w:ascii="Book Antiqua" w:eastAsia="SimSun" w:hAnsi="Book Antiqua" w:cs="SimSun"/>
          <w:color w:val="000000"/>
          <w:sz w:val="24"/>
          <w:szCs w:val="24"/>
          <w:lang w:val="en-US" w:eastAsia="zh-CN"/>
        </w:rPr>
        <w:t>: e54014 [PMID: 23516391 DOI: 10.1371/journal.pone.0054014]</w:t>
      </w:r>
    </w:p>
    <w:p w:rsidR="00CE72EE" w:rsidRPr="00851544" w:rsidRDefault="00CE72EE" w:rsidP="00746849">
      <w:pPr>
        <w:adjustRightInd w:val="0"/>
        <w:snapToGrid w:val="0"/>
        <w:spacing w:after="0" w:line="360" w:lineRule="auto"/>
        <w:jc w:val="both"/>
        <w:rPr>
          <w:rFonts w:ascii="Book Antiqua" w:eastAsia="SimSun" w:hAnsi="Book Antiqua" w:cs="SimSun"/>
          <w:color w:val="000000"/>
          <w:sz w:val="24"/>
          <w:szCs w:val="24"/>
          <w:lang w:val="en-US" w:eastAsia="zh-CN"/>
        </w:rPr>
      </w:pPr>
      <w:r w:rsidRPr="00851544">
        <w:rPr>
          <w:rFonts w:ascii="Book Antiqua" w:eastAsia="SimSun" w:hAnsi="Book Antiqua" w:cs="SimSun"/>
          <w:color w:val="000000"/>
          <w:sz w:val="24"/>
          <w:szCs w:val="24"/>
          <w:lang w:val="en-US" w:eastAsia="zh-CN"/>
        </w:rPr>
        <w:t xml:space="preserve">87 </w:t>
      </w:r>
      <w:r w:rsidRPr="00851544">
        <w:rPr>
          <w:rFonts w:ascii="Book Antiqua" w:eastAsia="SimSun" w:hAnsi="Book Antiqua" w:cs="SimSun"/>
          <w:b/>
          <w:color w:val="000000"/>
          <w:sz w:val="24"/>
          <w:szCs w:val="24"/>
          <w:lang w:val="en-US" w:eastAsia="zh-CN"/>
        </w:rPr>
        <w:t>ClinicalTrials.gov</w:t>
      </w:r>
      <w:r w:rsidRPr="00851544">
        <w:rPr>
          <w:rFonts w:ascii="Book Antiqua" w:eastAsia="SimSun" w:hAnsi="Book Antiqua" w:cs="SimSun"/>
          <w:color w:val="000000"/>
          <w:sz w:val="24"/>
          <w:szCs w:val="24"/>
          <w:lang w:val="en-US" w:eastAsia="zh-CN"/>
        </w:rPr>
        <w:t>. First-Line Treatment for Locally Advanced or Metastatic Mesenchymal Epithelial Transition Factor (MET) - Positive Gastric, Lower Esophageal, or Gastroesophageal Junction (GEJ) Adenocarcinoma (RILOMET-1). Available from: URL: https: //clinicaltrials.gov/ct2/show/NCT01697072</w:t>
      </w:r>
    </w:p>
    <w:p w:rsidR="00CE72EE" w:rsidRPr="00851544" w:rsidRDefault="00CE72EE" w:rsidP="00746849">
      <w:pPr>
        <w:adjustRightInd w:val="0"/>
        <w:snapToGrid w:val="0"/>
        <w:spacing w:after="0" w:line="360" w:lineRule="auto"/>
        <w:jc w:val="both"/>
        <w:rPr>
          <w:rFonts w:ascii="Book Antiqua" w:eastAsia="SimSun" w:hAnsi="Book Antiqua" w:cs="SimSun"/>
          <w:color w:val="000000"/>
          <w:sz w:val="24"/>
          <w:szCs w:val="24"/>
          <w:lang w:val="en-US" w:eastAsia="zh-CN"/>
        </w:rPr>
      </w:pPr>
      <w:r w:rsidRPr="00851544">
        <w:rPr>
          <w:rFonts w:ascii="Book Antiqua" w:eastAsia="SimSun" w:hAnsi="Book Antiqua" w:cs="SimSun"/>
          <w:color w:val="000000"/>
          <w:sz w:val="24"/>
          <w:szCs w:val="24"/>
          <w:lang w:val="en-US" w:eastAsia="zh-CN"/>
        </w:rPr>
        <w:t xml:space="preserve">88 </w:t>
      </w:r>
      <w:r w:rsidRPr="00851544">
        <w:rPr>
          <w:rFonts w:ascii="Book Antiqua" w:eastAsia="SimSun" w:hAnsi="Book Antiqua" w:cs="SimSun"/>
          <w:b/>
          <w:color w:val="000000"/>
          <w:sz w:val="24"/>
          <w:szCs w:val="24"/>
          <w:lang w:val="en-US" w:eastAsia="zh-CN"/>
        </w:rPr>
        <w:t>ClinicalTrials.gov</w:t>
      </w:r>
      <w:r w:rsidRPr="00851544">
        <w:rPr>
          <w:rFonts w:ascii="Book Antiqua" w:eastAsia="SimSun" w:hAnsi="Book Antiqua" w:cs="SimSun"/>
          <w:color w:val="000000"/>
          <w:sz w:val="24"/>
          <w:szCs w:val="24"/>
          <w:lang w:val="en-US" w:eastAsia="zh-CN"/>
        </w:rPr>
        <w:t>. A Study of Onartuzumab (MetMAb) in Combination With mFOLFOX6 in Patients With Metastatic HER2-Negative And Met-Positive Gastroesophageal Cancer (MetGastric). Available from: URL: https: //clinicaltrials.gov/ct2/show/NCT01662869</w:t>
      </w:r>
    </w:p>
    <w:p w:rsidR="00CE72EE" w:rsidRPr="00851544" w:rsidRDefault="00CE72EE" w:rsidP="00746849">
      <w:pPr>
        <w:adjustRightInd w:val="0"/>
        <w:snapToGrid w:val="0"/>
        <w:spacing w:after="0" w:line="360" w:lineRule="auto"/>
        <w:jc w:val="both"/>
        <w:rPr>
          <w:rFonts w:ascii="Book Antiqua" w:eastAsia="SimSun" w:hAnsi="Book Antiqua" w:cs="SimSun"/>
          <w:color w:val="000000"/>
          <w:sz w:val="24"/>
          <w:szCs w:val="24"/>
          <w:lang w:val="en-US" w:eastAsia="zh-CN"/>
        </w:rPr>
      </w:pPr>
      <w:r w:rsidRPr="00851544">
        <w:rPr>
          <w:rFonts w:ascii="Book Antiqua" w:eastAsia="SimSun" w:hAnsi="Book Antiqua" w:cs="SimSun"/>
          <w:color w:val="000000"/>
          <w:sz w:val="24"/>
          <w:szCs w:val="24"/>
          <w:lang w:val="en-US" w:eastAsia="zh-CN"/>
        </w:rPr>
        <w:t>89 </w:t>
      </w:r>
      <w:r w:rsidRPr="00851544">
        <w:rPr>
          <w:rFonts w:ascii="Book Antiqua" w:eastAsia="SimSun" w:hAnsi="Book Antiqua" w:cs="SimSun"/>
          <w:b/>
          <w:bCs/>
          <w:color w:val="000000"/>
          <w:sz w:val="24"/>
          <w:szCs w:val="24"/>
          <w:lang w:val="en-US" w:eastAsia="zh-CN"/>
        </w:rPr>
        <w:t>Iveson T</w:t>
      </w:r>
      <w:r w:rsidRPr="00851544">
        <w:rPr>
          <w:rFonts w:ascii="Book Antiqua" w:eastAsia="SimSun" w:hAnsi="Book Antiqua" w:cs="SimSun"/>
          <w:color w:val="000000"/>
          <w:sz w:val="24"/>
          <w:szCs w:val="24"/>
          <w:lang w:val="en-US" w:eastAsia="zh-CN"/>
        </w:rPr>
        <w:t>, Donehower RC, Davidenko I, Tjulandin S, Deptala A, Harrison M, Nirni S, Lakshmaiah K, Thomas A, Jiang Y, Zhu M, Tang R, Anderson A, Dubey S, Oliner KS, Loh E. Rilotumumab in combination with epirubicin, cisplatin, and capecitabine as first-line treatment for gastric or oesophagogastric junction adenocarcinoma: an open-label, dose de-escalation phase 1b study and a double-blind, randomised phase 2 study. </w:t>
      </w:r>
      <w:r w:rsidRPr="00851544">
        <w:rPr>
          <w:rFonts w:ascii="Book Antiqua" w:eastAsia="SimSun" w:hAnsi="Book Antiqua" w:cs="SimSun"/>
          <w:i/>
          <w:iCs/>
          <w:color w:val="000000"/>
          <w:sz w:val="24"/>
          <w:szCs w:val="24"/>
          <w:lang w:val="en-US" w:eastAsia="zh-CN"/>
        </w:rPr>
        <w:t>Lancet Oncol</w:t>
      </w:r>
      <w:r w:rsidRPr="00851544">
        <w:rPr>
          <w:rFonts w:ascii="Book Antiqua" w:eastAsia="SimSun" w:hAnsi="Book Antiqua" w:cs="SimSun"/>
          <w:color w:val="000000"/>
          <w:sz w:val="24"/>
          <w:szCs w:val="24"/>
          <w:lang w:val="en-US" w:eastAsia="zh-CN"/>
        </w:rPr>
        <w:t> 2014; </w:t>
      </w:r>
      <w:r w:rsidRPr="00851544">
        <w:rPr>
          <w:rFonts w:ascii="Book Antiqua" w:eastAsia="SimSun" w:hAnsi="Book Antiqua" w:cs="SimSun"/>
          <w:b/>
          <w:bCs/>
          <w:color w:val="000000"/>
          <w:sz w:val="24"/>
          <w:szCs w:val="24"/>
          <w:lang w:val="en-US" w:eastAsia="zh-CN"/>
        </w:rPr>
        <w:t>15</w:t>
      </w:r>
      <w:r w:rsidRPr="00851544">
        <w:rPr>
          <w:rFonts w:ascii="Book Antiqua" w:eastAsia="SimSun" w:hAnsi="Book Antiqua" w:cs="SimSun"/>
          <w:color w:val="000000"/>
          <w:sz w:val="24"/>
          <w:szCs w:val="24"/>
          <w:lang w:val="en-US" w:eastAsia="zh-CN"/>
        </w:rPr>
        <w:t>: 1007-1018 [PMID: 24965569 DOI: 10.1016/S1470-2045(14)70023-3]</w:t>
      </w:r>
    </w:p>
    <w:p w:rsidR="00CE72EE" w:rsidRPr="00851544" w:rsidRDefault="00CE72EE" w:rsidP="00746849">
      <w:pPr>
        <w:adjustRightInd w:val="0"/>
        <w:snapToGrid w:val="0"/>
        <w:spacing w:after="0" w:line="360" w:lineRule="auto"/>
        <w:jc w:val="both"/>
        <w:rPr>
          <w:rFonts w:ascii="Book Antiqua" w:eastAsia="SimSun" w:hAnsi="Book Antiqua" w:cs="SimSun"/>
          <w:color w:val="000000"/>
          <w:sz w:val="24"/>
          <w:szCs w:val="24"/>
          <w:lang w:val="en-US" w:eastAsia="zh-CN"/>
        </w:rPr>
      </w:pPr>
      <w:r w:rsidRPr="00851544">
        <w:rPr>
          <w:rFonts w:ascii="Book Antiqua" w:eastAsia="SimSun" w:hAnsi="Book Antiqua" w:cs="SimSun"/>
          <w:color w:val="000000"/>
          <w:sz w:val="24"/>
          <w:szCs w:val="24"/>
          <w:lang w:val="en-US" w:eastAsia="zh-CN"/>
        </w:rPr>
        <w:t xml:space="preserve">90 </w:t>
      </w:r>
      <w:r w:rsidRPr="00851544">
        <w:rPr>
          <w:rFonts w:ascii="Book Antiqua" w:eastAsia="SimSun" w:hAnsi="Book Antiqua" w:cs="SimSun"/>
          <w:b/>
          <w:color w:val="000000"/>
          <w:sz w:val="24"/>
          <w:szCs w:val="24"/>
          <w:lang w:val="en-US" w:eastAsia="zh-CN"/>
        </w:rPr>
        <w:t>Kwak EL</w:t>
      </w:r>
      <w:r w:rsidRPr="00851544">
        <w:rPr>
          <w:rFonts w:ascii="Book Antiqua" w:eastAsia="SimSun" w:hAnsi="Book Antiqua" w:cs="SimSun"/>
          <w:color w:val="000000"/>
          <w:sz w:val="24"/>
          <w:szCs w:val="24"/>
          <w:lang w:val="en-US" w:eastAsia="zh-CN"/>
        </w:rPr>
        <w:t xml:space="preserve">, LoRusso P, Hamid O, Janku F, Kittaneh M, Catenacci DVT, Chan E, Bekaii-Saab TS, Amore B, Hwang YC, Tang R, Ngarmchamnanrith G, Hong DS. Clinical activity of AMG 337, an oral MET kinase inhibitor, in adult patients (pts) with MET-amplified gastroesophageal junction (GEJ), gastric (G), or esophageal (E) cancer. </w:t>
      </w:r>
      <w:r w:rsidRPr="00851544">
        <w:rPr>
          <w:rFonts w:ascii="Book Antiqua" w:eastAsia="SimSun" w:hAnsi="Book Antiqua" w:cs="SimSun"/>
          <w:i/>
          <w:color w:val="000000"/>
          <w:sz w:val="24"/>
          <w:szCs w:val="24"/>
          <w:lang w:val="en-US" w:eastAsia="zh-CN"/>
        </w:rPr>
        <w:t>J Clin Oncol</w:t>
      </w:r>
      <w:r w:rsidRPr="00851544">
        <w:rPr>
          <w:rFonts w:ascii="Book Antiqua" w:eastAsia="SimSun" w:hAnsi="Book Antiqua" w:cs="SimSun"/>
          <w:color w:val="000000"/>
          <w:sz w:val="24"/>
          <w:szCs w:val="24"/>
          <w:lang w:val="en-US" w:eastAsia="zh-CN"/>
        </w:rPr>
        <w:t xml:space="preserve"> 2015; </w:t>
      </w:r>
      <w:r w:rsidRPr="00851544">
        <w:rPr>
          <w:rFonts w:ascii="Book Antiqua" w:eastAsia="SimSun" w:hAnsi="Book Antiqua" w:cs="SimSun"/>
          <w:b/>
          <w:color w:val="000000"/>
          <w:sz w:val="24"/>
          <w:szCs w:val="24"/>
          <w:lang w:val="en-US" w:eastAsia="zh-CN"/>
        </w:rPr>
        <w:t xml:space="preserve">33 </w:t>
      </w:r>
      <w:r w:rsidRPr="00851544">
        <w:rPr>
          <w:rFonts w:ascii="Book Antiqua" w:eastAsia="SimSun" w:hAnsi="Book Antiqua" w:cs="SimSun"/>
          <w:color w:val="000000"/>
          <w:sz w:val="24"/>
          <w:szCs w:val="24"/>
          <w:lang w:val="en-US" w:eastAsia="zh-CN"/>
        </w:rPr>
        <w:t>(suppl 3; abstr 1)</w:t>
      </w:r>
    </w:p>
    <w:p w:rsidR="00CE72EE" w:rsidRPr="00851544" w:rsidRDefault="00CE72EE" w:rsidP="00746849">
      <w:pPr>
        <w:adjustRightInd w:val="0"/>
        <w:snapToGrid w:val="0"/>
        <w:spacing w:after="0" w:line="360" w:lineRule="auto"/>
        <w:jc w:val="both"/>
        <w:rPr>
          <w:rFonts w:ascii="Book Antiqua" w:eastAsia="SimSun" w:hAnsi="Book Antiqua" w:cs="SimSun"/>
          <w:color w:val="000000"/>
          <w:sz w:val="24"/>
          <w:szCs w:val="24"/>
          <w:lang w:val="en-US" w:eastAsia="zh-CN"/>
        </w:rPr>
      </w:pPr>
      <w:r w:rsidRPr="00851544">
        <w:rPr>
          <w:rFonts w:ascii="Book Antiqua" w:eastAsia="SimSun" w:hAnsi="Book Antiqua" w:cs="SimSun"/>
          <w:color w:val="000000"/>
          <w:sz w:val="24"/>
          <w:szCs w:val="24"/>
          <w:lang w:val="en-US" w:eastAsia="zh-CN"/>
        </w:rPr>
        <w:t xml:space="preserve">91 </w:t>
      </w:r>
      <w:r w:rsidRPr="00851544">
        <w:rPr>
          <w:rFonts w:ascii="Book Antiqua" w:eastAsia="SimSun" w:hAnsi="Book Antiqua" w:cs="SimSun"/>
          <w:b/>
          <w:color w:val="000000"/>
          <w:sz w:val="24"/>
          <w:szCs w:val="24"/>
          <w:lang w:val="en-US" w:eastAsia="zh-CN"/>
        </w:rPr>
        <w:t>Shah M</w:t>
      </w:r>
      <w:r w:rsidRPr="00851544">
        <w:rPr>
          <w:rFonts w:ascii="Book Antiqua" w:eastAsia="SimSun" w:hAnsi="Book Antiqua" w:cs="SimSun"/>
          <w:color w:val="000000"/>
          <w:sz w:val="24"/>
          <w:szCs w:val="24"/>
          <w:lang w:val="en-US" w:eastAsia="zh-CN"/>
        </w:rPr>
        <w:t>, Cho JY, Huat IT, Tebbutt NC, Yen CJ, Kang A, Shames DS, Bu L, Kang YK. Randomized phase II study of FOLFOX /- MET inhibitor, onartuzumab (O), in advanced gastroesophageal adenocarcinoma (GEC).</w:t>
      </w:r>
      <w:r w:rsidRPr="00851544">
        <w:rPr>
          <w:rFonts w:ascii="Book Antiqua" w:eastAsia="SimSun" w:hAnsi="Book Antiqua" w:cs="SimSun"/>
          <w:i/>
          <w:color w:val="000000"/>
          <w:sz w:val="24"/>
          <w:szCs w:val="24"/>
          <w:lang w:val="en-US" w:eastAsia="zh-CN"/>
        </w:rPr>
        <w:t xml:space="preserve"> J Clin Oncol </w:t>
      </w:r>
      <w:r w:rsidRPr="00851544">
        <w:rPr>
          <w:rFonts w:ascii="Book Antiqua" w:eastAsia="SimSun" w:hAnsi="Book Antiqua" w:cs="SimSun"/>
          <w:color w:val="000000"/>
          <w:sz w:val="24"/>
          <w:szCs w:val="24"/>
          <w:lang w:val="en-US" w:eastAsia="zh-CN"/>
        </w:rPr>
        <w:t xml:space="preserve">2015; </w:t>
      </w:r>
      <w:r w:rsidRPr="00851544">
        <w:rPr>
          <w:rFonts w:ascii="Book Antiqua" w:eastAsia="SimSun" w:hAnsi="Book Antiqua" w:cs="SimSun"/>
          <w:b/>
          <w:color w:val="000000"/>
          <w:sz w:val="24"/>
          <w:szCs w:val="24"/>
          <w:lang w:val="en-US" w:eastAsia="zh-CN"/>
        </w:rPr>
        <w:t xml:space="preserve">33 </w:t>
      </w:r>
      <w:r w:rsidRPr="00851544">
        <w:rPr>
          <w:rFonts w:ascii="Book Antiqua" w:eastAsia="SimSun" w:hAnsi="Book Antiqua" w:cs="SimSun"/>
          <w:color w:val="000000"/>
          <w:sz w:val="24"/>
          <w:szCs w:val="24"/>
          <w:lang w:val="en-US" w:eastAsia="zh-CN"/>
        </w:rPr>
        <w:t>(suppl 3; abstr 2)</w:t>
      </w:r>
    </w:p>
    <w:p w:rsidR="00CE72EE" w:rsidRPr="00851544" w:rsidRDefault="00CE72EE" w:rsidP="00746849">
      <w:pPr>
        <w:adjustRightInd w:val="0"/>
        <w:snapToGrid w:val="0"/>
        <w:spacing w:after="0" w:line="360" w:lineRule="auto"/>
        <w:jc w:val="both"/>
        <w:rPr>
          <w:rFonts w:ascii="Book Antiqua" w:eastAsia="SimSun" w:hAnsi="Book Antiqua" w:cs="SimSun"/>
          <w:color w:val="000000"/>
          <w:sz w:val="24"/>
          <w:szCs w:val="24"/>
          <w:lang w:val="en-US" w:eastAsia="zh-CN"/>
        </w:rPr>
      </w:pPr>
      <w:r w:rsidRPr="00851544">
        <w:rPr>
          <w:rFonts w:ascii="Book Antiqua" w:eastAsia="SimSun" w:hAnsi="Book Antiqua" w:cs="SimSun"/>
          <w:color w:val="000000"/>
          <w:sz w:val="24"/>
          <w:szCs w:val="24"/>
          <w:lang w:val="en-US" w:eastAsia="zh-CN"/>
        </w:rPr>
        <w:t>92 </w:t>
      </w:r>
      <w:r w:rsidRPr="00851544">
        <w:rPr>
          <w:rFonts w:ascii="Book Antiqua" w:eastAsia="SimSun" w:hAnsi="Book Antiqua" w:cs="SimSun"/>
          <w:b/>
          <w:bCs/>
          <w:color w:val="000000"/>
          <w:sz w:val="24"/>
          <w:szCs w:val="24"/>
          <w:lang w:val="en-US" w:eastAsia="zh-CN"/>
        </w:rPr>
        <w:t>Keir ME</w:t>
      </w:r>
      <w:r w:rsidRPr="00851544">
        <w:rPr>
          <w:rFonts w:ascii="Book Antiqua" w:eastAsia="SimSun" w:hAnsi="Book Antiqua" w:cs="SimSun"/>
          <w:color w:val="000000"/>
          <w:sz w:val="24"/>
          <w:szCs w:val="24"/>
          <w:lang w:val="en-US" w:eastAsia="zh-CN"/>
        </w:rPr>
        <w:t>, Liang SC, Guleria I, Latchman YE, Qipo A, Albacker LA, Koulmanda M, Freeman GJ, Sayegh MH, Sharpe AH. Tissue expression of PD-L1 mediates peripheral T cell tolerance. </w:t>
      </w:r>
      <w:r w:rsidRPr="00851544">
        <w:rPr>
          <w:rFonts w:ascii="Book Antiqua" w:eastAsia="SimSun" w:hAnsi="Book Antiqua" w:cs="SimSun"/>
          <w:i/>
          <w:iCs/>
          <w:color w:val="000000"/>
          <w:sz w:val="24"/>
          <w:szCs w:val="24"/>
          <w:lang w:val="en-US" w:eastAsia="zh-CN"/>
        </w:rPr>
        <w:t>J Exp Med</w:t>
      </w:r>
      <w:r w:rsidRPr="00851544">
        <w:rPr>
          <w:rFonts w:ascii="Book Antiqua" w:eastAsia="SimSun" w:hAnsi="Book Antiqua" w:cs="SimSun"/>
          <w:color w:val="000000"/>
          <w:sz w:val="24"/>
          <w:szCs w:val="24"/>
          <w:lang w:val="en-US" w:eastAsia="zh-CN"/>
        </w:rPr>
        <w:t> 2006; </w:t>
      </w:r>
      <w:r w:rsidRPr="00851544">
        <w:rPr>
          <w:rFonts w:ascii="Book Antiqua" w:eastAsia="SimSun" w:hAnsi="Book Antiqua" w:cs="SimSun"/>
          <w:b/>
          <w:bCs/>
          <w:color w:val="000000"/>
          <w:sz w:val="24"/>
          <w:szCs w:val="24"/>
          <w:lang w:val="en-US" w:eastAsia="zh-CN"/>
        </w:rPr>
        <w:t>203</w:t>
      </w:r>
      <w:r w:rsidRPr="00851544">
        <w:rPr>
          <w:rFonts w:ascii="Book Antiqua" w:eastAsia="SimSun" w:hAnsi="Book Antiqua" w:cs="SimSun"/>
          <w:color w:val="000000"/>
          <w:sz w:val="24"/>
          <w:szCs w:val="24"/>
          <w:lang w:val="en-US" w:eastAsia="zh-CN"/>
        </w:rPr>
        <w:t>: 883-895 [PMID: 16606670 DOI: 10.1084/jem.20051776]</w:t>
      </w:r>
    </w:p>
    <w:p w:rsidR="00CE72EE" w:rsidRPr="00851544" w:rsidRDefault="00CE72EE" w:rsidP="00746849">
      <w:pPr>
        <w:adjustRightInd w:val="0"/>
        <w:snapToGrid w:val="0"/>
        <w:spacing w:after="0" w:line="360" w:lineRule="auto"/>
        <w:jc w:val="both"/>
        <w:rPr>
          <w:rFonts w:ascii="Book Antiqua" w:eastAsia="SimSun" w:hAnsi="Book Antiqua" w:cs="SimSun"/>
          <w:color w:val="000000"/>
          <w:sz w:val="24"/>
          <w:szCs w:val="24"/>
          <w:lang w:val="en-US" w:eastAsia="zh-CN"/>
        </w:rPr>
      </w:pPr>
      <w:r w:rsidRPr="00851544">
        <w:rPr>
          <w:rFonts w:ascii="Book Antiqua" w:eastAsia="SimSun" w:hAnsi="Book Antiqua" w:cs="SimSun"/>
          <w:color w:val="000000"/>
          <w:sz w:val="24"/>
          <w:szCs w:val="24"/>
          <w:lang w:val="en-US" w:eastAsia="zh-CN"/>
        </w:rPr>
        <w:lastRenderedPageBreak/>
        <w:t xml:space="preserve">93 </w:t>
      </w:r>
      <w:r w:rsidRPr="00851544">
        <w:rPr>
          <w:rFonts w:ascii="Book Antiqua" w:eastAsia="SimSun" w:hAnsi="Book Antiqua" w:cs="SimSun"/>
          <w:b/>
          <w:color w:val="000000"/>
          <w:sz w:val="24"/>
          <w:szCs w:val="24"/>
          <w:lang w:val="en-US" w:eastAsia="zh-CN"/>
        </w:rPr>
        <w:t>Muro K</w:t>
      </w:r>
      <w:r w:rsidRPr="00851544">
        <w:rPr>
          <w:rFonts w:ascii="Book Antiqua" w:eastAsia="SimSun" w:hAnsi="Book Antiqua" w:cs="SimSun"/>
          <w:color w:val="000000"/>
          <w:sz w:val="24"/>
          <w:szCs w:val="24"/>
          <w:lang w:val="en-US" w:eastAsia="zh-CN"/>
        </w:rPr>
        <w:t xml:space="preserve">, Bang Y, Shankaran V, Geva R, Catenacci DVT, Gupta S, Eder JP, Berger R, Gonzalez EJ, Pulini J, Ray AB, Dolled-Filhart M, Emancipator K, Pathiraja K, Shu X, Koshiji MR, Cheng J, Chung HC. A phase 1b study of pembrolizumab (Pembro; MK-3475) in patients (Pts) with advanced gastric cancer. </w:t>
      </w:r>
      <w:r w:rsidRPr="00851544">
        <w:rPr>
          <w:rFonts w:ascii="Book Antiqua" w:eastAsia="SimSun" w:hAnsi="Book Antiqua" w:cs="SimSun"/>
          <w:i/>
          <w:color w:val="000000"/>
          <w:sz w:val="24"/>
          <w:szCs w:val="24"/>
          <w:lang w:val="en-US" w:eastAsia="zh-CN"/>
        </w:rPr>
        <w:t>Ann Oncol</w:t>
      </w:r>
      <w:r w:rsidRPr="00851544">
        <w:rPr>
          <w:rFonts w:ascii="Book Antiqua" w:eastAsia="SimSun" w:hAnsi="Book Antiqua" w:cs="SimSun"/>
          <w:color w:val="000000"/>
          <w:sz w:val="24"/>
          <w:szCs w:val="24"/>
          <w:lang w:val="en-US" w:eastAsia="zh-CN"/>
        </w:rPr>
        <w:t xml:space="preserve"> 2014; </w:t>
      </w:r>
      <w:r w:rsidRPr="00851544">
        <w:rPr>
          <w:rFonts w:ascii="Book Antiqua" w:eastAsia="SimSun" w:hAnsi="Book Antiqua" w:cs="SimSun"/>
          <w:b/>
          <w:color w:val="000000"/>
          <w:sz w:val="24"/>
          <w:szCs w:val="24"/>
          <w:lang w:val="en-US" w:eastAsia="zh-CN"/>
        </w:rPr>
        <w:t>25</w:t>
      </w:r>
      <w:r w:rsidRPr="00851544">
        <w:rPr>
          <w:rFonts w:ascii="Book Antiqua" w:eastAsia="SimSun" w:hAnsi="Book Antiqua" w:cs="SimSun"/>
          <w:color w:val="000000"/>
          <w:sz w:val="24"/>
          <w:szCs w:val="24"/>
          <w:lang w:val="en-US" w:eastAsia="zh-CN"/>
        </w:rPr>
        <w:t xml:space="preserve"> (suppl 4; abstr LBA15) [DOI: 10.1093/annonc/mdu438.15]</w:t>
      </w:r>
    </w:p>
    <w:p w:rsidR="00CE72EE" w:rsidRPr="00851544" w:rsidRDefault="00CE72EE" w:rsidP="00746849">
      <w:pPr>
        <w:adjustRightInd w:val="0"/>
        <w:snapToGrid w:val="0"/>
        <w:spacing w:after="0" w:line="360" w:lineRule="auto"/>
        <w:jc w:val="both"/>
        <w:rPr>
          <w:rFonts w:ascii="Book Antiqua" w:eastAsia="SimSun" w:hAnsi="Book Antiqua" w:cs="SimSun"/>
          <w:color w:val="000000"/>
          <w:sz w:val="24"/>
          <w:szCs w:val="24"/>
          <w:lang w:val="en-US" w:eastAsia="zh-CN"/>
        </w:rPr>
      </w:pPr>
      <w:r w:rsidRPr="00851544">
        <w:rPr>
          <w:rFonts w:ascii="Book Antiqua" w:eastAsia="SimSun" w:hAnsi="Book Antiqua" w:cs="SimSun"/>
          <w:color w:val="000000"/>
          <w:sz w:val="24"/>
          <w:szCs w:val="24"/>
          <w:lang w:val="en-US" w:eastAsia="zh-CN"/>
        </w:rPr>
        <w:t>94 </w:t>
      </w:r>
      <w:r w:rsidRPr="00851544">
        <w:rPr>
          <w:rFonts w:ascii="Book Antiqua" w:eastAsia="SimSun" w:hAnsi="Book Antiqua" w:cs="SimSun"/>
          <w:b/>
          <w:bCs/>
          <w:color w:val="000000"/>
          <w:sz w:val="24"/>
          <w:szCs w:val="24"/>
          <w:lang w:val="en-US" w:eastAsia="zh-CN"/>
        </w:rPr>
        <w:t>Kang B</w:t>
      </w:r>
      <w:r w:rsidRPr="00851544">
        <w:rPr>
          <w:rFonts w:ascii="Book Antiqua" w:eastAsia="SimSun" w:hAnsi="Book Antiqua" w:cs="SimSun"/>
          <w:color w:val="000000"/>
          <w:sz w:val="24"/>
          <w:szCs w:val="24"/>
          <w:lang w:val="en-US" w:eastAsia="zh-CN"/>
        </w:rPr>
        <w:t>, Guo RF, Tan XH, Zhao M, Tang ZB, Lu YY. Expression status of ataxia-telangiectasia-mutated gene correlated with prognosis in advanced gastric cancer. </w:t>
      </w:r>
      <w:r w:rsidRPr="00851544">
        <w:rPr>
          <w:rFonts w:ascii="Book Antiqua" w:eastAsia="SimSun" w:hAnsi="Book Antiqua" w:cs="SimSun"/>
          <w:i/>
          <w:iCs/>
          <w:color w:val="000000"/>
          <w:sz w:val="24"/>
          <w:szCs w:val="24"/>
          <w:lang w:val="en-US" w:eastAsia="zh-CN"/>
        </w:rPr>
        <w:t>Mutat Res</w:t>
      </w:r>
      <w:r w:rsidRPr="00851544">
        <w:rPr>
          <w:rFonts w:ascii="Book Antiqua" w:eastAsia="SimSun" w:hAnsi="Book Antiqua" w:cs="SimSun"/>
          <w:color w:val="000000"/>
          <w:sz w:val="24"/>
          <w:szCs w:val="24"/>
          <w:lang w:val="en-US" w:eastAsia="zh-CN"/>
        </w:rPr>
        <w:t> 2008; </w:t>
      </w:r>
      <w:r w:rsidRPr="00851544">
        <w:rPr>
          <w:rFonts w:ascii="Book Antiqua" w:eastAsia="SimSun" w:hAnsi="Book Antiqua" w:cs="SimSun"/>
          <w:b/>
          <w:bCs/>
          <w:color w:val="000000"/>
          <w:sz w:val="24"/>
          <w:szCs w:val="24"/>
          <w:lang w:val="en-US" w:eastAsia="zh-CN"/>
        </w:rPr>
        <w:t>638</w:t>
      </w:r>
      <w:r w:rsidRPr="00851544">
        <w:rPr>
          <w:rFonts w:ascii="Book Antiqua" w:eastAsia="SimSun" w:hAnsi="Book Antiqua" w:cs="SimSun"/>
          <w:color w:val="000000"/>
          <w:sz w:val="24"/>
          <w:szCs w:val="24"/>
          <w:lang w:val="en-US" w:eastAsia="zh-CN"/>
        </w:rPr>
        <w:t>: 17-25 [PMID: 17928013 DOI: 10.1016/j.mrfmmm.2007.08.013]</w:t>
      </w:r>
    </w:p>
    <w:p w:rsidR="00CE72EE" w:rsidRPr="00851544" w:rsidRDefault="00CE72EE" w:rsidP="00746849">
      <w:pPr>
        <w:adjustRightInd w:val="0"/>
        <w:snapToGrid w:val="0"/>
        <w:spacing w:after="0" w:line="360" w:lineRule="auto"/>
        <w:jc w:val="both"/>
        <w:rPr>
          <w:rFonts w:ascii="Book Antiqua" w:eastAsia="SimSun" w:hAnsi="Book Antiqua" w:cs="SimSun"/>
          <w:color w:val="000000"/>
          <w:sz w:val="24"/>
          <w:szCs w:val="24"/>
          <w:lang w:val="en-US" w:eastAsia="zh-CN"/>
        </w:rPr>
      </w:pPr>
      <w:r w:rsidRPr="00851544">
        <w:rPr>
          <w:rFonts w:ascii="Book Antiqua" w:eastAsia="SimSun" w:hAnsi="Book Antiqua" w:cs="SimSun"/>
          <w:color w:val="000000"/>
          <w:sz w:val="24"/>
          <w:szCs w:val="24"/>
          <w:lang w:val="en-US" w:eastAsia="zh-CN"/>
        </w:rPr>
        <w:t>95 </w:t>
      </w:r>
      <w:r w:rsidRPr="00851544">
        <w:rPr>
          <w:rFonts w:ascii="Book Antiqua" w:eastAsia="SimSun" w:hAnsi="Book Antiqua" w:cs="SimSun"/>
          <w:b/>
          <w:bCs/>
          <w:color w:val="000000"/>
          <w:sz w:val="24"/>
          <w:szCs w:val="24"/>
          <w:lang w:val="en-US" w:eastAsia="zh-CN"/>
        </w:rPr>
        <w:t>Yang L</w:t>
      </w:r>
      <w:r w:rsidRPr="00851544">
        <w:rPr>
          <w:rFonts w:ascii="Book Antiqua" w:eastAsia="SimSun" w:hAnsi="Book Antiqua" w:cs="SimSun"/>
          <w:color w:val="000000"/>
          <w:sz w:val="24"/>
          <w:szCs w:val="24"/>
          <w:lang w:val="en-US" w:eastAsia="zh-CN"/>
        </w:rPr>
        <w:t>, Kuang LG, Zheng HC, Li JY, Wu DY, Zhang SM, Xin Y. PTEN encoding product: a marker for tumorigenesis and progression of gastric carcinoma. </w:t>
      </w:r>
      <w:r w:rsidRPr="00851544">
        <w:rPr>
          <w:rFonts w:ascii="Book Antiqua" w:eastAsia="SimSun" w:hAnsi="Book Antiqua" w:cs="SimSun"/>
          <w:i/>
          <w:iCs/>
          <w:color w:val="000000"/>
          <w:sz w:val="24"/>
          <w:szCs w:val="24"/>
          <w:lang w:val="en-US" w:eastAsia="zh-CN"/>
        </w:rPr>
        <w:t>World J Gastroenterol</w:t>
      </w:r>
      <w:r w:rsidRPr="00851544">
        <w:rPr>
          <w:rFonts w:ascii="Book Antiqua" w:eastAsia="SimSun" w:hAnsi="Book Antiqua" w:cs="SimSun"/>
          <w:color w:val="000000"/>
          <w:sz w:val="24"/>
          <w:szCs w:val="24"/>
          <w:lang w:val="en-US" w:eastAsia="zh-CN"/>
        </w:rPr>
        <w:t> 2003; </w:t>
      </w:r>
      <w:r w:rsidRPr="00851544">
        <w:rPr>
          <w:rFonts w:ascii="Book Antiqua" w:eastAsia="SimSun" w:hAnsi="Book Antiqua" w:cs="SimSun"/>
          <w:b/>
          <w:bCs/>
          <w:color w:val="000000"/>
          <w:sz w:val="24"/>
          <w:szCs w:val="24"/>
          <w:lang w:val="en-US" w:eastAsia="zh-CN"/>
        </w:rPr>
        <w:t>9</w:t>
      </w:r>
      <w:r w:rsidRPr="00851544">
        <w:rPr>
          <w:rFonts w:ascii="Book Antiqua" w:eastAsia="SimSun" w:hAnsi="Book Antiqua" w:cs="SimSun"/>
          <w:color w:val="000000"/>
          <w:sz w:val="24"/>
          <w:szCs w:val="24"/>
          <w:lang w:val="en-US" w:eastAsia="zh-CN"/>
        </w:rPr>
        <w:t>: 35-39 [PMID: 12508347]</w:t>
      </w:r>
    </w:p>
    <w:p w:rsidR="00CE72EE" w:rsidRPr="00851544" w:rsidRDefault="00CE72EE" w:rsidP="00746849">
      <w:pPr>
        <w:adjustRightInd w:val="0"/>
        <w:snapToGrid w:val="0"/>
        <w:spacing w:after="0" w:line="360" w:lineRule="auto"/>
        <w:jc w:val="both"/>
        <w:rPr>
          <w:rFonts w:ascii="Book Antiqua" w:eastAsia="SimSun" w:hAnsi="Book Antiqua" w:cs="SimSun"/>
          <w:color w:val="000000"/>
          <w:sz w:val="24"/>
          <w:szCs w:val="24"/>
          <w:lang w:val="en-US" w:eastAsia="zh-CN"/>
        </w:rPr>
      </w:pPr>
      <w:r w:rsidRPr="00851544">
        <w:rPr>
          <w:rFonts w:ascii="Book Antiqua" w:eastAsia="SimSun" w:hAnsi="Book Antiqua" w:cs="SimSun"/>
          <w:color w:val="000000"/>
          <w:sz w:val="24"/>
          <w:szCs w:val="24"/>
          <w:lang w:val="en-US" w:eastAsia="zh-CN"/>
        </w:rPr>
        <w:t>96 </w:t>
      </w:r>
      <w:r w:rsidRPr="00851544">
        <w:rPr>
          <w:rFonts w:ascii="Book Antiqua" w:eastAsia="SimSun" w:hAnsi="Book Antiqua" w:cs="SimSun"/>
          <w:b/>
          <w:bCs/>
          <w:color w:val="000000"/>
          <w:sz w:val="24"/>
          <w:szCs w:val="24"/>
          <w:lang w:val="en-US" w:eastAsia="zh-CN"/>
        </w:rPr>
        <w:t>Fenoglio-Preiser CM</w:t>
      </w:r>
      <w:r w:rsidRPr="00851544">
        <w:rPr>
          <w:rFonts w:ascii="Book Antiqua" w:eastAsia="SimSun" w:hAnsi="Book Antiqua" w:cs="SimSun"/>
          <w:color w:val="000000"/>
          <w:sz w:val="24"/>
          <w:szCs w:val="24"/>
          <w:lang w:val="en-US" w:eastAsia="zh-CN"/>
        </w:rPr>
        <w:t>, Wang J, Stemmermann GN, Noffsinger A. TP53 and gastric carcinoma: a review. </w:t>
      </w:r>
      <w:r w:rsidRPr="00851544">
        <w:rPr>
          <w:rFonts w:ascii="Book Antiqua" w:eastAsia="SimSun" w:hAnsi="Book Antiqua" w:cs="SimSun"/>
          <w:i/>
          <w:iCs/>
          <w:color w:val="000000"/>
          <w:sz w:val="24"/>
          <w:szCs w:val="24"/>
          <w:lang w:val="en-US" w:eastAsia="zh-CN"/>
        </w:rPr>
        <w:t>Hum Mutat</w:t>
      </w:r>
      <w:r w:rsidRPr="00851544">
        <w:rPr>
          <w:rFonts w:ascii="Book Antiqua" w:eastAsia="SimSun" w:hAnsi="Book Antiqua" w:cs="SimSun"/>
          <w:color w:val="000000"/>
          <w:sz w:val="24"/>
          <w:szCs w:val="24"/>
          <w:lang w:val="en-US" w:eastAsia="zh-CN"/>
        </w:rPr>
        <w:t> 2003; </w:t>
      </w:r>
      <w:r w:rsidRPr="00851544">
        <w:rPr>
          <w:rFonts w:ascii="Book Antiqua" w:eastAsia="SimSun" w:hAnsi="Book Antiqua" w:cs="SimSun"/>
          <w:b/>
          <w:bCs/>
          <w:color w:val="000000"/>
          <w:sz w:val="24"/>
          <w:szCs w:val="24"/>
          <w:lang w:val="en-US" w:eastAsia="zh-CN"/>
        </w:rPr>
        <w:t>21</w:t>
      </w:r>
      <w:r w:rsidRPr="00851544">
        <w:rPr>
          <w:rFonts w:ascii="Book Antiqua" w:eastAsia="SimSun" w:hAnsi="Book Antiqua" w:cs="SimSun"/>
          <w:color w:val="000000"/>
          <w:sz w:val="24"/>
          <w:szCs w:val="24"/>
          <w:lang w:val="en-US" w:eastAsia="zh-CN"/>
        </w:rPr>
        <w:t>: 258-270 [PMID: 12619111 DOI: 10.1002/humu.10180]</w:t>
      </w:r>
    </w:p>
    <w:p w:rsidR="00CE72EE" w:rsidRPr="00851544" w:rsidRDefault="00CE72EE" w:rsidP="00746849">
      <w:pPr>
        <w:adjustRightInd w:val="0"/>
        <w:snapToGrid w:val="0"/>
        <w:spacing w:after="0" w:line="360" w:lineRule="auto"/>
        <w:jc w:val="both"/>
        <w:rPr>
          <w:rFonts w:ascii="Book Antiqua" w:eastAsia="SimSun" w:hAnsi="Book Antiqua" w:cs="SimSun"/>
          <w:color w:val="000000"/>
          <w:sz w:val="24"/>
          <w:szCs w:val="24"/>
          <w:lang w:val="en-US" w:eastAsia="zh-CN"/>
        </w:rPr>
      </w:pPr>
      <w:r w:rsidRPr="00851544">
        <w:rPr>
          <w:rFonts w:ascii="Book Antiqua" w:eastAsia="SimSun" w:hAnsi="Book Antiqua" w:cs="SimSun"/>
          <w:color w:val="000000"/>
          <w:sz w:val="24"/>
          <w:szCs w:val="24"/>
          <w:lang w:val="en-US" w:eastAsia="zh-CN"/>
        </w:rPr>
        <w:t>97 </w:t>
      </w:r>
      <w:r w:rsidRPr="00851544">
        <w:rPr>
          <w:rFonts w:ascii="Book Antiqua" w:eastAsia="SimSun" w:hAnsi="Book Antiqua" w:cs="SimSun"/>
          <w:b/>
          <w:bCs/>
          <w:color w:val="000000"/>
          <w:sz w:val="24"/>
          <w:szCs w:val="24"/>
          <w:lang w:val="en-US" w:eastAsia="zh-CN"/>
        </w:rPr>
        <w:t>De Dosso S</w:t>
      </w:r>
      <w:r w:rsidRPr="00851544">
        <w:rPr>
          <w:rFonts w:ascii="Book Antiqua" w:eastAsia="SimSun" w:hAnsi="Book Antiqua" w:cs="SimSun"/>
          <w:color w:val="000000"/>
          <w:sz w:val="24"/>
          <w:szCs w:val="24"/>
          <w:lang w:val="en-US" w:eastAsia="zh-CN"/>
        </w:rPr>
        <w:t>, Zanellato E, Nucifora M, Boldorini R, Sonzogni A, Biffi R, Fazio N, Bucci E, Beretta O, Crippa S, Saletti P, Frattini M. ERCC1 predicts outcome in patients with gastric cancer treated with adjuvant cisplatin-based chemotherapy. </w:t>
      </w:r>
      <w:r w:rsidRPr="00851544">
        <w:rPr>
          <w:rFonts w:ascii="Book Antiqua" w:eastAsia="SimSun" w:hAnsi="Book Antiqua" w:cs="SimSun"/>
          <w:i/>
          <w:iCs/>
          <w:color w:val="000000"/>
          <w:sz w:val="24"/>
          <w:szCs w:val="24"/>
          <w:lang w:val="en-US" w:eastAsia="zh-CN"/>
        </w:rPr>
        <w:t>Cancer Chemother Pharmacol</w:t>
      </w:r>
      <w:r w:rsidRPr="00851544">
        <w:rPr>
          <w:rFonts w:ascii="Book Antiqua" w:eastAsia="SimSun" w:hAnsi="Book Antiqua" w:cs="SimSun"/>
          <w:color w:val="000000"/>
          <w:sz w:val="24"/>
          <w:szCs w:val="24"/>
          <w:lang w:val="en-US" w:eastAsia="zh-CN"/>
        </w:rPr>
        <w:t> 2013; </w:t>
      </w:r>
      <w:r w:rsidRPr="00851544">
        <w:rPr>
          <w:rFonts w:ascii="Book Antiqua" w:eastAsia="SimSun" w:hAnsi="Book Antiqua" w:cs="SimSun"/>
          <w:b/>
          <w:bCs/>
          <w:color w:val="000000"/>
          <w:sz w:val="24"/>
          <w:szCs w:val="24"/>
          <w:lang w:val="en-US" w:eastAsia="zh-CN"/>
        </w:rPr>
        <w:t>72</w:t>
      </w:r>
      <w:r w:rsidRPr="00851544">
        <w:rPr>
          <w:rFonts w:ascii="Book Antiqua" w:eastAsia="SimSun" w:hAnsi="Book Antiqua" w:cs="SimSun"/>
          <w:color w:val="000000"/>
          <w:sz w:val="24"/>
          <w:szCs w:val="24"/>
          <w:lang w:val="en-US" w:eastAsia="zh-CN"/>
        </w:rPr>
        <w:t>: 159-165 [PMID: 23645290 DOI: 10.1007/s00280-013-2181-2]</w:t>
      </w:r>
    </w:p>
    <w:p w:rsidR="00CE72EE" w:rsidRPr="00851544" w:rsidRDefault="00CE72EE" w:rsidP="00746849">
      <w:pPr>
        <w:adjustRightInd w:val="0"/>
        <w:snapToGrid w:val="0"/>
        <w:spacing w:after="0" w:line="360" w:lineRule="auto"/>
        <w:jc w:val="both"/>
        <w:rPr>
          <w:rFonts w:ascii="Book Antiqua" w:eastAsia="SimSun" w:hAnsi="Book Antiqua" w:cs="SimSun"/>
          <w:color w:val="000000"/>
          <w:sz w:val="24"/>
          <w:szCs w:val="24"/>
          <w:lang w:val="en-US" w:eastAsia="zh-CN"/>
        </w:rPr>
      </w:pPr>
      <w:r w:rsidRPr="00851544">
        <w:rPr>
          <w:rFonts w:ascii="Book Antiqua" w:eastAsia="SimSun" w:hAnsi="Book Antiqua" w:cs="SimSun"/>
          <w:color w:val="000000"/>
          <w:sz w:val="24"/>
          <w:szCs w:val="24"/>
          <w:lang w:val="en-US" w:eastAsia="zh-CN"/>
        </w:rPr>
        <w:t>98</w:t>
      </w:r>
      <w:r w:rsidRPr="00851544">
        <w:rPr>
          <w:rFonts w:ascii="Book Antiqua" w:eastAsia="SimSun" w:hAnsi="Book Antiqua" w:cs="SimSun"/>
          <w:b/>
          <w:color w:val="000000"/>
          <w:sz w:val="24"/>
          <w:szCs w:val="24"/>
          <w:lang w:val="en-US" w:eastAsia="zh-CN"/>
        </w:rPr>
        <w:t xml:space="preserve"> Kelley MR</w:t>
      </w:r>
      <w:r w:rsidRPr="00851544">
        <w:rPr>
          <w:rFonts w:ascii="Book Antiqua" w:eastAsia="SimSun" w:hAnsi="Book Antiqua" w:cs="SimSun"/>
          <w:color w:val="000000"/>
          <w:sz w:val="24"/>
          <w:szCs w:val="24"/>
          <w:lang w:val="en-US" w:eastAsia="zh-CN"/>
        </w:rPr>
        <w:t>. DNA Repair in cancer therapy. Molecular targets and clinical applications. 2012 Elsevier Inc. ISBN: 978-0-12-384999-1</w:t>
      </w:r>
    </w:p>
    <w:p w:rsidR="00CE72EE" w:rsidRPr="00851544" w:rsidRDefault="00CE72EE" w:rsidP="00746849">
      <w:pPr>
        <w:adjustRightInd w:val="0"/>
        <w:snapToGrid w:val="0"/>
        <w:spacing w:after="0" w:line="360" w:lineRule="auto"/>
        <w:jc w:val="both"/>
        <w:rPr>
          <w:rFonts w:ascii="Book Antiqua" w:eastAsia="SimSun" w:hAnsi="Book Antiqua" w:cs="SimSun"/>
          <w:color w:val="000000"/>
          <w:sz w:val="24"/>
          <w:szCs w:val="24"/>
          <w:lang w:val="en-US" w:eastAsia="zh-CN"/>
        </w:rPr>
      </w:pPr>
      <w:r w:rsidRPr="00851544">
        <w:rPr>
          <w:rFonts w:ascii="Book Antiqua" w:eastAsia="SimSun" w:hAnsi="Book Antiqua" w:cs="SimSun"/>
          <w:color w:val="000000"/>
          <w:sz w:val="24"/>
          <w:szCs w:val="24"/>
          <w:lang w:val="en-US" w:eastAsia="zh-CN"/>
        </w:rPr>
        <w:t xml:space="preserve">99 </w:t>
      </w:r>
      <w:r w:rsidRPr="00851544">
        <w:rPr>
          <w:rFonts w:ascii="Book Antiqua" w:eastAsia="SimSun" w:hAnsi="Book Antiqua" w:cs="SimSun"/>
          <w:b/>
          <w:color w:val="000000"/>
          <w:sz w:val="24"/>
          <w:szCs w:val="24"/>
          <w:lang w:val="en-US" w:eastAsia="zh-CN"/>
        </w:rPr>
        <w:t>Bang YJ</w:t>
      </w:r>
      <w:r w:rsidRPr="00851544">
        <w:rPr>
          <w:rFonts w:ascii="Book Antiqua" w:eastAsia="SimSun" w:hAnsi="Book Antiqua" w:cs="SimSun"/>
          <w:color w:val="000000"/>
          <w:sz w:val="24"/>
          <w:szCs w:val="24"/>
          <w:lang w:val="en-US" w:eastAsia="zh-CN"/>
        </w:rPr>
        <w:t xml:space="preserve">, Im SA, Lee KW, Cho JY, Song EK, Lee KH, Kim EH, Park JO, Chun HG, Zang DY, Fielding A, Rowbottom J, Kim WH. Olaparib plus paclitaxel in patients with recurrent or metastatic gastric cancer: A randomized, double-blind phase II study. </w:t>
      </w:r>
      <w:r w:rsidRPr="00851544">
        <w:rPr>
          <w:rFonts w:ascii="Book Antiqua" w:eastAsia="SimSun" w:hAnsi="Book Antiqua" w:cs="SimSun"/>
          <w:i/>
          <w:color w:val="000000"/>
          <w:sz w:val="24"/>
          <w:szCs w:val="24"/>
          <w:lang w:val="en-US" w:eastAsia="zh-CN"/>
        </w:rPr>
        <w:t>J Clin Oncol</w:t>
      </w:r>
      <w:r w:rsidRPr="00851544">
        <w:rPr>
          <w:rFonts w:ascii="Book Antiqua" w:eastAsia="SimSun" w:hAnsi="Book Antiqua" w:cs="SimSun"/>
          <w:color w:val="000000"/>
          <w:sz w:val="24"/>
          <w:szCs w:val="24"/>
          <w:lang w:val="en-US" w:eastAsia="zh-CN"/>
        </w:rPr>
        <w:t xml:space="preserve"> 2013; </w:t>
      </w:r>
      <w:r w:rsidRPr="00851544">
        <w:rPr>
          <w:rFonts w:ascii="Book Antiqua" w:eastAsia="SimSun" w:hAnsi="Book Antiqua" w:cs="SimSun"/>
          <w:b/>
          <w:color w:val="000000"/>
          <w:sz w:val="24"/>
          <w:szCs w:val="24"/>
          <w:lang w:val="en-US" w:eastAsia="zh-CN"/>
        </w:rPr>
        <w:t>31</w:t>
      </w:r>
      <w:r w:rsidRPr="00851544">
        <w:rPr>
          <w:rFonts w:ascii="Book Antiqua" w:eastAsia="SimSun" w:hAnsi="Book Antiqua" w:cs="SimSun"/>
          <w:color w:val="000000"/>
          <w:sz w:val="24"/>
          <w:szCs w:val="24"/>
          <w:lang w:val="en-US" w:eastAsia="zh-CN"/>
        </w:rPr>
        <w:t xml:space="preserve"> (suppl; abstr 4013)</w:t>
      </w:r>
    </w:p>
    <w:p w:rsidR="00CE72EE" w:rsidRPr="00851544" w:rsidRDefault="00CE72EE" w:rsidP="00746849">
      <w:pPr>
        <w:adjustRightInd w:val="0"/>
        <w:snapToGrid w:val="0"/>
        <w:spacing w:after="0" w:line="360" w:lineRule="auto"/>
        <w:jc w:val="both"/>
        <w:rPr>
          <w:rFonts w:ascii="Book Antiqua" w:eastAsia="SimSun" w:hAnsi="Book Antiqua" w:cs="SimSun"/>
          <w:color w:val="000000"/>
          <w:sz w:val="24"/>
          <w:szCs w:val="24"/>
          <w:lang w:val="en-US" w:eastAsia="zh-CN"/>
        </w:rPr>
      </w:pPr>
      <w:r w:rsidRPr="00851544">
        <w:rPr>
          <w:rFonts w:ascii="Book Antiqua" w:eastAsia="SimSun" w:hAnsi="Book Antiqua" w:cs="SimSun"/>
          <w:color w:val="000000"/>
          <w:sz w:val="24"/>
          <w:szCs w:val="24"/>
          <w:lang w:val="en-US" w:eastAsia="zh-CN"/>
        </w:rPr>
        <w:t>100 </w:t>
      </w:r>
      <w:r w:rsidRPr="00851544">
        <w:rPr>
          <w:rFonts w:ascii="Book Antiqua" w:eastAsia="SimSun" w:hAnsi="Book Antiqua" w:cs="SimSun"/>
          <w:b/>
          <w:bCs/>
          <w:color w:val="000000"/>
          <w:sz w:val="24"/>
          <w:szCs w:val="24"/>
          <w:lang w:val="en-US" w:eastAsia="zh-CN"/>
        </w:rPr>
        <w:t>Ornitz DM</w:t>
      </w:r>
      <w:r w:rsidRPr="00851544">
        <w:rPr>
          <w:rFonts w:ascii="Book Antiqua" w:eastAsia="SimSun" w:hAnsi="Book Antiqua" w:cs="SimSun"/>
          <w:color w:val="000000"/>
          <w:sz w:val="24"/>
          <w:szCs w:val="24"/>
          <w:lang w:val="en-US" w:eastAsia="zh-CN"/>
        </w:rPr>
        <w:t>, Xu J, Colvin JS, McEwen DG, MacArthur CA, Coulier F, Gao G, Goldfarb M. Receptor specificity of the fibroblast growth factor family. </w:t>
      </w:r>
      <w:r w:rsidRPr="00851544">
        <w:rPr>
          <w:rFonts w:ascii="Book Antiqua" w:eastAsia="SimSun" w:hAnsi="Book Antiqua" w:cs="SimSun"/>
          <w:i/>
          <w:iCs/>
          <w:color w:val="000000"/>
          <w:sz w:val="24"/>
          <w:szCs w:val="24"/>
          <w:lang w:val="en-US" w:eastAsia="zh-CN"/>
        </w:rPr>
        <w:t>J Biol Chem</w:t>
      </w:r>
      <w:r w:rsidRPr="00851544">
        <w:rPr>
          <w:rFonts w:ascii="Book Antiqua" w:eastAsia="SimSun" w:hAnsi="Book Antiqua" w:cs="SimSun"/>
          <w:color w:val="000000"/>
          <w:sz w:val="24"/>
          <w:szCs w:val="24"/>
          <w:lang w:val="en-US" w:eastAsia="zh-CN"/>
        </w:rPr>
        <w:t> 1996; </w:t>
      </w:r>
      <w:r w:rsidRPr="00851544">
        <w:rPr>
          <w:rFonts w:ascii="Book Antiqua" w:eastAsia="SimSun" w:hAnsi="Book Antiqua" w:cs="SimSun"/>
          <w:b/>
          <w:bCs/>
          <w:color w:val="000000"/>
          <w:sz w:val="24"/>
          <w:szCs w:val="24"/>
          <w:lang w:val="en-US" w:eastAsia="zh-CN"/>
        </w:rPr>
        <w:t>271</w:t>
      </w:r>
      <w:r w:rsidRPr="00851544">
        <w:rPr>
          <w:rFonts w:ascii="Book Antiqua" w:eastAsia="SimSun" w:hAnsi="Book Antiqua" w:cs="SimSun"/>
          <w:color w:val="000000"/>
          <w:sz w:val="24"/>
          <w:szCs w:val="24"/>
          <w:lang w:val="en-US" w:eastAsia="zh-CN"/>
        </w:rPr>
        <w:t>: 15292-15297 [PMID: 8663044 DOI: 10.1074/jbc.271.25.15292]</w:t>
      </w:r>
    </w:p>
    <w:p w:rsidR="00CE72EE" w:rsidRPr="00851544" w:rsidRDefault="00CE72EE" w:rsidP="00746849">
      <w:pPr>
        <w:adjustRightInd w:val="0"/>
        <w:snapToGrid w:val="0"/>
        <w:spacing w:after="0" w:line="360" w:lineRule="auto"/>
        <w:jc w:val="both"/>
        <w:rPr>
          <w:rFonts w:ascii="Book Antiqua" w:eastAsia="SimSun" w:hAnsi="Book Antiqua" w:cs="SimSun"/>
          <w:color w:val="000000"/>
          <w:sz w:val="24"/>
          <w:szCs w:val="24"/>
          <w:lang w:val="en-US" w:eastAsia="zh-CN"/>
        </w:rPr>
      </w:pPr>
      <w:r w:rsidRPr="00851544">
        <w:rPr>
          <w:rFonts w:ascii="Book Antiqua" w:eastAsia="SimSun" w:hAnsi="Book Antiqua" w:cs="SimSun"/>
          <w:color w:val="000000"/>
          <w:sz w:val="24"/>
          <w:szCs w:val="24"/>
          <w:lang w:val="en-US" w:eastAsia="zh-CN"/>
        </w:rPr>
        <w:t>101 </w:t>
      </w:r>
      <w:r w:rsidRPr="00851544">
        <w:rPr>
          <w:rFonts w:ascii="Book Antiqua" w:eastAsia="SimSun" w:hAnsi="Book Antiqua" w:cs="SimSun"/>
          <w:b/>
          <w:bCs/>
          <w:color w:val="000000"/>
          <w:sz w:val="24"/>
          <w:szCs w:val="24"/>
          <w:lang w:val="en-US" w:eastAsia="zh-CN"/>
        </w:rPr>
        <w:t>Sleeman M</w:t>
      </w:r>
      <w:r w:rsidRPr="00851544">
        <w:rPr>
          <w:rFonts w:ascii="Book Antiqua" w:eastAsia="SimSun" w:hAnsi="Book Antiqua" w:cs="SimSun"/>
          <w:color w:val="000000"/>
          <w:sz w:val="24"/>
          <w:szCs w:val="24"/>
          <w:lang w:val="en-US" w:eastAsia="zh-CN"/>
        </w:rPr>
        <w:t>, Fraser J, McDonald M, Yuan S, White D, Grandison P, Kumble K, Watson JD, Murison JG. Identification of a new fibroblast growth factor receptor, FGFR5. </w:t>
      </w:r>
      <w:r w:rsidRPr="00851544">
        <w:rPr>
          <w:rFonts w:ascii="Book Antiqua" w:eastAsia="SimSun" w:hAnsi="Book Antiqua" w:cs="SimSun"/>
          <w:i/>
          <w:iCs/>
          <w:color w:val="000000"/>
          <w:sz w:val="24"/>
          <w:szCs w:val="24"/>
          <w:lang w:val="en-US" w:eastAsia="zh-CN"/>
        </w:rPr>
        <w:t>Gene</w:t>
      </w:r>
      <w:r w:rsidRPr="00851544">
        <w:rPr>
          <w:rFonts w:ascii="Book Antiqua" w:eastAsia="SimSun" w:hAnsi="Book Antiqua" w:cs="SimSun"/>
          <w:color w:val="000000"/>
          <w:sz w:val="24"/>
          <w:szCs w:val="24"/>
          <w:lang w:val="en-US" w:eastAsia="zh-CN"/>
        </w:rPr>
        <w:t> 2001; </w:t>
      </w:r>
      <w:r w:rsidRPr="00851544">
        <w:rPr>
          <w:rFonts w:ascii="Book Antiqua" w:eastAsia="SimSun" w:hAnsi="Book Antiqua" w:cs="SimSun"/>
          <w:b/>
          <w:bCs/>
          <w:color w:val="000000"/>
          <w:sz w:val="24"/>
          <w:szCs w:val="24"/>
          <w:lang w:val="en-US" w:eastAsia="zh-CN"/>
        </w:rPr>
        <w:t>271</w:t>
      </w:r>
      <w:r w:rsidRPr="00851544">
        <w:rPr>
          <w:rFonts w:ascii="Book Antiqua" w:eastAsia="SimSun" w:hAnsi="Book Antiqua" w:cs="SimSun"/>
          <w:color w:val="000000"/>
          <w:sz w:val="24"/>
          <w:szCs w:val="24"/>
          <w:lang w:val="en-US" w:eastAsia="zh-CN"/>
        </w:rPr>
        <w:t>: 171-182 [PMID: 11418238 DOI: 10.1016/S0378-1119(01)00518-2]</w:t>
      </w:r>
    </w:p>
    <w:p w:rsidR="00CE72EE" w:rsidRPr="00851544" w:rsidRDefault="00CE72EE" w:rsidP="00746849">
      <w:pPr>
        <w:adjustRightInd w:val="0"/>
        <w:snapToGrid w:val="0"/>
        <w:spacing w:after="0" w:line="360" w:lineRule="auto"/>
        <w:jc w:val="both"/>
        <w:rPr>
          <w:rFonts w:ascii="Book Antiqua" w:eastAsia="SimSun" w:hAnsi="Book Antiqua" w:cs="SimSun"/>
          <w:color w:val="000000"/>
          <w:sz w:val="24"/>
          <w:szCs w:val="24"/>
          <w:lang w:val="en-US" w:eastAsia="zh-CN"/>
        </w:rPr>
      </w:pPr>
      <w:r w:rsidRPr="00851544">
        <w:rPr>
          <w:rFonts w:ascii="Book Antiqua" w:eastAsia="SimSun" w:hAnsi="Book Antiqua" w:cs="SimSun"/>
          <w:color w:val="000000"/>
          <w:sz w:val="24"/>
          <w:szCs w:val="24"/>
          <w:lang w:val="en-US" w:eastAsia="zh-CN"/>
        </w:rPr>
        <w:t>102 </w:t>
      </w:r>
      <w:r w:rsidRPr="00851544">
        <w:rPr>
          <w:rFonts w:ascii="Book Antiqua" w:eastAsia="SimSun" w:hAnsi="Book Antiqua" w:cs="SimSun"/>
          <w:b/>
          <w:bCs/>
          <w:color w:val="000000"/>
          <w:sz w:val="24"/>
          <w:szCs w:val="24"/>
          <w:lang w:val="en-US" w:eastAsia="zh-CN"/>
        </w:rPr>
        <w:t>Shin EY</w:t>
      </w:r>
      <w:r w:rsidRPr="00851544">
        <w:rPr>
          <w:rFonts w:ascii="Book Antiqua" w:eastAsia="SimSun" w:hAnsi="Book Antiqua" w:cs="SimSun"/>
          <w:color w:val="000000"/>
          <w:sz w:val="24"/>
          <w:szCs w:val="24"/>
          <w:lang w:val="en-US" w:eastAsia="zh-CN"/>
        </w:rPr>
        <w:t>, Lee BH, Yang JH, Shin KS, Lee GK, Yun HY, Song YJ, Park SC, Kim EG. Up-regulation and co-expression of fibroblast growth factor receptors in human gastric cancer. </w:t>
      </w:r>
      <w:r w:rsidRPr="00851544">
        <w:rPr>
          <w:rFonts w:ascii="Book Antiqua" w:eastAsia="SimSun" w:hAnsi="Book Antiqua" w:cs="SimSun"/>
          <w:i/>
          <w:iCs/>
          <w:color w:val="000000"/>
          <w:sz w:val="24"/>
          <w:szCs w:val="24"/>
          <w:lang w:val="en-US" w:eastAsia="zh-CN"/>
        </w:rPr>
        <w:t>J Cancer Res Clin Oncol</w:t>
      </w:r>
      <w:r w:rsidRPr="00851544">
        <w:rPr>
          <w:rFonts w:ascii="Book Antiqua" w:eastAsia="SimSun" w:hAnsi="Book Antiqua" w:cs="SimSun"/>
          <w:color w:val="000000"/>
          <w:sz w:val="24"/>
          <w:szCs w:val="24"/>
          <w:lang w:val="en-US" w:eastAsia="zh-CN"/>
        </w:rPr>
        <w:t> 2000; </w:t>
      </w:r>
      <w:r w:rsidRPr="00851544">
        <w:rPr>
          <w:rFonts w:ascii="Book Antiqua" w:eastAsia="SimSun" w:hAnsi="Book Antiqua" w:cs="SimSun"/>
          <w:b/>
          <w:bCs/>
          <w:color w:val="000000"/>
          <w:sz w:val="24"/>
          <w:szCs w:val="24"/>
          <w:lang w:val="en-US" w:eastAsia="zh-CN"/>
        </w:rPr>
        <w:t>126</w:t>
      </w:r>
      <w:r w:rsidRPr="00851544">
        <w:rPr>
          <w:rFonts w:ascii="Book Antiqua" w:eastAsia="SimSun" w:hAnsi="Book Antiqua" w:cs="SimSun"/>
          <w:color w:val="000000"/>
          <w:sz w:val="24"/>
          <w:szCs w:val="24"/>
          <w:lang w:val="en-US" w:eastAsia="zh-CN"/>
        </w:rPr>
        <w:t>: 519-528 [PMID: 11003564 DOI: 10.1007/s004320000128]</w:t>
      </w:r>
    </w:p>
    <w:p w:rsidR="00CE72EE" w:rsidRPr="00851544" w:rsidRDefault="00CE72EE" w:rsidP="00746849">
      <w:pPr>
        <w:adjustRightInd w:val="0"/>
        <w:snapToGrid w:val="0"/>
        <w:spacing w:after="0" w:line="360" w:lineRule="auto"/>
        <w:jc w:val="both"/>
        <w:rPr>
          <w:rFonts w:ascii="Book Antiqua" w:eastAsia="SimSun" w:hAnsi="Book Antiqua" w:cs="SimSun"/>
          <w:color w:val="000000"/>
          <w:sz w:val="24"/>
          <w:szCs w:val="24"/>
          <w:lang w:val="en-US" w:eastAsia="zh-CN"/>
        </w:rPr>
      </w:pPr>
      <w:r w:rsidRPr="00851544">
        <w:rPr>
          <w:rFonts w:ascii="Book Antiqua" w:eastAsia="SimSun" w:hAnsi="Book Antiqua" w:cs="SimSun"/>
          <w:color w:val="000000"/>
          <w:sz w:val="24"/>
          <w:szCs w:val="24"/>
          <w:lang w:val="en-US" w:eastAsia="zh-CN"/>
        </w:rPr>
        <w:lastRenderedPageBreak/>
        <w:t>103 </w:t>
      </w:r>
      <w:r w:rsidRPr="00851544">
        <w:rPr>
          <w:rFonts w:ascii="Book Antiqua" w:eastAsia="SimSun" w:hAnsi="Book Antiqua" w:cs="SimSun"/>
          <w:b/>
          <w:bCs/>
          <w:color w:val="000000"/>
          <w:sz w:val="24"/>
          <w:szCs w:val="24"/>
          <w:lang w:val="en-US" w:eastAsia="zh-CN"/>
        </w:rPr>
        <w:t>Ye Y</w:t>
      </w:r>
      <w:r w:rsidRPr="00851544">
        <w:rPr>
          <w:rFonts w:ascii="Book Antiqua" w:eastAsia="SimSun" w:hAnsi="Book Antiqua" w:cs="SimSun"/>
          <w:color w:val="000000"/>
          <w:sz w:val="24"/>
          <w:szCs w:val="24"/>
          <w:lang w:val="en-US" w:eastAsia="zh-CN"/>
        </w:rPr>
        <w:t>, Shi Y, Zhou Y, Du C, Wang C, Zhan H, Zheng B, Cao X, Sun MH, Fu H. The fibroblast growth factor receptor-4 Arg388 allele is associated with gastric cancer progression. </w:t>
      </w:r>
      <w:r w:rsidRPr="00851544">
        <w:rPr>
          <w:rFonts w:ascii="Book Antiqua" w:eastAsia="SimSun" w:hAnsi="Book Antiqua" w:cs="SimSun"/>
          <w:i/>
          <w:iCs/>
          <w:color w:val="000000"/>
          <w:sz w:val="24"/>
          <w:szCs w:val="24"/>
          <w:lang w:val="en-US" w:eastAsia="zh-CN"/>
        </w:rPr>
        <w:t>Ann Surg Oncol</w:t>
      </w:r>
      <w:r w:rsidRPr="00851544">
        <w:rPr>
          <w:rFonts w:ascii="Book Antiqua" w:eastAsia="SimSun" w:hAnsi="Book Antiqua" w:cs="SimSun"/>
          <w:color w:val="000000"/>
          <w:sz w:val="24"/>
          <w:szCs w:val="24"/>
          <w:lang w:val="en-US" w:eastAsia="zh-CN"/>
        </w:rPr>
        <w:t> 2010; </w:t>
      </w:r>
      <w:r w:rsidRPr="00851544">
        <w:rPr>
          <w:rFonts w:ascii="Book Antiqua" w:eastAsia="SimSun" w:hAnsi="Book Antiqua" w:cs="SimSun"/>
          <w:b/>
          <w:bCs/>
          <w:color w:val="000000"/>
          <w:sz w:val="24"/>
          <w:szCs w:val="24"/>
          <w:lang w:val="en-US" w:eastAsia="zh-CN"/>
        </w:rPr>
        <w:t>17</w:t>
      </w:r>
      <w:r w:rsidRPr="00851544">
        <w:rPr>
          <w:rFonts w:ascii="Book Antiqua" w:eastAsia="SimSun" w:hAnsi="Book Antiqua" w:cs="SimSun"/>
          <w:color w:val="000000"/>
          <w:sz w:val="24"/>
          <w:szCs w:val="24"/>
          <w:lang w:val="en-US" w:eastAsia="zh-CN"/>
        </w:rPr>
        <w:t>: 3354-3361 [PMID: 20844967 DOI: 10.1245/s10434-010-1323-6]</w:t>
      </w:r>
    </w:p>
    <w:p w:rsidR="00CE72EE" w:rsidRPr="00851544" w:rsidRDefault="00CE72EE" w:rsidP="00746849">
      <w:pPr>
        <w:adjustRightInd w:val="0"/>
        <w:snapToGrid w:val="0"/>
        <w:spacing w:after="0" w:line="360" w:lineRule="auto"/>
        <w:jc w:val="both"/>
        <w:rPr>
          <w:rFonts w:ascii="Book Antiqua" w:eastAsia="SimSun" w:hAnsi="Book Antiqua" w:cs="SimSun"/>
          <w:color w:val="000000"/>
          <w:sz w:val="24"/>
          <w:szCs w:val="24"/>
          <w:lang w:val="en-US" w:eastAsia="zh-CN"/>
        </w:rPr>
      </w:pPr>
      <w:r w:rsidRPr="00851544">
        <w:rPr>
          <w:rFonts w:ascii="Book Antiqua" w:eastAsia="SimSun" w:hAnsi="Book Antiqua" w:cs="SimSun"/>
          <w:color w:val="000000"/>
          <w:sz w:val="24"/>
          <w:szCs w:val="24"/>
          <w:lang w:val="en-US" w:eastAsia="zh-CN"/>
        </w:rPr>
        <w:t>104 </w:t>
      </w:r>
      <w:r w:rsidRPr="00851544">
        <w:rPr>
          <w:rFonts w:ascii="Book Antiqua" w:eastAsia="SimSun" w:hAnsi="Book Antiqua" w:cs="SimSun"/>
          <w:b/>
          <w:bCs/>
          <w:color w:val="000000"/>
          <w:sz w:val="24"/>
          <w:szCs w:val="24"/>
          <w:lang w:val="en-US" w:eastAsia="zh-CN"/>
        </w:rPr>
        <w:t>Shen YY</w:t>
      </w:r>
      <w:r w:rsidRPr="00851544">
        <w:rPr>
          <w:rFonts w:ascii="Book Antiqua" w:eastAsia="SimSun" w:hAnsi="Book Antiqua" w:cs="SimSun"/>
          <w:color w:val="000000"/>
          <w:sz w:val="24"/>
          <w:szCs w:val="24"/>
          <w:lang w:val="en-US" w:eastAsia="zh-CN"/>
        </w:rPr>
        <w:t>, Lu YC, Shen DP, Liu YJ, Su XY, Zhu GS, Yin XL, Ni XZ. Fibroblast growth factor receptor 4 Gly388Arg polymorphism in Chinese gastric cancer patients. </w:t>
      </w:r>
      <w:r w:rsidRPr="00851544">
        <w:rPr>
          <w:rFonts w:ascii="Book Antiqua" w:eastAsia="SimSun" w:hAnsi="Book Antiqua" w:cs="SimSun"/>
          <w:i/>
          <w:iCs/>
          <w:color w:val="000000"/>
          <w:sz w:val="24"/>
          <w:szCs w:val="24"/>
          <w:lang w:val="en-US" w:eastAsia="zh-CN"/>
        </w:rPr>
        <w:t>World J Gastroenterol</w:t>
      </w:r>
      <w:r w:rsidRPr="00851544">
        <w:rPr>
          <w:rFonts w:ascii="Book Antiqua" w:eastAsia="SimSun" w:hAnsi="Book Antiqua" w:cs="SimSun"/>
          <w:color w:val="000000"/>
          <w:sz w:val="24"/>
          <w:szCs w:val="24"/>
          <w:lang w:val="en-US" w:eastAsia="zh-CN"/>
        </w:rPr>
        <w:t> 2013; </w:t>
      </w:r>
      <w:r w:rsidRPr="00851544">
        <w:rPr>
          <w:rFonts w:ascii="Book Antiqua" w:eastAsia="SimSun" w:hAnsi="Book Antiqua" w:cs="SimSun"/>
          <w:b/>
          <w:bCs/>
          <w:color w:val="000000"/>
          <w:sz w:val="24"/>
          <w:szCs w:val="24"/>
          <w:lang w:val="en-US" w:eastAsia="zh-CN"/>
        </w:rPr>
        <w:t>19</w:t>
      </w:r>
      <w:r w:rsidRPr="00851544">
        <w:rPr>
          <w:rFonts w:ascii="Book Antiqua" w:eastAsia="SimSun" w:hAnsi="Book Antiqua" w:cs="SimSun"/>
          <w:color w:val="000000"/>
          <w:sz w:val="24"/>
          <w:szCs w:val="24"/>
          <w:lang w:val="en-US" w:eastAsia="zh-CN"/>
        </w:rPr>
        <w:t>: 4568-4575 [PMID: 23901234 DOI: 10.3748/wjg.v19.i28.4568]</w:t>
      </w:r>
    </w:p>
    <w:p w:rsidR="00CE72EE" w:rsidRPr="00851544" w:rsidRDefault="00CE72EE" w:rsidP="00746849">
      <w:pPr>
        <w:adjustRightInd w:val="0"/>
        <w:snapToGrid w:val="0"/>
        <w:spacing w:after="0" w:line="360" w:lineRule="auto"/>
        <w:jc w:val="both"/>
        <w:rPr>
          <w:rFonts w:ascii="Book Antiqua" w:eastAsia="SimSun" w:hAnsi="Book Antiqua" w:cs="SimSun"/>
          <w:color w:val="000000"/>
          <w:sz w:val="24"/>
          <w:szCs w:val="24"/>
          <w:lang w:val="en-US" w:eastAsia="zh-CN"/>
        </w:rPr>
      </w:pPr>
      <w:r w:rsidRPr="00851544">
        <w:rPr>
          <w:rFonts w:ascii="Book Antiqua" w:eastAsia="SimSun" w:hAnsi="Book Antiqua" w:cs="SimSun"/>
          <w:color w:val="000000"/>
          <w:sz w:val="24"/>
          <w:szCs w:val="24"/>
          <w:lang w:val="en-US" w:eastAsia="zh-CN"/>
        </w:rPr>
        <w:t xml:space="preserve">105 </w:t>
      </w:r>
      <w:r w:rsidRPr="00851544">
        <w:rPr>
          <w:rFonts w:ascii="Book Antiqua" w:eastAsia="SimSun" w:hAnsi="Book Antiqua" w:cs="SimSun"/>
          <w:b/>
          <w:color w:val="000000"/>
          <w:sz w:val="24"/>
          <w:szCs w:val="24"/>
          <w:lang w:val="en-US" w:eastAsia="zh-CN"/>
        </w:rPr>
        <w:t>Murase H</w:t>
      </w:r>
      <w:r w:rsidRPr="00851544">
        <w:rPr>
          <w:rFonts w:ascii="Book Antiqua" w:eastAsia="SimSun" w:hAnsi="Book Antiqua" w:cs="SimSun"/>
          <w:color w:val="000000"/>
          <w:sz w:val="24"/>
          <w:szCs w:val="24"/>
          <w:lang w:val="en-US" w:eastAsia="zh-CN"/>
        </w:rPr>
        <w:t>, Inokuchi M, Takagi Y, Kato K, Kojima K, Sugihara K. Prognostic significance of the co-overexpression of fibroblast growth factor receptors 1, 2 and 4 in gastric cancer. </w:t>
      </w:r>
      <w:r w:rsidRPr="00851544">
        <w:rPr>
          <w:rFonts w:ascii="Book Antiqua" w:eastAsia="SimSun" w:hAnsi="Book Antiqua" w:cs="SimSun"/>
          <w:i/>
          <w:iCs/>
          <w:color w:val="000000"/>
          <w:sz w:val="24"/>
          <w:szCs w:val="24"/>
          <w:lang w:val="en-US" w:eastAsia="zh-CN"/>
        </w:rPr>
        <w:t>Mol Clin Oncol</w:t>
      </w:r>
      <w:r w:rsidRPr="00851544">
        <w:rPr>
          <w:rFonts w:ascii="Book Antiqua" w:eastAsia="SimSun" w:hAnsi="Book Antiqua" w:cs="SimSun"/>
          <w:color w:val="000000"/>
          <w:sz w:val="24"/>
          <w:szCs w:val="24"/>
          <w:lang w:val="en-US" w:eastAsia="zh-CN"/>
        </w:rPr>
        <w:t> 2014; </w:t>
      </w:r>
      <w:r w:rsidRPr="00851544">
        <w:rPr>
          <w:rFonts w:ascii="Book Antiqua" w:eastAsia="SimSun" w:hAnsi="Book Antiqua" w:cs="SimSun"/>
          <w:b/>
          <w:bCs/>
          <w:color w:val="000000"/>
          <w:sz w:val="24"/>
          <w:szCs w:val="24"/>
          <w:lang w:val="en-US" w:eastAsia="zh-CN"/>
        </w:rPr>
        <w:t>2</w:t>
      </w:r>
      <w:r w:rsidRPr="00851544">
        <w:rPr>
          <w:rFonts w:ascii="Book Antiqua" w:eastAsia="SimSun" w:hAnsi="Book Antiqua" w:cs="SimSun"/>
          <w:color w:val="000000"/>
          <w:sz w:val="24"/>
          <w:szCs w:val="24"/>
          <w:lang w:val="en-US" w:eastAsia="zh-CN"/>
        </w:rPr>
        <w:t>: 509-517 [PMID: 24940486 DOI: 10.3892/mco.2014.293]</w:t>
      </w:r>
    </w:p>
    <w:p w:rsidR="00CE72EE" w:rsidRPr="00851544" w:rsidRDefault="00CE72EE" w:rsidP="00746849">
      <w:pPr>
        <w:adjustRightInd w:val="0"/>
        <w:snapToGrid w:val="0"/>
        <w:spacing w:after="0" w:line="360" w:lineRule="auto"/>
        <w:jc w:val="both"/>
        <w:rPr>
          <w:rFonts w:ascii="Book Antiqua" w:eastAsia="SimSun" w:hAnsi="Book Antiqua" w:cs="SimSun"/>
          <w:color w:val="000000"/>
          <w:sz w:val="24"/>
          <w:szCs w:val="24"/>
          <w:lang w:val="en-US" w:eastAsia="zh-CN"/>
        </w:rPr>
      </w:pPr>
      <w:r w:rsidRPr="00851544">
        <w:rPr>
          <w:rFonts w:ascii="Book Antiqua" w:eastAsia="SimSun" w:hAnsi="Book Antiqua" w:cs="SimSun"/>
          <w:color w:val="000000"/>
          <w:sz w:val="24"/>
          <w:szCs w:val="24"/>
          <w:lang w:val="en-US" w:eastAsia="zh-CN"/>
        </w:rPr>
        <w:t>106 </w:t>
      </w:r>
      <w:r w:rsidRPr="00851544">
        <w:rPr>
          <w:rFonts w:ascii="Book Antiqua" w:eastAsia="SimSun" w:hAnsi="Book Antiqua" w:cs="SimSun"/>
          <w:b/>
          <w:bCs/>
          <w:color w:val="000000"/>
          <w:sz w:val="24"/>
          <w:szCs w:val="24"/>
          <w:lang w:val="en-US" w:eastAsia="zh-CN"/>
        </w:rPr>
        <w:t>Xie L</w:t>
      </w:r>
      <w:r w:rsidRPr="00851544">
        <w:rPr>
          <w:rFonts w:ascii="Book Antiqua" w:eastAsia="SimSun" w:hAnsi="Book Antiqua" w:cs="SimSun"/>
          <w:color w:val="000000"/>
          <w:sz w:val="24"/>
          <w:szCs w:val="24"/>
          <w:lang w:val="en-US" w:eastAsia="zh-CN"/>
        </w:rPr>
        <w:t>, Su X, Zhang L, Yin X, Tang L, Zhang X, Xu Y, Gao Z, Liu K, Zhou M, Gao B, Shen D, Zhang L, Ji J, Gavine PR, Zhang J, Kilgour E, Zhang X, Ji Q. FGFR2 gene amplification in gastric cancer predicts sensitivity to the selective FGFR inhibitor AZD4547. </w:t>
      </w:r>
      <w:r w:rsidRPr="00851544">
        <w:rPr>
          <w:rFonts w:ascii="Book Antiqua" w:eastAsia="SimSun" w:hAnsi="Book Antiqua" w:cs="SimSun"/>
          <w:i/>
          <w:iCs/>
          <w:color w:val="000000"/>
          <w:sz w:val="24"/>
          <w:szCs w:val="24"/>
          <w:lang w:val="en-US" w:eastAsia="zh-CN"/>
        </w:rPr>
        <w:t>Clin Cancer Res</w:t>
      </w:r>
      <w:r w:rsidRPr="00851544">
        <w:rPr>
          <w:rFonts w:ascii="Book Antiqua" w:eastAsia="SimSun" w:hAnsi="Book Antiqua" w:cs="SimSun"/>
          <w:color w:val="000000"/>
          <w:sz w:val="24"/>
          <w:szCs w:val="24"/>
          <w:lang w:val="en-US" w:eastAsia="zh-CN"/>
        </w:rPr>
        <w:t> 2013; </w:t>
      </w:r>
      <w:r w:rsidRPr="00851544">
        <w:rPr>
          <w:rFonts w:ascii="Book Antiqua" w:eastAsia="SimSun" w:hAnsi="Book Antiqua" w:cs="SimSun"/>
          <w:b/>
          <w:bCs/>
          <w:color w:val="000000"/>
          <w:sz w:val="24"/>
          <w:szCs w:val="24"/>
          <w:lang w:val="en-US" w:eastAsia="zh-CN"/>
        </w:rPr>
        <w:t>19</w:t>
      </w:r>
      <w:r w:rsidRPr="00851544">
        <w:rPr>
          <w:rFonts w:ascii="Book Antiqua" w:eastAsia="SimSun" w:hAnsi="Book Antiqua" w:cs="SimSun"/>
          <w:color w:val="000000"/>
          <w:sz w:val="24"/>
          <w:szCs w:val="24"/>
          <w:lang w:val="en-US" w:eastAsia="zh-CN"/>
        </w:rPr>
        <w:t>: 2572-2583 [PMID: 23493349 DOI: 10.1158/1078-0432.CCR-12-3898]</w:t>
      </w:r>
    </w:p>
    <w:p w:rsidR="00CE72EE" w:rsidRPr="00851544" w:rsidRDefault="00CE72EE" w:rsidP="00746849">
      <w:pPr>
        <w:adjustRightInd w:val="0"/>
        <w:snapToGrid w:val="0"/>
        <w:spacing w:after="0" w:line="360" w:lineRule="auto"/>
        <w:jc w:val="both"/>
        <w:rPr>
          <w:rFonts w:ascii="Book Antiqua" w:eastAsia="SimSun" w:hAnsi="Book Antiqua" w:cs="SimSun"/>
          <w:color w:val="000000"/>
          <w:sz w:val="24"/>
          <w:szCs w:val="24"/>
          <w:lang w:val="en-US" w:eastAsia="zh-CN"/>
        </w:rPr>
      </w:pPr>
      <w:r w:rsidRPr="00851544">
        <w:rPr>
          <w:rFonts w:ascii="Book Antiqua" w:eastAsia="SimSun" w:hAnsi="Book Antiqua" w:cs="SimSun"/>
          <w:color w:val="000000"/>
          <w:sz w:val="24"/>
          <w:szCs w:val="24"/>
          <w:lang w:val="en-US" w:eastAsia="zh-CN"/>
        </w:rPr>
        <w:t xml:space="preserve">107 </w:t>
      </w:r>
      <w:r w:rsidRPr="00851544">
        <w:rPr>
          <w:rFonts w:ascii="Book Antiqua" w:eastAsia="SimSun" w:hAnsi="Book Antiqua" w:cs="SimSun"/>
          <w:b/>
          <w:color w:val="000000"/>
          <w:sz w:val="24"/>
          <w:szCs w:val="24"/>
          <w:lang w:val="en-US" w:eastAsia="zh-CN"/>
        </w:rPr>
        <w:t>ClinicalTrials.gov</w:t>
      </w:r>
      <w:r w:rsidRPr="00851544">
        <w:rPr>
          <w:rFonts w:ascii="Book Antiqua" w:eastAsia="SimSun" w:hAnsi="Book Antiqua" w:cs="SimSun"/>
          <w:color w:val="000000"/>
          <w:sz w:val="24"/>
          <w:szCs w:val="24"/>
          <w:lang w:val="en-US" w:eastAsia="zh-CN"/>
        </w:rPr>
        <w:t xml:space="preserve">. Efficacy and Safety of AZD4547 Versus Paclitaxel in Advanced Gastric or Gastro-oesophageal Junction Cancer Patients (SHINE). Available from: URL: https: //clinicaltrials.gov/ct2/show/NCT01457846 </w:t>
      </w:r>
    </w:p>
    <w:p w:rsidR="00CE72EE" w:rsidRPr="00851544" w:rsidRDefault="00CE72EE" w:rsidP="00746849">
      <w:pPr>
        <w:adjustRightInd w:val="0"/>
        <w:snapToGrid w:val="0"/>
        <w:spacing w:after="0" w:line="360" w:lineRule="auto"/>
        <w:jc w:val="both"/>
        <w:rPr>
          <w:rFonts w:ascii="Book Antiqua" w:eastAsia="SimSun" w:hAnsi="Book Antiqua" w:cs="SimSun"/>
          <w:color w:val="000000"/>
          <w:sz w:val="24"/>
          <w:szCs w:val="24"/>
          <w:lang w:val="en-US" w:eastAsia="zh-CN"/>
        </w:rPr>
      </w:pPr>
      <w:r w:rsidRPr="00851544">
        <w:rPr>
          <w:rFonts w:ascii="Book Antiqua" w:eastAsia="SimSun" w:hAnsi="Book Antiqua" w:cs="SimSun"/>
          <w:color w:val="000000"/>
          <w:sz w:val="24"/>
          <w:szCs w:val="24"/>
          <w:lang w:val="en-US" w:eastAsia="zh-CN"/>
        </w:rPr>
        <w:t>108 </w:t>
      </w:r>
      <w:r w:rsidRPr="00851544">
        <w:rPr>
          <w:rFonts w:ascii="Book Antiqua" w:eastAsia="SimSun" w:hAnsi="Book Antiqua" w:cs="SimSun"/>
          <w:b/>
          <w:bCs/>
          <w:color w:val="000000"/>
          <w:sz w:val="24"/>
          <w:szCs w:val="24"/>
          <w:lang w:val="en-US" w:eastAsia="zh-CN"/>
        </w:rPr>
        <w:t>Catalano V</w:t>
      </w:r>
      <w:r w:rsidRPr="00851544">
        <w:rPr>
          <w:rFonts w:ascii="Book Antiqua" w:eastAsia="SimSun" w:hAnsi="Book Antiqua" w:cs="SimSun"/>
          <w:color w:val="000000"/>
          <w:sz w:val="24"/>
          <w:szCs w:val="24"/>
          <w:lang w:val="en-US" w:eastAsia="zh-CN"/>
        </w:rPr>
        <w:t>, Graziano F, Santini D, D'Emidio S, Baldelli AM, Rossi D, Vincenzi B, Giordani P, Alessandroni P, Testa E, Tonini G, Catalano G. Second-line chemotherapy for patients with advanced gastric cancer: who may benefit? </w:t>
      </w:r>
      <w:r w:rsidRPr="00851544">
        <w:rPr>
          <w:rFonts w:ascii="Book Antiqua" w:eastAsia="SimSun" w:hAnsi="Book Antiqua" w:cs="SimSun"/>
          <w:i/>
          <w:iCs/>
          <w:color w:val="000000"/>
          <w:sz w:val="24"/>
          <w:szCs w:val="24"/>
          <w:lang w:val="en-US" w:eastAsia="zh-CN"/>
        </w:rPr>
        <w:t>Br J Cancer</w:t>
      </w:r>
      <w:r w:rsidRPr="00851544">
        <w:rPr>
          <w:rFonts w:ascii="Book Antiqua" w:eastAsia="SimSun" w:hAnsi="Book Antiqua" w:cs="SimSun"/>
          <w:color w:val="000000"/>
          <w:sz w:val="24"/>
          <w:szCs w:val="24"/>
          <w:lang w:val="en-US" w:eastAsia="zh-CN"/>
        </w:rPr>
        <w:t> 2008; </w:t>
      </w:r>
      <w:r w:rsidRPr="00851544">
        <w:rPr>
          <w:rFonts w:ascii="Book Antiqua" w:eastAsia="SimSun" w:hAnsi="Book Antiqua" w:cs="SimSun"/>
          <w:b/>
          <w:bCs/>
          <w:color w:val="000000"/>
          <w:sz w:val="24"/>
          <w:szCs w:val="24"/>
          <w:lang w:val="en-US" w:eastAsia="zh-CN"/>
        </w:rPr>
        <w:t>99</w:t>
      </w:r>
      <w:r w:rsidRPr="00851544">
        <w:rPr>
          <w:rFonts w:ascii="Book Antiqua" w:eastAsia="SimSun" w:hAnsi="Book Antiqua" w:cs="SimSun"/>
          <w:color w:val="000000"/>
          <w:sz w:val="24"/>
          <w:szCs w:val="24"/>
          <w:lang w:val="en-US" w:eastAsia="zh-CN"/>
        </w:rPr>
        <w:t>: 1402-1407 [PMID: 18971936 DOI: 10.1038/sj.bjc.6604732]</w:t>
      </w:r>
    </w:p>
    <w:p w:rsidR="00CE72EE" w:rsidRPr="00851544" w:rsidRDefault="00CE72EE" w:rsidP="00746849">
      <w:pPr>
        <w:adjustRightInd w:val="0"/>
        <w:snapToGrid w:val="0"/>
        <w:spacing w:after="0" w:line="360" w:lineRule="auto"/>
        <w:jc w:val="both"/>
        <w:rPr>
          <w:rFonts w:ascii="Book Antiqua" w:eastAsia="SimSun" w:hAnsi="Book Antiqua" w:cs="SimSun"/>
          <w:color w:val="000000"/>
          <w:sz w:val="24"/>
          <w:szCs w:val="24"/>
          <w:lang w:val="en-US" w:eastAsia="zh-CN"/>
        </w:rPr>
      </w:pPr>
      <w:r w:rsidRPr="00851544">
        <w:rPr>
          <w:rFonts w:ascii="Book Antiqua" w:eastAsia="SimSun" w:hAnsi="Book Antiqua" w:cs="SimSun"/>
          <w:color w:val="000000"/>
          <w:sz w:val="24"/>
          <w:szCs w:val="24"/>
          <w:lang w:val="en-US" w:eastAsia="zh-CN"/>
        </w:rPr>
        <w:t>109 </w:t>
      </w:r>
      <w:r w:rsidRPr="00851544">
        <w:rPr>
          <w:rFonts w:ascii="Book Antiqua" w:eastAsia="SimSun" w:hAnsi="Book Antiqua" w:cs="SimSun"/>
          <w:b/>
          <w:bCs/>
          <w:color w:val="000000"/>
          <w:sz w:val="24"/>
          <w:szCs w:val="24"/>
          <w:lang w:val="en-US" w:eastAsia="zh-CN"/>
        </w:rPr>
        <w:t>Kanagavel D</w:t>
      </w:r>
      <w:r w:rsidRPr="00851544">
        <w:rPr>
          <w:rFonts w:ascii="Book Antiqua" w:eastAsia="SimSun" w:hAnsi="Book Antiqua" w:cs="SimSun"/>
          <w:color w:val="000000"/>
          <w:sz w:val="24"/>
          <w:szCs w:val="24"/>
          <w:lang w:val="en-US" w:eastAsia="zh-CN"/>
        </w:rPr>
        <w:t>, Pokataev IA, Fedyanin MY, Tryakin AA, Bazin IS, Narimanov MN, Yakovleva ES, Garin AM, Tjulandin SA. A prognostic model in patients treated for metastatic gastric cancer with second-line chemotherapy. </w:t>
      </w:r>
      <w:r w:rsidRPr="00851544">
        <w:rPr>
          <w:rFonts w:ascii="Book Antiqua" w:eastAsia="SimSun" w:hAnsi="Book Antiqua" w:cs="SimSun"/>
          <w:i/>
          <w:iCs/>
          <w:color w:val="000000"/>
          <w:sz w:val="24"/>
          <w:szCs w:val="24"/>
          <w:lang w:val="en-US" w:eastAsia="zh-CN"/>
        </w:rPr>
        <w:t>Ann Oncol</w:t>
      </w:r>
      <w:r w:rsidRPr="00851544">
        <w:rPr>
          <w:rFonts w:ascii="Book Antiqua" w:eastAsia="SimSun" w:hAnsi="Book Antiqua" w:cs="SimSun"/>
          <w:color w:val="000000"/>
          <w:sz w:val="24"/>
          <w:szCs w:val="24"/>
          <w:lang w:val="en-US" w:eastAsia="zh-CN"/>
        </w:rPr>
        <w:t> 2010; </w:t>
      </w:r>
      <w:r w:rsidRPr="00851544">
        <w:rPr>
          <w:rFonts w:ascii="Book Antiqua" w:eastAsia="SimSun" w:hAnsi="Book Antiqua" w:cs="SimSun"/>
          <w:b/>
          <w:bCs/>
          <w:color w:val="000000"/>
          <w:sz w:val="24"/>
          <w:szCs w:val="24"/>
          <w:lang w:val="en-US" w:eastAsia="zh-CN"/>
        </w:rPr>
        <w:t>21</w:t>
      </w:r>
      <w:r w:rsidRPr="00851544">
        <w:rPr>
          <w:rFonts w:ascii="Book Antiqua" w:eastAsia="SimSun" w:hAnsi="Book Antiqua" w:cs="SimSun"/>
          <w:color w:val="000000"/>
          <w:sz w:val="24"/>
          <w:szCs w:val="24"/>
          <w:lang w:val="en-US" w:eastAsia="zh-CN"/>
        </w:rPr>
        <w:t>: 1779-1785 [PMID: 20150573 DOI: 10.1093/annonc/mdq032]</w:t>
      </w:r>
    </w:p>
    <w:p w:rsidR="00CE72EE" w:rsidRPr="00851544" w:rsidRDefault="00CE72EE" w:rsidP="00746849">
      <w:pPr>
        <w:adjustRightInd w:val="0"/>
        <w:snapToGrid w:val="0"/>
        <w:spacing w:after="0" w:line="360" w:lineRule="auto"/>
        <w:jc w:val="both"/>
        <w:rPr>
          <w:rFonts w:ascii="Book Antiqua" w:eastAsia="SimSun" w:hAnsi="Book Antiqua" w:cs="SimSun"/>
          <w:color w:val="000000"/>
          <w:sz w:val="24"/>
          <w:szCs w:val="24"/>
          <w:lang w:val="en-US" w:eastAsia="zh-CN"/>
        </w:rPr>
      </w:pPr>
      <w:r w:rsidRPr="00851544">
        <w:rPr>
          <w:rFonts w:ascii="Book Antiqua" w:eastAsia="SimSun" w:hAnsi="Book Antiqua" w:cs="SimSun"/>
          <w:color w:val="000000"/>
          <w:sz w:val="24"/>
          <w:szCs w:val="24"/>
          <w:lang w:val="en-US" w:eastAsia="zh-CN"/>
        </w:rPr>
        <w:t>110 </w:t>
      </w:r>
      <w:r w:rsidRPr="00851544">
        <w:rPr>
          <w:rFonts w:ascii="Book Antiqua" w:eastAsia="SimSun" w:hAnsi="Book Antiqua" w:cs="SimSun"/>
          <w:b/>
          <w:bCs/>
          <w:color w:val="000000"/>
          <w:sz w:val="24"/>
          <w:szCs w:val="24"/>
          <w:lang w:val="en-US" w:eastAsia="zh-CN"/>
        </w:rPr>
        <w:t>Hasegawa H</w:t>
      </w:r>
      <w:r w:rsidRPr="00851544">
        <w:rPr>
          <w:rFonts w:ascii="Book Antiqua" w:eastAsia="SimSun" w:hAnsi="Book Antiqua" w:cs="SimSun"/>
          <w:color w:val="000000"/>
          <w:sz w:val="24"/>
          <w:szCs w:val="24"/>
          <w:lang w:val="en-US" w:eastAsia="zh-CN"/>
        </w:rPr>
        <w:t>, Fujitani K, Nakazuru S, Hirao M, Mita E, Tsujinaka T. Optimal indications for second-line chemotherapy in advanced gastric cancer. </w:t>
      </w:r>
      <w:r w:rsidRPr="00851544">
        <w:rPr>
          <w:rFonts w:ascii="Book Antiqua" w:eastAsia="SimSun" w:hAnsi="Book Antiqua" w:cs="SimSun"/>
          <w:i/>
          <w:iCs/>
          <w:color w:val="000000"/>
          <w:sz w:val="24"/>
          <w:szCs w:val="24"/>
          <w:lang w:val="en-US" w:eastAsia="zh-CN"/>
        </w:rPr>
        <w:t>Anticancer Drugs</w:t>
      </w:r>
      <w:r w:rsidRPr="00851544">
        <w:rPr>
          <w:rFonts w:ascii="Book Antiqua" w:eastAsia="SimSun" w:hAnsi="Book Antiqua" w:cs="SimSun"/>
          <w:color w:val="000000"/>
          <w:sz w:val="24"/>
          <w:szCs w:val="24"/>
          <w:lang w:val="en-US" w:eastAsia="zh-CN"/>
        </w:rPr>
        <w:t> 2012; </w:t>
      </w:r>
      <w:r w:rsidRPr="00851544">
        <w:rPr>
          <w:rFonts w:ascii="Book Antiqua" w:eastAsia="SimSun" w:hAnsi="Book Antiqua" w:cs="SimSun"/>
          <w:b/>
          <w:bCs/>
          <w:color w:val="000000"/>
          <w:sz w:val="24"/>
          <w:szCs w:val="24"/>
          <w:lang w:val="en-US" w:eastAsia="zh-CN"/>
        </w:rPr>
        <w:t>23</w:t>
      </w:r>
      <w:r w:rsidRPr="00851544">
        <w:rPr>
          <w:rFonts w:ascii="Book Antiqua" w:eastAsia="SimSun" w:hAnsi="Book Antiqua" w:cs="SimSun"/>
          <w:color w:val="000000"/>
          <w:sz w:val="24"/>
          <w:szCs w:val="24"/>
          <w:lang w:val="en-US" w:eastAsia="zh-CN"/>
        </w:rPr>
        <w:t>: 465-470 [PMID: 22227714 DOI: 10.1097/CAD.0b013e3283504442]</w:t>
      </w:r>
    </w:p>
    <w:p w:rsidR="00CE72EE" w:rsidRPr="00851544" w:rsidRDefault="00CE72EE" w:rsidP="00746849">
      <w:pPr>
        <w:adjustRightInd w:val="0"/>
        <w:snapToGrid w:val="0"/>
        <w:spacing w:after="0" w:line="360" w:lineRule="auto"/>
        <w:jc w:val="both"/>
        <w:rPr>
          <w:rFonts w:ascii="Book Antiqua" w:eastAsia="SimSun" w:hAnsi="Book Antiqua" w:cs="SimSun"/>
          <w:color w:val="000000"/>
          <w:sz w:val="24"/>
          <w:szCs w:val="24"/>
          <w:lang w:val="en-US" w:eastAsia="zh-CN"/>
        </w:rPr>
      </w:pPr>
      <w:r w:rsidRPr="00851544">
        <w:rPr>
          <w:rFonts w:ascii="Book Antiqua" w:eastAsia="SimSun" w:hAnsi="Book Antiqua" w:cs="SimSun"/>
          <w:color w:val="000000"/>
          <w:sz w:val="24"/>
          <w:szCs w:val="24"/>
          <w:lang w:val="en-US" w:eastAsia="zh-CN"/>
        </w:rPr>
        <w:t>111 </w:t>
      </w:r>
      <w:r w:rsidRPr="00851544">
        <w:rPr>
          <w:rFonts w:ascii="Book Antiqua" w:eastAsia="SimSun" w:hAnsi="Book Antiqua" w:cs="SimSun"/>
          <w:b/>
          <w:bCs/>
          <w:color w:val="000000"/>
          <w:sz w:val="24"/>
          <w:szCs w:val="24"/>
          <w:lang w:val="en-US" w:eastAsia="zh-CN"/>
        </w:rPr>
        <w:t>Park SH</w:t>
      </w:r>
      <w:r w:rsidRPr="00851544">
        <w:rPr>
          <w:rFonts w:ascii="Book Antiqua" w:eastAsia="SimSun" w:hAnsi="Book Antiqua" w:cs="SimSun"/>
          <w:color w:val="000000"/>
          <w:sz w:val="24"/>
          <w:szCs w:val="24"/>
          <w:lang w:val="en-US" w:eastAsia="zh-CN"/>
        </w:rPr>
        <w:t>, Lee WK, Chung M, Bang SM, Cho EK, Lee JH, Shin DB. Quality of life in patients with advanced gastric cancer treated with second-line chemotherapy. </w:t>
      </w:r>
      <w:r w:rsidRPr="00851544">
        <w:rPr>
          <w:rFonts w:ascii="Book Antiqua" w:eastAsia="SimSun" w:hAnsi="Book Antiqua" w:cs="SimSun"/>
          <w:i/>
          <w:iCs/>
          <w:color w:val="000000"/>
          <w:sz w:val="24"/>
          <w:szCs w:val="24"/>
          <w:lang w:val="en-US" w:eastAsia="zh-CN"/>
        </w:rPr>
        <w:t>Cancer Chemother Pharmacol</w:t>
      </w:r>
      <w:r w:rsidRPr="00851544">
        <w:rPr>
          <w:rFonts w:ascii="Book Antiqua" w:eastAsia="SimSun" w:hAnsi="Book Antiqua" w:cs="SimSun"/>
          <w:color w:val="000000"/>
          <w:sz w:val="24"/>
          <w:szCs w:val="24"/>
          <w:lang w:val="en-US" w:eastAsia="zh-CN"/>
        </w:rPr>
        <w:t> 2006; </w:t>
      </w:r>
      <w:r w:rsidRPr="00851544">
        <w:rPr>
          <w:rFonts w:ascii="Book Antiqua" w:eastAsia="SimSun" w:hAnsi="Book Antiqua" w:cs="SimSun"/>
          <w:b/>
          <w:bCs/>
          <w:color w:val="000000"/>
          <w:sz w:val="24"/>
          <w:szCs w:val="24"/>
          <w:lang w:val="en-US" w:eastAsia="zh-CN"/>
        </w:rPr>
        <w:t>57</w:t>
      </w:r>
      <w:r w:rsidRPr="00851544">
        <w:rPr>
          <w:rFonts w:ascii="Book Antiqua" w:eastAsia="SimSun" w:hAnsi="Book Antiqua" w:cs="SimSun"/>
          <w:color w:val="000000"/>
          <w:sz w:val="24"/>
          <w:szCs w:val="24"/>
          <w:lang w:val="en-US" w:eastAsia="zh-CN"/>
        </w:rPr>
        <w:t>: 289-294 [PMID: 16010588 DOI: 10.1007/s00280-005-0055-y]</w:t>
      </w:r>
    </w:p>
    <w:p w:rsidR="00CE72EE" w:rsidRPr="00851544" w:rsidRDefault="00CE72EE" w:rsidP="00746849">
      <w:pPr>
        <w:adjustRightInd w:val="0"/>
        <w:snapToGrid w:val="0"/>
        <w:spacing w:after="0" w:line="360" w:lineRule="auto"/>
        <w:jc w:val="both"/>
        <w:rPr>
          <w:rFonts w:ascii="Book Antiqua" w:eastAsia="SimSun" w:hAnsi="Book Antiqua" w:cs="SimSun"/>
          <w:color w:val="000000"/>
          <w:sz w:val="24"/>
          <w:szCs w:val="24"/>
          <w:lang w:val="en-US" w:eastAsia="zh-CN"/>
        </w:rPr>
      </w:pPr>
      <w:r w:rsidRPr="00851544">
        <w:rPr>
          <w:rFonts w:ascii="Book Antiqua" w:eastAsia="SimSun" w:hAnsi="Book Antiqua" w:cs="SimSun"/>
          <w:color w:val="000000"/>
          <w:sz w:val="24"/>
          <w:szCs w:val="24"/>
          <w:lang w:val="en-US" w:eastAsia="zh-CN"/>
        </w:rPr>
        <w:t>112 </w:t>
      </w:r>
      <w:r w:rsidRPr="00851544">
        <w:rPr>
          <w:rFonts w:ascii="Book Antiqua" w:eastAsia="SimSun" w:hAnsi="Book Antiqua" w:cs="SimSun"/>
          <w:b/>
          <w:bCs/>
          <w:color w:val="000000"/>
          <w:sz w:val="24"/>
          <w:szCs w:val="24"/>
          <w:lang w:val="en-US" w:eastAsia="zh-CN"/>
        </w:rPr>
        <w:t>Iacovelli R</w:t>
      </w:r>
      <w:r w:rsidRPr="00851544">
        <w:rPr>
          <w:rFonts w:ascii="Book Antiqua" w:eastAsia="SimSun" w:hAnsi="Book Antiqua" w:cs="SimSun"/>
          <w:color w:val="000000"/>
          <w:sz w:val="24"/>
          <w:szCs w:val="24"/>
          <w:lang w:val="en-US" w:eastAsia="zh-CN"/>
        </w:rPr>
        <w:t xml:space="preserve">, Pietrantonio F, Farcomeni A, Maggi C, Palazzo A, Ricchini F, de Braud F, Di Bartolomeo M. Chemotherapy or targeted therapy as second-line treatment of advanced gastric </w:t>
      </w:r>
      <w:r w:rsidRPr="00851544">
        <w:rPr>
          <w:rFonts w:ascii="Book Antiqua" w:eastAsia="SimSun" w:hAnsi="Book Antiqua" w:cs="SimSun"/>
          <w:color w:val="000000"/>
          <w:sz w:val="24"/>
          <w:szCs w:val="24"/>
          <w:lang w:val="en-US" w:eastAsia="zh-CN"/>
        </w:rPr>
        <w:lastRenderedPageBreak/>
        <w:t>cancer. A systematic review and meta-analysis of published studies. </w:t>
      </w:r>
      <w:r w:rsidRPr="00851544">
        <w:rPr>
          <w:rFonts w:ascii="Book Antiqua" w:eastAsia="SimSun" w:hAnsi="Book Antiqua" w:cs="SimSun"/>
          <w:i/>
          <w:iCs/>
          <w:color w:val="000000"/>
          <w:sz w:val="24"/>
          <w:szCs w:val="24"/>
          <w:lang w:val="en-US" w:eastAsia="zh-CN"/>
        </w:rPr>
        <w:t>PLoS One</w:t>
      </w:r>
      <w:r w:rsidRPr="00851544">
        <w:rPr>
          <w:rFonts w:ascii="Book Antiqua" w:eastAsia="SimSun" w:hAnsi="Book Antiqua" w:cs="SimSun"/>
          <w:color w:val="000000"/>
          <w:sz w:val="24"/>
          <w:szCs w:val="24"/>
          <w:lang w:val="en-US" w:eastAsia="zh-CN"/>
        </w:rPr>
        <w:t> 2014; </w:t>
      </w:r>
      <w:r w:rsidRPr="00851544">
        <w:rPr>
          <w:rFonts w:ascii="Book Antiqua" w:eastAsia="SimSun" w:hAnsi="Book Antiqua" w:cs="SimSun"/>
          <w:b/>
          <w:bCs/>
          <w:color w:val="000000"/>
          <w:sz w:val="24"/>
          <w:szCs w:val="24"/>
          <w:lang w:val="en-US" w:eastAsia="zh-CN"/>
        </w:rPr>
        <w:t>9</w:t>
      </w:r>
      <w:r w:rsidRPr="00851544">
        <w:rPr>
          <w:rFonts w:ascii="Book Antiqua" w:eastAsia="SimSun" w:hAnsi="Book Antiqua" w:cs="SimSun"/>
          <w:color w:val="000000"/>
          <w:sz w:val="24"/>
          <w:szCs w:val="24"/>
          <w:lang w:val="en-US" w:eastAsia="zh-CN"/>
        </w:rPr>
        <w:t>: e108940 [PMID: 25268988 DOI: 10.1371/journal.pone.0108940]</w:t>
      </w:r>
    </w:p>
    <w:p w:rsidR="00CE72EE" w:rsidRPr="00851544" w:rsidRDefault="00CE72EE" w:rsidP="00746849">
      <w:pPr>
        <w:adjustRightInd w:val="0"/>
        <w:snapToGrid w:val="0"/>
        <w:spacing w:after="0" w:line="360" w:lineRule="auto"/>
        <w:jc w:val="both"/>
        <w:rPr>
          <w:rFonts w:ascii="Book Antiqua" w:eastAsia="SimSun" w:hAnsi="Book Antiqua" w:cs="SimSun"/>
          <w:color w:val="000000"/>
          <w:sz w:val="24"/>
          <w:szCs w:val="24"/>
          <w:lang w:val="en-US" w:eastAsia="zh-CN"/>
        </w:rPr>
      </w:pPr>
      <w:r w:rsidRPr="00851544">
        <w:rPr>
          <w:rFonts w:ascii="Book Antiqua" w:eastAsia="SimSun" w:hAnsi="Book Antiqua" w:cs="SimSun"/>
          <w:color w:val="000000"/>
          <w:sz w:val="24"/>
          <w:szCs w:val="24"/>
          <w:lang w:val="en-US" w:eastAsia="zh-CN"/>
        </w:rPr>
        <w:t>113 </w:t>
      </w:r>
      <w:r w:rsidRPr="00851544">
        <w:rPr>
          <w:rFonts w:ascii="Book Antiqua" w:eastAsia="SimSun" w:hAnsi="Book Antiqua" w:cs="SimSun"/>
          <w:b/>
          <w:bCs/>
          <w:color w:val="000000"/>
          <w:sz w:val="24"/>
          <w:szCs w:val="24"/>
          <w:lang w:val="en-US" w:eastAsia="zh-CN"/>
        </w:rPr>
        <w:t>Hasegawa S</w:t>
      </w:r>
      <w:r w:rsidRPr="00851544">
        <w:rPr>
          <w:rFonts w:ascii="Book Antiqua" w:eastAsia="SimSun" w:hAnsi="Book Antiqua" w:cs="SimSun"/>
          <w:color w:val="000000"/>
          <w:sz w:val="24"/>
          <w:szCs w:val="24"/>
          <w:lang w:val="en-US" w:eastAsia="zh-CN"/>
        </w:rPr>
        <w:t>, Furukawa Y, Li M, Satoh S, Kato T, Watanabe T, Katagiri T, Tsunoda T, Yamaoka Y, Nakamura Y. Genome-wide analysis of gene expression in intestinal-type gastric cancers using a complementary DNA microarray representing 23,040 genes. </w:t>
      </w:r>
      <w:r w:rsidRPr="00851544">
        <w:rPr>
          <w:rFonts w:ascii="Book Antiqua" w:eastAsia="SimSun" w:hAnsi="Book Antiqua" w:cs="SimSun"/>
          <w:i/>
          <w:iCs/>
          <w:color w:val="000000"/>
          <w:sz w:val="24"/>
          <w:szCs w:val="24"/>
          <w:lang w:val="en-US" w:eastAsia="zh-CN"/>
        </w:rPr>
        <w:t>Cancer Res</w:t>
      </w:r>
      <w:r w:rsidRPr="00851544">
        <w:rPr>
          <w:rFonts w:ascii="Book Antiqua" w:eastAsia="SimSun" w:hAnsi="Book Antiqua" w:cs="SimSun"/>
          <w:color w:val="000000"/>
          <w:sz w:val="24"/>
          <w:szCs w:val="24"/>
          <w:lang w:val="en-US" w:eastAsia="zh-CN"/>
        </w:rPr>
        <w:t> 2002; </w:t>
      </w:r>
      <w:r w:rsidRPr="00851544">
        <w:rPr>
          <w:rFonts w:ascii="Book Antiqua" w:eastAsia="SimSun" w:hAnsi="Book Antiqua" w:cs="SimSun"/>
          <w:b/>
          <w:bCs/>
          <w:color w:val="000000"/>
          <w:sz w:val="24"/>
          <w:szCs w:val="24"/>
          <w:lang w:val="en-US" w:eastAsia="zh-CN"/>
        </w:rPr>
        <w:t>62</w:t>
      </w:r>
      <w:r w:rsidRPr="00851544">
        <w:rPr>
          <w:rFonts w:ascii="Book Antiqua" w:eastAsia="SimSun" w:hAnsi="Book Antiqua" w:cs="SimSun"/>
          <w:color w:val="000000"/>
          <w:sz w:val="24"/>
          <w:szCs w:val="24"/>
          <w:lang w:val="en-US" w:eastAsia="zh-CN"/>
        </w:rPr>
        <w:t>: 7012-7017 [PMID: 12460921]</w:t>
      </w:r>
    </w:p>
    <w:p w:rsidR="00CE72EE" w:rsidRPr="00851544" w:rsidRDefault="00CE72EE" w:rsidP="00746849">
      <w:pPr>
        <w:adjustRightInd w:val="0"/>
        <w:snapToGrid w:val="0"/>
        <w:spacing w:after="0" w:line="360" w:lineRule="auto"/>
        <w:jc w:val="both"/>
        <w:rPr>
          <w:rFonts w:ascii="Book Antiqua" w:eastAsia="SimSun" w:hAnsi="Book Antiqua" w:cs="SimSun"/>
          <w:color w:val="000000"/>
          <w:sz w:val="24"/>
          <w:szCs w:val="24"/>
          <w:lang w:val="en-US" w:eastAsia="zh-CN"/>
        </w:rPr>
      </w:pPr>
      <w:r w:rsidRPr="00851544">
        <w:rPr>
          <w:rFonts w:ascii="Book Antiqua" w:eastAsia="SimSun" w:hAnsi="Book Antiqua" w:cs="SimSun"/>
          <w:color w:val="000000"/>
          <w:sz w:val="24"/>
          <w:szCs w:val="24"/>
          <w:lang w:val="en-US" w:eastAsia="zh-CN"/>
        </w:rPr>
        <w:t>114 </w:t>
      </w:r>
      <w:r w:rsidRPr="00851544">
        <w:rPr>
          <w:rFonts w:ascii="Book Antiqua" w:eastAsia="SimSun" w:hAnsi="Book Antiqua" w:cs="SimSun"/>
          <w:b/>
          <w:bCs/>
          <w:color w:val="000000"/>
          <w:sz w:val="24"/>
          <w:szCs w:val="24"/>
          <w:lang w:val="en-US" w:eastAsia="zh-CN"/>
        </w:rPr>
        <w:t>Inoue H</w:t>
      </w:r>
      <w:r w:rsidRPr="00851544">
        <w:rPr>
          <w:rFonts w:ascii="Book Antiqua" w:eastAsia="SimSun" w:hAnsi="Book Antiqua" w:cs="SimSun"/>
          <w:color w:val="000000"/>
          <w:sz w:val="24"/>
          <w:szCs w:val="24"/>
          <w:lang w:val="en-US" w:eastAsia="zh-CN"/>
        </w:rPr>
        <w:t>, Matsuyama A, Mimori K, Ueo H, Mori M. Prognostic score of gastric cancer determined by cDNA microarray. </w:t>
      </w:r>
      <w:r w:rsidRPr="00851544">
        <w:rPr>
          <w:rFonts w:ascii="Book Antiqua" w:eastAsia="SimSun" w:hAnsi="Book Antiqua" w:cs="SimSun"/>
          <w:i/>
          <w:iCs/>
          <w:color w:val="000000"/>
          <w:sz w:val="24"/>
          <w:szCs w:val="24"/>
          <w:lang w:val="en-US" w:eastAsia="zh-CN"/>
        </w:rPr>
        <w:t>Clin Cancer Res</w:t>
      </w:r>
      <w:r w:rsidRPr="00851544">
        <w:rPr>
          <w:rFonts w:ascii="Book Antiqua" w:eastAsia="SimSun" w:hAnsi="Book Antiqua" w:cs="SimSun"/>
          <w:color w:val="000000"/>
          <w:sz w:val="24"/>
          <w:szCs w:val="24"/>
          <w:lang w:val="en-US" w:eastAsia="zh-CN"/>
        </w:rPr>
        <w:t> 2002; </w:t>
      </w:r>
      <w:r w:rsidRPr="00851544">
        <w:rPr>
          <w:rFonts w:ascii="Book Antiqua" w:eastAsia="SimSun" w:hAnsi="Book Antiqua" w:cs="SimSun"/>
          <w:b/>
          <w:bCs/>
          <w:color w:val="000000"/>
          <w:sz w:val="24"/>
          <w:szCs w:val="24"/>
          <w:lang w:val="en-US" w:eastAsia="zh-CN"/>
        </w:rPr>
        <w:t>8</w:t>
      </w:r>
      <w:r w:rsidRPr="00851544">
        <w:rPr>
          <w:rFonts w:ascii="Book Antiqua" w:eastAsia="SimSun" w:hAnsi="Book Antiqua" w:cs="SimSun"/>
          <w:color w:val="000000"/>
          <w:sz w:val="24"/>
          <w:szCs w:val="24"/>
          <w:lang w:val="en-US" w:eastAsia="zh-CN"/>
        </w:rPr>
        <w:t>: 3475-3479 [PMID: 12429637]</w:t>
      </w:r>
    </w:p>
    <w:p w:rsidR="00CE72EE" w:rsidRPr="00851544" w:rsidRDefault="00CE72EE" w:rsidP="00746849">
      <w:pPr>
        <w:adjustRightInd w:val="0"/>
        <w:snapToGrid w:val="0"/>
        <w:spacing w:after="0" w:line="360" w:lineRule="auto"/>
        <w:jc w:val="both"/>
        <w:rPr>
          <w:rFonts w:ascii="Book Antiqua" w:eastAsia="SimSun" w:hAnsi="Book Antiqua" w:cs="SimSun"/>
          <w:color w:val="000000"/>
          <w:sz w:val="24"/>
          <w:szCs w:val="24"/>
          <w:lang w:val="en-US" w:eastAsia="zh-CN"/>
        </w:rPr>
      </w:pPr>
      <w:r w:rsidRPr="00851544">
        <w:rPr>
          <w:rFonts w:ascii="Book Antiqua" w:eastAsia="SimSun" w:hAnsi="Book Antiqua" w:cs="SimSun"/>
          <w:color w:val="000000"/>
          <w:sz w:val="24"/>
          <w:szCs w:val="24"/>
          <w:lang w:val="en-US" w:eastAsia="zh-CN"/>
        </w:rPr>
        <w:t>115 </w:t>
      </w:r>
      <w:r w:rsidRPr="00851544">
        <w:rPr>
          <w:rFonts w:ascii="Book Antiqua" w:eastAsia="SimSun" w:hAnsi="Book Antiqua" w:cs="SimSun"/>
          <w:b/>
          <w:bCs/>
          <w:color w:val="000000"/>
          <w:sz w:val="24"/>
          <w:szCs w:val="24"/>
          <w:lang w:val="en-US" w:eastAsia="zh-CN"/>
        </w:rPr>
        <w:t>Boussioutas A</w:t>
      </w:r>
      <w:r w:rsidRPr="00851544">
        <w:rPr>
          <w:rFonts w:ascii="Book Antiqua" w:eastAsia="SimSun" w:hAnsi="Book Antiqua" w:cs="SimSun"/>
          <w:color w:val="000000"/>
          <w:sz w:val="24"/>
          <w:szCs w:val="24"/>
          <w:lang w:val="en-US" w:eastAsia="zh-CN"/>
        </w:rPr>
        <w:t>, Li H, Liu J, Waring P, Lade S, Holloway AJ, Taupin D, Gorringe K, Haviv I, Desmond PV, Bowtell DD. Distinctive patterns of gene expression in premalignant gastric mucosa and gastric cancer. </w:t>
      </w:r>
      <w:r w:rsidRPr="00851544">
        <w:rPr>
          <w:rFonts w:ascii="Book Antiqua" w:eastAsia="SimSun" w:hAnsi="Book Antiqua" w:cs="SimSun"/>
          <w:i/>
          <w:iCs/>
          <w:color w:val="000000"/>
          <w:sz w:val="24"/>
          <w:szCs w:val="24"/>
          <w:lang w:val="en-US" w:eastAsia="zh-CN"/>
        </w:rPr>
        <w:t>Cancer Res</w:t>
      </w:r>
      <w:r w:rsidRPr="00851544">
        <w:rPr>
          <w:rFonts w:ascii="Book Antiqua" w:eastAsia="SimSun" w:hAnsi="Book Antiqua" w:cs="SimSun"/>
          <w:color w:val="000000"/>
          <w:sz w:val="24"/>
          <w:szCs w:val="24"/>
          <w:lang w:val="en-US" w:eastAsia="zh-CN"/>
        </w:rPr>
        <w:t> 2003; </w:t>
      </w:r>
      <w:r w:rsidRPr="00851544">
        <w:rPr>
          <w:rFonts w:ascii="Book Antiqua" w:eastAsia="SimSun" w:hAnsi="Book Antiqua" w:cs="SimSun"/>
          <w:b/>
          <w:bCs/>
          <w:color w:val="000000"/>
          <w:sz w:val="24"/>
          <w:szCs w:val="24"/>
          <w:lang w:val="en-US" w:eastAsia="zh-CN"/>
        </w:rPr>
        <w:t>63</w:t>
      </w:r>
      <w:r w:rsidRPr="00851544">
        <w:rPr>
          <w:rFonts w:ascii="Book Antiqua" w:eastAsia="SimSun" w:hAnsi="Book Antiqua" w:cs="SimSun"/>
          <w:color w:val="000000"/>
          <w:sz w:val="24"/>
          <w:szCs w:val="24"/>
          <w:lang w:val="en-US" w:eastAsia="zh-CN"/>
        </w:rPr>
        <w:t>: 2569-2577 [PMID: 12750281]</w:t>
      </w:r>
    </w:p>
    <w:p w:rsidR="00CE72EE" w:rsidRPr="00851544" w:rsidRDefault="00CE72EE" w:rsidP="00746849">
      <w:pPr>
        <w:adjustRightInd w:val="0"/>
        <w:snapToGrid w:val="0"/>
        <w:spacing w:after="0" w:line="360" w:lineRule="auto"/>
        <w:jc w:val="both"/>
        <w:rPr>
          <w:rFonts w:ascii="Book Antiqua" w:eastAsia="SimSun" w:hAnsi="Book Antiqua" w:cs="SimSun"/>
          <w:color w:val="000000"/>
          <w:sz w:val="24"/>
          <w:szCs w:val="24"/>
          <w:lang w:val="en-US" w:eastAsia="zh-CN"/>
        </w:rPr>
      </w:pPr>
      <w:r w:rsidRPr="00851544">
        <w:rPr>
          <w:rFonts w:ascii="Book Antiqua" w:eastAsia="SimSun" w:hAnsi="Book Antiqua" w:cs="SimSun"/>
          <w:color w:val="000000"/>
          <w:sz w:val="24"/>
          <w:szCs w:val="24"/>
          <w:lang w:val="en-US" w:eastAsia="zh-CN"/>
        </w:rPr>
        <w:t>116 </w:t>
      </w:r>
      <w:r w:rsidRPr="00851544">
        <w:rPr>
          <w:rFonts w:ascii="Book Antiqua" w:eastAsia="SimSun" w:hAnsi="Book Antiqua" w:cs="SimSun"/>
          <w:b/>
          <w:bCs/>
          <w:color w:val="000000"/>
          <w:sz w:val="24"/>
          <w:szCs w:val="24"/>
          <w:lang w:val="en-US" w:eastAsia="zh-CN"/>
        </w:rPr>
        <w:t>Chen CN</w:t>
      </w:r>
      <w:r w:rsidRPr="00851544">
        <w:rPr>
          <w:rFonts w:ascii="Book Antiqua" w:eastAsia="SimSun" w:hAnsi="Book Antiqua" w:cs="SimSun"/>
          <w:color w:val="000000"/>
          <w:sz w:val="24"/>
          <w:szCs w:val="24"/>
          <w:lang w:val="en-US" w:eastAsia="zh-CN"/>
        </w:rPr>
        <w:t>, Lin JJ, Chen JJ, Lee PH, Yang CY, Kuo ML, Chang KJ, Hsieh FJ. Gene expression profile predicts patient survival of gastric cancer after surgical resection. </w:t>
      </w:r>
      <w:r w:rsidRPr="00851544">
        <w:rPr>
          <w:rFonts w:ascii="Book Antiqua" w:eastAsia="SimSun" w:hAnsi="Book Antiqua" w:cs="SimSun"/>
          <w:i/>
          <w:iCs/>
          <w:color w:val="000000"/>
          <w:sz w:val="24"/>
          <w:szCs w:val="24"/>
          <w:lang w:val="en-US" w:eastAsia="zh-CN"/>
        </w:rPr>
        <w:t>J Clin Oncol</w:t>
      </w:r>
      <w:r w:rsidRPr="00851544">
        <w:rPr>
          <w:rFonts w:ascii="Book Antiqua" w:eastAsia="SimSun" w:hAnsi="Book Antiqua" w:cs="SimSun"/>
          <w:color w:val="000000"/>
          <w:sz w:val="24"/>
          <w:szCs w:val="24"/>
          <w:lang w:val="en-US" w:eastAsia="zh-CN"/>
        </w:rPr>
        <w:t> 2005; </w:t>
      </w:r>
      <w:r w:rsidRPr="00851544">
        <w:rPr>
          <w:rFonts w:ascii="Book Antiqua" w:eastAsia="SimSun" w:hAnsi="Book Antiqua" w:cs="SimSun"/>
          <w:b/>
          <w:bCs/>
          <w:color w:val="000000"/>
          <w:sz w:val="24"/>
          <w:szCs w:val="24"/>
          <w:lang w:val="en-US" w:eastAsia="zh-CN"/>
        </w:rPr>
        <w:t>23</w:t>
      </w:r>
      <w:r w:rsidRPr="00851544">
        <w:rPr>
          <w:rFonts w:ascii="Book Antiqua" w:eastAsia="SimSun" w:hAnsi="Book Antiqua" w:cs="SimSun"/>
          <w:color w:val="000000"/>
          <w:sz w:val="24"/>
          <w:szCs w:val="24"/>
          <w:lang w:val="en-US" w:eastAsia="zh-CN"/>
        </w:rPr>
        <w:t>: 7286-7295 [PMID: 16145069 DOI: 10.1200/JCO.2004.00.2253]</w:t>
      </w:r>
    </w:p>
    <w:p w:rsidR="00CE72EE" w:rsidRPr="00851544" w:rsidRDefault="00CE72EE" w:rsidP="00746849">
      <w:pPr>
        <w:adjustRightInd w:val="0"/>
        <w:snapToGrid w:val="0"/>
        <w:spacing w:after="0" w:line="360" w:lineRule="auto"/>
        <w:jc w:val="both"/>
        <w:rPr>
          <w:rFonts w:ascii="Book Antiqua" w:eastAsia="SimSun" w:hAnsi="Book Antiqua" w:cs="SimSun"/>
          <w:color w:val="000000"/>
          <w:sz w:val="24"/>
          <w:szCs w:val="24"/>
          <w:lang w:val="en-US" w:eastAsia="zh-CN"/>
        </w:rPr>
      </w:pPr>
      <w:r w:rsidRPr="00851544">
        <w:rPr>
          <w:rFonts w:ascii="Book Antiqua" w:eastAsia="SimSun" w:hAnsi="Book Antiqua" w:cs="SimSun"/>
          <w:color w:val="000000"/>
          <w:sz w:val="24"/>
          <w:szCs w:val="24"/>
          <w:lang w:val="en-US" w:eastAsia="zh-CN"/>
        </w:rPr>
        <w:t>117 </w:t>
      </w:r>
      <w:r w:rsidRPr="00851544">
        <w:rPr>
          <w:rFonts w:ascii="Book Antiqua" w:eastAsia="SimSun" w:hAnsi="Book Antiqua" w:cs="SimSun"/>
          <w:b/>
          <w:bCs/>
          <w:color w:val="000000"/>
          <w:sz w:val="24"/>
          <w:szCs w:val="24"/>
          <w:lang w:val="en-US" w:eastAsia="zh-CN"/>
        </w:rPr>
        <w:t>Tay ST</w:t>
      </w:r>
      <w:r w:rsidRPr="00851544">
        <w:rPr>
          <w:rFonts w:ascii="Book Antiqua" w:eastAsia="SimSun" w:hAnsi="Book Antiqua" w:cs="SimSun"/>
          <w:color w:val="000000"/>
          <w:sz w:val="24"/>
          <w:szCs w:val="24"/>
          <w:lang w:val="en-US" w:eastAsia="zh-CN"/>
        </w:rPr>
        <w:t>, Leong SH, Yu K, Aggarwal A, Tan SY, Lee CH, Wong K, Visvanathan J, Lim D, Wong WK, Soo KC, Kon OL, Tan P. A combined comparative genomic hybridization and expression microarray analysis of gastric cancer reveals novel molecular subtypes. </w:t>
      </w:r>
      <w:r w:rsidRPr="00851544">
        <w:rPr>
          <w:rFonts w:ascii="Book Antiqua" w:eastAsia="SimSun" w:hAnsi="Book Antiqua" w:cs="SimSun"/>
          <w:i/>
          <w:iCs/>
          <w:color w:val="000000"/>
          <w:sz w:val="24"/>
          <w:szCs w:val="24"/>
          <w:lang w:val="en-US" w:eastAsia="zh-CN"/>
        </w:rPr>
        <w:t>Cancer Res</w:t>
      </w:r>
      <w:r w:rsidRPr="00851544">
        <w:rPr>
          <w:rFonts w:ascii="Book Antiqua" w:eastAsia="SimSun" w:hAnsi="Book Antiqua" w:cs="SimSun"/>
          <w:color w:val="000000"/>
          <w:sz w:val="24"/>
          <w:szCs w:val="24"/>
          <w:lang w:val="en-US" w:eastAsia="zh-CN"/>
        </w:rPr>
        <w:t> 2003; </w:t>
      </w:r>
      <w:r w:rsidRPr="00851544">
        <w:rPr>
          <w:rFonts w:ascii="Book Antiqua" w:eastAsia="SimSun" w:hAnsi="Book Antiqua" w:cs="SimSun"/>
          <w:b/>
          <w:bCs/>
          <w:color w:val="000000"/>
          <w:sz w:val="24"/>
          <w:szCs w:val="24"/>
          <w:lang w:val="en-US" w:eastAsia="zh-CN"/>
        </w:rPr>
        <w:t>63</w:t>
      </w:r>
      <w:r w:rsidRPr="00851544">
        <w:rPr>
          <w:rFonts w:ascii="Book Antiqua" w:eastAsia="SimSun" w:hAnsi="Book Antiqua" w:cs="SimSun"/>
          <w:color w:val="000000"/>
          <w:sz w:val="24"/>
          <w:szCs w:val="24"/>
          <w:lang w:val="en-US" w:eastAsia="zh-CN"/>
        </w:rPr>
        <w:t>: 3309-3316 [PMID: 12810664]</w:t>
      </w:r>
    </w:p>
    <w:p w:rsidR="00CE72EE" w:rsidRPr="00851544" w:rsidRDefault="00CE72EE" w:rsidP="00746849">
      <w:pPr>
        <w:adjustRightInd w:val="0"/>
        <w:snapToGrid w:val="0"/>
        <w:spacing w:after="0" w:line="360" w:lineRule="auto"/>
        <w:jc w:val="both"/>
        <w:rPr>
          <w:rFonts w:ascii="Book Antiqua" w:eastAsia="SimSun" w:hAnsi="Book Antiqua" w:cs="SimSun"/>
          <w:color w:val="000000"/>
          <w:sz w:val="24"/>
          <w:szCs w:val="24"/>
          <w:lang w:val="en-US" w:eastAsia="zh-CN"/>
        </w:rPr>
      </w:pPr>
      <w:r w:rsidRPr="00851544">
        <w:rPr>
          <w:rFonts w:ascii="Book Antiqua" w:eastAsia="SimSun" w:hAnsi="Book Antiqua" w:cs="SimSun"/>
          <w:color w:val="000000"/>
          <w:sz w:val="24"/>
          <w:szCs w:val="24"/>
          <w:lang w:val="en-US" w:eastAsia="zh-CN"/>
        </w:rPr>
        <w:t xml:space="preserve">118 </w:t>
      </w:r>
      <w:r w:rsidRPr="00851544">
        <w:rPr>
          <w:rFonts w:ascii="Book Antiqua" w:eastAsia="SimSun" w:hAnsi="Book Antiqua" w:cs="SimSun"/>
          <w:b/>
          <w:color w:val="000000"/>
          <w:sz w:val="24"/>
          <w:szCs w:val="24"/>
          <w:lang w:val="en-US" w:eastAsia="zh-CN"/>
        </w:rPr>
        <w:t>Cancer Genome Atlas Research Network</w:t>
      </w:r>
      <w:r w:rsidRPr="00851544">
        <w:rPr>
          <w:rFonts w:ascii="Book Antiqua" w:eastAsia="SimSun" w:hAnsi="Book Antiqua" w:cs="SimSun"/>
          <w:color w:val="000000"/>
          <w:sz w:val="24"/>
          <w:szCs w:val="24"/>
          <w:lang w:val="en-US" w:eastAsia="zh-CN"/>
        </w:rPr>
        <w:t>. Comprehensive molecular characterization of gastric adenocarcinoma. </w:t>
      </w:r>
      <w:r w:rsidRPr="00851544">
        <w:rPr>
          <w:rFonts w:ascii="Book Antiqua" w:eastAsia="SimSun" w:hAnsi="Book Antiqua" w:cs="SimSun"/>
          <w:i/>
          <w:iCs/>
          <w:color w:val="000000"/>
          <w:sz w:val="24"/>
          <w:szCs w:val="24"/>
          <w:lang w:val="en-US" w:eastAsia="zh-CN"/>
        </w:rPr>
        <w:t>Nature</w:t>
      </w:r>
      <w:r w:rsidRPr="00851544">
        <w:rPr>
          <w:rFonts w:ascii="Book Antiqua" w:eastAsia="SimSun" w:hAnsi="Book Antiqua" w:cs="SimSun"/>
          <w:color w:val="000000"/>
          <w:sz w:val="24"/>
          <w:szCs w:val="24"/>
          <w:lang w:val="en-US" w:eastAsia="zh-CN"/>
        </w:rPr>
        <w:t> 2014; </w:t>
      </w:r>
      <w:r w:rsidRPr="00851544">
        <w:rPr>
          <w:rFonts w:ascii="Book Antiqua" w:eastAsia="SimSun" w:hAnsi="Book Antiqua" w:cs="SimSun"/>
          <w:b/>
          <w:bCs/>
          <w:color w:val="000000"/>
          <w:sz w:val="24"/>
          <w:szCs w:val="24"/>
          <w:lang w:val="en-US" w:eastAsia="zh-CN"/>
        </w:rPr>
        <w:t>513</w:t>
      </w:r>
      <w:r w:rsidRPr="00851544">
        <w:rPr>
          <w:rFonts w:ascii="Book Antiqua" w:eastAsia="SimSun" w:hAnsi="Book Antiqua" w:cs="SimSun"/>
          <w:color w:val="000000"/>
          <w:sz w:val="24"/>
          <w:szCs w:val="24"/>
          <w:lang w:val="en-US" w:eastAsia="zh-CN"/>
        </w:rPr>
        <w:t>: 202-209 [PMID: 25079317 DOI: 10.1038/nature13480]</w:t>
      </w:r>
    </w:p>
    <w:p w:rsidR="00CE72EE" w:rsidRPr="00851544" w:rsidRDefault="00CE72EE" w:rsidP="00746849">
      <w:pPr>
        <w:adjustRightInd w:val="0"/>
        <w:snapToGrid w:val="0"/>
        <w:spacing w:after="0" w:line="360" w:lineRule="auto"/>
        <w:jc w:val="both"/>
        <w:rPr>
          <w:rFonts w:ascii="Book Antiqua" w:hAnsi="Book Antiqua"/>
          <w:sz w:val="24"/>
          <w:szCs w:val="24"/>
        </w:rPr>
      </w:pPr>
    </w:p>
    <w:p w:rsidR="00CE72EE" w:rsidRDefault="00CE72EE" w:rsidP="00746849">
      <w:pPr>
        <w:adjustRightInd w:val="0"/>
        <w:snapToGrid w:val="0"/>
        <w:spacing w:after="0" w:line="360" w:lineRule="auto"/>
        <w:jc w:val="right"/>
        <w:rPr>
          <w:rFonts w:ascii="Book Antiqua" w:hAnsi="Book Antiqua"/>
          <w:b/>
          <w:bCs/>
          <w:sz w:val="24"/>
        </w:rPr>
      </w:pPr>
      <w:r w:rsidRPr="005F7DC3">
        <w:rPr>
          <w:rFonts w:ascii="Book Antiqua" w:hAnsi="Book Antiqua"/>
          <w:b/>
          <w:bCs/>
          <w:sz w:val="24"/>
        </w:rPr>
        <w:t xml:space="preserve">P-Reviewer: </w:t>
      </w:r>
      <w:r w:rsidRPr="00CE72EE">
        <w:rPr>
          <w:rFonts w:ascii="Book Antiqua" w:hAnsi="Book Antiqua"/>
          <w:bCs/>
          <w:sz w:val="24"/>
        </w:rPr>
        <w:t>Nomura</w:t>
      </w:r>
      <w:r w:rsidRPr="00CE72EE">
        <w:rPr>
          <w:rFonts w:ascii="Book Antiqua" w:hAnsi="Book Antiqua" w:hint="eastAsia"/>
          <w:bCs/>
          <w:sz w:val="24"/>
          <w:lang w:eastAsia="zh-CN"/>
        </w:rPr>
        <w:t xml:space="preserve"> </w:t>
      </w:r>
      <w:r w:rsidRPr="00CE72EE">
        <w:rPr>
          <w:rFonts w:ascii="Book Antiqua" w:hAnsi="Book Antiqua" w:hint="eastAsia"/>
          <w:bCs/>
          <w:caps/>
          <w:sz w:val="24"/>
          <w:lang w:eastAsia="zh-CN"/>
        </w:rPr>
        <w:t>s</w:t>
      </w:r>
      <w:r>
        <w:rPr>
          <w:rFonts w:ascii="Book Antiqua" w:hAnsi="Book Antiqua" w:hint="eastAsia"/>
          <w:b/>
          <w:bCs/>
          <w:sz w:val="24"/>
          <w:lang w:eastAsia="zh-CN"/>
        </w:rPr>
        <w:t xml:space="preserve"> </w:t>
      </w:r>
      <w:r w:rsidRPr="005F7DC3">
        <w:rPr>
          <w:rFonts w:ascii="Book Antiqua" w:hAnsi="Book Antiqua"/>
          <w:b/>
          <w:bCs/>
          <w:sz w:val="24"/>
        </w:rPr>
        <w:t>S-Editor:</w:t>
      </w:r>
      <w:r w:rsidRPr="005F7DC3">
        <w:rPr>
          <w:rFonts w:ascii="Book Antiqua" w:hAnsi="Book Antiqua"/>
          <w:sz w:val="24"/>
        </w:rPr>
        <w:t xml:space="preserve"> </w:t>
      </w:r>
      <w:r>
        <w:rPr>
          <w:rFonts w:ascii="Book Antiqua" w:hAnsi="Book Antiqua" w:hint="eastAsia"/>
          <w:sz w:val="24"/>
        </w:rPr>
        <w:t>Ma YJ</w:t>
      </w:r>
      <w:r w:rsidRPr="005F7DC3">
        <w:rPr>
          <w:rFonts w:ascii="Book Antiqua" w:hAnsi="Book Antiqua" w:hint="eastAsia"/>
          <w:sz w:val="24"/>
        </w:rPr>
        <w:t xml:space="preserve"> </w:t>
      </w:r>
      <w:r w:rsidRPr="005F7DC3">
        <w:rPr>
          <w:rFonts w:ascii="Book Antiqua" w:hAnsi="Book Antiqua"/>
          <w:b/>
          <w:bCs/>
          <w:sz w:val="24"/>
        </w:rPr>
        <w:t>L-Editor:</w:t>
      </w:r>
      <w:r w:rsidRPr="005F7DC3">
        <w:rPr>
          <w:rFonts w:ascii="Book Antiqua" w:hAnsi="Book Antiqua"/>
          <w:sz w:val="24"/>
        </w:rPr>
        <w:t xml:space="preserve"> </w:t>
      </w:r>
      <w:r w:rsidRPr="005F7DC3">
        <w:rPr>
          <w:rFonts w:ascii="Book Antiqua" w:hAnsi="Book Antiqua" w:hint="eastAsia"/>
          <w:sz w:val="24"/>
        </w:rPr>
        <w:t xml:space="preserve"> </w:t>
      </w:r>
      <w:r w:rsidRPr="005F7DC3">
        <w:rPr>
          <w:rFonts w:ascii="Book Antiqua" w:hAnsi="Book Antiqua"/>
          <w:sz w:val="24"/>
        </w:rPr>
        <w:t xml:space="preserve"> </w:t>
      </w:r>
      <w:r w:rsidRPr="005F7DC3">
        <w:rPr>
          <w:rFonts w:ascii="Book Antiqua" w:hAnsi="Book Antiqua"/>
          <w:b/>
          <w:bCs/>
          <w:sz w:val="24"/>
        </w:rPr>
        <w:t>E-Editor:</w:t>
      </w:r>
    </w:p>
    <w:p w:rsidR="00CE72EE" w:rsidRDefault="00CE72EE" w:rsidP="00746849">
      <w:pPr>
        <w:adjustRightInd w:val="0"/>
        <w:snapToGrid w:val="0"/>
        <w:spacing w:after="0" w:line="360" w:lineRule="auto"/>
        <w:jc w:val="both"/>
        <w:rPr>
          <w:rFonts w:ascii="Book Antiqua" w:hAnsi="Book Antiqua"/>
          <w:b/>
          <w:sz w:val="24"/>
          <w:szCs w:val="24"/>
          <w:lang w:eastAsia="zh-CN"/>
        </w:rPr>
      </w:pPr>
      <w:r>
        <w:rPr>
          <w:rFonts w:ascii="Book Antiqua" w:hAnsi="Book Antiqua"/>
          <w:b/>
          <w:sz w:val="24"/>
          <w:szCs w:val="24"/>
          <w:lang w:eastAsia="zh-CN"/>
        </w:rPr>
        <w:br w:type="page"/>
      </w:r>
    </w:p>
    <w:p w:rsidR="008D14E6" w:rsidRPr="00BA60F0" w:rsidRDefault="008D14E6" w:rsidP="00746849">
      <w:pPr>
        <w:adjustRightInd w:val="0"/>
        <w:snapToGrid w:val="0"/>
        <w:spacing w:after="0" w:line="360" w:lineRule="auto"/>
        <w:jc w:val="both"/>
        <w:rPr>
          <w:rFonts w:ascii="Book Antiqua" w:hAnsi="Book Antiqua" w:cs="Arial"/>
          <w:b/>
          <w:sz w:val="24"/>
          <w:szCs w:val="24"/>
          <w:lang w:val="en-US" w:eastAsia="zh-CN"/>
        </w:rPr>
      </w:pPr>
      <w:r w:rsidRPr="00BA60F0">
        <w:rPr>
          <w:rFonts w:ascii="Book Antiqua" w:hAnsi="Book Antiqua" w:cs="Arial"/>
          <w:b/>
          <w:sz w:val="24"/>
          <w:szCs w:val="24"/>
          <w:lang w:val="en-US"/>
        </w:rPr>
        <w:lastRenderedPageBreak/>
        <w:t>Table</w:t>
      </w:r>
      <w:r w:rsidR="00CE72EE">
        <w:rPr>
          <w:rFonts w:ascii="Book Antiqua" w:hAnsi="Book Antiqua" w:cs="Arial"/>
          <w:b/>
          <w:sz w:val="24"/>
          <w:szCs w:val="24"/>
          <w:lang w:val="en-US"/>
        </w:rPr>
        <w:t xml:space="preserve"> 1</w:t>
      </w:r>
      <w:r w:rsidRPr="00BA60F0">
        <w:rPr>
          <w:rFonts w:ascii="Book Antiqua" w:hAnsi="Book Antiqua" w:cs="Arial"/>
          <w:b/>
          <w:sz w:val="24"/>
          <w:szCs w:val="24"/>
          <w:lang w:val="en-US"/>
        </w:rPr>
        <w:t xml:space="preserve"> Phase II studies on second-line therapy (Monotherapy) in </w:t>
      </w:r>
      <w:r w:rsidR="00865232" w:rsidRPr="00BA60F0">
        <w:rPr>
          <w:rFonts w:ascii="Book Antiqua" w:hAnsi="Book Antiqua" w:cs="Arial"/>
          <w:b/>
          <w:sz w:val="24"/>
          <w:szCs w:val="24"/>
          <w:lang w:val="en-US"/>
        </w:rPr>
        <w:t>metastatic</w:t>
      </w:r>
      <w:r w:rsidR="00CE72EE">
        <w:rPr>
          <w:rFonts w:ascii="Book Antiqua" w:hAnsi="Book Antiqua" w:cs="Arial"/>
          <w:b/>
          <w:sz w:val="24"/>
          <w:szCs w:val="24"/>
          <w:lang w:val="en-US"/>
        </w:rPr>
        <w:t xml:space="preserve"> gastric cancer</w:t>
      </w:r>
    </w:p>
    <w:tbl>
      <w:tblPr>
        <w:tblW w:w="10525" w:type="dxa"/>
        <w:tblBorders>
          <w:top w:val="single" w:sz="4" w:space="0" w:color="auto"/>
          <w:bottom w:val="single" w:sz="4" w:space="0" w:color="auto"/>
        </w:tblBorders>
        <w:tblLayout w:type="fixed"/>
        <w:tblLook w:val="00A0" w:firstRow="1" w:lastRow="0" w:firstColumn="1" w:lastColumn="0" w:noHBand="0" w:noVBand="0"/>
      </w:tblPr>
      <w:tblGrid>
        <w:gridCol w:w="1100"/>
        <w:gridCol w:w="710"/>
        <w:gridCol w:w="1178"/>
        <w:gridCol w:w="1440"/>
        <w:gridCol w:w="720"/>
        <w:gridCol w:w="810"/>
        <w:gridCol w:w="810"/>
        <w:gridCol w:w="810"/>
        <w:gridCol w:w="1867"/>
        <w:gridCol w:w="1080"/>
      </w:tblGrid>
      <w:tr w:rsidR="00DF21E6" w:rsidRPr="00BA60F0" w:rsidTr="00CE72EE">
        <w:trPr>
          <w:trHeight w:val="556"/>
        </w:trPr>
        <w:tc>
          <w:tcPr>
            <w:tcW w:w="1100" w:type="dxa"/>
            <w:tcBorders>
              <w:top w:val="single" w:sz="4" w:space="0" w:color="auto"/>
              <w:bottom w:val="single" w:sz="4" w:space="0" w:color="auto"/>
            </w:tcBorders>
            <w:shd w:val="clear" w:color="auto" w:fill="F2F2F2"/>
            <w:vAlign w:val="center"/>
          </w:tcPr>
          <w:p w:rsidR="008D14E6" w:rsidRPr="00BA60F0" w:rsidRDefault="008D14E6" w:rsidP="00746849">
            <w:pPr>
              <w:adjustRightInd w:val="0"/>
              <w:snapToGrid w:val="0"/>
              <w:spacing w:after="0" w:line="360" w:lineRule="auto"/>
              <w:jc w:val="both"/>
              <w:rPr>
                <w:rFonts w:ascii="Book Antiqua" w:hAnsi="Book Antiqua" w:cs="Arial"/>
                <w:b/>
                <w:bCs/>
                <w:sz w:val="24"/>
                <w:szCs w:val="24"/>
                <w:lang w:val="en-US"/>
              </w:rPr>
            </w:pPr>
            <w:r w:rsidRPr="00BA60F0">
              <w:rPr>
                <w:rFonts w:ascii="Book Antiqua" w:hAnsi="Book Antiqua" w:cs="Arial"/>
                <w:b/>
                <w:bCs/>
                <w:sz w:val="24"/>
                <w:szCs w:val="24"/>
                <w:lang w:val="en-US"/>
              </w:rPr>
              <w:t>II line agent</w:t>
            </w:r>
          </w:p>
        </w:tc>
        <w:tc>
          <w:tcPr>
            <w:tcW w:w="710" w:type="dxa"/>
            <w:tcBorders>
              <w:top w:val="single" w:sz="4" w:space="0" w:color="auto"/>
              <w:bottom w:val="single" w:sz="4" w:space="0" w:color="auto"/>
            </w:tcBorders>
            <w:shd w:val="clear" w:color="auto" w:fill="F2F2F2"/>
            <w:vAlign w:val="center"/>
          </w:tcPr>
          <w:p w:rsidR="008D14E6" w:rsidRPr="00BA60F0" w:rsidRDefault="008D14E6" w:rsidP="00746849">
            <w:pPr>
              <w:adjustRightInd w:val="0"/>
              <w:snapToGrid w:val="0"/>
              <w:spacing w:after="0" w:line="360" w:lineRule="auto"/>
              <w:jc w:val="both"/>
              <w:rPr>
                <w:rFonts w:ascii="Book Antiqua" w:hAnsi="Book Antiqua" w:cs="Arial"/>
                <w:b/>
                <w:bCs/>
                <w:sz w:val="24"/>
                <w:szCs w:val="24"/>
                <w:lang w:val="en-US"/>
              </w:rPr>
            </w:pPr>
            <w:r w:rsidRPr="00BA60F0">
              <w:rPr>
                <w:rFonts w:ascii="Book Antiqua" w:hAnsi="Book Antiqua" w:cs="Arial"/>
                <w:b/>
                <w:bCs/>
                <w:sz w:val="24"/>
                <w:szCs w:val="24"/>
                <w:lang w:val="en-US"/>
              </w:rPr>
              <w:t>Total /Eval pts</w:t>
            </w:r>
          </w:p>
        </w:tc>
        <w:tc>
          <w:tcPr>
            <w:tcW w:w="1178" w:type="dxa"/>
            <w:tcBorders>
              <w:top w:val="single" w:sz="4" w:space="0" w:color="auto"/>
              <w:bottom w:val="single" w:sz="4" w:space="0" w:color="auto"/>
            </w:tcBorders>
            <w:shd w:val="clear" w:color="auto" w:fill="F2F2F2"/>
            <w:vAlign w:val="center"/>
          </w:tcPr>
          <w:p w:rsidR="008D14E6" w:rsidRPr="00BA60F0" w:rsidRDefault="008D14E6" w:rsidP="00746849">
            <w:pPr>
              <w:adjustRightInd w:val="0"/>
              <w:snapToGrid w:val="0"/>
              <w:spacing w:after="0" w:line="360" w:lineRule="auto"/>
              <w:jc w:val="both"/>
              <w:rPr>
                <w:rFonts w:ascii="Book Antiqua" w:hAnsi="Book Antiqua" w:cs="Arial"/>
                <w:b/>
                <w:bCs/>
                <w:sz w:val="24"/>
                <w:szCs w:val="24"/>
                <w:lang w:val="en-US"/>
              </w:rPr>
            </w:pPr>
            <w:r w:rsidRPr="00BA60F0">
              <w:rPr>
                <w:rFonts w:ascii="Book Antiqua" w:hAnsi="Book Antiqua" w:cs="Arial"/>
                <w:b/>
                <w:bCs/>
                <w:sz w:val="24"/>
                <w:szCs w:val="24"/>
                <w:lang w:val="en-US"/>
              </w:rPr>
              <w:t>Performance Status, n</w:t>
            </w:r>
          </w:p>
        </w:tc>
        <w:tc>
          <w:tcPr>
            <w:tcW w:w="1440" w:type="dxa"/>
            <w:tcBorders>
              <w:top w:val="single" w:sz="4" w:space="0" w:color="auto"/>
              <w:bottom w:val="single" w:sz="4" w:space="0" w:color="auto"/>
            </w:tcBorders>
            <w:shd w:val="clear" w:color="auto" w:fill="F2F2F2"/>
            <w:vAlign w:val="center"/>
          </w:tcPr>
          <w:p w:rsidR="008D14E6" w:rsidRPr="00BA60F0" w:rsidRDefault="008D14E6" w:rsidP="00746849">
            <w:pPr>
              <w:adjustRightInd w:val="0"/>
              <w:snapToGrid w:val="0"/>
              <w:spacing w:after="0" w:line="360" w:lineRule="auto"/>
              <w:jc w:val="both"/>
              <w:rPr>
                <w:rFonts w:ascii="Book Antiqua" w:hAnsi="Book Antiqua" w:cs="Arial"/>
                <w:b/>
                <w:bCs/>
                <w:sz w:val="24"/>
                <w:szCs w:val="24"/>
                <w:lang w:val="en-US"/>
              </w:rPr>
            </w:pPr>
            <w:r w:rsidRPr="00BA60F0">
              <w:rPr>
                <w:rFonts w:ascii="Book Antiqua" w:hAnsi="Book Antiqua" w:cs="Arial"/>
                <w:b/>
                <w:bCs/>
                <w:sz w:val="24"/>
                <w:szCs w:val="24"/>
                <w:lang w:val="en-US"/>
              </w:rPr>
              <w:t>Doses in mg/m</w:t>
            </w:r>
            <w:r w:rsidRPr="00BA60F0">
              <w:rPr>
                <w:rFonts w:ascii="Book Antiqua" w:hAnsi="Book Antiqua" w:cs="Arial"/>
                <w:b/>
                <w:bCs/>
                <w:sz w:val="24"/>
                <w:szCs w:val="24"/>
                <w:vertAlign w:val="superscript"/>
                <w:lang w:val="en-US"/>
              </w:rPr>
              <w:t>2</w:t>
            </w:r>
          </w:p>
        </w:tc>
        <w:tc>
          <w:tcPr>
            <w:tcW w:w="720" w:type="dxa"/>
            <w:tcBorders>
              <w:top w:val="single" w:sz="4" w:space="0" w:color="auto"/>
              <w:bottom w:val="single" w:sz="4" w:space="0" w:color="auto"/>
            </w:tcBorders>
            <w:shd w:val="clear" w:color="auto" w:fill="F2F2F2"/>
            <w:vAlign w:val="center"/>
          </w:tcPr>
          <w:p w:rsidR="008D14E6" w:rsidRPr="00BA60F0" w:rsidRDefault="008D14E6" w:rsidP="00746849">
            <w:pPr>
              <w:adjustRightInd w:val="0"/>
              <w:snapToGrid w:val="0"/>
              <w:spacing w:after="0" w:line="360" w:lineRule="auto"/>
              <w:jc w:val="both"/>
              <w:rPr>
                <w:rFonts w:ascii="Book Antiqua" w:hAnsi="Book Antiqua" w:cs="Arial"/>
                <w:b/>
                <w:bCs/>
                <w:sz w:val="24"/>
                <w:szCs w:val="24"/>
                <w:lang w:val="en-US"/>
              </w:rPr>
            </w:pPr>
            <w:r w:rsidRPr="00BA60F0">
              <w:rPr>
                <w:rFonts w:ascii="Book Antiqua" w:hAnsi="Book Antiqua" w:cs="Arial"/>
                <w:b/>
                <w:bCs/>
                <w:sz w:val="24"/>
                <w:szCs w:val="24"/>
                <w:lang w:val="en-US"/>
              </w:rPr>
              <w:t xml:space="preserve">Treatment </w:t>
            </w:r>
            <w:r w:rsidRPr="00BA60F0">
              <w:rPr>
                <w:rFonts w:ascii="Book Antiqua" w:hAnsi="Book Antiqua" w:cs="Arial"/>
                <w:b/>
                <w:bCs/>
                <w:sz w:val="24"/>
                <w:szCs w:val="24"/>
                <w:lang w:val="en-US"/>
              </w:rPr>
              <w:br/>
              <w:t>ORR, %</w:t>
            </w:r>
          </w:p>
        </w:tc>
        <w:tc>
          <w:tcPr>
            <w:tcW w:w="810" w:type="dxa"/>
            <w:tcBorders>
              <w:top w:val="single" w:sz="4" w:space="0" w:color="auto"/>
              <w:bottom w:val="single" w:sz="4" w:space="0" w:color="auto"/>
            </w:tcBorders>
            <w:shd w:val="clear" w:color="auto" w:fill="F2F2F2"/>
            <w:vAlign w:val="center"/>
          </w:tcPr>
          <w:p w:rsidR="008D14E6" w:rsidRPr="00BA60F0" w:rsidRDefault="008D14E6" w:rsidP="00746849">
            <w:pPr>
              <w:adjustRightInd w:val="0"/>
              <w:snapToGrid w:val="0"/>
              <w:spacing w:after="0" w:line="360" w:lineRule="auto"/>
              <w:jc w:val="both"/>
              <w:rPr>
                <w:rFonts w:ascii="Book Antiqua" w:hAnsi="Book Antiqua" w:cs="Arial"/>
                <w:b/>
                <w:bCs/>
                <w:sz w:val="24"/>
                <w:szCs w:val="24"/>
                <w:lang w:val="en-US"/>
              </w:rPr>
            </w:pPr>
            <w:r w:rsidRPr="00BA60F0">
              <w:rPr>
                <w:rFonts w:ascii="Book Antiqua" w:hAnsi="Book Antiqua" w:cs="Arial"/>
                <w:b/>
                <w:bCs/>
                <w:sz w:val="24"/>
                <w:szCs w:val="24"/>
                <w:lang w:val="en-US"/>
              </w:rPr>
              <w:t xml:space="preserve">Median </w:t>
            </w:r>
            <w:r w:rsidRPr="00BA60F0">
              <w:rPr>
                <w:rFonts w:ascii="Book Antiqua" w:hAnsi="Book Antiqua" w:cs="Arial"/>
                <w:b/>
                <w:bCs/>
                <w:sz w:val="24"/>
                <w:szCs w:val="24"/>
                <w:lang w:val="en-US"/>
              </w:rPr>
              <w:br/>
              <w:t>TTP, in months</w:t>
            </w:r>
          </w:p>
        </w:tc>
        <w:tc>
          <w:tcPr>
            <w:tcW w:w="810" w:type="dxa"/>
            <w:tcBorders>
              <w:top w:val="single" w:sz="4" w:space="0" w:color="auto"/>
              <w:bottom w:val="single" w:sz="4" w:space="0" w:color="auto"/>
            </w:tcBorders>
            <w:shd w:val="clear" w:color="auto" w:fill="F2F2F2"/>
            <w:vAlign w:val="center"/>
          </w:tcPr>
          <w:p w:rsidR="008D14E6" w:rsidRPr="00BA60F0" w:rsidRDefault="008D14E6" w:rsidP="00746849">
            <w:pPr>
              <w:adjustRightInd w:val="0"/>
              <w:snapToGrid w:val="0"/>
              <w:spacing w:after="0" w:line="360" w:lineRule="auto"/>
              <w:jc w:val="both"/>
              <w:rPr>
                <w:rFonts w:ascii="Book Antiqua" w:hAnsi="Book Antiqua" w:cs="Arial"/>
                <w:b/>
                <w:bCs/>
                <w:sz w:val="24"/>
                <w:szCs w:val="24"/>
                <w:lang w:val="en-US"/>
              </w:rPr>
            </w:pPr>
            <w:r w:rsidRPr="00BA60F0">
              <w:rPr>
                <w:rFonts w:ascii="Book Antiqua" w:hAnsi="Book Antiqua" w:cs="Arial"/>
                <w:b/>
                <w:bCs/>
                <w:sz w:val="24"/>
                <w:szCs w:val="24"/>
                <w:lang w:val="en-US"/>
              </w:rPr>
              <w:t xml:space="preserve">Median </w:t>
            </w:r>
            <w:r w:rsidRPr="00BA60F0">
              <w:rPr>
                <w:rFonts w:ascii="Book Antiqua" w:hAnsi="Book Antiqua" w:cs="Arial"/>
                <w:b/>
                <w:bCs/>
                <w:sz w:val="24"/>
                <w:szCs w:val="24"/>
                <w:lang w:val="en-US"/>
              </w:rPr>
              <w:br/>
              <w:t>PFS, in months</w:t>
            </w:r>
          </w:p>
        </w:tc>
        <w:tc>
          <w:tcPr>
            <w:tcW w:w="810" w:type="dxa"/>
            <w:tcBorders>
              <w:top w:val="single" w:sz="4" w:space="0" w:color="auto"/>
              <w:bottom w:val="single" w:sz="4" w:space="0" w:color="auto"/>
            </w:tcBorders>
            <w:shd w:val="clear" w:color="auto" w:fill="F2F2F2"/>
            <w:vAlign w:val="center"/>
          </w:tcPr>
          <w:p w:rsidR="008D14E6" w:rsidRPr="00BA60F0" w:rsidRDefault="008D14E6" w:rsidP="00746849">
            <w:pPr>
              <w:adjustRightInd w:val="0"/>
              <w:snapToGrid w:val="0"/>
              <w:spacing w:after="0" w:line="360" w:lineRule="auto"/>
              <w:jc w:val="both"/>
              <w:rPr>
                <w:rFonts w:ascii="Book Antiqua" w:hAnsi="Book Antiqua" w:cs="Arial"/>
                <w:b/>
                <w:bCs/>
                <w:sz w:val="24"/>
                <w:szCs w:val="24"/>
                <w:lang w:val="en-US"/>
              </w:rPr>
            </w:pPr>
            <w:r w:rsidRPr="00BA60F0">
              <w:rPr>
                <w:rFonts w:ascii="Book Antiqua" w:hAnsi="Book Antiqua" w:cs="Arial"/>
                <w:b/>
                <w:bCs/>
                <w:sz w:val="24"/>
                <w:szCs w:val="24"/>
                <w:lang w:val="en-US"/>
              </w:rPr>
              <w:t xml:space="preserve">Median </w:t>
            </w:r>
            <w:r w:rsidRPr="00BA60F0">
              <w:rPr>
                <w:rFonts w:ascii="Book Antiqua" w:hAnsi="Book Antiqua" w:cs="Arial"/>
                <w:b/>
                <w:bCs/>
                <w:sz w:val="24"/>
                <w:szCs w:val="24"/>
                <w:lang w:val="en-US"/>
              </w:rPr>
              <w:br/>
              <w:t>OS, in months</w:t>
            </w:r>
          </w:p>
        </w:tc>
        <w:tc>
          <w:tcPr>
            <w:tcW w:w="1867" w:type="dxa"/>
            <w:tcBorders>
              <w:top w:val="single" w:sz="4" w:space="0" w:color="auto"/>
              <w:bottom w:val="single" w:sz="4" w:space="0" w:color="auto"/>
            </w:tcBorders>
            <w:shd w:val="clear" w:color="auto" w:fill="F2F2F2"/>
            <w:vAlign w:val="center"/>
          </w:tcPr>
          <w:p w:rsidR="008D14E6" w:rsidRPr="00BA60F0" w:rsidRDefault="008D14E6" w:rsidP="00746849">
            <w:pPr>
              <w:adjustRightInd w:val="0"/>
              <w:snapToGrid w:val="0"/>
              <w:spacing w:after="0" w:line="360" w:lineRule="auto"/>
              <w:jc w:val="both"/>
              <w:rPr>
                <w:rFonts w:ascii="Book Antiqua" w:hAnsi="Book Antiqua" w:cs="Arial"/>
                <w:b/>
                <w:bCs/>
                <w:sz w:val="24"/>
                <w:szCs w:val="24"/>
                <w:lang w:val="en-US"/>
              </w:rPr>
            </w:pPr>
            <w:r w:rsidRPr="00BA60F0">
              <w:rPr>
                <w:rFonts w:ascii="Book Antiqua" w:hAnsi="Book Antiqua" w:cs="Arial"/>
                <w:b/>
                <w:bCs/>
                <w:sz w:val="24"/>
                <w:szCs w:val="24"/>
                <w:lang w:val="en-US"/>
              </w:rPr>
              <w:t xml:space="preserve">Toxicity, </w:t>
            </w:r>
            <w:r w:rsidRPr="00BA60F0">
              <w:rPr>
                <w:rFonts w:ascii="Book Antiqua" w:hAnsi="Book Antiqua" w:cs="Arial"/>
                <w:b/>
                <w:bCs/>
                <w:sz w:val="24"/>
                <w:szCs w:val="24"/>
                <w:lang w:val="en-US"/>
              </w:rPr>
              <w:br/>
              <w:t>grade 3-4, %</w:t>
            </w:r>
          </w:p>
        </w:tc>
        <w:tc>
          <w:tcPr>
            <w:tcW w:w="1080" w:type="dxa"/>
            <w:tcBorders>
              <w:top w:val="single" w:sz="4" w:space="0" w:color="auto"/>
              <w:bottom w:val="single" w:sz="4" w:space="0" w:color="auto"/>
            </w:tcBorders>
            <w:shd w:val="clear" w:color="auto" w:fill="F2F2F2"/>
            <w:vAlign w:val="center"/>
          </w:tcPr>
          <w:p w:rsidR="008D14E6" w:rsidRPr="00CE72EE" w:rsidRDefault="003D2377" w:rsidP="00746849">
            <w:pPr>
              <w:adjustRightInd w:val="0"/>
              <w:snapToGrid w:val="0"/>
              <w:spacing w:after="0" w:line="360" w:lineRule="auto"/>
              <w:jc w:val="both"/>
              <w:rPr>
                <w:rFonts w:ascii="Book Antiqua" w:hAnsi="Book Antiqua" w:cs="Arial"/>
                <w:b/>
                <w:bCs/>
                <w:sz w:val="24"/>
                <w:szCs w:val="24"/>
                <w:lang w:val="en-US" w:eastAsia="zh-CN"/>
              </w:rPr>
            </w:pPr>
            <w:r>
              <w:rPr>
                <w:rFonts w:ascii="Book Antiqua" w:hAnsi="Book Antiqua" w:cs="Arial" w:hint="eastAsia"/>
                <w:b/>
                <w:bCs/>
                <w:sz w:val="24"/>
                <w:szCs w:val="24"/>
                <w:lang w:val="en-US" w:eastAsia="zh-CN"/>
              </w:rPr>
              <w:t>Ref.</w:t>
            </w:r>
          </w:p>
        </w:tc>
      </w:tr>
      <w:tr w:rsidR="008D14E6" w:rsidRPr="00BA60F0" w:rsidTr="00CE72EE">
        <w:tc>
          <w:tcPr>
            <w:tcW w:w="1100" w:type="dxa"/>
            <w:tcBorders>
              <w:top w:val="single" w:sz="4" w:space="0" w:color="auto"/>
            </w:tcBorders>
          </w:tcPr>
          <w:p w:rsidR="008D14E6" w:rsidRPr="00BA60F0" w:rsidRDefault="008D14E6" w:rsidP="00746849">
            <w:pPr>
              <w:adjustRightInd w:val="0"/>
              <w:snapToGrid w:val="0"/>
              <w:spacing w:after="0" w:line="360" w:lineRule="auto"/>
              <w:jc w:val="both"/>
              <w:rPr>
                <w:rFonts w:ascii="Book Antiqua" w:hAnsi="Book Antiqua" w:cs="Arial"/>
                <w:b/>
                <w:bCs/>
                <w:sz w:val="24"/>
                <w:szCs w:val="24"/>
                <w:lang w:val="en-US"/>
              </w:rPr>
            </w:pPr>
            <w:r w:rsidRPr="00BA60F0">
              <w:rPr>
                <w:rFonts w:ascii="Book Antiqua" w:hAnsi="Book Antiqua" w:cs="Arial"/>
                <w:b/>
                <w:bCs/>
                <w:sz w:val="24"/>
                <w:szCs w:val="24"/>
                <w:lang w:val="en-US"/>
              </w:rPr>
              <w:t>Irinotecan</w:t>
            </w:r>
          </w:p>
        </w:tc>
        <w:tc>
          <w:tcPr>
            <w:tcW w:w="710" w:type="dxa"/>
            <w:tcBorders>
              <w:top w:val="single" w:sz="4" w:space="0" w:color="auto"/>
            </w:tcBorders>
          </w:tcPr>
          <w:p w:rsidR="008D14E6" w:rsidRPr="00BA60F0" w:rsidRDefault="008D14E6" w:rsidP="00746849">
            <w:pPr>
              <w:adjustRightInd w:val="0"/>
              <w:snapToGrid w:val="0"/>
              <w:spacing w:after="0" w:line="360" w:lineRule="auto"/>
              <w:jc w:val="both"/>
              <w:rPr>
                <w:rFonts w:ascii="Book Antiqua" w:hAnsi="Book Antiqua" w:cs="Arial"/>
                <w:sz w:val="24"/>
                <w:szCs w:val="24"/>
                <w:lang w:val="en-US"/>
              </w:rPr>
            </w:pPr>
            <w:r w:rsidRPr="00BA60F0">
              <w:rPr>
                <w:rFonts w:ascii="Book Antiqua" w:hAnsi="Book Antiqua" w:cs="Arial"/>
                <w:sz w:val="24"/>
                <w:szCs w:val="24"/>
                <w:lang w:val="en-US"/>
              </w:rPr>
              <w:t>37/35</w:t>
            </w:r>
          </w:p>
        </w:tc>
        <w:tc>
          <w:tcPr>
            <w:tcW w:w="1178" w:type="dxa"/>
            <w:tcBorders>
              <w:top w:val="single" w:sz="4" w:space="0" w:color="auto"/>
            </w:tcBorders>
          </w:tcPr>
          <w:p w:rsidR="008D14E6" w:rsidRPr="00BA60F0" w:rsidRDefault="008D14E6" w:rsidP="00746849">
            <w:pPr>
              <w:adjustRightInd w:val="0"/>
              <w:snapToGrid w:val="0"/>
              <w:spacing w:after="0" w:line="360" w:lineRule="auto"/>
              <w:jc w:val="both"/>
              <w:rPr>
                <w:rFonts w:ascii="Book Antiqua" w:hAnsi="Book Antiqua" w:cs="Arial"/>
                <w:sz w:val="24"/>
                <w:szCs w:val="24"/>
                <w:lang w:val="en-US"/>
              </w:rPr>
            </w:pPr>
            <w:r w:rsidRPr="00BA60F0">
              <w:rPr>
                <w:rFonts w:ascii="Book Antiqua" w:hAnsi="Book Antiqua" w:cs="Arial"/>
                <w:sz w:val="24"/>
                <w:szCs w:val="24"/>
                <w:lang w:val="en-US"/>
              </w:rPr>
              <w:t>ECOG 0/1 – 3/34</w:t>
            </w:r>
          </w:p>
        </w:tc>
        <w:tc>
          <w:tcPr>
            <w:tcW w:w="1440" w:type="dxa"/>
            <w:tcBorders>
              <w:top w:val="single" w:sz="4" w:space="0" w:color="auto"/>
            </w:tcBorders>
          </w:tcPr>
          <w:p w:rsidR="008D14E6" w:rsidRPr="00BA60F0" w:rsidRDefault="008D14E6" w:rsidP="00746849">
            <w:pPr>
              <w:adjustRightInd w:val="0"/>
              <w:snapToGrid w:val="0"/>
              <w:spacing w:after="0" w:line="360" w:lineRule="auto"/>
              <w:jc w:val="both"/>
              <w:rPr>
                <w:rFonts w:ascii="Book Antiqua" w:hAnsi="Book Antiqua" w:cs="Arial"/>
                <w:sz w:val="24"/>
                <w:szCs w:val="24"/>
                <w:lang w:val="en-US"/>
              </w:rPr>
            </w:pPr>
            <w:r w:rsidRPr="00BA60F0">
              <w:rPr>
                <w:rFonts w:ascii="Book Antiqua" w:hAnsi="Book Antiqua" w:cs="Arial"/>
                <w:sz w:val="24"/>
                <w:szCs w:val="24"/>
                <w:lang w:val="en-US"/>
              </w:rPr>
              <w:t>Iri - 125 d1 weekly x 4 wks, q42</w:t>
            </w:r>
          </w:p>
        </w:tc>
        <w:tc>
          <w:tcPr>
            <w:tcW w:w="720" w:type="dxa"/>
            <w:tcBorders>
              <w:top w:val="single" w:sz="4" w:space="0" w:color="auto"/>
            </w:tcBorders>
          </w:tcPr>
          <w:p w:rsidR="008D14E6" w:rsidRPr="00BA60F0" w:rsidRDefault="008D14E6" w:rsidP="00746849">
            <w:pPr>
              <w:adjustRightInd w:val="0"/>
              <w:snapToGrid w:val="0"/>
              <w:spacing w:after="0" w:line="360" w:lineRule="auto"/>
              <w:jc w:val="both"/>
              <w:rPr>
                <w:rFonts w:ascii="Book Antiqua" w:hAnsi="Book Antiqua" w:cs="Arial"/>
                <w:sz w:val="24"/>
                <w:szCs w:val="24"/>
                <w:lang w:val="en-US"/>
              </w:rPr>
            </w:pPr>
            <w:r w:rsidRPr="00BA60F0">
              <w:rPr>
                <w:rFonts w:ascii="Book Antiqua" w:hAnsi="Book Antiqua" w:cs="Arial"/>
                <w:sz w:val="24"/>
                <w:szCs w:val="24"/>
                <w:lang w:val="en-US"/>
              </w:rPr>
              <w:t>20.0</w:t>
            </w:r>
          </w:p>
        </w:tc>
        <w:tc>
          <w:tcPr>
            <w:tcW w:w="810" w:type="dxa"/>
            <w:tcBorders>
              <w:top w:val="single" w:sz="4" w:space="0" w:color="auto"/>
            </w:tcBorders>
          </w:tcPr>
          <w:p w:rsidR="008D14E6" w:rsidRPr="00BA60F0" w:rsidRDefault="008D14E6" w:rsidP="00746849">
            <w:pPr>
              <w:adjustRightInd w:val="0"/>
              <w:snapToGrid w:val="0"/>
              <w:spacing w:after="0" w:line="360" w:lineRule="auto"/>
              <w:jc w:val="both"/>
              <w:rPr>
                <w:rFonts w:ascii="Book Antiqua" w:hAnsi="Book Antiqua" w:cs="Arial"/>
                <w:sz w:val="24"/>
                <w:szCs w:val="24"/>
                <w:lang w:val="en-US"/>
              </w:rPr>
            </w:pPr>
          </w:p>
          <w:p w:rsidR="008D14E6" w:rsidRPr="00BA60F0" w:rsidRDefault="008D14E6" w:rsidP="00746849">
            <w:pPr>
              <w:adjustRightInd w:val="0"/>
              <w:snapToGrid w:val="0"/>
              <w:spacing w:after="0" w:line="360" w:lineRule="auto"/>
              <w:jc w:val="both"/>
              <w:rPr>
                <w:rFonts w:ascii="Book Antiqua" w:hAnsi="Book Antiqua" w:cs="Arial"/>
                <w:sz w:val="24"/>
                <w:szCs w:val="24"/>
                <w:lang w:val="en-US"/>
              </w:rPr>
            </w:pPr>
            <w:r w:rsidRPr="00BA60F0">
              <w:rPr>
                <w:rFonts w:ascii="Book Antiqua" w:hAnsi="Book Antiqua" w:cs="Arial"/>
                <w:sz w:val="24"/>
                <w:szCs w:val="24"/>
                <w:lang w:val="en-US"/>
              </w:rPr>
              <w:t>2.6</w:t>
            </w:r>
          </w:p>
        </w:tc>
        <w:tc>
          <w:tcPr>
            <w:tcW w:w="810" w:type="dxa"/>
            <w:tcBorders>
              <w:top w:val="single" w:sz="4" w:space="0" w:color="auto"/>
            </w:tcBorders>
          </w:tcPr>
          <w:p w:rsidR="008D14E6" w:rsidRPr="00BA60F0" w:rsidRDefault="008D14E6" w:rsidP="00746849">
            <w:pPr>
              <w:adjustRightInd w:val="0"/>
              <w:snapToGrid w:val="0"/>
              <w:spacing w:after="0" w:line="360" w:lineRule="auto"/>
              <w:jc w:val="both"/>
              <w:rPr>
                <w:rFonts w:ascii="Book Antiqua" w:hAnsi="Book Antiqua" w:cs="Arial"/>
                <w:sz w:val="24"/>
                <w:szCs w:val="24"/>
                <w:lang w:val="en-US"/>
              </w:rPr>
            </w:pPr>
            <w:r w:rsidRPr="00BA60F0">
              <w:rPr>
                <w:rFonts w:ascii="Book Antiqua" w:hAnsi="Book Antiqua" w:cs="Arial"/>
                <w:sz w:val="24"/>
                <w:szCs w:val="24"/>
                <w:lang w:val="en-US"/>
              </w:rPr>
              <w:t xml:space="preserve">NR </w:t>
            </w:r>
          </w:p>
        </w:tc>
        <w:tc>
          <w:tcPr>
            <w:tcW w:w="810" w:type="dxa"/>
            <w:tcBorders>
              <w:top w:val="single" w:sz="4" w:space="0" w:color="auto"/>
            </w:tcBorders>
          </w:tcPr>
          <w:p w:rsidR="008D14E6" w:rsidRPr="00BA60F0" w:rsidRDefault="008D14E6" w:rsidP="00746849">
            <w:pPr>
              <w:adjustRightInd w:val="0"/>
              <w:snapToGrid w:val="0"/>
              <w:spacing w:after="0" w:line="360" w:lineRule="auto"/>
              <w:jc w:val="both"/>
              <w:rPr>
                <w:rFonts w:ascii="Book Antiqua" w:hAnsi="Book Antiqua" w:cs="Arial"/>
                <w:sz w:val="24"/>
                <w:szCs w:val="24"/>
                <w:lang w:val="en-US"/>
              </w:rPr>
            </w:pPr>
            <w:r w:rsidRPr="00BA60F0">
              <w:rPr>
                <w:rFonts w:ascii="Book Antiqua" w:hAnsi="Book Antiqua" w:cs="Arial"/>
                <w:sz w:val="24"/>
                <w:szCs w:val="24"/>
                <w:lang w:val="en-US"/>
              </w:rPr>
              <w:t>5.2</w:t>
            </w:r>
          </w:p>
        </w:tc>
        <w:tc>
          <w:tcPr>
            <w:tcW w:w="1867" w:type="dxa"/>
            <w:tcBorders>
              <w:top w:val="single" w:sz="4" w:space="0" w:color="auto"/>
            </w:tcBorders>
          </w:tcPr>
          <w:p w:rsidR="008D14E6" w:rsidRPr="00BA60F0" w:rsidRDefault="008D14E6" w:rsidP="00746849">
            <w:pPr>
              <w:adjustRightInd w:val="0"/>
              <w:snapToGrid w:val="0"/>
              <w:spacing w:after="0" w:line="360" w:lineRule="auto"/>
              <w:jc w:val="both"/>
              <w:rPr>
                <w:rFonts w:ascii="Book Antiqua" w:hAnsi="Book Antiqua" w:cs="Arial"/>
                <w:sz w:val="24"/>
                <w:szCs w:val="24"/>
                <w:lang w:val="en-US"/>
              </w:rPr>
            </w:pPr>
            <w:r w:rsidRPr="00BA60F0">
              <w:rPr>
                <w:rFonts w:ascii="Book Antiqua" w:hAnsi="Book Antiqua" w:cs="Arial"/>
                <w:sz w:val="24"/>
                <w:szCs w:val="24"/>
                <w:lang w:val="en-US"/>
              </w:rPr>
              <w:t>A/L/N/T/N-E/D/FN/I - 56.8/45.9/67.6/8.1/ 18.9/18.9/16.2/8.1</w:t>
            </w:r>
          </w:p>
        </w:tc>
        <w:tc>
          <w:tcPr>
            <w:tcW w:w="1080" w:type="dxa"/>
            <w:tcBorders>
              <w:top w:val="single" w:sz="4" w:space="0" w:color="auto"/>
            </w:tcBorders>
          </w:tcPr>
          <w:p w:rsidR="008D14E6" w:rsidRPr="00CE72EE" w:rsidRDefault="00157AED" w:rsidP="00746849">
            <w:pPr>
              <w:adjustRightInd w:val="0"/>
              <w:snapToGrid w:val="0"/>
              <w:spacing w:after="0" w:line="360" w:lineRule="auto"/>
              <w:jc w:val="both"/>
              <w:rPr>
                <w:rFonts w:ascii="Book Antiqua" w:hAnsi="Book Antiqua" w:cs="Arial"/>
                <w:bCs/>
                <w:sz w:val="24"/>
                <w:szCs w:val="24"/>
                <w:lang w:val="en-US"/>
              </w:rPr>
            </w:pPr>
            <w:r w:rsidRPr="00CE72EE">
              <w:rPr>
                <w:rFonts w:ascii="Book Antiqua" w:hAnsi="Book Antiqua" w:cs="Arial"/>
                <w:bCs/>
                <w:sz w:val="24"/>
                <w:szCs w:val="24"/>
                <w:lang w:val="en-US"/>
              </w:rPr>
              <w:t>Chun</w:t>
            </w:r>
            <w:r w:rsidRPr="00CE72EE">
              <w:rPr>
                <w:rFonts w:ascii="Book Antiqua" w:hAnsi="Book Antiqua" w:cs="Arial"/>
                <w:bCs/>
                <w:sz w:val="24"/>
                <w:szCs w:val="24"/>
                <w:lang w:val="en-US" w:eastAsia="zh-CN"/>
              </w:rPr>
              <w:t xml:space="preserve"> </w:t>
            </w:r>
            <w:r w:rsidRPr="00CE72EE">
              <w:rPr>
                <w:rFonts w:ascii="Book Antiqua" w:hAnsi="Book Antiqua" w:cs="Arial"/>
                <w:bCs/>
                <w:i/>
                <w:sz w:val="24"/>
                <w:szCs w:val="24"/>
                <w:lang w:val="en-US" w:eastAsia="zh-CN"/>
              </w:rPr>
              <w:t>et al</w:t>
            </w:r>
            <w:r w:rsidRPr="00CE72EE">
              <w:rPr>
                <w:rFonts w:ascii="Book Antiqua" w:hAnsi="Book Antiqua" w:cs="Arial"/>
                <w:bCs/>
                <w:sz w:val="24"/>
                <w:szCs w:val="24"/>
                <w:vertAlign w:val="superscript"/>
                <w:lang w:val="en-US" w:eastAsia="zh-CN"/>
              </w:rPr>
              <w:t>[19]</w:t>
            </w:r>
            <w:r w:rsidRPr="00CE72EE">
              <w:rPr>
                <w:rFonts w:ascii="Book Antiqua" w:hAnsi="Book Antiqua" w:cs="Arial"/>
                <w:bCs/>
                <w:sz w:val="24"/>
                <w:szCs w:val="24"/>
                <w:lang w:val="en-US" w:eastAsia="zh-CN"/>
              </w:rPr>
              <w:t xml:space="preserve">, </w:t>
            </w:r>
            <w:r w:rsidR="008D14E6" w:rsidRPr="00CE72EE">
              <w:rPr>
                <w:rFonts w:ascii="Book Antiqua" w:hAnsi="Book Antiqua" w:cs="Arial"/>
                <w:bCs/>
                <w:sz w:val="24"/>
                <w:szCs w:val="24"/>
                <w:lang w:val="en-US"/>
              </w:rPr>
              <w:t>2004</w:t>
            </w:r>
          </w:p>
        </w:tc>
      </w:tr>
      <w:tr w:rsidR="008D14E6" w:rsidRPr="00BA60F0" w:rsidTr="00CE72EE">
        <w:tc>
          <w:tcPr>
            <w:tcW w:w="1100" w:type="dxa"/>
          </w:tcPr>
          <w:p w:rsidR="008D14E6" w:rsidRPr="00BA60F0" w:rsidRDefault="008D14E6" w:rsidP="00746849">
            <w:pPr>
              <w:adjustRightInd w:val="0"/>
              <w:snapToGrid w:val="0"/>
              <w:spacing w:after="0" w:line="360" w:lineRule="auto"/>
              <w:jc w:val="both"/>
              <w:rPr>
                <w:rFonts w:ascii="Book Antiqua" w:hAnsi="Book Antiqua" w:cs="Arial"/>
                <w:b/>
                <w:bCs/>
                <w:sz w:val="24"/>
                <w:szCs w:val="24"/>
                <w:lang w:val="en-US"/>
              </w:rPr>
            </w:pPr>
            <w:r w:rsidRPr="00BA60F0">
              <w:rPr>
                <w:rFonts w:ascii="Book Antiqua" w:hAnsi="Book Antiqua" w:cs="Arial"/>
                <w:b/>
                <w:bCs/>
                <w:sz w:val="24"/>
                <w:szCs w:val="24"/>
                <w:lang w:val="en-US"/>
              </w:rPr>
              <w:t>Irinotecan</w:t>
            </w:r>
          </w:p>
        </w:tc>
        <w:tc>
          <w:tcPr>
            <w:tcW w:w="710" w:type="dxa"/>
          </w:tcPr>
          <w:p w:rsidR="008D14E6" w:rsidRPr="00BA60F0" w:rsidRDefault="008D14E6" w:rsidP="00746849">
            <w:pPr>
              <w:adjustRightInd w:val="0"/>
              <w:snapToGrid w:val="0"/>
              <w:spacing w:after="0" w:line="360" w:lineRule="auto"/>
              <w:jc w:val="both"/>
              <w:rPr>
                <w:rFonts w:ascii="Book Antiqua" w:hAnsi="Book Antiqua" w:cs="Arial"/>
                <w:sz w:val="24"/>
                <w:szCs w:val="24"/>
                <w:lang w:val="en-US"/>
              </w:rPr>
            </w:pPr>
            <w:r w:rsidRPr="00BA60F0">
              <w:rPr>
                <w:rFonts w:ascii="Book Antiqua" w:hAnsi="Book Antiqua" w:cs="Arial"/>
                <w:sz w:val="24"/>
                <w:szCs w:val="24"/>
                <w:lang w:val="en-US"/>
              </w:rPr>
              <w:t>39/30</w:t>
            </w:r>
          </w:p>
        </w:tc>
        <w:tc>
          <w:tcPr>
            <w:tcW w:w="1178" w:type="dxa"/>
          </w:tcPr>
          <w:p w:rsidR="008D14E6" w:rsidRPr="00BA60F0" w:rsidRDefault="008D14E6" w:rsidP="00746849">
            <w:pPr>
              <w:adjustRightInd w:val="0"/>
              <w:snapToGrid w:val="0"/>
              <w:spacing w:after="0" w:line="360" w:lineRule="auto"/>
              <w:jc w:val="both"/>
              <w:rPr>
                <w:rFonts w:ascii="Book Antiqua" w:hAnsi="Book Antiqua" w:cs="Arial"/>
                <w:sz w:val="24"/>
                <w:szCs w:val="24"/>
                <w:lang w:val="en-US"/>
              </w:rPr>
            </w:pPr>
            <w:r w:rsidRPr="00BA60F0">
              <w:rPr>
                <w:rFonts w:ascii="Book Antiqua" w:hAnsi="Book Antiqua" w:cs="Arial"/>
                <w:sz w:val="24"/>
                <w:szCs w:val="24"/>
                <w:lang w:val="en-US"/>
              </w:rPr>
              <w:t>ECOG 0/1/2 – 18/10/2</w:t>
            </w:r>
          </w:p>
        </w:tc>
        <w:tc>
          <w:tcPr>
            <w:tcW w:w="1440" w:type="dxa"/>
          </w:tcPr>
          <w:p w:rsidR="008D14E6" w:rsidRPr="00BA60F0" w:rsidRDefault="008D14E6" w:rsidP="00746849">
            <w:pPr>
              <w:adjustRightInd w:val="0"/>
              <w:snapToGrid w:val="0"/>
              <w:spacing w:after="0" w:line="360" w:lineRule="auto"/>
              <w:jc w:val="both"/>
              <w:rPr>
                <w:rFonts w:ascii="Book Antiqua" w:hAnsi="Book Antiqua" w:cs="Arial"/>
                <w:sz w:val="24"/>
                <w:szCs w:val="24"/>
                <w:lang w:val="en-US"/>
              </w:rPr>
            </w:pPr>
            <w:r w:rsidRPr="00BA60F0">
              <w:rPr>
                <w:rFonts w:ascii="Book Antiqua" w:hAnsi="Book Antiqua" w:cs="Arial"/>
                <w:sz w:val="24"/>
                <w:szCs w:val="24"/>
                <w:lang w:val="en-US"/>
              </w:rPr>
              <w:t>Iri – 100 d1,d8,d15 q28</w:t>
            </w:r>
          </w:p>
        </w:tc>
        <w:tc>
          <w:tcPr>
            <w:tcW w:w="720" w:type="dxa"/>
          </w:tcPr>
          <w:p w:rsidR="008D14E6" w:rsidRPr="00BA60F0" w:rsidRDefault="008D14E6" w:rsidP="00746849">
            <w:pPr>
              <w:adjustRightInd w:val="0"/>
              <w:snapToGrid w:val="0"/>
              <w:spacing w:after="0" w:line="360" w:lineRule="auto"/>
              <w:jc w:val="both"/>
              <w:rPr>
                <w:rFonts w:ascii="Book Antiqua" w:hAnsi="Book Antiqua" w:cs="Arial"/>
                <w:sz w:val="24"/>
                <w:szCs w:val="24"/>
                <w:lang w:val="en-US"/>
              </w:rPr>
            </w:pPr>
            <w:r w:rsidRPr="00BA60F0">
              <w:rPr>
                <w:rFonts w:ascii="Book Antiqua" w:hAnsi="Book Antiqua" w:cs="Arial"/>
                <w:sz w:val="24"/>
                <w:szCs w:val="24"/>
                <w:lang w:val="en-US"/>
              </w:rPr>
              <w:t>15.3</w:t>
            </w:r>
          </w:p>
        </w:tc>
        <w:tc>
          <w:tcPr>
            <w:tcW w:w="810" w:type="dxa"/>
          </w:tcPr>
          <w:p w:rsidR="008D14E6" w:rsidRPr="00BA60F0" w:rsidRDefault="008D14E6" w:rsidP="00746849">
            <w:pPr>
              <w:adjustRightInd w:val="0"/>
              <w:snapToGrid w:val="0"/>
              <w:spacing w:after="0" w:line="360" w:lineRule="auto"/>
              <w:jc w:val="both"/>
              <w:rPr>
                <w:rFonts w:ascii="Book Antiqua" w:hAnsi="Book Antiqua" w:cs="Arial"/>
                <w:sz w:val="24"/>
                <w:szCs w:val="24"/>
                <w:lang w:val="en-US"/>
              </w:rPr>
            </w:pPr>
            <w:r w:rsidRPr="00BA60F0">
              <w:rPr>
                <w:rFonts w:ascii="Book Antiqua" w:hAnsi="Book Antiqua" w:cs="Arial"/>
                <w:sz w:val="24"/>
                <w:szCs w:val="24"/>
                <w:lang w:val="en-US"/>
              </w:rPr>
              <w:t>2.9</w:t>
            </w:r>
          </w:p>
        </w:tc>
        <w:tc>
          <w:tcPr>
            <w:tcW w:w="810" w:type="dxa"/>
          </w:tcPr>
          <w:p w:rsidR="008D14E6" w:rsidRPr="00BA60F0" w:rsidRDefault="008D14E6" w:rsidP="00746849">
            <w:pPr>
              <w:adjustRightInd w:val="0"/>
              <w:snapToGrid w:val="0"/>
              <w:spacing w:after="0" w:line="360" w:lineRule="auto"/>
              <w:jc w:val="both"/>
              <w:rPr>
                <w:rFonts w:ascii="Book Antiqua" w:hAnsi="Book Antiqua" w:cs="Arial"/>
                <w:sz w:val="24"/>
                <w:szCs w:val="24"/>
                <w:lang w:val="en-US"/>
              </w:rPr>
            </w:pPr>
            <w:r w:rsidRPr="00BA60F0">
              <w:rPr>
                <w:rFonts w:ascii="Book Antiqua" w:hAnsi="Book Antiqua" w:cs="Arial"/>
                <w:sz w:val="24"/>
                <w:szCs w:val="24"/>
                <w:lang w:val="en-US"/>
              </w:rPr>
              <w:t>NR</w:t>
            </w:r>
          </w:p>
        </w:tc>
        <w:tc>
          <w:tcPr>
            <w:tcW w:w="810" w:type="dxa"/>
          </w:tcPr>
          <w:p w:rsidR="008D14E6" w:rsidRPr="00BA60F0" w:rsidRDefault="008D14E6" w:rsidP="00746849">
            <w:pPr>
              <w:adjustRightInd w:val="0"/>
              <w:snapToGrid w:val="0"/>
              <w:spacing w:after="0" w:line="360" w:lineRule="auto"/>
              <w:jc w:val="both"/>
              <w:rPr>
                <w:rFonts w:ascii="Book Antiqua" w:hAnsi="Book Antiqua" w:cs="Arial"/>
                <w:sz w:val="24"/>
                <w:szCs w:val="24"/>
                <w:lang w:val="en-US"/>
              </w:rPr>
            </w:pPr>
            <w:r w:rsidRPr="00BA60F0">
              <w:rPr>
                <w:rFonts w:ascii="Book Antiqua" w:hAnsi="Book Antiqua" w:cs="Arial"/>
                <w:sz w:val="24"/>
                <w:szCs w:val="24"/>
                <w:lang w:val="en-US"/>
              </w:rPr>
              <w:t>8.8</w:t>
            </w:r>
          </w:p>
        </w:tc>
        <w:tc>
          <w:tcPr>
            <w:tcW w:w="1867" w:type="dxa"/>
          </w:tcPr>
          <w:p w:rsidR="008D14E6" w:rsidRPr="00BA60F0" w:rsidRDefault="008D14E6" w:rsidP="00746849">
            <w:pPr>
              <w:adjustRightInd w:val="0"/>
              <w:snapToGrid w:val="0"/>
              <w:spacing w:after="0" w:line="360" w:lineRule="auto"/>
              <w:jc w:val="both"/>
              <w:rPr>
                <w:rFonts w:ascii="Book Antiqua" w:hAnsi="Book Antiqua" w:cs="Arial"/>
                <w:sz w:val="24"/>
                <w:szCs w:val="24"/>
                <w:lang w:val="en-US"/>
              </w:rPr>
            </w:pPr>
            <w:r w:rsidRPr="00BA60F0">
              <w:rPr>
                <w:rFonts w:ascii="Book Antiqua" w:hAnsi="Book Antiqua" w:cs="Arial"/>
                <w:sz w:val="24"/>
                <w:szCs w:val="24"/>
                <w:lang w:val="en-US"/>
              </w:rPr>
              <w:t>A/N/Leu/Ano/D/F/- 13/30/17/23/17/13</w:t>
            </w:r>
          </w:p>
        </w:tc>
        <w:tc>
          <w:tcPr>
            <w:tcW w:w="1080" w:type="dxa"/>
          </w:tcPr>
          <w:p w:rsidR="008D14E6" w:rsidRPr="00CE72EE" w:rsidRDefault="008D14E6" w:rsidP="00746849">
            <w:pPr>
              <w:adjustRightInd w:val="0"/>
              <w:snapToGrid w:val="0"/>
              <w:spacing w:after="0" w:line="360" w:lineRule="auto"/>
              <w:jc w:val="both"/>
              <w:rPr>
                <w:rFonts w:ascii="Book Antiqua" w:hAnsi="Book Antiqua" w:cs="Arial"/>
                <w:bCs/>
                <w:sz w:val="24"/>
                <w:szCs w:val="24"/>
                <w:lang w:val="en-US"/>
              </w:rPr>
            </w:pPr>
            <w:r w:rsidRPr="00CE72EE">
              <w:rPr>
                <w:rFonts w:ascii="Book Antiqua" w:hAnsi="Book Antiqua" w:cs="Arial"/>
                <w:bCs/>
                <w:sz w:val="24"/>
                <w:szCs w:val="24"/>
                <w:lang w:val="en-US"/>
              </w:rPr>
              <w:t>Mochizuki</w:t>
            </w:r>
            <w:r w:rsidR="00EB2F98" w:rsidRPr="00CE72EE">
              <w:rPr>
                <w:rFonts w:ascii="Book Antiqua" w:hAnsi="Book Antiqua" w:cs="Arial"/>
                <w:bCs/>
                <w:sz w:val="24"/>
                <w:szCs w:val="24"/>
                <w:lang w:val="en-US"/>
              </w:rPr>
              <w:t xml:space="preserve"> </w:t>
            </w:r>
            <w:r w:rsidR="00EB2F98" w:rsidRPr="00CE72EE">
              <w:rPr>
                <w:rFonts w:ascii="Book Antiqua" w:hAnsi="Book Antiqua" w:cs="Arial"/>
                <w:bCs/>
                <w:i/>
                <w:sz w:val="24"/>
                <w:szCs w:val="24"/>
                <w:lang w:val="en-US"/>
              </w:rPr>
              <w:t>et al</w:t>
            </w:r>
            <w:r w:rsidR="00EB2F98" w:rsidRPr="00CE72EE">
              <w:rPr>
                <w:rFonts w:ascii="Book Antiqua" w:hAnsi="Book Antiqua" w:cs="Arial"/>
                <w:bCs/>
                <w:sz w:val="24"/>
                <w:szCs w:val="24"/>
                <w:vertAlign w:val="superscript"/>
                <w:lang w:val="en-US"/>
              </w:rPr>
              <w:t>[20]</w:t>
            </w:r>
            <w:r w:rsidR="00EB2F98" w:rsidRPr="00CE72EE">
              <w:rPr>
                <w:rFonts w:ascii="Book Antiqua" w:hAnsi="Book Antiqua" w:cs="Arial"/>
                <w:bCs/>
                <w:sz w:val="24"/>
                <w:szCs w:val="24"/>
                <w:lang w:val="en-US"/>
              </w:rPr>
              <w:t>, 2013</w:t>
            </w:r>
          </w:p>
        </w:tc>
      </w:tr>
      <w:tr w:rsidR="008D14E6" w:rsidRPr="00BA60F0" w:rsidTr="00CE72EE">
        <w:tc>
          <w:tcPr>
            <w:tcW w:w="1100" w:type="dxa"/>
          </w:tcPr>
          <w:p w:rsidR="008D14E6" w:rsidRPr="00BA60F0" w:rsidRDefault="008D14E6" w:rsidP="00746849">
            <w:pPr>
              <w:adjustRightInd w:val="0"/>
              <w:snapToGrid w:val="0"/>
              <w:spacing w:after="0" w:line="360" w:lineRule="auto"/>
              <w:jc w:val="both"/>
              <w:rPr>
                <w:rFonts w:ascii="Book Antiqua" w:hAnsi="Book Antiqua" w:cs="Arial"/>
                <w:b/>
                <w:bCs/>
                <w:sz w:val="24"/>
                <w:szCs w:val="24"/>
                <w:lang w:val="en-US"/>
              </w:rPr>
            </w:pPr>
            <w:r w:rsidRPr="00BA60F0">
              <w:rPr>
                <w:rFonts w:ascii="Book Antiqua" w:hAnsi="Book Antiqua" w:cs="Arial"/>
                <w:b/>
                <w:bCs/>
                <w:sz w:val="24"/>
                <w:szCs w:val="24"/>
                <w:lang w:val="en-US"/>
              </w:rPr>
              <w:t>Paclitaxel</w:t>
            </w:r>
          </w:p>
        </w:tc>
        <w:tc>
          <w:tcPr>
            <w:tcW w:w="710" w:type="dxa"/>
          </w:tcPr>
          <w:p w:rsidR="008D14E6" w:rsidRPr="00BA60F0" w:rsidRDefault="008D14E6" w:rsidP="00746849">
            <w:pPr>
              <w:adjustRightInd w:val="0"/>
              <w:snapToGrid w:val="0"/>
              <w:spacing w:after="0" w:line="360" w:lineRule="auto"/>
              <w:jc w:val="both"/>
              <w:rPr>
                <w:rFonts w:ascii="Book Antiqua" w:hAnsi="Book Antiqua" w:cs="Arial"/>
                <w:sz w:val="24"/>
                <w:szCs w:val="24"/>
                <w:lang w:val="en-US"/>
              </w:rPr>
            </w:pPr>
            <w:r w:rsidRPr="00BA60F0">
              <w:rPr>
                <w:rFonts w:ascii="Book Antiqua" w:hAnsi="Book Antiqua" w:cs="Arial"/>
                <w:sz w:val="24"/>
                <w:szCs w:val="24"/>
                <w:lang w:val="en-US"/>
              </w:rPr>
              <w:t>36/36</w:t>
            </w:r>
          </w:p>
        </w:tc>
        <w:tc>
          <w:tcPr>
            <w:tcW w:w="1178" w:type="dxa"/>
          </w:tcPr>
          <w:p w:rsidR="008D14E6" w:rsidRPr="00BA60F0" w:rsidRDefault="008D14E6" w:rsidP="00746849">
            <w:pPr>
              <w:adjustRightInd w:val="0"/>
              <w:snapToGrid w:val="0"/>
              <w:spacing w:after="0" w:line="360" w:lineRule="auto"/>
              <w:jc w:val="both"/>
              <w:rPr>
                <w:rFonts w:ascii="Book Antiqua" w:hAnsi="Book Antiqua" w:cs="Arial"/>
                <w:sz w:val="24"/>
                <w:szCs w:val="24"/>
                <w:lang w:val="en-US"/>
              </w:rPr>
            </w:pPr>
            <w:r w:rsidRPr="00BA60F0">
              <w:rPr>
                <w:rFonts w:ascii="Book Antiqua" w:hAnsi="Book Antiqua" w:cs="Arial"/>
                <w:sz w:val="24"/>
                <w:szCs w:val="24"/>
                <w:lang w:val="en-US"/>
              </w:rPr>
              <w:t>ECOG 0/1/2 – 7/20/9</w:t>
            </w:r>
          </w:p>
        </w:tc>
        <w:tc>
          <w:tcPr>
            <w:tcW w:w="1440" w:type="dxa"/>
          </w:tcPr>
          <w:p w:rsidR="008D14E6" w:rsidRPr="00BA60F0" w:rsidRDefault="008D14E6" w:rsidP="00746849">
            <w:pPr>
              <w:adjustRightInd w:val="0"/>
              <w:snapToGrid w:val="0"/>
              <w:spacing w:after="0" w:line="360" w:lineRule="auto"/>
              <w:jc w:val="both"/>
              <w:rPr>
                <w:rFonts w:ascii="Book Antiqua" w:hAnsi="Book Antiqua" w:cs="Arial"/>
                <w:sz w:val="24"/>
                <w:szCs w:val="24"/>
                <w:lang w:val="en-US"/>
              </w:rPr>
            </w:pPr>
            <w:r w:rsidRPr="00BA60F0">
              <w:rPr>
                <w:rFonts w:ascii="Book Antiqua" w:hAnsi="Book Antiqua" w:cs="Arial"/>
                <w:sz w:val="24"/>
                <w:szCs w:val="24"/>
                <w:lang w:val="en-US"/>
              </w:rPr>
              <w:t>Ptx - 225 d1 q21</w:t>
            </w:r>
          </w:p>
        </w:tc>
        <w:tc>
          <w:tcPr>
            <w:tcW w:w="720" w:type="dxa"/>
          </w:tcPr>
          <w:p w:rsidR="008D14E6" w:rsidRPr="00BA60F0" w:rsidRDefault="008D14E6" w:rsidP="00746849">
            <w:pPr>
              <w:adjustRightInd w:val="0"/>
              <w:snapToGrid w:val="0"/>
              <w:spacing w:after="0" w:line="360" w:lineRule="auto"/>
              <w:jc w:val="both"/>
              <w:rPr>
                <w:rFonts w:ascii="Book Antiqua" w:hAnsi="Book Antiqua" w:cs="Arial"/>
                <w:sz w:val="24"/>
                <w:szCs w:val="24"/>
                <w:lang w:val="en-US"/>
              </w:rPr>
            </w:pPr>
            <w:r w:rsidRPr="00BA60F0">
              <w:rPr>
                <w:rFonts w:ascii="Book Antiqua" w:hAnsi="Book Antiqua" w:cs="Arial"/>
                <w:sz w:val="24"/>
                <w:szCs w:val="24"/>
                <w:lang w:val="en-US"/>
              </w:rPr>
              <w:t>22.2</w:t>
            </w:r>
          </w:p>
        </w:tc>
        <w:tc>
          <w:tcPr>
            <w:tcW w:w="810" w:type="dxa"/>
          </w:tcPr>
          <w:p w:rsidR="008D14E6" w:rsidRPr="00BA60F0" w:rsidRDefault="008D14E6" w:rsidP="00746849">
            <w:pPr>
              <w:adjustRightInd w:val="0"/>
              <w:snapToGrid w:val="0"/>
              <w:spacing w:after="0" w:line="360" w:lineRule="auto"/>
              <w:jc w:val="both"/>
              <w:rPr>
                <w:rFonts w:ascii="Book Antiqua" w:hAnsi="Book Antiqua" w:cs="Arial"/>
                <w:sz w:val="24"/>
                <w:szCs w:val="24"/>
                <w:lang w:val="en-US"/>
              </w:rPr>
            </w:pPr>
            <w:r w:rsidRPr="00BA60F0">
              <w:rPr>
                <w:rFonts w:ascii="Book Antiqua" w:hAnsi="Book Antiqua" w:cs="Arial"/>
                <w:sz w:val="24"/>
                <w:szCs w:val="24"/>
                <w:lang w:val="en-US"/>
              </w:rPr>
              <w:t>5.0</w:t>
            </w:r>
          </w:p>
        </w:tc>
        <w:tc>
          <w:tcPr>
            <w:tcW w:w="810" w:type="dxa"/>
          </w:tcPr>
          <w:p w:rsidR="008D14E6" w:rsidRPr="00BA60F0" w:rsidRDefault="008D14E6" w:rsidP="00746849">
            <w:pPr>
              <w:adjustRightInd w:val="0"/>
              <w:snapToGrid w:val="0"/>
              <w:spacing w:after="0" w:line="360" w:lineRule="auto"/>
              <w:jc w:val="both"/>
              <w:rPr>
                <w:rFonts w:ascii="Book Antiqua" w:hAnsi="Book Antiqua" w:cs="Arial"/>
                <w:sz w:val="24"/>
                <w:szCs w:val="24"/>
                <w:lang w:val="en-US"/>
              </w:rPr>
            </w:pPr>
            <w:r w:rsidRPr="00BA60F0">
              <w:rPr>
                <w:rFonts w:ascii="Book Antiqua" w:hAnsi="Book Antiqua" w:cs="Arial"/>
                <w:sz w:val="24"/>
                <w:szCs w:val="24"/>
                <w:lang w:val="en-US"/>
              </w:rPr>
              <w:t xml:space="preserve">NR </w:t>
            </w:r>
          </w:p>
        </w:tc>
        <w:tc>
          <w:tcPr>
            <w:tcW w:w="810" w:type="dxa"/>
          </w:tcPr>
          <w:p w:rsidR="008D14E6" w:rsidRPr="00BA60F0" w:rsidRDefault="008D14E6" w:rsidP="00746849">
            <w:pPr>
              <w:adjustRightInd w:val="0"/>
              <w:snapToGrid w:val="0"/>
              <w:spacing w:after="0" w:line="360" w:lineRule="auto"/>
              <w:jc w:val="both"/>
              <w:rPr>
                <w:rFonts w:ascii="Book Antiqua" w:hAnsi="Book Antiqua" w:cs="Arial"/>
                <w:sz w:val="24"/>
                <w:szCs w:val="24"/>
                <w:lang w:val="en-US"/>
              </w:rPr>
            </w:pPr>
            <w:r w:rsidRPr="00BA60F0">
              <w:rPr>
                <w:rFonts w:ascii="Book Antiqua" w:hAnsi="Book Antiqua" w:cs="Arial"/>
                <w:sz w:val="24"/>
                <w:szCs w:val="24"/>
                <w:lang w:val="en-US"/>
              </w:rPr>
              <w:t>8.0</w:t>
            </w:r>
          </w:p>
        </w:tc>
        <w:tc>
          <w:tcPr>
            <w:tcW w:w="1867" w:type="dxa"/>
          </w:tcPr>
          <w:p w:rsidR="008D14E6" w:rsidRPr="00BA60F0" w:rsidRDefault="008D14E6" w:rsidP="00746849">
            <w:pPr>
              <w:adjustRightInd w:val="0"/>
              <w:snapToGrid w:val="0"/>
              <w:spacing w:after="0" w:line="360" w:lineRule="auto"/>
              <w:jc w:val="both"/>
              <w:rPr>
                <w:rFonts w:ascii="Book Antiqua" w:hAnsi="Book Antiqua" w:cs="Arial"/>
                <w:sz w:val="24"/>
                <w:szCs w:val="24"/>
                <w:lang w:val="en-US"/>
              </w:rPr>
            </w:pPr>
            <w:r w:rsidRPr="00BA60F0">
              <w:rPr>
                <w:rFonts w:ascii="Book Antiqua" w:hAnsi="Book Antiqua" w:cs="Arial"/>
                <w:sz w:val="24"/>
                <w:szCs w:val="24"/>
                <w:lang w:val="en-US"/>
              </w:rPr>
              <w:t>L/T - 17/17</w:t>
            </w:r>
          </w:p>
        </w:tc>
        <w:tc>
          <w:tcPr>
            <w:tcW w:w="1080" w:type="dxa"/>
          </w:tcPr>
          <w:p w:rsidR="008D14E6" w:rsidRPr="00CE72EE" w:rsidRDefault="008D14E6" w:rsidP="00746849">
            <w:pPr>
              <w:adjustRightInd w:val="0"/>
              <w:snapToGrid w:val="0"/>
              <w:spacing w:after="0" w:line="360" w:lineRule="auto"/>
              <w:jc w:val="both"/>
              <w:rPr>
                <w:rFonts w:ascii="Book Antiqua" w:hAnsi="Book Antiqua" w:cs="Arial"/>
                <w:bCs/>
                <w:sz w:val="24"/>
                <w:szCs w:val="24"/>
                <w:lang w:val="en-US"/>
              </w:rPr>
            </w:pPr>
            <w:r w:rsidRPr="00CE72EE">
              <w:rPr>
                <w:rFonts w:ascii="Book Antiqua" w:hAnsi="Book Antiqua" w:cs="Arial"/>
                <w:bCs/>
                <w:sz w:val="24"/>
                <w:szCs w:val="24"/>
                <w:lang w:val="en-US"/>
              </w:rPr>
              <w:t>Cascinu</w:t>
            </w:r>
            <w:r w:rsidR="00EB2F98" w:rsidRPr="00CE72EE">
              <w:rPr>
                <w:rFonts w:ascii="Book Antiqua" w:hAnsi="Book Antiqua" w:cs="Arial"/>
                <w:bCs/>
                <w:sz w:val="24"/>
                <w:szCs w:val="24"/>
                <w:lang w:val="en-US"/>
              </w:rPr>
              <w:t xml:space="preserve"> </w:t>
            </w:r>
            <w:r w:rsidR="00EB2F98" w:rsidRPr="00CE72EE">
              <w:rPr>
                <w:rFonts w:ascii="Book Antiqua" w:hAnsi="Book Antiqua" w:cs="Arial"/>
                <w:bCs/>
                <w:i/>
                <w:sz w:val="24"/>
                <w:szCs w:val="24"/>
                <w:lang w:val="en-US"/>
              </w:rPr>
              <w:t>et al</w:t>
            </w:r>
            <w:r w:rsidR="00EB2F98" w:rsidRPr="00CE72EE">
              <w:rPr>
                <w:rFonts w:ascii="Book Antiqua" w:hAnsi="Book Antiqua" w:cs="Arial"/>
                <w:bCs/>
                <w:sz w:val="24"/>
                <w:szCs w:val="24"/>
                <w:vertAlign w:val="superscript"/>
                <w:lang w:val="en-US"/>
              </w:rPr>
              <w:t>[21]</w:t>
            </w:r>
            <w:r w:rsidRPr="00CE72EE">
              <w:rPr>
                <w:rFonts w:ascii="Book Antiqua" w:hAnsi="Book Antiqua" w:cs="Arial"/>
                <w:bCs/>
                <w:sz w:val="24"/>
                <w:szCs w:val="24"/>
                <w:lang w:val="en-US"/>
              </w:rPr>
              <w:t xml:space="preserve">, </w:t>
            </w:r>
            <w:r w:rsidR="00EB2F98" w:rsidRPr="00CE72EE">
              <w:rPr>
                <w:rFonts w:ascii="Book Antiqua" w:hAnsi="Book Antiqua" w:cs="Arial"/>
                <w:bCs/>
                <w:sz w:val="24"/>
                <w:szCs w:val="24"/>
                <w:lang w:val="en-US"/>
              </w:rPr>
              <w:t>1998</w:t>
            </w:r>
          </w:p>
        </w:tc>
      </w:tr>
      <w:tr w:rsidR="008D14E6" w:rsidRPr="00BA60F0" w:rsidTr="00CE72EE">
        <w:tc>
          <w:tcPr>
            <w:tcW w:w="1100" w:type="dxa"/>
          </w:tcPr>
          <w:p w:rsidR="008D14E6" w:rsidRPr="00BA60F0" w:rsidRDefault="008D14E6" w:rsidP="00746849">
            <w:pPr>
              <w:adjustRightInd w:val="0"/>
              <w:snapToGrid w:val="0"/>
              <w:spacing w:after="0" w:line="360" w:lineRule="auto"/>
              <w:jc w:val="both"/>
              <w:rPr>
                <w:rFonts w:ascii="Book Antiqua" w:hAnsi="Book Antiqua" w:cs="Arial"/>
                <w:b/>
                <w:bCs/>
                <w:sz w:val="24"/>
                <w:szCs w:val="24"/>
                <w:lang w:val="en-US"/>
              </w:rPr>
            </w:pPr>
            <w:r w:rsidRPr="00BA60F0">
              <w:rPr>
                <w:rFonts w:ascii="Book Antiqua" w:hAnsi="Book Antiqua" w:cs="Arial"/>
                <w:b/>
                <w:bCs/>
                <w:sz w:val="24"/>
                <w:szCs w:val="24"/>
                <w:lang w:val="en-US"/>
              </w:rPr>
              <w:t>Paclitaxel</w:t>
            </w:r>
          </w:p>
        </w:tc>
        <w:tc>
          <w:tcPr>
            <w:tcW w:w="710" w:type="dxa"/>
          </w:tcPr>
          <w:p w:rsidR="008D14E6" w:rsidRPr="00BA60F0" w:rsidRDefault="008D14E6" w:rsidP="00746849">
            <w:pPr>
              <w:adjustRightInd w:val="0"/>
              <w:snapToGrid w:val="0"/>
              <w:spacing w:after="0" w:line="360" w:lineRule="auto"/>
              <w:jc w:val="both"/>
              <w:rPr>
                <w:rFonts w:ascii="Book Antiqua" w:hAnsi="Book Antiqua" w:cs="Arial"/>
                <w:sz w:val="24"/>
                <w:szCs w:val="24"/>
                <w:lang w:val="en-US"/>
              </w:rPr>
            </w:pPr>
            <w:r w:rsidRPr="00BA60F0">
              <w:rPr>
                <w:rFonts w:ascii="Book Antiqua" w:hAnsi="Book Antiqua" w:cs="Arial"/>
                <w:sz w:val="24"/>
                <w:szCs w:val="24"/>
                <w:lang w:val="en-US"/>
              </w:rPr>
              <w:t>38/25</w:t>
            </w:r>
          </w:p>
        </w:tc>
        <w:tc>
          <w:tcPr>
            <w:tcW w:w="1178" w:type="dxa"/>
          </w:tcPr>
          <w:p w:rsidR="008D14E6" w:rsidRPr="00BA60F0" w:rsidRDefault="008D14E6" w:rsidP="00746849">
            <w:pPr>
              <w:adjustRightInd w:val="0"/>
              <w:snapToGrid w:val="0"/>
              <w:spacing w:after="0" w:line="360" w:lineRule="auto"/>
              <w:jc w:val="both"/>
              <w:rPr>
                <w:rFonts w:ascii="Book Antiqua" w:hAnsi="Book Antiqua" w:cs="Arial"/>
                <w:sz w:val="24"/>
                <w:szCs w:val="24"/>
                <w:lang w:val="en-US"/>
              </w:rPr>
            </w:pPr>
            <w:r w:rsidRPr="00BA60F0">
              <w:rPr>
                <w:rFonts w:ascii="Book Antiqua" w:hAnsi="Book Antiqua" w:cs="Arial"/>
                <w:sz w:val="24"/>
                <w:szCs w:val="24"/>
                <w:lang w:val="en-US"/>
              </w:rPr>
              <w:t>ECOG 0/1/2 – 12/15/11</w:t>
            </w:r>
          </w:p>
        </w:tc>
        <w:tc>
          <w:tcPr>
            <w:tcW w:w="1440" w:type="dxa"/>
          </w:tcPr>
          <w:p w:rsidR="008D14E6" w:rsidRPr="00BA60F0" w:rsidRDefault="008D14E6" w:rsidP="00746849">
            <w:pPr>
              <w:adjustRightInd w:val="0"/>
              <w:snapToGrid w:val="0"/>
              <w:spacing w:after="0" w:line="360" w:lineRule="auto"/>
              <w:jc w:val="both"/>
              <w:rPr>
                <w:rFonts w:ascii="Book Antiqua" w:hAnsi="Book Antiqua" w:cs="Arial"/>
                <w:sz w:val="24"/>
                <w:szCs w:val="24"/>
                <w:lang w:val="en-US"/>
              </w:rPr>
            </w:pPr>
            <w:r w:rsidRPr="00BA60F0">
              <w:rPr>
                <w:rFonts w:ascii="Book Antiqua" w:hAnsi="Book Antiqua" w:cs="Arial"/>
                <w:sz w:val="24"/>
                <w:szCs w:val="24"/>
                <w:lang w:val="en-US"/>
              </w:rPr>
              <w:t>Ptx - 80 d1,8,15 q28</w:t>
            </w:r>
          </w:p>
        </w:tc>
        <w:tc>
          <w:tcPr>
            <w:tcW w:w="720" w:type="dxa"/>
          </w:tcPr>
          <w:p w:rsidR="008D14E6" w:rsidRPr="00BA60F0" w:rsidRDefault="008D14E6" w:rsidP="00746849">
            <w:pPr>
              <w:adjustRightInd w:val="0"/>
              <w:snapToGrid w:val="0"/>
              <w:spacing w:after="0" w:line="360" w:lineRule="auto"/>
              <w:jc w:val="both"/>
              <w:rPr>
                <w:rFonts w:ascii="Book Antiqua" w:hAnsi="Book Antiqua" w:cs="Arial"/>
                <w:sz w:val="24"/>
                <w:szCs w:val="24"/>
                <w:lang w:val="en-US"/>
              </w:rPr>
            </w:pPr>
            <w:r w:rsidRPr="00BA60F0">
              <w:rPr>
                <w:rFonts w:ascii="Book Antiqua" w:hAnsi="Book Antiqua" w:cs="Arial"/>
                <w:sz w:val="24"/>
                <w:szCs w:val="24"/>
                <w:lang w:val="en-US"/>
              </w:rPr>
              <w:t>24.0</w:t>
            </w:r>
          </w:p>
        </w:tc>
        <w:tc>
          <w:tcPr>
            <w:tcW w:w="810" w:type="dxa"/>
          </w:tcPr>
          <w:p w:rsidR="008D14E6" w:rsidRPr="00BA60F0" w:rsidRDefault="008D14E6" w:rsidP="00746849">
            <w:pPr>
              <w:adjustRightInd w:val="0"/>
              <w:snapToGrid w:val="0"/>
              <w:spacing w:after="0" w:line="360" w:lineRule="auto"/>
              <w:jc w:val="both"/>
              <w:rPr>
                <w:rFonts w:ascii="Book Antiqua" w:hAnsi="Book Antiqua" w:cs="Arial"/>
                <w:sz w:val="24"/>
                <w:szCs w:val="24"/>
                <w:lang w:val="en-US"/>
              </w:rPr>
            </w:pPr>
            <w:r w:rsidRPr="00BA60F0">
              <w:rPr>
                <w:rFonts w:ascii="Book Antiqua" w:hAnsi="Book Antiqua" w:cs="Arial"/>
                <w:sz w:val="24"/>
                <w:szCs w:val="24"/>
                <w:lang w:val="en-US"/>
              </w:rPr>
              <w:t>2.1</w:t>
            </w:r>
          </w:p>
          <w:p w:rsidR="008D14E6" w:rsidRPr="00BA60F0" w:rsidRDefault="008D14E6" w:rsidP="00746849">
            <w:pPr>
              <w:adjustRightInd w:val="0"/>
              <w:snapToGrid w:val="0"/>
              <w:spacing w:after="0" w:line="360" w:lineRule="auto"/>
              <w:jc w:val="both"/>
              <w:rPr>
                <w:rFonts w:ascii="Book Antiqua" w:hAnsi="Book Antiqua" w:cs="Arial"/>
                <w:sz w:val="24"/>
                <w:szCs w:val="24"/>
                <w:lang w:val="en-US"/>
              </w:rPr>
            </w:pPr>
          </w:p>
        </w:tc>
        <w:tc>
          <w:tcPr>
            <w:tcW w:w="810" w:type="dxa"/>
          </w:tcPr>
          <w:p w:rsidR="008D14E6" w:rsidRPr="00BA60F0" w:rsidRDefault="008D14E6" w:rsidP="00746849">
            <w:pPr>
              <w:adjustRightInd w:val="0"/>
              <w:snapToGrid w:val="0"/>
              <w:spacing w:after="0" w:line="360" w:lineRule="auto"/>
              <w:jc w:val="both"/>
              <w:rPr>
                <w:rFonts w:ascii="Book Antiqua" w:hAnsi="Book Antiqua" w:cs="Arial"/>
                <w:sz w:val="24"/>
                <w:szCs w:val="24"/>
                <w:lang w:val="en-US"/>
              </w:rPr>
            </w:pPr>
            <w:r w:rsidRPr="00BA60F0">
              <w:rPr>
                <w:rFonts w:ascii="Book Antiqua" w:hAnsi="Book Antiqua" w:cs="Arial"/>
                <w:sz w:val="24"/>
                <w:szCs w:val="24"/>
                <w:lang w:val="en-US"/>
              </w:rPr>
              <w:t xml:space="preserve">NR </w:t>
            </w:r>
          </w:p>
        </w:tc>
        <w:tc>
          <w:tcPr>
            <w:tcW w:w="810" w:type="dxa"/>
          </w:tcPr>
          <w:p w:rsidR="008D14E6" w:rsidRPr="00BA60F0" w:rsidRDefault="008D14E6" w:rsidP="00746849">
            <w:pPr>
              <w:adjustRightInd w:val="0"/>
              <w:snapToGrid w:val="0"/>
              <w:spacing w:after="0" w:line="360" w:lineRule="auto"/>
              <w:jc w:val="both"/>
              <w:rPr>
                <w:rFonts w:ascii="Book Antiqua" w:hAnsi="Book Antiqua" w:cs="Arial"/>
                <w:sz w:val="24"/>
                <w:szCs w:val="24"/>
                <w:lang w:val="en-US"/>
              </w:rPr>
            </w:pPr>
            <w:r w:rsidRPr="00BA60F0">
              <w:rPr>
                <w:rFonts w:ascii="Book Antiqua" w:hAnsi="Book Antiqua" w:cs="Arial"/>
                <w:sz w:val="24"/>
                <w:szCs w:val="24"/>
                <w:lang w:val="en-US"/>
              </w:rPr>
              <w:t>5.0</w:t>
            </w:r>
          </w:p>
        </w:tc>
        <w:tc>
          <w:tcPr>
            <w:tcW w:w="1867" w:type="dxa"/>
          </w:tcPr>
          <w:p w:rsidR="008D14E6" w:rsidRPr="00BA60F0" w:rsidRDefault="008D14E6" w:rsidP="00746849">
            <w:pPr>
              <w:adjustRightInd w:val="0"/>
              <w:snapToGrid w:val="0"/>
              <w:spacing w:after="0" w:line="360" w:lineRule="auto"/>
              <w:jc w:val="both"/>
              <w:rPr>
                <w:rFonts w:ascii="Book Antiqua" w:hAnsi="Book Antiqua" w:cs="Arial"/>
                <w:sz w:val="24"/>
                <w:szCs w:val="24"/>
                <w:lang w:val="en-US"/>
              </w:rPr>
            </w:pPr>
            <w:r w:rsidRPr="00BA60F0">
              <w:rPr>
                <w:rFonts w:ascii="Book Antiqua" w:hAnsi="Book Antiqua" w:cs="Arial"/>
                <w:sz w:val="24"/>
                <w:szCs w:val="24"/>
                <w:lang w:val="en-US"/>
              </w:rPr>
              <w:t>L/N/T/Nau/Ano/D/ Neu - 29/32/8/3/3/3/6</w:t>
            </w:r>
          </w:p>
        </w:tc>
        <w:tc>
          <w:tcPr>
            <w:tcW w:w="1080" w:type="dxa"/>
          </w:tcPr>
          <w:p w:rsidR="008D14E6" w:rsidRPr="00CE72EE" w:rsidRDefault="008D14E6" w:rsidP="00746849">
            <w:pPr>
              <w:adjustRightInd w:val="0"/>
              <w:snapToGrid w:val="0"/>
              <w:spacing w:after="0" w:line="360" w:lineRule="auto"/>
              <w:jc w:val="both"/>
              <w:rPr>
                <w:rFonts w:ascii="Book Antiqua" w:hAnsi="Book Antiqua" w:cs="Arial"/>
                <w:bCs/>
                <w:sz w:val="24"/>
                <w:szCs w:val="24"/>
                <w:lang w:val="en-US"/>
              </w:rPr>
            </w:pPr>
            <w:r w:rsidRPr="00CE72EE">
              <w:rPr>
                <w:rFonts w:ascii="Book Antiqua" w:hAnsi="Book Antiqua" w:cs="Arial"/>
                <w:bCs/>
                <w:sz w:val="24"/>
                <w:szCs w:val="24"/>
                <w:lang w:val="en-US"/>
              </w:rPr>
              <w:t>Hironaka</w:t>
            </w:r>
            <w:r w:rsidR="00EB2F98" w:rsidRPr="00CE72EE">
              <w:rPr>
                <w:rFonts w:ascii="Book Antiqua" w:hAnsi="Book Antiqua" w:cs="Arial"/>
                <w:bCs/>
                <w:i/>
                <w:sz w:val="24"/>
                <w:szCs w:val="24"/>
                <w:lang w:val="en-US"/>
              </w:rPr>
              <w:t xml:space="preserve"> et al</w:t>
            </w:r>
            <w:r w:rsidR="00EB2F98" w:rsidRPr="00CE72EE">
              <w:rPr>
                <w:rFonts w:ascii="Book Antiqua" w:hAnsi="Book Antiqua" w:cs="Arial"/>
                <w:bCs/>
                <w:sz w:val="24"/>
                <w:szCs w:val="24"/>
                <w:vertAlign w:val="superscript"/>
                <w:lang w:val="en-US"/>
              </w:rPr>
              <w:t>[22]</w:t>
            </w:r>
            <w:r w:rsidRPr="00CE72EE">
              <w:rPr>
                <w:rFonts w:ascii="Book Antiqua" w:hAnsi="Book Antiqua" w:cs="Arial"/>
                <w:bCs/>
                <w:sz w:val="24"/>
                <w:szCs w:val="24"/>
                <w:lang w:val="en-US"/>
              </w:rPr>
              <w:t>,</w:t>
            </w:r>
            <w:r w:rsidR="00EB2F98" w:rsidRPr="00CE72EE">
              <w:rPr>
                <w:rFonts w:ascii="Book Antiqua" w:hAnsi="Book Antiqua" w:cs="Arial"/>
                <w:bCs/>
                <w:sz w:val="24"/>
                <w:szCs w:val="24"/>
                <w:lang w:val="en-US"/>
              </w:rPr>
              <w:t xml:space="preserve"> </w:t>
            </w:r>
            <w:r w:rsidRPr="00CE72EE">
              <w:rPr>
                <w:rFonts w:ascii="Book Antiqua" w:hAnsi="Book Antiqua" w:cs="Arial"/>
                <w:bCs/>
                <w:sz w:val="24"/>
                <w:szCs w:val="24"/>
                <w:lang w:val="en-US"/>
              </w:rPr>
              <w:t>2</w:t>
            </w:r>
            <w:r w:rsidR="00EB2F98" w:rsidRPr="00CE72EE">
              <w:rPr>
                <w:rFonts w:ascii="Book Antiqua" w:hAnsi="Book Antiqua" w:cs="Arial"/>
                <w:bCs/>
                <w:sz w:val="24"/>
                <w:szCs w:val="24"/>
                <w:lang w:val="en-US"/>
              </w:rPr>
              <w:t>006</w:t>
            </w:r>
          </w:p>
        </w:tc>
      </w:tr>
      <w:tr w:rsidR="008D14E6" w:rsidRPr="00BA60F0" w:rsidTr="00CE72EE">
        <w:tc>
          <w:tcPr>
            <w:tcW w:w="1100" w:type="dxa"/>
          </w:tcPr>
          <w:p w:rsidR="008D14E6" w:rsidRPr="00BA60F0" w:rsidRDefault="008D14E6" w:rsidP="00746849">
            <w:pPr>
              <w:adjustRightInd w:val="0"/>
              <w:snapToGrid w:val="0"/>
              <w:spacing w:after="0" w:line="360" w:lineRule="auto"/>
              <w:jc w:val="both"/>
              <w:rPr>
                <w:rFonts w:ascii="Book Antiqua" w:hAnsi="Book Antiqua" w:cs="Arial"/>
                <w:b/>
                <w:bCs/>
                <w:sz w:val="24"/>
                <w:szCs w:val="24"/>
                <w:lang w:val="en-US"/>
              </w:rPr>
            </w:pPr>
            <w:r w:rsidRPr="00BA60F0">
              <w:rPr>
                <w:rFonts w:ascii="Book Antiqua" w:hAnsi="Book Antiqua" w:cs="Arial"/>
                <w:b/>
                <w:bCs/>
                <w:sz w:val="24"/>
                <w:szCs w:val="24"/>
                <w:lang w:val="en-US"/>
              </w:rPr>
              <w:t>Paclitaxel</w:t>
            </w:r>
          </w:p>
        </w:tc>
        <w:tc>
          <w:tcPr>
            <w:tcW w:w="710" w:type="dxa"/>
          </w:tcPr>
          <w:p w:rsidR="008D14E6" w:rsidRPr="00BA60F0" w:rsidRDefault="008D14E6" w:rsidP="00746849">
            <w:pPr>
              <w:adjustRightInd w:val="0"/>
              <w:snapToGrid w:val="0"/>
              <w:spacing w:after="0" w:line="360" w:lineRule="auto"/>
              <w:jc w:val="both"/>
              <w:rPr>
                <w:rFonts w:ascii="Book Antiqua" w:hAnsi="Book Antiqua" w:cs="Arial"/>
                <w:sz w:val="24"/>
                <w:szCs w:val="24"/>
                <w:lang w:val="en-US"/>
              </w:rPr>
            </w:pPr>
            <w:r w:rsidRPr="00BA60F0">
              <w:rPr>
                <w:rFonts w:ascii="Book Antiqua" w:hAnsi="Book Antiqua" w:cs="Arial"/>
                <w:sz w:val="24"/>
                <w:szCs w:val="24"/>
                <w:lang w:val="en-US"/>
              </w:rPr>
              <w:t>45/44</w:t>
            </w:r>
          </w:p>
        </w:tc>
        <w:tc>
          <w:tcPr>
            <w:tcW w:w="1178" w:type="dxa"/>
          </w:tcPr>
          <w:p w:rsidR="008D14E6" w:rsidRPr="00BA60F0" w:rsidRDefault="008D14E6" w:rsidP="00746849">
            <w:pPr>
              <w:adjustRightInd w:val="0"/>
              <w:snapToGrid w:val="0"/>
              <w:spacing w:after="0" w:line="360" w:lineRule="auto"/>
              <w:jc w:val="both"/>
              <w:rPr>
                <w:rFonts w:ascii="Book Antiqua" w:hAnsi="Book Antiqua" w:cs="Arial"/>
                <w:sz w:val="24"/>
                <w:szCs w:val="24"/>
                <w:lang w:val="en-US"/>
              </w:rPr>
            </w:pPr>
            <w:r w:rsidRPr="00BA60F0">
              <w:rPr>
                <w:rFonts w:ascii="Book Antiqua" w:hAnsi="Book Antiqua" w:cs="Arial"/>
                <w:sz w:val="24"/>
                <w:szCs w:val="24"/>
                <w:lang w:val="en-US"/>
              </w:rPr>
              <w:t>ECOG 0/1/2 - 26/13/6</w:t>
            </w:r>
          </w:p>
        </w:tc>
        <w:tc>
          <w:tcPr>
            <w:tcW w:w="1440" w:type="dxa"/>
          </w:tcPr>
          <w:p w:rsidR="008D14E6" w:rsidRPr="00BA60F0" w:rsidRDefault="008D14E6" w:rsidP="00746849">
            <w:pPr>
              <w:adjustRightInd w:val="0"/>
              <w:snapToGrid w:val="0"/>
              <w:spacing w:after="0" w:line="360" w:lineRule="auto"/>
              <w:jc w:val="both"/>
              <w:rPr>
                <w:rFonts w:ascii="Book Antiqua" w:hAnsi="Book Antiqua" w:cs="Arial"/>
                <w:sz w:val="24"/>
                <w:szCs w:val="24"/>
                <w:lang w:val="en-US"/>
              </w:rPr>
            </w:pPr>
            <w:r w:rsidRPr="00BA60F0">
              <w:rPr>
                <w:rFonts w:ascii="Book Antiqua" w:hAnsi="Book Antiqua" w:cs="Arial"/>
                <w:sz w:val="24"/>
                <w:szCs w:val="24"/>
                <w:lang w:val="en-US"/>
              </w:rPr>
              <w:t>Ptx - 80 d1,8,15 q28</w:t>
            </w:r>
          </w:p>
        </w:tc>
        <w:tc>
          <w:tcPr>
            <w:tcW w:w="720" w:type="dxa"/>
          </w:tcPr>
          <w:p w:rsidR="008D14E6" w:rsidRPr="00BA60F0" w:rsidRDefault="008D14E6" w:rsidP="00746849">
            <w:pPr>
              <w:adjustRightInd w:val="0"/>
              <w:snapToGrid w:val="0"/>
              <w:spacing w:after="0" w:line="360" w:lineRule="auto"/>
              <w:jc w:val="both"/>
              <w:rPr>
                <w:rFonts w:ascii="Book Antiqua" w:hAnsi="Book Antiqua" w:cs="Arial"/>
                <w:sz w:val="24"/>
                <w:szCs w:val="24"/>
                <w:lang w:val="en-US"/>
              </w:rPr>
            </w:pPr>
            <w:r w:rsidRPr="00BA60F0">
              <w:rPr>
                <w:rFonts w:ascii="Book Antiqua" w:hAnsi="Book Antiqua" w:cs="Arial"/>
                <w:sz w:val="24"/>
                <w:szCs w:val="24"/>
                <w:lang w:val="en-US"/>
              </w:rPr>
              <w:t>16.0</w:t>
            </w:r>
          </w:p>
        </w:tc>
        <w:tc>
          <w:tcPr>
            <w:tcW w:w="810" w:type="dxa"/>
          </w:tcPr>
          <w:p w:rsidR="008D14E6" w:rsidRPr="00BA60F0" w:rsidRDefault="008D14E6" w:rsidP="00746849">
            <w:pPr>
              <w:adjustRightInd w:val="0"/>
              <w:snapToGrid w:val="0"/>
              <w:spacing w:after="0" w:line="360" w:lineRule="auto"/>
              <w:jc w:val="both"/>
              <w:rPr>
                <w:rFonts w:ascii="Book Antiqua" w:hAnsi="Book Antiqua" w:cs="Arial"/>
                <w:sz w:val="24"/>
                <w:szCs w:val="24"/>
                <w:lang w:val="en-US"/>
              </w:rPr>
            </w:pPr>
            <w:r w:rsidRPr="00BA60F0">
              <w:rPr>
                <w:rFonts w:ascii="Book Antiqua" w:hAnsi="Book Antiqua" w:cs="Arial"/>
                <w:sz w:val="24"/>
                <w:szCs w:val="24"/>
                <w:lang w:val="en-US"/>
              </w:rPr>
              <w:t>NR</w:t>
            </w:r>
          </w:p>
        </w:tc>
        <w:tc>
          <w:tcPr>
            <w:tcW w:w="810" w:type="dxa"/>
          </w:tcPr>
          <w:p w:rsidR="008D14E6" w:rsidRPr="00BA60F0" w:rsidRDefault="008D14E6" w:rsidP="00746849">
            <w:pPr>
              <w:adjustRightInd w:val="0"/>
              <w:snapToGrid w:val="0"/>
              <w:spacing w:after="0" w:line="360" w:lineRule="auto"/>
              <w:jc w:val="both"/>
              <w:rPr>
                <w:rFonts w:ascii="Book Antiqua" w:hAnsi="Book Antiqua" w:cs="Arial"/>
                <w:sz w:val="24"/>
                <w:szCs w:val="24"/>
                <w:lang w:val="en-US"/>
              </w:rPr>
            </w:pPr>
            <w:r w:rsidRPr="00BA60F0">
              <w:rPr>
                <w:rFonts w:ascii="Book Antiqua" w:hAnsi="Book Antiqua" w:cs="Arial"/>
                <w:sz w:val="24"/>
                <w:szCs w:val="24"/>
                <w:lang w:val="en-US"/>
              </w:rPr>
              <w:t>2.6</w:t>
            </w:r>
          </w:p>
        </w:tc>
        <w:tc>
          <w:tcPr>
            <w:tcW w:w="810" w:type="dxa"/>
          </w:tcPr>
          <w:p w:rsidR="008D14E6" w:rsidRPr="00BA60F0" w:rsidRDefault="008D14E6" w:rsidP="00746849">
            <w:pPr>
              <w:adjustRightInd w:val="0"/>
              <w:snapToGrid w:val="0"/>
              <w:spacing w:after="0" w:line="360" w:lineRule="auto"/>
              <w:jc w:val="both"/>
              <w:rPr>
                <w:rFonts w:ascii="Book Antiqua" w:hAnsi="Book Antiqua" w:cs="Arial"/>
                <w:sz w:val="24"/>
                <w:szCs w:val="24"/>
                <w:lang w:val="en-US"/>
              </w:rPr>
            </w:pPr>
            <w:r w:rsidRPr="00BA60F0">
              <w:rPr>
                <w:rFonts w:ascii="Book Antiqua" w:hAnsi="Book Antiqua" w:cs="Arial"/>
                <w:sz w:val="24"/>
                <w:szCs w:val="24"/>
                <w:lang w:val="en-US"/>
              </w:rPr>
              <w:t>7.8</w:t>
            </w:r>
          </w:p>
        </w:tc>
        <w:tc>
          <w:tcPr>
            <w:tcW w:w="1867" w:type="dxa"/>
          </w:tcPr>
          <w:p w:rsidR="008D14E6" w:rsidRPr="00BA60F0" w:rsidRDefault="008D14E6" w:rsidP="00746849">
            <w:pPr>
              <w:adjustRightInd w:val="0"/>
              <w:snapToGrid w:val="0"/>
              <w:spacing w:after="0" w:line="360" w:lineRule="auto"/>
              <w:jc w:val="both"/>
              <w:rPr>
                <w:rFonts w:ascii="Book Antiqua" w:hAnsi="Book Antiqua" w:cs="Arial"/>
                <w:sz w:val="24"/>
                <w:szCs w:val="24"/>
                <w:lang w:val="en-US"/>
              </w:rPr>
            </w:pPr>
            <w:r w:rsidRPr="00BA60F0">
              <w:rPr>
                <w:rFonts w:ascii="Book Antiqua" w:hAnsi="Book Antiqua" w:cs="Arial"/>
                <w:sz w:val="24"/>
                <w:szCs w:val="24"/>
                <w:lang w:val="en-US"/>
              </w:rPr>
              <w:t>A/N/L/D/N-E/As/Neu - 11/16/18/2/4/11/2</w:t>
            </w:r>
          </w:p>
        </w:tc>
        <w:tc>
          <w:tcPr>
            <w:tcW w:w="1080" w:type="dxa"/>
          </w:tcPr>
          <w:p w:rsidR="008D14E6" w:rsidRPr="00CE72EE" w:rsidRDefault="008D14E6" w:rsidP="00746849">
            <w:pPr>
              <w:adjustRightInd w:val="0"/>
              <w:snapToGrid w:val="0"/>
              <w:spacing w:after="0" w:line="360" w:lineRule="auto"/>
              <w:jc w:val="both"/>
              <w:rPr>
                <w:rFonts w:ascii="Book Antiqua" w:hAnsi="Book Antiqua" w:cs="Arial"/>
                <w:bCs/>
                <w:sz w:val="24"/>
                <w:szCs w:val="24"/>
                <w:lang w:val="en-US"/>
              </w:rPr>
            </w:pPr>
            <w:r w:rsidRPr="00CE72EE">
              <w:rPr>
                <w:rFonts w:ascii="Book Antiqua" w:hAnsi="Book Antiqua" w:cs="Arial"/>
                <w:bCs/>
                <w:sz w:val="24"/>
                <w:szCs w:val="24"/>
                <w:lang w:val="en-US"/>
              </w:rPr>
              <w:t>Kodera</w:t>
            </w:r>
            <w:r w:rsidR="00EB2F98" w:rsidRPr="00CE72EE">
              <w:rPr>
                <w:rFonts w:ascii="Book Antiqua" w:hAnsi="Book Antiqua" w:cs="Arial"/>
                <w:bCs/>
                <w:i/>
                <w:sz w:val="24"/>
                <w:szCs w:val="24"/>
                <w:lang w:val="en-US"/>
              </w:rPr>
              <w:t xml:space="preserve"> et al</w:t>
            </w:r>
            <w:r w:rsidR="00EB2F98" w:rsidRPr="00CE72EE">
              <w:rPr>
                <w:rFonts w:ascii="Book Antiqua" w:hAnsi="Book Antiqua" w:cs="Arial"/>
                <w:bCs/>
                <w:sz w:val="24"/>
                <w:szCs w:val="24"/>
                <w:vertAlign w:val="superscript"/>
                <w:lang w:val="en-US"/>
              </w:rPr>
              <w:t>[23]</w:t>
            </w:r>
            <w:r w:rsidR="00EB2F98" w:rsidRPr="00CE72EE">
              <w:rPr>
                <w:rFonts w:ascii="Book Antiqua" w:hAnsi="Book Antiqua" w:cs="Arial"/>
                <w:bCs/>
                <w:sz w:val="24"/>
                <w:szCs w:val="24"/>
                <w:lang w:val="en-US"/>
              </w:rPr>
              <w:t>, 2007</w:t>
            </w:r>
          </w:p>
        </w:tc>
      </w:tr>
      <w:tr w:rsidR="008D14E6" w:rsidRPr="00BA60F0" w:rsidTr="00CE72EE">
        <w:tc>
          <w:tcPr>
            <w:tcW w:w="1100" w:type="dxa"/>
          </w:tcPr>
          <w:p w:rsidR="008D14E6" w:rsidRPr="00BA60F0" w:rsidRDefault="008D14E6" w:rsidP="00746849">
            <w:pPr>
              <w:adjustRightInd w:val="0"/>
              <w:snapToGrid w:val="0"/>
              <w:spacing w:after="0" w:line="360" w:lineRule="auto"/>
              <w:jc w:val="both"/>
              <w:rPr>
                <w:rFonts w:ascii="Book Antiqua" w:hAnsi="Book Antiqua" w:cs="Arial"/>
                <w:b/>
                <w:bCs/>
                <w:sz w:val="24"/>
                <w:szCs w:val="24"/>
                <w:lang w:val="en-US"/>
              </w:rPr>
            </w:pPr>
            <w:r w:rsidRPr="00BA60F0">
              <w:rPr>
                <w:rFonts w:ascii="Book Antiqua" w:hAnsi="Book Antiqua" w:cs="Arial"/>
                <w:b/>
                <w:bCs/>
                <w:sz w:val="24"/>
                <w:szCs w:val="24"/>
                <w:lang w:val="en-US"/>
              </w:rPr>
              <w:t>Docetaxel</w:t>
            </w:r>
          </w:p>
        </w:tc>
        <w:tc>
          <w:tcPr>
            <w:tcW w:w="710" w:type="dxa"/>
          </w:tcPr>
          <w:p w:rsidR="008D14E6" w:rsidRPr="00BA60F0" w:rsidRDefault="008D14E6" w:rsidP="00746849">
            <w:pPr>
              <w:adjustRightInd w:val="0"/>
              <w:snapToGrid w:val="0"/>
              <w:spacing w:after="0" w:line="360" w:lineRule="auto"/>
              <w:jc w:val="both"/>
              <w:rPr>
                <w:rFonts w:ascii="Book Antiqua" w:hAnsi="Book Antiqua" w:cs="Arial"/>
                <w:sz w:val="24"/>
                <w:szCs w:val="24"/>
                <w:lang w:val="en-US"/>
              </w:rPr>
            </w:pPr>
            <w:r w:rsidRPr="00BA60F0">
              <w:rPr>
                <w:rFonts w:ascii="Book Antiqua" w:hAnsi="Book Antiqua" w:cs="Arial"/>
                <w:sz w:val="24"/>
                <w:szCs w:val="24"/>
                <w:lang w:val="en-US"/>
              </w:rPr>
              <w:t>30/29</w:t>
            </w:r>
          </w:p>
        </w:tc>
        <w:tc>
          <w:tcPr>
            <w:tcW w:w="1178" w:type="dxa"/>
          </w:tcPr>
          <w:p w:rsidR="008D14E6" w:rsidRPr="00BA60F0" w:rsidRDefault="008D14E6" w:rsidP="00746849">
            <w:pPr>
              <w:adjustRightInd w:val="0"/>
              <w:snapToGrid w:val="0"/>
              <w:spacing w:after="0" w:line="360" w:lineRule="auto"/>
              <w:jc w:val="both"/>
              <w:rPr>
                <w:rFonts w:ascii="Book Antiqua" w:hAnsi="Book Antiqua" w:cs="Arial"/>
                <w:sz w:val="24"/>
                <w:szCs w:val="24"/>
                <w:lang w:val="en-US"/>
              </w:rPr>
            </w:pPr>
            <w:r w:rsidRPr="00BA60F0">
              <w:rPr>
                <w:rFonts w:ascii="Book Antiqua" w:hAnsi="Book Antiqua" w:cs="Arial"/>
                <w:sz w:val="24"/>
                <w:szCs w:val="24"/>
                <w:lang w:val="en-US"/>
              </w:rPr>
              <w:t>KPS Median 70 (R 60-100%)</w:t>
            </w:r>
          </w:p>
        </w:tc>
        <w:tc>
          <w:tcPr>
            <w:tcW w:w="1440" w:type="dxa"/>
          </w:tcPr>
          <w:p w:rsidR="008D14E6" w:rsidRPr="00BA60F0" w:rsidRDefault="008D14E6" w:rsidP="00746849">
            <w:pPr>
              <w:adjustRightInd w:val="0"/>
              <w:snapToGrid w:val="0"/>
              <w:spacing w:after="0" w:line="360" w:lineRule="auto"/>
              <w:jc w:val="both"/>
              <w:rPr>
                <w:rFonts w:ascii="Book Antiqua" w:hAnsi="Book Antiqua" w:cs="Arial"/>
                <w:sz w:val="24"/>
                <w:szCs w:val="24"/>
                <w:lang w:val="en-US"/>
              </w:rPr>
            </w:pPr>
            <w:r w:rsidRPr="00BA60F0">
              <w:rPr>
                <w:rFonts w:ascii="Book Antiqua" w:hAnsi="Book Antiqua" w:cs="Arial"/>
                <w:sz w:val="24"/>
                <w:szCs w:val="24"/>
                <w:lang w:val="en-US"/>
              </w:rPr>
              <w:t>Dtx - 100 d1 q21</w:t>
            </w:r>
          </w:p>
        </w:tc>
        <w:tc>
          <w:tcPr>
            <w:tcW w:w="720" w:type="dxa"/>
          </w:tcPr>
          <w:p w:rsidR="008D14E6" w:rsidRPr="00BA60F0" w:rsidRDefault="008D14E6" w:rsidP="00746849">
            <w:pPr>
              <w:adjustRightInd w:val="0"/>
              <w:snapToGrid w:val="0"/>
              <w:spacing w:after="0" w:line="360" w:lineRule="auto"/>
              <w:jc w:val="both"/>
              <w:rPr>
                <w:rFonts w:ascii="Book Antiqua" w:hAnsi="Book Antiqua" w:cs="Arial"/>
                <w:sz w:val="24"/>
                <w:szCs w:val="24"/>
                <w:lang w:val="en-US"/>
              </w:rPr>
            </w:pPr>
            <w:r w:rsidRPr="00BA60F0">
              <w:rPr>
                <w:rFonts w:ascii="Book Antiqua" w:hAnsi="Book Antiqua" w:cs="Arial"/>
                <w:sz w:val="24"/>
                <w:szCs w:val="24"/>
                <w:lang w:val="en-US"/>
              </w:rPr>
              <w:t>17.0</w:t>
            </w:r>
          </w:p>
        </w:tc>
        <w:tc>
          <w:tcPr>
            <w:tcW w:w="810" w:type="dxa"/>
          </w:tcPr>
          <w:p w:rsidR="008D14E6" w:rsidRPr="00BA60F0" w:rsidRDefault="008D14E6" w:rsidP="00746849">
            <w:pPr>
              <w:adjustRightInd w:val="0"/>
              <w:snapToGrid w:val="0"/>
              <w:spacing w:after="0" w:line="360" w:lineRule="auto"/>
              <w:jc w:val="both"/>
              <w:rPr>
                <w:rFonts w:ascii="Book Antiqua" w:hAnsi="Book Antiqua" w:cs="Arial"/>
                <w:sz w:val="24"/>
                <w:szCs w:val="24"/>
                <w:lang w:val="en-US"/>
              </w:rPr>
            </w:pPr>
            <w:r w:rsidRPr="00BA60F0">
              <w:rPr>
                <w:rFonts w:ascii="Book Antiqua" w:hAnsi="Book Antiqua" w:cs="Arial"/>
                <w:sz w:val="24"/>
                <w:szCs w:val="24"/>
                <w:lang w:val="en-US"/>
              </w:rPr>
              <w:t>NR</w:t>
            </w:r>
          </w:p>
        </w:tc>
        <w:tc>
          <w:tcPr>
            <w:tcW w:w="810" w:type="dxa"/>
          </w:tcPr>
          <w:p w:rsidR="008D14E6" w:rsidRPr="00BA60F0" w:rsidRDefault="008D14E6" w:rsidP="00746849">
            <w:pPr>
              <w:adjustRightInd w:val="0"/>
              <w:snapToGrid w:val="0"/>
              <w:spacing w:after="0" w:line="360" w:lineRule="auto"/>
              <w:jc w:val="both"/>
              <w:rPr>
                <w:rFonts w:ascii="Book Antiqua" w:hAnsi="Book Antiqua" w:cs="Arial"/>
                <w:sz w:val="24"/>
                <w:szCs w:val="24"/>
                <w:lang w:val="en-US"/>
              </w:rPr>
            </w:pPr>
            <w:r w:rsidRPr="00BA60F0">
              <w:rPr>
                <w:rFonts w:ascii="Book Antiqua" w:hAnsi="Book Antiqua" w:cs="Arial"/>
                <w:sz w:val="24"/>
                <w:szCs w:val="24"/>
                <w:lang w:val="en-US"/>
              </w:rPr>
              <w:t>NR</w:t>
            </w:r>
          </w:p>
        </w:tc>
        <w:tc>
          <w:tcPr>
            <w:tcW w:w="810" w:type="dxa"/>
          </w:tcPr>
          <w:p w:rsidR="008D14E6" w:rsidRPr="00BA60F0" w:rsidRDefault="008D14E6" w:rsidP="00746849">
            <w:pPr>
              <w:adjustRightInd w:val="0"/>
              <w:snapToGrid w:val="0"/>
              <w:spacing w:after="0" w:line="360" w:lineRule="auto"/>
              <w:jc w:val="both"/>
              <w:rPr>
                <w:rFonts w:ascii="Book Antiqua" w:hAnsi="Book Antiqua" w:cs="Arial"/>
                <w:sz w:val="24"/>
                <w:szCs w:val="24"/>
                <w:lang w:val="en-US"/>
              </w:rPr>
            </w:pPr>
            <w:r w:rsidRPr="00BA60F0">
              <w:rPr>
                <w:rFonts w:ascii="Book Antiqua" w:hAnsi="Book Antiqua" w:cs="Arial"/>
                <w:sz w:val="24"/>
                <w:szCs w:val="24"/>
                <w:lang w:val="en-US"/>
              </w:rPr>
              <w:t>6.0</w:t>
            </w:r>
          </w:p>
        </w:tc>
        <w:tc>
          <w:tcPr>
            <w:tcW w:w="1867" w:type="dxa"/>
          </w:tcPr>
          <w:p w:rsidR="008D14E6" w:rsidRPr="00BA60F0" w:rsidRDefault="008D14E6" w:rsidP="00746849">
            <w:pPr>
              <w:adjustRightInd w:val="0"/>
              <w:snapToGrid w:val="0"/>
              <w:spacing w:after="0" w:line="360" w:lineRule="auto"/>
              <w:jc w:val="both"/>
              <w:rPr>
                <w:rFonts w:ascii="Book Antiqua" w:hAnsi="Book Antiqua" w:cs="Arial"/>
                <w:sz w:val="24"/>
                <w:szCs w:val="24"/>
                <w:lang w:val="en-US"/>
              </w:rPr>
            </w:pPr>
            <w:r w:rsidRPr="00BA60F0">
              <w:rPr>
                <w:rFonts w:ascii="Book Antiqua" w:hAnsi="Book Antiqua" w:cs="Arial"/>
                <w:sz w:val="24"/>
                <w:szCs w:val="24"/>
                <w:lang w:val="en-US"/>
              </w:rPr>
              <w:t>A/L/N - 7/7/18</w:t>
            </w:r>
          </w:p>
        </w:tc>
        <w:tc>
          <w:tcPr>
            <w:tcW w:w="1080" w:type="dxa"/>
          </w:tcPr>
          <w:p w:rsidR="008D14E6" w:rsidRPr="00CE72EE" w:rsidRDefault="008D14E6" w:rsidP="00746849">
            <w:pPr>
              <w:adjustRightInd w:val="0"/>
              <w:snapToGrid w:val="0"/>
              <w:spacing w:after="0" w:line="360" w:lineRule="auto"/>
              <w:jc w:val="both"/>
              <w:rPr>
                <w:rFonts w:ascii="Book Antiqua" w:hAnsi="Book Antiqua" w:cs="Arial"/>
                <w:bCs/>
                <w:sz w:val="24"/>
                <w:szCs w:val="24"/>
                <w:lang w:val="en-US"/>
              </w:rPr>
            </w:pPr>
            <w:r w:rsidRPr="00CE72EE">
              <w:rPr>
                <w:rFonts w:ascii="Book Antiqua" w:hAnsi="Book Antiqua" w:cs="Arial"/>
                <w:bCs/>
                <w:sz w:val="24"/>
                <w:szCs w:val="24"/>
                <w:lang w:val="en-US"/>
              </w:rPr>
              <w:t>Giuliani</w:t>
            </w:r>
            <w:r w:rsidR="00EB2F98" w:rsidRPr="00CE72EE">
              <w:rPr>
                <w:rFonts w:ascii="Book Antiqua" w:hAnsi="Book Antiqua" w:cs="Arial"/>
                <w:bCs/>
                <w:i/>
                <w:sz w:val="24"/>
                <w:szCs w:val="24"/>
                <w:lang w:val="en-US"/>
              </w:rPr>
              <w:t xml:space="preserve"> et al</w:t>
            </w:r>
            <w:r w:rsidR="00EB2F98" w:rsidRPr="00CE72EE">
              <w:rPr>
                <w:rFonts w:ascii="Book Antiqua" w:hAnsi="Book Antiqua" w:cs="Arial"/>
                <w:bCs/>
                <w:sz w:val="24"/>
                <w:szCs w:val="24"/>
                <w:vertAlign w:val="superscript"/>
                <w:lang w:val="en-US"/>
              </w:rPr>
              <w:t>[24]</w:t>
            </w:r>
            <w:r w:rsidRPr="00CE72EE">
              <w:rPr>
                <w:rFonts w:ascii="Book Antiqua" w:hAnsi="Book Antiqua" w:cs="Arial"/>
                <w:bCs/>
                <w:sz w:val="24"/>
                <w:szCs w:val="24"/>
                <w:lang w:val="en-US"/>
              </w:rPr>
              <w:t>,</w:t>
            </w:r>
            <w:r w:rsidR="00EB2F98" w:rsidRPr="00CE72EE">
              <w:rPr>
                <w:rFonts w:ascii="Book Antiqua" w:hAnsi="Book Antiqua" w:cs="Arial"/>
                <w:bCs/>
                <w:sz w:val="24"/>
                <w:szCs w:val="24"/>
                <w:lang w:val="en-US"/>
              </w:rPr>
              <w:t xml:space="preserve"> </w:t>
            </w:r>
            <w:r w:rsidRPr="00CE72EE">
              <w:rPr>
                <w:rFonts w:ascii="Book Antiqua" w:hAnsi="Book Antiqua" w:cs="Arial"/>
                <w:bCs/>
                <w:sz w:val="24"/>
                <w:szCs w:val="24"/>
                <w:lang w:val="en-US"/>
              </w:rPr>
              <w:t>2003</w:t>
            </w:r>
          </w:p>
        </w:tc>
      </w:tr>
      <w:tr w:rsidR="008D14E6" w:rsidRPr="00BA60F0" w:rsidTr="00CE72EE">
        <w:trPr>
          <w:trHeight w:val="396"/>
        </w:trPr>
        <w:tc>
          <w:tcPr>
            <w:tcW w:w="1100" w:type="dxa"/>
          </w:tcPr>
          <w:p w:rsidR="008D14E6" w:rsidRPr="00BA60F0" w:rsidRDefault="008D14E6" w:rsidP="00746849">
            <w:pPr>
              <w:adjustRightInd w:val="0"/>
              <w:snapToGrid w:val="0"/>
              <w:spacing w:after="0" w:line="360" w:lineRule="auto"/>
              <w:jc w:val="both"/>
              <w:rPr>
                <w:rFonts w:ascii="Book Antiqua" w:hAnsi="Book Antiqua" w:cs="Arial"/>
                <w:b/>
                <w:bCs/>
                <w:sz w:val="24"/>
                <w:szCs w:val="24"/>
                <w:lang w:val="en-US"/>
              </w:rPr>
            </w:pPr>
            <w:r w:rsidRPr="00BA60F0">
              <w:rPr>
                <w:rFonts w:ascii="Book Antiqua" w:hAnsi="Book Antiqua" w:cs="Arial"/>
                <w:b/>
                <w:bCs/>
                <w:sz w:val="24"/>
                <w:szCs w:val="24"/>
                <w:lang w:val="en-US"/>
              </w:rPr>
              <w:lastRenderedPageBreak/>
              <w:t>Docetaxel</w:t>
            </w:r>
          </w:p>
        </w:tc>
        <w:tc>
          <w:tcPr>
            <w:tcW w:w="710" w:type="dxa"/>
          </w:tcPr>
          <w:p w:rsidR="008D14E6" w:rsidRPr="00BA60F0" w:rsidRDefault="008D14E6" w:rsidP="00746849">
            <w:pPr>
              <w:adjustRightInd w:val="0"/>
              <w:snapToGrid w:val="0"/>
              <w:spacing w:after="0" w:line="360" w:lineRule="auto"/>
              <w:jc w:val="both"/>
              <w:rPr>
                <w:rFonts w:ascii="Book Antiqua" w:hAnsi="Book Antiqua" w:cs="Arial"/>
                <w:sz w:val="24"/>
                <w:szCs w:val="24"/>
                <w:lang w:val="en-US"/>
              </w:rPr>
            </w:pPr>
            <w:r w:rsidRPr="00BA60F0">
              <w:rPr>
                <w:rFonts w:ascii="Book Antiqua" w:hAnsi="Book Antiqua" w:cs="Arial"/>
                <w:sz w:val="24"/>
                <w:szCs w:val="24"/>
                <w:lang w:val="en-US"/>
              </w:rPr>
              <w:t>154/86</w:t>
            </w:r>
          </w:p>
        </w:tc>
        <w:tc>
          <w:tcPr>
            <w:tcW w:w="1178" w:type="dxa"/>
          </w:tcPr>
          <w:p w:rsidR="008D14E6" w:rsidRPr="00BA60F0" w:rsidRDefault="008D14E6" w:rsidP="00746849">
            <w:pPr>
              <w:adjustRightInd w:val="0"/>
              <w:snapToGrid w:val="0"/>
              <w:spacing w:after="0" w:line="360" w:lineRule="auto"/>
              <w:jc w:val="both"/>
              <w:rPr>
                <w:rFonts w:ascii="Book Antiqua" w:hAnsi="Book Antiqua" w:cs="Arial"/>
                <w:sz w:val="24"/>
                <w:szCs w:val="24"/>
                <w:lang w:val="en-US"/>
              </w:rPr>
            </w:pPr>
            <w:r w:rsidRPr="00BA60F0">
              <w:rPr>
                <w:rFonts w:ascii="Book Antiqua" w:hAnsi="Book Antiqua" w:cs="Arial"/>
                <w:sz w:val="24"/>
                <w:szCs w:val="24"/>
                <w:lang w:val="en-US"/>
              </w:rPr>
              <w:t>ECOG 0-1/2 - 130/24</w:t>
            </w:r>
          </w:p>
        </w:tc>
        <w:tc>
          <w:tcPr>
            <w:tcW w:w="1440" w:type="dxa"/>
          </w:tcPr>
          <w:p w:rsidR="008D14E6" w:rsidRPr="00BA60F0" w:rsidRDefault="008D14E6" w:rsidP="00746849">
            <w:pPr>
              <w:adjustRightInd w:val="0"/>
              <w:snapToGrid w:val="0"/>
              <w:spacing w:after="0" w:line="360" w:lineRule="auto"/>
              <w:jc w:val="both"/>
              <w:rPr>
                <w:rFonts w:ascii="Book Antiqua" w:hAnsi="Book Antiqua" w:cs="Arial"/>
                <w:sz w:val="24"/>
                <w:szCs w:val="24"/>
                <w:lang w:val="en-US"/>
              </w:rPr>
            </w:pPr>
            <w:r w:rsidRPr="00BA60F0">
              <w:rPr>
                <w:rFonts w:ascii="Book Antiqua" w:hAnsi="Book Antiqua" w:cs="Arial"/>
                <w:sz w:val="24"/>
                <w:szCs w:val="24"/>
                <w:lang w:val="en-US"/>
              </w:rPr>
              <w:t>Dtx - 75 d1 q21</w:t>
            </w:r>
          </w:p>
        </w:tc>
        <w:tc>
          <w:tcPr>
            <w:tcW w:w="720" w:type="dxa"/>
          </w:tcPr>
          <w:p w:rsidR="008D14E6" w:rsidRPr="00BA60F0" w:rsidRDefault="008D14E6" w:rsidP="00746849">
            <w:pPr>
              <w:adjustRightInd w:val="0"/>
              <w:snapToGrid w:val="0"/>
              <w:spacing w:after="0" w:line="360" w:lineRule="auto"/>
              <w:jc w:val="both"/>
              <w:rPr>
                <w:rFonts w:ascii="Book Antiqua" w:hAnsi="Book Antiqua" w:cs="Arial"/>
                <w:sz w:val="24"/>
                <w:szCs w:val="24"/>
                <w:lang w:val="en-US"/>
              </w:rPr>
            </w:pPr>
            <w:r w:rsidRPr="00BA60F0">
              <w:rPr>
                <w:rFonts w:ascii="Book Antiqua" w:hAnsi="Book Antiqua" w:cs="Arial"/>
                <w:sz w:val="24"/>
                <w:szCs w:val="24"/>
                <w:lang w:val="en-US"/>
              </w:rPr>
              <w:t>14.0</w:t>
            </w:r>
          </w:p>
        </w:tc>
        <w:tc>
          <w:tcPr>
            <w:tcW w:w="810" w:type="dxa"/>
          </w:tcPr>
          <w:p w:rsidR="008D14E6" w:rsidRPr="00BA60F0" w:rsidRDefault="008D14E6" w:rsidP="00746849">
            <w:pPr>
              <w:adjustRightInd w:val="0"/>
              <w:snapToGrid w:val="0"/>
              <w:spacing w:after="0" w:line="360" w:lineRule="auto"/>
              <w:jc w:val="both"/>
              <w:rPr>
                <w:rFonts w:ascii="Book Antiqua" w:hAnsi="Book Antiqua" w:cs="Arial"/>
                <w:sz w:val="24"/>
                <w:szCs w:val="24"/>
                <w:lang w:val="en-US"/>
              </w:rPr>
            </w:pPr>
            <w:r w:rsidRPr="00BA60F0">
              <w:rPr>
                <w:rFonts w:ascii="Book Antiqua" w:hAnsi="Book Antiqua" w:cs="Arial"/>
                <w:sz w:val="24"/>
                <w:szCs w:val="24"/>
                <w:lang w:val="en-US"/>
              </w:rPr>
              <w:t>2.6</w:t>
            </w:r>
          </w:p>
          <w:p w:rsidR="008D14E6" w:rsidRPr="00BA60F0" w:rsidRDefault="008D14E6" w:rsidP="00746849">
            <w:pPr>
              <w:adjustRightInd w:val="0"/>
              <w:snapToGrid w:val="0"/>
              <w:spacing w:after="0" w:line="360" w:lineRule="auto"/>
              <w:jc w:val="both"/>
              <w:rPr>
                <w:rFonts w:ascii="Book Antiqua" w:hAnsi="Book Antiqua" w:cs="Arial"/>
                <w:sz w:val="24"/>
                <w:szCs w:val="24"/>
                <w:lang w:val="en-US"/>
              </w:rPr>
            </w:pPr>
          </w:p>
        </w:tc>
        <w:tc>
          <w:tcPr>
            <w:tcW w:w="810" w:type="dxa"/>
          </w:tcPr>
          <w:p w:rsidR="008D14E6" w:rsidRPr="00BA60F0" w:rsidRDefault="008D14E6" w:rsidP="00746849">
            <w:pPr>
              <w:adjustRightInd w:val="0"/>
              <w:snapToGrid w:val="0"/>
              <w:spacing w:after="0" w:line="360" w:lineRule="auto"/>
              <w:jc w:val="both"/>
              <w:rPr>
                <w:rFonts w:ascii="Book Antiqua" w:hAnsi="Book Antiqua" w:cs="Arial"/>
                <w:sz w:val="24"/>
                <w:szCs w:val="24"/>
                <w:lang w:val="en-US"/>
              </w:rPr>
            </w:pPr>
            <w:r w:rsidRPr="00BA60F0">
              <w:rPr>
                <w:rFonts w:ascii="Book Antiqua" w:hAnsi="Book Antiqua" w:cs="Arial"/>
                <w:sz w:val="24"/>
                <w:szCs w:val="24"/>
                <w:lang w:val="en-US"/>
              </w:rPr>
              <w:t xml:space="preserve">NR </w:t>
            </w:r>
          </w:p>
        </w:tc>
        <w:tc>
          <w:tcPr>
            <w:tcW w:w="810" w:type="dxa"/>
          </w:tcPr>
          <w:p w:rsidR="008D14E6" w:rsidRPr="00BA60F0" w:rsidRDefault="008D14E6" w:rsidP="00746849">
            <w:pPr>
              <w:adjustRightInd w:val="0"/>
              <w:snapToGrid w:val="0"/>
              <w:spacing w:after="0" w:line="360" w:lineRule="auto"/>
              <w:jc w:val="both"/>
              <w:rPr>
                <w:rFonts w:ascii="Book Antiqua" w:hAnsi="Book Antiqua" w:cs="Arial"/>
                <w:sz w:val="24"/>
                <w:szCs w:val="24"/>
                <w:lang w:val="en-US"/>
              </w:rPr>
            </w:pPr>
            <w:r w:rsidRPr="00BA60F0">
              <w:rPr>
                <w:rFonts w:ascii="Book Antiqua" w:hAnsi="Book Antiqua" w:cs="Arial"/>
                <w:sz w:val="24"/>
                <w:szCs w:val="24"/>
                <w:lang w:val="en-US"/>
              </w:rPr>
              <w:t>7.2</w:t>
            </w:r>
          </w:p>
        </w:tc>
        <w:tc>
          <w:tcPr>
            <w:tcW w:w="1867" w:type="dxa"/>
          </w:tcPr>
          <w:p w:rsidR="008D14E6" w:rsidRPr="00BA60F0" w:rsidRDefault="008D14E6" w:rsidP="00746849">
            <w:pPr>
              <w:adjustRightInd w:val="0"/>
              <w:snapToGrid w:val="0"/>
              <w:spacing w:after="0" w:line="360" w:lineRule="auto"/>
              <w:jc w:val="both"/>
              <w:rPr>
                <w:rFonts w:ascii="Book Antiqua" w:hAnsi="Book Antiqua" w:cs="Arial"/>
                <w:sz w:val="24"/>
                <w:szCs w:val="24"/>
                <w:lang w:val="en-US"/>
              </w:rPr>
            </w:pPr>
            <w:r w:rsidRPr="00BA60F0">
              <w:rPr>
                <w:rFonts w:ascii="Book Antiqua" w:hAnsi="Book Antiqua" w:cs="Arial"/>
                <w:sz w:val="24"/>
                <w:szCs w:val="24"/>
                <w:lang w:val="en-US"/>
              </w:rPr>
              <w:t>A/N/FN/As - 10.5/12.5/9.9/13.6</w:t>
            </w:r>
          </w:p>
        </w:tc>
        <w:tc>
          <w:tcPr>
            <w:tcW w:w="1080" w:type="dxa"/>
          </w:tcPr>
          <w:p w:rsidR="008D14E6" w:rsidRPr="00CE72EE" w:rsidRDefault="008D14E6" w:rsidP="00746849">
            <w:pPr>
              <w:adjustRightInd w:val="0"/>
              <w:snapToGrid w:val="0"/>
              <w:spacing w:after="0" w:line="360" w:lineRule="auto"/>
              <w:jc w:val="both"/>
              <w:rPr>
                <w:rFonts w:ascii="Book Antiqua" w:hAnsi="Book Antiqua" w:cs="Arial"/>
                <w:bCs/>
                <w:sz w:val="24"/>
                <w:szCs w:val="24"/>
                <w:lang w:val="en-US"/>
              </w:rPr>
            </w:pPr>
            <w:r w:rsidRPr="00CE72EE">
              <w:rPr>
                <w:rFonts w:ascii="Book Antiqua" w:hAnsi="Book Antiqua" w:cs="Arial"/>
                <w:bCs/>
                <w:sz w:val="24"/>
                <w:szCs w:val="24"/>
                <w:lang w:val="en-US"/>
              </w:rPr>
              <w:t>Jo</w:t>
            </w:r>
            <w:r w:rsidR="004312CD" w:rsidRPr="004312CD">
              <w:rPr>
                <w:rFonts w:ascii="Book Antiqua" w:hAnsi="Book Antiqua" w:cs="Arial" w:hint="eastAsia"/>
                <w:bCs/>
                <w:sz w:val="24"/>
                <w:szCs w:val="24"/>
                <w:vertAlign w:val="superscript"/>
                <w:lang w:val="en-US" w:eastAsia="zh-CN"/>
              </w:rPr>
              <w:t>1</w:t>
            </w:r>
            <w:r w:rsidR="00EB2F98" w:rsidRPr="00CE72EE">
              <w:rPr>
                <w:rFonts w:ascii="Book Antiqua" w:hAnsi="Book Antiqua" w:cs="Arial"/>
                <w:bCs/>
                <w:i/>
                <w:sz w:val="24"/>
                <w:szCs w:val="24"/>
                <w:lang w:val="en-US"/>
              </w:rPr>
              <w:t xml:space="preserve"> et al</w:t>
            </w:r>
            <w:r w:rsidR="00EB2F98" w:rsidRPr="00CE72EE">
              <w:rPr>
                <w:rFonts w:ascii="Book Antiqua" w:hAnsi="Book Antiqua" w:cs="Arial"/>
                <w:bCs/>
                <w:sz w:val="24"/>
                <w:szCs w:val="24"/>
                <w:vertAlign w:val="superscript"/>
                <w:lang w:val="en-US"/>
              </w:rPr>
              <w:t>[25]</w:t>
            </w:r>
            <w:r w:rsidR="00EB2F98" w:rsidRPr="00CE72EE">
              <w:rPr>
                <w:rFonts w:ascii="Book Antiqua" w:hAnsi="Book Antiqua" w:cs="Arial"/>
                <w:bCs/>
                <w:sz w:val="24"/>
                <w:szCs w:val="24"/>
                <w:lang w:val="en-US"/>
              </w:rPr>
              <w:t>, 2007</w:t>
            </w:r>
          </w:p>
        </w:tc>
      </w:tr>
      <w:tr w:rsidR="008D14E6" w:rsidRPr="00BA60F0" w:rsidTr="00CE72EE">
        <w:trPr>
          <w:trHeight w:val="423"/>
        </w:trPr>
        <w:tc>
          <w:tcPr>
            <w:tcW w:w="1100" w:type="dxa"/>
          </w:tcPr>
          <w:p w:rsidR="008D14E6" w:rsidRPr="00BA60F0" w:rsidRDefault="008D14E6" w:rsidP="00746849">
            <w:pPr>
              <w:adjustRightInd w:val="0"/>
              <w:snapToGrid w:val="0"/>
              <w:spacing w:after="0" w:line="360" w:lineRule="auto"/>
              <w:jc w:val="both"/>
              <w:rPr>
                <w:rFonts w:ascii="Book Antiqua" w:hAnsi="Book Antiqua" w:cs="Arial"/>
                <w:b/>
                <w:bCs/>
                <w:sz w:val="24"/>
                <w:szCs w:val="24"/>
                <w:lang w:val="en-US"/>
              </w:rPr>
            </w:pPr>
            <w:r w:rsidRPr="00BA60F0">
              <w:rPr>
                <w:rFonts w:ascii="Book Antiqua" w:hAnsi="Book Antiqua" w:cs="Arial"/>
                <w:b/>
                <w:bCs/>
                <w:sz w:val="24"/>
                <w:szCs w:val="24"/>
                <w:lang w:val="en-US"/>
              </w:rPr>
              <w:t>Docetaxel</w:t>
            </w:r>
          </w:p>
        </w:tc>
        <w:tc>
          <w:tcPr>
            <w:tcW w:w="710" w:type="dxa"/>
          </w:tcPr>
          <w:p w:rsidR="008D14E6" w:rsidRPr="00BA60F0" w:rsidRDefault="008D14E6" w:rsidP="00746849">
            <w:pPr>
              <w:adjustRightInd w:val="0"/>
              <w:snapToGrid w:val="0"/>
              <w:spacing w:after="0" w:line="360" w:lineRule="auto"/>
              <w:jc w:val="both"/>
              <w:rPr>
                <w:rFonts w:ascii="Book Antiqua" w:hAnsi="Book Antiqua" w:cs="Arial"/>
                <w:sz w:val="24"/>
                <w:szCs w:val="24"/>
                <w:lang w:val="en-US"/>
              </w:rPr>
            </w:pPr>
            <w:r w:rsidRPr="00BA60F0">
              <w:rPr>
                <w:rFonts w:ascii="Book Antiqua" w:hAnsi="Book Antiqua" w:cs="Arial"/>
                <w:sz w:val="24"/>
                <w:szCs w:val="24"/>
                <w:lang w:val="en-US"/>
              </w:rPr>
              <w:t>49/49</w:t>
            </w:r>
          </w:p>
        </w:tc>
        <w:tc>
          <w:tcPr>
            <w:tcW w:w="1178" w:type="dxa"/>
          </w:tcPr>
          <w:p w:rsidR="008D14E6" w:rsidRPr="00BA60F0" w:rsidRDefault="008D14E6" w:rsidP="00746849">
            <w:pPr>
              <w:adjustRightInd w:val="0"/>
              <w:snapToGrid w:val="0"/>
              <w:spacing w:after="0" w:line="360" w:lineRule="auto"/>
              <w:jc w:val="both"/>
              <w:rPr>
                <w:rFonts w:ascii="Book Antiqua" w:hAnsi="Book Antiqua" w:cs="Arial"/>
                <w:sz w:val="24"/>
                <w:szCs w:val="24"/>
                <w:lang w:val="en-US"/>
              </w:rPr>
            </w:pPr>
            <w:r w:rsidRPr="00BA60F0">
              <w:rPr>
                <w:rFonts w:ascii="Book Antiqua" w:hAnsi="Book Antiqua" w:cs="Arial"/>
                <w:sz w:val="24"/>
                <w:szCs w:val="24"/>
                <w:lang w:val="en-US"/>
              </w:rPr>
              <w:t>ECOG 0/1/2 - 9/36/4</w:t>
            </w:r>
          </w:p>
        </w:tc>
        <w:tc>
          <w:tcPr>
            <w:tcW w:w="1440" w:type="dxa"/>
          </w:tcPr>
          <w:p w:rsidR="008D14E6" w:rsidRPr="00BA60F0" w:rsidRDefault="008D14E6" w:rsidP="00746849">
            <w:pPr>
              <w:adjustRightInd w:val="0"/>
              <w:snapToGrid w:val="0"/>
              <w:spacing w:after="0" w:line="360" w:lineRule="auto"/>
              <w:jc w:val="both"/>
              <w:rPr>
                <w:rFonts w:ascii="Book Antiqua" w:hAnsi="Book Antiqua" w:cs="Arial"/>
                <w:sz w:val="24"/>
                <w:szCs w:val="24"/>
                <w:lang w:val="en-US"/>
              </w:rPr>
            </w:pPr>
            <w:r w:rsidRPr="00BA60F0">
              <w:rPr>
                <w:rFonts w:ascii="Book Antiqua" w:hAnsi="Book Antiqua" w:cs="Arial"/>
                <w:sz w:val="24"/>
                <w:szCs w:val="24"/>
                <w:lang w:val="en-US"/>
              </w:rPr>
              <w:t>Dtx - 75 d1 q21</w:t>
            </w:r>
          </w:p>
        </w:tc>
        <w:tc>
          <w:tcPr>
            <w:tcW w:w="720" w:type="dxa"/>
          </w:tcPr>
          <w:p w:rsidR="008D14E6" w:rsidRPr="00BA60F0" w:rsidRDefault="008D14E6" w:rsidP="00746849">
            <w:pPr>
              <w:adjustRightInd w:val="0"/>
              <w:snapToGrid w:val="0"/>
              <w:spacing w:after="0" w:line="360" w:lineRule="auto"/>
              <w:jc w:val="both"/>
              <w:rPr>
                <w:rFonts w:ascii="Book Antiqua" w:hAnsi="Book Antiqua" w:cs="Arial"/>
                <w:sz w:val="24"/>
                <w:szCs w:val="24"/>
                <w:lang w:val="en-US"/>
              </w:rPr>
            </w:pPr>
            <w:r w:rsidRPr="00BA60F0">
              <w:rPr>
                <w:rFonts w:ascii="Book Antiqua" w:hAnsi="Book Antiqua" w:cs="Arial"/>
                <w:sz w:val="24"/>
                <w:szCs w:val="24"/>
                <w:lang w:val="en-US"/>
              </w:rPr>
              <w:t>16.5</w:t>
            </w:r>
          </w:p>
        </w:tc>
        <w:tc>
          <w:tcPr>
            <w:tcW w:w="810" w:type="dxa"/>
          </w:tcPr>
          <w:p w:rsidR="008D14E6" w:rsidRPr="00BA60F0" w:rsidRDefault="008D14E6" w:rsidP="00746849">
            <w:pPr>
              <w:adjustRightInd w:val="0"/>
              <w:snapToGrid w:val="0"/>
              <w:spacing w:after="0" w:line="360" w:lineRule="auto"/>
              <w:jc w:val="both"/>
              <w:rPr>
                <w:rFonts w:ascii="Book Antiqua" w:hAnsi="Book Antiqua" w:cs="Arial"/>
                <w:sz w:val="24"/>
                <w:szCs w:val="24"/>
                <w:lang w:val="en-US"/>
              </w:rPr>
            </w:pPr>
            <w:r w:rsidRPr="00BA60F0">
              <w:rPr>
                <w:rFonts w:ascii="Book Antiqua" w:hAnsi="Book Antiqua" w:cs="Arial"/>
                <w:sz w:val="24"/>
                <w:szCs w:val="24"/>
                <w:lang w:val="en-US"/>
              </w:rPr>
              <w:t>2.5</w:t>
            </w:r>
          </w:p>
          <w:p w:rsidR="008D14E6" w:rsidRPr="00BA60F0" w:rsidRDefault="008D14E6" w:rsidP="00746849">
            <w:pPr>
              <w:adjustRightInd w:val="0"/>
              <w:snapToGrid w:val="0"/>
              <w:spacing w:after="0" w:line="360" w:lineRule="auto"/>
              <w:jc w:val="both"/>
              <w:rPr>
                <w:rFonts w:ascii="Book Antiqua" w:hAnsi="Book Antiqua" w:cs="Arial"/>
                <w:sz w:val="24"/>
                <w:szCs w:val="24"/>
                <w:lang w:val="en-US"/>
              </w:rPr>
            </w:pPr>
          </w:p>
        </w:tc>
        <w:tc>
          <w:tcPr>
            <w:tcW w:w="810" w:type="dxa"/>
          </w:tcPr>
          <w:p w:rsidR="008D14E6" w:rsidRPr="00BA60F0" w:rsidRDefault="008D14E6" w:rsidP="00746849">
            <w:pPr>
              <w:adjustRightInd w:val="0"/>
              <w:snapToGrid w:val="0"/>
              <w:spacing w:after="0" w:line="360" w:lineRule="auto"/>
              <w:jc w:val="both"/>
              <w:rPr>
                <w:rFonts w:ascii="Book Antiqua" w:hAnsi="Book Antiqua" w:cs="Arial"/>
                <w:sz w:val="24"/>
                <w:szCs w:val="24"/>
                <w:lang w:val="en-US"/>
              </w:rPr>
            </w:pPr>
            <w:r w:rsidRPr="00BA60F0">
              <w:rPr>
                <w:rFonts w:ascii="Book Antiqua" w:hAnsi="Book Antiqua" w:cs="Arial"/>
                <w:sz w:val="24"/>
                <w:szCs w:val="24"/>
                <w:lang w:val="en-US"/>
              </w:rPr>
              <w:t xml:space="preserve">NR </w:t>
            </w:r>
          </w:p>
        </w:tc>
        <w:tc>
          <w:tcPr>
            <w:tcW w:w="810" w:type="dxa"/>
          </w:tcPr>
          <w:p w:rsidR="008D14E6" w:rsidRPr="00BA60F0" w:rsidRDefault="008D14E6" w:rsidP="00746849">
            <w:pPr>
              <w:adjustRightInd w:val="0"/>
              <w:snapToGrid w:val="0"/>
              <w:spacing w:after="0" w:line="360" w:lineRule="auto"/>
              <w:jc w:val="both"/>
              <w:rPr>
                <w:rFonts w:ascii="Book Antiqua" w:hAnsi="Book Antiqua" w:cs="Arial"/>
                <w:sz w:val="24"/>
                <w:szCs w:val="24"/>
                <w:lang w:val="en-US"/>
              </w:rPr>
            </w:pPr>
            <w:r w:rsidRPr="00BA60F0">
              <w:rPr>
                <w:rFonts w:ascii="Book Antiqua" w:hAnsi="Book Antiqua" w:cs="Arial"/>
                <w:sz w:val="24"/>
                <w:szCs w:val="24"/>
                <w:lang w:val="en-US"/>
              </w:rPr>
              <w:t>8.3</w:t>
            </w:r>
          </w:p>
        </w:tc>
        <w:tc>
          <w:tcPr>
            <w:tcW w:w="1867" w:type="dxa"/>
          </w:tcPr>
          <w:p w:rsidR="008D14E6" w:rsidRPr="00BA60F0" w:rsidRDefault="008D14E6" w:rsidP="00746849">
            <w:pPr>
              <w:adjustRightInd w:val="0"/>
              <w:snapToGrid w:val="0"/>
              <w:spacing w:after="0" w:line="360" w:lineRule="auto"/>
              <w:jc w:val="both"/>
              <w:rPr>
                <w:rFonts w:ascii="Book Antiqua" w:hAnsi="Book Antiqua" w:cs="Arial"/>
                <w:sz w:val="24"/>
                <w:szCs w:val="24"/>
                <w:lang w:val="en-US"/>
              </w:rPr>
            </w:pPr>
            <w:r w:rsidRPr="00BA60F0">
              <w:rPr>
                <w:rFonts w:ascii="Book Antiqua" w:hAnsi="Book Antiqua" w:cs="Arial"/>
                <w:sz w:val="24"/>
                <w:szCs w:val="24"/>
                <w:lang w:val="en-US"/>
              </w:rPr>
              <w:t>A/L/N/FN/B/As/D/Neu - 5.4/4.8/5.4/5.4/1.2/ 10.8/2.4/8.4</w:t>
            </w:r>
          </w:p>
        </w:tc>
        <w:tc>
          <w:tcPr>
            <w:tcW w:w="1080" w:type="dxa"/>
          </w:tcPr>
          <w:p w:rsidR="008D14E6" w:rsidRPr="00CE72EE" w:rsidRDefault="008D14E6" w:rsidP="00746849">
            <w:pPr>
              <w:adjustRightInd w:val="0"/>
              <w:snapToGrid w:val="0"/>
              <w:spacing w:after="0" w:line="360" w:lineRule="auto"/>
              <w:jc w:val="both"/>
              <w:rPr>
                <w:rFonts w:ascii="Book Antiqua" w:hAnsi="Book Antiqua" w:cs="Arial"/>
                <w:bCs/>
                <w:sz w:val="24"/>
                <w:szCs w:val="24"/>
                <w:lang w:val="en-US"/>
              </w:rPr>
            </w:pPr>
            <w:r w:rsidRPr="00CE72EE">
              <w:rPr>
                <w:rFonts w:ascii="Book Antiqua" w:hAnsi="Book Antiqua" w:cs="Arial"/>
                <w:bCs/>
                <w:sz w:val="24"/>
                <w:szCs w:val="24"/>
                <w:lang w:val="en-US"/>
              </w:rPr>
              <w:t>Lee</w:t>
            </w:r>
            <w:r w:rsidR="00EB2F98" w:rsidRPr="00CE72EE">
              <w:rPr>
                <w:rFonts w:ascii="Book Antiqua" w:hAnsi="Book Antiqua" w:cs="Arial"/>
                <w:bCs/>
                <w:i/>
                <w:sz w:val="24"/>
                <w:szCs w:val="24"/>
                <w:lang w:val="en-US"/>
              </w:rPr>
              <w:t xml:space="preserve"> et al</w:t>
            </w:r>
            <w:r w:rsidR="00EB2F98" w:rsidRPr="00CE72EE">
              <w:rPr>
                <w:rFonts w:ascii="Book Antiqua" w:hAnsi="Book Antiqua" w:cs="Arial"/>
                <w:bCs/>
                <w:sz w:val="24"/>
                <w:szCs w:val="24"/>
                <w:vertAlign w:val="superscript"/>
                <w:lang w:val="en-US"/>
              </w:rPr>
              <w:t>[26]</w:t>
            </w:r>
            <w:r w:rsidR="00EB2F98" w:rsidRPr="00CE72EE">
              <w:rPr>
                <w:rFonts w:ascii="Book Antiqua" w:hAnsi="Book Antiqua" w:cs="Arial"/>
                <w:bCs/>
                <w:sz w:val="24"/>
                <w:szCs w:val="24"/>
                <w:lang w:val="en-US"/>
              </w:rPr>
              <w:t>, 2008</w:t>
            </w:r>
          </w:p>
        </w:tc>
      </w:tr>
      <w:tr w:rsidR="008D14E6" w:rsidRPr="00BA60F0" w:rsidTr="00CE72EE">
        <w:tc>
          <w:tcPr>
            <w:tcW w:w="1100" w:type="dxa"/>
          </w:tcPr>
          <w:p w:rsidR="008D14E6" w:rsidRPr="00BA60F0" w:rsidRDefault="008D14E6" w:rsidP="00746849">
            <w:pPr>
              <w:adjustRightInd w:val="0"/>
              <w:snapToGrid w:val="0"/>
              <w:spacing w:after="0" w:line="360" w:lineRule="auto"/>
              <w:jc w:val="both"/>
              <w:rPr>
                <w:rFonts w:ascii="Book Antiqua" w:hAnsi="Book Antiqua" w:cs="Arial"/>
                <w:b/>
                <w:bCs/>
                <w:sz w:val="24"/>
                <w:szCs w:val="24"/>
                <w:lang w:val="en-US"/>
              </w:rPr>
            </w:pPr>
            <w:r w:rsidRPr="00BA60F0">
              <w:rPr>
                <w:rFonts w:ascii="Book Antiqua" w:hAnsi="Book Antiqua" w:cs="Arial"/>
                <w:b/>
                <w:bCs/>
                <w:sz w:val="24"/>
                <w:szCs w:val="24"/>
                <w:lang w:val="en-US"/>
              </w:rPr>
              <w:t>Nab-Paclitaxel</w:t>
            </w:r>
          </w:p>
        </w:tc>
        <w:tc>
          <w:tcPr>
            <w:tcW w:w="710" w:type="dxa"/>
          </w:tcPr>
          <w:p w:rsidR="008D14E6" w:rsidRPr="00BA60F0" w:rsidRDefault="008D14E6" w:rsidP="00746849">
            <w:pPr>
              <w:adjustRightInd w:val="0"/>
              <w:snapToGrid w:val="0"/>
              <w:spacing w:after="0" w:line="360" w:lineRule="auto"/>
              <w:jc w:val="both"/>
              <w:rPr>
                <w:rFonts w:ascii="Book Antiqua" w:hAnsi="Book Antiqua" w:cs="Arial"/>
                <w:sz w:val="24"/>
                <w:szCs w:val="24"/>
                <w:lang w:val="en-US"/>
              </w:rPr>
            </w:pPr>
            <w:r w:rsidRPr="00BA60F0">
              <w:rPr>
                <w:rFonts w:ascii="Book Antiqua" w:hAnsi="Book Antiqua" w:cs="Arial"/>
                <w:sz w:val="24"/>
                <w:szCs w:val="24"/>
                <w:lang w:val="en-US"/>
              </w:rPr>
              <w:t>56/54</w:t>
            </w:r>
          </w:p>
        </w:tc>
        <w:tc>
          <w:tcPr>
            <w:tcW w:w="1178" w:type="dxa"/>
          </w:tcPr>
          <w:p w:rsidR="008D14E6" w:rsidRPr="00BA60F0" w:rsidRDefault="008D14E6" w:rsidP="00746849">
            <w:pPr>
              <w:adjustRightInd w:val="0"/>
              <w:snapToGrid w:val="0"/>
              <w:spacing w:after="0" w:line="360" w:lineRule="auto"/>
              <w:jc w:val="both"/>
              <w:rPr>
                <w:rFonts w:ascii="Book Antiqua" w:hAnsi="Book Antiqua" w:cs="Arial"/>
                <w:sz w:val="24"/>
                <w:szCs w:val="24"/>
                <w:lang w:val="en-US"/>
              </w:rPr>
            </w:pPr>
            <w:r w:rsidRPr="00BA60F0">
              <w:rPr>
                <w:rFonts w:ascii="Book Antiqua" w:hAnsi="Book Antiqua" w:cs="Arial"/>
                <w:sz w:val="24"/>
                <w:szCs w:val="24"/>
                <w:lang w:val="en-US"/>
              </w:rPr>
              <w:t>ECOG 0/1 – 33/23</w:t>
            </w:r>
          </w:p>
        </w:tc>
        <w:tc>
          <w:tcPr>
            <w:tcW w:w="1440" w:type="dxa"/>
          </w:tcPr>
          <w:p w:rsidR="008D14E6" w:rsidRPr="00BA60F0" w:rsidRDefault="008D14E6" w:rsidP="00746849">
            <w:pPr>
              <w:adjustRightInd w:val="0"/>
              <w:snapToGrid w:val="0"/>
              <w:spacing w:after="0" w:line="360" w:lineRule="auto"/>
              <w:jc w:val="both"/>
              <w:rPr>
                <w:rFonts w:ascii="Book Antiqua" w:hAnsi="Book Antiqua" w:cs="Arial"/>
                <w:sz w:val="24"/>
                <w:szCs w:val="24"/>
                <w:lang w:val="en-US"/>
              </w:rPr>
            </w:pPr>
            <w:r w:rsidRPr="00BA60F0">
              <w:rPr>
                <w:rFonts w:ascii="Book Antiqua" w:hAnsi="Book Antiqua" w:cs="Arial"/>
                <w:sz w:val="24"/>
                <w:szCs w:val="24"/>
                <w:lang w:val="en-US"/>
              </w:rPr>
              <w:t>Nab-Ptx 250 d1 q21</w:t>
            </w:r>
          </w:p>
        </w:tc>
        <w:tc>
          <w:tcPr>
            <w:tcW w:w="720" w:type="dxa"/>
          </w:tcPr>
          <w:p w:rsidR="008D14E6" w:rsidRPr="00BA60F0" w:rsidRDefault="008D14E6" w:rsidP="00746849">
            <w:pPr>
              <w:adjustRightInd w:val="0"/>
              <w:snapToGrid w:val="0"/>
              <w:spacing w:after="0" w:line="360" w:lineRule="auto"/>
              <w:jc w:val="both"/>
              <w:rPr>
                <w:rFonts w:ascii="Book Antiqua" w:hAnsi="Book Antiqua" w:cs="Arial"/>
                <w:sz w:val="24"/>
                <w:szCs w:val="24"/>
                <w:lang w:val="en-US"/>
              </w:rPr>
            </w:pPr>
            <w:r w:rsidRPr="00BA60F0">
              <w:rPr>
                <w:rFonts w:ascii="Book Antiqua" w:hAnsi="Book Antiqua" w:cs="Arial"/>
                <w:sz w:val="24"/>
                <w:szCs w:val="24"/>
                <w:lang w:val="en-US"/>
              </w:rPr>
              <w:t>27.8</w:t>
            </w:r>
          </w:p>
        </w:tc>
        <w:tc>
          <w:tcPr>
            <w:tcW w:w="810" w:type="dxa"/>
          </w:tcPr>
          <w:p w:rsidR="008D14E6" w:rsidRPr="00BA60F0" w:rsidRDefault="008D14E6" w:rsidP="00746849">
            <w:pPr>
              <w:adjustRightInd w:val="0"/>
              <w:snapToGrid w:val="0"/>
              <w:spacing w:after="0" w:line="360" w:lineRule="auto"/>
              <w:jc w:val="both"/>
              <w:rPr>
                <w:rFonts w:ascii="Book Antiqua" w:hAnsi="Book Antiqua" w:cs="Arial"/>
                <w:sz w:val="24"/>
                <w:szCs w:val="24"/>
                <w:lang w:val="en-US"/>
              </w:rPr>
            </w:pPr>
            <w:r w:rsidRPr="00BA60F0">
              <w:rPr>
                <w:rFonts w:ascii="Book Antiqua" w:hAnsi="Book Antiqua" w:cs="Arial"/>
                <w:sz w:val="24"/>
                <w:szCs w:val="24"/>
                <w:lang w:val="en-US"/>
              </w:rPr>
              <w:t>NR</w:t>
            </w:r>
          </w:p>
        </w:tc>
        <w:tc>
          <w:tcPr>
            <w:tcW w:w="810" w:type="dxa"/>
          </w:tcPr>
          <w:p w:rsidR="008D14E6" w:rsidRPr="00BA60F0" w:rsidRDefault="008D14E6" w:rsidP="00746849">
            <w:pPr>
              <w:adjustRightInd w:val="0"/>
              <w:snapToGrid w:val="0"/>
              <w:spacing w:after="0" w:line="360" w:lineRule="auto"/>
              <w:jc w:val="both"/>
              <w:rPr>
                <w:rFonts w:ascii="Book Antiqua" w:hAnsi="Book Antiqua" w:cs="Arial"/>
                <w:sz w:val="24"/>
                <w:szCs w:val="24"/>
                <w:lang w:val="en-US"/>
              </w:rPr>
            </w:pPr>
            <w:r w:rsidRPr="00BA60F0">
              <w:rPr>
                <w:rFonts w:ascii="Book Antiqua" w:hAnsi="Book Antiqua" w:cs="Arial"/>
                <w:sz w:val="24"/>
                <w:szCs w:val="24"/>
                <w:lang w:val="en-US"/>
              </w:rPr>
              <w:t>2.9</w:t>
            </w:r>
          </w:p>
        </w:tc>
        <w:tc>
          <w:tcPr>
            <w:tcW w:w="810" w:type="dxa"/>
          </w:tcPr>
          <w:p w:rsidR="008D14E6" w:rsidRPr="00BA60F0" w:rsidRDefault="008D14E6" w:rsidP="00746849">
            <w:pPr>
              <w:adjustRightInd w:val="0"/>
              <w:snapToGrid w:val="0"/>
              <w:spacing w:after="0" w:line="360" w:lineRule="auto"/>
              <w:jc w:val="both"/>
              <w:rPr>
                <w:rFonts w:ascii="Book Antiqua" w:hAnsi="Book Antiqua" w:cs="Arial"/>
                <w:sz w:val="24"/>
                <w:szCs w:val="24"/>
                <w:lang w:val="en-US"/>
              </w:rPr>
            </w:pPr>
            <w:r w:rsidRPr="00BA60F0">
              <w:rPr>
                <w:rFonts w:ascii="Book Antiqua" w:hAnsi="Book Antiqua" w:cs="Arial"/>
                <w:sz w:val="24"/>
                <w:szCs w:val="24"/>
                <w:lang w:val="en-US"/>
              </w:rPr>
              <w:t>9.2</w:t>
            </w:r>
          </w:p>
        </w:tc>
        <w:tc>
          <w:tcPr>
            <w:tcW w:w="1867" w:type="dxa"/>
          </w:tcPr>
          <w:p w:rsidR="008D14E6" w:rsidRPr="00BA60F0" w:rsidRDefault="008D14E6" w:rsidP="00746849">
            <w:pPr>
              <w:adjustRightInd w:val="0"/>
              <w:snapToGrid w:val="0"/>
              <w:spacing w:after="0" w:line="360" w:lineRule="auto"/>
              <w:jc w:val="both"/>
              <w:rPr>
                <w:rFonts w:ascii="Book Antiqua" w:hAnsi="Book Antiqua" w:cs="Arial"/>
                <w:sz w:val="24"/>
                <w:szCs w:val="24"/>
                <w:lang w:val="en-US"/>
              </w:rPr>
            </w:pPr>
            <w:r w:rsidRPr="00BA60F0">
              <w:rPr>
                <w:rFonts w:ascii="Book Antiqua" w:hAnsi="Book Antiqua" w:cs="Arial"/>
                <w:sz w:val="24"/>
                <w:szCs w:val="24"/>
                <w:lang w:val="en-US"/>
              </w:rPr>
              <w:t>A/L/N/Ly/Neu – 7.3/20/49.1/10.9/23.6</w:t>
            </w:r>
          </w:p>
        </w:tc>
        <w:tc>
          <w:tcPr>
            <w:tcW w:w="1080" w:type="dxa"/>
          </w:tcPr>
          <w:p w:rsidR="008D14E6" w:rsidRPr="00CE72EE" w:rsidRDefault="008D14E6" w:rsidP="00746849">
            <w:pPr>
              <w:adjustRightInd w:val="0"/>
              <w:snapToGrid w:val="0"/>
              <w:spacing w:after="0" w:line="360" w:lineRule="auto"/>
              <w:jc w:val="both"/>
              <w:rPr>
                <w:rFonts w:ascii="Book Antiqua" w:hAnsi="Book Antiqua" w:cs="Arial"/>
                <w:bCs/>
                <w:sz w:val="24"/>
                <w:szCs w:val="24"/>
                <w:lang w:val="en-US"/>
              </w:rPr>
            </w:pPr>
            <w:r w:rsidRPr="00CE72EE">
              <w:rPr>
                <w:rFonts w:ascii="Book Antiqua" w:hAnsi="Book Antiqua" w:cs="Arial"/>
                <w:bCs/>
                <w:sz w:val="24"/>
                <w:szCs w:val="24"/>
                <w:lang w:val="en-US"/>
              </w:rPr>
              <w:t>Sasaki</w:t>
            </w:r>
            <w:r w:rsidR="00EB2F98" w:rsidRPr="00CE72EE">
              <w:rPr>
                <w:rFonts w:ascii="Book Antiqua" w:hAnsi="Book Antiqua" w:cs="Arial"/>
                <w:bCs/>
                <w:i/>
                <w:sz w:val="24"/>
                <w:szCs w:val="24"/>
                <w:lang w:val="en-US"/>
              </w:rPr>
              <w:t xml:space="preserve"> et al</w:t>
            </w:r>
            <w:r w:rsidR="00EB2F98" w:rsidRPr="00CE72EE">
              <w:rPr>
                <w:rFonts w:ascii="Book Antiqua" w:hAnsi="Book Antiqua" w:cs="Arial"/>
                <w:bCs/>
                <w:sz w:val="24"/>
                <w:szCs w:val="24"/>
                <w:vertAlign w:val="superscript"/>
                <w:lang w:val="en-US"/>
              </w:rPr>
              <w:t>[27]</w:t>
            </w:r>
            <w:r w:rsidR="00EB2F98" w:rsidRPr="00CE72EE">
              <w:rPr>
                <w:rFonts w:ascii="Book Antiqua" w:hAnsi="Book Antiqua" w:cs="Arial"/>
                <w:bCs/>
                <w:sz w:val="24"/>
                <w:szCs w:val="24"/>
                <w:lang w:val="en-US"/>
              </w:rPr>
              <w:t>, 2014</w:t>
            </w:r>
          </w:p>
        </w:tc>
      </w:tr>
      <w:tr w:rsidR="008D14E6" w:rsidRPr="00BA60F0" w:rsidTr="00CE72EE">
        <w:tc>
          <w:tcPr>
            <w:tcW w:w="1100" w:type="dxa"/>
          </w:tcPr>
          <w:p w:rsidR="008D14E6" w:rsidRPr="00BA60F0" w:rsidRDefault="008D14E6" w:rsidP="00746849">
            <w:pPr>
              <w:adjustRightInd w:val="0"/>
              <w:snapToGrid w:val="0"/>
              <w:spacing w:after="0" w:line="360" w:lineRule="auto"/>
              <w:jc w:val="both"/>
              <w:rPr>
                <w:rFonts w:ascii="Book Antiqua" w:hAnsi="Book Antiqua" w:cs="Arial"/>
                <w:b/>
                <w:bCs/>
                <w:sz w:val="24"/>
                <w:szCs w:val="24"/>
                <w:lang w:val="en-US"/>
              </w:rPr>
            </w:pPr>
            <w:r w:rsidRPr="00BA60F0">
              <w:rPr>
                <w:rFonts w:ascii="Book Antiqua" w:hAnsi="Book Antiqua" w:cs="Arial"/>
                <w:b/>
                <w:bCs/>
                <w:sz w:val="24"/>
                <w:szCs w:val="24"/>
                <w:lang w:val="en-US"/>
              </w:rPr>
              <w:t>Pemetrexed</w:t>
            </w:r>
          </w:p>
        </w:tc>
        <w:tc>
          <w:tcPr>
            <w:tcW w:w="710" w:type="dxa"/>
          </w:tcPr>
          <w:p w:rsidR="008D14E6" w:rsidRPr="00BA60F0" w:rsidRDefault="008D14E6" w:rsidP="00746849">
            <w:pPr>
              <w:adjustRightInd w:val="0"/>
              <w:snapToGrid w:val="0"/>
              <w:spacing w:after="0" w:line="360" w:lineRule="auto"/>
              <w:jc w:val="both"/>
              <w:rPr>
                <w:rFonts w:ascii="Book Antiqua" w:hAnsi="Book Antiqua" w:cs="Arial"/>
                <w:sz w:val="24"/>
                <w:szCs w:val="24"/>
                <w:lang w:val="en-US"/>
              </w:rPr>
            </w:pPr>
            <w:r w:rsidRPr="00BA60F0">
              <w:rPr>
                <w:rFonts w:ascii="Book Antiqua" w:hAnsi="Book Antiqua" w:cs="Arial"/>
                <w:sz w:val="24"/>
                <w:szCs w:val="24"/>
                <w:lang w:val="en-US"/>
              </w:rPr>
              <w:t>34/30</w:t>
            </w:r>
          </w:p>
        </w:tc>
        <w:tc>
          <w:tcPr>
            <w:tcW w:w="1178" w:type="dxa"/>
          </w:tcPr>
          <w:p w:rsidR="008D14E6" w:rsidRPr="00BA60F0" w:rsidRDefault="008D14E6" w:rsidP="00746849">
            <w:pPr>
              <w:adjustRightInd w:val="0"/>
              <w:snapToGrid w:val="0"/>
              <w:spacing w:after="0" w:line="360" w:lineRule="auto"/>
              <w:jc w:val="both"/>
              <w:rPr>
                <w:rFonts w:ascii="Book Antiqua" w:hAnsi="Book Antiqua" w:cs="Arial"/>
                <w:sz w:val="24"/>
                <w:szCs w:val="24"/>
                <w:lang w:val="en-US"/>
              </w:rPr>
            </w:pPr>
            <w:r w:rsidRPr="00BA60F0">
              <w:rPr>
                <w:rFonts w:ascii="Book Antiqua" w:hAnsi="Book Antiqua" w:cs="Arial"/>
                <w:sz w:val="24"/>
                <w:szCs w:val="24"/>
                <w:lang w:val="en-US"/>
              </w:rPr>
              <w:t>ECOG 0/1/2 – 7/20/7</w:t>
            </w:r>
          </w:p>
        </w:tc>
        <w:tc>
          <w:tcPr>
            <w:tcW w:w="1440" w:type="dxa"/>
          </w:tcPr>
          <w:p w:rsidR="008D14E6" w:rsidRPr="00BA60F0" w:rsidRDefault="008D14E6" w:rsidP="00746849">
            <w:pPr>
              <w:adjustRightInd w:val="0"/>
              <w:snapToGrid w:val="0"/>
              <w:spacing w:after="0" w:line="360" w:lineRule="auto"/>
              <w:jc w:val="both"/>
              <w:rPr>
                <w:rFonts w:ascii="Book Antiqua" w:hAnsi="Book Antiqua" w:cs="Arial"/>
                <w:sz w:val="24"/>
                <w:szCs w:val="24"/>
                <w:lang w:val="en-US"/>
              </w:rPr>
            </w:pPr>
            <w:r w:rsidRPr="00BA60F0">
              <w:rPr>
                <w:rFonts w:ascii="Book Antiqua" w:hAnsi="Book Antiqua" w:cs="Arial"/>
                <w:sz w:val="24"/>
                <w:szCs w:val="24"/>
                <w:lang w:val="en-US"/>
              </w:rPr>
              <w:t>Pem – 500 d1 q 21</w:t>
            </w:r>
          </w:p>
        </w:tc>
        <w:tc>
          <w:tcPr>
            <w:tcW w:w="720" w:type="dxa"/>
          </w:tcPr>
          <w:p w:rsidR="008D14E6" w:rsidRPr="00BA60F0" w:rsidRDefault="008D14E6" w:rsidP="00746849">
            <w:pPr>
              <w:adjustRightInd w:val="0"/>
              <w:snapToGrid w:val="0"/>
              <w:spacing w:after="0" w:line="360" w:lineRule="auto"/>
              <w:jc w:val="both"/>
              <w:rPr>
                <w:rFonts w:ascii="Book Antiqua" w:hAnsi="Book Antiqua" w:cs="Arial"/>
                <w:sz w:val="24"/>
                <w:szCs w:val="24"/>
                <w:lang w:val="en-US"/>
              </w:rPr>
            </w:pPr>
            <w:r w:rsidRPr="00BA60F0">
              <w:rPr>
                <w:rFonts w:ascii="Book Antiqua" w:hAnsi="Book Antiqua" w:cs="Arial"/>
                <w:sz w:val="24"/>
                <w:szCs w:val="24"/>
                <w:lang w:val="en-US"/>
              </w:rPr>
              <w:t>63.6</w:t>
            </w:r>
          </w:p>
        </w:tc>
        <w:tc>
          <w:tcPr>
            <w:tcW w:w="810" w:type="dxa"/>
          </w:tcPr>
          <w:p w:rsidR="008D14E6" w:rsidRPr="00BA60F0" w:rsidRDefault="008D14E6" w:rsidP="00746849">
            <w:pPr>
              <w:adjustRightInd w:val="0"/>
              <w:snapToGrid w:val="0"/>
              <w:spacing w:after="0" w:line="360" w:lineRule="auto"/>
              <w:jc w:val="both"/>
              <w:rPr>
                <w:rFonts w:ascii="Book Antiqua" w:hAnsi="Book Antiqua" w:cs="Arial"/>
                <w:sz w:val="24"/>
                <w:szCs w:val="24"/>
                <w:lang w:val="en-US"/>
              </w:rPr>
            </w:pPr>
            <w:r w:rsidRPr="00BA60F0">
              <w:rPr>
                <w:rFonts w:ascii="Book Antiqua" w:hAnsi="Book Antiqua" w:cs="Arial"/>
                <w:sz w:val="24"/>
                <w:szCs w:val="24"/>
                <w:lang w:val="en-US"/>
              </w:rPr>
              <w:t>NR</w:t>
            </w:r>
          </w:p>
        </w:tc>
        <w:tc>
          <w:tcPr>
            <w:tcW w:w="810" w:type="dxa"/>
          </w:tcPr>
          <w:p w:rsidR="008D14E6" w:rsidRPr="00BA60F0" w:rsidRDefault="008D14E6" w:rsidP="00746849">
            <w:pPr>
              <w:adjustRightInd w:val="0"/>
              <w:snapToGrid w:val="0"/>
              <w:spacing w:after="0" w:line="360" w:lineRule="auto"/>
              <w:jc w:val="both"/>
              <w:rPr>
                <w:rFonts w:ascii="Book Antiqua" w:hAnsi="Book Antiqua" w:cs="Arial"/>
                <w:sz w:val="24"/>
                <w:szCs w:val="24"/>
                <w:lang w:val="en-US"/>
              </w:rPr>
            </w:pPr>
            <w:r w:rsidRPr="00BA60F0">
              <w:rPr>
                <w:rFonts w:ascii="Book Antiqua" w:hAnsi="Book Antiqua" w:cs="Arial"/>
                <w:sz w:val="24"/>
                <w:szCs w:val="24"/>
                <w:lang w:val="en-US"/>
              </w:rPr>
              <w:t>2.3</w:t>
            </w:r>
          </w:p>
        </w:tc>
        <w:tc>
          <w:tcPr>
            <w:tcW w:w="810" w:type="dxa"/>
          </w:tcPr>
          <w:p w:rsidR="008D14E6" w:rsidRPr="00BA60F0" w:rsidRDefault="008D14E6" w:rsidP="00746849">
            <w:pPr>
              <w:adjustRightInd w:val="0"/>
              <w:snapToGrid w:val="0"/>
              <w:spacing w:after="0" w:line="360" w:lineRule="auto"/>
              <w:jc w:val="both"/>
              <w:rPr>
                <w:rFonts w:ascii="Book Antiqua" w:hAnsi="Book Antiqua" w:cs="Arial"/>
                <w:sz w:val="24"/>
                <w:szCs w:val="24"/>
                <w:lang w:val="en-US"/>
              </w:rPr>
            </w:pPr>
            <w:r w:rsidRPr="00BA60F0">
              <w:rPr>
                <w:rFonts w:ascii="Book Antiqua" w:hAnsi="Book Antiqua" w:cs="Arial"/>
                <w:sz w:val="24"/>
                <w:szCs w:val="24"/>
                <w:lang w:val="en-US"/>
              </w:rPr>
              <w:t>6.4</w:t>
            </w:r>
          </w:p>
        </w:tc>
        <w:tc>
          <w:tcPr>
            <w:tcW w:w="1867" w:type="dxa"/>
          </w:tcPr>
          <w:p w:rsidR="008D14E6" w:rsidRPr="00BA60F0" w:rsidRDefault="008D14E6" w:rsidP="00746849">
            <w:pPr>
              <w:adjustRightInd w:val="0"/>
              <w:snapToGrid w:val="0"/>
              <w:spacing w:after="0" w:line="360" w:lineRule="auto"/>
              <w:jc w:val="both"/>
              <w:rPr>
                <w:rFonts w:ascii="Book Antiqua" w:hAnsi="Book Antiqua" w:cs="Arial"/>
                <w:sz w:val="24"/>
                <w:szCs w:val="24"/>
                <w:lang w:val="en-US"/>
              </w:rPr>
            </w:pPr>
            <w:r w:rsidRPr="00BA60F0">
              <w:rPr>
                <w:rFonts w:ascii="Book Antiqua" w:hAnsi="Book Antiqua" w:cs="Arial"/>
                <w:sz w:val="24"/>
                <w:szCs w:val="24"/>
                <w:lang w:val="en-US"/>
              </w:rPr>
              <w:t>A/N/T/As – 2.9/2.9/2.9/5.8</w:t>
            </w:r>
          </w:p>
        </w:tc>
        <w:tc>
          <w:tcPr>
            <w:tcW w:w="1080" w:type="dxa"/>
          </w:tcPr>
          <w:p w:rsidR="008D14E6" w:rsidRPr="00CE72EE" w:rsidRDefault="008D14E6" w:rsidP="00746849">
            <w:pPr>
              <w:adjustRightInd w:val="0"/>
              <w:snapToGrid w:val="0"/>
              <w:spacing w:after="0" w:line="360" w:lineRule="auto"/>
              <w:jc w:val="both"/>
              <w:rPr>
                <w:rFonts w:ascii="Book Antiqua" w:hAnsi="Book Antiqua" w:cs="Arial"/>
                <w:bCs/>
                <w:sz w:val="24"/>
                <w:szCs w:val="24"/>
                <w:lang w:val="en-US"/>
              </w:rPr>
            </w:pPr>
            <w:r w:rsidRPr="00CE72EE">
              <w:rPr>
                <w:rFonts w:ascii="Book Antiqua" w:hAnsi="Book Antiqua" w:cs="Arial"/>
                <w:bCs/>
                <w:sz w:val="24"/>
                <w:szCs w:val="24"/>
                <w:lang w:val="en-US"/>
              </w:rPr>
              <w:t>Zhang</w:t>
            </w:r>
            <w:r w:rsidR="00EB2F98" w:rsidRPr="00CE72EE">
              <w:rPr>
                <w:rFonts w:ascii="Book Antiqua" w:hAnsi="Book Antiqua" w:cs="Arial"/>
                <w:bCs/>
                <w:i/>
                <w:sz w:val="24"/>
                <w:szCs w:val="24"/>
                <w:lang w:val="en-US"/>
              </w:rPr>
              <w:t xml:space="preserve"> et al</w:t>
            </w:r>
            <w:r w:rsidR="00EB2F98" w:rsidRPr="00CE72EE">
              <w:rPr>
                <w:rFonts w:ascii="Book Antiqua" w:hAnsi="Book Antiqua" w:cs="Arial"/>
                <w:bCs/>
                <w:sz w:val="24"/>
                <w:szCs w:val="24"/>
                <w:vertAlign w:val="superscript"/>
                <w:lang w:val="en-US"/>
              </w:rPr>
              <w:t>[28]</w:t>
            </w:r>
            <w:r w:rsidR="00EB2F98" w:rsidRPr="00CE72EE">
              <w:rPr>
                <w:rFonts w:ascii="Book Antiqua" w:hAnsi="Book Antiqua" w:cs="Arial"/>
                <w:bCs/>
                <w:sz w:val="24"/>
                <w:szCs w:val="24"/>
                <w:lang w:val="en-US"/>
              </w:rPr>
              <w:t xml:space="preserve">, </w:t>
            </w:r>
            <w:r w:rsidRPr="00CE72EE">
              <w:rPr>
                <w:rFonts w:ascii="Book Antiqua" w:hAnsi="Book Antiqua" w:cs="Arial"/>
                <w:bCs/>
                <w:sz w:val="24"/>
                <w:szCs w:val="24"/>
                <w:lang w:val="en-US"/>
              </w:rPr>
              <w:t>2015</w:t>
            </w:r>
          </w:p>
        </w:tc>
      </w:tr>
      <w:tr w:rsidR="008D14E6" w:rsidRPr="00BA60F0" w:rsidTr="00CE72EE">
        <w:tc>
          <w:tcPr>
            <w:tcW w:w="1100" w:type="dxa"/>
          </w:tcPr>
          <w:p w:rsidR="008D14E6" w:rsidRPr="00BA60F0" w:rsidRDefault="008D14E6" w:rsidP="00746849">
            <w:pPr>
              <w:adjustRightInd w:val="0"/>
              <w:snapToGrid w:val="0"/>
              <w:spacing w:after="0" w:line="360" w:lineRule="auto"/>
              <w:jc w:val="both"/>
              <w:rPr>
                <w:rFonts w:ascii="Book Antiqua" w:hAnsi="Book Antiqua" w:cs="Arial"/>
                <w:b/>
                <w:bCs/>
                <w:sz w:val="24"/>
                <w:szCs w:val="24"/>
                <w:lang w:val="en-US"/>
              </w:rPr>
            </w:pPr>
            <w:r w:rsidRPr="00BA60F0">
              <w:rPr>
                <w:rFonts w:ascii="Book Antiqua" w:hAnsi="Book Antiqua" w:cs="Arial"/>
                <w:b/>
                <w:bCs/>
                <w:sz w:val="24"/>
                <w:szCs w:val="24"/>
                <w:lang w:val="en-US"/>
              </w:rPr>
              <w:t>Sunitinib</w:t>
            </w:r>
          </w:p>
        </w:tc>
        <w:tc>
          <w:tcPr>
            <w:tcW w:w="710" w:type="dxa"/>
          </w:tcPr>
          <w:p w:rsidR="008D14E6" w:rsidRPr="00BA60F0" w:rsidRDefault="008D14E6" w:rsidP="00746849">
            <w:pPr>
              <w:adjustRightInd w:val="0"/>
              <w:snapToGrid w:val="0"/>
              <w:spacing w:after="0" w:line="360" w:lineRule="auto"/>
              <w:jc w:val="both"/>
              <w:rPr>
                <w:rFonts w:ascii="Book Antiqua" w:hAnsi="Book Antiqua" w:cs="Arial"/>
                <w:sz w:val="24"/>
                <w:szCs w:val="24"/>
                <w:lang w:val="en-US"/>
              </w:rPr>
            </w:pPr>
            <w:r w:rsidRPr="00BA60F0">
              <w:rPr>
                <w:rFonts w:ascii="Book Antiqua" w:hAnsi="Book Antiqua" w:cs="Arial"/>
                <w:sz w:val="24"/>
                <w:szCs w:val="24"/>
                <w:lang w:val="en-US"/>
              </w:rPr>
              <w:t>78/69</w:t>
            </w:r>
          </w:p>
        </w:tc>
        <w:tc>
          <w:tcPr>
            <w:tcW w:w="1178" w:type="dxa"/>
          </w:tcPr>
          <w:p w:rsidR="008D14E6" w:rsidRPr="00BA60F0" w:rsidRDefault="008D14E6" w:rsidP="00746849">
            <w:pPr>
              <w:adjustRightInd w:val="0"/>
              <w:snapToGrid w:val="0"/>
              <w:spacing w:after="0" w:line="360" w:lineRule="auto"/>
              <w:jc w:val="both"/>
              <w:rPr>
                <w:rFonts w:ascii="Book Antiqua" w:hAnsi="Book Antiqua" w:cs="Arial"/>
                <w:sz w:val="24"/>
                <w:szCs w:val="24"/>
                <w:lang w:val="en-US"/>
              </w:rPr>
            </w:pPr>
            <w:r w:rsidRPr="00BA60F0">
              <w:rPr>
                <w:rFonts w:ascii="Book Antiqua" w:hAnsi="Book Antiqua" w:cs="Arial"/>
                <w:sz w:val="24"/>
                <w:szCs w:val="24"/>
                <w:lang w:val="en-US"/>
              </w:rPr>
              <w:t>ECOG 0/1 - 26/52</w:t>
            </w:r>
          </w:p>
        </w:tc>
        <w:tc>
          <w:tcPr>
            <w:tcW w:w="1440" w:type="dxa"/>
          </w:tcPr>
          <w:p w:rsidR="008D14E6" w:rsidRPr="00BA60F0" w:rsidRDefault="008D14E6" w:rsidP="00746849">
            <w:pPr>
              <w:adjustRightInd w:val="0"/>
              <w:snapToGrid w:val="0"/>
              <w:spacing w:after="0" w:line="360" w:lineRule="auto"/>
              <w:jc w:val="both"/>
              <w:rPr>
                <w:rFonts w:ascii="Book Antiqua" w:hAnsi="Book Antiqua" w:cs="Arial"/>
                <w:sz w:val="24"/>
                <w:szCs w:val="24"/>
                <w:lang w:val="en-US"/>
              </w:rPr>
            </w:pPr>
            <w:r w:rsidRPr="00BA60F0">
              <w:rPr>
                <w:rFonts w:ascii="Book Antiqua" w:hAnsi="Book Antiqua" w:cs="Arial"/>
                <w:sz w:val="24"/>
                <w:szCs w:val="24"/>
                <w:lang w:val="en-US"/>
              </w:rPr>
              <w:t>Sun - 50 mg/day x 4 wks, q42</w:t>
            </w:r>
          </w:p>
        </w:tc>
        <w:tc>
          <w:tcPr>
            <w:tcW w:w="720" w:type="dxa"/>
          </w:tcPr>
          <w:p w:rsidR="008D14E6" w:rsidRPr="00BA60F0" w:rsidRDefault="008D14E6" w:rsidP="00746849">
            <w:pPr>
              <w:adjustRightInd w:val="0"/>
              <w:snapToGrid w:val="0"/>
              <w:spacing w:after="0" w:line="360" w:lineRule="auto"/>
              <w:jc w:val="both"/>
              <w:rPr>
                <w:rFonts w:ascii="Book Antiqua" w:hAnsi="Book Antiqua" w:cs="Arial"/>
                <w:sz w:val="24"/>
                <w:szCs w:val="24"/>
                <w:lang w:val="en-US"/>
              </w:rPr>
            </w:pPr>
            <w:r w:rsidRPr="00BA60F0">
              <w:rPr>
                <w:rFonts w:ascii="Book Antiqua" w:hAnsi="Book Antiqua" w:cs="Arial"/>
                <w:sz w:val="24"/>
                <w:szCs w:val="24"/>
                <w:lang w:val="en-US"/>
              </w:rPr>
              <w:t>2.6</w:t>
            </w:r>
          </w:p>
        </w:tc>
        <w:tc>
          <w:tcPr>
            <w:tcW w:w="810" w:type="dxa"/>
          </w:tcPr>
          <w:p w:rsidR="008D14E6" w:rsidRPr="00BA60F0" w:rsidRDefault="008D14E6" w:rsidP="00746849">
            <w:pPr>
              <w:adjustRightInd w:val="0"/>
              <w:snapToGrid w:val="0"/>
              <w:spacing w:after="0" w:line="360" w:lineRule="auto"/>
              <w:jc w:val="both"/>
              <w:rPr>
                <w:rFonts w:ascii="Book Antiqua" w:hAnsi="Book Antiqua" w:cs="Arial"/>
                <w:sz w:val="24"/>
                <w:szCs w:val="24"/>
                <w:lang w:val="en-US"/>
              </w:rPr>
            </w:pPr>
            <w:r w:rsidRPr="00BA60F0">
              <w:rPr>
                <w:rFonts w:ascii="Book Antiqua" w:hAnsi="Book Antiqua" w:cs="Arial"/>
                <w:sz w:val="24"/>
                <w:szCs w:val="24"/>
                <w:lang w:val="en-US"/>
              </w:rPr>
              <w:t>2.3</w:t>
            </w:r>
          </w:p>
        </w:tc>
        <w:tc>
          <w:tcPr>
            <w:tcW w:w="810" w:type="dxa"/>
          </w:tcPr>
          <w:p w:rsidR="008D14E6" w:rsidRPr="00BA60F0" w:rsidRDefault="008D14E6" w:rsidP="00746849">
            <w:pPr>
              <w:adjustRightInd w:val="0"/>
              <w:snapToGrid w:val="0"/>
              <w:spacing w:after="0" w:line="360" w:lineRule="auto"/>
              <w:jc w:val="both"/>
              <w:rPr>
                <w:rFonts w:ascii="Book Antiqua" w:hAnsi="Book Antiqua" w:cs="Arial"/>
                <w:sz w:val="24"/>
                <w:szCs w:val="24"/>
                <w:lang w:val="en-US"/>
              </w:rPr>
            </w:pPr>
            <w:r w:rsidRPr="00BA60F0">
              <w:rPr>
                <w:rFonts w:ascii="Book Antiqua" w:hAnsi="Book Antiqua" w:cs="Arial"/>
                <w:sz w:val="24"/>
                <w:szCs w:val="24"/>
                <w:lang w:val="en-US"/>
              </w:rPr>
              <w:t>2.3</w:t>
            </w:r>
          </w:p>
        </w:tc>
        <w:tc>
          <w:tcPr>
            <w:tcW w:w="810" w:type="dxa"/>
          </w:tcPr>
          <w:p w:rsidR="008D14E6" w:rsidRPr="00BA60F0" w:rsidRDefault="008D14E6" w:rsidP="00746849">
            <w:pPr>
              <w:adjustRightInd w:val="0"/>
              <w:snapToGrid w:val="0"/>
              <w:spacing w:after="0" w:line="360" w:lineRule="auto"/>
              <w:jc w:val="both"/>
              <w:rPr>
                <w:rFonts w:ascii="Book Antiqua" w:hAnsi="Book Antiqua" w:cs="Arial"/>
                <w:sz w:val="24"/>
                <w:szCs w:val="24"/>
                <w:lang w:val="en-US"/>
              </w:rPr>
            </w:pPr>
            <w:r w:rsidRPr="00BA60F0">
              <w:rPr>
                <w:rFonts w:ascii="Book Antiqua" w:hAnsi="Book Antiqua" w:cs="Arial"/>
                <w:sz w:val="24"/>
                <w:szCs w:val="24"/>
                <w:lang w:val="en-US"/>
              </w:rPr>
              <w:t>6.8</w:t>
            </w:r>
          </w:p>
        </w:tc>
        <w:tc>
          <w:tcPr>
            <w:tcW w:w="1867" w:type="dxa"/>
          </w:tcPr>
          <w:p w:rsidR="008D14E6" w:rsidRPr="00BA60F0" w:rsidRDefault="008D14E6" w:rsidP="00746849">
            <w:pPr>
              <w:adjustRightInd w:val="0"/>
              <w:snapToGrid w:val="0"/>
              <w:spacing w:after="0" w:line="360" w:lineRule="auto"/>
              <w:jc w:val="both"/>
              <w:rPr>
                <w:rFonts w:ascii="Book Antiqua" w:hAnsi="Book Antiqua" w:cs="Arial"/>
                <w:sz w:val="24"/>
                <w:szCs w:val="24"/>
                <w:lang w:val="en-US"/>
              </w:rPr>
            </w:pPr>
            <w:r w:rsidRPr="00BA60F0">
              <w:rPr>
                <w:rFonts w:ascii="Book Antiqua" w:hAnsi="Book Antiqua" w:cs="Arial"/>
                <w:sz w:val="24"/>
                <w:szCs w:val="24"/>
                <w:lang w:val="en-US"/>
              </w:rPr>
              <w:t>A/L/N/T/E/D/HFS/S - 16.7/11.5/29.4/34.6/ 3.8/2.6/6.4/1.3</w:t>
            </w:r>
          </w:p>
        </w:tc>
        <w:tc>
          <w:tcPr>
            <w:tcW w:w="1080" w:type="dxa"/>
          </w:tcPr>
          <w:p w:rsidR="008D14E6" w:rsidRPr="00CE72EE" w:rsidRDefault="008D14E6" w:rsidP="00746849">
            <w:pPr>
              <w:adjustRightInd w:val="0"/>
              <w:snapToGrid w:val="0"/>
              <w:spacing w:after="0" w:line="360" w:lineRule="auto"/>
              <w:jc w:val="both"/>
              <w:rPr>
                <w:rFonts w:ascii="Book Antiqua" w:hAnsi="Book Antiqua" w:cs="Arial"/>
                <w:bCs/>
                <w:sz w:val="24"/>
                <w:szCs w:val="24"/>
                <w:lang w:val="en-US"/>
              </w:rPr>
            </w:pPr>
            <w:r w:rsidRPr="00CE72EE">
              <w:rPr>
                <w:rFonts w:ascii="Book Antiqua" w:hAnsi="Book Antiqua" w:cs="Arial"/>
                <w:bCs/>
                <w:sz w:val="24"/>
                <w:szCs w:val="24"/>
                <w:lang w:val="en-US"/>
              </w:rPr>
              <w:t>Bang</w:t>
            </w:r>
            <w:r w:rsidR="00EB2F98" w:rsidRPr="00CE72EE">
              <w:rPr>
                <w:rFonts w:ascii="Book Antiqua" w:hAnsi="Book Antiqua" w:cs="Arial"/>
                <w:bCs/>
                <w:i/>
                <w:sz w:val="24"/>
                <w:szCs w:val="24"/>
                <w:lang w:val="en-US"/>
              </w:rPr>
              <w:t xml:space="preserve"> et al</w:t>
            </w:r>
            <w:r w:rsidR="00EB2F98" w:rsidRPr="00CE72EE">
              <w:rPr>
                <w:rFonts w:ascii="Book Antiqua" w:hAnsi="Book Antiqua" w:cs="Arial"/>
                <w:bCs/>
                <w:sz w:val="24"/>
                <w:szCs w:val="24"/>
                <w:vertAlign w:val="superscript"/>
                <w:lang w:val="en-US"/>
              </w:rPr>
              <w:t>[29]</w:t>
            </w:r>
            <w:r w:rsidR="00EB2F98" w:rsidRPr="00CE72EE">
              <w:rPr>
                <w:rFonts w:ascii="Book Antiqua" w:hAnsi="Book Antiqua" w:cs="Arial"/>
                <w:bCs/>
                <w:sz w:val="24"/>
                <w:szCs w:val="24"/>
                <w:lang w:val="en-US"/>
              </w:rPr>
              <w:t>, 2010</w:t>
            </w:r>
          </w:p>
        </w:tc>
      </w:tr>
      <w:tr w:rsidR="008D14E6" w:rsidRPr="00BA60F0" w:rsidTr="00CE72EE">
        <w:tc>
          <w:tcPr>
            <w:tcW w:w="1100" w:type="dxa"/>
          </w:tcPr>
          <w:p w:rsidR="008D14E6" w:rsidRPr="00BA60F0" w:rsidRDefault="008D14E6" w:rsidP="00746849">
            <w:pPr>
              <w:adjustRightInd w:val="0"/>
              <w:snapToGrid w:val="0"/>
              <w:spacing w:after="0" w:line="360" w:lineRule="auto"/>
              <w:jc w:val="both"/>
              <w:rPr>
                <w:rFonts w:ascii="Book Antiqua" w:hAnsi="Book Antiqua" w:cs="Arial"/>
                <w:b/>
                <w:bCs/>
                <w:sz w:val="24"/>
                <w:szCs w:val="24"/>
                <w:lang w:val="en-US"/>
              </w:rPr>
            </w:pPr>
            <w:r w:rsidRPr="00BA60F0">
              <w:rPr>
                <w:rFonts w:ascii="Book Antiqua" w:hAnsi="Book Antiqua" w:cs="Arial"/>
                <w:b/>
                <w:bCs/>
                <w:sz w:val="24"/>
                <w:szCs w:val="24"/>
                <w:lang w:val="en-US"/>
              </w:rPr>
              <w:t>Everolimus</w:t>
            </w:r>
          </w:p>
        </w:tc>
        <w:tc>
          <w:tcPr>
            <w:tcW w:w="710" w:type="dxa"/>
          </w:tcPr>
          <w:p w:rsidR="008D14E6" w:rsidRPr="00BA60F0" w:rsidRDefault="008D14E6" w:rsidP="00746849">
            <w:pPr>
              <w:adjustRightInd w:val="0"/>
              <w:snapToGrid w:val="0"/>
              <w:spacing w:after="0" w:line="360" w:lineRule="auto"/>
              <w:jc w:val="both"/>
              <w:rPr>
                <w:rFonts w:ascii="Book Antiqua" w:hAnsi="Book Antiqua" w:cs="Arial"/>
                <w:sz w:val="24"/>
                <w:szCs w:val="24"/>
                <w:lang w:val="en-US"/>
              </w:rPr>
            </w:pPr>
            <w:r w:rsidRPr="00BA60F0">
              <w:rPr>
                <w:rFonts w:ascii="Book Antiqua" w:hAnsi="Book Antiqua" w:cs="Arial"/>
                <w:sz w:val="24"/>
                <w:szCs w:val="24"/>
                <w:lang w:val="en-US"/>
              </w:rPr>
              <w:t>54/53</w:t>
            </w:r>
          </w:p>
        </w:tc>
        <w:tc>
          <w:tcPr>
            <w:tcW w:w="1178" w:type="dxa"/>
          </w:tcPr>
          <w:p w:rsidR="008D14E6" w:rsidRPr="00BA60F0" w:rsidRDefault="008D14E6" w:rsidP="00746849">
            <w:pPr>
              <w:adjustRightInd w:val="0"/>
              <w:snapToGrid w:val="0"/>
              <w:spacing w:after="0" w:line="360" w:lineRule="auto"/>
              <w:jc w:val="both"/>
              <w:rPr>
                <w:rFonts w:ascii="Book Antiqua" w:hAnsi="Book Antiqua" w:cs="Arial"/>
                <w:sz w:val="24"/>
                <w:szCs w:val="24"/>
                <w:lang w:val="en-US"/>
              </w:rPr>
            </w:pPr>
            <w:r w:rsidRPr="00BA60F0">
              <w:rPr>
                <w:rFonts w:ascii="Book Antiqua" w:hAnsi="Book Antiqua" w:cs="Arial"/>
                <w:sz w:val="24"/>
                <w:szCs w:val="24"/>
                <w:lang w:val="en-US"/>
              </w:rPr>
              <w:t>ECOG 0/1 - 32/21</w:t>
            </w:r>
          </w:p>
        </w:tc>
        <w:tc>
          <w:tcPr>
            <w:tcW w:w="1440" w:type="dxa"/>
          </w:tcPr>
          <w:p w:rsidR="008D14E6" w:rsidRPr="00BA60F0" w:rsidRDefault="008D14E6" w:rsidP="00746849">
            <w:pPr>
              <w:adjustRightInd w:val="0"/>
              <w:snapToGrid w:val="0"/>
              <w:spacing w:after="0" w:line="360" w:lineRule="auto"/>
              <w:jc w:val="both"/>
              <w:rPr>
                <w:rFonts w:ascii="Book Antiqua" w:hAnsi="Book Antiqua" w:cs="Arial"/>
                <w:sz w:val="24"/>
                <w:szCs w:val="24"/>
                <w:lang w:val="en-US"/>
              </w:rPr>
            </w:pPr>
            <w:r w:rsidRPr="00BA60F0">
              <w:rPr>
                <w:rFonts w:ascii="Book Antiqua" w:hAnsi="Book Antiqua" w:cs="Arial"/>
                <w:sz w:val="24"/>
                <w:szCs w:val="24"/>
                <w:lang w:val="en-US"/>
              </w:rPr>
              <w:t>Ev - 10 mg/d d1-28</w:t>
            </w:r>
          </w:p>
        </w:tc>
        <w:tc>
          <w:tcPr>
            <w:tcW w:w="720" w:type="dxa"/>
          </w:tcPr>
          <w:p w:rsidR="008D14E6" w:rsidRPr="00BA60F0" w:rsidRDefault="008D14E6" w:rsidP="00746849">
            <w:pPr>
              <w:adjustRightInd w:val="0"/>
              <w:snapToGrid w:val="0"/>
              <w:spacing w:after="0" w:line="360" w:lineRule="auto"/>
              <w:jc w:val="both"/>
              <w:rPr>
                <w:rFonts w:ascii="Book Antiqua" w:hAnsi="Book Antiqua" w:cs="Arial"/>
                <w:sz w:val="24"/>
                <w:szCs w:val="24"/>
                <w:lang w:val="en-US"/>
              </w:rPr>
            </w:pPr>
            <w:r w:rsidRPr="00BA60F0">
              <w:rPr>
                <w:rFonts w:ascii="Book Antiqua" w:hAnsi="Book Antiqua" w:cs="Arial"/>
                <w:sz w:val="24"/>
                <w:szCs w:val="24"/>
                <w:lang w:val="en-US"/>
              </w:rPr>
              <w:t>0</w:t>
            </w:r>
          </w:p>
        </w:tc>
        <w:tc>
          <w:tcPr>
            <w:tcW w:w="810" w:type="dxa"/>
          </w:tcPr>
          <w:p w:rsidR="008D14E6" w:rsidRPr="00BA60F0" w:rsidRDefault="008D14E6" w:rsidP="00746849">
            <w:pPr>
              <w:adjustRightInd w:val="0"/>
              <w:snapToGrid w:val="0"/>
              <w:spacing w:after="0" w:line="360" w:lineRule="auto"/>
              <w:jc w:val="both"/>
              <w:rPr>
                <w:rFonts w:ascii="Book Antiqua" w:hAnsi="Book Antiqua" w:cs="Arial"/>
                <w:sz w:val="24"/>
                <w:szCs w:val="24"/>
                <w:lang w:val="en-US"/>
              </w:rPr>
            </w:pPr>
            <w:r w:rsidRPr="00BA60F0">
              <w:rPr>
                <w:rFonts w:ascii="Book Antiqua" w:hAnsi="Book Antiqua" w:cs="Arial"/>
                <w:sz w:val="24"/>
                <w:szCs w:val="24"/>
                <w:lang w:val="en-US"/>
              </w:rPr>
              <w:t>NR</w:t>
            </w:r>
          </w:p>
        </w:tc>
        <w:tc>
          <w:tcPr>
            <w:tcW w:w="810" w:type="dxa"/>
          </w:tcPr>
          <w:p w:rsidR="008D14E6" w:rsidRPr="00BA60F0" w:rsidRDefault="008D14E6" w:rsidP="00746849">
            <w:pPr>
              <w:adjustRightInd w:val="0"/>
              <w:snapToGrid w:val="0"/>
              <w:spacing w:after="0" w:line="360" w:lineRule="auto"/>
              <w:jc w:val="both"/>
              <w:rPr>
                <w:rFonts w:ascii="Book Antiqua" w:hAnsi="Book Antiqua" w:cs="Arial"/>
                <w:sz w:val="24"/>
                <w:szCs w:val="24"/>
                <w:lang w:val="en-US"/>
              </w:rPr>
            </w:pPr>
            <w:r w:rsidRPr="00BA60F0">
              <w:rPr>
                <w:rFonts w:ascii="Book Antiqua" w:hAnsi="Book Antiqua" w:cs="Arial"/>
                <w:sz w:val="24"/>
                <w:szCs w:val="24"/>
                <w:lang w:val="en-US"/>
              </w:rPr>
              <w:t>2.7</w:t>
            </w:r>
          </w:p>
        </w:tc>
        <w:tc>
          <w:tcPr>
            <w:tcW w:w="810" w:type="dxa"/>
          </w:tcPr>
          <w:p w:rsidR="008D14E6" w:rsidRPr="00BA60F0" w:rsidRDefault="008D14E6" w:rsidP="00746849">
            <w:pPr>
              <w:adjustRightInd w:val="0"/>
              <w:snapToGrid w:val="0"/>
              <w:spacing w:after="0" w:line="360" w:lineRule="auto"/>
              <w:jc w:val="both"/>
              <w:rPr>
                <w:rFonts w:ascii="Book Antiqua" w:hAnsi="Book Antiqua" w:cs="Arial"/>
                <w:sz w:val="24"/>
                <w:szCs w:val="24"/>
                <w:lang w:val="en-US"/>
              </w:rPr>
            </w:pPr>
            <w:r w:rsidRPr="00BA60F0">
              <w:rPr>
                <w:rFonts w:ascii="Book Antiqua" w:hAnsi="Book Antiqua" w:cs="Arial"/>
                <w:sz w:val="24"/>
                <w:szCs w:val="24"/>
                <w:lang w:val="en-US"/>
              </w:rPr>
              <w:t>10.1</w:t>
            </w:r>
          </w:p>
        </w:tc>
        <w:tc>
          <w:tcPr>
            <w:tcW w:w="1867" w:type="dxa"/>
          </w:tcPr>
          <w:p w:rsidR="008D14E6" w:rsidRPr="00BA60F0" w:rsidRDefault="008D14E6" w:rsidP="00746849">
            <w:pPr>
              <w:adjustRightInd w:val="0"/>
              <w:snapToGrid w:val="0"/>
              <w:spacing w:after="0" w:line="360" w:lineRule="auto"/>
              <w:jc w:val="both"/>
              <w:rPr>
                <w:rFonts w:ascii="Book Antiqua" w:hAnsi="Book Antiqua" w:cs="Arial"/>
                <w:sz w:val="24"/>
                <w:szCs w:val="24"/>
                <w:lang w:val="en-US"/>
              </w:rPr>
            </w:pPr>
            <w:r w:rsidRPr="00BA60F0">
              <w:rPr>
                <w:rFonts w:ascii="Book Antiqua" w:hAnsi="Book Antiqua" w:cs="Arial"/>
                <w:sz w:val="24"/>
                <w:szCs w:val="24"/>
                <w:lang w:val="en-US"/>
              </w:rPr>
              <w:t>P (gr 1-2)/A/Ly/As/S/ Ano/HyG/HyP/HyN/ - 15.1, 9.4/7.5/5.7/ 5.7/ 5.7/3.8/3.8/9.6</w:t>
            </w:r>
          </w:p>
        </w:tc>
        <w:tc>
          <w:tcPr>
            <w:tcW w:w="1080" w:type="dxa"/>
          </w:tcPr>
          <w:p w:rsidR="008D14E6" w:rsidRPr="00CE72EE" w:rsidRDefault="008D14E6" w:rsidP="00746849">
            <w:pPr>
              <w:adjustRightInd w:val="0"/>
              <w:snapToGrid w:val="0"/>
              <w:spacing w:after="0" w:line="360" w:lineRule="auto"/>
              <w:jc w:val="both"/>
              <w:rPr>
                <w:rFonts w:ascii="Book Antiqua" w:hAnsi="Book Antiqua" w:cs="Arial"/>
                <w:bCs/>
                <w:sz w:val="24"/>
                <w:szCs w:val="24"/>
                <w:lang w:val="en-US"/>
              </w:rPr>
            </w:pPr>
            <w:r w:rsidRPr="00CE72EE">
              <w:rPr>
                <w:rFonts w:ascii="Book Antiqua" w:hAnsi="Book Antiqua" w:cs="Arial"/>
                <w:bCs/>
                <w:sz w:val="24"/>
                <w:szCs w:val="24"/>
                <w:lang w:val="en-US"/>
              </w:rPr>
              <w:t>Doi</w:t>
            </w:r>
            <w:r w:rsidR="00EB2F98" w:rsidRPr="00CE72EE">
              <w:rPr>
                <w:rFonts w:ascii="Book Antiqua" w:hAnsi="Book Antiqua" w:cs="Arial"/>
                <w:bCs/>
                <w:i/>
                <w:sz w:val="24"/>
                <w:szCs w:val="24"/>
                <w:lang w:val="en-US"/>
              </w:rPr>
              <w:t xml:space="preserve"> et al</w:t>
            </w:r>
            <w:r w:rsidR="00EB2F98" w:rsidRPr="00CE72EE">
              <w:rPr>
                <w:rFonts w:ascii="Book Antiqua" w:hAnsi="Book Antiqua" w:cs="Arial"/>
                <w:bCs/>
                <w:sz w:val="24"/>
                <w:szCs w:val="24"/>
                <w:vertAlign w:val="superscript"/>
                <w:lang w:val="en-US"/>
              </w:rPr>
              <w:t>[30]</w:t>
            </w:r>
            <w:r w:rsidRPr="00CE72EE">
              <w:rPr>
                <w:rFonts w:ascii="Book Antiqua" w:hAnsi="Book Antiqua" w:cs="Arial"/>
                <w:bCs/>
                <w:sz w:val="24"/>
                <w:szCs w:val="24"/>
                <w:lang w:val="en-US"/>
              </w:rPr>
              <w:t>,</w:t>
            </w:r>
            <w:r w:rsidR="00EB2F98" w:rsidRPr="00CE72EE">
              <w:rPr>
                <w:rFonts w:ascii="Book Antiqua" w:hAnsi="Book Antiqua" w:cs="Arial"/>
                <w:bCs/>
                <w:sz w:val="24"/>
                <w:szCs w:val="24"/>
                <w:lang w:val="en-US"/>
              </w:rPr>
              <w:t xml:space="preserve"> 2010</w:t>
            </w:r>
          </w:p>
        </w:tc>
      </w:tr>
    </w:tbl>
    <w:p w:rsidR="008D14E6" w:rsidRPr="004312CD" w:rsidRDefault="004312CD" w:rsidP="00746849">
      <w:pPr>
        <w:adjustRightInd w:val="0"/>
        <w:snapToGrid w:val="0"/>
        <w:spacing w:after="0" w:line="360" w:lineRule="auto"/>
        <w:jc w:val="both"/>
        <w:rPr>
          <w:rFonts w:ascii="Book Antiqua" w:hAnsi="Book Antiqua"/>
          <w:sz w:val="24"/>
          <w:szCs w:val="24"/>
          <w:lang w:eastAsia="zh-CN"/>
        </w:rPr>
      </w:pPr>
      <w:r w:rsidRPr="004312CD">
        <w:rPr>
          <w:rFonts w:ascii="Book Antiqua" w:hAnsi="Book Antiqua" w:cs="Arial" w:hint="eastAsia"/>
          <w:bCs/>
          <w:sz w:val="24"/>
          <w:szCs w:val="24"/>
          <w:vertAlign w:val="superscript"/>
          <w:lang w:val="en-US" w:eastAsia="zh-CN"/>
        </w:rPr>
        <w:t>1</w:t>
      </w:r>
      <w:r w:rsidRPr="004312CD">
        <w:rPr>
          <w:rFonts w:ascii="Book Antiqua" w:hAnsi="Book Antiqua" w:cs="Arial"/>
          <w:caps/>
          <w:sz w:val="24"/>
          <w:szCs w:val="24"/>
          <w:lang w:val="en-US"/>
        </w:rPr>
        <w:t>r</w:t>
      </w:r>
      <w:r w:rsidRPr="00BA60F0">
        <w:rPr>
          <w:rFonts w:ascii="Book Antiqua" w:hAnsi="Book Antiqua" w:cs="Arial"/>
          <w:sz w:val="24"/>
          <w:szCs w:val="24"/>
          <w:lang w:val="en-US"/>
        </w:rPr>
        <w:t>etrospective study</w:t>
      </w:r>
      <w:r>
        <w:rPr>
          <w:rFonts w:ascii="Book Antiqua" w:hAnsi="Book Antiqua" w:cs="Arial" w:hint="eastAsia"/>
          <w:sz w:val="24"/>
          <w:szCs w:val="24"/>
          <w:lang w:val="en-US" w:eastAsia="zh-CN"/>
        </w:rPr>
        <w:t xml:space="preserve">. </w:t>
      </w:r>
      <w:r w:rsidR="008D14E6" w:rsidRPr="00BA60F0">
        <w:rPr>
          <w:rFonts w:ascii="Book Antiqua" w:hAnsi="Book Antiqua" w:cs="Arial"/>
          <w:sz w:val="24"/>
          <w:szCs w:val="24"/>
          <w:lang w:val="en-US"/>
        </w:rPr>
        <w:t>Dtx</w:t>
      </w:r>
      <w:r>
        <w:rPr>
          <w:rFonts w:ascii="Book Antiqua" w:hAnsi="Book Antiqua" w:cs="Arial" w:hint="eastAsia"/>
          <w:sz w:val="24"/>
          <w:szCs w:val="24"/>
          <w:lang w:eastAsia="zh-CN"/>
        </w:rPr>
        <w:t>:</w:t>
      </w:r>
      <w:r w:rsidR="008D14E6" w:rsidRPr="00BA60F0">
        <w:rPr>
          <w:rFonts w:ascii="Book Antiqua" w:hAnsi="Book Antiqua" w:cs="Arial"/>
          <w:sz w:val="24"/>
          <w:szCs w:val="24"/>
        </w:rPr>
        <w:t xml:space="preserve"> </w:t>
      </w:r>
      <w:r w:rsidR="008D14E6" w:rsidRPr="00BA60F0">
        <w:rPr>
          <w:rFonts w:ascii="Book Antiqua" w:hAnsi="Book Antiqua" w:cs="Arial"/>
          <w:sz w:val="24"/>
          <w:szCs w:val="24"/>
          <w:lang w:val="en-US"/>
        </w:rPr>
        <w:t>Docetaxel</w:t>
      </w:r>
      <w:r w:rsidR="008D14E6" w:rsidRPr="00BA60F0">
        <w:rPr>
          <w:rFonts w:ascii="Book Antiqua" w:hAnsi="Book Antiqua" w:cs="Arial"/>
          <w:sz w:val="24"/>
          <w:szCs w:val="24"/>
        </w:rPr>
        <w:t xml:space="preserve">; </w:t>
      </w:r>
      <w:r w:rsidR="008D14E6" w:rsidRPr="00BA60F0">
        <w:rPr>
          <w:rFonts w:ascii="Book Antiqua" w:hAnsi="Book Antiqua" w:cs="Arial"/>
          <w:sz w:val="24"/>
          <w:szCs w:val="24"/>
          <w:lang w:val="en-US"/>
        </w:rPr>
        <w:t>Ev</w:t>
      </w:r>
      <w:r>
        <w:rPr>
          <w:rFonts w:ascii="Book Antiqua" w:hAnsi="Book Antiqua" w:cs="Arial" w:hint="eastAsia"/>
          <w:sz w:val="24"/>
          <w:szCs w:val="24"/>
          <w:lang w:eastAsia="zh-CN"/>
        </w:rPr>
        <w:t>:</w:t>
      </w:r>
      <w:r w:rsidR="008D14E6" w:rsidRPr="00BA60F0">
        <w:rPr>
          <w:rFonts w:ascii="Book Antiqua" w:hAnsi="Book Antiqua" w:cs="Arial"/>
          <w:sz w:val="24"/>
          <w:szCs w:val="24"/>
        </w:rPr>
        <w:t xml:space="preserve"> </w:t>
      </w:r>
      <w:r w:rsidR="008D14E6" w:rsidRPr="00BA60F0">
        <w:rPr>
          <w:rFonts w:ascii="Book Antiqua" w:hAnsi="Book Antiqua" w:cs="Arial"/>
          <w:sz w:val="24"/>
          <w:szCs w:val="24"/>
          <w:lang w:val="en-US"/>
        </w:rPr>
        <w:t>Everolimus</w:t>
      </w:r>
      <w:r w:rsidR="008D14E6" w:rsidRPr="00BA60F0">
        <w:rPr>
          <w:rFonts w:ascii="Book Antiqua" w:hAnsi="Book Antiqua" w:cs="Arial"/>
          <w:sz w:val="24"/>
          <w:szCs w:val="24"/>
        </w:rPr>
        <w:t xml:space="preserve">; </w:t>
      </w:r>
      <w:r w:rsidR="008D14E6" w:rsidRPr="00BA60F0">
        <w:rPr>
          <w:rFonts w:ascii="Book Antiqua" w:hAnsi="Book Antiqua" w:cs="Arial"/>
          <w:sz w:val="24"/>
          <w:szCs w:val="24"/>
          <w:lang w:val="en-US"/>
        </w:rPr>
        <w:t>F</w:t>
      </w:r>
      <w:r>
        <w:rPr>
          <w:rFonts w:ascii="Book Antiqua" w:hAnsi="Book Antiqua" w:cs="Arial" w:hint="eastAsia"/>
          <w:sz w:val="24"/>
          <w:szCs w:val="24"/>
          <w:lang w:eastAsia="zh-CN"/>
        </w:rPr>
        <w:t>:</w:t>
      </w:r>
      <w:r w:rsidR="008D14E6" w:rsidRPr="00BA60F0">
        <w:rPr>
          <w:rFonts w:ascii="Book Antiqua" w:hAnsi="Book Antiqua" w:cs="Arial"/>
          <w:sz w:val="24"/>
          <w:szCs w:val="24"/>
        </w:rPr>
        <w:t xml:space="preserve"> 5-</w:t>
      </w:r>
      <w:r w:rsidR="008D14E6" w:rsidRPr="00BA60F0">
        <w:rPr>
          <w:rFonts w:ascii="Book Antiqua" w:hAnsi="Book Antiqua" w:cs="Arial"/>
          <w:sz w:val="24"/>
          <w:szCs w:val="24"/>
          <w:lang w:val="en-US"/>
        </w:rPr>
        <w:t>fluorouracil</w:t>
      </w:r>
      <w:r w:rsidR="008D14E6" w:rsidRPr="00BA60F0">
        <w:rPr>
          <w:rFonts w:ascii="Book Antiqua" w:hAnsi="Book Antiqua" w:cs="Arial"/>
          <w:sz w:val="24"/>
          <w:szCs w:val="24"/>
        </w:rPr>
        <w:t xml:space="preserve">; </w:t>
      </w:r>
      <w:r w:rsidR="008D14E6" w:rsidRPr="00BA60F0">
        <w:rPr>
          <w:rFonts w:ascii="Book Antiqua" w:hAnsi="Book Antiqua" w:cs="Arial"/>
          <w:sz w:val="24"/>
          <w:szCs w:val="24"/>
          <w:lang w:val="en-US"/>
        </w:rPr>
        <w:t>FA</w:t>
      </w:r>
      <w:r>
        <w:rPr>
          <w:rFonts w:ascii="Book Antiqua" w:hAnsi="Book Antiqua" w:cs="Arial" w:hint="eastAsia"/>
          <w:sz w:val="24"/>
          <w:szCs w:val="24"/>
          <w:lang w:eastAsia="zh-CN"/>
        </w:rPr>
        <w:t>:</w:t>
      </w:r>
      <w:r w:rsidR="008D14E6" w:rsidRPr="00BA60F0">
        <w:rPr>
          <w:rFonts w:ascii="Book Antiqua" w:hAnsi="Book Antiqua" w:cs="Arial"/>
          <w:sz w:val="24"/>
          <w:szCs w:val="24"/>
        </w:rPr>
        <w:t xml:space="preserve"> </w:t>
      </w:r>
      <w:r w:rsidR="008D14E6" w:rsidRPr="00BA60F0">
        <w:rPr>
          <w:rFonts w:ascii="Book Antiqua" w:hAnsi="Book Antiqua" w:cs="Arial"/>
          <w:sz w:val="24"/>
          <w:szCs w:val="24"/>
          <w:lang w:val="en-US"/>
        </w:rPr>
        <w:t>Leucovorin</w:t>
      </w:r>
      <w:r w:rsidR="008D14E6" w:rsidRPr="00BA60F0">
        <w:rPr>
          <w:rFonts w:ascii="Book Antiqua" w:hAnsi="Book Antiqua" w:cs="Arial"/>
          <w:sz w:val="24"/>
          <w:szCs w:val="24"/>
        </w:rPr>
        <w:t xml:space="preserve">; </w:t>
      </w:r>
      <w:r w:rsidR="008D14E6" w:rsidRPr="00BA60F0">
        <w:rPr>
          <w:rFonts w:ascii="Book Antiqua" w:hAnsi="Book Antiqua" w:cs="Arial"/>
          <w:sz w:val="24"/>
          <w:szCs w:val="24"/>
          <w:lang w:val="en-US"/>
        </w:rPr>
        <w:t>Iri</w:t>
      </w:r>
      <w:r>
        <w:rPr>
          <w:rFonts w:ascii="Book Antiqua" w:hAnsi="Book Antiqua" w:cs="Arial" w:hint="eastAsia"/>
          <w:sz w:val="24"/>
          <w:szCs w:val="24"/>
          <w:lang w:eastAsia="zh-CN"/>
        </w:rPr>
        <w:t>:</w:t>
      </w:r>
      <w:r w:rsidR="008D14E6" w:rsidRPr="00BA60F0">
        <w:rPr>
          <w:rFonts w:ascii="Book Antiqua" w:hAnsi="Book Antiqua" w:cs="Arial"/>
          <w:sz w:val="24"/>
          <w:szCs w:val="24"/>
        </w:rPr>
        <w:t xml:space="preserve"> </w:t>
      </w:r>
      <w:r w:rsidR="008D14E6" w:rsidRPr="00BA60F0">
        <w:rPr>
          <w:rFonts w:ascii="Book Antiqua" w:hAnsi="Book Antiqua" w:cs="Arial"/>
          <w:sz w:val="24"/>
          <w:szCs w:val="24"/>
          <w:lang w:val="en-US"/>
        </w:rPr>
        <w:t>Irinotecan</w:t>
      </w:r>
      <w:r w:rsidR="008D14E6" w:rsidRPr="00BA60F0">
        <w:rPr>
          <w:rFonts w:ascii="Book Antiqua" w:hAnsi="Book Antiqua" w:cs="Arial"/>
          <w:sz w:val="24"/>
          <w:szCs w:val="24"/>
        </w:rPr>
        <w:t xml:space="preserve">; </w:t>
      </w:r>
      <w:r w:rsidR="008D14E6" w:rsidRPr="00BA60F0">
        <w:rPr>
          <w:rFonts w:ascii="Book Antiqua" w:hAnsi="Book Antiqua" w:cs="Arial"/>
          <w:sz w:val="24"/>
          <w:szCs w:val="24"/>
          <w:lang w:val="en-US"/>
        </w:rPr>
        <w:t>MMC</w:t>
      </w:r>
      <w:r>
        <w:rPr>
          <w:rFonts w:ascii="Book Antiqua" w:hAnsi="Book Antiqua" w:cs="Arial" w:hint="eastAsia"/>
          <w:sz w:val="24"/>
          <w:szCs w:val="24"/>
          <w:lang w:eastAsia="zh-CN"/>
        </w:rPr>
        <w:t>:</w:t>
      </w:r>
      <w:r w:rsidR="008D14E6" w:rsidRPr="00BA60F0">
        <w:rPr>
          <w:rFonts w:ascii="Book Antiqua" w:hAnsi="Book Antiqua" w:cs="Arial"/>
          <w:sz w:val="24"/>
          <w:szCs w:val="24"/>
        </w:rPr>
        <w:t xml:space="preserve"> </w:t>
      </w:r>
      <w:r w:rsidR="008D14E6" w:rsidRPr="00BA60F0">
        <w:rPr>
          <w:rFonts w:ascii="Book Antiqua" w:hAnsi="Book Antiqua" w:cs="Arial"/>
          <w:sz w:val="24"/>
          <w:szCs w:val="24"/>
          <w:lang w:val="en-US"/>
        </w:rPr>
        <w:t>MitomycinC</w:t>
      </w:r>
      <w:r>
        <w:rPr>
          <w:rFonts w:ascii="Book Antiqua" w:hAnsi="Book Antiqua" w:cs="Arial"/>
          <w:sz w:val="24"/>
          <w:szCs w:val="24"/>
        </w:rPr>
        <w:t xml:space="preserve">; </w:t>
      </w:r>
      <w:r w:rsidR="008D14E6" w:rsidRPr="00BA60F0">
        <w:rPr>
          <w:rFonts w:ascii="Book Antiqua" w:hAnsi="Book Antiqua" w:cs="Arial"/>
          <w:sz w:val="24"/>
          <w:szCs w:val="24"/>
          <w:lang w:val="en-US"/>
        </w:rPr>
        <w:t>Nab</w:t>
      </w:r>
      <w:r w:rsidR="008D14E6" w:rsidRPr="00BA60F0">
        <w:rPr>
          <w:rFonts w:ascii="Book Antiqua" w:hAnsi="Book Antiqua" w:cs="Arial"/>
          <w:sz w:val="24"/>
          <w:szCs w:val="24"/>
        </w:rPr>
        <w:t>-</w:t>
      </w:r>
      <w:r w:rsidR="008D14E6" w:rsidRPr="00BA60F0">
        <w:rPr>
          <w:rFonts w:ascii="Book Antiqua" w:hAnsi="Book Antiqua" w:cs="Arial"/>
          <w:sz w:val="24"/>
          <w:szCs w:val="24"/>
          <w:lang w:val="en-US"/>
        </w:rPr>
        <w:t>Ptx</w:t>
      </w:r>
      <w:r>
        <w:rPr>
          <w:rFonts w:ascii="Book Antiqua" w:hAnsi="Book Antiqua" w:cs="Arial" w:hint="eastAsia"/>
          <w:sz w:val="24"/>
          <w:szCs w:val="24"/>
          <w:lang w:eastAsia="zh-CN"/>
        </w:rPr>
        <w:t>:</w:t>
      </w:r>
      <w:r w:rsidR="008D14E6" w:rsidRPr="00BA60F0">
        <w:rPr>
          <w:rFonts w:ascii="Book Antiqua" w:hAnsi="Book Antiqua" w:cs="Arial"/>
          <w:sz w:val="24"/>
          <w:szCs w:val="24"/>
        </w:rPr>
        <w:t xml:space="preserve"> </w:t>
      </w:r>
      <w:r w:rsidR="008D14E6" w:rsidRPr="00BA60F0">
        <w:rPr>
          <w:rFonts w:ascii="Book Antiqua" w:hAnsi="Book Antiqua" w:cs="Arial"/>
          <w:sz w:val="24"/>
          <w:szCs w:val="24"/>
          <w:lang w:val="en-US"/>
        </w:rPr>
        <w:t>Nab</w:t>
      </w:r>
      <w:r w:rsidR="008D14E6" w:rsidRPr="00BA60F0">
        <w:rPr>
          <w:rFonts w:ascii="Book Antiqua" w:hAnsi="Book Antiqua" w:cs="Arial"/>
          <w:sz w:val="24"/>
          <w:szCs w:val="24"/>
        </w:rPr>
        <w:t>-</w:t>
      </w:r>
      <w:r w:rsidR="001B7B35" w:rsidRPr="00BA60F0">
        <w:rPr>
          <w:rFonts w:ascii="Book Antiqua" w:hAnsi="Book Antiqua" w:cs="Arial"/>
          <w:sz w:val="24"/>
          <w:szCs w:val="24"/>
          <w:lang w:val="en-US"/>
        </w:rPr>
        <w:t>p</w:t>
      </w:r>
      <w:r w:rsidR="008D14E6" w:rsidRPr="00BA60F0">
        <w:rPr>
          <w:rFonts w:ascii="Book Antiqua" w:hAnsi="Book Antiqua" w:cs="Arial"/>
          <w:sz w:val="24"/>
          <w:szCs w:val="24"/>
          <w:lang w:val="en-US"/>
        </w:rPr>
        <w:t>aclitaxel</w:t>
      </w:r>
      <w:r w:rsidR="008D14E6" w:rsidRPr="00BA60F0">
        <w:rPr>
          <w:rFonts w:ascii="Book Antiqua" w:hAnsi="Book Antiqua" w:cs="Arial"/>
          <w:sz w:val="24"/>
          <w:szCs w:val="24"/>
        </w:rPr>
        <w:t xml:space="preserve">; </w:t>
      </w:r>
      <w:r w:rsidR="008D14E6" w:rsidRPr="00BA60F0">
        <w:rPr>
          <w:rFonts w:ascii="Book Antiqua" w:hAnsi="Book Antiqua" w:cs="Arial"/>
          <w:sz w:val="24"/>
          <w:szCs w:val="24"/>
          <w:lang w:val="en-US"/>
        </w:rPr>
        <w:t>Pem</w:t>
      </w:r>
      <w:r>
        <w:rPr>
          <w:rFonts w:ascii="Book Antiqua" w:hAnsi="Book Antiqua" w:cs="Arial" w:hint="eastAsia"/>
          <w:sz w:val="24"/>
          <w:szCs w:val="24"/>
          <w:lang w:eastAsia="zh-CN"/>
        </w:rPr>
        <w:t>:</w:t>
      </w:r>
      <w:r w:rsidR="008D14E6" w:rsidRPr="00BA60F0">
        <w:rPr>
          <w:rFonts w:ascii="Book Antiqua" w:hAnsi="Book Antiqua" w:cs="Arial"/>
          <w:sz w:val="24"/>
          <w:szCs w:val="24"/>
        </w:rPr>
        <w:t xml:space="preserve"> </w:t>
      </w:r>
      <w:r w:rsidR="008D14E6" w:rsidRPr="00BA60F0">
        <w:rPr>
          <w:rFonts w:ascii="Book Antiqua" w:hAnsi="Book Antiqua" w:cs="Arial"/>
          <w:sz w:val="24"/>
          <w:szCs w:val="24"/>
          <w:lang w:val="en-US"/>
        </w:rPr>
        <w:t>Pemetrexed</w:t>
      </w:r>
      <w:r w:rsidR="008D14E6" w:rsidRPr="00BA60F0">
        <w:rPr>
          <w:rFonts w:ascii="Book Antiqua" w:hAnsi="Book Antiqua" w:cs="Arial"/>
          <w:sz w:val="24"/>
          <w:szCs w:val="24"/>
        </w:rPr>
        <w:t xml:space="preserve">; </w:t>
      </w:r>
      <w:r w:rsidR="008D14E6" w:rsidRPr="00BA60F0">
        <w:rPr>
          <w:rFonts w:ascii="Book Antiqua" w:hAnsi="Book Antiqua" w:cs="Arial"/>
          <w:sz w:val="24"/>
          <w:szCs w:val="24"/>
          <w:lang w:val="en-US"/>
        </w:rPr>
        <w:t>Ptx</w:t>
      </w:r>
      <w:r>
        <w:rPr>
          <w:rFonts w:ascii="Book Antiqua" w:hAnsi="Book Antiqua" w:cs="Arial" w:hint="eastAsia"/>
          <w:sz w:val="24"/>
          <w:szCs w:val="24"/>
          <w:lang w:eastAsia="zh-CN"/>
        </w:rPr>
        <w:t>:</w:t>
      </w:r>
      <w:r w:rsidR="008D14E6" w:rsidRPr="00BA60F0">
        <w:rPr>
          <w:rFonts w:ascii="Book Antiqua" w:hAnsi="Book Antiqua" w:cs="Arial"/>
          <w:sz w:val="24"/>
          <w:szCs w:val="24"/>
        </w:rPr>
        <w:t xml:space="preserve"> </w:t>
      </w:r>
      <w:r w:rsidR="008D14E6" w:rsidRPr="00BA60F0">
        <w:rPr>
          <w:rFonts w:ascii="Book Antiqua" w:hAnsi="Book Antiqua" w:cs="Arial"/>
          <w:sz w:val="24"/>
          <w:szCs w:val="24"/>
          <w:lang w:val="en-US"/>
        </w:rPr>
        <w:t>Paclitaxel</w:t>
      </w:r>
      <w:r w:rsidR="008D14E6" w:rsidRPr="00BA60F0">
        <w:rPr>
          <w:rFonts w:ascii="Book Antiqua" w:hAnsi="Book Antiqua" w:cs="Arial"/>
          <w:sz w:val="24"/>
          <w:szCs w:val="24"/>
        </w:rPr>
        <w:t xml:space="preserve">; </w:t>
      </w:r>
      <w:r w:rsidR="008D14E6" w:rsidRPr="00BA60F0">
        <w:rPr>
          <w:rFonts w:ascii="Book Antiqua" w:hAnsi="Book Antiqua" w:cs="Arial"/>
          <w:sz w:val="24"/>
          <w:szCs w:val="24"/>
          <w:lang w:val="en-US"/>
        </w:rPr>
        <w:t>Sun</w:t>
      </w:r>
      <w:r>
        <w:rPr>
          <w:rFonts w:ascii="Book Antiqua" w:hAnsi="Book Antiqua" w:cs="Arial" w:hint="eastAsia"/>
          <w:sz w:val="24"/>
          <w:szCs w:val="24"/>
          <w:lang w:eastAsia="zh-CN"/>
        </w:rPr>
        <w:t>:</w:t>
      </w:r>
      <w:r w:rsidR="008D14E6" w:rsidRPr="00BA60F0">
        <w:rPr>
          <w:rFonts w:ascii="Book Antiqua" w:hAnsi="Book Antiqua" w:cs="Arial"/>
          <w:sz w:val="24"/>
          <w:szCs w:val="24"/>
        </w:rPr>
        <w:t xml:space="preserve"> </w:t>
      </w:r>
      <w:r w:rsidR="008D14E6" w:rsidRPr="00BA60F0">
        <w:rPr>
          <w:rFonts w:ascii="Book Antiqua" w:hAnsi="Book Antiqua" w:cs="Arial"/>
          <w:sz w:val="24"/>
          <w:szCs w:val="24"/>
          <w:lang w:val="en-US"/>
        </w:rPr>
        <w:t>Sunitinib</w:t>
      </w:r>
      <w:r w:rsidR="008D14E6" w:rsidRPr="00BA60F0">
        <w:rPr>
          <w:rFonts w:ascii="Book Antiqua" w:hAnsi="Book Antiqua" w:cs="Arial"/>
          <w:sz w:val="24"/>
          <w:szCs w:val="24"/>
        </w:rPr>
        <w:t xml:space="preserve">; </w:t>
      </w:r>
      <w:r w:rsidR="008D14E6" w:rsidRPr="00BA60F0">
        <w:rPr>
          <w:rFonts w:ascii="Book Antiqua" w:hAnsi="Book Antiqua" w:cs="Arial"/>
          <w:sz w:val="24"/>
          <w:szCs w:val="24"/>
          <w:lang w:val="en-US"/>
        </w:rPr>
        <w:t>ECOG</w:t>
      </w:r>
      <w:r>
        <w:rPr>
          <w:rFonts w:ascii="Book Antiqua" w:hAnsi="Book Antiqua" w:cs="Arial" w:hint="eastAsia"/>
          <w:sz w:val="24"/>
          <w:szCs w:val="24"/>
          <w:lang w:val="en-US" w:eastAsia="zh-CN"/>
        </w:rPr>
        <w:t>:</w:t>
      </w:r>
      <w:r w:rsidR="008D14E6" w:rsidRPr="00BA60F0">
        <w:rPr>
          <w:rFonts w:ascii="Book Antiqua" w:hAnsi="Book Antiqua" w:cs="Arial"/>
          <w:sz w:val="24"/>
          <w:szCs w:val="24"/>
          <w:lang w:val="en-US"/>
        </w:rPr>
        <w:t xml:space="preserve"> Eastern </w:t>
      </w:r>
      <w:r w:rsidR="001B7B35" w:rsidRPr="00BA60F0">
        <w:rPr>
          <w:rFonts w:ascii="Book Antiqua" w:hAnsi="Book Antiqua" w:cs="Arial"/>
          <w:sz w:val="24"/>
          <w:szCs w:val="24"/>
          <w:lang w:val="en-US"/>
        </w:rPr>
        <w:t>co-operative oncology g</w:t>
      </w:r>
      <w:r w:rsidR="008D14E6" w:rsidRPr="00BA60F0">
        <w:rPr>
          <w:rFonts w:ascii="Book Antiqua" w:hAnsi="Book Antiqua" w:cs="Arial"/>
          <w:sz w:val="24"/>
          <w:szCs w:val="24"/>
          <w:lang w:val="en-US"/>
        </w:rPr>
        <w:t>roup; KPS</w:t>
      </w:r>
      <w:r>
        <w:rPr>
          <w:rFonts w:ascii="Book Antiqua" w:hAnsi="Book Antiqua" w:cs="Arial" w:hint="eastAsia"/>
          <w:sz w:val="24"/>
          <w:szCs w:val="24"/>
          <w:lang w:val="en-US" w:eastAsia="zh-CN"/>
        </w:rPr>
        <w:t>:</w:t>
      </w:r>
      <w:r w:rsidR="008D14E6" w:rsidRPr="00BA60F0">
        <w:rPr>
          <w:rFonts w:ascii="Book Antiqua" w:hAnsi="Book Antiqua" w:cs="Arial"/>
          <w:sz w:val="24"/>
          <w:szCs w:val="24"/>
          <w:lang w:val="en-US"/>
        </w:rPr>
        <w:t xml:space="preserve"> Karnoffsk</w:t>
      </w:r>
      <w:r w:rsidR="001B7B35" w:rsidRPr="00BA60F0">
        <w:rPr>
          <w:rFonts w:ascii="Book Antiqua" w:hAnsi="Book Antiqua" w:cs="Arial"/>
          <w:sz w:val="24"/>
          <w:szCs w:val="24"/>
          <w:lang w:val="en-US"/>
        </w:rPr>
        <w:t>y performance sta</w:t>
      </w:r>
      <w:r w:rsidR="008D14E6" w:rsidRPr="00BA60F0">
        <w:rPr>
          <w:rFonts w:ascii="Book Antiqua" w:hAnsi="Book Antiqua" w:cs="Arial"/>
          <w:sz w:val="24"/>
          <w:szCs w:val="24"/>
          <w:lang w:val="en-US"/>
        </w:rPr>
        <w:t>tus; NR</w:t>
      </w:r>
      <w:r>
        <w:rPr>
          <w:rFonts w:ascii="Book Antiqua" w:hAnsi="Book Antiqua" w:cs="Arial" w:hint="eastAsia"/>
          <w:sz w:val="24"/>
          <w:szCs w:val="24"/>
          <w:lang w:val="en-US" w:eastAsia="zh-CN"/>
        </w:rPr>
        <w:t>:</w:t>
      </w:r>
      <w:r w:rsidR="008D14E6" w:rsidRPr="00BA60F0">
        <w:rPr>
          <w:rFonts w:ascii="Book Antiqua" w:hAnsi="Book Antiqua" w:cs="Arial"/>
          <w:sz w:val="24"/>
          <w:szCs w:val="24"/>
          <w:lang w:val="en-US"/>
        </w:rPr>
        <w:t xml:space="preserve"> Not reported; ORR</w:t>
      </w:r>
      <w:r>
        <w:rPr>
          <w:rFonts w:ascii="Book Antiqua" w:hAnsi="Book Antiqua" w:cs="Arial" w:hint="eastAsia"/>
          <w:sz w:val="24"/>
          <w:szCs w:val="24"/>
          <w:lang w:val="en-US" w:eastAsia="zh-CN"/>
        </w:rPr>
        <w:t>:</w:t>
      </w:r>
      <w:r w:rsidR="008D14E6" w:rsidRPr="00BA60F0">
        <w:rPr>
          <w:rFonts w:ascii="Book Antiqua" w:hAnsi="Book Antiqua" w:cs="Arial"/>
          <w:sz w:val="24"/>
          <w:szCs w:val="24"/>
          <w:lang w:val="en-US"/>
        </w:rPr>
        <w:t xml:space="preserve"> Objective </w:t>
      </w:r>
      <w:r w:rsidR="001B7B35" w:rsidRPr="00BA60F0">
        <w:rPr>
          <w:rFonts w:ascii="Book Antiqua" w:hAnsi="Book Antiqua" w:cs="Arial"/>
          <w:sz w:val="24"/>
          <w:szCs w:val="24"/>
          <w:lang w:val="en-US"/>
        </w:rPr>
        <w:t>response r</w:t>
      </w:r>
      <w:r w:rsidR="008D14E6" w:rsidRPr="00BA60F0">
        <w:rPr>
          <w:rFonts w:ascii="Book Antiqua" w:hAnsi="Book Antiqua" w:cs="Arial"/>
          <w:sz w:val="24"/>
          <w:szCs w:val="24"/>
          <w:lang w:val="en-US"/>
        </w:rPr>
        <w:t>ate; OS</w:t>
      </w:r>
      <w:r>
        <w:rPr>
          <w:rFonts w:ascii="Book Antiqua" w:hAnsi="Book Antiqua" w:cs="Arial" w:hint="eastAsia"/>
          <w:sz w:val="24"/>
          <w:szCs w:val="24"/>
          <w:lang w:val="en-US" w:eastAsia="zh-CN"/>
        </w:rPr>
        <w:t>:</w:t>
      </w:r>
      <w:r w:rsidR="008D14E6" w:rsidRPr="00BA60F0">
        <w:rPr>
          <w:rFonts w:ascii="Book Antiqua" w:hAnsi="Book Antiqua" w:cs="Arial"/>
          <w:sz w:val="24"/>
          <w:szCs w:val="24"/>
          <w:lang w:val="en-US"/>
        </w:rPr>
        <w:t xml:space="preserve"> Overall-survival; Pts</w:t>
      </w:r>
      <w:r>
        <w:rPr>
          <w:rFonts w:ascii="Book Antiqua" w:hAnsi="Book Antiqua" w:cs="Arial" w:hint="eastAsia"/>
          <w:sz w:val="24"/>
          <w:szCs w:val="24"/>
          <w:lang w:val="en-US" w:eastAsia="zh-CN"/>
        </w:rPr>
        <w:t>:</w:t>
      </w:r>
      <w:r w:rsidR="008D14E6" w:rsidRPr="00BA60F0">
        <w:rPr>
          <w:rFonts w:ascii="Book Antiqua" w:hAnsi="Book Antiqua" w:cs="Arial"/>
          <w:sz w:val="24"/>
          <w:szCs w:val="24"/>
          <w:lang w:val="en-US"/>
        </w:rPr>
        <w:t xml:space="preserve"> Patients; PFS</w:t>
      </w:r>
      <w:r>
        <w:rPr>
          <w:rFonts w:ascii="Book Antiqua" w:hAnsi="Book Antiqua" w:cs="Arial" w:hint="eastAsia"/>
          <w:sz w:val="24"/>
          <w:szCs w:val="24"/>
          <w:lang w:val="en-US" w:eastAsia="zh-CN"/>
        </w:rPr>
        <w:t>:</w:t>
      </w:r>
      <w:r w:rsidR="008D14E6" w:rsidRPr="00BA60F0">
        <w:rPr>
          <w:rFonts w:ascii="Book Antiqua" w:hAnsi="Book Antiqua" w:cs="Arial"/>
          <w:sz w:val="24"/>
          <w:szCs w:val="24"/>
          <w:lang w:val="en-US"/>
        </w:rPr>
        <w:t xml:space="preserve"> Progression-free survival; R</w:t>
      </w:r>
      <w:r>
        <w:rPr>
          <w:rFonts w:ascii="Book Antiqua" w:hAnsi="Book Antiqua" w:cs="Arial" w:hint="eastAsia"/>
          <w:sz w:val="24"/>
          <w:szCs w:val="24"/>
          <w:lang w:val="en-US" w:eastAsia="zh-CN"/>
        </w:rPr>
        <w:t>:</w:t>
      </w:r>
      <w:r w:rsidR="008D14E6" w:rsidRPr="00BA60F0">
        <w:rPr>
          <w:rFonts w:ascii="Book Antiqua" w:hAnsi="Book Antiqua" w:cs="Arial"/>
          <w:sz w:val="24"/>
          <w:szCs w:val="24"/>
          <w:lang w:val="en-US"/>
        </w:rPr>
        <w:t xml:space="preserve"> Range; TTP</w:t>
      </w:r>
      <w:r>
        <w:rPr>
          <w:rFonts w:ascii="Book Antiqua" w:hAnsi="Book Antiqua" w:cs="Arial" w:hint="eastAsia"/>
          <w:sz w:val="24"/>
          <w:szCs w:val="24"/>
          <w:lang w:val="en-US" w:eastAsia="zh-CN"/>
        </w:rPr>
        <w:t>:</w:t>
      </w:r>
      <w:r>
        <w:rPr>
          <w:rFonts w:ascii="Book Antiqua" w:hAnsi="Book Antiqua" w:cs="Arial"/>
          <w:sz w:val="24"/>
          <w:szCs w:val="24"/>
          <w:lang w:val="en-US"/>
        </w:rPr>
        <w:t xml:space="preserve"> Time-to-progression;</w:t>
      </w:r>
      <w:r>
        <w:rPr>
          <w:rFonts w:ascii="Book Antiqua" w:hAnsi="Book Antiqua" w:hint="eastAsia"/>
          <w:sz w:val="24"/>
          <w:szCs w:val="24"/>
          <w:lang w:eastAsia="zh-CN"/>
        </w:rPr>
        <w:t xml:space="preserve"> </w:t>
      </w:r>
      <w:r w:rsidR="008D14E6" w:rsidRPr="00BA60F0">
        <w:rPr>
          <w:rFonts w:ascii="Book Antiqua" w:hAnsi="Book Antiqua" w:cs="Arial"/>
          <w:sz w:val="24"/>
          <w:szCs w:val="24"/>
          <w:lang w:val="en-US"/>
        </w:rPr>
        <w:t>A</w:t>
      </w:r>
      <w:r>
        <w:rPr>
          <w:rFonts w:ascii="Book Antiqua" w:hAnsi="Book Antiqua" w:cs="Arial" w:hint="eastAsia"/>
          <w:sz w:val="24"/>
          <w:szCs w:val="24"/>
          <w:lang w:val="en-US" w:eastAsia="zh-CN"/>
        </w:rPr>
        <w:t>:</w:t>
      </w:r>
      <w:r w:rsidR="008D14E6" w:rsidRPr="00BA60F0">
        <w:rPr>
          <w:rFonts w:ascii="Book Antiqua" w:hAnsi="Book Antiqua" w:cs="Arial"/>
          <w:sz w:val="24"/>
          <w:szCs w:val="24"/>
          <w:lang w:val="en-US"/>
        </w:rPr>
        <w:t xml:space="preserve"> Anemia; As</w:t>
      </w:r>
      <w:r>
        <w:rPr>
          <w:rFonts w:ascii="Book Antiqua" w:hAnsi="Book Antiqua" w:cs="Arial" w:hint="eastAsia"/>
          <w:sz w:val="24"/>
          <w:szCs w:val="24"/>
          <w:lang w:val="en-US" w:eastAsia="zh-CN"/>
        </w:rPr>
        <w:t>:</w:t>
      </w:r>
      <w:r w:rsidR="008D14E6" w:rsidRPr="00BA60F0">
        <w:rPr>
          <w:rFonts w:ascii="Book Antiqua" w:hAnsi="Book Antiqua" w:cs="Arial"/>
          <w:sz w:val="24"/>
          <w:szCs w:val="24"/>
          <w:lang w:val="en-US"/>
        </w:rPr>
        <w:t xml:space="preserve"> Asth</w:t>
      </w:r>
      <w:r w:rsidR="00A825AF" w:rsidRPr="00BA60F0">
        <w:rPr>
          <w:rFonts w:ascii="Book Antiqua" w:hAnsi="Book Antiqua" w:cs="Arial"/>
          <w:sz w:val="24"/>
          <w:szCs w:val="24"/>
          <w:lang w:val="en-US"/>
        </w:rPr>
        <w:t>enia; Ano</w:t>
      </w:r>
      <w:r>
        <w:rPr>
          <w:rFonts w:ascii="Book Antiqua" w:hAnsi="Book Antiqua" w:cs="Arial" w:hint="eastAsia"/>
          <w:sz w:val="24"/>
          <w:szCs w:val="24"/>
          <w:lang w:val="en-US" w:eastAsia="zh-CN"/>
        </w:rPr>
        <w:t xml:space="preserve">: </w:t>
      </w:r>
      <w:r w:rsidR="00A825AF" w:rsidRPr="00BA60F0">
        <w:rPr>
          <w:rFonts w:ascii="Book Antiqua" w:hAnsi="Book Antiqua" w:cs="Arial"/>
          <w:sz w:val="24"/>
          <w:szCs w:val="24"/>
          <w:lang w:val="en-US"/>
        </w:rPr>
        <w:lastRenderedPageBreak/>
        <w:t>Anorexia; B</w:t>
      </w:r>
      <w:r>
        <w:rPr>
          <w:rFonts w:ascii="Book Antiqua" w:hAnsi="Book Antiqua" w:cs="Arial" w:hint="eastAsia"/>
          <w:sz w:val="24"/>
          <w:szCs w:val="24"/>
          <w:lang w:val="en-US" w:eastAsia="zh-CN"/>
        </w:rPr>
        <w:t>:</w:t>
      </w:r>
      <w:r w:rsidR="008D14E6" w:rsidRPr="00BA60F0">
        <w:rPr>
          <w:rFonts w:ascii="Book Antiqua" w:hAnsi="Book Antiqua" w:cs="Arial"/>
          <w:sz w:val="24"/>
          <w:szCs w:val="24"/>
          <w:lang w:val="en-US"/>
        </w:rPr>
        <w:t xml:space="preserve"> Bilirubin; D</w:t>
      </w:r>
      <w:r>
        <w:rPr>
          <w:rFonts w:ascii="Book Antiqua" w:hAnsi="Book Antiqua" w:cs="Arial" w:hint="eastAsia"/>
          <w:sz w:val="24"/>
          <w:szCs w:val="24"/>
          <w:lang w:val="en-US" w:eastAsia="zh-CN"/>
        </w:rPr>
        <w:t>:</w:t>
      </w:r>
      <w:r w:rsidR="008D14E6" w:rsidRPr="00BA60F0">
        <w:rPr>
          <w:rFonts w:ascii="Book Antiqua" w:hAnsi="Book Antiqua" w:cs="Arial"/>
          <w:sz w:val="24"/>
          <w:szCs w:val="24"/>
          <w:lang w:val="en-US"/>
        </w:rPr>
        <w:t xml:space="preserve"> Diarrhea; E</w:t>
      </w:r>
      <w:r>
        <w:rPr>
          <w:rFonts w:ascii="Book Antiqua" w:hAnsi="Book Antiqua" w:cs="Arial" w:hint="eastAsia"/>
          <w:sz w:val="24"/>
          <w:szCs w:val="24"/>
          <w:lang w:val="en-US" w:eastAsia="zh-CN"/>
        </w:rPr>
        <w:t>:</w:t>
      </w:r>
      <w:r w:rsidR="008D14E6" w:rsidRPr="00BA60F0">
        <w:rPr>
          <w:rFonts w:ascii="Book Antiqua" w:hAnsi="Book Antiqua" w:cs="Arial"/>
          <w:sz w:val="24"/>
          <w:szCs w:val="24"/>
          <w:lang w:val="en-US"/>
        </w:rPr>
        <w:t xml:space="preserve"> Emesis;  FN</w:t>
      </w:r>
      <w:r>
        <w:rPr>
          <w:rFonts w:ascii="Book Antiqua" w:hAnsi="Book Antiqua" w:cs="Arial" w:hint="eastAsia"/>
          <w:sz w:val="24"/>
          <w:szCs w:val="24"/>
          <w:lang w:val="en-US" w:eastAsia="zh-CN"/>
        </w:rPr>
        <w:t>:</w:t>
      </w:r>
      <w:r w:rsidR="008D14E6" w:rsidRPr="00BA60F0">
        <w:rPr>
          <w:rFonts w:ascii="Book Antiqua" w:hAnsi="Book Antiqua" w:cs="Arial"/>
          <w:sz w:val="24"/>
          <w:szCs w:val="24"/>
          <w:lang w:val="en-US"/>
        </w:rPr>
        <w:t xml:space="preserve"> Febrile neutropenia; HFS</w:t>
      </w:r>
      <w:r>
        <w:rPr>
          <w:rFonts w:ascii="Book Antiqua" w:hAnsi="Book Antiqua" w:cs="Arial" w:hint="eastAsia"/>
          <w:sz w:val="24"/>
          <w:szCs w:val="24"/>
          <w:lang w:val="en-US" w:eastAsia="zh-CN"/>
        </w:rPr>
        <w:t>:</w:t>
      </w:r>
      <w:r w:rsidR="008D14E6" w:rsidRPr="00BA60F0">
        <w:rPr>
          <w:rFonts w:ascii="Book Antiqua" w:hAnsi="Book Antiqua" w:cs="Arial"/>
          <w:sz w:val="24"/>
          <w:szCs w:val="24"/>
          <w:lang w:val="en-US"/>
        </w:rPr>
        <w:t xml:space="preserve"> Hand-foot syndrome; HyG</w:t>
      </w:r>
      <w:r>
        <w:rPr>
          <w:rFonts w:ascii="Book Antiqua" w:hAnsi="Book Antiqua" w:cs="Arial" w:hint="eastAsia"/>
          <w:sz w:val="24"/>
          <w:szCs w:val="24"/>
          <w:lang w:val="en-US" w:eastAsia="zh-CN"/>
        </w:rPr>
        <w:t>:</w:t>
      </w:r>
      <w:r w:rsidR="008D14E6" w:rsidRPr="00BA60F0">
        <w:rPr>
          <w:rFonts w:ascii="Book Antiqua" w:hAnsi="Book Antiqua" w:cs="Arial"/>
          <w:sz w:val="24"/>
          <w:szCs w:val="24"/>
          <w:lang w:val="en-US"/>
        </w:rPr>
        <w:t xml:space="preserve"> Hyperglycemia; HyN</w:t>
      </w:r>
      <w:r>
        <w:rPr>
          <w:rFonts w:ascii="Book Antiqua" w:hAnsi="Book Antiqua" w:cs="Arial" w:hint="eastAsia"/>
          <w:sz w:val="24"/>
          <w:szCs w:val="24"/>
          <w:lang w:val="en-US" w:eastAsia="zh-CN"/>
        </w:rPr>
        <w:t>:</w:t>
      </w:r>
      <w:r w:rsidR="008D14E6" w:rsidRPr="00BA60F0">
        <w:rPr>
          <w:rFonts w:ascii="Book Antiqua" w:hAnsi="Book Antiqua" w:cs="Arial"/>
          <w:sz w:val="24"/>
          <w:szCs w:val="24"/>
          <w:lang w:val="en-US"/>
        </w:rPr>
        <w:t xml:space="preserve"> Hyponatremia; HyP</w:t>
      </w:r>
      <w:r>
        <w:rPr>
          <w:rFonts w:ascii="Book Antiqua" w:hAnsi="Book Antiqua" w:cs="Arial" w:hint="eastAsia"/>
          <w:sz w:val="24"/>
          <w:szCs w:val="24"/>
          <w:lang w:val="en-US" w:eastAsia="zh-CN"/>
        </w:rPr>
        <w:t>:</w:t>
      </w:r>
      <w:r w:rsidR="008D14E6" w:rsidRPr="00BA60F0">
        <w:rPr>
          <w:rFonts w:ascii="Book Antiqua" w:hAnsi="Book Antiqua" w:cs="Arial"/>
          <w:sz w:val="24"/>
          <w:szCs w:val="24"/>
          <w:lang w:val="en-US"/>
        </w:rPr>
        <w:t xml:space="preserve"> Hypophosphatemia; I</w:t>
      </w:r>
      <w:r>
        <w:rPr>
          <w:rFonts w:ascii="Book Antiqua" w:hAnsi="Book Antiqua" w:cs="Arial" w:hint="eastAsia"/>
          <w:sz w:val="24"/>
          <w:szCs w:val="24"/>
          <w:lang w:val="en-US" w:eastAsia="zh-CN"/>
        </w:rPr>
        <w:t>:</w:t>
      </w:r>
      <w:r>
        <w:rPr>
          <w:rFonts w:ascii="Book Antiqua" w:hAnsi="Book Antiqua" w:cs="Arial"/>
          <w:sz w:val="24"/>
          <w:szCs w:val="24"/>
          <w:lang w:val="en-US"/>
        </w:rPr>
        <w:t xml:space="preserve"> Infection; L</w:t>
      </w:r>
      <w:r>
        <w:rPr>
          <w:rFonts w:ascii="Book Antiqua" w:hAnsi="Book Antiqua" w:cs="Arial" w:hint="eastAsia"/>
          <w:sz w:val="24"/>
          <w:szCs w:val="24"/>
          <w:lang w:val="en-US" w:eastAsia="zh-CN"/>
        </w:rPr>
        <w:t>:</w:t>
      </w:r>
      <w:r w:rsidR="008D14E6" w:rsidRPr="00BA60F0">
        <w:rPr>
          <w:rFonts w:ascii="Book Antiqua" w:hAnsi="Book Antiqua" w:cs="Arial"/>
          <w:sz w:val="24"/>
          <w:szCs w:val="24"/>
          <w:lang w:val="en-US"/>
        </w:rPr>
        <w:t xml:space="preserve"> Leucocytopenia; Ly</w:t>
      </w:r>
      <w:r>
        <w:rPr>
          <w:rFonts w:ascii="Book Antiqua" w:hAnsi="Book Antiqua" w:cs="Arial" w:hint="eastAsia"/>
          <w:sz w:val="24"/>
          <w:szCs w:val="24"/>
          <w:lang w:val="en-US" w:eastAsia="zh-CN"/>
        </w:rPr>
        <w:t>:</w:t>
      </w:r>
      <w:r w:rsidR="008D14E6" w:rsidRPr="00BA60F0">
        <w:rPr>
          <w:rFonts w:ascii="Book Antiqua" w:hAnsi="Book Antiqua" w:cs="Arial"/>
          <w:sz w:val="24"/>
          <w:szCs w:val="24"/>
          <w:lang w:val="en-US"/>
        </w:rPr>
        <w:t xml:space="preserve"> Lymphopenia; M</w:t>
      </w:r>
      <w:r>
        <w:rPr>
          <w:rFonts w:ascii="Book Antiqua" w:hAnsi="Book Antiqua" w:cs="Arial" w:hint="eastAsia"/>
          <w:sz w:val="24"/>
          <w:szCs w:val="24"/>
          <w:lang w:val="en-US" w:eastAsia="zh-CN"/>
        </w:rPr>
        <w:t>:</w:t>
      </w:r>
      <w:r w:rsidR="008D14E6" w:rsidRPr="00BA60F0">
        <w:rPr>
          <w:rFonts w:ascii="Book Antiqua" w:hAnsi="Book Antiqua" w:cs="Arial"/>
          <w:sz w:val="24"/>
          <w:szCs w:val="24"/>
          <w:lang w:val="en-US"/>
        </w:rPr>
        <w:t xml:space="preserve"> Mucositis; N</w:t>
      </w:r>
      <w:r>
        <w:rPr>
          <w:rFonts w:ascii="Book Antiqua" w:hAnsi="Book Antiqua" w:cs="Arial" w:hint="eastAsia"/>
          <w:sz w:val="24"/>
          <w:szCs w:val="24"/>
          <w:lang w:val="en-US" w:eastAsia="zh-CN"/>
        </w:rPr>
        <w:t>:</w:t>
      </w:r>
      <w:r w:rsidR="008D14E6" w:rsidRPr="00BA60F0">
        <w:rPr>
          <w:rFonts w:ascii="Book Antiqua" w:hAnsi="Book Antiqua" w:cs="Arial"/>
          <w:sz w:val="24"/>
          <w:szCs w:val="24"/>
          <w:lang w:val="en-US"/>
        </w:rPr>
        <w:t xml:space="preserve"> Neutropenia; Neu</w:t>
      </w:r>
      <w:r>
        <w:rPr>
          <w:rFonts w:ascii="Book Antiqua" w:hAnsi="Book Antiqua" w:cs="Arial" w:hint="eastAsia"/>
          <w:sz w:val="24"/>
          <w:szCs w:val="24"/>
          <w:lang w:val="en-US" w:eastAsia="zh-CN"/>
        </w:rPr>
        <w:t>:</w:t>
      </w:r>
      <w:r w:rsidR="008D14E6" w:rsidRPr="00BA60F0">
        <w:rPr>
          <w:rFonts w:ascii="Book Antiqua" w:hAnsi="Book Antiqua" w:cs="Arial"/>
          <w:sz w:val="24"/>
          <w:szCs w:val="24"/>
          <w:lang w:val="en-US"/>
        </w:rPr>
        <w:t xml:space="preserve"> Sensory Neuropathy; Nau</w:t>
      </w:r>
      <w:r>
        <w:rPr>
          <w:rFonts w:ascii="Book Antiqua" w:hAnsi="Book Antiqua" w:cs="Arial" w:hint="eastAsia"/>
          <w:sz w:val="24"/>
          <w:szCs w:val="24"/>
          <w:lang w:val="en-US" w:eastAsia="zh-CN"/>
        </w:rPr>
        <w:t>:</w:t>
      </w:r>
      <w:r w:rsidR="008D14E6" w:rsidRPr="00BA60F0">
        <w:rPr>
          <w:rFonts w:ascii="Book Antiqua" w:hAnsi="Book Antiqua" w:cs="Arial"/>
          <w:sz w:val="24"/>
          <w:szCs w:val="24"/>
          <w:lang w:val="en-US"/>
        </w:rPr>
        <w:t xml:space="preserve"> Nausea; N-E</w:t>
      </w:r>
      <w:r>
        <w:rPr>
          <w:rFonts w:ascii="Book Antiqua" w:hAnsi="Book Antiqua" w:cs="Arial" w:hint="eastAsia"/>
          <w:sz w:val="24"/>
          <w:szCs w:val="24"/>
          <w:lang w:val="en-US" w:eastAsia="zh-CN"/>
        </w:rPr>
        <w:t>:</w:t>
      </w:r>
      <w:r w:rsidR="008D14E6" w:rsidRPr="00BA60F0">
        <w:rPr>
          <w:rFonts w:ascii="Book Antiqua" w:hAnsi="Book Antiqua" w:cs="Arial"/>
          <w:sz w:val="24"/>
          <w:szCs w:val="24"/>
          <w:lang w:val="en-US"/>
        </w:rPr>
        <w:t xml:space="preserve"> Nausea </w:t>
      </w:r>
      <w:r>
        <w:rPr>
          <w:rFonts w:ascii="Book Antiqua" w:hAnsi="Book Antiqua" w:cs="Arial" w:hint="eastAsia"/>
          <w:sz w:val="24"/>
          <w:szCs w:val="24"/>
          <w:lang w:val="en-US" w:eastAsia="zh-CN"/>
        </w:rPr>
        <w:t>a</w:t>
      </w:r>
      <w:r w:rsidR="001B7B35">
        <w:rPr>
          <w:rFonts w:ascii="Book Antiqua" w:hAnsi="Book Antiqua" w:cs="Arial"/>
          <w:sz w:val="24"/>
          <w:szCs w:val="24"/>
          <w:lang w:val="en-US" w:eastAsia="zh-CN"/>
        </w:rPr>
        <w:t>nd</w:t>
      </w:r>
      <w:r w:rsidR="001B7B35" w:rsidRPr="00BA60F0">
        <w:rPr>
          <w:rFonts w:ascii="Book Antiqua" w:hAnsi="Book Antiqua" w:cs="Arial"/>
          <w:sz w:val="24"/>
          <w:szCs w:val="24"/>
          <w:lang w:val="en-US"/>
        </w:rPr>
        <w:t xml:space="preserve"> vo</w:t>
      </w:r>
      <w:r w:rsidR="008D14E6" w:rsidRPr="00BA60F0">
        <w:rPr>
          <w:rFonts w:ascii="Book Antiqua" w:hAnsi="Book Antiqua" w:cs="Arial"/>
          <w:sz w:val="24"/>
          <w:szCs w:val="24"/>
          <w:lang w:val="en-US"/>
        </w:rPr>
        <w:t>miting; T</w:t>
      </w:r>
      <w:r>
        <w:rPr>
          <w:rFonts w:ascii="Book Antiqua" w:hAnsi="Book Antiqua" w:cs="Arial" w:hint="eastAsia"/>
          <w:sz w:val="24"/>
          <w:szCs w:val="24"/>
          <w:lang w:val="en-US" w:eastAsia="zh-CN"/>
        </w:rPr>
        <w:t>:</w:t>
      </w:r>
      <w:r w:rsidR="008D14E6" w:rsidRPr="00BA60F0">
        <w:rPr>
          <w:rFonts w:ascii="Book Antiqua" w:hAnsi="Book Antiqua" w:cs="Arial"/>
          <w:sz w:val="24"/>
          <w:szCs w:val="24"/>
          <w:lang w:val="en-US"/>
        </w:rPr>
        <w:t xml:space="preserve"> Thrombocytopenia.</w:t>
      </w:r>
    </w:p>
    <w:p w:rsidR="008D14E6" w:rsidRPr="00BA60F0" w:rsidRDefault="008D14E6" w:rsidP="00746849">
      <w:pPr>
        <w:adjustRightInd w:val="0"/>
        <w:snapToGrid w:val="0"/>
        <w:spacing w:after="0" w:line="360" w:lineRule="auto"/>
        <w:jc w:val="both"/>
        <w:rPr>
          <w:rFonts w:ascii="Book Antiqua" w:hAnsi="Book Antiqua" w:cs="Arial"/>
          <w:b/>
          <w:sz w:val="24"/>
          <w:szCs w:val="24"/>
          <w:lang w:val="en-US" w:eastAsia="zh-CN"/>
        </w:rPr>
      </w:pPr>
      <w:r w:rsidRPr="00BA60F0">
        <w:rPr>
          <w:rFonts w:ascii="Book Antiqua" w:hAnsi="Book Antiqua" w:cs="Arial"/>
          <w:sz w:val="24"/>
          <w:szCs w:val="24"/>
          <w:lang w:val="en-US"/>
        </w:rPr>
        <w:br w:type="page"/>
      </w:r>
      <w:r w:rsidR="003D2377">
        <w:rPr>
          <w:rFonts w:ascii="Book Antiqua" w:hAnsi="Book Antiqua" w:cs="Arial"/>
          <w:b/>
          <w:sz w:val="24"/>
          <w:szCs w:val="24"/>
          <w:lang w:val="en-US"/>
        </w:rPr>
        <w:lastRenderedPageBreak/>
        <w:t>Table 2</w:t>
      </w:r>
      <w:r w:rsidRPr="00BA60F0">
        <w:rPr>
          <w:rFonts w:ascii="Book Antiqua" w:hAnsi="Book Antiqua" w:cs="Arial"/>
          <w:b/>
          <w:sz w:val="24"/>
          <w:szCs w:val="24"/>
          <w:lang w:val="en-US"/>
        </w:rPr>
        <w:t xml:space="preserve"> Phase II studies on second-line therapy (combination therapy) in </w:t>
      </w:r>
      <w:r w:rsidR="00865232" w:rsidRPr="00BA60F0">
        <w:rPr>
          <w:rFonts w:ascii="Book Antiqua" w:hAnsi="Book Antiqua" w:cs="Arial"/>
          <w:b/>
          <w:sz w:val="24"/>
          <w:szCs w:val="24"/>
          <w:lang w:val="en-US"/>
        </w:rPr>
        <w:t>metastatic</w:t>
      </w:r>
      <w:r w:rsidR="003D2377">
        <w:rPr>
          <w:rFonts w:ascii="Book Antiqua" w:hAnsi="Book Antiqua" w:cs="Arial"/>
          <w:b/>
          <w:sz w:val="24"/>
          <w:szCs w:val="24"/>
          <w:lang w:val="en-US"/>
        </w:rPr>
        <w:t xml:space="preserve"> gastric cancer</w:t>
      </w:r>
    </w:p>
    <w:tbl>
      <w:tblPr>
        <w:tblW w:w="10525" w:type="dxa"/>
        <w:tblBorders>
          <w:top w:val="single" w:sz="4" w:space="0" w:color="auto"/>
          <w:bottom w:val="single" w:sz="4" w:space="0" w:color="auto"/>
        </w:tblBorders>
        <w:tblLayout w:type="fixed"/>
        <w:tblLook w:val="00A0" w:firstRow="1" w:lastRow="0" w:firstColumn="1" w:lastColumn="0" w:noHBand="0" w:noVBand="0"/>
      </w:tblPr>
      <w:tblGrid>
        <w:gridCol w:w="1188"/>
        <w:gridCol w:w="621"/>
        <w:gridCol w:w="1089"/>
        <w:gridCol w:w="1890"/>
        <w:gridCol w:w="810"/>
        <w:gridCol w:w="697"/>
        <w:gridCol w:w="810"/>
        <w:gridCol w:w="720"/>
        <w:gridCol w:w="1639"/>
        <w:gridCol w:w="1061"/>
      </w:tblGrid>
      <w:tr w:rsidR="008D14E6" w:rsidRPr="00BA60F0" w:rsidTr="003D2377">
        <w:trPr>
          <w:trHeight w:val="556"/>
          <w:tblHeader/>
        </w:trPr>
        <w:tc>
          <w:tcPr>
            <w:tcW w:w="1188" w:type="dxa"/>
            <w:tcBorders>
              <w:top w:val="single" w:sz="4" w:space="0" w:color="auto"/>
              <w:bottom w:val="single" w:sz="4" w:space="0" w:color="auto"/>
            </w:tcBorders>
            <w:shd w:val="clear" w:color="auto" w:fill="F2F2F2"/>
            <w:vAlign w:val="center"/>
          </w:tcPr>
          <w:p w:rsidR="008D14E6" w:rsidRPr="003D2377" w:rsidRDefault="008D14E6" w:rsidP="00746849">
            <w:pPr>
              <w:adjustRightInd w:val="0"/>
              <w:snapToGrid w:val="0"/>
              <w:spacing w:after="0" w:line="360" w:lineRule="auto"/>
              <w:jc w:val="both"/>
              <w:rPr>
                <w:rFonts w:ascii="Book Antiqua" w:hAnsi="Book Antiqua" w:cs="Arial"/>
                <w:b/>
                <w:bCs/>
                <w:sz w:val="24"/>
                <w:szCs w:val="24"/>
                <w:lang w:val="en-US"/>
              </w:rPr>
            </w:pPr>
            <w:r w:rsidRPr="003D2377">
              <w:rPr>
                <w:rFonts w:ascii="Book Antiqua" w:hAnsi="Book Antiqua" w:cs="Arial"/>
                <w:b/>
                <w:bCs/>
                <w:sz w:val="24"/>
                <w:szCs w:val="24"/>
                <w:lang w:val="en-US"/>
              </w:rPr>
              <w:t>Study</w:t>
            </w:r>
          </w:p>
        </w:tc>
        <w:tc>
          <w:tcPr>
            <w:tcW w:w="621" w:type="dxa"/>
            <w:tcBorders>
              <w:top w:val="single" w:sz="4" w:space="0" w:color="auto"/>
              <w:bottom w:val="single" w:sz="4" w:space="0" w:color="auto"/>
            </w:tcBorders>
            <w:shd w:val="clear" w:color="auto" w:fill="F2F2F2"/>
            <w:vAlign w:val="center"/>
          </w:tcPr>
          <w:p w:rsidR="008D14E6" w:rsidRPr="00BA60F0" w:rsidRDefault="008D14E6" w:rsidP="00746849">
            <w:pPr>
              <w:adjustRightInd w:val="0"/>
              <w:snapToGrid w:val="0"/>
              <w:spacing w:after="0" w:line="360" w:lineRule="auto"/>
              <w:jc w:val="both"/>
              <w:rPr>
                <w:rFonts w:ascii="Book Antiqua" w:hAnsi="Book Antiqua" w:cs="Arial"/>
                <w:b/>
                <w:bCs/>
                <w:sz w:val="24"/>
                <w:szCs w:val="24"/>
                <w:lang w:val="en-US"/>
              </w:rPr>
            </w:pPr>
            <w:r w:rsidRPr="00BA60F0">
              <w:rPr>
                <w:rFonts w:ascii="Book Antiqua" w:hAnsi="Book Antiqua" w:cs="Arial"/>
                <w:b/>
                <w:bCs/>
                <w:sz w:val="24"/>
                <w:szCs w:val="24"/>
                <w:lang w:val="en-US"/>
              </w:rPr>
              <w:t>Total /Eval pts</w:t>
            </w:r>
          </w:p>
        </w:tc>
        <w:tc>
          <w:tcPr>
            <w:tcW w:w="1089" w:type="dxa"/>
            <w:tcBorders>
              <w:top w:val="single" w:sz="4" w:space="0" w:color="auto"/>
              <w:bottom w:val="single" w:sz="4" w:space="0" w:color="auto"/>
            </w:tcBorders>
            <w:shd w:val="clear" w:color="auto" w:fill="F2F2F2"/>
            <w:vAlign w:val="center"/>
          </w:tcPr>
          <w:p w:rsidR="008D14E6" w:rsidRPr="00BA60F0" w:rsidRDefault="008D14E6" w:rsidP="00746849">
            <w:pPr>
              <w:adjustRightInd w:val="0"/>
              <w:snapToGrid w:val="0"/>
              <w:spacing w:after="0" w:line="360" w:lineRule="auto"/>
              <w:jc w:val="both"/>
              <w:rPr>
                <w:rFonts w:ascii="Book Antiqua" w:hAnsi="Book Antiqua" w:cs="Arial"/>
                <w:b/>
                <w:bCs/>
                <w:sz w:val="24"/>
                <w:szCs w:val="24"/>
                <w:lang w:val="en-US"/>
              </w:rPr>
            </w:pPr>
            <w:r w:rsidRPr="00BA60F0">
              <w:rPr>
                <w:rFonts w:ascii="Book Antiqua" w:hAnsi="Book Antiqua" w:cs="Arial"/>
                <w:b/>
                <w:bCs/>
                <w:sz w:val="24"/>
                <w:szCs w:val="24"/>
                <w:lang w:val="en-US"/>
              </w:rPr>
              <w:t>Performance Status, n</w:t>
            </w:r>
          </w:p>
        </w:tc>
        <w:tc>
          <w:tcPr>
            <w:tcW w:w="1890" w:type="dxa"/>
            <w:tcBorders>
              <w:top w:val="single" w:sz="4" w:space="0" w:color="auto"/>
              <w:bottom w:val="single" w:sz="4" w:space="0" w:color="auto"/>
            </w:tcBorders>
            <w:shd w:val="clear" w:color="auto" w:fill="F2F2F2"/>
            <w:vAlign w:val="center"/>
          </w:tcPr>
          <w:p w:rsidR="008D14E6" w:rsidRPr="00BA60F0" w:rsidRDefault="008D14E6" w:rsidP="00746849">
            <w:pPr>
              <w:adjustRightInd w:val="0"/>
              <w:snapToGrid w:val="0"/>
              <w:spacing w:after="0" w:line="360" w:lineRule="auto"/>
              <w:jc w:val="both"/>
              <w:rPr>
                <w:rFonts w:ascii="Book Antiqua" w:hAnsi="Book Antiqua" w:cs="Arial"/>
                <w:b/>
                <w:bCs/>
                <w:sz w:val="24"/>
                <w:szCs w:val="24"/>
                <w:lang w:val="en-US"/>
              </w:rPr>
            </w:pPr>
            <w:r w:rsidRPr="00BA60F0">
              <w:rPr>
                <w:rFonts w:ascii="Book Antiqua" w:hAnsi="Book Antiqua" w:cs="Arial"/>
                <w:b/>
                <w:bCs/>
                <w:sz w:val="24"/>
                <w:szCs w:val="24"/>
                <w:lang w:val="en-US"/>
              </w:rPr>
              <w:t xml:space="preserve">II-line treatment, </w:t>
            </w:r>
            <w:r w:rsidRPr="00BA60F0">
              <w:rPr>
                <w:rFonts w:ascii="Book Antiqua" w:hAnsi="Book Antiqua" w:cs="Arial"/>
                <w:b/>
                <w:bCs/>
                <w:sz w:val="24"/>
                <w:szCs w:val="24"/>
                <w:lang w:val="en-US"/>
              </w:rPr>
              <w:br/>
              <w:t>doses in mg/m</w:t>
            </w:r>
            <w:r w:rsidRPr="00BA60F0">
              <w:rPr>
                <w:rFonts w:ascii="Book Antiqua" w:hAnsi="Book Antiqua" w:cs="Arial"/>
                <w:b/>
                <w:bCs/>
                <w:sz w:val="24"/>
                <w:szCs w:val="24"/>
                <w:vertAlign w:val="superscript"/>
                <w:lang w:val="en-US"/>
              </w:rPr>
              <w:t>2</w:t>
            </w:r>
          </w:p>
        </w:tc>
        <w:tc>
          <w:tcPr>
            <w:tcW w:w="810" w:type="dxa"/>
            <w:tcBorders>
              <w:top w:val="single" w:sz="4" w:space="0" w:color="auto"/>
              <w:bottom w:val="single" w:sz="4" w:space="0" w:color="auto"/>
            </w:tcBorders>
            <w:shd w:val="clear" w:color="auto" w:fill="F2F2F2"/>
            <w:vAlign w:val="center"/>
          </w:tcPr>
          <w:p w:rsidR="008D14E6" w:rsidRPr="00BA60F0" w:rsidRDefault="008D14E6" w:rsidP="00746849">
            <w:pPr>
              <w:adjustRightInd w:val="0"/>
              <w:snapToGrid w:val="0"/>
              <w:spacing w:after="0" w:line="360" w:lineRule="auto"/>
              <w:jc w:val="both"/>
              <w:rPr>
                <w:rFonts w:ascii="Book Antiqua" w:hAnsi="Book Antiqua" w:cs="Arial"/>
                <w:b/>
                <w:bCs/>
                <w:sz w:val="24"/>
                <w:szCs w:val="24"/>
                <w:lang w:val="en-US"/>
              </w:rPr>
            </w:pPr>
            <w:r w:rsidRPr="00BA60F0">
              <w:rPr>
                <w:rFonts w:ascii="Book Antiqua" w:hAnsi="Book Antiqua" w:cs="Arial"/>
                <w:b/>
                <w:bCs/>
                <w:sz w:val="24"/>
                <w:szCs w:val="24"/>
                <w:lang w:val="en-US"/>
              </w:rPr>
              <w:t xml:space="preserve">Treatment </w:t>
            </w:r>
            <w:r w:rsidRPr="00BA60F0">
              <w:rPr>
                <w:rFonts w:ascii="Book Antiqua" w:hAnsi="Book Antiqua" w:cs="Arial"/>
                <w:b/>
                <w:bCs/>
                <w:sz w:val="24"/>
                <w:szCs w:val="24"/>
                <w:lang w:val="en-US"/>
              </w:rPr>
              <w:br/>
              <w:t>ORR, %</w:t>
            </w:r>
          </w:p>
        </w:tc>
        <w:tc>
          <w:tcPr>
            <w:tcW w:w="697" w:type="dxa"/>
            <w:tcBorders>
              <w:top w:val="single" w:sz="4" w:space="0" w:color="auto"/>
              <w:bottom w:val="single" w:sz="4" w:space="0" w:color="auto"/>
            </w:tcBorders>
            <w:shd w:val="clear" w:color="auto" w:fill="F2F2F2"/>
            <w:vAlign w:val="center"/>
          </w:tcPr>
          <w:p w:rsidR="008D14E6" w:rsidRPr="00BA60F0" w:rsidRDefault="008D14E6" w:rsidP="00746849">
            <w:pPr>
              <w:adjustRightInd w:val="0"/>
              <w:snapToGrid w:val="0"/>
              <w:spacing w:after="0" w:line="360" w:lineRule="auto"/>
              <w:jc w:val="both"/>
              <w:rPr>
                <w:rFonts w:ascii="Book Antiqua" w:hAnsi="Book Antiqua" w:cs="Arial"/>
                <w:b/>
                <w:bCs/>
                <w:sz w:val="24"/>
                <w:szCs w:val="24"/>
                <w:lang w:val="en-US"/>
              </w:rPr>
            </w:pPr>
            <w:r w:rsidRPr="00BA60F0">
              <w:rPr>
                <w:rFonts w:ascii="Book Antiqua" w:hAnsi="Book Antiqua" w:cs="Arial"/>
                <w:b/>
                <w:bCs/>
                <w:sz w:val="24"/>
                <w:szCs w:val="24"/>
                <w:lang w:val="en-US"/>
              </w:rPr>
              <w:t>Median TTP, in months</w:t>
            </w:r>
          </w:p>
        </w:tc>
        <w:tc>
          <w:tcPr>
            <w:tcW w:w="810" w:type="dxa"/>
            <w:tcBorders>
              <w:top w:val="single" w:sz="4" w:space="0" w:color="auto"/>
              <w:bottom w:val="single" w:sz="4" w:space="0" w:color="auto"/>
            </w:tcBorders>
            <w:shd w:val="clear" w:color="auto" w:fill="F2F2F2"/>
            <w:vAlign w:val="center"/>
          </w:tcPr>
          <w:p w:rsidR="008D14E6" w:rsidRPr="00BA60F0" w:rsidRDefault="008D14E6" w:rsidP="00746849">
            <w:pPr>
              <w:adjustRightInd w:val="0"/>
              <w:snapToGrid w:val="0"/>
              <w:spacing w:after="0" w:line="360" w:lineRule="auto"/>
              <w:jc w:val="both"/>
              <w:rPr>
                <w:rFonts w:ascii="Book Antiqua" w:hAnsi="Book Antiqua" w:cs="Arial"/>
                <w:b/>
                <w:bCs/>
                <w:sz w:val="24"/>
                <w:szCs w:val="24"/>
                <w:lang w:val="en-US"/>
              </w:rPr>
            </w:pPr>
            <w:r w:rsidRPr="00BA60F0">
              <w:rPr>
                <w:rFonts w:ascii="Book Antiqua" w:hAnsi="Book Antiqua" w:cs="Arial"/>
                <w:b/>
                <w:bCs/>
                <w:sz w:val="24"/>
                <w:szCs w:val="24"/>
                <w:lang w:val="en-US"/>
              </w:rPr>
              <w:t xml:space="preserve">Median </w:t>
            </w:r>
            <w:r w:rsidRPr="00BA60F0">
              <w:rPr>
                <w:rFonts w:ascii="Book Antiqua" w:hAnsi="Book Antiqua" w:cs="Arial"/>
                <w:b/>
                <w:bCs/>
                <w:sz w:val="24"/>
                <w:szCs w:val="24"/>
                <w:lang w:val="en-US"/>
              </w:rPr>
              <w:br/>
              <w:t>PFS, in months</w:t>
            </w:r>
          </w:p>
        </w:tc>
        <w:tc>
          <w:tcPr>
            <w:tcW w:w="720" w:type="dxa"/>
            <w:tcBorders>
              <w:top w:val="single" w:sz="4" w:space="0" w:color="auto"/>
              <w:bottom w:val="single" w:sz="4" w:space="0" w:color="auto"/>
            </w:tcBorders>
            <w:shd w:val="clear" w:color="auto" w:fill="F2F2F2"/>
            <w:vAlign w:val="center"/>
          </w:tcPr>
          <w:p w:rsidR="008D14E6" w:rsidRPr="00BA60F0" w:rsidRDefault="008D14E6" w:rsidP="00746849">
            <w:pPr>
              <w:adjustRightInd w:val="0"/>
              <w:snapToGrid w:val="0"/>
              <w:spacing w:after="0" w:line="360" w:lineRule="auto"/>
              <w:jc w:val="both"/>
              <w:rPr>
                <w:rFonts w:ascii="Book Antiqua" w:hAnsi="Book Antiqua" w:cs="Arial"/>
                <w:b/>
                <w:bCs/>
                <w:sz w:val="24"/>
                <w:szCs w:val="24"/>
                <w:lang w:val="en-US"/>
              </w:rPr>
            </w:pPr>
            <w:r w:rsidRPr="00BA60F0">
              <w:rPr>
                <w:rFonts w:ascii="Book Antiqua" w:hAnsi="Book Antiqua" w:cs="Arial"/>
                <w:b/>
                <w:bCs/>
                <w:sz w:val="24"/>
                <w:szCs w:val="24"/>
                <w:lang w:val="en-US"/>
              </w:rPr>
              <w:t xml:space="preserve">Median </w:t>
            </w:r>
            <w:r w:rsidRPr="00BA60F0">
              <w:rPr>
                <w:rFonts w:ascii="Book Antiqua" w:hAnsi="Book Antiqua" w:cs="Arial"/>
                <w:b/>
                <w:bCs/>
                <w:sz w:val="24"/>
                <w:szCs w:val="24"/>
                <w:lang w:val="en-US"/>
              </w:rPr>
              <w:br/>
              <w:t>OS, in months</w:t>
            </w:r>
          </w:p>
        </w:tc>
        <w:tc>
          <w:tcPr>
            <w:tcW w:w="1639" w:type="dxa"/>
            <w:tcBorders>
              <w:top w:val="single" w:sz="4" w:space="0" w:color="auto"/>
              <w:bottom w:val="single" w:sz="4" w:space="0" w:color="auto"/>
            </w:tcBorders>
            <w:shd w:val="clear" w:color="auto" w:fill="F2F2F2"/>
            <w:vAlign w:val="center"/>
          </w:tcPr>
          <w:p w:rsidR="008D14E6" w:rsidRPr="00BA60F0" w:rsidRDefault="008D14E6" w:rsidP="00746849">
            <w:pPr>
              <w:adjustRightInd w:val="0"/>
              <w:snapToGrid w:val="0"/>
              <w:spacing w:after="0" w:line="360" w:lineRule="auto"/>
              <w:jc w:val="both"/>
              <w:rPr>
                <w:rFonts w:ascii="Book Antiqua" w:hAnsi="Book Antiqua" w:cs="Arial"/>
                <w:b/>
                <w:bCs/>
                <w:sz w:val="24"/>
                <w:szCs w:val="24"/>
                <w:lang w:val="en-US"/>
              </w:rPr>
            </w:pPr>
            <w:r w:rsidRPr="00BA60F0">
              <w:rPr>
                <w:rFonts w:ascii="Book Antiqua" w:hAnsi="Book Antiqua" w:cs="Arial"/>
                <w:b/>
                <w:bCs/>
                <w:sz w:val="24"/>
                <w:szCs w:val="24"/>
                <w:lang w:val="en-US"/>
              </w:rPr>
              <w:t xml:space="preserve">Toxicity, </w:t>
            </w:r>
            <w:r w:rsidRPr="00BA60F0">
              <w:rPr>
                <w:rFonts w:ascii="Book Antiqua" w:hAnsi="Book Antiqua" w:cs="Arial"/>
                <w:b/>
                <w:bCs/>
                <w:sz w:val="24"/>
                <w:szCs w:val="24"/>
                <w:lang w:val="en-US"/>
              </w:rPr>
              <w:br/>
              <w:t>grade 3-4, %</w:t>
            </w:r>
          </w:p>
        </w:tc>
        <w:tc>
          <w:tcPr>
            <w:tcW w:w="1061" w:type="dxa"/>
            <w:tcBorders>
              <w:top w:val="single" w:sz="4" w:space="0" w:color="auto"/>
              <w:bottom w:val="single" w:sz="4" w:space="0" w:color="auto"/>
            </w:tcBorders>
            <w:shd w:val="clear" w:color="auto" w:fill="F2F2F2"/>
            <w:vAlign w:val="center"/>
          </w:tcPr>
          <w:p w:rsidR="008D14E6" w:rsidRPr="00C419B4" w:rsidRDefault="003D2377" w:rsidP="00746849">
            <w:pPr>
              <w:adjustRightInd w:val="0"/>
              <w:snapToGrid w:val="0"/>
              <w:spacing w:after="0" w:line="360" w:lineRule="auto"/>
              <w:jc w:val="both"/>
              <w:rPr>
                <w:rFonts w:ascii="Book Antiqua" w:hAnsi="Book Antiqua" w:cs="Arial"/>
                <w:b/>
                <w:bCs/>
                <w:sz w:val="24"/>
                <w:szCs w:val="24"/>
                <w:lang w:val="en-US" w:eastAsia="zh-CN"/>
              </w:rPr>
            </w:pPr>
            <w:r w:rsidRPr="00C419B4">
              <w:rPr>
                <w:rFonts w:ascii="Book Antiqua" w:hAnsi="Book Antiqua" w:cs="Arial" w:hint="eastAsia"/>
                <w:b/>
                <w:bCs/>
                <w:sz w:val="24"/>
                <w:szCs w:val="24"/>
                <w:lang w:val="en-US" w:eastAsia="zh-CN"/>
              </w:rPr>
              <w:t>Ref.</w:t>
            </w:r>
          </w:p>
        </w:tc>
      </w:tr>
      <w:tr w:rsidR="008D14E6" w:rsidRPr="00BA60F0" w:rsidTr="003D2377">
        <w:tc>
          <w:tcPr>
            <w:tcW w:w="1188" w:type="dxa"/>
            <w:tcBorders>
              <w:top w:val="single" w:sz="4" w:space="0" w:color="auto"/>
            </w:tcBorders>
          </w:tcPr>
          <w:p w:rsidR="008D14E6" w:rsidRPr="003D2377" w:rsidRDefault="008D14E6" w:rsidP="00746849">
            <w:pPr>
              <w:adjustRightInd w:val="0"/>
              <w:snapToGrid w:val="0"/>
              <w:spacing w:after="0" w:line="360" w:lineRule="auto"/>
              <w:jc w:val="both"/>
              <w:rPr>
                <w:rFonts w:ascii="Book Antiqua" w:hAnsi="Book Antiqua" w:cs="Arial"/>
                <w:bCs/>
                <w:sz w:val="24"/>
                <w:szCs w:val="24"/>
                <w:lang w:val="en-US"/>
              </w:rPr>
            </w:pPr>
            <w:r w:rsidRPr="003D2377">
              <w:rPr>
                <w:rFonts w:ascii="Book Antiqua" w:hAnsi="Book Antiqua" w:cs="Arial"/>
                <w:bCs/>
                <w:sz w:val="24"/>
                <w:szCs w:val="24"/>
                <w:lang w:val="en-US"/>
              </w:rPr>
              <w:t>Irinotecan/</w:t>
            </w:r>
            <w:r w:rsidRPr="003D2377">
              <w:rPr>
                <w:rFonts w:ascii="Book Antiqua" w:hAnsi="Book Antiqua" w:cs="Arial"/>
                <w:bCs/>
                <w:sz w:val="24"/>
                <w:szCs w:val="24"/>
                <w:lang w:val="en-US"/>
              </w:rPr>
              <w:br/>
              <w:t>FU</w:t>
            </w:r>
          </w:p>
        </w:tc>
        <w:tc>
          <w:tcPr>
            <w:tcW w:w="621" w:type="dxa"/>
            <w:tcBorders>
              <w:top w:val="single" w:sz="4" w:space="0" w:color="auto"/>
            </w:tcBorders>
          </w:tcPr>
          <w:p w:rsidR="008D14E6" w:rsidRPr="00BA60F0" w:rsidRDefault="008D14E6" w:rsidP="00746849">
            <w:pPr>
              <w:adjustRightInd w:val="0"/>
              <w:snapToGrid w:val="0"/>
              <w:spacing w:after="0" w:line="360" w:lineRule="auto"/>
              <w:jc w:val="both"/>
              <w:rPr>
                <w:rFonts w:ascii="Book Antiqua" w:hAnsi="Book Antiqua" w:cs="Arial"/>
                <w:sz w:val="24"/>
                <w:szCs w:val="24"/>
                <w:lang w:val="en-US"/>
              </w:rPr>
            </w:pPr>
            <w:r w:rsidRPr="00BA60F0">
              <w:rPr>
                <w:rFonts w:ascii="Book Antiqua" w:hAnsi="Book Antiqua" w:cs="Arial"/>
                <w:sz w:val="24"/>
                <w:szCs w:val="24"/>
                <w:lang w:val="en-US"/>
              </w:rPr>
              <w:t>40/38</w:t>
            </w:r>
          </w:p>
        </w:tc>
        <w:tc>
          <w:tcPr>
            <w:tcW w:w="1089" w:type="dxa"/>
            <w:tcBorders>
              <w:top w:val="single" w:sz="4" w:space="0" w:color="auto"/>
            </w:tcBorders>
          </w:tcPr>
          <w:p w:rsidR="008D14E6" w:rsidRPr="00BA60F0" w:rsidRDefault="008D14E6" w:rsidP="00746849">
            <w:pPr>
              <w:adjustRightInd w:val="0"/>
              <w:snapToGrid w:val="0"/>
              <w:spacing w:after="0" w:line="360" w:lineRule="auto"/>
              <w:jc w:val="both"/>
              <w:rPr>
                <w:rFonts w:ascii="Book Antiqua" w:hAnsi="Book Antiqua" w:cs="Arial"/>
                <w:sz w:val="24"/>
                <w:szCs w:val="24"/>
                <w:lang w:val="en-US"/>
              </w:rPr>
            </w:pPr>
            <w:r w:rsidRPr="00BA60F0">
              <w:rPr>
                <w:rFonts w:ascii="Book Antiqua" w:hAnsi="Book Antiqua" w:cs="Arial"/>
                <w:sz w:val="24"/>
                <w:szCs w:val="24"/>
                <w:lang w:val="en-US"/>
              </w:rPr>
              <w:t>ECOG 0/1/2 – 5/21/12</w:t>
            </w:r>
          </w:p>
        </w:tc>
        <w:tc>
          <w:tcPr>
            <w:tcW w:w="1890" w:type="dxa"/>
            <w:tcBorders>
              <w:top w:val="single" w:sz="4" w:space="0" w:color="auto"/>
            </w:tcBorders>
          </w:tcPr>
          <w:p w:rsidR="008D14E6" w:rsidRPr="00BA60F0" w:rsidRDefault="008D14E6" w:rsidP="00746849">
            <w:pPr>
              <w:adjustRightInd w:val="0"/>
              <w:snapToGrid w:val="0"/>
              <w:spacing w:after="0" w:line="360" w:lineRule="auto"/>
              <w:jc w:val="both"/>
              <w:rPr>
                <w:rFonts w:ascii="Book Antiqua" w:hAnsi="Book Antiqua" w:cs="Arial"/>
                <w:sz w:val="24"/>
                <w:szCs w:val="24"/>
                <w:lang w:val="en-US"/>
              </w:rPr>
            </w:pPr>
            <w:r w:rsidRPr="00BA60F0">
              <w:rPr>
                <w:rFonts w:ascii="Book Antiqua" w:hAnsi="Book Antiqua" w:cs="Arial"/>
                <w:sz w:val="24"/>
                <w:szCs w:val="24"/>
                <w:lang w:val="en-US"/>
              </w:rPr>
              <w:t>Iri/FA/FU - 180/125/400 bolus + 1200 inf over 22h d1/d1/d1 q14</w:t>
            </w:r>
          </w:p>
        </w:tc>
        <w:tc>
          <w:tcPr>
            <w:tcW w:w="810" w:type="dxa"/>
            <w:tcBorders>
              <w:top w:val="single" w:sz="4" w:space="0" w:color="auto"/>
            </w:tcBorders>
          </w:tcPr>
          <w:p w:rsidR="008D14E6" w:rsidRPr="00BA60F0" w:rsidRDefault="008D14E6" w:rsidP="00746849">
            <w:pPr>
              <w:adjustRightInd w:val="0"/>
              <w:snapToGrid w:val="0"/>
              <w:spacing w:after="0" w:line="360" w:lineRule="auto"/>
              <w:jc w:val="both"/>
              <w:rPr>
                <w:rFonts w:ascii="Book Antiqua" w:hAnsi="Book Antiqua" w:cs="Arial"/>
                <w:sz w:val="24"/>
                <w:szCs w:val="24"/>
                <w:lang w:val="en-US"/>
              </w:rPr>
            </w:pPr>
            <w:r w:rsidRPr="00BA60F0">
              <w:rPr>
                <w:rFonts w:ascii="Book Antiqua" w:hAnsi="Book Antiqua" w:cs="Arial"/>
                <w:sz w:val="24"/>
                <w:szCs w:val="24"/>
                <w:lang w:val="en-US"/>
              </w:rPr>
              <w:t>29.0</w:t>
            </w:r>
          </w:p>
        </w:tc>
        <w:tc>
          <w:tcPr>
            <w:tcW w:w="697" w:type="dxa"/>
            <w:tcBorders>
              <w:top w:val="single" w:sz="4" w:space="0" w:color="auto"/>
            </w:tcBorders>
          </w:tcPr>
          <w:p w:rsidR="008D14E6" w:rsidRPr="00BA60F0" w:rsidRDefault="008D14E6" w:rsidP="00746849">
            <w:pPr>
              <w:adjustRightInd w:val="0"/>
              <w:snapToGrid w:val="0"/>
              <w:spacing w:after="0" w:line="360" w:lineRule="auto"/>
              <w:jc w:val="both"/>
              <w:rPr>
                <w:rFonts w:ascii="Book Antiqua" w:hAnsi="Book Antiqua" w:cs="Arial"/>
                <w:sz w:val="24"/>
                <w:szCs w:val="24"/>
                <w:lang w:val="en-US"/>
              </w:rPr>
            </w:pPr>
            <w:r w:rsidRPr="00BA60F0">
              <w:rPr>
                <w:rFonts w:ascii="Book Antiqua" w:hAnsi="Book Antiqua" w:cs="Arial"/>
                <w:sz w:val="24"/>
                <w:szCs w:val="24"/>
                <w:lang w:val="en-US"/>
              </w:rPr>
              <w:t>NR</w:t>
            </w:r>
          </w:p>
        </w:tc>
        <w:tc>
          <w:tcPr>
            <w:tcW w:w="810" w:type="dxa"/>
            <w:tcBorders>
              <w:top w:val="single" w:sz="4" w:space="0" w:color="auto"/>
            </w:tcBorders>
          </w:tcPr>
          <w:p w:rsidR="008D14E6" w:rsidRPr="00BA60F0" w:rsidRDefault="008D14E6" w:rsidP="00746849">
            <w:pPr>
              <w:adjustRightInd w:val="0"/>
              <w:snapToGrid w:val="0"/>
              <w:spacing w:after="0" w:line="360" w:lineRule="auto"/>
              <w:jc w:val="both"/>
              <w:rPr>
                <w:rFonts w:ascii="Book Antiqua" w:hAnsi="Book Antiqua" w:cs="Arial"/>
                <w:sz w:val="24"/>
                <w:szCs w:val="24"/>
                <w:lang w:val="en-US"/>
              </w:rPr>
            </w:pPr>
            <w:r w:rsidRPr="00BA60F0">
              <w:rPr>
                <w:rFonts w:ascii="Book Antiqua" w:hAnsi="Book Antiqua" w:cs="Arial"/>
                <w:sz w:val="24"/>
                <w:szCs w:val="24"/>
                <w:lang w:val="en-US"/>
              </w:rPr>
              <w:t>3.7</w:t>
            </w:r>
          </w:p>
        </w:tc>
        <w:tc>
          <w:tcPr>
            <w:tcW w:w="720" w:type="dxa"/>
            <w:tcBorders>
              <w:top w:val="single" w:sz="4" w:space="0" w:color="auto"/>
            </w:tcBorders>
          </w:tcPr>
          <w:p w:rsidR="008D14E6" w:rsidRPr="00BA60F0" w:rsidRDefault="008D14E6" w:rsidP="00746849">
            <w:pPr>
              <w:adjustRightInd w:val="0"/>
              <w:snapToGrid w:val="0"/>
              <w:spacing w:after="0" w:line="360" w:lineRule="auto"/>
              <w:jc w:val="both"/>
              <w:rPr>
                <w:rFonts w:ascii="Book Antiqua" w:hAnsi="Book Antiqua" w:cs="Arial"/>
                <w:sz w:val="24"/>
                <w:szCs w:val="24"/>
                <w:lang w:val="en-US"/>
              </w:rPr>
            </w:pPr>
            <w:r w:rsidRPr="00BA60F0">
              <w:rPr>
                <w:rFonts w:ascii="Book Antiqua" w:hAnsi="Book Antiqua" w:cs="Arial"/>
                <w:sz w:val="24"/>
                <w:szCs w:val="24"/>
                <w:lang w:val="en-US"/>
              </w:rPr>
              <w:t>6.4</w:t>
            </w:r>
          </w:p>
        </w:tc>
        <w:tc>
          <w:tcPr>
            <w:tcW w:w="1639" w:type="dxa"/>
            <w:tcBorders>
              <w:top w:val="single" w:sz="4" w:space="0" w:color="auto"/>
            </w:tcBorders>
          </w:tcPr>
          <w:p w:rsidR="008D14E6" w:rsidRPr="00BA60F0" w:rsidRDefault="008D14E6" w:rsidP="00746849">
            <w:pPr>
              <w:adjustRightInd w:val="0"/>
              <w:snapToGrid w:val="0"/>
              <w:spacing w:after="0" w:line="360" w:lineRule="auto"/>
              <w:jc w:val="both"/>
              <w:rPr>
                <w:rFonts w:ascii="Book Antiqua" w:hAnsi="Book Antiqua" w:cs="Arial"/>
                <w:sz w:val="24"/>
                <w:szCs w:val="24"/>
                <w:lang w:val="en-US"/>
              </w:rPr>
            </w:pPr>
            <w:r w:rsidRPr="00BA60F0">
              <w:rPr>
                <w:rFonts w:ascii="Book Antiqua" w:hAnsi="Book Antiqua" w:cs="Arial"/>
                <w:sz w:val="24"/>
                <w:szCs w:val="24"/>
                <w:lang w:val="en-US"/>
              </w:rPr>
              <w:t>A/N/FN/I/N-E/D/As - 13/26/5/16/13/8/16</w:t>
            </w:r>
          </w:p>
        </w:tc>
        <w:tc>
          <w:tcPr>
            <w:tcW w:w="1061" w:type="dxa"/>
            <w:tcBorders>
              <w:top w:val="single" w:sz="4" w:space="0" w:color="auto"/>
            </w:tcBorders>
          </w:tcPr>
          <w:p w:rsidR="008D14E6" w:rsidRPr="00C419B4" w:rsidRDefault="008D14E6" w:rsidP="00746849">
            <w:pPr>
              <w:adjustRightInd w:val="0"/>
              <w:snapToGrid w:val="0"/>
              <w:spacing w:after="0" w:line="360" w:lineRule="auto"/>
              <w:jc w:val="both"/>
              <w:rPr>
                <w:rFonts w:ascii="Book Antiqua" w:hAnsi="Book Antiqua" w:cs="Arial"/>
                <w:bCs/>
                <w:sz w:val="24"/>
                <w:szCs w:val="24"/>
                <w:lang w:val="en-US"/>
              </w:rPr>
            </w:pPr>
            <w:r w:rsidRPr="00C419B4">
              <w:rPr>
                <w:rFonts w:ascii="Book Antiqua" w:hAnsi="Book Antiqua" w:cs="Arial"/>
                <w:bCs/>
                <w:sz w:val="24"/>
                <w:szCs w:val="24"/>
                <w:lang w:val="en-US"/>
              </w:rPr>
              <w:t>Assersohn</w:t>
            </w:r>
            <w:r w:rsidR="00EB2F98" w:rsidRPr="00C419B4">
              <w:rPr>
                <w:rFonts w:ascii="Book Antiqua" w:hAnsi="Book Antiqua" w:cs="Arial"/>
                <w:bCs/>
                <w:i/>
                <w:sz w:val="24"/>
                <w:szCs w:val="24"/>
                <w:lang w:val="en-US"/>
              </w:rPr>
              <w:t xml:space="preserve"> et al</w:t>
            </w:r>
            <w:r w:rsidR="00EB2F98" w:rsidRPr="00C419B4">
              <w:rPr>
                <w:rFonts w:ascii="Book Antiqua" w:hAnsi="Book Antiqua" w:cs="Arial"/>
                <w:bCs/>
                <w:sz w:val="24"/>
                <w:szCs w:val="24"/>
                <w:vertAlign w:val="superscript"/>
                <w:lang w:val="en-US"/>
              </w:rPr>
              <w:t>[31]</w:t>
            </w:r>
            <w:r w:rsidR="00EB2F98" w:rsidRPr="00C419B4">
              <w:rPr>
                <w:rFonts w:ascii="Book Antiqua" w:hAnsi="Book Antiqua" w:cs="Arial"/>
                <w:bCs/>
                <w:sz w:val="24"/>
                <w:szCs w:val="24"/>
                <w:lang w:val="en-US"/>
              </w:rPr>
              <w:t>, 2004</w:t>
            </w:r>
          </w:p>
        </w:tc>
      </w:tr>
      <w:tr w:rsidR="008D14E6" w:rsidRPr="00BA60F0" w:rsidTr="003D2377">
        <w:tc>
          <w:tcPr>
            <w:tcW w:w="1188" w:type="dxa"/>
          </w:tcPr>
          <w:p w:rsidR="008D14E6" w:rsidRPr="003D2377" w:rsidRDefault="008D14E6" w:rsidP="00746849">
            <w:pPr>
              <w:adjustRightInd w:val="0"/>
              <w:snapToGrid w:val="0"/>
              <w:spacing w:after="0" w:line="360" w:lineRule="auto"/>
              <w:jc w:val="both"/>
              <w:rPr>
                <w:rFonts w:ascii="Book Antiqua" w:hAnsi="Book Antiqua" w:cs="Arial"/>
                <w:bCs/>
                <w:sz w:val="24"/>
                <w:szCs w:val="24"/>
                <w:lang w:val="en-US"/>
              </w:rPr>
            </w:pPr>
            <w:r w:rsidRPr="003D2377">
              <w:rPr>
                <w:rFonts w:ascii="Book Antiqua" w:hAnsi="Book Antiqua" w:cs="Arial"/>
                <w:bCs/>
                <w:sz w:val="24"/>
                <w:szCs w:val="24"/>
                <w:lang w:val="en-US"/>
              </w:rPr>
              <w:t>Irinotecan/</w:t>
            </w:r>
            <w:r w:rsidRPr="003D2377">
              <w:rPr>
                <w:rFonts w:ascii="Book Antiqua" w:hAnsi="Book Antiqua" w:cs="Arial"/>
                <w:bCs/>
                <w:sz w:val="24"/>
                <w:szCs w:val="24"/>
                <w:lang w:val="en-US"/>
              </w:rPr>
              <w:br/>
              <w:t>FU</w:t>
            </w:r>
          </w:p>
        </w:tc>
        <w:tc>
          <w:tcPr>
            <w:tcW w:w="621" w:type="dxa"/>
          </w:tcPr>
          <w:p w:rsidR="008D14E6" w:rsidRPr="00BA60F0" w:rsidRDefault="008D14E6" w:rsidP="00746849">
            <w:pPr>
              <w:adjustRightInd w:val="0"/>
              <w:snapToGrid w:val="0"/>
              <w:spacing w:after="0" w:line="360" w:lineRule="auto"/>
              <w:jc w:val="both"/>
              <w:rPr>
                <w:rFonts w:ascii="Book Antiqua" w:hAnsi="Book Antiqua" w:cs="Arial"/>
                <w:sz w:val="24"/>
                <w:szCs w:val="24"/>
                <w:lang w:val="en-US"/>
              </w:rPr>
            </w:pPr>
            <w:r w:rsidRPr="00BA60F0">
              <w:rPr>
                <w:rFonts w:ascii="Book Antiqua" w:hAnsi="Book Antiqua" w:cs="Arial"/>
                <w:sz w:val="24"/>
                <w:szCs w:val="24"/>
                <w:lang w:val="en-US"/>
              </w:rPr>
              <w:t>64/57</w:t>
            </w:r>
          </w:p>
        </w:tc>
        <w:tc>
          <w:tcPr>
            <w:tcW w:w="1089" w:type="dxa"/>
          </w:tcPr>
          <w:p w:rsidR="008D14E6" w:rsidRPr="00BA60F0" w:rsidRDefault="008D14E6" w:rsidP="00746849">
            <w:pPr>
              <w:adjustRightInd w:val="0"/>
              <w:snapToGrid w:val="0"/>
              <w:spacing w:after="0" w:line="360" w:lineRule="auto"/>
              <w:jc w:val="both"/>
              <w:rPr>
                <w:rFonts w:ascii="Book Antiqua" w:hAnsi="Book Antiqua" w:cs="Arial"/>
                <w:sz w:val="24"/>
                <w:szCs w:val="24"/>
                <w:lang w:val="en-US"/>
              </w:rPr>
            </w:pPr>
            <w:r w:rsidRPr="00BA60F0">
              <w:rPr>
                <w:rFonts w:ascii="Book Antiqua" w:hAnsi="Book Antiqua" w:cs="Arial"/>
                <w:sz w:val="24"/>
                <w:szCs w:val="24"/>
                <w:lang w:val="en-US"/>
              </w:rPr>
              <w:t>ECOG 0/1/2 – 3/58/3</w:t>
            </w:r>
          </w:p>
        </w:tc>
        <w:tc>
          <w:tcPr>
            <w:tcW w:w="1890" w:type="dxa"/>
          </w:tcPr>
          <w:p w:rsidR="008D14E6" w:rsidRPr="00BA60F0" w:rsidRDefault="008D14E6" w:rsidP="00746849">
            <w:pPr>
              <w:adjustRightInd w:val="0"/>
              <w:snapToGrid w:val="0"/>
              <w:spacing w:after="0" w:line="360" w:lineRule="auto"/>
              <w:jc w:val="both"/>
              <w:rPr>
                <w:rFonts w:ascii="Book Antiqua" w:hAnsi="Book Antiqua" w:cs="Arial"/>
                <w:sz w:val="24"/>
                <w:szCs w:val="24"/>
                <w:lang w:val="en-US"/>
              </w:rPr>
            </w:pPr>
            <w:r w:rsidRPr="00BA60F0">
              <w:rPr>
                <w:rFonts w:ascii="Book Antiqua" w:hAnsi="Book Antiqua" w:cs="Arial"/>
                <w:sz w:val="24"/>
                <w:szCs w:val="24"/>
                <w:lang w:val="en-US"/>
              </w:rPr>
              <w:t>Iri/FU/FA - 150/100/1000 d1/d1/d1,2 over 24h q14</w:t>
            </w:r>
          </w:p>
        </w:tc>
        <w:tc>
          <w:tcPr>
            <w:tcW w:w="810" w:type="dxa"/>
          </w:tcPr>
          <w:p w:rsidR="008D14E6" w:rsidRPr="00BA60F0" w:rsidRDefault="008D14E6" w:rsidP="00746849">
            <w:pPr>
              <w:adjustRightInd w:val="0"/>
              <w:snapToGrid w:val="0"/>
              <w:spacing w:after="0" w:line="360" w:lineRule="auto"/>
              <w:jc w:val="both"/>
              <w:rPr>
                <w:rFonts w:ascii="Book Antiqua" w:hAnsi="Book Antiqua" w:cs="Arial"/>
                <w:sz w:val="24"/>
                <w:szCs w:val="24"/>
                <w:lang w:val="en-US"/>
              </w:rPr>
            </w:pPr>
            <w:r w:rsidRPr="00BA60F0">
              <w:rPr>
                <w:rFonts w:ascii="Book Antiqua" w:hAnsi="Book Antiqua" w:cs="Arial"/>
                <w:sz w:val="24"/>
                <w:szCs w:val="24"/>
                <w:lang w:val="en-US"/>
              </w:rPr>
              <w:t>21.0</w:t>
            </w:r>
          </w:p>
        </w:tc>
        <w:tc>
          <w:tcPr>
            <w:tcW w:w="697" w:type="dxa"/>
          </w:tcPr>
          <w:p w:rsidR="008D14E6" w:rsidRPr="00BA60F0" w:rsidRDefault="008D14E6" w:rsidP="00746849">
            <w:pPr>
              <w:adjustRightInd w:val="0"/>
              <w:snapToGrid w:val="0"/>
              <w:spacing w:after="0" w:line="360" w:lineRule="auto"/>
              <w:jc w:val="both"/>
              <w:rPr>
                <w:rFonts w:ascii="Book Antiqua" w:hAnsi="Book Antiqua" w:cs="Arial"/>
                <w:sz w:val="24"/>
                <w:szCs w:val="24"/>
                <w:lang w:val="en-US"/>
              </w:rPr>
            </w:pPr>
            <w:r w:rsidRPr="00BA60F0">
              <w:rPr>
                <w:rFonts w:ascii="Book Antiqua" w:hAnsi="Book Antiqua" w:cs="Arial"/>
                <w:sz w:val="24"/>
                <w:szCs w:val="24"/>
                <w:lang w:val="en-US"/>
              </w:rPr>
              <w:t>2.5</w:t>
            </w:r>
          </w:p>
        </w:tc>
        <w:tc>
          <w:tcPr>
            <w:tcW w:w="810" w:type="dxa"/>
          </w:tcPr>
          <w:p w:rsidR="008D14E6" w:rsidRPr="00BA60F0" w:rsidRDefault="008D14E6" w:rsidP="00746849">
            <w:pPr>
              <w:adjustRightInd w:val="0"/>
              <w:snapToGrid w:val="0"/>
              <w:spacing w:after="0" w:line="360" w:lineRule="auto"/>
              <w:jc w:val="both"/>
              <w:rPr>
                <w:rFonts w:ascii="Book Antiqua" w:hAnsi="Book Antiqua" w:cs="Arial"/>
                <w:sz w:val="24"/>
                <w:szCs w:val="24"/>
                <w:lang w:val="en-US"/>
              </w:rPr>
            </w:pPr>
            <w:r w:rsidRPr="00BA60F0">
              <w:rPr>
                <w:rFonts w:ascii="Book Antiqua" w:hAnsi="Book Antiqua" w:cs="Arial"/>
                <w:sz w:val="24"/>
                <w:szCs w:val="24"/>
                <w:lang w:val="en-US"/>
              </w:rPr>
              <w:t>NR</w:t>
            </w:r>
          </w:p>
        </w:tc>
        <w:tc>
          <w:tcPr>
            <w:tcW w:w="720" w:type="dxa"/>
          </w:tcPr>
          <w:p w:rsidR="008D14E6" w:rsidRPr="00BA60F0" w:rsidRDefault="008D14E6" w:rsidP="00746849">
            <w:pPr>
              <w:adjustRightInd w:val="0"/>
              <w:snapToGrid w:val="0"/>
              <w:spacing w:after="0" w:line="360" w:lineRule="auto"/>
              <w:jc w:val="both"/>
              <w:rPr>
                <w:rFonts w:ascii="Book Antiqua" w:hAnsi="Book Antiqua" w:cs="Arial"/>
                <w:sz w:val="24"/>
                <w:szCs w:val="24"/>
                <w:lang w:val="en-US"/>
              </w:rPr>
            </w:pPr>
            <w:r w:rsidRPr="00BA60F0">
              <w:rPr>
                <w:rFonts w:ascii="Book Antiqua" w:hAnsi="Book Antiqua" w:cs="Arial"/>
                <w:sz w:val="24"/>
                <w:szCs w:val="24"/>
                <w:lang w:val="en-US"/>
              </w:rPr>
              <w:t>7.6</w:t>
            </w:r>
          </w:p>
        </w:tc>
        <w:tc>
          <w:tcPr>
            <w:tcW w:w="1639" w:type="dxa"/>
          </w:tcPr>
          <w:p w:rsidR="008D14E6" w:rsidRPr="00BA60F0" w:rsidRDefault="008D14E6" w:rsidP="00746849">
            <w:pPr>
              <w:adjustRightInd w:val="0"/>
              <w:snapToGrid w:val="0"/>
              <w:spacing w:after="0" w:line="360" w:lineRule="auto"/>
              <w:jc w:val="both"/>
              <w:rPr>
                <w:rFonts w:ascii="Book Antiqua" w:hAnsi="Book Antiqua" w:cs="Arial"/>
                <w:sz w:val="24"/>
                <w:szCs w:val="24"/>
                <w:lang w:val="en-US"/>
              </w:rPr>
            </w:pPr>
            <w:r w:rsidRPr="00BA60F0">
              <w:rPr>
                <w:rFonts w:ascii="Book Antiqua" w:hAnsi="Book Antiqua" w:cs="Arial"/>
                <w:sz w:val="24"/>
                <w:szCs w:val="24"/>
                <w:lang w:val="en-US"/>
              </w:rPr>
              <w:t>N/T/D/E - 11/8/3/3</w:t>
            </w:r>
          </w:p>
        </w:tc>
        <w:tc>
          <w:tcPr>
            <w:tcW w:w="1061" w:type="dxa"/>
          </w:tcPr>
          <w:p w:rsidR="008D14E6" w:rsidRPr="00C419B4" w:rsidRDefault="008D14E6" w:rsidP="00746849">
            <w:pPr>
              <w:adjustRightInd w:val="0"/>
              <w:snapToGrid w:val="0"/>
              <w:spacing w:after="0" w:line="360" w:lineRule="auto"/>
              <w:jc w:val="both"/>
              <w:rPr>
                <w:rFonts w:ascii="Book Antiqua" w:hAnsi="Book Antiqua" w:cs="Arial"/>
                <w:bCs/>
                <w:sz w:val="24"/>
                <w:szCs w:val="24"/>
                <w:lang w:val="en-US"/>
              </w:rPr>
            </w:pPr>
            <w:r w:rsidRPr="00C419B4">
              <w:rPr>
                <w:rFonts w:ascii="Book Antiqua" w:hAnsi="Book Antiqua" w:cs="Arial"/>
                <w:bCs/>
                <w:sz w:val="24"/>
                <w:szCs w:val="24"/>
                <w:lang w:val="en-US"/>
              </w:rPr>
              <w:t>Kim</w:t>
            </w:r>
            <w:r w:rsidR="00EB2F98" w:rsidRPr="00C419B4">
              <w:rPr>
                <w:rFonts w:ascii="Book Antiqua" w:hAnsi="Book Antiqua" w:cs="Arial"/>
                <w:bCs/>
                <w:i/>
                <w:sz w:val="24"/>
                <w:szCs w:val="24"/>
                <w:lang w:val="en-US"/>
              </w:rPr>
              <w:t xml:space="preserve"> et al</w:t>
            </w:r>
            <w:r w:rsidR="00EB2F98" w:rsidRPr="00C419B4">
              <w:rPr>
                <w:rFonts w:ascii="Book Antiqua" w:hAnsi="Book Antiqua" w:cs="Arial"/>
                <w:bCs/>
                <w:sz w:val="24"/>
                <w:szCs w:val="24"/>
                <w:vertAlign w:val="superscript"/>
                <w:lang w:val="en-US"/>
              </w:rPr>
              <w:t>[32]</w:t>
            </w:r>
            <w:r w:rsidR="00EB2F98" w:rsidRPr="00C419B4">
              <w:rPr>
                <w:rFonts w:ascii="Book Antiqua" w:hAnsi="Book Antiqua" w:cs="Arial"/>
                <w:bCs/>
                <w:sz w:val="24"/>
                <w:szCs w:val="24"/>
                <w:lang w:val="en-US"/>
              </w:rPr>
              <w:t>, 2005</w:t>
            </w:r>
          </w:p>
        </w:tc>
      </w:tr>
      <w:tr w:rsidR="008D14E6" w:rsidRPr="00BA60F0" w:rsidTr="003D2377">
        <w:tc>
          <w:tcPr>
            <w:tcW w:w="1188" w:type="dxa"/>
          </w:tcPr>
          <w:p w:rsidR="008D14E6" w:rsidRPr="003D2377" w:rsidRDefault="008D14E6" w:rsidP="00746849">
            <w:pPr>
              <w:adjustRightInd w:val="0"/>
              <w:snapToGrid w:val="0"/>
              <w:spacing w:after="0" w:line="360" w:lineRule="auto"/>
              <w:jc w:val="both"/>
              <w:rPr>
                <w:rFonts w:ascii="Book Antiqua" w:hAnsi="Book Antiqua" w:cs="Arial"/>
                <w:bCs/>
                <w:sz w:val="24"/>
                <w:szCs w:val="24"/>
                <w:lang w:val="en-US"/>
              </w:rPr>
            </w:pPr>
            <w:r w:rsidRPr="003D2377">
              <w:rPr>
                <w:rFonts w:ascii="Book Antiqua" w:hAnsi="Book Antiqua" w:cs="Arial"/>
                <w:bCs/>
                <w:sz w:val="24"/>
                <w:szCs w:val="24"/>
                <w:lang w:val="en-US"/>
              </w:rPr>
              <w:t>Irinotecan/</w:t>
            </w:r>
            <w:r w:rsidRPr="003D2377">
              <w:rPr>
                <w:rFonts w:ascii="Book Antiqua" w:hAnsi="Book Antiqua" w:cs="Arial"/>
                <w:bCs/>
                <w:sz w:val="24"/>
                <w:szCs w:val="24"/>
                <w:lang w:val="en-US"/>
              </w:rPr>
              <w:br/>
              <w:t>FU</w:t>
            </w:r>
          </w:p>
        </w:tc>
        <w:tc>
          <w:tcPr>
            <w:tcW w:w="621" w:type="dxa"/>
          </w:tcPr>
          <w:p w:rsidR="008D14E6" w:rsidRPr="00BA60F0" w:rsidRDefault="008D14E6" w:rsidP="00746849">
            <w:pPr>
              <w:adjustRightInd w:val="0"/>
              <w:snapToGrid w:val="0"/>
              <w:spacing w:after="0" w:line="360" w:lineRule="auto"/>
              <w:jc w:val="both"/>
              <w:rPr>
                <w:rFonts w:ascii="Book Antiqua" w:hAnsi="Book Antiqua" w:cs="Arial"/>
                <w:sz w:val="24"/>
                <w:szCs w:val="24"/>
                <w:lang w:val="en-US"/>
              </w:rPr>
            </w:pPr>
            <w:r w:rsidRPr="00BA60F0">
              <w:rPr>
                <w:rFonts w:ascii="Book Antiqua" w:hAnsi="Book Antiqua" w:cs="Arial"/>
                <w:sz w:val="24"/>
                <w:szCs w:val="24"/>
                <w:lang w:val="en-US"/>
              </w:rPr>
              <w:t>51/48</w:t>
            </w:r>
          </w:p>
        </w:tc>
        <w:tc>
          <w:tcPr>
            <w:tcW w:w="1089" w:type="dxa"/>
          </w:tcPr>
          <w:p w:rsidR="008D14E6" w:rsidRPr="00BA60F0" w:rsidRDefault="008D14E6" w:rsidP="00746849">
            <w:pPr>
              <w:adjustRightInd w:val="0"/>
              <w:snapToGrid w:val="0"/>
              <w:spacing w:after="0" w:line="360" w:lineRule="auto"/>
              <w:jc w:val="both"/>
              <w:rPr>
                <w:rFonts w:ascii="Book Antiqua" w:hAnsi="Book Antiqua" w:cs="Arial"/>
                <w:sz w:val="24"/>
                <w:szCs w:val="24"/>
                <w:lang w:val="en-US"/>
              </w:rPr>
            </w:pPr>
            <w:r w:rsidRPr="00BA60F0">
              <w:rPr>
                <w:rFonts w:ascii="Book Antiqua" w:hAnsi="Book Antiqua" w:cs="Arial"/>
                <w:sz w:val="24"/>
                <w:szCs w:val="24"/>
                <w:lang w:val="en-US"/>
              </w:rPr>
              <w:t>ECOG 0-1/2 – 35/16</w:t>
            </w:r>
          </w:p>
        </w:tc>
        <w:tc>
          <w:tcPr>
            <w:tcW w:w="1890" w:type="dxa"/>
          </w:tcPr>
          <w:p w:rsidR="008D14E6" w:rsidRPr="00BA60F0" w:rsidRDefault="008D14E6" w:rsidP="00746849">
            <w:pPr>
              <w:adjustRightInd w:val="0"/>
              <w:snapToGrid w:val="0"/>
              <w:spacing w:after="0" w:line="360" w:lineRule="auto"/>
              <w:jc w:val="both"/>
              <w:rPr>
                <w:rFonts w:ascii="Book Antiqua" w:hAnsi="Book Antiqua" w:cs="Arial"/>
                <w:sz w:val="24"/>
                <w:szCs w:val="24"/>
                <w:lang w:val="en-US"/>
              </w:rPr>
            </w:pPr>
            <w:r w:rsidRPr="00BA60F0">
              <w:rPr>
                <w:rFonts w:ascii="Book Antiqua" w:hAnsi="Book Antiqua" w:cs="Arial"/>
                <w:sz w:val="24"/>
                <w:szCs w:val="24"/>
                <w:lang w:val="en-US"/>
              </w:rPr>
              <w:t>Iri/FA/FU - 180/200/400 bolus + 600 inf over 22h d1/d1/d1 q14</w:t>
            </w:r>
          </w:p>
        </w:tc>
        <w:tc>
          <w:tcPr>
            <w:tcW w:w="810" w:type="dxa"/>
          </w:tcPr>
          <w:p w:rsidR="008D14E6" w:rsidRPr="00BA60F0" w:rsidRDefault="008D14E6" w:rsidP="00746849">
            <w:pPr>
              <w:adjustRightInd w:val="0"/>
              <w:snapToGrid w:val="0"/>
              <w:spacing w:after="0" w:line="360" w:lineRule="auto"/>
              <w:jc w:val="both"/>
              <w:rPr>
                <w:rFonts w:ascii="Book Antiqua" w:hAnsi="Book Antiqua" w:cs="Arial"/>
                <w:sz w:val="24"/>
                <w:szCs w:val="24"/>
                <w:lang w:val="en-US"/>
              </w:rPr>
            </w:pPr>
            <w:r w:rsidRPr="00BA60F0">
              <w:rPr>
                <w:rFonts w:ascii="Book Antiqua" w:hAnsi="Book Antiqua" w:cs="Arial"/>
                <w:sz w:val="24"/>
                <w:szCs w:val="24"/>
                <w:lang w:val="en-US"/>
              </w:rPr>
              <w:t>18.0</w:t>
            </w:r>
          </w:p>
        </w:tc>
        <w:tc>
          <w:tcPr>
            <w:tcW w:w="697" w:type="dxa"/>
          </w:tcPr>
          <w:p w:rsidR="008D14E6" w:rsidRPr="00BA60F0" w:rsidRDefault="008D14E6" w:rsidP="00746849">
            <w:pPr>
              <w:adjustRightInd w:val="0"/>
              <w:snapToGrid w:val="0"/>
              <w:spacing w:after="0" w:line="360" w:lineRule="auto"/>
              <w:jc w:val="both"/>
              <w:rPr>
                <w:rFonts w:ascii="Book Antiqua" w:hAnsi="Book Antiqua" w:cs="Arial"/>
                <w:sz w:val="24"/>
                <w:szCs w:val="24"/>
                <w:lang w:val="en-US"/>
              </w:rPr>
            </w:pPr>
            <w:r w:rsidRPr="00BA60F0">
              <w:rPr>
                <w:rFonts w:ascii="Book Antiqua" w:hAnsi="Book Antiqua" w:cs="Arial"/>
                <w:sz w:val="24"/>
                <w:szCs w:val="24"/>
                <w:lang w:val="en-US"/>
              </w:rPr>
              <w:t>NR</w:t>
            </w:r>
          </w:p>
        </w:tc>
        <w:tc>
          <w:tcPr>
            <w:tcW w:w="810" w:type="dxa"/>
          </w:tcPr>
          <w:p w:rsidR="008D14E6" w:rsidRPr="00BA60F0" w:rsidRDefault="008D14E6" w:rsidP="00746849">
            <w:pPr>
              <w:adjustRightInd w:val="0"/>
              <w:snapToGrid w:val="0"/>
              <w:spacing w:after="0" w:line="360" w:lineRule="auto"/>
              <w:jc w:val="both"/>
              <w:rPr>
                <w:rFonts w:ascii="Book Antiqua" w:hAnsi="Book Antiqua" w:cs="Arial"/>
                <w:sz w:val="24"/>
                <w:szCs w:val="24"/>
                <w:lang w:val="en-US"/>
              </w:rPr>
            </w:pPr>
            <w:r w:rsidRPr="00BA60F0">
              <w:rPr>
                <w:rFonts w:ascii="Book Antiqua" w:hAnsi="Book Antiqua" w:cs="Arial"/>
                <w:sz w:val="24"/>
                <w:szCs w:val="24"/>
                <w:lang w:val="en-US"/>
              </w:rPr>
              <w:t>3.2</w:t>
            </w:r>
          </w:p>
        </w:tc>
        <w:tc>
          <w:tcPr>
            <w:tcW w:w="720" w:type="dxa"/>
          </w:tcPr>
          <w:p w:rsidR="008D14E6" w:rsidRPr="00BA60F0" w:rsidRDefault="008D14E6" w:rsidP="00746849">
            <w:pPr>
              <w:adjustRightInd w:val="0"/>
              <w:snapToGrid w:val="0"/>
              <w:spacing w:after="0" w:line="360" w:lineRule="auto"/>
              <w:jc w:val="both"/>
              <w:rPr>
                <w:rFonts w:ascii="Book Antiqua" w:hAnsi="Book Antiqua" w:cs="Arial"/>
                <w:sz w:val="24"/>
                <w:szCs w:val="24"/>
                <w:lang w:val="en-US"/>
              </w:rPr>
            </w:pPr>
            <w:r w:rsidRPr="00BA60F0">
              <w:rPr>
                <w:rFonts w:ascii="Book Antiqua" w:hAnsi="Book Antiqua" w:cs="Arial"/>
                <w:sz w:val="24"/>
                <w:szCs w:val="24"/>
                <w:lang w:val="en-US"/>
              </w:rPr>
              <w:t>9.1</w:t>
            </w:r>
          </w:p>
        </w:tc>
        <w:tc>
          <w:tcPr>
            <w:tcW w:w="1639" w:type="dxa"/>
          </w:tcPr>
          <w:p w:rsidR="008D14E6" w:rsidRPr="00BA60F0" w:rsidRDefault="008D14E6" w:rsidP="00746849">
            <w:pPr>
              <w:adjustRightInd w:val="0"/>
              <w:snapToGrid w:val="0"/>
              <w:spacing w:after="0" w:line="360" w:lineRule="auto"/>
              <w:jc w:val="both"/>
              <w:rPr>
                <w:rFonts w:ascii="Book Antiqua" w:hAnsi="Book Antiqua" w:cs="Arial"/>
                <w:sz w:val="24"/>
                <w:szCs w:val="24"/>
                <w:lang w:val="en-US"/>
              </w:rPr>
            </w:pPr>
            <w:r w:rsidRPr="00BA60F0">
              <w:rPr>
                <w:rFonts w:ascii="Book Antiqua" w:hAnsi="Book Antiqua" w:cs="Arial"/>
                <w:sz w:val="24"/>
                <w:szCs w:val="24"/>
                <w:lang w:val="en-US"/>
              </w:rPr>
              <w:t>A/N/FN/D/Nau/E - 14/17/1/6/6/4</w:t>
            </w:r>
          </w:p>
        </w:tc>
        <w:tc>
          <w:tcPr>
            <w:tcW w:w="1061" w:type="dxa"/>
          </w:tcPr>
          <w:p w:rsidR="008D14E6" w:rsidRPr="00C419B4" w:rsidRDefault="008D14E6" w:rsidP="00746849">
            <w:pPr>
              <w:adjustRightInd w:val="0"/>
              <w:snapToGrid w:val="0"/>
              <w:spacing w:after="0" w:line="360" w:lineRule="auto"/>
              <w:jc w:val="both"/>
              <w:rPr>
                <w:rFonts w:ascii="Book Antiqua" w:hAnsi="Book Antiqua" w:cs="Arial"/>
                <w:bCs/>
                <w:sz w:val="24"/>
                <w:szCs w:val="24"/>
                <w:lang w:val="en-US"/>
              </w:rPr>
            </w:pPr>
            <w:r w:rsidRPr="00C419B4">
              <w:rPr>
                <w:rFonts w:ascii="Book Antiqua" w:hAnsi="Book Antiqua" w:cs="Arial"/>
                <w:bCs/>
                <w:sz w:val="24"/>
                <w:szCs w:val="24"/>
                <w:lang w:val="en-US"/>
              </w:rPr>
              <w:t>Seo</w:t>
            </w:r>
            <w:r w:rsidR="00C419B4" w:rsidRPr="00C419B4">
              <w:rPr>
                <w:rFonts w:ascii="Book Antiqua" w:hAnsi="Book Antiqua" w:cs="Arial" w:hint="eastAsia"/>
                <w:bCs/>
                <w:sz w:val="24"/>
                <w:szCs w:val="24"/>
                <w:vertAlign w:val="superscript"/>
                <w:lang w:val="en-US" w:eastAsia="zh-CN"/>
              </w:rPr>
              <w:t>1</w:t>
            </w:r>
            <w:r w:rsidR="00EB2F98" w:rsidRPr="00C419B4">
              <w:rPr>
                <w:rFonts w:ascii="Book Antiqua" w:hAnsi="Book Antiqua" w:cs="Arial"/>
                <w:bCs/>
                <w:i/>
                <w:sz w:val="24"/>
                <w:szCs w:val="24"/>
                <w:lang w:val="en-US"/>
              </w:rPr>
              <w:t xml:space="preserve"> et al</w:t>
            </w:r>
            <w:r w:rsidR="00EB2F98" w:rsidRPr="00C419B4">
              <w:rPr>
                <w:rFonts w:ascii="Book Antiqua" w:hAnsi="Book Antiqua" w:cs="Arial"/>
                <w:bCs/>
                <w:sz w:val="24"/>
                <w:szCs w:val="24"/>
                <w:vertAlign w:val="superscript"/>
                <w:lang w:val="en-US"/>
              </w:rPr>
              <w:t>[33]</w:t>
            </w:r>
            <w:r w:rsidR="00EB2F98" w:rsidRPr="00C419B4">
              <w:rPr>
                <w:rFonts w:ascii="Book Antiqua" w:hAnsi="Book Antiqua" w:cs="Arial"/>
                <w:bCs/>
                <w:sz w:val="24"/>
                <w:szCs w:val="24"/>
                <w:lang w:val="en-US"/>
              </w:rPr>
              <w:t>, 2008</w:t>
            </w:r>
          </w:p>
        </w:tc>
      </w:tr>
      <w:tr w:rsidR="008D14E6" w:rsidRPr="00BA60F0" w:rsidTr="003D2377">
        <w:tc>
          <w:tcPr>
            <w:tcW w:w="1188" w:type="dxa"/>
          </w:tcPr>
          <w:p w:rsidR="008D14E6" w:rsidRPr="003D2377" w:rsidRDefault="008D14E6" w:rsidP="00746849">
            <w:pPr>
              <w:adjustRightInd w:val="0"/>
              <w:snapToGrid w:val="0"/>
              <w:spacing w:after="0" w:line="360" w:lineRule="auto"/>
              <w:jc w:val="both"/>
              <w:rPr>
                <w:rFonts w:ascii="Book Antiqua" w:hAnsi="Book Antiqua" w:cs="Arial"/>
                <w:bCs/>
                <w:sz w:val="24"/>
                <w:szCs w:val="24"/>
                <w:lang w:val="en-US"/>
              </w:rPr>
            </w:pPr>
            <w:r w:rsidRPr="003D2377">
              <w:rPr>
                <w:rFonts w:ascii="Book Antiqua" w:hAnsi="Book Antiqua" w:cs="Arial"/>
                <w:bCs/>
                <w:sz w:val="24"/>
                <w:szCs w:val="24"/>
                <w:lang w:val="en-US"/>
              </w:rPr>
              <w:t>Irinotecan/</w:t>
            </w:r>
            <w:r w:rsidRPr="003D2377">
              <w:rPr>
                <w:rFonts w:ascii="Book Antiqua" w:hAnsi="Book Antiqua" w:cs="Arial"/>
                <w:bCs/>
                <w:sz w:val="24"/>
                <w:szCs w:val="24"/>
                <w:lang w:val="en-US"/>
              </w:rPr>
              <w:br/>
              <w:t>Cisplatin</w:t>
            </w:r>
          </w:p>
        </w:tc>
        <w:tc>
          <w:tcPr>
            <w:tcW w:w="621" w:type="dxa"/>
          </w:tcPr>
          <w:p w:rsidR="008D14E6" w:rsidRPr="00BA60F0" w:rsidRDefault="008D14E6" w:rsidP="00746849">
            <w:pPr>
              <w:adjustRightInd w:val="0"/>
              <w:snapToGrid w:val="0"/>
              <w:spacing w:after="0" w:line="360" w:lineRule="auto"/>
              <w:jc w:val="both"/>
              <w:rPr>
                <w:rFonts w:ascii="Book Antiqua" w:hAnsi="Book Antiqua" w:cs="Arial"/>
                <w:sz w:val="24"/>
                <w:szCs w:val="24"/>
                <w:lang w:val="en-US"/>
              </w:rPr>
            </w:pPr>
            <w:r w:rsidRPr="00BA60F0">
              <w:rPr>
                <w:rFonts w:ascii="Book Antiqua" w:hAnsi="Book Antiqua" w:cs="Arial"/>
                <w:sz w:val="24"/>
                <w:szCs w:val="24"/>
                <w:lang w:val="en-US"/>
              </w:rPr>
              <w:t>32/31</w:t>
            </w:r>
          </w:p>
        </w:tc>
        <w:tc>
          <w:tcPr>
            <w:tcW w:w="1089" w:type="dxa"/>
          </w:tcPr>
          <w:p w:rsidR="008D14E6" w:rsidRPr="00BA60F0" w:rsidRDefault="008D14E6" w:rsidP="00746849">
            <w:pPr>
              <w:adjustRightInd w:val="0"/>
              <w:snapToGrid w:val="0"/>
              <w:spacing w:after="0" w:line="360" w:lineRule="auto"/>
              <w:jc w:val="both"/>
              <w:rPr>
                <w:rFonts w:ascii="Book Antiqua" w:hAnsi="Book Antiqua" w:cs="Arial"/>
                <w:sz w:val="24"/>
                <w:szCs w:val="24"/>
                <w:lang w:val="en-US"/>
              </w:rPr>
            </w:pPr>
            <w:r w:rsidRPr="00BA60F0">
              <w:rPr>
                <w:rFonts w:ascii="Book Antiqua" w:hAnsi="Book Antiqua" w:cs="Arial"/>
                <w:sz w:val="24"/>
                <w:szCs w:val="24"/>
                <w:lang w:val="en-US"/>
              </w:rPr>
              <w:t>ECOG 0/1/2 – 1/22/9</w:t>
            </w:r>
          </w:p>
        </w:tc>
        <w:tc>
          <w:tcPr>
            <w:tcW w:w="1890" w:type="dxa"/>
          </w:tcPr>
          <w:p w:rsidR="008D14E6" w:rsidRPr="00BA60F0" w:rsidRDefault="008D14E6" w:rsidP="00746849">
            <w:pPr>
              <w:adjustRightInd w:val="0"/>
              <w:snapToGrid w:val="0"/>
              <w:spacing w:after="0" w:line="360" w:lineRule="auto"/>
              <w:jc w:val="both"/>
              <w:rPr>
                <w:rFonts w:ascii="Book Antiqua" w:hAnsi="Book Antiqua" w:cs="Arial"/>
                <w:sz w:val="24"/>
                <w:szCs w:val="24"/>
                <w:lang w:val="en-US"/>
              </w:rPr>
            </w:pPr>
            <w:r w:rsidRPr="00BA60F0">
              <w:rPr>
                <w:rFonts w:ascii="Book Antiqua" w:hAnsi="Book Antiqua" w:cs="Arial"/>
                <w:sz w:val="24"/>
                <w:szCs w:val="24"/>
                <w:lang w:val="en-US"/>
              </w:rPr>
              <w:t>Iri/P - 70/30 d1,15/d1,15 q28</w:t>
            </w:r>
          </w:p>
        </w:tc>
        <w:tc>
          <w:tcPr>
            <w:tcW w:w="810" w:type="dxa"/>
          </w:tcPr>
          <w:p w:rsidR="008D14E6" w:rsidRPr="00BA60F0" w:rsidRDefault="008D14E6" w:rsidP="00746849">
            <w:pPr>
              <w:adjustRightInd w:val="0"/>
              <w:snapToGrid w:val="0"/>
              <w:spacing w:after="0" w:line="360" w:lineRule="auto"/>
              <w:jc w:val="both"/>
              <w:rPr>
                <w:rFonts w:ascii="Book Antiqua" w:hAnsi="Book Antiqua" w:cs="Arial"/>
                <w:sz w:val="24"/>
                <w:szCs w:val="24"/>
                <w:lang w:val="en-US"/>
              </w:rPr>
            </w:pPr>
            <w:r w:rsidRPr="00BA60F0">
              <w:rPr>
                <w:rFonts w:ascii="Book Antiqua" w:hAnsi="Book Antiqua" w:cs="Arial"/>
                <w:sz w:val="24"/>
                <w:szCs w:val="24"/>
                <w:lang w:val="en-US"/>
              </w:rPr>
              <w:t>15.6</w:t>
            </w:r>
          </w:p>
        </w:tc>
        <w:tc>
          <w:tcPr>
            <w:tcW w:w="697" w:type="dxa"/>
          </w:tcPr>
          <w:p w:rsidR="008D14E6" w:rsidRPr="00BA60F0" w:rsidRDefault="008D14E6" w:rsidP="00746849">
            <w:pPr>
              <w:adjustRightInd w:val="0"/>
              <w:snapToGrid w:val="0"/>
              <w:spacing w:after="0" w:line="360" w:lineRule="auto"/>
              <w:jc w:val="both"/>
              <w:rPr>
                <w:rFonts w:ascii="Book Antiqua" w:hAnsi="Book Antiqua" w:cs="Arial"/>
                <w:sz w:val="24"/>
                <w:szCs w:val="24"/>
                <w:lang w:val="en-US"/>
              </w:rPr>
            </w:pPr>
            <w:r w:rsidRPr="00BA60F0">
              <w:rPr>
                <w:rFonts w:ascii="Book Antiqua" w:hAnsi="Book Antiqua" w:cs="Arial"/>
                <w:sz w:val="24"/>
                <w:szCs w:val="24"/>
                <w:lang w:val="en-US"/>
              </w:rPr>
              <w:t>3.7</w:t>
            </w:r>
          </w:p>
        </w:tc>
        <w:tc>
          <w:tcPr>
            <w:tcW w:w="810" w:type="dxa"/>
          </w:tcPr>
          <w:p w:rsidR="008D14E6" w:rsidRPr="00BA60F0" w:rsidRDefault="008D14E6" w:rsidP="00746849">
            <w:pPr>
              <w:adjustRightInd w:val="0"/>
              <w:snapToGrid w:val="0"/>
              <w:spacing w:after="0" w:line="360" w:lineRule="auto"/>
              <w:jc w:val="both"/>
              <w:rPr>
                <w:rFonts w:ascii="Book Antiqua" w:hAnsi="Book Antiqua" w:cs="Arial"/>
                <w:sz w:val="24"/>
                <w:szCs w:val="24"/>
                <w:lang w:val="en-US"/>
              </w:rPr>
            </w:pPr>
            <w:r w:rsidRPr="00BA60F0">
              <w:rPr>
                <w:rFonts w:ascii="Book Antiqua" w:hAnsi="Book Antiqua" w:cs="Arial"/>
                <w:sz w:val="24"/>
                <w:szCs w:val="24"/>
                <w:lang w:val="en-US"/>
              </w:rPr>
              <w:t>NR</w:t>
            </w:r>
          </w:p>
        </w:tc>
        <w:tc>
          <w:tcPr>
            <w:tcW w:w="720" w:type="dxa"/>
          </w:tcPr>
          <w:p w:rsidR="008D14E6" w:rsidRPr="00BA60F0" w:rsidRDefault="008D14E6" w:rsidP="00746849">
            <w:pPr>
              <w:adjustRightInd w:val="0"/>
              <w:snapToGrid w:val="0"/>
              <w:spacing w:after="0" w:line="360" w:lineRule="auto"/>
              <w:jc w:val="both"/>
              <w:rPr>
                <w:rFonts w:ascii="Book Antiqua" w:hAnsi="Book Antiqua" w:cs="Arial"/>
                <w:sz w:val="24"/>
                <w:szCs w:val="24"/>
                <w:lang w:val="en-US"/>
              </w:rPr>
            </w:pPr>
            <w:r w:rsidRPr="00BA60F0">
              <w:rPr>
                <w:rFonts w:ascii="Book Antiqua" w:hAnsi="Book Antiqua" w:cs="Arial"/>
                <w:sz w:val="24"/>
                <w:szCs w:val="24"/>
                <w:lang w:val="en-US"/>
              </w:rPr>
              <w:t>6.1</w:t>
            </w:r>
          </w:p>
        </w:tc>
        <w:tc>
          <w:tcPr>
            <w:tcW w:w="1639" w:type="dxa"/>
          </w:tcPr>
          <w:p w:rsidR="008D14E6" w:rsidRPr="00BA60F0" w:rsidRDefault="008D14E6" w:rsidP="00746849">
            <w:pPr>
              <w:adjustRightInd w:val="0"/>
              <w:snapToGrid w:val="0"/>
              <w:spacing w:after="0" w:line="360" w:lineRule="auto"/>
              <w:jc w:val="both"/>
              <w:rPr>
                <w:rFonts w:ascii="Book Antiqua" w:hAnsi="Book Antiqua" w:cs="Arial"/>
                <w:sz w:val="24"/>
                <w:szCs w:val="24"/>
                <w:lang w:val="en-US"/>
              </w:rPr>
            </w:pPr>
            <w:r w:rsidRPr="00BA60F0">
              <w:rPr>
                <w:rFonts w:ascii="Book Antiqua" w:hAnsi="Book Antiqua" w:cs="Arial"/>
                <w:sz w:val="24"/>
                <w:szCs w:val="24"/>
                <w:lang w:val="en-US"/>
              </w:rPr>
              <w:t>A/N/T/E/D/M/Ano - 2.6/6/4.3/1.7/1.7/3.4/5.2</w:t>
            </w:r>
          </w:p>
        </w:tc>
        <w:tc>
          <w:tcPr>
            <w:tcW w:w="1061" w:type="dxa"/>
          </w:tcPr>
          <w:p w:rsidR="008D14E6" w:rsidRPr="00C419B4" w:rsidRDefault="00EB2F98" w:rsidP="00746849">
            <w:pPr>
              <w:adjustRightInd w:val="0"/>
              <w:snapToGrid w:val="0"/>
              <w:spacing w:after="0" w:line="360" w:lineRule="auto"/>
              <w:jc w:val="both"/>
              <w:rPr>
                <w:rFonts w:ascii="Book Antiqua" w:hAnsi="Book Antiqua" w:cs="Arial"/>
                <w:bCs/>
                <w:sz w:val="24"/>
                <w:szCs w:val="24"/>
                <w:lang w:val="en-US"/>
              </w:rPr>
            </w:pPr>
            <w:r w:rsidRPr="00C419B4">
              <w:rPr>
                <w:rFonts w:ascii="Book Antiqua" w:hAnsi="Book Antiqua" w:cs="Arial"/>
                <w:bCs/>
                <w:sz w:val="24"/>
                <w:szCs w:val="24"/>
                <w:lang w:val="en-US"/>
              </w:rPr>
              <w:t>Baek</w:t>
            </w:r>
            <w:r w:rsidRPr="00C419B4">
              <w:rPr>
                <w:rFonts w:ascii="Book Antiqua" w:hAnsi="Book Antiqua" w:cs="Arial"/>
                <w:bCs/>
                <w:i/>
                <w:sz w:val="24"/>
                <w:szCs w:val="24"/>
                <w:lang w:val="en-US"/>
              </w:rPr>
              <w:t xml:space="preserve"> et al</w:t>
            </w:r>
            <w:r w:rsidRPr="00C419B4">
              <w:rPr>
                <w:rFonts w:ascii="Book Antiqua" w:hAnsi="Book Antiqua" w:cs="Arial"/>
                <w:bCs/>
                <w:sz w:val="24"/>
                <w:szCs w:val="24"/>
                <w:vertAlign w:val="superscript"/>
                <w:lang w:val="en-US"/>
              </w:rPr>
              <w:t>[34]</w:t>
            </w:r>
            <w:r w:rsidRPr="00C419B4">
              <w:rPr>
                <w:rFonts w:ascii="Book Antiqua" w:hAnsi="Book Antiqua" w:cs="Arial"/>
                <w:bCs/>
                <w:sz w:val="24"/>
                <w:szCs w:val="24"/>
                <w:lang w:val="en-US"/>
              </w:rPr>
              <w:t>, 2005</w:t>
            </w:r>
          </w:p>
        </w:tc>
      </w:tr>
      <w:tr w:rsidR="008D14E6" w:rsidRPr="00BA60F0" w:rsidTr="003D2377">
        <w:tc>
          <w:tcPr>
            <w:tcW w:w="1188" w:type="dxa"/>
          </w:tcPr>
          <w:p w:rsidR="008D14E6" w:rsidRPr="003D2377" w:rsidRDefault="008D14E6" w:rsidP="00746849">
            <w:pPr>
              <w:adjustRightInd w:val="0"/>
              <w:snapToGrid w:val="0"/>
              <w:spacing w:after="0" w:line="360" w:lineRule="auto"/>
              <w:jc w:val="both"/>
              <w:rPr>
                <w:rFonts w:ascii="Book Antiqua" w:hAnsi="Book Antiqua" w:cs="Arial"/>
                <w:bCs/>
                <w:sz w:val="24"/>
                <w:szCs w:val="24"/>
                <w:lang w:val="en-US"/>
              </w:rPr>
            </w:pPr>
            <w:r w:rsidRPr="003D2377">
              <w:rPr>
                <w:rFonts w:ascii="Book Antiqua" w:hAnsi="Book Antiqua" w:cs="Arial"/>
                <w:bCs/>
                <w:sz w:val="24"/>
                <w:szCs w:val="24"/>
                <w:lang w:val="en-US"/>
              </w:rPr>
              <w:t>Irinotecan/</w:t>
            </w:r>
            <w:r w:rsidRPr="003D2377">
              <w:rPr>
                <w:rFonts w:ascii="Book Antiqua" w:hAnsi="Book Antiqua" w:cs="Arial"/>
                <w:bCs/>
                <w:sz w:val="24"/>
                <w:szCs w:val="24"/>
                <w:lang w:val="en-US"/>
              </w:rPr>
              <w:br/>
              <w:t>Cisplatin</w:t>
            </w:r>
          </w:p>
        </w:tc>
        <w:tc>
          <w:tcPr>
            <w:tcW w:w="621" w:type="dxa"/>
          </w:tcPr>
          <w:p w:rsidR="008D14E6" w:rsidRPr="00BA60F0" w:rsidRDefault="008D14E6" w:rsidP="00746849">
            <w:pPr>
              <w:adjustRightInd w:val="0"/>
              <w:snapToGrid w:val="0"/>
              <w:spacing w:after="0" w:line="360" w:lineRule="auto"/>
              <w:jc w:val="both"/>
              <w:rPr>
                <w:rFonts w:ascii="Book Antiqua" w:hAnsi="Book Antiqua" w:cs="Arial"/>
                <w:sz w:val="24"/>
                <w:szCs w:val="24"/>
                <w:lang w:val="en-US"/>
              </w:rPr>
            </w:pPr>
            <w:r w:rsidRPr="00BA60F0">
              <w:rPr>
                <w:rFonts w:ascii="Book Antiqua" w:hAnsi="Book Antiqua" w:cs="Arial"/>
                <w:sz w:val="24"/>
                <w:szCs w:val="24"/>
                <w:lang w:val="en-US"/>
              </w:rPr>
              <w:t>87/70</w:t>
            </w:r>
          </w:p>
        </w:tc>
        <w:tc>
          <w:tcPr>
            <w:tcW w:w="1089" w:type="dxa"/>
          </w:tcPr>
          <w:p w:rsidR="008D14E6" w:rsidRPr="00BA60F0" w:rsidRDefault="008D14E6" w:rsidP="00746849">
            <w:pPr>
              <w:adjustRightInd w:val="0"/>
              <w:snapToGrid w:val="0"/>
              <w:spacing w:after="0" w:line="360" w:lineRule="auto"/>
              <w:jc w:val="both"/>
              <w:rPr>
                <w:rFonts w:ascii="Book Antiqua" w:hAnsi="Book Antiqua" w:cs="Arial"/>
                <w:sz w:val="24"/>
                <w:szCs w:val="24"/>
                <w:lang w:val="en-US"/>
              </w:rPr>
            </w:pPr>
            <w:r w:rsidRPr="00BA60F0">
              <w:rPr>
                <w:rFonts w:ascii="Book Antiqua" w:hAnsi="Book Antiqua" w:cs="Arial"/>
                <w:sz w:val="24"/>
                <w:szCs w:val="24"/>
                <w:lang w:val="en-US"/>
              </w:rPr>
              <w:t>ECOG 0/1/2 - 29/53/5</w:t>
            </w:r>
          </w:p>
        </w:tc>
        <w:tc>
          <w:tcPr>
            <w:tcW w:w="1890" w:type="dxa"/>
          </w:tcPr>
          <w:p w:rsidR="008D14E6" w:rsidRPr="00BA60F0" w:rsidRDefault="008D14E6" w:rsidP="00746849">
            <w:pPr>
              <w:adjustRightInd w:val="0"/>
              <w:snapToGrid w:val="0"/>
              <w:spacing w:after="0" w:line="360" w:lineRule="auto"/>
              <w:jc w:val="both"/>
              <w:rPr>
                <w:rFonts w:ascii="Book Antiqua" w:hAnsi="Book Antiqua" w:cs="Arial"/>
                <w:sz w:val="24"/>
                <w:szCs w:val="24"/>
                <w:lang w:val="en-US"/>
              </w:rPr>
            </w:pPr>
            <w:r w:rsidRPr="00BA60F0">
              <w:rPr>
                <w:rFonts w:ascii="Book Antiqua" w:hAnsi="Book Antiqua" w:cs="Arial"/>
                <w:sz w:val="24"/>
                <w:szCs w:val="24"/>
                <w:lang w:val="en-US"/>
              </w:rPr>
              <w:t>Iri/P - 70/80 d1,15/d1 q28</w:t>
            </w:r>
          </w:p>
        </w:tc>
        <w:tc>
          <w:tcPr>
            <w:tcW w:w="810" w:type="dxa"/>
          </w:tcPr>
          <w:p w:rsidR="008D14E6" w:rsidRPr="00BA60F0" w:rsidRDefault="008D14E6" w:rsidP="00746849">
            <w:pPr>
              <w:adjustRightInd w:val="0"/>
              <w:snapToGrid w:val="0"/>
              <w:spacing w:after="0" w:line="360" w:lineRule="auto"/>
              <w:jc w:val="both"/>
              <w:rPr>
                <w:rFonts w:ascii="Book Antiqua" w:hAnsi="Book Antiqua" w:cs="Arial"/>
                <w:sz w:val="24"/>
                <w:szCs w:val="24"/>
                <w:lang w:val="en-US"/>
              </w:rPr>
            </w:pPr>
            <w:r w:rsidRPr="00BA60F0">
              <w:rPr>
                <w:rFonts w:ascii="Book Antiqua" w:hAnsi="Book Antiqua" w:cs="Arial"/>
                <w:sz w:val="24"/>
                <w:szCs w:val="24"/>
                <w:lang w:val="en-US"/>
              </w:rPr>
              <w:t>28.6</w:t>
            </w:r>
          </w:p>
        </w:tc>
        <w:tc>
          <w:tcPr>
            <w:tcW w:w="697" w:type="dxa"/>
          </w:tcPr>
          <w:p w:rsidR="008D14E6" w:rsidRPr="00BA60F0" w:rsidRDefault="008D14E6" w:rsidP="00746849">
            <w:pPr>
              <w:adjustRightInd w:val="0"/>
              <w:snapToGrid w:val="0"/>
              <w:spacing w:after="0" w:line="360" w:lineRule="auto"/>
              <w:jc w:val="both"/>
              <w:rPr>
                <w:rFonts w:ascii="Book Antiqua" w:hAnsi="Book Antiqua" w:cs="Arial"/>
                <w:sz w:val="24"/>
                <w:szCs w:val="24"/>
                <w:lang w:val="en-US"/>
              </w:rPr>
            </w:pPr>
            <w:r w:rsidRPr="00BA60F0">
              <w:rPr>
                <w:rFonts w:ascii="Book Antiqua" w:hAnsi="Book Antiqua" w:cs="Arial"/>
                <w:sz w:val="24"/>
                <w:szCs w:val="24"/>
                <w:lang w:val="en-US"/>
              </w:rPr>
              <w:t>4.3</w:t>
            </w:r>
          </w:p>
        </w:tc>
        <w:tc>
          <w:tcPr>
            <w:tcW w:w="810" w:type="dxa"/>
          </w:tcPr>
          <w:p w:rsidR="008D14E6" w:rsidRPr="00BA60F0" w:rsidRDefault="008D14E6" w:rsidP="00746849">
            <w:pPr>
              <w:adjustRightInd w:val="0"/>
              <w:snapToGrid w:val="0"/>
              <w:spacing w:after="0" w:line="360" w:lineRule="auto"/>
              <w:jc w:val="both"/>
              <w:rPr>
                <w:rFonts w:ascii="Book Antiqua" w:hAnsi="Book Antiqua" w:cs="Arial"/>
                <w:sz w:val="24"/>
                <w:szCs w:val="24"/>
                <w:lang w:val="en-US"/>
              </w:rPr>
            </w:pPr>
            <w:r w:rsidRPr="00BA60F0">
              <w:rPr>
                <w:rFonts w:ascii="Book Antiqua" w:hAnsi="Book Antiqua" w:cs="Arial"/>
                <w:sz w:val="24"/>
                <w:szCs w:val="24"/>
                <w:lang w:val="en-US"/>
              </w:rPr>
              <w:t>NR</w:t>
            </w:r>
          </w:p>
        </w:tc>
        <w:tc>
          <w:tcPr>
            <w:tcW w:w="720" w:type="dxa"/>
          </w:tcPr>
          <w:p w:rsidR="008D14E6" w:rsidRPr="00BA60F0" w:rsidRDefault="008D14E6" w:rsidP="00746849">
            <w:pPr>
              <w:adjustRightInd w:val="0"/>
              <w:snapToGrid w:val="0"/>
              <w:spacing w:after="0" w:line="360" w:lineRule="auto"/>
              <w:jc w:val="both"/>
              <w:rPr>
                <w:rFonts w:ascii="Book Antiqua" w:hAnsi="Book Antiqua" w:cs="Arial"/>
                <w:sz w:val="24"/>
                <w:szCs w:val="24"/>
                <w:lang w:val="en-US"/>
              </w:rPr>
            </w:pPr>
            <w:r w:rsidRPr="00BA60F0">
              <w:rPr>
                <w:rFonts w:ascii="Book Antiqua" w:hAnsi="Book Antiqua" w:cs="Arial"/>
                <w:sz w:val="24"/>
                <w:szCs w:val="24"/>
                <w:lang w:val="en-US"/>
              </w:rPr>
              <w:t>9.5</w:t>
            </w:r>
          </w:p>
        </w:tc>
        <w:tc>
          <w:tcPr>
            <w:tcW w:w="1639" w:type="dxa"/>
          </w:tcPr>
          <w:p w:rsidR="008D14E6" w:rsidRPr="00BA60F0" w:rsidRDefault="008D14E6" w:rsidP="00746849">
            <w:pPr>
              <w:adjustRightInd w:val="0"/>
              <w:snapToGrid w:val="0"/>
              <w:spacing w:after="0" w:line="360" w:lineRule="auto"/>
              <w:jc w:val="both"/>
              <w:rPr>
                <w:rFonts w:ascii="Book Antiqua" w:hAnsi="Book Antiqua" w:cs="Arial"/>
                <w:sz w:val="24"/>
                <w:szCs w:val="24"/>
                <w:lang w:val="en-US"/>
              </w:rPr>
            </w:pPr>
            <w:r w:rsidRPr="00BA60F0">
              <w:rPr>
                <w:rFonts w:ascii="Book Antiqua" w:hAnsi="Book Antiqua" w:cs="Arial"/>
                <w:sz w:val="24"/>
                <w:szCs w:val="24"/>
                <w:lang w:val="en-US"/>
              </w:rPr>
              <w:t>A/L/N/FN/T/D/As/Nau - 28/34/40/10/8/6/5/2</w:t>
            </w:r>
          </w:p>
        </w:tc>
        <w:tc>
          <w:tcPr>
            <w:tcW w:w="1061" w:type="dxa"/>
          </w:tcPr>
          <w:p w:rsidR="008D14E6" w:rsidRPr="00C419B4" w:rsidRDefault="008D14E6" w:rsidP="00746849">
            <w:pPr>
              <w:adjustRightInd w:val="0"/>
              <w:snapToGrid w:val="0"/>
              <w:spacing w:after="0" w:line="360" w:lineRule="auto"/>
              <w:jc w:val="both"/>
              <w:rPr>
                <w:rFonts w:ascii="Book Antiqua" w:hAnsi="Book Antiqua" w:cs="Arial"/>
                <w:bCs/>
                <w:sz w:val="24"/>
                <w:szCs w:val="24"/>
                <w:lang w:val="en-US"/>
              </w:rPr>
            </w:pPr>
            <w:r w:rsidRPr="00C419B4">
              <w:rPr>
                <w:rFonts w:ascii="Book Antiqua" w:hAnsi="Book Antiqua" w:cs="Arial"/>
                <w:bCs/>
                <w:sz w:val="24"/>
                <w:szCs w:val="24"/>
                <w:lang w:val="en-US"/>
              </w:rPr>
              <w:t>Takahari</w:t>
            </w:r>
            <w:r w:rsidR="00C419B4" w:rsidRPr="00C419B4">
              <w:rPr>
                <w:rFonts w:ascii="Book Antiqua" w:hAnsi="Book Antiqua" w:cs="Arial" w:hint="eastAsia"/>
                <w:bCs/>
                <w:sz w:val="24"/>
                <w:szCs w:val="24"/>
                <w:vertAlign w:val="superscript"/>
                <w:lang w:val="en-US" w:eastAsia="zh-CN"/>
              </w:rPr>
              <w:t>1</w:t>
            </w:r>
            <w:r w:rsidR="00EB2F98" w:rsidRPr="00C419B4">
              <w:rPr>
                <w:rFonts w:ascii="Book Antiqua" w:hAnsi="Book Antiqua" w:cs="Arial"/>
                <w:bCs/>
                <w:i/>
                <w:sz w:val="24"/>
                <w:szCs w:val="24"/>
                <w:lang w:val="en-US"/>
              </w:rPr>
              <w:t xml:space="preserve"> et al</w:t>
            </w:r>
            <w:r w:rsidR="00EB2F98" w:rsidRPr="00C419B4">
              <w:rPr>
                <w:rFonts w:ascii="Book Antiqua" w:hAnsi="Book Antiqua" w:cs="Arial"/>
                <w:bCs/>
                <w:sz w:val="24"/>
                <w:szCs w:val="24"/>
                <w:vertAlign w:val="superscript"/>
                <w:lang w:val="en-US"/>
              </w:rPr>
              <w:t>[35]</w:t>
            </w:r>
            <w:r w:rsidRPr="00C419B4">
              <w:rPr>
                <w:rFonts w:ascii="Book Antiqua" w:hAnsi="Book Antiqua" w:cs="Arial"/>
                <w:bCs/>
                <w:sz w:val="24"/>
                <w:szCs w:val="24"/>
                <w:lang w:val="en-US"/>
              </w:rPr>
              <w:t>,</w:t>
            </w:r>
            <w:r w:rsidR="00EB2F98" w:rsidRPr="00C419B4">
              <w:rPr>
                <w:rFonts w:ascii="Book Antiqua" w:hAnsi="Book Antiqua" w:cs="Arial"/>
                <w:bCs/>
                <w:sz w:val="24"/>
                <w:szCs w:val="24"/>
                <w:lang w:val="en-US"/>
              </w:rPr>
              <w:t xml:space="preserve"> 2010</w:t>
            </w:r>
          </w:p>
        </w:tc>
      </w:tr>
      <w:tr w:rsidR="008D14E6" w:rsidRPr="00BA60F0" w:rsidTr="003D2377">
        <w:tc>
          <w:tcPr>
            <w:tcW w:w="1188" w:type="dxa"/>
          </w:tcPr>
          <w:p w:rsidR="008D14E6" w:rsidRPr="003D2377" w:rsidRDefault="008D14E6" w:rsidP="00746849">
            <w:pPr>
              <w:adjustRightInd w:val="0"/>
              <w:snapToGrid w:val="0"/>
              <w:spacing w:after="0" w:line="360" w:lineRule="auto"/>
              <w:jc w:val="both"/>
              <w:rPr>
                <w:rFonts w:ascii="Book Antiqua" w:hAnsi="Book Antiqua" w:cs="Arial"/>
                <w:bCs/>
                <w:sz w:val="24"/>
                <w:szCs w:val="24"/>
                <w:lang w:val="en-US"/>
              </w:rPr>
            </w:pPr>
            <w:r w:rsidRPr="003D2377">
              <w:rPr>
                <w:rFonts w:ascii="Book Antiqua" w:hAnsi="Book Antiqua" w:cs="Arial"/>
                <w:bCs/>
                <w:sz w:val="24"/>
                <w:szCs w:val="24"/>
                <w:lang w:val="en-US"/>
              </w:rPr>
              <w:lastRenderedPageBreak/>
              <w:t>Irinotecan/</w:t>
            </w:r>
            <w:r w:rsidRPr="003D2377">
              <w:rPr>
                <w:rFonts w:ascii="Book Antiqua" w:hAnsi="Book Antiqua" w:cs="Arial"/>
                <w:bCs/>
                <w:sz w:val="24"/>
                <w:szCs w:val="24"/>
                <w:lang w:val="en-US"/>
              </w:rPr>
              <w:br/>
              <w:t>Mitomycin C</w:t>
            </w:r>
          </w:p>
        </w:tc>
        <w:tc>
          <w:tcPr>
            <w:tcW w:w="621" w:type="dxa"/>
          </w:tcPr>
          <w:p w:rsidR="008D14E6" w:rsidRPr="00BA60F0" w:rsidRDefault="008D14E6" w:rsidP="00746849">
            <w:pPr>
              <w:adjustRightInd w:val="0"/>
              <w:snapToGrid w:val="0"/>
              <w:spacing w:after="0" w:line="360" w:lineRule="auto"/>
              <w:jc w:val="both"/>
              <w:rPr>
                <w:rFonts w:ascii="Book Antiqua" w:hAnsi="Book Antiqua" w:cs="Arial"/>
                <w:sz w:val="24"/>
                <w:szCs w:val="24"/>
                <w:lang w:val="en-US"/>
              </w:rPr>
            </w:pPr>
            <w:r w:rsidRPr="00BA60F0">
              <w:rPr>
                <w:rFonts w:ascii="Book Antiqua" w:hAnsi="Book Antiqua" w:cs="Arial"/>
                <w:sz w:val="24"/>
                <w:szCs w:val="24"/>
                <w:lang w:val="en-US"/>
              </w:rPr>
              <w:t>38/38</w:t>
            </w:r>
          </w:p>
        </w:tc>
        <w:tc>
          <w:tcPr>
            <w:tcW w:w="1089" w:type="dxa"/>
          </w:tcPr>
          <w:p w:rsidR="008D14E6" w:rsidRPr="00BA60F0" w:rsidRDefault="008D14E6" w:rsidP="00746849">
            <w:pPr>
              <w:adjustRightInd w:val="0"/>
              <w:snapToGrid w:val="0"/>
              <w:spacing w:after="0" w:line="360" w:lineRule="auto"/>
              <w:jc w:val="both"/>
              <w:rPr>
                <w:rFonts w:ascii="Book Antiqua" w:hAnsi="Book Antiqua" w:cs="Arial"/>
                <w:sz w:val="24"/>
                <w:szCs w:val="24"/>
                <w:lang w:val="en-US"/>
              </w:rPr>
            </w:pPr>
            <w:r w:rsidRPr="00BA60F0">
              <w:rPr>
                <w:rFonts w:ascii="Book Antiqua" w:hAnsi="Book Antiqua" w:cs="Arial"/>
                <w:sz w:val="24"/>
                <w:szCs w:val="24"/>
                <w:lang w:val="en-US"/>
              </w:rPr>
              <w:t>KPS Median 80 (R 70-100%)</w:t>
            </w:r>
          </w:p>
        </w:tc>
        <w:tc>
          <w:tcPr>
            <w:tcW w:w="1890" w:type="dxa"/>
          </w:tcPr>
          <w:p w:rsidR="008D14E6" w:rsidRPr="00BA60F0" w:rsidRDefault="008D14E6" w:rsidP="00746849">
            <w:pPr>
              <w:adjustRightInd w:val="0"/>
              <w:snapToGrid w:val="0"/>
              <w:spacing w:after="0" w:line="360" w:lineRule="auto"/>
              <w:jc w:val="both"/>
              <w:rPr>
                <w:rFonts w:ascii="Book Antiqua" w:hAnsi="Book Antiqua" w:cs="Arial"/>
                <w:sz w:val="24"/>
                <w:szCs w:val="24"/>
                <w:lang w:val="en-US"/>
              </w:rPr>
            </w:pPr>
            <w:r w:rsidRPr="00BA60F0">
              <w:rPr>
                <w:rFonts w:ascii="Book Antiqua" w:hAnsi="Book Antiqua" w:cs="Arial"/>
                <w:sz w:val="24"/>
                <w:szCs w:val="24"/>
                <w:lang w:val="en-US"/>
              </w:rPr>
              <w:t>Iri/MMC - 150/8 d1,15/d1 q28</w:t>
            </w:r>
          </w:p>
        </w:tc>
        <w:tc>
          <w:tcPr>
            <w:tcW w:w="810" w:type="dxa"/>
          </w:tcPr>
          <w:p w:rsidR="008D14E6" w:rsidRPr="00BA60F0" w:rsidRDefault="008D14E6" w:rsidP="00746849">
            <w:pPr>
              <w:adjustRightInd w:val="0"/>
              <w:snapToGrid w:val="0"/>
              <w:spacing w:after="0" w:line="360" w:lineRule="auto"/>
              <w:jc w:val="both"/>
              <w:rPr>
                <w:rFonts w:ascii="Book Antiqua" w:hAnsi="Book Antiqua" w:cs="Arial"/>
                <w:sz w:val="24"/>
                <w:szCs w:val="24"/>
                <w:lang w:val="en-US"/>
              </w:rPr>
            </w:pPr>
            <w:r w:rsidRPr="00BA60F0">
              <w:rPr>
                <w:rFonts w:ascii="Book Antiqua" w:hAnsi="Book Antiqua" w:cs="Arial"/>
                <w:sz w:val="24"/>
                <w:szCs w:val="24"/>
                <w:lang w:val="en-US"/>
              </w:rPr>
              <w:t>32.0</w:t>
            </w:r>
          </w:p>
        </w:tc>
        <w:tc>
          <w:tcPr>
            <w:tcW w:w="697" w:type="dxa"/>
          </w:tcPr>
          <w:p w:rsidR="008D14E6" w:rsidRPr="00BA60F0" w:rsidRDefault="008D14E6" w:rsidP="00746849">
            <w:pPr>
              <w:adjustRightInd w:val="0"/>
              <w:snapToGrid w:val="0"/>
              <w:spacing w:after="0" w:line="360" w:lineRule="auto"/>
              <w:jc w:val="both"/>
              <w:rPr>
                <w:rFonts w:ascii="Book Antiqua" w:hAnsi="Book Antiqua" w:cs="Arial"/>
                <w:sz w:val="24"/>
                <w:szCs w:val="24"/>
                <w:lang w:val="en-US"/>
              </w:rPr>
            </w:pPr>
            <w:r w:rsidRPr="00BA60F0">
              <w:rPr>
                <w:rFonts w:ascii="Book Antiqua" w:hAnsi="Book Antiqua" w:cs="Arial"/>
                <w:sz w:val="24"/>
                <w:szCs w:val="24"/>
                <w:lang w:val="en-US"/>
              </w:rPr>
              <w:t>4.0</w:t>
            </w:r>
          </w:p>
        </w:tc>
        <w:tc>
          <w:tcPr>
            <w:tcW w:w="810" w:type="dxa"/>
          </w:tcPr>
          <w:p w:rsidR="008D14E6" w:rsidRPr="00BA60F0" w:rsidRDefault="008D14E6" w:rsidP="00746849">
            <w:pPr>
              <w:adjustRightInd w:val="0"/>
              <w:snapToGrid w:val="0"/>
              <w:spacing w:after="0" w:line="360" w:lineRule="auto"/>
              <w:jc w:val="both"/>
              <w:rPr>
                <w:rFonts w:ascii="Book Antiqua" w:hAnsi="Book Antiqua" w:cs="Arial"/>
                <w:sz w:val="24"/>
                <w:szCs w:val="24"/>
                <w:lang w:val="en-US"/>
              </w:rPr>
            </w:pPr>
            <w:r w:rsidRPr="00BA60F0">
              <w:rPr>
                <w:rFonts w:ascii="Book Antiqua" w:hAnsi="Book Antiqua" w:cs="Arial"/>
                <w:sz w:val="24"/>
                <w:szCs w:val="24"/>
                <w:lang w:val="en-US"/>
              </w:rPr>
              <w:t>NR</w:t>
            </w:r>
          </w:p>
        </w:tc>
        <w:tc>
          <w:tcPr>
            <w:tcW w:w="720" w:type="dxa"/>
          </w:tcPr>
          <w:p w:rsidR="008D14E6" w:rsidRPr="00BA60F0" w:rsidRDefault="008D14E6" w:rsidP="00746849">
            <w:pPr>
              <w:adjustRightInd w:val="0"/>
              <w:snapToGrid w:val="0"/>
              <w:spacing w:after="0" w:line="360" w:lineRule="auto"/>
              <w:jc w:val="both"/>
              <w:rPr>
                <w:rFonts w:ascii="Book Antiqua" w:hAnsi="Book Antiqua" w:cs="Arial"/>
                <w:sz w:val="24"/>
                <w:szCs w:val="24"/>
                <w:lang w:val="en-US"/>
              </w:rPr>
            </w:pPr>
            <w:r w:rsidRPr="00BA60F0">
              <w:rPr>
                <w:rFonts w:ascii="Book Antiqua" w:hAnsi="Book Antiqua" w:cs="Arial"/>
                <w:sz w:val="24"/>
                <w:szCs w:val="24"/>
                <w:lang w:val="en-US"/>
              </w:rPr>
              <w:t>8.0</w:t>
            </w:r>
          </w:p>
        </w:tc>
        <w:tc>
          <w:tcPr>
            <w:tcW w:w="1639" w:type="dxa"/>
          </w:tcPr>
          <w:p w:rsidR="008D14E6" w:rsidRPr="00BA60F0" w:rsidRDefault="008D14E6" w:rsidP="00746849">
            <w:pPr>
              <w:adjustRightInd w:val="0"/>
              <w:snapToGrid w:val="0"/>
              <w:spacing w:after="0" w:line="360" w:lineRule="auto"/>
              <w:jc w:val="both"/>
              <w:rPr>
                <w:rFonts w:ascii="Book Antiqua" w:hAnsi="Book Antiqua" w:cs="Arial"/>
                <w:sz w:val="24"/>
                <w:szCs w:val="24"/>
                <w:lang w:val="en-US"/>
              </w:rPr>
            </w:pPr>
            <w:r w:rsidRPr="00BA60F0">
              <w:rPr>
                <w:rFonts w:ascii="Book Antiqua" w:hAnsi="Book Antiqua" w:cs="Arial"/>
                <w:sz w:val="24"/>
                <w:szCs w:val="24"/>
                <w:lang w:val="en-US"/>
              </w:rPr>
              <w:t>A/L/N - 5/8/21</w:t>
            </w:r>
          </w:p>
        </w:tc>
        <w:tc>
          <w:tcPr>
            <w:tcW w:w="1061" w:type="dxa"/>
          </w:tcPr>
          <w:p w:rsidR="008D14E6" w:rsidRPr="00C419B4" w:rsidRDefault="008D14E6" w:rsidP="00746849">
            <w:pPr>
              <w:adjustRightInd w:val="0"/>
              <w:snapToGrid w:val="0"/>
              <w:spacing w:after="0" w:line="360" w:lineRule="auto"/>
              <w:jc w:val="both"/>
              <w:rPr>
                <w:rFonts w:ascii="Book Antiqua" w:hAnsi="Book Antiqua" w:cs="Arial"/>
                <w:bCs/>
                <w:sz w:val="24"/>
                <w:szCs w:val="24"/>
                <w:lang w:val="en-US"/>
              </w:rPr>
            </w:pPr>
            <w:r w:rsidRPr="00C419B4">
              <w:rPr>
                <w:rFonts w:ascii="Book Antiqua" w:hAnsi="Book Antiqua" w:cs="Arial"/>
                <w:bCs/>
                <w:sz w:val="24"/>
                <w:szCs w:val="24"/>
                <w:lang w:val="en-US"/>
              </w:rPr>
              <w:t>Giuliani</w:t>
            </w:r>
            <w:r w:rsidR="00EB2F98" w:rsidRPr="00C419B4">
              <w:rPr>
                <w:rFonts w:ascii="Book Antiqua" w:hAnsi="Book Antiqua" w:cs="Arial"/>
                <w:bCs/>
                <w:sz w:val="24"/>
                <w:szCs w:val="24"/>
                <w:lang w:val="en-US"/>
              </w:rPr>
              <w:t xml:space="preserve"> </w:t>
            </w:r>
            <w:r w:rsidR="00EB2F98" w:rsidRPr="00C419B4">
              <w:rPr>
                <w:rFonts w:ascii="Book Antiqua" w:hAnsi="Book Antiqua" w:cs="Arial"/>
                <w:bCs/>
                <w:i/>
                <w:sz w:val="24"/>
                <w:szCs w:val="24"/>
                <w:lang w:val="en-US"/>
              </w:rPr>
              <w:t>et al</w:t>
            </w:r>
            <w:r w:rsidR="00EB2F98" w:rsidRPr="00C419B4">
              <w:rPr>
                <w:rFonts w:ascii="Book Antiqua" w:hAnsi="Book Antiqua" w:cs="Arial"/>
                <w:bCs/>
                <w:sz w:val="24"/>
                <w:szCs w:val="24"/>
                <w:vertAlign w:val="superscript"/>
                <w:lang w:val="en-US"/>
              </w:rPr>
              <w:t>[36]</w:t>
            </w:r>
            <w:r w:rsidRPr="00C419B4">
              <w:rPr>
                <w:rFonts w:ascii="Book Antiqua" w:hAnsi="Book Antiqua" w:cs="Arial"/>
                <w:bCs/>
                <w:sz w:val="24"/>
                <w:szCs w:val="24"/>
                <w:lang w:val="en-US"/>
              </w:rPr>
              <w:t>,</w:t>
            </w:r>
            <w:r w:rsidR="00EB2F98" w:rsidRPr="00C419B4">
              <w:rPr>
                <w:rFonts w:ascii="Book Antiqua" w:hAnsi="Book Antiqua" w:cs="Arial"/>
                <w:bCs/>
                <w:sz w:val="24"/>
                <w:szCs w:val="24"/>
                <w:lang w:val="en-US"/>
              </w:rPr>
              <w:t xml:space="preserve"> 2005</w:t>
            </w:r>
          </w:p>
        </w:tc>
      </w:tr>
      <w:tr w:rsidR="008D14E6" w:rsidRPr="00BA60F0" w:rsidTr="003D2377">
        <w:tc>
          <w:tcPr>
            <w:tcW w:w="1188" w:type="dxa"/>
          </w:tcPr>
          <w:p w:rsidR="008D14E6" w:rsidRPr="003D2377" w:rsidRDefault="008D14E6" w:rsidP="00746849">
            <w:pPr>
              <w:adjustRightInd w:val="0"/>
              <w:snapToGrid w:val="0"/>
              <w:spacing w:after="0" w:line="360" w:lineRule="auto"/>
              <w:jc w:val="both"/>
              <w:rPr>
                <w:rFonts w:ascii="Book Antiqua" w:hAnsi="Book Antiqua" w:cs="Arial"/>
                <w:bCs/>
                <w:sz w:val="24"/>
                <w:szCs w:val="24"/>
                <w:lang w:val="en-US"/>
              </w:rPr>
            </w:pPr>
            <w:r w:rsidRPr="003D2377">
              <w:rPr>
                <w:rFonts w:ascii="Book Antiqua" w:hAnsi="Book Antiqua" w:cs="Arial"/>
                <w:bCs/>
                <w:sz w:val="24"/>
                <w:szCs w:val="24"/>
                <w:lang w:val="en-US"/>
              </w:rPr>
              <w:t>Irinotecan/</w:t>
            </w:r>
            <w:r w:rsidRPr="003D2377">
              <w:rPr>
                <w:rFonts w:ascii="Book Antiqua" w:hAnsi="Book Antiqua" w:cs="Arial"/>
                <w:bCs/>
                <w:sz w:val="24"/>
                <w:szCs w:val="24"/>
                <w:lang w:val="en-US"/>
              </w:rPr>
              <w:br/>
              <w:t>Mitomycin C</w:t>
            </w:r>
          </w:p>
        </w:tc>
        <w:tc>
          <w:tcPr>
            <w:tcW w:w="621" w:type="dxa"/>
          </w:tcPr>
          <w:p w:rsidR="008D14E6" w:rsidRPr="00BA60F0" w:rsidRDefault="008D14E6" w:rsidP="00746849">
            <w:pPr>
              <w:adjustRightInd w:val="0"/>
              <w:snapToGrid w:val="0"/>
              <w:spacing w:after="0" w:line="360" w:lineRule="auto"/>
              <w:jc w:val="both"/>
              <w:rPr>
                <w:rFonts w:ascii="Book Antiqua" w:hAnsi="Book Antiqua" w:cs="Arial"/>
                <w:sz w:val="24"/>
                <w:szCs w:val="24"/>
                <w:lang w:val="en-US"/>
              </w:rPr>
            </w:pPr>
            <w:r w:rsidRPr="00BA60F0">
              <w:rPr>
                <w:rFonts w:ascii="Book Antiqua" w:hAnsi="Book Antiqua" w:cs="Arial"/>
                <w:sz w:val="24"/>
                <w:szCs w:val="24"/>
                <w:lang w:val="en-US"/>
              </w:rPr>
              <w:t>45</w:t>
            </w:r>
          </w:p>
        </w:tc>
        <w:tc>
          <w:tcPr>
            <w:tcW w:w="1089" w:type="dxa"/>
          </w:tcPr>
          <w:p w:rsidR="008D14E6" w:rsidRPr="00BA60F0" w:rsidRDefault="008D14E6" w:rsidP="00746849">
            <w:pPr>
              <w:adjustRightInd w:val="0"/>
              <w:snapToGrid w:val="0"/>
              <w:spacing w:after="0" w:line="360" w:lineRule="auto"/>
              <w:jc w:val="both"/>
              <w:rPr>
                <w:rFonts w:ascii="Book Antiqua" w:hAnsi="Book Antiqua" w:cs="Arial"/>
                <w:sz w:val="24"/>
                <w:szCs w:val="24"/>
                <w:lang w:val="en-US"/>
              </w:rPr>
            </w:pPr>
            <w:r w:rsidRPr="00BA60F0">
              <w:rPr>
                <w:rFonts w:ascii="Book Antiqua" w:hAnsi="Book Antiqua" w:cs="Arial"/>
                <w:sz w:val="24"/>
                <w:szCs w:val="24"/>
                <w:lang w:val="en-US"/>
              </w:rPr>
              <w:t>ECOG 0/1 – 24/21</w:t>
            </w:r>
          </w:p>
        </w:tc>
        <w:tc>
          <w:tcPr>
            <w:tcW w:w="1890" w:type="dxa"/>
          </w:tcPr>
          <w:p w:rsidR="008D14E6" w:rsidRPr="00BA60F0" w:rsidRDefault="008D14E6" w:rsidP="00746849">
            <w:pPr>
              <w:adjustRightInd w:val="0"/>
              <w:snapToGrid w:val="0"/>
              <w:spacing w:after="0" w:line="360" w:lineRule="auto"/>
              <w:jc w:val="both"/>
              <w:rPr>
                <w:rFonts w:ascii="Book Antiqua" w:hAnsi="Book Antiqua" w:cs="Arial"/>
                <w:sz w:val="24"/>
                <w:szCs w:val="24"/>
                <w:lang w:val="en-US"/>
              </w:rPr>
            </w:pPr>
            <w:r w:rsidRPr="00BA60F0">
              <w:rPr>
                <w:rFonts w:ascii="Book Antiqua" w:hAnsi="Book Antiqua" w:cs="Arial"/>
                <w:sz w:val="24"/>
                <w:szCs w:val="24"/>
                <w:lang w:val="en-US"/>
              </w:rPr>
              <w:t>Iri/MMC - 150/5 d1 q14</w:t>
            </w:r>
          </w:p>
        </w:tc>
        <w:tc>
          <w:tcPr>
            <w:tcW w:w="810" w:type="dxa"/>
          </w:tcPr>
          <w:p w:rsidR="008D14E6" w:rsidRPr="00BA60F0" w:rsidRDefault="008D14E6" w:rsidP="00746849">
            <w:pPr>
              <w:adjustRightInd w:val="0"/>
              <w:snapToGrid w:val="0"/>
              <w:spacing w:after="0" w:line="360" w:lineRule="auto"/>
              <w:jc w:val="both"/>
              <w:rPr>
                <w:rFonts w:ascii="Book Antiqua" w:hAnsi="Book Antiqua" w:cs="Arial"/>
                <w:sz w:val="24"/>
                <w:szCs w:val="24"/>
                <w:lang w:val="en-US"/>
              </w:rPr>
            </w:pPr>
            <w:r w:rsidRPr="00BA60F0">
              <w:rPr>
                <w:rFonts w:ascii="Book Antiqua" w:hAnsi="Book Antiqua" w:cs="Arial"/>
                <w:sz w:val="24"/>
                <w:szCs w:val="24"/>
                <w:lang w:val="en-US"/>
              </w:rPr>
              <w:t>29.0</w:t>
            </w:r>
          </w:p>
        </w:tc>
        <w:tc>
          <w:tcPr>
            <w:tcW w:w="697" w:type="dxa"/>
          </w:tcPr>
          <w:p w:rsidR="008D14E6" w:rsidRPr="00BA60F0" w:rsidRDefault="008D14E6" w:rsidP="00746849">
            <w:pPr>
              <w:adjustRightInd w:val="0"/>
              <w:snapToGrid w:val="0"/>
              <w:spacing w:after="0" w:line="360" w:lineRule="auto"/>
              <w:jc w:val="both"/>
              <w:rPr>
                <w:rFonts w:ascii="Book Antiqua" w:hAnsi="Book Antiqua" w:cs="Arial"/>
                <w:sz w:val="24"/>
                <w:szCs w:val="24"/>
                <w:lang w:val="en-US"/>
              </w:rPr>
            </w:pPr>
            <w:r w:rsidRPr="00BA60F0">
              <w:rPr>
                <w:rFonts w:ascii="Book Antiqua" w:hAnsi="Book Antiqua" w:cs="Arial"/>
                <w:sz w:val="24"/>
                <w:szCs w:val="24"/>
                <w:lang w:val="en-US"/>
              </w:rPr>
              <w:t>NR</w:t>
            </w:r>
          </w:p>
        </w:tc>
        <w:tc>
          <w:tcPr>
            <w:tcW w:w="810" w:type="dxa"/>
          </w:tcPr>
          <w:p w:rsidR="008D14E6" w:rsidRPr="00BA60F0" w:rsidRDefault="008D14E6" w:rsidP="00746849">
            <w:pPr>
              <w:adjustRightInd w:val="0"/>
              <w:snapToGrid w:val="0"/>
              <w:spacing w:after="0" w:line="360" w:lineRule="auto"/>
              <w:jc w:val="both"/>
              <w:rPr>
                <w:rFonts w:ascii="Book Antiqua" w:hAnsi="Book Antiqua" w:cs="Arial"/>
                <w:sz w:val="24"/>
                <w:szCs w:val="24"/>
                <w:lang w:val="en-US"/>
              </w:rPr>
            </w:pPr>
            <w:r w:rsidRPr="00BA60F0">
              <w:rPr>
                <w:rFonts w:ascii="Book Antiqua" w:hAnsi="Book Antiqua" w:cs="Arial"/>
                <w:sz w:val="24"/>
                <w:szCs w:val="24"/>
                <w:lang w:val="en-US"/>
              </w:rPr>
              <w:t>4.1</w:t>
            </w:r>
          </w:p>
        </w:tc>
        <w:tc>
          <w:tcPr>
            <w:tcW w:w="720" w:type="dxa"/>
          </w:tcPr>
          <w:p w:rsidR="008D14E6" w:rsidRPr="00BA60F0" w:rsidRDefault="008D14E6" w:rsidP="00746849">
            <w:pPr>
              <w:adjustRightInd w:val="0"/>
              <w:snapToGrid w:val="0"/>
              <w:spacing w:after="0" w:line="360" w:lineRule="auto"/>
              <w:jc w:val="both"/>
              <w:rPr>
                <w:rFonts w:ascii="Book Antiqua" w:hAnsi="Book Antiqua" w:cs="Arial"/>
                <w:sz w:val="24"/>
                <w:szCs w:val="24"/>
                <w:lang w:val="en-US"/>
              </w:rPr>
            </w:pPr>
            <w:r w:rsidRPr="00BA60F0">
              <w:rPr>
                <w:rFonts w:ascii="Book Antiqua" w:hAnsi="Book Antiqua" w:cs="Arial"/>
                <w:sz w:val="24"/>
                <w:szCs w:val="24"/>
                <w:lang w:val="en-US"/>
              </w:rPr>
              <w:t>10.1</w:t>
            </w:r>
          </w:p>
        </w:tc>
        <w:tc>
          <w:tcPr>
            <w:tcW w:w="1639" w:type="dxa"/>
          </w:tcPr>
          <w:p w:rsidR="008D14E6" w:rsidRPr="00BA60F0" w:rsidRDefault="008D14E6" w:rsidP="00746849">
            <w:pPr>
              <w:adjustRightInd w:val="0"/>
              <w:snapToGrid w:val="0"/>
              <w:spacing w:after="0" w:line="360" w:lineRule="auto"/>
              <w:jc w:val="both"/>
              <w:rPr>
                <w:rFonts w:ascii="Book Antiqua" w:hAnsi="Book Antiqua" w:cs="Arial"/>
                <w:sz w:val="24"/>
                <w:szCs w:val="24"/>
                <w:lang w:val="en-US"/>
              </w:rPr>
            </w:pPr>
            <w:r w:rsidRPr="00BA60F0">
              <w:rPr>
                <w:rFonts w:ascii="Book Antiqua" w:hAnsi="Book Antiqua" w:cs="Arial"/>
                <w:sz w:val="24"/>
                <w:szCs w:val="24"/>
                <w:lang w:val="en-US"/>
              </w:rPr>
              <w:t>A/N/FN/D/I – 13/53/9/2/4</w:t>
            </w:r>
          </w:p>
        </w:tc>
        <w:tc>
          <w:tcPr>
            <w:tcW w:w="1061" w:type="dxa"/>
          </w:tcPr>
          <w:p w:rsidR="008D14E6" w:rsidRPr="00C419B4" w:rsidRDefault="008D14E6" w:rsidP="00746849">
            <w:pPr>
              <w:adjustRightInd w:val="0"/>
              <w:snapToGrid w:val="0"/>
              <w:spacing w:after="0" w:line="360" w:lineRule="auto"/>
              <w:jc w:val="both"/>
              <w:rPr>
                <w:rFonts w:ascii="Book Antiqua" w:hAnsi="Book Antiqua" w:cs="Arial"/>
                <w:bCs/>
                <w:sz w:val="24"/>
                <w:szCs w:val="24"/>
                <w:lang w:val="en-US"/>
              </w:rPr>
            </w:pPr>
            <w:r w:rsidRPr="00C419B4">
              <w:rPr>
                <w:rFonts w:ascii="Book Antiqua" w:hAnsi="Book Antiqua" w:cs="Arial"/>
                <w:bCs/>
                <w:sz w:val="24"/>
                <w:szCs w:val="24"/>
                <w:lang w:val="en-US"/>
              </w:rPr>
              <w:t>Hamaguchi</w:t>
            </w:r>
            <w:r w:rsidR="00EB2F98" w:rsidRPr="00C419B4">
              <w:rPr>
                <w:rFonts w:ascii="Book Antiqua" w:hAnsi="Book Antiqua" w:cs="Arial"/>
                <w:bCs/>
                <w:sz w:val="24"/>
                <w:szCs w:val="24"/>
                <w:lang w:val="en-US"/>
              </w:rPr>
              <w:t xml:space="preserve"> </w:t>
            </w:r>
            <w:r w:rsidR="00EB2F98" w:rsidRPr="00C419B4">
              <w:rPr>
                <w:rFonts w:ascii="Book Antiqua" w:hAnsi="Book Antiqua" w:cs="Arial"/>
                <w:bCs/>
                <w:i/>
                <w:sz w:val="24"/>
                <w:szCs w:val="24"/>
                <w:lang w:val="en-US"/>
              </w:rPr>
              <w:t>et al</w:t>
            </w:r>
            <w:r w:rsidR="00EB2F98" w:rsidRPr="00C419B4">
              <w:rPr>
                <w:rFonts w:ascii="Book Antiqua" w:hAnsi="Book Antiqua" w:cs="Arial"/>
                <w:bCs/>
                <w:sz w:val="24"/>
                <w:szCs w:val="24"/>
                <w:vertAlign w:val="superscript"/>
                <w:lang w:val="en-US"/>
              </w:rPr>
              <w:t>[37 ]</w:t>
            </w:r>
            <w:r w:rsidR="00EB2F98" w:rsidRPr="00C419B4">
              <w:rPr>
                <w:rFonts w:ascii="Book Antiqua" w:hAnsi="Book Antiqua" w:cs="Arial"/>
                <w:bCs/>
                <w:sz w:val="24"/>
                <w:szCs w:val="24"/>
                <w:lang w:val="en-US"/>
              </w:rPr>
              <w:t>, 2011</w:t>
            </w:r>
          </w:p>
        </w:tc>
      </w:tr>
      <w:tr w:rsidR="008D14E6" w:rsidRPr="00BA60F0" w:rsidTr="003D2377">
        <w:tc>
          <w:tcPr>
            <w:tcW w:w="1188" w:type="dxa"/>
          </w:tcPr>
          <w:p w:rsidR="008D14E6" w:rsidRPr="003D2377" w:rsidRDefault="008D14E6" w:rsidP="00746849">
            <w:pPr>
              <w:adjustRightInd w:val="0"/>
              <w:snapToGrid w:val="0"/>
              <w:spacing w:after="0" w:line="360" w:lineRule="auto"/>
              <w:jc w:val="both"/>
              <w:rPr>
                <w:rFonts w:ascii="Book Antiqua" w:hAnsi="Book Antiqua" w:cs="Arial"/>
                <w:bCs/>
                <w:sz w:val="24"/>
                <w:szCs w:val="24"/>
                <w:lang w:val="en-US"/>
              </w:rPr>
            </w:pPr>
            <w:r w:rsidRPr="003D2377">
              <w:rPr>
                <w:rFonts w:ascii="Book Antiqua" w:hAnsi="Book Antiqua" w:cs="Arial"/>
                <w:bCs/>
                <w:sz w:val="24"/>
                <w:szCs w:val="24"/>
                <w:lang w:val="en-US"/>
              </w:rPr>
              <w:t>Irinotecan/</w:t>
            </w:r>
            <w:r w:rsidRPr="003D2377">
              <w:rPr>
                <w:rFonts w:ascii="Book Antiqua" w:hAnsi="Book Antiqua" w:cs="Arial"/>
                <w:bCs/>
                <w:sz w:val="24"/>
                <w:szCs w:val="24"/>
                <w:lang w:val="en-US"/>
              </w:rPr>
              <w:br/>
              <w:t>Capecitabine</w:t>
            </w:r>
          </w:p>
        </w:tc>
        <w:tc>
          <w:tcPr>
            <w:tcW w:w="621" w:type="dxa"/>
          </w:tcPr>
          <w:p w:rsidR="008D14E6" w:rsidRPr="00BA60F0" w:rsidRDefault="008D14E6" w:rsidP="00746849">
            <w:pPr>
              <w:adjustRightInd w:val="0"/>
              <w:snapToGrid w:val="0"/>
              <w:spacing w:after="0" w:line="360" w:lineRule="auto"/>
              <w:jc w:val="both"/>
              <w:rPr>
                <w:rFonts w:ascii="Book Antiqua" w:hAnsi="Book Antiqua" w:cs="Arial"/>
                <w:sz w:val="24"/>
                <w:szCs w:val="24"/>
                <w:lang w:val="en-US"/>
              </w:rPr>
            </w:pPr>
            <w:r w:rsidRPr="00BA60F0">
              <w:rPr>
                <w:rFonts w:ascii="Book Antiqua" w:hAnsi="Book Antiqua" w:cs="Arial"/>
                <w:sz w:val="24"/>
                <w:szCs w:val="24"/>
                <w:lang w:val="en-US"/>
              </w:rPr>
              <w:t>48/46</w:t>
            </w:r>
          </w:p>
        </w:tc>
        <w:tc>
          <w:tcPr>
            <w:tcW w:w="1089" w:type="dxa"/>
          </w:tcPr>
          <w:p w:rsidR="008D14E6" w:rsidRPr="00BA60F0" w:rsidRDefault="008D14E6" w:rsidP="00746849">
            <w:pPr>
              <w:adjustRightInd w:val="0"/>
              <w:snapToGrid w:val="0"/>
              <w:spacing w:after="0" w:line="360" w:lineRule="auto"/>
              <w:jc w:val="both"/>
              <w:rPr>
                <w:rFonts w:ascii="Book Antiqua" w:hAnsi="Book Antiqua" w:cs="Arial"/>
                <w:sz w:val="24"/>
                <w:szCs w:val="24"/>
                <w:lang w:val="en-US"/>
              </w:rPr>
            </w:pPr>
            <w:r w:rsidRPr="00BA60F0">
              <w:rPr>
                <w:rFonts w:ascii="Book Antiqua" w:hAnsi="Book Antiqua" w:cs="Arial"/>
                <w:sz w:val="24"/>
                <w:szCs w:val="24"/>
                <w:lang w:val="en-US"/>
              </w:rPr>
              <w:t>ECOG 0/1/2 - 10/32/6</w:t>
            </w:r>
          </w:p>
        </w:tc>
        <w:tc>
          <w:tcPr>
            <w:tcW w:w="1890" w:type="dxa"/>
          </w:tcPr>
          <w:p w:rsidR="008D14E6" w:rsidRPr="00BA60F0" w:rsidRDefault="008D14E6" w:rsidP="00746849">
            <w:pPr>
              <w:adjustRightInd w:val="0"/>
              <w:snapToGrid w:val="0"/>
              <w:spacing w:after="0" w:line="360" w:lineRule="auto"/>
              <w:jc w:val="both"/>
              <w:rPr>
                <w:rFonts w:ascii="Book Antiqua" w:hAnsi="Book Antiqua" w:cs="Arial"/>
                <w:sz w:val="24"/>
                <w:szCs w:val="24"/>
                <w:lang w:val="en-US"/>
              </w:rPr>
            </w:pPr>
            <w:r w:rsidRPr="00BA60F0">
              <w:rPr>
                <w:rFonts w:ascii="Book Antiqua" w:hAnsi="Book Antiqua" w:cs="Arial"/>
                <w:sz w:val="24"/>
                <w:szCs w:val="24"/>
                <w:lang w:val="en-US"/>
              </w:rPr>
              <w:t>Iri/Cap - 100/1000 b.i.d  d1,8/d1-14 q21</w:t>
            </w:r>
          </w:p>
        </w:tc>
        <w:tc>
          <w:tcPr>
            <w:tcW w:w="810" w:type="dxa"/>
          </w:tcPr>
          <w:p w:rsidR="008D14E6" w:rsidRPr="00BA60F0" w:rsidRDefault="008D14E6" w:rsidP="00746849">
            <w:pPr>
              <w:adjustRightInd w:val="0"/>
              <w:snapToGrid w:val="0"/>
              <w:spacing w:after="0" w:line="360" w:lineRule="auto"/>
              <w:jc w:val="both"/>
              <w:rPr>
                <w:rFonts w:ascii="Book Antiqua" w:hAnsi="Book Antiqua" w:cs="Arial"/>
                <w:sz w:val="24"/>
                <w:szCs w:val="24"/>
                <w:lang w:val="en-US"/>
              </w:rPr>
            </w:pPr>
            <w:r w:rsidRPr="00BA60F0">
              <w:rPr>
                <w:rFonts w:ascii="Book Antiqua" w:hAnsi="Book Antiqua" w:cs="Arial"/>
                <w:sz w:val="24"/>
                <w:szCs w:val="24"/>
                <w:lang w:val="en-US"/>
              </w:rPr>
              <w:t>27.1</w:t>
            </w:r>
          </w:p>
        </w:tc>
        <w:tc>
          <w:tcPr>
            <w:tcW w:w="697" w:type="dxa"/>
          </w:tcPr>
          <w:p w:rsidR="008D14E6" w:rsidRPr="00BA60F0" w:rsidRDefault="008D14E6" w:rsidP="00746849">
            <w:pPr>
              <w:adjustRightInd w:val="0"/>
              <w:snapToGrid w:val="0"/>
              <w:spacing w:after="0" w:line="360" w:lineRule="auto"/>
              <w:jc w:val="both"/>
              <w:rPr>
                <w:rFonts w:ascii="Book Antiqua" w:hAnsi="Book Antiqua" w:cs="Arial"/>
                <w:sz w:val="24"/>
                <w:szCs w:val="24"/>
                <w:lang w:val="en-US"/>
              </w:rPr>
            </w:pPr>
            <w:r w:rsidRPr="00BA60F0">
              <w:rPr>
                <w:rFonts w:ascii="Book Antiqua" w:hAnsi="Book Antiqua" w:cs="Arial"/>
                <w:sz w:val="24"/>
                <w:szCs w:val="24"/>
                <w:lang w:val="en-US"/>
              </w:rPr>
              <w:t>4.1</w:t>
            </w:r>
          </w:p>
        </w:tc>
        <w:tc>
          <w:tcPr>
            <w:tcW w:w="810" w:type="dxa"/>
          </w:tcPr>
          <w:p w:rsidR="008D14E6" w:rsidRPr="00BA60F0" w:rsidRDefault="008D14E6" w:rsidP="00746849">
            <w:pPr>
              <w:adjustRightInd w:val="0"/>
              <w:snapToGrid w:val="0"/>
              <w:spacing w:after="0" w:line="360" w:lineRule="auto"/>
              <w:jc w:val="both"/>
              <w:rPr>
                <w:rFonts w:ascii="Book Antiqua" w:hAnsi="Book Antiqua" w:cs="Arial"/>
                <w:sz w:val="24"/>
                <w:szCs w:val="24"/>
                <w:lang w:val="en-US"/>
              </w:rPr>
            </w:pPr>
            <w:r w:rsidRPr="00BA60F0">
              <w:rPr>
                <w:rFonts w:ascii="Book Antiqua" w:hAnsi="Book Antiqua" w:cs="Arial"/>
                <w:sz w:val="24"/>
                <w:szCs w:val="24"/>
                <w:lang w:val="en-US"/>
              </w:rPr>
              <w:t>NR</w:t>
            </w:r>
          </w:p>
        </w:tc>
        <w:tc>
          <w:tcPr>
            <w:tcW w:w="720" w:type="dxa"/>
          </w:tcPr>
          <w:p w:rsidR="008D14E6" w:rsidRPr="00BA60F0" w:rsidRDefault="008D14E6" w:rsidP="00746849">
            <w:pPr>
              <w:adjustRightInd w:val="0"/>
              <w:snapToGrid w:val="0"/>
              <w:spacing w:after="0" w:line="360" w:lineRule="auto"/>
              <w:jc w:val="both"/>
              <w:rPr>
                <w:rFonts w:ascii="Book Antiqua" w:hAnsi="Book Antiqua" w:cs="Arial"/>
                <w:sz w:val="24"/>
                <w:szCs w:val="24"/>
                <w:lang w:val="en-US"/>
              </w:rPr>
            </w:pPr>
            <w:r w:rsidRPr="00BA60F0">
              <w:rPr>
                <w:rFonts w:ascii="Book Antiqua" w:hAnsi="Book Antiqua" w:cs="Arial"/>
                <w:sz w:val="24"/>
                <w:szCs w:val="24"/>
                <w:lang w:val="en-US"/>
              </w:rPr>
              <w:t>7.6</w:t>
            </w:r>
          </w:p>
        </w:tc>
        <w:tc>
          <w:tcPr>
            <w:tcW w:w="1639" w:type="dxa"/>
          </w:tcPr>
          <w:p w:rsidR="008D14E6" w:rsidRPr="00BA60F0" w:rsidRDefault="008D14E6" w:rsidP="00746849">
            <w:pPr>
              <w:adjustRightInd w:val="0"/>
              <w:snapToGrid w:val="0"/>
              <w:spacing w:after="0" w:line="360" w:lineRule="auto"/>
              <w:jc w:val="both"/>
              <w:rPr>
                <w:rFonts w:ascii="Book Antiqua" w:hAnsi="Book Antiqua" w:cs="Arial"/>
                <w:sz w:val="24"/>
                <w:szCs w:val="24"/>
                <w:lang w:val="en-US"/>
              </w:rPr>
            </w:pPr>
            <w:r w:rsidRPr="00BA60F0">
              <w:rPr>
                <w:rFonts w:ascii="Book Antiqua" w:hAnsi="Book Antiqua" w:cs="Arial"/>
                <w:sz w:val="24"/>
                <w:szCs w:val="24"/>
                <w:lang w:val="en-US"/>
              </w:rPr>
              <w:t>N/FN/E/D/HFS - 8.7/4.3/4.3/17.4/4.3</w:t>
            </w:r>
          </w:p>
        </w:tc>
        <w:tc>
          <w:tcPr>
            <w:tcW w:w="1061" w:type="dxa"/>
          </w:tcPr>
          <w:p w:rsidR="008D14E6" w:rsidRPr="00C419B4" w:rsidRDefault="008D14E6" w:rsidP="00746849">
            <w:pPr>
              <w:adjustRightInd w:val="0"/>
              <w:snapToGrid w:val="0"/>
              <w:spacing w:after="0" w:line="360" w:lineRule="auto"/>
              <w:jc w:val="both"/>
              <w:rPr>
                <w:rFonts w:ascii="Book Antiqua" w:hAnsi="Book Antiqua" w:cs="Arial"/>
                <w:bCs/>
                <w:sz w:val="24"/>
                <w:szCs w:val="24"/>
                <w:lang w:val="en-US"/>
              </w:rPr>
            </w:pPr>
            <w:r w:rsidRPr="00C419B4">
              <w:rPr>
                <w:rFonts w:ascii="Book Antiqua" w:hAnsi="Book Antiqua" w:cs="Arial"/>
                <w:bCs/>
                <w:sz w:val="24"/>
                <w:szCs w:val="24"/>
                <w:lang w:val="en-US"/>
              </w:rPr>
              <w:t>Sun</w:t>
            </w:r>
            <w:r w:rsidR="00EB2F98" w:rsidRPr="00C419B4">
              <w:rPr>
                <w:rFonts w:ascii="Book Antiqua" w:hAnsi="Book Antiqua" w:cs="Arial"/>
                <w:bCs/>
                <w:i/>
                <w:sz w:val="24"/>
                <w:szCs w:val="24"/>
                <w:lang w:val="en-US"/>
              </w:rPr>
              <w:t xml:space="preserve"> et al</w:t>
            </w:r>
            <w:r w:rsidR="00EB2F98" w:rsidRPr="00C419B4">
              <w:rPr>
                <w:rFonts w:ascii="Book Antiqua" w:hAnsi="Book Antiqua" w:cs="Arial"/>
                <w:bCs/>
                <w:sz w:val="24"/>
                <w:szCs w:val="24"/>
                <w:vertAlign w:val="superscript"/>
                <w:lang w:val="en-US"/>
              </w:rPr>
              <w:t>[38]</w:t>
            </w:r>
            <w:r w:rsidR="00EB2F98" w:rsidRPr="00C419B4">
              <w:rPr>
                <w:rFonts w:ascii="Book Antiqua" w:hAnsi="Book Antiqua" w:cs="Arial"/>
                <w:bCs/>
                <w:sz w:val="24"/>
                <w:szCs w:val="24"/>
                <w:lang w:val="en-US"/>
              </w:rPr>
              <w:t>, 2009</w:t>
            </w:r>
          </w:p>
        </w:tc>
      </w:tr>
      <w:tr w:rsidR="008D14E6" w:rsidRPr="00BA60F0" w:rsidTr="003D2377">
        <w:tc>
          <w:tcPr>
            <w:tcW w:w="1188" w:type="dxa"/>
          </w:tcPr>
          <w:p w:rsidR="008D14E6" w:rsidRPr="003D2377" w:rsidRDefault="008D14E6" w:rsidP="00746849">
            <w:pPr>
              <w:adjustRightInd w:val="0"/>
              <w:snapToGrid w:val="0"/>
              <w:spacing w:after="0" w:line="360" w:lineRule="auto"/>
              <w:jc w:val="both"/>
              <w:rPr>
                <w:rFonts w:ascii="Book Antiqua" w:hAnsi="Book Antiqua" w:cs="Arial"/>
                <w:bCs/>
                <w:sz w:val="24"/>
                <w:szCs w:val="24"/>
                <w:lang w:val="en-US"/>
              </w:rPr>
            </w:pPr>
            <w:r w:rsidRPr="003D2377">
              <w:rPr>
                <w:rFonts w:ascii="Book Antiqua" w:hAnsi="Book Antiqua" w:cs="Arial"/>
                <w:bCs/>
                <w:sz w:val="24"/>
                <w:szCs w:val="24"/>
                <w:lang w:val="en-US"/>
              </w:rPr>
              <w:t>Irinotecan/</w:t>
            </w:r>
            <w:r w:rsidRPr="003D2377">
              <w:rPr>
                <w:rFonts w:ascii="Book Antiqua" w:hAnsi="Book Antiqua" w:cs="Arial"/>
                <w:bCs/>
                <w:sz w:val="24"/>
                <w:szCs w:val="24"/>
                <w:lang w:val="en-US"/>
              </w:rPr>
              <w:br/>
              <w:t>Cetuximab</w:t>
            </w:r>
          </w:p>
        </w:tc>
        <w:tc>
          <w:tcPr>
            <w:tcW w:w="621" w:type="dxa"/>
          </w:tcPr>
          <w:p w:rsidR="008D14E6" w:rsidRPr="00BA60F0" w:rsidRDefault="008D14E6" w:rsidP="00746849">
            <w:pPr>
              <w:adjustRightInd w:val="0"/>
              <w:snapToGrid w:val="0"/>
              <w:spacing w:after="0" w:line="360" w:lineRule="auto"/>
              <w:jc w:val="both"/>
              <w:rPr>
                <w:rFonts w:ascii="Book Antiqua" w:hAnsi="Book Antiqua" w:cs="Arial"/>
                <w:sz w:val="24"/>
                <w:szCs w:val="24"/>
                <w:lang w:val="en-US"/>
              </w:rPr>
            </w:pPr>
            <w:r w:rsidRPr="00BA60F0">
              <w:rPr>
                <w:rFonts w:ascii="Book Antiqua" w:hAnsi="Book Antiqua" w:cs="Arial"/>
                <w:sz w:val="24"/>
                <w:szCs w:val="24"/>
                <w:lang w:val="en-US"/>
              </w:rPr>
              <w:t>63/54</w:t>
            </w:r>
          </w:p>
        </w:tc>
        <w:tc>
          <w:tcPr>
            <w:tcW w:w="1089" w:type="dxa"/>
          </w:tcPr>
          <w:p w:rsidR="008D14E6" w:rsidRPr="00BA60F0" w:rsidRDefault="008D14E6" w:rsidP="00746849">
            <w:pPr>
              <w:adjustRightInd w:val="0"/>
              <w:snapToGrid w:val="0"/>
              <w:spacing w:after="0" w:line="360" w:lineRule="auto"/>
              <w:jc w:val="both"/>
              <w:rPr>
                <w:rFonts w:ascii="Book Antiqua" w:hAnsi="Book Antiqua" w:cs="Arial"/>
                <w:sz w:val="24"/>
                <w:szCs w:val="24"/>
                <w:lang w:val="en-US"/>
              </w:rPr>
            </w:pPr>
            <w:r w:rsidRPr="00BA60F0">
              <w:rPr>
                <w:rFonts w:ascii="Book Antiqua" w:hAnsi="Book Antiqua" w:cs="Arial"/>
                <w:sz w:val="24"/>
                <w:szCs w:val="24"/>
                <w:lang w:val="en-US"/>
              </w:rPr>
              <w:t>ECOG 0/1 – 28/35</w:t>
            </w:r>
          </w:p>
        </w:tc>
        <w:tc>
          <w:tcPr>
            <w:tcW w:w="1890" w:type="dxa"/>
          </w:tcPr>
          <w:p w:rsidR="008D14E6" w:rsidRPr="00BA60F0" w:rsidRDefault="008D14E6" w:rsidP="00746849">
            <w:pPr>
              <w:adjustRightInd w:val="0"/>
              <w:snapToGrid w:val="0"/>
              <w:spacing w:after="0" w:line="360" w:lineRule="auto"/>
              <w:jc w:val="both"/>
              <w:rPr>
                <w:rFonts w:ascii="Book Antiqua" w:hAnsi="Book Antiqua" w:cs="Arial"/>
                <w:sz w:val="24"/>
                <w:szCs w:val="24"/>
                <w:lang w:val="en-US"/>
              </w:rPr>
            </w:pPr>
            <w:r w:rsidRPr="00BA60F0">
              <w:rPr>
                <w:rFonts w:ascii="Book Antiqua" w:hAnsi="Book Antiqua" w:cs="Arial"/>
                <w:sz w:val="24"/>
                <w:szCs w:val="24"/>
                <w:lang w:val="en-US"/>
              </w:rPr>
              <w:t>Iri/Cet – 180/500 d1 q14</w:t>
            </w:r>
          </w:p>
        </w:tc>
        <w:tc>
          <w:tcPr>
            <w:tcW w:w="810" w:type="dxa"/>
          </w:tcPr>
          <w:p w:rsidR="008D14E6" w:rsidRPr="00BA60F0" w:rsidRDefault="008D14E6" w:rsidP="00746849">
            <w:pPr>
              <w:adjustRightInd w:val="0"/>
              <w:snapToGrid w:val="0"/>
              <w:spacing w:after="0" w:line="360" w:lineRule="auto"/>
              <w:jc w:val="both"/>
              <w:rPr>
                <w:rFonts w:ascii="Book Antiqua" w:hAnsi="Book Antiqua" w:cs="Arial"/>
                <w:sz w:val="24"/>
                <w:szCs w:val="24"/>
                <w:lang w:val="en-US"/>
              </w:rPr>
            </w:pPr>
            <w:r w:rsidRPr="00BA60F0">
              <w:rPr>
                <w:rFonts w:ascii="Book Antiqua" w:hAnsi="Book Antiqua" w:cs="Arial"/>
                <w:sz w:val="24"/>
                <w:szCs w:val="24"/>
                <w:lang w:val="en-US"/>
              </w:rPr>
              <w:t>11.0</w:t>
            </w:r>
          </w:p>
        </w:tc>
        <w:tc>
          <w:tcPr>
            <w:tcW w:w="697" w:type="dxa"/>
          </w:tcPr>
          <w:p w:rsidR="008D14E6" w:rsidRPr="00BA60F0" w:rsidRDefault="008D14E6" w:rsidP="00746849">
            <w:pPr>
              <w:adjustRightInd w:val="0"/>
              <w:snapToGrid w:val="0"/>
              <w:spacing w:after="0" w:line="360" w:lineRule="auto"/>
              <w:jc w:val="both"/>
              <w:rPr>
                <w:rFonts w:ascii="Book Antiqua" w:hAnsi="Book Antiqua" w:cs="Arial"/>
                <w:sz w:val="24"/>
                <w:szCs w:val="24"/>
                <w:lang w:val="en-US"/>
              </w:rPr>
            </w:pPr>
            <w:r w:rsidRPr="00BA60F0">
              <w:rPr>
                <w:rFonts w:ascii="Book Antiqua" w:hAnsi="Book Antiqua" w:cs="Arial"/>
                <w:sz w:val="24"/>
                <w:szCs w:val="24"/>
                <w:lang w:val="en-US"/>
              </w:rPr>
              <w:t>NR</w:t>
            </w:r>
          </w:p>
        </w:tc>
        <w:tc>
          <w:tcPr>
            <w:tcW w:w="810" w:type="dxa"/>
          </w:tcPr>
          <w:p w:rsidR="008D14E6" w:rsidRPr="00BA60F0" w:rsidRDefault="008D14E6" w:rsidP="00746849">
            <w:pPr>
              <w:adjustRightInd w:val="0"/>
              <w:snapToGrid w:val="0"/>
              <w:spacing w:after="0" w:line="360" w:lineRule="auto"/>
              <w:jc w:val="both"/>
              <w:rPr>
                <w:rFonts w:ascii="Book Antiqua" w:hAnsi="Book Antiqua" w:cs="Arial"/>
                <w:sz w:val="24"/>
                <w:szCs w:val="24"/>
                <w:lang w:val="en-US"/>
              </w:rPr>
            </w:pPr>
            <w:r w:rsidRPr="00BA60F0">
              <w:rPr>
                <w:rFonts w:ascii="Book Antiqua" w:hAnsi="Book Antiqua" w:cs="Arial"/>
                <w:sz w:val="24"/>
                <w:szCs w:val="24"/>
                <w:lang w:val="en-US"/>
              </w:rPr>
              <w:t>2.8</w:t>
            </w:r>
          </w:p>
        </w:tc>
        <w:tc>
          <w:tcPr>
            <w:tcW w:w="720" w:type="dxa"/>
          </w:tcPr>
          <w:p w:rsidR="008D14E6" w:rsidRPr="00BA60F0" w:rsidRDefault="008D14E6" w:rsidP="00746849">
            <w:pPr>
              <w:adjustRightInd w:val="0"/>
              <w:snapToGrid w:val="0"/>
              <w:spacing w:after="0" w:line="360" w:lineRule="auto"/>
              <w:jc w:val="both"/>
              <w:rPr>
                <w:rFonts w:ascii="Book Antiqua" w:hAnsi="Book Antiqua" w:cs="Arial"/>
                <w:sz w:val="24"/>
                <w:szCs w:val="24"/>
                <w:lang w:val="en-US"/>
              </w:rPr>
            </w:pPr>
            <w:r w:rsidRPr="00BA60F0">
              <w:rPr>
                <w:rFonts w:ascii="Book Antiqua" w:hAnsi="Book Antiqua" w:cs="Arial"/>
                <w:sz w:val="24"/>
                <w:szCs w:val="24"/>
                <w:lang w:val="en-US"/>
              </w:rPr>
              <w:t>6.1</w:t>
            </w:r>
          </w:p>
        </w:tc>
        <w:tc>
          <w:tcPr>
            <w:tcW w:w="1639" w:type="dxa"/>
          </w:tcPr>
          <w:p w:rsidR="008D14E6" w:rsidRPr="00BA60F0" w:rsidRDefault="008D14E6" w:rsidP="00746849">
            <w:pPr>
              <w:adjustRightInd w:val="0"/>
              <w:snapToGrid w:val="0"/>
              <w:spacing w:after="0" w:line="360" w:lineRule="auto"/>
              <w:jc w:val="both"/>
              <w:rPr>
                <w:rFonts w:ascii="Book Antiqua" w:hAnsi="Book Antiqua" w:cs="Arial"/>
                <w:sz w:val="24"/>
                <w:szCs w:val="24"/>
                <w:lang w:val="en-US"/>
              </w:rPr>
            </w:pPr>
            <w:r w:rsidRPr="00BA60F0">
              <w:rPr>
                <w:rFonts w:ascii="Book Antiqua" w:hAnsi="Book Antiqua" w:cs="Arial"/>
                <w:sz w:val="24"/>
                <w:szCs w:val="24"/>
                <w:lang w:val="en-US"/>
              </w:rPr>
              <w:t>N/FN/D/F – 11/2/6/5</w:t>
            </w:r>
          </w:p>
        </w:tc>
        <w:tc>
          <w:tcPr>
            <w:tcW w:w="1061" w:type="dxa"/>
          </w:tcPr>
          <w:p w:rsidR="008D14E6" w:rsidRPr="00C419B4" w:rsidRDefault="008D14E6" w:rsidP="00746849">
            <w:pPr>
              <w:adjustRightInd w:val="0"/>
              <w:snapToGrid w:val="0"/>
              <w:spacing w:after="0" w:line="360" w:lineRule="auto"/>
              <w:jc w:val="both"/>
              <w:rPr>
                <w:rFonts w:ascii="Book Antiqua" w:hAnsi="Book Antiqua" w:cs="Arial"/>
                <w:bCs/>
                <w:sz w:val="24"/>
                <w:szCs w:val="24"/>
                <w:lang w:val="en-US"/>
              </w:rPr>
            </w:pPr>
            <w:r w:rsidRPr="00C419B4">
              <w:rPr>
                <w:rFonts w:ascii="Book Antiqua" w:hAnsi="Book Antiqua" w:cs="Arial"/>
                <w:bCs/>
                <w:sz w:val="24"/>
                <w:szCs w:val="24"/>
                <w:lang w:val="en-US"/>
              </w:rPr>
              <w:t>Schønnemann</w:t>
            </w:r>
            <w:r w:rsidR="00EB2F98" w:rsidRPr="00C419B4">
              <w:rPr>
                <w:rFonts w:ascii="Book Antiqua" w:hAnsi="Book Antiqua" w:cs="Arial"/>
                <w:bCs/>
                <w:i/>
                <w:sz w:val="24"/>
                <w:szCs w:val="24"/>
                <w:lang w:val="en-US"/>
              </w:rPr>
              <w:t xml:space="preserve"> et al</w:t>
            </w:r>
            <w:r w:rsidR="00EB2F98" w:rsidRPr="00C419B4">
              <w:rPr>
                <w:rFonts w:ascii="Book Antiqua" w:hAnsi="Book Antiqua" w:cs="Arial"/>
                <w:bCs/>
                <w:sz w:val="24"/>
                <w:szCs w:val="24"/>
                <w:vertAlign w:val="superscript"/>
                <w:lang w:val="en-US"/>
              </w:rPr>
              <w:t>[39]</w:t>
            </w:r>
            <w:r w:rsidR="00EB2F98" w:rsidRPr="00C419B4">
              <w:rPr>
                <w:rFonts w:ascii="Book Antiqua" w:hAnsi="Book Antiqua" w:cs="Arial"/>
                <w:bCs/>
                <w:sz w:val="24"/>
                <w:szCs w:val="24"/>
                <w:lang w:val="en-US"/>
              </w:rPr>
              <w:t xml:space="preserve">, </w:t>
            </w:r>
            <w:r w:rsidRPr="00C419B4">
              <w:rPr>
                <w:rFonts w:ascii="Book Antiqua" w:hAnsi="Book Antiqua" w:cs="Arial"/>
                <w:bCs/>
                <w:sz w:val="24"/>
                <w:szCs w:val="24"/>
                <w:lang w:val="en-US"/>
              </w:rPr>
              <w:t>2012</w:t>
            </w:r>
          </w:p>
        </w:tc>
      </w:tr>
      <w:tr w:rsidR="008D14E6" w:rsidRPr="00BA60F0" w:rsidTr="003D2377">
        <w:tc>
          <w:tcPr>
            <w:tcW w:w="1188" w:type="dxa"/>
          </w:tcPr>
          <w:p w:rsidR="008D14E6" w:rsidRPr="003D2377" w:rsidRDefault="008D14E6" w:rsidP="00746849">
            <w:pPr>
              <w:adjustRightInd w:val="0"/>
              <w:snapToGrid w:val="0"/>
              <w:spacing w:after="0" w:line="360" w:lineRule="auto"/>
              <w:jc w:val="both"/>
              <w:rPr>
                <w:rFonts w:ascii="Book Antiqua" w:hAnsi="Book Antiqua" w:cs="Arial"/>
                <w:bCs/>
                <w:sz w:val="24"/>
                <w:szCs w:val="24"/>
                <w:lang w:val="en-US"/>
              </w:rPr>
            </w:pPr>
            <w:r w:rsidRPr="003D2377">
              <w:rPr>
                <w:rFonts w:ascii="Book Antiqua" w:hAnsi="Book Antiqua" w:cs="Arial"/>
                <w:bCs/>
                <w:sz w:val="24"/>
                <w:szCs w:val="24"/>
                <w:lang w:val="en-US"/>
              </w:rPr>
              <w:t xml:space="preserve">Irinotecan </w:t>
            </w:r>
            <w:r w:rsidR="007952D5" w:rsidRPr="003D2377">
              <w:rPr>
                <w:rFonts w:ascii="Book Antiqua" w:hAnsi="Book Antiqua" w:cs="Arial"/>
                <w:bCs/>
                <w:i/>
                <w:sz w:val="24"/>
                <w:szCs w:val="24"/>
                <w:lang w:val="en-US"/>
              </w:rPr>
              <w:t>Vs</w:t>
            </w:r>
            <w:r w:rsidRPr="003D2377">
              <w:rPr>
                <w:rFonts w:ascii="Book Antiqua" w:hAnsi="Book Antiqua" w:cs="Arial"/>
                <w:bCs/>
                <w:sz w:val="24"/>
                <w:szCs w:val="24"/>
                <w:lang w:val="en-US"/>
              </w:rPr>
              <w:t xml:space="preserve"> </w:t>
            </w:r>
            <w:r w:rsidRPr="003D2377">
              <w:rPr>
                <w:rFonts w:ascii="Book Antiqua" w:hAnsi="Book Antiqua" w:cs="Arial"/>
                <w:bCs/>
                <w:sz w:val="24"/>
                <w:szCs w:val="24"/>
                <w:lang w:val="en-US"/>
              </w:rPr>
              <w:br/>
              <w:t>Irinotecan/</w:t>
            </w:r>
            <w:r w:rsidRPr="003D2377">
              <w:rPr>
                <w:rFonts w:ascii="Book Antiqua" w:hAnsi="Book Antiqua" w:cs="Arial"/>
                <w:bCs/>
                <w:sz w:val="24"/>
                <w:szCs w:val="24"/>
                <w:lang w:val="en-US"/>
              </w:rPr>
              <w:br/>
              <w:t>mFOLFIRI</w:t>
            </w:r>
          </w:p>
        </w:tc>
        <w:tc>
          <w:tcPr>
            <w:tcW w:w="621" w:type="dxa"/>
          </w:tcPr>
          <w:p w:rsidR="008D14E6" w:rsidRPr="00BA60F0" w:rsidRDefault="008D14E6" w:rsidP="00746849">
            <w:pPr>
              <w:adjustRightInd w:val="0"/>
              <w:snapToGrid w:val="0"/>
              <w:spacing w:after="0" w:line="360" w:lineRule="auto"/>
              <w:jc w:val="both"/>
              <w:rPr>
                <w:rFonts w:ascii="Book Antiqua" w:hAnsi="Book Antiqua" w:cs="Arial"/>
                <w:sz w:val="24"/>
                <w:szCs w:val="24"/>
                <w:lang w:val="en-US"/>
              </w:rPr>
            </w:pPr>
            <w:r w:rsidRPr="00BA60F0">
              <w:rPr>
                <w:rFonts w:ascii="Book Antiqua" w:hAnsi="Book Antiqua" w:cs="Arial"/>
                <w:sz w:val="24"/>
                <w:szCs w:val="24"/>
                <w:lang w:val="en-US"/>
              </w:rPr>
              <w:t>29 vs 30</w:t>
            </w:r>
          </w:p>
        </w:tc>
        <w:tc>
          <w:tcPr>
            <w:tcW w:w="1089" w:type="dxa"/>
          </w:tcPr>
          <w:p w:rsidR="008D14E6" w:rsidRPr="00BA60F0" w:rsidRDefault="008D14E6" w:rsidP="00746849">
            <w:pPr>
              <w:adjustRightInd w:val="0"/>
              <w:snapToGrid w:val="0"/>
              <w:spacing w:after="0" w:line="360" w:lineRule="auto"/>
              <w:jc w:val="both"/>
              <w:rPr>
                <w:rFonts w:ascii="Book Antiqua" w:hAnsi="Book Antiqua" w:cs="Arial"/>
                <w:sz w:val="24"/>
                <w:szCs w:val="24"/>
                <w:lang w:val="en-US"/>
              </w:rPr>
            </w:pPr>
            <w:r w:rsidRPr="00BA60F0">
              <w:rPr>
                <w:rFonts w:ascii="Book Antiqua" w:hAnsi="Book Antiqua" w:cs="Arial"/>
                <w:sz w:val="24"/>
                <w:szCs w:val="24"/>
                <w:lang w:val="en-US"/>
              </w:rPr>
              <w:t xml:space="preserve">ECOG 0/1 – 27/2 </w:t>
            </w:r>
            <w:r w:rsidR="007952D5" w:rsidRPr="007952D5">
              <w:rPr>
                <w:rFonts w:ascii="Book Antiqua" w:hAnsi="Book Antiqua" w:cs="Arial"/>
                <w:i/>
                <w:sz w:val="24"/>
                <w:szCs w:val="24"/>
                <w:lang w:val="en-US"/>
              </w:rPr>
              <w:t>vs</w:t>
            </w:r>
            <w:r w:rsidRPr="00BA60F0">
              <w:rPr>
                <w:rFonts w:ascii="Book Antiqua" w:hAnsi="Book Antiqua" w:cs="Arial"/>
                <w:sz w:val="24"/>
                <w:szCs w:val="24"/>
                <w:lang w:val="en-US"/>
              </w:rPr>
              <w:t xml:space="preserve"> </w:t>
            </w:r>
            <w:r w:rsidRPr="00BA60F0">
              <w:rPr>
                <w:rFonts w:ascii="Book Antiqua" w:hAnsi="Book Antiqua" w:cs="Arial"/>
                <w:sz w:val="24"/>
                <w:szCs w:val="24"/>
                <w:lang w:val="en-US"/>
              </w:rPr>
              <w:br/>
              <w:t>27/3</w:t>
            </w:r>
          </w:p>
        </w:tc>
        <w:tc>
          <w:tcPr>
            <w:tcW w:w="1890" w:type="dxa"/>
          </w:tcPr>
          <w:p w:rsidR="008D14E6" w:rsidRPr="00BA60F0" w:rsidRDefault="008D14E6" w:rsidP="00746849">
            <w:pPr>
              <w:adjustRightInd w:val="0"/>
              <w:snapToGrid w:val="0"/>
              <w:spacing w:after="0" w:line="360" w:lineRule="auto"/>
              <w:jc w:val="both"/>
              <w:rPr>
                <w:rFonts w:ascii="Book Antiqua" w:hAnsi="Book Antiqua" w:cs="Arial"/>
                <w:sz w:val="24"/>
                <w:szCs w:val="24"/>
                <w:lang w:val="en-US"/>
              </w:rPr>
            </w:pPr>
            <w:r w:rsidRPr="00BA60F0">
              <w:rPr>
                <w:rFonts w:ascii="Book Antiqua" w:hAnsi="Book Antiqua" w:cs="Arial"/>
                <w:sz w:val="24"/>
                <w:szCs w:val="24"/>
                <w:lang w:val="en-US"/>
              </w:rPr>
              <w:t>Iri 150 d1 q14</w:t>
            </w:r>
          </w:p>
          <w:p w:rsidR="008D14E6" w:rsidRPr="00BA60F0" w:rsidRDefault="008D14E6" w:rsidP="00746849">
            <w:pPr>
              <w:adjustRightInd w:val="0"/>
              <w:snapToGrid w:val="0"/>
              <w:spacing w:after="0" w:line="360" w:lineRule="auto"/>
              <w:jc w:val="both"/>
              <w:rPr>
                <w:rFonts w:ascii="Book Antiqua" w:hAnsi="Book Antiqua" w:cs="Arial"/>
                <w:sz w:val="24"/>
                <w:szCs w:val="24"/>
                <w:lang w:val="en-US"/>
              </w:rPr>
            </w:pPr>
            <w:r w:rsidRPr="00BA60F0">
              <w:rPr>
                <w:rFonts w:ascii="Book Antiqua" w:hAnsi="Book Antiqua" w:cs="Arial"/>
                <w:sz w:val="24"/>
                <w:szCs w:val="24"/>
                <w:lang w:val="en-US"/>
              </w:rPr>
              <w:t>Iri/mFOLFIRI 150 d1+LV20 d1, 5-FU 2000 over 48h</w:t>
            </w:r>
          </w:p>
        </w:tc>
        <w:tc>
          <w:tcPr>
            <w:tcW w:w="810" w:type="dxa"/>
          </w:tcPr>
          <w:p w:rsidR="008D14E6" w:rsidRPr="00BA60F0" w:rsidRDefault="008D14E6" w:rsidP="00746849">
            <w:pPr>
              <w:adjustRightInd w:val="0"/>
              <w:snapToGrid w:val="0"/>
              <w:spacing w:after="0" w:line="360" w:lineRule="auto"/>
              <w:jc w:val="both"/>
              <w:rPr>
                <w:rFonts w:ascii="Book Antiqua" w:hAnsi="Book Antiqua" w:cs="Arial"/>
                <w:sz w:val="24"/>
                <w:szCs w:val="24"/>
                <w:lang w:val="en-US"/>
              </w:rPr>
            </w:pPr>
            <w:r w:rsidRPr="00BA60F0">
              <w:rPr>
                <w:rFonts w:ascii="Book Antiqua" w:hAnsi="Book Antiqua" w:cs="Arial"/>
                <w:sz w:val="24"/>
                <w:szCs w:val="24"/>
                <w:lang w:val="en-US"/>
              </w:rPr>
              <w:t xml:space="preserve">17.2 </w:t>
            </w:r>
            <w:r w:rsidR="007952D5" w:rsidRPr="007952D5">
              <w:rPr>
                <w:rFonts w:ascii="Book Antiqua" w:hAnsi="Book Antiqua" w:cs="Arial"/>
                <w:i/>
                <w:sz w:val="24"/>
                <w:szCs w:val="24"/>
                <w:lang w:val="en-US"/>
              </w:rPr>
              <w:t>vs</w:t>
            </w:r>
            <w:r w:rsidRPr="00BA60F0">
              <w:rPr>
                <w:rFonts w:ascii="Book Antiqua" w:hAnsi="Book Antiqua" w:cs="Arial"/>
                <w:sz w:val="24"/>
                <w:szCs w:val="24"/>
                <w:lang w:val="en-US"/>
              </w:rPr>
              <w:t xml:space="preserve"> 20.0</w:t>
            </w:r>
          </w:p>
        </w:tc>
        <w:tc>
          <w:tcPr>
            <w:tcW w:w="697" w:type="dxa"/>
          </w:tcPr>
          <w:p w:rsidR="008D14E6" w:rsidRPr="00BA60F0" w:rsidRDefault="008D14E6" w:rsidP="00746849">
            <w:pPr>
              <w:adjustRightInd w:val="0"/>
              <w:snapToGrid w:val="0"/>
              <w:spacing w:after="0" w:line="360" w:lineRule="auto"/>
              <w:jc w:val="both"/>
              <w:rPr>
                <w:rFonts w:ascii="Book Antiqua" w:hAnsi="Book Antiqua" w:cs="Arial"/>
                <w:sz w:val="24"/>
                <w:szCs w:val="24"/>
                <w:lang w:val="en-US"/>
              </w:rPr>
            </w:pPr>
            <w:r w:rsidRPr="00BA60F0">
              <w:rPr>
                <w:rFonts w:ascii="Book Antiqua" w:hAnsi="Book Antiqua" w:cs="Arial"/>
                <w:sz w:val="24"/>
                <w:szCs w:val="24"/>
                <w:lang w:val="en-US"/>
              </w:rPr>
              <w:t>NR</w:t>
            </w:r>
          </w:p>
        </w:tc>
        <w:tc>
          <w:tcPr>
            <w:tcW w:w="810" w:type="dxa"/>
          </w:tcPr>
          <w:p w:rsidR="008D14E6" w:rsidRPr="00BA60F0" w:rsidRDefault="008D14E6" w:rsidP="00746849">
            <w:pPr>
              <w:adjustRightInd w:val="0"/>
              <w:snapToGrid w:val="0"/>
              <w:spacing w:after="0" w:line="360" w:lineRule="auto"/>
              <w:jc w:val="both"/>
              <w:rPr>
                <w:rFonts w:ascii="Book Antiqua" w:hAnsi="Book Antiqua" w:cs="Arial"/>
                <w:sz w:val="24"/>
                <w:szCs w:val="24"/>
                <w:lang w:val="en-US"/>
              </w:rPr>
            </w:pPr>
            <w:r w:rsidRPr="00BA60F0">
              <w:rPr>
                <w:rFonts w:ascii="Book Antiqua" w:hAnsi="Book Antiqua" w:cs="Arial"/>
                <w:sz w:val="24"/>
                <w:szCs w:val="24"/>
                <w:lang w:val="en-US"/>
              </w:rPr>
              <w:t xml:space="preserve">2.2 </w:t>
            </w:r>
            <w:r w:rsidR="007952D5" w:rsidRPr="007952D5">
              <w:rPr>
                <w:rFonts w:ascii="Book Antiqua" w:hAnsi="Book Antiqua" w:cs="Arial"/>
                <w:i/>
                <w:sz w:val="24"/>
                <w:szCs w:val="24"/>
                <w:lang w:val="en-US"/>
              </w:rPr>
              <w:t>vs</w:t>
            </w:r>
            <w:r w:rsidRPr="00BA60F0">
              <w:rPr>
                <w:rFonts w:ascii="Book Antiqua" w:hAnsi="Book Antiqua" w:cs="Arial"/>
                <w:sz w:val="24"/>
                <w:szCs w:val="24"/>
                <w:lang w:val="en-US"/>
              </w:rPr>
              <w:t xml:space="preserve"> </w:t>
            </w:r>
            <w:r w:rsidRPr="00BA60F0">
              <w:rPr>
                <w:rFonts w:ascii="Book Antiqua" w:hAnsi="Book Antiqua" w:cs="Arial"/>
                <w:sz w:val="24"/>
                <w:szCs w:val="24"/>
                <w:lang w:val="en-US"/>
              </w:rPr>
              <w:br/>
              <w:t>3.0</w:t>
            </w:r>
          </w:p>
        </w:tc>
        <w:tc>
          <w:tcPr>
            <w:tcW w:w="720" w:type="dxa"/>
          </w:tcPr>
          <w:p w:rsidR="008D14E6" w:rsidRPr="00BA60F0" w:rsidRDefault="008D14E6" w:rsidP="00746849">
            <w:pPr>
              <w:adjustRightInd w:val="0"/>
              <w:snapToGrid w:val="0"/>
              <w:spacing w:after="0" w:line="360" w:lineRule="auto"/>
              <w:jc w:val="both"/>
              <w:rPr>
                <w:rFonts w:ascii="Book Antiqua" w:hAnsi="Book Antiqua" w:cs="Arial"/>
                <w:sz w:val="24"/>
                <w:szCs w:val="24"/>
                <w:lang w:val="en-US"/>
              </w:rPr>
            </w:pPr>
            <w:r w:rsidRPr="00BA60F0">
              <w:rPr>
                <w:rFonts w:ascii="Book Antiqua" w:hAnsi="Book Antiqua" w:cs="Arial"/>
                <w:sz w:val="24"/>
                <w:szCs w:val="24"/>
                <w:lang w:val="en-US"/>
              </w:rPr>
              <w:t xml:space="preserve">5.8 </w:t>
            </w:r>
            <w:r w:rsidR="007952D5" w:rsidRPr="007952D5">
              <w:rPr>
                <w:rFonts w:ascii="Book Antiqua" w:hAnsi="Book Antiqua" w:cs="Arial"/>
                <w:i/>
                <w:sz w:val="24"/>
                <w:szCs w:val="24"/>
                <w:lang w:val="en-US"/>
              </w:rPr>
              <w:t>vs</w:t>
            </w:r>
            <w:r w:rsidRPr="00BA60F0">
              <w:rPr>
                <w:rFonts w:ascii="Book Antiqua" w:hAnsi="Book Antiqua" w:cs="Arial"/>
                <w:sz w:val="24"/>
                <w:szCs w:val="24"/>
                <w:lang w:val="en-US"/>
              </w:rPr>
              <w:t xml:space="preserve"> 6.7</w:t>
            </w:r>
          </w:p>
        </w:tc>
        <w:tc>
          <w:tcPr>
            <w:tcW w:w="1639" w:type="dxa"/>
          </w:tcPr>
          <w:p w:rsidR="008D14E6" w:rsidRPr="00BA60F0" w:rsidRDefault="008D14E6" w:rsidP="00746849">
            <w:pPr>
              <w:adjustRightInd w:val="0"/>
              <w:snapToGrid w:val="0"/>
              <w:spacing w:after="0" w:line="360" w:lineRule="auto"/>
              <w:jc w:val="both"/>
              <w:rPr>
                <w:rFonts w:ascii="Book Antiqua" w:hAnsi="Book Antiqua" w:cs="Arial"/>
                <w:sz w:val="24"/>
                <w:szCs w:val="24"/>
                <w:lang w:val="en-US"/>
              </w:rPr>
            </w:pPr>
            <w:r w:rsidRPr="00BA60F0">
              <w:rPr>
                <w:rFonts w:ascii="Book Antiqua" w:hAnsi="Book Antiqua" w:cs="Arial"/>
                <w:sz w:val="24"/>
                <w:szCs w:val="24"/>
                <w:lang w:val="en-US"/>
              </w:rPr>
              <w:t xml:space="preserve">A/n/Leu/FN/Ano/As/D – 0/20/28/0/10/10/3 </w:t>
            </w:r>
            <w:r w:rsidR="007952D5" w:rsidRPr="007952D5">
              <w:rPr>
                <w:rFonts w:ascii="Book Antiqua" w:hAnsi="Book Antiqua" w:cs="Arial"/>
                <w:i/>
                <w:sz w:val="24"/>
                <w:szCs w:val="24"/>
                <w:lang w:val="en-US"/>
              </w:rPr>
              <w:t>vs</w:t>
            </w:r>
            <w:r w:rsidRPr="00BA60F0">
              <w:rPr>
                <w:rFonts w:ascii="Book Antiqua" w:hAnsi="Book Antiqua" w:cs="Arial"/>
                <w:sz w:val="24"/>
                <w:szCs w:val="24"/>
                <w:lang w:val="en-US"/>
              </w:rPr>
              <w:t xml:space="preserve"> 10/13/37/3/13/3/7</w:t>
            </w:r>
          </w:p>
        </w:tc>
        <w:tc>
          <w:tcPr>
            <w:tcW w:w="1061" w:type="dxa"/>
          </w:tcPr>
          <w:p w:rsidR="008D14E6" w:rsidRPr="00C419B4" w:rsidRDefault="008D14E6" w:rsidP="00746849">
            <w:pPr>
              <w:adjustRightInd w:val="0"/>
              <w:snapToGrid w:val="0"/>
              <w:spacing w:after="0" w:line="360" w:lineRule="auto"/>
              <w:jc w:val="both"/>
              <w:rPr>
                <w:rFonts w:ascii="Book Antiqua" w:hAnsi="Book Antiqua" w:cs="Arial"/>
                <w:bCs/>
                <w:sz w:val="24"/>
                <w:szCs w:val="24"/>
                <w:lang w:val="en-US"/>
              </w:rPr>
            </w:pPr>
            <w:r w:rsidRPr="00C419B4">
              <w:rPr>
                <w:rFonts w:ascii="Book Antiqua" w:hAnsi="Book Antiqua" w:cs="Arial"/>
                <w:bCs/>
                <w:sz w:val="24"/>
                <w:szCs w:val="24"/>
                <w:lang w:val="en-US"/>
              </w:rPr>
              <w:t>Sym</w:t>
            </w:r>
            <w:r w:rsidR="00EB2F98" w:rsidRPr="00C419B4">
              <w:rPr>
                <w:rFonts w:ascii="Book Antiqua" w:hAnsi="Book Antiqua" w:cs="Arial"/>
                <w:bCs/>
                <w:i/>
                <w:sz w:val="24"/>
                <w:szCs w:val="24"/>
                <w:lang w:val="en-US"/>
              </w:rPr>
              <w:t xml:space="preserve"> et al</w:t>
            </w:r>
            <w:r w:rsidR="00EB2F98" w:rsidRPr="00C419B4">
              <w:rPr>
                <w:rFonts w:ascii="Book Antiqua" w:hAnsi="Book Antiqua" w:cs="Arial"/>
                <w:bCs/>
                <w:sz w:val="24"/>
                <w:szCs w:val="24"/>
                <w:vertAlign w:val="superscript"/>
                <w:lang w:val="en-US"/>
              </w:rPr>
              <w:t>[40]</w:t>
            </w:r>
            <w:r w:rsidR="00EB2F98" w:rsidRPr="00C419B4">
              <w:rPr>
                <w:rFonts w:ascii="Book Antiqua" w:hAnsi="Book Antiqua" w:cs="Arial"/>
                <w:bCs/>
                <w:sz w:val="24"/>
                <w:szCs w:val="24"/>
                <w:lang w:val="en-US"/>
              </w:rPr>
              <w:t>, 2013</w:t>
            </w:r>
          </w:p>
        </w:tc>
      </w:tr>
      <w:tr w:rsidR="008D14E6" w:rsidRPr="00BA60F0" w:rsidTr="003D2377">
        <w:tc>
          <w:tcPr>
            <w:tcW w:w="1188" w:type="dxa"/>
          </w:tcPr>
          <w:p w:rsidR="008D14E6" w:rsidRPr="003D2377" w:rsidRDefault="008D14E6" w:rsidP="00746849">
            <w:pPr>
              <w:adjustRightInd w:val="0"/>
              <w:snapToGrid w:val="0"/>
              <w:spacing w:after="0" w:line="360" w:lineRule="auto"/>
              <w:jc w:val="both"/>
              <w:rPr>
                <w:rFonts w:ascii="Book Antiqua" w:hAnsi="Book Antiqua" w:cs="Arial"/>
                <w:bCs/>
                <w:sz w:val="24"/>
                <w:szCs w:val="24"/>
                <w:lang w:val="en-US"/>
              </w:rPr>
            </w:pPr>
            <w:r w:rsidRPr="003D2377">
              <w:rPr>
                <w:rFonts w:ascii="Book Antiqua" w:hAnsi="Book Antiqua" w:cs="Arial"/>
                <w:bCs/>
                <w:sz w:val="24"/>
                <w:szCs w:val="24"/>
                <w:lang w:val="en-US"/>
              </w:rPr>
              <w:t>Paclitaxe</w:t>
            </w:r>
            <w:r w:rsidRPr="003D2377">
              <w:rPr>
                <w:rFonts w:ascii="Book Antiqua" w:hAnsi="Book Antiqua" w:cs="Arial"/>
                <w:bCs/>
                <w:sz w:val="24"/>
                <w:szCs w:val="24"/>
                <w:lang w:val="en-US"/>
              </w:rPr>
              <w:lastRenderedPageBreak/>
              <w:t>l/</w:t>
            </w:r>
            <w:r w:rsidRPr="003D2377">
              <w:rPr>
                <w:rFonts w:ascii="Book Antiqua" w:hAnsi="Book Antiqua" w:cs="Arial"/>
                <w:bCs/>
                <w:sz w:val="24"/>
                <w:szCs w:val="24"/>
                <w:lang w:val="en-US"/>
              </w:rPr>
              <w:br/>
              <w:t>Doxifluridine</w:t>
            </w:r>
          </w:p>
        </w:tc>
        <w:tc>
          <w:tcPr>
            <w:tcW w:w="621" w:type="dxa"/>
          </w:tcPr>
          <w:p w:rsidR="008D14E6" w:rsidRPr="00BA60F0" w:rsidRDefault="008D14E6" w:rsidP="00746849">
            <w:pPr>
              <w:adjustRightInd w:val="0"/>
              <w:snapToGrid w:val="0"/>
              <w:spacing w:after="0" w:line="360" w:lineRule="auto"/>
              <w:jc w:val="both"/>
              <w:rPr>
                <w:rFonts w:ascii="Book Antiqua" w:hAnsi="Book Antiqua" w:cs="Arial"/>
                <w:sz w:val="24"/>
                <w:szCs w:val="24"/>
                <w:lang w:val="en-US"/>
              </w:rPr>
            </w:pPr>
            <w:r w:rsidRPr="00BA60F0">
              <w:rPr>
                <w:rFonts w:ascii="Book Antiqua" w:hAnsi="Book Antiqua" w:cs="Arial"/>
                <w:sz w:val="24"/>
                <w:szCs w:val="24"/>
                <w:lang w:val="en-US"/>
              </w:rPr>
              <w:lastRenderedPageBreak/>
              <w:t>52/</w:t>
            </w:r>
            <w:r w:rsidRPr="00BA60F0">
              <w:rPr>
                <w:rFonts w:ascii="Book Antiqua" w:hAnsi="Book Antiqua" w:cs="Arial"/>
                <w:sz w:val="24"/>
                <w:szCs w:val="24"/>
                <w:lang w:val="en-US"/>
              </w:rPr>
              <w:lastRenderedPageBreak/>
              <w:t>25</w:t>
            </w:r>
          </w:p>
        </w:tc>
        <w:tc>
          <w:tcPr>
            <w:tcW w:w="1089" w:type="dxa"/>
          </w:tcPr>
          <w:p w:rsidR="008D14E6" w:rsidRPr="00BA60F0" w:rsidRDefault="008D14E6" w:rsidP="00746849">
            <w:pPr>
              <w:adjustRightInd w:val="0"/>
              <w:snapToGrid w:val="0"/>
              <w:spacing w:after="0" w:line="360" w:lineRule="auto"/>
              <w:jc w:val="both"/>
              <w:rPr>
                <w:rFonts w:ascii="Book Antiqua" w:hAnsi="Book Antiqua" w:cs="Arial"/>
                <w:sz w:val="24"/>
                <w:szCs w:val="24"/>
                <w:lang w:val="en-US"/>
              </w:rPr>
            </w:pPr>
            <w:r w:rsidRPr="00BA60F0">
              <w:rPr>
                <w:rFonts w:ascii="Book Antiqua" w:hAnsi="Book Antiqua" w:cs="Arial"/>
                <w:sz w:val="24"/>
                <w:szCs w:val="24"/>
                <w:lang w:val="en-US"/>
              </w:rPr>
              <w:lastRenderedPageBreak/>
              <w:t xml:space="preserve">ECOG </w:t>
            </w:r>
            <w:r w:rsidRPr="00BA60F0">
              <w:rPr>
                <w:rFonts w:ascii="Book Antiqua" w:hAnsi="Book Antiqua" w:cs="Arial"/>
                <w:sz w:val="24"/>
                <w:szCs w:val="24"/>
                <w:lang w:val="en-US"/>
              </w:rPr>
              <w:lastRenderedPageBreak/>
              <w:t>R 0-2</w:t>
            </w:r>
          </w:p>
        </w:tc>
        <w:tc>
          <w:tcPr>
            <w:tcW w:w="1890" w:type="dxa"/>
          </w:tcPr>
          <w:p w:rsidR="008D14E6" w:rsidRPr="00BA60F0" w:rsidRDefault="008D14E6" w:rsidP="00746849">
            <w:pPr>
              <w:adjustRightInd w:val="0"/>
              <w:snapToGrid w:val="0"/>
              <w:spacing w:after="0" w:line="360" w:lineRule="auto"/>
              <w:jc w:val="both"/>
              <w:rPr>
                <w:rFonts w:ascii="Book Antiqua" w:hAnsi="Book Antiqua" w:cs="Arial"/>
                <w:sz w:val="24"/>
                <w:szCs w:val="24"/>
                <w:lang w:val="en-US"/>
              </w:rPr>
            </w:pPr>
            <w:r w:rsidRPr="00BA60F0">
              <w:rPr>
                <w:rFonts w:ascii="Book Antiqua" w:hAnsi="Book Antiqua" w:cs="Arial"/>
                <w:sz w:val="24"/>
                <w:szCs w:val="24"/>
                <w:lang w:val="en-US"/>
              </w:rPr>
              <w:lastRenderedPageBreak/>
              <w:t xml:space="preserve">Dox/Ptx - </w:t>
            </w:r>
            <w:r w:rsidRPr="00BA60F0">
              <w:rPr>
                <w:rFonts w:ascii="Book Antiqua" w:hAnsi="Book Antiqua" w:cs="Arial"/>
                <w:sz w:val="24"/>
                <w:szCs w:val="24"/>
                <w:lang w:val="en-US"/>
              </w:rPr>
              <w:lastRenderedPageBreak/>
              <w:t>600mg/70 d1-21/d7,14,21 q28</w:t>
            </w:r>
          </w:p>
        </w:tc>
        <w:tc>
          <w:tcPr>
            <w:tcW w:w="810" w:type="dxa"/>
          </w:tcPr>
          <w:p w:rsidR="008D14E6" w:rsidRPr="00BA60F0" w:rsidRDefault="008D14E6" w:rsidP="00746849">
            <w:pPr>
              <w:adjustRightInd w:val="0"/>
              <w:snapToGrid w:val="0"/>
              <w:spacing w:after="0" w:line="360" w:lineRule="auto"/>
              <w:jc w:val="both"/>
              <w:rPr>
                <w:rFonts w:ascii="Book Antiqua" w:hAnsi="Book Antiqua" w:cs="Arial"/>
                <w:sz w:val="24"/>
                <w:szCs w:val="24"/>
                <w:lang w:val="en-US"/>
              </w:rPr>
            </w:pPr>
            <w:r w:rsidRPr="00BA60F0">
              <w:rPr>
                <w:rFonts w:ascii="Book Antiqua" w:hAnsi="Book Antiqua" w:cs="Arial"/>
                <w:sz w:val="24"/>
                <w:szCs w:val="24"/>
                <w:lang w:val="en-US"/>
              </w:rPr>
              <w:lastRenderedPageBreak/>
              <w:t>28.0</w:t>
            </w:r>
          </w:p>
        </w:tc>
        <w:tc>
          <w:tcPr>
            <w:tcW w:w="697" w:type="dxa"/>
          </w:tcPr>
          <w:p w:rsidR="008D14E6" w:rsidRPr="00BA60F0" w:rsidRDefault="008D14E6" w:rsidP="00746849">
            <w:pPr>
              <w:adjustRightInd w:val="0"/>
              <w:snapToGrid w:val="0"/>
              <w:spacing w:after="0" w:line="360" w:lineRule="auto"/>
              <w:jc w:val="both"/>
              <w:rPr>
                <w:rFonts w:ascii="Book Antiqua" w:hAnsi="Book Antiqua" w:cs="Arial"/>
                <w:sz w:val="24"/>
                <w:szCs w:val="24"/>
                <w:lang w:val="en-US"/>
              </w:rPr>
            </w:pPr>
            <w:r w:rsidRPr="00BA60F0">
              <w:rPr>
                <w:rFonts w:ascii="Book Antiqua" w:hAnsi="Book Antiqua" w:cs="Arial"/>
                <w:sz w:val="24"/>
                <w:szCs w:val="24"/>
                <w:lang w:val="en-US"/>
              </w:rPr>
              <w:t>NR</w:t>
            </w:r>
          </w:p>
        </w:tc>
        <w:tc>
          <w:tcPr>
            <w:tcW w:w="810" w:type="dxa"/>
          </w:tcPr>
          <w:p w:rsidR="008D14E6" w:rsidRPr="00BA60F0" w:rsidRDefault="008D14E6" w:rsidP="00746849">
            <w:pPr>
              <w:adjustRightInd w:val="0"/>
              <w:snapToGrid w:val="0"/>
              <w:spacing w:after="0" w:line="360" w:lineRule="auto"/>
              <w:jc w:val="both"/>
              <w:rPr>
                <w:rFonts w:ascii="Book Antiqua" w:hAnsi="Book Antiqua" w:cs="Arial"/>
                <w:sz w:val="24"/>
                <w:szCs w:val="24"/>
                <w:lang w:val="en-US"/>
              </w:rPr>
            </w:pPr>
            <w:r w:rsidRPr="00BA60F0">
              <w:rPr>
                <w:rFonts w:ascii="Book Antiqua" w:hAnsi="Book Antiqua" w:cs="Arial"/>
                <w:sz w:val="24"/>
                <w:szCs w:val="24"/>
                <w:lang w:val="en-US"/>
              </w:rPr>
              <w:t>NR</w:t>
            </w:r>
          </w:p>
        </w:tc>
        <w:tc>
          <w:tcPr>
            <w:tcW w:w="720" w:type="dxa"/>
          </w:tcPr>
          <w:p w:rsidR="008D14E6" w:rsidRPr="00BA60F0" w:rsidRDefault="008D14E6" w:rsidP="00746849">
            <w:pPr>
              <w:adjustRightInd w:val="0"/>
              <w:snapToGrid w:val="0"/>
              <w:spacing w:after="0" w:line="360" w:lineRule="auto"/>
              <w:jc w:val="both"/>
              <w:rPr>
                <w:rFonts w:ascii="Book Antiqua" w:hAnsi="Book Antiqua" w:cs="Arial"/>
                <w:sz w:val="24"/>
                <w:szCs w:val="24"/>
                <w:lang w:val="en-US"/>
              </w:rPr>
            </w:pPr>
            <w:r w:rsidRPr="00BA60F0">
              <w:rPr>
                <w:rFonts w:ascii="Book Antiqua" w:hAnsi="Book Antiqua" w:cs="Arial"/>
                <w:sz w:val="24"/>
                <w:szCs w:val="24"/>
                <w:lang w:val="en-US"/>
              </w:rPr>
              <w:t>5.8</w:t>
            </w:r>
          </w:p>
        </w:tc>
        <w:tc>
          <w:tcPr>
            <w:tcW w:w="1639" w:type="dxa"/>
          </w:tcPr>
          <w:p w:rsidR="008D14E6" w:rsidRPr="00BA60F0" w:rsidRDefault="008D14E6" w:rsidP="00746849">
            <w:pPr>
              <w:adjustRightInd w:val="0"/>
              <w:snapToGrid w:val="0"/>
              <w:spacing w:after="0" w:line="360" w:lineRule="auto"/>
              <w:jc w:val="both"/>
              <w:rPr>
                <w:rFonts w:ascii="Book Antiqua" w:hAnsi="Book Antiqua" w:cs="Arial"/>
                <w:sz w:val="24"/>
                <w:szCs w:val="24"/>
                <w:lang w:val="en-US"/>
              </w:rPr>
            </w:pPr>
            <w:r w:rsidRPr="00BA60F0">
              <w:rPr>
                <w:rFonts w:ascii="Book Antiqua" w:hAnsi="Book Antiqua" w:cs="Arial"/>
                <w:sz w:val="24"/>
                <w:szCs w:val="24"/>
                <w:lang w:val="en-US"/>
              </w:rPr>
              <w:t>L - 2</w:t>
            </w:r>
          </w:p>
        </w:tc>
        <w:tc>
          <w:tcPr>
            <w:tcW w:w="1061" w:type="dxa"/>
          </w:tcPr>
          <w:p w:rsidR="008D14E6" w:rsidRPr="00C419B4" w:rsidRDefault="008D14E6" w:rsidP="00746849">
            <w:pPr>
              <w:adjustRightInd w:val="0"/>
              <w:snapToGrid w:val="0"/>
              <w:spacing w:after="0" w:line="360" w:lineRule="auto"/>
              <w:jc w:val="both"/>
              <w:rPr>
                <w:rFonts w:ascii="Book Antiqua" w:hAnsi="Book Antiqua" w:cs="Arial"/>
                <w:bCs/>
                <w:sz w:val="24"/>
                <w:szCs w:val="24"/>
                <w:lang w:val="en-US"/>
              </w:rPr>
            </w:pPr>
            <w:r w:rsidRPr="00C419B4">
              <w:rPr>
                <w:rFonts w:ascii="Book Antiqua" w:hAnsi="Book Antiqua" w:cs="Arial"/>
                <w:bCs/>
                <w:sz w:val="24"/>
                <w:szCs w:val="24"/>
                <w:lang w:val="en-US"/>
              </w:rPr>
              <w:t>Arai</w:t>
            </w:r>
            <w:r w:rsidR="00EB2F98" w:rsidRPr="00C419B4">
              <w:rPr>
                <w:rFonts w:ascii="Book Antiqua" w:hAnsi="Book Antiqua" w:cs="Arial"/>
                <w:bCs/>
                <w:sz w:val="24"/>
                <w:szCs w:val="24"/>
                <w:lang w:val="en-US"/>
              </w:rPr>
              <w:t xml:space="preserve"> </w:t>
            </w:r>
            <w:r w:rsidR="00EB2F98" w:rsidRPr="00C419B4">
              <w:rPr>
                <w:rFonts w:ascii="Book Antiqua" w:hAnsi="Book Antiqua" w:cs="Arial"/>
                <w:bCs/>
                <w:i/>
                <w:sz w:val="24"/>
                <w:szCs w:val="24"/>
                <w:lang w:val="en-US"/>
              </w:rPr>
              <w:t xml:space="preserve">et </w:t>
            </w:r>
            <w:r w:rsidR="00EB2F98" w:rsidRPr="00C419B4">
              <w:rPr>
                <w:rFonts w:ascii="Book Antiqua" w:hAnsi="Book Antiqua" w:cs="Arial"/>
                <w:bCs/>
                <w:i/>
                <w:sz w:val="24"/>
                <w:szCs w:val="24"/>
                <w:lang w:val="en-US"/>
              </w:rPr>
              <w:lastRenderedPageBreak/>
              <w:t>al</w:t>
            </w:r>
            <w:r w:rsidR="00EB2F98" w:rsidRPr="00C419B4">
              <w:rPr>
                <w:rFonts w:ascii="Book Antiqua" w:hAnsi="Book Antiqua" w:cs="Arial"/>
                <w:bCs/>
                <w:sz w:val="24"/>
                <w:szCs w:val="24"/>
                <w:vertAlign w:val="superscript"/>
                <w:lang w:val="en-US"/>
              </w:rPr>
              <w:t>[41]</w:t>
            </w:r>
            <w:r w:rsidR="00EB2F98" w:rsidRPr="00C419B4">
              <w:rPr>
                <w:rFonts w:ascii="Book Antiqua" w:hAnsi="Book Antiqua" w:cs="Arial"/>
                <w:bCs/>
                <w:sz w:val="24"/>
                <w:szCs w:val="24"/>
                <w:lang w:val="en-US"/>
              </w:rPr>
              <w:t>, 2007</w:t>
            </w:r>
          </w:p>
        </w:tc>
      </w:tr>
      <w:tr w:rsidR="008D14E6" w:rsidRPr="00BA60F0" w:rsidTr="003D2377">
        <w:tc>
          <w:tcPr>
            <w:tcW w:w="1188" w:type="dxa"/>
          </w:tcPr>
          <w:p w:rsidR="008D14E6" w:rsidRPr="003D2377" w:rsidRDefault="008D14E6" w:rsidP="00746849">
            <w:pPr>
              <w:adjustRightInd w:val="0"/>
              <w:snapToGrid w:val="0"/>
              <w:spacing w:after="0" w:line="360" w:lineRule="auto"/>
              <w:jc w:val="both"/>
              <w:rPr>
                <w:rFonts w:ascii="Book Antiqua" w:hAnsi="Book Antiqua" w:cs="Arial"/>
                <w:bCs/>
                <w:sz w:val="24"/>
                <w:szCs w:val="24"/>
                <w:lang w:val="en-US"/>
              </w:rPr>
            </w:pPr>
            <w:r w:rsidRPr="003D2377">
              <w:rPr>
                <w:rFonts w:ascii="Book Antiqua" w:hAnsi="Book Antiqua" w:cs="Arial"/>
                <w:bCs/>
                <w:sz w:val="24"/>
                <w:szCs w:val="24"/>
                <w:lang w:val="en-US"/>
              </w:rPr>
              <w:lastRenderedPageBreak/>
              <w:t>Paclitaxel/</w:t>
            </w:r>
            <w:r w:rsidRPr="003D2377">
              <w:rPr>
                <w:rFonts w:ascii="Book Antiqua" w:hAnsi="Book Antiqua" w:cs="Arial"/>
                <w:bCs/>
                <w:sz w:val="24"/>
                <w:szCs w:val="24"/>
                <w:lang w:val="en-US"/>
              </w:rPr>
              <w:br/>
              <w:t>Doxifluridine</w:t>
            </w:r>
          </w:p>
        </w:tc>
        <w:tc>
          <w:tcPr>
            <w:tcW w:w="621" w:type="dxa"/>
          </w:tcPr>
          <w:p w:rsidR="008D14E6" w:rsidRPr="00BA60F0" w:rsidRDefault="008D14E6" w:rsidP="00746849">
            <w:pPr>
              <w:adjustRightInd w:val="0"/>
              <w:snapToGrid w:val="0"/>
              <w:spacing w:after="0" w:line="360" w:lineRule="auto"/>
              <w:jc w:val="both"/>
              <w:rPr>
                <w:rFonts w:ascii="Book Antiqua" w:hAnsi="Book Antiqua" w:cs="Arial"/>
                <w:sz w:val="24"/>
                <w:szCs w:val="24"/>
                <w:lang w:val="en-US"/>
              </w:rPr>
            </w:pPr>
            <w:r w:rsidRPr="00BA60F0">
              <w:rPr>
                <w:rFonts w:ascii="Book Antiqua" w:hAnsi="Book Antiqua" w:cs="Arial"/>
                <w:sz w:val="24"/>
                <w:szCs w:val="24"/>
                <w:lang w:val="en-US"/>
              </w:rPr>
              <w:t>33</w:t>
            </w:r>
          </w:p>
        </w:tc>
        <w:tc>
          <w:tcPr>
            <w:tcW w:w="1089" w:type="dxa"/>
          </w:tcPr>
          <w:p w:rsidR="008D14E6" w:rsidRPr="00BA60F0" w:rsidRDefault="008D14E6" w:rsidP="00746849">
            <w:pPr>
              <w:adjustRightInd w:val="0"/>
              <w:snapToGrid w:val="0"/>
              <w:spacing w:after="0" w:line="360" w:lineRule="auto"/>
              <w:jc w:val="both"/>
              <w:rPr>
                <w:rFonts w:ascii="Book Antiqua" w:hAnsi="Book Antiqua" w:cs="Arial"/>
                <w:sz w:val="24"/>
                <w:szCs w:val="24"/>
                <w:lang w:val="en-US"/>
              </w:rPr>
            </w:pPr>
            <w:r w:rsidRPr="00BA60F0">
              <w:rPr>
                <w:rFonts w:ascii="Book Antiqua" w:hAnsi="Book Antiqua" w:cs="Arial"/>
                <w:sz w:val="24"/>
                <w:szCs w:val="24"/>
                <w:lang w:val="en-US"/>
              </w:rPr>
              <w:t>ECOG 0/1/2 - 21/14/0</w:t>
            </w:r>
          </w:p>
        </w:tc>
        <w:tc>
          <w:tcPr>
            <w:tcW w:w="1890" w:type="dxa"/>
          </w:tcPr>
          <w:p w:rsidR="008D14E6" w:rsidRPr="00BA60F0" w:rsidRDefault="008D14E6" w:rsidP="00746849">
            <w:pPr>
              <w:adjustRightInd w:val="0"/>
              <w:snapToGrid w:val="0"/>
              <w:spacing w:after="0" w:line="360" w:lineRule="auto"/>
              <w:jc w:val="both"/>
              <w:rPr>
                <w:rFonts w:ascii="Book Antiqua" w:hAnsi="Book Antiqua" w:cs="Arial"/>
                <w:sz w:val="24"/>
                <w:szCs w:val="24"/>
                <w:lang w:val="en-US"/>
              </w:rPr>
            </w:pPr>
            <w:r w:rsidRPr="00BA60F0">
              <w:rPr>
                <w:rFonts w:ascii="Book Antiqua" w:hAnsi="Book Antiqua" w:cs="Arial"/>
                <w:sz w:val="24"/>
                <w:szCs w:val="24"/>
                <w:lang w:val="en-US"/>
              </w:rPr>
              <w:t xml:space="preserve">Dox/Ptx - 600mg/70 </w:t>
            </w:r>
            <w:r w:rsidRPr="00BA60F0">
              <w:rPr>
                <w:rFonts w:ascii="Book Antiqua" w:hAnsi="Book Antiqua" w:cs="Arial"/>
                <w:sz w:val="24"/>
                <w:szCs w:val="24"/>
                <w:lang w:val="en-US"/>
              </w:rPr>
              <w:br/>
              <w:t>d1-14/d1,8 q21</w:t>
            </w:r>
          </w:p>
        </w:tc>
        <w:tc>
          <w:tcPr>
            <w:tcW w:w="810" w:type="dxa"/>
          </w:tcPr>
          <w:p w:rsidR="008D14E6" w:rsidRPr="00BA60F0" w:rsidRDefault="008D14E6" w:rsidP="00746849">
            <w:pPr>
              <w:adjustRightInd w:val="0"/>
              <w:snapToGrid w:val="0"/>
              <w:spacing w:after="0" w:line="360" w:lineRule="auto"/>
              <w:jc w:val="both"/>
              <w:rPr>
                <w:rFonts w:ascii="Book Antiqua" w:hAnsi="Book Antiqua" w:cs="Arial"/>
                <w:sz w:val="24"/>
                <w:szCs w:val="24"/>
                <w:lang w:val="en-US"/>
              </w:rPr>
            </w:pPr>
            <w:r w:rsidRPr="00BA60F0">
              <w:rPr>
                <w:rFonts w:ascii="Book Antiqua" w:hAnsi="Book Antiqua" w:cs="Arial"/>
                <w:sz w:val="24"/>
                <w:szCs w:val="24"/>
                <w:lang w:val="en-US"/>
              </w:rPr>
              <w:t>18.2</w:t>
            </w:r>
          </w:p>
        </w:tc>
        <w:tc>
          <w:tcPr>
            <w:tcW w:w="697" w:type="dxa"/>
          </w:tcPr>
          <w:p w:rsidR="008D14E6" w:rsidRPr="00BA60F0" w:rsidRDefault="008D14E6" w:rsidP="00746849">
            <w:pPr>
              <w:adjustRightInd w:val="0"/>
              <w:snapToGrid w:val="0"/>
              <w:spacing w:after="0" w:line="360" w:lineRule="auto"/>
              <w:jc w:val="both"/>
              <w:rPr>
                <w:rFonts w:ascii="Book Antiqua" w:hAnsi="Book Antiqua" w:cs="Arial"/>
                <w:sz w:val="24"/>
                <w:szCs w:val="24"/>
                <w:lang w:val="en-US"/>
              </w:rPr>
            </w:pPr>
            <w:r w:rsidRPr="00BA60F0">
              <w:rPr>
                <w:rFonts w:ascii="Book Antiqua" w:hAnsi="Book Antiqua" w:cs="Arial"/>
                <w:sz w:val="24"/>
                <w:szCs w:val="24"/>
                <w:lang w:val="en-US"/>
              </w:rPr>
              <w:t>NR</w:t>
            </w:r>
          </w:p>
        </w:tc>
        <w:tc>
          <w:tcPr>
            <w:tcW w:w="810" w:type="dxa"/>
          </w:tcPr>
          <w:p w:rsidR="008D14E6" w:rsidRPr="00BA60F0" w:rsidRDefault="008D14E6" w:rsidP="00746849">
            <w:pPr>
              <w:adjustRightInd w:val="0"/>
              <w:snapToGrid w:val="0"/>
              <w:spacing w:after="0" w:line="360" w:lineRule="auto"/>
              <w:jc w:val="both"/>
              <w:rPr>
                <w:rFonts w:ascii="Book Antiqua" w:hAnsi="Book Antiqua" w:cs="Arial"/>
                <w:sz w:val="24"/>
                <w:szCs w:val="24"/>
                <w:lang w:val="en-US"/>
              </w:rPr>
            </w:pPr>
            <w:r w:rsidRPr="00BA60F0">
              <w:rPr>
                <w:rFonts w:ascii="Book Antiqua" w:hAnsi="Book Antiqua" w:cs="Arial"/>
                <w:sz w:val="24"/>
                <w:szCs w:val="24"/>
                <w:lang w:val="en-US"/>
              </w:rPr>
              <w:t>4.0</w:t>
            </w:r>
          </w:p>
        </w:tc>
        <w:tc>
          <w:tcPr>
            <w:tcW w:w="720" w:type="dxa"/>
          </w:tcPr>
          <w:p w:rsidR="008D14E6" w:rsidRPr="00BA60F0" w:rsidRDefault="008D14E6" w:rsidP="00746849">
            <w:pPr>
              <w:adjustRightInd w:val="0"/>
              <w:snapToGrid w:val="0"/>
              <w:spacing w:after="0" w:line="360" w:lineRule="auto"/>
              <w:jc w:val="both"/>
              <w:rPr>
                <w:rFonts w:ascii="Book Antiqua" w:hAnsi="Book Antiqua" w:cs="Arial"/>
                <w:sz w:val="24"/>
                <w:szCs w:val="24"/>
                <w:lang w:val="en-US"/>
              </w:rPr>
            </w:pPr>
            <w:r w:rsidRPr="00BA60F0">
              <w:rPr>
                <w:rFonts w:ascii="Book Antiqua" w:hAnsi="Book Antiqua" w:cs="Arial"/>
                <w:sz w:val="24"/>
                <w:szCs w:val="24"/>
                <w:lang w:val="en-US"/>
              </w:rPr>
              <w:t>10.7</w:t>
            </w:r>
          </w:p>
        </w:tc>
        <w:tc>
          <w:tcPr>
            <w:tcW w:w="1639" w:type="dxa"/>
          </w:tcPr>
          <w:p w:rsidR="008D14E6" w:rsidRPr="00BA60F0" w:rsidRDefault="008D14E6" w:rsidP="00746849">
            <w:pPr>
              <w:adjustRightInd w:val="0"/>
              <w:snapToGrid w:val="0"/>
              <w:spacing w:after="0" w:line="360" w:lineRule="auto"/>
              <w:jc w:val="both"/>
              <w:rPr>
                <w:rFonts w:ascii="Book Antiqua" w:hAnsi="Book Antiqua" w:cs="Arial"/>
                <w:sz w:val="24"/>
                <w:szCs w:val="24"/>
                <w:lang w:val="en-US"/>
              </w:rPr>
            </w:pPr>
            <w:r w:rsidRPr="00BA60F0">
              <w:rPr>
                <w:rFonts w:ascii="Book Antiqua" w:hAnsi="Book Antiqua" w:cs="Arial"/>
                <w:sz w:val="24"/>
                <w:szCs w:val="24"/>
                <w:lang w:val="en-US"/>
              </w:rPr>
              <w:t>A/L/N/D/FN/I/As/Neu - 17.1/11.4/22.9/2.9/ 2.9/2.9/2.9</w:t>
            </w:r>
          </w:p>
        </w:tc>
        <w:tc>
          <w:tcPr>
            <w:tcW w:w="1061" w:type="dxa"/>
          </w:tcPr>
          <w:p w:rsidR="008D14E6" w:rsidRPr="00C419B4" w:rsidRDefault="00EB2F98" w:rsidP="00746849">
            <w:pPr>
              <w:adjustRightInd w:val="0"/>
              <w:snapToGrid w:val="0"/>
              <w:spacing w:after="0" w:line="360" w:lineRule="auto"/>
              <w:jc w:val="both"/>
              <w:rPr>
                <w:rFonts w:ascii="Book Antiqua" w:hAnsi="Book Antiqua" w:cs="Arial"/>
                <w:bCs/>
                <w:sz w:val="24"/>
                <w:szCs w:val="24"/>
                <w:lang w:val="en-US"/>
              </w:rPr>
            </w:pPr>
            <w:r w:rsidRPr="00C419B4">
              <w:rPr>
                <w:rFonts w:ascii="Book Antiqua" w:hAnsi="Book Antiqua" w:cs="Arial"/>
                <w:bCs/>
                <w:sz w:val="24"/>
                <w:szCs w:val="24"/>
                <w:lang w:val="en-US"/>
              </w:rPr>
              <w:t xml:space="preserve">Takiuchi </w:t>
            </w:r>
            <w:r w:rsidRPr="00C419B4">
              <w:rPr>
                <w:rFonts w:ascii="Book Antiqua" w:hAnsi="Book Antiqua" w:cs="Arial"/>
                <w:bCs/>
                <w:i/>
                <w:sz w:val="24"/>
                <w:szCs w:val="24"/>
                <w:lang w:val="en-US"/>
              </w:rPr>
              <w:t>et al</w:t>
            </w:r>
            <w:r w:rsidRPr="00C419B4">
              <w:rPr>
                <w:rFonts w:ascii="Book Antiqua" w:hAnsi="Book Antiqua" w:cs="Arial"/>
                <w:bCs/>
                <w:sz w:val="24"/>
                <w:szCs w:val="24"/>
                <w:vertAlign w:val="superscript"/>
                <w:lang w:val="en-US"/>
              </w:rPr>
              <w:t>[42]</w:t>
            </w:r>
            <w:r w:rsidRPr="00C419B4">
              <w:rPr>
                <w:rFonts w:ascii="Book Antiqua" w:hAnsi="Book Antiqua" w:cs="Arial"/>
                <w:bCs/>
                <w:sz w:val="24"/>
                <w:szCs w:val="24"/>
                <w:lang w:val="en-US"/>
              </w:rPr>
              <w:t>, 2008</w:t>
            </w:r>
          </w:p>
        </w:tc>
      </w:tr>
      <w:tr w:rsidR="008D14E6" w:rsidRPr="00BA60F0" w:rsidTr="003D2377">
        <w:tc>
          <w:tcPr>
            <w:tcW w:w="1188" w:type="dxa"/>
          </w:tcPr>
          <w:p w:rsidR="008D14E6" w:rsidRPr="003D2377" w:rsidRDefault="008D14E6" w:rsidP="00746849">
            <w:pPr>
              <w:adjustRightInd w:val="0"/>
              <w:snapToGrid w:val="0"/>
              <w:spacing w:after="0" w:line="360" w:lineRule="auto"/>
              <w:jc w:val="both"/>
              <w:rPr>
                <w:rFonts w:ascii="Book Antiqua" w:hAnsi="Book Antiqua" w:cs="Arial"/>
                <w:bCs/>
                <w:sz w:val="24"/>
                <w:szCs w:val="24"/>
                <w:lang w:val="en-US"/>
              </w:rPr>
            </w:pPr>
            <w:r w:rsidRPr="003D2377">
              <w:rPr>
                <w:rFonts w:ascii="Book Antiqua" w:hAnsi="Book Antiqua" w:cs="Arial"/>
                <w:bCs/>
                <w:sz w:val="24"/>
                <w:szCs w:val="24"/>
                <w:lang w:val="en-US"/>
              </w:rPr>
              <w:t>Paclitaxel/</w:t>
            </w:r>
            <w:r w:rsidRPr="003D2377">
              <w:rPr>
                <w:rFonts w:ascii="Book Antiqua" w:hAnsi="Book Antiqua" w:cs="Arial"/>
                <w:bCs/>
                <w:sz w:val="24"/>
                <w:szCs w:val="24"/>
                <w:lang w:val="en-US"/>
              </w:rPr>
              <w:br/>
              <w:t>Carboplatin</w:t>
            </w:r>
          </w:p>
        </w:tc>
        <w:tc>
          <w:tcPr>
            <w:tcW w:w="621" w:type="dxa"/>
          </w:tcPr>
          <w:p w:rsidR="008D14E6" w:rsidRPr="00BA60F0" w:rsidRDefault="008D14E6" w:rsidP="00746849">
            <w:pPr>
              <w:adjustRightInd w:val="0"/>
              <w:snapToGrid w:val="0"/>
              <w:spacing w:after="0" w:line="360" w:lineRule="auto"/>
              <w:jc w:val="both"/>
              <w:rPr>
                <w:rFonts w:ascii="Book Antiqua" w:hAnsi="Book Antiqua" w:cs="Arial"/>
                <w:sz w:val="24"/>
                <w:szCs w:val="24"/>
                <w:lang w:val="en-US"/>
              </w:rPr>
            </w:pPr>
            <w:r w:rsidRPr="00BA60F0">
              <w:rPr>
                <w:rFonts w:ascii="Book Antiqua" w:hAnsi="Book Antiqua" w:cs="Arial"/>
                <w:sz w:val="24"/>
                <w:szCs w:val="24"/>
                <w:lang w:val="en-US"/>
              </w:rPr>
              <w:t>50/47</w:t>
            </w:r>
          </w:p>
        </w:tc>
        <w:tc>
          <w:tcPr>
            <w:tcW w:w="1089" w:type="dxa"/>
          </w:tcPr>
          <w:p w:rsidR="008D14E6" w:rsidRPr="00BA60F0" w:rsidRDefault="008D14E6" w:rsidP="00746849">
            <w:pPr>
              <w:adjustRightInd w:val="0"/>
              <w:snapToGrid w:val="0"/>
              <w:spacing w:after="0" w:line="360" w:lineRule="auto"/>
              <w:jc w:val="both"/>
              <w:rPr>
                <w:rFonts w:ascii="Book Antiqua" w:hAnsi="Book Antiqua" w:cs="Arial"/>
                <w:sz w:val="24"/>
                <w:szCs w:val="24"/>
                <w:lang w:val="en-US"/>
              </w:rPr>
            </w:pPr>
            <w:r w:rsidRPr="00BA60F0">
              <w:rPr>
                <w:rFonts w:ascii="Book Antiqua" w:hAnsi="Book Antiqua" w:cs="Arial"/>
                <w:sz w:val="24"/>
                <w:szCs w:val="24"/>
                <w:lang w:val="en-US"/>
              </w:rPr>
              <w:t>ECOG 0-1/2 – 25/22</w:t>
            </w:r>
          </w:p>
        </w:tc>
        <w:tc>
          <w:tcPr>
            <w:tcW w:w="1890" w:type="dxa"/>
          </w:tcPr>
          <w:p w:rsidR="008D14E6" w:rsidRPr="00BA60F0" w:rsidRDefault="008D14E6" w:rsidP="00746849">
            <w:pPr>
              <w:adjustRightInd w:val="0"/>
              <w:snapToGrid w:val="0"/>
              <w:spacing w:after="0" w:line="360" w:lineRule="auto"/>
              <w:jc w:val="both"/>
              <w:rPr>
                <w:rFonts w:ascii="Book Antiqua" w:hAnsi="Book Antiqua" w:cs="Arial"/>
                <w:sz w:val="24"/>
                <w:szCs w:val="24"/>
                <w:lang w:val="en-US"/>
              </w:rPr>
            </w:pPr>
            <w:r w:rsidRPr="00BA60F0">
              <w:rPr>
                <w:rFonts w:ascii="Book Antiqua" w:hAnsi="Book Antiqua" w:cs="Arial"/>
                <w:sz w:val="24"/>
                <w:szCs w:val="24"/>
                <w:lang w:val="en-US"/>
              </w:rPr>
              <w:t>Ptx/Carbo - 175/AUC 5 d1/d1 q21</w:t>
            </w:r>
          </w:p>
        </w:tc>
        <w:tc>
          <w:tcPr>
            <w:tcW w:w="810" w:type="dxa"/>
          </w:tcPr>
          <w:p w:rsidR="008D14E6" w:rsidRPr="00BA60F0" w:rsidRDefault="008D14E6" w:rsidP="00746849">
            <w:pPr>
              <w:adjustRightInd w:val="0"/>
              <w:snapToGrid w:val="0"/>
              <w:spacing w:after="0" w:line="360" w:lineRule="auto"/>
              <w:jc w:val="both"/>
              <w:rPr>
                <w:rFonts w:ascii="Book Antiqua" w:hAnsi="Book Antiqua" w:cs="Arial"/>
                <w:sz w:val="24"/>
                <w:szCs w:val="24"/>
                <w:lang w:val="en-US"/>
              </w:rPr>
            </w:pPr>
            <w:r w:rsidRPr="00BA60F0">
              <w:rPr>
                <w:rFonts w:ascii="Book Antiqua" w:hAnsi="Book Antiqua" w:cs="Arial"/>
                <w:sz w:val="24"/>
                <w:szCs w:val="24"/>
                <w:lang w:val="en-US"/>
              </w:rPr>
              <w:t>27.7</w:t>
            </w:r>
          </w:p>
        </w:tc>
        <w:tc>
          <w:tcPr>
            <w:tcW w:w="697" w:type="dxa"/>
          </w:tcPr>
          <w:p w:rsidR="008D14E6" w:rsidRPr="00BA60F0" w:rsidRDefault="008D14E6" w:rsidP="00746849">
            <w:pPr>
              <w:adjustRightInd w:val="0"/>
              <w:snapToGrid w:val="0"/>
              <w:spacing w:after="0" w:line="360" w:lineRule="auto"/>
              <w:jc w:val="both"/>
              <w:rPr>
                <w:rFonts w:ascii="Book Antiqua" w:hAnsi="Book Antiqua" w:cs="Arial"/>
                <w:sz w:val="24"/>
                <w:szCs w:val="24"/>
                <w:lang w:val="en-US"/>
              </w:rPr>
            </w:pPr>
            <w:r w:rsidRPr="00BA60F0">
              <w:rPr>
                <w:rFonts w:ascii="Book Antiqua" w:hAnsi="Book Antiqua" w:cs="Arial"/>
                <w:sz w:val="24"/>
                <w:szCs w:val="24"/>
                <w:lang w:val="en-US"/>
              </w:rPr>
              <w:t>NR</w:t>
            </w:r>
          </w:p>
        </w:tc>
        <w:tc>
          <w:tcPr>
            <w:tcW w:w="810" w:type="dxa"/>
          </w:tcPr>
          <w:p w:rsidR="008D14E6" w:rsidRPr="00BA60F0" w:rsidRDefault="008D14E6" w:rsidP="00746849">
            <w:pPr>
              <w:adjustRightInd w:val="0"/>
              <w:snapToGrid w:val="0"/>
              <w:spacing w:after="0" w:line="360" w:lineRule="auto"/>
              <w:jc w:val="both"/>
              <w:rPr>
                <w:rFonts w:ascii="Book Antiqua" w:hAnsi="Book Antiqua" w:cs="Arial"/>
                <w:sz w:val="24"/>
                <w:szCs w:val="24"/>
                <w:lang w:val="en-US"/>
              </w:rPr>
            </w:pPr>
            <w:r w:rsidRPr="00BA60F0">
              <w:rPr>
                <w:rFonts w:ascii="Book Antiqua" w:hAnsi="Book Antiqua" w:cs="Arial"/>
                <w:sz w:val="24"/>
                <w:szCs w:val="24"/>
                <w:lang w:val="en-US"/>
              </w:rPr>
              <w:t>NR</w:t>
            </w:r>
          </w:p>
        </w:tc>
        <w:tc>
          <w:tcPr>
            <w:tcW w:w="720" w:type="dxa"/>
          </w:tcPr>
          <w:p w:rsidR="008D14E6" w:rsidRPr="00BA60F0" w:rsidRDefault="008D14E6" w:rsidP="00746849">
            <w:pPr>
              <w:adjustRightInd w:val="0"/>
              <w:snapToGrid w:val="0"/>
              <w:spacing w:after="0" w:line="360" w:lineRule="auto"/>
              <w:jc w:val="both"/>
              <w:rPr>
                <w:rFonts w:ascii="Book Antiqua" w:hAnsi="Book Antiqua" w:cs="Arial"/>
                <w:sz w:val="24"/>
                <w:szCs w:val="24"/>
                <w:lang w:val="en-US"/>
              </w:rPr>
            </w:pPr>
            <w:r w:rsidRPr="00BA60F0">
              <w:rPr>
                <w:rFonts w:ascii="Book Antiqua" w:hAnsi="Book Antiqua" w:cs="Arial"/>
                <w:sz w:val="24"/>
                <w:szCs w:val="24"/>
                <w:lang w:val="en-US"/>
              </w:rPr>
              <w:t>OS in PR/SD – 10.0/6.0</w:t>
            </w:r>
          </w:p>
        </w:tc>
        <w:tc>
          <w:tcPr>
            <w:tcW w:w="1639" w:type="dxa"/>
          </w:tcPr>
          <w:p w:rsidR="008D14E6" w:rsidRPr="00BA60F0" w:rsidRDefault="008D14E6" w:rsidP="00746849">
            <w:pPr>
              <w:adjustRightInd w:val="0"/>
              <w:snapToGrid w:val="0"/>
              <w:spacing w:after="0" w:line="360" w:lineRule="auto"/>
              <w:jc w:val="both"/>
              <w:rPr>
                <w:rFonts w:ascii="Book Antiqua" w:hAnsi="Book Antiqua" w:cs="Arial"/>
                <w:sz w:val="24"/>
                <w:szCs w:val="24"/>
                <w:lang w:val="en-US"/>
              </w:rPr>
            </w:pPr>
            <w:r w:rsidRPr="00BA60F0">
              <w:rPr>
                <w:rFonts w:ascii="Book Antiqua" w:hAnsi="Book Antiqua" w:cs="Arial"/>
                <w:sz w:val="24"/>
                <w:szCs w:val="24"/>
                <w:lang w:val="en-US"/>
              </w:rPr>
              <w:t>N/T - 8.5/4.2</w:t>
            </w:r>
          </w:p>
        </w:tc>
        <w:tc>
          <w:tcPr>
            <w:tcW w:w="1061" w:type="dxa"/>
          </w:tcPr>
          <w:p w:rsidR="008D14E6" w:rsidRPr="00C419B4" w:rsidRDefault="00EB2F98" w:rsidP="00746849">
            <w:pPr>
              <w:adjustRightInd w:val="0"/>
              <w:snapToGrid w:val="0"/>
              <w:spacing w:after="0" w:line="360" w:lineRule="auto"/>
              <w:jc w:val="both"/>
              <w:rPr>
                <w:rFonts w:ascii="Book Antiqua" w:hAnsi="Book Antiqua" w:cs="Arial"/>
                <w:bCs/>
                <w:sz w:val="24"/>
                <w:szCs w:val="24"/>
                <w:lang w:val="en-US"/>
              </w:rPr>
            </w:pPr>
            <w:r w:rsidRPr="00C419B4">
              <w:rPr>
                <w:rFonts w:ascii="Book Antiqua" w:hAnsi="Book Antiqua" w:cs="Arial"/>
                <w:bCs/>
                <w:sz w:val="24"/>
                <w:szCs w:val="24"/>
                <w:lang w:val="en-US"/>
              </w:rPr>
              <w:t xml:space="preserve">Stathopoulos </w:t>
            </w:r>
            <w:r w:rsidRPr="00C419B4">
              <w:rPr>
                <w:rFonts w:ascii="Book Antiqua" w:hAnsi="Book Antiqua" w:cs="Arial"/>
                <w:bCs/>
                <w:i/>
                <w:sz w:val="24"/>
                <w:szCs w:val="24"/>
                <w:lang w:val="en-US"/>
              </w:rPr>
              <w:t>et al</w:t>
            </w:r>
            <w:r w:rsidRPr="00C419B4">
              <w:rPr>
                <w:rFonts w:ascii="Book Antiqua" w:hAnsi="Book Antiqua" w:cs="Arial"/>
                <w:bCs/>
                <w:sz w:val="24"/>
                <w:szCs w:val="24"/>
                <w:vertAlign w:val="superscript"/>
                <w:lang w:val="en-US"/>
              </w:rPr>
              <w:t>[43]</w:t>
            </w:r>
            <w:r w:rsidRPr="00C419B4">
              <w:rPr>
                <w:rFonts w:ascii="Book Antiqua" w:hAnsi="Book Antiqua" w:cs="Arial"/>
                <w:bCs/>
                <w:sz w:val="24"/>
                <w:szCs w:val="24"/>
                <w:lang w:val="en-US"/>
              </w:rPr>
              <w:t>, 2002</w:t>
            </w:r>
          </w:p>
        </w:tc>
      </w:tr>
      <w:tr w:rsidR="008D14E6" w:rsidRPr="00BA60F0" w:rsidTr="003D2377">
        <w:tc>
          <w:tcPr>
            <w:tcW w:w="1188" w:type="dxa"/>
          </w:tcPr>
          <w:p w:rsidR="008D14E6" w:rsidRPr="003D2377" w:rsidRDefault="008D14E6" w:rsidP="00746849">
            <w:pPr>
              <w:adjustRightInd w:val="0"/>
              <w:snapToGrid w:val="0"/>
              <w:spacing w:after="0" w:line="360" w:lineRule="auto"/>
              <w:jc w:val="both"/>
              <w:rPr>
                <w:rFonts w:ascii="Book Antiqua" w:hAnsi="Book Antiqua" w:cs="Arial"/>
                <w:bCs/>
                <w:sz w:val="24"/>
                <w:szCs w:val="24"/>
                <w:lang w:val="en-US"/>
              </w:rPr>
            </w:pPr>
            <w:r w:rsidRPr="003D2377">
              <w:rPr>
                <w:rFonts w:ascii="Book Antiqua" w:hAnsi="Book Antiqua" w:cs="Arial"/>
                <w:bCs/>
                <w:sz w:val="24"/>
                <w:szCs w:val="24"/>
                <w:lang w:val="en-US"/>
              </w:rPr>
              <w:t>Paclitaxel/</w:t>
            </w:r>
            <w:r w:rsidRPr="003D2377">
              <w:rPr>
                <w:rFonts w:ascii="Book Antiqua" w:hAnsi="Book Antiqua" w:cs="Arial"/>
                <w:bCs/>
                <w:sz w:val="24"/>
                <w:szCs w:val="24"/>
                <w:lang w:val="en-US"/>
              </w:rPr>
              <w:br/>
              <w:t>Cisplatin</w:t>
            </w:r>
          </w:p>
        </w:tc>
        <w:tc>
          <w:tcPr>
            <w:tcW w:w="621" w:type="dxa"/>
          </w:tcPr>
          <w:p w:rsidR="008D14E6" w:rsidRPr="00BA60F0" w:rsidRDefault="008D14E6" w:rsidP="00746849">
            <w:pPr>
              <w:adjustRightInd w:val="0"/>
              <w:snapToGrid w:val="0"/>
              <w:spacing w:after="0" w:line="360" w:lineRule="auto"/>
              <w:jc w:val="both"/>
              <w:rPr>
                <w:rFonts w:ascii="Book Antiqua" w:hAnsi="Book Antiqua" w:cs="Arial"/>
                <w:sz w:val="24"/>
                <w:szCs w:val="24"/>
                <w:lang w:val="en-US"/>
              </w:rPr>
            </w:pPr>
            <w:r w:rsidRPr="00BA60F0">
              <w:rPr>
                <w:rFonts w:ascii="Book Antiqua" w:hAnsi="Book Antiqua" w:cs="Arial"/>
                <w:sz w:val="24"/>
                <w:szCs w:val="24"/>
                <w:lang w:val="en-US"/>
              </w:rPr>
              <w:t>32/30</w:t>
            </w:r>
          </w:p>
        </w:tc>
        <w:tc>
          <w:tcPr>
            <w:tcW w:w="1089" w:type="dxa"/>
          </w:tcPr>
          <w:p w:rsidR="008D14E6" w:rsidRPr="00BA60F0" w:rsidRDefault="008D14E6" w:rsidP="00746849">
            <w:pPr>
              <w:adjustRightInd w:val="0"/>
              <w:snapToGrid w:val="0"/>
              <w:spacing w:after="0" w:line="360" w:lineRule="auto"/>
              <w:jc w:val="both"/>
              <w:rPr>
                <w:rFonts w:ascii="Book Antiqua" w:hAnsi="Book Antiqua" w:cs="Arial"/>
                <w:sz w:val="24"/>
                <w:szCs w:val="24"/>
                <w:lang w:val="en-US"/>
              </w:rPr>
            </w:pPr>
            <w:r w:rsidRPr="00BA60F0">
              <w:rPr>
                <w:rFonts w:ascii="Book Antiqua" w:hAnsi="Book Antiqua" w:cs="Arial"/>
                <w:sz w:val="24"/>
                <w:szCs w:val="24"/>
                <w:lang w:val="en-US"/>
              </w:rPr>
              <w:t>ECOG 0-1/2 - 21/11</w:t>
            </w:r>
          </w:p>
        </w:tc>
        <w:tc>
          <w:tcPr>
            <w:tcW w:w="1890" w:type="dxa"/>
          </w:tcPr>
          <w:p w:rsidR="008D14E6" w:rsidRPr="00BA60F0" w:rsidRDefault="008D14E6" w:rsidP="00746849">
            <w:pPr>
              <w:adjustRightInd w:val="0"/>
              <w:snapToGrid w:val="0"/>
              <w:spacing w:after="0" w:line="360" w:lineRule="auto"/>
              <w:jc w:val="both"/>
              <w:rPr>
                <w:rFonts w:ascii="Book Antiqua" w:hAnsi="Book Antiqua" w:cs="Arial"/>
                <w:sz w:val="24"/>
                <w:szCs w:val="24"/>
                <w:lang w:val="en-US"/>
              </w:rPr>
            </w:pPr>
            <w:r w:rsidRPr="00BA60F0">
              <w:rPr>
                <w:rFonts w:ascii="Book Antiqua" w:hAnsi="Book Antiqua" w:cs="Arial"/>
                <w:sz w:val="24"/>
                <w:szCs w:val="24"/>
                <w:lang w:val="en-US"/>
              </w:rPr>
              <w:t>Ptx/P - 145/60 d1 q21</w:t>
            </w:r>
          </w:p>
        </w:tc>
        <w:tc>
          <w:tcPr>
            <w:tcW w:w="810" w:type="dxa"/>
          </w:tcPr>
          <w:p w:rsidR="008D14E6" w:rsidRPr="00BA60F0" w:rsidRDefault="008D14E6" w:rsidP="00746849">
            <w:pPr>
              <w:adjustRightInd w:val="0"/>
              <w:snapToGrid w:val="0"/>
              <w:spacing w:after="0" w:line="360" w:lineRule="auto"/>
              <w:jc w:val="both"/>
              <w:rPr>
                <w:rFonts w:ascii="Book Antiqua" w:hAnsi="Book Antiqua" w:cs="Arial"/>
                <w:sz w:val="24"/>
                <w:szCs w:val="24"/>
                <w:lang w:val="en-US"/>
              </w:rPr>
            </w:pPr>
            <w:r w:rsidRPr="00BA60F0">
              <w:rPr>
                <w:rFonts w:ascii="Book Antiqua" w:hAnsi="Book Antiqua" w:cs="Arial"/>
                <w:sz w:val="24"/>
                <w:szCs w:val="24"/>
                <w:lang w:val="en-US"/>
              </w:rPr>
              <w:t>25.0</w:t>
            </w:r>
          </w:p>
        </w:tc>
        <w:tc>
          <w:tcPr>
            <w:tcW w:w="697" w:type="dxa"/>
          </w:tcPr>
          <w:p w:rsidR="008D14E6" w:rsidRPr="00BA60F0" w:rsidRDefault="008D14E6" w:rsidP="00746849">
            <w:pPr>
              <w:adjustRightInd w:val="0"/>
              <w:snapToGrid w:val="0"/>
              <w:spacing w:after="0" w:line="360" w:lineRule="auto"/>
              <w:jc w:val="both"/>
              <w:rPr>
                <w:rFonts w:ascii="Book Antiqua" w:hAnsi="Book Antiqua" w:cs="Arial"/>
                <w:sz w:val="24"/>
                <w:szCs w:val="24"/>
                <w:lang w:val="en-US"/>
              </w:rPr>
            </w:pPr>
            <w:r w:rsidRPr="00BA60F0">
              <w:rPr>
                <w:rFonts w:ascii="Book Antiqua" w:hAnsi="Book Antiqua" w:cs="Arial"/>
                <w:sz w:val="24"/>
                <w:szCs w:val="24"/>
                <w:lang w:val="en-US"/>
              </w:rPr>
              <w:t>2.9</w:t>
            </w:r>
          </w:p>
        </w:tc>
        <w:tc>
          <w:tcPr>
            <w:tcW w:w="810" w:type="dxa"/>
          </w:tcPr>
          <w:p w:rsidR="008D14E6" w:rsidRPr="00BA60F0" w:rsidRDefault="008D14E6" w:rsidP="00746849">
            <w:pPr>
              <w:adjustRightInd w:val="0"/>
              <w:snapToGrid w:val="0"/>
              <w:spacing w:after="0" w:line="360" w:lineRule="auto"/>
              <w:jc w:val="both"/>
              <w:rPr>
                <w:rFonts w:ascii="Book Antiqua" w:hAnsi="Book Antiqua" w:cs="Arial"/>
                <w:sz w:val="24"/>
                <w:szCs w:val="24"/>
                <w:lang w:val="en-US"/>
              </w:rPr>
            </w:pPr>
            <w:r w:rsidRPr="00BA60F0">
              <w:rPr>
                <w:rFonts w:ascii="Book Antiqua" w:hAnsi="Book Antiqua" w:cs="Arial"/>
                <w:sz w:val="24"/>
                <w:szCs w:val="24"/>
                <w:lang w:val="en-US"/>
              </w:rPr>
              <w:t>NR</w:t>
            </w:r>
          </w:p>
        </w:tc>
        <w:tc>
          <w:tcPr>
            <w:tcW w:w="720" w:type="dxa"/>
          </w:tcPr>
          <w:p w:rsidR="008D14E6" w:rsidRPr="00BA60F0" w:rsidRDefault="008D14E6" w:rsidP="00746849">
            <w:pPr>
              <w:adjustRightInd w:val="0"/>
              <w:snapToGrid w:val="0"/>
              <w:spacing w:after="0" w:line="360" w:lineRule="auto"/>
              <w:jc w:val="both"/>
              <w:rPr>
                <w:rFonts w:ascii="Book Antiqua" w:hAnsi="Book Antiqua" w:cs="Arial"/>
                <w:sz w:val="24"/>
                <w:szCs w:val="24"/>
                <w:lang w:val="en-US"/>
              </w:rPr>
            </w:pPr>
            <w:r w:rsidRPr="00BA60F0">
              <w:rPr>
                <w:rFonts w:ascii="Book Antiqua" w:hAnsi="Book Antiqua" w:cs="Arial"/>
                <w:sz w:val="24"/>
                <w:szCs w:val="24"/>
                <w:lang w:val="en-US"/>
              </w:rPr>
              <w:t>9.1</w:t>
            </w:r>
          </w:p>
        </w:tc>
        <w:tc>
          <w:tcPr>
            <w:tcW w:w="1639" w:type="dxa"/>
          </w:tcPr>
          <w:p w:rsidR="008D14E6" w:rsidRPr="00BA60F0" w:rsidRDefault="008D14E6" w:rsidP="00746849">
            <w:pPr>
              <w:adjustRightInd w:val="0"/>
              <w:snapToGrid w:val="0"/>
              <w:spacing w:after="0" w:line="360" w:lineRule="auto"/>
              <w:jc w:val="both"/>
              <w:rPr>
                <w:rFonts w:ascii="Book Antiqua" w:hAnsi="Book Antiqua" w:cs="Arial"/>
                <w:sz w:val="24"/>
                <w:szCs w:val="24"/>
                <w:lang w:val="en-US"/>
              </w:rPr>
            </w:pPr>
            <w:r w:rsidRPr="00BA60F0">
              <w:rPr>
                <w:rFonts w:ascii="Book Antiqua" w:hAnsi="Book Antiqua" w:cs="Arial"/>
                <w:sz w:val="24"/>
                <w:szCs w:val="24"/>
                <w:lang w:val="en-US"/>
              </w:rPr>
              <w:t>N/E/Neu - 3/9/6</w:t>
            </w:r>
          </w:p>
        </w:tc>
        <w:tc>
          <w:tcPr>
            <w:tcW w:w="1061" w:type="dxa"/>
          </w:tcPr>
          <w:p w:rsidR="008D14E6" w:rsidRPr="00C419B4" w:rsidRDefault="008D14E6" w:rsidP="00746849">
            <w:pPr>
              <w:adjustRightInd w:val="0"/>
              <w:snapToGrid w:val="0"/>
              <w:spacing w:after="0" w:line="360" w:lineRule="auto"/>
              <w:jc w:val="both"/>
              <w:rPr>
                <w:rFonts w:ascii="Book Antiqua" w:hAnsi="Book Antiqua" w:cs="Arial"/>
                <w:bCs/>
                <w:sz w:val="24"/>
                <w:szCs w:val="24"/>
                <w:lang w:val="en-US"/>
              </w:rPr>
            </w:pPr>
            <w:r w:rsidRPr="00C419B4">
              <w:rPr>
                <w:rFonts w:ascii="Book Antiqua" w:hAnsi="Book Antiqua" w:cs="Arial"/>
                <w:bCs/>
                <w:sz w:val="24"/>
                <w:szCs w:val="24"/>
                <w:lang w:val="en-US"/>
              </w:rPr>
              <w:t>Lee</w:t>
            </w:r>
            <w:r w:rsidR="00EB2F98" w:rsidRPr="00C419B4">
              <w:rPr>
                <w:rFonts w:ascii="Book Antiqua" w:hAnsi="Book Antiqua" w:cs="Arial"/>
                <w:bCs/>
                <w:sz w:val="24"/>
                <w:szCs w:val="24"/>
                <w:lang w:val="en-US"/>
              </w:rPr>
              <w:t xml:space="preserve"> </w:t>
            </w:r>
            <w:r w:rsidR="00EB2F98" w:rsidRPr="00C419B4">
              <w:rPr>
                <w:rFonts w:ascii="Book Antiqua" w:hAnsi="Book Antiqua" w:cs="Arial"/>
                <w:bCs/>
                <w:i/>
                <w:sz w:val="24"/>
                <w:szCs w:val="24"/>
                <w:lang w:val="en-US"/>
              </w:rPr>
              <w:t>et al</w:t>
            </w:r>
            <w:r w:rsidR="00EB2F98" w:rsidRPr="00C419B4">
              <w:rPr>
                <w:rFonts w:ascii="Book Antiqua" w:hAnsi="Book Antiqua" w:cs="Arial"/>
                <w:bCs/>
                <w:sz w:val="24"/>
                <w:szCs w:val="24"/>
                <w:vertAlign w:val="superscript"/>
                <w:lang w:val="en-US"/>
              </w:rPr>
              <w:t>[44]</w:t>
            </w:r>
            <w:r w:rsidRPr="00C419B4">
              <w:rPr>
                <w:rFonts w:ascii="Book Antiqua" w:hAnsi="Book Antiqua" w:cs="Arial"/>
                <w:bCs/>
                <w:sz w:val="24"/>
                <w:szCs w:val="24"/>
                <w:lang w:val="en-US"/>
              </w:rPr>
              <w:t xml:space="preserve">, </w:t>
            </w:r>
            <w:r w:rsidR="00EB2F98" w:rsidRPr="00C419B4">
              <w:rPr>
                <w:rFonts w:ascii="Book Antiqua" w:hAnsi="Book Antiqua" w:cs="Arial"/>
                <w:bCs/>
                <w:sz w:val="24"/>
                <w:szCs w:val="24"/>
                <w:lang w:val="en-US"/>
              </w:rPr>
              <w:t>2007</w:t>
            </w:r>
          </w:p>
        </w:tc>
      </w:tr>
      <w:tr w:rsidR="008D14E6" w:rsidRPr="00BA60F0" w:rsidTr="003D2377">
        <w:tc>
          <w:tcPr>
            <w:tcW w:w="1188" w:type="dxa"/>
          </w:tcPr>
          <w:p w:rsidR="008D14E6" w:rsidRPr="003D2377" w:rsidRDefault="008D14E6" w:rsidP="00746849">
            <w:pPr>
              <w:adjustRightInd w:val="0"/>
              <w:snapToGrid w:val="0"/>
              <w:spacing w:after="0" w:line="360" w:lineRule="auto"/>
              <w:jc w:val="both"/>
              <w:rPr>
                <w:rFonts w:ascii="Book Antiqua" w:hAnsi="Book Antiqua" w:cs="Arial"/>
                <w:bCs/>
                <w:sz w:val="24"/>
                <w:szCs w:val="24"/>
                <w:lang w:val="en-US"/>
              </w:rPr>
            </w:pPr>
            <w:r w:rsidRPr="003D2377">
              <w:rPr>
                <w:rFonts w:ascii="Book Antiqua" w:hAnsi="Book Antiqua" w:cs="Arial"/>
                <w:bCs/>
                <w:sz w:val="24"/>
                <w:szCs w:val="24"/>
                <w:lang w:val="en-US"/>
              </w:rPr>
              <w:t>Paclitaxel/</w:t>
            </w:r>
            <w:r w:rsidRPr="003D2377">
              <w:rPr>
                <w:rFonts w:ascii="Book Antiqua" w:hAnsi="Book Antiqua" w:cs="Arial"/>
                <w:bCs/>
                <w:sz w:val="24"/>
                <w:szCs w:val="24"/>
                <w:lang w:val="en-US"/>
              </w:rPr>
              <w:br/>
              <w:t>Capecitabine</w:t>
            </w:r>
          </w:p>
        </w:tc>
        <w:tc>
          <w:tcPr>
            <w:tcW w:w="621" w:type="dxa"/>
          </w:tcPr>
          <w:p w:rsidR="008D14E6" w:rsidRPr="00BA60F0" w:rsidRDefault="008D14E6" w:rsidP="00746849">
            <w:pPr>
              <w:adjustRightInd w:val="0"/>
              <w:snapToGrid w:val="0"/>
              <w:spacing w:after="0" w:line="360" w:lineRule="auto"/>
              <w:jc w:val="both"/>
              <w:rPr>
                <w:rFonts w:ascii="Book Antiqua" w:hAnsi="Book Antiqua" w:cs="Arial"/>
                <w:sz w:val="24"/>
                <w:szCs w:val="24"/>
                <w:lang w:val="en-US"/>
              </w:rPr>
            </w:pPr>
            <w:r w:rsidRPr="00BA60F0">
              <w:rPr>
                <w:rFonts w:ascii="Book Antiqua" w:hAnsi="Book Antiqua" w:cs="Arial"/>
                <w:sz w:val="24"/>
                <w:szCs w:val="24"/>
                <w:lang w:val="en-US"/>
              </w:rPr>
              <w:t>26/26</w:t>
            </w:r>
          </w:p>
        </w:tc>
        <w:tc>
          <w:tcPr>
            <w:tcW w:w="1089" w:type="dxa"/>
          </w:tcPr>
          <w:p w:rsidR="008D14E6" w:rsidRPr="00BA60F0" w:rsidRDefault="008D14E6" w:rsidP="00746849">
            <w:pPr>
              <w:adjustRightInd w:val="0"/>
              <w:snapToGrid w:val="0"/>
              <w:spacing w:after="0" w:line="360" w:lineRule="auto"/>
              <w:jc w:val="both"/>
              <w:rPr>
                <w:rFonts w:ascii="Book Antiqua" w:hAnsi="Book Antiqua" w:cs="Arial"/>
                <w:sz w:val="24"/>
                <w:szCs w:val="24"/>
                <w:lang w:val="en-US"/>
              </w:rPr>
            </w:pPr>
            <w:r w:rsidRPr="00BA60F0">
              <w:rPr>
                <w:rFonts w:ascii="Book Antiqua" w:hAnsi="Book Antiqua" w:cs="Arial"/>
                <w:sz w:val="24"/>
                <w:szCs w:val="24"/>
                <w:lang w:val="en-US"/>
              </w:rPr>
              <w:t>ECOG 0/1/2 - 7/11/8</w:t>
            </w:r>
          </w:p>
        </w:tc>
        <w:tc>
          <w:tcPr>
            <w:tcW w:w="1890" w:type="dxa"/>
          </w:tcPr>
          <w:p w:rsidR="008D14E6" w:rsidRPr="00BA60F0" w:rsidRDefault="008D14E6" w:rsidP="00746849">
            <w:pPr>
              <w:adjustRightInd w:val="0"/>
              <w:snapToGrid w:val="0"/>
              <w:spacing w:after="0" w:line="360" w:lineRule="auto"/>
              <w:jc w:val="both"/>
              <w:rPr>
                <w:rFonts w:ascii="Book Antiqua" w:hAnsi="Book Antiqua" w:cs="Arial"/>
                <w:sz w:val="24"/>
                <w:szCs w:val="24"/>
                <w:lang w:val="en-US"/>
              </w:rPr>
            </w:pPr>
            <w:r w:rsidRPr="00BA60F0">
              <w:rPr>
                <w:rFonts w:ascii="Book Antiqua" w:hAnsi="Book Antiqua" w:cs="Arial"/>
                <w:sz w:val="24"/>
                <w:szCs w:val="24"/>
                <w:lang w:val="en-US"/>
              </w:rPr>
              <w:t>Ptx/Cap - 175/825 b.i.d d1/d1-14 q21</w:t>
            </w:r>
          </w:p>
        </w:tc>
        <w:tc>
          <w:tcPr>
            <w:tcW w:w="810" w:type="dxa"/>
          </w:tcPr>
          <w:p w:rsidR="008D14E6" w:rsidRPr="00BA60F0" w:rsidRDefault="008D14E6" w:rsidP="00746849">
            <w:pPr>
              <w:adjustRightInd w:val="0"/>
              <w:snapToGrid w:val="0"/>
              <w:spacing w:after="0" w:line="360" w:lineRule="auto"/>
              <w:jc w:val="both"/>
              <w:rPr>
                <w:rFonts w:ascii="Book Antiqua" w:hAnsi="Book Antiqua" w:cs="Arial"/>
                <w:sz w:val="24"/>
                <w:szCs w:val="24"/>
                <w:lang w:val="en-US"/>
              </w:rPr>
            </w:pPr>
            <w:r w:rsidRPr="00BA60F0">
              <w:rPr>
                <w:rFonts w:ascii="Book Antiqua" w:hAnsi="Book Antiqua" w:cs="Arial"/>
                <w:sz w:val="24"/>
                <w:szCs w:val="24"/>
                <w:lang w:val="en-US"/>
              </w:rPr>
              <w:t>34.6</w:t>
            </w:r>
          </w:p>
        </w:tc>
        <w:tc>
          <w:tcPr>
            <w:tcW w:w="697" w:type="dxa"/>
          </w:tcPr>
          <w:p w:rsidR="008D14E6" w:rsidRPr="00BA60F0" w:rsidRDefault="008D14E6" w:rsidP="00746849">
            <w:pPr>
              <w:adjustRightInd w:val="0"/>
              <w:snapToGrid w:val="0"/>
              <w:spacing w:after="0" w:line="360" w:lineRule="auto"/>
              <w:jc w:val="both"/>
              <w:rPr>
                <w:rFonts w:ascii="Book Antiqua" w:hAnsi="Book Antiqua" w:cs="Arial"/>
                <w:sz w:val="24"/>
                <w:szCs w:val="24"/>
                <w:lang w:val="en-US"/>
              </w:rPr>
            </w:pPr>
            <w:r w:rsidRPr="00BA60F0">
              <w:rPr>
                <w:rFonts w:ascii="Book Antiqua" w:hAnsi="Book Antiqua" w:cs="Arial"/>
                <w:sz w:val="24"/>
                <w:szCs w:val="24"/>
                <w:lang w:val="en-US"/>
              </w:rPr>
              <w:t>4.5</w:t>
            </w:r>
          </w:p>
        </w:tc>
        <w:tc>
          <w:tcPr>
            <w:tcW w:w="810" w:type="dxa"/>
          </w:tcPr>
          <w:p w:rsidR="008D14E6" w:rsidRPr="00BA60F0" w:rsidRDefault="008D14E6" w:rsidP="00746849">
            <w:pPr>
              <w:adjustRightInd w:val="0"/>
              <w:snapToGrid w:val="0"/>
              <w:spacing w:after="0" w:line="360" w:lineRule="auto"/>
              <w:jc w:val="both"/>
              <w:rPr>
                <w:rFonts w:ascii="Book Antiqua" w:hAnsi="Book Antiqua" w:cs="Arial"/>
                <w:sz w:val="24"/>
                <w:szCs w:val="24"/>
                <w:lang w:val="en-US"/>
              </w:rPr>
            </w:pPr>
            <w:r w:rsidRPr="00BA60F0">
              <w:rPr>
                <w:rFonts w:ascii="Book Antiqua" w:hAnsi="Book Antiqua" w:cs="Arial"/>
                <w:sz w:val="24"/>
                <w:szCs w:val="24"/>
                <w:lang w:val="en-US"/>
              </w:rPr>
              <w:t>NR</w:t>
            </w:r>
          </w:p>
        </w:tc>
        <w:tc>
          <w:tcPr>
            <w:tcW w:w="720" w:type="dxa"/>
          </w:tcPr>
          <w:p w:rsidR="008D14E6" w:rsidRPr="00BA60F0" w:rsidRDefault="008D14E6" w:rsidP="00746849">
            <w:pPr>
              <w:adjustRightInd w:val="0"/>
              <w:snapToGrid w:val="0"/>
              <w:spacing w:after="0" w:line="360" w:lineRule="auto"/>
              <w:jc w:val="both"/>
              <w:rPr>
                <w:rFonts w:ascii="Book Antiqua" w:hAnsi="Book Antiqua" w:cs="Arial"/>
                <w:sz w:val="24"/>
                <w:szCs w:val="24"/>
                <w:lang w:val="en-US"/>
              </w:rPr>
            </w:pPr>
            <w:r w:rsidRPr="00BA60F0">
              <w:rPr>
                <w:rFonts w:ascii="Book Antiqua" w:hAnsi="Book Antiqua" w:cs="Arial"/>
                <w:sz w:val="24"/>
                <w:szCs w:val="24"/>
                <w:lang w:val="en-US"/>
              </w:rPr>
              <w:t>7.5</w:t>
            </w:r>
          </w:p>
        </w:tc>
        <w:tc>
          <w:tcPr>
            <w:tcW w:w="1639" w:type="dxa"/>
          </w:tcPr>
          <w:p w:rsidR="008D14E6" w:rsidRPr="00BA60F0" w:rsidRDefault="008D14E6" w:rsidP="00746849">
            <w:pPr>
              <w:adjustRightInd w:val="0"/>
              <w:snapToGrid w:val="0"/>
              <w:spacing w:after="0" w:line="360" w:lineRule="auto"/>
              <w:jc w:val="both"/>
              <w:rPr>
                <w:rFonts w:ascii="Book Antiqua" w:hAnsi="Book Antiqua" w:cs="Arial"/>
                <w:sz w:val="24"/>
                <w:szCs w:val="24"/>
                <w:lang w:val="en-US"/>
              </w:rPr>
            </w:pPr>
            <w:r w:rsidRPr="00BA60F0">
              <w:rPr>
                <w:rFonts w:ascii="Book Antiqua" w:hAnsi="Book Antiqua" w:cs="Arial"/>
                <w:sz w:val="24"/>
                <w:szCs w:val="24"/>
                <w:lang w:val="en-US"/>
              </w:rPr>
              <w:t>A/N/T/HFS/Neu/Ar/E - 3.8/11.5/3.8/11.5/ 11.5/7.5/3.8</w:t>
            </w:r>
          </w:p>
        </w:tc>
        <w:tc>
          <w:tcPr>
            <w:tcW w:w="1061" w:type="dxa"/>
          </w:tcPr>
          <w:p w:rsidR="008D14E6" w:rsidRPr="00C419B4" w:rsidRDefault="00EB2F98" w:rsidP="00746849">
            <w:pPr>
              <w:adjustRightInd w:val="0"/>
              <w:snapToGrid w:val="0"/>
              <w:spacing w:after="0" w:line="360" w:lineRule="auto"/>
              <w:jc w:val="both"/>
              <w:rPr>
                <w:rFonts w:ascii="Book Antiqua" w:hAnsi="Book Antiqua" w:cs="Arial"/>
                <w:bCs/>
                <w:sz w:val="24"/>
                <w:szCs w:val="24"/>
                <w:lang w:val="en-US"/>
              </w:rPr>
            </w:pPr>
            <w:r w:rsidRPr="00C419B4">
              <w:rPr>
                <w:rFonts w:ascii="Book Antiqua" w:hAnsi="Book Antiqua" w:cs="Arial"/>
                <w:bCs/>
                <w:sz w:val="24"/>
                <w:szCs w:val="24"/>
                <w:lang w:val="en-US"/>
              </w:rPr>
              <w:t xml:space="preserve">Baize </w:t>
            </w:r>
            <w:r w:rsidRPr="00C419B4">
              <w:rPr>
                <w:rFonts w:ascii="Book Antiqua" w:hAnsi="Book Antiqua" w:cs="Arial"/>
                <w:bCs/>
                <w:i/>
                <w:sz w:val="24"/>
                <w:szCs w:val="24"/>
                <w:lang w:val="en-US"/>
              </w:rPr>
              <w:t>et al</w:t>
            </w:r>
            <w:r w:rsidRPr="00C419B4">
              <w:rPr>
                <w:rFonts w:ascii="Book Antiqua" w:hAnsi="Book Antiqua" w:cs="Arial"/>
                <w:bCs/>
                <w:sz w:val="24"/>
                <w:szCs w:val="24"/>
                <w:vertAlign w:val="superscript"/>
                <w:lang w:val="en-US"/>
              </w:rPr>
              <w:t>[45]</w:t>
            </w:r>
            <w:r w:rsidRPr="00C419B4">
              <w:rPr>
                <w:rFonts w:ascii="Book Antiqua" w:hAnsi="Book Antiqua" w:cs="Arial"/>
                <w:bCs/>
                <w:sz w:val="24"/>
                <w:szCs w:val="24"/>
                <w:lang w:val="en-US"/>
              </w:rPr>
              <w:t>, 2009</w:t>
            </w:r>
          </w:p>
        </w:tc>
      </w:tr>
      <w:tr w:rsidR="008D14E6" w:rsidRPr="00BA60F0" w:rsidTr="003D2377">
        <w:tc>
          <w:tcPr>
            <w:tcW w:w="1188" w:type="dxa"/>
          </w:tcPr>
          <w:p w:rsidR="008D14E6" w:rsidRPr="003D2377" w:rsidRDefault="008D14E6" w:rsidP="00746849">
            <w:pPr>
              <w:adjustRightInd w:val="0"/>
              <w:snapToGrid w:val="0"/>
              <w:spacing w:after="0" w:line="360" w:lineRule="auto"/>
              <w:jc w:val="both"/>
              <w:rPr>
                <w:rFonts w:ascii="Book Antiqua" w:hAnsi="Book Antiqua" w:cs="Arial"/>
                <w:bCs/>
                <w:sz w:val="24"/>
                <w:szCs w:val="24"/>
                <w:lang w:val="en-US"/>
              </w:rPr>
            </w:pPr>
            <w:r w:rsidRPr="003D2377">
              <w:rPr>
                <w:rFonts w:ascii="Book Antiqua" w:hAnsi="Book Antiqua" w:cs="Arial"/>
                <w:bCs/>
                <w:sz w:val="24"/>
                <w:szCs w:val="24"/>
                <w:lang w:val="en-US"/>
              </w:rPr>
              <w:t>Paclitaxe</w:t>
            </w:r>
            <w:r w:rsidRPr="003D2377">
              <w:rPr>
                <w:rFonts w:ascii="Book Antiqua" w:hAnsi="Book Antiqua" w:cs="Arial"/>
                <w:bCs/>
                <w:sz w:val="24"/>
                <w:szCs w:val="24"/>
                <w:lang w:val="en-US"/>
              </w:rPr>
              <w:lastRenderedPageBreak/>
              <w:t>l/</w:t>
            </w:r>
            <w:r w:rsidRPr="003D2377">
              <w:rPr>
                <w:rFonts w:ascii="Book Antiqua" w:hAnsi="Book Antiqua" w:cs="Arial"/>
                <w:bCs/>
                <w:sz w:val="24"/>
                <w:szCs w:val="24"/>
                <w:lang w:val="en-US"/>
              </w:rPr>
              <w:br/>
              <w:t>Capecitabine</w:t>
            </w:r>
          </w:p>
        </w:tc>
        <w:tc>
          <w:tcPr>
            <w:tcW w:w="621" w:type="dxa"/>
          </w:tcPr>
          <w:p w:rsidR="008D14E6" w:rsidRPr="00BA60F0" w:rsidRDefault="008D14E6" w:rsidP="00746849">
            <w:pPr>
              <w:adjustRightInd w:val="0"/>
              <w:snapToGrid w:val="0"/>
              <w:spacing w:after="0" w:line="360" w:lineRule="auto"/>
              <w:jc w:val="both"/>
              <w:rPr>
                <w:rFonts w:ascii="Book Antiqua" w:hAnsi="Book Antiqua" w:cs="Arial"/>
                <w:sz w:val="24"/>
                <w:szCs w:val="24"/>
                <w:lang w:val="en-US"/>
              </w:rPr>
            </w:pPr>
            <w:r w:rsidRPr="00BA60F0">
              <w:rPr>
                <w:rFonts w:ascii="Book Antiqua" w:hAnsi="Book Antiqua" w:cs="Arial"/>
                <w:sz w:val="24"/>
                <w:szCs w:val="24"/>
                <w:lang w:val="en-US"/>
              </w:rPr>
              <w:lastRenderedPageBreak/>
              <w:t>36/</w:t>
            </w:r>
            <w:r w:rsidRPr="00BA60F0">
              <w:rPr>
                <w:rFonts w:ascii="Book Antiqua" w:hAnsi="Book Antiqua" w:cs="Arial"/>
                <w:sz w:val="24"/>
                <w:szCs w:val="24"/>
                <w:lang w:val="en-US"/>
              </w:rPr>
              <w:lastRenderedPageBreak/>
              <w:t>35</w:t>
            </w:r>
          </w:p>
        </w:tc>
        <w:tc>
          <w:tcPr>
            <w:tcW w:w="1089" w:type="dxa"/>
          </w:tcPr>
          <w:p w:rsidR="008D14E6" w:rsidRPr="00BA60F0" w:rsidRDefault="008D14E6" w:rsidP="00746849">
            <w:pPr>
              <w:adjustRightInd w:val="0"/>
              <w:snapToGrid w:val="0"/>
              <w:spacing w:after="0" w:line="360" w:lineRule="auto"/>
              <w:jc w:val="both"/>
              <w:rPr>
                <w:rFonts w:ascii="Book Antiqua" w:hAnsi="Book Antiqua" w:cs="Arial"/>
                <w:sz w:val="24"/>
                <w:szCs w:val="24"/>
                <w:lang w:val="en-US"/>
              </w:rPr>
            </w:pPr>
            <w:r w:rsidRPr="00BA60F0">
              <w:rPr>
                <w:rFonts w:ascii="Book Antiqua" w:hAnsi="Book Antiqua" w:cs="Arial"/>
                <w:sz w:val="24"/>
                <w:szCs w:val="24"/>
                <w:lang w:val="en-US"/>
              </w:rPr>
              <w:lastRenderedPageBreak/>
              <w:t xml:space="preserve">KPS </w:t>
            </w:r>
            <w:r w:rsidRPr="00BA60F0">
              <w:rPr>
                <w:rFonts w:ascii="Book Antiqua" w:hAnsi="Book Antiqua" w:cs="Arial"/>
                <w:sz w:val="24"/>
                <w:szCs w:val="24"/>
                <w:lang w:val="en-US"/>
              </w:rPr>
              <w:lastRenderedPageBreak/>
              <w:t>Median 80 (R 60-100%)</w:t>
            </w:r>
          </w:p>
        </w:tc>
        <w:tc>
          <w:tcPr>
            <w:tcW w:w="1890" w:type="dxa"/>
          </w:tcPr>
          <w:p w:rsidR="008D14E6" w:rsidRPr="00BA60F0" w:rsidRDefault="008D14E6" w:rsidP="00746849">
            <w:pPr>
              <w:adjustRightInd w:val="0"/>
              <w:snapToGrid w:val="0"/>
              <w:spacing w:after="0" w:line="360" w:lineRule="auto"/>
              <w:jc w:val="both"/>
              <w:rPr>
                <w:rFonts w:ascii="Book Antiqua" w:hAnsi="Book Antiqua" w:cs="Arial"/>
                <w:sz w:val="24"/>
                <w:szCs w:val="24"/>
                <w:lang w:val="en-US"/>
              </w:rPr>
            </w:pPr>
            <w:r w:rsidRPr="00BA60F0">
              <w:rPr>
                <w:rFonts w:ascii="Book Antiqua" w:hAnsi="Book Antiqua" w:cs="Arial"/>
                <w:sz w:val="24"/>
                <w:szCs w:val="24"/>
                <w:lang w:val="en-US"/>
              </w:rPr>
              <w:lastRenderedPageBreak/>
              <w:t xml:space="preserve">Ptx/Cap - </w:t>
            </w:r>
            <w:r w:rsidRPr="00BA60F0">
              <w:rPr>
                <w:rFonts w:ascii="Book Antiqua" w:hAnsi="Book Antiqua" w:cs="Arial"/>
                <w:sz w:val="24"/>
                <w:szCs w:val="24"/>
                <w:lang w:val="en-US"/>
              </w:rPr>
              <w:lastRenderedPageBreak/>
              <w:t>80/1000 b.i.d d1,d8/d1-14 q21</w:t>
            </w:r>
          </w:p>
        </w:tc>
        <w:tc>
          <w:tcPr>
            <w:tcW w:w="810" w:type="dxa"/>
          </w:tcPr>
          <w:p w:rsidR="008D14E6" w:rsidRPr="00BA60F0" w:rsidRDefault="008D14E6" w:rsidP="00746849">
            <w:pPr>
              <w:adjustRightInd w:val="0"/>
              <w:snapToGrid w:val="0"/>
              <w:spacing w:after="0" w:line="360" w:lineRule="auto"/>
              <w:jc w:val="both"/>
              <w:rPr>
                <w:rFonts w:ascii="Book Antiqua" w:hAnsi="Book Antiqua" w:cs="Arial"/>
                <w:sz w:val="24"/>
                <w:szCs w:val="24"/>
                <w:lang w:val="en-US"/>
              </w:rPr>
            </w:pPr>
            <w:r w:rsidRPr="00BA60F0">
              <w:rPr>
                <w:rFonts w:ascii="Book Antiqua" w:hAnsi="Book Antiqua" w:cs="Arial"/>
                <w:sz w:val="24"/>
                <w:szCs w:val="24"/>
                <w:lang w:val="en-US"/>
              </w:rPr>
              <w:lastRenderedPageBreak/>
              <w:t>28.5</w:t>
            </w:r>
          </w:p>
        </w:tc>
        <w:tc>
          <w:tcPr>
            <w:tcW w:w="697" w:type="dxa"/>
          </w:tcPr>
          <w:p w:rsidR="008D14E6" w:rsidRPr="00BA60F0" w:rsidRDefault="008D14E6" w:rsidP="00746849">
            <w:pPr>
              <w:adjustRightInd w:val="0"/>
              <w:snapToGrid w:val="0"/>
              <w:spacing w:after="0" w:line="360" w:lineRule="auto"/>
              <w:jc w:val="both"/>
              <w:rPr>
                <w:rFonts w:ascii="Book Antiqua" w:hAnsi="Book Antiqua" w:cs="Arial"/>
                <w:sz w:val="24"/>
                <w:szCs w:val="24"/>
                <w:lang w:val="en-US"/>
              </w:rPr>
            </w:pPr>
            <w:r w:rsidRPr="00BA60F0">
              <w:rPr>
                <w:rFonts w:ascii="Book Antiqua" w:hAnsi="Book Antiqua" w:cs="Arial"/>
                <w:sz w:val="24"/>
                <w:szCs w:val="24"/>
                <w:lang w:val="en-US"/>
              </w:rPr>
              <w:t>NR</w:t>
            </w:r>
          </w:p>
        </w:tc>
        <w:tc>
          <w:tcPr>
            <w:tcW w:w="810" w:type="dxa"/>
          </w:tcPr>
          <w:p w:rsidR="008D14E6" w:rsidRPr="00BA60F0" w:rsidRDefault="008D14E6" w:rsidP="00746849">
            <w:pPr>
              <w:adjustRightInd w:val="0"/>
              <w:snapToGrid w:val="0"/>
              <w:spacing w:after="0" w:line="360" w:lineRule="auto"/>
              <w:jc w:val="both"/>
              <w:rPr>
                <w:rFonts w:ascii="Book Antiqua" w:hAnsi="Book Antiqua" w:cs="Arial"/>
                <w:sz w:val="24"/>
                <w:szCs w:val="24"/>
                <w:lang w:val="en-US"/>
              </w:rPr>
            </w:pPr>
            <w:r w:rsidRPr="00BA60F0">
              <w:rPr>
                <w:rFonts w:ascii="Book Antiqua" w:hAnsi="Book Antiqua" w:cs="Arial"/>
                <w:sz w:val="24"/>
                <w:szCs w:val="24"/>
                <w:lang w:val="en-US"/>
              </w:rPr>
              <w:t>5.0</w:t>
            </w:r>
          </w:p>
        </w:tc>
        <w:tc>
          <w:tcPr>
            <w:tcW w:w="720" w:type="dxa"/>
          </w:tcPr>
          <w:p w:rsidR="008D14E6" w:rsidRPr="00BA60F0" w:rsidRDefault="008D14E6" w:rsidP="00746849">
            <w:pPr>
              <w:adjustRightInd w:val="0"/>
              <w:snapToGrid w:val="0"/>
              <w:spacing w:after="0" w:line="360" w:lineRule="auto"/>
              <w:jc w:val="both"/>
              <w:rPr>
                <w:rFonts w:ascii="Book Antiqua" w:hAnsi="Book Antiqua" w:cs="Arial"/>
                <w:sz w:val="24"/>
                <w:szCs w:val="24"/>
                <w:lang w:val="en-US"/>
              </w:rPr>
            </w:pPr>
            <w:r w:rsidRPr="00BA60F0">
              <w:rPr>
                <w:rFonts w:ascii="Book Antiqua" w:hAnsi="Book Antiqua" w:cs="Arial"/>
                <w:sz w:val="24"/>
                <w:szCs w:val="24"/>
                <w:lang w:val="en-US"/>
              </w:rPr>
              <w:t>11.1</w:t>
            </w:r>
          </w:p>
        </w:tc>
        <w:tc>
          <w:tcPr>
            <w:tcW w:w="1639" w:type="dxa"/>
          </w:tcPr>
          <w:p w:rsidR="008D14E6" w:rsidRPr="00BA60F0" w:rsidRDefault="008D14E6" w:rsidP="00746849">
            <w:pPr>
              <w:adjustRightInd w:val="0"/>
              <w:snapToGrid w:val="0"/>
              <w:spacing w:after="0" w:line="360" w:lineRule="auto"/>
              <w:jc w:val="both"/>
              <w:rPr>
                <w:rFonts w:ascii="Book Antiqua" w:hAnsi="Book Antiqua" w:cs="Arial"/>
                <w:sz w:val="24"/>
                <w:szCs w:val="24"/>
                <w:lang w:val="en-US"/>
              </w:rPr>
            </w:pPr>
            <w:r w:rsidRPr="00BA60F0">
              <w:rPr>
                <w:rFonts w:ascii="Book Antiqua" w:hAnsi="Book Antiqua" w:cs="Arial"/>
                <w:sz w:val="24"/>
                <w:szCs w:val="24"/>
                <w:lang w:val="en-US"/>
              </w:rPr>
              <w:t xml:space="preserve">N/N-E/HFS </w:t>
            </w:r>
            <w:r w:rsidRPr="00BA60F0">
              <w:rPr>
                <w:rFonts w:ascii="Book Antiqua" w:hAnsi="Book Antiqua" w:cs="Arial"/>
                <w:sz w:val="24"/>
                <w:szCs w:val="24"/>
                <w:lang w:val="en-US"/>
              </w:rPr>
              <w:lastRenderedPageBreak/>
              <w:t>– 11.1/5.6/5.6</w:t>
            </w:r>
          </w:p>
        </w:tc>
        <w:tc>
          <w:tcPr>
            <w:tcW w:w="1061" w:type="dxa"/>
          </w:tcPr>
          <w:p w:rsidR="008D14E6" w:rsidRPr="00C419B4" w:rsidRDefault="008D14E6" w:rsidP="00746849">
            <w:pPr>
              <w:adjustRightInd w:val="0"/>
              <w:snapToGrid w:val="0"/>
              <w:spacing w:after="0" w:line="360" w:lineRule="auto"/>
              <w:jc w:val="both"/>
              <w:rPr>
                <w:rFonts w:ascii="Book Antiqua" w:hAnsi="Book Antiqua" w:cs="Arial"/>
                <w:bCs/>
                <w:sz w:val="24"/>
                <w:szCs w:val="24"/>
                <w:lang w:val="en-US"/>
              </w:rPr>
            </w:pPr>
            <w:r w:rsidRPr="00C419B4">
              <w:rPr>
                <w:rFonts w:ascii="Book Antiqua" w:hAnsi="Book Antiqua" w:cs="Arial"/>
                <w:bCs/>
                <w:sz w:val="24"/>
                <w:szCs w:val="24"/>
                <w:lang w:val="en-US"/>
              </w:rPr>
              <w:lastRenderedPageBreak/>
              <w:t>Zhang</w:t>
            </w:r>
            <w:r w:rsidR="00EB2F98" w:rsidRPr="00C419B4">
              <w:rPr>
                <w:rFonts w:ascii="Book Antiqua" w:hAnsi="Book Antiqua" w:cs="Arial"/>
                <w:bCs/>
                <w:sz w:val="24"/>
                <w:szCs w:val="24"/>
                <w:lang w:val="en-US"/>
              </w:rPr>
              <w:t xml:space="preserve"> </w:t>
            </w:r>
            <w:r w:rsidR="00EB2F98" w:rsidRPr="00C419B4">
              <w:rPr>
                <w:rFonts w:ascii="Book Antiqua" w:hAnsi="Book Antiqua" w:cs="Arial"/>
                <w:bCs/>
                <w:i/>
                <w:sz w:val="24"/>
                <w:szCs w:val="24"/>
                <w:lang w:val="en-US"/>
              </w:rPr>
              <w:lastRenderedPageBreak/>
              <w:t>et al</w:t>
            </w:r>
            <w:r w:rsidR="00EB2F98" w:rsidRPr="00C419B4">
              <w:rPr>
                <w:rFonts w:ascii="Book Antiqua" w:hAnsi="Book Antiqua" w:cs="Arial"/>
                <w:bCs/>
                <w:sz w:val="24"/>
                <w:szCs w:val="24"/>
                <w:vertAlign w:val="superscript"/>
                <w:lang w:val="en-US"/>
              </w:rPr>
              <w:t>[46]</w:t>
            </w:r>
            <w:r w:rsidR="00EB2F98" w:rsidRPr="00C419B4">
              <w:rPr>
                <w:rFonts w:ascii="Book Antiqua" w:hAnsi="Book Antiqua" w:cs="Arial"/>
                <w:bCs/>
                <w:sz w:val="24"/>
                <w:szCs w:val="24"/>
                <w:lang w:val="en-US"/>
              </w:rPr>
              <w:t>, 2013</w:t>
            </w:r>
          </w:p>
        </w:tc>
      </w:tr>
      <w:tr w:rsidR="008D14E6" w:rsidRPr="00BA60F0" w:rsidTr="003D2377">
        <w:tc>
          <w:tcPr>
            <w:tcW w:w="1188" w:type="dxa"/>
          </w:tcPr>
          <w:p w:rsidR="008D14E6" w:rsidRPr="003D2377" w:rsidRDefault="008D14E6" w:rsidP="00746849">
            <w:pPr>
              <w:adjustRightInd w:val="0"/>
              <w:snapToGrid w:val="0"/>
              <w:spacing w:after="0" w:line="360" w:lineRule="auto"/>
              <w:jc w:val="both"/>
              <w:rPr>
                <w:rFonts w:ascii="Book Antiqua" w:hAnsi="Book Antiqua" w:cs="Arial"/>
                <w:bCs/>
                <w:sz w:val="24"/>
                <w:szCs w:val="24"/>
                <w:lang w:val="en-US"/>
              </w:rPr>
            </w:pPr>
            <w:r w:rsidRPr="003D2377">
              <w:rPr>
                <w:rFonts w:ascii="Book Antiqua" w:hAnsi="Book Antiqua" w:cs="Arial"/>
                <w:bCs/>
                <w:sz w:val="24"/>
                <w:szCs w:val="24"/>
                <w:lang w:val="en-US"/>
              </w:rPr>
              <w:lastRenderedPageBreak/>
              <w:t>Paclitaxel/</w:t>
            </w:r>
            <w:r w:rsidRPr="003D2377">
              <w:rPr>
                <w:rFonts w:ascii="Book Antiqua" w:hAnsi="Book Antiqua" w:cs="Arial"/>
                <w:bCs/>
                <w:sz w:val="24"/>
                <w:szCs w:val="24"/>
                <w:lang w:val="en-US"/>
              </w:rPr>
              <w:br/>
              <w:t>S-1</w:t>
            </w:r>
          </w:p>
        </w:tc>
        <w:tc>
          <w:tcPr>
            <w:tcW w:w="621" w:type="dxa"/>
          </w:tcPr>
          <w:p w:rsidR="008D14E6" w:rsidRPr="00BA60F0" w:rsidRDefault="008D14E6" w:rsidP="00746849">
            <w:pPr>
              <w:adjustRightInd w:val="0"/>
              <w:snapToGrid w:val="0"/>
              <w:spacing w:after="0" w:line="360" w:lineRule="auto"/>
              <w:jc w:val="both"/>
              <w:rPr>
                <w:rFonts w:ascii="Book Antiqua" w:hAnsi="Book Antiqua" w:cs="Arial"/>
                <w:sz w:val="24"/>
                <w:szCs w:val="24"/>
                <w:lang w:val="en-US"/>
              </w:rPr>
            </w:pPr>
            <w:r w:rsidRPr="00BA60F0">
              <w:rPr>
                <w:rFonts w:ascii="Book Antiqua" w:hAnsi="Book Antiqua" w:cs="Arial"/>
                <w:sz w:val="24"/>
                <w:szCs w:val="24"/>
                <w:lang w:val="en-US"/>
              </w:rPr>
              <w:t>30</w:t>
            </w:r>
          </w:p>
        </w:tc>
        <w:tc>
          <w:tcPr>
            <w:tcW w:w="1089" w:type="dxa"/>
          </w:tcPr>
          <w:p w:rsidR="008D14E6" w:rsidRPr="00BA60F0" w:rsidRDefault="008D14E6" w:rsidP="00746849">
            <w:pPr>
              <w:adjustRightInd w:val="0"/>
              <w:snapToGrid w:val="0"/>
              <w:spacing w:after="0" w:line="360" w:lineRule="auto"/>
              <w:jc w:val="both"/>
              <w:rPr>
                <w:rFonts w:ascii="Book Antiqua" w:hAnsi="Book Antiqua" w:cs="Arial"/>
                <w:sz w:val="24"/>
                <w:szCs w:val="24"/>
                <w:lang w:val="en-US"/>
              </w:rPr>
            </w:pPr>
            <w:r w:rsidRPr="00BA60F0">
              <w:rPr>
                <w:rFonts w:ascii="Book Antiqua" w:hAnsi="Book Antiqua" w:cs="Arial"/>
                <w:sz w:val="24"/>
                <w:szCs w:val="24"/>
                <w:lang w:val="en-US"/>
              </w:rPr>
              <w:t>ECOG 0-1/2 -23/7</w:t>
            </w:r>
          </w:p>
        </w:tc>
        <w:tc>
          <w:tcPr>
            <w:tcW w:w="1890" w:type="dxa"/>
          </w:tcPr>
          <w:p w:rsidR="008D14E6" w:rsidRPr="00BA60F0" w:rsidRDefault="008D14E6" w:rsidP="00746849">
            <w:pPr>
              <w:adjustRightInd w:val="0"/>
              <w:snapToGrid w:val="0"/>
              <w:spacing w:after="0" w:line="360" w:lineRule="auto"/>
              <w:jc w:val="both"/>
              <w:rPr>
                <w:rFonts w:ascii="Book Antiqua" w:hAnsi="Book Antiqua" w:cs="Arial"/>
                <w:sz w:val="24"/>
                <w:szCs w:val="24"/>
                <w:lang w:val="en-US"/>
              </w:rPr>
            </w:pPr>
            <w:r w:rsidRPr="00BA60F0">
              <w:rPr>
                <w:rFonts w:ascii="Book Antiqua" w:hAnsi="Book Antiqua" w:cs="Arial"/>
                <w:sz w:val="24"/>
                <w:szCs w:val="24"/>
                <w:lang w:val="en-US"/>
              </w:rPr>
              <w:t>Ptx/S-1 – 120 d1 q14 /80,100,120 mg/day, if BSA &lt;1.25m</w:t>
            </w:r>
            <w:r w:rsidRPr="00BA60F0">
              <w:rPr>
                <w:rFonts w:ascii="Book Antiqua" w:hAnsi="Book Antiqua" w:cs="Arial"/>
                <w:sz w:val="24"/>
                <w:szCs w:val="24"/>
                <w:vertAlign w:val="superscript"/>
                <w:lang w:val="en-US"/>
              </w:rPr>
              <w:t>2</w:t>
            </w:r>
            <w:r w:rsidRPr="00BA60F0">
              <w:rPr>
                <w:rFonts w:ascii="Book Antiqua" w:hAnsi="Book Antiqua" w:cs="Arial"/>
                <w:sz w:val="24"/>
                <w:szCs w:val="24"/>
                <w:lang w:val="en-US"/>
              </w:rPr>
              <w:t>, 1.26m</w:t>
            </w:r>
            <w:r w:rsidRPr="00BA60F0">
              <w:rPr>
                <w:rFonts w:ascii="Book Antiqua" w:hAnsi="Book Antiqua" w:cs="Arial"/>
                <w:sz w:val="24"/>
                <w:szCs w:val="24"/>
                <w:vertAlign w:val="superscript"/>
                <w:lang w:val="en-US"/>
              </w:rPr>
              <w:t>2</w:t>
            </w:r>
            <w:r w:rsidRPr="00BA60F0">
              <w:rPr>
                <w:rFonts w:ascii="Book Antiqua" w:hAnsi="Book Antiqua" w:cs="Arial"/>
                <w:sz w:val="24"/>
                <w:szCs w:val="24"/>
                <w:lang w:val="en-US"/>
              </w:rPr>
              <w:t>-1.49m</w:t>
            </w:r>
            <w:r w:rsidRPr="00BA60F0">
              <w:rPr>
                <w:rFonts w:ascii="Book Antiqua" w:hAnsi="Book Antiqua" w:cs="Arial"/>
                <w:sz w:val="24"/>
                <w:szCs w:val="24"/>
                <w:vertAlign w:val="superscript"/>
                <w:lang w:val="en-US"/>
              </w:rPr>
              <w:t>2</w:t>
            </w:r>
            <w:r w:rsidRPr="00BA60F0">
              <w:rPr>
                <w:rFonts w:ascii="Book Antiqua" w:hAnsi="Book Antiqua" w:cs="Arial"/>
                <w:sz w:val="24"/>
                <w:szCs w:val="24"/>
                <w:lang w:val="en-US"/>
              </w:rPr>
              <w:t>, ≥1.50m</w:t>
            </w:r>
            <w:r w:rsidRPr="00BA60F0">
              <w:rPr>
                <w:rFonts w:ascii="Book Antiqua" w:hAnsi="Book Antiqua" w:cs="Arial"/>
                <w:sz w:val="24"/>
                <w:szCs w:val="24"/>
                <w:vertAlign w:val="superscript"/>
                <w:lang w:val="en-US"/>
              </w:rPr>
              <w:t xml:space="preserve">2 </w:t>
            </w:r>
            <w:r w:rsidRPr="00BA60F0">
              <w:rPr>
                <w:rFonts w:ascii="Book Antiqua" w:hAnsi="Book Antiqua" w:cs="Arial"/>
                <w:sz w:val="24"/>
                <w:szCs w:val="24"/>
                <w:lang w:val="en-US"/>
              </w:rPr>
              <w:t>b.i.d. d1-7 q14</w:t>
            </w:r>
          </w:p>
        </w:tc>
        <w:tc>
          <w:tcPr>
            <w:tcW w:w="810" w:type="dxa"/>
          </w:tcPr>
          <w:p w:rsidR="008D14E6" w:rsidRPr="00BA60F0" w:rsidRDefault="008D14E6" w:rsidP="00746849">
            <w:pPr>
              <w:adjustRightInd w:val="0"/>
              <w:snapToGrid w:val="0"/>
              <w:spacing w:after="0" w:line="360" w:lineRule="auto"/>
              <w:jc w:val="both"/>
              <w:rPr>
                <w:rFonts w:ascii="Book Antiqua" w:hAnsi="Book Antiqua" w:cs="Arial"/>
                <w:sz w:val="24"/>
                <w:szCs w:val="24"/>
                <w:lang w:val="en-US"/>
              </w:rPr>
            </w:pPr>
            <w:r w:rsidRPr="00BA60F0">
              <w:rPr>
                <w:rFonts w:ascii="Book Antiqua" w:hAnsi="Book Antiqua" w:cs="Arial"/>
                <w:sz w:val="24"/>
                <w:szCs w:val="24"/>
                <w:lang w:val="en-US"/>
              </w:rPr>
              <w:t>33.3</w:t>
            </w:r>
          </w:p>
        </w:tc>
        <w:tc>
          <w:tcPr>
            <w:tcW w:w="697" w:type="dxa"/>
          </w:tcPr>
          <w:p w:rsidR="008D14E6" w:rsidRPr="00BA60F0" w:rsidRDefault="008D14E6" w:rsidP="00746849">
            <w:pPr>
              <w:adjustRightInd w:val="0"/>
              <w:snapToGrid w:val="0"/>
              <w:spacing w:after="0" w:line="360" w:lineRule="auto"/>
              <w:jc w:val="both"/>
              <w:rPr>
                <w:rFonts w:ascii="Book Antiqua" w:hAnsi="Book Antiqua" w:cs="Arial"/>
                <w:sz w:val="24"/>
                <w:szCs w:val="24"/>
                <w:lang w:val="en-US"/>
              </w:rPr>
            </w:pPr>
            <w:r w:rsidRPr="00BA60F0">
              <w:rPr>
                <w:rFonts w:ascii="Book Antiqua" w:hAnsi="Book Antiqua" w:cs="Arial"/>
                <w:sz w:val="24"/>
                <w:szCs w:val="24"/>
                <w:lang w:val="en-US"/>
              </w:rPr>
              <w:t>NR</w:t>
            </w:r>
          </w:p>
        </w:tc>
        <w:tc>
          <w:tcPr>
            <w:tcW w:w="810" w:type="dxa"/>
          </w:tcPr>
          <w:p w:rsidR="008D14E6" w:rsidRPr="00BA60F0" w:rsidRDefault="008D14E6" w:rsidP="00746849">
            <w:pPr>
              <w:adjustRightInd w:val="0"/>
              <w:snapToGrid w:val="0"/>
              <w:spacing w:after="0" w:line="360" w:lineRule="auto"/>
              <w:jc w:val="both"/>
              <w:rPr>
                <w:rFonts w:ascii="Book Antiqua" w:hAnsi="Book Antiqua" w:cs="Arial"/>
                <w:sz w:val="24"/>
                <w:szCs w:val="24"/>
                <w:lang w:val="en-US"/>
              </w:rPr>
            </w:pPr>
            <w:r w:rsidRPr="00BA60F0">
              <w:rPr>
                <w:rFonts w:ascii="Book Antiqua" w:hAnsi="Book Antiqua" w:cs="Arial"/>
                <w:sz w:val="24"/>
                <w:szCs w:val="24"/>
                <w:lang w:val="en-US"/>
              </w:rPr>
              <w:t>3.6</w:t>
            </w:r>
          </w:p>
        </w:tc>
        <w:tc>
          <w:tcPr>
            <w:tcW w:w="720" w:type="dxa"/>
          </w:tcPr>
          <w:p w:rsidR="008D14E6" w:rsidRPr="00BA60F0" w:rsidRDefault="008D14E6" w:rsidP="00746849">
            <w:pPr>
              <w:adjustRightInd w:val="0"/>
              <w:snapToGrid w:val="0"/>
              <w:spacing w:after="0" w:line="360" w:lineRule="auto"/>
              <w:jc w:val="both"/>
              <w:rPr>
                <w:rFonts w:ascii="Book Antiqua" w:hAnsi="Book Antiqua" w:cs="Arial"/>
                <w:sz w:val="24"/>
                <w:szCs w:val="24"/>
                <w:lang w:val="en-US"/>
              </w:rPr>
            </w:pPr>
            <w:r w:rsidRPr="00BA60F0">
              <w:rPr>
                <w:rFonts w:ascii="Book Antiqua" w:hAnsi="Book Antiqua" w:cs="Arial"/>
                <w:sz w:val="24"/>
                <w:szCs w:val="24"/>
                <w:lang w:val="en-US"/>
              </w:rPr>
              <w:t>7.2</w:t>
            </w:r>
          </w:p>
        </w:tc>
        <w:tc>
          <w:tcPr>
            <w:tcW w:w="1639" w:type="dxa"/>
          </w:tcPr>
          <w:p w:rsidR="008D14E6" w:rsidRPr="00BA60F0" w:rsidRDefault="008D14E6" w:rsidP="00746849">
            <w:pPr>
              <w:adjustRightInd w:val="0"/>
              <w:snapToGrid w:val="0"/>
              <w:spacing w:after="0" w:line="360" w:lineRule="auto"/>
              <w:jc w:val="both"/>
              <w:rPr>
                <w:rFonts w:ascii="Book Antiqua" w:hAnsi="Book Antiqua" w:cs="Arial"/>
                <w:sz w:val="24"/>
                <w:szCs w:val="24"/>
                <w:lang w:val="en-US"/>
              </w:rPr>
            </w:pPr>
            <w:r w:rsidRPr="00BA60F0">
              <w:rPr>
                <w:rFonts w:ascii="Book Antiqua" w:hAnsi="Book Antiqua" w:cs="Arial"/>
                <w:sz w:val="24"/>
                <w:szCs w:val="24"/>
                <w:lang w:val="en-US"/>
              </w:rPr>
              <w:t>A/Neu/T/Ano/Neu/D/F – 73.4/63.4/16.6/20/36.6/13.3/20</w:t>
            </w:r>
          </w:p>
        </w:tc>
        <w:tc>
          <w:tcPr>
            <w:tcW w:w="1061" w:type="dxa"/>
          </w:tcPr>
          <w:p w:rsidR="008D14E6" w:rsidRPr="00C419B4" w:rsidRDefault="008D14E6" w:rsidP="00746849">
            <w:pPr>
              <w:adjustRightInd w:val="0"/>
              <w:snapToGrid w:val="0"/>
              <w:spacing w:after="0" w:line="360" w:lineRule="auto"/>
              <w:jc w:val="both"/>
              <w:rPr>
                <w:rFonts w:ascii="Book Antiqua" w:hAnsi="Book Antiqua" w:cs="Arial"/>
                <w:bCs/>
                <w:sz w:val="24"/>
                <w:szCs w:val="24"/>
                <w:lang w:val="en-US"/>
              </w:rPr>
            </w:pPr>
            <w:r w:rsidRPr="00C419B4">
              <w:rPr>
                <w:rFonts w:ascii="Book Antiqua" w:hAnsi="Book Antiqua" w:cs="Arial"/>
                <w:bCs/>
                <w:sz w:val="24"/>
                <w:szCs w:val="24"/>
                <w:lang w:val="en-US"/>
              </w:rPr>
              <w:t>Zheng</w:t>
            </w:r>
            <w:r w:rsidR="00EB2F98" w:rsidRPr="00C419B4">
              <w:rPr>
                <w:rFonts w:ascii="Book Antiqua" w:hAnsi="Book Antiqua" w:cs="Arial"/>
                <w:bCs/>
                <w:sz w:val="24"/>
                <w:szCs w:val="24"/>
                <w:lang w:val="en-US"/>
              </w:rPr>
              <w:t xml:space="preserve"> </w:t>
            </w:r>
            <w:r w:rsidR="00EB2F98" w:rsidRPr="00C419B4">
              <w:rPr>
                <w:rFonts w:ascii="Book Antiqua" w:hAnsi="Book Antiqua" w:cs="Arial"/>
                <w:bCs/>
                <w:i/>
                <w:sz w:val="24"/>
                <w:szCs w:val="24"/>
                <w:lang w:val="en-US"/>
              </w:rPr>
              <w:t>et al</w:t>
            </w:r>
            <w:r w:rsidR="00EB2F98" w:rsidRPr="00C419B4">
              <w:rPr>
                <w:rFonts w:ascii="Book Antiqua" w:hAnsi="Book Antiqua" w:cs="Arial"/>
                <w:bCs/>
                <w:sz w:val="24"/>
                <w:szCs w:val="24"/>
                <w:vertAlign w:val="superscript"/>
                <w:lang w:val="en-US"/>
              </w:rPr>
              <w:t>[47]</w:t>
            </w:r>
            <w:r w:rsidR="00EB2F98" w:rsidRPr="00C419B4">
              <w:rPr>
                <w:rFonts w:ascii="Book Antiqua" w:hAnsi="Book Antiqua" w:cs="Arial"/>
                <w:bCs/>
                <w:sz w:val="24"/>
                <w:szCs w:val="24"/>
                <w:lang w:val="en-US"/>
              </w:rPr>
              <w:t xml:space="preserve">, </w:t>
            </w:r>
            <w:r w:rsidRPr="00C419B4">
              <w:rPr>
                <w:rFonts w:ascii="Book Antiqua" w:hAnsi="Book Antiqua" w:cs="Arial"/>
                <w:bCs/>
                <w:sz w:val="24"/>
                <w:szCs w:val="24"/>
                <w:lang w:val="en-US"/>
              </w:rPr>
              <w:t>2</w:t>
            </w:r>
            <w:r w:rsidR="00EB2F98" w:rsidRPr="00C419B4">
              <w:rPr>
                <w:rFonts w:ascii="Book Antiqua" w:hAnsi="Book Antiqua" w:cs="Arial"/>
                <w:bCs/>
                <w:sz w:val="24"/>
                <w:szCs w:val="24"/>
                <w:lang w:val="en-US"/>
              </w:rPr>
              <w:t>014</w:t>
            </w:r>
          </w:p>
        </w:tc>
      </w:tr>
      <w:tr w:rsidR="008D14E6" w:rsidRPr="00BA60F0" w:rsidTr="003D2377">
        <w:tc>
          <w:tcPr>
            <w:tcW w:w="1188" w:type="dxa"/>
          </w:tcPr>
          <w:p w:rsidR="008D14E6" w:rsidRPr="003D2377" w:rsidRDefault="008D14E6" w:rsidP="00746849">
            <w:pPr>
              <w:adjustRightInd w:val="0"/>
              <w:snapToGrid w:val="0"/>
              <w:spacing w:after="0" w:line="360" w:lineRule="auto"/>
              <w:jc w:val="both"/>
              <w:rPr>
                <w:rFonts w:ascii="Book Antiqua" w:hAnsi="Book Antiqua" w:cs="Arial"/>
                <w:bCs/>
                <w:sz w:val="24"/>
                <w:szCs w:val="24"/>
                <w:lang w:val="en-US"/>
              </w:rPr>
            </w:pPr>
            <w:r w:rsidRPr="003D2377">
              <w:rPr>
                <w:rFonts w:ascii="Book Antiqua" w:hAnsi="Book Antiqua" w:cs="Arial"/>
                <w:bCs/>
                <w:sz w:val="24"/>
                <w:szCs w:val="24"/>
                <w:lang w:val="en-US"/>
              </w:rPr>
              <w:t>Docetaxel/</w:t>
            </w:r>
            <w:r w:rsidRPr="003D2377">
              <w:rPr>
                <w:rFonts w:ascii="Book Antiqua" w:hAnsi="Book Antiqua" w:cs="Arial"/>
                <w:bCs/>
                <w:sz w:val="24"/>
                <w:szCs w:val="24"/>
                <w:lang w:val="en-US"/>
              </w:rPr>
              <w:br/>
              <w:t>Cisplatin</w:t>
            </w:r>
          </w:p>
        </w:tc>
        <w:tc>
          <w:tcPr>
            <w:tcW w:w="621" w:type="dxa"/>
          </w:tcPr>
          <w:p w:rsidR="008D14E6" w:rsidRPr="00BA60F0" w:rsidRDefault="008D14E6" w:rsidP="00746849">
            <w:pPr>
              <w:adjustRightInd w:val="0"/>
              <w:snapToGrid w:val="0"/>
              <w:spacing w:after="0" w:line="360" w:lineRule="auto"/>
              <w:jc w:val="both"/>
              <w:rPr>
                <w:rFonts w:ascii="Book Antiqua" w:hAnsi="Book Antiqua" w:cs="Arial"/>
                <w:sz w:val="24"/>
                <w:szCs w:val="24"/>
                <w:lang w:val="en-US"/>
              </w:rPr>
            </w:pPr>
            <w:r w:rsidRPr="00BA60F0">
              <w:rPr>
                <w:rFonts w:ascii="Book Antiqua" w:hAnsi="Book Antiqua" w:cs="Arial"/>
                <w:sz w:val="24"/>
                <w:szCs w:val="24"/>
                <w:lang w:val="en-US"/>
              </w:rPr>
              <w:t>43/41</w:t>
            </w:r>
          </w:p>
        </w:tc>
        <w:tc>
          <w:tcPr>
            <w:tcW w:w="1089" w:type="dxa"/>
          </w:tcPr>
          <w:p w:rsidR="008D14E6" w:rsidRPr="00BA60F0" w:rsidRDefault="008D14E6" w:rsidP="00746849">
            <w:pPr>
              <w:adjustRightInd w:val="0"/>
              <w:snapToGrid w:val="0"/>
              <w:spacing w:after="0" w:line="360" w:lineRule="auto"/>
              <w:jc w:val="both"/>
              <w:rPr>
                <w:rFonts w:ascii="Book Antiqua" w:hAnsi="Book Antiqua" w:cs="Arial"/>
                <w:sz w:val="24"/>
                <w:szCs w:val="24"/>
                <w:lang w:val="en-US"/>
              </w:rPr>
            </w:pPr>
            <w:r w:rsidRPr="00BA60F0">
              <w:rPr>
                <w:rFonts w:ascii="Book Antiqua" w:hAnsi="Book Antiqua" w:cs="Arial"/>
                <w:sz w:val="24"/>
                <w:szCs w:val="24"/>
                <w:lang w:val="en-US"/>
              </w:rPr>
              <w:t>ECOG 0/1/2 – 1/33/9</w:t>
            </w:r>
          </w:p>
        </w:tc>
        <w:tc>
          <w:tcPr>
            <w:tcW w:w="1890" w:type="dxa"/>
          </w:tcPr>
          <w:p w:rsidR="008D14E6" w:rsidRPr="00BA60F0" w:rsidRDefault="008D14E6" w:rsidP="00746849">
            <w:pPr>
              <w:adjustRightInd w:val="0"/>
              <w:snapToGrid w:val="0"/>
              <w:spacing w:after="0" w:line="360" w:lineRule="auto"/>
              <w:jc w:val="both"/>
              <w:rPr>
                <w:rFonts w:ascii="Book Antiqua" w:hAnsi="Book Antiqua" w:cs="Arial"/>
                <w:sz w:val="24"/>
                <w:szCs w:val="24"/>
                <w:lang w:val="en-US"/>
              </w:rPr>
            </w:pPr>
            <w:r w:rsidRPr="00BA60F0">
              <w:rPr>
                <w:rFonts w:ascii="Book Antiqua" w:hAnsi="Book Antiqua" w:cs="Arial"/>
                <w:sz w:val="24"/>
                <w:szCs w:val="24"/>
                <w:lang w:val="en-US"/>
              </w:rPr>
              <w:t>Dtx/P - 60/60 d1/d1 q21</w:t>
            </w:r>
          </w:p>
        </w:tc>
        <w:tc>
          <w:tcPr>
            <w:tcW w:w="810" w:type="dxa"/>
          </w:tcPr>
          <w:p w:rsidR="008D14E6" w:rsidRPr="00BA60F0" w:rsidRDefault="008D14E6" w:rsidP="00746849">
            <w:pPr>
              <w:adjustRightInd w:val="0"/>
              <w:snapToGrid w:val="0"/>
              <w:spacing w:after="0" w:line="360" w:lineRule="auto"/>
              <w:jc w:val="both"/>
              <w:rPr>
                <w:rFonts w:ascii="Book Antiqua" w:hAnsi="Book Antiqua" w:cs="Arial"/>
                <w:sz w:val="24"/>
                <w:szCs w:val="24"/>
                <w:lang w:val="en-US"/>
              </w:rPr>
            </w:pPr>
            <w:r w:rsidRPr="00BA60F0">
              <w:rPr>
                <w:rFonts w:ascii="Book Antiqua" w:hAnsi="Book Antiqua" w:cs="Arial"/>
                <w:sz w:val="24"/>
                <w:szCs w:val="24"/>
                <w:lang w:val="en-US"/>
              </w:rPr>
              <w:t>17.1</w:t>
            </w:r>
          </w:p>
        </w:tc>
        <w:tc>
          <w:tcPr>
            <w:tcW w:w="697" w:type="dxa"/>
          </w:tcPr>
          <w:p w:rsidR="008D14E6" w:rsidRPr="00BA60F0" w:rsidRDefault="008D14E6" w:rsidP="00746849">
            <w:pPr>
              <w:adjustRightInd w:val="0"/>
              <w:snapToGrid w:val="0"/>
              <w:spacing w:after="0" w:line="360" w:lineRule="auto"/>
              <w:jc w:val="both"/>
              <w:rPr>
                <w:rFonts w:ascii="Book Antiqua" w:hAnsi="Book Antiqua" w:cs="Arial"/>
                <w:sz w:val="24"/>
                <w:szCs w:val="24"/>
                <w:lang w:val="en-US"/>
              </w:rPr>
            </w:pPr>
            <w:r w:rsidRPr="00BA60F0">
              <w:rPr>
                <w:rFonts w:ascii="Book Antiqua" w:hAnsi="Book Antiqua" w:cs="Arial"/>
                <w:sz w:val="24"/>
                <w:szCs w:val="24"/>
                <w:lang w:val="en-US"/>
              </w:rPr>
              <w:t>NR</w:t>
            </w:r>
          </w:p>
        </w:tc>
        <w:tc>
          <w:tcPr>
            <w:tcW w:w="810" w:type="dxa"/>
          </w:tcPr>
          <w:p w:rsidR="008D14E6" w:rsidRPr="00BA60F0" w:rsidRDefault="008D14E6" w:rsidP="00746849">
            <w:pPr>
              <w:adjustRightInd w:val="0"/>
              <w:snapToGrid w:val="0"/>
              <w:spacing w:after="0" w:line="360" w:lineRule="auto"/>
              <w:jc w:val="both"/>
              <w:rPr>
                <w:rFonts w:ascii="Book Antiqua" w:hAnsi="Book Antiqua" w:cs="Arial"/>
                <w:sz w:val="24"/>
                <w:szCs w:val="24"/>
                <w:lang w:val="en-US"/>
              </w:rPr>
            </w:pPr>
            <w:r w:rsidRPr="00BA60F0">
              <w:rPr>
                <w:rFonts w:ascii="Book Antiqua" w:hAnsi="Book Antiqua" w:cs="Arial"/>
                <w:sz w:val="24"/>
                <w:szCs w:val="24"/>
                <w:lang w:val="en-US"/>
              </w:rPr>
              <w:t>2.2</w:t>
            </w:r>
          </w:p>
        </w:tc>
        <w:tc>
          <w:tcPr>
            <w:tcW w:w="720" w:type="dxa"/>
          </w:tcPr>
          <w:p w:rsidR="008D14E6" w:rsidRPr="00BA60F0" w:rsidRDefault="008D14E6" w:rsidP="00746849">
            <w:pPr>
              <w:adjustRightInd w:val="0"/>
              <w:snapToGrid w:val="0"/>
              <w:spacing w:after="0" w:line="360" w:lineRule="auto"/>
              <w:jc w:val="both"/>
              <w:rPr>
                <w:rFonts w:ascii="Book Antiqua" w:hAnsi="Book Antiqua" w:cs="Arial"/>
                <w:sz w:val="24"/>
                <w:szCs w:val="24"/>
                <w:lang w:val="en-US"/>
              </w:rPr>
            </w:pPr>
            <w:r w:rsidRPr="00BA60F0">
              <w:rPr>
                <w:rFonts w:ascii="Book Antiqua" w:hAnsi="Book Antiqua" w:cs="Arial"/>
                <w:sz w:val="24"/>
                <w:szCs w:val="24"/>
                <w:lang w:val="en-US"/>
              </w:rPr>
              <w:t>5.8</w:t>
            </w:r>
          </w:p>
        </w:tc>
        <w:tc>
          <w:tcPr>
            <w:tcW w:w="1639" w:type="dxa"/>
          </w:tcPr>
          <w:p w:rsidR="008D14E6" w:rsidRPr="00BA60F0" w:rsidRDefault="008D14E6" w:rsidP="00746849">
            <w:pPr>
              <w:adjustRightInd w:val="0"/>
              <w:snapToGrid w:val="0"/>
              <w:spacing w:after="0" w:line="360" w:lineRule="auto"/>
              <w:jc w:val="both"/>
              <w:rPr>
                <w:rFonts w:ascii="Book Antiqua" w:hAnsi="Book Antiqua" w:cs="Arial"/>
                <w:sz w:val="24"/>
                <w:szCs w:val="24"/>
                <w:lang w:val="en-US"/>
              </w:rPr>
            </w:pPr>
            <w:r w:rsidRPr="00BA60F0">
              <w:rPr>
                <w:rFonts w:ascii="Book Antiqua" w:hAnsi="Book Antiqua" w:cs="Arial"/>
                <w:sz w:val="24"/>
                <w:szCs w:val="24"/>
                <w:lang w:val="en-US"/>
              </w:rPr>
              <w:t>N/N-E/Neu/Neph - 29.3/12.2/4.9/2.3</w:t>
            </w:r>
          </w:p>
        </w:tc>
        <w:tc>
          <w:tcPr>
            <w:tcW w:w="1061" w:type="dxa"/>
          </w:tcPr>
          <w:p w:rsidR="008D14E6" w:rsidRPr="00C419B4" w:rsidRDefault="008D14E6" w:rsidP="00746849">
            <w:pPr>
              <w:adjustRightInd w:val="0"/>
              <w:snapToGrid w:val="0"/>
              <w:spacing w:after="0" w:line="360" w:lineRule="auto"/>
              <w:jc w:val="both"/>
              <w:rPr>
                <w:rFonts w:ascii="Book Antiqua" w:hAnsi="Book Antiqua" w:cs="Arial"/>
                <w:bCs/>
                <w:sz w:val="24"/>
                <w:szCs w:val="24"/>
                <w:lang w:val="en-US"/>
              </w:rPr>
            </w:pPr>
            <w:r w:rsidRPr="00C419B4">
              <w:rPr>
                <w:rFonts w:ascii="Book Antiqua" w:hAnsi="Book Antiqua" w:cs="Arial"/>
                <w:bCs/>
                <w:sz w:val="24"/>
                <w:szCs w:val="24"/>
                <w:lang w:val="en-US"/>
              </w:rPr>
              <w:t>Park</w:t>
            </w:r>
            <w:r w:rsidR="00EB2F98" w:rsidRPr="00C419B4">
              <w:rPr>
                <w:rFonts w:ascii="Book Antiqua" w:hAnsi="Book Antiqua" w:cs="Arial"/>
                <w:bCs/>
                <w:sz w:val="24"/>
                <w:szCs w:val="24"/>
                <w:lang w:val="en-US"/>
              </w:rPr>
              <w:t xml:space="preserve"> </w:t>
            </w:r>
            <w:r w:rsidR="00EB2F98" w:rsidRPr="00C419B4">
              <w:rPr>
                <w:rFonts w:ascii="Book Antiqua" w:hAnsi="Book Antiqua" w:cs="Arial"/>
                <w:bCs/>
                <w:i/>
                <w:sz w:val="24"/>
                <w:szCs w:val="24"/>
                <w:lang w:val="en-US"/>
              </w:rPr>
              <w:t>et al</w:t>
            </w:r>
            <w:r w:rsidR="00EB2F98" w:rsidRPr="00C419B4">
              <w:rPr>
                <w:rFonts w:ascii="Book Antiqua" w:hAnsi="Book Antiqua" w:cs="Arial"/>
                <w:bCs/>
                <w:sz w:val="24"/>
                <w:szCs w:val="24"/>
                <w:vertAlign w:val="superscript"/>
                <w:lang w:val="en-US"/>
              </w:rPr>
              <w:t>[48]</w:t>
            </w:r>
            <w:r w:rsidR="00EB2F98" w:rsidRPr="00C419B4">
              <w:rPr>
                <w:rFonts w:ascii="Book Antiqua" w:hAnsi="Book Antiqua" w:cs="Arial"/>
                <w:bCs/>
                <w:sz w:val="24"/>
                <w:szCs w:val="24"/>
                <w:lang w:val="en-US"/>
              </w:rPr>
              <w:t>, 2004</w:t>
            </w:r>
          </w:p>
        </w:tc>
      </w:tr>
      <w:tr w:rsidR="008D14E6" w:rsidRPr="00BA60F0" w:rsidTr="003D2377">
        <w:tc>
          <w:tcPr>
            <w:tcW w:w="1188" w:type="dxa"/>
          </w:tcPr>
          <w:p w:rsidR="008D14E6" w:rsidRPr="003D2377" w:rsidRDefault="008D14E6" w:rsidP="00746849">
            <w:pPr>
              <w:adjustRightInd w:val="0"/>
              <w:snapToGrid w:val="0"/>
              <w:spacing w:after="0" w:line="360" w:lineRule="auto"/>
              <w:jc w:val="both"/>
              <w:rPr>
                <w:rFonts w:ascii="Book Antiqua" w:hAnsi="Book Antiqua" w:cs="Arial"/>
                <w:bCs/>
                <w:sz w:val="24"/>
                <w:szCs w:val="24"/>
                <w:lang w:val="en-US"/>
              </w:rPr>
            </w:pPr>
            <w:r w:rsidRPr="003D2377">
              <w:rPr>
                <w:rFonts w:ascii="Book Antiqua" w:hAnsi="Book Antiqua" w:cs="Arial"/>
                <w:bCs/>
                <w:sz w:val="24"/>
                <w:szCs w:val="24"/>
                <w:lang w:val="en-US"/>
              </w:rPr>
              <w:t>Docetaxel/</w:t>
            </w:r>
            <w:r w:rsidRPr="003D2377">
              <w:rPr>
                <w:rFonts w:ascii="Book Antiqua" w:hAnsi="Book Antiqua" w:cs="Arial"/>
                <w:bCs/>
                <w:sz w:val="24"/>
                <w:szCs w:val="24"/>
                <w:lang w:val="en-US"/>
              </w:rPr>
              <w:br/>
              <w:t>Cisplatin</w:t>
            </w:r>
          </w:p>
        </w:tc>
        <w:tc>
          <w:tcPr>
            <w:tcW w:w="621" w:type="dxa"/>
          </w:tcPr>
          <w:p w:rsidR="008D14E6" w:rsidRPr="00BA60F0" w:rsidRDefault="008D14E6" w:rsidP="00746849">
            <w:pPr>
              <w:adjustRightInd w:val="0"/>
              <w:snapToGrid w:val="0"/>
              <w:spacing w:after="0" w:line="360" w:lineRule="auto"/>
              <w:jc w:val="both"/>
              <w:rPr>
                <w:rFonts w:ascii="Book Antiqua" w:hAnsi="Book Antiqua" w:cs="Arial"/>
                <w:sz w:val="24"/>
                <w:szCs w:val="24"/>
                <w:lang w:val="en-US"/>
              </w:rPr>
            </w:pPr>
            <w:r w:rsidRPr="00BA60F0">
              <w:rPr>
                <w:rFonts w:ascii="Book Antiqua" w:hAnsi="Book Antiqua" w:cs="Arial"/>
                <w:sz w:val="24"/>
                <w:szCs w:val="24"/>
                <w:lang w:val="en-US"/>
              </w:rPr>
              <w:t>30/30</w:t>
            </w:r>
          </w:p>
        </w:tc>
        <w:tc>
          <w:tcPr>
            <w:tcW w:w="1089" w:type="dxa"/>
          </w:tcPr>
          <w:p w:rsidR="008D14E6" w:rsidRPr="00BA60F0" w:rsidRDefault="008D14E6" w:rsidP="00746849">
            <w:pPr>
              <w:adjustRightInd w:val="0"/>
              <w:snapToGrid w:val="0"/>
              <w:spacing w:after="0" w:line="360" w:lineRule="auto"/>
              <w:jc w:val="both"/>
              <w:rPr>
                <w:rFonts w:ascii="Book Antiqua" w:hAnsi="Book Antiqua" w:cs="Arial"/>
                <w:sz w:val="24"/>
                <w:szCs w:val="24"/>
                <w:lang w:val="en-US"/>
              </w:rPr>
            </w:pPr>
            <w:r w:rsidRPr="00BA60F0">
              <w:rPr>
                <w:rFonts w:ascii="Book Antiqua" w:hAnsi="Book Antiqua" w:cs="Arial"/>
                <w:sz w:val="24"/>
                <w:szCs w:val="24"/>
                <w:lang w:val="en-US"/>
              </w:rPr>
              <w:t>KPS 50-70/</w:t>
            </w:r>
            <w:r w:rsidRPr="00BA60F0">
              <w:rPr>
                <w:rFonts w:ascii="Book Antiqua" w:hAnsi="Book Antiqua" w:cs="Arial"/>
                <w:sz w:val="24"/>
                <w:szCs w:val="24"/>
                <w:lang w:val="en-US"/>
              </w:rPr>
              <w:br/>
              <w:t>80-100% - 14/16</w:t>
            </w:r>
          </w:p>
        </w:tc>
        <w:tc>
          <w:tcPr>
            <w:tcW w:w="1890" w:type="dxa"/>
          </w:tcPr>
          <w:p w:rsidR="008D14E6" w:rsidRPr="00BA60F0" w:rsidRDefault="008D14E6" w:rsidP="00746849">
            <w:pPr>
              <w:adjustRightInd w:val="0"/>
              <w:snapToGrid w:val="0"/>
              <w:spacing w:after="0" w:line="360" w:lineRule="auto"/>
              <w:jc w:val="both"/>
              <w:rPr>
                <w:rFonts w:ascii="Book Antiqua" w:hAnsi="Book Antiqua" w:cs="Arial"/>
                <w:sz w:val="24"/>
                <w:szCs w:val="24"/>
                <w:lang w:val="en-US"/>
              </w:rPr>
            </w:pPr>
            <w:r w:rsidRPr="00BA60F0">
              <w:rPr>
                <w:rFonts w:ascii="Book Antiqua" w:hAnsi="Book Antiqua" w:cs="Arial"/>
                <w:sz w:val="24"/>
                <w:szCs w:val="24"/>
                <w:lang w:val="en-US"/>
              </w:rPr>
              <w:t>Dtx/P - 60/60 d1/d1 q21</w:t>
            </w:r>
          </w:p>
        </w:tc>
        <w:tc>
          <w:tcPr>
            <w:tcW w:w="810" w:type="dxa"/>
          </w:tcPr>
          <w:p w:rsidR="008D14E6" w:rsidRPr="00BA60F0" w:rsidRDefault="008D14E6" w:rsidP="00746849">
            <w:pPr>
              <w:adjustRightInd w:val="0"/>
              <w:snapToGrid w:val="0"/>
              <w:spacing w:after="0" w:line="360" w:lineRule="auto"/>
              <w:jc w:val="both"/>
              <w:rPr>
                <w:rFonts w:ascii="Book Antiqua" w:hAnsi="Book Antiqua" w:cs="Arial"/>
                <w:sz w:val="24"/>
                <w:szCs w:val="24"/>
                <w:lang w:val="en-US"/>
              </w:rPr>
            </w:pPr>
            <w:r w:rsidRPr="00BA60F0">
              <w:rPr>
                <w:rFonts w:ascii="Book Antiqua" w:hAnsi="Book Antiqua" w:cs="Arial"/>
                <w:sz w:val="24"/>
                <w:szCs w:val="24"/>
                <w:lang w:val="en-US"/>
              </w:rPr>
              <w:t>26.7</w:t>
            </w:r>
          </w:p>
        </w:tc>
        <w:tc>
          <w:tcPr>
            <w:tcW w:w="697" w:type="dxa"/>
          </w:tcPr>
          <w:p w:rsidR="008D14E6" w:rsidRPr="00BA60F0" w:rsidRDefault="008D14E6" w:rsidP="00746849">
            <w:pPr>
              <w:adjustRightInd w:val="0"/>
              <w:snapToGrid w:val="0"/>
              <w:spacing w:after="0" w:line="360" w:lineRule="auto"/>
              <w:jc w:val="both"/>
              <w:rPr>
                <w:rFonts w:ascii="Book Antiqua" w:hAnsi="Book Antiqua" w:cs="Arial"/>
                <w:sz w:val="24"/>
                <w:szCs w:val="24"/>
                <w:lang w:val="en-US"/>
              </w:rPr>
            </w:pPr>
            <w:r w:rsidRPr="00BA60F0">
              <w:rPr>
                <w:rFonts w:ascii="Book Antiqua" w:hAnsi="Book Antiqua" w:cs="Arial"/>
                <w:sz w:val="24"/>
                <w:szCs w:val="24"/>
                <w:lang w:val="en-US"/>
              </w:rPr>
              <w:t>4.5</w:t>
            </w:r>
          </w:p>
        </w:tc>
        <w:tc>
          <w:tcPr>
            <w:tcW w:w="810" w:type="dxa"/>
          </w:tcPr>
          <w:p w:rsidR="008D14E6" w:rsidRPr="00BA60F0" w:rsidRDefault="008D14E6" w:rsidP="00746849">
            <w:pPr>
              <w:adjustRightInd w:val="0"/>
              <w:snapToGrid w:val="0"/>
              <w:spacing w:after="0" w:line="360" w:lineRule="auto"/>
              <w:jc w:val="both"/>
              <w:rPr>
                <w:rFonts w:ascii="Book Antiqua" w:hAnsi="Book Antiqua" w:cs="Arial"/>
                <w:sz w:val="24"/>
                <w:szCs w:val="24"/>
                <w:lang w:val="en-US"/>
              </w:rPr>
            </w:pPr>
            <w:r w:rsidRPr="00BA60F0">
              <w:rPr>
                <w:rFonts w:ascii="Book Antiqua" w:hAnsi="Book Antiqua" w:cs="Arial"/>
                <w:sz w:val="24"/>
                <w:szCs w:val="24"/>
                <w:lang w:val="en-US"/>
              </w:rPr>
              <w:t>NR</w:t>
            </w:r>
          </w:p>
        </w:tc>
        <w:tc>
          <w:tcPr>
            <w:tcW w:w="720" w:type="dxa"/>
          </w:tcPr>
          <w:p w:rsidR="008D14E6" w:rsidRPr="00BA60F0" w:rsidRDefault="008D14E6" w:rsidP="00746849">
            <w:pPr>
              <w:adjustRightInd w:val="0"/>
              <w:snapToGrid w:val="0"/>
              <w:spacing w:after="0" w:line="360" w:lineRule="auto"/>
              <w:jc w:val="both"/>
              <w:rPr>
                <w:rFonts w:ascii="Book Antiqua" w:hAnsi="Book Antiqua" w:cs="Arial"/>
                <w:sz w:val="24"/>
                <w:szCs w:val="24"/>
                <w:lang w:val="en-US"/>
              </w:rPr>
            </w:pPr>
            <w:r w:rsidRPr="00BA60F0">
              <w:rPr>
                <w:rFonts w:ascii="Book Antiqua" w:hAnsi="Book Antiqua" w:cs="Arial"/>
                <w:sz w:val="24"/>
                <w:szCs w:val="24"/>
                <w:lang w:val="en-US"/>
              </w:rPr>
              <w:t>5.6</w:t>
            </w:r>
          </w:p>
        </w:tc>
        <w:tc>
          <w:tcPr>
            <w:tcW w:w="1639" w:type="dxa"/>
          </w:tcPr>
          <w:p w:rsidR="008D14E6" w:rsidRPr="00BA60F0" w:rsidRDefault="008D14E6" w:rsidP="00746849">
            <w:pPr>
              <w:adjustRightInd w:val="0"/>
              <w:snapToGrid w:val="0"/>
              <w:spacing w:after="0" w:line="360" w:lineRule="auto"/>
              <w:jc w:val="both"/>
              <w:rPr>
                <w:rFonts w:ascii="Book Antiqua" w:hAnsi="Book Antiqua" w:cs="Arial"/>
                <w:sz w:val="24"/>
                <w:szCs w:val="24"/>
                <w:lang w:val="en-US"/>
              </w:rPr>
            </w:pPr>
            <w:r w:rsidRPr="00BA60F0">
              <w:rPr>
                <w:rFonts w:ascii="Book Antiqua" w:hAnsi="Book Antiqua" w:cs="Arial"/>
                <w:sz w:val="24"/>
                <w:szCs w:val="24"/>
                <w:lang w:val="en-US"/>
              </w:rPr>
              <w:t>A/L/N/Nau - 3/27/27/3</w:t>
            </w:r>
          </w:p>
        </w:tc>
        <w:tc>
          <w:tcPr>
            <w:tcW w:w="1061" w:type="dxa"/>
          </w:tcPr>
          <w:p w:rsidR="008D14E6" w:rsidRPr="00C419B4" w:rsidRDefault="008D14E6" w:rsidP="00746849">
            <w:pPr>
              <w:adjustRightInd w:val="0"/>
              <w:snapToGrid w:val="0"/>
              <w:spacing w:after="0" w:line="360" w:lineRule="auto"/>
              <w:jc w:val="both"/>
              <w:rPr>
                <w:rFonts w:ascii="Book Antiqua" w:hAnsi="Book Antiqua" w:cs="Arial"/>
                <w:bCs/>
                <w:sz w:val="24"/>
                <w:szCs w:val="24"/>
                <w:lang w:val="en-US"/>
              </w:rPr>
            </w:pPr>
            <w:r w:rsidRPr="00C419B4">
              <w:rPr>
                <w:rFonts w:ascii="Book Antiqua" w:hAnsi="Book Antiqua" w:cs="Arial"/>
                <w:bCs/>
                <w:sz w:val="24"/>
                <w:szCs w:val="24"/>
                <w:lang w:val="en-US"/>
              </w:rPr>
              <w:t>Kunisaki</w:t>
            </w:r>
            <w:r w:rsidR="00851FFB" w:rsidRPr="00C419B4">
              <w:rPr>
                <w:rFonts w:ascii="Book Antiqua" w:hAnsi="Book Antiqua" w:cs="Arial"/>
                <w:bCs/>
                <w:sz w:val="24"/>
                <w:szCs w:val="24"/>
                <w:lang w:val="en-US"/>
              </w:rPr>
              <w:t xml:space="preserve"> </w:t>
            </w:r>
            <w:r w:rsidR="00851FFB" w:rsidRPr="00C419B4">
              <w:rPr>
                <w:rFonts w:ascii="Book Antiqua" w:hAnsi="Book Antiqua" w:cs="Arial"/>
                <w:bCs/>
                <w:i/>
                <w:sz w:val="24"/>
                <w:szCs w:val="24"/>
                <w:lang w:val="en-US"/>
              </w:rPr>
              <w:t>et al</w:t>
            </w:r>
            <w:r w:rsidR="00851FFB" w:rsidRPr="00C419B4">
              <w:rPr>
                <w:rFonts w:ascii="Book Antiqua" w:hAnsi="Book Antiqua" w:cs="Arial"/>
                <w:bCs/>
                <w:sz w:val="24"/>
                <w:szCs w:val="24"/>
                <w:vertAlign w:val="superscript"/>
                <w:lang w:val="en-US"/>
              </w:rPr>
              <w:t>[49]</w:t>
            </w:r>
            <w:r w:rsidR="00851FFB" w:rsidRPr="00C419B4">
              <w:rPr>
                <w:rFonts w:ascii="Book Antiqua" w:hAnsi="Book Antiqua" w:cs="Arial"/>
                <w:bCs/>
                <w:sz w:val="24"/>
                <w:szCs w:val="24"/>
                <w:lang w:val="en-US"/>
              </w:rPr>
              <w:t>, 2005</w:t>
            </w:r>
          </w:p>
        </w:tc>
      </w:tr>
      <w:tr w:rsidR="008D14E6" w:rsidRPr="00BA60F0" w:rsidTr="003D2377">
        <w:tc>
          <w:tcPr>
            <w:tcW w:w="1188" w:type="dxa"/>
          </w:tcPr>
          <w:p w:rsidR="008D14E6" w:rsidRPr="003D2377" w:rsidRDefault="008D14E6" w:rsidP="00746849">
            <w:pPr>
              <w:adjustRightInd w:val="0"/>
              <w:snapToGrid w:val="0"/>
              <w:spacing w:after="0" w:line="360" w:lineRule="auto"/>
              <w:jc w:val="both"/>
              <w:rPr>
                <w:rFonts w:ascii="Book Antiqua" w:hAnsi="Book Antiqua" w:cs="Arial"/>
                <w:bCs/>
                <w:sz w:val="24"/>
                <w:szCs w:val="24"/>
                <w:lang w:val="en-US"/>
              </w:rPr>
            </w:pPr>
            <w:r w:rsidRPr="003D2377">
              <w:rPr>
                <w:rFonts w:ascii="Book Antiqua" w:hAnsi="Book Antiqua" w:cs="Arial"/>
                <w:bCs/>
                <w:sz w:val="24"/>
                <w:szCs w:val="24"/>
                <w:lang w:val="en-US"/>
              </w:rPr>
              <w:t>Docetaxel/</w:t>
            </w:r>
            <w:r w:rsidRPr="003D2377">
              <w:rPr>
                <w:rFonts w:ascii="Book Antiqua" w:hAnsi="Book Antiqua" w:cs="Arial"/>
                <w:bCs/>
                <w:sz w:val="24"/>
                <w:szCs w:val="24"/>
                <w:lang w:val="en-US"/>
              </w:rPr>
              <w:br/>
              <w:t>Cisplatin</w:t>
            </w:r>
          </w:p>
        </w:tc>
        <w:tc>
          <w:tcPr>
            <w:tcW w:w="621" w:type="dxa"/>
          </w:tcPr>
          <w:p w:rsidR="008D14E6" w:rsidRPr="00BA60F0" w:rsidRDefault="008D14E6" w:rsidP="00746849">
            <w:pPr>
              <w:adjustRightInd w:val="0"/>
              <w:snapToGrid w:val="0"/>
              <w:spacing w:after="0" w:line="360" w:lineRule="auto"/>
              <w:jc w:val="both"/>
              <w:rPr>
                <w:rFonts w:ascii="Book Antiqua" w:hAnsi="Book Antiqua" w:cs="Arial"/>
                <w:sz w:val="24"/>
                <w:szCs w:val="24"/>
                <w:lang w:val="en-US"/>
              </w:rPr>
            </w:pPr>
            <w:r w:rsidRPr="00BA60F0">
              <w:rPr>
                <w:rFonts w:ascii="Book Antiqua" w:hAnsi="Book Antiqua" w:cs="Arial"/>
                <w:sz w:val="24"/>
                <w:szCs w:val="24"/>
                <w:lang w:val="en-US"/>
              </w:rPr>
              <w:t>32/32</w:t>
            </w:r>
          </w:p>
        </w:tc>
        <w:tc>
          <w:tcPr>
            <w:tcW w:w="1089" w:type="dxa"/>
          </w:tcPr>
          <w:p w:rsidR="008D14E6" w:rsidRPr="00BA60F0" w:rsidRDefault="008D14E6" w:rsidP="00746849">
            <w:pPr>
              <w:adjustRightInd w:val="0"/>
              <w:snapToGrid w:val="0"/>
              <w:spacing w:after="0" w:line="360" w:lineRule="auto"/>
              <w:jc w:val="both"/>
              <w:rPr>
                <w:rFonts w:ascii="Book Antiqua" w:hAnsi="Book Antiqua" w:cs="Arial"/>
                <w:sz w:val="24"/>
                <w:szCs w:val="24"/>
                <w:lang w:val="en-US"/>
              </w:rPr>
            </w:pPr>
            <w:r w:rsidRPr="00BA60F0">
              <w:rPr>
                <w:rFonts w:ascii="Book Antiqua" w:hAnsi="Book Antiqua" w:cs="Arial"/>
                <w:sz w:val="24"/>
                <w:szCs w:val="24"/>
                <w:lang w:val="en-US"/>
              </w:rPr>
              <w:t>ECOG 0/1/2 - 8/16/8</w:t>
            </w:r>
          </w:p>
        </w:tc>
        <w:tc>
          <w:tcPr>
            <w:tcW w:w="1890" w:type="dxa"/>
          </w:tcPr>
          <w:p w:rsidR="008D14E6" w:rsidRPr="00BA60F0" w:rsidRDefault="008D14E6" w:rsidP="00746849">
            <w:pPr>
              <w:adjustRightInd w:val="0"/>
              <w:snapToGrid w:val="0"/>
              <w:spacing w:after="0" w:line="360" w:lineRule="auto"/>
              <w:jc w:val="both"/>
              <w:rPr>
                <w:rFonts w:ascii="Book Antiqua" w:hAnsi="Book Antiqua" w:cs="Arial"/>
                <w:sz w:val="24"/>
                <w:szCs w:val="24"/>
                <w:lang w:val="en-US"/>
              </w:rPr>
            </w:pPr>
            <w:r w:rsidRPr="00BA60F0">
              <w:rPr>
                <w:rFonts w:ascii="Book Antiqua" w:hAnsi="Book Antiqua" w:cs="Arial"/>
                <w:sz w:val="24"/>
                <w:szCs w:val="24"/>
                <w:lang w:val="en-US"/>
              </w:rPr>
              <w:t>Dtx/P 70/70 d1/d1 q21</w:t>
            </w:r>
          </w:p>
        </w:tc>
        <w:tc>
          <w:tcPr>
            <w:tcW w:w="810" w:type="dxa"/>
          </w:tcPr>
          <w:p w:rsidR="008D14E6" w:rsidRPr="00BA60F0" w:rsidRDefault="008D14E6" w:rsidP="00746849">
            <w:pPr>
              <w:adjustRightInd w:val="0"/>
              <w:snapToGrid w:val="0"/>
              <w:spacing w:after="0" w:line="360" w:lineRule="auto"/>
              <w:jc w:val="both"/>
              <w:rPr>
                <w:rFonts w:ascii="Book Antiqua" w:hAnsi="Book Antiqua" w:cs="Arial"/>
                <w:sz w:val="24"/>
                <w:szCs w:val="24"/>
                <w:lang w:val="en-US"/>
              </w:rPr>
            </w:pPr>
            <w:r w:rsidRPr="00BA60F0">
              <w:rPr>
                <w:rFonts w:ascii="Book Antiqua" w:hAnsi="Book Antiqua" w:cs="Arial"/>
                <w:sz w:val="24"/>
                <w:szCs w:val="24"/>
                <w:lang w:val="en-US"/>
              </w:rPr>
              <w:t>16.0</w:t>
            </w:r>
          </w:p>
        </w:tc>
        <w:tc>
          <w:tcPr>
            <w:tcW w:w="697" w:type="dxa"/>
          </w:tcPr>
          <w:p w:rsidR="008D14E6" w:rsidRPr="00BA60F0" w:rsidRDefault="008D14E6" w:rsidP="00746849">
            <w:pPr>
              <w:adjustRightInd w:val="0"/>
              <w:snapToGrid w:val="0"/>
              <w:spacing w:after="0" w:line="360" w:lineRule="auto"/>
              <w:jc w:val="both"/>
              <w:rPr>
                <w:rFonts w:ascii="Book Antiqua" w:hAnsi="Book Antiqua" w:cs="Arial"/>
                <w:sz w:val="24"/>
                <w:szCs w:val="24"/>
                <w:lang w:val="en-US"/>
              </w:rPr>
            </w:pPr>
            <w:r w:rsidRPr="00BA60F0">
              <w:rPr>
                <w:rFonts w:ascii="Book Antiqua" w:hAnsi="Book Antiqua" w:cs="Arial"/>
                <w:sz w:val="24"/>
                <w:szCs w:val="24"/>
                <w:lang w:val="en-US"/>
              </w:rPr>
              <w:t>5.0</w:t>
            </w:r>
          </w:p>
        </w:tc>
        <w:tc>
          <w:tcPr>
            <w:tcW w:w="810" w:type="dxa"/>
          </w:tcPr>
          <w:p w:rsidR="008D14E6" w:rsidRPr="00BA60F0" w:rsidRDefault="008D14E6" w:rsidP="00746849">
            <w:pPr>
              <w:adjustRightInd w:val="0"/>
              <w:snapToGrid w:val="0"/>
              <w:spacing w:after="0" w:line="360" w:lineRule="auto"/>
              <w:jc w:val="both"/>
              <w:rPr>
                <w:rFonts w:ascii="Book Antiqua" w:hAnsi="Book Antiqua" w:cs="Arial"/>
                <w:sz w:val="24"/>
                <w:szCs w:val="24"/>
                <w:lang w:val="en-US"/>
              </w:rPr>
            </w:pPr>
            <w:r w:rsidRPr="00BA60F0">
              <w:rPr>
                <w:rFonts w:ascii="Book Antiqua" w:hAnsi="Book Antiqua" w:cs="Arial"/>
                <w:sz w:val="24"/>
                <w:szCs w:val="24"/>
                <w:lang w:val="en-US"/>
              </w:rPr>
              <w:t>NR</w:t>
            </w:r>
          </w:p>
        </w:tc>
        <w:tc>
          <w:tcPr>
            <w:tcW w:w="720" w:type="dxa"/>
          </w:tcPr>
          <w:p w:rsidR="008D14E6" w:rsidRPr="00BA60F0" w:rsidRDefault="008D14E6" w:rsidP="00746849">
            <w:pPr>
              <w:adjustRightInd w:val="0"/>
              <w:snapToGrid w:val="0"/>
              <w:spacing w:after="0" w:line="360" w:lineRule="auto"/>
              <w:jc w:val="both"/>
              <w:rPr>
                <w:rFonts w:ascii="Book Antiqua" w:hAnsi="Book Antiqua" w:cs="Arial"/>
                <w:sz w:val="24"/>
                <w:szCs w:val="24"/>
                <w:lang w:val="en-US"/>
              </w:rPr>
            </w:pPr>
            <w:r w:rsidRPr="00BA60F0">
              <w:rPr>
                <w:rFonts w:ascii="Book Antiqua" w:hAnsi="Book Antiqua" w:cs="Arial"/>
                <w:sz w:val="24"/>
                <w:szCs w:val="24"/>
                <w:lang w:val="en-US"/>
              </w:rPr>
              <w:t>6.0</w:t>
            </w:r>
          </w:p>
        </w:tc>
        <w:tc>
          <w:tcPr>
            <w:tcW w:w="1639" w:type="dxa"/>
          </w:tcPr>
          <w:p w:rsidR="008D14E6" w:rsidRPr="00BA60F0" w:rsidRDefault="008D14E6" w:rsidP="00746849">
            <w:pPr>
              <w:adjustRightInd w:val="0"/>
              <w:snapToGrid w:val="0"/>
              <w:spacing w:after="0" w:line="360" w:lineRule="auto"/>
              <w:jc w:val="both"/>
              <w:rPr>
                <w:rFonts w:ascii="Book Antiqua" w:hAnsi="Book Antiqua" w:cs="Arial"/>
                <w:sz w:val="24"/>
                <w:szCs w:val="24"/>
                <w:lang w:val="en-US"/>
              </w:rPr>
            </w:pPr>
            <w:r w:rsidRPr="00BA60F0">
              <w:rPr>
                <w:rFonts w:ascii="Book Antiqua" w:hAnsi="Book Antiqua" w:cs="Arial"/>
                <w:sz w:val="24"/>
                <w:szCs w:val="24"/>
                <w:lang w:val="en-US"/>
              </w:rPr>
              <w:t>N/FN/T/D - 59/12/12/6</w:t>
            </w:r>
          </w:p>
        </w:tc>
        <w:tc>
          <w:tcPr>
            <w:tcW w:w="1061" w:type="dxa"/>
          </w:tcPr>
          <w:p w:rsidR="008D14E6" w:rsidRPr="00C419B4" w:rsidRDefault="008D14E6" w:rsidP="00746849">
            <w:pPr>
              <w:adjustRightInd w:val="0"/>
              <w:snapToGrid w:val="0"/>
              <w:spacing w:after="0" w:line="360" w:lineRule="auto"/>
              <w:jc w:val="both"/>
              <w:rPr>
                <w:rFonts w:ascii="Book Antiqua" w:hAnsi="Book Antiqua" w:cs="Arial"/>
                <w:bCs/>
                <w:sz w:val="24"/>
                <w:szCs w:val="24"/>
                <w:lang w:val="en-US"/>
              </w:rPr>
            </w:pPr>
            <w:r w:rsidRPr="00C419B4">
              <w:rPr>
                <w:rFonts w:ascii="Book Antiqua" w:hAnsi="Book Antiqua" w:cs="Arial"/>
                <w:bCs/>
                <w:sz w:val="24"/>
                <w:szCs w:val="24"/>
                <w:lang w:val="en-US"/>
              </w:rPr>
              <w:t>Polyzos</w:t>
            </w:r>
            <w:r w:rsidR="00851FFB" w:rsidRPr="00C419B4">
              <w:rPr>
                <w:rFonts w:ascii="Book Antiqua" w:hAnsi="Book Antiqua" w:cs="Arial"/>
                <w:bCs/>
                <w:sz w:val="24"/>
                <w:szCs w:val="24"/>
                <w:lang w:val="en-US"/>
              </w:rPr>
              <w:t xml:space="preserve"> </w:t>
            </w:r>
            <w:r w:rsidR="00851FFB" w:rsidRPr="00C419B4">
              <w:rPr>
                <w:rFonts w:ascii="Book Antiqua" w:hAnsi="Book Antiqua" w:cs="Arial"/>
                <w:bCs/>
                <w:i/>
                <w:sz w:val="24"/>
                <w:szCs w:val="24"/>
                <w:lang w:val="en-US"/>
              </w:rPr>
              <w:t>et al</w:t>
            </w:r>
            <w:r w:rsidR="00851FFB" w:rsidRPr="00C419B4">
              <w:rPr>
                <w:rFonts w:ascii="Book Antiqua" w:hAnsi="Book Antiqua" w:cs="Arial"/>
                <w:bCs/>
                <w:sz w:val="24"/>
                <w:szCs w:val="24"/>
                <w:vertAlign w:val="superscript"/>
                <w:lang w:val="en-US"/>
              </w:rPr>
              <w:t>[50]</w:t>
            </w:r>
            <w:r w:rsidRPr="00C419B4">
              <w:rPr>
                <w:rFonts w:ascii="Book Antiqua" w:hAnsi="Book Antiqua" w:cs="Arial"/>
                <w:bCs/>
                <w:sz w:val="24"/>
                <w:szCs w:val="24"/>
                <w:lang w:val="en-US"/>
              </w:rPr>
              <w:t>,</w:t>
            </w:r>
            <w:r w:rsidR="00851FFB" w:rsidRPr="00C419B4">
              <w:rPr>
                <w:rFonts w:ascii="Book Antiqua" w:hAnsi="Book Antiqua" w:cs="Arial"/>
                <w:bCs/>
                <w:sz w:val="24"/>
                <w:szCs w:val="24"/>
                <w:lang w:val="en-US"/>
              </w:rPr>
              <w:t xml:space="preserve"> 2006</w:t>
            </w:r>
          </w:p>
        </w:tc>
      </w:tr>
      <w:tr w:rsidR="008D14E6" w:rsidRPr="00BA60F0" w:rsidTr="003D2377">
        <w:tc>
          <w:tcPr>
            <w:tcW w:w="1188" w:type="dxa"/>
          </w:tcPr>
          <w:p w:rsidR="008D14E6" w:rsidRPr="003D2377" w:rsidRDefault="008D14E6" w:rsidP="00746849">
            <w:pPr>
              <w:adjustRightInd w:val="0"/>
              <w:snapToGrid w:val="0"/>
              <w:spacing w:after="0" w:line="360" w:lineRule="auto"/>
              <w:jc w:val="both"/>
              <w:rPr>
                <w:rFonts w:ascii="Book Antiqua" w:hAnsi="Book Antiqua" w:cs="Arial"/>
                <w:bCs/>
                <w:sz w:val="24"/>
                <w:szCs w:val="24"/>
                <w:lang w:val="en-US"/>
              </w:rPr>
            </w:pPr>
            <w:r w:rsidRPr="003D2377">
              <w:rPr>
                <w:rFonts w:ascii="Book Antiqua" w:hAnsi="Book Antiqua" w:cs="Arial"/>
                <w:bCs/>
                <w:sz w:val="24"/>
                <w:szCs w:val="24"/>
                <w:lang w:val="en-US"/>
              </w:rPr>
              <w:lastRenderedPageBreak/>
              <w:t>Docetaxel/</w:t>
            </w:r>
            <w:r w:rsidRPr="003D2377">
              <w:rPr>
                <w:rFonts w:ascii="Book Antiqua" w:hAnsi="Book Antiqua" w:cs="Arial"/>
                <w:bCs/>
                <w:sz w:val="24"/>
                <w:szCs w:val="24"/>
                <w:lang w:val="en-US"/>
              </w:rPr>
              <w:br/>
              <w:t>Oxaliplatin</w:t>
            </w:r>
          </w:p>
        </w:tc>
        <w:tc>
          <w:tcPr>
            <w:tcW w:w="621" w:type="dxa"/>
          </w:tcPr>
          <w:p w:rsidR="008D14E6" w:rsidRPr="00BA60F0" w:rsidRDefault="008D14E6" w:rsidP="00746849">
            <w:pPr>
              <w:adjustRightInd w:val="0"/>
              <w:snapToGrid w:val="0"/>
              <w:spacing w:after="0" w:line="360" w:lineRule="auto"/>
              <w:jc w:val="both"/>
              <w:rPr>
                <w:rFonts w:ascii="Book Antiqua" w:hAnsi="Book Antiqua" w:cs="Arial"/>
                <w:sz w:val="24"/>
                <w:szCs w:val="24"/>
                <w:lang w:val="en-US"/>
              </w:rPr>
            </w:pPr>
            <w:r w:rsidRPr="00BA60F0">
              <w:rPr>
                <w:rFonts w:ascii="Book Antiqua" w:hAnsi="Book Antiqua" w:cs="Arial"/>
                <w:sz w:val="24"/>
                <w:szCs w:val="24"/>
                <w:lang w:val="en-US"/>
              </w:rPr>
              <w:t>38/37</w:t>
            </w:r>
          </w:p>
        </w:tc>
        <w:tc>
          <w:tcPr>
            <w:tcW w:w="1089" w:type="dxa"/>
          </w:tcPr>
          <w:p w:rsidR="008D14E6" w:rsidRPr="00BA60F0" w:rsidRDefault="008D14E6" w:rsidP="00746849">
            <w:pPr>
              <w:adjustRightInd w:val="0"/>
              <w:snapToGrid w:val="0"/>
              <w:spacing w:after="0" w:line="360" w:lineRule="auto"/>
              <w:jc w:val="both"/>
              <w:rPr>
                <w:rFonts w:ascii="Book Antiqua" w:hAnsi="Book Antiqua" w:cs="Arial"/>
                <w:sz w:val="24"/>
                <w:szCs w:val="24"/>
                <w:lang w:val="en-US"/>
              </w:rPr>
            </w:pPr>
            <w:r w:rsidRPr="00BA60F0">
              <w:rPr>
                <w:rFonts w:ascii="Book Antiqua" w:hAnsi="Book Antiqua" w:cs="Arial"/>
                <w:sz w:val="24"/>
                <w:szCs w:val="24"/>
                <w:lang w:val="en-US"/>
              </w:rPr>
              <w:t>ECOG 0/1/2 - 19/12/7</w:t>
            </w:r>
          </w:p>
        </w:tc>
        <w:tc>
          <w:tcPr>
            <w:tcW w:w="1890" w:type="dxa"/>
          </w:tcPr>
          <w:p w:rsidR="008D14E6" w:rsidRPr="00BA60F0" w:rsidRDefault="008D14E6" w:rsidP="00746849">
            <w:pPr>
              <w:adjustRightInd w:val="0"/>
              <w:snapToGrid w:val="0"/>
              <w:spacing w:after="0" w:line="360" w:lineRule="auto"/>
              <w:jc w:val="both"/>
              <w:rPr>
                <w:rFonts w:ascii="Book Antiqua" w:hAnsi="Book Antiqua" w:cs="Arial"/>
                <w:sz w:val="24"/>
                <w:szCs w:val="24"/>
                <w:lang w:val="en-US"/>
              </w:rPr>
            </w:pPr>
            <w:r w:rsidRPr="00BA60F0">
              <w:rPr>
                <w:rFonts w:ascii="Book Antiqua" w:hAnsi="Book Antiqua" w:cs="Arial"/>
                <w:sz w:val="24"/>
                <w:szCs w:val="24"/>
                <w:lang w:val="en-US"/>
              </w:rPr>
              <w:t>Dtx/Ox - 75/80  d1/d2 q21</w:t>
            </w:r>
          </w:p>
        </w:tc>
        <w:tc>
          <w:tcPr>
            <w:tcW w:w="810" w:type="dxa"/>
          </w:tcPr>
          <w:p w:rsidR="008D14E6" w:rsidRPr="00BA60F0" w:rsidRDefault="008D14E6" w:rsidP="00746849">
            <w:pPr>
              <w:adjustRightInd w:val="0"/>
              <w:snapToGrid w:val="0"/>
              <w:spacing w:after="0" w:line="360" w:lineRule="auto"/>
              <w:jc w:val="both"/>
              <w:rPr>
                <w:rFonts w:ascii="Book Antiqua" w:hAnsi="Book Antiqua" w:cs="Arial"/>
                <w:sz w:val="24"/>
                <w:szCs w:val="24"/>
                <w:lang w:val="en-US"/>
              </w:rPr>
            </w:pPr>
            <w:r w:rsidRPr="00BA60F0">
              <w:rPr>
                <w:rFonts w:ascii="Book Antiqua" w:hAnsi="Book Antiqua" w:cs="Arial"/>
                <w:sz w:val="24"/>
                <w:szCs w:val="24"/>
                <w:lang w:val="en-US"/>
              </w:rPr>
              <w:t>10.5</w:t>
            </w:r>
          </w:p>
        </w:tc>
        <w:tc>
          <w:tcPr>
            <w:tcW w:w="697" w:type="dxa"/>
          </w:tcPr>
          <w:p w:rsidR="008D14E6" w:rsidRPr="00BA60F0" w:rsidRDefault="008D14E6" w:rsidP="00746849">
            <w:pPr>
              <w:adjustRightInd w:val="0"/>
              <w:snapToGrid w:val="0"/>
              <w:spacing w:after="0" w:line="360" w:lineRule="auto"/>
              <w:jc w:val="both"/>
              <w:rPr>
                <w:rFonts w:ascii="Book Antiqua" w:hAnsi="Book Antiqua" w:cs="Arial"/>
                <w:sz w:val="24"/>
                <w:szCs w:val="24"/>
                <w:lang w:val="en-US"/>
              </w:rPr>
            </w:pPr>
            <w:r w:rsidRPr="00BA60F0">
              <w:rPr>
                <w:rFonts w:ascii="Book Antiqua" w:hAnsi="Book Antiqua" w:cs="Arial"/>
                <w:sz w:val="24"/>
                <w:szCs w:val="24"/>
                <w:lang w:val="en-US"/>
              </w:rPr>
              <w:t>4.0</w:t>
            </w:r>
          </w:p>
        </w:tc>
        <w:tc>
          <w:tcPr>
            <w:tcW w:w="810" w:type="dxa"/>
          </w:tcPr>
          <w:p w:rsidR="008D14E6" w:rsidRPr="00BA60F0" w:rsidRDefault="008D14E6" w:rsidP="00746849">
            <w:pPr>
              <w:adjustRightInd w:val="0"/>
              <w:snapToGrid w:val="0"/>
              <w:spacing w:after="0" w:line="360" w:lineRule="auto"/>
              <w:jc w:val="both"/>
              <w:rPr>
                <w:rFonts w:ascii="Book Antiqua" w:hAnsi="Book Antiqua" w:cs="Arial"/>
                <w:sz w:val="24"/>
                <w:szCs w:val="24"/>
                <w:lang w:val="en-US"/>
              </w:rPr>
            </w:pPr>
            <w:r w:rsidRPr="00BA60F0">
              <w:rPr>
                <w:rFonts w:ascii="Book Antiqua" w:hAnsi="Book Antiqua" w:cs="Arial"/>
                <w:sz w:val="24"/>
                <w:szCs w:val="24"/>
                <w:lang w:val="en-US"/>
              </w:rPr>
              <w:t>NR</w:t>
            </w:r>
          </w:p>
        </w:tc>
        <w:tc>
          <w:tcPr>
            <w:tcW w:w="720" w:type="dxa"/>
          </w:tcPr>
          <w:p w:rsidR="008D14E6" w:rsidRPr="00BA60F0" w:rsidRDefault="008D14E6" w:rsidP="00746849">
            <w:pPr>
              <w:adjustRightInd w:val="0"/>
              <w:snapToGrid w:val="0"/>
              <w:spacing w:after="0" w:line="360" w:lineRule="auto"/>
              <w:jc w:val="both"/>
              <w:rPr>
                <w:rFonts w:ascii="Book Antiqua" w:hAnsi="Book Antiqua" w:cs="Arial"/>
                <w:sz w:val="24"/>
                <w:szCs w:val="24"/>
                <w:lang w:val="en-US"/>
              </w:rPr>
            </w:pPr>
            <w:r w:rsidRPr="00BA60F0">
              <w:rPr>
                <w:rFonts w:ascii="Book Antiqua" w:hAnsi="Book Antiqua" w:cs="Arial"/>
                <w:sz w:val="24"/>
                <w:szCs w:val="24"/>
                <w:lang w:val="en-US"/>
              </w:rPr>
              <w:t>8.1</w:t>
            </w:r>
          </w:p>
        </w:tc>
        <w:tc>
          <w:tcPr>
            <w:tcW w:w="1639" w:type="dxa"/>
          </w:tcPr>
          <w:p w:rsidR="008D14E6" w:rsidRPr="00BA60F0" w:rsidRDefault="008D14E6" w:rsidP="00746849">
            <w:pPr>
              <w:adjustRightInd w:val="0"/>
              <w:snapToGrid w:val="0"/>
              <w:spacing w:after="0" w:line="360" w:lineRule="auto"/>
              <w:jc w:val="both"/>
              <w:rPr>
                <w:rFonts w:ascii="Book Antiqua" w:hAnsi="Book Antiqua" w:cs="Arial"/>
                <w:sz w:val="24"/>
                <w:szCs w:val="24"/>
                <w:lang w:val="en-US"/>
              </w:rPr>
            </w:pPr>
            <w:r w:rsidRPr="00BA60F0">
              <w:rPr>
                <w:rFonts w:ascii="Book Antiqua" w:hAnsi="Book Antiqua" w:cs="Arial"/>
                <w:sz w:val="24"/>
                <w:szCs w:val="24"/>
                <w:lang w:val="en-US"/>
              </w:rPr>
              <w:t>N/As/Nau/Neu - 26.3/15.7/15.7/3</w:t>
            </w:r>
          </w:p>
        </w:tc>
        <w:tc>
          <w:tcPr>
            <w:tcW w:w="1061" w:type="dxa"/>
          </w:tcPr>
          <w:p w:rsidR="008D14E6" w:rsidRPr="00C419B4" w:rsidRDefault="008D14E6" w:rsidP="00746849">
            <w:pPr>
              <w:adjustRightInd w:val="0"/>
              <w:snapToGrid w:val="0"/>
              <w:spacing w:after="0" w:line="360" w:lineRule="auto"/>
              <w:jc w:val="both"/>
              <w:rPr>
                <w:rFonts w:ascii="Book Antiqua" w:hAnsi="Book Antiqua" w:cs="Arial"/>
                <w:bCs/>
                <w:sz w:val="24"/>
                <w:szCs w:val="24"/>
                <w:lang w:val="en-US"/>
              </w:rPr>
            </w:pPr>
            <w:r w:rsidRPr="00C419B4">
              <w:rPr>
                <w:rFonts w:ascii="Book Antiqua" w:hAnsi="Book Antiqua" w:cs="Arial"/>
                <w:bCs/>
                <w:sz w:val="24"/>
                <w:szCs w:val="24"/>
                <w:lang w:val="en-US"/>
              </w:rPr>
              <w:t>Barone</w:t>
            </w:r>
            <w:r w:rsidR="00851FFB" w:rsidRPr="00C419B4">
              <w:rPr>
                <w:rFonts w:ascii="Book Antiqua" w:hAnsi="Book Antiqua" w:cs="Arial"/>
                <w:bCs/>
                <w:sz w:val="24"/>
                <w:szCs w:val="24"/>
                <w:lang w:val="en-US"/>
              </w:rPr>
              <w:t xml:space="preserve"> </w:t>
            </w:r>
            <w:r w:rsidR="00851FFB" w:rsidRPr="00C419B4">
              <w:rPr>
                <w:rFonts w:ascii="Book Antiqua" w:hAnsi="Book Antiqua" w:cs="Arial"/>
                <w:bCs/>
                <w:i/>
                <w:sz w:val="24"/>
                <w:szCs w:val="24"/>
                <w:lang w:val="en-US"/>
              </w:rPr>
              <w:t>et al</w:t>
            </w:r>
            <w:r w:rsidR="00851FFB" w:rsidRPr="00C419B4">
              <w:rPr>
                <w:rFonts w:ascii="Book Antiqua" w:hAnsi="Book Antiqua" w:cs="Arial"/>
                <w:bCs/>
                <w:sz w:val="24"/>
                <w:szCs w:val="24"/>
                <w:vertAlign w:val="superscript"/>
                <w:lang w:val="en-US"/>
              </w:rPr>
              <w:t>[51]</w:t>
            </w:r>
            <w:r w:rsidR="00851FFB" w:rsidRPr="00C419B4">
              <w:rPr>
                <w:rFonts w:ascii="Book Antiqua" w:hAnsi="Book Antiqua" w:cs="Arial"/>
                <w:bCs/>
                <w:sz w:val="24"/>
                <w:szCs w:val="24"/>
                <w:lang w:val="en-US"/>
              </w:rPr>
              <w:t xml:space="preserve">, </w:t>
            </w:r>
            <w:r w:rsidRPr="00C419B4">
              <w:rPr>
                <w:rFonts w:ascii="Book Antiqua" w:hAnsi="Book Antiqua" w:cs="Arial"/>
                <w:bCs/>
                <w:sz w:val="24"/>
                <w:szCs w:val="24"/>
                <w:lang w:val="en-US"/>
              </w:rPr>
              <w:t>2</w:t>
            </w:r>
            <w:r w:rsidR="00851FFB" w:rsidRPr="00C419B4">
              <w:rPr>
                <w:rFonts w:ascii="Book Antiqua" w:hAnsi="Book Antiqua" w:cs="Arial"/>
                <w:bCs/>
                <w:sz w:val="24"/>
                <w:szCs w:val="24"/>
                <w:lang w:val="en-US"/>
              </w:rPr>
              <w:t>007</w:t>
            </w:r>
          </w:p>
        </w:tc>
      </w:tr>
      <w:tr w:rsidR="008D14E6" w:rsidRPr="00BA60F0" w:rsidTr="003D2377">
        <w:tc>
          <w:tcPr>
            <w:tcW w:w="1188" w:type="dxa"/>
          </w:tcPr>
          <w:p w:rsidR="008D14E6" w:rsidRPr="003D2377" w:rsidRDefault="008D14E6" w:rsidP="00746849">
            <w:pPr>
              <w:adjustRightInd w:val="0"/>
              <w:snapToGrid w:val="0"/>
              <w:spacing w:after="0" w:line="360" w:lineRule="auto"/>
              <w:jc w:val="both"/>
              <w:rPr>
                <w:rFonts w:ascii="Book Antiqua" w:hAnsi="Book Antiqua" w:cs="Arial"/>
                <w:bCs/>
                <w:sz w:val="24"/>
                <w:szCs w:val="24"/>
                <w:lang w:val="en-US"/>
              </w:rPr>
            </w:pPr>
            <w:r w:rsidRPr="003D2377">
              <w:rPr>
                <w:rFonts w:ascii="Book Antiqua" w:hAnsi="Book Antiqua" w:cs="Arial"/>
                <w:bCs/>
                <w:sz w:val="24"/>
                <w:szCs w:val="24"/>
                <w:lang w:val="en-US"/>
              </w:rPr>
              <w:t>Docetaxel/</w:t>
            </w:r>
            <w:r w:rsidRPr="003D2377">
              <w:rPr>
                <w:rFonts w:ascii="Book Antiqua" w:hAnsi="Book Antiqua" w:cs="Arial"/>
                <w:bCs/>
                <w:sz w:val="24"/>
                <w:szCs w:val="24"/>
                <w:lang w:val="en-US"/>
              </w:rPr>
              <w:br/>
              <w:t>Oxaliplatin</w:t>
            </w:r>
          </w:p>
        </w:tc>
        <w:tc>
          <w:tcPr>
            <w:tcW w:w="621" w:type="dxa"/>
          </w:tcPr>
          <w:p w:rsidR="008D14E6" w:rsidRPr="00BA60F0" w:rsidRDefault="008D14E6" w:rsidP="00746849">
            <w:pPr>
              <w:adjustRightInd w:val="0"/>
              <w:snapToGrid w:val="0"/>
              <w:spacing w:after="0" w:line="360" w:lineRule="auto"/>
              <w:jc w:val="both"/>
              <w:rPr>
                <w:rFonts w:ascii="Book Antiqua" w:hAnsi="Book Antiqua" w:cs="Arial"/>
                <w:sz w:val="24"/>
                <w:szCs w:val="24"/>
                <w:lang w:val="en-US"/>
              </w:rPr>
            </w:pPr>
            <w:r w:rsidRPr="00BA60F0">
              <w:rPr>
                <w:rFonts w:ascii="Book Antiqua" w:hAnsi="Book Antiqua" w:cs="Arial"/>
                <w:sz w:val="24"/>
                <w:szCs w:val="24"/>
                <w:lang w:val="en-US"/>
              </w:rPr>
              <w:t>48/46</w:t>
            </w:r>
          </w:p>
        </w:tc>
        <w:tc>
          <w:tcPr>
            <w:tcW w:w="1089" w:type="dxa"/>
          </w:tcPr>
          <w:p w:rsidR="008D14E6" w:rsidRPr="00BA60F0" w:rsidRDefault="008D14E6" w:rsidP="00746849">
            <w:pPr>
              <w:adjustRightInd w:val="0"/>
              <w:snapToGrid w:val="0"/>
              <w:spacing w:after="0" w:line="360" w:lineRule="auto"/>
              <w:jc w:val="both"/>
              <w:rPr>
                <w:rFonts w:ascii="Book Antiqua" w:hAnsi="Book Antiqua" w:cs="Arial"/>
                <w:sz w:val="24"/>
                <w:szCs w:val="24"/>
                <w:lang w:val="en-US"/>
              </w:rPr>
            </w:pPr>
            <w:r w:rsidRPr="00BA60F0">
              <w:rPr>
                <w:rFonts w:ascii="Book Antiqua" w:hAnsi="Book Antiqua" w:cs="Arial"/>
                <w:sz w:val="24"/>
                <w:szCs w:val="24"/>
                <w:lang w:val="en-US"/>
              </w:rPr>
              <w:t>ECOG 0/1/2 - 11/29/8</w:t>
            </w:r>
          </w:p>
        </w:tc>
        <w:tc>
          <w:tcPr>
            <w:tcW w:w="1890" w:type="dxa"/>
          </w:tcPr>
          <w:p w:rsidR="008D14E6" w:rsidRPr="00BA60F0" w:rsidRDefault="008D14E6" w:rsidP="00746849">
            <w:pPr>
              <w:adjustRightInd w:val="0"/>
              <w:snapToGrid w:val="0"/>
              <w:spacing w:after="0" w:line="360" w:lineRule="auto"/>
              <w:jc w:val="both"/>
              <w:rPr>
                <w:rFonts w:ascii="Book Antiqua" w:hAnsi="Book Antiqua" w:cs="Arial"/>
                <w:sz w:val="24"/>
                <w:szCs w:val="24"/>
                <w:lang w:val="en-US"/>
              </w:rPr>
            </w:pPr>
            <w:r w:rsidRPr="00BA60F0">
              <w:rPr>
                <w:rFonts w:ascii="Book Antiqua" w:hAnsi="Book Antiqua" w:cs="Arial"/>
                <w:sz w:val="24"/>
                <w:szCs w:val="24"/>
                <w:lang w:val="en-US"/>
              </w:rPr>
              <w:t>Dtx/Ox - 60/130 d1 q21</w:t>
            </w:r>
          </w:p>
        </w:tc>
        <w:tc>
          <w:tcPr>
            <w:tcW w:w="810" w:type="dxa"/>
          </w:tcPr>
          <w:p w:rsidR="008D14E6" w:rsidRPr="00BA60F0" w:rsidRDefault="008D14E6" w:rsidP="00746849">
            <w:pPr>
              <w:adjustRightInd w:val="0"/>
              <w:snapToGrid w:val="0"/>
              <w:spacing w:after="0" w:line="360" w:lineRule="auto"/>
              <w:jc w:val="both"/>
              <w:rPr>
                <w:rFonts w:ascii="Book Antiqua" w:hAnsi="Book Antiqua" w:cs="Arial"/>
                <w:sz w:val="24"/>
                <w:szCs w:val="24"/>
                <w:lang w:val="en-US"/>
              </w:rPr>
            </w:pPr>
            <w:r w:rsidRPr="00BA60F0">
              <w:rPr>
                <w:rFonts w:ascii="Book Antiqua" w:hAnsi="Book Antiqua" w:cs="Arial"/>
                <w:sz w:val="24"/>
                <w:szCs w:val="24"/>
                <w:lang w:val="en-US"/>
              </w:rPr>
              <w:t>22.9</w:t>
            </w:r>
          </w:p>
        </w:tc>
        <w:tc>
          <w:tcPr>
            <w:tcW w:w="697" w:type="dxa"/>
          </w:tcPr>
          <w:p w:rsidR="008D14E6" w:rsidRPr="00BA60F0" w:rsidRDefault="008D14E6" w:rsidP="00746849">
            <w:pPr>
              <w:adjustRightInd w:val="0"/>
              <w:snapToGrid w:val="0"/>
              <w:spacing w:after="0" w:line="360" w:lineRule="auto"/>
              <w:jc w:val="both"/>
              <w:rPr>
                <w:rFonts w:ascii="Book Antiqua" w:hAnsi="Book Antiqua" w:cs="Arial"/>
                <w:sz w:val="24"/>
                <w:szCs w:val="24"/>
                <w:lang w:val="en-US"/>
              </w:rPr>
            </w:pPr>
            <w:r w:rsidRPr="00BA60F0">
              <w:rPr>
                <w:rFonts w:ascii="Book Antiqua" w:hAnsi="Book Antiqua" w:cs="Arial"/>
                <w:sz w:val="24"/>
                <w:szCs w:val="24"/>
                <w:lang w:val="en-US"/>
              </w:rPr>
              <w:t>4.4</w:t>
            </w:r>
          </w:p>
        </w:tc>
        <w:tc>
          <w:tcPr>
            <w:tcW w:w="810" w:type="dxa"/>
          </w:tcPr>
          <w:p w:rsidR="008D14E6" w:rsidRPr="00BA60F0" w:rsidRDefault="008D14E6" w:rsidP="00746849">
            <w:pPr>
              <w:adjustRightInd w:val="0"/>
              <w:snapToGrid w:val="0"/>
              <w:spacing w:after="0" w:line="360" w:lineRule="auto"/>
              <w:jc w:val="both"/>
              <w:rPr>
                <w:rFonts w:ascii="Book Antiqua" w:hAnsi="Book Antiqua" w:cs="Arial"/>
                <w:sz w:val="24"/>
                <w:szCs w:val="24"/>
                <w:lang w:val="en-US"/>
              </w:rPr>
            </w:pPr>
            <w:r w:rsidRPr="00BA60F0">
              <w:rPr>
                <w:rFonts w:ascii="Book Antiqua" w:hAnsi="Book Antiqua" w:cs="Arial"/>
                <w:sz w:val="24"/>
                <w:szCs w:val="24"/>
                <w:lang w:val="en-US"/>
              </w:rPr>
              <w:t>NR</w:t>
            </w:r>
          </w:p>
        </w:tc>
        <w:tc>
          <w:tcPr>
            <w:tcW w:w="720" w:type="dxa"/>
          </w:tcPr>
          <w:p w:rsidR="008D14E6" w:rsidRPr="00BA60F0" w:rsidRDefault="008D14E6" w:rsidP="00746849">
            <w:pPr>
              <w:adjustRightInd w:val="0"/>
              <w:snapToGrid w:val="0"/>
              <w:spacing w:after="0" w:line="360" w:lineRule="auto"/>
              <w:jc w:val="both"/>
              <w:rPr>
                <w:rFonts w:ascii="Book Antiqua" w:hAnsi="Book Antiqua" w:cs="Arial"/>
                <w:sz w:val="24"/>
                <w:szCs w:val="24"/>
                <w:lang w:val="en-US"/>
              </w:rPr>
            </w:pPr>
            <w:r w:rsidRPr="00BA60F0">
              <w:rPr>
                <w:rFonts w:ascii="Book Antiqua" w:hAnsi="Book Antiqua" w:cs="Arial"/>
                <w:sz w:val="24"/>
                <w:szCs w:val="24"/>
                <w:lang w:val="en-US"/>
              </w:rPr>
              <w:t>7.2</w:t>
            </w:r>
          </w:p>
        </w:tc>
        <w:tc>
          <w:tcPr>
            <w:tcW w:w="1639" w:type="dxa"/>
          </w:tcPr>
          <w:p w:rsidR="008D14E6" w:rsidRPr="00BA60F0" w:rsidRDefault="008D14E6" w:rsidP="00746849">
            <w:pPr>
              <w:adjustRightInd w:val="0"/>
              <w:snapToGrid w:val="0"/>
              <w:spacing w:after="0" w:line="360" w:lineRule="auto"/>
              <w:jc w:val="both"/>
              <w:rPr>
                <w:rFonts w:ascii="Book Antiqua" w:hAnsi="Book Antiqua" w:cs="Arial"/>
                <w:sz w:val="24"/>
                <w:szCs w:val="24"/>
                <w:lang w:val="en-US"/>
              </w:rPr>
            </w:pPr>
            <w:r w:rsidRPr="00BA60F0">
              <w:rPr>
                <w:rFonts w:ascii="Book Antiqua" w:hAnsi="Book Antiqua" w:cs="Arial"/>
                <w:sz w:val="24"/>
                <w:szCs w:val="24"/>
                <w:lang w:val="en-US"/>
              </w:rPr>
              <w:t>L/N/FN/T/N-E/D/Neu - 17.4/26/7/4.3/28.3/ 15/6.5</w:t>
            </w:r>
          </w:p>
        </w:tc>
        <w:tc>
          <w:tcPr>
            <w:tcW w:w="1061" w:type="dxa"/>
          </w:tcPr>
          <w:p w:rsidR="008D14E6" w:rsidRPr="00C419B4" w:rsidRDefault="008D14E6" w:rsidP="00746849">
            <w:pPr>
              <w:adjustRightInd w:val="0"/>
              <w:snapToGrid w:val="0"/>
              <w:spacing w:after="0" w:line="360" w:lineRule="auto"/>
              <w:jc w:val="both"/>
              <w:rPr>
                <w:rFonts w:ascii="Book Antiqua" w:hAnsi="Book Antiqua" w:cs="Arial"/>
                <w:bCs/>
                <w:sz w:val="24"/>
                <w:szCs w:val="24"/>
                <w:lang w:val="en-US"/>
              </w:rPr>
            </w:pPr>
            <w:r w:rsidRPr="00C419B4">
              <w:rPr>
                <w:rFonts w:ascii="Book Antiqua" w:hAnsi="Book Antiqua" w:cs="Arial"/>
                <w:bCs/>
                <w:sz w:val="24"/>
                <w:szCs w:val="24"/>
                <w:lang w:val="en-US"/>
              </w:rPr>
              <w:t>Zhong</w:t>
            </w:r>
            <w:r w:rsidR="00851FFB" w:rsidRPr="00C419B4">
              <w:rPr>
                <w:rFonts w:ascii="Book Antiqua" w:hAnsi="Book Antiqua" w:cs="Arial"/>
                <w:bCs/>
                <w:i/>
                <w:sz w:val="24"/>
                <w:szCs w:val="24"/>
                <w:lang w:val="en-US"/>
              </w:rPr>
              <w:t xml:space="preserve"> et al</w:t>
            </w:r>
            <w:r w:rsidR="00851FFB" w:rsidRPr="00C419B4">
              <w:rPr>
                <w:rFonts w:ascii="Book Antiqua" w:hAnsi="Book Antiqua" w:cs="Arial"/>
                <w:bCs/>
                <w:sz w:val="24"/>
                <w:szCs w:val="24"/>
                <w:vertAlign w:val="superscript"/>
                <w:lang w:val="en-US"/>
              </w:rPr>
              <w:t>[52]</w:t>
            </w:r>
            <w:r w:rsidR="00851FFB" w:rsidRPr="00C419B4">
              <w:rPr>
                <w:rFonts w:ascii="Book Antiqua" w:hAnsi="Book Antiqua" w:cs="Arial"/>
                <w:bCs/>
                <w:sz w:val="24"/>
                <w:szCs w:val="24"/>
                <w:lang w:val="en-US"/>
              </w:rPr>
              <w:t>, 2008</w:t>
            </w:r>
          </w:p>
        </w:tc>
      </w:tr>
      <w:tr w:rsidR="008D14E6" w:rsidRPr="00BA60F0" w:rsidTr="003D2377">
        <w:tc>
          <w:tcPr>
            <w:tcW w:w="1188" w:type="dxa"/>
          </w:tcPr>
          <w:p w:rsidR="008D14E6" w:rsidRPr="003D2377" w:rsidRDefault="008D14E6" w:rsidP="00746849">
            <w:pPr>
              <w:adjustRightInd w:val="0"/>
              <w:snapToGrid w:val="0"/>
              <w:spacing w:after="0" w:line="360" w:lineRule="auto"/>
              <w:jc w:val="both"/>
              <w:rPr>
                <w:rFonts w:ascii="Book Antiqua" w:hAnsi="Book Antiqua" w:cs="Arial"/>
                <w:bCs/>
                <w:sz w:val="24"/>
                <w:szCs w:val="24"/>
                <w:lang w:val="en-US"/>
              </w:rPr>
            </w:pPr>
            <w:r w:rsidRPr="003D2377">
              <w:rPr>
                <w:rFonts w:ascii="Book Antiqua" w:hAnsi="Book Antiqua" w:cs="Arial"/>
                <w:bCs/>
                <w:sz w:val="24"/>
                <w:szCs w:val="24"/>
                <w:lang w:val="en-US"/>
              </w:rPr>
              <w:t>Docetaxel/</w:t>
            </w:r>
            <w:r w:rsidRPr="003D2377">
              <w:rPr>
                <w:rFonts w:ascii="Book Antiqua" w:hAnsi="Book Antiqua" w:cs="Arial"/>
                <w:bCs/>
                <w:sz w:val="24"/>
                <w:szCs w:val="24"/>
                <w:lang w:val="en-US"/>
              </w:rPr>
              <w:br/>
              <w:t>Epirubicin</w:t>
            </w:r>
          </w:p>
        </w:tc>
        <w:tc>
          <w:tcPr>
            <w:tcW w:w="621" w:type="dxa"/>
          </w:tcPr>
          <w:p w:rsidR="008D14E6" w:rsidRPr="00BA60F0" w:rsidRDefault="008D14E6" w:rsidP="00746849">
            <w:pPr>
              <w:adjustRightInd w:val="0"/>
              <w:snapToGrid w:val="0"/>
              <w:spacing w:after="0" w:line="360" w:lineRule="auto"/>
              <w:jc w:val="both"/>
              <w:rPr>
                <w:rFonts w:ascii="Book Antiqua" w:hAnsi="Book Antiqua" w:cs="Arial"/>
                <w:sz w:val="24"/>
                <w:szCs w:val="24"/>
                <w:lang w:val="en-US"/>
              </w:rPr>
            </w:pPr>
            <w:r w:rsidRPr="00BA60F0">
              <w:rPr>
                <w:rFonts w:ascii="Book Antiqua" w:hAnsi="Book Antiqua" w:cs="Arial"/>
                <w:sz w:val="24"/>
                <w:szCs w:val="24"/>
                <w:lang w:val="en-US"/>
              </w:rPr>
              <w:t>50/45</w:t>
            </w:r>
          </w:p>
        </w:tc>
        <w:tc>
          <w:tcPr>
            <w:tcW w:w="1089" w:type="dxa"/>
          </w:tcPr>
          <w:p w:rsidR="008D14E6" w:rsidRPr="00BA60F0" w:rsidRDefault="008D14E6" w:rsidP="00746849">
            <w:pPr>
              <w:adjustRightInd w:val="0"/>
              <w:snapToGrid w:val="0"/>
              <w:spacing w:after="0" w:line="360" w:lineRule="auto"/>
              <w:jc w:val="both"/>
              <w:rPr>
                <w:rFonts w:ascii="Book Antiqua" w:hAnsi="Book Antiqua" w:cs="Arial"/>
                <w:sz w:val="24"/>
                <w:szCs w:val="24"/>
                <w:lang w:val="en-US"/>
              </w:rPr>
            </w:pPr>
            <w:r w:rsidRPr="00BA60F0">
              <w:rPr>
                <w:rFonts w:ascii="Book Antiqua" w:hAnsi="Book Antiqua" w:cs="Arial"/>
                <w:sz w:val="24"/>
                <w:szCs w:val="24"/>
                <w:lang w:val="en-US"/>
              </w:rPr>
              <w:t>ECOG 0/1/2 - 12/16/22</w:t>
            </w:r>
          </w:p>
        </w:tc>
        <w:tc>
          <w:tcPr>
            <w:tcW w:w="1890" w:type="dxa"/>
          </w:tcPr>
          <w:p w:rsidR="008D14E6" w:rsidRPr="00BA60F0" w:rsidRDefault="008D14E6" w:rsidP="00746849">
            <w:pPr>
              <w:adjustRightInd w:val="0"/>
              <w:snapToGrid w:val="0"/>
              <w:spacing w:after="0" w:line="360" w:lineRule="auto"/>
              <w:jc w:val="both"/>
              <w:rPr>
                <w:rFonts w:ascii="Book Antiqua" w:hAnsi="Book Antiqua" w:cs="Arial"/>
                <w:sz w:val="24"/>
                <w:szCs w:val="24"/>
                <w:lang w:val="en-US"/>
              </w:rPr>
            </w:pPr>
            <w:r w:rsidRPr="00BA60F0">
              <w:rPr>
                <w:rFonts w:ascii="Book Antiqua" w:hAnsi="Book Antiqua" w:cs="Arial"/>
                <w:sz w:val="24"/>
                <w:szCs w:val="24"/>
                <w:lang w:val="en-US"/>
              </w:rPr>
              <w:t>Dtx/Epi - 75/60 d1/d1 q21</w:t>
            </w:r>
          </w:p>
        </w:tc>
        <w:tc>
          <w:tcPr>
            <w:tcW w:w="810" w:type="dxa"/>
          </w:tcPr>
          <w:p w:rsidR="008D14E6" w:rsidRPr="00BA60F0" w:rsidRDefault="008D14E6" w:rsidP="00746849">
            <w:pPr>
              <w:adjustRightInd w:val="0"/>
              <w:snapToGrid w:val="0"/>
              <w:spacing w:after="0" w:line="360" w:lineRule="auto"/>
              <w:jc w:val="both"/>
              <w:rPr>
                <w:rFonts w:ascii="Book Antiqua" w:hAnsi="Book Antiqua" w:cs="Arial"/>
                <w:sz w:val="24"/>
                <w:szCs w:val="24"/>
                <w:lang w:val="en-US"/>
              </w:rPr>
            </w:pPr>
            <w:r w:rsidRPr="00BA60F0">
              <w:rPr>
                <w:rFonts w:ascii="Book Antiqua" w:hAnsi="Book Antiqua" w:cs="Arial"/>
                <w:sz w:val="24"/>
                <w:szCs w:val="24"/>
                <w:lang w:val="en-US"/>
              </w:rPr>
              <w:t>15.5</w:t>
            </w:r>
          </w:p>
        </w:tc>
        <w:tc>
          <w:tcPr>
            <w:tcW w:w="697" w:type="dxa"/>
          </w:tcPr>
          <w:p w:rsidR="008D14E6" w:rsidRPr="00BA60F0" w:rsidRDefault="008D14E6" w:rsidP="00746849">
            <w:pPr>
              <w:adjustRightInd w:val="0"/>
              <w:snapToGrid w:val="0"/>
              <w:spacing w:after="0" w:line="360" w:lineRule="auto"/>
              <w:jc w:val="both"/>
              <w:rPr>
                <w:rFonts w:ascii="Book Antiqua" w:hAnsi="Book Antiqua" w:cs="Arial"/>
                <w:sz w:val="24"/>
                <w:szCs w:val="24"/>
                <w:lang w:val="en-US"/>
              </w:rPr>
            </w:pPr>
            <w:r w:rsidRPr="00BA60F0">
              <w:rPr>
                <w:rFonts w:ascii="Book Antiqua" w:hAnsi="Book Antiqua" w:cs="Arial"/>
                <w:sz w:val="24"/>
                <w:szCs w:val="24"/>
                <w:lang w:val="en-US"/>
              </w:rPr>
              <w:t>2.4</w:t>
            </w:r>
          </w:p>
        </w:tc>
        <w:tc>
          <w:tcPr>
            <w:tcW w:w="810" w:type="dxa"/>
          </w:tcPr>
          <w:p w:rsidR="008D14E6" w:rsidRPr="00BA60F0" w:rsidRDefault="008D14E6" w:rsidP="00746849">
            <w:pPr>
              <w:adjustRightInd w:val="0"/>
              <w:snapToGrid w:val="0"/>
              <w:spacing w:after="0" w:line="360" w:lineRule="auto"/>
              <w:jc w:val="both"/>
              <w:rPr>
                <w:rFonts w:ascii="Book Antiqua" w:hAnsi="Book Antiqua" w:cs="Arial"/>
                <w:sz w:val="24"/>
                <w:szCs w:val="24"/>
                <w:lang w:val="en-US"/>
              </w:rPr>
            </w:pPr>
            <w:r w:rsidRPr="00BA60F0">
              <w:rPr>
                <w:rFonts w:ascii="Book Antiqua" w:hAnsi="Book Antiqua" w:cs="Arial"/>
                <w:sz w:val="24"/>
                <w:szCs w:val="24"/>
                <w:lang w:val="en-US"/>
              </w:rPr>
              <w:t>NR</w:t>
            </w:r>
          </w:p>
        </w:tc>
        <w:tc>
          <w:tcPr>
            <w:tcW w:w="720" w:type="dxa"/>
          </w:tcPr>
          <w:p w:rsidR="008D14E6" w:rsidRPr="00BA60F0" w:rsidRDefault="008D14E6" w:rsidP="00746849">
            <w:pPr>
              <w:adjustRightInd w:val="0"/>
              <w:snapToGrid w:val="0"/>
              <w:spacing w:after="0" w:line="360" w:lineRule="auto"/>
              <w:jc w:val="both"/>
              <w:rPr>
                <w:rFonts w:ascii="Book Antiqua" w:hAnsi="Book Antiqua" w:cs="Arial"/>
                <w:sz w:val="24"/>
                <w:szCs w:val="24"/>
                <w:lang w:val="en-US"/>
              </w:rPr>
            </w:pPr>
            <w:r w:rsidRPr="00BA60F0">
              <w:rPr>
                <w:rFonts w:ascii="Book Antiqua" w:hAnsi="Book Antiqua" w:cs="Arial"/>
                <w:sz w:val="24"/>
                <w:szCs w:val="24"/>
                <w:lang w:val="en-US"/>
              </w:rPr>
              <w:t>5.0</w:t>
            </w:r>
          </w:p>
        </w:tc>
        <w:tc>
          <w:tcPr>
            <w:tcW w:w="1639" w:type="dxa"/>
          </w:tcPr>
          <w:p w:rsidR="008D14E6" w:rsidRPr="00BA60F0" w:rsidRDefault="008D14E6" w:rsidP="00746849">
            <w:pPr>
              <w:adjustRightInd w:val="0"/>
              <w:snapToGrid w:val="0"/>
              <w:spacing w:after="0" w:line="360" w:lineRule="auto"/>
              <w:jc w:val="both"/>
              <w:rPr>
                <w:rFonts w:ascii="Book Antiqua" w:hAnsi="Book Antiqua" w:cs="Arial"/>
                <w:sz w:val="24"/>
                <w:szCs w:val="24"/>
                <w:lang w:val="en-US"/>
              </w:rPr>
            </w:pPr>
            <w:r w:rsidRPr="00BA60F0">
              <w:rPr>
                <w:rFonts w:ascii="Book Antiqua" w:hAnsi="Book Antiqua" w:cs="Arial"/>
                <w:sz w:val="24"/>
                <w:szCs w:val="24"/>
                <w:lang w:val="en-US"/>
              </w:rPr>
              <w:t>N/FN/T/N-E/S/D/Neu - 68/48/46/2/8/4/2</w:t>
            </w:r>
          </w:p>
        </w:tc>
        <w:tc>
          <w:tcPr>
            <w:tcW w:w="1061" w:type="dxa"/>
          </w:tcPr>
          <w:p w:rsidR="008D14E6" w:rsidRPr="00C419B4" w:rsidRDefault="008D14E6" w:rsidP="00746849">
            <w:pPr>
              <w:adjustRightInd w:val="0"/>
              <w:snapToGrid w:val="0"/>
              <w:spacing w:after="0" w:line="360" w:lineRule="auto"/>
              <w:jc w:val="both"/>
              <w:rPr>
                <w:rFonts w:ascii="Book Antiqua" w:hAnsi="Book Antiqua" w:cs="Arial"/>
                <w:bCs/>
                <w:sz w:val="24"/>
                <w:szCs w:val="24"/>
                <w:lang w:val="en-US"/>
              </w:rPr>
            </w:pPr>
            <w:r w:rsidRPr="00C419B4">
              <w:rPr>
                <w:rFonts w:ascii="Book Antiqua" w:hAnsi="Book Antiqua" w:cs="Arial"/>
                <w:bCs/>
                <w:sz w:val="24"/>
                <w:szCs w:val="24"/>
                <w:lang w:val="en-US"/>
              </w:rPr>
              <w:t>Nguyen</w:t>
            </w:r>
            <w:r w:rsidR="00851FFB" w:rsidRPr="00C419B4">
              <w:rPr>
                <w:rFonts w:ascii="Book Antiqua" w:hAnsi="Book Antiqua" w:cs="Arial"/>
                <w:bCs/>
                <w:i/>
                <w:sz w:val="24"/>
                <w:szCs w:val="24"/>
                <w:lang w:val="en-US"/>
              </w:rPr>
              <w:t xml:space="preserve"> et al</w:t>
            </w:r>
            <w:r w:rsidR="00851FFB" w:rsidRPr="00C419B4">
              <w:rPr>
                <w:rFonts w:ascii="Book Antiqua" w:hAnsi="Book Antiqua" w:cs="Arial"/>
                <w:bCs/>
                <w:sz w:val="24"/>
                <w:szCs w:val="24"/>
                <w:vertAlign w:val="superscript"/>
                <w:lang w:val="en-US"/>
              </w:rPr>
              <w:t>[53]</w:t>
            </w:r>
            <w:r w:rsidR="00851FFB" w:rsidRPr="00C419B4">
              <w:rPr>
                <w:rFonts w:ascii="Book Antiqua" w:hAnsi="Book Antiqua" w:cs="Arial"/>
                <w:bCs/>
                <w:sz w:val="24"/>
                <w:szCs w:val="24"/>
                <w:lang w:val="en-US"/>
              </w:rPr>
              <w:t>, 2006</w:t>
            </w:r>
          </w:p>
        </w:tc>
      </w:tr>
      <w:tr w:rsidR="008D14E6" w:rsidRPr="00BA60F0" w:rsidTr="003D2377">
        <w:tc>
          <w:tcPr>
            <w:tcW w:w="1188" w:type="dxa"/>
          </w:tcPr>
          <w:p w:rsidR="008D14E6" w:rsidRPr="003D2377" w:rsidRDefault="008D14E6" w:rsidP="00746849">
            <w:pPr>
              <w:adjustRightInd w:val="0"/>
              <w:snapToGrid w:val="0"/>
              <w:spacing w:after="0" w:line="360" w:lineRule="auto"/>
              <w:jc w:val="both"/>
              <w:rPr>
                <w:rFonts w:ascii="Book Antiqua" w:hAnsi="Book Antiqua" w:cs="Arial"/>
                <w:bCs/>
                <w:sz w:val="24"/>
                <w:szCs w:val="24"/>
                <w:lang w:val="en-US"/>
              </w:rPr>
            </w:pPr>
            <w:r w:rsidRPr="003D2377">
              <w:rPr>
                <w:rFonts w:ascii="Book Antiqua" w:hAnsi="Book Antiqua" w:cs="Arial"/>
                <w:bCs/>
                <w:sz w:val="24"/>
                <w:szCs w:val="24"/>
                <w:lang w:val="en-US"/>
              </w:rPr>
              <w:t>Docetaxel/</w:t>
            </w:r>
            <w:r w:rsidRPr="003D2377">
              <w:rPr>
                <w:rFonts w:ascii="Book Antiqua" w:hAnsi="Book Antiqua" w:cs="Arial"/>
                <w:bCs/>
                <w:sz w:val="24"/>
                <w:szCs w:val="24"/>
                <w:lang w:val="en-US"/>
              </w:rPr>
              <w:br/>
              <w:t>Capecitabine</w:t>
            </w:r>
          </w:p>
        </w:tc>
        <w:tc>
          <w:tcPr>
            <w:tcW w:w="621" w:type="dxa"/>
          </w:tcPr>
          <w:p w:rsidR="008D14E6" w:rsidRPr="00BA60F0" w:rsidRDefault="008D14E6" w:rsidP="00746849">
            <w:pPr>
              <w:adjustRightInd w:val="0"/>
              <w:snapToGrid w:val="0"/>
              <w:spacing w:after="0" w:line="360" w:lineRule="auto"/>
              <w:jc w:val="both"/>
              <w:rPr>
                <w:rFonts w:ascii="Book Antiqua" w:hAnsi="Book Antiqua" w:cs="Arial"/>
                <w:sz w:val="24"/>
                <w:szCs w:val="24"/>
                <w:lang w:val="en-US"/>
              </w:rPr>
            </w:pPr>
            <w:r w:rsidRPr="00BA60F0">
              <w:rPr>
                <w:rFonts w:ascii="Book Antiqua" w:hAnsi="Book Antiqua" w:cs="Arial"/>
                <w:sz w:val="24"/>
                <w:szCs w:val="24"/>
                <w:lang w:val="en-US"/>
              </w:rPr>
              <w:t>28/25</w:t>
            </w:r>
          </w:p>
        </w:tc>
        <w:tc>
          <w:tcPr>
            <w:tcW w:w="1089" w:type="dxa"/>
          </w:tcPr>
          <w:p w:rsidR="008D14E6" w:rsidRPr="00BA60F0" w:rsidRDefault="008D14E6" w:rsidP="00746849">
            <w:pPr>
              <w:adjustRightInd w:val="0"/>
              <w:snapToGrid w:val="0"/>
              <w:spacing w:after="0" w:line="360" w:lineRule="auto"/>
              <w:jc w:val="both"/>
              <w:rPr>
                <w:rFonts w:ascii="Book Antiqua" w:hAnsi="Book Antiqua" w:cs="Arial"/>
                <w:sz w:val="24"/>
                <w:szCs w:val="24"/>
                <w:lang w:val="en-US"/>
              </w:rPr>
            </w:pPr>
            <w:r w:rsidRPr="00BA60F0">
              <w:rPr>
                <w:rFonts w:ascii="Book Antiqua" w:hAnsi="Book Antiqua" w:cs="Arial"/>
                <w:sz w:val="24"/>
                <w:szCs w:val="24"/>
                <w:lang w:val="en-US"/>
              </w:rPr>
              <w:t>ECOG 0/1/2 - 2/19/7</w:t>
            </w:r>
          </w:p>
        </w:tc>
        <w:tc>
          <w:tcPr>
            <w:tcW w:w="1890" w:type="dxa"/>
          </w:tcPr>
          <w:p w:rsidR="008D14E6" w:rsidRPr="00BA60F0" w:rsidRDefault="008D14E6" w:rsidP="00746849">
            <w:pPr>
              <w:adjustRightInd w:val="0"/>
              <w:snapToGrid w:val="0"/>
              <w:spacing w:after="0" w:line="360" w:lineRule="auto"/>
              <w:jc w:val="both"/>
              <w:rPr>
                <w:rFonts w:ascii="Book Antiqua" w:hAnsi="Book Antiqua" w:cs="Arial"/>
                <w:sz w:val="24"/>
                <w:szCs w:val="24"/>
                <w:lang w:val="en-US"/>
              </w:rPr>
            </w:pPr>
            <w:r w:rsidRPr="00BA60F0">
              <w:rPr>
                <w:rFonts w:ascii="Book Antiqua" w:hAnsi="Book Antiqua" w:cs="Arial"/>
                <w:sz w:val="24"/>
                <w:szCs w:val="24"/>
                <w:lang w:val="en-US"/>
              </w:rPr>
              <w:t>Dtx/Cap - 60/1000 b.i.d</w:t>
            </w:r>
            <w:r w:rsidRPr="00BA60F0">
              <w:rPr>
                <w:rFonts w:ascii="Book Antiqua" w:hAnsi="Book Antiqua" w:cs="Arial"/>
                <w:sz w:val="24"/>
                <w:szCs w:val="24"/>
                <w:lang w:val="en-US"/>
              </w:rPr>
              <w:br/>
              <w:t>d1/d1-14 q21</w:t>
            </w:r>
          </w:p>
        </w:tc>
        <w:tc>
          <w:tcPr>
            <w:tcW w:w="810" w:type="dxa"/>
          </w:tcPr>
          <w:p w:rsidR="008D14E6" w:rsidRPr="00BA60F0" w:rsidRDefault="008D14E6" w:rsidP="00746849">
            <w:pPr>
              <w:adjustRightInd w:val="0"/>
              <w:snapToGrid w:val="0"/>
              <w:spacing w:after="0" w:line="360" w:lineRule="auto"/>
              <w:jc w:val="both"/>
              <w:rPr>
                <w:rFonts w:ascii="Book Antiqua" w:hAnsi="Book Antiqua" w:cs="Arial"/>
                <w:sz w:val="24"/>
                <w:szCs w:val="24"/>
                <w:lang w:val="en-US"/>
              </w:rPr>
            </w:pPr>
            <w:r w:rsidRPr="00BA60F0">
              <w:rPr>
                <w:rFonts w:ascii="Book Antiqua" w:hAnsi="Book Antiqua" w:cs="Arial"/>
                <w:sz w:val="24"/>
                <w:szCs w:val="24"/>
                <w:lang w:val="en-US"/>
              </w:rPr>
              <w:t>29.0</w:t>
            </w:r>
          </w:p>
        </w:tc>
        <w:tc>
          <w:tcPr>
            <w:tcW w:w="697" w:type="dxa"/>
          </w:tcPr>
          <w:p w:rsidR="008D14E6" w:rsidRPr="00BA60F0" w:rsidRDefault="008D14E6" w:rsidP="00746849">
            <w:pPr>
              <w:adjustRightInd w:val="0"/>
              <w:snapToGrid w:val="0"/>
              <w:spacing w:after="0" w:line="360" w:lineRule="auto"/>
              <w:jc w:val="both"/>
              <w:rPr>
                <w:rFonts w:ascii="Book Antiqua" w:hAnsi="Book Antiqua" w:cs="Arial"/>
                <w:sz w:val="24"/>
                <w:szCs w:val="24"/>
                <w:lang w:val="en-US"/>
              </w:rPr>
            </w:pPr>
            <w:r w:rsidRPr="00BA60F0">
              <w:rPr>
                <w:rFonts w:ascii="Book Antiqua" w:hAnsi="Book Antiqua" w:cs="Arial"/>
                <w:sz w:val="24"/>
                <w:szCs w:val="24"/>
                <w:lang w:val="en-US"/>
              </w:rPr>
              <w:t>4.0</w:t>
            </w:r>
          </w:p>
        </w:tc>
        <w:tc>
          <w:tcPr>
            <w:tcW w:w="810" w:type="dxa"/>
          </w:tcPr>
          <w:p w:rsidR="008D14E6" w:rsidRPr="00BA60F0" w:rsidRDefault="008D14E6" w:rsidP="00746849">
            <w:pPr>
              <w:adjustRightInd w:val="0"/>
              <w:snapToGrid w:val="0"/>
              <w:spacing w:after="0" w:line="360" w:lineRule="auto"/>
              <w:jc w:val="both"/>
              <w:rPr>
                <w:rFonts w:ascii="Book Antiqua" w:hAnsi="Book Antiqua" w:cs="Arial"/>
                <w:sz w:val="24"/>
                <w:szCs w:val="24"/>
                <w:lang w:val="en-US"/>
              </w:rPr>
            </w:pPr>
            <w:r w:rsidRPr="00BA60F0">
              <w:rPr>
                <w:rFonts w:ascii="Book Antiqua" w:hAnsi="Book Antiqua" w:cs="Arial"/>
                <w:sz w:val="24"/>
                <w:szCs w:val="24"/>
                <w:lang w:val="en-US"/>
              </w:rPr>
              <w:t>NR</w:t>
            </w:r>
          </w:p>
        </w:tc>
        <w:tc>
          <w:tcPr>
            <w:tcW w:w="720" w:type="dxa"/>
          </w:tcPr>
          <w:p w:rsidR="008D14E6" w:rsidRPr="00BA60F0" w:rsidRDefault="008D14E6" w:rsidP="00746849">
            <w:pPr>
              <w:adjustRightInd w:val="0"/>
              <w:snapToGrid w:val="0"/>
              <w:spacing w:after="0" w:line="360" w:lineRule="auto"/>
              <w:jc w:val="both"/>
              <w:rPr>
                <w:rFonts w:ascii="Book Antiqua" w:hAnsi="Book Antiqua" w:cs="Arial"/>
                <w:sz w:val="24"/>
                <w:szCs w:val="24"/>
                <w:lang w:val="en-US"/>
              </w:rPr>
            </w:pPr>
            <w:r w:rsidRPr="00BA60F0">
              <w:rPr>
                <w:rFonts w:ascii="Book Antiqua" w:hAnsi="Book Antiqua" w:cs="Arial"/>
                <w:sz w:val="24"/>
                <w:szCs w:val="24"/>
                <w:lang w:val="en-US"/>
              </w:rPr>
              <w:t>6.0</w:t>
            </w:r>
          </w:p>
        </w:tc>
        <w:tc>
          <w:tcPr>
            <w:tcW w:w="1639" w:type="dxa"/>
          </w:tcPr>
          <w:p w:rsidR="008D14E6" w:rsidRPr="00BA60F0" w:rsidRDefault="008D14E6" w:rsidP="00746849">
            <w:pPr>
              <w:adjustRightInd w:val="0"/>
              <w:snapToGrid w:val="0"/>
              <w:spacing w:after="0" w:line="360" w:lineRule="auto"/>
              <w:jc w:val="both"/>
              <w:rPr>
                <w:rFonts w:ascii="Book Antiqua" w:hAnsi="Book Antiqua" w:cs="Arial"/>
                <w:sz w:val="24"/>
                <w:szCs w:val="24"/>
                <w:lang w:val="en-US"/>
              </w:rPr>
            </w:pPr>
            <w:r w:rsidRPr="00BA60F0">
              <w:rPr>
                <w:rFonts w:ascii="Book Antiqua" w:hAnsi="Book Antiqua" w:cs="Arial"/>
                <w:sz w:val="24"/>
                <w:szCs w:val="24"/>
                <w:lang w:val="en-US"/>
              </w:rPr>
              <w:t>A/N/As/D/HFS - 7/36/7/11/7</w:t>
            </w:r>
          </w:p>
        </w:tc>
        <w:tc>
          <w:tcPr>
            <w:tcW w:w="1061" w:type="dxa"/>
          </w:tcPr>
          <w:p w:rsidR="008D14E6" w:rsidRPr="00C419B4" w:rsidRDefault="008D14E6" w:rsidP="00746849">
            <w:pPr>
              <w:adjustRightInd w:val="0"/>
              <w:snapToGrid w:val="0"/>
              <w:spacing w:after="0" w:line="360" w:lineRule="auto"/>
              <w:jc w:val="both"/>
              <w:rPr>
                <w:rFonts w:ascii="Book Antiqua" w:hAnsi="Book Antiqua" w:cs="Arial"/>
                <w:bCs/>
                <w:sz w:val="24"/>
                <w:szCs w:val="24"/>
                <w:lang w:val="en-US"/>
              </w:rPr>
            </w:pPr>
            <w:r w:rsidRPr="00C419B4">
              <w:rPr>
                <w:rFonts w:ascii="Book Antiqua" w:hAnsi="Book Antiqua" w:cs="Arial"/>
                <w:bCs/>
                <w:sz w:val="24"/>
                <w:szCs w:val="24"/>
                <w:lang w:val="en-US"/>
              </w:rPr>
              <w:t>Rosati</w:t>
            </w:r>
            <w:r w:rsidR="00851FFB" w:rsidRPr="00C419B4">
              <w:rPr>
                <w:rFonts w:ascii="Book Antiqua" w:hAnsi="Book Antiqua" w:cs="Arial"/>
                <w:bCs/>
                <w:i/>
                <w:sz w:val="24"/>
                <w:szCs w:val="24"/>
                <w:lang w:val="en-US"/>
              </w:rPr>
              <w:t xml:space="preserve"> et al</w:t>
            </w:r>
            <w:r w:rsidR="00851FFB" w:rsidRPr="00C419B4">
              <w:rPr>
                <w:rFonts w:ascii="Book Antiqua" w:hAnsi="Book Antiqua" w:cs="Arial"/>
                <w:bCs/>
                <w:sz w:val="24"/>
                <w:szCs w:val="24"/>
                <w:vertAlign w:val="superscript"/>
                <w:lang w:val="en-US"/>
              </w:rPr>
              <w:t>[54]</w:t>
            </w:r>
            <w:r w:rsidRPr="00C419B4">
              <w:rPr>
                <w:rFonts w:ascii="Book Antiqua" w:hAnsi="Book Antiqua" w:cs="Arial"/>
                <w:bCs/>
                <w:sz w:val="24"/>
                <w:szCs w:val="24"/>
                <w:lang w:val="en-US"/>
              </w:rPr>
              <w:t>,</w:t>
            </w:r>
            <w:r w:rsidR="00851FFB" w:rsidRPr="00C419B4">
              <w:rPr>
                <w:rFonts w:ascii="Book Antiqua" w:hAnsi="Book Antiqua" w:cs="Arial"/>
                <w:bCs/>
                <w:sz w:val="24"/>
                <w:szCs w:val="24"/>
                <w:lang w:val="en-US"/>
              </w:rPr>
              <w:t xml:space="preserve"> </w:t>
            </w:r>
            <w:r w:rsidRPr="00C419B4">
              <w:rPr>
                <w:rFonts w:ascii="Book Antiqua" w:hAnsi="Book Antiqua" w:cs="Arial"/>
                <w:bCs/>
                <w:sz w:val="24"/>
                <w:szCs w:val="24"/>
                <w:lang w:val="en-US"/>
              </w:rPr>
              <w:t>2007</w:t>
            </w:r>
          </w:p>
        </w:tc>
      </w:tr>
      <w:tr w:rsidR="008D14E6" w:rsidRPr="00BA60F0" w:rsidTr="003D2377">
        <w:tc>
          <w:tcPr>
            <w:tcW w:w="1188" w:type="dxa"/>
          </w:tcPr>
          <w:p w:rsidR="008D14E6" w:rsidRPr="003D2377" w:rsidRDefault="008D14E6" w:rsidP="00746849">
            <w:pPr>
              <w:adjustRightInd w:val="0"/>
              <w:snapToGrid w:val="0"/>
              <w:spacing w:after="0" w:line="360" w:lineRule="auto"/>
              <w:jc w:val="both"/>
              <w:rPr>
                <w:rFonts w:ascii="Book Antiqua" w:hAnsi="Book Antiqua" w:cs="Arial"/>
                <w:bCs/>
                <w:sz w:val="24"/>
                <w:szCs w:val="24"/>
                <w:lang w:val="en-US"/>
              </w:rPr>
            </w:pPr>
            <w:r w:rsidRPr="003D2377">
              <w:rPr>
                <w:rFonts w:ascii="Book Antiqua" w:hAnsi="Book Antiqua" w:cs="Arial"/>
                <w:bCs/>
                <w:sz w:val="24"/>
                <w:szCs w:val="24"/>
                <w:lang w:val="en-US"/>
              </w:rPr>
              <w:t>Docetaxel/</w:t>
            </w:r>
            <w:r w:rsidRPr="003D2377">
              <w:rPr>
                <w:rFonts w:ascii="Book Antiqua" w:hAnsi="Book Antiqua" w:cs="Arial"/>
                <w:bCs/>
                <w:sz w:val="24"/>
                <w:szCs w:val="24"/>
                <w:lang w:val="en-US"/>
              </w:rPr>
              <w:br/>
              <w:t>Etoposide</w:t>
            </w:r>
          </w:p>
        </w:tc>
        <w:tc>
          <w:tcPr>
            <w:tcW w:w="621" w:type="dxa"/>
          </w:tcPr>
          <w:p w:rsidR="008D14E6" w:rsidRPr="00BA60F0" w:rsidRDefault="008D14E6" w:rsidP="00746849">
            <w:pPr>
              <w:adjustRightInd w:val="0"/>
              <w:snapToGrid w:val="0"/>
              <w:spacing w:after="0" w:line="360" w:lineRule="auto"/>
              <w:jc w:val="both"/>
              <w:rPr>
                <w:rFonts w:ascii="Book Antiqua" w:hAnsi="Book Antiqua" w:cs="Arial"/>
                <w:sz w:val="24"/>
                <w:szCs w:val="24"/>
                <w:lang w:val="en-US"/>
              </w:rPr>
            </w:pPr>
            <w:r w:rsidRPr="00BA60F0">
              <w:rPr>
                <w:rFonts w:ascii="Book Antiqua" w:hAnsi="Book Antiqua" w:cs="Arial"/>
                <w:sz w:val="24"/>
                <w:szCs w:val="24"/>
                <w:lang w:val="en-US"/>
              </w:rPr>
              <w:t>32/32</w:t>
            </w:r>
          </w:p>
        </w:tc>
        <w:tc>
          <w:tcPr>
            <w:tcW w:w="1089" w:type="dxa"/>
          </w:tcPr>
          <w:p w:rsidR="008D14E6" w:rsidRPr="00BA60F0" w:rsidRDefault="008D14E6" w:rsidP="00746849">
            <w:pPr>
              <w:adjustRightInd w:val="0"/>
              <w:snapToGrid w:val="0"/>
              <w:spacing w:after="0" w:line="360" w:lineRule="auto"/>
              <w:jc w:val="both"/>
              <w:rPr>
                <w:rFonts w:ascii="Book Antiqua" w:hAnsi="Book Antiqua" w:cs="Arial"/>
                <w:sz w:val="24"/>
                <w:szCs w:val="24"/>
                <w:lang w:val="en-US"/>
              </w:rPr>
            </w:pPr>
            <w:r w:rsidRPr="00BA60F0">
              <w:rPr>
                <w:rFonts w:ascii="Book Antiqua" w:hAnsi="Book Antiqua" w:cs="Arial"/>
                <w:sz w:val="24"/>
                <w:szCs w:val="24"/>
                <w:lang w:val="en-US"/>
              </w:rPr>
              <w:t>ECOG 0/1/2 - 6/20/6</w:t>
            </w:r>
          </w:p>
        </w:tc>
        <w:tc>
          <w:tcPr>
            <w:tcW w:w="1890" w:type="dxa"/>
          </w:tcPr>
          <w:p w:rsidR="008D14E6" w:rsidRPr="00BA60F0" w:rsidRDefault="008D14E6" w:rsidP="00746849">
            <w:pPr>
              <w:adjustRightInd w:val="0"/>
              <w:snapToGrid w:val="0"/>
              <w:spacing w:after="0" w:line="360" w:lineRule="auto"/>
              <w:jc w:val="both"/>
              <w:rPr>
                <w:rFonts w:ascii="Book Antiqua" w:hAnsi="Book Antiqua" w:cs="Arial"/>
                <w:sz w:val="24"/>
                <w:szCs w:val="24"/>
                <w:lang w:val="en-US"/>
              </w:rPr>
            </w:pPr>
            <w:r w:rsidRPr="00BA60F0">
              <w:rPr>
                <w:rFonts w:ascii="Book Antiqua" w:hAnsi="Book Antiqua" w:cs="Arial"/>
                <w:sz w:val="24"/>
                <w:szCs w:val="24"/>
                <w:lang w:val="en-US"/>
              </w:rPr>
              <w:t>Dtx/Eto - 75/50 d1/d1-5 q21</w:t>
            </w:r>
          </w:p>
        </w:tc>
        <w:tc>
          <w:tcPr>
            <w:tcW w:w="810" w:type="dxa"/>
          </w:tcPr>
          <w:p w:rsidR="008D14E6" w:rsidRPr="00BA60F0" w:rsidRDefault="008D14E6" w:rsidP="00746849">
            <w:pPr>
              <w:adjustRightInd w:val="0"/>
              <w:snapToGrid w:val="0"/>
              <w:spacing w:after="0" w:line="360" w:lineRule="auto"/>
              <w:jc w:val="both"/>
              <w:rPr>
                <w:rFonts w:ascii="Book Antiqua" w:hAnsi="Book Antiqua" w:cs="Arial"/>
                <w:sz w:val="24"/>
                <w:szCs w:val="24"/>
                <w:lang w:val="en-US"/>
              </w:rPr>
            </w:pPr>
            <w:r w:rsidRPr="00BA60F0">
              <w:rPr>
                <w:rFonts w:ascii="Book Antiqua" w:hAnsi="Book Antiqua" w:cs="Arial"/>
                <w:sz w:val="24"/>
                <w:szCs w:val="24"/>
                <w:lang w:val="en-US"/>
              </w:rPr>
              <w:t>9.4</w:t>
            </w:r>
          </w:p>
        </w:tc>
        <w:tc>
          <w:tcPr>
            <w:tcW w:w="697" w:type="dxa"/>
          </w:tcPr>
          <w:p w:rsidR="008D14E6" w:rsidRPr="00BA60F0" w:rsidRDefault="008D14E6" w:rsidP="00746849">
            <w:pPr>
              <w:adjustRightInd w:val="0"/>
              <w:snapToGrid w:val="0"/>
              <w:spacing w:after="0" w:line="360" w:lineRule="auto"/>
              <w:jc w:val="both"/>
              <w:rPr>
                <w:rFonts w:ascii="Book Antiqua" w:hAnsi="Book Antiqua" w:cs="Arial"/>
                <w:sz w:val="24"/>
                <w:szCs w:val="24"/>
                <w:lang w:val="en-US"/>
              </w:rPr>
            </w:pPr>
            <w:r w:rsidRPr="00BA60F0">
              <w:rPr>
                <w:rFonts w:ascii="Book Antiqua" w:hAnsi="Book Antiqua" w:cs="Arial"/>
                <w:sz w:val="24"/>
                <w:szCs w:val="24"/>
                <w:lang w:val="en-US"/>
              </w:rPr>
              <w:t>NR</w:t>
            </w:r>
          </w:p>
        </w:tc>
        <w:tc>
          <w:tcPr>
            <w:tcW w:w="810" w:type="dxa"/>
          </w:tcPr>
          <w:p w:rsidR="008D14E6" w:rsidRPr="00BA60F0" w:rsidRDefault="008D14E6" w:rsidP="00746849">
            <w:pPr>
              <w:adjustRightInd w:val="0"/>
              <w:snapToGrid w:val="0"/>
              <w:spacing w:after="0" w:line="360" w:lineRule="auto"/>
              <w:jc w:val="both"/>
              <w:rPr>
                <w:rFonts w:ascii="Book Antiqua" w:hAnsi="Book Antiqua" w:cs="Arial"/>
                <w:sz w:val="24"/>
                <w:szCs w:val="24"/>
                <w:lang w:val="en-US"/>
              </w:rPr>
            </w:pPr>
            <w:r w:rsidRPr="00BA60F0">
              <w:rPr>
                <w:rFonts w:ascii="Book Antiqua" w:hAnsi="Book Antiqua" w:cs="Arial"/>
                <w:sz w:val="24"/>
                <w:szCs w:val="24"/>
                <w:lang w:val="en-US"/>
              </w:rPr>
              <w:t>3.0</w:t>
            </w:r>
          </w:p>
        </w:tc>
        <w:tc>
          <w:tcPr>
            <w:tcW w:w="720" w:type="dxa"/>
          </w:tcPr>
          <w:p w:rsidR="008D14E6" w:rsidRPr="00BA60F0" w:rsidRDefault="008D14E6" w:rsidP="00746849">
            <w:pPr>
              <w:adjustRightInd w:val="0"/>
              <w:snapToGrid w:val="0"/>
              <w:spacing w:after="0" w:line="360" w:lineRule="auto"/>
              <w:jc w:val="both"/>
              <w:rPr>
                <w:rFonts w:ascii="Book Antiqua" w:hAnsi="Book Antiqua" w:cs="Arial"/>
                <w:sz w:val="24"/>
                <w:szCs w:val="24"/>
                <w:lang w:val="en-US"/>
              </w:rPr>
            </w:pPr>
            <w:r w:rsidRPr="00BA60F0">
              <w:rPr>
                <w:rFonts w:ascii="Book Antiqua" w:hAnsi="Book Antiqua" w:cs="Arial"/>
                <w:sz w:val="24"/>
                <w:szCs w:val="24"/>
                <w:lang w:val="en-US"/>
              </w:rPr>
              <w:t>6.0</w:t>
            </w:r>
          </w:p>
        </w:tc>
        <w:tc>
          <w:tcPr>
            <w:tcW w:w="1639" w:type="dxa"/>
          </w:tcPr>
          <w:p w:rsidR="008D14E6" w:rsidRPr="00BA60F0" w:rsidRDefault="008D14E6" w:rsidP="00746849">
            <w:pPr>
              <w:adjustRightInd w:val="0"/>
              <w:snapToGrid w:val="0"/>
              <w:spacing w:after="0" w:line="360" w:lineRule="auto"/>
              <w:jc w:val="both"/>
              <w:rPr>
                <w:rFonts w:ascii="Book Antiqua" w:hAnsi="Book Antiqua" w:cs="Arial"/>
                <w:sz w:val="24"/>
                <w:szCs w:val="24"/>
                <w:lang w:val="en-US"/>
              </w:rPr>
            </w:pPr>
            <w:r w:rsidRPr="00BA60F0">
              <w:rPr>
                <w:rFonts w:ascii="Book Antiqua" w:hAnsi="Book Antiqua" w:cs="Arial"/>
                <w:sz w:val="24"/>
                <w:szCs w:val="24"/>
                <w:lang w:val="en-US"/>
              </w:rPr>
              <w:t>N/FN/T/N-E/D/M - 29/19/3/15.6/9.4/6.2</w:t>
            </w:r>
          </w:p>
        </w:tc>
        <w:tc>
          <w:tcPr>
            <w:tcW w:w="1061" w:type="dxa"/>
          </w:tcPr>
          <w:p w:rsidR="008D14E6" w:rsidRPr="00C419B4" w:rsidRDefault="008D14E6" w:rsidP="00746849">
            <w:pPr>
              <w:adjustRightInd w:val="0"/>
              <w:snapToGrid w:val="0"/>
              <w:spacing w:after="0" w:line="360" w:lineRule="auto"/>
              <w:jc w:val="both"/>
              <w:rPr>
                <w:rFonts w:ascii="Book Antiqua" w:hAnsi="Book Antiqua" w:cs="Arial"/>
                <w:bCs/>
                <w:sz w:val="24"/>
                <w:szCs w:val="24"/>
                <w:lang w:val="en-US"/>
              </w:rPr>
            </w:pPr>
            <w:r w:rsidRPr="00C419B4">
              <w:rPr>
                <w:rFonts w:ascii="Book Antiqua" w:hAnsi="Book Antiqua" w:cs="Arial"/>
                <w:bCs/>
                <w:sz w:val="24"/>
                <w:szCs w:val="24"/>
                <w:lang w:val="en-US"/>
              </w:rPr>
              <w:t>Yildiz</w:t>
            </w:r>
            <w:r w:rsidR="00851FFB" w:rsidRPr="00C419B4">
              <w:rPr>
                <w:rFonts w:ascii="Book Antiqua" w:hAnsi="Book Antiqua" w:cs="Arial"/>
                <w:bCs/>
                <w:i/>
                <w:sz w:val="24"/>
                <w:szCs w:val="24"/>
                <w:lang w:val="en-US"/>
              </w:rPr>
              <w:t xml:space="preserve"> et al</w:t>
            </w:r>
            <w:r w:rsidR="00851FFB" w:rsidRPr="00C419B4">
              <w:rPr>
                <w:rFonts w:ascii="Book Antiqua" w:hAnsi="Book Antiqua" w:cs="Arial"/>
                <w:bCs/>
                <w:sz w:val="24"/>
                <w:szCs w:val="24"/>
                <w:vertAlign w:val="superscript"/>
                <w:lang w:val="en-US"/>
              </w:rPr>
              <w:t>[55]</w:t>
            </w:r>
            <w:r w:rsidR="00851FFB" w:rsidRPr="00C419B4">
              <w:rPr>
                <w:rFonts w:ascii="Book Antiqua" w:hAnsi="Book Antiqua" w:cs="Arial"/>
                <w:bCs/>
                <w:sz w:val="24"/>
                <w:szCs w:val="24"/>
                <w:lang w:val="en-US"/>
              </w:rPr>
              <w:t>, 2010</w:t>
            </w:r>
          </w:p>
        </w:tc>
      </w:tr>
      <w:tr w:rsidR="008D14E6" w:rsidRPr="00BA60F0" w:rsidTr="003D2377">
        <w:tc>
          <w:tcPr>
            <w:tcW w:w="1188" w:type="dxa"/>
          </w:tcPr>
          <w:p w:rsidR="008D14E6" w:rsidRPr="003D2377" w:rsidRDefault="008D14E6" w:rsidP="00746849">
            <w:pPr>
              <w:adjustRightInd w:val="0"/>
              <w:snapToGrid w:val="0"/>
              <w:spacing w:after="0" w:line="360" w:lineRule="auto"/>
              <w:jc w:val="both"/>
              <w:rPr>
                <w:rFonts w:ascii="Book Antiqua" w:hAnsi="Book Antiqua" w:cs="Arial"/>
                <w:bCs/>
                <w:sz w:val="24"/>
                <w:szCs w:val="24"/>
                <w:lang w:val="en-US"/>
              </w:rPr>
            </w:pPr>
            <w:r w:rsidRPr="003D2377">
              <w:rPr>
                <w:rFonts w:ascii="Book Antiqua" w:hAnsi="Book Antiqua" w:cs="Arial"/>
                <w:bCs/>
                <w:sz w:val="24"/>
                <w:szCs w:val="24"/>
                <w:lang w:val="en-US"/>
              </w:rPr>
              <w:t>Docetaxel/</w:t>
            </w:r>
            <w:r w:rsidRPr="003D2377">
              <w:rPr>
                <w:rFonts w:ascii="Book Antiqua" w:hAnsi="Book Antiqua" w:cs="Arial"/>
                <w:bCs/>
                <w:sz w:val="24"/>
                <w:szCs w:val="24"/>
                <w:lang w:val="en-US"/>
              </w:rPr>
              <w:br/>
            </w:r>
            <w:r w:rsidRPr="003D2377">
              <w:rPr>
                <w:rFonts w:ascii="Book Antiqua" w:hAnsi="Book Antiqua" w:cs="Arial"/>
                <w:bCs/>
                <w:sz w:val="24"/>
                <w:szCs w:val="24"/>
                <w:lang w:val="en-US"/>
              </w:rPr>
              <w:lastRenderedPageBreak/>
              <w:t>Cetuximab</w:t>
            </w:r>
          </w:p>
        </w:tc>
        <w:tc>
          <w:tcPr>
            <w:tcW w:w="621" w:type="dxa"/>
          </w:tcPr>
          <w:p w:rsidR="008D14E6" w:rsidRPr="00BA60F0" w:rsidRDefault="008D14E6" w:rsidP="00746849">
            <w:pPr>
              <w:adjustRightInd w:val="0"/>
              <w:snapToGrid w:val="0"/>
              <w:spacing w:after="0" w:line="360" w:lineRule="auto"/>
              <w:jc w:val="both"/>
              <w:rPr>
                <w:rFonts w:ascii="Book Antiqua" w:hAnsi="Book Antiqua" w:cs="Arial"/>
                <w:sz w:val="24"/>
                <w:szCs w:val="24"/>
                <w:lang w:val="en-US"/>
              </w:rPr>
            </w:pPr>
            <w:r w:rsidRPr="00BA60F0">
              <w:rPr>
                <w:rFonts w:ascii="Book Antiqua" w:hAnsi="Book Antiqua" w:cs="Arial"/>
                <w:sz w:val="24"/>
                <w:szCs w:val="24"/>
                <w:lang w:val="en-US"/>
              </w:rPr>
              <w:lastRenderedPageBreak/>
              <w:t>38/35</w:t>
            </w:r>
          </w:p>
        </w:tc>
        <w:tc>
          <w:tcPr>
            <w:tcW w:w="1089" w:type="dxa"/>
          </w:tcPr>
          <w:p w:rsidR="008D14E6" w:rsidRPr="00BA60F0" w:rsidRDefault="008D14E6" w:rsidP="00746849">
            <w:pPr>
              <w:adjustRightInd w:val="0"/>
              <w:snapToGrid w:val="0"/>
              <w:spacing w:after="0" w:line="360" w:lineRule="auto"/>
              <w:jc w:val="both"/>
              <w:rPr>
                <w:rFonts w:ascii="Book Antiqua" w:hAnsi="Book Antiqua" w:cs="Arial"/>
                <w:sz w:val="24"/>
                <w:szCs w:val="24"/>
                <w:lang w:val="en-US"/>
              </w:rPr>
            </w:pPr>
            <w:r w:rsidRPr="00BA60F0">
              <w:rPr>
                <w:rFonts w:ascii="Book Antiqua" w:hAnsi="Book Antiqua" w:cs="Arial"/>
                <w:sz w:val="24"/>
                <w:szCs w:val="24"/>
                <w:lang w:val="en-US"/>
              </w:rPr>
              <w:t xml:space="preserve">ECOG 0/1/2 – </w:t>
            </w:r>
            <w:r w:rsidRPr="00BA60F0">
              <w:rPr>
                <w:rFonts w:ascii="Book Antiqua" w:hAnsi="Book Antiqua" w:cs="Arial"/>
                <w:sz w:val="24"/>
                <w:szCs w:val="24"/>
                <w:lang w:val="en-US"/>
              </w:rPr>
              <w:lastRenderedPageBreak/>
              <w:t>15/21/2</w:t>
            </w:r>
          </w:p>
        </w:tc>
        <w:tc>
          <w:tcPr>
            <w:tcW w:w="1890" w:type="dxa"/>
          </w:tcPr>
          <w:p w:rsidR="008D14E6" w:rsidRPr="00BA60F0" w:rsidRDefault="008D14E6" w:rsidP="00746849">
            <w:pPr>
              <w:adjustRightInd w:val="0"/>
              <w:snapToGrid w:val="0"/>
              <w:spacing w:after="0" w:line="360" w:lineRule="auto"/>
              <w:jc w:val="both"/>
              <w:rPr>
                <w:rFonts w:ascii="Book Antiqua" w:hAnsi="Book Antiqua" w:cs="Arial"/>
                <w:sz w:val="24"/>
                <w:szCs w:val="24"/>
                <w:lang w:val="en-US"/>
              </w:rPr>
            </w:pPr>
            <w:r w:rsidRPr="00BA60F0">
              <w:rPr>
                <w:rFonts w:ascii="Book Antiqua" w:hAnsi="Book Antiqua" w:cs="Arial"/>
                <w:sz w:val="24"/>
                <w:szCs w:val="24"/>
                <w:lang w:val="en-US"/>
              </w:rPr>
              <w:lastRenderedPageBreak/>
              <w:t xml:space="preserve">Dtx/Cet – 30 d1,d15 q21 / </w:t>
            </w:r>
            <w:r w:rsidRPr="00BA60F0">
              <w:rPr>
                <w:rFonts w:ascii="Book Antiqua" w:hAnsi="Book Antiqua" w:cs="Arial"/>
                <w:sz w:val="24"/>
                <w:szCs w:val="24"/>
                <w:lang w:val="en-US"/>
              </w:rPr>
              <w:lastRenderedPageBreak/>
              <w:t>400 d1, then 250 d1 q7</w:t>
            </w:r>
          </w:p>
        </w:tc>
        <w:tc>
          <w:tcPr>
            <w:tcW w:w="810" w:type="dxa"/>
          </w:tcPr>
          <w:p w:rsidR="008D14E6" w:rsidRPr="00BA60F0" w:rsidRDefault="008D14E6" w:rsidP="00746849">
            <w:pPr>
              <w:adjustRightInd w:val="0"/>
              <w:snapToGrid w:val="0"/>
              <w:spacing w:after="0" w:line="360" w:lineRule="auto"/>
              <w:jc w:val="both"/>
              <w:rPr>
                <w:rFonts w:ascii="Book Antiqua" w:hAnsi="Book Antiqua" w:cs="Arial"/>
                <w:sz w:val="24"/>
                <w:szCs w:val="24"/>
                <w:lang w:val="en-US"/>
              </w:rPr>
            </w:pPr>
            <w:r w:rsidRPr="00BA60F0">
              <w:rPr>
                <w:rFonts w:ascii="Book Antiqua" w:hAnsi="Book Antiqua" w:cs="Arial"/>
                <w:sz w:val="24"/>
                <w:szCs w:val="24"/>
                <w:lang w:val="en-US"/>
              </w:rPr>
              <w:lastRenderedPageBreak/>
              <w:t>6.0</w:t>
            </w:r>
          </w:p>
        </w:tc>
        <w:tc>
          <w:tcPr>
            <w:tcW w:w="697" w:type="dxa"/>
          </w:tcPr>
          <w:p w:rsidR="008D14E6" w:rsidRPr="00BA60F0" w:rsidRDefault="008D14E6" w:rsidP="00746849">
            <w:pPr>
              <w:adjustRightInd w:val="0"/>
              <w:snapToGrid w:val="0"/>
              <w:spacing w:after="0" w:line="360" w:lineRule="auto"/>
              <w:jc w:val="both"/>
              <w:rPr>
                <w:rFonts w:ascii="Book Antiqua" w:hAnsi="Book Antiqua" w:cs="Arial"/>
                <w:sz w:val="24"/>
                <w:szCs w:val="24"/>
                <w:lang w:val="en-US"/>
              </w:rPr>
            </w:pPr>
            <w:r w:rsidRPr="00BA60F0">
              <w:rPr>
                <w:rFonts w:ascii="Book Antiqua" w:hAnsi="Book Antiqua" w:cs="Arial"/>
                <w:sz w:val="24"/>
                <w:szCs w:val="24"/>
                <w:lang w:val="en-US"/>
              </w:rPr>
              <w:t>NR</w:t>
            </w:r>
          </w:p>
        </w:tc>
        <w:tc>
          <w:tcPr>
            <w:tcW w:w="810" w:type="dxa"/>
          </w:tcPr>
          <w:p w:rsidR="008D14E6" w:rsidRPr="00BA60F0" w:rsidRDefault="008D14E6" w:rsidP="00746849">
            <w:pPr>
              <w:adjustRightInd w:val="0"/>
              <w:snapToGrid w:val="0"/>
              <w:spacing w:after="0" w:line="360" w:lineRule="auto"/>
              <w:jc w:val="both"/>
              <w:rPr>
                <w:rFonts w:ascii="Book Antiqua" w:hAnsi="Book Antiqua" w:cs="Arial"/>
                <w:sz w:val="24"/>
                <w:szCs w:val="24"/>
                <w:lang w:val="en-US"/>
              </w:rPr>
            </w:pPr>
            <w:r w:rsidRPr="00BA60F0">
              <w:rPr>
                <w:rFonts w:ascii="Book Antiqua" w:hAnsi="Book Antiqua" w:cs="Arial"/>
                <w:sz w:val="24"/>
                <w:szCs w:val="24"/>
                <w:lang w:val="en-US"/>
              </w:rPr>
              <w:t>2.1</w:t>
            </w:r>
          </w:p>
        </w:tc>
        <w:tc>
          <w:tcPr>
            <w:tcW w:w="720" w:type="dxa"/>
          </w:tcPr>
          <w:p w:rsidR="008D14E6" w:rsidRPr="00BA60F0" w:rsidRDefault="008D14E6" w:rsidP="00746849">
            <w:pPr>
              <w:adjustRightInd w:val="0"/>
              <w:snapToGrid w:val="0"/>
              <w:spacing w:after="0" w:line="360" w:lineRule="auto"/>
              <w:jc w:val="both"/>
              <w:rPr>
                <w:rFonts w:ascii="Book Antiqua" w:hAnsi="Book Antiqua" w:cs="Arial"/>
                <w:sz w:val="24"/>
                <w:szCs w:val="24"/>
                <w:lang w:val="en-US"/>
              </w:rPr>
            </w:pPr>
            <w:r w:rsidRPr="00BA60F0">
              <w:rPr>
                <w:rFonts w:ascii="Book Antiqua" w:hAnsi="Book Antiqua" w:cs="Arial"/>
                <w:sz w:val="24"/>
                <w:szCs w:val="24"/>
                <w:lang w:val="en-US"/>
              </w:rPr>
              <w:t>5.4</w:t>
            </w:r>
          </w:p>
        </w:tc>
        <w:tc>
          <w:tcPr>
            <w:tcW w:w="1639" w:type="dxa"/>
          </w:tcPr>
          <w:p w:rsidR="008D14E6" w:rsidRPr="00BA60F0" w:rsidRDefault="008D14E6" w:rsidP="00746849">
            <w:pPr>
              <w:adjustRightInd w:val="0"/>
              <w:snapToGrid w:val="0"/>
              <w:spacing w:after="0" w:line="360" w:lineRule="auto"/>
              <w:jc w:val="both"/>
              <w:rPr>
                <w:rFonts w:ascii="Book Antiqua" w:hAnsi="Book Antiqua" w:cs="Arial"/>
                <w:sz w:val="24"/>
                <w:szCs w:val="24"/>
                <w:lang w:val="en-US"/>
              </w:rPr>
            </w:pPr>
            <w:r w:rsidRPr="00BA60F0">
              <w:rPr>
                <w:rFonts w:ascii="Book Antiqua" w:hAnsi="Book Antiqua" w:cs="Arial"/>
                <w:sz w:val="24"/>
                <w:szCs w:val="24"/>
                <w:lang w:val="en-US"/>
              </w:rPr>
              <w:t xml:space="preserve">I/FN/Ano/D/F – </w:t>
            </w:r>
            <w:r w:rsidRPr="00BA60F0">
              <w:rPr>
                <w:rFonts w:ascii="Book Antiqua" w:hAnsi="Book Antiqua" w:cs="Arial"/>
                <w:sz w:val="24"/>
                <w:szCs w:val="24"/>
                <w:lang w:val="en-US"/>
              </w:rPr>
              <w:lastRenderedPageBreak/>
              <w:t>11/3/16/11/29</w:t>
            </w:r>
          </w:p>
        </w:tc>
        <w:tc>
          <w:tcPr>
            <w:tcW w:w="1061" w:type="dxa"/>
          </w:tcPr>
          <w:p w:rsidR="008D14E6" w:rsidRPr="00C419B4" w:rsidRDefault="008D14E6" w:rsidP="00746849">
            <w:pPr>
              <w:adjustRightInd w:val="0"/>
              <w:snapToGrid w:val="0"/>
              <w:spacing w:after="0" w:line="360" w:lineRule="auto"/>
              <w:jc w:val="both"/>
              <w:rPr>
                <w:rFonts w:ascii="Book Antiqua" w:hAnsi="Book Antiqua" w:cs="Arial"/>
                <w:bCs/>
                <w:sz w:val="24"/>
                <w:szCs w:val="24"/>
                <w:lang w:val="en-US"/>
              </w:rPr>
            </w:pPr>
            <w:r w:rsidRPr="00C419B4">
              <w:rPr>
                <w:rFonts w:ascii="Book Antiqua" w:hAnsi="Book Antiqua" w:cs="Arial"/>
                <w:bCs/>
                <w:sz w:val="24"/>
                <w:szCs w:val="24"/>
                <w:lang w:val="en-US"/>
              </w:rPr>
              <w:lastRenderedPageBreak/>
              <w:t>Tebbutt</w:t>
            </w:r>
            <w:r w:rsidR="00851FFB" w:rsidRPr="00C419B4">
              <w:rPr>
                <w:rFonts w:ascii="Book Antiqua" w:hAnsi="Book Antiqua" w:cs="Arial"/>
                <w:bCs/>
                <w:i/>
                <w:sz w:val="24"/>
                <w:szCs w:val="24"/>
                <w:lang w:val="en-US"/>
              </w:rPr>
              <w:t xml:space="preserve"> et al</w:t>
            </w:r>
            <w:r w:rsidR="00851FFB" w:rsidRPr="00C419B4">
              <w:rPr>
                <w:rFonts w:ascii="Book Antiqua" w:hAnsi="Book Antiqua" w:cs="Arial"/>
                <w:bCs/>
                <w:sz w:val="24"/>
                <w:szCs w:val="24"/>
                <w:vertAlign w:val="superscript"/>
                <w:lang w:val="en-US"/>
              </w:rPr>
              <w:t>[56]</w:t>
            </w:r>
            <w:r w:rsidR="00851FFB" w:rsidRPr="00C419B4">
              <w:rPr>
                <w:rFonts w:ascii="Book Antiqua" w:hAnsi="Book Antiqua" w:cs="Arial"/>
                <w:bCs/>
                <w:sz w:val="24"/>
                <w:szCs w:val="24"/>
                <w:lang w:val="en-US"/>
              </w:rPr>
              <w:t xml:space="preserve">, </w:t>
            </w:r>
            <w:r w:rsidR="00851FFB" w:rsidRPr="00C419B4">
              <w:rPr>
                <w:rFonts w:ascii="Book Antiqua" w:hAnsi="Book Antiqua" w:cs="Arial"/>
                <w:bCs/>
                <w:sz w:val="24"/>
                <w:szCs w:val="24"/>
                <w:lang w:val="en-US"/>
              </w:rPr>
              <w:lastRenderedPageBreak/>
              <w:t>2013</w:t>
            </w:r>
          </w:p>
        </w:tc>
      </w:tr>
      <w:tr w:rsidR="008D14E6" w:rsidRPr="00BA60F0" w:rsidTr="003D2377">
        <w:tc>
          <w:tcPr>
            <w:tcW w:w="1188" w:type="dxa"/>
          </w:tcPr>
          <w:p w:rsidR="008D14E6" w:rsidRPr="003D2377" w:rsidRDefault="008D14E6" w:rsidP="00746849">
            <w:pPr>
              <w:adjustRightInd w:val="0"/>
              <w:snapToGrid w:val="0"/>
              <w:spacing w:after="0" w:line="360" w:lineRule="auto"/>
              <w:jc w:val="both"/>
              <w:rPr>
                <w:rFonts w:ascii="Book Antiqua" w:hAnsi="Book Antiqua" w:cs="Arial"/>
                <w:bCs/>
                <w:sz w:val="24"/>
                <w:szCs w:val="24"/>
                <w:lang w:val="en-US"/>
              </w:rPr>
            </w:pPr>
            <w:r w:rsidRPr="003D2377">
              <w:rPr>
                <w:rFonts w:ascii="Book Antiqua" w:hAnsi="Book Antiqua" w:cs="Arial"/>
                <w:bCs/>
                <w:sz w:val="24"/>
                <w:szCs w:val="24"/>
                <w:lang w:val="en-US"/>
              </w:rPr>
              <w:lastRenderedPageBreak/>
              <w:t>Mitomycin/</w:t>
            </w:r>
            <w:r w:rsidRPr="003D2377">
              <w:rPr>
                <w:rFonts w:ascii="Book Antiqua" w:hAnsi="Book Antiqua" w:cs="Arial"/>
                <w:bCs/>
                <w:sz w:val="24"/>
                <w:szCs w:val="24"/>
                <w:lang w:val="en-US"/>
              </w:rPr>
              <w:br/>
              <w:t>S1</w:t>
            </w:r>
          </w:p>
        </w:tc>
        <w:tc>
          <w:tcPr>
            <w:tcW w:w="621" w:type="dxa"/>
          </w:tcPr>
          <w:p w:rsidR="008D14E6" w:rsidRPr="00BA60F0" w:rsidRDefault="008D14E6" w:rsidP="00746849">
            <w:pPr>
              <w:adjustRightInd w:val="0"/>
              <w:snapToGrid w:val="0"/>
              <w:spacing w:after="0" w:line="360" w:lineRule="auto"/>
              <w:jc w:val="both"/>
              <w:rPr>
                <w:rFonts w:ascii="Book Antiqua" w:hAnsi="Book Antiqua" w:cs="Arial"/>
                <w:sz w:val="24"/>
                <w:szCs w:val="24"/>
                <w:lang w:val="en-US"/>
              </w:rPr>
            </w:pPr>
            <w:r w:rsidRPr="00BA60F0">
              <w:rPr>
                <w:rFonts w:ascii="Book Antiqua" w:hAnsi="Book Antiqua" w:cs="Arial"/>
                <w:sz w:val="24"/>
                <w:szCs w:val="24"/>
                <w:lang w:val="en-US"/>
              </w:rPr>
              <w:t>43/33</w:t>
            </w:r>
          </w:p>
        </w:tc>
        <w:tc>
          <w:tcPr>
            <w:tcW w:w="1089" w:type="dxa"/>
          </w:tcPr>
          <w:p w:rsidR="008D14E6" w:rsidRPr="00BA60F0" w:rsidRDefault="008D14E6" w:rsidP="00746849">
            <w:pPr>
              <w:adjustRightInd w:val="0"/>
              <w:snapToGrid w:val="0"/>
              <w:spacing w:after="0" w:line="360" w:lineRule="auto"/>
              <w:jc w:val="both"/>
              <w:rPr>
                <w:rFonts w:ascii="Book Antiqua" w:hAnsi="Book Antiqua" w:cs="Arial"/>
                <w:sz w:val="24"/>
                <w:szCs w:val="24"/>
                <w:lang w:val="en-US"/>
              </w:rPr>
            </w:pPr>
            <w:r w:rsidRPr="00BA60F0">
              <w:rPr>
                <w:rFonts w:ascii="Book Antiqua" w:hAnsi="Book Antiqua" w:cs="Arial"/>
                <w:sz w:val="24"/>
                <w:szCs w:val="24"/>
                <w:lang w:val="en-US"/>
              </w:rPr>
              <w:t>ECOG 0/1/2 - 13/21/9</w:t>
            </w:r>
          </w:p>
        </w:tc>
        <w:tc>
          <w:tcPr>
            <w:tcW w:w="1890" w:type="dxa"/>
          </w:tcPr>
          <w:p w:rsidR="008D14E6" w:rsidRPr="00BA60F0" w:rsidRDefault="008D14E6" w:rsidP="00746849">
            <w:pPr>
              <w:adjustRightInd w:val="0"/>
              <w:snapToGrid w:val="0"/>
              <w:spacing w:after="0" w:line="360" w:lineRule="auto"/>
              <w:jc w:val="both"/>
              <w:rPr>
                <w:rFonts w:ascii="Book Antiqua" w:hAnsi="Book Antiqua" w:cs="Arial"/>
                <w:sz w:val="24"/>
                <w:szCs w:val="24"/>
                <w:lang w:val="en-US"/>
              </w:rPr>
            </w:pPr>
            <w:r w:rsidRPr="00BA60F0">
              <w:rPr>
                <w:rFonts w:ascii="Book Antiqua" w:hAnsi="Book Antiqua" w:cs="Arial"/>
                <w:sz w:val="24"/>
                <w:szCs w:val="24"/>
                <w:lang w:val="en-US"/>
              </w:rPr>
              <w:t>MMC/S-1 - 7/40 b.i.d d1/d1-28 q42</w:t>
            </w:r>
          </w:p>
        </w:tc>
        <w:tc>
          <w:tcPr>
            <w:tcW w:w="810" w:type="dxa"/>
          </w:tcPr>
          <w:p w:rsidR="008D14E6" w:rsidRPr="00BA60F0" w:rsidRDefault="008D14E6" w:rsidP="00746849">
            <w:pPr>
              <w:adjustRightInd w:val="0"/>
              <w:snapToGrid w:val="0"/>
              <w:spacing w:after="0" w:line="360" w:lineRule="auto"/>
              <w:jc w:val="both"/>
              <w:rPr>
                <w:rFonts w:ascii="Book Antiqua" w:hAnsi="Book Antiqua" w:cs="Arial"/>
                <w:sz w:val="24"/>
                <w:szCs w:val="24"/>
                <w:lang w:val="en-US"/>
              </w:rPr>
            </w:pPr>
            <w:r w:rsidRPr="00BA60F0">
              <w:rPr>
                <w:rFonts w:ascii="Book Antiqua" w:hAnsi="Book Antiqua" w:cs="Arial"/>
                <w:sz w:val="24"/>
                <w:szCs w:val="24"/>
                <w:lang w:val="en-US"/>
              </w:rPr>
              <w:t>21.0</w:t>
            </w:r>
          </w:p>
        </w:tc>
        <w:tc>
          <w:tcPr>
            <w:tcW w:w="697" w:type="dxa"/>
          </w:tcPr>
          <w:p w:rsidR="008D14E6" w:rsidRPr="00BA60F0" w:rsidRDefault="008D14E6" w:rsidP="00746849">
            <w:pPr>
              <w:adjustRightInd w:val="0"/>
              <w:snapToGrid w:val="0"/>
              <w:spacing w:after="0" w:line="360" w:lineRule="auto"/>
              <w:jc w:val="both"/>
              <w:rPr>
                <w:rFonts w:ascii="Book Antiqua" w:hAnsi="Book Antiqua" w:cs="Arial"/>
                <w:sz w:val="24"/>
                <w:szCs w:val="24"/>
                <w:lang w:val="en-US"/>
              </w:rPr>
            </w:pPr>
            <w:r w:rsidRPr="00BA60F0">
              <w:rPr>
                <w:rFonts w:ascii="Book Antiqua" w:hAnsi="Book Antiqua" w:cs="Arial"/>
                <w:sz w:val="24"/>
                <w:szCs w:val="24"/>
                <w:lang w:val="en-US"/>
              </w:rPr>
              <w:t>NR</w:t>
            </w:r>
          </w:p>
        </w:tc>
        <w:tc>
          <w:tcPr>
            <w:tcW w:w="810" w:type="dxa"/>
          </w:tcPr>
          <w:p w:rsidR="008D14E6" w:rsidRPr="00BA60F0" w:rsidRDefault="008D14E6" w:rsidP="00746849">
            <w:pPr>
              <w:adjustRightInd w:val="0"/>
              <w:snapToGrid w:val="0"/>
              <w:spacing w:after="0" w:line="360" w:lineRule="auto"/>
              <w:jc w:val="both"/>
              <w:rPr>
                <w:rFonts w:ascii="Book Antiqua" w:hAnsi="Book Antiqua" w:cs="Arial"/>
                <w:sz w:val="24"/>
                <w:szCs w:val="24"/>
                <w:lang w:val="en-US"/>
              </w:rPr>
            </w:pPr>
            <w:r w:rsidRPr="00BA60F0">
              <w:rPr>
                <w:rFonts w:ascii="Book Antiqua" w:hAnsi="Book Antiqua" w:cs="Arial"/>
                <w:sz w:val="24"/>
                <w:szCs w:val="24"/>
                <w:lang w:val="en-US"/>
              </w:rPr>
              <w:t>3.4</w:t>
            </w:r>
          </w:p>
        </w:tc>
        <w:tc>
          <w:tcPr>
            <w:tcW w:w="720" w:type="dxa"/>
          </w:tcPr>
          <w:p w:rsidR="008D14E6" w:rsidRPr="00BA60F0" w:rsidRDefault="008D14E6" w:rsidP="00746849">
            <w:pPr>
              <w:adjustRightInd w:val="0"/>
              <w:snapToGrid w:val="0"/>
              <w:spacing w:after="0" w:line="360" w:lineRule="auto"/>
              <w:jc w:val="both"/>
              <w:rPr>
                <w:rFonts w:ascii="Book Antiqua" w:hAnsi="Book Antiqua" w:cs="Arial"/>
                <w:sz w:val="24"/>
                <w:szCs w:val="24"/>
                <w:lang w:val="en-US"/>
              </w:rPr>
            </w:pPr>
            <w:r w:rsidRPr="00BA60F0">
              <w:rPr>
                <w:rFonts w:ascii="Book Antiqua" w:hAnsi="Book Antiqua" w:cs="Arial"/>
                <w:sz w:val="24"/>
                <w:szCs w:val="24"/>
                <w:lang w:val="en-US"/>
              </w:rPr>
              <w:t>8.0</w:t>
            </w:r>
          </w:p>
        </w:tc>
        <w:tc>
          <w:tcPr>
            <w:tcW w:w="1639" w:type="dxa"/>
          </w:tcPr>
          <w:p w:rsidR="008D14E6" w:rsidRPr="00BA60F0" w:rsidRDefault="008D14E6" w:rsidP="00746849">
            <w:pPr>
              <w:adjustRightInd w:val="0"/>
              <w:snapToGrid w:val="0"/>
              <w:spacing w:after="0" w:line="360" w:lineRule="auto"/>
              <w:jc w:val="both"/>
              <w:rPr>
                <w:rFonts w:ascii="Book Antiqua" w:hAnsi="Book Antiqua" w:cs="Arial"/>
                <w:sz w:val="24"/>
                <w:szCs w:val="24"/>
                <w:lang w:val="en-US"/>
              </w:rPr>
            </w:pPr>
            <w:r w:rsidRPr="00BA60F0">
              <w:rPr>
                <w:rFonts w:ascii="Book Antiqua" w:hAnsi="Book Antiqua" w:cs="Arial"/>
                <w:sz w:val="24"/>
                <w:szCs w:val="24"/>
                <w:lang w:val="en-US"/>
              </w:rPr>
              <w:t>A/N/T/D/N-E/As/S - 7/5/5/10/7/12/10</w:t>
            </w:r>
          </w:p>
        </w:tc>
        <w:tc>
          <w:tcPr>
            <w:tcW w:w="1061" w:type="dxa"/>
          </w:tcPr>
          <w:p w:rsidR="008D14E6" w:rsidRPr="00C419B4" w:rsidRDefault="008D14E6" w:rsidP="00746849">
            <w:pPr>
              <w:adjustRightInd w:val="0"/>
              <w:snapToGrid w:val="0"/>
              <w:spacing w:after="0" w:line="360" w:lineRule="auto"/>
              <w:jc w:val="both"/>
              <w:rPr>
                <w:rFonts w:ascii="Book Antiqua" w:hAnsi="Book Antiqua" w:cs="Arial"/>
                <w:bCs/>
                <w:sz w:val="24"/>
                <w:szCs w:val="24"/>
                <w:lang w:val="en-US"/>
              </w:rPr>
            </w:pPr>
            <w:r w:rsidRPr="00C419B4">
              <w:rPr>
                <w:rFonts w:ascii="Book Antiqua" w:hAnsi="Book Antiqua" w:cs="Arial"/>
                <w:bCs/>
                <w:sz w:val="24"/>
                <w:szCs w:val="24"/>
                <w:lang w:val="en-US"/>
              </w:rPr>
              <w:t>Park</w:t>
            </w:r>
            <w:r w:rsidR="00851FFB" w:rsidRPr="00C419B4">
              <w:rPr>
                <w:rFonts w:ascii="Book Antiqua" w:hAnsi="Book Antiqua" w:cs="Arial"/>
                <w:bCs/>
                <w:i/>
                <w:sz w:val="24"/>
                <w:szCs w:val="24"/>
                <w:lang w:val="en-US"/>
              </w:rPr>
              <w:t xml:space="preserve"> et al</w:t>
            </w:r>
            <w:r w:rsidR="00851FFB" w:rsidRPr="00C419B4">
              <w:rPr>
                <w:rFonts w:ascii="Book Antiqua" w:hAnsi="Book Antiqua" w:cs="Arial"/>
                <w:bCs/>
                <w:sz w:val="24"/>
                <w:szCs w:val="24"/>
                <w:vertAlign w:val="superscript"/>
                <w:lang w:val="en-US"/>
              </w:rPr>
              <w:t>[57]</w:t>
            </w:r>
            <w:r w:rsidR="00851FFB" w:rsidRPr="00C419B4">
              <w:rPr>
                <w:rFonts w:ascii="Book Antiqua" w:hAnsi="Book Antiqua" w:cs="Arial"/>
                <w:bCs/>
                <w:sz w:val="24"/>
                <w:szCs w:val="24"/>
                <w:lang w:val="en-US"/>
              </w:rPr>
              <w:t>, 2008</w:t>
            </w:r>
          </w:p>
        </w:tc>
      </w:tr>
      <w:tr w:rsidR="008D14E6" w:rsidRPr="00BA60F0" w:rsidTr="003D2377">
        <w:tc>
          <w:tcPr>
            <w:tcW w:w="1188" w:type="dxa"/>
          </w:tcPr>
          <w:p w:rsidR="008D14E6" w:rsidRPr="003D2377" w:rsidRDefault="008D14E6" w:rsidP="00746849">
            <w:pPr>
              <w:adjustRightInd w:val="0"/>
              <w:snapToGrid w:val="0"/>
              <w:spacing w:after="0" w:line="360" w:lineRule="auto"/>
              <w:jc w:val="both"/>
              <w:rPr>
                <w:rFonts w:ascii="Book Antiqua" w:hAnsi="Book Antiqua" w:cs="Arial"/>
                <w:bCs/>
                <w:sz w:val="24"/>
                <w:szCs w:val="24"/>
                <w:lang w:val="en-US"/>
              </w:rPr>
            </w:pPr>
            <w:r w:rsidRPr="003D2377">
              <w:rPr>
                <w:rFonts w:ascii="Book Antiqua" w:hAnsi="Book Antiqua" w:cs="Arial"/>
                <w:bCs/>
                <w:sz w:val="24"/>
                <w:szCs w:val="24"/>
                <w:lang w:val="en-US"/>
              </w:rPr>
              <w:t>Mitomycin/</w:t>
            </w:r>
            <w:r w:rsidRPr="003D2377">
              <w:rPr>
                <w:rFonts w:ascii="Book Antiqua" w:hAnsi="Book Antiqua" w:cs="Arial"/>
                <w:bCs/>
                <w:sz w:val="24"/>
                <w:szCs w:val="24"/>
                <w:lang w:val="en-US"/>
              </w:rPr>
              <w:br/>
              <w:t>Capecitabine</w:t>
            </w:r>
          </w:p>
        </w:tc>
        <w:tc>
          <w:tcPr>
            <w:tcW w:w="621" w:type="dxa"/>
          </w:tcPr>
          <w:p w:rsidR="008D14E6" w:rsidRPr="00BA60F0" w:rsidRDefault="008D14E6" w:rsidP="00746849">
            <w:pPr>
              <w:adjustRightInd w:val="0"/>
              <w:snapToGrid w:val="0"/>
              <w:spacing w:after="0" w:line="360" w:lineRule="auto"/>
              <w:jc w:val="both"/>
              <w:rPr>
                <w:rFonts w:ascii="Book Antiqua" w:hAnsi="Book Antiqua" w:cs="Arial"/>
                <w:sz w:val="24"/>
                <w:szCs w:val="24"/>
                <w:lang w:val="en-US"/>
              </w:rPr>
            </w:pPr>
            <w:r w:rsidRPr="00BA60F0">
              <w:rPr>
                <w:rFonts w:ascii="Book Antiqua" w:hAnsi="Book Antiqua" w:cs="Arial"/>
                <w:sz w:val="24"/>
                <w:szCs w:val="24"/>
                <w:lang w:val="en-US"/>
              </w:rPr>
              <w:t>39</w:t>
            </w:r>
          </w:p>
        </w:tc>
        <w:tc>
          <w:tcPr>
            <w:tcW w:w="1089" w:type="dxa"/>
          </w:tcPr>
          <w:p w:rsidR="008D14E6" w:rsidRPr="00BA60F0" w:rsidRDefault="008D14E6" w:rsidP="00746849">
            <w:pPr>
              <w:adjustRightInd w:val="0"/>
              <w:snapToGrid w:val="0"/>
              <w:spacing w:after="0" w:line="360" w:lineRule="auto"/>
              <w:jc w:val="both"/>
              <w:rPr>
                <w:rFonts w:ascii="Book Antiqua" w:hAnsi="Book Antiqua" w:cs="Arial"/>
                <w:sz w:val="24"/>
                <w:szCs w:val="24"/>
                <w:lang w:val="en-US"/>
              </w:rPr>
            </w:pPr>
            <w:r w:rsidRPr="00BA60F0">
              <w:rPr>
                <w:rFonts w:ascii="Book Antiqua" w:hAnsi="Book Antiqua" w:cs="Arial"/>
                <w:sz w:val="24"/>
                <w:szCs w:val="24"/>
                <w:lang w:val="en-US"/>
              </w:rPr>
              <w:t>ECOG 0/1/2/UNK – 6/25/5/3</w:t>
            </w:r>
          </w:p>
        </w:tc>
        <w:tc>
          <w:tcPr>
            <w:tcW w:w="1890" w:type="dxa"/>
          </w:tcPr>
          <w:p w:rsidR="008D14E6" w:rsidRPr="00BA60F0" w:rsidRDefault="008D14E6" w:rsidP="00746849">
            <w:pPr>
              <w:adjustRightInd w:val="0"/>
              <w:snapToGrid w:val="0"/>
              <w:spacing w:after="0" w:line="360" w:lineRule="auto"/>
              <w:jc w:val="both"/>
              <w:rPr>
                <w:rFonts w:ascii="Book Antiqua" w:hAnsi="Book Antiqua" w:cs="Arial"/>
                <w:sz w:val="24"/>
                <w:szCs w:val="24"/>
                <w:lang w:val="en-US"/>
              </w:rPr>
            </w:pPr>
            <w:r w:rsidRPr="00BA60F0">
              <w:rPr>
                <w:rFonts w:ascii="Book Antiqua" w:hAnsi="Book Antiqua" w:cs="Arial"/>
                <w:sz w:val="24"/>
                <w:szCs w:val="24"/>
                <w:lang w:val="en-US"/>
              </w:rPr>
              <w:t>MMC/Cap – 10/1000 bid d1/d1-d14 q21</w:t>
            </w:r>
          </w:p>
        </w:tc>
        <w:tc>
          <w:tcPr>
            <w:tcW w:w="810" w:type="dxa"/>
          </w:tcPr>
          <w:p w:rsidR="008D14E6" w:rsidRPr="00BA60F0" w:rsidRDefault="008D14E6" w:rsidP="00746849">
            <w:pPr>
              <w:adjustRightInd w:val="0"/>
              <w:snapToGrid w:val="0"/>
              <w:spacing w:after="0" w:line="360" w:lineRule="auto"/>
              <w:jc w:val="both"/>
              <w:rPr>
                <w:rFonts w:ascii="Book Antiqua" w:hAnsi="Book Antiqua" w:cs="Arial"/>
                <w:sz w:val="24"/>
                <w:szCs w:val="24"/>
                <w:lang w:val="en-US"/>
              </w:rPr>
            </w:pPr>
            <w:r w:rsidRPr="00BA60F0">
              <w:rPr>
                <w:rFonts w:ascii="Book Antiqua" w:hAnsi="Book Antiqua" w:cs="Arial"/>
                <w:sz w:val="24"/>
                <w:szCs w:val="24"/>
                <w:lang w:val="en-US"/>
              </w:rPr>
              <w:t>10.3</w:t>
            </w:r>
          </w:p>
        </w:tc>
        <w:tc>
          <w:tcPr>
            <w:tcW w:w="697" w:type="dxa"/>
          </w:tcPr>
          <w:p w:rsidR="008D14E6" w:rsidRPr="00BA60F0" w:rsidRDefault="008D14E6" w:rsidP="00746849">
            <w:pPr>
              <w:adjustRightInd w:val="0"/>
              <w:snapToGrid w:val="0"/>
              <w:spacing w:after="0" w:line="360" w:lineRule="auto"/>
              <w:jc w:val="both"/>
              <w:rPr>
                <w:rFonts w:ascii="Book Antiqua" w:hAnsi="Book Antiqua" w:cs="Arial"/>
                <w:sz w:val="24"/>
                <w:szCs w:val="24"/>
                <w:lang w:val="en-US"/>
              </w:rPr>
            </w:pPr>
            <w:r w:rsidRPr="00BA60F0">
              <w:rPr>
                <w:rFonts w:ascii="Book Antiqua" w:hAnsi="Book Antiqua" w:cs="Arial"/>
                <w:sz w:val="24"/>
                <w:szCs w:val="24"/>
                <w:lang w:val="en-US"/>
              </w:rPr>
              <w:t>NR</w:t>
            </w:r>
          </w:p>
        </w:tc>
        <w:tc>
          <w:tcPr>
            <w:tcW w:w="810" w:type="dxa"/>
          </w:tcPr>
          <w:p w:rsidR="008D14E6" w:rsidRPr="00BA60F0" w:rsidRDefault="008D14E6" w:rsidP="00746849">
            <w:pPr>
              <w:adjustRightInd w:val="0"/>
              <w:snapToGrid w:val="0"/>
              <w:spacing w:after="0" w:line="360" w:lineRule="auto"/>
              <w:jc w:val="both"/>
              <w:rPr>
                <w:rFonts w:ascii="Book Antiqua" w:hAnsi="Book Antiqua" w:cs="Arial"/>
                <w:sz w:val="24"/>
                <w:szCs w:val="24"/>
                <w:lang w:val="en-US"/>
              </w:rPr>
            </w:pPr>
            <w:r w:rsidRPr="00BA60F0">
              <w:rPr>
                <w:rFonts w:ascii="Book Antiqua" w:hAnsi="Book Antiqua" w:cs="Arial"/>
                <w:sz w:val="24"/>
                <w:szCs w:val="24"/>
                <w:lang w:val="en-US"/>
              </w:rPr>
              <w:t>2.8</w:t>
            </w:r>
          </w:p>
        </w:tc>
        <w:tc>
          <w:tcPr>
            <w:tcW w:w="720" w:type="dxa"/>
          </w:tcPr>
          <w:p w:rsidR="008D14E6" w:rsidRPr="00BA60F0" w:rsidRDefault="008D14E6" w:rsidP="00746849">
            <w:pPr>
              <w:adjustRightInd w:val="0"/>
              <w:snapToGrid w:val="0"/>
              <w:spacing w:after="0" w:line="360" w:lineRule="auto"/>
              <w:jc w:val="both"/>
              <w:rPr>
                <w:rFonts w:ascii="Book Antiqua" w:hAnsi="Book Antiqua" w:cs="Arial"/>
                <w:sz w:val="24"/>
                <w:szCs w:val="24"/>
                <w:lang w:val="en-US"/>
              </w:rPr>
            </w:pPr>
            <w:r w:rsidRPr="00BA60F0">
              <w:rPr>
                <w:rFonts w:ascii="Book Antiqua" w:hAnsi="Book Antiqua" w:cs="Arial"/>
                <w:sz w:val="24"/>
                <w:szCs w:val="24"/>
                <w:lang w:val="en-US"/>
              </w:rPr>
              <w:t>5.6</w:t>
            </w:r>
          </w:p>
        </w:tc>
        <w:tc>
          <w:tcPr>
            <w:tcW w:w="1639" w:type="dxa"/>
          </w:tcPr>
          <w:p w:rsidR="008D14E6" w:rsidRPr="00BA60F0" w:rsidRDefault="008D14E6" w:rsidP="00746849">
            <w:pPr>
              <w:adjustRightInd w:val="0"/>
              <w:snapToGrid w:val="0"/>
              <w:spacing w:after="0" w:line="360" w:lineRule="auto"/>
              <w:jc w:val="both"/>
              <w:rPr>
                <w:rFonts w:ascii="Book Antiqua" w:hAnsi="Book Antiqua" w:cs="Arial"/>
                <w:sz w:val="24"/>
                <w:szCs w:val="24"/>
                <w:lang w:val="en-US"/>
              </w:rPr>
            </w:pPr>
            <w:r w:rsidRPr="00BA60F0">
              <w:rPr>
                <w:rFonts w:ascii="Book Antiqua" w:hAnsi="Book Antiqua" w:cs="Arial"/>
                <w:sz w:val="24"/>
                <w:szCs w:val="24"/>
                <w:lang w:val="en-US"/>
              </w:rPr>
              <w:t>Leu/T/D/F/HFS/Neu – 5.4/10.8/5.4/8.1/5.4/8.1</w:t>
            </w:r>
          </w:p>
        </w:tc>
        <w:tc>
          <w:tcPr>
            <w:tcW w:w="1061" w:type="dxa"/>
          </w:tcPr>
          <w:p w:rsidR="008D14E6" w:rsidRPr="00C419B4" w:rsidRDefault="008D14E6" w:rsidP="00746849">
            <w:pPr>
              <w:adjustRightInd w:val="0"/>
              <w:snapToGrid w:val="0"/>
              <w:spacing w:after="0" w:line="360" w:lineRule="auto"/>
              <w:jc w:val="both"/>
              <w:rPr>
                <w:rFonts w:ascii="Book Antiqua" w:hAnsi="Book Antiqua" w:cs="Arial"/>
                <w:bCs/>
                <w:sz w:val="24"/>
                <w:szCs w:val="24"/>
                <w:lang w:val="en-US"/>
              </w:rPr>
            </w:pPr>
            <w:r w:rsidRPr="00C419B4">
              <w:rPr>
                <w:rFonts w:ascii="Book Antiqua" w:hAnsi="Book Antiqua" w:cs="Arial"/>
                <w:bCs/>
                <w:sz w:val="24"/>
                <w:szCs w:val="24"/>
                <w:lang w:val="en-US"/>
              </w:rPr>
              <w:t>Miranda</w:t>
            </w:r>
            <w:r w:rsidR="00851FFB" w:rsidRPr="00C419B4">
              <w:rPr>
                <w:rFonts w:ascii="Book Antiqua" w:hAnsi="Book Antiqua" w:cs="Arial"/>
                <w:bCs/>
                <w:i/>
                <w:sz w:val="24"/>
                <w:szCs w:val="24"/>
                <w:lang w:val="en-US"/>
              </w:rPr>
              <w:t xml:space="preserve"> et al</w:t>
            </w:r>
            <w:r w:rsidR="00851FFB" w:rsidRPr="00C419B4">
              <w:rPr>
                <w:rFonts w:ascii="Book Antiqua" w:hAnsi="Book Antiqua" w:cs="Arial"/>
                <w:bCs/>
                <w:sz w:val="24"/>
                <w:szCs w:val="24"/>
                <w:vertAlign w:val="superscript"/>
                <w:lang w:val="en-US"/>
              </w:rPr>
              <w:t>[58]</w:t>
            </w:r>
            <w:r w:rsidRPr="00C419B4">
              <w:rPr>
                <w:rFonts w:ascii="Book Antiqua" w:hAnsi="Book Antiqua" w:cs="Arial"/>
                <w:bCs/>
                <w:sz w:val="24"/>
                <w:szCs w:val="24"/>
                <w:lang w:val="en-US"/>
              </w:rPr>
              <w:t xml:space="preserve">, </w:t>
            </w:r>
            <w:r w:rsidRPr="00C419B4">
              <w:rPr>
                <w:rFonts w:ascii="Book Antiqua" w:hAnsi="Book Antiqua" w:cs="Arial"/>
                <w:bCs/>
                <w:sz w:val="24"/>
                <w:szCs w:val="24"/>
                <w:lang w:val="en-US"/>
              </w:rPr>
              <w:br/>
              <w:t>2014</w:t>
            </w:r>
          </w:p>
        </w:tc>
      </w:tr>
      <w:tr w:rsidR="008D14E6" w:rsidRPr="00BA60F0" w:rsidTr="003D2377">
        <w:tc>
          <w:tcPr>
            <w:tcW w:w="1188" w:type="dxa"/>
          </w:tcPr>
          <w:p w:rsidR="008D14E6" w:rsidRPr="003D2377" w:rsidRDefault="008D14E6" w:rsidP="00746849">
            <w:pPr>
              <w:adjustRightInd w:val="0"/>
              <w:snapToGrid w:val="0"/>
              <w:spacing w:after="0" w:line="360" w:lineRule="auto"/>
              <w:jc w:val="both"/>
              <w:rPr>
                <w:rFonts w:ascii="Book Antiqua" w:hAnsi="Book Antiqua" w:cs="Arial"/>
                <w:bCs/>
                <w:sz w:val="24"/>
                <w:szCs w:val="24"/>
                <w:lang w:val="en-US"/>
              </w:rPr>
            </w:pPr>
            <w:r w:rsidRPr="003D2377">
              <w:rPr>
                <w:rFonts w:ascii="Book Antiqua" w:hAnsi="Book Antiqua" w:cs="Arial"/>
                <w:bCs/>
                <w:sz w:val="24"/>
                <w:szCs w:val="24"/>
                <w:lang w:val="en-US"/>
              </w:rPr>
              <w:t>Methotrexate/</w:t>
            </w:r>
            <w:r w:rsidRPr="003D2377">
              <w:rPr>
                <w:rFonts w:ascii="Book Antiqua" w:hAnsi="Book Antiqua" w:cs="Arial"/>
                <w:bCs/>
                <w:sz w:val="24"/>
                <w:szCs w:val="24"/>
                <w:lang w:val="en-US"/>
              </w:rPr>
              <w:br/>
              <w:t>FU</w:t>
            </w:r>
          </w:p>
        </w:tc>
        <w:tc>
          <w:tcPr>
            <w:tcW w:w="621" w:type="dxa"/>
          </w:tcPr>
          <w:p w:rsidR="008D14E6" w:rsidRPr="00BA60F0" w:rsidRDefault="008D14E6" w:rsidP="00746849">
            <w:pPr>
              <w:adjustRightInd w:val="0"/>
              <w:snapToGrid w:val="0"/>
              <w:spacing w:after="0" w:line="360" w:lineRule="auto"/>
              <w:jc w:val="both"/>
              <w:rPr>
                <w:rFonts w:ascii="Book Antiqua" w:hAnsi="Book Antiqua" w:cs="Arial"/>
                <w:sz w:val="24"/>
                <w:szCs w:val="24"/>
                <w:lang w:val="en-US"/>
              </w:rPr>
            </w:pPr>
            <w:r w:rsidRPr="00BA60F0">
              <w:rPr>
                <w:rFonts w:ascii="Book Antiqua" w:hAnsi="Book Antiqua" w:cs="Arial"/>
                <w:sz w:val="24"/>
                <w:szCs w:val="24"/>
                <w:lang w:val="en-US"/>
              </w:rPr>
              <w:t>56/55</w:t>
            </w:r>
          </w:p>
        </w:tc>
        <w:tc>
          <w:tcPr>
            <w:tcW w:w="1089" w:type="dxa"/>
          </w:tcPr>
          <w:p w:rsidR="008D14E6" w:rsidRPr="00BA60F0" w:rsidRDefault="008D14E6" w:rsidP="00746849">
            <w:pPr>
              <w:adjustRightInd w:val="0"/>
              <w:snapToGrid w:val="0"/>
              <w:spacing w:after="0" w:line="360" w:lineRule="auto"/>
              <w:jc w:val="both"/>
              <w:rPr>
                <w:rFonts w:ascii="Book Antiqua" w:hAnsi="Book Antiqua" w:cs="Arial"/>
                <w:sz w:val="24"/>
                <w:szCs w:val="24"/>
                <w:lang w:val="en-US"/>
              </w:rPr>
            </w:pPr>
            <w:r w:rsidRPr="00BA60F0">
              <w:rPr>
                <w:rFonts w:ascii="Book Antiqua" w:hAnsi="Book Antiqua" w:cs="Arial"/>
                <w:sz w:val="24"/>
                <w:szCs w:val="24"/>
                <w:lang w:val="en-US"/>
              </w:rPr>
              <w:t>ECOG 0/1/2/3 - 12/30/12/2</w:t>
            </w:r>
          </w:p>
        </w:tc>
        <w:tc>
          <w:tcPr>
            <w:tcW w:w="1890" w:type="dxa"/>
          </w:tcPr>
          <w:p w:rsidR="008D14E6" w:rsidRPr="00BA60F0" w:rsidRDefault="008D14E6" w:rsidP="00746849">
            <w:pPr>
              <w:adjustRightInd w:val="0"/>
              <w:snapToGrid w:val="0"/>
              <w:spacing w:after="0" w:line="360" w:lineRule="auto"/>
              <w:jc w:val="both"/>
              <w:rPr>
                <w:rFonts w:ascii="Book Antiqua" w:hAnsi="Book Antiqua" w:cs="Arial"/>
                <w:sz w:val="24"/>
                <w:szCs w:val="24"/>
                <w:lang w:val="en-US"/>
              </w:rPr>
            </w:pPr>
            <w:r w:rsidRPr="00BA60F0">
              <w:rPr>
                <w:rFonts w:ascii="Book Antiqua" w:hAnsi="Book Antiqua" w:cs="Arial"/>
                <w:sz w:val="24"/>
                <w:szCs w:val="24"/>
                <w:lang w:val="en-US"/>
              </w:rPr>
              <w:t>Mtx/FU/FA - 100 bolus/600 bolus (3 hrs after MTX)/ 10, every 6 h for 6 doses (24h after MTX) q7</w:t>
            </w:r>
          </w:p>
        </w:tc>
        <w:tc>
          <w:tcPr>
            <w:tcW w:w="810" w:type="dxa"/>
          </w:tcPr>
          <w:p w:rsidR="008D14E6" w:rsidRPr="00BA60F0" w:rsidRDefault="008D14E6" w:rsidP="00746849">
            <w:pPr>
              <w:adjustRightInd w:val="0"/>
              <w:snapToGrid w:val="0"/>
              <w:spacing w:after="0" w:line="360" w:lineRule="auto"/>
              <w:jc w:val="both"/>
              <w:rPr>
                <w:rFonts w:ascii="Book Antiqua" w:hAnsi="Book Antiqua" w:cs="Arial"/>
                <w:sz w:val="24"/>
                <w:szCs w:val="24"/>
                <w:lang w:val="en-US"/>
              </w:rPr>
            </w:pPr>
            <w:r w:rsidRPr="00BA60F0">
              <w:rPr>
                <w:rFonts w:ascii="Book Antiqua" w:hAnsi="Book Antiqua" w:cs="Arial"/>
                <w:sz w:val="24"/>
                <w:szCs w:val="24"/>
                <w:lang w:val="en-US"/>
              </w:rPr>
              <w:t>9.0</w:t>
            </w:r>
          </w:p>
        </w:tc>
        <w:tc>
          <w:tcPr>
            <w:tcW w:w="697" w:type="dxa"/>
          </w:tcPr>
          <w:p w:rsidR="008D14E6" w:rsidRPr="00BA60F0" w:rsidRDefault="008D14E6" w:rsidP="00746849">
            <w:pPr>
              <w:adjustRightInd w:val="0"/>
              <w:snapToGrid w:val="0"/>
              <w:spacing w:after="0" w:line="360" w:lineRule="auto"/>
              <w:jc w:val="both"/>
              <w:rPr>
                <w:rFonts w:ascii="Book Antiqua" w:hAnsi="Book Antiqua" w:cs="Arial"/>
                <w:sz w:val="24"/>
                <w:szCs w:val="24"/>
                <w:lang w:val="en-US"/>
              </w:rPr>
            </w:pPr>
            <w:r w:rsidRPr="00BA60F0">
              <w:rPr>
                <w:rFonts w:ascii="Book Antiqua" w:hAnsi="Book Antiqua" w:cs="Arial"/>
                <w:sz w:val="24"/>
                <w:szCs w:val="24"/>
                <w:lang w:val="en-US"/>
              </w:rPr>
              <w:t>NR</w:t>
            </w:r>
          </w:p>
        </w:tc>
        <w:tc>
          <w:tcPr>
            <w:tcW w:w="810" w:type="dxa"/>
          </w:tcPr>
          <w:p w:rsidR="008D14E6" w:rsidRPr="00BA60F0" w:rsidRDefault="008D14E6" w:rsidP="00746849">
            <w:pPr>
              <w:adjustRightInd w:val="0"/>
              <w:snapToGrid w:val="0"/>
              <w:spacing w:after="0" w:line="360" w:lineRule="auto"/>
              <w:jc w:val="both"/>
              <w:rPr>
                <w:rFonts w:ascii="Book Antiqua" w:hAnsi="Book Antiqua" w:cs="Arial"/>
                <w:sz w:val="24"/>
                <w:szCs w:val="24"/>
                <w:lang w:val="en-US"/>
              </w:rPr>
            </w:pPr>
            <w:r w:rsidRPr="00BA60F0">
              <w:rPr>
                <w:rFonts w:ascii="Book Antiqua" w:hAnsi="Book Antiqua" w:cs="Arial"/>
                <w:sz w:val="24"/>
                <w:szCs w:val="24"/>
                <w:lang w:val="en-US"/>
              </w:rPr>
              <w:t>NR</w:t>
            </w:r>
          </w:p>
        </w:tc>
        <w:tc>
          <w:tcPr>
            <w:tcW w:w="720" w:type="dxa"/>
          </w:tcPr>
          <w:p w:rsidR="008D14E6" w:rsidRPr="00BA60F0" w:rsidRDefault="008D14E6" w:rsidP="00746849">
            <w:pPr>
              <w:adjustRightInd w:val="0"/>
              <w:snapToGrid w:val="0"/>
              <w:spacing w:after="0" w:line="360" w:lineRule="auto"/>
              <w:jc w:val="both"/>
              <w:rPr>
                <w:rFonts w:ascii="Book Antiqua" w:hAnsi="Book Antiqua" w:cs="Arial"/>
                <w:sz w:val="24"/>
                <w:szCs w:val="24"/>
                <w:lang w:val="en-US"/>
              </w:rPr>
            </w:pPr>
            <w:r w:rsidRPr="00BA60F0">
              <w:rPr>
                <w:rFonts w:ascii="Book Antiqua" w:hAnsi="Book Antiqua" w:cs="Arial"/>
                <w:sz w:val="24"/>
                <w:szCs w:val="24"/>
                <w:lang w:val="en-US"/>
              </w:rPr>
              <w:t>7.8</w:t>
            </w:r>
          </w:p>
        </w:tc>
        <w:tc>
          <w:tcPr>
            <w:tcW w:w="1639" w:type="dxa"/>
          </w:tcPr>
          <w:p w:rsidR="008D14E6" w:rsidRPr="00BA60F0" w:rsidRDefault="008D14E6" w:rsidP="00746849">
            <w:pPr>
              <w:adjustRightInd w:val="0"/>
              <w:snapToGrid w:val="0"/>
              <w:spacing w:after="0" w:line="360" w:lineRule="auto"/>
              <w:jc w:val="both"/>
              <w:rPr>
                <w:rFonts w:ascii="Book Antiqua" w:hAnsi="Book Antiqua" w:cs="Arial"/>
                <w:sz w:val="24"/>
                <w:szCs w:val="24"/>
                <w:lang w:val="en-US"/>
              </w:rPr>
            </w:pPr>
            <w:r w:rsidRPr="00BA60F0">
              <w:rPr>
                <w:rFonts w:ascii="Book Antiqua" w:hAnsi="Book Antiqua" w:cs="Arial"/>
                <w:sz w:val="24"/>
                <w:szCs w:val="24"/>
                <w:lang w:val="en-US"/>
              </w:rPr>
              <w:t>A/L/N/T/N-E/D/S - 9.1/5.5/6.7/1.8/3.6/ 3.6/1.8</w:t>
            </w:r>
          </w:p>
        </w:tc>
        <w:tc>
          <w:tcPr>
            <w:tcW w:w="1061" w:type="dxa"/>
          </w:tcPr>
          <w:p w:rsidR="008D14E6" w:rsidRPr="00C419B4" w:rsidRDefault="008D14E6" w:rsidP="00746849">
            <w:pPr>
              <w:adjustRightInd w:val="0"/>
              <w:snapToGrid w:val="0"/>
              <w:spacing w:after="0" w:line="360" w:lineRule="auto"/>
              <w:jc w:val="both"/>
              <w:rPr>
                <w:rFonts w:ascii="Book Antiqua" w:hAnsi="Book Antiqua" w:cs="Arial"/>
                <w:bCs/>
                <w:sz w:val="24"/>
                <w:szCs w:val="24"/>
                <w:lang w:val="en-US"/>
              </w:rPr>
            </w:pPr>
            <w:r w:rsidRPr="00C419B4">
              <w:rPr>
                <w:rFonts w:ascii="Book Antiqua" w:hAnsi="Book Antiqua" w:cs="Arial"/>
                <w:bCs/>
                <w:sz w:val="24"/>
                <w:szCs w:val="24"/>
                <w:lang w:val="en-US"/>
              </w:rPr>
              <w:t>Hamaguchi</w:t>
            </w:r>
            <w:r w:rsidR="00851FFB" w:rsidRPr="00C419B4">
              <w:rPr>
                <w:rFonts w:ascii="Book Antiqua" w:hAnsi="Book Antiqua" w:cs="Arial"/>
                <w:bCs/>
                <w:sz w:val="24"/>
                <w:szCs w:val="24"/>
                <w:lang w:val="en-US"/>
              </w:rPr>
              <w:t xml:space="preserve"> </w:t>
            </w:r>
            <w:r w:rsidR="00851FFB" w:rsidRPr="00C419B4">
              <w:rPr>
                <w:rFonts w:ascii="Book Antiqua" w:hAnsi="Book Antiqua" w:cs="Arial"/>
                <w:bCs/>
                <w:i/>
                <w:sz w:val="24"/>
                <w:szCs w:val="24"/>
                <w:lang w:val="en-US"/>
              </w:rPr>
              <w:t>et al</w:t>
            </w:r>
            <w:r w:rsidR="00851FFB" w:rsidRPr="00C419B4">
              <w:rPr>
                <w:rFonts w:ascii="Book Antiqua" w:hAnsi="Book Antiqua" w:cs="Arial"/>
                <w:bCs/>
                <w:sz w:val="24"/>
                <w:szCs w:val="24"/>
                <w:vertAlign w:val="superscript"/>
                <w:lang w:val="en-US"/>
              </w:rPr>
              <w:t>[59]</w:t>
            </w:r>
            <w:r w:rsidR="00851FFB" w:rsidRPr="00C419B4">
              <w:rPr>
                <w:rFonts w:ascii="Book Antiqua" w:hAnsi="Book Antiqua" w:cs="Arial"/>
                <w:bCs/>
                <w:sz w:val="24"/>
                <w:szCs w:val="24"/>
                <w:lang w:val="en-US"/>
              </w:rPr>
              <w:t>, 2008</w:t>
            </w:r>
          </w:p>
        </w:tc>
      </w:tr>
      <w:tr w:rsidR="008D14E6" w:rsidRPr="00BA60F0" w:rsidTr="003D2377">
        <w:tc>
          <w:tcPr>
            <w:tcW w:w="1188" w:type="dxa"/>
          </w:tcPr>
          <w:p w:rsidR="008D14E6" w:rsidRPr="003D2377" w:rsidRDefault="008D14E6" w:rsidP="00746849">
            <w:pPr>
              <w:adjustRightInd w:val="0"/>
              <w:snapToGrid w:val="0"/>
              <w:spacing w:after="0" w:line="360" w:lineRule="auto"/>
              <w:jc w:val="both"/>
              <w:rPr>
                <w:rFonts w:ascii="Book Antiqua" w:hAnsi="Book Antiqua" w:cs="Arial"/>
                <w:bCs/>
                <w:sz w:val="24"/>
                <w:szCs w:val="24"/>
                <w:lang w:val="en-US"/>
              </w:rPr>
            </w:pPr>
            <w:r w:rsidRPr="003D2377">
              <w:rPr>
                <w:rFonts w:ascii="Book Antiqua" w:hAnsi="Book Antiqua" w:cs="Arial"/>
                <w:bCs/>
                <w:sz w:val="24"/>
                <w:szCs w:val="24"/>
                <w:lang w:val="en-US"/>
              </w:rPr>
              <w:t>Cisplatin/</w:t>
            </w:r>
            <w:r w:rsidRPr="003D2377">
              <w:rPr>
                <w:rFonts w:ascii="Book Antiqua" w:hAnsi="Book Antiqua" w:cs="Arial"/>
                <w:bCs/>
                <w:sz w:val="24"/>
                <w:szCs w:val="24"/>
                <w:lang w:val="en-US"/>
              </w:rPr>
              <w:br/>
              <w:t>FU</w:t>
            </w:r>
          </w:p>
        </w:tc>
        <w:tc>
          <w:tcPr>
            <w:tcW w:w="621" w:type="dxa"/>
          </w:tcPr>
          <w:p w:rsidR="008D14E6" w:rsidRPr="00BA60F0" w:rsidRDefault="008D14E6" w:rsidP="00746849">
            <w:pPr>
              <w:adjustRightInd w:val="0"/>
              <w:snapToGrid w:val="0"/>
              <w:spacing w:after="0" w:line="360" w:lineRule="auto"/>
              <w:jc w:val="both"/>
              <w:rPr>
                <w:rFonts w:ascii="Book Antiqua" w:hAnsi="Book Antiqua" w:cs="Arial"/>
                <w:sz w:val="24"/>
                <w:szCs w:val="24"/>
                <w:lang w:val="en-US"/>
              </w:rPr>
            </w:pPr>
            <w:r w:rsidRPr="00BA60F0">
              <w:rPr>
                <w:rFonts w:ascii="Book Antiqua" w:hAnsi="Book Antiqua" w:cs="Arial"/>
                <w:sz w:val="24"/>
                <w:szCs w:val="24"/>
                <w:lang w:val="en-US"/>
              </w:rPr>
              <w:t>58/53</w:t>
            </w:r>
          </w:p>
        </w:tc>
        <w:tc>
          <w:tcPr>
            <w:tcW w:w="1089" w:type="dxa"/>
          </w:tcPr>
          <w:p w:rsidR="008D14E6" w:rsidRPr="00BA60F0" w:rsidRDefault="008D14E6" w:rsidP="00746849">
            <w:pPr>
              <w:adjustRightInd w:val="0"/>
              <w:snapToGrid w:val="0"/>
              <w:spacing w:after="0" w:line="360" w:lineRule="auto"/>
              <w:jc w:val="both"/>
              <w:rPr>
                <w:rFonts w:ascii="Book Antiqua" w:hAnsi="Book Antiqua" w:cs="Arial"/>
                <w:sz w:val="24"/>
                <w:szCs w:val="24"/>
                <w:lang w:val="en-US"/>
              </w:rPr>
            </w:pPr>
            <w:r w:rsidRPr="00BA60F0">
              <w:rPr>
                <w:rFonts w:ascii="Book Antiqua" w:hAnsi="Book Antiqua" w:cs="Arial"/>
                <w:sz w:val="24"/>
                <w:szCs w:val="24"/>
                <w:lang w:val="en-US"/>
              </w:rPr>
              <w:t>ECOG 0-1/2 – 20/33</w:t>
            </w:r>
          </w:p>
        </w:tc>
        <w:tc>
          <w:tcPr>
            <w:tcW w:w="1890" w:type="dxa"/>
          </w:tcPr>
          <w:p w:rsidR="008D14E6" w:rsidRPr="00BA60F0" w:rsidRDefault="008D14E6" w:rsidP="00746849">
            <w:pPr>
              <w:adjustRightInd w:val="0"/>
              <w:snapToGrid w:val="0"/>
              <w:spacing w:after="0" w:line="360" w:lineRule="auto"/>
              <w:jc w:val="both"/>
              <w:rPr>
                <w:rFonts w:ascii="Book Antiqua" w:hAnsi="Book Antiqua" w:cs="Arial"/>
                <w:sz w:val="24"/>
                <w:szCs w:val="24"/>
                <w:lang w:val="en-US"/>
              </w:rPr>
            </w:pPr>
            <w:r w:rsidRPr="00BA60F0">
              <w:rPr>
                <w:rFonts w:ascii="Book Antiqua" w:hAnsi="Book Antiqua" w:cs="Arial"/>
                <w:sz w:val="24"/>
                <w:szCs w:val="24"/>
                <w:lang w:val="en-US"/>
              </w:rPr>
              <w:t>P/FU - 20/1000 over 20h inf d1-5/d1-5 q28</w:t>
            </w:r>
          </w:p>
        </w:tc>
        <w:tc>
          <w:tcPr>
            <w:tcW w:w="810" w:type="dxa"/>
          </w:tcPr>
          <w:p w:rsidR="008D14E6" w:rsidRPr="00BA60F0" w:rsidRDefault="008D14E6" w:rsidP="00746849">
            <w:pPr>
              <w:adjustRightInd w:val="0"/>
              <w:snapToGrid w:val="0"/>
              <w:spacing w:after="0" w:line="360" w:lineRule="auto"/>
              <w:jc w:val="both"/>
              <w:rPr>
                <w:rFonts w:ascii="Book Antiqua" w:hAnsi="Book Antiqua" w:cs="Arial"/>
                <w:sz w:val="24"/>
                <w:szCs w:val="24"/>
                <w:lang w:val="en-US"/>
              </w:rPr>
            </w:pPr>
            <w:r w:rsidRPr="00BA60F0">
              <w:rPr>
                <w:rFonts w:ascii="Book Antiqua" w:hAnsi="Book Antiqua" w:cs="Arial"/>
                <w:sz w:val="24"/>
                <w:szCs w:val="24"/>
                <w:lang w:val="en-US"/>
              </w:rPr>
              <w:t>11.3</w:t>
            </w:r>
          </w:p>
        </w:tc>
        <w:tc>
          <w:tcPr>
            <w:tcW w:w="697" w:type="dxa"/>
          </w:tcPr>
          <w:p w:rsidR="008D14E6" w:rsidRPr="00BA60F0" w:rsidRDefault="008D14E6" w:rsidP="00746849">
            <w:pPr>
              <w:adjustRightInd w:val="0"/>
              <w:snapToGrid w:val="0"/>
              <w:spacing w:after="0" w:line="360" w:lineRule="auto"/>
              <w:jc w:val="both"/>
              <w:rPr>
                <w:rFonts w:ascii="Book Antiqua" w:hAnsi="Book Antiqua" w:cs="Arial"/>
                <w:sz w:val="24"/>
                <w:szCs w:val="24"/>
                <w:lang w:val="en-US"/>
              </w:rPr>
            </w:pPr>
            <w:r w:rsidRPr="00BA60F0">
              <w:rPr>
                <w:rFonts w:ascii="Book Antiqua" w:hAnsi="Book Antiqua" w:cs="Arial"/>
                <w:sz w:val="24"/>
                <w:szCs w:val="24"/>
                <w:lang w:val="en-US"/>
              </w:rPr>
              <w:t>1.8</w:t>
            </w:r>
          </w:p>
        </w:tc>
        <w:tc>
          <w:tcPr>
            <w:tcW w:w="810" w:type="dxa"/>
          </w:tcPr>
          <w:p w:rsidR="008D14E6" w:rsidRPr="00BA60F0" w:rsidRDefault="008D14E6" w:rsidP="00746849">
            <w:pPr>
              <w:adjustRightInd w:val="0"/>
              <w:snapToGrid w:val="0"/>
              <w:spacing w:after="0" w:line="360" w:lineRule="auto"/>
              <w:jc w:val="both"/>
              <w:rPr>
                <w:rFonts w:ascii="Book Antiqua" w:hAnsi="Book Antiqua" w:cs="Arial"/>
                <w:sz w:val="24"/>
                <w:szCs w:val="24"/>
                <w:lang w:val="en-US"/>
              </w:rPr>
            </w:pPr>
            <w:r w:rsidRPr="00BA60F0">
              <w:rPr>
                <w:rFonts w:ascii="Book Antiqua" w:hAnsi="Book Antiqua" w:cs="Arial"/>
                <w:sz w:val="24"/>
                <w:szCs w:val="24"/>
                <w:lang w:val="en-US"/>
              </w:rPr>
              <w:t>NR</w:t>
            </w:r>
          </w:p>
        </w:tc>
        <w:tc>
          <w:tcPr>
            <w:tcW w:w="720" w:type="dxa"/>
          </w:tcPr>
          <w:p w:rsidR="008D14E6" w:rsidRPr="00BA60F0" w:rsidRDefault="008D14E6" w:rsidP="00746849">
            <w:pPr>
              <w:adjustRightInd w:val="0"/>
              <w:snapToGrid w:val="0"/>
              <w:spacing w:after="0" w:line="360" w:lineRule="auto"/>
              <w:jc w:val="both"/>
              <w:rPr>
                <w:rFonts w:ascii="Book Antiqua" w:hAnsi="Book Antiqua" w:cs="Arial"/>
                <w:sz w:val="24"/>
                <w:szCs w:val="24"/>
                <w:lang w:val="en-US"/>
              </w:rPr>
            </w:pPr>
            <w:r w:rsidRPr="00BA60F0">
              <w:rPr>
                <w:rFonts w:ascii="Book Antiqua" w:hAnsi="Book Antiqua" w:cs="Arial"/>
                <w:sz w:val="24"/>
                <w:szCs w:val="24"/>
                <w:lang w:val="en-US"/>
              </w:rPr>
              <w:t>4.6</w:t>
            </w:r>
          </w:p>
        </w:tc>
        <w:tc>
          <w:tcPr>
            <w:tcW w:w="1639" w:type="dxa"/>
          </w:tcPr>
          <w:p w:rsidR="008D14E6" w:rsidRPr="00BA60F0" w:rsidRDefault="008D14E6" w:rsidP="00746849">
            <w:pPr>
              <w:adjustRightInd w:val="0"/>
              <w:snapToGrid w:val="0"/>
              <w:spacing w:after="0" w:line="360" w:lineRule="auto"/>
              <w:jc w:val="both"/>
              <w:rPr>
                <w:rFonts w:ascii="Book Antiqua" w:hAnsi="Book Antiqua" w:cs="Arial"/>
                <w:sz w:val="24"/>
                <w:szCs w:val="24"/>
                <w:lang w:val="en-US"/>
              </w:rPr>
            </w:pPr>
            <w:r w:rsidRPr="00BA60F0">
              <w:rPr>
                <w:rFonts w:ascii="Book Antiqua" w:hAnsi="Book Antiqua" w:cs="Arial"/>
                <w:sz w:val="24"/>
                <w:szCs w:val="24"/>
                <w:lang w:val="en-US"/>
              </w:rPr>
              <w:t>A/N/T/N-E/D/M/Neu - 8/9/9/11/4/6/1</w:t>
            </w:r>
          </w:p>
        </w:tc>
        <w:tc>
          <w:tcPr>
            <w:tcW w:w="1061" w:type="dxa"/>
          </w:tcPr>
          <w:p w:rsidR="008D14E6" w:rsidRPr="00C419B4" w:rsidRDefault="008D14E6" w:rsidP="00746849">
            <w:pPr>
              <w:adjustRightInd w:val="0"/>
              <w:snapToGrid w:val="0"/>
              <w:spacing w:after="0" w:line="360" w:lineRule="auto"/>
              <w:jc w:val="both"/>
              <w:rPr>
                <w:rFonts w:ascii="Book Antiqua" w:hAnsi="Book Antiqua" w:cs="Arial"/>
                <w:bCs/>
                <w:sz w:val="24"/>
                <w:szCs w:val="24"/>
                <w:lang w:val="en-US"/>
              </w:rPr>
            </w:pPr>
            <w:r w:rsidRPr="00C419B4">
              <w:rPr>
                <w:rFonts w:ascii="Book Antiqua" w:hAnsi="Book Antiqua" w:cs="Arial"/>
                <w:bCs/>
                <w:sz w:val="24"/>
                <w:szCs w:val="24"/>
                <w:lang w:val="en-US"/>
              </w:rPr>
              <w:t>Sencan</w:t>
            </w:r>
            <w:r w:rsidR="00851FFB" w:rsidRPr="00C419B4">
              <w:rPr>
                <w:rFonts w:ascii="Book Antiqua" w:hAnsi="Book Antiqua" w:cs="Arial"/>
                <w:bCs/>
                <w:i/>
                <w:sz w:val="24"/>
                <w:szCs w:val="24"/>
                <w:lang w:val="en-US"/>
              </w:rPr>
              <w:t xml:space="preserve"> et al</w:t>
            </w:r>
            <w:r w:rsidR="00851FFB" w:rsidRPr="00C419B4">
              <w:rPr>
                <w:rFonts w:ascii="Book Antiqua" w:hAnsi="Book Antiqua" w:cs="Arial"/>
                <w:bCs/>
                <w:sz w:val="24"/>
                <w:szCs w:val="24"/>
                <w:vertAlign w:val="superscript"/>
                <w:lang w:val="en-US"/>
              </w:rPr>
              <w:t>[60]</w:t>
            </w:r>
            <w:r w:rsidRPr="00C419B4">
              <w:rPr>
                <w:rFonts w:ascii="Book Antiqua" w:hAnsi="Book Antiqua" w:cs="Arial"/>
                <w:bCs/>
                <w:sz w:val="24"/>
                <w:szCs w:val="24"/>
                <w:lang w:val="en-US"/>
              </w:rPr>
              <w:t>,</w:t>
            </w:r>
            <w:r w:rsidR="00851FFB" w:rsidRPr="00C419B4">
              <w:rPr>
                <w:rFonts w:ascii="Book Antiqua" w:hAnsi="Book Antiqua" w:cs="Arial"/>
                <w:bCs/>
                <w:sz w:val="24"/>
                <w:szCs w:val="24"/>
                <w:lang w:val="en-US"/>
              </w:rPr>
              <w:t xml:space="preserve"> 2008</w:t>
            </w:r>
          </w:p>
        </w:tc>
      </w:tr>
      <w:tr w:rsidR="008D14E6" w:rsidRPr="00BA60F0" w:rsidTr="003D2377">
        <w:tc>
          <w:tcPr>
            <w:tcW w:w="1188" w:type="dxa"/>
          </w:tcPr>
          <w:p w:rsidR="008D14E6" w:rsidRPr="003D2377" w:rsidRDefault="008D14E6" w:rsidP="00746849">
            <w:pPr>
              <w:adjustRightInd w:val="0"/>
              <w:snapToGrid w:val="0"/>
              <w:spacing w:after="0" w:line="360" w:lineRule="auto"/>
              <w:jc w:val="both"/>
              <w:rPr>
                <w:rFonts w:ascii="Book Antiqua" w:hAnsi="Book Antiqua" w:cs="Arial"/>
                <w:bCs/>
                <w:sz w:val="24"/>
                <w:szCs w:val="24"/>
                <w:lang w:val="en-US"/>
              </w:rPr>
            </w:pPr>
            <w:r w:rsidRPr="003D2377">
              <w:rPr>
                <w:rFonts w:ascii="Book Antiqua" w:hAnsi="Book Antiqua" w:cs="Arial"/>
                <w:bCs/>
                <w:sz w:val="24"/>
                <w:szCs w:val="24"/>
                <w:lang w:val="en-US"/>
              </w:rPr>
              <w:t>Oxaliplatin/</w:t>
            </w:r>
            <w:r w:rsidRPr="003D2377">
              <w:rPr>
                <w:rFonts w:ascii="Book Antiqua" w:hAnsi="Book Antiqua" w:cs="Arial"/>
                <w:bCs/>
                <w:sz w:val="24"/>
                <w:szCs w:val="24"/>
                <w:lang w:val="en-US"/>
              </w:rPr>
              <w:br/>
            </w:r>
            <w:r w:rsidRPr="003D2377">
              <w:rPr>
                <w:rFonts w:ascii="Book Antiqua" w:hAnsi="Book Antiqua" w:cs="Arial"/>
                <w:bCs/>
                <w:sz w:val="24"/>
                <w:szCs w:val="24"/>
                <w:lang w:val="en-US"/>
              </w:rPr>
              <w:lastRenderedPageBreak/>
              <w:t>Sorafenib</w:t>
            </w:r>
          </w:p>
        </w:tc>
        <w:tc>
          <w:tcPr>
            <w:tcW w:w="621" w:type="dxa"/>
          </w:tcPr>
          <w:p w:rsidR="008D14E6" w:rsidRPr="00BA60F0" w:rsidRDefault="008D14E6" w:rsidP="00746849">
            <w:pPr>
              <w:adjustRightInd w:val="0"/>
              <w:snapToGrid w:val="0"/>
              <w:spacing w:after="0" w:line="360" w:lineRule="auto"/>
              <w:jc w:val="both"/>
              <w:rPr>
                <w:rFonts w:ascii="Book Antiqua" w:hAnsi="Book Antiqua" w:cs="Arial"/>
                <w:sz w:val="24"/>
                <w:szCs w:val="24"/>
                <w:lang w:val="en-US"/>
              </w:rPr>
            </w:pPr>
            <w:r w:rsidRPr="00BA60F0">
              <w:rPr>
                <w:rFonts w:ascii="Book Antiqua" w:hAnsi="Book Antiqua" w:cs="Arial"/>
                <w:sz w:val="24"/>
                <w:szCs w:val="24"/>
                <w:lang w:val="en-US"/>
              </w:rPr>
              <w:lastRenderedPageBreak/>
              <w:t>40</w:t>
            </w:r>
          </w:p>
        </w:tc>
        <w:tc>
          <w:tcPr>
            <w:tcW w:w="1089" w:type="dxa"/>
          </w:tcPr>
          <w:p w:rsidR="008D14E6" w:rsidRPr="00BA60F0" w:rsidRDefault="008D14E6" w:rsidP="00746849">
            <w:pPr>
              <w:adjustRightInd w:val="0"/>
              <w:snapToGrid w:val="0"/>
              <w:spacing w:after="0" w:line="360" w:lineRule="auto"/>
              <w:jc w:val="both"/>
              <w:rPr>
                <w:rFonts w:ascii="Book Antiqua" w:hAnsi="Book Antiqua" w:cs="Arial"/>
                <w:sz w:val="24"/>
                <w:szCs w:val="24"/>
                <w:lang w:val="en-US"/>
              </w:rPr>
            </w:pPr>
            <w:r w:rsidRPr="00BA60F0">
              <w:rPr>
                <w:rFonts w:ascii="Book Antiqua" w:hAnsi="Book Antiqua" w:cs="Arial"/>
                <w:sz w:val="24"/>
                <w:szCs w:val="24"/>
                <w:lang w:val="en-US"/>
              </w:rPr>
              <w:t xml:space="preserve">ECOG 0/1/2 – </w:t>
            </w:r>
            <w:r w:rsidRPr="00BA60F0">
              <w:rPr>
                <w:rFonts w:ascii="Book Antiqua" w:hAnsi="Book Antiqua" w:cs="Arial"/>
                <w:sz w:val="24"/>
                <w:szCs w:val="24"/>
                <w:lang w:val="en-US"/>
              </w:rPr>
              <w:lastRenderedPageBreak/>
              <w:t>14/23/2</w:t>
            </w:r>
          </w:p>
        </w:tc>
        <w:tc>
          <w:tcPr>
            <w:tcW w:w="1890" w:type="dxa"/>
          </w:tcPr>
          <w:p w:rsidR="008D14E6" w:rsidRPr="00BA60F0" w:rsidRDefault="008D14E6" w:rsidP="00746849">
            <w:pPr>
              <w:adjustRightInd w:val="0"/>
              <w:snapToGrid w:val="0"/>
              <w:spacing w:after="0" w:line="360" w:lineRule="auto"/>
              <w:jc w:val="both"/>
              <w:rPr>
                <w:rFonts w:ascii="Book Antiqua" w:hAnsi="Book Antiqua" w:cs="Arial"/>
                <w:sz w:val="24"/>
                <w:szCs w:val="24"/>
                <w:lang w:val="en-US"/>
              </w:rPr>
            </w:pPr>
            <w:r w:rsidRPr="00BA60F0">
              <w:rPr>
                <w:rFonts w:ascii="Book Antiqua" w:hAnsi="Book Antiqua" w:cs="Arial"/>
                <w:sz w:val="24"/>
                <w:szCs w:val="24"/>
                <w:lang w:val="en-US"/>
              </w:rPr>
              <w:lastRenderedPageBreak/>
              <w:t xml:space="preserve">Ox/Sor – 130 d1 q21 / 400 </w:t>
            </w:r>
            <w:r w:rsidRPr="00BA60F0">
              <w:rPr>
                <w:rFonts w:ascii="Book Antiqua" w:hAnsi="Book Antiqua" w:cs="Arial"/>
                <w:sz w:val="24"/>
                <w:szCs w:val="24"/>
                <w:lang w:val="en-US"/>
              </w:rPr>
              <w:lastRenderedPageBreak/>
              <w:t>mg b.i.d daily</w:t>
            </w:r>
          </w:p>
        </w:tc>
        <w:tc>
          <w:tcPr>
            <w:tcW w:w="810" w:type="dxa"/>
          </w:tcPr>
          <w:p w:rsidR="008D14E6" w:rsidRPr="00BA60F0" w:rsidRDefault="008D14E6" w:rsidP="00746849">
            <w:pPr>
              <w:adjustRightInd w:val="0"/>
              <w:snapToGrid w:val="0"/>
              <w:spacing w:after="0" w:line="360" w:lineRule="auto"/>
              <w:jc w:val="both"/>
              <w:rPr>
                <w:rFonts w:ascii="Book Antiqua" w:hAnsi="Book Antiqua" w:cs="Arial"/>
                <w:sz w:val="24"/>
                <w:szCs w:val="24"/>
                <w:lang w:val="en-US"/>
              </w:rPr>
            </w:pPr>
            <w:r w:rsidRPr="00BA60F0">
              <w:rPr>
                <w:rFonts w:ascii="Book Antiqua" w:hAnsi="Book Antiqua" w:cs="Arial"/>
                <w:sz w:val="24"/>
                <w:szCs w:val="24"/>
                <w:lang w:val="en-US"/>
              </w:rPr>
              <w:lastRenderedPageBreak/>
              <w:t>2.8</w:t>
            </w:r>
          </w:p>
        </w:tc>
        <w:tc>
          <w:tcPr>
            <w:tcW w:w="697" w:type="dxa"/>
          </w:tcPr>
          <w:p w:rsidR="008D14E6" w:rsidRPr="00BA60F0" w:rsidRDefault="008D14E6" w:rsidP="00746849">
            <w:pPr>
              <w:adjustRightInd w:val="0"/>
              <w:snapToGrid w:val="0"/>
              <w:spacing w:after="0" w:line="360" w:lineRule="auto"/>
              <w:jc w:val="both"/>
              <w:rPr>
                <w:rFonts w:ascii="Book Antiqua" w:hAnsi="Book Antiqua" w:cs="Arial"/>
                <w:sz w:val="24"/>
                <w:szCs w:val="24"/>
                <w:lang w:val="en-US"/>
              </w:rPr>
            </w:pPr>
            <w:r w:rsidRPr="00BA60F0">
              <w:rPr>
                <w:rFonts w:ascii="Book Antiqua" w:hAnsi="Book Antiqua" w:cs="Arial"/>
                <w:sz w:val="24"/>
                <w:szCs w:val="24"/>
                <w:lang w:val="en-US"/>
              </w:rPr>
              <w:t>NR</w:t>
            </w:r>
          </w:p>
        </w:tc>
        <w:tc>
          <w:tcPr>
            <w:tcW w:w="810" w:type="dxa"/>
          </w:tcPr>
          <w:p w:rsidR="008D14E6" w:rsidRPr="00BA60F0" w:rsidRDefault="008D14E6" w:rsidP="00746849">
            <w:pPr>
              <w:adjustRightInd w:val="0"/>
              <w:snapToGrid w:val="0"/>
              <w:spacing w:after="0" w:line="360" w:lineRule="auto"/>
              <w:jc w:val="both"/>
              <w:rPr>
                <w:rFonts w:ascii="Book Antiqua" w:hAnsi="Book Antiqua" w:cs="Arial"/>
                <w:sz w:val="24"/>
                <w:szCs w:val="24"/>
                <w:lang w:val="en-US"/>
              </w:rPr>
            </w:pPr>
            <w:r w:rsidRPr="00BA60F0">
              <w:rPr>
                <w:rFonts w:ascii="Book Antiqua" w:hAnsi="Book Antiqua" w:cs="Arial"/>
                <w:sz w:val="24"/>
                <w:szCs w:val="24"/>
                <w:lang w:val="en-US"/>
              </w:rPr>
              <w:t>3.0</w:t>
            </w:r>
          </w:p>
        </w:tc>
        <w:tc>
          <w:tcPr>
            <w:tcW w:w="720" w:type="dxa"/>
          </w:tcPr>
          <w:p w:rsidR="008D14E6" w:rsidRPr="00BA60F0" w:rsidRDefault="008D14E6" w:rsidP="00746849">
            <w:pPr>
              <w:adjustRightInd w:val="0"/>
              <w:snapToGrid w:val="0"/>
              <w:spacing w:after="0" w:line="360" w:lineRule="auto"/>
              <w:jc w:val="both"/>
              <w:rPr>
                <w:rFonts w:ascii="Book Antiqua" w:hAnsi="Book Antiqua" w:cs="Arial"/>
                <w:sz w:val="24"/>
                <w:szCs w:val="24"/>
                <w:lang w:val="en-US"/>
              </w:rPr>
            </w:pPr>
            <w:r w:rsidRPr="00BA60F0">
              <w:rPr>
                <w:rFonts w:ascii="Book Antiqua" w:hAnsi="Book Antiqua" w:cs="Arial"/>
                <w:sz w:val="24"/>
                <w:szCs w:val="24"/>
                <w:lang w:val="en-US"/>
              </w:rPr>
              <w:t>6.5</w:t>
            </w:r>
          </w:p>
        </w:tc>
        <w:tc>
          <w:tcPr>
            <w:tcW w:w="1639" w:type="dxa"/>
          </w:tcPr>
          <w:p w:rsidR="008D14E6" w:rsidRPr="00BA60F0" w:rsidRDefault="008D14E6" w:rsidP="00746849">
            <w:pPr>
              <w:adjustRightInd w:val="0"/>
              <w:snapToGrid w:val="0"/>
              <w:spacing w:after="0" w:line="360" w:lineRule="auto"/>
              <w:jc w:val="both"/>
              <w:rPr>
                <w:rFonts w:ascii="Book Antiqua" w:hAnsi="Book Antiqua" w:cs="Arial"/>
                <w:sz w:val="24"/>
                <w:szCs w:val="24"/>
                <w:lang w:val="en-US"/>
              </w:rPr>
            </w:pPr>
            <w:r w:rsidRPr="00BA60F0">
              <w:rPr>
                <w:rFonts w:ascii="Book Antiqua" w:hAnsi="Book Antiqua" w:cs="Arial"/>
                <w:sz w:val="24"/>
                <w:szCs w:val="24"/>
                <w:lang w:val="en-US"/>
              </w:rPr>
              <w:t xml:space="preserve">N/T/As/D/Neu – </w:t>
            </w:r>
            <w:r w:rsidRPr="00BA60F0">
              <w:rPr>
                <w:rFonts w:ascii="Book Antiqua" w:hAnsi="Book Antiqua" w:cs="Arial"/>
                <w:sz w:val="24"/>
                <w:szCs w:val="24"/>
                <w:lang w:val="en-US"/>
              </w:rPr>
              <w:lastRenderedPageBreak/>
              <w:t>9.8/7.3/18/4.9/4.9</w:t>
            </w:r>
          </w:p>
        </w:tc>
        <w:tc>
          <w:tcPr>
            <w:tcW w:w="1061" w:type="dxa"/>
          </w:tcPr>
          <w:p w:rsidR="008D14E6" w:rsidRPr="00C419B4" w:rsidRDefault="008D14E6" w:rsidP="00746849">
            <w:pPr>
              <w:adjustRightInd w:val="0"/>
              <w:snapToGrid w:val="0"/>
              <w:spacing w:after="0" w:line="360" w:lineRule="auto"/>
              <w:jc w:val="both"/>
              <w:rPr>
                <w:rFonts w:ascii="Book Antiqua" w:hAnsi="Book Antiqua" w:cs="Arial"/>
                <w:bCs/>
                <w:sz w:val="24"/>
                <w:szCs w:val="24"/>
                <w:lang w:val="en-US"/>
              </w:rPr>
            </w:pPr>
            <w:r w:rsidRPr="00C419B4">
              <w:rPr>
                <w:rFonts w:ascii="Book Antiqua" w:hAnsi="Book Antiqua" w:cs="Arial"/>
                <w:bCs/>
                <w:sz w:val="24"/>
                <w:szCs w:val="24"/>
                <w:lang w:val="en-US"/>
              </w:rPr>
              <w:lastRenderedPageBreak/>
              <w:t>Martin-Richard</w:t>
            </w:r>
            <w:r w:rsidR="00851FFB" w:rsidRPr="00C419B4">
              <w:rPr>
                <w:rFonts w:ascii="Book Antiqua" w:hAnsi="Book Antiqua" w:cs="Arial"/>
                <w:bCs/>
                <w:i/>
                <w:sz w:val="24"/>
                <w:szCs w:val="24"/>
                <w:lang w:val="en-US"/>
              </w:rPr>
              <w:t xml:space="preserve"> et </w:t>
            </w:r>
            <w:r w:rsidR="00851FFB" w:rsidRPr="00C419B4">
              <w:rPr>
                <w:rFonts w:ascii="Book Antiqua" w:hAnsi="Book Antiqua" w:cs="Arial"/>
                <w:bCs/>
                <w:i/>
                <w:sz w:val="24"/>
                <w:szCs w:val="24"/>
                <w:lang w:val="en-US"/>
              </w:rPr>
              <w:lastRenderedPageBreak/>
              <w:t>al</w:t>
            </w:r>
            <w:r w:rsidR="00851FFB" w:rsidRPr="00C419B4">
              <w:rPr>
                <w:rFonts w:ascii="Book Antiqua" w:hAnsi="Book Antiqua" w:cs="Arial"/>
                <w:bCs/>
                <w:sz w:val="24"/>
                <w:szCs w:val="24"/>
                <w:vertAlign w:val="superscript"/>
                <w:lang w:val="en-US"/>
              </w:rPr>
              <w:t>[61]</w:t>
            </w:r>
            <w:r w:rsidR="00851FFB" w:rsidRPr="00C419B4">
              <w:rPr>
                <w:rFonts w:ascii="Book Antiqua" w:hAnsi="Book Antiqua" w:cs="Arial"/>
                <w:bCs/>
                <w:sz w:val="24"/>
                <w:szCs w:val="24"/>
                <w:lang w:val="en-US"/>
              </w:rPr>
              <w:t>,2013</w:t>
            </w:r>
          </w:p>
        </w:tc>
      </w:tr>
    </w:tbl>
    <w:p w:rsidR="008D14E6" w:rsidRPr="00BA60F0" w:rsidRDefault="00C419B4" w:rsidP="00746849">
      <w:pPr>
        <w:adjustRightInd w:val="0"/>
        <w:snapToGrid w:val="0"/>
        <w:spacing w:after="0" w:line="360" w:lineRule="auto"/>
        <w:jc w:val="both"/>
        <w:rPr>
          <w:rFonts w:ascii="Book Antiqua" w:hAnsi="Book Antiqua" w:cs="Arial"/>
          <w:sz w:val="24"/>
          <w:szCs w:val="24"/>
          <w:lang w:val="en-US"/>
        </w:rPr>
      </w:pPr>
      <w:r w:rsidRPr="00C419B4">
        <w:rPr>
          <w:rFonts w:ascii="Book Antiqua" w:hAnsi="Book Antiqua" w:cs="Arial" w:hint="eastAsia"/>
          <w:bCs/>
          <w:sz w:val="24"/>
          <w:szCs w:val="24"/>
          <w:vertAlign w:val="superscript"/>
          <w:lang w:eastAsia="zh-CN"/>
        </w:rPr>
        <w:lastRenderedPageBreak/>
        <w:t>1</w:t>
      </w:r>
      <w:r w:rsidRPr="00C419B4">
        <w:rPr>
          <w:rFonts w:ascii="Book Antiqua" w:hAnsi="Book Antiqua" w:cs="Arial"/>
          <w:caps/>
          <w:sz w:val="24"/>
          <w:szCs w:val="24"/>
          <w:lang w:val="en-US"/>
        </w:rPr>
        <w:t>r</w:t>
      </w:r>
      <w:r w:rsidRPr="00BA60F0">
        <w:rPr>
          <w:rFonts w:ascii="Book Antiqua" w:hAnsi="Book Antiqua" w:cs="Arial"/>
          <w:sz w:val="24"/>
          <w:szCs w:val="24"/>
          <w:lang w:val="en-US"/>
        </w:rPr>
        <w:t>etrospective</w:t>
      </w:r>
      <w:r w:rsidRPr="00C419B4">
        <w:rPr>
          <w:rFonts w:ascii="Book Antiqua" w:hAnsi="Book Antiqua" w:cs="Arial"/>
          <w:sz w:val="24"/>
          <w:szCs w:val="24"/>
        </w:rPr>
        <w:t xml:space="preserve"> </w:t>
      </w:r>
      <w:r w:rsidRPr="00BA60F0">
        <w:rPr>
          <w:rFonts w:ascii="Book Antiqua" w:hAnsi="Book Antiqua" w:cs="Arial"/>
          <w:sz w:val="24"/>
          <w:szCs w:val="24"/>
          <w:lang w:val="en-US"/>
        </w:rPr>
        <w:t>study</w:t>
      </w:r>
      <w:r w:rsidRPr="00C419B4">
        <w:rPr>
          <w:rFonts w:ascii="Book Antiqua" w:hAnsi="Book Antiqua" w:cs="Arial" w:hint="eastAsia"/>
          <w:sz w:val="24"/>
          <w:szCs w:val="24"/>
          <w:lang w:eastAsia="zh-CN"/>
        </w:rPr>
        <w:t xml:space="preserve">. </w:t>
      </w:r>
      <w:r w:rsidR="008D14E6" w:rsidRPr="00BA60F0">
        <w:rPr>
          <w:rFonts w:ascii="Book Antiqua" w:hAnsi="Book Antiqua" w:cs="Arial"/>
          <w:sz w:val="24"/>
          <w:szCs w:val="24"/>
          <w:lang w:val="en-US"/>
        </w:rPr>
        <w:t>Cap</w:t>
      </w:r>
      <w:r>
        <w:rPr>
          <w:rFonts w:ascii="Book Antiqua" w:hAnsi="Book Antiqua" w:cs="Arial" w:hint="eastAsia"/>
          <w:sz w:val="24"/>
          <w:szCs w:val="24"/>
          <w:lang w:eastAsia="zh-CN"/>
        </w:rPr>
        <w:t>:</w:t>
      </w:r>
      <w:r w:rsidR="008D14E6" w:rsidRPr="00BA60F0">
        <w:rPr>
          <w:rFonts w:ascii="Book Antiqua" w:hAnsi="Book Antiqua" w:cs="Arial"/>
          <w:sz w:val="24"/>
          <w:szCs w:val="24"/>
        </w:rPr>
        <w:t xml:space="preserve"> </w:t>
      </w:r>
      <w:r w:rsidR="008D14E6" w:rsidRPr="00BA60F0">
        <w:rPr>
          <w:rFonts w:ascii="Book Antiqua" w:hAnsi="Book Antiqua" w:cs="Arial"/>
          <w:sz w:val="24"/>
          <w:szCs w:val="24"/>
          <w:lang w:val="en-US"/>
        </w:rPr>
        <w:t>Capeceitabine</w:t>
      </w:r>
      <w:r w:rsidR="008D14E6" w:rsidRPr="00BA60F0">
        <w:rPr>
          <w:rFonts w:ascii="Book Antiqua" w:hAnsi="Book Antiqua" w:cs="Arial"/>
          <w:sz w:val="24"/>
          <w:szCs w:val="24"/>
        </w:rPr>
        <w:t xml:space="preserve">; </w:t>
      </w:r>
      <w:r w:rsidR="008D14E6" w:rsidRPr="00BA60F0">
        <w:rPr>
          <w:rFonts w:ascii="Book Antiqua" w:hAnsi="Book Antiqua" w:cs="Arial"/>
          <w:sz w:val="24"/>
          <w:szCs w:val="24"/>
          <w:lang w:val="en-US"/>
        </w:rPr>
        <w:t>Carbo</w:t>
      </w:r>
      <w:r>
        <w:rPr>
          <w:rFonts w:ascii="Book Antiqua" w:hAnsi="Book Antiqua" w:cs="Arial" w:hint="eastAsia"/>
          <w:sz w:val="24"/>
          <w:szCs w:val="24"/>
          <w:lang w:eastAsia="zh-CN"/>
        </w:rPr>
        <w:t>:</w:t>
      </w:r>
      <w:r w:rsidR="008D14E6" w:rsidRPr="00BA60F0">
        <w:rPr>
          <w:rFonts w:ascii="Book Antiqua" w:hAnsi="Book Antiqua" w:cs="Arial"/>
          <w:sz w:val="24"/>
          <w:szCs w:val="24"/>
        </w:rPr>
        <w:t xml:space="preserve"> </w:t>
      </w:r>
      <w:r w:rsidR="008D14E6" w:rsidRPr="00BA60F0">
        <w:rPr>
          <w:rFonts w:ascii="Book Antiqua" w:hAnsi="Book Antiqua" w:cs="Arial"/>
          <w:sz w:val="24"/>
          <w:szCs w:val="24"/>
          <w:lang w:val="en-US"/>
        </w:rPr>
        <w:t>carboplatin</w:t>
      </w:r>
      <w:r w:rsidR="008D14E6" w:rsidRPr="00BA60F0">
        <w:rPr>
          <w:rFonts w:ascii="Book Antiqua" w:hAnsi="Book Antiqua" w:cs="Arial"/>
          <w:sz w:val="24"/>
          <w:szCs w:val="24"/>
        </w:rPr>
        <w:t xml:space="preserve">; </w:t>
      </w:r>
      <w:r w:rsidR="008D14E6" w:rsidRPr="00BA60F0">
        <w:rPr>
          <w:rFonts w:ascii="Book Antiqua" w:hAnsi="Book Antiqua" w:cs="Arial"/>
          <w:sz w:val="24"/>
          <w:szCs w:val="24"/>
          <w:lang w:val="en-US"/>
        </w:rPr>
        <w:t>Cet</w:t>
      </w:r>
      <w:r>
        <w:rPr>
          <w:rFonts w:ascii="Book Antiqua" w:hAnsi="Book Antiqua" w:cs="Arial" w:hint="eastAsia"/>
          <w:sz w:val="24"/>
          <w:szCs w:val="24"/>
          <w:lang w:eastAsia="zh-CN"/>
        </w:rPr>
        <w:t>:</w:t>
      </w:r>
      <w:r w:rsidR="008D14E6" w:rsidRPr="00BA60F0">
        <w:rPr>
          <w:rFonts w:ascii="Book Antiqua" w:hAnsi="Book Antiqua" w:cs="Arial"/>
          <w:sz w:val="24"/>
          <w:szCs w:val="24"/>
        </w:rPr>
        <w:t xml:space="preserve"> </w:t>
      </w:r>
      <w:r w:rsidR="008D14E6" w:rsidRPr="00BA60F0">
        <w:rPr>
          <w:rFonts w:ascii="Book Antiqua" w:hAnsi="Book Antiqua" w:cs="Arial"/>
          <w:sz w:val="24"/>
          <w:szCs w:val="24"/>
          <w:lang w:val="en-US"/>
        </w:rPr>
        <w:t>Cetuximab</w:t>
      </w:r>
      <w:r w:rsidR="008D14E6" w:rsidRPr="00BA60F0">
        <w:rPr>
          <w:rFonts w:ascii="Book Antiqua" w:hAnsi="Book Antiqua" w:cs="Arial"/>
          <w:sz w:val="24"/>
          <w:szCs w:val="24"/>
        </w:rPr>
        <w:t xml:space="preserve">; </w:t>
      </w:r>
      <w:r w:rsidR="008D14E6" w:rsidRPr="00BA60F0">
        <w:rPr>
          <w:rFonts w:ascii="Book Antiqua" w:hAnsi="Book Antiqua" w:cs="Arial"/>
          <w:sz w:val="24"/>
          <w:szCs w:val="24"/>
          <w:lang w:val="en-US"/>
        </w:rPr>
        <w:t>Dox</w:t>
      </w:r>
      <w:r>
        <w:rPr>
          <w:rFonts w:ascii="Book Antiqua" w:hAnsi="Book Antiqua" w:cs="Arial" w:hint="eastAsia"/>
          <w:sz w:val="24"/>
          <w:szCs w:val="24"/>
          <w:lang w:eastAsia="zh-CN"/>
        </w:rPr>
        <w:t>:</w:t>
      </w:r>
      <w:r w:rsidR="008D14E6" w:rsidRPr="00BA60F0">
        <w:rPr>
          <w:rFonts w:ascii="Book Antiqua" w:hAnsi="Book Antiqua" w:cs="Arial"/>
          <w:sz w:val="24"/>
          <w:szCs w:val="24"/>
        </w:rPr>
        <w:t xml:space="preserve"> </w:t>
      </w:r>
      <w:r w:rsidR="008D14E6" w:rsidRPr="00BA60F0">
        <w:rPr>
          <w:rFonts w:ascii="Book Antiqua" w:hAnsi="Book Antiqua" w:cs="Arial"/>
          <w:sz w:val="24"/>
          <w:szCs w:val="24"/>
          <w:lang w:val="en-US"/>
        </w:rPr>
        <w:t>Doxifluridine</w:t>
      </w:r>
      <w:r w:rsidR="008D14E6" w:rsidRPr="00BA60F0">
        <w:rPr>
          <w:rFonts w:ascii="Book Antiqua" w:hAnsi="Book Antiqua" w:cs="Arial"/>
          <w:sz w:val="24"/>
          <w:szCs w:val="24"/>
        </w:rPr>
        <w:t xml:space="preserve">; </w:t>
      </w:r>
      <w:r w:rsidR="008D14E6" w:rsidRPr="00BA60F0">
        <w:rPr>
          <w:rFonts w:ascii="Book Antiqua" w:hAnsi="Book Antiqua" w:cs="Arial"/>
          <w:sz w:val="24"/>
          <w:szCs w:val="24"/>
          <w:lang w:val="en-US"/>
        </w:rPr>
        <w:t>Dtx</w:t>
      </w:r>
      <w:r>
        <w:rPr>
          <w:rFonts w:ascii="Book Antiqua" w:hAnsi="Book Antiqua" w:cs="Arial" w:hint="eastAsia"/>
          <w:sz w:val="24"/>
          <w:szCs w:val="24"/>
          <w:lang w:eastAsia="zh-CN"/>
        </w:rPr>
        <w:t>:</w:t>
      </w:r>
      <w:r w:rsidR="008D14E6" w:rsidRPr="00BA60F0">
        <w:rPr>
          <w:rFonts w:ascii="Book Antiqua" w:hAnsi="Book Antiqua" w:cs="Arial"/>
          <w:sz w:val="24"/>
          <w:szCs w:val="24"/>
        </w:rPr>
        <w:t xml:space="preserve"> </w:t>
      </w:r>
      <w:r w:rsidR="008D14E6" w:rsidRPr="00BA60F0">
        <w:rPr>
          <w:rFonts w:ascii="Book Antiqua" w:hAnsi="Book Antiqua" w:cs="Arial"/>
          <w:sz w:val="24"/>
          <w:szCs w:val="24"/>
          <w:lang w:val="en-US"/>
        </w:rPr>
        <w:t>Docetaxel</w:t>
      </w:r>
      <w:r w:rsidR="008D14E6" w:rsidRPr="00BA60F0">
        <w:rPr>
          <w:rFonts w:ascii="Book Antiqua" w:hAnsi="Book Antiqua" w:cs="Arial"/>
          <w:sz w:val="24"/>
          <w:szCs w:val="24"/>
        </w:rPr>
        <w:t xml:space="preserve">; </w:t>
      </w:r>
      <w:r w:rsidR="008D14E6" w:rsidRPr="00BA60F0">
        <w:rPr>
          <w:rFonts w:ascii="Book Antiqua" w:hAnsi="Book Antiqua" w:cs="Arial"/>
          <w:sz w:val="24"/>
          <w:szCs w:val="24"/>
          <w:lang w:val="en-US"/>
        </w:rPr>
        <w:t>Eto</w:t>
      </w:r>
      <w:r>
        <w:rPr>
          <w:rFonts w:ascii="Book Antiqua" w:hAnsi="Book Antiqua" w:cs="Arial" w:hint="eastAsia"/>
          <w:sz w:val="24"/>
          <w:szCs w:val="24"/>
          <w:lang w:eastAsia="zh-CN"/>
        </w:rPr>
        <w:t>:</w:t>
      </w:r>
      <w:r w:rsidR="008D14E6" w:rsidRPr="00BA60F0">
        <w:rPr>
          <w:rFonts w:ascii="Book Antiqua" w:hAnsi="Book Antiqua" w:cs="Arial"/>
          <w:sz w:val="24"/>
          <w:szCs w:val="24"/>
        </w:rPr>
        <w:t xml:space="preserve"> </w:t>
      </w:r>
      <w:r w:rsidR="008D14E6" w:rsidRPr="00BA60F0">
        <w:rPr>
          <w:rFonts w:ascii="Book Antiqua" w:hAnsi="Book Antiqua" w:cs="Arial"/>
          <w:sz w:val="24"/>
          <w:szCs w:val="24"/>
          <w:lang w:val="en-US"/>
        </w:rPr>
        <w:t>Etoposide</w:t>
      </w:r>
      <w:r w:rsidR="008D14E6" w:rsidRPr="00BA60F0">
        <w:rPr>
          <w:rFonts w:ascii="Book Antiqua" w:hAnsi="Book Antiqua" w:cs="Arial"/>
          <w:sz w:val="24"/>
          <w:szCs w:val="24"/>
        </w:rPr>
        <w:t xml:space="preserve">; </w:t>
      </w:r>
      <w:r w:rsidR="008D14E6" w:rsidRPr="00BA60F0">
        <w:rPr>
          <w:rFonts w:ascii="Book Antiqua" w:hAnsi="Book Antiqua" w:cs="Arial"/>
          <w:sz w:val="24"/>
          <w:szCs w:val="24"/>
          <w:lang w:val="en-US"/>
        </w:rPr>
        <w:t>Epi</w:t>
      </w:r>
      <w:r>
        <w:rPr>
          <w:rFonts w:ascii="Book Antiqua" w:hAnsi="Book Antiqua" w:cs="Arial" w:hint="eastAsia"/>
          <w:sz w:val="24"/>
          <w:szCs w:val="24"/>
          <w:lang w:eastAsia="zh-CN"/>
        </w:rPr>
        <w:t>:</w:t>
      </w:r>
      <w:r w:rsidR="008D14E6" w:rsidRPr="00BA60F0">
        <w:rPr>
          <w:rFonts w:ascii="Book Antiqua" w:hAnsi="Book Antiqua" w:cs="Arial"/>
          <w:sz w:val="24"/>
          <w:szCs w:val="24"/>
        </w:rPr>
        <w:t xml:space="preserve"> </w:t>
      </w:r>
      <w:r w:rsidR="008D14E6" w:rsidRPr="00BA60F0">
        <w:rPr>
          <w:rFonts w:ascii="Book Antiqua" w:hAnsi="Book Antiqua" w:cs="Arial"/>
          <w:sz w:val="24"/>
          <w:szCs w:val="24"/>
          <w:lang w:val="en-US"/>
        </w:rPr>
        <w:t>Epirubicin</w:t>
      </w:r>
      <w:r w:rsidR="008D14E6" w:rsidRPr="00BA60F0">
        <w:rPr>
          <w:rFonts w:ascii="Book Antiqua" w:hAnsi="Book Antiqua" w:cs="Arial"/>
          <w:sz w:val="24"/>
          <w:szCs w:val="24"/>
        </w:rPr>
        <w:t xml:space="preserve">; </w:t>
      </w:r>
      <w:r w:rsidR="008D14E6" w:rsidRPr="00BA60F0">
        <w:rPr>
          <w:rFonts w:ascii="Book Antiqua" w:hAnsi="Book Antiqua" w:cs="Arial"/>
          <w:sz w:val="24"/>
          <w:szCs w:val="24"/>
          <w:lang w:val="en-US"/>
        </w:rPr>
        <w:t>FU</w:t>
      </w:r>
      <w:r>
        <w:rPr>
          <w:rFonts w:ascii="Book Antiqua" w:hAnsi="Book Antiqua" w:cs="Arial" w:hint="eastAsia"/>
          <w:sz w:val="24"/>
          <w:szCs w:val="24"/>
          <w:lang w:eastAsia="zh-CN"/>
        </w:rPr>
        <w:t>:</w:t>
      </w:r>
      <w:r w:rsidR="008D14E6" w:rsidRPr="00BA60F0">
        <w:rPr>
          <w:rFonts w:ascii="Book Antiqua" w:hAnsi="Book Antiqua" w:cs="Arial"/>
          <w:sz w:val="24"/>
          <w:szCs w:val="24"/>
        </w:rPr>
        <w:t xml:space="preserve"> 5-</w:t>
      </w:r>
      <w:r w:rsidR="008D14E6" w:rsidRPr="00BA60F0">
        <w:rPr>
          <w:rFonts w:ascii="Book Antiqua" w:hAnsi="Book Antiqua" w:cs="Arial"/>
          <w:sz w:val="24"/>
          <w:szCs w:val="24"/>
          <w:lang w:val="en-US"/>
        </w:rPr>
        <w:t>fluorouracil</w:t>
      </w:r>
      <w:r w:rsidR="008D14E6" w:rsidRPr="00BA60F0">
        <w:rPr>
          <w:rFonts w:ascii="Book Antiqua" w:hAnsi="Book Antiqua" w:cs="Arial"/>
          <w:sz w:val="24"/>
          <w:szCs w:val="24"/>
        </w:rPr>
        <w:t xml:space="preserve">; </w:t>
      </w:r>
      <w:r w:rsidR="008D14E6" w:rsidRPr="00BA60F0">
        <w:rPr>
          <w:rFonts w:ascii="Book Antiqua" w:hAnsi="Book Antiqua" w:cs="Arial"/>
          <w:sz w:val="24"/>
          <w:szCs w:val="24"/>
          <w:lang w:val="en-US"/>
        </w:rPr>
        <w:t>FA</w:t>
      </w:r>
      <w:r>
        <w:rPr>
          <w:rFonts w:ascii="Book Antiqua" w:hAnsi="Book Antiqua" w:cs="Arial" w:hint="eastAsia"/>
          <w:sz w:val="24"/>
          <w:szCs w:val="24"/>
          <w:lang w:eastAsia="zh-CN"/>
        </w:rPr>
        <w:t>:</w:t>
      </w:r>
      <w:r w:rsidR="008D14E6" w:rsidRPr="00BA60F0">
        <w:rPr>
          <w:rFonts w:ascii="Book Antiqua" w:hAnsi="Book Antiqua" w:cs="Arial"/>
          <w:sz w:val="24"/>
          <w:szCs w:val="24"/>
        </w:rPr>
        <w:t xml:space="preserve"> </w:t>
      </w:r>
      <w:r w:rsidR="008D14E6" w:rsidRPr="00BA60F0">
        <w:rPr>
          <w:rFonts w:ascii="Book Antiqua" w:hAnsi="Book Antiqua" w:cs="Arial"/>
          <w:sz w:val="24"/>
          <w:szCs w:val="24"/>
          <w:lang w:val="en-US"/>
        </w:rPr>
        <w:t>Leucovorin</w:t>
      </w:r>
      <w:r w:rsidR="008D14E6" w:rsidRPr="00BA60F0">
        <w:rPr>
          <w:rFonts w:ascii="Book Antiqua" w:hAnsi="Book Antiqua" w:cs="Arial"/>
          <w:sz w:val="24"/>
          <w:szCs w:val="24"/>
        </w:rPr>
        <w:t xml:space="preserve">; </w:t>
      </w:r>
      <w:r w:rsidR="008D14E6" w:rsidRPr="00BA60F0">
        <w:rPr>
          <w:rFonts w:ascii="Book Antiqua" w:hAnsi="Book Antiqua" w:cs="Arial"/>
          <w:sz w:val="24"/>
          <w:szCs w:val="24"/>
          <w:lang w:val="en-US"/>
        </w:rPr>
        <w:t>Iri</w:t>
      </w:r>
      <w:r>
        <w:rPr>
          <w:rFonts w:ascii="Book Antiqua" w:hAnsi="Book Antiqua" w:cs="Arial" w:hint="eastAsia"/>
          <w:sz w:val="24"/>
          <w:szCs w:val="24"/>
          <w:lang w:eastAsia="zh-CN"/>
        </w:rPr>
        <w:t>:</w:t>
      </w:r>
      <w:r w:rsidR="008D14E6" w:rsidRPr="00BA60F0">
        <w:rPr>
          <w:rFonts w:ascii="Book Antiqua" w:hAnsi="Book Antiqua" w:cs="Arial"/>
          <w:sz w:val="24"/>
          <w:szCs w:val="24"/>
        </w:rPr>
        <w:t xml:space="preserve"> </w:t>
      </w:r>
      <w:r w:rsidR="008D14E6" w:rsidRPr="00BA60F0">
        <w:rPr>
          <w:rFonts w:ascii="Book Antiqua" w:hAnsi="Book Antiqua" w:cs="Arial"/>
          <w:sz w:val="24"/>
          <w:szCs w:val="24"/>
          <w:lang w:val="en-US"/>
        </w:rPr>
        <w:t>Irinotecan</w:t>
      </w:r>
      <w:r w:rsidR="008D14E6" w:rsidRPr="00BA60F0">
        <w:rPr>
          <w:rFonts w:ascii="Book Antiqua" w:hAnsi="Book Antiqua" w:cs="Arial"/>
          <w:sz w:val="24"/>
          <w:szCs w:val="24"/>
        </w:rPr>
        <w:t xml:space="preserve">; </w:t>
      </w:r>
      <w:r w:rsidR="008D14E6" w:rsidRPr="00BA60F0">
        <w:rPr>
          <w:rFonts w:ascii="Book Antiqua" w:hAnsi="Book Antiqua" w:cs="Arial"/>
          <w:sz w:val="24"/>
          <w:szCs w:val="24"/>
          <w:lang w:val="en-US"/>
        </w:rPr>
        <w:t>Mtx</w:t>
      </w:r>
      <w:r>
        <w:rPr>
          <w:rFonts w:ascii="Book Antiqua" w:hAnsi="Book Antiqua" w:cs="Arial" w:hint="eastAsia"/>
          <w:sz w:val="24"/>
          <w:szCs w:val="24"/>
          <w:lang w:eastAsia="zh-CN"/>
        </w:rPr>
        <w:t>:</w:t>
      </w:r>
      <w:r w:rsidR="008D14E6" w:rsidRPr="00BA60F0">
        <w:rPr>
          <w:rFonts w:ascii="Book Antiqua" w:hAnsi="Book Antiqua" w:cs="Arial"/>
          <w:sz w:val="24"/>
          <w:szCs w:val="24"/>
        </w:rPr>
        <w:t xml:space="preserve"> </w:t>
      </w:r>
      <w:r w:rsidR="008D14E6" w:rsidRPr="00BA60F0">
        <w:rPr>
          <w:rFonts w:ascii="Book Antiqua" w:hAnsi="Book Antiqua" w:cs="Arial"/>
          <w:sz w:val="24"/>
          <w:szCs w:val="24"/>
          <w:lang w:val="en-US"/>
        </w:rPr>
        <w:t>Methotrexate</w:t>
      </w:r>
      <w:r w:rsidR="008D14E6" w:rsidRPr="00BA60F0">
        <w:rPr>
          <w:rFonts w:ascii="Book Antiqua" w:hAnsi="Book Antiqua" w:cs="Arial"/>
          <w:sz w:val="24"/>
          <w:szCs w:val="24"/>
        </w:rPr>
        <w:t xml:space="preserve">; </w:t>
      </w:r>
      <w:r w:rsidR="008D14E6" w:rsidRPr="00BA60F0">
        <w:rPr>
          <w:rFonts w:ascii="Book Antiqua" w:hAnsi="Book Antiqua" w:cs="Arial"/>
          <w:sz w:val="24"/>
          <w:szCs w:val="24"/>
          <w:lang w:val="en-US"/>
        </w:rPr>
        <w:t>MMC</w:t>
      </w:r>
      <w:r>
        <w:rPr>
          <w:rFonts w:ascii="Book Antiqua" w:hAnsi="Book Antiqua" w:cs="Arial" w:hint="eastAsia"/>
          <w:sz w:val="24"/>
          <w:szCs w:val="24"/>
          <w:lang w:eastAsia="zh-CN"/>
        </w:rPr>
        <w:t>:</w:t>
      </w:r>
      <w:r w:rsidR="008D14E6" w:rsidRPr="00BA60F0">
        <w:rPr>
          <w:rFonts w:ascii="Book Antiqua" w:hAnsi="Book Antiqua" w:cs="Arial"/>
          <w:sz w:val="24"/>
          <w:szCs w:val="24"/>
        </w:rPr>
        <w:t xml:space="preserve"> </w:t>
      </w:r>
      <w:r w:rsidR="008D14E6" w:rsidRPr="00BA60F0">
        <w:rPr>
          <w:rFonts w:ascii="Book Antiqua" w:hAnsi="Book Antiqua" w:cs="Arial"/>
          <w:sz w:val="24"/>
          <w:szCs w:val="24"/>
          <w:lang w:val="en-US"/>
        </w:rPr>
        <w:t>MitomycinC</w:t>
      </w:r>
      <w:r>
        <w:rPr>
          <w:rFonts w:ascii="Book Antiqua" w:hAnsi="Book Antiqua" w:cs="Arial"/>
          <w:sz w:val="24"/>
          <w:szCs w:val="24"/>
        </w:rPr>
        <w:t>;</w:t>
      </w:r>
      <w:r w:rsidR="008D14E6" w:rsidRPr="00BA60F0">
        <w:rPr>
          <w:rFonts w:ascii="Book Antiqua" w:hAnsi="Book Antiqua" w:cs="Arial"/>
          <w:sz w:val="24"/>
          <w:szCs w:val="24"/>
        </w:rPr>
        <w:t xml:space="preserve"> </w:t>
      </w:r>
      <w:r w:rsidR="008D14E6" w:rsidRPr="00BA60F0">
        <w:rPr>
          <w:rFonts w:ascii="Book Antiqua" w:hAnsi="Book Antiqua" w:cs="Arial"/>
          <w:sz w:val="24"/>
          <w:szCs w:val="24"/>
          <w:lang w:val="en-US"/>
        </w:rPr>
        <w:t>Ox</w:t>
      </w:r>
      <w:r>
        <w:rPr>
          <w:rFonts w:ascii="Book Antiqua" w:hAnsi="Book Antiqua" w:cs="Arial" w:hint="eastAsia"/>
          <w:sz w:val="24"/>
          <w:szCs w:val="24"/>
          <w:lang w:eastAsia="zh-CN"/>
        </w:rPr>
        <w:t>:</w:t>
      </w:r>
      <w:r w:rsidR="008D14E6" w:rsidRPr="00BA60F0">
        <w:rPr>
          <w:rFonts w:ascii="Book Antiqua" w:hAnsi="Book Antiqua" w:cs="Arial"/>
          <w:sz w:val="24"/>
          <w:szCs w:val="24"/>
        </w:rPr>
        <w:t xml:space="preserve"> </w:t>
      </w:r>
      <w:r w:rsidR="008D14E6" w:rsidRPr="00BA60F0">
        <w:rPr>
          <w:rFonts w:ascii="Book Antiqua" w:hAnsi="Book Antiqua" w:cs="Arial"/>
          <w:sz w:val="24"/>
          <w:szCs w:val="24"/>
          <w:lang w:val="en-US"/>
        </w:rPr>
        <w:t>Oxaliplatin</w:t>
      </w:r>
      <w:r w:rsidR="008D14E6" w:rsidRPr="00BA60F0">
        <w:rPr>
          <w:rFonts w:ascii="Book Antiqua" w:hAnsi="Book Antiqua" w:cs="Arial"/>
          <w:sz w:val="24"/>
          <w:szCs w:val="24"/>
        </w:rPr>
        <w:t xml:space="preserve">; </w:t>
      </w:r>
      <w:r w:rsidR="008D14E6" w:rsidRPr="00BA60F0">
        <w:rPr>
          <w:rFonts w:ascii="Book Antiqua" w:hAnsi="Book Antiqua" w:cs="Arial"/>
          <w:sz w:val="24"/>
          <w:szCs w:val="24"/>
          <w:lang w:val="en-US"/>
        </w:rPr>
        <w:t>P</w:t>
      </w:r>
      <w:r>
        <w:rPr>
          <w:rFonts w:ascii="Book Antiqua" w:hAnsi="Book Antiqua" w:cs="Arial" w:hint="eastAsia"/>
          <w:sz w:val="24"/>
          <w:szCs w:val="24"/>
          <w:lang w:eastAsia="zh-CN"/>
        </w:rPr>
        <w:t>:</w:t>
      </w:r>
      <w:r w:rsidR="008D14E6" w:rsidRPr="00BA60F0">
        <w:rPr>
          <w:rFonts w:ascii="Book Antiqua" w:hAnsi="Book Antiqua" w:cs="Arial"/>
          <w:sz w:val="24"/>
          <w:szCs w:val="24"/>
        </w:rPr>
        <w:t xml:space="preserve"> </w:t>
      </w:r>
      <w:r w:rsidR="008D14E6" w:rsidRPr="00BA60F0">
        <w:rPr>
          <w:rFonts w:ascii="Book Antiqua" w:hAnsi="Book Antiqua" w:cs="Arial"/>
          <w:sz w:val="24"/>
          <w:szCs w:val="24"/>
          <w:lang w:val="en-US"/>
        </w:rPr>
        <w:t>Cisplatin</w:t>
      </w:r>
      <w:r w:rsidR="008D14E6" w:rsidRPr="00BA60F0">
        <w:rPr>
          <w:rFonts w:ascii="Book Antiqua" w:hAnsi="Book Antiqua" w:cs="Arial"/>
          <w:sz w:val="24"/>
          <w:szCs w:val="24"/>
        </w:rPr>
        <w:t xml:space="preserve">; </w:t>
      </w:r>
      <w:r w:rsidR="008D14E6" w:rsidRPr="00BA60F0">
        <w:rPr>
          <w:rFonts w:ascii="Book Antiqua" w:hAnsi="Book Antiqua" w:cs="Arial"/>
          <w:sz w:val="24"/>
          <w:szCs w:val="24"/>
          <w:lang w:val="en-US"/>
        </w:rPr>
        <w:t>Ptx</w:t>
      </w:r>
      <w:r>
        <w:rPr>
          <w:rFonts w:ascii="Book Antiqua" w:hAnsi="Book Antiqua" w:cs="Arial" w:hint="eastAsia"/>
          <w:sz w:val="24"/>
          <w:szCs w:val="24"/>
          <w:lang w:eastAsia="zh-CN"/>
        </w:rPr>
        <w:t>:</w:t>
      </w:r>
      <w:r w:rsidR="008D14E6" w:rsidRPr="00BA60F0">
        <w:rPr>
          <w:rFonts w:ascii="Book Antiqua" w:hAnsi="Book Antiqua" w:cs="Arial"/>
          <w:sz w:val="24"/>
          <w:szCs w:val="24"/>
        </w:rPr>
        <w:t xml:space="preserve"> </w:t>
      </w:r>
      <w:r w:rsidR="008D14E6" w:rsidRPr="00BA60F0">
        <w:rPr>
          <w:rFonts w:ascii="Book Antiqua" w:hAnsi="Book Antiqua" w:cs="Arial"/>
          <w:sz w:val="24"/>
          <w:szCs w:val="24"/>
          <w:lang w:val="en-US"/>
        </w:rPr>
        <w:t>Paclitaxel</w:t>
      </w:r>
      <w:r w:rsidR="008D14E6" w:rsidRPr="00BA60F0">
        <w:rPr>
          <w:rFonts w:ascii="Book Antiqua" w:hAnsi="Book Antiqua" w:cs="Arial"/>
          <w:sz w:val="24"/>
          <w:szCs w:val="24"/>
        </w:rPr>
        <w:t xml:space="preserve">; </w:t>
      </w:r>
      <w:r w:rsidR="008D14E6" w:rsidRPr="00BA60F0">
        <w:rPr>
          <w:rFonts w:ascii="Book Antiqua" w:hAnsi="Book Antiqua" w:cs="Arial"/>
          <w:sz w:val="24"/>
          <w:szCs w:val="24"/>
          <w:lang w:val="en-US"/>
        </w:rPr>
        <w:t>Sor</w:t>
      </w:r>
      <w:r>
        <w:rPr>
          <w:rFonts w:ascii="Book Antiqua" w:hAnsi="Book Antiqua" w:cs="Arial" w:hint="eastAsia"/>
          <w:sz w:val="24"/>
          <w:szCs w:val="24"/>
          <w:lang w:eastAsia="zh-CN"/>
        </w:rPr>
        <w:t>:</w:t>
      </w:r>
      <w:r w:rsidR="008D14E6" w:rsidRPr="00BA60F0">
        <w:rPr>
          <w:rFonts w:ascii="Book Antiqua" w:hAnsi="Book Antiqua" w:cs="Arial"/>
          <w:sz w:val="24"/>
          <w:szCs w:val="24"/>
        </w:rPr>
        <w:t xml:space="preserve"> </w:t>
      </w:r>
      <w:r w:rsidR="008D14E6" w:rsidRPr="00BA60F0">
        <w:rPr>
          <w:rFonts w:ascii="Book Antiqua" w:hAnsi="Book Antiqua" w:cs="Arial"/>
          <w:sz w:val="24"/>
          <w:szCs w:val="24"/>
          <w:lang w:val="en-US"/>
        </w:rPr>
        <w:t>Sorafenib</w:t>
      </w:r>
      <w:r>
        <w:rPr>
          <w:rFonts w:ascii="Book Antiqua" w:hAnsi="Book Antiqua" w:cs="Arial" w:hint="eastAsia"/>
          <w:sz w:val="24"/>
          <w:szCs w:val="24"/>
          <w:lang w:eastAsia="zh-CN"/>
        </w:rPr>
        <w:t xml:space="preserve">; </w:t>
      </w:r>
      <w:r w:rsidR="008D14E6" w:rsidRPr="00BA60F0">
        <w:rPr>
          <w:rFonts w:ascii="Book Antiqua" w:hAnsi="Book Antiqua" w:cs="Arial"/>
          <w:sz w:val="24"/>
          <w:szCs w:val="24"/>
          <w:lang w:val="en-US"/>
        </w:rPr>
        <w:t>ECOG</w:t>
      </w:r>
      <w:r>
        <w:rPr>
          <w:rFonts w:ascii="Book Antiqua" w:hAnsi="Book Antiqua" w:cs="Arial" w:hint="eastAsia"/>
          <w:sz w:val="24"/>
          <w:szCs w:val="24"/>
          <w:lang w:val="en-US" w:eastAsia="zh-CN"/>
        </w:rPr>
        <w:t>:</w:t>
      </w:r>
      <w:r w:rsidR="008D14E6" w:rsidRPr="00BA60F0">
        <w:rPr>
          <w:rFonts w:ascii="Book Antiqua" w:hAnsi="Book Antiqua" w:cs="Arial"/>
          <w:sz w:val="24"/>
          <w:szCs w:val="24"/>
          <w:lang w:val="en-US"/>
        </w:rPr>
        <w:t xml:space="preserve"> Eastern</w:t>
      </w:r>
      <w:r w:rsidR="001B7B35" w:rsidRPr="00BA60F0">
        <w:rPr>
          <w:rFonts w:ascii="Book Antiqua" w:hAnsi="Book Antiqua" w:cs="Arial"/>
          <w:sz w:val="24"/>
          <w:szCs w:val="24"/>
          <w:lang w:val="en-US"/>
        </w:rPr>
        <w:t xml:space="preserve"> co-operative oncology g</w:t>
      </w:r>
      <w:r w:rsidR="008D14E6" w:rsidRPr="00BA60F0">
        <w:rPr>
          <w:rFonts w:ascii="Book Antiqua" w:hAnsi="Book Antiqua" w:cs="Arial"/>
          <w:sz w:val="24"/>
          <w:szCs w:val="24"/>
          <w:lang w:val="en-US"/>
        </w:rPr>
        <w:t>roup; KPS</w:t>
      </w:r>
      <w:r>
        <w:rPr>
          <w:rFonts w:ascii="Book Antiqua" w:hAnsi="Book Antiqua" w:cs="Arial" w:hint="eastAsia"/>
          <w:sz w:val="24"/>
          <w:szCs w:val="24"/>
          <w:lang w:val="en-US" w:eastAsia="zh-CN"/>
        </w:rPr>
        <w:t>:</w:t>
      </w:r>
      <w:r w:rsidR="008D14E6" w:rsidRPr="00BA60F0">
        <w:rPr>
          <w:rFonts w:ascii="Book Antiqua" w:hAnsi="Book Antiqua" w:cs="Arial"/>
          <w:sz w:val="24"/>
          <w:szCs w:val="24"/>
          <w:lang w:val="en-US"/>
        </w:rPr>
        <w:t xml:space="preserve"> Karnoffsky </w:t>
      </w:r>
      <w:r w:rsidR="001B7B35" w:rsidRPr="00BA60F0">
        <w:rPr>
          <w:rFonts w:ascii="Book Antiqua" w:hAnsi="Book Antiqua" w:cs="Arial"/>
          <w:sz w:val="24"/>
          <w:szCs w:val="24"/>
          <w:lang w:val="en-US"/>
        </w:rPr>
        <w:t>pe</w:t>
      </w:r>
      <w:r w:rsidR="008D14E6" w:rsidRPr="00BA60F0">
        <w:rPr>
          <w:rFonts w:ascii="Book Antiqua" w:hAnsi="Book Antiqua" w:cs="Arial"/>
          <w:sz w:val="24"/>
          <w:szCs w:val="24"/>
          <w:lang w:val="en-US"/>
        </w:rPr>
        <w:t>rformance</w:t>
      </w:r>
      <w:r w:rsidR="001B7B35" w:rsidRPr="00BA60F0">
        <w:rPr>
          <w:rFonts w:ascii="Book Antiqua" w:hAnsi="Book Antiqua" w:cs="Arial"/>
          <w:sz w:val="24"/>
          <w:szCs w:val="24"/>
          <w:lang w:val="en-US"/>
        </w:rPr>
        <w:t xml:space="preserve"> st</w:t>
      </w:r>
      <w:r w:rsidR="008D14E6" w:rsidRPr="00BA60F0">
        <w:rPr>
          <w:rFonts w:ascii="Book Antiqua" w:hAnsi="Book Antiqua" w:cs="Arial"/>
          <w:sz w:val="24"/>
          <w:szCs w:val="24"/>
          <w:lang w:val="en-US"/>
        </w:rPr>
        <w:t>atus; NR</w:t>
      </w:r>
      <w:r>
        <w:rPr>
          <w:rFonts w:ascii="Book Antiqua" w:hAnsi="Book Antiqua" w:cs="Arial" w:hint="eastAsia"/>
          <w:sz w:val="24"/>
          <w:szCs w:val="24"/>
          <w:lang w:val="en-US" w:eastAsia="zh-CN"/>
        </w:rPr>
        <w:t>:</w:t>
      </w:r>
      <w:r w:rsidR="008D14E6" w:rsidRPr="00BA60F0">
        <w:rPr>
          <w:rFonts w:ascii="Book Antiqua" w:hAnsi="Book Antiqua" w:cs="Arial"/>
          <w:sz w:val="24"/>
          <w:szCs w:val="24"/>
          <w:lang w:val="en-US"/>
        </w:rPr>
        <w:t xml:space="preserve"> Not reported; ORR</w:t>
      </w:r>
      <w:r>
        <w:rPr>
          <w:rFonts w:ascii="Book Antiqua" w:hAnsi="Book Antiqua" w:cs="Arial" w:hint="eastAsia"/>
          <w:sz w:val="24"/>
          <w:szCs w:val="24"/>
          <w:lang w:val="en-US" w:eastAsia="zh-CN"/>
        </w:rPr>
        <w:t>:</w:t>
      </w:r>
      <w:r w:rsidR="008D14E6" w:rsidRPr="00BA60F0">
        <w:rPr>
          <w:rFonts w:ascii="Book Antiqua" w:hAnsi="Book Antiqua" w:cs="Arial"/>
          <w:sz w:val="24"/>
          <w:szCs w:val="24"/>
          <w:lang w:val="en-US"/>
        </w:rPr>
        <w:t xml:space="preserve"> Objective </w:t>
      </w:r>
      <w:r w:rsidR="001B7B35" w:rsidRPr="00BA60F0">
        <w:rPr>
          <w:rFonts w:ascii="Book Antiqua" w:hAnsi="Book Antiqua" w:cs="Arial"/>
          <w:sz w:val="24"/>
          <w:szCs w:val="24"/>
          <w:lang w:val="en-US"/>
        </w:rPr>
        <w:t>response r</w:t>
      </w:r>
      <w:r w:rsidR="008D14E6" w:rsidRPr="00BA60F0">
        <w:rPr>
          <w:rFonts w:ascii="Book Antiqua" w:hAnsi="Book Antiqua" w:cs="Arial"/>
          <w:sz w:val="24"/>
          <w:szCs w:val="24"/>
          <w:lang w:val="en-US"/>
        </w:rPr>
        <w:t>ate; OS</w:t>
      </w:r>
      <w:r>
        <w:rPr>
          <w:rFonts w:ascii="Book Antiqua" w:hAnsi="Book Antiqua" w:cs="Arial" w:hint="eastAsia"/>
          <w:sz w:val="24"/>
          <w:szCs w:val="24"/>
          <w:lang w:val="en-US" w:eastAsia="zh-CN"/>
        </w:rPr>
        <w:t>:</w:t>
      </w:r>
      <w:r w:rsidR="008D14E6" w:rsidRPr="00BA60F0">
        <w:rPr>
          <w:rFonts w:ascii="Book Antiqua" w:hAnsi="Book Antiqua" w:cs="Arial"/>
          <w:sz w:val="24"/>
          <w:szCs w:val="24"/>
          <w:lang w:val="en-US"/>
        </w:rPr>
        <w:t xml:space="preserve"> Overall-</w:t>
      </w:r>
      <w:r>
        <w:rPr>
          <w:rFonts w:ascii="Book Antiqua" w:hAnsi="Book Antiqua" w:cs="Arial"/>
          <w:sz w:val="24"/>
          <w:szCs w:val="24"/>
          <w:lang w:val="en-US"/>
        </w:rPr>
        <w:t>survival; Pts</w:t>
      </w:r>
      <w:r>
        <w:rPr>
          <w:rFonts w:ascii="Book Antiqua" w:hAnsi="Book Antiqua" w:cs="Arial" w:hint="eastAsia"/>
          <w:sz w:val="24"/>
          <w:szCs w:val="24"/>
          <w:lang w:val="en-US" w:eastAsia="zh-CN"/>
        </w:rPr>
        <w:t>:</w:t>
      </w:r>
      <w:r w:rsidR="008D14E6" w:rsidRPr="00BA60F0">
        <w:rPr>
          <w:rFonts w:ascii="Book Antiqua" w:hAnsi="Book Antiqua" w:cs="Arial"/>
          <w:sz w:val="24"/>
          <w:szCs w:val="24"/>
          <w:lang w:val="en-US"/>
        </w:rPr>
        <w:t xml:space="preserve"> Patients; PR</w:t>
      </w:r>
      <w:r>
        <w:rPr>
          <w:rFonts w:ascii="Book Antiqua" w:hAnsi="Book Antiqua" w:cs="Arial" w:hint="eastAsia"/>
          <w:sz w:val="24"/>
          <w:szCs w:val="24"/>
          <w:lang w:val="en-US" w:eastAsia="zh-CN"/>
        </w:rPr>
        <w:t>:</w:t>
      </w:r>
      <w:r w:rsidR="008D14E6" w:rsidRPr="00BA60F0">
        <w:rPr>
          <w:rFonts w:ascii="Book Antiqua" w:hAnsi="Book Antiqua" w:cs="Arial"/>
          <w:sz w:val="24"/>
          <w:szCs w:val="24"/>
          <w:lang w:val="en-US"/>
        </w:rPr>
        <w:t xml:space="preserve"> Partial </w:t>
      </w:r>
      <w:r w:rsidR="001B7B35" w:rsidRPr="00BA60F0">
        <w:rPr>
          <w:rFonts w:ascii="Book Antiqua" w:hAnsi="Book Antiqua" w:cs="Arial"/>
          <w:sz w:val="24"/>
          <w:szCs w:val="24"/>
          <w:lang w:val="en-US"/>
        </w:rPr>
        <w:t>res</w:t>
      </w:r>
      <w:r w:rsidR="008D14E6" w:rsidRPr="00BA60F0">
        <w:rPr>
          <w:rFonts w:ascii="Book Antiqua" w:hAnsi="Book Antiqua" w:cs="Arial"/>
          <w:sz w:val="24"/>
          <w:szCs w:val="24"/>
          <w:lang w:val="en-US"/>
        </w:rPr>
        <w:t>ponse; PFS</w:t>
      </w:r>
      <w:r>
        <w:rPr>
          <w:rFonts w:ascii="Book Antiqua" w:hAnsi="Book Antiqua" w:cs="Arial" w:hint="eastAsia"/>
          <w:sz w:val="24"/>
          <w:szCs w:val="24"/>
          <w:lang w:val="en-US" w:eastAsia="zh-CN"/>
        </w:rPr>
        <w:t>:</w:t>
      </w:r>
      <w:r w:rsidR="008D14E6" w:rsidRPr="00BA60F0">
        <w:rPr>
          <w:rFonts w:ascii="Book Antiqua" w:hAnsi="Book Antiqua" w:cs="Arial"/>
          <w:sz w:val="24"/>
          <w:szCs w:val="24"/>
          <w:lang w:val="en-US"/>
        </w:rPr>
        <w:t xml:space="preserve"> Progression-free survival; R</w:t>
      </w:r>
      <w:r>
        <w:rPr>
          <w:rFonts w:ascii="Book Antiqua" w:hAnsi="Book Antiqua" w:cs="Arial" w:hint="eastAsia"/>
          <w:sz w:val="24"/>
          <w:szCs w:val="24"/>
          <w:lang w:val="en-US" w:eastAsia="zh-CN"/>
        </w:rPr>
        <w:t>:</w:t>
      </w:r>
      <w:r w:rsidR="008D14E6" w:rsidRPr="00BA60F0">
        <w:rPr>
          <w:rFonts w:ascii="Book Antiqua" w:hAnsi="Book Antiqua" w:cs="Arial"/>
          <w:sz w:val="24"/>
          <w:szCs w:val="24"/>
          <w:lang w:val="en-US"/>
        </w:rPr>
        <w:t xml:space="preserve"> Range; SD</w:t>
      </w:r>
      <w:r>
        <w:rPr>
          <w:rFonts w:ascii="Book Antiqua" w:hAnsi="Book Antiqua" w:cs="Arial" w:hint="eastAsia"/>
          <w:sz w:val="24"/>
          <w:szCs w:val="24"/>
          <w:lang w:val="en-US" w:eastAsia="zh-CN"/>
        </w:rPr>
        <w:t>:</w:t>
      </w:r>
      <w:r>
        <w:rPr>
          <w:rFonts w:ascii="Book Antiqua" w:hAnsi="Book Antiqua" w:cs="Arial"/>
          <w:sz w:val="24"/>
          <w:szCs w:val="24"/>
          <w:lang w:val="en-US"/>
        </w:rPr>
        <w:t xml:space="preserve"> Stable </w:t>
      </w:r>
      <w:r w:rsidR="001B7B35">
        <w:rPr>
          <w:rFonts w:ascii="Book Antiqua" w:hAnsi="Book Antiqua" w:cs="Arial"/>
          <w:sz w:val="24"/>
          <w:szCs w:val="24"/>
          <w:lang w:val="en-US"/>
        </w:rPr>
        <w:t>di</w:t>
      </w:r>
      <w:r>
        <w:rPr>
          <w:rFonts w:ascii="Book Antiqua" w:hAnsi="Book Antiqua" w:cs="Arial"/>
          <w:sz w:val="24"/>
          <w:szCs w:val="24"/>
          <w:lang w:val="en-US"/>
        </w:rPr>
        <w:t>sease; TTP</w:t>
      </w:r>
      <w:r>
        <w:rPr>
          <w:rFonts w:ascii="Book Antiqua" w:hAnsi="Book Antiqua" w:cs="Arial" w:hint="eastAsia"/>
          <w:sz w:val="24"/>
          <w:szCs w:val="24"/>
          <w:lang w:val="en-US" w:eastAsia="zh-CN"/>
        </w:rPr>
        <w:t>:</w:t>
      </w:r>
      <w:r w:rsidR="008D14E6" w:rsidRPr="00BA60F0">
        <w:rPr>
          <w:rFonts w:ascii="Book Antiqua" w:hAnsi="Book Antiqua" w:cs="Arial"/>
          <w:sz w:val="24"/>
          <w:szCs w:val="24"/>
          <w:lang w:val="en-US"/>
        </w:rPr>
        <w:t xml:space="preserve"> Time-to-progression; UNK</w:t>
      </w:r>
      <w:r>
        <w:rPr>
          <w:rFonts w:ascii="Book Antiqua" w:hAnsi="Book Antiqua" w:cs="Arial" w:hint="eastAsia"/>
          <w:sz w:val="24"/>
          <w:szCs w:val="24"/>
          <w:lang w:val="en-US" w:eastAsia="zh-CN"/>
        </w:rPr>
        <w:t>:</w:t>
      </w:r>
      <w:r w:rsidR="008D14E6" w:rsidRPr="00BA60F0">
        <w:rPr>
          <w:rFonts w:ascii="Book Antiqua" w:hAnsi="Book Antiqua" w:cs="Arial"/>
          <w:sz w:val="24"/>
          <w:szCs w:val="24"/>
          <w:lang w:val="en-US"/>
        </w:rPr>
        <w:t xml:space="preserve"> Unknown; A</w:t>
      </w:r>
      <w:r>
        <w:rPr>
          <w:rFonts w:ascii="Book Antiqua" w:hAnsi="Book Antiqua" w:cs="Arial" w:hint="eastAsia"/>
          <w:sz w:val="24"/>
          <w:szCs w:val="24"/>
          <w:lang w:val="en-US" w:eastAsia="zh-CN"/>
        </w:rPr>
        <w:t>:</w:t>
      </w:r>
      <w:r w:rsidR="008D14E6" w:rsidRPr="00BA60F0">
        <w:rPr>
          <w:rFonts w:ascii="Book Antiqua" w:hAnsi="Book Antiqua" w:cs="Arial"/>
          <w:sz w:val="24"/>
          <w:szCs w:val="24"/>
          <w:lang w:val="en-US"/>
        </w:rPr>
        <w:t xml:space="preserve"> Anemia; As</w:t>
      </w:r>
      <w:r>
        <w:rPr>
          <w:rFonts w:ascii="Book Antiqua" w:hAnsi="Book Antiqua" w:cs="Arial" w:hint="eastAsia"/>
          <w:sz w:val="24"/>
          <w:szCs w:val="24"/>
          <w:lang w:val="en-US" w:eastAsia="zh-CN"/>
        </w:rPr>
        <w:t>:</w:t>
      </w:r>
      <w:r w:rsidR="008D14E6" w:rsidRPr="00BA60F0">
        <w:rPr>
          <w:rFonts w:ascii="Book Antiqua" w:hAnsi="Book Antiqua" w:cs="Arial"/>
          <w:sz w:val="24"/>
          <w:szCs w:val="24"/>
          <w:lang w:val="en-US"/>
        </w:rPr>
        <w:t xml:space="preserve"> Asthenia; Ano</w:t>
      </w:r>
      <w:r>
        <w:rPr>
          <w:rFonts w:ascii="Book Antiqua" w:hAnsi="Book Antiqua" w:cs="Arial" w:hint="eastAsia"/>
          <w:sz w:val="24"/>
          <w:szCs w:val="24"/>
          <w:lang w:val="en-US" w:eastAsia="zh-CN"/>
        </w:rPr>
        <w:t>:</w:t>
      </w:r>
      <w:r w:rsidR="008D14E6" w:rsidRPr="00BA60F0">
        <w:rPr>
          <w:rFonts w:ascii="Book Antiqua" w:hAnsi="Book Antiqua" w:cs="Arial"/>
          <w:sz w:val="24"/>
          <w:szCs w:val="24"/>
          <w:lang w:val="en-US"/>
        </w:rPr>
        <w:t xml:space="preserve"> Anorexia; D</w:t>
      </w:r>
      <w:r>
        <w:rPr>
          <w:rFonts w:ascii="Book Antiqua" w:hAnsi="Book Antiqua" w:cs="Arial" w:hint="eastAsia"/>
          <w:sz w:val="24"/>
          <w:szCs w:val="24"/>
          <w:lang w:val="en-US" w:eastAsia="zh-CN"/>
        </w:rPr>
        <w:t>:</w:t>
      </w:r>
      <w:r w:rsidR="008D14E6" w:rsidRPr="00BA60F0">
        <w:rPr>
          <w:rFonts w:ascii="Book Antiqua" w:hAnsi="Book Antiqua" w:cs="Arial"/>
          <w:sz w:val="24"/>
          <w:szCs w:val="24"/>
          <w:lang w:val="en-US"/>
        </w:rPr>
        <w:t xml:space="preserve"> Diarrhea; E</w:t>
      </w:r>
      <w:r>
        <w:rPr>
          <w:rFonts w:ascii="Book Antiqua" w:hAnsi="Book Antiqua" w:cs="Arial" w:hint="eastAsia"/>
          <w:sz w:val="24"/>
          <w:szCs w:val="24"/>
          <w:lang w:val="en-US" w:eastAsia="zh-CN"/>
        </w:rPr>
        <w:t>:</w:t>
      </w:r>
      <w:r w:rsidR="008D14E6" w:rsidRPr="00BA60F0">
        <w:rPr>
          <w:rFonts w:ascii="Book Antiqua" w:hAnsi="Book Antiqua" w:cs="Arial"/>
          <w:sz w:val="24"/>
          <w:szCs w:val="24"/>
          <w:lang w:val="en-US"/>
        </w:rPr>
        <w:t xml:space="preserve"> Emesis;  FN</w:t>
      </w:r>
      <w:r>
        <w:rPr>
          <w:rFonts w:ascii="Book Antiqua" w:hAnsi="Book Antiqua" w:cs="Arial" w:hint="eastAsia"/>
          <w:sz w:val="24"/>
          <w:szCs w:val="24"/>
          <w:lang w:val="en-US" w:eastAsia="zh-CN"/>
        </w:rPr>
        <w:t>:</w:t>
      </w:r>
      <w:r w:rsidR="008D14E6" w:rsidRPr="00BA60F0">
        <w:rPr>
          <w:rFonts w:ascii="Book Antiqua" w:hAnsi="Book Antiqua" w:cs="Arial"/>
          <w:sz w:val="24"/>
          <w:szCs w:val="24"/>
          <w:lang w:val="en-US"/>
        </w:rPr>
        <w:t xml:space="preserve"> Febrile neutropenia; HFS</w:t>
      </w:r>
      <w:r>
        <w:rPr>
          <w:rFonts w:ascii="Book Antiqua" w:hAnsi="Book Antiqua" w:cs="Arial" w:hint="eastAsia"/>
          <w:sz w:val="24"/>
          <w:szCs w:val="24"/>
          <w:lang w:val="en-US" w:eastAsia="zh-CN"/>
        </w:rPr>
        <w:t>:</w:t>
      </w:r>
      <w:r w:rsidR="008D14E6" w:rsidRPr="00BA60F0">
        <w:rPr>
          <w:rFonts w:ascii="Book Antiqua" w:hAnsi="Book Antiqua" w:cs="Arial"/>
          <w:sz w:val="24"/>
          <w:szCs w:val="24"/>
          <w:lang w:val="en-US"/>
        </w:rPr>
        <w:t xml:space="preserve"> Hand</w:t>
      </w:r>
      <w:r w:rsidR="001B7B35" w:rsidRPr="00BA60F0">
        <w:rPr>
          <w:rFonts w:ascii="Book Antiqua" w:hAnsi="Book Antiqua" w:cs="Arial"/>
          <w:sz w:val="24"/>
          <w:szCs w:val="24"/>
          <w:lang w:val="en-US"/>
        </w:rPr>
        <w:t>-foot syndr</w:t>
      </w:r>
      <w:r w:rsidR="008D14E6" w:rsidRPr="00BA60F0">
        <w:rPr>
          <w:rFonts w:ascii="Book Antiqua" w:hAnsi="Book Antiqua" w:cs="Arial"/>
          <w:sz w:val="24"/>
          <w:szCs w:val="24"/>
          <w:lang w:val="en-US"/>
        </w:rPr>
        <w:t>ome; I</w:t>
      </w:r>
      <w:r>
        <w:rPr>
          <w:rFonts w:ascii="Book Antiqua" w:hAnsi="Book Antiqua" w:cs="Arial" w:hint="eastAsia"/>
          <w:sz w:val="24"/>
          <w:szCs w:val="24"/>
          <w:lang w:val="en-US" w:eastAsia="zh-CN"/>
        </w:rPr>
        <w:t>:</w:t>
      </w:r>
      <w:r w:rsidR="008D14E6" w:rsidRPr="00BA60F0">
        <w:rPr>
          <w:rFonts w:ascii="Book Antiqua" w:hAnsi="Book Antiqua" w:cs="Arial"/>
          <w:sz w:val="24"/>
          <w:szCs w:val="24"/>
          <w:lang w:val="en-US"/>
        </w:rPr>
        <w:t xml:space="preserve"> Infection; L</w:t>
      </w:r>
      <w:r>
        <w:rPr>
          <w:rFonts w:ascii="Book Antiqua" w:hAnsi="Book Antiqua" w:cs="Arial" w:hint="eastAsia"/>
          <w:sz w:val="24"/>
          <w:szCs w:val="24"/>
          <w:lang w:val="en-US" w:eastAsia="zh-CN"/>
        </w:rPr>
        <w:t>:</w:t>
      </w:r>
      <w:r>
        <w:rPr>
          <w:rFonts w:ascii="Book Antiqua" w:hAnsi="Book Antiqua" w:cs="Arial"/>
          <w:sz w:val="24"/>
          <w:szCs w:val="24"/>
          <w:lang w:val="en-US"/>
        </w:rPr>
        <w:t xml:space="preserve"> Leucocytopenia; M</w:t>
      </w:r>
      <w:r>
        <w:rPr>
          <w:rFonts w:ascii="Book Antiqua" w:hAnsi="Book Antiqua" w:cs="Arial" w:hint="eastAsia"/>
          <w:sz w:val="24"/>
          <w:szCs w:val="24"/>
          <w:lang w:val="en-US" w:eastAsia="zh-CN"/>
        </w:rPr>
        <w:t>:</w:t>
      </w:r>
      <w:r w:rsidR="008D14E6" w:rsidRPr="00BA60F0">
        <w:rPr>
          <w:rFonts w:ascii="Book Antiqua" w:hAnsi="Book Antiqua" w:cs="Arial"/>
          <w:sz w:val="24"/>
          <w:szCs w:val="24"/>
          <w:lang w:val="en-US"/>
        </w:rPr>
        <w:t xml:space="preserve"> Mucositis; N</w:t>
      </w:r>
      <w:r>
        <w:rPr>
          <w:rFonts w:ascii="Book Antiqua" w:hAnsi="Book Antiqua" w:cs="Arial" w:hint="eastAsia"/>
          <w:sz w:val="24"/>
          <w:szCs w:val="24"/>
          <w:lang w:val="en-US" w:eastAsia="zh-CN"/>
        </w:rPr>
        <w:t>:</w:t>
      </w:r>
      <w:r w:rsidR="008D14E6" w:rsidRPr="00BA60F0">
        <w:rPr>
          <w:rFonts w:ascii="Book Antiqua" w:hAnsi="Book Antiqua" w:cs="Arial"/>
          <w:sz w:val="24"/>
          <w:szCs w:val="24"/>
          <w:lang w:val="en-US"/>
        </w:rPr>
        <w:t xml:space="preserve"> Neutropenia; Neu</w:t>
      </w:r>
      <w:r>
        <w:rPr>
          <w:rFonts w:ascii="Book Antiqua" w:hAnsi="Book Antiqua" w:cs="Arial" w:hint="eastAsia"/>
          <w:sz w:val="24"/>
          <w:szCs w:val="24"/>
          <w:lang w:val="en-US" w:eastAsia="zh-CN"/>
        </w:rPr>
        <w:t>:</w:t>
      </w:r>
      <w:r w:rsidR="008D14E6" w:rsidRPr="00BA60F0">
        <w:rPr>
          <w:rFonts w:ascii="Book Antiqua" w:hAnsi="Book Antiqua" w:cs="Arial"/>
          <w:sz w:val="24"/>
          <w:szCs w:val="24"/>
          <w:lang w:val="en-US"/>
        </w:rPr>
        <w:t xml:space="preserve"> Senso</w:t>
      </w:r>
      <w:r w:rsidR="001B7B35" w:rsidRPr="00BA60F0">
        <w:rPr>
          <w:rFonts w:ascii="Book Antiqua" w:hAnsi="Book Antiqua" w:cs="Arial"/>
          <w:sz w:val="24"/>
          <w:szCs w:val="24"/>
          <w:lang w:val="en-US"/>
        </w:rPr>
        <w:t>ry neu</w:t>
      </w:r>
      <w:r w:rsidR="008D14E6" w:rsidRPr="00BA60F0">
        <w:rPr>
          <w:rFonts w:ascii="Book Antiqua" w:hAnsi="Book Antiqua" w:cs="Arial"/>
          <w:sz w:val="24"/>
          <w:szCs w:val="24"/>
          <w:lang w:val="en-US"/>
        </w:rPr>
        <w:t>ropathy; Nau</w:t>
      </w:r>
      <w:r>
        <w:rPr>
          <w:rFonts w:ascii="Book Antiqua" w:hAnsi="Book Antiqua" w:cs="Arial" w:hint="eastAsia"/>
          <w:sz w:val="24"/>
          <w:szCs w:val="24"/>
          <w:lang w:val="en-US" w:eastAsia="zh-CN"/>
        </w:rPr>
        <w:t>:</w:t>
      </w:r>
      <w:r w:rsidR="008D14E6" w:rsidRPr="00BA60F0">
        <w:rPr>
          <w:rFonts w:ascii="Book Antiqua" w:hAnsi="Book Antiqua" w:cs="Arial"/>
          <w:sz w:val="24"/>
          <w:szCs w:val="24"/>
          <w:lang w:val="en-US"/>
        </w:rPr>
        <w:t xml:space="preserve"> Nausea; N-E</w:t>
      </w:r>
      <w:r>
        <w:rPr>
          <w:rFonts w:ascii="Book Antiqua" w:hAnsi="Book Antiqua" w:cs="Arial" w:hint="eastAsia"/>
          <w:sz w:val="24"/>
          <w:szCs w:val="24"/>
          <w:lang w:val="en-US" w:eastAsia="zh-CN"/>
        </w:rPr>
        <w:t>:</w:t>
      </w:r>
      <w:r w:rsidR="008D14E6" w:rsidRPr="00BA60F0">
        <w:rPr>
          <w:rFonts w:ascii="Book Antiqua" w:hAnsi="Book Antiqua" w:cs="Arial"/>
          <w:sz w:val="24"/>
          <w:szCs w:val="24"/>
          <w:lang w:val="en-US"/>
        </w:rPr>
        <w:t xml:space="preserve"> Nausea </w:t>
      </w:r>
      <w:r>
        <w:rPr>
          <w:rFonts w:ascii="Book Antiqua" w:hAnsi="Book Antiqua" w:cs="Arial" w:hint="eastAsia"/>
          <w:sz w:val="24"/>
          <w:szCs w:val="24"/>
          <w:lang w:val="en-US" w:eastAsia="zh-CN"/>
        </w:rPr>
        <w:t>an</w:t>
      </w:r>
      <w:r w:rsidR="001B7B35">
        <w:rPr>
          <w:rFonts w:ascii="Book Antiqua" w:hAnsi="Book Antiqua" w:cs="Arial"/>
          <w:sz w:val="24"/>
          <w:szCs w:val="24"/>
          <w:lang w:val="en-US" w:eastAsia="zh-CN"/>
        </w:rPr>
        <w:t>d</w:t>
      </w:r>
      <w:r w:rsidR="001B7B35" w:rsidRPr="00BA60F0">
        <w:rPr>
          <w:rFonts w:ascii="Book Antiqua" w:hAnsi="Book Antiqua" w:cs="Arial"/>
          <w:sz w:val="24"/>
          <w:szCs w:val="24"/>
          <w:lang w:val="en-US"/>
        </w:rPr>
        <w:t xml:space="preserve"> v</w:t>
      </w:r>
      <w:r w:rsidR="008D14E6" w:rsidRPr="00BA60F0">
        <w:rPr>
          <w:rFonts w:ascii="Book Antiqua" w:hAnsi="Book Antiqua" w:cs="Arial"/>
          <w:sz w:val="24"/>
          <w:szCs w:val="24"/>
          <w:lang w:val="en-US"/>
        </w:rPr>
        <w:t>omiting; S</w:t>
      </w:r>
      <w:r>
        <w:rPr>
          <w:rFonts w:ascii="Book Antiqua" w:hAnsi="Book Antiqua" w:cs="Arial" w:hint="eastAsia"/>
          <w:sz w:val="24"/>
          <w:szCs w:val="24"/>
          <w:lang w:val="en-US" w:eastAsia="zh-CN"/>
        </w:rPr>
        <w:t>:</w:t>
      </w:r>
      <w:r w:rsidR="008D14E6" w:rsidRPr="00BA60F0">
        <w:rPr>
          <w:rFonts w:ascii="Book Antiqua" w:hAnsi="Book Antiqua" w:cs="Arial"/>
          <w:sz w:val="24"/>
          <w:szCs w:val="24"/>
          <w:lang w:val="en-US"/>
        </w:rPr>
        <w:t xml:space="preserve"> Stomatitis; T</w:t>
      </w:r>
      <w:r>
        <w:rPr>
          <w:rFonts w:ascii="Book Antiqua" w:hAnsi="Book Antiqua" w:cs="Arial" w:hint="eastAsia"/>
          <w:sz w:val="24"/>
          <w:szCs w:val="24"/>
          <w:lang w:val="en-US" w:eastAsia="zh-CN"/>
        </w:rPr>
        <w:t>:</w:t>
      </w:r>
      <w:r w:rsidR="008D14E6" w:rsidRPr="00BA60F0">
        <w:rPr>
          <w:rFonts w:ascii="Book Antiqua" w:hAnsi="Book Antiqua" w:cs="Arial"/>
          <w:sz w:val="24"/>
          <w:szCs w:val="24"/>
          <w:lang w:val="en-US"/>
        </w:rPr>
        <w:t xml:space="preserve"> Thrombocytopenia.</w:t>
      </w:r>
    </w:p>
    <w:p w:rsidR="008D14E6" w:rsidRPr="00BA60F0" w:rsidRDefault="008D14E6" w:rsidP="00746849">
      <w:pPr>
        <w:adjustRightInd w:val="0"/>
        <w:snapToGrid w:val="0"/>
        <w:spacing w:after="0" w:line="360" w:lineRule="auto"/>
        <w:jc w:val="both"/>
        <w:rPr>
          <w:rFonts w:ascii="Book Antiqua" w:hAnsi="Book Antiqua" w:cs="Arial"/>
          <w:b/>
          <w:sz w:val="24"/>
          <w:szCs w:val="24"/>
          <w:lang w:val="en-US" w:eastAsia="zh-CN"/>
        </w:rPr>
      </w:pPr>
      <w:r w:rsidRPr="00BA60F0">
        <w:rPr>
          <w:rFonts w:ascii="Book Antiqua" w:hAnsi="Book Antiqua" w:cs="Arial"/>
          <w:sz w:val="24"/>
          <w:szCs w:val="24"/>
          <w:lang w:val="en-US"/>
        </w:rPr>
        <w:br w:type="page"/>
      </w:r>
      <w:r w:rsidR="00C419B4">
        <w:rPr>
          <w:rFonts w:ascii="Book Antiqua" w:hAnsi="Book Antiqua" w:cs="Arial"/>
          <w:b/>
          <w:sz w:val="24"/>
          <w:szCs w:val="24"/>
          <w:lang w:val="en-US"/>
        </w:rPr>
        <w:lastRenderedPageBreak/>
        <w:t>Table 3</w:t>
      </w:r>
      <w:r w:rsidRPr="00BA60F0">
        <w:rPr>
          <w:rFonts w:ascii="Book Antiqua" w:hAnsi="Book Antiqua" w:cs="Arial"/>
          <w:b/>
          <w:sz w:val="24"/>
          <w:szCs w:val="24"/>
          <w:lang w:val="en-US"/>
        </w:rPr>
        <w:t xml:space="preserve"> Phase III studies on second-line therapy in </w:t>
      </w:r>
      <w:r w:rsidR="00865232" w:rsidRPr="00BA60F0">
        <w:rPr>
          <w:rFonts w:ascii="Book Antiqua" w:hAnsi="Book Antiqua" w:cs="Arial"/>
          <w:b/>
          <w:sz w:val="24"/>
          <w:szCs w:val="24"/>
          <w:lang w:val="en-US"/>
        </w:rPr>
        <w:t>metastatic</w:t>
      </w:r>
      <w:r w:rsidR="00C419B4">
        <w:rPr>
          <w:rFonts w:ascii="Book Antiqua" w:hAnsi="Book Antiqua" w:cs="Arial"/>
          <w:b/>
          <w:sz w:val="24"/>
          <w:szCs w:val="24"/>
          <w:lang w:val="en-US"/>
        </w:rPr>
        <w:t xml:space="preserve"> gastric cancer</w:t>
      </w:r>
    </w:p>
    <w:tbl>
      <w:tblPr>
        <w:tblW w:w="10548" w:type="dxa"/>
        <w:tblBorders>
          <w:top w:val="single" w:sz="4" w:space="0" w:color="auto"/>
          <w:bottom w:val="single" w:sz="4" w:space="0" w:color="auto"/>
        </w:tblBorders>
        <w:tblLayout w:type="fixed"/>
        <w:tblLook w:val="00A0" w:firstRow="1" w:lastRow="0" w:firstColumn="1" w:lastColumn="0" w:noHBand="0" w:noVBand="0"/>
      </w:tblPr>
      <w:tblGrid>
        <w:gridCol w:w="959"/>
        <w:gridCol w:w="1669"/>
        <w:gridCol w:w="630"/>
        <w:gridCol w:w="1440"/>
        <w:gridCol w:w="810"/>
        <w:gridCol w:w="877"/>
        <w:gridCol w:w="810"/>
        <w:gridCol w:w="810"/>
        <w:gridCol w:w="2543"/>
      </w:tblGrid>
      <w:tr w:rsidR="00DF21E6" w:rsidRPr="00BA60F0" w:rsidTr="00C419B4">
        <w:trPr>
          <w:trHeight w:val="556"/>
        </w:trPr>
        <w:tc>
          <w:tcPr>
            <w:tcW w:w="959" w:type="dxa"/>
            <w:tcBorders>
              <w:top w:val="single" w:sz="4" w:space="0" w:color="auto"/>
              <w:bottom w:val="single" w:sz="4" w:space="0" w:color="auto"/>
            </w:tcBorders>
            <w:shd w:val="clear" w:color="auto" w:fill="F2F2F2"/>
            <w:vAlign w:val="center"/>
          </w:tcPr>
          <w:p w:rsidR="008D14E6" w:rsidRPr="00BA60F0" w:rsidRDefault="00C419B4" w:rsidP="00746849">
            <w:pPr>
              <w:adjustRightInd w:val="0"/>
              <w:snapToGrid w:val="0"/>
              <w:spacing w:after="0" w:line="360" w:lineRule="auto"/>
              <w:jc w:val="both"/>
              <w:rPr>
                <w:rFonts w:ascii="Book Antiqua" w:hAnsi="Book Antiqua" w:cs="Arial"/>
                <w:b/>
                <w:bCs/>
                <w:sz w:val="24"/>
                <w:szCs w:val="24"/>
                <w:lang w:val="en-US" w:eastAsia="zh-CN"/>
              </w:rPr>
            </w:pPr>
            <w:r>
              <w:rPr>
                <w:rFonts w:ascii="Book Antiqua" w:hAnsi="Book Antiqua" w:cs="Arial" w:hint="eastAsia"/>
                <w:b/>
                <w:bCs/>
                <w:sz w:val="24"/>
                <w:szCs w:val="24"/>
                <w:lang w:val="en-US" w:eastAsia="zh-CN"/>
              </w:rPr>
              <w:t>Ref.</w:t>
            </w:r>
          </w:p>
        </w:tc>
        <w:tc>
          <w:tcPr>
            <w:tcW w:w="1669" w:type="dxa"/>
            <w:tcBorders>
              <w:top w:val="single" w:sz="4" w:space="0" w:color="auto"/>
              <w:bottom w:val="single" w:sz="4" w:space="0" w:color="auto"/>
            </w:tcBorders>
            <w:shd w:val="clear" w:color="auto" w:fill="F2F2F2"/>
            <w:vAlign w:val="center"/>
          </w:tcPr>
          <w:p w:rsidR="008D14E6" w:rsidRPr="00BA60F0" w:rsidRDefault="008D14E6" w:rsidP="00746849">
            <w:pPr>
              <w:adjustRightInd w:val="0"/>
              <w:snapToGrid w:val="0"/>
              <w:spacing w:after="0" w:line="360" w:lineRule="auto"/>
              <w:jc w:val="both"/>
              <w:rPr>
                <w:rFonts w:ascii="Book Antiqua" w:hAnsi="Book Antiqua" w:cs="Arial"/>
                <w:b/>
                <w:bCs/>
                <w:sz w:val="24"/>
                <w:szCs w:val="24"/>
                <w:lang w:val="en-US"/>
              </w:rPr>
            </w:pPr>
            <w:r w:rsidRPr="00BA60F0">
              <w:rPr>
                <w:rFonts w:ascii="Book Antiqua" w:hAnsi="Book Antiqua" w:cs="Arial"/>
                <w:b/>
                <w:bCs/>
                <w:sz w:val="24"/>
                <w:szCs w:val="24"/>
                <w:lang w:val="en-US"/>
              </w:rPr>
              <w:t>II-line treatment, mg/m</w:t>
            </w:r>
            <w:r w:rsidRPr="00BA60F0">
              <w:rPr>
                <w:rFonts w:ascii="Book Antiqua" w:hAnsi="Book Antiqua" w:cs="Arial"/>
                <w:b/>
                <w:bCs/>
                <w:sz w:val="24"/>
                <w:szCs w:val="24"/>
                <w:vertAlign w:val="superscript"/>
                <w:lang w:val="en-US"/>
              </w:rPr>
              <w:t>2</w:t>
            </w:r>
          </w:p>
        </w:tc>
        <w:tc>
          <w:tcPr>
            <w:tcW w:w="630" w:type="dxa"/>
            <w:tcBorders>
              <w:top w:val="single" w:sz="4" w:space="0" w:color="auto"/>
              <w:bottom w:val="single" w:sz="4" w:space="0" w:color="auto"/>
            </w:tcBorders>
            <w:shd w:val="clear" w:color="auto" w:fill="F2F2F2"/>
            <w:vAlign w:val="center"/>
          </w:tcPr>
          <w:p w:rsidR="008D14E6" w:rsidRPr="00BA60F0" w:rsidRDefault="008D14E6" w:rsidP="00746849">
            <w:pPr>
              <w:adjustRightInd w:val="0"/>
              <w:snapToGrid w:val="0"/>
              <w:spacing w:after="0" w:line="360" w:lineRule="auto"/>
              <w:jc w:val="both"/>
              <w:rPr>
                <w:rFonts w:ascii="Book Antiqua" w:hAnsi="Book Antiqua" w:cs="Arial"/>
                <w:b/>
                <w:bCs/>
                <w:sz w:val="24"/>
                <w:szCs w:val="24"/>
                <w:lang w:val="en-US"/>
              </w:rPr>
            </w:pPr>
            <w:r w:rsidRPr="00BA60F0">
              <w:rPr>
                <w:rFonts w:ascii="Book Antiqua" w:hAnsi="Book Antiqua" w:cs="Arial"/>
                <w:b/>
                <w:bCs/>
                <w:sz w:val="24"/>
                <w:szCs w:val="24"/>
                <w:lang w:val="en-US"/>
              </w:rPr>
              <w:t>Total pts</w:t>
            </w:r>
          </w:p>
        </w:tc>
        <w:tc>
          <w:tcPr>
            <w:tcW w:w="1440" w:type="dxa"/>
            <w:tcBorders>
              <w:top w:val="single" w:sz="4" w:space="0" w:color="auto"/>
              <w:bottom w:val="single" w:sz="4" w:space="0" w:color="auto"/>
            </w:tcBorders>
            <w:shd w:val="clear" w:color="auto" w:fill="F2F2F2"/>
            <w:vAlign w:val="center"/>
          </w:tcPr>
          <w:p w:rsidR="008D14E6" w:rsidRPr="00BA60F0" w:rsidRDefault="008D14E6" w:rsidP="00746849">
            <w:pPr>
              <w:adjustRightInd w:val="0"/>
              <w:snapToGrid w:val="0"/>
              <w:spacing w:after="0" w:line="360" w:lineRule="auto"/>
              <w:jc w:val="both"/>
              <w:rPr>
                <w:rFonts w:ascii="Book Antiqua" w:hAnsi="Book Antiqua" w:cs="Arial"/>
                <w:b/>
                <w:bCs/>
                <w:sz w:val="24"/>
                <w:szCs w:val="24"/>
                <w:lang w:val="en-US"/>
              </w:rPr>
            </w:pPr>
            <w:r w:rsidRPr="00BA60F0">
              <w:rPr>
                <w:rFonts w:ascii="Book Antiqua" w:hAnsi="Book Antiqua" w:cs="Arial"/>
                <w:b/>
                <w:bCs/>
                <w:sz w:val="24"/>
                <w:szCs w:val="24"/>
                <w:lang w:val="en-US"/>
              </w:rPr>
              <w:t>Performance Status, (ECOG/WHO), %</w:t>
            </w:r>
          </w:p>
        </w:tc>
        <w:tc>
          <w:tcPr>
            <w:tcW w:w="810" w:type="dxa"/>
            <w:tcBorders>
              <w:top w:val="single" w:sz="4" w:space="0" w:color="auto"/>
              <w:bottom w:val="single" w:sz="4" w:space="0" w:color="auto"/>
            </w:tcBorders>
            <w:shd w:val="clear" w:color="auto" w:fill="F2F2F2"/>
            <w:vAlign w:val="center"/>
          </w:tcPr>
          <w:p w:rsidR="008D14E6" w:rsidRPr="00BA60F0" w:rsidRDefault="008D14E6" w:rsidP="00746849">
            <w:pPr>
              <w:adjustRightInd w:val="0"/>
              <w:snapToGrid w:val="0"/>
              <w:spacing w:after="0" w:line="360" w:lineRule="auto"/>
              <w:jc w:val="both"/>
              <w:rPr>
                <w:rFonts w:ascii="Book Antiqua" w:hAnsi="Book Antiqua" w:cs="Arial"/>
                <w:b/>
                <w:bCs/>
                <w:sz w:val="24"/>
                <w:szCs w:val="24"/>
                <w:lang w:val="en-US"/>
              </w:rPr>
            </w:pPr>
            <w:r w:rsidRPr="00BA60F0">
              <w:rPr>
                <w:rFonts w:ascii="Book Antiqua" w:hAnsi="Book Antiqua" w:cs="Arial"/>
                <w:b/>
                <w:bCs/>
                <w:sz w:val="24"/>
                <w:szCs w:val="24"/>
                <w:lang w:val="en-US"/>
              </w:rPr>
              <w:t>Median ORR, %</w:t>
            </w:r>
          </w:p>
        </w:tc>
        <w:tc>
          <w:tcPr>
            <w:tcW w:w="877" w:type="dxa"/>
            <w:tcBorders>
              <w:top w:val="single" w:sz="4" w:space="0" w:color="auto"/>
              <w:bottom w:val="single" w:sz="4" w:space="0" w:color="auto"/>
            </w:tcBorders>
            <w:shd w:val="clear" w:color="auto" w:fill="F2F2F2"/>
            <w:vAlign w:val="center"/>
          </w:tcPr>
          <w:p w:rsidR="008D14E6" w:rsidRPr="00BA60F0" w:rsidRDefault="008D14E6" w:rsidP="00746849">
            <w:pPr>
              <w:adjustRightInd w:val="0"/>
              <w:snapToGrid w:val="0"/>
              <w:spacing w:after="0" w:line="360" w:lineRule="auto"/>
              <w:jc w:val="both"/>
              <w:rPr>
                <w:rFonts w:ascii="Book Antiqua" w:hAnsi="Book Antiqua" w:cs="Arial"/>
                <w:b/>
                <w:bCs/>
                <w:sz w:val="24"/>
                <w:szCs w:val="24"/>
                <w:lang w:val="en-US"/>
              </w:rPr>
            </w:pPr>
            <w:r w:rsidRPr="00BA60F0">
              <w:rPr>
                <w:rFonts w:ascii="Book Antiqua" w:hAnsi="Book Antiqua" w:cs="Arial"/>
                <w:b/>
                <w:bCs/>
                <w:sz w:val="24"/>
                <w:szCs w:val="24"/>
                <w:lang w:val="en-US"/>
              </w:rPr>
              <w:t xml:space="preserve">Median </w:t>
            </w:r>
            <w:r w:rsidRPr="00BA60F0">
              <w:rPr>
                <w:rFonts w:ascii="Book Antiqua" w:hAnsi="Book Antiqua" w:cs="Arial"/>
                <w:b/>
                <w:bCs/>
                <w:sz w:val="24"/>
                <w:szCs w:val="24"/>
                <w:lang w:val="en-US"/>
              </w:rPr>
              <w:br/>
              <w:t>PFS, in months</w:t>
            </w:r>
          </w:p>
        </w:tc>
        <w:tc>
          <w:tcPr>
            <w:tcW w:w="810" w:type="dxa"/>
            <w:tcBorders>
              <w:top w:val="single" w:sz="4" w:space="0" w:color="auto"/>
              <w:bottom w:val="single" w:sz="4" w:space="0" w:color="auto"/>
            </w:tcBorders>
            <w:shd w:val="clear" w:color="auto" w:fill="F2F2F2"/>
            <w:vAlign w:val="center"/>
          </w:tcPr>
          <w:p w:rsidR="008D14E6" w:rsidRPr="00BA60F0" w:rsidRDefault="008D14E6" w:rsidP="00746849">
            <w:pPr>
              <w:adjustRightInd w:val="0"/>
              <w:snapToGrid w:val="0"/>
              <w:spacing w:after="0" w:line="360" w:lineRule="auto"/>
              <w:jc w:val="both"/>
              <w:rPr>
                <w:rFonts w:ascii="Book Antiqua" w:hAnsi="Book Antiqua" w:cs="Arial"/>
                <w:b/>
                <w:bCs/>
                <w:sz w:val="24"/>
                <w:szCs w:val="24"/>
                <w:lang w:val="en-US"/>
              </w:rPr>
            </w:pPr>
            <w:r w:rsidRPr="00BA60F0">
              <w:rPr>
                <w:rFonts w:ascii="Book Antiqua" w:hAnsi="Book Antiqua" w:cs="Arial"/>
                <w:b/>
                <w:bCs/>
                <w:sz w:val="24"/>
                <w:szCs w:val="24"/>
                <w:lang w:val="en-US"/>
              </w:rPr>
              <w:t xml:space="preserve">Median </w:t>
            </w:r>
            <w:r w:rsidRPr="00BA60F0">
              <w:rPr>
                <w:rFonts w:ascii="Book Antiqua" w:hAnsi="Book Antiqua" w:cs="Arial"/>
                <w:b/>
                <w:bCs/>
                <w:sz w:val="24"/>
                <w:szCs w:val="24"/>
                <w:lang w:val="en-US"/>
              </w:rPr>
              <w:br/>
              <w:t>OS, in months</w:t>
            </w:r>
          </w:p>
        </w:tc>
        <w:tc>
          <w:tcPr>
            <w:tcW w:w="810" w:type="dxa"/>
            <w:tcBorders>
              <w:top w:val="single" w:sz="4" w:space="0" w:color="auto"/>
              <w:bottom w:val="single" w:sz="4" w:space="0" w:color="auto"/>
            </w:tcBorders>
            <w:shd w:val="clear" w:color="auto" w:fill="F2F2F2"/>
            <w:vAlign w:val="center"/>
          </w:tcPr>
          <w:p w:rsidR="008D14E6" w:rsidRPr="00BA60F0" w:rsidRDefault="008D14E6" w:rsidP="00746849">
            <w:pPr>
              <w:adjustRightInd w:val="0"/>
              <w:snapToGrid w:val="0"/>
              <w:spacing w:after="0" w:line="360" w:lineRule="auto"/>
              <w:jc w:val="both"/>
              <w:rPr>
                <w:rFonts w:ascii="Book Antiqua" w:hAnsi="Book Antiqua" w:cs="Arial"/>
                <w:b/>
                <w:bCs/>
                <w:sz w:val="24"/>
                <w:szCs w:val="24"/>
                <w:lang w:val="en-US"/>
              </w:rPr>
            </w:pPr>
          </w:p>
          <w:p w:rsidR="008D14E6" w:rsidRPr="00BA60F0" w:rsidRDefault="008D14E6" w:rsidP="00746849">
            <w:pPr>
              <w:adjustRightInd w:val="0"/>
              <w:snapToGrid w:val="0"/>
              <w:spacing w:after="0" w:line="360" w:lineRule="auto"/>
              <w:jc w:val="both"/>
              <w:rPr>
                <w:rFonts w:ascii="Book Antiqua" w:hAnsi="Book Antiqua" w:cs="Arial"/>
                <w:b/>
                <w:bCs/>
                <w:sz w:val="24"/>
                <w:szCs w:val="24"/>
                <w:lang w:val="en-US"/>
              </w:rPr>
            </w:pPr>
            <w:r w:rsidRPr="00BA60F0">
              <w:rPr>
                <w:rFonts w:ascii="Book Antiqua" w:hAnsi="Book Antiqua" w:cs="Arial"/>
                <w:b/>
                <w:bCs/>
                <w:sz w:val="24"/>
                <w:szCs w:val="24"/>
                <w:lang w:val="en-US"/>
              </w:rPr>
              <w:t>Hazard Ratio</w:t>
            </w:r>
          </w:p>
        </w:tc>
        <w:tc>
          <w:tcPr>
            <w:tcW w:w="2543" w:type="dxa"/>
            <w:tcBorders>
              <w:top w:val="single" w:sz="4" w:space="0" w:color="auto"/>
              <w:bottom w:val="single" w:sz="4" w:space="0" w:color="auto"/>
            </w:tcBorders>
            <w:shd w:val="clear" w:color="auto" w:fill="F2F2F2"/>
            <w:vAlign w:val="center"/>
          </w:tcPr>
          <w:p w:rsidR="008D14E6" w:rsidRPr="00BA60F0" w:rsidRDefault="008D14E6" w:rsidP="00746849">
            <w:pPr>
              <w:adjustRightInd w:val="0"/>
              <w:snapToGrid w:val="0"/>
              <w:spacing w:after="0" w:line="360" w:lineRule="auto"/>
              <w:jc w:val="both"/>
              <w:rPr>
                <w:rFonts w:ascii="Book Antiqua" w:hAnsi="Book Antiqua" w:cs="Arial"/>
                <w:b/>
                <w:bCs/>
                <w:sz w:val="24"/>
                <w:szCs w:val="24"/>
                <w:lang w:val="en-US"/>
              </w:rPr>
            </w:pPr>
            <w:r w:rsidRPr="00BA60F0">
              <w:rPr>
                <w:rFonts w:ascii="Book Antiqua" w:hAnsi="Book Antiqua" w:cs="Arial"/>
                <w:b/>
                <w:bCs/>
                <w:sz w:val="24"/>
                <w:szCs w:val="24"/>
                <w:lang w:val="en-US"/>
              </w:rPr>
              <w:t xml:space="preserve">Toxicity, </w:t>
            </w:r>
            <w:r w:rsidRPr="00BA60F0">
              <w:rPr>
                <w:rFonts w:ascii="Book Antiqua" w:hAnsi="Book Antiqua" w:cs="Arial"/>
                <w:b/>
                <w:bCs/>
                <w:sz w:val="24"/>
                <w:szCs w:val="24"/>
                <w:lang w:val="en-US"/>
              </w:rPr>
              <w:br/>
              <w:t>grade 3-4, %</w:t>
            </w:r>
          </w:p>
        </w:tc>
      </w:tr>
      <w:tr w:rsidR="008D14E6" w:rsidRPr="00BA60F0" w:rsidTr="00C419B4">
        <w:trPr>
          <w:trHeight w:val="448"/>
        </w:trPr>
        <w:tc>
          <w:tcPr>
            <w:tcW w:w="959" w:type="dxa"/>
            <w:vMerge w:val="restart"/>
            <w:tcBorders>
              <w:top w:val="single" w:sz="4" w:space="0" w:color="auto"/>
            </w:tcBorders>
          </w:tcPr>
          <w:p w:rsidR="008D14E6" w:rsidRPr="00BA60F0" w:rsidRDefault="008D14E6" w:rsidP="00746849">
            <w:pPr>
              <w:adjustRightInd w:val="0"/>
              <w:snapToGrid w:val="0"/>
              <w:spacing w:after="0" w:line="360" w:lineRule="auto"/>
              <w:jc w:val="both"/>
              <w:rPr>
                <w:rFonts w:ascii="Book Antiqua" w:hAnsi="Book Antiqua" w:cs="Arial"/>
                <w:b/>
                <w:bCs/>
                <w:sz w:val="24"/>
                <w:szCs w:val="24"/>
                <w:lang w:val="en-US"/>
              </w:rPr>
            </w:pPr>
            <w:r w:rsidRPr="00BA60F0">
              <w:rPr>
                <w:rFonts w:ascii="Book Antiqua" w:hAnsi="Book Antiqua" w:cs="Arial"/>
                <w:b/>
                <w:bCs/>
                <w:sz w:val="24"/>
                <w:szCs w:val="24"/>
                <w:lang w:val="en-US"/>
              </w:rPr>
              <w:t>Thuss-Patience</w:t>
            </w:r>
            <w:r w:rsidR="009B35D6" w:rsidRPr="00BA60F0">
              <w:rPr>
                <w:rFonts w:ascii="Book Antiqua" w:hAnsi="Book Antiqua" w:cs="Arial"/>
                <w:b/>
                <w:bCs/>
                <w:i/>
                <w:sz w:val="24"/>
                <w:szCs w:val="24"/>
                <w:lang w:val="en-US"/>
              </w:rPr>
              <w:t xml:space="preserve"> et al</w:t>
            </w:r>
            <w:r w:rsidR="009B35D6" w:rsidRPr="00BA60F0">
              <w:rPr>
                <w:rFonts w:ascii="Book Antiqua" w:hAnsi="Book Antiqua" w:cs="Arial"/>
                <w:b/>
                <w:bCs/>
                <w:sz w:val="24"/>
                <w:szCs w:val="24"/>
                <w:vertAlign w:val="superscript"/>
                <w:lang w:val="en-US"/>
              </w:rPr>
              <w:t>[62]</w:t>
            </w:r>
            <w:r w:rsidR="009B35D6" w:rsidRPr="00BA60F0">
              <w:rPr>
                <w:rFonts w:ascii="Book Antiqua" w:hAnsi="Book Antiqua" w:cs="Arial"/>
                <w:b/>
                <w:bCs/>
                <w:sz w:val="24"/>
                <w:szCs w:val="24"/>
                <w:lang w:val="en-US"/>
              </w:rPr>
              <w:t>, 2011</w:t>
            </w:r>
          </w:p>
        </w:tc>
        <w:tc>
          <w:tcPr>
            <w:tcW w:w="1669" w:type="dxa"/>
            <w:tcBorders>
              <w:top w:val="single" w:sz="4" w:space="0" w:color="auto"/>
            </w:tcBorders>
            <w:vAlign w:val="center"/>
          </w:tcPr>
          <w:p w:rsidR="008D14E6" w:rsidRPr="00BA60F0" w:rsidRDefault="008D14E6" w:rsidP="00746849">
            <w:pPr>
              <w:adjustRightInd w:val="0"/>
              <w:snapToGrid w:val="0"/>
              <w:spacing w:after="0" w:line="360" w:lineRule="auto"/>
              <w:jc w:val="both"/>
              <w:rPr>
                <w:rFonts w:ascii="Book Antiqua" w:hAnsi="Book Antiqua" w:cs="Arial"/>
                <w:bCs/>
                <w:sz w:val="24"/>
                <w:szCs w:val="24"/>
                <w:lang w:val="en-US"/>
              </w:rPr>
            </w:pPr>
            <w:r w:rsidRPr="00BA60F0">
              <w:rPr>
                <w:rFonts w:ascii="Book Antiqua" w:hAnsi="Book Antiqua" w:cs="Arial"/>
                <w:bCs/>
                <w:sz w:val="24"/>
                <w:szCs w:val="24"/>
                <w:lang w:val="en-US"/>
              </w:rPr>
              <w:t>Iri 250 cycle 1; 350 subsequent cycles</w:t>
            </w:r>
          </w:p>
        </w:tc>
        <w:tc>
          <w:tcPr>
            <w:tcW w:w="630" w:type="dxa"/>
            <w:tcBorders>
              <w:top w:val="single" w:sz="4" w:space="0" w:color="auto"/>
            </w:tcBorders>
            <w:vAlign w:val="center"/>
          </w:tcPr>
          <w:p w:rsidR="008D14E6" w:rsidRPr="00BA60F0" w:rsidRDefault="008D14E6" w:rsidP="00746849">
            <w:pPr>
              <w:adjustRightInd w:val="0"/>
              <w:snapToGrid w:val="0"/>
              <w:spacing w:after="0" w:line="360" w:lineRule="auto"/>
              <w:jc w:val="both"/>
              <w:rPr>
                <w:rFonts w:ascii="Book Antiqua" w:hAnsi="Book Antiqua" w:cs="Arial"/>
                <w:sz w:val="24"/>
                <w:szCs w:val="24"/>
                <w:lang w:val="en-US"/>
              </w:rPr>
            </w:pPr>
            <w:r w:rsidRPr="00BA60F0">
              <w:rPr>
                <w:rFonts w:ascii="Book Antiqua" w:hAnsi="Book Antiqua" w:cs="Arial"/>
                <w:sz w:val="24"/>
                <w:szCs w:val="24"/>
                <w:lang w:val="en-US"/>
              </w:rPr>
              <w:t>21/19</w:t>
            </w:r>
          </w:p>
        </w:tc>
        <w:tc>
          <w:tcPr>
            <w:tcW w:w="1440" w:type="dxa"/>
            <w:tcBorders>
              <w:top w:val="single" w:sz="4" w:space="0" w:color="auto"/>
            </w:tcBorders>
            <w:vAlign w:val="center"/>
          </w:tcPr>
          <w:p w:rsidR="008D14E6" w:rsidRPr="00BA60F0" w:rsidRDefault="008D14E6" w:rsidP="00746849">
            <w:pPr>
              <w:adjustRightInd w:val="0"/>
              <w:snapToGrid w:val="0"/>
              <w:spacing w:after="0" w:line="360" w:lineRule="auto"/>
              <w:jc w:val="both"/>
              <w:rPr>
                <w:rFonts w:ascii="Book Antiqua" w:hAnsi="Book Antiqua" w:cs="Arial"/>
                <w:sz w:val="24"/>
                <w:szCs w:val="24"/>
                <w:lang w:val="en-US"/>
              </w:rPr>
            </w:pPr>
            <w:r w:rsidRPr="00BA60F0">
              <w:rPr>
                <w:rFonts w:ascii="Book Antiqua" w:hAnsi="Book Antiqua" w:cs="Arial"/>
                <w:sz w:val="24"/>
                <w:szCs w:val="24"/>
                <w:lang w:val="en-US"/>
              </w:rPr>
              <w:t>0-1/2 – 81/19</w:t>
            </w:r>
          </w:p>
        </w:tc>
        <w:tc>
          <w:tcPr>
            <w:tcW w:w="810" w:type="dxa"/>
            <w:tcBorders>
              <w:top w:val="single" w:sz="4" w:space="0" w:color="auto"/>
            </w:tcBorders>
            <w:vAlign w:val="center"/>
          </w:tcPr>
          <w:p w:rsidR="008D14E6" w:rsidRPr="00BA60F0" w:rsidRDefault="008D14E6" w:rsidP="00746849">
            <w:pPr>
              <w:adjustRightInd w:val="0"/>
              <w:snapToGrid w:val="0"/>
              <w:spacing w:after="0" w:line="360" w:lineRule="auto"/>
              <w:jc w:val="both"/>
              <w:rPr>
                <w:rFonts w:ascii="Book Antiqua" w:hAnsi="Book Antiqua" w:cs="Arial"/>
                <w:sz w:val="24"/>
                <w:szCs w:val="24"/>
                <w:lang w:val="en-US"/>
              </w:rPr>
            </w:pPr>
            <w:r w:rsidRPr="00BA60F0">
              <w:rPr>
                <w:rFonts w:ascii="Book Antiqua" w:hAnsi="Book Antiqua" w:cs="Arial"/>
                <w:sz w:val="24"/>
                <w:szCs w:val="24"/>
                <w:lang w:val="en-US"/>
              </w:rPr>
              <w:t>0</w:t>
            </w:r>
          </w:p>
        </w:tc>
        <w:tc>
          <w:tcPr>
            <w:tcW w:w="877" w:type="dxa"/>
            <w:tcBorders>
              <w:top w:val="single" w:sz="4" w:space="0" w:color="auto"/>
            </w:tcBorders>
            <w:vAlign w:val="center"/>
          </w:tcPr>
          <w:p w:rsidR="008D14E6" w:rsidRPr="00BA60F0" w:rsidRDefault="008D14E6" w:rsidP="00746849">
            <w:pPr>
              <w:adjustRightInd w:val="0"/>
              <w:snapToGrid w:val="0"/>
              <w:spacing w:after="0" w:line="360" w:lineRule="auto"/>
              <w:jc w:val="both"/>
              <w:rPr>
                <w:rFonts w:ascii="Book Antiqua" w:hAnsi="Book Antiqua" w:cs="Arial"/>
                <w:sz w:val="24"/>
                <w:szCs w:val="24"/>
                <w:lang w:val="en-US"/>
              </w:rPr>
            </w:pPr>
            <w:r w:rsidRPr="00BA60F0">
              <w:rPr>
                <w:rFonts w:ascii="Book Antiqua" w:hAnsi="Book Antiqua" w:cs="Arial"/>
                <w:sz w:val="24"/>
                <w:szCs w:val="24"/>
                <w:lang w:val="en-US"/>
              </w:rPr>
              <w:t>2.5</w:t>
            </w:r>
          </w:p>
        </w:tc>
        <w:tc>
          <w:tcPr>
            <w:tcW w:w="810" w:type="dxa"/>
            <w:tcBorders>
              <w:top w:val="single" w:sz="4" w:space="0" w:color="auto"/>
            </w:tcBorders>
            <w:vAlign w:val="center"/>
          </w:tcPr>
          <w:p w:rsidR="008D14E6" w:rsidRPr="00BA60F0" w:rsidRDefault="008D14E6" w:rsidP="00746849">
            <w:pPr>
              <w:adjustRightInd w:val="0"/>
              <w:snapToGrid w:val="0"/>
              <w:spacing w:after="0" w:line="360" w:lineRule="auto"/>
              <w:jc w:val="both"/>
              <w:rPr>
                <w:rFonts w:ascii="Book Antiqua" w:hAnsi="Book Antiqua" w:cs="Arial"/>
                <w:sz w:val="24"/>
                <w:szCs w:val="24"/>
                <w:lang w:val="en-US"/>
              </w:rPr>
            </w:pPr>
            <w:r w:rsidRPr="00BA60F0">
              <w:rPr>
                <w:rFonts w:ascii="Book Antiqua" w:hAnsi="Book Antiqua" w:cs="Arial"/>
                <w:sz w:val="24"/>
                <w:szCs w:val="24"/>
                <w:lang w:val="en-US"/>
              </w:rPr>
              <w:t>4.0</w:t>
            </w:r>
          </w:p>
        </w:tc>
        <w:tc>
          <w:tcPr>
            <w:tcW w:w="810" w:type="dxa"/>
            <w:vMerge w:val="restart"/>
            <w:tcBorders>
              <w:top w:val="single" w:sz="4" w:space="0" w:color="auto"/>
            </w:tcBorders>
            <w:vAlign w:val="center"/>
          </w:tcPr>
          <w:p w:rsidR="008D14E6" w:rsidRPr="00BA60F0" w:rsidRDefault="008D14E6" w:rsidP="00746849">
            <w:pPr>
              <w:adjustRightInd w:val="0"/>
              <w:snapToGrid w:val="0"/>
              <w:spacing w:after="0" w:line="360" w:lineRule="auto"/>
              <w:jc w:val="both"/>
              <w:rPr>
                <w:rFonts w:ascii="Book Antiqua" w:hAnsi="Book Antiqua" w:cs="Arial"/>
                <w:sz w:val="24"/>
                <w:szCs w:val="24"/>
                <w:lang w:val="en-US"/>
              </w:rPr>
            </w:pPr>
            <w:r w:rsidRPr="00BA60F0">
              <w:rPr>
                <w:rFonts w:ascii="Book Antiqua" w:hAnsi="Book Antiqua" w:cs="Arial"/>
                <w:sz w:val="24"/>
                <w:szCs w:val="24"/>
                <w:lang w:val="en-US"/>
              </w:rPr>
              <w:t xml:space="preserve">0.48, </w:t>
            </w:r>
            <w:r w:rsidR="007952D5" w:rsidRPr="007952D5">
              <w:rPr>
                <w:rFonts w:ascii="Book Antiqua" w:hAnsi="Book Antiqua" w:cs="Arial"/>
                <w:i/>
                <w:caps/>
                <w:sz w:val="24"/>
                <w:szCs w:val="24"/>
                <w:lang w:val="en-US"/>
              </w:rPr>
              <w:t xml:space="preserve">p = </w:t>
            </w:r>
            <w:r w:rsidRPr="00BA60F0">
              <w:rPr>
                <w:rFonts w:ascii="Book Antiqua" w:hAnsi="Book Antiqua" w:cs="Arial"/>
                <w:sz w:val="24"/>
                <w:szCs w:val="24"/>
                <w:lang w:val="en-US"/>
              </w:rPr>
              <w:t>0.012</w:t>
            </w:r>
          </w:p>
        </w:tc>
        <w:tc>
          <w:tcPr>
            <w:tcW w:w="2543" w:type="dxa"/>
            <w:tcBorders>
              <w:top w:val="single" w:sz="4" w:space="0" w:color="auto"/>
            </w:tcBorders>
            <w:vAlign w:val="center"/>
          </w:tcPr>
          <w:p w:rsidR="008D14E6" w:rsidRPr="00BA60F0" w:rsidRDefault="008D14E6" w:rsidP="00746849">
            <w:pPr>
              <w:adjustRightInd w:val="0"/>
              <w:snapToGrid w:val="0"/>
              <w:spacing w:after="0" w:line="360" w:lineRule="auto"/>
              <w:jc w:val="both"/>
              <w:rPr>
                <w:rFonts w:ascii="Book Antiqua" w:hAnsi="Book Antiqua" w:cs="Arial"/>
                <w:sz w:val="24"/>
                <w:szCs w:val="24"/>
                <w:lang w:val="en-US"/>
              </w:rPr>
            </w:pPr>
            <w:r w:rsidRPr="00BA60F0">
              <w:rPr>
                <w:rFonts w:ascii="Book Antiqua" w:hAnsi="Book Antiqua" w:cs="Arial"/>
                <w:sz w:val="24"/>
                <w:szCs w:val="24"/>
                <w:lang w:val="en-US"/>
              </w:rPr>
              <w:t>D/FN/L/A – 26/16/21/11</w:t>
            </w:r>
          </w:p>
        </w:tc>
      </w:tr>
      <w:tr w:rsidR="008D14E6" w:rsidRPr="00BA60F0" w:rsidTr="00C419B4">
        <w:trPr>
          <w:trHeight w:val="411"/>
        </w:trPr>
        <w:tc>
          <w:tcPr>
            <w:tcW w:w="959" w:type="dxa"/>
            <w:vMerge/>
          </w:tcPr>
          <w:p w:rsidR="008D14E6" w:rsidRPr="00BA60F0" w:rsidRDefault="008D14E6" w:rsidP="00746849">
            <w:pPr>
              <w:adjustRightInd w:val="0"/>
              <w:snapToGrid w:val="0"/>
              <w:spacing w:after="0" w:line="360" w:lineRule="auto"/>
              <w:jc w:val="both"/>
              <w:rPr>
                <w:rFonts w:ascii="Book Antiqua" w:hAnsi="Book Antiqua" w:cs="Arial"/>
                <w:b/>
                <w:bCs/>
                <w:sz w:val="24"/>
                <w:szCs w:val="24"/>
                <w:lang w:val="en-US"/>
              </w:rPr>
            </w:pPr>
          </w:p>
        </w:tc>
        <w:tc>
          <w:tcPr>
            <w:tcW w:w="1669" w:type="dxa"/>
            <w:vAlign w:val="center"/>
          </w:tcPr>
          <w:p w:rsidR="008D14E6" w:rsidRPr="00BA60F0" w:rsidRDefault="008D14E6" w:rsidP="00746849">
            <w:pPr>
              <w:adjustRightInd w:val="0"/>
              <w:snapToGrid w:val="0"/>
              <w:spacing w:after="0" w:line="360" w:lineRule="auto"/>
              <w:jc w:val="both"/>
              <w:rPr>
                <w:rFonts w:ascii="Book Antiqua" w:hAnsi="Book Antiqua" w:cs="Arial"/>
                <w:bCs/>
                <w:sz w:val="24"/>
                <w:szCs w:val="24"/>
                <w:lang w:val="en-US"/>
              </w:rPr>
            </w:pPr>
            <w:r w:rsidRPr="00BA60F0">
              <w:rPr>
                <w:rFonts w:ascii="Book Antiqua" w:hAnsi="Book Antiqua" w:cs="Arial"/>
                <w:bCs/>
                <w:sz w:val="24"/>
                <w:szCs w:val="24"/>
                <w:lang w:val="en-US"/>
              </w:rPr>
              <w:t>BSC</w:t>
            </w:r>
          </w:p>
        </w:tc>
        <w:tc>
          <w:tcPr>
            <w:tcW w:w="630" w:type="dxa"/>
            <w:vAlign w:val="center"/>
          </w:tcPr>
          <w:p w:rsidR="008D14E6" w:rsidRPr="00BA60F0" w:rsidRDefault="008D14E6" w:rsidP="00746849">
            <w:pPr>
              <w:adjustRightInd w:val="0"/>
              <w:snapToGrid w:val="0"/>
              <w:spacing w:after="0" w:line="360" w:lineRule="auto"/>
              <w:jc w:val="both"/>
              <w:rPr>
                <w:rFonts w:ascii="Book Antiqua" w:hAnsi="Book Antiqua" w:cs="Arial"/>
                <w:bCs/>
                <w:sz w:val="24"/>
                <w:szCs w:val="24"/>
                <w:lang w:val="en-US"/>
              </w:rPr>
            </w:pPr>
            <w:r w:rsidRPr="00BA60F0">
              <w:rPr>
                <w:rFonts w:ascii="Book Antiqua" w:hAnsi="Book Antiqua" w:cs="Arial"/>
                <w:bCs/>
                <w:sz w:val="24"/>
                <w:szCs w:val="24"/>
                <w:lang w:val="en-US"/>
              </w:rPr>
              <w:t>19</w:t>
            </w:r>
          </w:p>
        </w:tc>
        <w:tc>
          <w:tcPr>
            <w:tcW w:w="1440" w:type="dxa"/>
            <w:vAlign w:val="center"/>
          </w:tcPr>
          <w:p w:rsidR="008D14E6" w:rsidRPr="00BA60F0" w:rsidRDefault="008D14E6" w:rsidP="00746849">
            <w:pPr>
              <w:adjustRightInd w:val="0"/>
              <w:snapToGrid w:val="0"/>
              <w:spacing w:after="0" w:line="360" w:lineRule="auto"/>
              <w:jc w:val="both"/>
              <w:rPr>
                <w:rFonts w:ascii="Book Antiqua" w:hAnsi="Book Antiqua" w:cs="Arial"/>
                <w:bCs/>
                <w:sz w:val="24"/>
                <w:szCs w:val="24"/>
                <w:lang w:val="en-US"/>
              </w:rPr>
            </w:pPr>
            <w:r w:rsidRPr="00BA60F0">
              <w:rPr>
                <w:rFonts w:ascii="Book Antiqua" w:hAnsi="Book Antiqua" w:cs="Arial"/>
                <w:bCs/>
                <w:sz w:val="24"/>
                <w:szCs w:val="24"/>
                <w:lang w:val="en-US"/>
              </w:rPr>
              <w:t>0-1/2 – 74/26</w:t>
            </w:r>
          </w:p>
        </w:tc>
        <w:tc>
          <w:tcPr>
            <w:tcW w:w="810" w:type="dxa"/>
            <w:vAlign w:val="center"/>
          </w:tcPr>
          <w:p w:rsidR="008D14E6" w:rsidRPr="00BA60F0" w:rsidRDefault="008D14E6" w:rsidP="00746849">
            <w:pPr>
              <w:adjustRightInd w:val="0"/>
              <w:snapToGrid w:val="0"/>
              <w:spacing w:after="0" w:line="360" w:lineRule="auto"/>
              <w:jc w:val="both"/>
              <w:rPr>
                <w:rFonts w:ascii="Book Antiqua" w:hAnsi="Book Antiqua" w:cs="Arial"/>
                <w:bCs/>
                <w:sz w:val="24"/>
                <w:szCs w:val="24"/>
                <w:lang w:val="en-US"/>
              </w:rPr>
            </w:pPr>
            <w:r w:rsidRPr="00BA60F0">
              <w:rPr>
                <w:rFonts w:ascii="Book Antiqua" w:hAnsi="Book Antiqua" w:cs="Arial"/>
                <w:bCs/>
                <w:sz w:val="24"/>
                <w:szCs w:val="24"/>
                <w:lang w:val="en-US"/>
              </w:rPr>
              <w:t>NR</w:t>
            </w:r>
          </w:p>
        </w:tc>
        <w:tc>
          <w:tcPr>
            <w:tcW w:w="877" w:type="dxa"/>
            <w:vAlign w:val="center"/>
          </w:tcPr>
          <w:p w:rsidR="008D14E6" w:rsidRPr="00BA60F0" w:rsidRDefault="008D14E6" w:rsidP="00746849">
            <w:pPr>
              <w:adjustRightInd w:val="0"/>
              <w:snapToGrid w:val="0"/>
              <w:spacing w:after="0" w:line="360" w:lineRule="auto"/>
              <w:jc w:val="both"/>
              <w:rPr>
                <w:rFonts w:ascii="Book Antiqua" w:hAnsi="Book Antiqua" w:cs="Arial"/>
                <w:bCs/>
                <w:sz w:val="24"/>
                <w:szCs w:val="24"/>
                <w:lang w:val="en-US"/>
              </w:rPr>
            </w:pPr>
            <w:r w:rsidRPr="00BA60F0">
              <w:rPr>
                <w:rFonts w:ascii="Book Antiqua" w:hAnsi="Book Antiqua" w:cs="Arial"/>
                <w:bCs/>
                <w:sz w:val="24"/>
                <w:szCs w:val="24"/>
                <w:lang w:val="en-US"/>
              </w:rPr>
              <w:t>NR</w:t>
            </w:r>
          </w:p>
        </w:tc>
        <w:tc>
          <w:tcPr>
            <w:tcW w:w="810" w:type="dxa"/>
            <w:vAlign w:val="center"/>
          </w:tcPr>
          <w:p w:rsidR="008D14E6" w:rsidRPr="00BA60F0" w:rsidRDefault="008D14E6" w:rsidP="00746849">
            <w:pPr>
              <w:adjustRightInd w:val="0"/>
              <w:snapToGrid w:val="0"/>
              <w:spacing w:after="0" w:line="360" w:lineRule="auto"/>
              <w:jc w:val="both"/>
              <w:rPr>
                <w:rFonts w:ascii="Book Antiqua" w:hAnsi="Book Antiqua" w:cs="Arial"/>
                <w:bCs/>
                <w:sz w:val="24"/>
                <w:szCs w:val="24"/>
                <w:lang w:val="en-US"/>
              </w:rPr>
            </w:pPr>
            <w:r w:rsidRPr="00BA60F0">
              <w:rPr>
                <w:rFonts w:ascii="Book Antiqua" w:hAnsi="Book Antiqua" w:cs="Arial"/>
                <w:bCs/>
                <w:sz w:val="24"/>
                <w:szCs w:val="24"/>
                <w:lang w:val="en-US"/>
              </w:rPr>
              <w:t>2.4</w:t>
            </w:r>
          </w:p>
        </w:tc>
        <w:tc>
          <w:tcPr>
            <w:tcW w:w="810" w:type="dxa"/>
            <w:vMerge/>
            <w:vAlign w:val="center"/>
          </w:tcPr>
          <w:p w:rsidR="008D14E6" w:rsidRPr="00BA60F0" w:rsidRDefault="008D14E6" w:rsidP="00746849">
            <w:pPr>
              <w:adjustRightInd w:val="0"/>
              <w:snapToGrid w:val="0"/>
              <w:spacing w:after="0" w:line="360" w:lineRule="auto"/>
              <w:jc w:val="both"/>
              <w:rPr>
                <w:rFonts w:ascii="Book Antiqua" w:hAnsi="Book Antiqua" w:cs="Arial"/>
                <w:bCs/>
                <w:sz w:val="24"/>
                <w:szCs w:val="24"/>
                <w:lang w:val="en-US"/>
              </w:rPr>
            </w:pPr>
          </w:p>
        </w:tc>
        <w:tc>
          <w:tcPr>
            <w:tcW w:w="2543" w:type="dxa"/>
            <w:vAlign w:val="center"/>
          </w:tcPr>
          <w:p w:rsidR="008D14E6" w:rsidRPr="00BA60F0" w:rsidRDefault="008D14E6" w:rsidP="00746849">
            <w:pPr>
              <w:adjustRightInd w:val="0"/>
              <w:snapToGrid w:val="0"/>
              <w:spacing w:after="0" w:line="360" w:lineRule="auto"/>
              <w:jc w:val="both"/>
              <w:rPr>
                <w:rFonts w:ascii="Book Antiqua" w:hAnsi="Book Antiqua" w:cs="Arial"/>
                <w:bCs/>
                <w:sz w:val="24"/>
                <w:szCs w:val="24"/>
                <w:lang w:val="en-US"/>
              </w:rPr>
            </w:pPr>
            <w:r w:rsidRPr="00BA60F0">
              <w:rPr>
                <w:rFonts w:ascii="Book Antiqua" w:hAnsi="Book Antiqua" w:cs="Arial"/>
                <w:bCs/>
                <w:sz w:val="24"/>
                <w:szCs w:val="24"/>
                <w:lang w:val="en-US"/>
              </w:rPr>
              <w:t>NR</w:t>
            </w:r>
          </w:p>
        </w:tc>
      </w:tr>
      <w:tr w:rsidR="008D14E6" w:rsidRPr="00BA60F0" w:rsidTr="00C419B4">
        <w:trPr>
          <w:trHeight w:val="306"/>
        </w:trPr>
        <w:tc>
          <w:tcPr>
            <w:tcW w:w="959" w:type="dxa"/>
            <w:vMerge w:val="restart"/>
          </w:tcPr>
          <w:p w:rsidR="008D14E6" w:rsidRPr="00BA60F0" w:rsidRDefault="008D14E6" w:rsidP="00746849">
            <w:pPr>
              <w:adjustRightInd w:val="0"/>
              <w:snapToGrid w:val="0"/>
              <w:spacing w:after="0" w:line="360" w:lineRule="auto"/>
              <w:jc w:val="both"/>
              <w:rPr>
                <w:rFonts w:ascii="Book Antiqua" w:hAnsi="Book Antiqua" w:cs="Arial"/>
                <w:b/>
                <w:bCs/>
                <w:sz w:val="24"/>
                <w:szCs w:val="24"/>
                <w:lang w:val="en-US"/>
              </w:rPr>
            </w:pPr>
            <w:r w:rsidRPr="00BA60F0">
              <w:rPr>
                <w:rFonts w:ascii="Book Antiqua" w:hAnsi="Book Antiqua" w:cs="Arial"/>
                <w:b/>
                <w:bCs/>
                <w:sz w:val="24"/>
                <w:szCs w:val="24"/>
                <w:lang w:val="en-US"/>
              </w:rPr>
              <w:t>Kang</w:t>
            </w:r>
            <w:r w:rsidR="00865232" w:rsidRPr="00BA60F0">
              <w:rPr>
                <w:rFonts w:ascii="Book Antiqua" w:hAnsi="Book Antiqua" w:cs="Arial"/>
                <w:b/>
                <w:bCs/>
                <w:i/>
                <w:sz w:val="24"/>
                <w:szCs w:val="24"/>
                <w:lang w:val="en-US"/>
              </w:rPr>
              <w:t xml:space="preserve"> et al</w:t>
            </w:r>
            <w:r w:rsidR="00865232" w:rsidRPr="00BA60F0">
              <w:rPr>
                <w:rFonts w:ascii="Book Antiqua" w:hAnsi="Book Antiqua" w:cs="Arial"/>
                <w:b/>
                <w:bCs/>
                <w:sz w:val="24"/>
                <w:szCs w:val="24"/>
                <w:vertAlign w:val="superscript"/>
                <w:lang w:val="en-US"/>
              </w:rPr>
              <w:t>[63]</w:t>
            </w:r>
            <w:r w:rsidR="00865232" w:rsidRPr="00BA60F0">
              <w:rPr>
                <w:rFonts w:ascii="Book Antiqua" w:hAnsi="Book Antiqua" w:cs="Arial"/>
                <w:b/>
                <w:bCs/>
                <w:sz w:val="24"/>
                <w:szCs w:val="24"/>
                <w:lang w:val="en-US"/>
              </w:rPr>
              <w:t>, 2012</w:t>
            </w:r>
          </w:p>
        </w:tc>
        <w:tc>
          <w:tcPr>
            <w:tcW w:w="1669" w:type="dxa"/>
            <w:vAlign w:val="center"/>
          </w:tcPr>
          <w:p w:rsidR="008D14E6" w:rsidRPr="00BA60F0" w:rsidRDefault="008D14E6" w:rsidP="00746849">
            <w:pPr>
              <w:adjustRightInd w:val="0"/>
              <w:snapToGrid w:val="0"/>
              <w:spacing w:after="0" w:line="360" w:lineRule="auto"/>
              <w:jc w:val="both"/>
              <w:rPr>
                <w:rFonts w:ascii="Book Antiqua" w:hAnsi="Book Antiqua" w:cs="Arial"/>
                <w:bCs/>
                <w:sz w:val="24"/>
                <w:szCs w:val="24"/>
                <w:lang w:val="en-US"/>
              </w:rPr>
            </w:pPr>
            <w:r w:rsidRPr="00BA60F0">
              <w:rPr>
                <w:rFonts w:ascii="Book Antiqua" w:hAnsi="Book Antiqua" w:cs="Arial"/>
                <w:bCs/>
                <w:sz w:val="24"/>
                <w:szCs w:val="24"/>
                <w:lang w:val="en-US"/>
              </w:rPr>
              <w:t>Dtx 60 d1 q3w;</w:t>
            </w:r>
            <w:r w:rsidRPr="00BA60F0">
              <w:rPr>
                <w:rFonts w:ascii="Book Antiqua" w:hAnsi="Book Antiqua" w:cs="Arial"/>
                <w:bCs/>
                <w:sz w:val="24"/>
                <w:szCs w:val="24"/>
                <w:lang w:val="en-US"/>
              </w:rPr>
              <w:br/>
              <w:t>Iri 150 d1 q2w</w:t>
            </w:r>
          </w:p>
        </w:tc>
        <w:tc>
          <w:tcPr>
            <w:tcW w:w="630" w:type="dxa"/>
            <w:vAlign w:val="center"/>
          </w:tcPr>
          <w:p w:rsidR="008D14E6" w:rsidRPr="00BA60F0" w:rsidRDefault="008D14E6" w:rsidP="00746849">
            <w:pPr>
              <w:adjustRightInd w:val="0"/>
              <w:snapToGrid w:val="0"/>
              <w:spacing w:after="0" w:line="360" w:lineRule="auto"/>
              <w:jc w:val="both"/>
              <w:rPr>
                <w:rFonts w:ascii="Book Antiqua" w:hAnsi="Book Antiqua" w:cs="Arial"/>
                <w:bCs/>
                <w:sz w:val="24"/>
                <w:szCs w:val="24"/>
                <w:lang w:val="en-US"/>
              </w:rPr>
            </w:pPr>
            <w:r w:rsidRPr="00BA60F0">
              <w:rPr>
                <w:rFonts w:ascii="Book Antiqua" w:hAnsi="Book Antiqua" w:cs="Arial"/>
                <w:bCs/>
                <w:sz w:val="24"/>
                <w:szCs w:val="24"/>
                <w:lang w:val="en-US"/>
              </w:rPr>
              <w:t>133</w:t>
            </w:r>
          </w:p>
        </w:tc>
        <w:tc>
          <w:tcPr>
            <w:tcW w:w="1440" w:type="dxa"/>
            <w:vAlign w:val="center"/>
          </w:tcPr>
          <w:p w:rsidR="008D14E6" w:rsidRPr="00BA60F0" w:rsidRDefault="008D14E6" w:rsidP="00746849">
            <w:pPr>
              <w:adjustRightInd w:val="0"/>
              <w:snapToGrid w:val="0"/>
              <w:spacing w:after="0" w:line="360" w:lineRule="auto"/>
              <w:jc w:val="both"/>
              <w:rPr>
                <w:rFonts w:ascii="Book Antiqua" w:hAnsi="Book Antiqua" w:cs="Arial"/>
                <w:bCs/>
                <w:sz w:val="24"/>
                <w:szCs w:val="24"/>
                <w:lang w:val="en-US"/>
              </w:rPr>
            </w:pPr>
            <w:r w:rsidRPr="00BA60F0">
              <w:rPr>
                <w:rFonts w:ascii="Book Antiqua" w:hAnsi="Book Antiqua" w:cs="Arial"/>
                <w:sz w:val="24"/>
                <w:szCs w:val="24"/>
                <w:lang w:val="en-US"/>
              </w:rPr>
              <w:t>0/1 – 54/46</w:t>
            </w:r>
          </w:p>
        </w:tc>
        <w:tc>
          <w:tcPr>
            <w:tcW w:w="810" w:type="dxa"/>
            <w:vAlign w:val="center"/>
          </w:tcPr>
          <w:p w:rsidR="008D14E6" w:rsidRPr="00BA60F0" w:rsidRDefault="008D14E6" w:rsidP="00746849">
            <w:pPr>
              <w:adjustRightInd w:val="0"/>
              <w:snapToGrid w:val="0"/>
              <w:spacing w:after="0" w:line="360" w:lineRule="auto"/>
              <w:jc w:val="both"/>
              <w:rPr>
                <w:rFonts w:ascii="Book Antiqua" w:hAnsi="Book Antiqua" w:cs="Arial"/>
                <w:bCs/>
                <w:sz w:val="24"/>
                <w:szCs w:val="24"/>
                <w:lang w:val="en-US"/>
              </w:rPr>
            </w:pPr>
            <w:r w:rsidRPr="00BA60F0">
              <w:rPr>
                <w:rFonts w:ascii="Book Antiqua" w:hAnsi="Book Antiqua" w:cs="Arial"/>
                <w:bCs/>
                <w:sz w:val="24"/>
                <w:szCs w:val="24"/>
                <w:lang w:val="en-US"/>
              </w:rPr>
              <w:t>13.0</w:t>
            </w:r>
          </w:p>
        </w:tc>
        <w:tc>
          <w:tcPr>
            <w:tcW w:w="877" w:type="dxa"/>
            <w:vAlign w:val="center"/>
          </w:tcPr>
          <w:p w:rsidR="008D14E6" w:rsidRPr="00BA60F0" w:rsidRDefault="008D14E6" w:rsidP="00746849">
            <w:pPr>
              <w:adjustRightInd w:val="0"/>
              <w:snapToGrid w:val="0"/>
              <w:spacing w:after="0" w:line="360" w:lineRule="auto"/>
              <w:jc w:val="both"/>
              <w:rPr>
                <w:rFonts w:ascii="Book Antiqua" w:hAnsi="Book Antiqua" w:cs="Arial"/>
                <w:bCs/>
                <w:sz w:val="24"/>
                <w:szCs w:val="24"/>
                <w:lang w:val="en-US"/>
              </w:rPr>
            </w:pPr>
            <w:r w:rsidRPr="00BA60F0">
              <w:rPr>
                <w:rFonts w:ascii="Book Antiqua" w:hAnsi="Book Antiqua" w:cs="Arial"/>
                <w:bCs/>
                <w:sz w:val="24"/>
                <w:szCs w:val="24"/>
                <w:lang w:val="en-US"/>
              </w:rPr>
              <w:t>NR</w:t>
            </w:r>
          </w:p>
        </w:tc>
        <w:tc>
          <w:tcPr>
            <w:tcW w:w="810" w:type="dxa"/>
            <w:vAlign w:val="center"/>
          </w:tcPr>
          <w:p w:rsidR="008D14E6" w:rsidRPr="00BA60F0" w:rsidRDefault="008D14E6" w:rsidP="00746849">
            <w:pPr>
              <w:adjustRightInd w:val="0"/>
              <w:snapToGrid w:val="0"/>
              <w:spacing w:after="0" w:line="360" w:lineRule="auto"/>
              <w:jc w:val="both"/>
              <w:rPr>
                <w:rFonts w:ascii="Book Antiqua" w:hAnsi="Book Antiqua" w:cs="Arial"/>
                <w:bCs/>
                <w:sz w:val="24"/>
                <w:szCs w:val="24"/>
                <w:lang w:val="en-US"/>
              </w:rPr>
            </w:pPr>
            <w:r w:rsidRPr="00BA60F0">
              <w:rPr>
                <w:rFonts w:ascii="Book Antiqua" w:hAnsi="Book Antiqua" w:cs="Arial"/>
                <w:bCs/>
                <w:sz w:val="24"/>
                <w:szCs w:val="24"/>
                <w:lang w:val="en-US"/>
              </w:rPr>
              <w:t>5.3</w:t>
            </w:r>
          </w:p>
        </w:tc>
        <w:tc>
          <w:tcPr>
            <w:tcW w:w="810" w:type="dxa"/>
            <w:vMerge w:val="restart"/>
            <w:vAlign w:val="center"/>
          </w:tcPr>
          <w:p w:rsidR="008D14E6" w:rsidRPr="00BA60F0" w:rsidRDefault="008D14E6" w:rsidP="00746849">
            <w:pPr>
              <w:adjustRightInd w:val="0"/>
              <w:snapToGrid w:val="0"/>
              <w:spacing w:after="0" w:line="360" w:lineRule="auto"/>
              <w:jc w:val="both"/>
              <w:rPr>
                <w:rFonts w:ascii="Book Antiqua" w:hAnsi="Book Antiqua" w:cs="Arial"/>
                <w:bCs/>
                <w:sz w:val="24"/>
                <w:szCs w:val="24"/>
                <w:lang w:val="en-US"/>
              </w:rPr>
            </w:pPr>
            <w:r w:rsidRPr="00BA60F0">
              <w:rPr>
                <w:rFonts w:ascii="Book Antiqua" w:hAnsi="Book Antiqua" w:cs="Arial"/>
                <w:sz w:val="24"/>
                <w:szCs w:val="24"/>
                <w:lang w:val="en-US"/>
              </w:rPr>
              <w:t xml:space="preserve">0.657, </w:t>
            </w:r>
            <w:r w:rsidR="007952D5" w:rsidRPr="007952D5">
              <w:rPr>
                <w:rFonts w:ascii="Book Antiqua" w:hAnsi="Book Antiqua" w:cs="Arial"/>
                <w:i/>
                <w:caps/>
                <w:sz w:val="24"/>
                <w:szCs w:val="24"/>
                <w:lang w:val="en-US"/>
              </w:rPr>
              <w:t xml:space="preserve">p = </w:t>
            </w:r>
            <w:r w:rsidRPr="00BA60F0">
              <w:rPr>
                <w:rFonts w:ascii="Book Antiqua" w:hAnsi="Book Antiqua" w:cs="Arial"/>
                <w:sz w:val="24"/>
                <w:szCs w:val="24"/>
                <w:lang w:val="en-US"/>
              </w:rPr>
              <w:t>0.007</w:t>
            </w:r>
          </w:p>
        </w:tc>
        <w:tc>
          <w:tcPr>
            <w:tcW w:w="2543" w:type="dxa"/>
            <w:vAlign w:val="center"/>
          </w:tcPr>
          <w:p w:rsidR="008D14E6" w:rsidRPr="00BA60F0" w:rsidRDefault="008D14E6" w:rsidP="00746849">
            <w:pPr>
              <w:adjustRightInd w:val="0"/>
              <w:snapToGrid w:val="0"/>
              <w:spacing w:after="0" w:line="360" w:lineRule="auto"/>
              <w:jc w:val="both"/>
              <w:rPr>
                <w:rFonts w:ascii="Book Antiqua" w:hAnsi="Book Antiqua" w:cs="Arial"/>
                <w:bCs/>
                <w:sz w:val="24"/>
                <w:szCs w:val="24"/>
                <w:lang w:val="en-US"/>
              </w:rPr>
            </w:pPr>
            <w:r w:rsidRPr="00BA60F0">
              <w:rPr>
                <w:rFonts w:ascii="Book Antiqua" w:hAnsi="Book Antiqua" w:cs="Arial"/>
                <w:bCs/>
                <w:sz w:val="24"/>
                <w:szCs w:val="24"/>
                <w:lang w:val="en-US"/>
              </w:rPr>
              <w:t>Doc: N/A/F/Ano/D/S – 15/30/26/6/3/3</w:t>
            </w:r>
          </w:p>
          <w:p w:rsidR="008D14E6" w:rsidRPr="00BA60F0" w:rsidRDefault="008D14E6" w:rsidP="00746849">
            <w:pPr>
              <w:adjustRightInd w:val="0"/>
              <w:snapToGrid w:val="0"/>
              <w:spacing w:after="0" w:line="360" w:lineRule="auto"/>
              <w:jc w:val="both"/>
              <w:rPr>
                <w:rFonts w:ascii="Book Antiqua" w:hAnsi="Book Antiqua" w:cs="Arial"/>
                <w:bCs/>
                <w:sz w:val="24"/>
                <w:szCs w:val="24"/>
                <w:lang w:val="en-US"/>
              </w:rPr>
            </w:pPr>
            <w:r w:rsidRPr="00BA60F0">
              <w:rPr>
                <w:rFonts w:ascii="Book Antiqua" w:hAnsi="Book Antiqua" w:cs="Arial"/>
                <w:bCs/>
                <w:sz w:val="24"/>
                <w:szCs w:val="24"/>
                <w:lang w:val="en-US"/>
              </w:rPr>
              <w:t>Iri: N/A/F/Ano/D/S – 18/32/10/5/8/5</w:t>
            </w:r>
          </w:p>
        </w:tc>
      </w:tr>
      <w:tr w:rsidR="008D14E6" w:rsidRPr="00BA60F0" w:rsidTr="00C419B4">
        <w:trPr>
          <w:trHeight w:val="435"/>
        </w:trPr>
        <w:tc>
          <w:tcPr>
            <w:tcW w:w="959" w:type="dxa"/>
            <w:vMerge/>
          </w:tcPr>
          <w:p w:rsidR="008D14E6" w:rsidRPr="00BA60F0" w:rsidRDefault="008D14E6" w:rsidP="00746849">
            <w:pPr>
              <w:adjustRightInd w:val="0"/>
              <w:snapToGrid w:val="0"/>
              <w:spacing w:after="0" w:line="360" w:lineRule="auto"/>
              <w:jc w:val="both"/>
              <w:rPr>
                <w:rFonts w:ascii="Book Antiqua" w:hAnsi="Book Antiqua" w:cs="Arial"/>
                <w:b/>
                <w:bCs/>
                <w:sz w:val="24"/>
                <w:szCs w:val="24"/>
                <w:lang w:val="en-US"/>
              </w:rPr>
            </w:pPr>
          </w:p>
        </w:tc>
        <w:tc>
          <w:tcPr>
            <w:tcW w:w="1669" w:type="dxa"/>
            <w:vAlign w:val="center"/>
          </w:tcPr>
          <w:p w:rsidR="008D14E6" w:rsidRPr="00BA60F0" w:rsidRDefault="008D14E6" w:rsidP="00746849">
            <w:pPr>
              <w:adjustRightInd w:val="0"/>
              <w:snapToGrid w:val="0"/>
              <w:spacing w:after="0" w:line="360" w:lineRule="auto"/>
              <w:jc w:val="both"/>
              <w:rPr>
                <w:rFonts w:ascii="Book Antiqua" w:hAnsi="Book Antiqua" w:cs="Arial"/>
                <w:bCs/>
                <w:sz w:val="24"/>
                <w:szCs w:val="24"/>
                <w:lang w:val="en-US"/>
              </w:rPr>
            </w:pPr>
            <w:r w:rsidRPr="00BA60F0">
              <w:rPr>
                <w:rFonts w:ascii="Book Antiqua" w:hAnsi="Book Antiqua" w:cs="Arial"/>
                <w:bCs/>
                <w:sz w:val="24"/>
                <w:szCs w:val="24"/>
                <w:lang w:val="en-US"/>
              </w:rPr>
              <w:t>BSC</w:t>
            </w:r>
          </w:p>
        </w:tc>
        <w:tc>
          <w:tcPr>
            <w:tcW w:w="630" w:type="dxa"/>
            <w:vAlign w:val="center"/>
          </w:tcPr>
          <w:p w:rsidR="008D14E6" w:rsidRPr="00BA60F0" w:rsidRDefault="008D14E6" w:rsidP="00746849">
            <w:pPr>
              <w:adjustRightInd w:val="0"/>
              <w:snapToGrid w:val="0"/>
              <w:spacing w:after="0" w:line="360" w:lineRule="auto"/>
              <w:jc w:val="both"/>
              <w:rPr>
                <w:rFonts w:ascii="Book Antiqua" w:hAnsi="Book Antiqua" w:cs="Arial"/>
                <w:bCs/>
                <w:sz w:val="24"/>
                <w:szCs w:val="24"/>
                <w:lang w:val="en-US"/>
              </w:rPr>
            </w:pPr>
            <w:r w:rsidRPr="00BA60F0">
              <w:rPr>
                <w:rFonts w:ascii="Book Antiqua" w:hAnsi="Book Antiqua" w:cs="Arial"/>
                <w:bCs/>
                <w:sz w:val="24"/>
                <w:szCs w:val="24"/>
                <w:lang w:val="en-US"/>
              </w:rPr>
              <w:t>69</w:t>
            </w:r>
          </w:p>
        </w:tc>
        <w:tc>
          <w:tcPr>
            <w:tcW w:w="1440" w:type="dxa"/>
            <w:vAlign w:val="center"/>
          </w:tcPr>
          <w:p w:rsidR="008D14E6" w:rsidRPr="00BA60F0" w:rsidRDefault="008D14E6" w:rsidP="00746849">
            <w:pPr>
              <w:adjustRightInd w:val="0"/>
              <w:snapToGrid w:val="0"/>
              <w:spacing w:after="0" w:line="360" w:lineRule="auto"/>
              <w:jc w:val="both"/>
              <w:rPr>
                <w:rFonts w:ascii="Book Antiqua" w:hAnsi="Book Antiqua" w:cs="Arial"/>
                <w:bCs/>
                <w:sz w:val="24"/>
                <w:szCs w:val="24"/>
                <w:lang w:val="en-US"/>
              </w:rPr>
            </w:pPr>
            <w:r w:rsidRPr="00BA60F0">
              <w:rPr>
                <w:rFonts w:ascii="Book Antiqua" w:hAnsi="Book Antiqua" w:cs="Arial"/>
                <w:sz w:val="24"/>
                <w:szCs w:val="24"/>
                <w:lang w:val="en-US"/>
              </w:rPr>
              <w:t>0/1 – 52/48</w:t>
            </w:r>
          </w:p>
        </w:tc>
        <w:tc>
          <w:tcPr>
            <w:tcW w:w="810" w:type="dxa"/>
            <w:vAlign w:val="center"/>
          </w:tcPr>
          <w:p w:rsidR="008D14E6" w:rsidRPr="00BA60F0" w:rsidRDefault="008D14E6" w:rsidP="00746849">
            <w:pPr>
              <w:adjustRightInd w:val="0"/>
              <w:snapToGrid w:val="0"/>
              <w:spacing w:after="0" w:line="360" w:lineRule="auto"/>
              <w:jc w:val="both"/>
              <w:rPr>
                <w:rFonts w:ascii="Book Antiqua" w:hAnsi="Book Antiqua" w:cs="Arial"/>
                <w:bCs/>
                <w:sz w:val="24"/>
                <w:szCs w:val="24"/>
                <w:lang w:val="en-US"/>
              </w:rPr>
            </w:pPr>
            <w:r w:rsidRPr="00BA60F0">
              <w:rPr>
                <w:rFonts w:ascii="Book Antiqua" w:hAnsi="Book Antiqua" w:cs="Arial"/>
                <w:bCs/>
                <w:sz w:val="24"/>
                <w:szCs w:val="24"/>
                <w:lang w:val="en-US"/>
              </w:rPr>
              <w:t>NR</w:t>
            </w:r>
          </w:p>
        </w:tc>
        <w:tc>
          <w:tcPr>
            <w:tcW w:w="877" w:type="dxa"/>
            <w:vAlign w:val="center"/>
          </w:tcPr>
          <w:p w:rsidR="008D14E6" w:rsidRPr="00BA60F0" w:rsidRDefault="008D14E6" w:rsidP="00746849">
            <w:pPr>
              <w:adjustRightInd w:val="0"/>
              <w:snapToGrid w:val="0"/>
              <w:spacing w:after="0" w:line="360" w:lineRule="auto"/>
              <w:jc w:val="both"/>
              <w:rPr>
                <w:rFonts w:ascii="Book Antiqua" w:hAnsi="Book Antiqua" w:cs="Arial"/>
                <w:bCs/>
                <w:sz w:val="24"/>
                <w:szCs w:val="24"/>
                <w:lang w:val="en-US"/>
              </w:rPr>
            </w:pPr>
            <w:r w:rsidRPr="00BA60F0">
              <w:rPr>
                <w:rFonts w:ascii="Book Antiqua" w:hAnsi="Book Antiqua" w:cs="Arial"/>
                <w:bCs/>
                <w:sz w:val="24"/>
                <w:szCs w:val="24"/>
                <w:lang w:val="en-US"/>
              </w:rPr>
              <w:t>NR</w:t>
            </w:r>
          </w:p>
        </w:tc>
        <w:tc>
          <w:tcPr>
            <w:tcW w:w="810" w:type="dxa"/>
            <w:vAlign w:val="center"/>
          </w:tcPr>
          <w:p w:rsidR="008D14E6" w:rsidRPr="00BA60F0" w:rsidRDefault="008D14E6" w:rsidP="00746849">
            <w:pPr>
              <w:adjustRightInd w:val="0"/>
              <w:snapToGrid w:val="0"/>
              <w:spacing w:after="0" w:line="360" w:lineRule="auto"/>
              <w:jc w:val="both"/>
              <w:rPr>
                <w:rFonts w:ascii="Book Antiqua" w:hAnsi="Book Antiqua" w:cs="Arial"/>
                <w:bCs/>
                <w:sz w:val="24"/>
                <w:szCs w:val="24"/>
                <w:lang w:val="en-US"/>
              </w:rPr>
            </w:pPr>
            <w:r w:rsidRPr="00BA60F0">
              <w:rPr>
                <w:rFonts w:ascii="Book Antiqua" w:hAnsi="Book Antiqua" w:cs="Arial"/>
                <w:bCs/>
                <w:sz w:val="24"/>
                <w:szCs w:val="24"/>
                <w:lang w:val="en-US"/>
              </w:rPr>
              <w:t>3.8</w:t>
            </w:r>
          </w:p>
        </w:tc>
        <w:tc>
          <w:tcPr>
            <w:tcW w:w="810" w:type="dxa"/>
            <w:vMerge/>
            <w:vAlign w:val="center"/>
          </w:tcPr>
          <w:p w:rsidR="008D14E6" w:rsidRPr="00BA60F0" w:rsidRDefault="008D14E6" w:rsidP="00746849">
            <w:pPr>
              <w:adjustRightInd w:val="0"/>
              <w:snapToGrid w:val="0"/>
              <w:spacing w:after="0" w:line="360" w:lineRule="auto"/>
              <w:jc w:val="both"/>
              <w:rPr>
                <w:rFonts w:ascii="Book Antiqua" w:hAnsi="Book Antiqua" w:cs="Arial"/>
                <w:bCs/>
                <w:sz w:val="24"/>
                <w:szCs w:val="24"/>
                <w:lang w:val="en-US"/>
              </w:rPr>
            </w:pPr>
          </w:p>
        </w:tc>
        <w:tc>
          <w:tcPr>
            <w:tcW w:w="2543" w:type="dxa"/>
            <w:vAlign w:val="center"/>
          </w:tcPr>
          <w:p w:rsidR="008D14E6" w:rsidRPr="00BA60F0" w:rsidRDefault="008D14E6" w:rsidP="00746849">
            <w:pPr>
              <w:adjustRightInd w:val="0"/>
              <w:snapToGrid w:val="0"/>
              <w:spacing w:after="0" w:line="360" w:lineRule="auto"/>
              <w:jc w:val="both"/>
              <w:rPr>
                <w:rFonts w:ascii="Book Antiqua" w:hAnsi="Book Antiqua" w:cs="Arial"/>
                <w:bCs/>
                <w:sz w:val="24"/>
                <w:szCs w:val="24"/>
                <w:lang w:val="en-US"/>
              </w:rPr>
            </w:pPr>
            <w:r w:rsidRPr="00BA60F0">
              <w:rPr>
                <w:rFonts w:ascii="Book Antiqua" w:hAnsi="Book Antiqua" w:cs="Arial"/>
                <w:bCs/>
                <w:sz w:val="24"/>
                <w:szCs w:val="24"/>
                <w:lang w:val="en-US"/>
              </w:rPr>
              <w:t>N/A/F/D/S – 2/23/27/10/5/2</w:t>
            </w:r>
          </w:p>
        </w:tc>
      </w:tr>
      <w:tr w:rsidR="008D14E6" w:rsidRPr="00BA60F0" w:rsidTr="00C419B4">
        <w:trPr>
          <w:trHeight w:val="205"/>
        </w:trPr>
        <w:tc>
          <w:tcPr>
            <w:tcW w:w="959" w:type="dxa"/>
            <w:vMerge w:val="restart"/>
          </w:tcPr>
          <w:p w:rsidR="008D14E6" w:rsidRPr="00BA60F0" w:rsidRDefault="008D14E6" w:rsidP="00746849">
            <w:pPr>
              <w:adjustRightInd w:val="0"/>
              <w:snapToGrid w:val="0"/>
              <w:spacing w:after="0" w:line="360" w:lineRule="auto"/>
              <w:jc w:val="both"/>
              <w:rPr>
                <w:rFonts w:ascii="Book Antiqua" w:hAnsi="Book Antiqua" w:cs="Arial"/>
                <w:b/>
                <w:bCs/>
                <w:sz w:val="24"/>
                <w:szCs w:val="24"/>
                <w:lang w:val="en-US"/>
              </w:rPr>
            </w:pPr>
            <w:r w:rsidRPr="00BA60F0">
              <w:rPr>
                <w:rFonts w:ascii="Book Antiqua" w:hAnsi="Book Antiqua" w:cs="Arial"/>
                <w:b/>
                <w:bCs/>
                <w:sz w:val="24"/>
                <w:szCs w:val="24"/>
                <w:lang w:val="en-US"/>
              </w:rPr>
              <w:t>Hironaka</w:t>
            </w:r>
            <w:r w:rsidR="00865232" w:rsidRPr="00BA60F0">
              <w:rPr>
                <w:rFonts w:ascii="Book Antiqua" w:hAnsi="Book Antiqua" w:cs="Arial"/>
                <w:b/>
                <w:bCs/>
                <w:i/>
                <w:sz w:val="24"/>
                <w:szCs w:val="24"/>
                <w:lang w:val="en-US"/>
              </w:rPr>
              <w:t xml:space="preserve"> et al</w:t>
            </w:r>
            <w:r w:rsidR="00865232" w:rsidRPr="00BA60F0">
              <w:rPr>
                <w:rFonts w:ascii="Book Antiqua" w:hAnsi="Book Antiqua" w:cs="Arial"/>
                <w:b/>
                <w:bCs/>
                <w:sz w:val="24"/>
                <w:szCs w:val="24"/>
                <w:vertAlign w:val="superscript"/>
                <w:lang w:val="en-US"/>
              </w:rPr>
              <w:t>[64]</w:t>
            </w:r>
            <w:r w:rsidR="00865232" w:rsidRPr="00BA60F0">
              <w:rPr>
                <w:rFonts w:ascii="Book Antiqua" w:hAnsi="Book Antiqua" w:cs="Arial"/>
                <w:b/>
                <w:bCs/>
                <w:sz w:val="24"/>
                <w:szCs w:val="24"/>
                <w:lang w:val="en-US"/>
              </w:rPr>
              <w:t>, 2013</w:t>
            </w:r>
          </w:p>
        </w:tc>
        <w:tc>
          <w:tcPr>
            <w:tcW w:w="1669" w:type="dxa"/>
            <w:vAlign w:val="center"/>
          </w:tcPr>
          <w:p w:rsidR="008D14E6" w:rsidRPr="00BA60F0" w:rsidRDefault="008D14E6" w:rsidP="00746849">
            <w:pPr>
              <w:adjustRightInd w:val="0"/>
              <w:snapToGrid w:val="0"/>
              <w:spacing w:after="0" w:line="360" w:lineRule="auto"/>
              <w:jc w:val="both"/>
              <w:rPr>
                <w:rFonts w:ascii="Book Antiqua" w:hAnsi="Book Antiqua" w:cs="Arial"/>
                <w:bCs/>
                <w:sz w:val="24"/>
                <w:szCs w:val="24"/>
                <w:lang w:val="en-US"/>
              </w:rPr>
            </w:pPr>
            <w:r w:rsidRPr="00BA60F0">
              <w:rPr>
                <w:rFonts w:ascii="Book Antiqua" w:hAnsi="Book Antiqua" w:cs="Arial"/>
                <w:bCs/>
                <w:sz w:val="24"/>
                <w:szCs w:val="24"/>
                <w:lang w:val="en-US"/>
              </w:rPr>
              <w:t>Iri 150 d1/d15 q4w</w:t>
            </w:r>
          </w:p>
        </w:tc>
        <w:tc>
          <w:tcPr>
            <w:tcW w:w="630" w:type="dxa"/>
            <w:vAlign w:val="center"/>
          </w:tcPr>
          <w:p w:rsidR="008D14E6" w:rsidRPr="00BA60F0" w:rsidRDefault="008D14E6" w:rsidP="00746849">
            <w:pPr>
              <w:adjustRightInd w:val="0"/>
              <w:snapToGrid w:val="0"/>
              <w:spacing w:after="0" w:line="360" w:lineRule="auto"/>
              <w:jc w:val="both"/>
              <w:rPr>
                <w:rFonts w:ascii="Book Antiqua" w:hAnsi="Book Antiqua" w:cs="Arial"/>
                <w:bCs/>
                <w:sz w:val="24"/>
                <w:szCs w:val="24"/>
                <w:lang w:val="en-US"/>
              </w:rPr>
            </w:pPr>
            <w:r w:rsidRPr="00BA60F0">
              <w:rPr>
                <w:rFonts w:ascii="Book Antiqua" w:hAnsi="Book Antiqua" w:cs="Arial"/>
                <w:bCs/>
                <w:sz w:val="24"/>
                <w:szCs w:val="24"/>
                <w:lang w:val="en-US"/>
              </w:rPr>
              <w:t>112</w:t>
            </w:r>
          </w:p>
        </w:tc>
        <w:tc>
          <w:tcPr>
            <w:tcW w:w="1440" w:type="dxa"/>
            <w:vAlign w:val="center"/>
          </w:tcPr>
          <w:p w:rsidR="008D14E6" w:rsidRPr="00BA60F0" w:rsidRDefault="008D14E6" w:rsidP="00746849">
            <w:pPr>
              <w:adjustRightInd w:val="0"/>
              <w:snapToGrid w:val="0"/>
              <w:spacing w:after="0" w:line="360" w:lineRule="auto"/>
              <w:jc w:val="both"/>
              <w:rPr>
                <w:rFonts w:ascii="Book Antiqua" w:hAnsi="Book Antiqua" w:cs="Arial"/>
                <w:sz w:val="24"/>
                <w:szCs w:val="24"/>
                <w:lang w:val="en-US"/>
              </w:rPr>
            </w:pPr>
            <w:r w:rsidRPr="00BA60F0">
              <w:rPr>
                <w:rFonts w:ascii="Book Antiqua" w:hAnsi="Book Antiqua" w:cs="Arial"/>
                <w:sz w:val="24"/>
                <w:szCs w:val="24"/>
                <w:lang w:val="en-US"/>
              </w:rPr>
              <w:t>0-1/2 – 96.4/3.6</w:t>
            </w:r>
          </w:p>
        </w:tc>
        <w:tc>
          <w:tcPr>
            <w:tcW w:w="810" w:type="dxa"/>
            <w:vAlign w:val="center"/>
          </w:tcPr>
          <w:p w:rsidR="008D14E6" w:rsidRPr="00BA60F0" w:rsidRDefault="008D14E6" w:rsidP="00746849">
            <w:pPr>
              <w:adjustRightInd w:val="0"/>
              <w:snapToGrid w:val="0"/>
              <w:spacing w:after="0" w:line="360" w:lineRule="auto"/>
              <w:jc w:val="both"/>
              <w:rPr>
                <w:rFonts w:ascii="Book Antiqua" w:hAnsi="Book Antiqua" w:cs="Arial"/>
                <w:bCs/>
                <w:sz w:val="24"/>
                <w:szCs w:val="24"/>
                <w:lang w:val="en-US" w:eastAsia="zh-CN"/>
              </w:rPr>
            </w:pPr>
            <w:r w:rsidRPr="00BA60F0">
              <w:rPr>
                <w:rFonts w:ascii="Book Antiqua" w:hAnsi="Book Antiqua" w:cs="Arial"/>
                <w:bCs/>
                <w:sz w:val="24"/>
                <w:szCs w:val="24"/>
                <w:lang w:val="en-US"/>
              </w:rPr>
              <w:t>13.6</w:t>
            </w:r>
            <w:r w:rsidR="00C419B4" w:rsidRPr="00C419B4">
              <w:rPr>
                <w:rFonts w:ascii="Book Antiqua" w:hAnsi="Book Antiqua" w:cs="Arial" w:hint="eastAsia"/>
                <w:bCs/>
                <w:sz w:val="24"/>
                <w:szCs w:val="24"/>
                <w:vertAlign w:val="superscript"/>
                <w:lang w:val="en-US" w:eastAsia="zh-CN"/>
              </w:rPr>
              <w:t>1</w:t>
            </w:r>
          </w:p>
        </w:tc>
        <w:tc>
          <w:tcPr>
            <w:tcW w:w="877" w:type="dxa"/>
            <w:vAlign w:val="center"/>
          </w:tcPr>
          <w:p w:rsidR="008D14E6" w:rsidRPr="00BA60F0" w:rsidRDefault="008D14E6" w:rsidP="00746849">
            <w:pPr>
              <w:adjustRightInd w:val="0"/>
              <w:snapToGrid w:val="0"/>
              <w:spacing w:after="0" w:line="360" w:lineRule="auto"/>
              <w:jc w:val="both"/>
              <w:rPr>
                <w:rFonts w:ascii="Book Antiqua" w:hAnsi="Book Antiqua" w:cs="Arial"/>
                <w:bCs/>
                <w:sz w:val="24"/>
                <w:szCs w:val="24"/>
                <w:lang w:val="en-US"/>
              </w:rPr>
            </w:pPr>
            <w:r w:rsidRPr="00BA60F0">
              <w:rPr>
                <w:rFonts w:ascii="Book Antiqua" w:hAnsi="Book Antiqua" w:cs="Arial"/>
                <w:bCs/>
                <w:sz w:val="24"/>
                <w:szCs w:val="24"/>
                <w:lang w:val="en-US"/>
              </w:rPr>
              <w:t>2.3</w:t>
            </w:r>
            <w:r w:rsidR="00C419B4" w:rsidRPr="00C419B4">
              <w:rPr>
                <w:rFonts w:ascii="Book Antiqua" w:hAnsi="Book Antiqua" w:cs="Arial" w:hint="eastAsia"/>
                <w:bCs/>
                <w:sz w:val="24"/>
                <w:szCs w:val="24"/>
                <w:vertAlign w:val="superscript"/>
                <w:lang w:val="en-US" w:eastAsia="zh-CN"/>
              </w:rPr>
              <w:t>1</w:t>
            </w:r>
          </w:p>
        </w:tc>
        <w:tc>
          <w:tcPr>
            <w:tcW w:w="810" w:type="dxa"/>
            <w:vAlign w:val="center"/>
          </w:tcPr>
          <w:p w:rsidR="008D14E6" w:rsidRPr="00BA60F0" w:rsidRDefault="008D14E6" w:rsidP="00746849">
            <w:pPr>
              <w:adjustRightInd w:val="0"/>
              <w:snapToGrid w:val="0"/>
              <w:spacing w:after="0" w:line="360" w:lineRule="auto"/>
              <w:jc w:val="both"/>
              <w:rPr>
                <w:rFonts w:ascii="Book Antiqua" w:hAnsi="Book Antiqua" w:cs="Arial"/>
                <w:bCs/>
                <w:sz w:val="24"/>
                <w:szCs w:val="24"/>
                <w:lang w:val="en-US"/>
              </w:rPr>
            </w:pPr>
            <w:r w:rsidRPr="00BA60F0">
              <w:rPr>
                <w:rFonts w:ascii="Book Antiqua" w:hAnsi="Book Antiqua" w:cs="Arial"/>
                <w:bCs/>
                <w:sz w:val="24"/>
                <w:szCs w:val="24"/>
                <w:lang w:val="en-US"/>
              </w:rPr>
              <w:t>8.4</w:t>
            </w:r>
          </w:p>
        </w:tc>
        <w:tc>
          <w:tcPr>
            <w:tcW w:w="810" w:type="dxa"/>
            <w:vMerge w:val="restart"/>
            <w:vAlign w:val="center"/>
          </w:tcPr>
          <w:p w:rsidR="008D14E6" w:rsidRPr="00BA60F0" w:rsidRDefault="008D14E6" w:rsidP="00746849">
            <w:pPr>
              <w:adjustRightInd w:val="0"/>
              <w:snapToGrid w:val="0"/>
              <w:spacing w:after="0" w:line="360" w:lineRule="auto"/>
              <w:jc w:val="both"/>
              <w:rPr>
                <w:rFonts w:ascii="Book Antiqua" w:hAnsi="Book Antiqua" w:cs="Arial"/>
                <w:bCs/>
                <w:sz w:val="24"/>
                <w:szCs w:val="24"/>
                <w:lang w:val="en-US"/>
              </w:rPr>
            </w:pPr>
            <w:r w:rsidRPr="00BA60F0">
              <w:rPr>
                <w:rFonts w:ascii="Book Antiqua" w:hAnsi="Book Antiqua" w:cs="Arial"/>
                <w:bCs/>
                <w:sz w:val="24"/>
                <w:szCs w:val="24"/>
                <w:lang w:val="en-US"/>
              </w:rPr>
              <w:t xml:space="preserve">1.13, </w:t>
            </w:r>
            <w:r w:rsidR="007952D5" w:rsidRPr="007952D5">
              <w:rPr>
                <w:rFonts w:ascii="Book Antiqua" w:hAnsi="Book Antiqua" w:cs="Arial"/>
                <w:bCs/>
                <w:i/>
                <w:caps/>
                <w:sz w:val="24"/>
                <w:szCs w:val="24"/>
                <w:lang w:val="en-US"/>
              </w:rPr>
              <w:t xml:space="preserve">p = </w:t>
            </w:r>
            <w:r w:rsidRPr="00BA60F0">
              <w:rPr>
                <w:rFonts w:ascii="Book Antiqua" w:hAnsi="Book Antiqua" w:cs="Arial"/>
                <w:bCs/>
                <w:sz w:val="24"/>
                <w:szCs w:val="24"/>
                <w:lang w:val="en-US"/>
              </w:rPr>
              <w:t>0.38</w:t>
            </w:r>
          </w:p>
        </w:tc>
        <w:tc>
          <w:tcPr>
            <w:tcW w:w="2543" w:type="dxa"/>
            <w:vAlign w:val="center"/>
          </w:tcPr>
          <w:p w:rsidR="008D14E6" w:rsidRPr="00BA60F0" w:rsidRDefault="008D14E6" w:rsidP="00746849">
            <w:pPr>
              <w:adjustRightInd w:val="0"/>
              <w:snapToGrid w:val="0"/>
              <w:spacing w:after="0" w:line="360" w:lineRule="auto"/>
              <w:jc w:val="both"/>
              <w:rPr>
                <w:rFonts w:ascii="Book Antiqua" w:hAnsi="Book Antiqua" w:cs="Arial"/>
                <w:bCs/>
                <w:sz w:val="24"/>
                <w:szCs w:val="24"/>
                <w:lang w:val="en-US"/>
              </w:rPr>
            </w:pPr>
            <w:r w:rsidRPr="00BA60F0">
              <w:rPr>
                <w:rFonts w:ascii="Book Antiqua" w:hAnsi="Book Antiqua" w:cs="Arial"/>
                <w:bCs/>
                <w:sz w:val="24"/>
                <w:szCs w:val="24"/>
                <w:lang w:val="en-US"/>
              </w:rPr>
              <w:t>L/N/A/FN/Ano/Neu/D/AST/Na – 19.1/39.1/30/9.1/17.3/0/4.5/8.2/15.5</w:t>
            </w:r>
          </w:p>
        </w:tc>
      </w:tr>
      <w:tr w:rsidR="008D14E6" w:rsidRPr="00BA60F0" w:rsidTr="00C419B4">
        <w:trPr>
          <w:trHeight w:val="234"/>
        </w:trPr>
        <w:tc>
          <w:tcPr>
            <w:tcW w:w="959" w:type="dxa"/>
            <w:vMerge/>
          </w:tcPr>
          <w:p w:rsidR="008D14E6" w:rsidRPr="00BA60F0" w:rsidRDefault="008D14E6" w:rsidP="00746849">
            <w:pPr>
              <w:adjustRightInd w:val="0"/>
              <w:snapToGrid w:val="0"/>
              <w:spacing w:after="0" w:line="360" w:lineRule="auto"/>
              <w:jc w:val="both"/>
              <w:rPr>
                <w:rFonts w:ascii="Book Antiqua" w:hAnsi="Book Antiqua" w:cs="Arial"/>
                <w:b/>
                <w:bCs/>
                <w:sz w:val="24"/>
                <w:szCs w:val="24"/>
                <w:lang w:val="en-US"/>
              </w:rPr>
            </w:pPr>
          </w:p>
        </w:tc>
        <w:tc>
          <w:tcPr>
            <w:tcW w:w="1669" w:type="dxa"/>
            <w:vAlign w:val="center"/>
          </w:tcPr>
          <w:p w:rsidR="008D14E6" w:rsidRPr="00BA60F0" w:rsidRDefault="008D14E6" w:rsidP="00746849">
            <w:pPr>
              <w:adjustRightInd w:val="0"/>
              <w:snapToGrid w:val="0"/>
              <w:spacing w:after="0" w:line="360" w:lineRule="auto"/>
              <w:jc w:val="both"/>
              <w:rPr>
                <w:rFonts w:ascii="Book Antiqua" w:hAnsi="Book Antiqua" w:cs="Arial"/>
                <w:bCs/>
                <w:sz w:val="24"/>
                <w:szCs w:val="24"/>
                <w:lang w:val="en-US"/>
              </w:rPr>
            </w:pPr>
            <w:r w:rsidRPr="00BA60F0">
              <w:rPr>
                <w:rFonts w:ascii="Book Antiqua" w:hAnsi="Book Antiqua" w:cs="Arial"/>
                <w:bCs/>
                <w:sz w:val="24"/>
                <w:szCs w:val="24"/>
                <w:lang w:val="en-US"/>
              </w:rPr>
              <w:t>Ptx 80 d1/d8/d15 q4w</w:t>
            </w:r>
          </w:p>
        </w:tc>
        <w:tc>
          <w:tcPr>
            <w:tcW w:w="630" w:type="dxa"/>
            <w:vAlign w:val="center"/>
          </w:tcPr>
          <w:p w:rsidR="008D14E6" w:rsidRPr="00BA60F0" w:rsidRDefault="008D14E6" w:rsidP="00746849">
            <w:pPr>
              <w:adjustRightInd w:val="0"/>
              <w:snapToGrid w:val="0"/>
              <w:spacing w:after="0" w:line="360" w:lineRule="auto"/>
              <w:jc w:val="both"/>
              <w:rPr>
                <w:rFonts w:ascii="Book Antiqua" w:hAnsi="Book Antiqua" w:cs="Arial"/>
                <w:bCs/>
                <w:sz w:val="24"/>
                <w:szCs w:val="24"/>
                <w:lang w:val="en-US"/>
              </w:rPr>
            </w:pPr>
            <w:r w:rsidRPr="00BA60F0">
              <w:rPr>
                <w:rFonts w:ascii="Book Antiqua" w:hAnsi="Book Antiqua" w:cs="Arial"/>
                <w:bCs/>
                <w:sz w:val="24"/>
                <w:szCs w:val="24"/>
                <w:lang w:val="en-US"/>
              </w:rPr>
              <w:t>111</w:t>
            </w:r>
          </w:p>
        </w:tc>
        <w:tc>
          <w:tcPr>
            <w:tcW w:w="1440" w:type="dxa"/>
            <w:vAlign w:val="center"/>
          </w:tcPr>
          <w:p w:rsidR="008D14E6" w:rsidRPr="00BA60F0" w:rsidRDefault="008D14E6" w:rsidP="00746849">
            <w:pPr>
              <w:adjustRightInd w:val="0"/>
              <w:snapToGrid w:val="0"/>
              <w:spacing w:after="0" w:line="360" w:lineRule="auto"/>
              <w:jc w:val="both"/>
              <w:rPr>
                <w:rFonts w:ascii="Book Antiqua" w:hAnsi="Book Antiqua" w:cs="Arial"/>
                <w:bCs/>
                <w:sz w:val="24"/>
                <w:szCs w:val="24"/>
                <w:lang w:val="en-US"/>
              </w:rPr>
            </w:pPr>
            <w:r w:rsidRPr="00BA60F0">
              <w:rPr>
                <w:rFonts w:ascii="Book Antiqua" w:hAnsi="Book Antiqua" w:cs="Arial"/>
                <w:bCs/>
                <w:sz w:val="24"/>
                <w:szCs w:val="24"/>
                <w:lang w:val="en-US"/>
              </w:rPr>
              <w:t>0-1/2 – 96.3/3.7</w:t>
            </w:r>
          </w:p>
        </w:tc>
        <w:tc>
          <w:tcPr>
            <w:tcW w:w="810" w:type="dxa"/>
            <w:vAlign w:val="center"/>
          </w:tcPr>
          <w:p w:rsidR="008D14E6" w:rsidRPr="00BA60F0" w:rsidRDefault="008D14E6" w:rsidP="00746849">
            <w:pPr>
              <w:adjustRightInd w:val="0"/>
              <w:snapToGrid w:val="0"/>
              <w:spacing w:after="0" w:line="360" w:lineRule="auto"/>
              <w:jc w:val="both"/>
              <w:rPr>
                <w:rFonts w:ascii="Book Antiqua" w:hAnsi="Book Antiqua" w:cs="Arial"/>
                <w:bCs/>
                <w:sz w:val="24"/>
                <w:szCs w:val="24"/>
                <w:lang w:val="en-US"/>
              </w:rPr>
            </w:pPr>
            <w:r w:rsidRPr="00BA60F0">
              <w:rPr>
                <w:rFonts w:ascii="Book Antiqua" w:hAnsi="Book Antiqua" w:cs="Arial"/>
                <w:bCs/>
                <w:sz w:val="24"/>
                <w:szCs w:val="24"/>
                <w:lang w:val="en-US"/>
              </w:rPr>
              <w:t>20.9</w:t>
            </w:r>
            <w:r w:rsidR="00C419B4" w:rsidRPr="00C419B4">
              <w:rPr>
                <w:rFonts w:ascii="Book Antiqua" w:hAnsi="Book Antiqua" w:cs="Arial" w:hint="eastAsia"/>
                <w:bCs/>
                <w:sz w:val="24"/>
                <w:szCs w:val="24"/>
                <w:vertAlign w:val="superscript"/>
                <w:lang w:val="en-US" w:eastAsia="zh-CN"/>
              </w:rPr>
              <w:t>1</w:t>
            </w:r>
          </w:p>
        </w:tc>
        <w:tc>
          <w:tcPr>
            <w:tcW w:w="877" w:type="dxa"/>
            <w:vAlign w:val="center"/>
          </w:tcPr>
          <w:p w:rsidR="008D14E6" w:rsidRPr="00BA60F0" w:rsidRDefault="008D14E6" w:rsidP="00746849">
            <w:pPr>
              <w:adjustRightInd w:val="0"/>
              <w:snapToGrid w:val="0"/>
              <w:spacing w:after="0" w:line="360" w:lineRule="auto"/>
              <w:jc w:val="both"/>
              <w:rPr>
                <w:rFonts w:ascii="Book Antiqua" w:hAnsi="Book Antiqua" w:cs="Arial"/>
                <w:bCs/>
                <w:sz w:val="24"/>
                <w:szCs w:val="24"/>
                <w:lang w:val="en-US"/>
              </w:rPr>
            </w:pPr>
            <w:r w:rsidRPr="00BA60F0">
              <w:rPr>
                <w:rFonts w:ascii="Book Antiqua" w:hAnsi="Book Antiqua" w:cs="Arial"/>
                <w:bCs/>
                <w:sz w:val="24"/>
                <w:szCs w:val="24"/>
                <w:lang w:val="en-US"/>
              </w:rPr>
              <w:t>3.6</w:t>
            </w:r>
            <w:r w:rsidR="00C419B4" w:rsidRPr="00C419B4">
              <w:rPr>
                <w:rFonts w:ascii="Book Antiqua" w:hAnsi="Book Antiqua" w:cs="Arial" w:hint="eastAsia"/>
                <w:bCs/>
                <w:sz w:val="24"/>
                <w:szCs w:val="24"/>
                <w:vertAlign w:val="superscript"/>
                <w:lang w:val="en-US" w:eastAsia="zh-CN"/>
              </w:rPr>
              <w:t>1</w:t>
            </w:r>
          </w:p>
        </w:tc>
        <w:tc>
          <w:tcPr>
            <w:tcW w:w="810" w:type="dxa"/>
            <w:vAlign w:val="center"/>
          </w:tcPr>
          <w:p w:rsidR="008D14E6" w:rsidRPr="00BA60F0" w:rsidRDefault="008D14E6" w:rsidP="00746849">
            <w:pPr>
              <w:adjustRightInd w:val="0"/>
              <w:snapToGrid w:val="0"/>
              <w:spacing w:after="0" w:line="360" w:lineRule="auto"/>
              <w:jc w:val="both"/>
              <w:rPr>
                <w:rFonts w:ascii="Book Antiqua" w:hAnsi="Book Antiqua" w:cs="Arial"/>
                <w:bCs/>
                <w:sz w:val="24"/>
                <w:szCs w:val="24"/>
                <w:lang w:val="en-US"/>
              </w:rPr>
            </w:pPr>
            <w:r w:rsidRPr="00BA60F0">
              <w:rPr>
                <w:rFonts w:ascii="Book Antiqua" w:hAnsi="Book Antiqua" w:cs="Arial"/>
                <w:bCs/>
                <w:sz w:val="24"/>
                <w:szCs w:val="24"/>
                <w:lang w:val="en-US"/>
              </w:rPr>
              <w:t>9.5</w:t>
            </w:r>
          </w:p>
        </w:tc>
        <w:tc>
          <w:tcPr>
            <w:tcW w:w="810" w:type="dxa"/>
            <w:vMerge/>
            <w:vAlign w:val="center"/>
          </w:tcPr>
          <w:p w:rsidR="008D14E6" w:rsidRPr="00BA60F0" w:rsidRDefault="008D14E6" w:rsidP="00746849">
            <w:pPr>
              <w:adjustRightInd w:val="0"/>
              <w:snapToGrid w:val="0"/>
              <w:spacing w:after="0" w:line="360" w:lineRule="auto"/>
              <w:jc w:val="both"/>
              <w:rPr>
                <w:rFonts w:ascii="Book Antiqua" w:hAnsi="Book Antiqua" w:cs="Arial"/>
                <w:bCs/>
                <w:sz w:val="24"/>
                <w:szCs w:val="24"/>
                <w:lang w:val="en-US"/>
              </w:rPr>
            </w:pPr>
          </w:p>
        </w:tc>
        <w:tc>
          <w:tcPr>
            <w:tcW w:w="2543" w:type="dxa"/>
            <w:vAlign w:val="center"/>
          </w:tcPr>
          <w:p w:rsidR="008D14E6" w:rsidRPr="00BA60F0" w:rsidRDefault="008D14E6" w:rsidP="00746849">
            <w:pPr>
              <w:adjustRightInd w:val="0"/>
              <w:snapToGrid w:val="0"/>
              <w:spacing w:after="0" w:line="360" w:lineRule="auto"/>
              <w:jc w:val="both"/>
              <w:rPr>
                <w:rFonts w:ascii="Book Antiqua" w:hAnsi="Book Antiqua" w:cs="Arial"/>
                <w:bCs/>
                <w:sz w:val="24"/>
                <w:szCs w:val="24"/>
                <w:lang w:val="en-US"/>
              </w:rPr>
            </w:pPr>
            <w:r w:rsidRPr="00BA60F0">
              <w:rPr>
                <w:rFonts w:ascii="Book Antiqua" w:hAnsi="Book Antiqua" w:cs="Arial"/>
                <w:bCs/>
                <w:sz w:val="24"/>
                <w:szCs w:val="24"/>
                <w:lang w:val="en-US"/>
              </w:rPr>
              <w:t>L/N/A/FN/Ano/Neu/D/AST/Na – 20.4/28.7/21.3/2.8/7.4/7.4/0.9/3.7/3.7</w:t>
            </w:r>
          </w:p>
        </w:tc>
      </w:tr>
      <w:tr w:rsidR="008D14E6" w:rsidRPr="00BA60F0" w:rsidTr="00C419B4">
        <w:trPr>
          <w:trHeight w:val="252"/>
        </w:trPr>
        <w:tc>
          <w:tcPr>
            <w:tcW w:w="959" w:type="dxa"/>
            <w:vMerge w:val="restart"/>
          </w:tcPr>
          <w:p w:rsidR="008D14E6" w:rsidRPr="00BA60F0" w:rsidRDefault="008D14E6" w:rsidP="00746849">
            <w:pPr>
              <w:adjustRightInd w:val="0"/>
              <w:snapToGrid w:val="0"/>
              <w:spacing w:after="0" w:line="360" w:lineRule="auto"/>
              <w:jc w:val="both"/>
              <w:rPr>
                <w:rFonts w:ascii="Book Antiqua" w:hAnsi="Book Antiqua" w:cs="Arial"/>
                <w:b/>
                <w:bCs/>
                <w:sz w:val="24"/>
                <w:szCs w:val="24"/>
                <w:lang w:val="en-US"/>
              </w:rPr>
            </w:pPr>
            <w:r w:rsidRPr="00BA60F0">
              <w:rPr>
                <w:rFonts w:ascii="Book Antiqua" w:hAnsi="Book Antiqua" w:cs="Arial"/>
                <w:b/>
                <w:bCs/>
                <w:sz w:val="24"/>
                <w:szCs w:val="24"/>
                <w:lang w:val="en-US"/>
              </w:rPr>
              <w:t>Ford</w:t>
            </w:r>
            <w:r w:rsidR="00865232" w:rsidRPr="00BA60F0">
              <w:rPr>
                <w:rFonts w:ascii="Book Antiqua" w:hAnsi="Book Antiqua" w:cs="Arial"/>
                <w:b/>
                <w:bCs/>
                <w:i/>
                <w:sz w:val="24"/>
                <w:szCs w:val="24"/>
                <w:lang w:val="en-US"/>
              </w:rPr>
              <w:t xml:space="preserve"> et al</w:t>
            </w:r>
            <w:r w:rsidR="00865232" w:rsidRPr="00BA60F0">
              <w:rPr>
                <w:rFonts w:ascii="Book Antiqua" w:hAnsi="Book Antiqua" w:cs="Arial"/>
                <w:b/>
                <w:bCs/>
                <w:sz w:val="24"/>
                <w:szCs w:val="24"/>
                <w:vertAlign w:val="superscript"/>
                <w:lang w:val="en-US"/>
              </w:rPr>
              <w:t>[65]</w:t>
            </w:r>
            <w:r w:rsidR="00865232" w:rsidRPr="00BA60F0">
              <w:rPr>
                <w:rFonts w:ascii="Book Antiqua" w:hAnsi="Book Antiqua" w:cs="Arial"/>
                <w:b/>
                <w:bCs/>
                <w:sz w:val="24"/>
                <w:szCs w:val="24"/>
                <w:lang w:val="en-US"/>
              </w:rPr>
              <w:t xml:space="preserve">, </w:t>
            </w:r>
            <w:r w:rsidR="00865232" w:rsidRPr="00BA60F0">
              <w:rPr>
                <w:rFonts w:ascii="Book Antiqua" w:hAnsi="Book Antiqua" w:cs="Arial"/>
                <w:b/>
                <w:bCs/>
                <w:sz w:val="24"/>
                <w:szCs w:val="24"/>
                <w:lang w:val="en-US"/>
              </w:rPr>
              <w:lastRenderedPageBreak/>
              <w:t>2014</w:t>
            </w:r>
          </w:p>
        </w:tc>
        <w:tc>
          <w:tcPr>
            <w:tcW w:w="1669" w:type="dxa"/>
            <w:vAlign w:val="center"/>
          </w:tcPr>
          <w:p w:rsidR="008D14E6" w:rsidRPr="00BA60F0" w:rsidRDefault="008D14E6" w:rsidP="00746849">
            <w:pPr>
              <w:adjustRightInd w:val="0"/>
              <w:snapToGrid w:val="0"/>
              <w:spacing w:after="0" w:line="360" w:lineRule="auto"/>
              <w:jc w:val="both"/>
              <w:rPr>
                <w:rFonts w:ascii="Book Antiqua" w:hAnsi="Book Antiqua" w:cs="Arial"/>
                <w:bCs/>
                <w:sz w:val="24"/>
                <w:szCs w:val="24"/>
                <w:lang w:val="en-US"/>
              </w:rPr>
            </w:pPr>
            <w:r w:rsidRPr="00BA60F0">
              <w:rPr>
                <w:rFonts w:ascii="Book Antiqua" w:hAnsi="Book Antiqua" w:cs="Arial"/>
                <w:bCs/>
                <w:sz w:val="24"/>
                <w:szCs w:val="24"/>
                <w:lang w:val="en-US"/>
              </w:rPr>
              <w:lastRenderedPageBreak/>
              <w:t>Doc 75 d1 q3w</w:t>
            </w:r>
          </w:p>
        </w:tc>
        <w:tc>
          <w:tcPr>
            <w:tcW w:w="630" w:type="dxa"/>
            <w:vAlign w:val="center"/>
          </w:tcPr>
          <w:p w:rsidR="008D14E6" w:rsidRPr="00BA60F0" w:rsidRDefault="008D14E6" w:rsidP="00746849">
            <w:pPr>
              <w:adjustRightInd w:val="0"/>
              <w:snapToGrid w:val="0"/>
              <w:spacing w:after="0" w:line="360" w:lineRule="auto"/>
              <w:jc w:val="both"/>
              <w:rPr>
                <w:rFonts w:ascii="Book Antiqua" w:hAnsi="Book Antiqua" w:cs="Arial"/>
                <w:bCs/>
                <w:sz w:val="24"/>
                <w:szCs w:val="24"/>
                <w:lang w:val="en-US"/>
              </w:rPr>
            </w:pPr>
            <w:r w:rsidRPr="00BA60F0">
              <w:rPr>
                <w:rFonts w:ascii="Book Antiqua" w:hAnsi="Book Antiqua" w:cs="Arial"/>
                <w:bCs/>
                <w:sz w:val="24"/>
                <w:szCs w:val="24"/>
                <w:lang w:val="en-US"/>
              </w:rPr>
              <w:t>84</w:t>
            </w:r>
          </w:p>
        </w:tc>
        <w:tc>
          <w:tcPr>
            <w:tcW w:w="1440" w:type="dxa"/>
            <w:vAlign w:val="center"/>
          </w:tcPr>
          <w:p w:rsidR="008D14E6" w:rsidRPr="00BA60F0" w:rsidRDefault="008D14E6" w:rsidP="00746849">
            <w:pPr>
              <w:adjustRightInd w:val="0"/>
              <w:snapToGrid w:val="0"/>
              <w:spacing w:after="0" w:line="360" w:lineRule="auto"/>
              <w:jc w:val="both"/>
              <w:rPr>
                <w:rFonts w:ascii="Book Antiqua" w:hAnsi="Book Antiqua" w:cs="Arial"/>
                <w:bCs/>
                <w:sz w:val="24"/>
                <w:szCs w:val="24"/>
                <w:lang w:val="en-US"/>
              </w:rPr>
            </w:pPr>
            <w:r w:rsidRPr="00BA60F0">
              <w:rPr>
                <w:rFonts w:ascii="Book Antiqua" w:hAnsi="Book Antiqua" w:cs="Arial"/>
                <w:bCs/>
                <w:sz w:val="24"/>
                <w:szCs w:val="24"/>
                <w:lang w:val="en-US"/>
              </w:rPr>
              <w:t>0/1/2 – 28/55/17</w:t>
            </w:r>
          </w:p>
        </w:tc>
        <w:tc>
          <w:tcPr>
            <w:tcW w:w="810" w:type="dxa"/>
            <w:vAlign w:val="center"/>
          </w:tcPr>
          <w:p w:rsidR="008D14E6" w:rsidRPr="00BA60F0" w:rsidRDefault="008D14E6" w:rsidP="00746849">
            <w:pPr>
              <w:adjustRightInd w:val="0"/>
              <w:snapToGrid w:val="0"/>
              <w:spacing w:after="0" w:line="360" w:lineRule="auto"/>
              <w:jc w:val="both"/>
              <w:rPr>
                <w:rFonts w:ascii="Book Antiqua" w:hAnsi="Book Antiqua" w:cs="Arial"/>
                <w:bCs/>
                <w:sz w:val="24"/>
                <w:szCs w:val="24"/>
                <w:lang w:val="en-US"/>
              </w:rPr>
            </w:pPr>
            <w:r w:rsidRPr="00BA60F0">
              <w:rPr>
                <w:rFonts w:ascii="Book Antiqua" w:hAnsi="Book Antiqua" w:cs="Arial"/>
                <w:bCs/>
                <w:sz w:val="24"/>
                <w:szCs w:val="24"/>
                <w:lang w:val="en-US"/>
              </w:rPr>
              <w:t>7</w:t>
            </w:r>
          </w:p>
        </w:tc>
        <w:tc>
          <w:tcPr>
            <w:tcW w:w="877" w:type="dxa"/>
            <w:vAlign w:val="center"/>
          </w:tcPr>
          <w:p w:rsidR="008D14E6" w:rsidRPr="00BA60F0" w:rsidRDefault="008D14E6" w:rsidP="00746849">
            <w:pPr>
              <w:adjustRightInd w:val="0"/>
              <w:snapToGrid w:val="0"/>
              <w:spacing w:after="0" w:line="360" w:lineRule="auto"/>
              <w:jc w:val="both"/>
              <w:rPr>
                <w:rFonts w:ascii="Book Antiqua" w:hAnsi="Book Antiqua" w:cs="Arial"/>
                <w:bCs/>
                <w:sz w:val="24"/>
                <w:szCs w:val="24"/>
                <w:lang w:val="en-US"/>
              </w:rPr>
            </w:pPr>
            <w:r w:rsidRPr="00BA60F0">
              <w:rPr>
                <w:rFonts w:ascii="Book Antiqua" w:hAnsi="Book Antiqua" w:cs="Arial"/>
                <w:bCs/>
                <w:sz w:val="24"/>
                <w:szCs w:val="24"/>
                <w:lang w:val="en-US"/>
              </w:rPr>
              <w:t xml:space="preserve">29% </w:t>
            </w:r>
            <w:r w:rsidRPr="00BA60F0">
              <w:rPr>
                <w:rFonts w:ascii="Book Antiqua" w:hAnsi="Book Antiqua" w:cs="Arial"/>
                <w:bCs/>
                <w:sz w:val="24"/>
                <w:szCs w:val="24"/>
                <w:lang w:val="en-US"/>
              </w:rPr>
              <w:br/>
              <w:t>(at 24 wks)</w:t>
            </w:r>
          </w:p>
        </w:tc>
        <w:tc>
          <w:tcPr>
            <w:tcW w:w="810" w:type="dxa"/>
            <w:vAlign w:val="center"/>
          </w:tcPr>
          <w:p w:rsidR="008D14E6" w:rsidRPr="00BA60F0" w:rsidRDefault="008D14E6" w:rsidP="00746849">
            <w:pPr>
              <w:adjustRightInd w:val="0"/>
              <w:snapToGrid w:val="0"/>
              <w:spacing w:after="0" w:line="360" w:lineRule="auto"/>
              <w:jc w:val="both"/>
              <w:rPr>
                <w:rFonts w:ascii="Book Antiqua" w:hAnsi="Book Antiqua" w:cs="Arial"/>
                <w:bCs/>
                <w:sz w:val="24"/>
                <w:szCs w:val="24"/>
                <w:lang w:val="en-US"/>
              </w:rPr>
            </w:pPr>
            <w:r w:rsidRPr="00BA60F0">
              <w:rPr>
                <w:rFonts w:ascii="Book Antiqua" w:hAnsi="Book Antiqua" w:cs="Arial"/>
                <w:bCs/>
                <w:sz w:val="24"/>
                <w:szCs w:val="24"/>
                <w:lang w:val="en-US"/>
              </w:rPr>
              <w:t>5.2</w:t>
            </w:r>
          </w:p>
        </w:tc>
        <w:tc>
          <w:tcPr>
            <w:tcW w:w="810" w:type="dxa"/>
            <w:vMerge w:val="restart"/>
            <w:vAlign w:val="center"/>
          </w:tcPr>
          <w:p w:rsidR="008D14E6" w:rsidRPr="00BA60F0" w:rsidRDefault="008D14E6" w:rsidP="00746849">
            <w:pPr>
              <w:adjustRightInd w:val="0"/>
              <w:snapToGrid w:val="0"/>
              <w:spacing w:after="0" w:line="360" w:lineRule="auto"/>
              <w:jc w:val="both"/>
              <w:rPr>
                <w:rFonts w:ascii="Book Antiqua" w:hAnsi="Book Antiqua" w:cs="Arial"/>
                <w:bCs/>
                <w:sz w:val="24"/>
                <w:szCs w:val="24"/>
                <w:lang w:val="en-US"/>
              </w:rPr>
            </w:pPr>
            <w:r w:rsidRPr="00BA60F0">
              <w:rPr>
                <w:rFonts w:ascii="Book Antiqua" w:hAnsi="Book Antiqua" w:cs="Arial"/>
                <w:bCs/>
                <w:sz w:val="24"/>
                <w:szCs w:val="24"/>
                <w:lang w:val="en-US"/>
              </w:rPr>
              <w:t xml:space="preserve">0.67, </w:t>
            </w:r>
            <w:r w:rsidR="007952D5" w:rsidRPr="007952D5">
              <w:rPr>
                <w:rFonts w:ascii="Book Antiqua" w:hAnsi="Book Antiqua" w:cs="Arial"/>
                <w:bCs/>
                <w:i/>
                <w:caps/>
                <w:sz w:val="24"/>
                <w:szCs w:val="24"/>
                <w:lang w:val="en-US"/>
              </w:rPr>
              <w:t xml:space="preserve">p = </w:t>
            </w:r>
            <w:r w:rsidRPr="00BA60F0">
              <w:rPr>
                <w:rFonts w:ascii="Book Antiqua" w:hAnsi="Book Antiqua" w:cs="Arial"/>
                <w:bCs/>
                <w:sz w:val="24"/>
                <w:szCs w:val="24"/>
                <w:lang w:val="en-US"/>
              </w:rPr>
              <w:t>0.01</w:t>
            </w:r>
          </w:p>
        </w:tc>
        <w:tc>
          <w:tcPr>
            <w:tcW w:w="2543" w:type="dxa"/>
            <w:vAlign w:val="center"/>
          </w:tcPr>
          <w:p w:rsidR="008D14E6" w:rsidRPr="00BA60F0" w:rsidRDefault="008D14E6" w:rsidP="00746849">
            <w:pPr>
              <w:adjustRightInd w:val="0"/>
              <w:snapToGrid w:val="0"/>
              <w:spacing w:after="0" w:line="360" w:lineRule="auto"/>
              <w:jc w:val="both"/>
              <w:rPr>
                <w:rFonts w:ascii="Book Antiqua" w:hAnsi="Book Antiqua" w:cs="Arial"/>
                <w:bCs/>
                <w:sz w:val="24"/>
                <w:szCs w:val="24"/>
                <w:lang w:val="en-US"/>
              </w:rPr>
            </w:pPr>
            <w:r w:rsidRPr="00BA60F0">
              <w:rPr>
                <w:rFonts w:ascii="Book Antiqua" w:hAnsi="Book Antiqua" w:cs="Arial"/>
                <w:bCs/>
                <w:sz w:val="24"/>
                <w:szCs w:val="24"/>
                <w:lang w:val="en-US"/>
              </w:rPr>
              <w:t>N/A/FN/I/H/P/Neu – 15/6/7/15/1/11/4</w:t>
            </w:r>
          </w:p>
        </w:tc>
      </w:tr>
      <w:tr w:rsidR="008D14E6" w:rsidRPr="00BA60F0" w:rsidTr="00C419B4">
        <w:trPr>
          <w:trHeight w:val="187"/>
        </w:trPr>
        <w:tc>
          <w:tcPr>
            <w:tcW w:w="959" w:type="dxa"/>
            <w:vMerge/>
          </w:tcPr>
          <w:p w:rsidR="008D14E6" w:rsidRPr="00BA60F0" w:rsidRDefault="008D14E6" w:rsidP="00746849">
            <w:pPr>
              <w:adjustRightInd w:val="0"/>
              <w:snapToGrid w:val="0"/>
              <w:spacing w:after="0" w:line="360" w:lineRule="auto"/>
              <w:jc w:val="both"/>
              <w:rPr>
                <w:rFonts w:ascii="Book Antiqua" w:hAnsi="Book Antiqua" w:cs="Arial"/>
                <w:b/>
                <w:bCs/>
                <w:sz w:val="24"/>
                <w:szCs w:val="24"/>
                <w:lang w:val="en-US"/>
              </w:rPr>
            </w:pPr>
          </w:p>
        </w:tc>
        <w:tc>
          <w:tcPr>
            <w:tcW w:w="1669" w:type="dxa"/>
            <w:vAlign w:val="center"/>
          </w:tcPr>
          <w:p w:rsidR="008D14E6" w:rsidRPr="00BA60F0" w:rsidRDefault="008D14E6" w:rsidP="00746849">
            <w:pPr>
              <w:adjustRightInd w:val="0"/>
              <w:snapToGrid w:val="0"/>
              <w:spacing w:after="0" w:line="360" w:lineRule="auto"/>
              <w:jc w:val="both"/>
              <w:rPr>
                <w:rFonts w:ascii="Book Antiqua" w:hAnsi="Book Antiqua" w:cs="Arial"/>
                <w:bCs/>
                <w:sz w:val="24"/>
                <w:szCs w:val="24"/>
                <w:lang w:val="en-US"/>
              </w:rPr>
            </w:pPr>
            <w:r w:rsidRPr="00BA60F0">
              <w:rPr>
                <w:rFonts w:ascii="Book Antiqua" w:hAnsi="Book Antiqua" w:cs="Arial"/>
                <w:bCs/>
                <w:sz w:val="24"/>
                <w:szCs w:val="24"/>
                <w:lang w:val="en-US"/>
              </w:rPr>
              <w:t>BSC</w:t>
            </w:r>
          </w:p>
        </w:tc>
        <w:tc>
          <w:tcPr>
            <w:tcW w:w="630" w:type="dxa"/>
            <w:vAlign w:val="center"/>
          </w:tcPr>
          <w:p w:rsidR="008D14E6" w:rsidRPr="00BA60F0" w:rsidRDefault="008D14E6" w:rsidP="00746849">
            <w:pPr>
              <w:adjustRightInd w:val="0"/>
              <w:snapToGrid w:val="0"/>
              <w:spacing w:after="0" w:line="360" w:lineRule="auto"/>
              <w:jc w:val="both"/>
              <w:rPr>
                <w:rFonts w:ascii="Book Antiqua" w:hAnsi="Book Antiqua" w:cs="Arial"/>
                <w:bCs/>
                <w:sz w:val="24"/>
                <w:szCs w:val="24"/>
                <w:lang w:val="en-US"/>
              </w:rPr>
            </w:pPr>
            <w:r w:rsidRPr="00BA60F0">
              <w:rPr>
                <w:rFonts w:ascii="Book Antiqua" w:hAnsi="Book Antiqua" w:cs="Arial"/>
                <w:bCs/>
                <w:sz w:val="24"/>
                <w:szCs w:val="24"/>
                <w:lang w:val="en-US"/>
              </w:rPr>
              <w:t>84</w:t>
            </w:r>
          </w:p>
        </w:tc>
        <w:tc>
          <w:tcPr>
            <w:tcW w:w="1440" w:type="dxa"/>
            <w:vAlign w:val="center"/>
          </w:tcPr>
          <w:p w:rsidR="008D14E6" w:rsidRPr="00BA60F0" w:rsidRDefault="008D14E6" w:rsidP="00746849">
            <w:pPr>
              <w:adjustRightInd w:val="0"/>
              <w:snapToGrid w:val="0"/>
              <w:spacing w:after="0" w:line="360" w:lineRule="auto"/>
              <w:jc w:val="both"/>
              <w:rPr>
                <w:rFonts w:ascii="Book Antiqua" w:hAnsi="Book Antiqua" w:cs="Arial"/>
                <w:bCs/>
                <w:sz w:val="24"/>
                <w:szCs w:val="24"/>
                <w:lang w:val="en-US"/>
              </w:rPr>
            </w:pPr>
            <w:r w:rsidRPr="00BA60F0">
              <w:rPr>
                <w:rFonts w:ascii="Book Antiqua" w:hAnsi="Book Antiqua" w:cs="Arial"/>
                <w:bCs/>
                <w:sz w:val="24"/>
                <w:szCs w:val="24"/>
                <w:lang w:val="en-US"/>
              </w:rPr>
              <w:t>0/1/2 – 28/60/14</w:t>
            </w:r>
          </w:p>
        </w:tc>
        <w:tc>
          <w:tcPr>
            <w:tcW w:w="810" w:type="dxa"/>
            <w:vAlign w:val="center"/>
          </w:tcPr>
          <w:p w:rsidR="008D14E6" w:rsidRPr="00BA60F0" w:rsidRDefault="008D14E6" w:rsidP="00746849">
            <w:pPr>
              <w:adjustRightInd w:val="0"/>
              <w:snapToGrid w:val="0"/>
              <w:spacing w:after="0" w:line="360" w:lineRule="auto"/>
              <w:jc w:val="both"/>
              <w:rPr>
                <w:rFonts w:ascii="Book Antiqua" w:hAnsi="Book Antiqua" w:cs="Arial"/>
                <w:bCs/>
                <w:sz w:val="24"/>
                <w:szCs w:val="24"/>
                <w:lang w:val="en-US"/>
              </w:rPr>
            </w:pPr>
            <w:r w:rsidRPr="00BA60F0">
              <w:rPr>
                <w:rFonts w:ascii="Book Antiqua" w:hAnsi="Book Antiqua" w:cs="Arial"/>
                <w:bCs/>
                <w:sz w:val="24"/>
                <w:szCs w:val="24"/>
                <w:lang w:val="en-US"/>
              </w:rPr>
              <w:t>NR</w:t>
            </w:r>
          </w:p>
        </w:tc>
        <w:tc>
          <w:tcPr>
            <w:tcW w:w="877" w:type="dxa"/>
            <w:vAlign w:val="center"/>
          </w:tcPr>
          <w:p w:rsidR="008D14E6" w:rsidRPr="00BA60F0" w:rsidRDefault="008D14E6" w:rsidP="00746849">
            <w:pPr>
              <w:adjustRightInd w:val="0"/>
              <w:snapToGrid w:val="0"/>
              <w:spacing w:after="0" w:line="360" w:lineRule="auto"/>
              <w:jc w:val="both"/>
              <w:rPr>
                <w:rFonts w:ascii="Book Antiqua" w:hAnsi="Book Antiqua" w:cs="Arial"/>
                <w:bCs/>
                <w:sz w:val="24"/>
                <w:szCs w:val="24"/>
                <w:lang w:val="en-US"/>
              </w:rPr>
            </w:pPr>
            <w:r w:rsidRPr="00BA60F0">
              <w:rPr>
                <w:rFonts w:ascii="Book Antiqua" w:hAnsi="Book Antiqua" w:cs="Arial"/>
                <w:bCs/>
                <w:sz w:val="24"/>
                <w:szCs w:val="24"/>
                <w:lang w:val="en-US"/>
              </w:rPr>
              <w:t>NR</w:t>
            </w:r>
          </w:p>
        </w:tc>
        <w:tc>
          <w:tcPr>
            <w:tcW w:w="810" w:type="dxa"/>
            <w:vAlign w:val="center"/>
          </w:tcPr>
          <w:p w:rsidR="008D14E6" w:rsidRPr="00BA60F0" w:rsidRDefault="008D14E6" w:rsidP="00746849">
            <w:pPr>
              <w:adjustRightInd w:val="0"/>
              <w:snapToGrid w:val="0"/>
              <w:spacing w:after="0" w:line="360" w:lineRule="auto"/>
              <w:jc w:val="both"/>
              <w:rPr>
                <w:rFonts w:ascii="Book Antiqua" w:hAnsi="Book Antiqua" w:cs="Arial"/>
                <w:bCs/>
                <w:sz w:val="24"/>
                <w:szCs w:val="24"/>
                <w:lang w:val="en-US"/>
              </w:rPr>
            </w:pPr>
            <w:r w:rsidRPr="00BA60F0">
              <w:rPr>
                <w:rFonts w:ascii="Book Antiqua" w:hAnsi="Book Antiqua" w:cs="Arial"/>
                <w:bCs/>
                <w:sz w:val="24"/>
                <w:szCs w:val="24"/>
                <w:lang w:val="en-US"/>
              </w:rPr>
              <w:t>3.6</w:t>
            </w:r>
          </w:p>
        </w:tc>
        <w:tc>
          <w:tcPr>
            <w:tcW w:w="810" w:type="dxa"/>
            <w:vMerge/>
            <w:vAlign w:val="center"/>
          </w:tcPr>
          <w:p w:rsidR="008D14E6" w:rsidRPr="00BA60F0" w:rsidRDefault="008D14E6" w:rsidP="00746849">
            <w:pPr>
              <w:adjustRightInd w:val="0"/>
              <w:snapToGrid w:val="0"/>
              <w:spacing w:after="0" w:line="360" w:lineRule="auto"/>
              <w:jc w:val="both"/>
              <w:rPr>
                <w:rFonts w:ascii="Book Antiqua" w:hAnsi="Book Antiqua" w:cs="Arial"/>
                <w:bCs/>
                <w:sz w:val="24"/>
                <w:szCs w:val="24"/>
                <w:lang w:val="en-US"/>
              </w:rPr>
            </w:pPr>
          </w:p>
        </w:tc>
        <w:tc>
          <w:tcPr>
            <w:tcW w:w="2543" w:type="dxa"/>
            <w:vAlign w:val="center"/>
          </w:tcPr>
          <w:p w:rsidR="008D14E6" w:rsidRPr="00BA60F0" w:rsidRDefault="008D14E6" w:rsidP="00746849">
            <w:pPr>
              <w:adjustRightInd w:val="0"/>
              <w:snapToGrid w:val="0"/>
              <w:spacing w:after="0" w:line="360" w:lineRule="auto"/>
              <w:jc w:val="both"/>
              <w:rPr>
                <w:rFonts w:ascii="Book Antiqua" w:hAnsi="Book Antiqua" w:cs="Arial"/>
                <w:bCs/>
                <w:sz w:val="24"/>
                <w:szCs w:val="24"/>
                <w:lang w:val="en-US"/>
              </w:rPr>
            </w:pPr>
            <w:r w:rsidRPr="00BA60F0">
              <w:rPr>
                <w:rFonts w:ascii="Book Antiqua" w:hAnsi="Book Antiqua" w:cs="Arial"/>
                <w:bCs/>
                <w:sz w:val="24"/>
                <w:szCs w:val="24"/>
                <w:lang w:val="en-US"/>
              </w:rPr>
              <w:t>N/A/FN/I/H/P/Neu – 0/5/0/3/6/20/4</w:t>
            </w:r>
          </w:p>
        </w:tc>
      </w:tr>
      <w:tr w:rsidR="008D14E6" w:rsidRPr="00BA60F0" w:rsidTr="00C419B4">
        <w:trPr>
          <w:trHeight w:val="215"/>
        </w:trPr>
        <w:tc>
          <w:tcPr>
            <w:tcW w:w="959" w:type="dxa"/>
            <w:vMerge w:val="restart"/>
          </w:tcPr>
          <w:p w:rsidR="008D14E6" w:rsidRPr="00BA60F0" w:rsidRDefault="008D14E6" w:rsidP="00746849">
            <w:pPr>
              <w:adjustRightInd w:val="0"/>
              <w:snapToGrid w:val="0"/>
              <w:spacing w:after="0" w:line="360" w:lineRule="auto"/>
              <w:jc w:val="both"/>
              <w:rPr>
                <w:rFonts w:ascii="Book Antiqua" w:hAnsi="Book Antiqua" w:cs="Arial"/>
                <w:b/>
                <w:bCs/>
                <w:sz w:val="24"/>
                <w:szCs w:val="24"/>
                <w:lang w:val="en-US"/>
              </w:rPr>
            </w:pPr>
            <w:r w:rsidRPr="00BA60F0">
              <w:rPr>
                <w:rFonts w:ascii="Book Antiqua" w:hAnsi="Book Antiqua" w:cs="Arial"/>
                <w:b/>
                <w:bCs/>
                <w:sz w:val="24"/>
                <w:szCs w:val="24"/>
                <w:lang w:val="en-US"/>
              </w:rPr>
              <w:lastRenderedPageBreak/>
              <w:t>Higuchi</w:t>
            </w:r>
            <w:r w:rsidR="00865232" w:rsidRPr="00BA60F0">
              <w:rPr>
                <w:rFonts w:ascii="Book Antiqua" w:hAnsi="Book Antiqua" w:cs="Arial"/>
                <w:b/>
                <w:bCs/>
                <w:i/>
                <w:sz w:val="24"/>
                <w:szCs w:val="24"/>
                <w:lang w:val="en-US"/>
              </w:rPr>
              <w:t xml:space="preserve"> et al</w:t>
            </w:r>
            <w:r w:rsidR="00865232" w:rsidRPr="00BA60F0">
              <w:rPr>
                <w:rFonts w:ascii="Book Antiqua" w:hAnsi="Book Antiqua" w:cs="Arial"/>
                <w:b/>
                <w:bCs/>
                <w:sz w:val="24"/>
                <w:szCs w:val="24"/>
                <w:vertAlign w:val="superscript"/>
                <w:lang w:val="en-US"/>
              </w:rPr>
              <w:t>[66]</w:t>
            </w:r>
            <w:r w:rsidR="00865232" w:rsidRPr="00BA60F0">
              <w:rPr>
                <w:rFonts w:ascii="Book Antiqua" w:hAnsi="Book Antiqua" w:cs="Arial"/>
                <w:b/>
                <w:bCs/>
                <w:sz w:val="24"/>
                <w:szCs w:val="24"/>
                <w:lang w:val="en-US"/>
              </w:rPr>
              <w:t>, 2014</w:t>
            </w:r>
          </w:p>
        </w:tc>
        <w:tc>
          <w:tcPr>
            <w:tcW w:w="1669" w:type="dxa"/>
            <w:vAlign w:val="center"/>
          </w:tcPr>
          <w:p w:rsidR="008D14E6" w:rsidRPr="00BA60F0" w:rsidRDefault="008D14E6" w:rsidP="00746849">
            <w:pPr>
              <w:adjustRightInd w:val="0"/>
              <w:snapToGrid w:val="0"/>
              <w:spacing w:after="0" w:line="360" w:lineRule="auto"/>
              <w:jc w:val="both"/>
              <w:rPr>
                <w:rFonts w:ascii="Book Antiqua" w:hAnsi="Book Antiqua" w:cs="Arial"/>
                <w:bCs/>
                <w:sz w:val="24"/>
                <w:szCs w:val="24"/>
                <w:lang w:val="en-US"/>
              </w:rPr>
            </w:pPr>
            <w:r w:rsidRPr="00BA60F0">
              <w:rPr>
                <w:rFonts w:ascii="Book Antiqua" w:hAnsi="Book Antiqua" w:cs="Arial"/>
                <w:bCs/>
                <w:sz w:val="24"/>
                <w:szCs w:val="24"/>
                <w:lang w:val="en-US"/>
              </w:rPr>
              <w:t>Iri 60 d1 q2w;</w:t>
            </w:r>
          </w:p>
          <w:p w:rsidR="008D14E6" w:rsidRPr="00BA60F0" w:rsidRDefault="008D14E6" w:rsidP="00746849">
            <w:pPr>
              <w:adjustRightInd w:val="0"/>
              <w:snapToGrid w:val="0"/>
              <w:spacing w:after="0" w:line="360" w:lineRule="auto"/>
              <w:jc w:val="both"/>
              <w:rPr>
                <w:rFonts w:ascii="Book Antiqua" w:hAnsi="Book Antiqua" w:cs="Arial"/>
                <w:bCs/>
                <w:sz w:val="24"/>
                <w:szCs w:val="24"/>
                <w:lang w:val="en-US"/>
              </w:rPr>
            </w:pPr>
            <w:r w:rsidRPr="00BA60F0">
              <w:rPr>
                <w:rFonts w:ascii="Book Antiqua" w:hAnsi="Book Antiqua" w:cs="Arial"/>
                <w:bCs/>
                <w:sz w:val="24"/>
                <w:szCs w:val="24"/>
                <w:lang w:val="en-US"/>
              </w:rPr>
              <w:t>Cis 30 d1 q2w</w:t>
            </w:r>
          </w:p>
        </w:tc>
        <w:tc>
          <w:tcPr>
            <w:tcW w:w="630" w:type="dxa"/>
            <w:vAlign w:val="center"/>
          </w:tcPr>
          <w:p w:rsidR="008D14E6" w:rsidRPr="00BA60F0" w:rsidRDefault="008D14E6" w:rsidP="00746849">
            <w:pPr>
              <w:adjustRightInd w:val="0"/>
              <w:snapToGrid w:val="0"/>
              <w:spacing w:after="0" w:line="360" w:lineRule="auto"/>
              <w:jc w:val="both"/>
              <w:rPr>
                <w:rFonts w:ascii="Book Antiqua" w:hAnsi="Book Antiqua" w:cs="Arial"/>
                <w:bCs/>
                <w:sz w:val="24"/>
                <w:szCs w:val="24"/>
                <w:lang w:val="en-US"/>
              </w:rPr>
            </w:pPr>
            <w:r w:rsidRPr="00BA60F0">
              <w:rPr>
                <w:rFonts w:ascii="Book Antiqua" w:hAnsi="Book Antiqua" w:cs="Arial"/>
                <w:bCs/>
                <w:sz w:val="24"/>
                <w:szCs w:val="24"/>
                <w:lang w:val="en-US"/>
              </w:rPr>
              <w:t>64</w:t>
            </w:r>
          </w:p>
        </w:tc>
        <w:tc>
          <w:tcPr>
            <w:tcW w:w="1440" w:type="dxa"/>
            <w:vAlign w:val="center"/>
          </w:tcPr>
          <w:p w:rsidR="008D14E6" w:rsidRPr="00BA60F0" w:rsidRDefault="008D14E6" w:rsidP="00746849">
            <w:pPr>
              <w:adjustRightInd w:val="0"/>
              <w:snapToGrid w:val="0"/>
              <w:spacing w:after="0" w:line="360" w:lineRule="auto"/>
              <w:jc w:val="both"/>
              <w:rPr>
                <w:rFonts w:ascii="Book Antiqua" w:hAnsi="Book Antiqua" w:cs="Arial"/>
                <w:bCs/>
                <w:sz w:val="24"/>
                <w:szCs w:val="24"/>
                <w:lang w:val="en-US"/>
              </w:rPr>
            </w:pPr>
            <w:r w:rsidRPr="00BA60F0">
              <w:rPr>
                <w:rFonts w:ascii="Book Antiqua" w:hAnsi="Book Antiqua" w:cs="Arial"/>
                <w:bCs/>
                <w:sz w:val="24"/>
                <w:szCs w:val="24"/>
                <w:lang w:val="en-US"/>
              </w:rPr>
              <w:t>0/1 – 69/31</w:t>
            </w:r>
          </w:p>
        </w:tc>
        <w:tc>
          <w:tcPr>
            <w:tcW w:w="810" w:type="dxa"/>
            <w:vAlign w:val="center"/>
          </w:tcPr>
          <w:p w:rsidR="008D14E6" w:rsidRPr="00BA60F0" w:rsidRDefault="008D14E6" w:rsidP="00746849">
            <w:pPr>
              <w:adjustRightInd w:val="0"/>
              <w:snapToGrid w:val="0"/>
              <w:spacing w:after="0" w:line="360" w:lineRule="auto"/>
              <w:jc w:val="both"/>
              <w:rPr>
                <w:rFonts w:ascii="Book Antiqua" w:hAnsi="Book Antiqua" w:cs="Arial"/>
                <w:bCs/>
                <w:sz w:val="24"/>
                <w:szCs w:val="24"/>
                <w:lang w:val="en-US"/>
              </w:rPr>
            </w:pPr>
            <w:r w:rsidRPr="00BA60F0">
              <w:rPr>
                <w:rFonts w:ascii="Book Antiqua" w:hAnsi="Book Antiqua" w:cs="Arial"/>
                <w:bCs/>
                <w:sz w:val="24"/>
                <w:szCs w:val="24"/>
                <w:lang w:val="en-US"/>
              </w:rPr>
              <w:t>22.0</w:t>
            </w:r>
            <w:r w:rsidR="00C419B4" w:rsidRPr="00C419B4">
              <w:rPr>
                <w:rFonts w:ascii="Book Antiqua" w:hAnsi="Book Antiqua" w:cs="Arial" w:hint="eastAsia"/>
                <w:bCs/>
                <w:sz w:val="24"/>
                <w:szCs w:val="24"/>
                <w:vertAlign w:val="superscript"/>
                <w:lang w:val="en-US" w:eastAsia="zh-CN"/>
              </w:rPr>
              <w:t>1</w:t>
            </w:r>
          </w:p>
        </w:tc>
        <w:tc>
          <w:tcPr>
            <w:tcW w:w="877" w:type="dxa"/>
            <w:vAlign w:val="center"/>
          </w:tcPr>
          <w:p w:rsidR="008D14E6" w:rsidRPr="00BA60F0" w:rsidRDefault="008D14E6" w:rsidP="00746849">
            <w:pPr>
              <w:adjustRightInd w:val="0"/>
              <w:snapToGrid w:val="0"/>
              <w:spacing w:after="0" w:line="360" w:lineRule="auto"/>
              <w:jc w:val="both"/>
              <w:rPr>
                <w:rFonts w:ascii="Book Antiqua" w:hAnsi="Book Antiqua" w:cs="Arial"/>
                <w:bCs/>
                <w:sz w:val="24"/>
                <w:szCs w:val="24"/>
                <w:lang w:val="en-US"/>
              </w:rPr>
            </w:pPr>
            <w:r w:rsidRPr="00BA60F0">
              <w:rPr>
                <w:rFonts w:ascii="Book Antiqua" w:hAnsi="Book Antiqua" w:cs="Arial"/>
                <w:bCs/>
                <w:sz w:val="24"/>
                <w:szCs w:val="24"/>
                <w:lang w:val="en-US"/>
              </w:rPr>
              <w:t>3.8</w:t>
            </w:r>
          </w:p>
        </w:tc>
        <w:tc>
          <w:tcPr>
            <w:tcW w:w="810" w:type="dxa"/>
            <w:vAlign w:val="center"/>
          </w:tcPr>
          <w:p w:rsidR="008D14E6" w:rsidRPr="00BA60F0" w:rsidRDefault="008D14E6" w:rsidP="00746849">
            <w:pPr>
              <w:adjustRightInd w:val="0"/>
              <w:snapToGrid w:val="0"/>
              <w:spacing w:after="0" w:line="360" w:lineRule="auto"/>
              <w:jc w:val="both"/>
              <w:rPr>
                <w:rFonts w:ascii="Book Antiqua" w:hAnsi="Book Antiqua" w:cs="Arial"/>
                <w:bCs/>
                <w:sz w:val="24"/>
                <w:szCs w:val="24"/>
                <w:lang w:val="en-US"/>
              </w:rPr>
            </w:pPr>
            <w:r w:rsidRPr="00BA60F0">
              <w:rPr>
                <w:rFonts w:ascii="Book Antiqua" w:hAnsi="Book Antiqua" w:cs="Arial"/>
                <w:bCs/>
                <w:sz w:val="24"/>
                <w:szCs w:val="24"/>
                <w:lang w:val="en-US"/>
              </w:rPr>
              <w:t>10.7</w:t>
            </w:r>
            <w:r w:rsidR="00C419B4" w:rsidRPr="00C419B4">
              <w:rPr>
                <w:rFonts w:ascii="Book Antiqua" w:hAnsi="Book Antiqua" w:cs="Arial" w:hint="eastAsia"/>
                <w:bCs/>
                <w:sz w:val="24"/>
                <w:szCs w:val="24"/>
                <w:vertAlign w:val="superscript"/>
                <w:lang w:val="en-US" w:eastAsia="zh-CN"/>
              </w:rPr>
              <w:t>1</w:t>
            </w:r>
          </w:p>
        </w:tc>
        <w:tc>
          <w:tcPr>
            <w:tcW w:w="810" w:type="dxa"/>
            <w:vMerge w:val="restart"/>
            <w:vAlign w:val="center"/>
          </w:tcPr>
          <w:p w:rsidR="008D14E6" w:rsidRPr="00BA60F0" w:rsidRDefault="008D14E6" w:rsidP="00746849">
            <w:pPr>
              <w:adjustRightInd w:val="0"/>
              <w:snapToGrid w:val="0"/>
              <w:spacing w:after="0" w:line="360" w:lineRule="auto"/>
              <w:jc w:val="both"/>
              <w:rPr>
                <w:rFonts w:ascii="Book Antiqua" w:hAnsi="Book Antiqua" w:cs="Arial"/>
                <w:bCs/>
                <w:sz w:val="24"/>
                <w:szCs w:val="24"/>
                <w:lang w:val="en-US"/>
              </w:rPr>
            </w:pPr>
            <w:r w:rsidRPr="00BA60F0">
              <w:rPr>
                <w:rFonts w:ascii="Book Antiqua" w:hAnsi="Book Antiqua" w:cs="Arial"/>
                <w:bCs/>
                <w:sz w:val="24"/>
                <w:szCs w:val="24"/>
                <w:lang w:val="en-US"/>
              </w:rPr>
              <w:t xml:space="preserve">1.00, </w:t>
            </w:r>
            <w:r w:rsidR="007952D5" w:rsidRPr="007952D5">
              <w:rPr>
                <w:rFonts w:ascii="Book Antiqua" w:hAnsi="Book Antiqua" w:cs="Arial"/>
                <w:bCs/>
                <w:i/>
                <w:caps/>
                <w:sz w:val="24"/>
                <w:szCs w:val="24"/>
                <w:lang w:val="en-US"/>
              </w:rPr>
              <w:t xml:space="preserve">p = </w:t>
            </w:r>
            <w:r w:rsidRPr="00BA60F0">
              <w:rPr>
                <w:rFonts w:ascii="Book Antiqua" w:hAnsi="Book Antiqua" w:cs="Arial"/>
                <w:bCs/>
                <w:sz w:val="24"/>
                <w:szCs w:val="24"/>
                <w:lang w:val="en-US"/>
              </w:rPr>
              <w:t>0.982.</w:t>
            </w:r>
          </w:p>
        </w:tc>
        <w:tc>
          <w:tcPr>
            <w:tcW w:w="2543" w:type="dxa"/>
            <w:vAlign w:val="center"/>
          </w:tcPr>
          <w:p w:rsidR="008D14E6" w:rsidRPr="00BA60F0" w:rsidRDefault="008D14E6" w:rsidP="00746849">
            <w:pPr>
              <w:adjustRightInd w:val="0"/>
              <w:snapToGrid w:val="0"/>
              <w:spacing w:after="0" w:line="360" w:lineRule="auto"/>
              <w:jc w:val="both"/>
              <w:rPr>
                <w:rFonts w:ascii="Book Antiqua" w:hAnsi="Book Antiqua" w:cs="Arial"/>
                <w:bCs/>
                <w:sz w:val="24"/>
                <w:szCs w:val="24"/>
                <w:lang w:val="en-US"/>
              </w:rPr>
            </w:pPr>
            <w:r w:rsidRPr="00BA60F0">
              <w:rPr>
                <w:rFonts w:ascii="Book Antiqua" w:hAnsi="Book Antiqua" w:cs="Arial"/>
                <w:bCs/>
                <w:sz w:val="24"/>
                <w:szCs w:val="24"/>
                <w:lang w:val="en-US"/>
              </w:rPr>
              <w:t>N/A/FN/T/D/Ano/F – 13/16/0/0/2/6/3</w:t>
            </w:r>
          </w:p>
        </w:tc>
      </w:tr>
      <w:tr w:rsidR="008D14E6" w:rsidRPr="00BA60F0" w:rsidTr="00C419B4">
        <w:trPr>
          <w:trHeight w:val="226"/>
        </w:trPr>
        <w:tc>
          <w:tcPr>
            <w:tcW w:w="959" w:type="dxa"/>
            <w:vMerge/>
          </w:tcPr>
          <w:p w:rsidR="008D14E6" w:rsidRPr="00BA60F0" w:rsidRDefault="008D14E6" w:rsidP="00746849">
            <w:pPr>
              <w:adjustRightInd w:val="0"/>
              <w:snapToGrid w:val="0"/>
              <w:spacing w:after="0" w:line="360" w:lineRule="auto"/>
              <w:jc w:val="both"/>
              <w:rPr>
                <w:rFonts w:ascii="Book Antiqua" w:hAnsi="Book Antiqua" w:cs="Arial"/>
                <w:b/>
                <w:bCs/>
                <w:sz w:val="24"/>
                <w:szCs w:val="24"/>
                <w:lang w:val="en-US"/>
              </w:rPr>
            </w:pPr>
          </w:p>
        </w:tc>
        <w:tc>
          <w:tcPr>
            <w:tcW w:w="1669" w:type="dxa"/>
            <w:vAlign w:val="center"/>
          </w:tcPr>
          <w:p w:rsidR="008D14E6" w:rsidRPr="00BA60F0" w:rsidRDefault="008D14E6" w:rsidP="00746849">
            <w:pPr>
              <w:adjustRightInd w:val="0"/>
              <w:snapToGrid w:val="0"/>
              <w:spacing w:after="0" w:line="360" w:lineRule="auto"/>
              <w:jc w:val="both"/>
              <w:rPr>
                <w:rFonts w:ascii="Book Antiqua" w:hAnsi="Book Antiqua" w:cs="Arial"/>
                <w:bCs/>
                <w:sz w:val="24"/>
                <w:szCs w:val="24"/>
                <w:lang w:val="en-US"/>
              </w:rPr>
            </w:pPr>
            <w:r w:rsidRPr="00BA60F0">
              <w:rPr>
                <w:rFonts w:ascii="Book Antiqua" w:hAnsi="Book Antiqua" w:cs="Arial"/>
                <w:bCs/>
                <w:sz w:val="24"/>
                <w:szCs w:val="24"/>
                <w:lang w:val="en-US"/>
              </w:rPr>
              <w:t>Iri 150 d1 q4w</w:t>
            </w:r>
          </w:p>
        </w:tc>
        <w:tc>
          <w:tcPr>
            <w:tcW w:w="630" w:type="dxa"/>
            <w:vAlign w:val="center"/>
          </w:tcPr>
          <w:p w:rsidR="008D14E6" w:rsidRPr="00BA60F0" w:rsidRDefault="008D14E6" w:rsidP="00746849">
            <w:pPr>
              <w:adjustRightInd w:val="0"/>
              <w:snapToGrid w:val="0"/>
              <w:spacing w:after="0" w:line="360" w:lineRule="auto"/>
              <w:jc w:val="both"/>
              <w:rPr>
                <w:rFonts w:ascii="Book Antiqua" w:hAnsi="Book Antiqua" w:cs="Arial"/>
                <w:bCs/>
                <w:sz w:val="24"/>
                <w:szCs w:val="24"/>
                <w:lang w:val="en-US"/>
              </w:rPr>
            </w:pPr>
            <w:r w:rsidRPr="00BA60F0">
              <w:rPr>
                <w:rFonts w:ascii="Book Antiqua" w:hAnsi="Book Antiqua" w:cs="Arial"/>
                <w:bCs/>
                <w:sz w:val="24"/>
                <w:szCs w:val="24"/>
                <w:lang w:val="en-US"/>
              </w:rPr>
              <w:t>66</w:t>
            </w:r>
          </w:p>
        </w:tc>
        <w:tc>
          <w:tcPr>
            <w:tcW w:w="1440" w:type="dxa"/>
            <w:vAlign w:val="center"/>
          </w:tcPr>
          <w:p w:rsidR="008D14E6" w:rsidRPr="00BA60F0" w:rsidRDefault="008D14E6" w:rsidP="00746849">
            <w:pPr>
              <w:adjustRightInd w:val="0"/>
              <w:snapToGrid w:val="0"/>
              <w:spacing w:after="0" w:line="360" w:lineRule="auto"/>
              <w:jc w:val="both"/>
              <w:rPr>
                <w:rFonts w:ascii="Book Antiqua" w:hAnsi="Book Antiqua" w:cs="Arial"/>
                <w:bCs/>
                <w:sz w:val="24"/>
                <w:szCs w:val="24"/>
                <w:lang w:val="en-US"/>
              </w:rPr>
            </w:pPr>
            <w:r w:rsidRPr="00BA60F0">
              <w:rPr>
                <w:rFonts w:ascii="Book Antiqua" w:hAnsi="Book Antiqua" w:cs="Arial"/>
                <w:bCs/>
                <w:sz w:val="24"/>
                <w:szCs w:val="24"/>
                <w:lang w:val="en-US"/>
              </w:rPr>
              <w:t>0/1 – 68/32</w:t>
            </w:r>
          </w:p>
        </w:tc>
        <w:tc>
          <w:tcPr>
            <w:tcW w:w="810" w:type="dxa"/>
            <w:vAlign w:val="center"/>
          </w:tcPr>
          <w:p w:rsidR="008D14E6" w:rsidRPr="00BA60F0" w:rsidRDefault="008D14E6" w:rsidP="00746849">
            <w:pPr>
              <w:adjustRightInd w:val="0"/>
              <w:snapToGrid w:val="0"/>
              <w:spacing w:after="0" w:line="360" w:lineRule="auto"/>
              <w:jc w:val="both"/>
              <w:rPr>
                <w:rFonts w:ascii="Book Antiqua" w:hAnsi="Book Antiqua" w:cs="Arial"/>
                <w:bCs/>
                <w:sz w:val="24"/>
                <w:szCs w:val="24"/>
                <w:lang w:val="en-US"/>
              </w:rPr>
            </w:pPr>
            <w:r w:rsidRPr="00BA60F0">
              <w:rPr>
                <w:rFonts w:ascii="Book Antiqua" w:hAnsi="Book Antiqua" w:cs="Arial"/>
                <w:bCs/>
                <w:sz w:val="24"/>
                <w:szCs w:val="24"/>
                <w:lang w:val="en-US"/>
              </w:rPr>
              <w:t>16.0</w:t>
            </w:r>
            <w:r w:rsidR="00C419B4" w:rsidRPr="00C419B4">
              <w:rPr>
                <w:rFonts w:ascii="Book Antiqua" w:hAnsi="Book Antiqua" w:cs="Arial" w:hint="eastAsia"/>
                <w:bCs/>
                <w:sz w:val="24"/>
                <w:szCs w:val="24"/>
                <w:vertAlign w:val="superscript"/>
                <w:lang w:val="en-US" w:eastAsia="zh-CN"/>
              </w:rPr>
              <w:t>1</w:t>
            </w:r>
          </w:p>
        </w:tc>
        <w:tc>
          <w:tcPr>
            <w:tcW w:w="877" w:type="dxa"/>
            <w:vAlign w:val="center"/>
          </w:tcPr>
          <w:p w:rsidR="008D14E6" w:rsidRPr="00BA60F0" w:rsidRDefault="008D14E6" w:rsidP="00746849">
            <w:pPr>
              <w:adjustRightInd w:val="0"/>
              <w:snapToGrid w:val="0"/>
              <w:spacing w:after="0" w:line="360" w:lineRule="auto"/>
              <w:jc w:val="both"/>
              <w:rPr>
                <w:rFonts w:ascii="Book Antiqua" w:hAnsi="Book Antiqua" w:cs="Arial"/>
                <w:bCs/>
                <w:sz w:val="24"/>
                <w:szCs w:val="24"/>
                <w:lang w:val="en-US"/>
              </w:rPr>
            </w:pPr>
            <w:r w:rsidRPr="00BA60F0">
              <w:rPr>
                <w:rFonts w:ascii="Book Antiqua" w:hAnsi="Book Antiqua" w:cs="Arial"/>
                <w:bCs/>
                <w:sz w:val="24"/>
                <w:szCs w:val="24"/>
                <w:lang w:val="en-US"/>
              </w:rPr>
              <w:t>2.8</w:t>
            </w:r>
          </w:p>
        </w:tc>
        <w:tc>
          <w:tcPr>
            <w:tcW w:w="810" w:type="dxa"/>
            <w:vAlign w:val="center"/>
          </w:tcPr>
          <w:p w:rsidR="008D14E6" w:rsidRPr="00BA60F0" w:rsidRDefault="008D14E6" w:rsidP="00746849">
            <w:pPr>
              <w:adjustRightInd w:val="0"/>
              <w:snapToGrid w:val="0"/>
              <w:spacing w:after="0" w:line="360" w:lineRule="auto"/>
              <w:jc w:val="both"/>
              <w:rPr>
                <w:rFonts w:ascii="Book Antiqua" w:hAnsi="Book Antiqua" w:cs="Arial"/>
                <w:bCs/>
                <w:sz w:val="24"/>
                <w:szCs w:val="24"/>
                <w:lang w:val="en-US"/>
              </w:rPr>
            </w:pPr>
            <w:r w:rsidRPr="00BA60F0">
              <w:rPr>
                <w:rFonts w:ascii="Book Antiqua" w:hAnsi="Book Antiqua" w:cs="Arial"/>
                <w:bCs/>
                <w:sz w:val="24"/>
                <w:szCs w:val="24"/>
                <w:lang w:val="en-US"/>
              </w:rPr>
              <w:t>10.1</w:t>
            </w:r>
            <w:r w:rsidR="00C419B4" w:rsidRPr="00C419B4">
              <w:rPr>
                <w:rFonts w:ascii="Book Antiqua" w:hAnsi="Book Antiqua" w:cs="Arial" w:hint="eastAsia"/>
                <w:bCs/>
                <w:sz w:val="24"/>
                <w:szCs w:val="24"/>
                <w:vertAlign w:val="superscript"/>
                <w:lang w:val="en-US" w:eastAsia="zh-CN"/>
              </w:rPr>
              <w:t>1</w:t>
            </w:r>
          </w:p>
        </w:tc>
        <w:tc>
          <w:tcPr>
            <w:tcW w:w="810" w:type="dxa"/>
            <w:vMerge/>
            <w:vAlign w:val="center"/>
          </w:tcPr>
          <w:p w:rsidR="008D14E6" w:rsidRPr="00BA60F0" w:rsidRDefault="008D14E6" w:rsidP="00746849">
            <w:pPr>
              <w:adjustRightInd w:val="0"/>
              <w:snapToGrid w:val="0"/>
              <w:spacing w:after="0" w:line="360" w:lineRule="auto"/>
              <w:jc w:val="both"/>
              <w:rPr>
                <w:rFonts w:ascii="Book Antiqua" w:hAnsi="Book Antiqua" w:cs="Arial"/>
                <w:bCs/>
                <w:sz w:val="24"/>
                <w:szCs w:val="24"/>
                <w:lang w:val="en-US"/>
              </w:rPr>
            </w:pPr>
          </w:p>
        </w:tc>
        <w:tc>
          <w:tcPr>
            <w:tcW w:w="2543" w:type="dxa"/>
            <w:vAlign w:val="center"/>
          </w:tcPr>
          <w:p w:rsidR="008D14E6" w:rsidRPr="00BA60F0" w:rsidRDefault="008D14E6" w:rsidP="00746849">
            <w:pPr>
              <w:adjustRightInd w:val="0"/>
              <w:snapToGrid w:val="0"/>
              <w:spacing w:after="0" w:line="360" w:lineRule="auto"/>
              <w:jc w:val="both"/>
              <w:rPr>
                <w:rFonts w:ascii="Book Antiqua" w:hAnsi="Book Antiqua" w:cs="Arial"/>
                <w:bCs/>
                <w:sz w:val="24"/>
                <w:szCs w:val="24"/>
                <w:lang w:val="en-US"/>
              </w:rPr>
            </w:pPr>
            <w:r w:rsidRPr="00BA60F0">
              <w:rPr>
                <w:rFonts w:ascii="Book Antiqua" w:hAnsi="Book Antiqua" w:cs="Arial"/>
                <w:bCs/>
                <w:sz w:val="24"/>
                <w:szCs w:val="24"/>
                <w:lang w:val="en-US"/>
              </w:rPr>
              <w:t>N/A/FN/T/D/Ano/F – 36/18/5/2/6/11/6</w:t>
            </w:r>
          </w:p>
        </w:tc>
      </w:tr>
      <w:tr w:rsidR="008D14E6" w:rsidRPr="00BA60F0" w:rsidTr="00C419B4">
        <w:trPr>
          <w:trHeight w:val="258"/>
        </w:trPr>
        <w:tc>
          <w:tcPr>
            <w:tcW w:w="959" w:type="dxa"/>
            <w:vMerge w:val="restart"/>
          </w:tcPr>
          <w:p w:rsidR="008D14E6" w:rsidRPr="00BA60F0" w:rsidRDefault="008D14E6" w:rsidP="00746849">
            <w:pPr>
              <w:adjustRightInd w:val="0"/>
              <w:snapToGrid w:val="0"/>
              <w:spacing w:after="0" w:line="360" w:lineRule="auto"/>
              <w:jc w:val="both"/>
              <w:rPr>
                <w:rFonts w:ascii="Book Antiqua" w:hAnsi="Book Antiqua" w:cs="Arial"/>
                <w:b/>
                <w:bCs/>
                <w:sz w:val="24"/>
                <w:szCs w:val="24"/>
                <w:lang w:val="en-US"/>
              </w:rPr>
            </w:pPr>
            <w:r w:rsidRPr="00BA60F0">
              <w:rPr>
                <w:rFonts w:ascii="Book Antiqua" w:hAnsi="Book Antiqua" w:cs="Arial"/>
                <w:b/>
                <w:bCs/>
                <w:sz w:val="24"/>
                <w:szCs w:val="24"/>
                <w:lang w:val="en-US"/>
              </w:rPr>
              <w:t>Nishikawa</w:t>
            </w:r>
            <w:r w:rsidR="00865232" w:rsidRPr="00BA60F0">
              <w:rPr>
                <w:rFonts w:ascii="Book Antiqua" w:hAnsi="Book Antiqua" w:cs="Arial"/>
                <w:b/>
                <w:bCs/>
                <w:i/>
                <w:sz w:val="24"/>
                <w:szCs w:val="24"/>
                <w:lang w:val="en-US"/>
              </w:rPr>
              <w:t xml:space="preserve"> et al</w:t>
            </w:r>
            <w:r w:rsidR="00865232" w:rsidRPr="00BA60F0">
              <w:rPr>
                <w:rFonts w:ascii="Book Antiqua" w:hAnsi="Book Antiqua" w:cs="Arial"/>
                <w:b/>
                <w:bCs/>
                <w:sz w:val="24"/>
                <w:szCs w:val="24"/>
                <w:vertAlign w:val="superscript"/>
                <w:lang w:val="en-US"/>
              </w:rPr>
              <w:t>[67]</w:t>
            </w:r>
            <w:r w:rsidR="00865232" w:rsidRPr="00BA60F0">
              <w:rPr>
                <w:rFonts w:ascii="Book Antiqua" w:hAnsi="Book Antiqua" w:cs="Arial"/>
                <w:b/>
                <w:bCs/>
                <w:sz w:val="24"/>
                <w:szCs w:val="24"/>
                <w:lang w:val="en-US"/>
              </w:rPr>
              <w:t>, 2015</w:t>
            </w:r>
          </w:p>
        </w:tc>
        <w:tc>
          <w:tcPr>
            <w:tcW w:w="1669" w:type="dxa"/>
            <w:vAlign w:val="center"/>
          </w:tcPr>
          <w:p w:rsidR="008D14E6" w:rsidRPr="00BA60F0" w:rsidRDefault="008D14E6" w:rsidP="00746849">
            <w:pPr>
              <w:adjustRightInd w:val="0"/>
              <w:snapToGrid w:val="0"/>
              <w:spacing w:after="0" w:line="360" w:lineRule="auto"/>
              <w:jc w:val="both"/>
              <w:rPr>
                <w:rFonts w:ascii="Book Antiqua" w:hAnsi="Book Antiqua" w:cs="Arial"/>
                <w:bCs/>
                <w:sz w:val="24"/>
                <w:szCs w:val="24"/>
                <w:lang w:val="en-US"/>
              </w:rPr>
            </w:pPr>
            <w:r w:rsidRPr="00BA60F0">
              <w:rPr>
                <w:rFonts w:ascii="Book Antiqua" w:hAnsi="Book Antiqua" w:cs="Arial"/>
                <w:bCs/>
                <w:sz w:val="24"/>
                <w:szCs w:val="24"/>
                <w:lang w:val="en-US"/>
              </w:rPr>
              <w:t>Iri 60 d1 q2w;</w:t>
            </w:r>
          </w:p>
          <w:p w:rsidR="008D14E6" w:rsidRPr="00BA60F0" w:rsidRDefault="008D14E6" w:rsidP="00746849">
            <w:pPr>
              <w:adjustRightInd w:val="0"/>
              <w:snapToGrid w:val="0"/>
              <w:spacing w:after="0" w:line="360" w:lineRule="auto"/>
              <w:jc w:val="both"/>
              <w:rPr>
                <w:rFonts w:ascii="Book Antiqua" w:hAnsi="Book Antiqua" w:cs="Arial"/>
                <w:bCs/>
                <w:sz w:val="24"/>
                <w:szCs w:val="24"/>
                <w:lang w:val="en-US"/>
              </w:rPr>
            </w:pPr>
            <w:r w:rsidRPr="00BA60F0">
              <w:rPr>
                <w:rFonts w:ascii="Book Antiqua" w:hAnsi="Book Antiqua" w:cs="Arial"/>
                <w:bCs/>
                <w:sz w:val="24"/>
                <w:szCs w:val="24"/>
                <w:lang w:val="en-US"/>
              </w:rPr>
              <w:t>P 30 d1 q2w</w:t>
            </w:r>
          </w:p>
        </w:tc>
        <w:tc>
          <w:tcPr>
            <w:tcW w:w="630" w:type="dxa"/>
            <w:vAlign w:val="center"/>
          </w:tcPr>
          <w:p w:rsidR="008D14E6" w:rsidRPr="00BA60F0" w:rsidRDefault="008D14E6" w:rsidP="00746849">
            <w:pPr>
              <w:adjustRightInd w:val="0"/>
              <w:snapToGrid w:val="0"/>
              <w:spacing w:after="0" w:line="360" w:lineRule="auto"/>
              <w:jc w:val="both"/>
              <w:rPr>
                <w:rFonts w:ascii="Book Antiqua" w:hAnsi="Book Antiqua" w:cs="Arial"/>
                <w:bCs/>
                <w:sz w:val="24"/>
                <w:szCs w:val="24"/>
                <w:lang w:val="en-US"/>
              </w:rPr>
            </w:pPr>
            <w:r w:rsidRPr="00BA60F0">
              <w:rPr>
                <w:rFonts w:ascii="Book Antiqua" w:hAnsi="Book Antiqua" w:cs="Arial"/>
                <w:bCs/>
                <w:sz w:val="24"/>
                <w:szCs w:val="24"/>
                <w:lang w:val="en-US"/>
              </w:rPr>
              <w:t>84</w:t>
            </w:r>
          </w:p>
        </w:tc>
        <w:tc>
          <w:tcPr>
            <w:tcW w:w="1440" w:type="dxa"/>
            <w:vAlign w:val="center"/>
          </w:tcPr>
          <w:p w:rsidR="008D14E6" w:rsidRPr="00BA60F0" w:rsidRDefault="008D14E6" w:rsidP="00746849">
            <w:pPr>
              <w:adjustRightInd w:val="0"/>
              <w:snapToGrid w:val="0"/>
              <w:spacing w:after="0" w:line="360" w:lineRule="auto"/>
              <w:jc w:val="both"/>
              <w:rPr>
                <w:rFonts w:ascii="Book Antiqua" w:hAnsi="Book Antiqua" w:cs="Arial"/>
                <w:bCs/>
                <w:sz w:val="24"/>
                <w:szCs w:val="24"/>
                <w:lang w:val="en-US"/>
              </w:rPr>
            </w:pPr>
            <w:r w:rsidRPr="00BA60F0">
              <w:rPr>
                <w:rFonts w:ascii="Book Antiqua" w:hAnsi="Book Antiqua" w:cs="Arial"/>
                <w:bCs/>
                <w:sz w:val="24"/>
                <w:szCs w:val="24"/>
                <w:lang w:val="en-US"/>
              </w:rPr>
              <w:t>0/1 – 81/19</w:t>
            </w:r>
          </w:p>
        </w:tc>
        <w:tc>
          <w:tcPr>
            <w:tcW w:w="810" w:type="dxa"/>
            <w:vAlign w:val="center"/>
          </w:tcPr>
          <w:p w:rsidR="008D14E6" w:rsidRPr="00BA60F0" w:rsidRDefault="008D14E6" w:rsidP="00746849">
            <w:pPr>
              <w:adjustRightInd w:val="0"/>
              <w:snapToGrid w:val="0"/>
              <w:spacing w:after="0" w:line="360" w:lineRule="auto"/>
              <w:jc w:val="both"/>
              <w:rPr>
                <w:rFonts w:ascii="Book Antiqua" w:hAnsi="Book Antiqua" w:cs="Arial"/>
                <w:bCs/>
                <w:sz w:val="24"/>
                <w:szCs w:val="24"/>
                <w:lang w:val="en-US"/>
              </w:rPr>
            </w:pPr>
            <w:r w:rsidRPr="00BA60F0">
              <w:rPr>
                <w:rFonts w:ascii="Book Antiqua" w:hAnsi="Book Antiqua" w:cs="Arial"/>
                <w:bCs/>
                <w:sz w:val="24"/>
                <w:szCs w:val="24"/>
                <w:lang w:val="en-US"/>
              </w:rPr>
              <w:t>16.9</w:t>
            </w:r>
            <w:r w:rsidR="00C419B4" w:rsidRPr="00C419B4">
              <w:rPr>
                <w:rFonts w:ascii="Book Antiqua" w:hAnsi="Book Antiqua" w:cs="Arial" w:hint="eastAsia"/>
                <w:bCs/>
                <w:sz w:val="24"/>
                <w:szCs w:val="24"/>
                <w:vertAlign w:val="superscript"/>
                <w:lang w:val="en-US" w:eastAsia="zh-CN"/>
              </w:rPr>
              <w:t>1</w:t>
            </w:r>
          </w:p>
        </w:tc>
        <w:tc>
          <w:tcPr>
            <w:tcW w:w="877" w:type="dxa"/>
            <w:vAlign w:val="center"/>
          </w:tcPr>
          <w:p w:rsidR="008D14E6" w:rsidRPr="00BA60F0" w:rsidRDefault="008D14E6" w:rsidP="00746849">
            <w:pPr>
              <w:adjustRightInd w:val="0"/>
              <w:snapToGrid w:val="0"/>
              <w:spacing w:after="0" w:line="360" w:lineRule="auto"/>
              <w:jc w:val="both"/>
              <w:rPr>
                <w:rFonts w:ascii="Book Antiqua" w:hAnsi="Book Antiqua" w:cs="Arial"/>
                <w:bCs/>
                <w:sz w:val="24"/>
                <w:szCs w:val="24"/>
                <w:lang w:val="en-US"/>
              </w:rPr>
            </w:pPr>
            <w:r w:rsidRPr="00BA60F0">
              <w:rPr>
                <w:rFonts w:ascii="Book Antiqua" w:hAnsi="Book Antiqua" w:cs="Arial"/>
                <w:bCs/>
                <w:sz w:val="24"/>
                <w:szCs w:val="24"/>
                <w:lang w:val="en-US"/>
              </w:rPr>
              <w:t>4.6</w:t>
            </w:r>
            <w:r w:rsidR="00C419B4" w:rsidRPr="00C419B4">
              <w:rPr>
                <w:rFonts w:ascii="Book Antiqua" w:hAnsi="Book Antiqua" w:cs="Arial" w:hint="eastAsia"/>
                <w:bCs/>
                <w:sz w:val="24"/>
                <w:szCs w:val="24"/>
                <w:vertAlign w:val="superscript"/>
                <w:lang w:val="en-US" w:eastAsia="zh-CN"/>
              </w:rPr>
              <w:t>1</w:t>
            </w:r>
          </w:p>
        </w:tc>
        <w:tc>
          <w:tcPr>
            <w:tcW w:w="810" w:type="dxa"/>
            <w:vAlign w:val="center"/>
          </w:tcPr>
          <w:p w:rsidR="008D14E6" w:rsidRPr="00BA60F0" w:rsidRDefault="008D14E6" w:rsidP="00746849">
            <w:pPr>
              <w:adjustRightInd w:val="0"/>
              <w:snapToGrid w:val="0"/>
              <w:spacing w:after="0" w:line="360" w:lineRule="auto"/>
              <w:jc w:val="both"/>
              <w:rPr>
                <w:rFonts w:ascii="Book Antiqua" w:hAnsi="Book Antiqua" w:cs="Arial"/>
                <w:bCs/>
                <w:sz w:val="24"/>
                <w:szCs w:val="24"/>
                <w:lang w:val="en-US"/>
              </w:rPr>
            </w:pPr>
            <w:r w:rsidRPr="00BA60F0">
              <w:rPr>
                <w:rFonts w:ascii="Book Antiqua" w:hAnsi="Book Antiqua" w:cs="Arial"/>
                <w:bCs/>
                <w:sz w:val="24"/>
                <w:szCs w:val="24"/>
                <w:lang w:val="en-US"/>
              </w:rPr>
              <w:t>13.9</w:t>
            </w:r>
            <w:r w:rsidR="00C419B4" w:rsidRPr="00C419B4">
              <w:rPr>
                <w:rFonts w:ascii="Book Antiqua" w:hAnsi="Book Antiqua" w:cs="Arial" w:hint="eastAsia"/>
                <w:bCs/>
                <w:sz w:val="24"/>
                <w:szCs w:val="24"/>
                <w:vertAlign w:val="superscript"/>
                <w:lang w:val="en-US" w:eastAsia="zh-CN"/>
              </w:rPr>
              <w:t>1</w:t>
            </w:r>
          </w:p>
        </w:tc>
        <w:tc>
          <w:tcPr>
            <w:tcW w:w="810" w:type="dxa"/>
            <w:vMerge w:val="restart"/>
            <w:vAlign w:val="center"/>
          </w:tcPr>
          <w:p w:rsidR="008D14E6" w:rsidRPr="00BA60F0" w:rsidRDefault="008D14E6" w:rsidP="00746849">
            <w:pPr>
              <w:adjustRightInd w:val="0"/>
              <w:snapToGrid w:val="0"/>
              <w:spacing w:after="0" w:line="360" w:lineRule="auto"/>
              <w:jc w:val="both"/>
              <w:rPr>
                <w:rFonts w:ascii="Book Antiqua" w:hAnsi="Book Antiqua" w:cs="Arial"/>
                <w:bCs/>
                <w:sz w:val="24"/>
                <w:szCs w:val="24"/>
                <w:lang w:val="en-US"/>
              </w:rPr>
            </w:pPr>
            <w:r w:rsidRPr="00BA60F0">
              <w:rPr>
                <w:rFonts w:ascii="Book Antiqua" w:hAnsi="Book Antiqua" w:cs="Arial"/>
                <w:bCs/>
                <w:sz w:val="24"/>
                <w:szCs w:val="24"/>
                <w:lang w:val="en-US"/>
              </w:rPr>
              <w:t xml:space="preserve">0.834, </w:t>
            </w:r>
            <w:r w:rsidR="007952D5" w:rsidRPr="007952D5">
              <w:rPr>
                <w:rFonts w:ascii="Book Antiqua" w:hAnsi="Book Antiqua" w:cs="Arial"/>
                <w:bCs/>
                <w:i/>
                <w:caps/>
                <w:sz w:val="24"/>
                <w:szCs w:val="24"/>
                <w:lang w:val="en-US"/>
              </w:rPr>
              <w:t xml:space="preserve">p = </w:t>
            </w:r>
            <w:r w:rsidRPr="00BA60F0">
              <w:rPr>
                <w:rFonts w:ascii="Book Antiqua" w:hAnsi="Book Antiqua" w:cs="Arial"/>
                <w:bCs/>
                <w:sz w:val="24"/>
                <w:szCs w:val="24"/>
                <w:lang w:val="en-US"/>
              </w:rPr>
              <w:t>0.288</w:t>
            </w:r>
          </w:p>
        </w:tc>
        <w:tc>
          <w:tcPr>
            <w:tcW w:w="2543" w:type="dxa"/>
            <w:vAlign w:val="center"/>
          </w:tcPr>
          <w:p w:rsidR="008D14E6" w:rsidRPr="00BA60F0" w:rsidRDefault="008D14E6" w:rsidP="00746849">
            <w:pPr>
              <w:adjustRightInd w:val="0"/>
              <w:snapToGrid w:val="0"/>
              <w:spacing w:after="0" w:line="360" w:lineRule="auto"/>
              <w:jc w:val="both"/>
              <w:rPr>
                <w:rFonts w:ascii="Book Antiqua" w:hAnsi="Book Antiqua" w:cs="Arial"/>
                <w:bCs/>
                <w:sz w:val="24"/>
                <w:szCs w:val="24"/>
                <w:lang w:val="en-US"/>
              </w:rPr>
            </w:pPr>
            <w:r w:rsidRPr="00BA60F0">
              <w:rPr>
                <w:rFonts w:ascii="Book Antiqua" w:hAnsi="Book Antiqua" w:cs="Arial"/>
                <w:bCs/>
                <w:sz w:val="24"/>
                <w:szCs w:val="24"/>
                <w:lang w:val="en-US"/>
              </w:rPr>
              <w:t>N/A/T/D/Ano/F – 35/16/1/0/6/9</w:t>
            </w:r>
          </w:p>
        </w:tc>
      </w:tr>
      <w:tr w:rsidR="008D14E6" w:rsidRPr="00BA60F0" w:rsidTr="00C419B4">
        <w:trPr>
          <w:trHeight w:val="183"/>
        </w:trPr>
        <w:tc>
          <w:tcPr>
            <w:tcW w:w="959" w:type="dxa"/>
            <w:vMerge/>
          </w:tcPr>
          <w:p w:rsidR="008D14E6" w:rsidRPr="00BA60F0" w:rsidRDefault="008D14E6" w:rsidP="00746849">
            <w:pPr>
              <w:adjustRightInd w:val="0"/>
              <w:snapToGrid w:val="0"/>
              <w:spacing w:after="0" w:line="360" w:lineRule="auto"/>
              <w:jc w:val="both"/>
              <w:rPr>
                <w:rFonts w:ascii="Book Antiqua" w:hAnsi="Book Antiqua" w:cs="Arial"/>
                <w:b/>
                <w:bCs/>
                <w:sz w:val="24"/>
                <w:szCs w:val="24"/>
                <w:lang w:val="en-US"/>
              </w:rPr>
            </w:pPr>
          </w:p>
        </w:tc>
        <w:tc>
          <w:tcPr>
            <w:tcW w:w="1669" w:type="dxa"/>
            <w:vAlign w:val="center"/>
          </w:tcPr>
          <w:p w:rsidR="008D14E6" w:rsidRPr="00BA60F0" w:rsidRDefault="008D14E6" w:rsidP="00746849">
            <w:pPr>
              <w:adjustRightInd w:val="0"/>
              <w:snapToGrid w:val="0"/>
              <w:spacing w:after="0" w:line="360" w:lineRule="auto"/>
              <w:jc w:val="both"/>
              <w:rPr>
                <w:rFonts w:ascii="Book Antiqua" w:hAnsi="Book Antiqua" w:cs="Arial"/>
                <w:bCs/>
                <w:sz w:val="24"/>
                <w:szCs w:val="24"/>
                <w:lang w:val="en-US"/>
              </w:rPr>
            </w:pPr>
            <w:r w:rsidRPr="00BA60F0">
              <w:rPr>
                <w:rFonts w:ascii="Book Antiqua" w:hAnsi="Book Antiqua" w:cs="Arial"/>
                <w:bCs/>
                <w:sz w:val="24"/>
                <w:szCs w:val="24"/>
                <w:lang w:val="en-US"/>
              </w:rPr>
              <w:t>Iri 150 d1 q4w</w:t>
            </w:r>
          </w:p>
        </w:tc>
        <w:tc>
          <w:tcPr>
            <w:tcW w:w="630" w:type="dxa"/>
            <w:vAlign w:val="center"/>
          </w:tcPr>
          <w:p w:rsidR="008D14E6" w:rsidRPr="00BA60F0" w:rsidRDefault="008D14E6" w:rsidP="00746849">
            <w:pPr>
              <w:adjustRightInd w:val="0"/>
              <w:snapToGrid w:val="0"/>
              <w:spacing w:after="0" w:line="360" w:lineRule="auto"/>
              <w:jc w:val="both"/>
              <w:rPr>
                <w:rFonts w:ascii="Book Antiqua" w:hAnsi="Book Antiqua" w:cs="Arial"/>
                <w:bCs/>
                <w:sz w:val="24"/>
                <w:szCs w:val="24"/>
                <w:lang w:val="en-US"/>
              </w:rPr>
            </w:pPr>
            <w:r w:rsidRPr="00BA60F0">
              <w:rPr>
                <w:rFonts w:ascii="Book Antiqua" w:hAnsi="Book Antiqua" w:cs="Arial"/>
                <w:bCs/>
                <w:sz w:val="24"/>
                <w:szCs w:val="24"/>
                <w:lang w:val="en-US"/>
              </w:rPr>
              <w:t>84</w:t>
            </w:r>
          </w:p>
        </w:tc>
        <w:tc>
          <w:tcPr>
            <w:tcW w:w="1440" w:type="dxa"/>
            <w:vAlign w:val="center"/>
          </w:tcPr>
          <w:p w:rsidR="008D14E6" w:rsidRPr="00BA60F0" w:rsidRDefault="008D14E6" w:rsidP="00746849">
            <w:pPr>
              <w:adjustRightInd w:val="0"/>
              <w:snapToGrid w:val="0"/>
              <w:spacing w:after="0" w:line="360" w:lineRule="auto"/>
              <w:jc w:val="both"/>
              <w:rPr>
                <w:rFonts w:ascii="Book Antiqua" w:hAnsi="Book Antiqua" w:cs="Arial"/>
                <w:bCs/>
                <w:sz w:val="24"/>
                <w:szCs w:val="24"/>
                <w:lang w:val="en-US"/>
              </w:rPr>
            </w:pPr>
            <w:r w:rsidRPr="00BA60F0">
              <w:rPr>
                <w:rFonts w:ascii="Book Antiqua" w:hAnsi="Book Antiqua" w:cs="Arial"/>
                <w:bCs/>
                <w:sz w:val="24"/>
                <w:szCs w:val="24"/>
                <w:lang w:val="en-US"/>
              </w:rPr>
              <w:t>0/1 – 75/25</w:t>
            </w:r>
          </w:p>
        </w:tc>
        <w:tc>
          <w:tcPr>
            <w:tcW w:w="810" w:type="dxa"/>
            <w:vAlign w:val="center"/>
          </w:tcPr>
          <w:p w:rsidR="008D14E6" w:rsidRPr="00BA60F0" w:rsidRDefault="008D14E6" w:rsidP="00746849">
            <w:pPr>
              <w:adjustRightInd w:val="0"/>
              <w:snapToGrid w:val="0"/>
              <w:spacing w:after="0" w:line="360" w:lineRule="auto"/>
              <w:jc w:val="both"/>
              <w:rPr>
                <w:rFonts w:ascii="Book Antiqua" w:hAnsi="Book Antiqua" w:cs="Arial"/>
                <w:bCs/>
                <w:sz w:val="24"/>
                <w:szCs w:val="24"/>
                <w:lang w:val="en-US"/>
              </w:rPr>
            </w:pPr>
            <w:r w:rsidRPr="00BA60F0">
              <w:rPr>
                <w:rFonts w:ascii="Book Antiqua" w:hAnsi="Book Antiqua" w:cs="Arial"/>
                <w:bCs/>
                <w:sz w:val="24"/>
                <w:szCs w:val="24"/>
                <w:lang w:val="en-US"/>
              </w:rPr>
              <w:t>15.4</w:t>
            </w:r>
            <w:r w:rsidR="00C419B4" w:rsidRPr="00C419B4">
              <w:rPr>
                <w:rFonts w:ascii="Book Antiqua" w:hAnsi="Book Antiqua" w:cs="Arial" w:hint="eastAsia"/>
                <w:bCs/>
                <w:sz w:val="24"/>
                <w:szCs w:val="24"/>
                <w:vertAlign w:val="superscript"/>
                <w:lang w:val="en-US" w:eastAsia="zh-CN"/>
              </w:rPr>
              <w:t>1</w:t>
            </w:r>
          </w:p>
        </w:tc>
        <w:tc>
          <w:tcPr>
            <w:tcW w:w="877" w:type="dxa"/>
            <w:vAlign w:val="center"/>
          </w:tcPr>
          <w:p w:rsidR="008D14E6" w:rsidRPr="00BA60F0" w:rsidRDefault="008D14E6" w:rsidP="00746849">
            <w:pPr>
              <w:adjustRightInd w:val="0"/>
              <w:snapToGrid w:val="0"/>
              <w:spacing w:after="0" w:line="360" w:lineRule="auto"/>
              <w:jc w:val="both"/>
              <w:rPr>
                <w:rFonts w:ascii="Book Antiqua" w:hAnsi="Book Antiqua" w:cs="Arial"/>
                <w:bCs/>
                <w:sz w:val="24"/>
                <w:szCs w:val="24"/>
                <w:lang w:val="en-US"/>
              </w:rPr>
            </w:pPr>
            <w:r w:rsidRPr="00BA60F0">
              <w:rPr>
                <w:rFonts w:ascii="Book Antiqua" w:hAnsi="Book Antiqua" w:cs="Arial"/>
                <w:bCs/>
                <w:sz w:val="24"/>
                <w:szCs w:val="24"/>
                <w:lang w:val="en-US"/>
              </w:rPr>
              <w:t>4.1</w:t>
            </w:r>
            <w:r w:rsidR="00C419B4" w:rsidRPr="00C419B4">
              <w:rPr>
                <w:rFonts w:ascii="Book Antiqua" w:hAnsi="Book Antiqua" w:cs="Arial" w:hint="eastAsia"/>
                <w:bCs/>
                <w:sz w:val="24"/>
                <w:szCs w:val="24"/>
                <w:vertAlign w:val="superscript"/>
                <w:lang w:val="en-US" w:eastAsia="zh-CN"/>
              </w:rPr>
              <w:t>1</w:t>
            </w:r>
          </w:p>
        </w:tc>
        <w:tc>
          <w:tcPr>
            <w:tcW w:w="810" w:type="dxa"/>
            <w:vAlign w:val="center"/>
          </w:tcPr>
          <w:p w:rsidR="008D14E6" w:rsidRPr="00BA60F0" w:rsidRDefault="008D14E6" w:rsidP="00746849">
            <w:pPr>
              <w:adjustRightInd w:val="0"/>
              <w:snapToGrid w:val="0"/>
              <w:spacing w:after="0" w:line="360" w:lineRule="auto"/>
              <w:jc w:val="both"/>
              <w:rPr>
                <w:rFonts w:ascii="Book Antiqua" w:hAnsi="Book Antiqua" w:cs="Arial"/>
                <w:bCs/>
                <w:sz w:val="24"/>
                <w:szCs w:val="24"/>
                <w:lang w:val="en-US"/>
              </w:rPr>
            </w:pPr>
            <w:r w:rsidRPr="00BA60F0">
              <w:rPr>
                <w:rFonts w:ascii="Book Antiqua" w:hAnsi="Book Antiqua" w:cs="Arial"/>
                <w:bCs/>
                <w:sz w:val="24"/>
                <w:szCs w:val="24"/>
                <w:lang w:val="en-US"/>
              </w:rPr>
              <w:t>12.7</w:t>
            </w:r>
            <w:r w:rsidR="00C419B4" w:rsidRPr="00C419B4">
              <w:rPr>
                <w:rFonts w:ascii="Book Antiqua" w:hAnsi="Book Antiqua" w:cs="Arial" w:hint="eastAsia"/>
                <w:bCs/>
                <w:sz w:val="24"/>
                <w:szCs w:val="24"/>
                <w:vertAlign w:val="superscript"/>
                <w:lang w:val="en-US" w:eastAsia="zh-CN"/>
              </w:rPr>
              <w:t>1</w:t>
            </w:r>
          </w:p>
        </w:tc>
        <w:tc>
          <w:tcPr>
            <w:tcW w:w="810" w:type="dxa"/>
            <w:vMerge/>
            <w:vAlign w:val="center"/>
          </w:tcPr>
          <w:p w:rsidR="008D14E6" w:rsidRPr="00BA60F0" w:rsidRDefault="008D14E6" w:rsidP="00746849">
            <w:pPr>
              <w:adjustRightInd w:val="0"/>
              <w:snapToGrid w:val="0"/>
              <w:spacing w:after="0" w:line="360" w:lineRule="auto"/>
              <w:jc w:val="both"/>
              <w:rPr>
                <w:rFonts w:ascii="Book Antiqua" w:hAnsi="Book Antiqua" w:cs="Arial"/>
                <w:bCs/>
                <w:sz w:val="24"/>
                <w:szCs w:val="24"/>
                <w:lang w:val="en-US"/>
              </w:rPr>
            </w:pPr>
          </w:p>
        </w:tc>
        <w:tc>
          <w:tcPr>
            <w:tcW w:w="2543" w:type="dxa"/>
            <w:vAlign w:val="center"/>
          </w:tcPr>
          <w:p w:rsidR="008D14E6" w:rsidRPr="00BA60F0" w:rsidRDefault="008D14E6" w:rsidP="00746849">
            <w:pPr>
              <w:adjustRightInd w:val="0"/>
              <w:snapToGrid w:val="0"/>
              <w:spacing w:after="0" w:line="360" w:lineRule="auto"/>
              <w:jc w:val="both"/>
              <w:rPr>
                <w:rFonts w:ascii="Book Antiqua" w:hAnsi="Book Antiqua" w:cs="Arial"/>
                <w:bCs/>
                <w:sz w:val="24"/>
                <w:szCs w:val="24"/>
                <w:lang w:val="en-US"/>
              </w:rPr>
            </w:pPr>
            <w:r w:rsidRPr="00BA60F0">
              <w:rPr>
                <w:rFonts w:ascii="Book Antiqua" w:hAnsi="Book Antiqua" w:cs="Arial"/>
                <w:bCs/>
                <w:sz w:val="24"/>
                <w:szCs w:val="24"/>
                <w:lang w:val="en-US"/>
              </w:rPr>
              <w:t>N/A/T/D/Ano/F – 28/4/0/3/9/4</w:t>
            </w:r>
          </w:p>
        </w:tc>
      </w:tr>
      <w:tr w:rsidR="008D14E6" w:rsidRPr="00BA60F0" w:rsidTr="00C419B4">
        <w:trPr>
          <w:trHeight w:val="183"/>
        </w:trPr>
        <w:tc>
          <w:tcPr>
            <w:tcW w:w="959" w:type="dxa"/>
            <w:vMerge w:val="restart"/>
          </w:tcPr>
          <w:p w:rsidR="008D14E6" w:rsidRPr="00BA60F0" w:rsidRDefault="00865232" w:rsidP="00746849">
            <w:pPr>
              <w:adjustRightInd w:val="0"/>
              <w:snapToGrid w:val="0"/>
              <w:spacing w:after="0" w:line="360" w:lineRule="auto"/>
              <w:jc w:val="both"/>
              <w:rPr>
                <w:rFonts w:ascii="Book Antiqua" w:hAnsi="Book Antiqua" w:cs="Arial"/>
                <w:b/>
                <w:bCs/>
                <w:sz w:val="24"/>
                <w:szCs w:val="24"/>
                <w:lang w:val="en-US"/>
              </w:rPr>
            </w:pPr>
            <w:r w:rsidRPr="00BA60F0">
              <w:rPr>
                <w:rFonts w:ascii="Book Antiqua" w:hAnsi="Book Antiqua" w:cs="Arial"/>
                <w:b/>
                <w:bCs/>
                <w:sz w:val="24"/>
                <w:szCs w:val="24"/>
                <w:lang w:val="en-US"/>
              </w:rPr>
              <w:t>Fuchs</w:t>
            </w:r>
            <w:r w:rsidRPr="00BA60F0">
              <w:rPr>
                <w:rFonts w:ascii="Book Antiqua" w:hAnsi="Book Antiqua" w:cs="Arial"/>
                <w:b/>
                <w:bCs/>
                <w:i/>
                <w:sz w:val="24"/>
                <w:szCs w:val="24"/>
                <w:lang w:val="en-US"/>
              </w:rPr>
              <w:t xml:space="preserve"> et al</w:t>
            </w:r>
            <w:r w:rsidRPr="00BA60F0">
              <w:rPr>
                <w:rFonts w:ascii="Book Antiqua" w:hAnsi="Book Antiqua" w:cs="Arial"/>
                <w:b/>
                <w:bCs/>
                <w:sz w:val="24"/>
                <w:szCs w:val="24"/>
                <w:vertAlign w:val="superscript"/>
                <w:lang w:val="en-US"/>
              </w:rPr>
              <w:t>[69]</w:t>
            </w:r>
            <w:r w:rsidRPr="00BA60F0">
              <w:rPr>
                <w:rFonts w:ascii="Book Antiqua" w:hAnsi="Book Antiqua" w:cs="Arial"/>
                <w:b/>
                <w:bCs/>
                <w:sz w:val="24"/>
                <w:szCs w:val="24"/>
                <w:lang w:val="en-US"/>
              </w:rPr>
              <w:t>, 2014</w:t>
            </w:r>
          </w:p>
        </w:tc>
        <w:tc>
          <w:tcPr>
            <w:tcW w:w="1669" w:type="dxa"/>
            <w:vAlign w:val="center"/>
          </w:tcPr>
          <w:p w:rsidR="008D14E6" w:rsidRPr="00BA60F0" w:rsidRDefault="008D14E6" w:rsidP="00746849">
            <w:pPr>
              <w:adjustRightInd w:val="0"/>
              <w:snapToGrid w:val="0"/>
              <w:spacing w:after="0" w:line="360" w:lineRule="auto"/>
              <w:jc w:val="both"/>
              <w:rPr>
                <w:rFonts w:ascii="Book Antiqua" w:hAnsi="Book Antiqua" w:cs="Arial"/>
                <w:bCs/>
                <w:sz w:val="24"/>
                <w:szCs w:val="24"/>
                <w:lang w:val="en-US"/>
              </w:rPr>
            </w:pPr>
            <w:r w:rsidRPr="00BA60F0">
              <w:rPr>
                <w:rFonts w:ascii="Book Antiqua" w:hAnsi="Book Antiqua" w:cs="Arial"/>
                <w:bCs/>
                <w:sz w:val="24"/>
                <w:szCs w:val="24"/>
                <w:lang w:val="en-US"/>
              </w:rPr>
              <w:t>Ram 8 mg/kg d1 q2w</w:t>
            </w:r>
          </w:p>
          <w:p w:rsidR="008D14E6" w:rsidRPr="00BA60F0" w:rsidRDefault="008D14E6" w:rsidP="00746849">
            <w:pPr>
              <w:adjustRightInd w:val="0"/>
              <w:snapToGrid w:val="0"/>
              <w:spacing w:after="0" w:line="360" w:lineRule="auto"/>
              <w:jc w:val="both"/>
              <w:rPr>
                <w:rFonts w:ascii="Book Antiqua" w:hAnsi="Book Antiqua" w:cs="Arial"/>
                <w:bCs/>
                <w:sz w:val="24"/>
                <w:szCs w:val="24"/>
                <w:lang w:val="en-US"/>
              </w:rPr>
            </w:pPr>
            <w:r w:rsidRPr="00BA60F0">
              <w:rPr>
                <w:rFonts w:ascii="Book Antiqua" w:hAnsi="Book Antiqua" w:cs="Arial"/>
                <w:bCs/>
                <w:sz w:val="24"/>
                <w:szCs w:val="24"/>
                <w:lang w:val="en-US"/>
              </w:rPr>
              <w:t>BSC</w:t>
            </w:r>
          </w:p>
        </w:tc>
        <w:tc>
          <w:tcPr>
            <w:tcW w:w="630" w:type="dxa"/>
            <w:vAlign w:val="center"/>
          </w:tcPr>
          <w:p w:rsidR="008D14E6" w:rsidRPr="00BA60F0" w:rsidRDefault="008D14E6" w:rsidP="00746849">
            <w:pPr>
              <w:adjustRightInd w:val="0"/>
              <w:snapToGrid w:val="0"/>
              <w:spacing w:after="0" w:line="360" w:lineRule="auto"/>
              <w:jc w:val="both"/>
              <w:rPr>
                <w:rFonts w:ascii="Book Antiqua" w:hAnsi="Book Antiqua" w:cs="Arial"/>
                <w:bCs/>
                <w:sz w:val="24"/>
                <w:szCs w:val="24"/>
                <w:lang w:val="en-US"/>
              </w:rPr>
            </w:pPr>
            <w:r w:rsidRPr="00BA60F0">
              <w:rPr>
                <w:rFonts w:ascii="Book Antiqua" w:hAnsi="Book Antiqua" w:cs="Arial"/>
                <w:bCs/>
                <w:sz w:val="24"/>
                <w:szCs w:val="24"/>
                <w:lang w:val="en-US"/>
              </w:rPr>
              <w:t>238</w:t>
            </w:r>
          </w:p>
        </w:tc>
        <w:tc>
          <w:tcPr>
            <w:tcW w:w="1440" w:type="dxa"/>
            <w:vAlign w:val="center"/>
          </w:tcPr>
          <w:p w:rsidR="008D14E6" w:rsidRPr="00BA60F0" w:rsidRDefault="008D14E6" w:rsidP="00746849">
            <w:pPr>
              <w:adjustRightInd w:val="0"/>
              <w:snapToGrid w:val="0"/>
              <w:spacing w:after="0" w:line="360" w:lineRule="auto"/>
              <w:jc w:val="both"/>
              <w:rPr>
                <w:rFonts w:ascii="Book Antiqua" w:hAnsi="Book Antiqua" w:cs="Arial"/>
                <w:bCs/>
                <w:sz w:val="24"/>
                <w:szCs w:val="24"/>
                <w:lang w:val="en-US"/>
              </w:rPr>
            </w:pPr>
            <w:r w:rsidRPr="00BA60F0">
              <w:rPr>
                <w:rFonts w:ascii="Book Antiqua" w:hAnsi="Book Antiqua" w:cs="Arial"/>
                <w:bCs/>
                <w:sz w:val="24"/>
                <w:szCs w:val="24"/>
                <w:lang w:val="en-US"/>
              </w:rPr>
              <w:t>0/1/2 – 28/72/0</w:t>
            </w:r>
          </w:p>
        </w:tc>
        <w:tc>
          <w:tcPr>
            <w:tcW w:w="810" w:type="dxa"/>
            <w:vAlign w:val="center"/>
          </w:tcPr>
          <w:p w:rsidR="008D14E6" w:rsidRPr="00BA60F0" w:rsidRDefault="008D14E6" w:rsidP="00746849">
            <w:pPr>
              <w:adjustRightInd w:val="0"/>
              <w:snapToGrid w:val="0"/>
              <w:spacing w:after="0" w:line="360" w:lineRule="auto"/>
              <w:jc w:val="both"/>
              <w:rPr>
                <w:rFonts w:ascii="Book Antiqua" w:hAnsi="Book Antiqua" w:cs="Arial"/>
                <w:bCs/>
                <w:sz w:val="24"/>
                <w:szCs w:val="24"/>
                <w:lang w:val="en-US"/>
              </w:rPr>
            </w:pPr>
            <w:r w:rsidRPr="00BA60F0">
              <w:rPr>
                <w:rFonts w:ascii="Book Antiqua" w:hAnsi="Book Antiqua" w:cs="Arial"/>
                <w:bCs/>
                <w:sz w:val="24"/>
                <w:szCs w:val="24"/>
                <w:lang w:val="en-US"/>
              </w:rPr>
              <w:t>3.4</w:t>
            </w:r>
            <w:r w:rsidR="00C419B4" w:rsidRPr="00C419B4">
              <w:rPr>
                <w:rFonts w:ascii="Book Antiqua" w:hAnsi="Book Antiqua" w:cs="Arial" w:hint="eastAsia"/>
                <w:bCs/>
                <w:sz w:val="24"/>
                <w:szCs w:val="24"/>
                <w:vertAlign w:val="superscript"/>
                <w:lang w:val="en-US" w:eastAsia="zh-CN"/>
              </w:rPr>
              <w:t>1</w:t>
            </w:r>
          </w:p>
        </w:tc>
        <w:tc>
          <w:tcPr>
            <w:tcW w:w="877" w:type="dxa"/>
            <w:vAlign w:val="center"/>
          </w:tcPr>
          <w:p w:rsidR="008D14E6" w:rsidRPr="00BA60F0" w:rsidRDefault="008D14E6" w:rsidP="00746849">
            <w:pPr>
              <w:adjustRightInd w:val="0"/>
              <w:snapToGrid w:val="0"/>
              <w:spacing w:after="0" w:line="360" w:lineRule="auto"/>
              <w:jc w:val="both"/>
              <w:rPr>
                <w:rFonts w:ascii="Book Antiqua" w:hAnsi="Book Antiqua" w:cs="Arial"/>
                <w:bCs/>
                <w:sz w:val="24"/>
                <w:szCs w:val="24"/>
                <w:lang w:val="en-US"/>
              </w:rPr>
            </w:pPr>
            <w:r w:rsidRPr="00BA60F0">
              <w:rPr>
                <w:rFonts w:ascii="Book Antiqua" w:hAnsi="Book Antiqua" w:cs="Arial"/>
                <w:bCs/>
                <w:sz w:val="24"/>
                <w:szCs w:val="24"/>
                <w:lang w:val="en-US"/>
              </w:rPr>
              <w:t>2.1</w:t>
            </w:r>
          </w:p>
        </w:tc>
        <w:tc>
          <w:tcPr>
            <w:tcW w:w="810" w:type="dxa"/>
            <w:vAlign w:val="center"/>
          </w:tcPr>
          <w:p w:rsidR="008D14E6" w:rsidRPr="00BA60F0" w:rsidRDefault="008D14E6" w:rsidP="00746849">
            <w:pPr>
              <w:adjustRightInd w:val="0"/>
              <w:snapToGrid w:val="0"/>
              <w:spacing w:after="0" w:line="360" w:lineRule="auto"/>
              <w:jc w:val="both"/>
              <w:rPr>
                <w:rFonts w:ascii="Book Antiqua" w:hAnsi="Book Antiqua" w:cs="Arial"/>
                <w:bCs/>
                <w:sz w:val="24"/>
                <w:szCs w:val="24"/>
                <w:lang w:val="en-US"/>
              </w:rPr>
            </w:pPr>
            <w:r w:rsidRPr="00BA60F0">
              <w:rPr>
                <w:rFonts w:ascii="Book Antiqua" w:hAnsi="Book Antiqua" w:cs="Arial"/>
                <w:bCs/>
                <w:sz w:val="24"/>
                <w:szCs w:val="24"/>
                <w:lang w:val="en-US"/>
              </w:rPr>
              <w:t>5.2</w:t>
            </w:r>
          </w:p>
        </w:tc>
        <w:tc>
          <w:tcPr>
            <w:tcW w:w="810" w:type="dxa"/>
            <w:vMerge w:val="restart"/>
            <w:vAlign w:val="center"/>
          </w:tcPr>
          <w:p w:rsidR="008D14E6" w:rsidRPr="00BA60F0" w:rsidRDefault="008D14E6" w:rsidP="00746849">
            <w:pPr>
              <w:adjustRightInd w:val="0"/>
              <w:snapToGrid w:val="0"/>
              <w:spacing w:after="0" w:line="360" w:lineRule="auto"/>
              <w:jc w:val="both"/>
              <w:rPr>
                <w:rFonts w:ascii="Book Antiqua" w:hAnsi="Book Antiqua" w:cs="Arial"/>
                <w:bCs/>
                <w:sz w:val="24"/>
                <w:szCs w:val="24"/>
                <w:lang w:val="en-US"/>
              </w:rPr>
            </w:pPr>
            <w:r w:rsidRPr="00BA60F0">
              <w:rPr>
                <w:rFonts w:ascii="Book Antiqua" w:hAnsi="Book Antiqua" w:cs="Arial"/>
                <w:bCs/>
                <w:sz w:val="24"/>
                <w:szCs w:val="24"/>
                <w:lang w:val="en-US"/>
              </w:rPr>
              <w:t xml:space="preserve">0.776, </w:t>
            </w:r>
            <w:r w:rsidR="007952D5" w:rsidRPr="007952D5">
              <w:rPr>
                <w:rFonts w:ascii="Book Antiqua" w:hAnsi="Book Antiqua" w:cs="Arial"/>
                <w:bCs/>
                <w:i/>
                <w:caps/>
                <w:sz w:val="24"/>
                <w:szCs w:val="24"/>
                <w:lang w:val="en-US"/>
              </w:rPr>
              <w:t xml:space="preserve">p = </w:t>
            </w:r>
            <w:r w:rsidRPr="00BA60F0">
              <w:rPr>
                <w:rFonts w:ascii="Book Antiqua" w:hAnsi="Book Antiqua" w:cs="Arial"/>
                <w:bCs/>
                <w:sz w:val="24"/>
                <w:szCs w:val="24"/>
                <w:lang w:val="en-US"/>
              </w:rPr>
              <w:t>0.047</w:t>
            </w:r>
          </w:p>
        </w:tc>
        <w:tc>
          <w:tcPr>
            <w:tcW w:w="2543" w:type="dxa"/>
            <w:vAlign w:val="center"/>
          </w:tcPr>
          <w:p w:rsidR="008D14E6" w:rsidRPr="00BA60F0" w:rsidRDefault="008D14E6" w:rsidP="00746849">
            <w:pPr>
              <w:adjustRightInd w:val="0"/>
              <w:snapToGrid w:val="0"/>
              <w:spacing w:after="0" w:line="360" w:lineRule="auto"/>
              <w:jc w:val="both"/>
              <w:rPr>
                <w:rFonts w:ascii="Book Antiqua" w:hAnsi="Book Antiqua" w:cs="Arial"/>
                <w:bCs/>
                <w:sz w:val="24"/>
                <w:szCs w:val="24"/>
                <w:lang w:val="en-US"/>
              </w:rPr>
            </w:pPr>
            <w:r w:rsidRPr="00BA60F0">
              <w:rPr>
                <w:rFonts w:ascii="Book Antiqua" w:hAnsi="Book Antiqua" w:cs="Arial"/>
                <w:bCs/>
                <w:sz w:val="24"/>
                <w:szCs w:val="24"/>
                <w:lang w:val="en-US"/>
              </w:rPr>
              <w:t>A/F/AbP/Dys/Dyn/Hyt/B/Prot/VTE – 6/6/6/2/2/8/3/&lt;</w:t>
            </w:r>
            <w:r w:rsidR="00C419B4">
              <w:rPr>
                <w:rFonts w:ascii="Book Antiqua" w:hAnsi="Book Antiqua" w:cs="Arial" w:hint="eastAsia"/>
                <w:bCs/>
                <w:sz w:val="24"/>
                <w:szCs w:val="24"/>
                <w:lang w:val="en-US" w:eastAsia="zh-CN"/>
              </w:rPr>
              <w:t xml:space="preserve"> </w:t>
            </w:r>
            <w:r w:rsidRPr="00BA60F0">
              <w:rPr>
                <w:rFonts w:ascii="Book Antiqua" w:hAnsi="Book Antiqua" w:cs="Arial"/>
                <w:bCs/>
                <w:sz w:val="24"/>
                <w:szCs w:val="24"/>
                <w:lang w:val="en-US"/>
              </w:rPr>
              <w:t>1/1</w:t>
            </w:r>
          </w:p>
        </w:tc>
      </w:tr>
      <w:tr w:rsidR="008D14E6" w:rsidRPr="00BA60F0" w:rsidTr="00C419B4">
        <w:trPr>
          <w:trHeight w:val="258"/>
        </w:trPr>
        <w:tc>
          <w:tcPr>
            <w:tcW w:w="959" w:type="dxa"/>
            <w:vMerge/>
          </w:tcPr>
          <w:p w:rsidR="008D14E6" w:rsidRPr="00BA60F0" w:rsidRDefault="008D14E6" w:rsidP="00746849">
            <w:pPr>
              <w:adjustRightInd w:val="0"/>
              <w:snapToGrid w:val="0"/>
              <w:spacing w:after="0" w:line="360" w:lineRule="auto"/>
              <w:jc w:val="both"/>
              <w:rPr>
                <w:rFonts w:ascii="Book Antiqua" w:hAnsi="Book Antiqua" w:cs="Arial"/>
                <w:b/>
                <w:bCs/>
                <w:sz w:val="24"/>
                <w:szCs w:val="24"/>
                <w:lang w:val="en-US"/>
              </w:rPr>
            </w:pPr>
          </w:p>
        </w:tc>
        <w:tc>
          <w:tcPr>
            <w:tcW w:w="1669" w:type="dxa"/>
            <w:vAlign w:val="center"/>
          </w:tcPr>
          <w:p w:rsidR="008D14E6" w:rsidRPr="00BA60F0" w:rsidRDefault="008D14E6" w:rsidP="00746849">
            <w:pPr>
              <w:adjustRightInd w:val="0"/>
              <w:snapToGrid w:val="0"/>
              <w:spacing w:after="0" w:line="360" w:lineRule="auto"/>
              <w:jc w:val="both"/>
              <w:rPr>
                <w:rFonts w:ascii="Book Antiqua" w:hAnsi="Book Antiqua" w:cs="Arial"/>
                <w:bCs/>
                <w:sz w:val="24"/>
                <w:szCs w:val="24"/>
                <w:lang w:val="en-US"/>
              </w:rPr>
            </w:pPr>
            <w:r w:rsidRPr="00BA60F0">
              <w:rPr>
                <w:rFonts w:ascii="Book Antiqua" w:hAnsi="Book Antiqua" w:cs="Arial"/>
                <w:bCs/>
                <w:sz w:val="24"/>
                <w:szCs w:val="24"/>
                <w:lang w:val="en-US"/>
              </w:rPr>
              <w:t xml:space="preserve">Placebo </w:t>
            </w:r>
          </w:p>
          <w:p w:rsidR="008D14E6" w:rsidRPr="00BA60F0" w:rsidRDefault="008D14E6" w:rsidP="00746849">
            <w:pPr>
              <w:adjustRightInd w:val="0"/>
              <w:snapToGrid w:val="0"/>
              <w:spacing w:after="0" w:line="360" w:lineRule="auto"/>
              <w:jc w:val="both"/>
              <w:rPr>
                <w:rFonts w:ascii="Book Antiqua" w:hAnsi="Book Antiqua" w:cs="Arial"/>
                <w:bCs/>
                <w:sz w:val="24"/>
                <w:szCs w:val="24"/>
                <w:lang w:val="en-US"/>
              </w:rPr>
            </w:pPr>
            <w:r w:rsidRPr="00BA60F0">
              <w:rPr>
                <w:rFonts w:ascii="Book Antiqua" w:hAnsi="Book Antiqua" w:cs="Arial"/>
                <w:bCs/>
                <w:sz w:val="24"/>
                <w:szCs w:val="24"/>
                <w:lang w:val="en-US"/>
              </w:rPr>
              <w:t>BSC</w:t>
            </w:r>
          </w:p>
        </w:tc>
        <w:tc>
          <w:tcPr>
            <w:tcW w:w="630" w:type="dxa"/>
            <w:vAlign w:val="center"/>
          </w:tcPr>
          <w:p w:rsidR="008D14E6" w:rsidRPr="00BA60F0" w:rsidRDefault="008D14E6" w:rsidP="00746849">
            <w:pPr>
              <w:adjustRightInd w:val="0"/>
              <w:snapToGrid w:val="0"/>
              <w:spacing w:after="0" w:line="360" w:lineRule="auto"/>
              <w:jc w:val="both"/>
              <w:rPr>
                <w:rFonts w:ascii="Book Antiqua" w:hAnsi="Book Antiqua" w:cs="Arial"/>
                <w:bCs/>
                <w:sz w:val="24"/>
                <w:szCs w:val="24"/>
                <w:lang w:val="en-US"/>
              </w:rPr>
            </w:pPr>
            <w:r w:rsidRPr="00BA60F0">
              <w:rPr>
                <w:rFonts w:ascii="Book Antiqua" w:hAnsi="Book Antiqua" w:cs="Arial"/>
                <w:bCs/>
                <w:sz w:val="24"/>
                <w:szCs w:val="24"/>
                <w:lang w:val="en-US"/>
              </w:rPr>
              <w:t>117</w:t>
            </w:r>
          </w:p>
        </w:tc>
        <w:tc>
          <w:tcPr>
            <w:tcW w:w="1440" w:type="dxa"/>
            <w:vAlign w:val="center"/>
          </w:tcPr>
          <w:p w:rsidR="008D14E6" w:rsidRPr="00BA60F0" w:rsidRDefault="008D14E6" w:rsidP="00746849">
            <w:pPr>
              <w:adjustRightInd w:val="0"/>
              <w:snapToGrid w:val="0"/>
              <w:spacing w:after="0" w:line="360" w:lineRule="auto"/>
              <w:jc w:val="both"/>
              <w:rPr>
                <w:rFonts w:ascii="Book Antiqua" w:hAnsi="Book Antiqua" w:cs="Arial"/>
                <w:bCs/>
                <w:sz w:val="24"/>
                <w:szCs w:val="24"/>
                <w:lang w:val="en-US"/>
              </w:rPr>
            </w:pPr>
            <w:r w:rsidRPr="00BA60F0">
              <w:rPr>
                <w:rFonts w:ascii="Book Antiqua" w:hAnsi="Book Antiqua" w:cs="Arial"/>
                <w:bCs/>
                <w:sz w:val="24"/>
                <w:szCs w:val="24"/>
                <w:lang w:val="en-US"/>
              </w:rPr>
              <w:t>0/1/2 – 26/73/0</w:t>
            </w:r>
          </w:p>
        </w:tc>
        <w:tc>
          <w:tcPr>
            <w:tcW w:w="810" w:type="dxa"/>
            <w:vAlign w:val="center"/>
          </w:tcPr>
          <w:p w:rsidR="008D14E6" w:rsidRPr="00BA60F0" w:rsidRDefault="008D14E6" w:rsidP="00746849">
            <w:pPr>
              <w:adjustRightInd w:val="0"/>
              <w:snapToGrid w:val="0"/>
              <w:spacing w:after="0" w:line="360" w:lineRule="auto"/>
              <w:jc w:val="both"/>
              <w:rPr>
                <w:rFonts w:ascii="Book Antiqua" w:hAnsi="Book Antiqua" w:cs="Arial"/>
                <w:bCs/>
                <w:sz w:val="24"/>
                <w:szCs w:val="24"/>
                <w:lang w:val="en-US"/>
              </w:rPr>
            </w:pPr>
            <w:r w:rsidRPr="00BA60F0">
              <w:rPr>
                <w:rFonts w:ascii="Book Antiqua" w:hAnsi="Book Antiqua" w:cs="Arial"/>
                <w:bCs/>
                <w:sz w:val="24"/>
                <w:szCs w:val="24"/>
                <w:lang w:val="en-US"/>
              </w:rPr>
              <w:t>3.0</w:t>
            </w:r>
            <w:r w:rsidR="00C419B4" w:rsidRPr="00C419B4">
              <w:rPr>
                <w:rFonts w:ascii="Book Antiqua" w:hAnsi="Book Antiqua" w:cs="Arial" w:hint="eastAsia"/>
                <w:bCs/>
                <w:sz w:val="24"/>
                <w:szCs w:val="24"/>
                <w:vertAlign w:val="superscript"/>
                <w:lang w:val="en-US" w:eastAsia="zh-CN"/>
              </w:rPr>
              <w:t>1</w:t>
            </w:r>
          </w:p>
        </w:tc>
        <w:tc>
          <w:tcPr>
            <w:tcW w:w="877" w:type="dxa"/>
            <w:vAlign w:val="center"/>
          </w:tcPr>
          <w:p w:rsidR="008D14E6" w:rsidRPr="00BA60F0" w:rsidRDefault="008D14E6" w:rsidP="00746849">
            <w:pPr>
              <w:adjustRightInd w:val="0"/>
              <w:snapToGrid w:val="0"/>
              <w:spacing w:after="0" w:line="360" w:lineRule="auto"/>
              <w:jc w:val="both"/>
              <w:rPr>
                <w:rFonts w:ascii="Book Antiqua" w:hAnsi="Book Antiqua" w:cs="Arial"/>
                <w:bCs/>
                <w:sz w:val="24"/>
                <w:szCs w:val="24"/>
                <w:lang w:val="en-US"/>
              </w:rPr>
            </w:pPr>
            <w:r w:rsidRPr="00BA60F0">
              <w:rPr>
                <w:rFonts w:ascii="Book Antiqua" w:hAnsi="Book Antiqua" w:cs="Arial"/>
                <w:bCs/>
                <w:sz w:val="24"/>
                <w:szCs w:val="24"/>
                <w:lang w:val="en-US"/>
              </w:rPr>
              <w:t>1.3</w:t>
            </w:r>
          </w:p>
        </w:tc>
        <w:tc>
          <w:tcPr>
            <w:tcW w:w="810" w:type="dxa"/>
            <w:vAlign w:val="center"/>
          </w:tcPr>
          <w:p w:rsidR="008D14E6" w:rsidRPr="00BA60F0" w:rsidRDefault="008D14E6" w:rsidP="00746849">
            <w:pPr>
              <w:adjustRightInd w:val="0"/>
              <w:snapToGrid w:val="0"/>
              <w:spacing w:after="0" w:line="360" w:lineRule="auto"/>
              <w:jc w:val="both"/>
              <w:rPr>
                <w:rFonts w:ascii="Book Antiqua" w:hAnsi="Book Antiqua" w:cs="Arial"/>
                <w:bCs/>
                <w:sz w:val="24"/>
                <w:szCs w:val="24"/>
                <w:lang w:val="en-US"/>
              </w:rPr>
            </w:pPr>
            <w:r w:rsidRPr="00BA60F0">
              <w:rPr>
                <w:rFonts w:ascii="Book Antiqua" w:hAnsi="Book Antiqua" w:cs="Arial"/>
                <w:bCs/>
                <w:sz w:val="24"/>
                <w:szCs w:val="24"/>
                <w:lang w:val="en-US"/>
              </w:rPr>
              <w:t>3.8</w:t>
            </w:r>
          </w:p>
        </w:tc>
        <w:tc>
          <w:tcPr>
            <w:tcW w:w="810" w:type="dxa"/>
            <w:vMerge/>
            <w:vAlign w:val="center"/>
          </w:tcPr>
          <w:p w:rsidR="008D14E6" w:rsidRPr="00BA60F0" w:rsidRDefault="008D14E6" w:rsidP="00746849">
            <w:pPr>
              <w:adjustRightInd w:val="0"/>
              <w:snapToGrid w:val="0"/>
              <w:spacing w:after="0" w:line="360" w:lineRule="auto"/>
              <w:jc w:val="both"/>
              <w:rPr>
                <w:rFonts w:ascii="Book Antiqua" w:hAnsi="Book Antiqua" w:cs="Arial"/>
                <w:bCs/>
                <w:sz w:val="24"/>
                <w:szCs w:val="24"/>
                <w:lang w:val="en-US"/>
              </w:rPr>
            </w:pPr>
          </w:p>
        </w:tc>
        <w:tc>
          <w:tcPr>
            <w:tcW w:w="2543" w:type="dxa"/>
            <w:vAlign w:val="center"/>
          </w:tcPr>
          <w:p w:rsidR="008D14E6" w:rsidRPr="00BA60F0" w:rsidRDefault="008D14E6" w:rsidP="00746849">
            <w:pPr>
              <w:adjustRightInd w:val="0"/>
              <w:snapToGrid w:val="0"/>
              <w:spacing w:after="0" w:line="360" w:lineRule="auto"/>
              <w:jc w:val="both"/>
              <w:rPr>
                <w:rFonts w:ascii="Book Antiqua" w:hAnsi="Book Antiqua" w:cs="Arial"/>
                <w:bCs/>
                <w:sz w:val="24"/>
                <w:szCs w:val="24"/>
                <w:lang w:val="en-US"/>
              </w:rPr>
            </w:pPr>
            <w:r w:rsidRPr="00BA60F0">
              <w:rPr>
                <w:rFonts w:ascii="Book Antiqua" w:hAnsi="Book Antiqua" w:cs="Arial"/>
                <w:bCs/>
                <w:sz w:val="24"/>
                <w:szCs w:val="24"/>
                <w:lang w:val="en-US"/>
              </w:rPr>
              <w:t>A/F/AbP/Dys/Dyn/Hyt/B/Prot/VTE – 8/10/3/4/6/3/3//&lt;1</w:t>
            </w:r>
          </w:p>
        </w:tc>
      </w:tr>
      <w:tr w:rsidR="008D14E6" w:rsidRPr="00BA60F0" w:rsidTr="00C419B4">
        <w:trPr>
          <w:trHeight w:val="252"/>
        </w:trPr>
        <w:tc>
          <w:tcPr>
            <w:tcW w:w="959" w:type="dxa"/>
            <w:vMerge w:val="restart"/>
          </w:tcPr>
          <w:p w:rsidR="008D14E6" w:rsidRPr="00BA60F0" w:rsidRDefault="008D14E6" w:rsidP="00746849">
            <w:pPr>
              <w:adjustRightInd w:val="0"/>
              <w:snapToGrid w:val="0"/>
              <w:spacing w:after="0" w:line="360" w:lineRule="auto"/>
              <w:jc w:val="both"/>
              <w:rPr>
                <w:rFonts w:ascii="Book Antiqua" w:hAnsi="Book Antiqua" w:cs="Arial"/>
                <w:b/>
                <w:bCs/>
                <w:sz w:val="24"/>
                <w:szCs w:val="24"/>
                <w:lang w:val="en-US"/>
              </w:rPr>
            </w:pPr>
            <w:r w:rsidRPr="00BA60F0">
              <w:rPr>
                <w:rFonts w:ascii="Book Antiqua" w:hAnsi="Book Antiqua" w:cs="Arial"/>
                <w:b/>
                <w:bCs/>
                <w:sz w:val="24"/>
                <w:szCs w:val="24"/>
                <w:lang w:val="en-US"/>
              </w:rPr>
              <w:t>Wilke</w:t>
            </w:r>
            <w:r w:rsidR="00865232" w:rsidRPr="00BA60F0">
              <w:rPr>
                <w:rFonts w:ascii="Book Antiqua" w:hAnsi="Book Antiqua" w:cs="Arial"/>
                <w:b/>
                <w:bCs/>
                <w:sz w:val="24"/>
                <w:szCs w:val="24"/>
                <w:lang w:val="en-US"/>
              </w:rPr>
              <w:t xml:space="preserve"> </w:t>
            </w:r>
            <w:r w:rsidR="00865232" w:rsidRPr="00BA60F0">
              <w:rPr>
                <w:rFonts w:ascii="Book Antiqua" w:hAnsi="Book Antiqua" w:cs="Arial"/>
                <w:b/>
                <w:bCs/>
                <w:i/>
                <w:sz w:val="24"/>
                <w:szCs w:val="24"/>
                <w:lang w:val="en-US"/>
              </w:rPr>
              <w:t>et al</w:t>
            </w:r>
            <w:r w:rsidR="00865232" w:rsidRPr="00BA60F0">
              <w:rPr>
                <w:rFonts w:ascii="Book Antiqua" w:hAnsi="Book Antiqua" w:cs="Arial"/>
                <w:b/>
                <w:bCs/>
                <w:sz w:val="24"/>
                <w:szCs w:val="24"/>
                <w:vertAlign w:val="superscript"/>
                <w:lang w:val="en-US"/>
              </w:rPr>
              <w:t>[70]</w:t>
            </w:r>
            <w:r w:rsidRPr="00BA60F0">
              <w:rPr>
                <w:rFonts w:ascii="Book Antiqua" w:hAnsi="Book Antiqua" w:cs="Arial"/>
                <w:b/>
                <w:bCs/>
                <w:sz w:val="24"/>
                <w:szCs w:val="24"/>
                <w:lang w:val="en-US"/>
              </w:rPr>
              <w:t>,</w:t>
            </w:r>
            <w:r w:rsidR="00865232" w:rsidRPr="00BA60F0">
              <w:rPr>
                <w:rFonts w:ascii="Book Antiqua" w:hAnsi="Book Antiqua" w:cs="Arial"/>
                <w:b/>
                <w:bCs/>
                <w:sz w:val="24"/>
                <w:szCs w:val="24"/>
                <w:lang w:val="en-US"/>
              </w:rPr>
              <w:t xml:space="preserve"> </w:t>
            </w:r>
            <w:r w:rsidRPr="00BA60F0">
              <w:rPr>
                <w:rFonts w:ascii="Book Antiqua" w:hAnsi="Book Antiqua" w:cs="Arial"/>
                <w:b/>
                <w:bCs/>
                <w:sz w:val="24"/>
                <w:szCs w:val="24"/>
                <w:lang w:val="en-US"/>
              </w:rPr>
              <w:t>2014</w:t>
            </w:r>
          </w:p>
        </w:tc>
        <w:tc>
          <w:tcPr>
            <w:tcW w:w="1669" w:type="dxa"/>
            <w:vAlign w:val="center"/>
          </w:tcPr>
          <w:p w:rsidR="008D14E6" w:rsidRPr="00BA60F0" w:rsidRDefault="008D14E6" w:rsidP="00746849">
            <w:pPr>
              <w:adjustRightInd w:val="0"/>
              <w:snapToGrid w:val="0"/>
              <w:spacing w:after="0" w:line="360" w:lineRule="auto"/>
              <w:jc w:val="both"/>
              <w:rPr>
                <w:rFonts w:ascii="Book Antiqua" w:hAnsi="Book Antiqua" w:cs="Arial"/>
                <w:bCs/>
                <w:sz w:val="24"/>
                <w:szCs w:val="24"/>
                <w:lang w:val="en-US"/>
              </w:rPr>
            </w:pPr>
            <w:r w:rsidRPr="00BA60F0">
              <w:rPr>
                <w:rFonts w:ascii="Book Antiqua" w:hAnsi="Book Antiqua" w:cs="Arial"/>
                <w:bCs/>
                <w:sz w:val="24"/>
                <w:szCs w:val="24"/>
                <w:lang w:val="en-US"/>
              </w:rPr>
              <w:t>Ram 8 mg/kg d1,15 q4w</w:t>
            </w:r>
          </w:p>
          <w:p w:rsidR="008D14E6" w:rsidRPr="00BA60F0" w:rsidRDefault="008D14E6" w:rsidP="00746849">
            <w:pPr>
              <w:adjustRightInd w:val="0"/>
              <w:snapToGrid w:val="0"/>
              <w:spacing w:after="0" w:line="360" w:lineRule="auto"/>
              <w:jc w:val="both"/>
              <w:rPr>
                <w:rFonts w:ascii="Book Antiqua" w:hAnsi="Book Antiqua" w:cs="Arial"/>
                <w:bCs/>
                <w:sz w:val="24"/>
                <w:szCs w:val="24"/>
                <w:lang w:val="en-US"/>
              </w:rPr>
            </w:pPr>
            <w:r w:rsidRPr="00BA60F0">
              <w:rPr>
                <w:rFonts w:ascii="Book Antiqua" w:hAnsi="Book Antiqua" w:cs="Arial"/>
                <w:bCs/>
                <w:sz w:val="24"/>
                <w:szCs w:val="24"/>
                <w:lang w:val="en-US"/>
              </w:rPr>
              <w:t>Ptx 80 d1/d8/d15 q4w</w:t>
            </w:r>
          </w:p>
        </w:tc>
        <w:tc>
          <w:tcPr>
            <w:tcW w:w="630" w:type="dxa"/>
            <w:vAlign w:val="center"/>
          </w:tcPr>
          <w:p w:rsidR="008D14E6" w:rsidRPr="00BA60F0" w:rsidRDefault="008D14E6" w:rsidP="00746849">
            <w:pPr>
              <w:adjustRightInd w:val="0"/>
              <w:snapToGrid w:val="0"/>
              <w:spacing w:after="0" w:line="360" w:lineRule="auto"/>
              <w:jc w:val="both"/>
              <w:rPr>
                <w:rFonts w:ascii="Book Antiqua" w:hAnsi="Book Antiqua" w:cs="Arial"/>
                <w:bCs/>
                <w:sz w:val="24"/>
                <w:szCs w:val="24"/>
                <w:lang w:val="en-US"/>
              </w:rPr>
            </w:pPr>
            <w:r w:rsidRPr="00BA60F0">
              <w:rPr>
                <w:rFonts w:ascii="Book Antiqua" w:hAnsi="Book Antiqua" w:cs="Arial"/>
                <w:bCs/>
                <w:sz w:val="24"/>
                <w:szCs w:val="24"/>
                <w:lang w:val="en-US"/>
              </w:rPr>
              <w:t>330</w:t>
            </w:r>
          </w:p>
        </w:tc>
        <w:tc>
          <w:tcPr>
            <w:tcW w:w="1440" w:type="dxa"/>
            <w:vAlign w:val="center"/>
          </w:tcPr>
          <w:p w:rsidR="008D14E6" w:rsidRPr="00BA60F0" w:rsidRDefault="008D14E6" w:rsidP="00746849">
            <w:pPr>
              <w:adjustRightInd w:val="0"/>
              <w:snapToGrid w:val="0"/>
              <w:spacing w:after="0" w:line="360" w:lineRule="auto"/>
              <w:jc w:val="both"/>
              <w:rPr>
                <w:rFonts w:ascii="Book Antiqua" w:hAnsi="Book Antiqua" w:cs="Arial"/>
                <w:bCs/>
                <w:sz w:val="24"/>
                <w:szCs w:val="24"/>
                <w:lang w:val="en-US"/>
              </w:rPr>
            </w:pPr>
            <w:r w:rsidRPr="00BA60F0">
              <w:rPr>
                <w:rFonts w:ascii="Book Antiqua" w:hAnsi="Book Antiqua" w:cs="Arial"/>
                <w:bCs/>
                <w:sz w:val="24"/>
                <w:szCs w:val="24"/>
                <w:lang w:val="en-US"/>
              </w:rPr>
              <w:t>0/1 – 35/65</w:t>
            </w:r>
          </w:p>
        </w:tc>
        <w:tc>
          <w:tcPr>
            <w:tcW w:w="810" w:type="dxa"/>
            <w:vAlign w:val="center"/>
          </w:tcPr>
          <w:p w:rsidR="008D14E6" w:rsidRPr="00BA60F0" w:rsidRDefault="008D14E6" w:rsidP="00746849">
            <w:pPr>
              <w:adjustRightInd w:val="0"/>
              <w:snapToGrid w:val="0"/>
              <w:spacing w:after="0" w:line="360" w:lineRule="auto"/>
              <w:jc w:val="both"/>
              <w:rPr>
                <w:rFonts w:ascii="Book Antiqua" w:hAnsi="Book Antiqua" w:cs="Arial"/>
                <w:bCs/>
                <w:sz w:val="24"/>
                <w:szCs w:val="24"/>
                <w:lang w:val="en-US"/>
              </w:rPr>
            </w:pPr>
            <w:r w:rsidRPr="00BA60F0">
              <w:rPr>
                <w:rFonts w:ascii="Book Antiqua" w:hAnsi="Book Antiqua" w:cs="Arial"/>
                <w:bCs/>
                <w:sz w:val="24"/>
                <w:szCs w:val="24"/>
                <w:lang w:val="en-US"/>
              </w:rPr>
              <w:t>27</w:t>
            </w:r>
          </w:p>
        </w:tc>
        <w:tc>
          <w:tcPr>
            <w:tcW w:w="877" w:type="dxa"/>
            <w:vAlign w:val="center"/>
          </w:tcPr>
          <w:p w:rsidR="008D14E6" w:rsidRPr="00BA60F0" w:rsidRDefault="008D14E6" w:rsidP="00746849">
            <w:pPr>
              <w:adjustRightInd w:val="0"/>
              <w:snapToGrid w:val="0"/>
              <w:spacing w:after="0" w:line="360" w:lineRule="auto"/>
              <w:jc w:val="both"/>
              <w:rPr>
                <w:rFonts w:ascii="Book Antiqua" w:hAnsi="Book Antiqua" w:cs="Arial"/>
                <w:bCs/>
                <w:sz w:val="24"/>
                <w:szCs w:val="24"/>
                <w:lang w:val="en-US"/>
              </w:rPr>
            </w:pPr>
            <w:r w:rsidRPr="00BA60F0">
              <w:rPr>
                <w:rFonts w:ascii="Book Antiqua" w:hAnsi="Book Antiqua" w:cs="Arial"/>
                <w:bCs/>
                <w:sz w:val="24"/>
                <w:szCs w:val="24"/>
                <w:lang w:val="en-US"/>
              </w:rPr>
              <w:t>4.4</w:t>
            </w:r>
          </w:p>
        </w:tc>
        <w:tc>
          <w:tcPr>
            <w:tcW w:w="810" w:type="dxa"/>
            <w:vAlign w:val="center"/>
          </w:tcPr>
          <w:p w:rsidR="008D14E6" w:rsidRPr="00BA60F0" w:rsidRDefault="008D14E6" w:rsidP="00746849">
            <w:pPr>
              <w:adjustRightInd w:val="0"/>
              <w:snapToGrid w:val="0"/>
              <w:spacing w:after="0" w:line="360" w:lineRule="auto"/>
              <w:jc w:val="both"/>
              <w:rPr>
                <w:rFonts w:ascii="Book Antiqua" w:hAnsi="Book Antiqua" w:cs="Arial"/>
                <w:bCs/>
                <w:sz w:val="24"/>
                <w:szCs w:val="24"/>
                <w:lang w:val="en-US"/>
              </w:rPr>
            </w:pPr>
            <w:r w:rsidRPr="00BA60F0">
              <w:rPr>
                <w:rFonts w:ascii="Book Antiqua" w:hAnsi="Book Antiqua" w:cs="Arial"/>
                <w:bCs/>
                <w:sz w:val="24"/>
                <w:szCs w:val="24"/>
                <w:lang w:val="en-US"/>
              </w:rPr>
              <w:t>9.6</w:t>
            </w:r>
          </w:p>
        </w:tc>
        <w:tc>
          <w:tcPr>
            <w:tcW w:w="810" w:type="dxa"/>
            <w:vMerge w:val="restart"/>
            <w:vAlign w:val="center"/>
          </w:tcPr>
          <w:p w:rsidR="008D14E6" w:rsidRPr="00BA60F0" w:rsidRDefault="008D14E6" w:rsidP="00746849">
            <w:pPr>
              <w:adjustRightInd w:val="0"/>
              <w:snapToGrid w:val="0"/>
              <w:spacing w:after="0" w:line="360" w:lineRule="auto"/>
              <w:jc w:val="both"/>
              <w:rPr>
                <w:rFonts w:ascii="Book Antiqua" w:hAnsi="Book Antiqua" w:cs="Arial"/>
                <w:bCs/>
                <w:sz w:val="24"/>
                <w:szCs w:val="24"/>
                <w:lang w:val="en-US"/>
              </w:rPr>
            </w:pPr>
            <w:r w:rsidRPr="00BA60F0">
              <w:rPr>
                <w:rFonts w:ascii="Book Antiqua" w:hAnsi="Book Antiqua" w:cs="Arial"/>
                <w:bCs/>
                <w:sz w:val="24"/>
                <w:szCs w:val="24"/>
                <w:lang w:val="en-US"/>
              </w:rPr>
              <w:t>0.807,</w:t>
            </w:r>
          </w:p>
          <w:p w:rsidR="008D14E6" w:rsidRPr="00BA60F0" w:rsidRDefault="007952D5" w:rsidP="00746849">
            <w:pPr>
              <w:adjustRightInd w:val="0"/>
              <w:snapToGrid w:val="0"/>
              <w:spacing w:after="0" w:line="360" w:lineRule="auto"/>
              <w:jc w:val="both"/>
              <w:rPr>
                <w:rFonts w:ascii="Book Antiqua" w:hAnsi="Book Antiqua" w:cs="Arial"/>
                <w:bCs/>
                <w:sz w:val="24"/>
                <w:szCs w:val="24"/>
                <w:lang w:val="en-US"/>
              </w:rPr>
            </w:pPr>
            <w:r w:rsidRPr="007952D5">
              <w:rPr>
                <w:rFonts w:ascii="Book Antiqua" w:hAnsi="Book Antiqua" w:cs="Arial"/>
                <w:bCs/>
                <w:i/>
                <w:caps/>
                <w:sz w:val="24"/>
                <w:szCs w:val="24"/>
                <w:lang w:val="en-US"/>
              </w:rPr>
              <w:t xml:space="preserve">p = </w:t>
            </w:r>
            <w:r w:rsidR="008D14E6" w:rsidRPr="00BA60F0">
              <w:rPr>
                <w:rFonts w:ascii="Book Antiqua" w:hAnsi="Book Antiqua" w:cs="Arial"/>
                <w:bCs/>
                <w:sz w:val="24"/>
                <w:szCs w:val="24"/>
                <w:lang w:val="en-US"/>
              </w:rPr>
              <w:t>0.017</w:t>
            </w:r>
          </w:p>
        </w:tc>
        <w:tc>
          <w:tcPr>
            <w:tcW w:w="2543" w:type="dxa"/>
            <w:vAlign w:val="center"/>
          </w:tcPr>
          <w:p w:rsidR="008D14E6" w:rsidRPr="00BA60F0" w:rsidRDefault="008D14E6" w:rsidP="00746849">
            <w:pPr>
              <w:adjustRightInd w:val="0"/>
              <w:snapToGrid w:val="0"/>
              <w:spacing w:after="0" w:line="360" w:lineRule="auto"/>
              <w:jc w:val="both"/>
              <w:rPr>
                <w:rFonts w:ascii="Book Antiqua" w:hAnsi="Book Antiqua" w:cs="Arial"/>
                <w:bCs/>
                <w:sz w:val="24"/>
                <w:szCs w:val="24"/>
                <w:lang w:val="en-US"/>
              </w:rPr>
            </w:pPr>
            <w:r w:rsidRPr="00BA60F0">
              <w:rPr>
                <w:rFonts w:ascii="Book Antiqua" w:hAnsi="Book Antiqua" w:cs="Arial"/>
                <w:bCs/>
                <w:sz w:val="24"/>
                <w:szCs w:val="24"/>
                <w:lang w:val="en-US"/>
              </w:rPr>
              <w:t>N/A/Leu/T/F/Neu/D/H/Hyt/Prot/HepF/VTE – 41/9/18/2/8/4/4/15/1/4/2</w:t>
            </w:r>
          </w:p>
        </w:tc>
      </w:tr>
      <w:tr w:rsidR="008D14E6" w:rsidRPr="00BA60F0" w:rsidTr="00C419B4">
        <w:trPr>
          <w:trHeight w:val="42"/>
        </w:trPr>
        <w:tc>
          <w:tcPr>
            <w:tcW w:w="959" w:type="dxa"/>
            <w:vMerge/>
          </w:tcPr>
          <w:p w:rsidR="008D14E6" w:rsidRPr="00BA60F0" w:rsidRDefault="008D14E6" w:rsidP="00746849">
            <w:pPr>
              <w:adjustRightInd w:val="0"/>
              <w:snapToGrid w:val="0"/>
              <w:spacing w:after="0" w:line="360" w:lineRule="auto"/>
              <w:jc w:val="both"/>
              <w:rPr>
                <w:rFonts w:ascii="Book Antiqua" w:hAnsi="Book Antiqua" w:cs="Arial"/>
                <w:b/>
                <w:bCs/>
                <w:sz w:val="24"/>
                <w:szCs w:val="24"/>
                <w:lang w:val="en-US"/>
              </w:rPr>
            </w:pPr>
          </w:p>
        </w:tc>
        <w:tc>
          <w:tcPr>
            <w:tcW w:w="1669" w:type="dxa"/>
            <w:vAlign w:val="center"/>
          </w:tcPr>
          <w:p w:rsidR="008D14E6" w:rsidRPr="00BA60F0" w:rsidRDefault="008D14E6" w:rsidP="00746849">
            <w:pPr>
              <w:adjustRightInd w:val="0"/>
              <w:snapToGrid w:val="0"/>
              <w:spacing w:after="0" w:line="360" w:lineRule="auto"/>
              <w:jc w:val="both"/>
              <w:rPr>
                <w:rFonts w:ascii="Book Antiqua" w:hAnsi="Book Antiqua" w:cs="Arial"/>
                <w:bCs/>
                <w:sz w:val="24"/>
                <w:szCs w:val="24"/>
                <w:lang w:val="en-US"/>
              </w:rPr>
            </w:pPr>
            <w:r w:rsidRPr="00BA60F0">
              <w:rPr>
                <w:rFonts w:ascii="Book Antiqua" w:hAnsi="Book Antiqua" w:cs="Arial"/>
                <w:bCs/>
                <w:sz w:val="24"/>
                <w:szCs w:val="24"/>
                <w:lang w:val="en-US"/>
              </w:rPr>
              <w:t>Placebo</w:t>
            </w:r>
          </w:p>
          <w:p w:rsidR="008D14E6" w:rsidRPr="00BA60F0" w:rsidRDefault="008D14E6" w:rsidP="00746849">
            <w:pPr>
              <w:adjustRightInd w:val="0"/>
              <w:snapToGrid w:val="0"/>
              <w:spacing w:after="0" w:line="360" w:lineRule="auto"/>
              <w:jc w:val="both"/>
              <w:rPr>
                <w:rFonts w:ascii="Book Antiqua" w:hAnsi="Book Antiqua" w:cs="Arial"/>
                <w:bCs/>
                <w:sz w:val="24"/>
                <w:szCs w:val="24"/>
                <w:lang w:val="en-US"/>
              </w:rPr>
            </w:pPr>
            <w:r w:rsidRPr="00BA60F0">
              <w:rPr>
                <w:rFonts w:ascii="Book Antiqua" w:hAnsi="Book Antiqua" w:cs="Arial"/>
                <w:bCs/>
                <w:sz w:val="24"/>
                <w:szCs w:val="24"/>
                <w:lang w:val="en-US"/>
              </w:rPr>
              <w:t>Ptx 80 d1/d8/d15 q4w</w:t>
            </w:r>
          </w:p>
        </w:tc>
        <w:tc>
          <w:tcPr>
            <w:tcW w:w="630" w:type="dxa"/>
            <w:vAlign w:val="center"/>
          </w:tcPr>
          <w:p w:rsidR="008D14E6" w:rsidRPr="00BA60F0" w:rsidRDefault="008D14E6" w:rsidP="00746849">
            <w:pPr>
              <w:adjustRightInd w:val="0"/>
              <w:snapToGrid w:val="0"/>
              <w:spacing w:after="0" w:line="360" w:lineRule="auto"/>
              <w:jc w:val="both"/>
              <w:rPr>
                <w:rFonts w:ascii="Book Antiqua" w:hAnsi="Book Antiqua" w:cs="Arial"/>
                <w:bCs/>
                <w:sz w:val="24"/>
                <w:szCs w:val="24"/>
                <w:lang w:val="en-US"/>
              </w:rPr>
            </w:pPr>
            <w:r w:rsidRPr="00BA60F0">
              <w:rPr>
                <w:rFonts w:ascii="Book Antiqua" w:hAnsi="Book Antiqua" w:cs="Arial"/>
                <w:bCs/>
                <w:sz w:val="24"/>
                <w:szCs w:val="24"/>
                <w:lang w:val="en-US"/>
              </w:rPr>
              <w:t>335</w:t>
            </w:r>
          </w:p>
        </w:tc>
        <w:tc>
          <w:tcPr>
            <w:tcW w:w="1440" w:type="dxa"/>
            <w:vAlign w:val="center"/>
          </w:tcPr>
          <w:p w:rsidR="008D14E6" w:rsidRPr="00BA60F0" w:rsidRDefault="008D14E6" w:rsidP="00746849">
            <w:pPr>
              <w:adjustRightInd w:val="0"/>
              <w:snapToGrid w:val="0"/>
              <w:spacing w:after="0" w:line="360" w:lineRule="auto"/>
              <w:jc w:val="both"/>
              <w:rPr>
                <w:rFonts w:ascii="Book Antiqua" w:hAnsi="Book Antiqua" w:cs="Arial"/>
                <w:bCs/>
                <w:sz w:val="24"/>
                <w:szCs w:val="24"/>
                <w:lang w:val="en-US"/>
              </w:rPr>
            </w:pPr>
            <w:r w:rsidRPr="00BA60F0">
              <w:rPr>
                <w:rFonts w:ascii="Book Antiqua" w:hAnsi="Book Antiqua" w:cs="Arial"/>
                <w:bCs/>
                <w:sz w:val="24"/>
                <w:szCs w:val="24"/>
                <w:lang w:val="en-US"/>
              </w:rPr>
              <w:t>0/1 – 43/57</w:t>
            </w:r>
          </w:p>
        </w:tc>
        <w:tc>
          <w:tcPr>
            <w:tcW w:w="810" w:type="dxa"/>
            <w:vAlign w:val="center"/>
          </w:tcPr>
          <w:p w:rsidR="008D14E6" w:rsidRPr="00BA60F0" w:rsidRDefault="008D14E6" w:rsidP="00746849">
            <w:pPr>
              <w:adjustRightInd w:val="0"/>
              <w:snapToGrid w:val="0"/>
              <w:spacing w:after="0" w:line="360" w:lineRule="auto"/>
              <w:jc w:val="both"/>
              <w:rPr>
                <w:rFonts w:ascii="Book Antiqua" w:hAnsi="Book Antiqua" w:cs="Arial"/>
                <w:bCs/>
                <w:sz w:val="24"/>
                <w:szCs w:val="24"/>
                <w:lang w:val="en-US"/>
              </w:rPr>
            </w:pPr>
            <w:r w:rsidRPr="00BA60F0">
              <w:rPr>
                <w:rFonts w:ascii="Book Antiqua" w:hAnsi="Book Antiqua" w:cs="Arial"/>
                <w:bCs/>
                <w:sz w:val="24"/>
                <w:szCs w:val="24"/>
                <w:lang w:val="en-US"/>
              </w:rPr>
              <w:t>16</w:t>
            </w:r>
          </w:p>
        </w:tc>
        <w:tc>
          <w:tcPr>
            <w:tcW w:w="877" w:type="dxa"/>
            <w:vAlign w:val="center"/>
          </w:tcPr>
          <w:p w:rsidR="008D14E6" w:rsidRPr="00BA60F0" w:rsidRDefault="008D14E6" w:rsidP="00746849">
            <w:pPr>
              <w:adjustRightInd w:val="0"/>
              <w:snapToGrid w:val="0"/>
              <w:spacing w:after="0" w:line="360" w:lineRule="auto"/>
              <w:jc w:val="both"/>
              <w:rPr>
                <w:rFonts w:ascii="Book Antiqua" w:hAnsi="Book Antiqua" w:cs="Arial"/>
                <w:bCs/>
                <w:sz w:val="24"/>
                <w:szCs w:val="24"/>
                <w:lang w:val="en-US"/>
              </w:rPr>
            </w:pPr>
            <w:r w:rsidRPr="00BA60F0">
              <w:rPr>
                <w:rFonts w:ascii="Book Antiqua" w:hAnsi="Book Antiqua" w:cs="Arial"/>
                <w:bCs/>
                <w:sz w:val="24"/>
                <w:szCs w:val="24"/>
                <w:lang w:val="en-US"/>
              </w:rPr>
              <w:t>2.9</w:t>
            </w:r>
          </w:p>
        </w:tc>
        <w:tc>
          <w:tcPr>
            <w:tcW w:w="810" w:type="dxa"/>
            <w:vAlign w:val="center"/>
          </w:tcPr>
          <w:p w:rsidR="008D14E6" w:rsidRPr="00BA60F0" w:rsidRDefault="008D14E6" w:rsidP="00746849">
            <w:pPr>
              <w:adjustRightInd w:val="0"/>
              <w:snapToGrid w:val="0"/>
              <w:spacing w:after="0" w:line="360" w:lineRule="auto"/>
              <w:jc w:val="both"/>
              <w:rPr>
                <w:rFonts w:ascii="Book Antiqua" w:hAnsi="Book Antiqua" w:cs="Arial"/>
                <w:bCs/>
                <w:sz w:val="24"/>
                <w:szCs w:val="24"/>
                <w:lang w:val="en-US"/>
              </w:rPr>
            </w:pPr>
            <w:r w:rsidRPr="00BA60F0">
              <w:rPr>
                <w:rFonts w:ascii="Book Antiqua" w:hAnsi="Book Antiqua" w:cs="Arial"/>
                <w:bCs/>
                <w:sz w:val="24"/>
                <w:szCs w:val="24"/>
                <w:lang w:val="en-US"/>
              </w:rPr>
              <w:t>7.4</w:t>
            </w:r>
          </w:p>
        </w:tc>
        <w:tc>
          <w:tcPr>
            <w:tcW w:w="810" w:type="dxa"/>
            <w:vMerge/>
            <w:vAlign w:val="center"/>
          </w:tcPr>
          <w:p w:rsidR="008D14E6" w:rsidRPr="00BA60F0" w:rsidRDefault="008D14E6" w:rsidP="00746849">
            <w:pPr>
              <w:adjustRightInd w:val="0"/>
              <w:snapToGrid w:val="0"/>
              <w:spacing w:after="0" w:line="360" w:lineRule="auto"/>
              <w:jc w:val="both"/>
              <w:rPr>
                <w:rFonts w:ascii="Book Antiqua" w:hAnsi="Book Antiqua" w:cs="Arial"/>
                <w:bCs/>
                <w:sz w:val="24"/>
                <w:szCs w:val="24"/>
                <w:lang w:val="en-US"/>
              </w:rPr>
            </w:pPr>
          </w:p>
        </w:tc>
        <w:tc>
          <w:tcPr>
            <w:tcW w:w="2543" w:type="dxa"/>
            <w:vAlign w:val="center"/>
          </w:tcPr>
          <w:p w:rsidR="008D14E6" w:rsidRPr="00BA60F0" w:rsidRDefault="008D14E6" w:rsidP="00746849">
            <w:pPr>
              <w:adjustRightInd w:val="0"/>
              <w:snapToGrid w:val="0"/>
              <w:spacing w:after="0" w:line="360" w:lineRule="auto"/>
              <w:jc w:val="both"/>
              <w:rPr>
                <w:rFonts w:ascii="Book Antiqua" w:hAnsi="Book Antiqua" w:cs="Arial"/>
                <w:bCs/>
                <w:sz w:val="24"/>
                <w:szCs w:val="24"/>
                <w:lang w:val="en-US"/>
              </w:rPr>
            </w:pPr>
            <w:r w:rsidRPr="00BA60F0">
              <w:rPr>
                <w:rFonts w:ascii="Book Antiqua" w:hAnsi="Book Antiqua" w:cs="Arial"/>
                <w:bCs/>
                <w:sz w:val="24"/>
                <w:szCs w:val="24"/>
                <w:lang w:val="en-US"/>
              </w:rPr>
              <w:t>N/A/Leu/T/F/Neu/D/H/Hyt/Prot/HepF/VTE – 19/9/6/2/5/5/1/4/</w:t>
            </w:r>
            <w:r w:rsidRPr="00BA60F0">
              <w:rPr>
                <w:rFonts w:ascii="Book Antiqua" w:hAnsi="Book Antiqua" w:cs="Arial"/>
                <w:bCs/>
                <w:sz w:val="24"/>
                <w:szCs w:val="24"/>
                <w:lang w:val="en-US"/>
              </w:rPr>
              <w:lastRenderedPageBreak/>
              <w:t>3/0/3/2</w:t>
            </w:r>
          </w:p>
        </w:tc>
      </w:tr>
      <w:tr w:rsidR="008D14E6" w:rsidRPr="00BA60F0" w:rsidTr="00C419B4">
        <w:trPr>
          <w:trHeight w:val="280"/>
        </w:trPr>
        <w:tc>
          <w:tcPr>
            <w:tcW w:w="959" w:type="dxa"/>
            <w:vMerge w:val="restart"/>
          </w:tcPr>
          <w:p w:rsidR="008D14E6" w:rsidRPr="00BA60F0" w:rsidRDefault="008D14E6" w:rsidP="00746849">
            <w:pPr>
              <w:adjustRightInd w:val="0"/>
              <w:snapToGrid w:val="0"/>
              <w:spacing w:after="0" w:line="360" w:lineRule="auto"/>
              <w:jc w:val="both"/>
              <w:rPr>
                <w:rFonts w:ascii="Book Antiqua" w:hAnsi="Book Antiqua" w:cs="Arial"/>
                <w:b/>
                <w:bCs/>
                <w:sz w:val="24"/>
                <w:szCs w:val="24"/>
                <w:lang w:val="en-US"/>
              </w:rPr>
            </w:pPr>
            <w:r w:rsidRPr="00BA60F0">
              <w:rPr>
                <w:rFonts w:ascii="Book Antiqua" w:hAnsi="Book Antiqua" w:cs="Arial"/>
                <w:b/>
                <w:bCs/>
                <w:sz w:val="24"/>
                <w:szCs w:val="24"/>
                <w:lang w:val="en-US"/>
              </w:rPr>
              <w:lastRenderedPageBreak/>
              <w:t>Satoh</w:t>
            </w:r>
            <w:r w:rsidR="00865232" w:rsidRPr="00BA60F0">
              <w:rPr>
                <w:rFonts w:ascii="Book Antiqua" w:hAnsi="Book Antiqua" w:cs="Arial"/>
                <w:b/>
                <w:bCs/>
                <w:sz w:val="24"/>
                <w:szCs w:val="24"/>
                <w:lang w:val="en-US"/>
              </w:rPr>
              <w:t xml:space="preserve"> </w:t>
            </w:r>
            <w:r w:rsidR="00865232" w:rsidRPr="00BA60F0">
              <w:rPr>
                <w:rFonts w:ascii="Book Antiqua" w:hAnsi="Book Antiqua" w:cs="Arial"/>
                <w:b/>
                <w:bCs/>
                <w:i/>
                <w:sz w:val="24"/>
                <w:szCs w:val="24"/>
                <w:lang w:val="en-US"/>
              </w:rPr>
              <w:t>et al</w:t>
            </w:r>
            <w:r w:rsidR="00865232" w:rsidRPr="00BA60F0">
              <w:rPr>
                <w:rFonts w:ascii="Book Antiqua" w:hAnsi="Book Antiqua" w:cs="Arial"/>
                <w:b/>
                <w:bCs/>
                <w:sz w:val="24"/>
                <w:szCs w:val="24"/>
                <w:vertAlign w:val="superscript"/>
                <w:lang w:val="en-US"/>
              </w:rPr>
              <w:t>[76]</w:t>
            </w:r>
            <w:r w:rsidRPr="00BA60F0">
              <w:rPr>
                <w:rFonts w:ascii="Book Antiqua" w:hAnsi="Book Antiqua" w:cs="Arial"/>
                <w:b/>
                <w:bCs/>
                <w:sz w:val="24"/>
                <w:szCs w:val="24"/>
                <w:lang w:val="en-US"/>
              </w:rPr>
              <w:t>,</w:t>
            </w:r>
            <w:r w:rsidR="00865232" w:rsidRPr="00BA60F0">
              <w:rPr>
                <w:rFonts w:ascii="Book Antiqua" w:hAnsi="Book Antiqua" w:cs="Arial"/>
                <w:b/>
                <w:bCs/>
                <w:sz w:val="24"/>
                <w:szCs w:val="24"/>
                <w:lang w:val="en-US"/>
              </w:rPr>
              <w:t xml:space="preserve"> </w:t>
            </w:r>
            <w:r w:rsidRPr="00BA60F0">
              <w:rPr>
                <w:rFonts w:ascii="Book Antiqua" w:hAnsi="Book Antiqua" w:cs="Arial"/>
                <w:b/>
                <w:bCs/>
                <w:sz w:val="24"/>
                <w:szCs w:val="24"/>
                <w:lang w:val="en-US"/>
              </w:rPr>
              <w:t>2014</w:t>
            </w:r>
          </w:p>
        </w:tc>
        <w:tc>
          <w:tcPr>
            <w:tcW w:w="1669" w:type="dxa"/>
            <w:vAlign w:val="center"/>
          </w:tcPr>
          <w:p w:rsidR="008D14E6" w:rsidRPr="00BA60F0" w:rsidRDefault="008D14E6" w:rsidP="00746849">
            <w:pPr>
              <w:adjustRightInd w:val="0"/>
              <w:snapToGrid w:val="0"/>
              <w:spacing w:after="0" w:line="360" w:lineRule="auto"/>
              <w:jc w:val="both"/>
              <w:rPr>
                <w:rFonts w:ascii="Book Antiqua" w:hAnsi="Book Antiqua" w:cs="Arial"/>
                <w:bCs/>
                <w:sz w:val="24"/>
                <w:szCs w:val="24"/>
                <w:lang w:val="en-US"/>
              </w:rPr>
            </w:pPr>
            <w:r w:rsidRPr="00BA60F0">
              <w:rPr>
                <w:rFonts w:ascii="Book Antiqua" w:hAnsi="Book Antiqua" w:cs="Arial"/>
                <w:bCs/>
                <w:sz w:val="24"/>
                <w:szCs w:val="24"/>
                <w:lang w:val="en-US"/>
              </w:rPr>
              <w:t xml:space="preserve">Lap 1500 mg once daily </w:t>
            </w:r>
          </w:p>
          <w:p w:rsidR="008D14E6" w:rsidRPr="00BA60F0" w:rsidRDefault="008D14E6" w:rsidP="00746849">
            <w:pPr>
              <w:adjustRightInd w:val="0"/>
              <w:snapToGrid w:val="0"/>
              <w:spacing w:after="0" w:line="360" w:lineRule="auto"/>
              <w:jc w:val="both"/>
              <w:rPr>
                <w:rFonts w:ascii="Book Antiqua" w:hAnsi="Book Antiqua" w:cs="Arial"/>
                <w:bCs/>
                <w:sz w:val="24"/>
                <w:szCs w:val="24"/>
                <w:lang w:val="en-US"/>
              </w:rPr>
            </w:pPr>
            <w:r w:rsidRPr="00BA60F0">
              <w:rPr>
                <w:rFonts w:ascii="Book Antiqua" w:hAnsi="Book Antiqua" w:cs="Arial"/>
                <w:bCs/>
                <w:sz w:val="24"/>
                <w:szCs w:val="24"/>
                <w:lang w:val="en-US"/>
              </w:rPr>
              <w:t>Ptx 80 d1,d8,d15 q4w</w:t>
            </w:r>
          </w:p>
        </w:tc>
        <w:tc>
          <w:tcPr>
            <w:tcW w:w="630" w:type="dxa"/>
            <w:vAlign w:val="center"/>
          </w:tcPr>
          <w:p w:rsidR="008D14E6" w:rsidRPr="00BA60F0" w:rsidRDefault="008D14E6" w:rsidP="00746849">
            <w:pPr>
              <w:adjustRightInd w:val="0"/>
              <w:snapToGrid w:val="0"/>
              <w:spacing w:after="0" w:line="360" w:lineRule="auto"/>
              <w:jc w:val="both"/>
              <w:rPr>
                <w:rFonts w:ascii="Book Antiqua" w:hAnsi="Book Antiqua" w:cs="Arial"/>
                <w:bCs/>
                <w:sz w:val="24"/>
                <w:szCs w:val="24"/>
                <w:lang w:val="en-US"/>
              </w:rPr>
            </w:pPr>
            <w:r w:rsidRPr="00BA60F0">
              <w:rPr>
                <w:rFonts w:ascii="Book Antiqua" w:hAnsi="Book Antiqua" w:cs="Arial"/>
                <w:bCs/>
                <w:sz w:val="24"/>
                <w:szCs w:val="24"/>
                <w:lang w:val="en-US"/>
              </w:rPr>
              <w:t>132</w:t>
            </w:r>
          </w:p>
        </w:tc>
        <w:tc>
          <w:tcPr>
            <w:tcW w:w="1440" w:type="dxa"/>
            <w:vAlign w:val="center"/>
          </w:tcPr>
          <w:p w:rsidR="008D14E6" w:rsidRPr="00BA60F0" w:rsidRDefault="008D14E6" w:rsidP="00746849">
            <w:pPr>
              <w:adjustRightInd w:val="0"/>
              <w:snapToGrid w:val="0"/>
              <w:spacing w:after="0" w:line="360" w:lineRule="auto"/>
              <w:jc w:val="both"/>
              <w:rPr>
                <w:rFonts w:ascii="Book Antiqua" w:hAnsi="Book Antiqua" w:cs="Arial"/>
                <w:bCs/>
                <w:sz w:val="24"/>
                <w:szCs w:val="24"/>
                <w:lang w:val="en-US"/>
              </w:rPr>
            </w:pPr>
            <w:r w:rsidRPr="00BA60F0">
              <w:rPr>
                <w:rFonts w:ascii="Book Antiqua" w:hAnsi="Book Antiqua" w:cs="Arial"/>
                <w:bCs/>
                <w:sz w:val="24"/>
                <w:szCs w:val="24"/>
                <w:lang w:val="en-US"/>
              </w:rPr>
              <w:t>0/1 – 45/55</w:t>
            </w:r>
          </w:p>
        </w:tc>
        <w:tc>
          <w:tcPr>
            <w:tcW w:w="810" w:type="dxa"/>
            <w:vAlign w:val="center"/>
          </w:tcPr>
          <w:p w:rsidR="008D14E6" w:rsidRPr="00BA60F0" w:rsidRDefault="008D14E6" w:rsidP="00746849">
            <w:pPr>
              <w:adjustRightInd w:val="0"/>
              <w:snapToGrid w:val="0"/>
              <w:spacing w:after="0" w:line="360" w:lineRule="auto"/>
              <w:jc w:val="both"/>
              <w:rPr>
                <w:rFonts w:ascii="Book Antiqua" w:hAnsi="Book Antiqua" w:cs="Arial"/>
                <w:bCs/>
                <w:sz w:val="24"/>
                <w:szCs w:val="24"/>
                <w:lang w:val="en-US"/>
              </w:rPr>
            </w:pPr>
            <w:r w:rsidRPr="00BA60F0">
              <w:rPr>
                <w:rFonts w:ascii="Book Antiqua" w:hAnsi="Book Antiqua" w:cs="Arial"/>
                <w:bCs/>
                <w:sz w:val="24"/>
                <w:szCs w:val="24"/>
                <w:lang w:val="en-US"/>
              </w:rPr>
              <w:t>27</w:t>
            </w:r>
          </w:p>
        </w:tc>
        <w:tc>
          <w:tcPr>
            <w:tcW w:w="877" w:type="dxa"/>
            <w:vAlign w:val="center"/>
          </w:tcPr>
          <w:p w:rsidR="008D14E6" w:rsidRPr="00BA60F0" w:rsidRDefault="008D14E6" w:rsidP="00746849">
            <w:pPr>
              <w:adjustRightInd w:val="0"/>
              <w:snapToGrid w:val="0"/>
              <w:spacing w:after="0" w:line="360" w:lineRule="auto"/>
              <w:jc w:val="both"/>
              <w:rPr>
                <w:rFonts w:ascii="Book Antiqua" w:hAnsi="Book Antiqua" w:cs="Arial"/>
                <w:bCs/>
                <w:sz w:val="24"/>
                <w:szCs w:val="24"/>
                <w:lang w:val="en-US"/>
              </w:rPr>
            </w:pPr>
            <w:r w:rsidRPr="00BA60F0">
              <w:rPr>
                <w:rFonts w:ascii="Book Antiqua" w:hAnsi="Book Antiqua" w:cs="Arial"/>
                <w:bCs/>
                <w:sz w:val="24"/>
                <w:szCs w:val="24"/>
                <w:lang w:val="en-US"/>
              </w:rPr>
              <w:t>5.5</w:t>
            </w:r>
            <w:r w:rsidR="00C419B4" w:rsidRPr="00C419B4">
              <w:rPr>
                <w:rFonts w:ascii="Book Antiqua" w:hAnsi="Book Antiqua" w:cs="Arial" w:hint="eastAsia"/>
                <w:bCs/>
                <w:sz w:val="24"/>
                <w:szCs w:val="24"/>
                <w:vertAlign w:val="superscript"/>
                <w:lang w:val="en-US" w:eastAsia="zh-CN"/>
              </w:rPr>
              <w:t>1</w:t>
            </w:r>
          </w:p>
        </w:tc>
        <w:tc>
          <w:tcPr>
            <w:tcW w:w="810" w:type="dxa"/>
            <w:vAlign w:val="center"/>
          </w:tcPr>
          <w:p w:rsidR="008D14E6" w:rsidRPr="00BA60F0" w:rsidRDefault="008D14E6" w:rsidP="00746849">
            <w:pPr>
              <w:adjustRightInd w:val="0"/>
              <w:snapToGrid w:val="0"/>
              <w:spacing w:after="0" w:line="360" w:lineRule="auto"/>
              <w:jc w:val="both"/>
              <w:rPr>
                <w:rFonts w:ascii="Book Antiqua" w:hAnsi="Book Antiqua" w:cs="Arial"/>
                <w:bCs/>
                <w:sz w:val="24"/>
                <w:szCs w:val="24"/>
                <w:lang w:val="en-US"/>
              </w:rPr>
            </w:pPr>
            <w:r w:rsidRPr="00BA60F0">
              <w:rPr>
                <w:rFonts w:ascii="Book Antiqua" w:hAnsi="Book Antiqua" w:cs="Arial"/>
                <w:bCs/>
                <w:sz w:val="24"/>
                <w:szCs w:val="24"/>
                <w:lang w:val="en-US"/>
              </w:rPr>
              <w:t>12.2</w:t>
            </w:r>
            <w:r w:rsidR="00C419B4" w:rsidRPr="00C419B4">
              <w:rPr>
                <w:rFonts w:ascii="Book Antiqua" w:hAnsi="Book Antiqua" w:cs="Arial" w:hint="eastAsia"/>
                <w:bCs/>
                <w:sz w:val="24"/>
                <w:szCs w:val="24"/>
                <w:vertAlign w:val="superscript"/>
                <w:lang w:val="en-US" w:eastAsia="zh-CN"/>
              </w:rPr>
              <w:t>1</w:t>
            </w:r>
          </w:p>
        </w:tc>
        <w:tc>
          <w:tcPr>
            <w:tcW w:w="810" w:type="dxa"/>
            <w:vMerge w:val="restart"/>
            <w:vAlign w:val="center"/>
          </w:tcPr>
          <w:p w:rsidR="008D14E6" w:rsidRPr="00BA60F0" w:rsidRDefault="00305D0A" w:rsidP="00746849">
            <w:pPr>
              <w:adjustRightInd w:val="0"/>
              <w:snapToGrid w:val="0"/>
              <w:spacing w:after="0" w:line="360" w:lineRule="auto"/>
              <w:jc w:val="both"/>
              <w:rPr>
                <w:rFonts w:ascii="Book Antiqua" w:hAnsi="Book Antiqua" w:cs="Arial"/>
                <w:bCs/>
                <w:sz w:val="24"/>
                <w:szCs w:val="24"/>
                <w:lang w:val="en-US"/>
              </w:rPr>
            </w:pPr>
            <w:r w:rsidRPr="00BA60F0">
              <w:rPr>
                <w:rFonts w:ascii="Book Antiqua" w:hAnsi="Book Antiqua" w:cs="Arial"/>
                <w:bCs/>
                <w:sz w:val="24"/>
                <w:szCs w:val="24"/>
                <w:lang w:val="en-US"/>
              </w:rPr>
              <w:t>0.84,</w:t>
            </w:r>
            <w:r w:rsidR="007952D5" w:rsidRPr="007952D5">
              <w:rPr>
                <w:rFonts w:ascii="Book Antiqua" w:hAnsi="Book Antiqua" w:cs="Arial"/>
                <w:bCs/>
                <w:i/>
                <w:caps/>
                <w:sz w:val="24"/>
                <w:szCs w:val="24"/>
                <w:lang w:val="en-US"/>
              </w:rPr>
              <w:t xml:space="preserve">p = </w:t>
            </w:r>
            <w:r w:rsidR="008D14E6" w:rsidRPr="00BA60F0">
              <w:rPr>
                <w:rFonts w:ascii="Book Antiqua" w:hAnsi="Book Antiqua" w:cs="Arial"/>
                <w:bCs/>
                <w:sz w:val="24"/>
                <w:szCs w:val="24"/>
                <w:lang w:val="en-US"/>
              </w:rPr>
              <w:t>0.2</w:t>
            </w:r>
          </w:p>
        </w:tc>
        <w:tc>
          <w:tcPr>
            <w:tcW w:w="2543" w:type="dxa"/>
            <w:vAlign w:val="center"/>
          </w:tcPr>
          <w:p w:rsidR="008D14E6" w:rsidRPr="00BA60F0" w:rsidRDefault="008D14E6" w:rsidP="00746849">
            <w:pPr>
              <w:adjustRightInd w:val="0"/>
              <w:snapToGrid w:val="0"/>
              <w:spacing w:after="0" w:line="360" w:lineRule="auto"/>
              <w:jc w:val="both"/>
              <w:rPr>
                <w:rFonts w:ascii="Book Antiqua" w:hAnsi="Book Antiqua" w:cs="Arial"/>
                <w:bCs/>
                <w:sz w:val="24"/>
                <w:szCs w:val="24"/>
                <w:lang w:val="en-US"/>
              </w:rPr>
            </w:pPr>
            <w:r w:rsidRPr="00BA60F0">
              <w:rPr>
                <w:rFonts w:ascii="Book Antiqua" w:hAnsi="Book Antiqua" w:cs="Arial"/>
                <w:bCs/>
                <w:sz w:val="24"/>
                <w:szCs w:val="24"/>
                <w:lang w:val="en-US"/>
              </w:rPr>
              <w:t>(experienced in &gt;</w:t>
            </w:r>
            <w:r w:rsidR="00C419B4">
              <w:rPr>
                <w:rFonts w:ascii="Book Antiqua" w:hAnsi="Book Antiqua" w:cs="Arial" w:hint="eastAsia"/>
                <w:bCs/>
                <w:sz w:val="24"/>
                <w:szCs w:val="24"/>
                <w:lang w:val="en-US" w:eastAsia="zh-CN"/>
              </w:rPr>
              <w:t xml:space="preserve"> </w:t>
            </w:r>
            <w:r w:rsidRPr="00BA60F0">
              <w:rPr>
                <w:rFonts w:ascii="Book Antiqua" w:hAnsi="Book Antiqua" w:cs="Arial"/>
                <w:bCs/>
                <w:sz w:val="24"/>
                <w:szCs w:val="24"/>
                <w:lang w:val="en-US"/>
              </w:rPr>
              <w:t>10% of pts) N/A/Lym/F/Neu/D – 57/11/29/5/&lt;</w:t>
            </w:r>
            <w:r w:rsidR="00C419B4">
              <w:rPr>
                <w:rFonts w:ascii="Book Antiqua" w:hAnsi="Book Antiqua" w:cs="Arial" w:hint="eastAsia"/>
                <w:bCs/>
                <w:sz w:val="24"/>
                <w:szCs w:val="24"/>
                <w:lang w:val="en-US" w:eastAsia="zh-CN"/>
              </w:rPr>
              <w:t xml:space="preserve"> </w:t>
            </w:r>
            <w:r w:rsidRPr="00BA60F0">
              <w:rPr>
                <w:rFonts w:ascii="Book Antiqua" w:hAnsi="Book Antiqua" w:cs="Arial"/>
                <w:bCs/>
                <w:sz w:val="24"/>
                <w:szCs w:val="24"/>
                <w:lang w:val="en-US"/>
              </w:rPr>
              <w:t>1/18</w:t>
            </w:r>
          </w:p>
        </w:tc>
      </w:tr>
      <w:tr w:rsidR="008D14E6" w:rsidRPr="00BA60F0" w:rsidTr="00C419B4">
        <w:trPr>
          <w:trHeight w:val="161"/>
        </w:trPr>
        <w:tc>
          <w:tcPr>
            <w:tcW w:w="959" w:type="dxa"/>
            <w:vMerge/>
          </w:tcPr>
          <w:p w:rsidR="008D14E6" w:rsidRPr="00BA60F0" w:rsidRDefault="008D14E6" w:rsidP="00746849">
            <w:pPr>
              <w:adjustRightInd w:val="0"/>
              <w:snapToGrid w:val="0"/>
              <w:spacing w:after="0" w:line="360" w:lineRule="auto"/>
              <w:jc w:val="both"/>
              <w:rPr>
                <w:rFonts w:ascii="Book Antiqua" w:hAnsi="Book Antiqua" w:cs="Arial"/>
                <w:b/>
                <w:bCs/>
                <w:sz w:val="24"/>
                <w:szCs w:val="24"/>
                <w:lang w:val="en-US"/>
              </w:rPr>
            </w:pPr>
          </w:p>
        </w:tc>
        <w:tc>
          <w:tcPr>
            <w:tcW w:w="1669" w:type="dxa"/>
            <w:vAlign w:val="center"/>
          </w:tcPr>
          <w:p w:rsidR="008D14E6" w:rsidRPr="00BA60F0" w:rsidRDefault="008D14E6" w:rsidP="00746849">
            <w:pPr>
              <w:adjustRightInd w:val="0"/>
              <w:snapToGrid w:val="0"/>
              <w:spacing w:after="0" w:line="360" w:lineRule="auto"/>
              <w:jc w:val="both"/>
              <w:rPr>
                <w:rFonts w:ascii="Book Antiqua" w:hAnsi="Book Antiqua" w:cs="Arial"/>
                <w:bCs/>
                <w:sz w:val="24"/>
                <w:szCs w:val="24"/>
                <w:lang w:val="en-US"/>
              </w:rPr>
            </w:pPr>
            <w:r w:rsidRPr="00BA60F0">
              <w:rPr>
                <w:rFonts w:ascii="Book Antiqua" w:hAnsi="Book Antiqua" w:cs="Arial"/>
                <w:bCs/>
                <w:sz w:val="24"/>
                <w:szCs w:val="24"/>
                <w:lang w:val="en-US"/>
              </w:rPr>
              <w:t>Placebo</w:t>
            </w:r>
          </w:p>
          <w:p w:rsidR="008D14E6" w:rsidRPr="00BA60F0" w:rsidRDefault="008D14E6" w:rsidP="00746849">
            <w:pPr>
              <w:adjustRightInd w:val="0"/>
              <w:snapToGrid w:val="0"/>
              <w:spacing w:after="0" w:line="360" w:lineRule="auto"/>
              <w:jc w:val="both"/>
              <w:rPr>
                <w:rFonts w:ascii="Book Antiqua" w:hAnsi="Book Antiqua" w:cs="Arial"/>
                <w:bCs/>
                <w:sz w:val="24"/>
                <w:szCs w:val="24"/>
                <w:lang w:val="en-US"/>
              </w:rPr>
            </w:pPr>
            <w:r w:rsidRPr="00BA60F0">
              <w:rPr>
                <w:rFonts w:ascii="Book Antiqua" w:hAnsi="Book Antiqua" w:cs="Arial"/>
                <w:bCs/>
                <w:sz w:val="24"/>
                <w:szCs w:val="24"/>
                <w:lang w:val="en-US"/>
              </w:rPr>
              <w:t>Ptx 80 d1,d8,d15 q4w</w:t>
            </w:r>
          </w:p>
        </w:tc>
        <w:tc>
          <w:tcPr>
            <w:tcW w:w="630" w:type="dxa"/>
            <w:vAlign w:val="center"/>
          </w:tcPr>
          <w:p w:rsidR="008D14E6" w:rsidRPr="00BA60F0" w:rsidRDefault="008D14E6" w:rsidP="00746849">
            <w:pPr>
              <w:adjustRightInd w:val="0"/>
              <w:snapToGrid w:val="0"/>
              <w:spacing w:after="0" w:line="360" w:lineRule="auto"/>
              <w:jc w:val="both"/>
              <w:rPr>
                <w:rFonts w:ascii="Book Antiqua" w:hAnsi="Book Antiqua" w:cs="Arial"/>
                <w:bCs/>
                <w:sz w:val="24"/>
                <w:szCs w:val="24"/>
                <w:lang w:val="en-US"/>
              </w:rPr>
            </w:pPr>
            <w:r w:rsidRPr="00BA60F0">
              <w:rPr>
                <w:rFonts w:ascii="Book Antiqua" w:hAnsi="Book Antiqua" w:cs="Arial"/>
                <w:bCs/>
                <w:sz w:val="24"/>
                <w:szCs w:val="24"/>
                <w:lang w:val="en-US"/>
              </w:rPr>
              <w:t>129</w:t>
            </w:r>
          </w:p>
        </w:tc>
        <w:tc>
          <w:tcPr>
            <w:tcW w:w="1440" w:type="dxa"/>
            <w:vAlign w:val="center"/>
          </w:tcPr>
          <w:p w:rsidR="008D14E6" w:rsidRPr="00BA60F0" w:rsidRDefault="008D14E6" w:rsidP="00746849">
            <w:pPr>
              <w:adjustRightInd w:val="0"/>
              <w:snapToGrid w:val="0"/>
              <w:spacing w:after="0" w:line="360" w:lineRule="auto"/>
              <w:jc w:val="both"/>
              <w:rPr>
                <w:rFonts w:ascii="Book Antiqua" w:hAnsi="Book Antiqua" w:cs="Arial"/>
                <w:bCs/>
                <w:sz w:val="24"/>
                <w:szCs w:val="24"/>
                <w:lang w:val="en-US"/>
              </w:rPr>
            </w:pPr>
            <w:r w:rsidRPr="00BA60F0">
              <w:rPr>
                <w:rFonts w:ascii="Book Antiqua" w:hAnsi="Book Antiqua" w:cs="Arial"/>
                <w:bCs/>
                <w:sz w:val="24"/>
                <w:szCs w:val="24"/>
                <w:lang w:val="en-US"/>
              </w:rPr>
              <w:t>0/1 – 37/63</w:t>
            </w:r>
          </w:p>
        </w:tc>
        <w:tc>
          <w:tcPr>
            <w:tcW w:w="810" w:type="dxa"/>
            <w:vAlign w:val="center"/>
          </w:tcPr>
          <w:p w:rsidR="008D14E6" w:rsidRPr="00BA60F0" w:rsidRDefault="008D14E6" w:rsidP="00746849">
            <w:pPr>
              <w:adjustRightInd w:val="0"/>
              <w:snapToGrid w:val="0"/>
              <w:spacing w:after="0" w:line="360" w:lineRule="auto"/>
              <w:jc w:val="both"/>
              <w:rPr>
                <w:rFonts w:ascii="Book Antiqua" w:hAnsi="Book Antiqua" w:cs="Arial"/>
                <w:bCs/>
                <w:sz w:val="24"/>
                <w:szCs w:val="24"/>
                <w:lang w:val="en-US"/>
              </w:rPr>
            </w:pPr>
            <w:r w:rsidRPr="00BA60F0">
              <w:rPr>
                <w:rFonts w:ascii="Book Antiqua" w:hAnsi="Book Antiqua" w:cs="Arial"/>
                <w:bCs/>
                <w:sz w:val="24"/>
                <w:szCs w:val="24"/>
                <w:lang w:val="en-US"/>
              </w:rPr>
              <w:t>9</w:t>
            </w:r>
          </w:p>
        </w:tc>
        <w:tc>
          <w:tcPr>
            <w:tcW w:w="877" w:type="dxa"/>
            <w:vAlign w:val="center"/>
          </w:tcPr>
          <w:p w:rsidR="008D14E6" w:rsidRPr="00BA60F0" w:rsidRDefault="008D14E6" w:rsidP="00746849">
            <w:pPr>
              <w:adjustRightInd w:val="0"/>
              <w:snapToGrid w:val="0"/>
              <w:spacing w:after="0" w:line="360" w:lineRule="auto"/>
              <w:jc w:val="both"/>
              <w:rPr>
                <w:rFonts w:ascii="Book Antiqua" w:hAnsi="Book Antiqua" w:cs="Arial"/>
                <w:bCs/>
                <w:sz w:val="24"/>
                <w:szCs w:val="24"/>
                <w:lang w:val="en-US"/>
              </w:rPr>
            </w:pPr>
            <w:r w:rsidRPr="00BA60F0">
              <w:rPr>
                <w:rFonts w:ascii="Book Antiqua" w:hAnsi="Book Antiqua" w:cs="Arial"/>
                <w:bCs/>
                <w:sz w:val="24"/>
                <w:szCs w:val="24"/>
                <w:lang w:val="en-US"/>
              </w:rPr>
              <w:t>4.4</w:t>
            </w:r>
            <w:r w:rsidR="00C419B4" w:rsidRPr="00C419B4">
              <w:rPr>
                <w:rFonts w:ascii="Book Antiqua" w:hAnsi="Book Antiqua" w:cs="Arial" w:hint="eastAsia"/>
                <w:bCs/>
                <w:sz w:val="24"/>
                <w:szCs w:val="24"/>
                <w:vertAlign w:val="superscript"/>
                <w:lang w:val="en-US" w:eastAsia="zh-CN"/>
              </w:rPr>
              <w:t>1</w:t>
            </w:r>
          </w:p>
        </w:tc>
        <w:tc>
          <w:tcPr>
            <w:tcW w:w="810" w:type="dxa"/>
            <w:vAlign w:val="center"/>
          </w:tcPr>
          <w:p w:rsidR="008D14E6" w:rsidRPr="00BA60F0" w:rsidRDefault="008D14E6" w:rsidP="00746849">
            <w:pPr>
              <w:adjustRightInd w:val="0"/>
              <w:snapToGrid w:val="0"/>
              <w:spacing w:after="0" w:line="360" w:lineRule="auto"/>
              <w:jc w:val="both"/>
              <w:rPr>
                <w:rFonts w:ascii="Book Antiqua" w:hAnsi="Book Antiqua" w:cs="Arial"/>
                <w:bCs/>
                <w:sz w:val="24"/>
                <w:szCs w:val="24"/>
                <w:lang w:val="en-US"/>
              </w:rPr>
            </w:pPr>
            <w:r w:rsidRPr="00BA60F0">
              <w:rPr>
                <w:rFonts w:ascii="Book Antiqua" w:hAnsi="Book Antiqua" w:cs="Arial"/>
                <w:bCs/>
                <w:sz w:val="24"/>
                <w:szCs w:val="24"/>
                <w:lang w:val="en-US"/>
              </w:rPr>
              <w:t>10.5</w:t>
            </w:r>
            <w:r w:rsidR="00C419B4" w:rsidRPr="00C419B4">
              <w:rPr>
                <w:rFonts w:ascii="Book Antiqua" w:hAnsi="Book Antiqua" w:cs="Arial" w:hint="eastAsia"/>
                <w:bCs/>
                <w:sz w:val="24"/>
                <w:szCs w:val="24"/>
                <w:vertAlign w:val="superscript"/>
                <w:lang w:val="en-US" w:eastAsia="zh-CN"/>
              </w:rPr>
              <w:t>1</w:t>
            </w:r>
          </w:p>
        </w:tc>
        <w:tc>
          <w:tcPr>
            <w:tcW w:w="810" w:type="dxa"/>
            <w:vMerge/>
            <w:vAlign w:val="center"/>
          </w:tcPr>
          <w:p w:rsidR="008D14E6" w:rsidRPr="00BA60F0" w:rsidRDefault="008D14E6" w:rsidP="00746849">
            <w:pPr>
              <w:adjustRightInd w:val="0"/>
              <w:snapToGrid w:val="0"/>
              <w:spacing w:after="0" w:line="360" w:lineRule="auto"/>
              <w:jc w:val="both"/>
              <w:rPr>
                <w:rFonts w:ascii="Book Antiqua" w:hAnsi="Book Antiqua" w:cs="Arial"/>
                <w:bCs/>
                <w:sz w:val="24"/>
                <w:szCs w:val="24"/>
                <w:lang w:val="en-US"/>
              </w:rPr>
            </w:pPr>
          </w:p>
        </w:tc>
        <w:tc>
          <w:tcPr>
            <w:tcW w:w="2543" w:type="dxa"/>
            <w:vAlign w:val="center"/>
          </w:tcPr>
          <w:p w:rsidR="008D14E6" w:rsidRPr="00BA60F0" w:rsidRDefault="008D14E6" w:rsidP="00746849">
            <w:pPr>
              <w:adjustRightInd w:val="0"/>
              <w:snapToGrid w:val="0"/>
              <w:spacing w:after="0" w:line="360" w:lineRule="auto"/>
              <w:jc w:val="both"/>
              <w:rPr>
                <w:rFonts w:ascii="Book Antiqua" w:hAnsi="Book Antiqua" w:cs="Arial"/>
                <w:bCs/>
                <w:sz w:val="24"/>
                <w:szCs w:val="24"/>
                <w:lang w:val="en-US"/>
              </w:rPr>
            </w:pPr>
            <w:r w:rsidRPr="00BA60F0">
              <w:rPr>
                <w:rFonts w:ascii="Book Antiqua" w:hAnsi="Book Antiqua" w:cs="Arial"/>
                <w:bCs/>
                <w:sz w:val="24"/>
                <w:szCs w:val="24"/>
                <w:lang w:val="en-US"/>
              </w:rPr>
              <w:t>(experienced in &gt;</w:t>
            </w:r>
            <w:r w:rsidR="00C419B4">
              <w:rPr>
                <w:rFonts w:ascii="Book Antiqua" w:hAnsi="Book Antiqua" w:cs="Arial" w:hint="eastAsia"/>
                <w:bCs/>
                <w:sz w:val="24"/>
                <w:szCs w:val="24"/>
                <w:lang w:val="en-US" w:eastAsia="zh-CN"/>
              </w:rPr>
              <w:t xml:space="preserve"> </w:t>
            </w:r>
            <w:r w:rsidRPr="00BA60F0">
              <w:rPr>
                <w:rFonts w:ascii="Book Antiqua" w:hAnsi="Book Antiqua" w:cs="Arial"/>
                <w:bCs/>
                <w:sz w:val="24"/>
                <w:szCs w:val="24"/>
                <w:lang w:val="en-US"/>
              </w:rPr>
              <w:t>10% of pts) N/A/Lym/F/Neu/D – 31/6/2/&lt;</w:t>
            </w:r>
            <w:r w:rsidR="00C419B4">
              <w:rPr>
                <w:rFonts w:ascii="Book Antiqua" w:hAnsi="Book Antiqua" w:cs="Arial" w:hint="eastAsia"/>
                <w:bCs/>
                <w:sz w:val="24"/>
                <w:szCs w:val="24"/>
                <w:lang w:val="en-US" w:eastAsia="zh-CN"/>
              </w:rPr>
              <w:t xml:space="preserve"> </w:t>
            </w:r>
            <w:r w:rsidRPr="00BA60F0">
              <w:rPr>
                <w:rFonts w:ascii="Book Antiqua" w:hAnsi="Book Antiqua" w:cs="Arial"/>
                <w:bCs/>
                <w:sz w:val="24"/>
                <w:szCs w:val="24"/>
                <w:lang w:val="en-US"/>
              </w:rPr>
              <w:t>1/0/2</w:t>
            </w:r>
          </w:p>
        </w:tc>
      </w:tr>
      <w:tr w:rsidR="008D14E6" w:rsidRPr="00BA60F0" w:rsidTr="00C419B4">
        <w:trPr>
          <w:trHeight w:val="183"/>
        </w:trPr>
        <w:tc>
          <w:tcPr>
            <w:tcW w:w="959" w:type="dxa"/>
            <w:vMerge w:val="restart"/>
          </w:tcPr>
          <w:p w:rsidR="008D14E6" w:rsidRPr="00BA60F0" w:rsidRDefault="00E33E09" w:rsidP="00746849">
            <w:pPr>
              <w:adjustRightInd w:val="0"/>
              <w:snapToGrid w:val="0"/>
              <w:spacing w:after="0" w:line="360" w:lineRule="auto"/>
              <w:jc w:val="both"/>
              <w:rPr>
                <w:rFonts w:ascii="Book Antiqua" w:hAnsi="Book Antiqua" w:cs="Arial"/>
                <w:b/>
                <w:bCs/>
                <w:sz w:val="24"/>
                <w:szCs w:val="24"/>
                <w:lang w:val="en-US"/>
              </w:rPr>
            </w:pPr>
            <w:r w:rsidRPr="00BA60F0">
              <w:rPr>
                <w:rFonts w:ascii="Book Antiqua" w:hAnsi="Book Antiqua" w:cs="Arial"/>
                <w:b/>
                <w:bCs/>
                <w:sz w:val="24"/>
                <w:szCs w:val="24"/>
                <w:lang w:val="en-US"/>
              </w:rPr>
              <w:t>Dutton</w:t>
            </w:r>
            <w:r w:rsidR="00865232" w:rsidRPr="00BA60F0">
              <w:rPr>
                <w:rFonts w:ascii="Book Antiqua" w:hAnsi="Book Antiqua" w:cs="Arial"/>
                <w:b/>
                <w:bCs/>
                <w:i/>
                <w:sz w:val="24"/>
                <w:szCs w:val="24"/>
                <w:lang w:val="en-US"/>
              </w:rPr>
              <w:t xml:space="preserve"> et al</w:t>
            </w:r>
            <w:r w:rsidR="00865232" w:rsidRPr="00BA60F0">
              <w:rPr>
                <w:rFonts w:ascii="Book Antiqua" w:hAnsi="Book Antiqua" w:cs="Arial"/>
                <w:b/>
                <w:bCs/>
                <w:sz w:val="24"/>
                <w:szCs w:val="24"/>
                <w:vertAlign w:val="superscript"/>
                <w:lang w:val="en-US"/>
              </w:rPr>
              <w:t>[77]</w:t>
            </w:r>
            <w:r w:rsidRPr="00BA60F0">
              <w:rPr>
                <w:rFonts w:ascii="Book Antiqua" w:hAnsi="Book Antiqua" w:cs="Arial"/>
                <w:b/>
                <w:bCs/>
                <w:sz w:val="24"/>
                <w:szCs w:val="24"/>
                <w:lang w:val="en-US"/>
              </w:rPr>
              <w:t>, 2014</w:t>
            </w:r>
          </w:p>
        </w:tc>
        <w:tc>
          <w:tcPr>
            <w:tcW w:w="1669" w:type="dxa"/>
            <w:vAlign w:val="center"/>
          </w:tcPr>
          <w:p w:rsidR="008D14E6" w:rsidRPr="00BA60F0" w:rsidRDefault="008D14E6" w:rsidP="00746849">
            <w:pPr>
              <w:adjustRightInd w:val="0"/>
              <w:snapToGrid w:val="0"/>
              <w:spacing w:after="0" w:line="360" w:lineRule="auto"/>
              <w:jc w:val="both"/>
              <w:rPr>
                <w:rFonts w:ascii="Book Antiqua" w:hAnsi="Book Antiqua" w:cs="Arial"/>
                <w:bCs/>
                <w:sz w:val="24"/>
                <w:szCs w:val="24"/>
                <w:lang w:val="en-US"/>
              </w:rPr>
            </w:pPr>
            <w:r w:rsidRPr="00BA60F0">
              <w:rPr>
                <w:rFonts w:ascii="Book Antiqua" w:hAnsi="Book Antiqua" w:cs="Arial"/>
                <w:bCs/>
                <w:sz w:val="24"/>
                <w:szCs w:val="24"/>
                <w:lang w:val="en-US"/>
              </w:rPr>
              <w:t>Gef 500 mg/day daily</w:t>
            </w:r>
          </w:p>
        </w:tc>
        <w:tc>
          <w:tcPr>
            <w:tcW w:w="630" w:type="dxa"/>
            <w:vAlign w:val="center"/>
          </w:tcPr>
          <w:p w:rsidR="008D14E6" w:rsidRPr="00BA60F0" w:rsidRDefault="008D14E6" w:rsidP="00746849">
            <w:pPr>
              <w:adjustRightInd w:val="0"/>
              <w:snapToGrid w:val="0"/>
              <w:spacing w:after="0" w:line="360" w:lineRule="auto"/>
              <w:jc w:val="both"/>
              <w:rPr>
                <w:rFonts w:ascii="Book Antiqua" w:hAnsi="Book Antiqua" w:cs="Arial"/>
                <w:bCs/>
                <w:sz w:val="24"/>
                <w:szCs w:val="24"/>
                <w:lang w:val="en-US"/>
              </w:rPr>
            </w:pPr>
            <w:r w:rsidRPr="00BA60F0">
              <w:rPr>
                <w:rFonts w:ascii="Book Antiqua" w:hAnsi="Book Antiqua" w:cs="Arial"/>
                <w:bCs/>
                <w:sz w:val="24"/>
                <w:szCs w:val="24"/>
                <w:lang w:val="en-US"/>
              </w:rPr>
              <w:t>224</w:t>
            </w:r>
          </w:p>
        </w:tc>
        <w:tc>
          <w:tcPr>
            <w:tcW w:w="1440" w:type="dxa"/>
            <w:vAlign w:val="center"/>
          </w:tcPr>
          <w:p w:rsidR="008D14E6" w:rsidRPr="00BA60F0" w:rsidRDefault="008D14E6" w:rsidP="00746849">
            <w:pPr>
              <w:adjustRightInd w:val="0"/>
              <w:snapToGrid w:val="0"/>
              <w:spacing w:after="0" w:line="360" w:lineRule="auto"/>
              <w:jc w:val="both"/>
              <w:rPr>
                <w:rFonts w:ascii="Book Antiqua" w:hAnsi="Book Antiqua" w:cs="Arial"/>
                <w:bCs/>
                <w:sz w:val="24"/>
                <w:szCs w:val="24"/>
                <w:lang w:val="en-US"/>
              </w:rPr>
            </w:pPr>
            <w:r w:rsidRPr="00BA60F0">
              <w:rPr>
                <w:rFonts w:ascii="Book Antiqua" w:hAnsi="Book Antiqua" w:cs="Arial"/>
                <w:bCs/>
                <w:sz w:val="24"/>
                <w:szCs w:val="24"/>
                <w:lang w:val="en-US"/>
              </w:rPr>
              <w:t>0/1/2 – 25/52/22</w:t>
            </w:r>
          </w:p>
        </w:tc>
        <w:tc>
          <w:tcPr>
            <w:tcW w:w="810" w:type="dxa"/>
            <w:vAlign w:val="center"/>
          </w:tcPr>
          <w:p w:rsidR="008D14E6" w:rsidRPr="00BA60F0" w:rsidRDefault="008D14E6" w:rsidP="00746849">
            <w:pPr>
              <w:adjustRightInd w:val="0"/>
              <w:snapToGrid w:val="0"/>
              <w:spacing w:after="0" w:line="360" w:lineRule="auto"/>
              <w:jc w:val="both"/>
              <w:rPr>
                <w:rFonts w:ascii="Book Antiqua" w:hAnsi="Book Antiqua" w:cs="Arial"/>
                <w:bCs/>
                <w:sz w:val="24"/>
                <w:szCs w:val="24"/>
                <w:lang w:val="en-US"/>
              </w:rPr>
            </w:pPr>
            <w:r w:rsidRPr="00BA60F0">
              <w:rPr>
                <w:rFonts w:ascii="Book Antiqua" w:hAnsi="Book Antiqua" w:cs="Arial"/>
                <w:bCs/>
                <w:sz w:val="24"/>
                <w:szCs w:val="24"/>
                <w:lang w:val="en-US"/>
              </w:rPr>
              <w:t>24 (DC)</w:t>
            </w:r>
          </w:p>
        </w:tc>
        <w:tc>
          <w:tcPr>
            <w:tcW w:w="877" w:type="dxa"/>
            <w:vAlign w:val="center"/>
          </w:tcPr>
          <w:p w:rsidR="008D14E6" w:rsidRPr="00BA60F0" w:rsidRDefault="008D14E6" w:rsidP="00746849">
            <w:pPr>
              <w:adjustRightInd w:val="0"/>
              <w:snapToGrid w:val="0"/>
              <w:spacing w:after="0" w:line="360" w:lineRule="auto"/>
              <w:jc w:val="both"/>
              <w:rPr>
                <w:rFonts w:ascii="Book Antiqua" w:hAnsi="Book Antiqua" w:cs="Arial"/>
                <w:bCs/>
                <w:sz w:val="24"/>
                <w:szCs w:val="24"/>
                <w:lang w:val="en-US"/>
              </w:rPr>
            </w:pPr>
            <w:r w:rsidRPr="00BA60F0">
              <w:rPr>
                <w:rFonts w:ascii="Book Antiqua" w:hAnsi="Book Antiqua" w:cs="Arial"/>
                <w:bCs/>
                <w:sz w:val="24"/>
                <w:szCs w:val="24"/>
                <w:lang w:val="en-US"/>
              </w:rPr>
              <w:t>1.57</w:t>
            </w:r>
          </w:p>
        </w:tc>
        <w:tc>
          <w:tcPr>
            <w:tcW w:w="810" w:type="dxa"/>
            <w:vAlign w:val="center"/>
          </w:tcPr>
          <w:p w:rsidR="008D14E6" w:rsidRPr="00BA60F0" w:rsidRDefault="008D14E6" w:rsidP="00746849">
            <w:pPr>
              <w:adjustRightInd w:val="0"/>
              <w:snapToGrid w:val="0"/>
              <w:spacing w:after="0" w:line="360" w:lineRule="auto"/>
              <w:jc w:val="both"/>
              <w:rPr>
                <w:rFonts w:ascii="Book Antiqua" w:hAnsi="Book Antiqua" w:cs="Arial"/>
                <w:bCs/>
                <w:sz w:val="24"/>
                <w:szCs w:val="24"/>
                <w:lang w:val="en-US"/>
              </w:rPr>
            </w:pPr>
            <w:r w:rsidRPr="00BA60F0">
              <w:rPr>
                <w:rFonts w:ascii="Book Antiqua" w:hAnsi="Book Antiqua" w:cs="Arial"/>
                <w:bCs/>
                <w:sz w:val="24"/>
                <w:szCs w:val="24"/>
                <w:lang w:val="en-US"/>
              </w:rPr>
              <w:t>3.73</w:t>
            </w:r>
            <w:r w:rsidR="00C419B4" w:rsidRPr="00C419B4">
              <w:rPr>
                <w:rFonts w:ascii="Book Antiqua" w:hAnsi="Book Antiqua" w:cs="Arial" w:hint="eastAsia"/>
                <w:bCs/>
                <w:sz w:val="24"/>
                <w:szCs w:val="24"/>
                <w:vertAlign w:val="superscript"/>
                <w:lang w:val="en-US" w:eastAsia="zh-CN"/>
              </w:rPr>
              <w:t>1</w:t>
            </w:r>
          </w:p>
        </w:tc>
        <w:tc>
          <w:tcPr>
            <w:tcW w:w="810" w:type="dxa"/>
            <w:vMerge w:val="restart"/>
            <w:vAlign w:val="center"/>
          </w:tcPr>
          <w:p w:rsidR="008D14E6" w:rsidRPr="00BA60F0" w:rsidRDefault="008D14E6" w:rsidP="00746849">
            <w:pPr>
              <w:adjustRightInd w:val="0"/>
              <w:snapToGrid w:val="0"/>
              <w:spacing w:after="0" w:line="360" w:lineRule="auto"/>
              <w:jc w:val="both"/>
              <w:rPr>
                <w:rFonts w:ascii="Book Antiqua" w:hAnsi="Book Antiqua" w:cs="Arial"/>
                <w:bCs/>
                <w:sz w:val="24"/>
                <w:szCs w:val="24"/>
                <w:lang w:val="en-US"/>
              </w:rPr>
            </w:pPr>
            <w:r w:rsidRPr="00BA60F0">
              <w:rPr>
                <w:rFonts w:ascii="Book Antiqua" w:hAnsi="Book Antiqua" w:cs="Arial"/>
                <w:bCs/>
                <w:sz w:val="24"/>
                <w:szCs w:val="24"/>
                <w:lang w:val="en-US"/>
              </w:rPr>
              <w:t xml:space="preserve">0.90, </w:t>
            </w:r>
            <w:r w:rsidR="007952D5" w:rsidRPr="007952D5">
              <w:rPr>
                <w:rFonts w:ascii="Book Antiqua" w:hAnsi="Book Antiqua" w:cs="Arial"/>
                <w:bCs/>
                <w:i/>
                <w:caps/>
                <w:sz w:val="24"/>
                <w:szCs w:val="24"/>
                <w:lang w:val="en-US"/>
              </w:rPr>
              <w:t xml:space="preserve">p = </w:t>
            </w:r>
            <w:r w:rsidRPr="00BA60F0">
              <w:rPr>
                <w:rFonts w:ascii="Book Antiqua" w:hAnsi="Book Antiqua" w:cs="Arial"/>
                <w:bCs/>
                <w:sz w:val="24"/>
                <w:szCs w:val="24"/>
                <w:lang w:val="en-US"/>
              </w:rPr>
              <w:t>0.293</w:t>
            </w:r>
          </w:p>
        </w:tc>
        <w:tc>
          <w:tcPr>
            <w:tcW w:w="2543" w:type="dxa"/>
            <w:vAlign w:val="center"/>
          </w:tcPr>
          <w:p w:rsidR="008D14E6" w:rsidRPr="00BA60F0" w:rsidRDefault="008D14E6" w:rsidP="00746849">
            <w:pPr>
              <w:adjustRightInd w:val="0"/>
              <w:snapToGrid w:val="0"/>
              <w:spacing w:after="0" w:line="360" w:lineRule="auto"/>
              <w:jc w:val="both"/>
              <w:rPr>
                <w:rFonts w:ascii="Book Antiqua" w:hAnsi="Book Antiqua" w:cs="Arial"/>
                <w:bCs/>
                <w:sz w:val="24"/>
                <w:szCs w:val="24"/>
                <w:lang w:val="en-US"/>
              </w:rPr>
            </w:pPr>
            <w:r w:rsidRPr="00BA60F0">
              <w:rPr>
                <w:rFonts w:ascii="Book Antiqua" w:hAnsi="Book Antiqua" w:cs="Arial"/>
                <w:bCs/>
                <w:sz w:val="24"/>
                <w:szCs w:val="24"/>
                <w:lang w:val="en-US"/>
              </w:rPr>
              <w:t>D/F/Sk/Rep/I/Hem/Vas/Met – 6/10/20/12/3/7/7/6</w:t>
            </w:r>
          </w:p>
        </w:tc>
      </w:tr>
      <w:tr w:rsidR="008D14E6" w:rsidRPr="00BA60F0" w:rsidTr="00C419B4">
        <w:trPr>
          <w:trHeight w:val="258"/>
        </w:trPr>
        <w:tc>
          <w:tcPr>
            <w:tcW w:w="959" w:type="dxa"/>
            <w:vMerge/>
          </w:tcPr>
          <w:p w:rsidR="008D14E6" w:rsidRPr="00BA60F0" w:rsidRDefault="008D14E6" w:rsidP="00746849">
            <w:pPr>
              <w:adjustRightInd w:val="0"/>
              <w:snapToGrid w:val="0"/>
              <w:spacing w:after="0" w:line="360" w:lineRule="auto"/>
              <w:jc w:val="both"/>
              <w:rPr>
                <w:rFonts w:ascii="Book Antiqua" w:hAnsi="Book Antiqua" w:cs="Arial"/>
                <w:b/>
                <w:bCs/>
                <w:sz w:val="24"/>
                <w:szCs w:val="24"/>
                <w:lang w:val="en-US"/>
              </w:rPr>
            </w:pPr>
          </w:p>
        </w:tc>
        <w:tc>
          <w:tcPr>
            <w:tcW w:w="1669" w:type="dxa"/>
            <w:vAlign w:val="center"/>
          </w:tcPr>
          <w:p w:rsidR="008D14E6" w:rsidRPr="00BA60F0" w:rsidRDefault="008D14E6" w:rsidP="00746849">
            <w:pPr>
              <w:adjustRightInd w:val="0"/>
              <w:snapToGrid w:val="0"/>
              <w:spacing w:after="0" w:line="360" w:lineRule="auto"/>
              <w:jc w:val="both"/>
              <w:rPr>
                <w:rFonts w:ascii="Book Antiqua" w:hAnsi="Book Antiqua" w:cs="Arial"/>
                <w:bCs/>
                <w:sz w:val="24"/>
                <w:szCs w:val="24"/>
                <w:lang w:val="en-US"/>
              </w:rPr>
            </w:pPr>
            <w:r w:rsidRPr="00BA60F0">
              <w:rPr>
                <w:rFonts w:ascii="Book Antiqua" w:hAnsi="Book Antiqua" w:cs="Arial"/>
                <w:bCs/>
                <w:sz w:val="24"/>
                <w:szCs w:val="24"/>
                <w:lang w:val="en-US"/>
              </w:rPr>
              <w:t xml:space="preserve">Placebo </w:t>
            </w:r>
          </w:p>
        </w:tc>
        <w:tc>
          <w:tcPr>
            <w:tcW w:w="630" w:type="dxa"/>
            <w:vAlign w:val="center"/>
          </w:tcPr>
          <w:p w:rsidR="008D14E6" w:rsidRPr="00BA60F0" w:rsidRDefault="008D14E6" w:rsidP="00746849">
            <w:pPr>
              <w:adjustRightInd w:val="0"/>
              <w:snapToGrid w:val="0"/>
              <w:spacing w:after="0" w:line="360" w:lineRule="auto"/>
              <w:jc w:val="both"/>
              <w:rPr>
                <w:rFonts w:ascii="Book Antiqua" w:hAnsi="Book Antiqua" w:cs="Arial"/>
                <w:bCs/>
                <w:sz w:val="24"/>
                <w:szCs w:val="24"/>
                <w:lang w:val="en-US"/>
              </w:rPr>
            </w:pPr>
            <w:r w:rsidRPr="00BA60F0">
              <w:rPr>
                <w:rFonts w:ascii="Book Antiqua" w:hAnsi="Book Antiqua" w:cs="Arial"/>
                <w:bCs/>
                <w:sz w:val="24"/>
                <w:szCs w:val="24"/>
                <w:lang w:val="en-US"/>
              </w:rPr>
              <w:t>225</w:t>
            </w:r>
          </w:p>
        </w:tc>
        <w:tc>
          <w:tcPr>
            <w:tcW w:w="1440" w:type="dxa"/>
            <w:vAlign w:val="center"/>
          </w:tcPr>
          <w:p w:rsidR="008D14E6" w:rsidRPr="00BA60F0" w:rsidRDefault="008D14E6" w:rsidP="00746849">
            <w:pPr>
              <w:adjustRightInd w:val="0"/>
              <w:snapToGrid w:val="0"/>
              <w:spacing w:after="0" w:line="360" w:lineRule="auto"/>
              <w:jc w:val="both"/>
              <w:rPr>
                <w:rFonts w:ascii="Book Antiqua" w:hAnsi="Book Antiqua" w:cs="Arial"/>
                <w:bCs/>
                <w:sz w:val="24"/>
                <w:szCs w:val="24"/>
                <w:lang w:val="en-US"/>
              </w:rPr>
            </w:pPr>
            <w:r w:rsidRPr="00BA60F0">
              <w:rPr>
                <w:rFonts w:ascii="Book Antiqua" w:hAnsi="Book Antiqua" w:cs="Arial"/>
                <w:bCs/>
                <w:sz w:val="24"/>
                <w:szCs w:val="24"/>
                <w:lang w:val="en-US"/>
              </w:rPr>
              <w:t>0/1/2 – 25/55/20</w:t>
            </w:r>
          </w:p>
        </w:tc>
        <w:tc>
          <w:tcPr>
            <w:tcW w:w="810" w:type="dxa"/>
            <w:vAlign w:val="center"/>
          </w:tcPr>
          <w:p w:rsidR="008D14E6" w:rsidRPr="00BA60F0" w:rsidRDefault="008D14E6" w:rsidP="00746849">
            <w:pPr>
              <w:adjustRightInd w:val="0"/>
              <w:snapToGrid w:val="0"/>
              <w:spacing w:after="0" w:line="360" w:lineRule="auto"/>
              <w:jc w:val="both"/>
              <w:rPr>
                <w:rFonts w:ascii="Book Antiqua" w:hAnsi="Book Antiqua" w:cs="Arial"/>
                <w:bCs/>
                <w:sz w:val="24"/>
                <w:szCs w:val="24"/>
                <w:lang w:val="en-US"/>
              </w:rPr>
            </w:pPr>
            <w:r w:rsidRPr="00BA60F0">
              <w:rPr>
                <w:rFonts w:ascii="Book Antiqua" w:hAnsi="Book Antiqua" w:cs="Arial"/>
                <w:bCs/>
                <w:sz w:val="24"/>
                <w:szCs w:val="24"/>
                <w:lang w:val="en-US"/>
              </w:rPr>
              <w:t>16 (DC)</w:t>
            </w:r>
          </w:p>
        </w:tc>
        <w:tc>
          <w:tcPr>
            <w:tcW w:w="877" w:type="dxa"/>
            <w:vAlign w:val="center"/>
          </w:tcPr>
          <w:p w:rsidR="008D14E6" w:rsidRPr="00BA60F0" w:rsidRDefault="008D14E6" w:rsidP="00746849">
            <w:pPr>
              <w:adjustRightInd w:val="0"/>
              <w:snapToGrid w:val="0"/>
              <w:spacing w:after="0" w:line="360" w:lineRule="auto"/>
              <w:jc w:val="both"/>
              <w:rPr>
                <w:rFonts w:ascii="Book Antiqua" w:hAnsi="Book Antiqua" w:cs="Arial"/>
                <w:bCs/>
                <w:sz w:val="24"/>
                <w:szCs w:val="24"/>
                <w:lang w:val="en-US"/>
              </w:rPr>
            </w:pPr>
            <w:r w:rsidRPr="00BA60F0">
              <w:rPr>
                <w:rFonts w:ascii="Book Antiqua" w:hAnsi="Book Antiqua" w:cs="Arial"/>
                <w:bCs/>
                <w:sz w:val="24"/>
                <w:szCs w:val="24"/>
                <w:lang w:val="en-US"/>
              </w:rPr>
              <w:t>1.17</w:t>
            </w:r>
          </w:p>
        </w:tc>
        <w:tc>
          <w:tcPr>
            <w:tcW w:w="810" w:type="dxa"/>
            <w:vAlign w:val="center"/>
          </w:tcPr>
          <w:p w:rsidR="008D14E6" w:rsidRPr="00BA60F0" w:rsidRDefault="008D14E6" w:rsidP="00746849">
            <w:pPr>
              <w:adjustRightInd w:val="0"/>
              <w:snapToGrid w:val="0"/>
              <w:spacing w:after="0" w:line="360" w:lineRule="auto"/>
              <w:jc w:val="both"/>
              <w:rPr>
                <w:rFonts w:ascii="Book Antiqua" w:hAnsi="Book Antiqua" w:cs="Arial"/>
                <w:bCs/>
                <w:sz w:val="24"/>
                <w:szCs w:val="24"/>
                <w:lang w:val="en-US"/>
              </w:rPr>
            </w:pPr>
            <w:r w:rsidRPr="00BA60F0">
              <w:rPr>
                <w:rFonts w:ascii="Book Antiqua" w:hAnsi="Book Antiqua" w:cs="Arial"/>
                <w:bCs/>
                <w:sz w:val="24"/>
                <w:szCs w:val="24"/>
                <w:lang w:val="en-US"/>
              </w:rPr>
              <w:t>3.67</w:t>
            </w:r>
            <w:r w:rsidR="00C419B4" w:rsidRPr="00C419B4">
              <w:rPr>
                <w:rFonts w:ascii="Book Antiqua" w:hAnsi="Book Antiqua" w:cs="Arial" w:hint="eastAsia"/>
                <w:bCs/>
                <w:sz w:val="24"/>
                <w:szCs w:val="24"/>
                <w:vertAlign w:val="superscript"/>
                <w:lang w:val="en-US" w:eastAsia="zh-CN"/>
              </w:rPr>
              <w:t>1</w:t>
            </w:r>
          </w:p>
        </w:tc>
        <w:tc>
          <w:tcPr>
            <w:tcW w:w="810" w:type="dxa"/>
            <w:vMerge/>
            <w:vAlign w:val="center"/>
          </w:tcPr>
          <w:p w:rsidR="008D14E6" w:rsidRPr="00BA60F0" w:rsidRDefault="008D14E6" w:rsidP="00746849">
            <w:pPr>
              <w:adjustRightInd w:val="0"/>
              <w:snapToGrid w:val="0"/>
              <w:spacing w:after="0" w:line="360" w:lineRule="auto"/>
              <w:jc w:val="both"/>
              <w:rPr>
                <w:rFonts w:ascii="Book Antiqua" w:hAnsi="Book Antiqua" w:cs="Arial"/>
                <w:bCs/>
                <w:sz w:val="24"/>
                <w:szCs w:val="24"/>
                <w:lang w:val="en-US"/>
              </w:rPr>
            </w:pPr>
          </w:p>
        </w:tc>
        <w:tc>
          <w:tcPr>
            <w:tcW w:w="2543" w:type="dxa"/>
            <w:vAlign w:val="center"/>
          </w:tcPr>
          <w:p w:rsidR="008D14E6" w:rsidRPr="00BA60F0" w:rsidRDefault="008D14E6" w:rsidP="00746849">
            <w:pPr>
              <w:adjustRightInd w:val="0"/>
              <w:snapToGrid w:val="0"/>
              <w:spacing w:after="0" w:line="360" w:lineRule="auto"/>
              <w:jc w:val="both"/>
              <w:rPr>
                <w:rFonts w:ascii="Book Antiqua" w:hAnsi="Book Antiqua" w:cs="Arial"/>
                <w:bCs/>
                <w:sz w:val="24"/>
                <w:szCs w:val="24"/>
                <w:lang w:val="en-US"/>
              </w:rPr>
            </w:pPr>
            <w:r w:rsidRPr="00BA60F0">
              <w:rPr>
                <w:rFonts w:ascii="Book Antiqua" w:hAnsi="Book Antiqua" w:cs="Arial"/>
                <w:bCs/>
                <w:sz w:val="24"/>
                <w:szCs w:val="24"/>
                <w:lang w:val="en-US"/>
              </w:rPr>
              <w:t>D/F/Sk/Rep/I/Hem/Vas/Met – 1/5/&lt;</w:t>
            </w:r>
            <w:r w:rsidR="00C419B4">
              <w:rPr>
                <w:rFonts w:ascii="Book Antiqua" w:hAnsi="Book Antiqua" w:cs="Arial" w:hint="eastAsia"/>
                <w:bCs/>
                <w:sz w:val="24"/>
                <w:szCs w:val="24"/>
                <w:lang w:val="en-US" w:eastAsia="zh-CN"/>
              </w:rPr>
              <w:t xml:space="preserve"> </w:t>
            </w:r>
            <w:r w:rsidRPr="00BA60F0">
              <w:rPr>
                <w:rFonts w:ascii="Book Antiqua" w:hAnsi="Book Antiqua" w:cs="Arial"/>
                <w:bCs/>
                <w:sz w:val="24"/>
                <w:szCs w:val="24"/>
                <w:lang w:val="en-US"/>
              </w:rPr>
              <w:t>1/12/4/4/5/7</w:t>
            </w:r>
          </w:p>
        </w:tc>
      </w:tr>
    </w:tbl>
    <w:p w:rsidR="008D14E6" w:rsidRPr="00C419B4" w:rsidRDefault="00C419B4" w:rsidP="00746849">
      <w:pPr>
        <w:adjustRightInd w:val="0"/>
        <w:snapToGrid w:val="0"/>
        <w:spacing w:after="0" w:line="360" w:lineRule="auto"/>
        <w:jc w:val="both"/>
        <w:rPr>
          <w:rFonts w:ascii="Book Antiqua" w:hAnsi="Book Antiqua" w:cs="Arial"/>
          <w:sz w:val="24"/>
          <w:szCs w:val="24"/>
          <w:lang w:val="en-US" w:eastAsia="zh-CN"/>
        </w:rPr>
      </w:pPr>
      <w:r w:rsidRPr="00C419B4">
        <w:rPr>
          <w:rFonts w:ascii="Book Antiqua" w:hAnsi="Book Antiqua" w:cs="Arial" w:hint="eastAsia"/>
          <w:bCs/>
          <w:sz w:val="24"/>
          <w:szCs w:val="24"/>
          <w:vertAlign w:val="superscript"/>
          <w:lang w:val="en-US" w:eastAsia="zh-CN"/>
        </w:rPr>
        <w:t>1</w:t>
      </w:r>
      <w:r>
        <w:rPr>
          <w:rFonts w:ascii="Book Antiqua" w:hAnsi="Book Antiqua" w:cs="Arial" w:hint="eastAsia"/>
          <w:bCs/>
          <w:sz w:val="24"/>
          <w:szCs w:val="24"/>
          <w:lang w:val="en-US" w:eastAsia="zh-CN"/>
        </w:rPr>
        <w:t xml:space="preserve">The </w:t>
      </w:r>
      <w:r w:rsidRPr="00C419B4">
        <w:rPr>
          <w:rFonts w:ascii="Book Antiqua" w:hAnsi="Book Antiqua" w:cs="Arial"/>
          <w:i/>
          <w:caps/>
          <w:sz w:val="24"/>
          <w:szCs w:val="24"/>
          <w:lang w:val="en-US"/>
        </w:rPr>
        <w:t>p</w:t>
      </w:r>
      <w:r w:rsidRPr="00BA60F0">
        <w:rPr>
          <w:rFonts w:ascii="Book Antiqua" w:hAnsi="Book Antiqua" w:cs="Arial"/>
          <w:sz w:val="24"/>
          <w:szCs w:val="24"/>
          <w:lang w:val="en-US"/>
        </w:rPr>
        <w:t xml:space="preserve"> value non-significant</w:t>
      </w:r>
      <w:r>
        <w:rPr>
          <w:rFonts w:ascii="Book Antiqua" w:hAnsi="Book Antiqua" w:cs="Arial" w:hint="eastAsia"/>
          <w:sz w:val="24"/>
          <w:szCs w:val="24"/>
          <w:lang w:val="en-US" w:eastAsia="zh-CN"/>
        </w:rPr>
        <w:t xml:space="preserve">. </w:t>
      </w:r>
      <w:r w:rsidR="008D14E6" w:rsidRPr="00BA60F0">
        <w:rPr>
          <w:rFonts w:ascii="Book Antiqua" w:hAnsi="Book Antiqua" w:cs="Arial"/>
          <w:sz w:val="24"/>
          <w:szCs w:val="24"/>
          <w:lang w:val="en-US"/>
        </w:rPr>
        <w:t>BSC</w:t>
      </w:r>
      <w:r>
        <w:rPr>
          <w:rFonts w:ascii="Book Antiqua" w:hAnsi="Book Antiqua" w:cs="Arial" w:hint="eastAsia"/>
          <w:sz w:val="24"/>
          <w:szCs w:val="24"/>
          <w:lang w:val="en-US" w:eastAsia="zh-CN"/>
        </w:rPr>
        <w:t>:</w:t>
      </w:r>
      <w:r w:rsidR="008D14E6" w:rsidRPr="00BA60F0">
        <w:rPr>
          <w:rFonts w:ascii="Book Antiqua" w:hAnsi="Book Antiqua" w:cs="Arial"/>
          <w:sz w:val="24"/>
          <w:szCs w:val="24"/>
          <w:lang w:val="en-US"/>
        </w:rPr>
        <w:t xml:space="preserve"> Best Supportive Care; Dtx</w:t>
      </w:r>
      <w:r>
        <w:rPr>
          <w:rFonts w:ascii="Book Antiqua" w:hAnsi="Book Antiqua" w:cs="Arial" w:hint="eastAsia"/>
          <w:sz w:val="24"/>
          <w:szCs w:val="24"/>
          <w:lang w:val="en-US" w:eastAsia="zh-CN"/>
        </w:rPr>
        <w:t>:</w:t>
      </w:r>
      <w:r w:rsidR="008D14E6" w:rsidRPr="00BA60F0">
        <w:rPr>
          <w:rFonts w:ascii="Book Antiqua" w:hAnsi="Book Antiqua" w:cs="Arial"/>
          <w:sz w:val="24"/>
          <w:szCs w:val="24"/>
          <w:lang w:val="en-US"/>
        </w:rPr>
        <w:t xml:space="preserve"> Docetaxel; Gef</w:t>
      </w:r>
      <w:r>
        <w:rPr>
          <w:rFonts w:ascii="Book Antiqua" w:hAnsi="Book Antiqua" w:cs="Arial" w:hint="eastAsia"/>
          <w:sz w:val="24"/>
          <w:szCs w:val="24"/>
          <w:lang w:val="en-US" w:eastAsia="zh-CN"/>
        </w:rPr>
        <w:t>:</w:t>
      </w:r>
      <w:r w:rsidR="008D14E6" w:rsidRPr="00BA60F0">
        <w:rPr>
          <w:rFonts w:ascii="Book Antiqua" w:hAnsi="Book Antiqua" w:cs="Arial"/>
          <w:sz w:val="24"/>
          <w:szCs w:val="24"/>
          <w:lang w:val="en-US"/>
        </w:rPr>
        <w:t xml:space="preserve"> Gefitinib; Iri</w:t>
      </w:r>
      <w:r>
        <w:rPr>
          <w:rFonts w:ascii="Book Antiqua" w:hAnsi="Book Antiqua" w:cs="Arial" w:hint="eastAsia"/>
          <w:sz w:val="24"/>
          <w:szCs w:val="24"/>
          <w:lang w:val="en-US" w:eastAsia="zh-CN"/>
        </w:rPr>
        <w:t>:</w:t>
      </w:r>
      <w:r w:rsidR="008D14E6" w:rsidRPr="00BA60F0">
        <w:rPr>
          <w:rFonts w:ascii="Book Antiqua" w:hAnsi="Book Antiqua" w:cs="Arial"/>
          <w:sz w:val="24"/>
          <w:szCs w:val="24"/>
          <w:lang w:val="en-US"/>
        </w:rPr>
        <w:t xml:space="preserve"> Irinotecan; Lap</w:t>
      </w:r>
      <w:r>
        <w:rPr>
          <w:rFonts w:ascii="Book Antiqua" w:hAnsi="Book Antiqua" w:cs="Arial" w:hint="eastAsia"/>
          <w:sz w:val="24"/>
          <w:szCs w:val="24"/>
          <w:lang w:val="en-US" w:eastAsia="zh-CN"/>
        </w:rPr>
        <w:t>:</w:t>
      </w:r>
      <w:r w:rsidR="008D14E6" w:rsidRPr="00BA60F0">
        <w:rPr>
          <w:rFonts w:ascii="Book Antiqua" w:hAnsi="Book Antiqua" w:cs="Arial"/>
          <w:sz w:val="24"/>
          <w:szCs w:val="24"/>
          <w:lang w:val="en-US"/>
        </w:rPr>
        <w:t xml:space="preserve"> Lapatinib; P</w:t>
      </w:r>
      <w:r>
        <w:rPr>
          <w:rFonts w:ascii="Book Antiqua" w:hAnsi="Book Antiqua" w:cs="Arial" w:hint="eastAsia"/>
          <w:sz w:val="24"/>
          <w:szCs w:val="24"/>
          <w:lang w:val="en-US" w:eastAsia="zh-CN"/>
        </w:rPr>
        <w:t xml:space="preserve">: </w:t>
      </w:r>
      <w:r w:rsidR="008D14E6" w:rsidRPr="00BA60F0">
        <w:rPr>
          <w:rFonts w:ascii="Book Antiqua" w:hAnsi="Book Antiqua" w:cs="Arial"/>
          <w:sz w:val="24"/>
          <w:szCs w:val="24"/>
          <w:lang w:val="en-US"/>
        </w:rPr>
        <w:t>Cisplatin; Ptx</w:t>
      </w:r>
      <w:r>
        <w:rPr>
          <w:rFonts w:ascii="Book Antiqua" w:hAnsi="Book Antiqua" w:cs="Arial" w:hint="eastAsia"/>
          <w:sz w:val="24"/>
          <w:szCs w:val="24"/>
          <w:lang w:val="en-US" w:eastAsia="zh-CN"/>
        </w:rPr>
        <w:t>:</w:t>
      </w:r>
      <w:r w:rsidR="008D14E6" w:rsidRPr="00BA60F0">
        <w:rPr>
          <w:rFonts w:ascii="Book Antiqua" w:hAnsi="Book Antiqua" w:cs="Arial"/>
          <w:sz w:val="24"/>
          <w:szCs w:val="24"/>
          <w:lang w:val="en-US"/>
        </w:rPr>
        <w:t xml:space="preserve"> Paclitaxel; Ram</w:t>
      </w:r>
      <w:r>
        <w:rPr>
          <w:rFonts w:ascii="Book Antiqua" w:hAnsi="Book Antiqua" w:cs="Arial" w:hint="eastAsia"/>
          <w:sz w:val="24"/>
          <w:szCs w:val="24"/>
          <w:lang w:val="en-US" w:eastAsia="zh-CN"/>
        </w:rPr>
        <w:t>:</w:t>
      </w:r>
      <w:r w:rsidR="008D14E6" w:rsidRPr="00BA60F0">
        <w:rPr>
          <w:rFonts w:ascii="Book Antiqua" w:hAnsi="Book Antiqua" w:cs="Arial"/>
          <w:sz w:val="24"/>
          <w:szCs w:val="24"/>
          <w:lang w:val="en-US"/>
        </w:rPr>
        <w:t xml:space="preserve"> Ramucirumab</w:t>
      </w:r>
      <w:r>
        <w:rPr>
          <w:rFonts w:ascii="Book Antiqua" w:hAnsi="Book Antiqua" w:cs="Arial" w:hint="eastAsia"/>
          <w:sz w:val="24"/>
          <w:szCs w:val="24"/>
          <w:lang w:val="en-US" w:eastAsia="zh-CN"/>
        </w:rPr>
        <w:t xml:space="preserve">; </w:t>
      </w:r>
      <w:r w:rsidR="008D14E6" w:rsidRPr="00BA60F0">
        <w:rPr>
          <w:rFonts w:ascii="Book Antiqua" w:hAnsi="Book Antiqua" w:cs="Arial"/>
          <w:sz w:val="24"/>
          <w:szCs w:val="24"/>
          <w:lang w:val="en-US"/>
        </w:rPr>
        <w:t>DC</w:t>
      </w:r>
      <w:r>
        <w:rPr>
          <w:rFonts w:ascii="Book Antiqua" w:hAnsi="Book Antiqua" w:cs="Arial" w:hint="eastAsia"/>
          <w:sz w:val="24"/>
          <w:szCs w:val="24"/>
          <w:lang w:val="en-US" w:eastAsia="zh-CN"/>
        </w:rPr>
        <w:t>:</w:t>
      </w:r>
      <w:r w:rsidR="008D14E6" w:rsidRPr="00BA60F0">
        <w:rPr>
          <w:rFonts w:ascii="Book Antiqua" w:hAnsi="Book Antiqua" w:cs="Arial"/>
          <w:sz w:val="24"/>
          <w:szCs w:val="24"/>
          <w:lang w:val="en-US"/>
        </w:rPr>
        <w:t xml:space="preserve"> Disease </w:t>
      </w:r>
      <w:r w:rsidR="001B7B35" w:rsidRPr="00BA60F0">
        <w:rPr>
          <w:rFonts w:ascii="Book Antiqua" w:hAnsi="Book Antiqua" w:cs="Arial"/>
          <w:sz w:val="24"/>
          <w:szCs w:val="24"/>
          <w:lang w:val="en-US"/>
        </w:rPr>
        <w:t>c</w:t>
      </w:r>
      <w:r w:rsidR="008D14E6" w:rsidRPr="00BA60F0">
        <w:rPr>
          <w:rFonts w:ascii="Book Antiqua" w:hAnsi="Book Antiqua" w:cs="Arial"/>
          <w:sz w:val="24"/>
          <w:szCs w:val="24"/>
          <w:lang w:val="en-US"/>
        </w:rPr>
        <w:t>ontrol; ECOG</w:t>
      </w:r>
      <w:r>
        <w:rPr>
          <w:rFonts w:ascii="Book Antiqua" w:hAnsi="Book Antiqua" w:cs="Arial" w:hint="eastAsia"/>
          <w:sz w:val="24"/>
          <w:szCs w:val="24"/>
          <w:lang w:val="en-US" w:eastAsia="zh-CN"/>
        </w:rPr>
        <w:t>:</w:t>
      </w:r>
      <w:r w:rsidR="008D14E6" w:rsidRPr="00BA60F0">
        <w:rPr>
          <w:rFonts w:ascii="Book Antiqua" w:hAnsi="Book Antiqua" w:cs="Arial"/>
          <w:sz w:val="24"/>
          <w:szCs w:val="24"/>
          <w:lang w:val="en-US"/>
        </w:rPr>
        <w:t xml:space="preserve"> Eastern Co-operative Oncology Group; NR</w:t>
      </w:r>
      <w:r>
        <w:rPr>
          <w:rFonts w:ascii="Book Antiqua" w:hAnsi="Book Antiqua" w:cs="Arial" w:hint="eastAsia"/>
          <w:sz w:val="24"/>
          <w:szCs w:val="24"/>
          <w:lang w:val="en-US" w:eastAsia="zh-CN"/>
        </w:rPr>
        <w:t>:</w:t>
      </w:r>
      <w:r w:rsidR="008D14E6" w:rsidRPr="00BA60F0">
        <w:rPr>
          <w:rFonts w:ascii="Book Antiqua" w:hAnsi="Book Antiqua" w:cs="Arial"/>
          <w:sz w:val="24"/>
          <w:szCs w:val="24"/>
          <w:lang w:val="en-US"/>
        </w:rPr>
        <w:t xml:space="preserve"> Not reported; ORR</w:t>
      </w:r>
      <w:r>
        <w:rPr>
          <w:rFonts w:ascii="Book Antiqua" w:hAnsi="Book Antiqua" w:cs="Arial" w:hint="eastAsia"/>
          <w:sz w:val="24"/>
          <w:szCs w:val="24"/>
          <w:lang w:val="en-US" w:eastAsia="zh-CN"/>
        </w:rPr>
        <w:t>:</w:t>
      </w:r>
      <w:r w:rsidR="008D14E6" w:rsidRPr="00BA60F0">
        <w:rPr>
          <w:rFonts w:ascii="Book Antiqua" w:hAnsi="Book Antiqua" w:cs="Arial"/>
          <w:sz w:val="24"/>
          <w:szCs w:val="24"/>
          <w:lang w:val="en-US"/>
        </w:rPr>
        <w:t xml:space="preserve"> Objective Response Rate; OS</w:t>
      </w:r>
      <w:r>
        <w:rPr>
          <w:rFonts w:ascii="Book Antiqua" w:hAnsi="Book Antiqua" w:cs="Arial" w:hint="eastAsia"/>
          <w:sz w:val="24"/>
          <w:szCs w:val="24"/>
          <w:lang w:val="en-US" w:eastAsia="zh-CN"/>
        </w:rPr>
        <w:t>:</w:t>
      </w:r>
      <w:r w:rsidR="008D14E6" w:rsidRPr="00BA60F0">
        <w:rPr>
          <w:rFonts w:ascii="Book Antiqua" w:hAnsi="Book Antiqua" w:cs="Arial"/>
          <w:sz w:val="24"/>
          <w:szCs w:val="24"/>
          <w:lang w:val="en-US"/>
        </w:rPr>
        <w:t xml:space="preserve"> Overall-survival; PFS</w:t>
      </w:r>
      <w:r>
        <w:rPr>
          <w:rFonts w:ascii="Book Antiqua" w:hAnsi="Book Antiqua" w:cs="Arial" w:hint="eastAsia"/>
          <w:sz w:val="24"/>
          <w:szCs w:val="24"/>
          <w:lang w:val="en-US" w:eastAsia="zh-CN"/>
        </w:rPr>
        <w:t>:</w:t>
      </w:r>
      <w:r w:rsidR="008D14E6" w:rsidRPr="00BA60F0">
        <w:rPr>
          <w:rFonts w:ascii="Book Antiqua" w:hAnsi="Book Antiqua" w:cs="Arial"/>
          <w:sz w:val="24"/>
          <w:szCs w:val="24"/>
          <w:lang w:val="en-US"/>
        </w:rPr>
        <w:t xml:space="preserve"> Progression-free survival; Pts</w:t>
      </w:r>
      <w:r>
        <w:rPr>
          <w:rFonts w:ascii="Book Antiqua" w:hAnsi="Book Antiqua" w:cs="Arial" w:hint="eastAsia"/>
          <w:sz w:val="24"/>
          <w:szCs w:val="24"/>
          <w:lang w:val="en-US" w:eastAsia="zh-CN"/>
        </w:rPr>
        <w:t>:</w:t>
      </w:r>
      <w:r w:rsidR="008D14E6" w:rsidRPr="00BA60F0">
        <w:rPr>
          <w:rFonts w:ascii="Book Antiqua" w:hAnsi="Book Antiqua" w:cs="Arial"/>
          <w:sz w:val="24"/>
          <w:szCs w:val="24"/>
          <w:lang w:val="en-US"/>
        </w:rPr>
        <w:t xml:space="preserve"> Patients; WHO</w:t>
      </w:r>
      <w:r>
        <w:rPr>
          <w:rFonts w:ascii="Book Antiqua" w:hAnsi="Book Antiqua" w:cs="Arial" w:hint="eastAsia"/>
          <w:sz w:val="24"/>
          <w:szCs w:val="24"/>
          <w:lang w:val="en-US" w:eastAsia="zh-CN"/>
        </w:rPr>
        <w:t>:</w:t>
      </w:r>
      <w:r w:rsidR="008D14E6" w:rsidRPr="00BA60F0">
        <w:rPr>
          <w:rFonts w:ascii="Book Antiqua" w:hAnsi="Book Antiqua" w:cs="Arial"/>
          <w:sz w:val="24"/>
          <w:szCs w:val="24"/>
          <w:lang w:val="en-US"/>
        </w:rPr>
        <w:t xml:space="preserve"> World Health Organization; A</w:t>
      </w:r>
      <w:r>
        <w:rPr>
          <w:rFonts w:ascii="Book Antiqua" w:hAnsi="Book Antiqua" w:cs="Arial" w:hint="eastAsia"/>
          <w:sz w:val="24"/>
          <w:szCs w:val="24"/>
          <w:lang w:val="en-US" w:eastAsia="zh-CN"/>
        </w:rPr>
        <w:t>:</w:t>
      </w:r>
      <w:r w:rsidR="008D14E6" w:rsidRPr="00BA60F0">
        <w:rPr>
          <w:rFonts w:ascii="Book Antiqua" w:hAnsi="Book Antiqua" w:cs="Arial"/>
          <w:sz w:val="24"/>
          <w:szCs w:val="24"/>
          <w:lang w:val="en-US"/>
        </w:rPr>
        <w:t xml:space="preserve"> Anemia; AbP</w:t>
      </w:r>
      <w:r>
        <w:rPr>
          <w:rFonts w:ascii="Book Antiqua" w:hAnsi="Book Antiqua" w:cs="Arial" w:hint="eastAsia"/>
          <w:sz w:val="24"/>
          <w:szCs w:val="24"/>
          <w:lang w:val="en-US" w:eastAsia="zh-CN"/>
        </w:rPr>
        <w:t>:</w:t>
      </w:r>
      <w:r w:rsidR="008D14E6" w:rsidRPr="00BA60F0">
        <w:rPr>
          <w:rFonts w:ascii="Book Antiqua" w:hAnsi="Book Antiqua" w:cs="Arial"/>
          <w:sz w:val="24"/>
          <w:szCs w:val="24"/>
          <w:lang w:val="en-US"/>
        </w:rPr>
        <w:t xml:space="preserve"> Abdominal Pain; </w:t>
      </w:r>
      <w:r w:rsidR="00A825AF" w:rsidRPr="00BA60F0">
        <w:rPr>
          <w:rFonts w:ascii="Book Antiqua" w:hAnsi="Book Antiqua" w:cs="Arial"/>
          <w:sz w:val="24"/>
          <w:szCs w:val="24"/>
          <w:lang w:val="en-US"/>
        </w:rPr>
        <w:t>Ano</w:t>
      </w:r>
      <w:r>
        <w:rPr>
          <w:rFonts w:ascii="Book Antiqua" w:hAnsi="Book Antiqua" w:cs="Arial" w:hint="eastAsia"/>
          <w:sz w:val="24"/>
          <w:szCs w:val="24"/>
          <w:lang w:val="en-US" w:eastAsia="zh-CN"/>
        </w:rPr>
        <w:t xml:space="preserve">: </w:t>
      </w:r>
      <w:r w:rsidR="00A825AF" w:rsidRPr="00BA60F0">
        <w:rPr>
          <w:rFonts w:ascii="Book Antiqua" w:hAnsi="Book Antiqua" w:cs="Arial"/>
          <w:sz w:val="24"/>
          <w:szCs w:val="24"/>
          <w:lang w:val="en-US"/>
        </w:rPr>
        <w:t>Anorexia; B</w:t>
      </w:r>
      <w:r w:rsidR="001B7B35">
        <w:rPr>
          <w:rFonts w:ascii="Book Antiqua" w:hAnsi="Book Antiqua" w:cs="Arial" w:hint="eastAsia"/>
          <w:sz w:val="24"/>
          <w:szCs w:val="24"/>
          <w:lang w:val="en-US" w:eastAsia="zh-CN"/>
        </w:rPr>
        <w:t>:</w:t>
      </w:r>
      <w:r w:rsidR="008D14E6" w:rsidRPr="00BA60F0">
        <w:rPr>
          <w:rFonts w:ascii="Book Antiqua" w:hAnsi="Book Antiqua" w:cs="Arial"/>
          <w:sz w:val="24"/>
          <w:szCs w:val="24"/>
          <w:lang w:val="en-US"/>
        </w:rPr>
        <w:t xml:space="preserve"> Bilirubin; D</w:t>
      </w:r>
      <w:r>
        <w:rPr>
          <w:rFonts w:ascii="Book Antiqua" w:hAnsi="Book Antiqua" w:cs="Arial" w:hint="eastAsia"/>
          <w:sz w:val="24"/>
          <w:szCs w:val="24"/>
          <w:lang w:val="en-US" w:eastAsia="zh-CN"/>
        </w:rPr>
        <w:t>:</w:t>
      </w:r>
      <w:r>
        <w:rPr>
          <w:rFonts w:ascii="Book Antiqua" w:hAnsi="Book Antiqua" w:cs="Arial"/>
          <w:sz w:val="24"/>
          <w:szCs w:val="24"/>
          <w:lang w:val="en-US"/>
        </w:rPr>
        <w:t xml:space="preserve"> Diarrhea; Dys</w:t>
      </w:r>
      <w:r>
        <w:rPr>
          <w:rFonts w:ascii="Book Antiqua" w:hAnsi="Book Antiqua" w:cs="Arial" w:hint="eastAsia"/>
          <w:sz w:val="24"/>
          <w:szCs w:val="24"/>
          <w:lang w:val="en-US" w:eastAsia="zh-CN"/>
        </w:rPr>
        <w:t>:</w:t>
      </w:r>
      <w:r w:rsidR="008D14E6" w:rsidRPr="00BA60F0">
        <w:rPr>
          <w:rFonts w:ascii="Book Antiqua" w:hAnsi="Book Antiqua" w:cs="Arial"/>
          <w:sz w:val="24"/>
          <w:szCs w:val="24"/>
          <w:lang w:val="en-US"/>
        </w:rPr>
        <w:t xml:space="preserve"> Dysphagia; Dyn</w:t>
      </w:r>
      <w:r>
        <w:rPr>
          <w:rFonts w:ascii="Book Antiqua" w:hAnsi="Book Antiqua" w:cs="Arial" w:hint="eastAsia"/>
          <w:sz w:val="24"/>
          <w:szCs w:val="24"/>
          <w:lang w:val="en-US" w:eastAsia="zh-CN"/>
        </w:rPr>
        <w:t>:</w:t>
      </w:r>
      <w:r w:rsidR="008D14E6" w:rsidRPr="00BA60F0">
        <w:rPr>
          <w:rFonts w:ascii="Book Antiqua" w:hAnsi="Book Antiqua" w:cs="Arial"/>
          <w:sz w:val="24"/>
          <w:szCs w:val="24"/>
          <w:lang w:val="en-US"/>
        </w:rPr>
        <w:t xml:space="preserve"> Dyspnea; E</w:t>
      </w:r>
      <w:r>
        <w:rPr>
          <w:rFonts w:ascii="Book Antiqua" w:hAnsi="Book Antiqua" w:cs="Arial" w:hint="eastAsia"/>
          <w:sz w:val="24"/>
          <w:szCs w:val="24"/>
          <w:lang w:val="en-US" w:eastAsia="zh-CN"/>
        </w:rPr>
        <w:t>:</w:t>
      </w:r>
      <w:r w:rsidR="008D14E6" w:rsidRPr="00BA60F0">
        <w:rPr>
          <w:rFonts w:ascii="Book Antiqua" w:hAnsi="Book Antiqua" w:cs="Arial"/>
          <w:sz w:val="24"/>
          <w:szCs w:val="24"/>
          <w:lang w:val="en-US"/>
        </w:rPr>
        <w:t xml:space="preserve"> Emesis;  FN</w:t>
      </w:r>
      <w:r>
        <w:rPr>
          <w:rFonts w:ascii="Book Antiqua" w:hAnsi="Book Antiqua" w:cs="Arial" w:hint="eastAsia"/>
          <w:sz w:val="24"/>
          <w:szCs w:val="24"/>
          <w:lang w:val="en-US" w:eastAsia="zh-CN"/>
        </w:rPr>
        <w:t>:</w:t>
      </w:r>
      <w:r w:rsidR="008D14E6" w:rsidRPr="00BA60F0">
        <w:rPr>
          <w:rFonts w:ascii="Book Antiqua" w:hAnsi="Book Antiqua" w:cs="Arial"/>
          <w:sz w:val="24"/>
          <w:szCs w:val="24"/>
          <w:lang w:val="en-US"/>
        </w:rPr>
        <w:t xml:space="preserve"> Febrile neutropenia; H</w:t>
      </w:r>
      <w:r>
        <w:rPr>
          <w:rFonts w:ascii="Book Antiqua" w:hAnsi="Book Antiqua" w:cs="Arial" w:hint="eastAsia"/>
          <w:sz w:val="24"/>
          <w:szCs w:val="24"/>
          <w:lang w:val="en-US" w:eastAsia="zh-CN"/>
        </w:rPr>
        <w:t>:</w:t>
      </w:r>
      <w:r w:rsidR="008D14E6" w:rsidRPr="00BA60F0">
        <w:rPr>
          <w:rFonts w:ascii="Book Antiqua" w:hAnsi="Book Antiqua" w:cs="Arial"/>
          <w:sz w:val="24"/>
          <w:szCs w:val="24"/>
          <w:lang w:val="en-US"/>
        </w:rPr>
        <w:t xml:space="preserve"> Hemorrhage; Hem</w:t>
      </w:r>
      <w:r>
        <w:rPr>
          <w:rFonts w:ascii="Book Antiqua" w:hAnsi="Book Antiqua" w:cs="Arial" w:hint="eastAsia"/>
          <w:sz w:val="24"/>
          <w:szCs w:val="24"/>
          <w:lang w:val="en-US" w:eastAsia="zh-CN"/>
        </w:rPr>
        <w:t xml:space="preserve">: </w:t>
      </w:r>
      <w:r w:rsidR="008D14E6" w:rsidRPr="00BA60F0">
        <w:rPr>
          <w:rFonts w:ascii="Book Antiqua" w:hAnsi="Book Antiqua" w:cs="Arial"/>
          <w:sz w:val="24"/>
          <w:szCs w:val="24"/>
          <w:lang w:val="en-US"/>
        </w:rPr>
        <w:t>Hematologic toxicity; HepF</w:t>
      </w:r>
      <w:r>
        <w:rPr>
          <w:rFonts w:ascii="Book Antiqua" w:hAnsi="Book Antiqua" w:cs="Arial" w:hint="eastAsia"/>
          <w:sz w:val="24"/>
          <w:szCs w:val="24"/>
          <w:lang w:val="en-US" w:eastAsia="zh-CN"/>
        </w:rPr>
        <w:t>:</w:t>
      </w:r>
      <w:r w:rsidR="008D14E6" w:rsidRPr="00BA60F0">
        <w:rPr>
          <w:rFonts w:ascii="Book Antiqua" w:hAnsi="Book Antiqua" w:cs="Arial"/>
          <w:sz w:val="24"/>
          <w:szCs w:val="24"/>
          <w:lang w:val="en-US"/>
        </w:rPr>
        <w:t xml:space="preserve"> Hepatic </w:t>
      </w:r>
      <w:r w:rsidR="001B7B35" w:rsidRPr="00BA60F0">
        <w:rPr>
          <w:rFonts w:ascii="Book Antiqua" w:hAnsi="Book Antiqua" w:cs="Arial"/>
          <w:sz w:val="24"/>
          <w:szCs w:val="24"/>
          <w:lang w:val="en-US"/>
        </w:rPr>
        <w:t>f</w:t>
      </w:r>
      <w:r w:rsidR="008D14E6" w:rsidRPr="00BA60F0">
        <w:rPr>
          <w:rFonts w:ascii="Book Antiqua" w:hAnsi="Book Antiqua" w:cs="Arial"/>
          <w:sz w:val="24"/>
          <w:szCs w:val="24"/>
          <w:lang w:val="en-US"/>
        </w:rPr>
        <w:t>ailure; Hyt</w:t>
      </w:r>
      <w:r>
        <w:rPr>
          <w:rFonts w:ascii="Book Antiqua" w:hAnsi="Book Antiqua" w:cs="Arial" w:hint="eastAsia"/>
          <w:sz w:val="24"/>
          <w:szCs w:val="24"/>
          <w:lang w:val="en-US" w:eastAsia="zh-CN"/>
        </w:rPr>
        <w:t>:</w:t>
      </w:r>
      <w:r w:rsidR="008D14E6" w:rsidRPr="00BA60F0">
        <w:rPr>
          <w:rFonts w:ascii="Book Antiqua" w:hAnsi="Book Antiqua" w:cs="Arial"/>
          <w:sz w:val="24"/>
          <w:szCs w:val="24"/>
          <w:lang w:val="en-US"/>
        </w:rPr>
        <w:t xml:space="preserve"> Hypertension; I</w:t>
      </w:r>
      <w:r>
        <w:rPr>
          <w:rFonts w:ascii="Book Antiqua" w:hAnsi="Book Antiqua" w:cs="Arial" w:hint="eastAsia"/>
          <w:sz w:val="24"/>
          <w:szCs w:val="24"/>
          <w:lang w:val="en-US" w:eastAsia="zh-CN"/>
        </w:rPr>
        <w:t>:</w:t>
      </w:r>
      <w:r w:rsidR="008D14E6" w:rsidRPr="00BA60F0">
        <w:rPr>
          <w:rFonts w:ascii="Book Antiqua" w:hAnsi="Book Antiqua" w:cs="Arial"/>
          <w:sz w:val="24"/>
          <w:szCs w:val="24"/>
          <w:lang w:val="en-US"/>
        </w:rPr>
        <w:t xml:space="preserve"> Infection; L</w:t>
      </w:r>
      <w:r>
        <w:rPr>
          <w:rFonts w:ascii="Book Antiqua" w:hAnsi="Book Antiqua" w:cs="Arial" w:hint="eastAsia"/>
          <w:sz w:val="24"/>
          <w:szCs w:val="24"/>
          <w:lang w:val="en-US" w:eastAsia="zh-CN"/>
        </w:rPr>
        <w:t>:</w:t>
      </w:r>
      <w:r w:rsidR="008D14E6" w:rsidRPr="00BA60F0">
        <w:rPr>
          <w:rFonts w:ascii="Book Antiqua" w:hAnsi="Book Antiqua" w:cs="Arial"/>
          <w:sz w:val="24"/>
          <w:szCs w:val="24"/>
          <w:lang w:val="en-US"/>
        </w:rPr>
        <w:t xml:space="preserve"> Leucocytopenia; Ly</w:t>
      </w:r>
      <w:r>
        <w:rPr>
          <w:rFonts w:ascii="Book Antiqua" w:hAnsi="Book Antiqua" w:cs="Arial" w:hint="eastAsia"/>
          <w:sz w:val="24"/>
          <w:szCs w:val="24"/>
          <w:lang w:val="en-US" w:eastAsia="zh-CN"/>
        </w:rPr>
        <w:t>:</w:t>
      </w:r>
      <w:r w:rsidR="008D14E6" w:rsidRPr="00BA60F0">
        <w:rPr>
          <w:rFonts w:ascii="Book Antiqua" w:hAnsi="Book Antiqua" w:cs="Arial"/>
          <w:sz w:val="24"/>
          <w:szCs w:val="24"/>
          <w:lang w:val="en-US"/>
        </w:rPr>
        <w:t xml:space="preserve"> Lymphopenia; M</w:t>
      </w:r>
      <w:r>
        <w:rPr>
          <w:rFonts w:ascii="Book Antiqua" w:hAnsi="Book Antiqua" w:cs="Arial" w:hint="eastAsia"/>
          <w:sz w:val="24"/>
          <w:szCs w:val="24"/>
          <w:lang w:val="en-US" w:eastAsia="zh-CN"/>
        </w:rPr>
        <w:t>:</w:t>
      </w:r>
      <w:r w:rsidR="008D14E6" w:rsidRPr="00BA60F0">
        <w:rPr>
          <w:rFonts w:ascii="Book Antiqua" w:hAnsi="Book Antiqua" w:cs="Arial"/>
          <w:sz w:val="24"/>
          <w:szCs w:val="24"/>
          <w:lang w:val="en-US"/>
        </w:rPr>
        <w:t xml:space="preserve"> Mucositis; Met</w:t>
      </w:r>
      <w:r>
        <w:rPr>
          <w:rFonts w:ascii="Book Antiqua" w:hAnsi="Book Antiqua" w:cs="Arial" w:hint="eastAsia"/>
          <w:sz w:val="24"/>
          <w:szCs w:val="24"/>
          <w:lang w:val="en-US" w:eastAsia="zh-CN"/>
        </w:rPr>
        <w:t>:</w:t>
      </w:r>
      <w:r w:rsidR="008D14E6" w:rsidRPr="00BA60F0">
        <w:rPr>
          <w:rFonts w:ascii="Book Antiqua" w:hAnsi="Book Antiqua" w:cs="Arial"/>
          <w:sz w:val="24"/>
          <w:szCs w:val="24"/>
          <w:lang w:val="en-US"/>
        </w:rPr>
        <w:t xml:space="preserve"> Toxici</w:t>
      </w:r>
      <w:r w:rsidR="001B7B35" w:rsidRPr="00BA60F0">
        <w:rPr>
          <w:rFonts w:ascii="Book Antiqua" w:hAnsi="Book Antiqua" w:cs="Arial"/>
          <w:sz w:val="24"/>
          <w:szCs w:val="24"/>
          <w:lang w:val="en-US"/>
        </w:rPr>
        <w:t>ty associated with metabolism and nu</w:t>
      </w:r>
      <w:r w:rsidR="008D14E6" w:rsidRPr="00BA60F0">
        <w:rPr>
          <w:rFonts w:ascii="Book Antiqua" w:hAnsi="Book Antiqua" w:cs="Arial"/>
          <w:sz w:val="24"/>
          <w:szCs w:val="24"/>
          <w:lang w:val="en-US"/>
        </w:rPr>
        <w:t>trition; N</w:t>
      </w:r>
      <w:r>
        <w:rPr>
          <w:rFonts w:ascii="Book Antiqua" w:hAnsi="Book Antiqua" w:cs="Arial" w:hint="eastAsia"/>
          <w:sz w:val="24"/>
          <w:szCs w:val="24"/>
          <w:lang w:val="en-US" w:eastAsia="zh-CN"/>
        </w:rPr>
        <w:t>:</w:t>
      </w:r>
      <w:r w:rsidR="008D14E6" w:rsidRPr="00BA60F0">
        <w:rPr>
          <w:rFonts w:ascii="Book Antiqua" w:hAnsi="Book Antiqua" w:cs="Arial"/>
          <w:sz w:val="24"/>
          <w:szCs w:val="24"/>
          <w:lang w:val="en-US"/>
        </w:rPr>
        <w:t xml:space="preserve"> Neutropenia; Neu</w:t>
      </w:r>
      <w:r>
        <w:rPr>
          <w:rFonts w:ascii="Book Antiqua" w:hAnsi="Book Antiqua" w:cs="Arial" w:hint="eastAsia"/>
          <w:sz w:val="24"/>
          <w:szCs w:val="24"/>
          <w:lang w:val="en-US" w:eastAsia="zh-CN"/>
        </w:rPr>
        <w:t>:</w:t>
      </w:r>
      <w:r w:rsidR="008D14E6" w:rsidRPr="00BA60F0">
        <w:rPr>
          <w:rFonts w:ascii="Book Antiqua" w:hAnsi="Book Antiqua" w:cs="Arial"/>
          <w:sz w:val="24"/>
          <w:szCs w:val="24"/>
          <w:lang w:val="en-US"/>
        </w:rPr>
        <w:t xml:space="preserve"> Sensory </w:t>
      </w:r>
      <w:r w:rsidR="001B7B35" w:rsidRPr="00BA60F0">
        <w:rPr>
          <w:rFonts w:ascii="Book Antiqua" w:hAnsi="Book Antiqua" w:cs="Arial"/>
          <w:sz w:val="24"/>
          <w:szCs w:val="24"/>
          <w:lang w:val="en-US"/>
        </w:rPr>
        <w:t>n</w:t>
      </w:r>
      <w:r w:rsidR="008D14E6" w:rsidRPr="00BA60F0">
        <w:rPr>
          <w:rFonts w:ascii="Book Antiqua" w:hAnsi="Book Antiqua" w:cs="Arial"/>
          <w:sz w:val="24"/>
          <w:szCs w:val="24"/>
          <w:lang w:val="en-US"/>
        </w:rPr>
        <w:t>europathy; Nau</w:t>
      </w:r>
      <w:r>
        <w:rPr>
          <w:rFonts w:ascii="Book Antiqua" w:hAnsi="Book Antiqua" w:cs="Arial" w:hint="eastAsia"/>
          <w:sz w:val="24"/>
          <w:szCs w:val="24"/>
          <w:lang w:val="en-US" w:eastAsia="zh-CN"/>
        </w:rPr>
        <w:t>:</w:t>
      </w:r>
      <w:r w:rsidR="008D14E6" w:rsidRPr="00BA60F0">
        <w:rPr>
          <w:rFonts w:ascii="Book Antiqua" w:hAnsi="Book Antiqua" w:cs="Arial"/>
          <w:sz w:val="24"/>
          <w:szCs w:val="24"/>
          <w:lang w:val="en-US"/>
        </w:rPr>
        <w:t xml:space="preserve"> Nausea; N-E</w:t>
      </w:r>
      <w:r>
        <w:rPr>
          <w:rFonts w:ascii="Book Antiqua" w:hAnsi="Book Antiqua" w:cs="Arial" w:hint="eastAsia"/>
          <w:sz w:val="24"/>
          <w:szCs w:val="24"/>
          <w:lang w:val="en-US" w:eastAsia="zh-CN"/>
        </w:rPr>
        <w:t xml:space="preserve">: </w:t>
      </w:r>
      <w:r w:rsidR="008D14E6" w:rsidRPr="00BA60F0">
        <w:rPr>
          <w:rFonts w:ascii="Book Antiqua" w:hAnsi="Book Antiqua" w:cs="Arial"/>
          <w:sz w:val="24"/>
          <w:szCs w:val="24"/>
          <w:lang w:val="en-US"/>
        </w:rPr>
        <w:t xml:space="preserve">Nausea </w:t>
      </w:r>
      <w:r>
        <w:rPr>
          <w:rFonts w:ascii="Book Antiqua" w:hAnsi="Book Antiqua" w:cs="Arial" w:hint="eastAsia"/>
          <w:sz w:val="24"/>
          <w:szCs w:val="24"/>
          <w:lang w:val="en-US" w:eastAsia="zh-CN"/>
        </w:rPr>
        <w:t>and</w:t>
      </w:r>
      <w:r w:rsidR="008D14E6" w:rsidRPr="00BA60F0">
        <w:rPr>
          <w:rFonts w:ascii="Book Antiqua" w:hAnsi="Book Antiqua" w:cs="Arial"/>
          <w:sz w:val="24"/>
          <w:szCs w:val="24"/>
          <w:lang w:val="en-US"/>
        </w:rPr>
        <w:t xml:space="preserve"> </w:t>
      </w:r>
      <w:r w:rsidR="001B7B35" w:rsidRPr="00BA60F0">
        <w:rPr>
          <w:rFonts w:ascii="Book Antiqua" w:hAnsi="Book Antiqua" w:cs="Arial"/>
          <w:sz w:val="24"/>
          <w:szCs w:val="24"/>
          <w:lang w:val="en-US"/>
        </w:rPr>
        <w:t>vo</w:t>
      </w:r>
      <w:r w:rsidR="008D14E6" w:rsidRPr="00BA60F0">
        <w:rPr>
          <w:rFonts w:ascii="Book Antiqua" w:hAnsi="Book Antiqua" w:cs="Arial"/>
          <w:sz w:val="24"/>
          <w:szCs w:val="24"/>
          <w:lang w:val="en-US"/>
        </w:rPr>
        <w:t>miting; P</w:t>
      </w:r>
      <w:r>
        <w:rPr>
          <w:rFonts w:ascii="Book Antiqua" w:hAnsi="Book Antiqua" w:cs="Arial" w:hint="eastAsia"/>
          <w:sz w:val="24"/>
          <w:szCs w:val="24"/>
          <w:lang w:val="en-US" w:eastAsia="zh-CN"/>
        </w:rPr>
        <w:t>:</w:t>
      </w:r>
      <w:r>
        <w:rPr>
          <w:rFonts w:ascii="Book Antiqua" w:hAnsi="Book Antiqua" w:cs="Arial"/>
          <w:sz w:val="24"/>
          <w:szCs w:val="24"/>
          <w:lang w:val="en-US"/>
        </w:rPr>
        <w:t xml:space="preserve"> Pain; Prot</w:t>
      </w:r>
      <w:r>
        <w:rPr>
          <w:rFonts w:ascii="Book Antiqua" w:hAnsi="Book Antiqua" w:cs="Arial" w:hint="eastAsia"/>
          <w:sz w:val="24"/>
          <w:szCs w:val="24"/>
          <w:lang w:val="en-US" w:eastAsia="zh-CN"/>
        </w:rPr>
        <w:t>:</w:t>
      </w:r>
      <w:r w:rsidR="008D14E6" w:rsidRPr="00BA60F0">
        <w:rPr>
          <w:rFonts w:ascii="Book Antiqua" w:hAnsi="Book Antiqua" w:cs="Arial"/>
          <w:sz w:val="24"/>
          <w:szCs w:val="24"/>
          <w:lang w:val="en-US"/>
        </w:rPr>
        <w:t xml:space="preserve"> Proteinuria; Resp</w:t>
      </w:r>
      <w:r>
        <w:rPr>
          <w:rFonts w:ascii="Book Antiqua" w:hAnsi="Book Antiqua" w:cs="Arial" w:hint="eastAsia"/>
          <w:sz w:val="24"/>
          <w:szCs w:val="24"/>
          <w:lang w:val="en-US" w:eastAsia="zh-CN"/>
        </w:rPr>
        <w:t>:</w:t>
      </w:r>
      <w:r w:rsidR="008D14E6" w:rsidRPr="00BA60F0">
        <w:rPr>
          <w:rFonts w:ascii="Book Antiqua" w:hAnsi="Book Antiqua" w:cs="Arial"/>
          <w:sz w:val="24"/>
          <w:szCs w:val="24"/>
          <w:lang w:val="en-US"/>
        </w:rPr>
        <w:t xml:space="preserve"> Respiratory toxicity; Sk</w:t>
      </w:r>
      <w:r>
        <w:rPr>
          <w:rFonts w:ascii="Book Antiqua" w:hAnsi="Book Antiqua" w:cs="Arial" w:hint="eastAsia"/>
          <w:sz w:val="24"/>
          <w:szCs w:val="24"/>
          <w:lang w:val="en-US" w:eastAsia="zh-CN"/>
        </w:rPr>
        <w:t>:</w:t>
      </w:r>
      <w:r w:rsidR="008D14E6" w:rsidRPr="00BA60F0">
        <w:rPr>
          <w:rFonts w:ascii="Book Antiqua" w:hAnsi="Book Antiqua" w:cs="Arial"/>
          <w:sz w:val="24"/>
          <w:szCs w:val="24"/>
          <w:lang w:val="en-US"/>
        </w:rPr>
        <w:t xml:space="preserve"> Skin </w:t>
      </w:r>
      <w:r w:rsidR="001B7B35" w:rsidRPr="00BA60F0">
        <w:rPr>
          <w:rFonts w:ascii="Book Antiqua" w:hAnsi="Book Antiqua" w:cs="Arial"/>
          <w:sz w:val="24"/>
          <w:szCs w:val="24"/>
          <w:lang w:val="en-US"/>
        </w:rPr>
        <w:t>to</w:t>
      </w:r>
      <w:r w:rsidR="008D14E6" w:rsidRPr="00BA60F0">
        <w:rPr>
          <w:rFonts w:ascii="Book Antiqua" w:hAnsi="Book Antiqua" w:cs="Arial"/>
          <w:sz w:val="24"/>
          <w:szCs w:val="24"/>
          <w:lang w:val="en-US"/>
        </w:rPr>
        <w:t>xicity; T</w:t>
      </w:r>
      <w:r>
        <w:rPr>
          <w:rFonts w:ascii="Book Antiqua" w:hAnsi="Book Antiqua" w:cs="Arial" w:hint="eastAsia"/>
          <w:sz w:val="24"/>
          <w:szCs w:val="24"/>
          <w:lang w:val="en-US" w:eastAsia="zh-CN"/>
        </w:rPr>
        <w:t>:</w:t>
      </w:r>
      <w:r w:rsidR="008D14E6" w:rsidRPr="00BA60F0">
        <w:rPr>
          <w:rFonts w:ascii="Book Antiqua" w:hAnsi="Book Antiqua" w:cs="Arial"/>
          <w:sz w:val="24"/>
          <w:szCs w:val="24"/>
          <w:lang w:val="en-US"/>
        </w:rPr>
        <w:t xml:space="preserve"> Thrombocytopenia; Vas</w:t>
      </w:r>
      <w:r>
        <w:rPr>
          <w:rFonts w:ascii="Book Antiqua" w:hAnsi="Book Antiqua" w:cs="Arial" w:hint="eastAsia"/>
          <w:sz w:val="24"/>
          <w:szCs w:val="24"/>
          <w:lang w:val="en-US" w:eastAsia="zh-CN"/>
        </w:rPr>
        <w:t>:</w:t>
      </w:r>
      <w:r w:rsidR="008D14E6" w:rsidRPr="00BA60F0">
        <w:rPr>
          <w:rFonts w:ascii="Book Antiqua" w:hAnsi="Book Antiqua" w:cs="Arial"/>
          <w:sz w:val="24"/>
          <w:szCs w:val="24"/>
          <w:lang w:val="en-US"/>
        </w:rPr>
        <w:t xml:space="preserve"> Vascular toxicity; VTE</w:t>
      </w:r>
      <w:r>
        <w:rPr>
          <w:rFonts w:ascii="Book Antiqua" w:hAnsi="Book Antiqua" w:cs="Arial" w:hint="eastAsia"/>
          <w:sz w:val="24"/>
          <w:szCs w:val="24"/>
          <w:lang w:val="en-US" w:eastAsia="zh-CN"/>
        </w:rPr>
        <w:t>:</w:t>
      </w:r>
      <w:r w:rsidR="008D14E6" w:rsidRPr="00BA60F0">
        <w:rPr>
          <w:rFonts w:ascii="Book Antiqua" w:hAnsi="Book Antiqua" w:cs="Arial"/>
          <w:sz w:val="24"/>
          <w:szCs w:val="24"/>
          <w:lang w:val="en-US"/>
        </w:rPr>
        <w:t xml:space="preserve"> Venou</w:t>
      </w:r>
      <w:r w:rsidR="001B7B35" w:rsidRPr="00BA60F0">
        <w:rPr>
          <w:rFonts w:ascii="Book Antiqua" w:hAnsi="Book Antiqua" w:cs="Arial"/>
          <w:sz w:val="24"/>
          <w:szCs w:val="24"/>
          <w:lang w:val="en-US"/>
        </w:rPr>
        <w:t>s thromboembolic ev</w:t>
      </w:r>
      <w:r w:rsidR="008D14E6" w:rsidRPr="00BA60F0">
        <w:rPr>
          <w:rFonts w:ascii="Book Antiqua" w:hAnsi="Book Antiqua" w:cs="Arial"/>
          <w:sz w:val="24"/>
          <w:szCs w:val="24"/>
          <w:lang w:val="en-US"/>
        </w:rPr>
        <w:t>ents</w:t>
      </w:r>
      <w:r>
        <w:rPr>
          <w:rFonts w:ascii="Book Antiqua" w:hAnsi="Book Antiqua" w:cs="Arial" w:hint="eastAsia"/>
          <w:sz w:val="24"/>
          <w:szCs w:val="24"/>
          <w:lang w:val="en-US" w:eastAsia="zh-CN"/>
        </w:rPr>
        <w:t>.</w:t>
      </w:r>
    </w:p>
    <w:p w:rsidR="008D14E6" w:rsidRPr="00BA60F0" w:rsidRDefault="008D14E6" w:rsidP="00746849">
      <w:pPr>
        <w:adjustRightInd w:val="0"/>
        <w:snapToGrid w:val="0"/>
        <w:spacing w:after="0" w:line="360" w:lineRule="auto"/>
        <w:jc w:val="both"/>
        <w:rPr>
          <w:rFonts w:ascii="Book Antiqua" w:hAnsi="Book Antiqua"/>
          <w:sz w:val="24"/>
          <w:szCs w:val="24"/>
          <w:lang w:val="en-US"/>
        </w:rPr>
      </w:pPr>
    </w:p>
    <w:p w:rsidR="00450317" w:rsidRPr="00BA60F0" w:rsidRDefault="00450317" w:rsidP="00746849">
      <w:pPr>
        <w:adjustRightInd w:val="0"/>
        <w:snapToGrid w:val="0"/>
        <w:spacing w:after="0" w:line="360" w:lineRule="auto"/>
        <w:jc w:val="both"/>
        <w:rPr>
          <w:rFonts w:ascii="Book Antiqua" w:hAnsi="Book Antiqua" w:cs="Arial"/>
          <w:sz w:val="24"/>
          <w:szCs w:val="24"/>
          <w:lang w:val="en-US"/>
        </w:rPr>
      </w:pPr>
    </w:p>
    <w:sectPr w:rsidR="00450317" w:rsidRPr="00BA60F0" w:rsidSect="0073683B">
      <w:footerReference w:type="default" r:id="rId8"/>
      <w:type w:val="continuous"/>
      <w:pgSz w:w="11906" w:h="16838"/>
      <w:pgMar w:top="1016" w:right="566" w:bottom="1134" w:left="1080"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06E2" w:rsidRDefault="003A06E2" w:rsidP="00731725">
      <w:pPr>
        <w:spacing w:after="0" w:line="240" w:lineRule="auto"/>
      </w:pPr>
      <w:r>
        <w:separator/>
      </w:r>
    </w:p>
  </w:endnote>
  <w:endnote w:type="continuationSeparator" w:id="0">
    <w:p w:rsidR="003A06E2" w:rsidRDefault="003A06E2" w:rsidP="007317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Garamond">
    <w:altName w:val="Times New Roman"/>
    <w:panose1 w:val="00000000000000000000"/>
    <w:charset w:val="00"/>
    <w:family w:val="roman"/>
    <w:notTrueType/>
    <w:pitch w:val="default"/>
    <w:sig w:usb0="00000003" w:usb1="00000000" w:usb2="00000000" w:usb3="00000000" w:csb0="00000001" w:csb1="00000000"/>
  </w:font>
  <w:font w:name="Garamond Premr Pro">
    <w:altName w:val="Times New Roman"/>
    <w:panose1 w:val="00000000000000000000"/>
    <w:charset w:val="00"/>
    <w:family w:val="roman"/>
    <w:notTrueType/>
    <w:pitch w:val="variable"/>
    <w:sig w:usb0="E00002BF" w:usb1="5000E07B" w:usb2="00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dvTimes">
    <w:altName w:val="MingLiU"/>
    <w:charset w:val="88"/>
    <w:family w:val="auto"/>
    <w:pitch w:val="default"/>
    <w:sig w:usb0="00000000" w:usb1="08080000" w:usb2="00000010" w:usb3="00000000" w:csb0="001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109F" w:rsidRDefault="00A6109F">
    <w:pPr>
      <w:pStyle w:val="Footer"/>
      <w:jc w:val="right"/>
    </w:pPr>
    <w:r>
      <w:rPr>
        <w:lang w:val="en-US"/>
      </w:rPr>
      <w:t xml:space="preserve">Page </w:t>
    </w:r>
    <w:r>
      <w:rPr>
        <w:b/>
        <w:bCs/>
        <w:sz w:val="24"/>
        <w:szCs w:val="24"/>
      </w:rPr>
      <w:fldChar w:fldCharType="begin"/>
    </w:r>
    <w:r>
      <w:rPr>
        <w:b/>
        <w:bCs/>
      </w:rPr>
      <w:instrText>PAGE</w:instrText>
    </w:r>
    <w:r>
      <w:rPr>
        <w:b/>
        <w:bCs/>
        <w:sz w:val="24"/>
        <w:szCs w:val="24"/>
      </w:rPr>
      <w:fldChar w:fldCharType="separate"/>
    </w:r>
    <w:r w:rsidR="005C0075">
      <w:rPr>
        <w:b/>
        <w:bCs/>
        <w:noProof/>
      </w:rPr>
      <w:t>43</w:t>
    </w:r>
    <w:r>
      <w:rPr>
        <w:b/>
        <w:bCs/>
        <w:sz w:val="24"/>
        <w:szCs w:val="24"/>
      </w:rPr>
      <w:fldChar w:fldCharType="end"/>
    </w:r>
    <w:r>
      <w:rPr>
        <w:b/>
        <w:bCs/>
        <w:sz w:val="24"/>
        <w:szCs w:val="24"/>
        <w:lang w:val="en-US"/>
      </w:rPr>
      <w:t xml:space="preserve"> </w:t>
    </w:r>
    <w:r>
      <w:rPr>
        <w:lang w:val="en-US"/>
      </w:rPr>
      <w:t xml:space="preserve">of </w:t>
    </w:r>
    <w:r>
      <w:rPr>
        <w:b/>
        <w:bCs/>
        <w:sz w:val="24"/>
        <w:szCs w:val="24"/>
      </w:rPr>
      <w:fldChar w:fldCharType="begin"/>
    </w:r>
    <w:r>
      <w:rPr>
        <w:b/>
        <w:bCs/>
      </w:rPr>
      <w:instrText>NUMPAGES</w:instrText>
    </w:r>
    <w:r>
      <w:rPr>
        <w:b/>
        <w:bCs/>
        <w:sz w:val="24"/>
        <w:szCs w:val="24"/>
      </w:rPr>
      <w:fldChar w:fldCharType="separate"/>
    </w:r>
    <w:r w:rsidR="005C0075">
      <w:rPr>
        <w:b/>
        <w:bCs/>
        <w:noProof/>
      </w:rPr>
      <w:t>43</w:t>
    </w:r>
    <w:r>
      <w:rPr>
        <w:b/>
        <w:bCs/>
        <w:sz w:val="24"/>
        <w:szCs w:val="24"/>
      </w:rPr>
      <w:fldChar w:fldCharType="end"/>
    </w:r>
  </w:p>
  <w:p w:rsidR="00A6109F" w:rsidRDefault="00A610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06E2" w:rsidRDefault="003A06E2" w:rsidP="00731725">
      <w:pPr>
        <w:spacing w:after="0" w:line="240" w:lineRule="auto"/>
      </w:pPr>
      <w:r>
        <w:separator/>
      </w:r>
    </w:p>
  </w:footnote>
  <w:footnote w:type="continuationSeparator" w:id="0">
    <w:p w:rsidR="003A06E2" w:rsidRDefault="003A06E2" w:rsidP="0073172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391219"/>
    <w:multiLevelType w:val="hybridMultilevel"/>
    <w:tmpl w:val="E2649F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FD07FE7"/>
    <w:multiLevelType w:val="hybridMultilevel"/>
    <w:tmpl w:val="A68AA8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A2E3890"/>
    <w:multiLevelType w:val="hybridMultilevel"/>
    <w:tmpl w:val="896443B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3D39627D"/>
    <w:multiLevelType w:val="hybridMultilevel"/>
    <w:tmpl w:val="4656DE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8ED71B8"/>
    <w:multiLevelType w:val="hybridMultilevel"/>
    <w:tmpl w:val="F190C5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E986A96"/>
    <w:multiLevelType w:val="hybridMultilevel"/>
    <w:tmpl w:val="8B5495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5"/>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activeWritingStyle w:appName="MSWord" w:lang="ru-RU" w:vendorID="64" w:dllVersion="131078" w:nlCheck="1" w:checkStyle="0"/>
  <w:activeWritingStyle w:appName="MSWord" w:lang="en-US" w:vendorID="64" w:dllVersion="131078" w:nlCheck="1" w:checkStyle="1"/>
  <w:activeWritingStyle w:appName="MSWord" w:lang="en-GB" w:vendorID="64" w:dllVersion="131078" w:nlCheck="1" w:checkStyle="1"/>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Numbered&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9pzpa5exe5dsa0e2daa500x99pp22e2vav95&quot;&gt;Копия My EndNote Library&lt;record-ids&gt;&lt;item&gt;15&lt;/item&gt;&lt;/record-ids&gt;&lt;/item&gt;&lt;/Libraries&gt;"/>
  </w:docVars>
  <w:rsids>
    <w:rsidRoot w:val="00162B3E"/>
    <w:rsid w:val="00001E1E"/>
    <w:rsid w:val="00003F0C"/>
    <w:rsid w:val="0000449F"/>
    <w:rsid w:val="00006B28"/>
    <w:rsid w:val="0000790C"/>
    <w:rsid w:val="00011EA4"/>
    <w:rsid w:val="000120B3"/>
    <w:rsid w:val="000141BC"/>
    <w:rsid w:val="00015857"/>
    <w:rsid w:val="00021381"/>
    <w:rsid w:val="000233DF"/>
    <w:rsid w:val="0002410C"/>
    <w:rsid w:val="00026B4A"/>
    <w:rsid w:val="00034232"/>
    <w:rsid w:val="000411DB"/>
    <w:rsid w:val="00041F9F"/>
    <w:rsid w:val="00043BCB"/>
    <w:rsid w:val="00051A24"/>
    <w:rsid w:val="00056219"/>
    <w:rsid w:val="00056C9A"/>
    <w:rsid w:val="00056E9D"/>
    <w:rsid w:val="00061918"/>
    <w:rsid w:val="0006764D"/>
    <w:rsid w:val="0007253F"/>
    <w:rsid w:val="00072FA5"/>
    <w:rsid w:val="0008029D"/>
    <w:rsid w:val="00082833"/>
    <w:rsid w:val="00083520"/>
    <w:rsid w:val="000A33B8"/>
    <w:rsid w:val="000A49B3"/>
    <w:rsid w:val="000A4D61"/>
    <w:rsid w:val="000B1C8C"/>
    <w:rsid w:val="000B7299"/>
    <w:rsid w:val="000C3403"/>
    <w:rsid w:val="000D0598"/>
    <w:rsid w:val="000D1D64"/>
    <w:rsid w:val="000D3639"/>
    <w:rsid w:val="000D699B"/>
    <w:rsid w:val="000D76A9"/>
    <w:rsid w:val="000E3D2B"/>
    <w:rsid w:val="000E6AB6"/>
    <w:rsid w:val="001022CF"/>
    <w:rsid w:val="00103E8D"/>
    <w:rsid w:val="00105510"/>
    <w:rsid w:val="00106138"/>
    <w:rsid w:val="00111595"/>
    <w:rsid w:val="00111CD2"/>
    <w:rsid w:val="001230C0"/>
    <w:rsid w:val="0012577A"/>
    <w:rsid w:val="0012581D"/>
    <w:rsid w:val="00134E2E"/>
    <w:rsid w:val="00140218"/>
    <w:rsid w:val="00140E26"/>
    <w:rsid w:val="0014321F"/>
    <w:rsid w:val="001458D9"/>
    <w:rsid w:val="00147BC4"/>
    <w:rsid w:val="00147E0A"/>
    <w:rsid w:val="0015039C"/>
    <w:rsid w:val="00150409"/>
    <w:rsid w:val="001527BD"/>
    <w:rsid w:val="001529FF"/>
    <w:rsid w:val="001530A0"/>
    <w:rsid w:val="00154259"/>
    <w:rsid w:val="001557A2"/>
    <w:rsid w:val="00156B69"/>
    <w:rsid w:val="00157AED"/>
    <w:rsid w:val="0016139B"/>
    <w:rsid w:val="00162B3E"/>
    <w:rsid w:val="00166CF4"/>
    <w:rsid w:val="001722F6"/>
    <w:rsid w:val="00174E27"/>
    <w:rsid w:val="00175FCC"/>
    <w:rsid w:val="00177AA9"/>
    <w:rsid w:val="00181CA3"/>
    <w:rsid w:val="0018275C"/>
    <w:rsid w:val="0018490B"/>
    <w:rsid w:val="0018756B"/>
    <w:rsid w:val="001925C9"/>
    <w:rsid w:val="001925F0"/>
    <w:rsid w:val="00192783"/>
    <w:rsid w:val="00193C28"/>
    <w:rsid w:val="001A1852"/>
    <w:rsid w:val="001A1BDD"/>
    <w:rsid w:val="001A20BE"/>
    <w:rsid w:val="001B0D3A"/>
    <w:rsid w:val="001B7B35"/>
    <w:rsid w:val="001C0A41"/>
    <w:rsid w:val="001C416F"/>
    <w:rsid w:val="001C55BA"/>
    <w:rsid w:val="001C5940"/>
    <w:rsid w:val="001C7409"/>
    <w:rsid w:val="001D231C"/>
    <w:rsid w:val="001D23B4"/>
    <w:rsid w:val="001D446F"/>
    <w:rsid w:val="001D5115"/>
    <w:rsid w:val="001D78E3"/>
    <w:rsid w:val="001E2B9E"/>
    <w:rsid w:val="001E33FE"/>
    <w:rsid w:val="001E36AB"/>
    <w:rsid w:val="001E577C"/>
    <w:rsid w:val="001F103A"/>
    <w:rsid w:val="001F2C6C"/>
    <w:rsid w:val="00201A3D"/>
    <w:rsid w:val="00203268"/>
    <w:rsid w:val="002068A4"/>
    <w:rsid w:val="002203C0"/>
    <w:rsid w:val="00220626"/>
    <w:rsid w:val="00222492"/>
    <w:rsid w:val="00226040"/>
    <w:rsid w:val="0022765B"/>
    <w:rsid w:val="00231457"/>
    <w:rsid w:val="00234366"/>
    <w:rsid w:val="002345D4"/>
    <w:rsid w:val="00240493"/>
    <w:rsid w:val="00241A7E"/>
    <w:rsid w:val="00241C35"/>
    <w:rsid w:val="00241FF2"/>
    <w:rsid w:val="00244D17"/>
    <w:rsid w:val="00250B16"/>
    <w:rsid w:val="00250C1A"/>
    <w:rsid w:val="00251002"/>
    <w:rsid w:val="00260342"/>
    <w:rsid w:val="00265E34"/>
    <w:rsid w:val="00272DDF"/>
    <w:rsid w:val="00273E50"/>
    <w:rsid w:val="0027690A"/>
    <w:rsid w:val="00277FE6"/>
    <w:rsid w:val="002855A6"/>
    <w:rsid w:val="00286C95"/>
    <w:rsid w:val="002A4D13"/>
    <w:rsid w:val="002A67ED"/>
    <w:rsid w:val="002A68D3"/>
    <w:rsid w:val="002A772E"/>
    <w:rsid w:val="002A774D"/>
    <w:rsid w:val="002A794C"/>
    <w:rsid w:val="002B11DA"/>
    <w:rsid w:val="002B1417"/>
    <w:rsid w:val="002B1CE4"/>
    <w:rsid w:val="002B3F64"/>
    <w:rsid w:val="002B4548"/>
    <w:rsid w:val="002B7D5C"/>
    <w:rsid w:val="002C1A4A"/>
    <w:rsid w:val="002C1B6D"/>
    <w:rsid w:val="002C7DFD"/>
    <w:rsid w:val="002D19F0"/>
    <w:rsid w:val="002D429F"/>
    <w:rsid w:val="002E0010"/>
    <w:rsid w:val="002E0A1E"/>
    <w:rsid w:val="002E1119"/>
    <w:rsid w:val="002E1FA7"/>
    <w:rsid w:val="002E3B50"/>
    <w:rsid w:val="002E742A"/>
    <w:rsid w:val="002F0B3A"/>
    <w:rsid w:val="002F1120"/>
    <w:rsid w:val="002F1FF4"/>
    <w:rsid w:val="002F529E"/>
    <w:rsid w:val="0030411F"/>
    <w:rsid w:val="0030586F"/>
    <w:rsid w:val="00305D0A"/>
    <w:rsid w:val="00310D5C"/>
    <w:rsid w:val="0031116D"/>
    <w:rsid w:val="00311834"/>
    <w:rsid w:val="00312765"/>
    <w:rsid w:val="00314FB9"/>
    <w:rsid w:val="0031560C"/>
    <w:rsid w:val="0032267B"/>
    <w:rsid w:val="00323D7B"/>
    <w:rsid w:val="00324077"/>
    <w:rsid w:val="003244A3"/>
    <w:rsid w:val="0032452E"/>
    <w:rsid w:val="003266CE"/>
    <w:rsid w:val="00326BD4"/>
    <w:rsid w:val="003322F5"/>
    <w:rsid w:val="00333A61"/>
    <w:rsid w:val="00333B0E"/>
    <w:rsid w:val="00335280"/>
    <w:rsid w:val="003358B1"/>
    <w:rsid w:val="003365EB"/>
    <w:rsid w:val="0033665A"/>
    <w:rsid w:val="003369E3"/>
    <w:rsid w:val="00342E02"/>
    <w:rsid w:val="003453BB"/>
    <w:rsid w:val="003501BD"/>
    <w:rsid w:val="00350A70"/>
    <w:rsid w:val="00352497"/>
    <w:rsid w:val="00354413"/>
    <w:rsid w:val="0035486F"/>
    <w:rsid w:val="00355EB4"/>
    <w:rsid w:val="00356F01"/>
    <w:rsid w:val="003622D7"/>
    <w:rsid w:val="00365B30"/>
    <w:rsid w:val="00365C7E"/>
    <w:rsid w:val="00367A78"/>
    <w:rsid w:val="00367C0B"/>
    <w:rsid w:val="00371545"/>
    <w:rsid w:val="00372B72"/>
    <w:rsid w:val="00373849"/>
    <w:rsid w:val="00376700"/>
    <w:rsid w:val="0038102B"/>
    <w:rsid w:val="00381841"/>
    <w:rsid w:val="00381E37"/>
    <w:rsid w:val="00384B9C"/>
    <w:rsid w:val="003917F9"/>
    <w:rsid w:val="00391F0D"/>
    <w:rsid w:val="003957E0"/>
    <w:rsid w:val="003A06E2"/>
    <w:rsid w:val="003A1042"/>
    <w:rsid w:val="003A2D96"/>
    <w:rsid w:val="003A591B"/>
    <w:rsid w:val="003A7B06"/>
    <w:rsid w:val="003B1A74"/>
    <w:rsid w:val="003C4D8A"/>
    <w:rsid w:val="003C5650"/>
    <w:rsid w:val="003C6ADC"/>
    <w:rsid w:val="003D1637"/>
    <w:rsid w:val="003D18FF"/>
    <w:rsid w:val="003D2377"/>
    <w:rsid w:val="003D6040"/>
    <w:rsid w:val="003E3885"/>
    <w:rsid w:val="003E427B"/>
    <w:rsid w:val="003E796F"/>
    <w:rsid w:val="003F2834"/>
    <w:rsid w:val="003F3D0D"/>
    <w:rsid w:val="003F6FF9"/>
    <w:rsid w:val="00401355"/>
    <w:rsid w:val="004072B2"/>
    <w:rsid w:val="00407B5E"/>
    <w:rsid w:val="00410BC4"/>
    <w:rsid w:val="00417056"/>
    <w:rsid w:val="004277F9"/>
    <w:rsid w:val="004312CD"/>
    <w:rsid w:val="004324AB"/>
    <w:rsid w:val="004332E0"/>
    <w:rsid w:val="00435F70"/>
    <w:rsid w:val="0044152C"/>
    <w:rsid w:val="00444569"/>
    <w:rsid w:val="00450317"/>
    <w:rsid w:val="00452008"/>
    <w:rsid w:val="0045201C"/>
    <w:rsid w:val="00455FAE"/>
    <w:rsid w:val="00456ABB"/>
    <w:rsid w:val="0046191F"/>
    <w:rsid w:val="004625EC"/>
    <w:rsid w:val="004638C2"/>
    <w:rsid w:val="00466564"/>
    <w:rsid w:val="00467C74"/>
    <w:rsid w:val="00467DF0"/>
    <w:rsid w:val="0047089F"/>
    <w:rsid w:val="00470942"/>
    <w:rsid w:val="00472795"/>
    <w:rsid w:val="0047339A"/>
    <w:rsid w:val="0048126E"/>
    <w:rsid w:val="0048364C"/>
    <w:rsid w:val="00485183"/>
    <w:rsid w:val="004879B2"/>
    <w:rsid w:val="004922B8"/>
    <w:rsid w:val="004925AF"/>
    <w:rsid w:val="0049283B"/>
    <w:rsid w:val="00492FF6"/>
    <w:rsid w:val="0049301C"/>
    <w:rsid w:val="00495194"/>
    <w:rsid w:val="004A0D20"/>
    <w:rsid w:val="004A0E8E"/>
    <w:rsid w:val="004A1E75"/>
    <w:rsid w:val="004A3492"/>
    <w:rsid w:val="004A37A0"/>
    <w:rsid w:val="004A43DC"/>
    <w:rsid w:val="004A7001"/>
    <w:rsid w:val="004B0E98"/>
    <w:rsid w:val="004B2668"/>
    <w:rsid w:val="004C00B7"/>
    <w:rsid w:val="004C6185"/>
    <w:rsid w:val="004C7F75"/>
    <w:rsid w:val="004D686C"/>
    <w:rsid w:val="004E53B6"/>
    <w:rsid w:val="004E6428"/>
    <w:rsid w:val="004F1408"/>
    <w:rsid w:val="004F4305"/>
    <w:rsid w:val="004F7BED"/>
    <w:rsid w:val="005001AA"/>
    <w:rsid w:val="00500448"/>
    <w:rsid w:val="00502540"/>
    <w:rsid w:val="00502F8D"/>
    <w:rsid w:val="00513D6C"/>
    <w:rsid w:val="00514BA3"/>
    <w:rsid w:val="00515971"/>
    <w:rsid w:val="00517A80"/>
    <w:rsid w:val="005205B8"/>
    <w:rsid w:val="00521CFF"/>
    <w:rsid w:val="00521D60"/>
    <w:rsid w:val="00523717"/>
    <w:rsid w:val="00525C03"/>
    <w:rsid w:val="0053190E"/>
    <w:rsid w:val="00533953"/>
    <w:rsid w:val="00540094"/>
    <w:rsid w:val="005423E1"/>
    <w:rsid w:val="0054242B"/>
    <w:rsid w:val="00543D1C"/>
    <w:rsid w:val="00544326"/>
    <w:rsid w:val="00544E20"/>
    <w:rsid w:val="00545D29"/>
    <w:rsid w:val="00546EFC"/>
    <w:rsid w:val="0055143F"/>
    <w:rsid w:val="00555D8E"/>
    <w:rsid w:val="00564375"/>
    <w:rsid w:val="00565728"/>
    <w:rsid w:val="00573CA7"/>
    <w:rsid w:val="00573F94"/>
    <w:rsid w:val="00575B20"/>
    <w:rsid w:val="00584B41"/>
    <w:rsid w:val="0058684B"/>
    <w:rsid w:val="005911FD"/>
    <w:rsid w:val="005918FA"/>
    <w:rsid w:val="005979A5"/>
    <w:rsid w:val="005A2933"/>
    <w:rsid w:val="005A6353"/>
    <w:rsid w:val="005A6B8E"/>
    <w:rsid w:val="005B19CB"/>
    <w:rsid w:val="005B1EDE"/>
    <w:rsid w:val="005B204F"/>
    <w:rsid w:val="005B2ACB"/>
    <w:rsid w:val="005B4237"/>
    <w:rsid w:val="005C0075"/>
    <w:rsid w:val="005C1ECA"/>
    <w:rsid w:val="005C22B5"/>
    <w:rsid w:val="005C3F5C"/>
    <w:rsid w:val="005C4CAF"/>
    <w:rsid w:val="005D593E"/>
    <w:rsid w:val="005D6AA8"/>
    <w:rsid w:val="005D797C"/>
    <w:rsid w:val="005E0D57"/>
    <w:rsid w:val="005E0E28"/>
    <w:rsid w:val="005E1A0B"/>
    <w:rsid w:val="005E48EB"/>
    <w:rsid w:val="005E50DF"/>
    <w:rsid w:val="005E5BA5"/>
    <w:rsid w:val="005F0C5B"/>
    <w:rsid w:val="005F575F"/>
    <w:rsid w:val="005F6633"/>
    <w:rsid w:val="00600E8C"/>
    <w:rsid w:val="00601805"/>
    <w:rsid w:val="00602E91"/>
    <w:rsid w:val="00606B57"/>
    <w:rsid w:val="0061429C"/>
    <w:rsid w:val="0061671C"/>
    <w:rsid w:val="00620BA5"/>
    <w:rsid w:val="00624020"/>
    <w:rsid w:val="00626351"/>
    <w:rsid w:val="00627FA1"/>
    <w:rsid w:val="00630BB8"/>
    <w:rsid w:val="00633157"/>
    <w:rsid w:val="006346F9"/>
    <w:rsid w:val="00634E3B"/>
    <w:rsid w:val="006405C7"/>
    <w:rsid w:val="00640BC5"/>
    <w:rsid w:val="00647F26"/>
    <w:rsid w:val="00651820"/>
    <w:rsid w:val="00651DEA"/>
    <w:rsid w:val="006560FF"/>
    <w:rsid w:val="00664905"/>
    <w:rsid w:val="00664CCD"/>
    <w:rsid w:val="0067235E"/>
    <w:rsid w:val="00672A30"/>
    <w:rsid w:val="00672BBB"/>
    <w:rsid w:val="00674E77"/>
    <w:rsid w:val="00681C9F"/>
    <w:rsid w:val="00685381"/>
    <w:rsid w:val="00685511"/>
    <w:rsid w:val="00691362"/>
    <w:rsid w:val="006A401E"/>
    <w:rsid w:val="006A7B58"/>
    <w:rsid w:val="006B2B60"/>
    <w:rsid w:val="006B4673"/>
    <w:rsid w:val="006B6230"/>
    <w:rsid w:val="006C216F"/>
    <w:rsid w:val="006C3D8D"/>
    <w:rsid w:val="006D478F"/>
    <w:rsid w:val="006D644B"/>
    <w:rsid w:val="006D6BAA"/>
    <w:rsid w:val="006D7604"/>
    <w:rsid w:val="006E0E26"/>
    <w:rsid w:val="006E6904"/>
    <w:rsid w:val="006E7B32"/>
    <w:rsid w:val="006F288C"/>
    <w:rsid w:val="006F5037"/>
    <w:rsid w:val="00702602"/>
    <w:rsid w:val="0070455B"/>
    <w:rsid w:val="0070494B"/>
    <w:rsid w:val="00713A55"/>
    <w:rsid w:val="00714355"/>
    <w:rsid w:val="00715A89"/>
    <w:rsid w:val="00715D41"/>
    <w:rsid w:val="0072464B"/>
    <w:rsid w:val="00725856"/>
    <w:rsid w:val="00726270"/>
    <w:rsid w:val="00727440"/>
    <w:rsid w:val="00731725"/>
    <w:rsid w:val="0073353F"/>
    <w:rsid w:val="00735928"/>
    <w:rsid w:val="0073683B"/>
    <w:rsid w:val="007464F0"/>
    <w:rsid w:val="00746849"/>
    <w:rsid w:val="00746FCF"/>
    <w:rsid w:val="00747039"/>
    <w:rsid w:val="0074704E"/>
    <w:rsid w:val="00747E62"/>
    <w:rsid w:val="0075095A"/>
    <w:rsid w:val="00752539"/>
    <w:rsid w:val="007573B8"/>
    <w:rsid w:val="00760592"/>
    <w:rsid w:val="0076195F"/>
    <w:rsid w:val="0076296B"/>
    <w:rsid w:val="00762BDC"/>
    <w:rsid w:val="00764000"/>
    <w:rsid w:val="007641A6"/>
    <w:rsid w:val="007667BD"/>
    <w:rsid w:val="00767B3D"/>
    <w:rsid w:val="00773B23"/>
    <w:rsid w:val="007744B6"/>
    <w:rsid w:val="00774BC3"/>
    <w:rsid w:val="00783213"/>
    <w:rsid w:val="00786F43"/>
    <w:rsid w:val="007918B0"/>
    <w:rsid w:val="007929E8"/>
    <w:rsid w:val="007952D5"/>
    <w:rsid w:val="00795E4E"/>
    <w:rsid w:val="007963D1"/>
    <w:rsid w:val="00796F70"/>
    <w:rsid w:val="007A030E"/>
    <w:rsid w:val="007A2559"/>
    <w:rsid w:val="007A32AF"/>
    <w:rsid w:val="007A4235"/>
    <w:rsid w:val="007A6D94"/>
    <w:rsid w:val="007B07BA"/>
    <w:rsid w:val="007B1685"/>
    <w:rsid w:val="007B4207"/>
    <w:rsid w:val="007B54DE"/>
    <w:rsid w:val="007B644F"/>
    <w:rsid w:val="007C06D8"/>
    <w:rsid w:val="007C3418"/>
    <w:rsid w:val="007D1D0D"/>
    <w:rsid w:val="007D2207"/>
    <w:rsid w:val="007D460D"/>
    <w:rsid w:val="007D6347"/>
    <w:rsid w:val="007E1712"/>
    <w:rsid w:val="007E2148"/>
    <w:rsid w:val="007E2334"/>
    <w:rsid w:val="007E298A"/>
    <w:rsid w:val="007E51F1"/>
    <w:rsid w:val="007E559D"/>
    <w:rsid w:val="007E5678"/>
    <w:rsid w:val="007E5839"/>
    <w:rsid w:val="007F10A4"/>
    <w:rsid w:val="007F45C7"/>
    <w:rsid w:val="007F57F6"/>
    <w:rsid w:val="007F6C62"/>
    <w:rsid w:val="008022B3"/>
    <w:rsid w:val="008023A8"/>
    <w:rsid w:val="008029E1"/>
    <w:rsid w:val="00804C73"/>
    <w:rsid w:val="00811BB4"/>
    <w:rsid w:val="008122A8"/>
    <w:rsid w:val="00812BA7"/>
    <w:rsid w:val="00812FD8"/>
    <w:rsid w:val="00815FCD"/>
    <w:rsid w:val="0081608A"/>
    <w:rsid w:val="008161B0"/>
    <w:rsid w:val="0081676B"/>
    <w:rsid w:val="008319E7"/>
    <w:rsid w:val="00835CF9"/>
    <w:rsid w:val="00836F0C"/>
    <w:rsid w:val="00837B66"/>
    <w:rsid w:val="00840977"/>
    <w:rsid w:val="00846A60"/>
    <w:rsid w:val="00847A6E"/>
    <w:rsid w:val="00851FFB"/>
    <w:rsid w:val="0086297C"/>
    <w:rsid w:val="00864255"/>
    <w:rsid w:val="00865232"/>
    <w:rsid w:val="008718B9"/>
    <w:rsid w:val="008724C7"/>
    <w:rsid w:val="008757C6"/>
    <w:rsid w:val="008844B7"/>
    <w:rsid w:val="00887E0F"/>
    <w:rsid w:val="008902FD"/>
    <w:rsid w:val="008921F1"/>
    <w:rsid w:val="0089241B"/>
    <w:rsid w:val="008A19A8"/>
    <w:rsid w:val="008A2330"/>
    <w:rsid w:val="008A3B93"/>
    <w:rsid w:val="008A4F5D"/>
    <w:rsid w:val="008B2D9D"/>
    <w:rsid w:val="008B7C1B"/>
    <w:rsid w:val="008B7EAB"/>
    <w:rsid w:val="008C0AB9"/>
    <w:rsid w:val="008C1854"/>
    <w:rsid w:val="008C373A"/>
    <w:rsid w:val="008C61D6"/>
    <w:rsid w:val="008D07AE"/>
    <w:rsid w:val="008D0F0B"/>
    <w:rsid w:val="008D1344"/>
    <w:rsid w:val="008D14E6"/>
    <w:rsid w:val="008D1C98"/>
    <w:rsid w:val="008D5984"/>
    <w:rsid w:val="008E2124"/>
    <w:rsid w:val="008E280F"/>
    <w:rsid w:val="008E34B3"/>
    <w:rsid w:val="008E4E60"/>
    <w:rsid w:val="008E6E3B"/>
    <w:rsid w:val="008E7C40"/>
    <w:rsid w:val="008F063B"/>
    <w:rsid w:val="008F48EA"/>
    <w:rsid w:val="008F5510"/>
    <w:rsid w:val="008F5B2D"/>
    <w:rsid w:val="008F5C19"/>
    <w:rsid w:val="008F69E9"/>
    <w:rsid w:val="009013E5"/>
    <w:rsid w:val="00901B29"/>
    <w:rsid w:val="00901DD3"/>
    <w:rsid w:val="00911787"/>
    <w:rsid w:val="00912FE4"/>
    <w:rsid w:val="00914E49"/>
    <w:rsid w:val="00916888"/>
    <w:rsid w:val="00916DCD"/>
    <w:rsid w:val="00917ACF"/>
    <w:rsid w:val="00920936"/>
    <w:rsid w:val="00920CB4"/>
    <w:rsid w:val="00921811"/>
    <w:rsid w:val="0092755E"/>
    <w:rsid w:val="00927C0A"/>
    <w:rsid w:val="009307BD"/>
    <w:rsid w:val="00933D15"/>
    <w:rsid w:val="009359F0"/>
    <w:rsid w:val="00935DC9"/>
    <w:rsid w:val="009364FC"/>
    <w:rsid w:val="00936F75"/>
    <w:rsid w:val="009405E4"/>
    <w:rsid w:val="009423E1"/>
    <w:rsid w:val="00944411"/>
    <w:rsid w:val="00944F37"/>
    <w:rsid w:val="00947FE4"/>
    <w:rsid w:val="00952B70"/>
    <w:rsid w:val="00956965"/>
    <w:rsid w:val="00960D35"/>
    <w:rsid w:val="009619B3"/>
    <w:rsid w:val="009622E2"/>
    <w:rsid w:val="009625ED"/>
    <w:rsid w:val="00962C5B"/>
    <w:rsid w:val="0096308D"/>
    <w:rsid w:val="0096692D"/>
    <w:rsid w:val="009735B3"/>
    <w:rsid w:val="0097531D"/>
    <w:rsid w:val="0098561C"/>
    <w:rsid w:val="00992370"/>
    <w:rsid w:val="00997F95"/>
    <w:rsid w:val="009B2464"/>
    <w:rsid w:val="009B35D6"/>
    <w:rsid w:val="009B4512"/>
    <w:rsid w:val="009B6BA3"/>
    <w:rsid w:val="009C0901"/>
    <w:rsid w:val="009C4162"/>
    <w:rsid w:val="009D1AF2"/>
    <w:rsid w:val="009D28E3"/>
    <w:rsid w:val="009D2D8B"/>
    <w:rsid w:val="009D4183"/>
    <w:rsid w:val="009E1CFE"/>
    <w:rsid w:val="009F267D"/>
    <w:rsid w:val="009F485A"/>
    <w:rsid w:val="00A00AD3"/>
    <w:rsid w:val="00A021A4"/>
    <w:rsid w:val="00A113CF"/>
    <w:rsid w:val="00A11D9B"/>
    <w:rsid w:val="00A156FB"/>
    <w:rsid w:val="00A172A2"/>
    <w:rsid w:val="00A172C3"/>
    <w:rsid w:val="00A17541"/>
    <w:rsid w:val="00A2313A"/>
    <w:rsid w:val="00A23B82"/>
    <w:rsid w:val="00A2463B"/>
    <w:rsid w:val="00A247A7"/>
    <w:rsid w:val="00A27816"/>
    <w:rsid w:val="00A34113"/>
    <w:rsid w:val="00A368CE"/>
    <w:rsid w:val="00A51295"/>
    <w:rsid w:val="00A52E46"/>
    <w:rsid w:val="00A54716"/>
    <w:rsid w:val="00A6109F"/>
    <w:rsid w:val="00A62874"/>
    <w:rsid w:val="00A63C48"/>
    <w:rsid w:val="00A650F1"/>
    <w:rsid w:val="00A70514"/>
    <w:rsid w:val="00A72D10"/>
    <w:rsid w:val="00A763AB"/>
    <w:rsid w:val="00A7676C"/>
    <w:rsid w:val="00A76BA8"/>
    <w:rsid w:val="00A80A6E"/>
    <w:rsid w:val="00A825AF"/>
    <w:rsid w:val="00A846B1"/>
    <w:rsid w:val="00A85439"/>
    <w:rsid w:val="00A92EE6"/>
    <w:rsid w:val="00AA1FD8"/>
    <w:rsid w:val="00AA2B70"/>
    <w:rsid w:val="00AA7A8C"/>
    <w:rsid w:val="00AB215A"/>
    <w:rsid w:val="00AB2446"/>
    <w:rsid w:val="00AB6F0E"/>
    <w:rsid w:val="00AC22B0"/>
    <w:rsid w:val="00AD452A"/>
    <w:rsid w:val="00AD539C"/>
    <w:rsid w:val="00AD79BD"/>
    <w:rsid w:val="00AE15A0"/>
    <w:rsid w:val="00AE29E4"/>
    <w:rsid w:val="00AE780F"/>
    <w:rsid w:val="00AF11FA"/>
    <w:rsid w:val="00AF5F33"/>
    <w:rsid w:val="00B00C38"/>
    <w:rsid w:val="00B02864"/>
    <w:rsid w:val="00B0563C"/>
    <w:rsid w:val="00B15AE3"/>
    <w:rsid w:val="00B236FE"/>
    <w:rsid w:val="00B25D08"/>
    <w:rsid w:val="00B264E4"/>
    <w:rsid w:val="00B27A60"/>
    <w:rsid w:val="00B319FF"/>
    <w:rsid w:val="00B31BE5"/>
    <w:rsid w:val="00B358C9"/>
    <w:rsid w:val="00B35EB3"/>
    <w:rsid w:val="00B361D4"/>
    <w:rsid w:val="00B36C6D"/>
    <w:rsid w:val="00B3710C"/>
    <w:rsid w:val="00B37C19"/>
    <w:rsid w:val="00B4106F"/>
    <w:rsid w:val="00B4127D"/>
    <w:rsid w:val="00B44F41"/>
    <w:rsid w:val="00B451A7"/>
    <w:rsid w:val="00B4533D"/>
    <w:rsid w:val="00B528AF"/>
    <w:rsid w:val="00B560C9"/>
    <w:rsid w:val="00B6037F"/>
    <w:rsid w:val="00B61576"/>
    <w:rsid w:val="00B66DF6"/>
    <w:rsid w:val="00B66EF5"/>
    <w:rsid w:val="00B67E94"/>
    <w:rsid w:val="00B7131F"/>
    <w:rsid w:val="00B71C7B"/>
    <w:rsid w:val="00B72B06"/>
    <w:rsid w:val="00B731C4"/>
    <w:rsid w:val="00B744A6"/>
    <w:rsid w:val="00B756FF"/>
    <w:rsid w:val="00B8249E"/>
    <w:rsid w:val="00B824FE"/>
    <w:rsid w:val="00B85187"/>
    <w:rsid w:val="00B87377"/>
    <w:rsid w:val="00B93580"/>
    <w:rsid w:val="00B94996"/>
    <w:rsid w:val="00B960ED"/>
    <w:rsid w:val="00B97D6D"/>
    <w:rsid w:val="00BA4D9C"/>
    <w:rsid w:val="00BA4DC4"/>
    <w:rsid w:val="00BA5BE6"/>
    <w:rsid w:val="00BA60F0"/>
    <w:rsid w:val="00BA632B"/>
    <w:rsid w:val="00BB0465"/>
    <w:rsid w:val="00BB69D3"/>
    <w:rsid w:val="00BC29FD"/>
    <w:rsid w:val="00BC3AF5"/>
    <w:rsid w:val="00BD0777"/>
    <w:rsid w:val="00BD3D7F"/>
    <w:rsid w:val="00BD7357"/>
    <w:rsid w:val="00BE0059"/>
    <w:rsid w:val="00BE4E12"/>
    <w:rsid w:val="00BF1F63"/>
    <w:rsid w:val="00BF7BB1"/>
    <w:rsid w:val="00C01F69"/>
    <w:rsid w:val="00C025A9"/>
    <w:rsid w:val="00C02A77"/>
    <w:rsid w:val="00C040C4"/>
    <w:rsid w:val="00C046BB"/>
    <w:rsid w:val="00C10DD5"/>
    <w:rsid w:val="00C1140E"/>
    <w:rsid w:val="00C14C21"/>
    <w:rsid w:val="00C162AA"/>
    <w:rsid w:val="00C16F09"/>
    <w:rsid w:val="00C244C3"/>
    <w:rsid w:val="00C26968"/>
    <w:rsid w:val="00C27CC2"/>
    <w:rsid w:val="00C34264"/>
    <w:rsid w:val="00C357BF"/>
    <w:rsid w:val="00C35E34"/>
    <w:rsid w:val="00C37201"/>
    <w:rsid w:val="00C419B4"/>
    <w:rsid w:val="00C443D3"/>
    <w:rsid w:val="00C60851"/>
    <w:rsid w:val="00C61228"/>
    <w:rsid w:val="00C64339"/>
    <w:rsid w:val="00C65BDA"/>
    <w:rsid w:val="00C6649C"/>
    <w:rsid w:val="00C7136A"/>
    <w:rsid w:val="00C73571"/>
    <w:rsid w:val="00C7524F"/>
    <w:rsid w:val="00C76122"/>
    <w:rsid w:val="00C76465"/>
    <w:rsid w:val="00C76ED7"/>
    <w:rsid w:val="00C817E2"/>
    <w:rsid w:val="00C85EE6"/>
    <w:rsid w:val="00C874BF"/>
    <w:rsid w:val="00C9000C"/>
    <w:rsid w:val="00C90879"/>
    <w:rsid w:val="00C908E5"/>
    <w:rsid w:val="00C91A1C"/>
    <w:rsid w:val="00C957E4"/>
    <w:rsid w:val="00CA08C2"/>
    <w:rsid w:val="00CA2A98"/>
    <w:rsid w:val="00CA46DA"/>
    <w:rsid w:val="00CB00A2"/>
    <w:rsid w:val="00CB057B"/>
    <w:rsid w:val="00CB1CA3"/>
    <w:rsid w:val="00CB4918"/>
    <w:rsid w:val="00CB4BCF"/>
    <w:rsid w:val="00CB7DA4"/>
    <w:rsid w:val="00CC470B"/>
    <w:rsid w:val="00CC74B3"/>
    <w:rsid w:val="00CD03EE"/>
    <w:rsid w:val="00CD060E"/>
    <w:rsid w:val="00CD13D4"/>
    <w:rsid w:val="00CD31E8"/>
    <w:rsid w:val="00CD3445"/>
    <w:rsid w:val="00CD375B"/>
    <w:rsid w:val="00CD637D"/>
    <w:rsid w:val="00CD6775"/>
    <w:rsid w:val="00CE06CE"/>
    <w:rsid w:val="00CE43D3"/>
    <w:rsid w:val="00CE518E"/>
    <w:rsid w:val="00CE72EE"/>
    <w:rsid w:val="00CF25DA"/>
    <w:rsid w:val="00CF3394"/>
    <w:rsid w:val="00CF3401"/>
    <w:rsid w:val="00CF78E6"/>
    <w:rsid w:val="00D022A0"/>
    <w:rsid w:val="00D024A4"/>
    <w:rsid w:val="00D026E3"/>
    <w:rsid w:val="00D059F5"/>
    <w:rsid w:val="00D10F1E"/>
    <w:rsid w:val="00D14C5A"/>
    <w:rsid w:val="00D21914"/>
    <w:rsid w:val="00D21A42"/>
    <w:rsid w:val="00D22A43"/>
    <w:rsid w:val="00D26E16"/>
    <w:rsid w:val="00D3046E"/>
    <w:rsid w:val="00D32994"/>
    <w:rsid w:val="00D37AEC"/>
    <w:rsid w:val="00D469FB"/>
    <w:rsid w:val="00D50AA1"/>
    <w:rsid w:val="00D5249E"/>
    <w:rsid w:val="00D6395C"/>
    <w:rsid w:val="00D6774C"/>
    <w:rsid w:val="00D73E9E"/>
    <w:rsid w:val="00D759B4"/>
    <w:rsid w:val="00D769E5"/>
    <w:rsid w:val="00D76EA1"/>
    <w:rsid w:val="00D90218"/>
    <w:rsid w:val="00D90F34"/>
    <w:rsid w:val="00DA0C61"/>
    <w:rsid w:val="00DA19E9"/>
    <w:rsid w:val="00DA36EA"/>
    <w:rsid w:val="00DB1872"/>
    <w:rsid w:val="00DB3592"/>
    <w:rsid w:val="00DB72D6"/>
    <w:rsid w:val="00DC01AF"/>
    <w:rsid w:val="00DC0BBA"/>
    <w:rsid w:val="00DC57EB"/>
    <w:rsid w:val="00DC7535"/>
    <w:rsid w:val="00DD0EFE"/>
    <w:rsid w:val="00DD2A28"/>
    <w:rsid w:val="00DD2B63"/>
    <w:rsid w:val="00DD47EC"/>
    <w:rsid w:val="00DD6C02"/>
    <w:rsid w:val="00DE09DA"/>
    <w:rsid w:val="00DE1B33"/>
    <w:rsid w:val="00DE1BF7"/>
    <w:rsid w:val="00DE1E30"/>
    <w:rsid w:val="00DE4F72"/>
    <w:rsid w:val="00DF21E6"/>
    <w:rsid w:val="00DF3F4E"/>
    <w:rsid w:val="00E022CC"/>
    <w:rsid w:val="00E024C0"/>
    <w:rsid w:val="00E03F11"/>
    <w:rsid w:val="00E0408B"/>
    <w:rsid w:val="00E046DB"/>
    <w:rsid w:val="00E11E27"/>
    <w:rsid w:val="00E1445C"/>
    <w:rsid w:val="00E17D19"/>
    <w:rsid w:val="00E212DB"/>
    <w:rsid w:val="00E215A8"/>
    <w:rsid w:val="00E25B3E"/>
    <w:rsid w:val="00E26DD2"/>
    <w:rsid w:val="00E307AF"/>
    <w:rsid w:val="00E30808"/>
    <w:rsid w:val="00E3140E"/>
    <w:rsid w:val="00E33E09"/>
    <w:rsid w:val="00E3454D"/>
    <w:rsid w:val="00E37131"/>
    <w:rsid w:val="00E37829"/>
    <w:rsid w:val="00E40580"/>
    <w:rsid w:val="00E40FF5"/>
    <w:rsid w:val="00E415C4"/>
    <w:rsid w:val="00E45769"/>
    <w:rsid w:val="00E51711"/>
    <w:rsid w:val="00E51FEA"/>
    <w:rsid w:val="00E53459"/>
    <w:rsid w:val="00E537D7"/>
    <w:rsid w:val="00E53C4B"/>
    <w:rsid w:val="00E54EF2"/>
    <w:rsid w:val="00E5700A"/>
    <w:rsid w:val="00E61740"/>
    <w:rsid w:val="00E62083"/>
    <w:rsid w:val="00E62C96"/>
    <w:rsid w:val="00E679FC"/>
    <w:rsid w:val="00E67E16"/>
    <w:rsid w:val="00E71D12"/>
    <w:rsid w:val="00E74DE7"/>
    <w:rsid w:val="00E775C2"/>
    <w:rsid w:val="00E80452"/>
    <w:rsid w:val="00E81901"/>
    <w:rsid w:val="00E8608F"/>
    <w:rsid w:val="00E87436"/>
    <w:rsid w:val="00E905E9"/>
    <w:rsid w:val="00E906A5"/>
    <w:rsid w:val="00E90A3A"/>
    <w:rsid w:val="00E91D31"/>
    <w:rsid w:val="00EA03BB"/>
    <w:rsid w:val="00EA0535"/>
    <w:rsid w:val="00EA5CE9"/>
    <w:rsid w:val="00EB0D6A"/>
    <w:rsid w:val="00EB113A"/>
    <w:rsid w:val="00EB2F98"/>
    <w:rsid w:val="00EB322C"/>
    <w:rsid w:val="00EB4A8C"/>
    <w:rsid w:val="00EC08EA"/>
    <w:rsid w:val="00EC559B"/>
    <w:rsid w:val="00EC6F7D"/>
    <w:rsid w:val="00EC7AB7"/>
    <w:rsid w:val="00ED2D34"/>
    <w:rsid w:val="00ED672F"/>
    <w:rsid w:val="00ED7EB4"/>
    <w:rsid w:val="00EE26F2"/>
    <w:rsid w:val="00EE6220"/>
    <w:rsid w:val="00EF009F"/>
    <w:rsid w:val="00EF02BC"/>
    <w:rsid w:val="00EF6659"/>
    <w:rsid w:val="00EF6CDE"/>
    <w:rsid w:val="00F052BC"/>
    <w:rsid w:val="00F066D1"/>
    <w:rsid w:val="00F12962"/>
    <w:rsid w:val="00F12B09"/>
    <w:rsid w:val="00F13E72"/>
    <w:rsid w:val="00F20422"/>
    <w:rsid w:val="00F255F8"/>
    <w:rsid w:val="00F3313E"/>
    <w:rsid w:val="00F373FB"/>
    <w:rsid w:val="00F4046D"/>
    <w:rsid w:val="00F40D68"/>
    <w:rsid w:val="00F417FB"/>
    <w:rsid w:val="00F43474"/>
    <w:rsid w:val="00F442F2"/>
    <w:rsid w:val="00F46232"/>
    <w:rsid w:val="00F60AE7"/>
    <w:rsid w:val="00F61920"/>
    <w:rsid w:val="00F62DA7"/>
    <w:rsid w:val="00F63B37"/>
    <w:rsid w:val="00F654E3"/>
    <w:rsid w:val="00F6696C"/>
    <w:rsid w:val="00F70A75"/>
    <w:rsid w:val="00F71986"/>
    <w:rsid w:val="00F756D5"/>
    <w:rsid w:val="00F76FC7"/>
    <w:rsid w:val="00F81492"/>
    <w:rsid w:val="00F81508"/>
    <w:rsid w:val="00F84BA0"/>
    <w:rsid w:val="00F84D7A"/>
    <w:rsid w:val="00F86DFF"/>
    <w:rsid w:val="00F918B9"/>
    <w:rsid w:val="00F92C04"/>
    <w:rsid w:val="00F93A73"/>
    <w:rsid w:val="00F95FAB"/>
    <w:rsid w:val="00F972DF"/>
    <w:rsid w:val="00F976A5"/>
    <w:rsid w:val="00F97C23"/>
    <w:rsid w:val="00F97D18"/>
    <w:rsid w:val="00FA02B1"/>
    <w:rsid w:val="00FB00C4"/>
    <w:rsid w:val="00FB03A0"/>
    <w:rsid w:val="00FB0B67"/>
    <w:rsid w:val="00FB1FC1"/>
    <w:rsid w:val="00FB7853"/>
    <w:rsid w:val="00FC03CD"/>
    <w:rsid w:val="00FC3E2B"/>
    <w:rsid w:val="00FC5679"/>
    <w:rsid w:val="00FC5839"/>
    <w:rsid w:val="00FC5BA8"/>
    <w:rsid w:val="00FD13B1"/>
    <w:rsid w:val="00FD1B30"/>
    <w:rsid w:val="00FD6D71"/>
    <w:rsid w:val="00FD7C80"/>
    <w:rsid w:val="00FE0E30"/>
    <w:rsid w:val="00FE2C50"/>
    <w:rsid w:val="00FE668D"/>
    <w:rsid w:val="00FF0074"/>
    <w:rsid w:val="00FF3962"/>
    <w:rsid w:val="00FF6259"/>
    <w:rsid w:val="00FF762C"/>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BDE4C31-0F28-426B-8414-13AC16E26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EastAsia"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6DF6"/>
    <w:pPr>
      <w:spacing w:after="200" w:line="276" w:lineRule="auto"/>
    </w:pPr>
    <w:rPr>
      <w:sz w:val="22"/>
      <w:szCs w:val="22"/>
      <w:lang w:val="ru-RU" w:eastAsia="ru-RU"/>
    </w:rPr>
  </w:style>
  <w:style w:type="paragraph" w:styleId="Heading1">
    <w:name w:val="heading 1"/>
    <w:basedOn w:val="Normal"/>
    <w:link w:val="Heading1Char"/>
    <w:uiPriority w:val="9"/>
    <w:qFormat/>
    <w:rsid w:val="005F6633"/>
    <w:pPr>
      <w:spacing w:before="100" w:beforeAutospacing="1" w:after="100" w:afterAutospacing="1" w:line="264" w:lineRule="atLeast"/>
      <w:outlineLvl w:val="0"/>
    </w:pPr>
    <w:rPr>
      <w:rFonts w:ascii="Times New Roman" w:hAnsi="Times New Roman"/>
      <w:b/>
      <w:bCs/>
      <w:kern w:val="36"/>
      <w:sz w:val="36"/>
      <w:szCs w:val="36"/>
    </w:rPr>
  </w:style>
  <w:style w:type="paragraph" w:styleId="Heading2">
    <w:name w:val="heading 2"/>
    <w:basedOn w:val="Normal"/>
    <w:next w:val="Normal"/>
    <w:link w:val="Heading2Char"/>
    <w:uiPriority w:val="9"/>
    <w:semiHidden/>
    <w:unhideWhenUsed/>
    <w:qFormat/>
    <w:rsid w:val="0086297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unhideWhenUsed/>
    <w:qFormat/>
    <w:rsid w:val="00A2463B"/>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A2463B"/>
    <w:pPr>
      <w:keepNext/>
      <w:keepLines/>
      <w:spacing w:before="200" w:after="0"/>
      <w:outlineLvl w:val="3"/>
    </w:pPr>
    <w:rPr>
      <w:rFonts w:ascii="Cambria" w:hAnsi="Cambria"/>
      <w:b/>
      <w:bCs/>
      <w:i/>
      <w:iCs/>
      <w:color w:val="4F81BD"/>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F6633"/>
    <w:rPr>
      <w:rFonts w:ascii="Times New Roman" w:eastAsia="Times New Roman" w:hAnsi="Times New Roman" w:cs="Times New Roman"/>
      <w:b/>
      <w:bCs/>
      <w:kern w:val="36"/>
      <w:sz w:val="36"/>
      <w:szCs w:val="36"/>
    </w:rPr>
  </w:style>
  <w:style w:type="character" w:customStyle="1" w:styleId="Heading2Char">
    <w:name w:val="Heading 2 Char"/>
    <w:link w:val="Heading2"/>
    <w:uiPriority w:val="9"/>
    <w:semiHidden/>
    <w:rsid w:val="0086297C"/>
    <w:rPr>
      <w:rFonts w:ascii="Cambria" w:eastAsia="Times New Roman" w:hAnsi="Cambria" w:cs="Times New Roman"/>
      <w:b/>
      <w:bCs/>
      <w:i/>
      <w:iCs/>
      <w:sz w:val="28"/>
      <w:szCs w:val="28"/>
    </w:rPr>
  </w:style>
  <w:style w:type="character" w:customStyle="1" w:styleId="Heading3Char">
    <w:name w:val="Heading 3 Char"/>
    <w:link w:val="Heading3"/>
    <w:uiPriority w:val="9"/>
    <w:rsid w:val="00A2463B"/>
    <w:rPr>
      <w:rFonts w:ascii="Cambria" w:eastAsia="Times New Roman" w:hAnsi="Cambria" w:cs="Times New Roman"/>
      <w:b/>
      <w:bCs/>
      <w:sz w:val="26"/>
      <w:szCs w:val="26"/>
    </w:rPr>
  </w:style>
  <w:style w:type="character" w:customStyle="1" w:styleId="Heading4Char">
    <w:name w:val="Heading 4 Char"/>
    <w:link w:val="Heading4"/>
    <w:uiPriority w:val="9"/>
    <w:semiHidden/>
    <w:rsid w:val="00A2463B"/>
    <w:rPr>
      <w:rFonts w:ascii="Cambria" w:hAnsi="Cambria"/>
      <w:b/>
      <w:bCs/>
      <w:i/>
      <w:iCs/>
      <w:color w:val="4F81BD"/>
      <w:sz w:val="22"/>
      <w:szCs w:val="22"/>
      <w:lang w:eastAsia="en-US"/>
    </w:rPr>
  </w:style>
  <w:style w:type="character" w:styleId="Hyperlink">
    <w:name w:val="Hyperlink"/>
    <w:uiPriority w:val="99"/>
    <w:unhideWhenUsed/>
    <w:rsid w:val="005F6633"/>
    <w:rPr>
      <w:color w:val="0000FF"/>
      <w:u w:val="single"/>
    </w:rPr>
  </w:style>
  <w:style w:type="paragraph" w:customStyle="1" w:styleId="citation">
    <w:name w:val="citation"/>
    <w:basedOn w:val="Normal"/>
    <w:rsid w:val="005F6633"/>
    <w:pPr>
      <w:spacing w:before="100" w:beforeAutospacing="1" w:after="100" w:afterAutospacing="1" w:line="240" w:lineRule="auto"/>
    </w:pPr>
    <w:rPr>
      <w:rFonts w:ascii="Times New Roman" w:hAnsi="Times New Roman"/>
      <w:sz w:val="24"/>
      <w:szCs w:val="24"/>
    </w:rPr>
  </w:style>
  <w:style w:type="paragraph" w:customStyle="1" w:styleId="1">
    <w:name w:val="Абзац списка1"/>
    <w:basedOn w:val="Normal"/>
    <w:uiPriority w:val="34"/>
    <w:qFormat/>
    <w:rsid w:val="00F97D18"/>
    <w:pPr>
      <w:ind w:left="720"/>
      <w:contextualSpacing/>
    </w:pPr>
  </w:style>
  <w:style w:type="table" w:styleId="TableGrid">
    <w:name w:val="Table Grid"/>
    <w:basedOn w:val="TableNormal"/>
    <w:uiPriority w:val="59"/>
    <w:rsid w:val="007317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31725"/>
    <w:pPr>
      <w:tabs>
        <w:tab w:val="center" w:pos="4677"/>
        <w:tab w:val="right" w:pos="9355"/>
      </w:tabs>
    </w:pPr>
  </w:style>
  <w:style w:type="character" w:customStyle="1" w:styleId="HeaderChar">
    <w:name w:val="Header Char"/>
    <w:link w:val="Header"/>
    <w:uiPriority w:val="99"/>
    <w:rsid w:val="00731725"/>
    <w:rPr>
      <w:sz w:val="22"/>
      <w:szCs w:val="22"/>
    </w:rPr>
  </w:style>
  <w:style w:type="paragraph" w:styleId="Footer">
    <w:name w:val="footer"/>
    <w:basedOn w:val="Normal"/>
    <w:link w:val="FooterChar"/>
    <w:uiPriority w:val="99"/>
    <w:unhideWhenUsed/>
    <w:rsid w:val="00731725"/>
    <w:pPr>
      <w:tabs>
        <w:tab w:val="center" w:pos="4677"/>
        <w:tab w:val="right" w:pos="9355"/>
      </w:tabs>
    </w:pPr>
  </w:style>
  <w:style w:type="character" w:customStyle="1" w:styleId="FooterChar">
    <w:name w:val="Footer Char"/>
    <w:link w:val="Footer"/>
    <w:uiPriority w:val="99"/>
    <w:rsid w:val="00731725"/>
    <w:rPr>
      <w:sz w:val="22"/>
      <w:szCs w:val="22"/>
    </w:rPr>
  </w:style>
  <w:style w:type="character" w:customStyle="1" w:styleId="apple-converted-space">
    <w:name w:val="apple-converted-space"/>
    <w:rsid w:val="005C4CAF"/>
  </w:style>
  <w:style w:type="character" w:styleId="Emphasis">
    <w:name w:val="Emphasis"/>
    <w:uiPriority w:val="20"/>
    <w:qFormat/>
    <w:rsid w:val="005C4CAF"/>
    <w:rPr>
      <w:i/>
      <w:iCs/>
    </w:rPr>
  </w:style>
  <w:style w:type="paragraph" w:customStyle="1" w:styleId="Title1">
    <w:name w:val="Title1"/>
    <w:basedOn w:val="Normal"/>
    <w:rsid w:val="00A2463B"/>
    <w:pPr>
      <w:spacing w:before="100" w:beforeAutospacing="1" w:after="100" w:afterAutospacing="1" w:line="240" w:lineRule="auto"/>
    </w:pPr>
    <w:rPr>
      <w:rFonts w:ascii="Times New Roman" w:hAnsi="Times New Roman"/>
      <w:sz w:val="24"/>
      <w:szCs w:val="24"/>
    </w:rPr>
  </w:style>
  <w:style w:type="character" w:customStyle="1" w:styleId="jrnl">
    <w:name w:val="jrnl"/>
    <w:rsid w:val="00A2463B"/>
  </w:style>
  <w:style w:type="paragraph" w:styleId="ListParagraph">
    <w:name w:val="List Paragraph"/>
    <w:basedOn w:val="Normal"/>
    <w:uiPriority w:val="34"/>
    <w:qFormat/>
    <w:rsid w:val="00A2463B"/>
    <w:pPr>
      <w:ind w:left="720"/>
      <w:contextualSpacing/>
    </w:pPr>
    <w:rPr>
      <w:rFonts w:eastAsia="Calibri"/>
      <w:lang w:eastAsia="en-US"/>
    </w:rPr>
  </w:style>
  <w:style w:type="paragraph" w:customStyle="1" w:styleId="Default">
    <w:name w:val="Default"/>
    <w:rsid w:val="00A2463B"/>
    <w:pPr>
      <w:autoSpaceDE w:val="0"/>
      <w:autoSpaceDN w:val="0"/>
      <w:adjustRightInd w:val="0"/>
    </w:pPr>
    <w:rPr>
      <w:rFonts w:ascii="AGaramond" w:eastAsia="Calibri" w:hAnsi="AGaramond" w:cs="AGaramond"/>
      <w:color w:val="000000"/>
      <w:sz w:val="24"/>
      <w:szCs w:val="24"/>
      <w:lang w:val="ru-RU"/>
    </w:rPr>
  </w:style>
  <w:style w:type="character" w:styleId="Strong">
    <w:name w:val="Strong"/>
    <w:uiPriority w:val="22"/>
    <w:qFormat/>
    <w:rsid w:val="00A2463B"/>
    <w:rPr>
      <w:b/>
      <w:bCs/>
    </w:rPr>
  </w:style>
  <w:style w:type="character" w:customStyle="1" w:styleId="element-citation">
    <w:name w:val="element-citation"/>
    <w:rsid w:val="00A2463B"/>
  </w:style>
  <w:style w:type="character" w:customStyle="1" w:styleId="ref-journal">
    <w:name w:val="ref-journal"/>
    <w:rsid w:val="00A2463B"/>
  </w:style>
  <w:style w:type="character" w:customStyle="1" w:styleId="ref-vol">
    <w:name w:val="ref-vol"/>
    <w:rsid w:val="00A2463B"/>
  </w:style>
  <w:style w:type="character" w:customStyle="1" w:styleId="cit">
    <w:name w:val="cit"/>
    <w:rsid w:val="00A2463B"/>
  </w:style>
  <w:style w:type="character" w:customStyle="1" w:styleId="A2">
    <w:name w:val="A2"/>
    <w:uiPriority w:val="99"/>
    <w:rsid w:val="00A2463B"/>
    <w:rPr>
      <w:rFonts w:ascii="Garamond Premr Pro" w:hAnsi="Garamond Premr Pro" w:cs="Garamond Premr Pro"/>
      <w:color w:val="000000"/>
      <w:sz w:val="14"/>
      <w:szCs w:val="14"/>
    </w:rPr>
  </w:style>
  <w:style w:type="character" w:customStyle="1" w:styleId="hps">
    <w:name w:val="hps"/>
    <w:rsid w:val="00A2463B"/>
  </w:style>
  <w:style w:type="character" w:customStyle="1" w:styleId="shorttext">
    <w:name w:val="short_text"/>
    <w:rsid w:val="00A2463B"/>
  </w:style>
  <w:style w:type="paragraph" w:styleId="BalloonText">
    <w:name w:val="Balloon Text"/>
    <w:basedOn w:val="Normal"/>
    <w:link w:val="BalloonTextChar"/>
    <w:uiPriority w:val="99"/>
    <w:semiHidden/>
    <w:unhideWhenUsed/>
    <w:rsid w:val="00A2463B"/>
    <w:pPr>
      <w:spacing w:after="0" w:line="240" w:lineRule="auto"/>
    </w:pPr>
    <w:rPr>
      <w:rFonts w:ascii="Tahoma" w:eastAsia="Calibri" w:hAnsi="Tahoma"/>
      <w:sz w:val="16"/>
      <w:szCs w:val="16"/>
      <w:lang w:eastAsia="en-US"/>
    </w:rPr>
  </w:style>
  <w:style w:type="character" w:customStyle="1" w:styleId="BalloonTextChar">
    <w:name w:val="Balloon Text Char"/>
    <w:link w:val="BalloonText"/>
    <w:uiPriority w:val="99"/>
    <w:semiHidden/>
    <w:rsid w:val="00A2463B"/>
    <w:rPr>
      <w:rFonts w:ascii="Tahoma" w:eastAsia="Calibri" w:hAnsi="Tahoma" w:cs="Tahoma"/>
      <w:sz w:val="16"/>
      <w:szCs w:val="16"/>
      <w:lang w:eastAsia="en-US"/>
    </w:rPr>
  </w:style>
  <w:style w:type="character" w:customStyle="1" w:styleId="highlight">
    <w:name w:val="highlight"/>
    <w:rsid w:val="00A2463B"/>
  </w:style>
  <w:style w:type="paragraph" w:styleId="CommentText">
    <w:name w:val="annotation text"/>
    <w:basedOn w:val="Normal"/>
    <w:link w:val="CommentTextChar"/>
    <w:uiPriority w:val="99"/>
    <w:unhideWhenUsed/>
    <w:rsid w:val="00A2463B"/>
    <w:pPr>
      <w:spacing w:line="240" w:lineRule="auto"/>
    </w:pPr>
    <w:rPr>
      <w:rFonts w:eastAsia="Calibri"/>
      <w:sz w:val="20"/>
      <w:szCs w:val="20"/>
      <w:lang w:eastAsia="en-US"/>
    </w:rPr>
  </w:style>
  <w:style w:type="character" w:customStyle="1" w:styleId="CommentTextChar">
    <w:name w:val="Comment Text Char"/>
    <w:link w:val="CommentText"/>
    <w:uiPriority w:val="99"/>
    <w:rsid w:val="00A2463B"/>
    <w:rPr>
      <w:rFonts w:eastAsia="Calibri"/>
      <w:lang w:eastAsia="en-US"/>
    </w:rPr>
  </w:style>
  <w:style w:type="paragraph" w:styleId="CommentSubject">
    <w:name w:val="annotation subject"/>
    <w:basedOn w:val="CommentText"/>
    <w:next w:val="CommentText"/>
    <w:link w:val="CommentSubjectChar"/>
    <w:uiPriority w:val="99"/>
    <w:semiHidden/>
    <w:unhideWhenUsed/>
    <w:rsid w:val="00A2463B"/>
    <w:rPr>
      <w:b/>
      <w:bCs/>
    </w:rPr>
  </w:style>
  <w:style w:type="character" w:customStyle="1" w:styleId="CommentSubjectChar">
    <w:name w:val="Comment Subject Char"/>
    <w:link w:val="CommentSubject"/>
    <w:uiPriority w:val="99"/>
    <w:semiHidden/>
    <w:rsid w:val="00A2463B"/>
    <w:rPr>
      <w:rFonts w:eastAsia="Calibri"/>
      <w:b/>
      <w:bCs/>
      <w:lang w:eastAsia="en-US"/>
    </w:rPr>
  </w:style>
  <w:style w:type="character" w:customStyle="1" w:styleId="current-selection">
    <w:name w:val="current-selection"/>
    <w:rsid w:val="008D14E6"/>
  </w:style>
  <w:style w:type="character" w:customStyle="1" w:styleId="a">
    <w:name w:val="_"/>
    <w:rsid w:val="008D14E6"/>
  </w:style>
  <w:style w:type="character" w:styleId="FollowedHyperlink">
    <w:name w:val="FollowedHyperlink"/>
    <w:uiPriority w:val="99"/>
    <w:semiHidden/>
    <w:unhideWhenUsed/>
    <w:rsid w:val="00774BC3"/>
    <w:rPr>
      <w:color w:val="954F72"/>
      <w:u w:val="single"/>
    </w:rPr>
  </w:style>
  <w:style w:type="character" w:styleId="CommentReference">
    <w:name w:val="annotation reference"/>
    <w:basedOn w:val="DefaultParagraphFont"/>
    <w:uiPriority w:val="99"/>
    <w:unhideWhenUsed/>
    <w:rsid w:val="00573CA7"/>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1841051">
      <w:bodyDiv w:val="1"/>
      <w:marLeft w:val="0"/>
      <w:marRight w:val="0"/>
      <w:marTop w:val="0"/>
      <w:marBottom w:val="0"/>
      <w:divBdr>
        <w:top w:val="none" w:sz="0" w:space="0" w:color="auto"/>
        <w:left w:val="none" w:sz="0" w:space="0" w:color="auto"/>
        <w:bottom w:val="none" w:sz="0" w:space="0" w:color="auto"/>
        <w:right w:val="none" w:sz="0" w:space="0" w:color="auto"/>
      </w:divBdr>
      <w:divsChild>
        <w:div w:id="324867095">
          <w:marLeft w:val="0"/>
          <w:marRight w:val="0"/>
          <w:marTop w:val="0"/>
          <w:marBottom w:val="0"/>
          <w:divBdr>
            <w:top w:val="none" w:sz="0" w:space="0" w:color="auto"/>
            <w:left w:val="none" w:sz="0" w:space="0" w:color="auto"/>
            <w:bottom w:val="none" w:sz="0" w:space="0" w:color="auto"/>
            <w:right w:val="none" w:sz="0" w:space="0" w:color="auto"/>
          </w:divBdr>
        </w:div>
        <w:div w:id="828208125">
          <w:marLeft w:val="0"/>
          <w:marRight w:val="0"/>
          <w:marTop w:val="0"/>
          <w:marBottom w:val="0"/>
          <w:divBdr>
            <w:top w:val="none" w:sz="0" w:space="0" w:color="auto"/>
            <w:left w:val="none" w:sz="0" w:space="0" w:color="auto"/>
            <w:bottom w:val="none" w:sz="0" w:space="0" w:color="auto"/>
            <w:right w:val="none" w:sz="0" w:space="0" w:color="auto"/>
          </w:divBdr>
        </w:div>
        <w:div w:id="859247318">
          <w:marLeft w:val="0"/>
          <w:marRight w:val="0"/>
          <w:marTop w:val="0"/>
          <w:marBottom w:val="0"/>
          <w:divBdr>
            <w:top w:val="none" w:sz="0" w:space="0" w:color="auto"/>
            <w:left w:val="none" w:sz="0" w:space="0" w:color="auto"/>
            <w:bottom w:val="none" w:sz="0" w:space="0" w:color="auto"/>
            <w:right w:val="none" w:sz="0" w:space="0" w:color="auto"/>
          </w:divBdr>
        </w:div>
        <w:div w:id="930703837">
          <w:marLeft w:val="0"/>
          <w:marRight w:val="0"/>
          <w:marTop w:val="0"/>
          <w:marBottom w:val="0"/>
          <w:divBdr>
            <w:top w:val="none" w:sz="0" w:space="0" w:color="auto"/>
            <w:left w:val="none" w:sz="0" w:space="0" w:color="auto"/>
            <w:bottom w:val="none" w:sz="0" w:space="0" w:color="auto"/>
            <w:right w:val="none" w:sz="0" w:space="0" w:color="auto"/>
          </w:divBdr>
        </w:div>
        <w:div w:id="989404993">
          <w:marLeft w:val="0"/>
          <w:marRight w:val="0"/>
          <w:marTop w:val="0"/>
          <w:marBottom w:val="0"/>
          <w:divBdr>
            <w:top w:val="none" w:sz="0" w:space="0" w:color="auto"/>
            <w:left w:val="none" w:sz="0" w:space="0" w:color="auto"/>
            <w:bottom w:val="none" w:sz="0" w:space="0" w:color="auto"/>
            <w:right w:val="none" w:sz="0" w:space="0" w:color="auto"/>
          </w:divBdr>
        </w:div>
        <w:div w:id="1082794338">
          <w:marLeft w:val="0"/>
          <w:marRight w:val="0"/>
          <w:marTop w:val="0"/>
          <w:marBottom w:val="0"/>
          <w:divBdr>
            <w:top w:val="none" w:sz="0" w:space="0" w:color="auto"/>
            <w:left w:val="none" w:sz="0" w:space="0" w:color="auto"/>
            <w:bottom w:val="none" w:sz="0" w:space="0" w:color="auto"/>
            <w:right w:val="none" w:sz="0" w:space="0" w:color="auto"/>
          </w:divBdr>
        </w:div>
        <w:div w:id="1131047575">
          <w:marLeft w:val="0"/>
          <w:marRight w:val="0"/>
          <w:marTop w:val="0"/>
          <w:marBottom w:val="0"/>
          <w:divBdr>
            <w:top w:val="none" w:sz="0" w:space="0" w:color="auto"/>
            <w:left w:val="none" w:sz="0" w:space="0" w:color="auto"/>
            <w:bottom w:val="none" w:sz="0" w:space="0" w:color="auto"/>
            <w:right w:val="none" w:sz="0" w:space="0" w:color="auto"/>
          </w:divBdr>
        </w:div>
        <w:div w:id="1178470356">
          <w:marLeft w:val="0"/>
          <w:marRight w:val="0"/>
          <w:marTop w:val="0"/>
          <w:marBottom w:val="0"/>
          <w:divBdr>
            <w:top w:val="none" w:sz="0" w:space="0" w:color="auto"/>
            <w:left w:val="none" w:sz="0" w:space="0" w:color="auto"/>
            <w:bottom w:val="none" w:sz="0" w:space="0" w:color="auto"/>
            <w:right w:val="none" w:sz="0" w:space="0" w:color="auto"/>
          </w:divBdr>
        </w:div>
        <w:div w:id="1333877517">
          <w:marLeft w:val="0"/>
          <w:marRight w:val="0"/>
          <w:marTop w:val="0"/>
          <w:marBottom w:val="0"/>
          <w:divBdr>
            <w:top w:val="none" w:sz="0" w:space="0" w:color="auto"/>
            <w:left w:val="none" w:sz="0" w:space="0" w:color="auto"/>
            <w:bottom w:val="none" w:sz="0" w:space="0" w:color="auto"/>
            <w:right w:val="none" w:sz="0" w:space="0" w:color="auto"/>
          </w:divBdr>
        </w:div>
        <w:div w:id="1707410579">
          <w:marLeft w:val="0"/>
          <w:marRight w:val="0"/>
          <w:marTop w:val="0"/>
          <w:marBottom w:val="0"/>
          <w:divBdr>
            <w:top w:val="none" w:sz="0" w:space="0" w:color="auto"/>
            <w:left w:val="none" w:sz="0" w:space="0" w:color="auto"/>
            <w:bottom w:val="none" w:sz="0" w:space="0" w:color="auto"/>
            <w:right w:val="none" w:sz="0" w:space="0" w:color="auto"/>
          </w:divBdr>
        </w:div>
        <w:div w:id="1947804852">
          <w:marLeft w:val="0"/>
          <w:marRight w:val="0"/>
          <w:marTop w:val="0"/>
          <w:marBottom w:val="0"/>
          <w:divBdr>
            <w:top w:val="none" w:sz="0" w:space="0" w:color="auto"/>
            <w:left w:val="none" w:sz="0" w:space="0" w:color="auto"/>
            <w:bottom w:val="none" w:sz="0" w:space="0" w:color="auto"/>
            <w:right w:val="none" w:sz="0" w:space="0" w:color="auto"/>
          </w:divBdr>
        </w:div>
      </w:divsChild>
    </w:div>
    <w:div w:id="274334869">
      <w:bodyDiv w:val="1"/>
      <w:marLeft w:val="0"/>
      <w:marRight w:val="0"/>
      <w:marTop w:val="0"/>
      <w:marBottom w:val="0"/>
      <w:divBdr>
        <w:top w:val="none" w:sz="0" w:space="0" w:color="auto"/>
        <w:left w:val="none" w:sz="0" w:space="0" w:color="auto"/>
        <w:bottom w:val="none" w:sz="0" w:space="0" w:color="auto"/>
        <w:right w:val="none" w:sz="0" w:space="0" w:color="auto"/>
      </w:divBdr>
    </w:div>
    <w:div w:id="545531949">
      <w:bodyDiv w:val="1"/>
      <w:marLeft w:val="0"/>
      <w:marRight w:val="0"/>
      <w:marTop w:val="0"/>
      <w:marBottom w:val="0"/>
      <w:divBdr>
        <w:top w:val="none" w:sz="0" w:space="0" w:color="auto"/>
        <w:left w:val="none" w:sz="0" w:space="0" w:color="auto"/>
        <w:bottom w:val="none" w:sz="0" w:space="0" w:color="auto"/>
        <w:right w:val="none" w:sz="0" w:space="0" w:color="auto"/>
      </w:divBdr>
    </w:div>
    <w:div w:id="575939402">
      <w:bodyDiv w:val="1"/>
      <w:marLeft w:val="0"/>
      <w:marRight w:val="0"/>
      <w:marTop w:val="0"/>
      <w:marBottom w:val="0"/>
      <w:divBdr>
        <w:top w:val="none" w:sz="0" w:space="0" w:color="auto"/>
        <w:left w:val="none" w:sz="0" w:space="0" w:color="auto"/>
        <w:bottom w:val="none" w:sz="0" w:space="0" w:color="auto"/>
        <w:right w:val="none" w:sz="0" w:space="0" w:color="auto"/>
      </w:divBdr>
      <w:divsChild>
        <w:div w:id="1666319945">
          <w:marLeft w:val="0"/>
          <w:marRight w:val="0"/>
          <w:marTop w:val="0"/>
          <w:marBottom w:val="0"/>
          <w:divBdr>
            <w:top w:val="none" w:sz="0" w:space="0" w:color="auto"/>
            <w:left w:val="none" w:sz="0" w:space="0" w:color="auto"/>
            <w:bottom w:val="none" w:sz="0" w:space="0" w:color="auto"/>
            <w:right w:val="none" w:sz="0" w:space="0" w:color="auto"/>
          </w:divBdr>
          <w:divsChild>
            <w:div w:id="1017121955">
              <w:marLeft w:val="0"/>
              <w:marRight w:val="0"/>
              <w:marTop w:val="0"/>
              <w:marBottom w:val="0"/>
              <w:divBdr>
                <w:top w:val="none" w:sz="0" w:space="0" w:color="auto"/>
                <w:left w:val="none" w:sz="0" w:space="0" w:color="auto"/>
                <w:bottom w:val="none" w:sz="0" w:space="0" w:color="auto"/>
                <w:right w:val="none" w:sz="0" w:space="0" w:color="auto"/>
              </w:divBdr>
              <w:divsChild>
                <w:div w:id="347609288">
                  <w:marLeft w:val="0"/>
                  <w:marRight w:val="-6084"/>
                  <w:marTop w:val="0"/>
                  <w:marBottom w:val="0"/>
                  <w:divBdr>
                    <w:top w:val="none" w:sz="0" w:space="0" w:color="auto"/>
                    <w:left w:val="none" w:sz="0" w:space="0" w:color="auto"/>
                    <w:bottom w:val="none" w:sz="0" w:space="0" w:color="auto"/>
                    <w:right w:val="none" w:sz="0" w:space="0" w:color="auto"/>
                  </w:divBdr>
                  <w:divsChild>
                    <w:div w:id="2092502941">
                      <w:marLeft w:val="0"/>
                      <w:marRight w:val="5604"/>
                      <w:marTop w:val="0"/>
                      <w:marBottom w:val="0"/>
                      <w:divBdr>
                        <w:top w:val="none" w:sz="0" w:space="0" w:color="auto"/>
                        <w:left w:val="none" w:sz="0" w:space="0" w:color="auto"/>
                        <w:bottom w:val="none" w:sz="0" w:space="0" w:color="auto"/>
                        <w:right w:val="none" w:sz="0" w:space="0" w:color="auto"/>
                      </w:divBdr>
                      <w:divsChild>
                        <w:div w:id="2042432362">
                          <w:marLeft w:val="0"/>
                          <w:marRight w:val="0"/>
                          <w:marTop w:val="0"/>
                          <w:marBottom w:val="0"/>
                          <w:divBdr>
                            <w:top w:val="none" w:sz="0" w:space="0" w:color="auto"/>
                            <w:left w:val="none" w:sz="0" w:space="0" w:color="auto"/>
                            <w:bottom w:val="none" w:sz="0" w:space="0" w:color="auto"/>
                            <w:right w:val="none" w:sz="0" w:space="0" w:color="auto"/>
                          </w:divBdr>
                          <w:divsChild>
                            <w:div w:id="1061060570">
                              <w:marLeft w:val="0"/>
                              <w:marRight w:val="0"/>
                              <w:marTop w:val="12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7540441">
      <w:bodyDiv w:val="1"/>
      <w:marLeft w:val="0"/>
      <w:marRight w:val="0"/>
      <w:marTop w:val="0"/>
      <w:marBottom w:val="0"/>
      <w:divBdr>
        <w:top w:val="none" w:sz="0" w:space="0" w:color="auto"/>
        <w:left w:val="none" w:sz="0" w:space="0" w:color="auto"/>
        <w:bottom w:val="none" w:sz="0" w:space="0" w:color="auto"/>
        <w:right w:val="none" w:sz="0" w:space="0" w:color="auto"/>
      </w:divBdr>
      <w:divsChild>
        <w:div w:id="857353670">
          <w:marLeft w:val="0"/>
          <w:marRight w:val="0"/>
          <w:marTop w:val="0"/>
          <w:marBottom w:val="0"/>
          <w:divBdr>
            <w:top w:val="none" w:sz="0" w:space="0" w:color="auto"/>
            <w:left w:val="none" w:sz="0" w:space="0" w:color="auto"/>
            <w:bottom w:val="none" w:sz="0" w:space="0" w:color="auto"/>
            <w:right w:val="none" w:sz="0" w:space="0" w:color="auto"/>
          </w:divBdr>
          <w:divsChild>
            <w:div w:id="1196432561">
              <w:marLeft w:val="0"/>
              <w:marRight w:val="0"/>
              <w:marTop w:val="0"/>
              <w:marBottom w:val="0"/>
              <w:divBdr>
                <w:top w:val="none" w:sz="0" w:space="0" w:color="auto"/>
                <w:left w:val="none" w:sz="0" w:space="0" w:color="auto"/>
                <w:bottom w:val="none" w:sz="0" w:space="0" w:color="auto"/>
                <w:right w:val="none" w:sz="0" w:space="0" w:color="auto"/>
              </w:divBdr>
              <w:divsChild>
                <w:div w:id="943415401">
                  <w:marLeft w:val="0"/>
                  <w:marRight w:val="-6084"/>
                  <w:marTop w:val="0"/>
                  <w:marBottom w:val="0"/>
                  <w:divBdr>
                    <w:top w:val="none" w:sz="0" w:space="0" w:color="auto"/>
                    <w:left w:val="none" w:sz="0" w:space="0" w:color="auto"/>
                    <w:bottom w:val="none" w:sz="0" w:space="0" w:color="auto"/>
                    <w:right w:val="none" w:sz="0" w:space="0" w:color="auto"/>
                  </w:divBdr>
                  <w:divsChild>
                    <w:div w:id="1859541356">
                      <w:marLeft w:val="0"/>
                      <w:marRight w:val="5604"/>
                      <w:marTop w:val="0"/>
                      <w:marBottom w:val="0"/>
                      <w:divBdr>
                        <w:top w:val="none" w:sz="0" w:space="0" w:color="auto"/>
                        <w:left w:val="none" w:sz="0" w:space="0" w:color="auto"/>
                        <w:bottom w:val="none" w:sz="0" w:space="0" w:color="auto"/>
                        <w:right w:val="none" w:sz="0" w:space="0" w:color="auto"/>
                      </w:divBdr>
                      <w:divsChild>
                        <w:div w:id="1988050678">
                          <w:marLeft w:val="0"/>
                          <w:marRight w:val="0"/>
                          <w:marTop w:val="0"/>
                          <w:marBottom w:val="0"/>
                          <w:divBdr>
                            <w:top w:val="none" w:sz="0" w:space="0" w:color="auto"/>
                            <w:left w:val="none" w:sz="0" w:space="0" w:color="auto"/>
                            <w:bottom w:val="none" w:sz="0" w:space="0" w:color="auto"/>
                            <w:right w:val="none" w:sz="0" w:space="0" w:color="auto"/>
                          </w:divBdr>
                          <w:divsChild>
                            <w:div w:id="1618488356">
                              <w:marLeft w:val="0"/>
                              <w:marRight w:val="0"/>
                              <w:marTop w:val="12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4549663">
      <w:bodyDiv w:val="1"/>
      <w:marLeft w:val="0"/>
      <w:marRight w:val="0"/>
      <w:marTop w:val="0"/>
      <w:marBottom w:val="0"/>
      <w:divBdr>
        <w:top w:val="none" w:sz="0" w:space="0" w:color="auto"/>
        <w:left w:val="none" w:sz="0" w:space="0" w:color="auto"/>
        <w:bottom w:val="none" w:sz="0" w:space="0" w:color="auto"/>
        <w:right w:val="none" w:sz="0" w:space="0" w:color="auto"/>
      </w:divBdr>
      <w:divsChild>
        <w:div w:id="1375232341">
          <w:marLeft w:val="0"/>
          <w:marRight w:val="0"/>
          <w:marTop w:val="0"/>
          <w:marBottom w:val="0"/>
          <w:divBdr>
            <w:top w:val="none" w:sz="0" w:space="0" w:color="auto"/>
            <w:left w:val="none" w:sz="0" w:space="0" w:color="auto"/>
            <w:bottom w:val="none" w:sz="0" w:space="0" w:color="auto"/>
            <w:right w:val="none" w:sz="0" w:space="0" w:color="auto"/>
          </w:divBdr>
          <w:divsChild>
            <w:div w:id="610019126">
              <w:marLeft w:val="0"/>
              <w:marRight w:val="0"/>
              <w:marTop w:val="0"/>
              <w:marBottom w:val="0"/>
              <w:divBdr>
                <w:top w:val="none" w:sz="0" w:space="0" w:color="auto"/>
                <w:left w:val="none" w:sz="0" w:space="0" w:color="auto"/>
                <w:bottom w:val="none" w:sz="0" w:space="0" w:color="auto"/>
                <w:right w:val="none" w:sz="0" w:space="0" w:color="auto"/>
              </w:divBdr>
              <w:divsChild>
                <w:div w:id="1820341119">
                  <w:marLeft w:val="0"/>
                  <w:marRight w:val="-6084"/>
                  <w:marTop w:val="0"/>
                  <w:marBottom w:val="0"/>
                  <w:divBdr>
                    <w:top w:val="none" w:sz="0" w:space="0" w:color="auto"/>
                    <w:left w:val="none" w:sz="0" w:space="0" w:color="auto"/>
                    <w:bottom w:val="none" w:sz="0" w:space="0" w:color="auto"/>
                    <w:right w:val="none" w:sz="0" w:space="0" w:color="auto"/>
                  </w:divBdr>
                  <w:divsChild>
                    <w:div w:id="967474925">
                      <w:marLeft w:val="0"/>
                      <w:marRight w:val="5604"/>
                      <w:marTop w:val="0"/>
                      <w:marBottom w:val="0"/>
                      <w:divBdr>
                        <w:top w:val="none" w:sz="0" w:space="0" w:color="auto"/>
                        <w:left w:val="none" w:sz="0" w:space="0" w:color="auto"/>
                        <w:bottom w:val="none" w:sz="0" w:space="0" w:color="auto"/>
                        <w:right w:val="none" w:sz="0" w:space="0" w:color="auto"/>
                      </w:divBdr>
                      <w:divsChild>
                        <w:div w:id="396174010">
                          <w:marLeft w:val="0"/>
                          <w:marRight w:val="0"/>
                          <w:marTop w:val="0"/>
                          <w:marBottom w:val="0"/>
                          <w:divBdr>
                            <w:top w:val="none" w:sz="0" w:space="0" w:color="auto"/>
                            <w:left w:val="none" w:sz="0" w:space="0" w:color="auto"/>
                            <w:bottom w:val="none" w:sz="0" w:space="0" w:color="auto"/>
                            <w:right w:val="none" w:sz="0" w:space="0" w:color="auto"/>
                          </w:divBdr>
                          <w:divsChild>
                            <w:div w:id="1927641584">
                              <w:marLeft w:val="0"/>
                              <w:marRight w:val="0"/>
                              <w:marTop w:val="12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9717335">
      <w:bodyDiv w:val="1"/>
      <w:marLeft w:val="0"/>
      <w:marRight w:val="0"/>
      <w:marTop w:val="0"/>
      <w:marBottom w:val="0"/>
      <w:divBdr>
        <w:top w:val="none" w:sz="0" w:space="0" w:color="auto"/>
        <w:left w:val="none" w:sz="0" w:space="0" w:color="auto"/>
        <w:bottom w:val="none" w:sz="0" w:space="0" w:color="auto"/>
        <w:right w:val="none" w:sz="0" w:space="0" w:color="auto"/>
      </w:divBdr>
      <w:divsChild>
        <w:div w:id="1075080781">
          <w:marLeft w:val="0"/>
          <w:marRight w:val="0"/>
          <w:marTop w:val="0"/>
          <w:marBottom w:val="0"/>
          <w:divBdr>
            <w:top w:val="none" w:sz="0" w:space="0" w:color="auto"/>
            <w:left w:val="none" w:sz="0" w:space="0" w:color="auto"/>
            <w:bottom w:val="none" w:sz="0" w:space="0" w:color="auto"/>
            <w:right w:val="none" w:sz="0" w:space="0" w:color="auto"/>
          </w:divBdr>
          <w:divsChild>
            <w:div w:id="1515340009">
              <w:marLeft w:val="0"/>
              <w:marRight w:val="0"/>
              <w:marTop w:val="0"/>
              <w:marBottom w:val="0"/>
              <w:divBdr>
                <w:top w:val="none" w:sz="0" w:space="0" w:color="auto"/>
                <w:left w:val="none" w:sz="0" w:space="0" w:color="auto"/>
                <w:bottom w:val="none" w:sz="0" w:space="0" w:color="auto"/>
                <w:right w:val="none" w:sz="0" w:space="0" w:color="auto"/>
              </w:divBdr>
              <w:divsChild>
                <w:div w:id="754012755">
                  <w:marLeft w:val="0"/>
                  <w:marRight w:val="-6084"/>
                  <w:marTop w:val="0"/>
                  <w:marBottom w:val="0"/>
                  <w:divBdr>
                    <w:top w:val="none" w:sz="0" w:space="0" w:color="auto"/>
                    <w:left w:val="none" w:sz="0" w:space="0" w:color="auto"/>
                    <w:bottom w:val="none" w:sz="0" w:space="0" w:color="auto"/>
                    <w:right w:val="none" w:sz="0" w:space="0" w:color="auto"/>
                  </w:divBdr>
                  <w:divsChild>
                    <w:div w:id="176428708">
                      <w:marLeft w:val="0"/>
                      <w:marRight w:val="5604"/>
                      <w:marTop w:val="0"/>
                      <w:marBottom w:val="0"/>
                      <w:divBdr>
                        <w:top w:val="none" w:sz="0" w:space="0" w:color="auto"/>
                        <w:left w:val="none" w:sz="0" w:space="0" w:color="auto"/>
                        <w:bottom w:val="none" w:sz="0" w:space="0" w:color="auto"/>
                        <w:right w:val="none" w:sz="0" w:space="0" w:color="auto"/>
                      </w:divBdr>
                      <w:divsChild>
                        <w:div w:id="1566572688">
                          <w:marLeft w:val="0"/>
                          <w:marRight w:val="0"/>
                          <w:marTop w:val="0"/>
                          <w:marBottom w:val="0"/>
                          <w:divBdr>
                            <w:top w:val="none" w:sz="0" w:space="0" w:color="auto"/>
                            <w:left w:val="none" w:sz="0" w:space="0" w:color="auto"/>
                            <w:bottom w:val="none" w:sz="0" w:space="0" w:color="auto"/>
                            <w:right w:val="none" w:sz="0" w:space="0" w:color="auto"/>
                          </w:divBdr>
                          <w:divsChild>
                            <w:div w:id="1340112680">
                              <w:marLeft w:val="0"/>
                              <w:marRight w:val="0"/>
                              <w:marTop w:val="12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2700772">
      <w:bodyDiv w:val="1"/>
      <w:marLeft w:val="0"/>
      <w:marRight w:val="0"/>
      <w:marTop w:val="0"/>
      <w:marBottom w:val="0"/>
      <w:divBdr>
        <w:top w:val="none" w:sz="0" w:space="0" w:color="auto"/>
        <w:left w:val="none" w:sz="0" w:space="0" w:color="auto"/>
        <w:bottom w:val="none" w:sz="0" w:space="0" w:color="auto"/>
        <w:right w:val="none" w:sz="0" w:space="0" w:color="auto"/>
      </w:divBdr>
    </w:div>
    <w:div w:id="875462072">
      <w:bodyDiv w:val="1"/>
      <w:marLeft w:val="0"/>
      <w:marRight w:val="0"/>
      <w:marTop w:val="0"/>
      <w:marBottom w:val="0"/>
      <w:divBdr>
        <w:top w:val="none" w:sz="0" w:space="0" w:color="auto"/>
        <w:left w:val="none" w:sz="0" w:space="0" w:color="auto"/>
        <w:bottom w:val="none" w:sz="0" w:space="0" w:color="auto"/>
        <w:right w:val="none" w:sz="0" w:space="0" w:color="auto"/>
      </w:divBdr>
      <w:divsChild>
        <w:div w:id="257324669">
          <w:marLeft w:val="0"/>
          <w:marRight w:val="0"/>
          <w:marTop w:val="0"/>
          <w:marBottom w:val="0"/>
          <w:divBdr>
            <w:top w:val="none" w:sz="0" w:space="0" w:color="auto"/>
            <w:left w:val="none" w:sz="0" w:space="0" w:color="auto"/>
            <w:bottom w:val="none" w:sz="0" w:space="0" w:color="auto"/>
            <w:right w:val="none" w:sz="0" w:space="0" w:color="auto"/>
          </w:divBdr>
          <w:divsChild>
            <w:div w:id="1811946094">
              <w:marLeft w:val="0"/>
              <w:marRight w:val="0"/>
              <w:marTop w:val="0"/>
              <w:marBottom w:val="0"/>
              <w:divBdr>
                <w:top w:val="none" w:sz="0" w:space="0" w:color="auto"/>
                <w:left w:val="none" w:sz="0" w:space="0" w:color="auto"/>
                <w:bottom w:val="none" w:sz="0" w:space="0" w:color="auto"/>
                <w:right w:val="none" w:sz="0" w:space="0" w:color="auto"/>
              </w:divBdr>
              <w:divsChild>
                <w:div w:id="538471638">
                  <w:marLeft w:val="0"/>
                  <w:marRight w:val="0"/>
                  <w:marTop w:val="0"/>
                  <w:marBottom w:val="0"/>
                  <w:divBdr>
                    <w:top w:val="none" w:sz="0" w:space="0" w:color="auto"/>
                    <w:left w:val="none" w:sz="0" w:space="0" w:color="auto"/>
                    <w:bottom w:val="none" w:sz="0" w:space="0" w:color="auto"/>
                    <w:right w:val="none" w:sz="0" w:space="0" w:color="auto"/>
                  </w:divBdr>
                  <w:divsChild>
                    <w:div w:id="1374579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6594690">
      <w:bodyDiv w:val="1"/>
      <w:marLeft w:val="0"/>
      <w:marRight w:val="0"/>
      <w:marTop w:val="0"/>
      <w:marBottom w:val="0"/>
      <w:divBdr>
        <w:top w:val="none" w:sz="0" w:space="0" w:color="auto"/>
        <w:left w:val="none" w:sz="0" w:space="0" w:color="auto"/>
        <w:bottom w:val="none" w:sz="0" w:space="0" w:color="auto"/>
        <w:right w:val="none" w:sz="0" w:space="0" w:color="auto"/>
      </w:divBdr>
    </w:div>
    <w:div w:id="1082751674">
      <w:bodyDiv w:val="1"/>
      <w:marLeft w:val="0"/>
      <w:marRight w:val="0"/>
      <w:marTop w:val="0"/>
      <w:marBottom w:val="0"/>
      <w:divBdr>
        <w:top w:val="none" w:sz="0" w:space="0" w:color="auto"/>
        <w:left w:val="none" w:sz="0" w:space="0" w:color="auto"/>
        <w:bottom w:val="none" w:sz="0" w:space="0" w:color="auto"/>
        <w:right w:val="none" w:sz="0" w:space="0" w:color="auto"/>
      </w:divBdr>
      <w:divsChild>
        <w:div w:id="45884520">
          <w:marLeft w:val="0"/>
          <w:marRight w:val="0"/>
          <w:marTop w:val="0"/>
          <w:marBottom w:val="0"/>
          <w:divBdr>
            <w:top w:val="none" w:sz="0" w:space="0" w:color="auto"/>
            <w:left w:val="none" w:sz="0" w:space="0" w:color="auto"/>
            <w:bottom w:val="none" w:sz="0" w:space="0" w:color="auto"/>
            <w:right w:val="none" w:sz="0" w:space="0" w:color="auto"/>
          </w:divBdr>
          <w:divsChild>
            <w:div w:id="384064321">
              <w:marLeft w:val="0"/>
              <w:marRight w:val="0"/>
              <w:marTop w:val="0"/>
              <w:marBottom w:val="0"/>
              <w:divBdr>
                <w:top w:val="none" w:sz="0" w:space="0" w:color="auto"/>
                <w:left w:val="none" w:sz="0" w:space="0" w:color="auto"/>
                <w:bottom w:val="none" w:sz="0" w:space="0" w:color="auto"/>
                <w:right w:val="none" w:sz="0" w:space="0" w:color="auto"/>
              </w:divBdr>
              <w:divsChild>
                <w:div w:id="1192954724">
                  <w:marLeft w:val="0"/>
                  <w:marRight w:val="-6084"/>
                  <w:marTop w:val="0"/>
                  <w:marBottom w:val="0"/>
                  <w:divBdr>
                    <w:top w:val="none" w:sz="0" w:space="0" w:color="auto"/>
                    <w:left w:val="none" w:sz="0" w:space="0" w:color="auto"/>
                    <w:bottom w:val="none" w:sz="0" w:space="0" w:color="auto"/>
                    <w:right w:val="none" w:sz="0" w:space="0" w:color="auto"/>
                  </w:divBdr>
                  <w:divsChild>
                    <w:div w:id="1569998795">
                      <w:marLeft w:val="0"/>
                      <w:marRight w:val="5604"/>
                      <w:marTop w:val="0"/>
                      <w:marBottom w:val="0"/>
                      <w:divBdr>
                        <w:top w:val="none" w:sz="0" w:space="0" w:color="auto"/>
                        <w:left w:val="none" w:sz="0" w:space="0" w:color="auto"/>
                        <w:bottom w:val="none" w:sz="0" w:space="0" w:color="auto"/>
                        <w:right w:val="none" w:sz="0" w:space="0" w:color="auto"/>
                      </w:divBdr>
                      <w:divsChild>
                        <w:div w:id="1554922623">
                          <w:marLeft w:val="0"/>
                          <w:marRight w:val="0"/>
                          <w:marTop w:val="0"/>
                          <w:marBottom w:val="0"/>
                          <w:divBdr>
                            <w:top w:val="none" w:sz="0" w:space="0" w:color="auto"/>
                            <w:left w:val="none" w:sz="0" w:space="0" w:color="auto"/>
                            <w:bottom w:val="none" w:sz="0" w:space="0" w:color="auto"/>
                            <w:right w:val="none" w:sz="0" w:space="0" w:color="auto"/>
                          </w:divBdr>
                          <w:divsChild>
                            <w:div w:id="1803306061">
                              <w:marLeft w:val="0"/>
                              <w:marRight w:val="0"/>
                              <w:marTop w:val="12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4276640">
      <w:bodyDiv w:val="1"/>
      <w:marLeft w:val="0"/>
      <w:marRight w:val="0"/>
      <w:marTop w:val="0"/>
      <w:marBottom w:val="0"/>
      <w:divBdr>
        <w:top w:val="none" w:sz="0" w:space="0" w:color="auto"/>
        <w:left w:val="none" w:sz="0" w:space="0" w:color="auto"/>
        <w:bottom w:val="none" w:sz="0" w:space="0" w:color="auto"/>
        <w:right w:val="none" w:sz="0" w:space="0" w:color="auto"/>
      </w:divBdr>
      <w:divsChild>
        <w:div w:id="1640500300">
          <w:marLeft w:val="0"/>
          <w:marRight w:val="0"/>
          <w:marTop w:val="0"/>
          <w:marBottom w:val="0"/>
          <w:divBdr>
            <w:top w:val="none" w:sz="0" w:space="0" w:color="auto"/>
            <w:left w:val="none" w:sz="0" w:space="0" w:color="auto"/>
            <w:bottom w:val="none" w:sz="0" w:space="0" w:color="auto"/>
            <w:right w:val="none" w:sz="0" w:space="0" w:color="auto"/>
          </w:divBdr>
          <w:divsChild>
            <w:div w:id="97456579">
              <w:marLeft w:val="0"/>
              <w:marRight w:val="0"/>
              <w:marTop w:val="0"/>
              <w:marBottom w:val="0"/>
              <w:divBdr>
                <w:top w:val="none" w:sz="0" w:space="0" w:color="auto"/>
                <w:left w:val="none" w:sz="0" w:space="0" w:color="auto"/>
                <w:bottom w:val="none" w:sz="0" w:space="0" w:color="auto"/>
                <w:right w:val="none" w:sz="0" w:space="0" w:color="auto"/>
              </w:divBdr>
              <w:divsChild>
                <w:div w:id="1433892762">
                  <w:marLeft w:val="0"/>
                  <w:marRight w:val="-6084"/>
                  <w:marTop w:val="0"/>
                  <w:marBottom w:val="0"/>
                  <w:divBdr>
                    <w:top w:val="none" w:sz="0" w:space="0" w:color="auto"/>
                    <w:left w:val="none" w:sz="0" w:space="0" w:color="auto"/>
                    <w:bottom w:val="none" w:sz="0" w:space="0" w:color="auto"/>
                    <w:right w:val="none" w:sz="0" w:space="0" w:color="auto"/>
                  </w:divBdr>
                  <w:divsChild>
                    <w:div w:id="1783572078">
                      <w:marLeft w:val="0"/>
                      <w:marRight w:val="5604"/>
                      <w:marTop w:val="0"/>
                      <w:marBottom w:val="0"/>
                      <w:divBdr>
                        <w:top w:val="none" w:sz="0" w:space="0" w:color="auto"/>
                        <w:left w:val="none" w:sz="0" w:space="0" w:color="auto"/>
                        <w:bottom w:val="none" w:sz="0" w:space="0" w:color="auto"/>
                        <w:right w:val="none" w:sz="0" w:space="0" w:color="auto"/>
                      </w:divBdr>
                      <w:divsChild>
                        <w:div w:id="977298735">
                          <w:marLeft w:val="0"/>
                          <w:marRight w:val="0"/>
                          <w:marTop w:val="0"/>
                          <w:marBottom w:val="0"/>
                          <w:divBdr>
                            <w:top w:val="none" w:sz="0" w:space="0" w:color="auto"/>
                            <w:left w:val="none" w:sz="0" w:space="0" w:color="auto"/>
                            <w:bottom w:val="none" w:sz="0" w:space="0" w:color="auto"/>
                            <w:right w:val="none" w:sz="0" w:space="0" w:color="auto"/>
                          </w:divBdr>
                          <w:divsChild>
                            <w:div w:id="1443770670">
                              <w:marLeft w:val="0"/>
                              <w:marRight w:val="0"/>
                              <w:marTop w:val="12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0215911">
      <w:bodyDiv w:val="1"/>
      <w:marLeft w:val="0"/>
      <w:marRight w:val="0"/>
      <w:marTop w:val="0"/>
      <w:marBottom w:val="0"/>
      <w:divBdr>
        <w:top w:val="none" w:sz="0" w:space="0" w:color="auto"/>
        <w:left w:val="none" w:sz="0" w:space="0" w:color="auto"/>
        <w:bottom w:val="none" w:sz="0" w:space="0" w:color="auto"/>
        <w:right w:val="none" w:sz="0" w:space="0" w:color="auto"/>
      </w:divBdr>
      <w:divsChild>
        <w:div w:id="1916433942">
          <w:marLeft w:val="0"/>
          <w:marRight w:val="0"/>
          <w:marTop w:val="0"/>
          <w:marBottom w:val="0"/>
          <w:divBdr>
            <w:top w:val="none" w:sz="0" w:space="0" w:color="auto"/>
            <w:left w:val="none" w:sz="0" w:space="0" w:color="auto"/>
            <w:bottom w:val="none" w:sz="0" w:space="0" w:color="auto"/>
            <w:right w:val="none" w:sz="0" w:space="0" w:color="auto"/>
          </w:divBdr>
          <w:divsChild>
            <w:div w:id="1116407985">
              <w:marLeft w:val="0"/>
              <w:marRight w:val="0"/>
              <w:marTop w:val="0"/>
              <w:marBottom w:val="0"/>
              <w:divBdr>
                <w:top w:val="none" w:sz="0" w:space="0" w:color="auto"/>
                <w:left w:val="none" w:sz="0" w:space="0" w:color="auto"/>
                <w:bottom w:val="none" w:sz="0" w:space="0" w:color="auto"/>
                <w:right w:val="none" w:sz="0" w:space="0" w:color="auto"/>
              </w:divBdr>
              <w:divsChild>
                <w:div w:id="406807724">
                  <w:marLeft w:val="0"/>
                  <w:marRight w:val="-6084"/>
                  <w:marTop w:val="0"/>
                  <w:marBottom w:val="0"/>
                  <w:divBdr>
                    <w:top w:val="none" w:sz="0" w:space="0" w:color="auto"/>
                    <w:left w:val="none" w:sz="0" w:space="0" w:color="auto"/>
                    <w:bottom w:val="none" w:sz="0" w:space="0" w:color="auto"/>
                    <w:right w:val="none" w:sz="0" w:space="0" w:color="auto"/>
                  </w:divBdr>
                  <w:divsChild>
                    <w:div w:id="1849053584">
                      <w:marLeft w:val="0"/>
                      <w:marRight w:val="5604"/>
                      <w:marTop w:val="0"/>
                      <w:marBottom w:val="0"/>
                      <w:divBdr>
                        <w:top w:val="none" w:sz="0" w:space="0" w:color="auto"/>
                        <w:left w:val="none" w:sz="0" w:space="0" w:color="auto"/>
                        <w:bottom w:val="none" w:sz="0" w:space="0" w:color="auto"/>
                        <w:right w:val="none" w:sz="0" w:space="0" w:color="auto"/>
                      </w:divBdr>
                      <w:divsChild>
                        <w:div w:id="580678557">
                          <w:marLeft w:val="0"/>
                          <w:marRight w:val="0"/>
                          <w:marTop w:val="0"/>
                          <w:marBottom w:val="0"/>
                          <w:divBdr>
                            <w:top w:val="none" w:sz="0" w:space="0" w:color="auto"/>
                            <w:left w:val="none" w:sz="0" w:space="0" w:color="auto"/>
                            <w:bottom w:val="none" w:sz="0" w:space="0" w:color="auto"/>
                            <w:right w:val="none" w:sz="0" w:space="0" w:color="auto"/>
                          </w:divBdr>
                          <w:divsChild>
                            <w:div w:id="162746157">
                              <w:marLeft w:val="0"/>
                              <w:marRight w:val="0"/>
                              <w:marTop w:val="12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1870072">
      <w:bodyDiv w:val="1"/>
      <w:marLeft w:val="0"/>
      <w:marRight w:val="0"/>
      <w:marTop w:val="0"/>
      <w:marBottom w:val="0"/>
      <w:divBdr>
        <w:top w:val="none" w:sz="0" w:space="0" w:color="auto"/>
        <w:left w:val="none" w:sz="0" w:space="0" w:color="auto"/>
        <w:bottom w:val="none" w:sz="0" w:space="0" w:color="auto"/>
        <w:right w:val="none" w:sz="0" w:space="0" w:color="auto"/>
      </w:divBdr>
    </w:div>
    <w:div w:id="1373187267">
      <w:bodyDiv w:val="1"/>
      <w:marLeft w:val="0"/>
      <w:marRight w:val="0"/>
      <w:marTop w:val="0"/>
      <w:marBottom w:val="0"/>
      <w:divBdr>
        <w:top w:val="none" w:sz="0" w:space="0" w:color="auto"/>
        <w:left w:val="none" w:sz="0" w:space="0" w:color="auto"/>
        <w:bottom w:val="none" w:sz="0" w:space="0" w:color="auto"/>
        <w:right w:val="none" w:sz="0" w:space="0" w:color="auto"/>
      </w:divBdr>
    </w:div>
    <w:div w:id="1561556121">
      <w:bodyDiv w:val="1"/>
      <w:marLeft w:val="0"/>
      <w:marRight w:val="0"/>
      <w:marTop w:val="0"/>
      <w:marBottom w:val="0"/>
      <w:divBdr>
        <w:top w:val="none" w:sz="0" w:space="0" w:color="auto"/>
        <w:left w:val="none" w:sz="0" w:space="0" w:color="auto"/>
        <w:bottom w:val="none" w:sz="0" w:space="0" w:color="auto"/>
        <w:right w:val="none" w:sz="0" w:space="0" w:color="auto"/>
      </w:divBdr>
      <w:divsChild>
        <w:div w:id="398479518">
          <w:marLeft w:val="0"/>
          <w:marRight w:val="0"/>
          <w:marTop w:val="0"/>
          <w:marBottom w:val="0"/>
          <w:divBdr>
            <w:top w:val="none" w:sz="0" w:space="0" w:color="auto"/>
            <w:left w:val="none" w:sz="0" w:space="0" w:color="auto"/>
            <w:bottom w:val="none" w:sz="0" w:space="0" w:color="auto"/>
            <w:right w:val="none" w:sz="0" w:space="0" w:color="auto"/>
          </w:divBdr>
        </w:div>
      </w:divsChild>
    </w:div>
    <w:div w:id="1760786447">
      <w:bodyDiv w:val="1"/>
      <w:marLeft w:val="0"/>
      <w:marRight w:val="0"/>
      <w:marTop w:val="0"/>
      <w:marBottom w:val="0"/>
      <w:divBdr>
        <w:top w:val="none" w:sz="0" w:space="0" w:color="auto"/>
        <w:left w:val="none" w:sz="0" w:space="0" w:color="auto"/>
        <w:bottom w:val="none" w:sz="0" w:space="0" w:color="auto"/>
        <w:right w:val="none" w:sz="0" w:space="0" w:color="auto"/>
      </w:divBdr>
    </w:div>
    <w:div w:id="1894390461">
      <w:bodyDiv w:val="1"/>
      <w:marLeft w:val="0"/>
      <w:marRight w:val="0"/>
      <w:marTop w:val="0"/>
      <w:marBottom w:val="0"/>
      <w:divBdr>
        <w:top w:val="none" w:sz="0" w:space="0" w:color="auto"/>
        <w:left w:val="none" w:sz="0" w:space="0" w:color="auto"/>
        <w:bottom w:val="none" w:sz="0" w:space="0" w:color="auto"/>
        <w:right w:val="none" w:sz="0" w:space="0" w:color="auto"/>
      </w:divBdr>
    </w:div>
    <w:div w:id="1958370953">
      <w:bodyDiv w:val="1"/>
      <w:marLeft w:val="0"/>
      <w:marRight w:val="0"/>
      <w:marTop w:val="0"/>
      <w:marBottom w:val="0"/>
      <w:divBdr>
        <w:top w:val="none" w:sz="0" w:space="0" w:color="auto"/>
        <w:left w:val="none" w:sz="0" w:space="0" w:color="auto"/>
        <w:bottom w:val="none" w:sz="0" w:space="0" w:color="auto"/>
        <w:right w:val="none" w:sz="0" w:space="0" w:color="auto"/>
      </w:divBdr>
      <w:divsChild>
        <w:div w:id="1500385958">
          <w:marLeft w:val="0"/>
          <w:marRight w:val="0"/>
          <w:marTop w:val="0"/>
          <w:marBottom w:val="0"/>
          <w:divBdr>
            <w:top w:val="none" w:sz="0" w:space="0" w:color="auto"/>
            <w:left w:val="none" w:sz="0" w:space="0" w:color="auto"/>
            <w:bottom w:val="none" w:sz="0" w:space="0" w:color="auto"/>
            <w:right w:val="none" w:sz="0" w:space="0" w:color="auto"/>
          </w:divBdr>
          <w:divsChild>
            <w:div w:id="649746744">
              <w:marLeft w:val="0"/>
              <w:marRight w:val="0"/>
              <w:marTop w:val="0"/>
              <w:marBottom w:val="0"/>
              <w:divBdr>
                <w:top w:val="none" w:sz="0" w:space="0" w:color="auto"/>
                <w:left w:val="none" w:sz="0" w:space="0" w:color="auto"/>
                <w:bottom w:val="none" w:sz="0" w:space="0" w:color="auto"/>
                <w:right w:val="none" w:sz="0" w:space="0" w:color="auto"/>
              </w:divBdr>
              <w:divsChild>
                <w:div w:id="213394565">
                  <w:marLeft w:val="0"/>
                  <w:marRight w:val="-6084"/>
                  <w:marTop w:val="0"/>
                  <w:marBottom w:val="0"/>
                  <w:divBdr>
                    <w:top w:val="none" w:sz="0" w:space="0" w:color="auto"/>
                    <w:left w:val="none" w:sz="0" w:space="0" w:color="auto"/>
                    <w:bottom w:val="none" w:sz="0" w:space="0" w:color="auto"/>
                    <w:right w:val="none" w:sz="0" w:space="0" w:color="auto"/>
                  </w:divBdr>
                  <w:divsChild>
                    <w:div w:id="99032904">
                      <w:marLeft w:val="0"/>
                      <w:marRight w:val="5604"/>
                      <w:marTop w:val="0"/>
                      <w:marBottom w:val="0"/>
                      <w:divBdr>
                        <w:top w:val="none" w:sz="0" w:space="0" w:color="auto"/>
                        <w:left w:val="none" w:sz="0" w:space="0" w:color="auto"/>
                        <w:bottom w:val="none" w:sz="0" w:space="0" w:color="auto"/>
                        <w:right w:val="none" w:sz="0" w:space="0" w:color="auto"/>
                      </w:divBdr>
                      <w:divsChild>
                        <w:div w:id="284434411">
                          <w:marLeft w:val="0"/>
                          <w:marRight w:val="0"/>
                          <w:marTop w:val="0"/>
                          <w:marBottom w:val="0"/>
                          <w:divBdr>
                            <w:top w:val="none" w:sz="0" w:space="0" w:color="auto"/>
                            <w:left w:val="none" w:sz="0" w:space="0" w:color="auto"/>
                            <w:bottom w:val="none" w:sz="0" w:space="0" w:color="auto"/>
                            <w:right w:val="none" w:sz="0" w:space="0" w:color="auto"/>
                          </w:divBdr>
                          <w:divsChild>
                            <w:div w:id="1985621122">
                              <w:marLeft w:val="0"/>
                              <w:marRight w:val="0"/>
                              <w:marTop w:val="12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6288907">
      <w:bodyDiv w:val="1"/>
      <w:marLeft w:val="0"/>
      <w:marRight w:val="0"/>
      <w:marTop w:val="0"/>
      <w:marBottom w:val="0"/>
      <w:divBdr>
        <w:top w:val="none" w:sz="0" w:space="0" w:color="auto"/>
        <w:left w:val="none" w:sz="0" w:space="0" w:color="auto"/>
        <w:bottom w:val="none" w:sz="0" w:space="0" w:color="auto"/>
        <w:right w:val="none" w:sz="0" w:space="0" w:color="auto"/>
      </w:divBdr>
      <w:divsChild>
        <w:div w:id="1710374940">
          <w:marLeft w:val="0"/>
          <w:marRight w:val="0"/>
          <w:marTop w:val="0"/>
          <w:marBottom w:val="0"/>
          <w:divBdr>
            <w:top w:val="none" w:sz="0" w:space="0" w:color="auto"/>
            <w:left w:val="none" w:sz="0" w:space="0" w:color="auto"/>
            <w:bottom w:val="none" w:sz="0" w:space="0" w:color="auto"/>
            <w:right w:val="none" w:sz="0" w:space="0" w:color="auto"/>
          </w:divBdr>
          <w:divsChild>
            <w:div w:id="1360164892">
              <w:marLeft w:val="0"/>
              <w:marRight w:val="0"/>
              <w:marTop w:val="0"/>
              <w:marBottom w:val="0"/>
              <w:divBdr>
                <w:top w:val="none" w:sz="0" w:space="0" w:color="auto"/>
                <w:left w:val="none" w:sz="0" w:space="0" w:color="auto"/>
                <w:bottom w:val="none" w:sz="0" w:space="0" w:color="auto"/>
                <w:right w:val="none" w:sz="0" w:space="0" w:color="auto"/>
              </w:divBdr>
              <w:divsChild>
                <w:div w:id="1193228014">
                  <w:marLeft w:val="0"/>
                  <w:marRight w:val="-6084"/>
                  <w:marTop w:val="0"/>
                  <w:marBottom w:val="0"/>
                  <w:divBdr>
                    <w:top w:val="none" w:sz="0" w:space="0" w:color="auto"/>
                    <w:left w:val="none" w:sz="0" w:space="0" w:color="auto"/>
                    <w:bottom w:val="none" w:sz="0" w:space="0" w:color="auto"/>
                    <w:right w:val="none" w:sz="0" w:space="0" w:color="auto"/>
                  </w:divBdr>
                  <w:divsChild>
                    <w:div w:id="174539799">
                      <w:marLeft w:val="0"/>
                      <w:marRight w:val="5604"/>
                      <w:marTop w:val="0"/>
                      <w:marBottom w:val="0"/>
                      <w:divBdr>
                        <w:top w:val="none" w:sz="0" w:space="0" w:color="auto"/>
                        <w:left w:val="none" w:sz="0" w:space="0" w:color="auto"/>
                        <w:bottom w:val="none" w:sz="0" w:space="0" w:color="auto"/>
                        <w:right w:val="none" w:sz="0" w:space="0" w:color="auto"/>
                      </w:divBdr>
                      <w:divsChild>
                        <w:div w:id="950622071">
                          <w:marLeft w:val="0"/>
                          <w:marRight w:val="0"/>
                          <w:marTop w:val="0"/>
                          <w:marBottom w:val="0"/>
                          <w:divBdr>
                            <w:top w:val="none" w:sz="0" w:space="0" w:color="auto"/>
                            <w:left w:val="none" w:sz="0" w:space="0" w:color="auto"/>
                            <w:bottom w:val="none" w:sz="0" w:space="0" w:color="auto"/>
                            <w:right w:val="none" w:sz="0" w:space="0" w:color="auto"/>
                          </w:divBdr>
                          <w:divsChild>
                            <w:div w:id="2087265791">
                              <w:marLeft w:val="0"/>
                              <w:marRight w:val="0"/>
                              <w:marTop w:val="12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C5D8FA-A7DA-4A99-B9E6-ED14AF9E24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13108</Words>
  <Characters>74717</Characters>
  <Application>Microsoft Office Word</Application>
  <DocSecurity>0</DocSecurity>
  <Lines>622</Lines>
  <Paragraphs>175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87650</CharactersWithSpaces>
  <SharedDoc>false</SharedDoc>
  <HLinks>
    <vt:vector size="30" baseType="variant">
      <vt:variant>
        <vt:i4>7012415</vt:i4>
      </vt:variant>
      <vt:variant>
        <vt:i4>12</vt:i4>
      </vt:variant>
      <vt:variant>
        <vt:i4>0</vt:i4>
      </vt:variant>
      <vt:variant>
        <vt:i4>5</vt:i4>
      </vt:variant>
      <vt:variant>
        <vt:lpwstr>https://clinicaltrials.gov/ct2/show/NCT01457846</vt:lpwstr>
      </vt:variant>
      <vt:variant>
        <vt:lpwstr/>
      </vt:variant>
      <vt:variant>
        <vt:i4>7209020</vt:i4>
      </vt:variant>
      <vt:variant>
        <vt:i4>9</vt:i4>
      </vt:variant>
      <vt:variant>
        <vt:i4>0</vt:i4>
      </vt:variant>
      <vt:variant>
        <vt:i4>5</vt:i4>
      </vt:variant>
      <vt:variant>
        <vt:lpwstr>https://clinicaltrials.gov/ct2/show/NCT01662869</vt:lpwstr>
      </vt:variant>
      <vt:variant>
        <vt:lpwstr/>
      </vt:variant>
      <vt:variant>
        <vt:i4>6946875</vt:i4>
      </vt:variant>
      <vt:variant>
        <vt:i4>6</vt:i4>
      </vt:variant>
      <vt:variant>
        <vt:i4>0</vt:i4>
      </vt:variant>
      <vt:variant>
        <vt:i4>5</vt:i4>
      </vt:variant>
      <vt:variant>
        <vt:lpwstr>https://clinicaltrials.gov/ct2/show/NCT01697072</vt:lpwstr>
      </vt:variant>
      <vt:variant>
        <vt:lpwstr/>
      </vt:variant>
      <vt:variant>
        <vt:i4>6684734</vt:i4>
      </vt:variant>
      <vt:variant>
        <vt:i4>3</vt:i4>
      </vt:variant>
      <vt:variant>
        <vt:i4>0</vt:i4>
      </vt:variant>
      <vt:variant>
        <vt:i4>5</vt:i4>
      </vt:variant>
      <vt:variant>
        <vt:lpwstr>http://globocan.iarc.fr/old/FactSheets/cancers/stomach-new.asp</vt:lpwstr>
      </vt:variant>
      <vt:variant>
        <vt:lpwstr/>
      </vt:variant>
      <vt:variant>
        <vt:i4>3080202</vt:i4>
      </vt:variant>
      <vt:variant>
        <vt:i4>0</vt:i4>
      </vt:variant>
      <vt:variant>
        <vt:i4>0</vt:i4>
      </vt:variant>
      <vt:variant>
        <vt:i4>5</vt:i4>
      </vt:variant>
      <vt:variant>
        <vt:lpwstr>mailto:stjulandin@mail.ru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Dheepak Kanagavel</dc:creator>
  <cp:keywords/>
  <dc:description/>
  <cp:lastModifiedBy>LS Ma</cp:lastModifiedBy>
  <cp:revision>2</cp:revision>
  <cp:lastPrinted>2015-04-21T13:11:00Z</cp:lastPrinted>
  <dcterms:created xsi:type="dcterms:W3CDTF">2015-09-28T10:06:00Z</dcterms:created>
  <dcterms:modified xsi:type="dcterms:W3CDTF">2015-09-28T10:06:00Z</dcterms:modified>
</cp:coreProperties>
</file>