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ABBDA" w14:textId="77777777" w:rsidR="002A19E7" w:rsidRPr="00472719" w:rsidRDefault="002A19E7" w:rsidP="00472719">
      <w:pPr>
        <w:adjustRightInd w:val="0"/>
        <w:snapToGrid w:val="0"/>
        <w:spacing w:line="360" w:lineRule="auto"/>
        <w:jc w:val="both"/>
        <w:rPr>
          <w:rFonts w:ascii="Book Antiqua" w:hAnsi="Book Antiqua" w:cs="Arial"/>
          <w:b/>
          <w:color w:val="222222"/>
        </w:rPr>
      </w:pPr>
      <w:r w:rsidRPr="00472719">
        <w:rPr>
          <w:rFonts w:ascii="Book Antiqua" w:hAnsi="Book Antiqua" w:cs="Arial"/>
          <w:b/>
          <w:color w:val="222222"/>
        </w:rPr>
        <w:t>Name of journal: World Journal of Gastroenterology</w:t>
      </w:r>
    </w:p>
    <w:p w14:paraId="30E55624" w14:textId="57D2974E" w:rsidR="002A19E7" w:rsidRPr="00472719" w:rsidRDefault="002A19E7" w:rsidP="00472719">
      <w:pPr>
        <w:adjustRightInd w:val="0"/>
        <w:snapToGrid w:val="0"/>
        <w:spacing w:line="360" w:lineRule="auto"/>
        <w:jc w:val="both"/>
        <w:rPr>
          <w:rFonts w:ascii="Book Antiqua" w:hAnsi="Book Antiqua" w:cs="Arial"/>
          <w:b/>
          <w:color w:val="222222"/>
        </w:rPr>
      </w:pPr>
      <w:r w:rsidRPr="00472719">
        <w:rPr>
          <w:rFonts w:ascii="Book Antiqua" w:hAnsi="Book Antiqua" w:cs="Arial"/>
          <w:b/>
          <w:color w:val="222222"/>
        </w:rPr>
        <w:t>ESPS Manuscript NO: 18891</w:t>
      </w:r>
    </w:p>
    <w:p w14:paraId="6926628A" w14:textId="349D0806" w:rsidR="002A19E7" w:rsidRPr="00472719" w:rsidRDefault="008C0BF4" w:rsidP="00472719">
      <w:pPr>
        <w:adjustRightInd w:val="0"/>
        <w:snapToGrid w:val="0"/>
        <w:spacing w:line="360" w:lineRule="auto"/>
        <w:jc w:val="both"/>
        <w:rPr>
          <w:rFonts w:ascii="Book Antiqua" w:hAnsi="Book Antiqua" w:cs="Arial"/>
          <w:b/>
          <w:color w:val="222222"/>
          <w:lang w:eastAsia="zh-CN"/>
        </w:rPr>
      </w:pPr>
      <w:r w:rsidRPr="00472719">
        <w:rPr>
          <w:rFonts w:ascii="Book Antiqua" w:hAnsi="Book Antiqua" w:cs="Arial"/>
          <w:b/>
          <w:color w:val="222222"/>
        </w:rPr>
        <w:t>Manuscript Type</w:t>
      </w:r>
      <w:r w:rsidR="002A19E7" w:rsidRPr="00472719">
        <w:rPr>
          <w:rFonts w:ascii="Book Antiqua" w:hAnsi="Book Antiqua" w:cs="Arial"/>
          <w:b/>
          <w:color w:val="222222"/>
        </w:rPr>
        <w:t xml:space="preserve">: </w:t>
      </w:r>
      <w:r w:rsidR="002A19E7" w:rsidRPr="00472719">
        <w:rPr>
          <w:rFonts w:ascii="Book Antiqua" w:hAnsi="Book Antiqua" w:cs="Arial"/>
          <w:b/>
          <w:caps/>
          <w:color w:val="222222"/>
          <w:lang w:eastAsia="zh-CN"/>
        </w:rPr>
        <w:t>Review</w:t>
      </w:r>
    </w:p>
    <w:p w14:paraId="270FABB1" w14:textId="77777777" w:rsidR="00A14A18" w:rsidRPr="00472719" w:rsidRDefault="00A14A18" w:rsidP="00472719">
      <w:pPr>
        <w:adjustRightInd w:val="0"/>
        <w:snapToGrid w:val="0"/>
        <w:spacing w:line="360" w:lineRule="auto"/>
        <w:jc w:val="both"/>
        <w:rPr>
          <w:rFonts w:ascii="Book Antiqua" w:hAnsi="Book Antiqua"/>
          <w:b/>
        </w:rPr>
      </w:pPr>
    </w:p>
    <w:p w14:paraId="51AEB7A3" w14:textId="34AF22A4" w:rsidR="00FB521F" w:rsidRDefault="0081053F" w:rsidP="00472719">
      <w:pPr>
        <w:adjustRightInd w:val="0"/>
        <w:snapToGrid w:val="0"/>
        <w:spacing w:line="360" w:lineRule="auto"/>
        <w:jc w:val="both"/>
        <w:rPr>
          <w:rFonts w:ascii="Book Antiqua" w:hAnsi="Book Antiqua" w:hint="eastAsia"/>
          <w:b/>
          <w:lang w:eastAsia="zh-CN"/>
        </w:rPr>
      </w:pPr>
      <w:proofErr w:type="spellStart"/>
      <w:r w:rsidRPr="0081053F">
        <w:rPr>
          <w:rFonts w:ascii="Book Antiqua" w:hAnsi="Book Antiqua"/>
          <w:b/>
        </w:rPr>
        <w:t>Endosonography</w:t>
      </w:r>
      <w:proofErr w:type="spellEnd"/>
      <w:r w:rsidRPr="0081053F">
        <w:rPr>
          <w:rFonts w:ascii="Book Antiqua" w:hAnsi="Book Antiqua"/>
          <w:b/>
        </w:rPr>
        <w:t xml:space="preserve"> guided management of pancreatic fluid collections</w:t>
      </w:r>
    </w:p>
    <w:p w14:paraId="3DD0C791" w14:textId="77777777" w:rsidR="0081053F" w:rsidRPr="00472719" w:rsidRDefault="0081053F" w:rsidP="00472719">
      <w:pPr>
        <w:adjustRightInd w:val="0"/>
        <w:snapToGrid w:val="0"/>
        <w:spacing w:line="360" w:lineRule="auto"/>
        <w:jc w:val="both"/>
        <w:rPr>
          <w:rFonts w:ascii="Book Antiqua" w:hAnsi="Book Antiqua" w:hint="eastAsia"/>
          <w:lang w:eastAsia="zh-CN"/>
        </w:rPr>
      </w:pPr>
    </w:p>
    <w:p w14:paraId="36C7D0D1" w14:textId="33473503" w:rsidR="00996106" w:rsidRPr="00472719" w:rsidRDefault="00E2021E" w:rsidP="00472719">
      <w:pPr>
        <w:adjustRightInd w:val="0"/>
        <w:snapToGrid w:val="0"/>
        <w:spacing w:line="360" w:lineRule="auto"/>
        <w:jc w:val="both"/>
        <w:rPr>
          <w:rFonts w:ascii="Book Antiqua" w:hAnsi="Book Antiqua" w:cs="Tahoma"/>
          <w:b/>
          <w:color w:val="231F20"/>
          <w:lang w:eastAsia="zh-CN"/>
        </w:rPr>
      </w:pPr>
      <w:proofErr w:type="spellStart"/>
      <w:r w:rsidRPr="00472719">
        <w:rPr>
          <w:rFonts w:ascii="Book Antiqua" w:hAnsi="Book Antiqua"/>
        </w:rPr>
        <w:t>Vilmann</w:t>
      </w:r>
      <w:proofErr w:type="spellEnd"/>
      <w:r w:rsidRPr="00472719">
        <w:rPr>
          <w:rFonts w:ascii="Book Antiqua" w:hAnsi="Book Antiqua" w:cs="Tahoma"/>
          <w:color w:val="231F20"/>
        </w:rPr>
        <w:t xml:space="preserve"> </w:t>
      </w:r>
      <w:r w:rsidRPr="00472719">
        <w:rPr>
          <w:rFonts w:ascii="Book Antiqua" w:hAnsi="Book Antiqua" w:cs="Tahoma"/>
          <w:color w:val="231F20"/>
          <w:lang w:eastAsia="zh-CN"/>
        </w:rPr>
        <w:t xml:space="preserve">AS </w:t>
      </w:r>
      <w:r w:rsidR="0081329E" w:rsidRPr="00472719">
        <w:rPr>
          <w:rFonts w:ascii="Book Antiqua" w:hAnsi="Book Antiqua" w:cs="Tahoma"/>
          <w:i/>
          <w:color w:val="231F20"/>
          <w:lang w:eastAsia="zh-CN"/>
        </w:rPr>
        <w:t>et al</w:t>
      </w:r>
      <w:r w:rsidRPr="00472719">
        <w:rPr>
          <w:rFonts w:ascii="Book Antiqua" w:hAnsi="Book Antiqua" w:cs="Tahoma"/>
          <w:color w:val="231F20"/>
          <w:lang w:eastAsia="zh-CN"/>
        </w:rPr>
        <w:t xml:space="preserve">. </w:t>
      </w:r>
      <w:r w:rsidR="001716D7" w:rsidRPr="00472719">
        <w:rPr>
          <w:rFonts w:ascii="Book Antiqua" w:hAnsi="Book Antiqua" w:cs="Tahoma"/>
          <w:color w:val="231F20"/>
        </w:rPr>
        <w:t>EUS-guide</w:t>
      </w:r>
      <w:r w:rsidR="00EA48E6" w:rsidRPr="00472719">
        <w:rPr>
          <w:rFonts w:ascii="Book Antiqua" w:hAnsi="Book Antiqua" w:cs="Tahoma"/>
          <w:color w:val="231F20"/>
        </w:rPr>
        <w:t>d</w:t>
      </w:r>
      <w:r w:rsidR="001716D7" w:rsidRPr="00472719">
        <w:rPr>
          <w:rFonts w:ascii="Book Antiqua" w:hAnsi="Book Antiqua" w:cs="Tahoma"/>
          <w:color w:val="231F20"/>
        </w:rPr>
        <w:t xml:space="preserve"> </w:t>
      </w:r>
      <w:r w:rsidR="0081053F" w:rsidRPr="0081053F">
        <w:rPr>
          <w:rFonts w:ascii="Book Antiqua" w:hAnsi="Book Antiqua" w:cs="Tahoma"/>
          <w:color w:val="231F20"/>
        </w:rPr>
        <w:t xml:space="preserve">management </w:t>
      </w:r>
      <w:r w:rsidR="001716D7" w:rsidRPr="00472719">
        <w:rPr>
          <w:rFonts w:ascii="Book Antiqua" w:hAnsi="Book Antiqua" w:cs="Tahoma"/>
          <w:color w:val="231F20"/>
        </w:rPr>
        <w:t>of pancreatic fluid collection</w:t>
      </w:r>
      <w:bookmarkStart w:id="0" w:name="_GoBack"/>
      <w:bookmarkEnd w:id="0"/>
    </w:p>
    <w:p w14:paraId="6C44D54E" w14:textId="77777777" w:rsidR="00D76D4D" w:rsidRPr="0081053F" w:rsidRDefault="00D76D4D" w:rsidP="00472719">
      <w:pPr>
        <w:adjustRightInd w:val="0"/>
        <w:snapToGrid w:val="0"/>
        <w:spacing w:line="360" w:lineRule="auto"/>
        <w:jc w:val="both"/>
        <w:rPr>
          <w:rFonts w:ascii="Book Antiqua" w:hAnsi="Book Antiqua"/>
          <w:lang w:eastAsia="zh-CN"/>
        </w:rPr>
      </w:pPr>
    </w:p>
    <w:p w14:paraId="34132F75" w14:textId="21215E5E" w:rsidR="00B845F4" w:rsidRPr="00472719" w:rsidRDefault="00D76D4D" w:rsidP="00472719">
      <w:pPr>
        <w:adjustRightInd w:val="0"/>
        <w:snapToGrid w:val="0"/>
        <w:spacing w:line="360" w:lineRule="auto"/>
        <w:jc w:val="both"/>
        <w:rPr>
          <w:rFonts w:ascii="Book Antiqua" w:hAnsi="Book Antiqua"/>
          <w:vertAlign w:val="superscript"/>
          <w:lang w:eastAsia="zh-CN"/>
        </w:rPr>
      </w:pPr>
      <w:r w:rsidRPr="00472719">
        <w:rPr>
          <w:rFonts w:ascii="Book Antiqua" w:hAnsi="Book Antiqua"/>
        </w:rPr>
        <w:t>Andreas S</w:t>
      </w:r>
      <w:r w:rsidR="008C0BF4" w:rsidRPr="00472719">
        <w:rPr>
          <w:rFonts w:ascii="Book Antiqua" w:hAnsi="Book Antiqua"/>
        </w:rPr>
        <w:t xml:space="preserve"> </w:t>
      </w:r>
      <w:proofErr w:type="spellStart"/>
      <w:r w:rsidR="008C0BF4" w:rsidRPr="00472719">
        <w:rPr>
          <w:rFonts w:ascii="Book Antiqua" w:hAnsi="Book Antiqua"/>
        </w:rPr>
        <w:t>Vilmann</w:t>
      </w:r>
      <w:proofErr w:type="spellEnd"/>
      <w:r w:rsidR="008C0BF4" w:rsidRPr="00472719">
        <w:rPr>
          <w:rFonts w:ascii="Book Antiqua" w:hAnsi="Book Antiqua"/>
        </w:rPr>
        <w:t xml:space="preserve">, John </w:t>
      </w:r>
      <w:proofErr w:type="spellStart"/>
      <w:r w:rsidR="008C0BF4" w:rsidRPr="00472719">
        <w:rPr>
          <w:rFonts w:ascii="Book Antiqua" w:hAnsi="Book Antiqua"/>
        </w:rPr>
        <w:t>Menachery</w:t>
      </w:r>
      <w:proofErr w:type="spellEnd"/>
      <w:r w:rsidR="008C0BF4" w:rsidRPr="00472719">
        <w:rPr>
          <w:rFonts w:ascii="Book Antiqua" w:hAnsi="Book Antiqua"/>
        </w:rPr>
        <w:t xml:space="preserve">, </w:t>
      </w:r>
      <w:proofErr w:type="spellStart"/>
      <w:r w:rsidR="008C0BF4" w:rsidRPr="00472719">
        <w:rPr>
          <w:rFonts w:ascii="Book Antiqua" w:hAnsi="Book Antiqua"/>
        </w:rPr>
        <w:t>Shou</w:t>
      </w:r>
      <w:proofErr w:type="spellEnd"/>
      <w:r w:rsidR="008C0BF4" w:rsidRPr="00472719">
        <w:rPr>
          <w:rFonts w:ascii="Book Antiqua" w:hAnsi="Book Antiqua"/>
        </w:rPr>
        <w:t>-</w:t>
      </w:r>
      <w:r w:rsidR="008C0BF4" w:rsidRPr="00472719">
        <w:rPr>
          <w:rFonts w:ascii="Book Antiqua" w:hAnsi="Book Antiqua"/>
          <w:caps/>
        </w:rPr>
        <w:t>j</w:t>
      </w:r>
      <w:r w:rsidR="008C0BF4" w:rsidRPr="00472719">
        <w:rPr>
          <w:rFonts w:ascii="Book Antiqua" w:hAnsi="Book Antiqua"/>
        </w:rPr>
        <w:t xml:space="preserve">iang Tang, </w:t>
      </w:r>
      <w:proofErr w:type="spellStart"/>
      <w:r w:rsidR="008C0BF4" w:rsidRPr="00472719">
        <w:rPr>
          <w:rFonts w:ascii="Book Antiqua" w:hAnsi="Book Antiqua"/>
        </w:rPr>
        <w:t>Indu</w:t>
      </w:r>
      <w:proofErr w:type="spellEnd"/>
      <w:r w:rsidR="008C0BF4" w:rsidRPr="00472719">
        <w:rPr>
          <w:rFonts w:ascii="Book Antiqua" w:hAnsi="Book Antiqua"/>
        </w:rPr>
        <w:t xml:space="preserve"> Srinivasan, Peter </w:t>
      </w:r>
      <w:proofErr w:type="spellStart"/>
      <w:r w:rsidR="008C0BF4" w:rsidRPr="00472719">
        <w:rPr>
          <w:rFonts w:ascii="Book Antiqua" w:hAnsi="Book Antiqua"/>
        </w:rPr>
        <w:t>Vilmann</w:t>
      </w:r>
      <w:proofErr w:type="spellEnd"/>
    </w:p>
    <w:p w14:paraId="1AF2ADD2" w14:textId="77777777" w:rsidR="00C0645D" w:rsidRPr="00472719" w:rsidRDefault="00C0645D" w:rsidP="00472719">
      <w:pPr>
        <w:adjustRightInd w:val="0"/>
        <w:snapToGrid w:val="0"/>
        <w:spacing w:line="360" w:lineRule="auto"/>
        <w:jc w:val="both"/>
        <w:rPr>
          <w:rFonts w:ascii="Book Antiqua" w:hAnsi="Book Antiqua"/>
          <w:lang w:eastAsia="zh-CN"/>
        </w:rPr>
      </w:pPr>
    </w:p>
    <w:p w14:paraId="033E3A1F" w14:textId="002AAA98" w:rsidR="00C0645D" w:rsidRPr="00472719" w:rsidRDefault="00E2021E" w:rsidP="00472719">
      <w:pPr>
        <w:adjustRightInd w:val="0"/>
        <w:snapToGrid w:val="0"/>
        <w:spacing w:line="360" w:lineRule="auto"/>
        <w:jc w:val="both"/>
        <w:rPr>
          <w:rFonts w:ascii="Book Antiqua" w:hAnsi="Book Antiqua"/>
          <w:lang w:val="da-DK" w:eastAsia="zh-CN"/>
        </w:rPr>
      </w:pPr>
      <w:r w:rsidRPr="00472719">
        <w:rPr>
          <w:rFonts w:ascii="Book Antiqua" w:hAnsi="Book Antiqua"/>
          <w:b/>
        </w:rPr>
        <w:t xml:space="preserve">Andreas S </w:t>
      </w:r>
      <w:proofErr w:type="spellStart"/>
      <w:r w:rsidRPr="00472719">
        <w:rPr>
          <w:rFonts w:ascii="Book Antiqua" w:hAnsi="Book Antiqua"/>
          <w:b/>
        </w:rPr>
        <w:t>Vilmann</w:t>
      </w:r>
      <w:proofErr w:type="spellEnd"/>
      <w:r w:rsidRPr="00472719">
        <w:rPr>
          <w:rFonts w:ascii="Book Antiqua" w:hAnsi="Book Antiqua"/>
          <w:b/>
        </w:rPr>
        <w:t>,</w:t>
      </w:r>
      <w:r w:rsidRPr="00472719">
        <w:rPr>
          <w:rFonts w:ascii="Book Antiqua" w:hAnsi="Book Antiqua"/>
          <w:b/>
          <w:lang w:eastAsia="zh-CN"/>
        </w:rPr>
        <w:t xml:space="preserve"> </w:t>
      </w:r>
      <w:r w:rsidRPr="00472719">
        <w:rPr>
          <w:rFonts w:ascii="Book Antiqua" w:hAnsi="Book Antiqua"/>
          <w:b/>
        </w:rPr>
        <w:t xml:space="preserve">Peter </w:t>
      </w:r>
      <w:proofErr w:type="spellStart"/>
      <w:r w:rsidRPr="00472719">
        <w:rPr>
          <w:rFonts w:ascii="Book Antiqua" w:hAnsi="Book Antiqua"/>
          <w:b/>
        </w:rPr>
        <w:t>Vilmann</w:t>
      </w:r>
      <w:proofErr w:type="spellEnd"/>
      <w:r w:rsidRPr="00472719">
        <w:rPr>
          <w:rFonts w:ascii="Book Antiqua" w:hAnsi="Book Antiqua"/>
          <w:b/>
          <w:lang w:eastAsia="zh-CN"/>
        </w:rPr>
        <w:t>,</w:t>
      </w:r>
      <w:r w:rsidR="00C0645D" w:rsidRPr="00472719">
        <w:rPr>
          <w:rFonts w:ascii="Book Antiqua" w:hAnsi="Book Antiqua"/>
          <w:b/>
        </w:rPr>
        <w:t xml:space="preserve"> </w:t>
      </w:r>
      <w:r w:rsidR="00C0645D" w:rsidRPr="00472719">
        <w:rPr>
          <w:rFonts w:ascii="Book Antiqua" w:hAnsi="Book Antiqua"/>
        </w:rPr>
        <w:t xml:space="preserve">Department of Surgical Gastroenterology, </w:t>
      </w:r>
      <w:r w:rsidR="00C0645D" w:rsidRPr="00472719">
        <w:rPr>
          <w:rFonts w:ascii="Book Antiqua" w:hAnsi="Book Antiqua"/>
          <w:lang w:val="da-DK"/>
        </w:rPr>
        <w:t>Copenhagen University Hospital Herlev,</w:t>
      </w:r>
      <w:r w:rsidRPr="00472719">
        <w:rPr>
          <w:rFonts w:ascii="Book Antiqua" w:hAnsi="Book Antiqua"/>
          <w:lang w:val="da-DK" w:eastAsia="zh-CN"/>
        </w:rPr>
        <w:t xml:space="preserve"> </w:t>
      </w:r>
      <w:r w:rsidR="007F70B1" w:rsidRPr="00472719">
        <w:rPr>
          <w:rFonts w:ascii="Book Antiqua" w:hAnsi="Book Antiqua"/>
          <w:lang w:val="da-DK"/>
        </w:rPr>
        <w:t>2730</w:t>
      </w:r>
      <w:r w:rsidR="007F70B1" w:rsidRPr="00472719">
        <w:rPr>
          <w:rFonts w:ascii="Book Antiqua" w:hAnsi="Book Antiqua"/>
          <w:lang w:val="da-DK" w:eastAsia="zh-CN"/>
        </w:rPr>
        <w:t xml:space="preserve"> </w:t>
      </w:r>
      <w:r w:rsidR="00831E2E" w:rsidRPr="00472719">
        <w:rPr>
          <w:rFonts w:ascii="Book Antiqua" w:hAnsi="Book Antiqua"/>
          <w:lang w:val="da-DK"/>
        </w:rPr>
        <w:t>Herlev</w:t>
      </w:r>
      <w:r w:rsidR="00C0645D" w:rsidRPr="00472719">
        <w:rPr>
          <w:rFonts w:ascii="Book Antiqua" w:hAnsi="Book Antiqua"/>
          <w:lang w:val="da-DK"/>
        </w:rPr>
        <w:t>, Denmark</w:t>
      </w:r>
    </w:p>
    <w:p w14:paraId="05485C5B" w14:textId="77777777" w:rsidR="00996106" w:rsidRPr="00472719" w:rsidRDefault="00996106" w:rsidP="00472719">
      <w:pPr>
        <w:adjustRightInd w:val="0"/>
        <w:snapToGrid w:val="0"/>
        <w:spacing w:line="360" w:lineRule="auto"/>
        <w:jc w:val="both"/>
        <w:rPr>
          <w:rFonts w:ascii="Book Antiqua" w:hAnsi="Book Antiqua"/>
          <w:lang w:val="da-DK"/>
        </w:rPr>
      </w:pPr>
    </w:p>
    <w:p w14:paraId="72594DCD" w14:textId="4BD8251E" w:rsidR="00ED4E3B" w:rsidRPr="00472719" w:rsidRDefault="00E2021E" w:rsidP="00472719">
      <w:pPr>
        <w:adjustRightInd w:val="0"/>
        <w:snapToGrid w:val="0"/>
        <w:spacing w:line="360" w:lineRule="auto"/>
        <w:jc w:val="both"/>
        <w:rPr>
          <w:rFonts w:ascii="Book Antiqua" w:hAnsi="Book Antiqua"/>
        </w:rPr>
      </w:pPr>
      <w:r w:rsidRPr="00472719">
        <w:rPr>
          <w:rFonts w:ascii="Book Antiqua" w:hAnsi="Book Antiqua"/>
          <w:b/>
        </w:rPr>
        <w:t xml:space="preserve">John </w:t>
      </w:r>
      <w:proofErr w:type="spellStart"/>
      <w:r w:rsidRPr="00472719">
        <w:rPr>
          <w:rFonts w:ascii="Book Antiqua" w:hAnsi="Book Antiqua"/>
          <w:b/>
        </w:rPr>
        <w:t>Menachery</w:t>
      </w:r>
      <w:proofErr w:type="spellEnd"/>
      <w:r w:rsidRPr="00472719">
        <w:rPr>
          <w:rFonts w:ascii="Book Antiqua" w:hAnsi="Book Antiqua"/>
          <w:b/>
        </w:rPr>
        <w:t>,</w:t>
      </w:r>
      <w:r w:rsidRPr="00472719">
        <w:rPr>
          <w:rFonts w:ascii="Book Antiqua" w:hAnsi="Book Antiqua"/>
          <w:b/>
          <w:lang w:eastAsia="zh-CN"/>
        </w:rPr>
        <w:t xml:space="preserve"> </w:t>
      </w:r>
      <w:r w:rsidR="00ED4E3B" w:rsidRPr="00472719">
        <w:rPr>
          <w:rFonts w:ascii="Book Antiqua" w:hAnsi="Book Antiqua"/>
        </w:rPr>
        <w:t xml:space="preserve">Department of Gastroenterology, </w:t>
      </w:r>
      <w:proofErr w:type="spellStart"/>
      <w:r w:rsidR="00ED4E3B" w:rsidRPr="00472719">
        <w:rPr>
          <w:rFonts w:ascii="Book Antiqua" w:hAnsi="Book Antiqua"/>
        </w:rPr>
        <w:t>Rajagiri</w:t>
      </w:r>
      <w:proofErr w:type="spellEnd"/>
      <w:r w:rsidR="00ED4E3B" w:rsidRPr="00472719">
        <w:rPr>
          <w:rFonts w:ascii="Book Antiqua" w:hAnsi="Book Antiqua"/>
        </w:rPr>
        <w:t xml:space="preserve"> Hospital </w:t>
      </w:r>
      <w:proofErr w:type="spellStart"/>
      <w:r w:rsidR="00ED4E3B" w:rsidRPr="00472719">
        <w:rPr>
          <w:rFonts w:ascii="Book Antiqua" w:hAnsi="Book Antiqua"/>
        </w:rPr>
        <w:t>Aluva</w:t>
      </w:r>
      <w:proofErr w:type="spellEnd"/>
      <w:r w:rsidR="00ED4E3B" w:rsidRPr="00472719">
        <w:rPr>
          <w:rFonts w:ascii="Book Antiqua" w:hAnsi="Book Antiqua"/>
        </w:rPr>
        <w:t>, Kerala 683112, India</w:t>
      </w:r>
    </w:p>
    <w:p w14:paraId="317960D2" w14:textId="77777777" w:rsidR="00ED4E3B" w:rsidRPr="00472719" w:rsidRDefault="00ED4E3B" w:rsidP="00472719">
      <w:pPr>
        <w:pStyle w:val="20"/>
        <w:adjustRightInd w:val="0"/>
        <w:snapToGrid w:val="0"/>
        <w:spacing w:line="360" w:lineRule="auto"/>
        <w:rPr>
          <w:rFonts w:ascii="Book Antiqua" w:hAnsi="Book Antiqua"/>
          <w:szCs w:val="24"/>
        </w:rPr>
      </w:pPr>
    </w:p>
    <w:p w14:paraId="274DA075" w14:textId="2296C557" w:rsidR="00C15E0F" w:rsidRPr="00472719" w:rsidRDefault="00E2021E" w:rsidP="00472719">
      <w:pPr>
        <w:pStyle w:val="20"/>
        <w:adjustRightInd w:val="0"/>
        <w:snapToGrid w:val="0"/>
        <w:spacing w:line="360" w:lineRule="auto"/>
        <w:rPr>
          <w:rFonts w:ascii="Book Antiqua" w:hAnsi="Book Antiqua"/>
          <w:szCs w:val="24"/>
          <w:lang w:eastAsia="zh-CN"/>
        </w:rPr>
      </w:pPr>
      <w:proofErr w:type="spellStart"/>
      <w:r w:rsidRPr="00472719">
        <w:rPr>
          <w:rFonts w:ascii="Book Antiqua" w:hAnsi="Book Antiqua"/>
          <w:b/>
          <w:szCs w:val="24"/>
        </w:rPr>
        <w:t>Shou</w:t>
      </w:r>
      <w:proofErr w:type="spellEnd"/>
      <w:r w:rsidRPr="00472719">
        <w:rPr>
          <w:rFonts w:ascii="Book Antiqua" w:hAnsi="Book Antiqua"/>
          <w:b/>
          <w:szCs w:val="24"/>
        </w:rPr>
        <w:t>-</w:t>
      </w:r>
      <w:r w:rsidRPr="00472719">
        <w:rPr>
          <w:rFonts w:ascii="Book Antiqua" w:hAnsi="Book Antiqua"/>
          <w:b/>
          <w:caps/>
          <w:szCs w:val="24"/>
        </w:rPr>
        <w:t>j</w:t>
      </w:r>
      <w:r w:rsidRPr="00472719">
        <w:rPr>
          <w:rFonts w:ascii="Book Antiqua" w:hAnsi="Book Antiqua"/>
          <w:b/>
          <w:szCs w:val="24"/>
        </w:rPr>
        <w:t xml:space="preserve">iang Tang, </w:t>
      </w:r>
      <w:proofErr w:type="spellStart"/>
      <w:r w:rsidRPr="00472719">
        <w:rPr>
          <w:rFonts w:ascii="Book Antiqua" w:hAnsi="Book Antiqua"/>
          <w:b/>
          <w:szCs w:val="24"/>
        </w:rPr>
        <w:t>Indu</w:t>
      </w:r>
      <w:proofErr w:type="spellEnd"/>
      <w:r w:rsidRPr="00472719">
        <w:rPr>
          <w:rFonts w:ascii="Book Antiqua" w:hAnsi="Book Antiqua"/>
          <w:b/>
          <w:szCs w:val="24"/>
        </w:rPr>
        <w:t xml:space="preserve"> Srinivasan,</w:t>
      </w:r>
      <w:r w:rsidRPr="00472719">
        <w:rPr>
          <w:rFonts w:ascii="Book Antiqua" w:hAnsi="Book Antiqua"/>
          <w:b/>
          <w:szCs w:val="24"/>
          <w:lang w:eastAsia="zh-CN"/>
        </w:rPr>
        <w:t xml:space="preserve"> </w:t>
      </w:r>
      <w:r w:rsidR="00C15E0F" w:rsidRPr="00472719">
        <w:rPr>
          <w:rFonts w:ascii="Book Antiqua" w:hAnsi="Book Antiqua"/>
          <w:szCs w:val="24"/>
        </w:rPr>
        <w:t>Division of Digestive Diseases</w:t>
      </w:r>
      <w:r w:rsidR="00C15E0F" w:rsidRPr="00472719">
        <w:rPr>
          <w:rFonts w:ascii="Book Antiqua" w:hAnsi="Book Antiqua"/>
          <w:b/>
          <w:szCs w:val="24"/>
        </w:rPr>
        <w:t xml:space="preserve">, </w:t>
      </w:r>
      <w:r w:rsidR="00C15E0F" w:rsidRPr="00472719">
        <w:rPr>
          <w:rFonts w:ascii="Book Antiqua" w:hAnsi="Book Antiqua"/>
          <w:szCs w:val="24"/>
        </w:rPr>
        <w:t xml:space="preserve">Department of </w:t>
      </w:r>
      <w:r w:rsidR="00776BDA" w:rsidRPr="00472719">
        <w:rPr>
          <w:rFonts w:ascii="Book Antiqua" w:hAnsi="Book Antiqua"/>
          <w:szCs w:val="24"/>
        </w:rPr>
        <w:t>Medicine</w:t>
      </w:r>
      <w:r w:rsidR="00E16ACB" w:rsidRPr="00472719">
        <w:rPr>
          <w:rFonts w:ascii="Book Antiqua" w:hAnsi="Book Antiqua"/>
          <w:szCs w:val="24"/>
        </w:rPr>
        <w:t>,</w:t>
      </w:r>
      <w:r w:rsidR="00791F57" w:rsidRPr="00472719">
        <w:rPr>
          <w:rFonts w:ascii="Book Antiqua" w:hAnsi="Book Antiqua"/>
          <w:szCs w:val="24"/>
        </w:rPr>
        <w:t xml:space="preserve"> University of Mississippi Medical Center, Jackson</w:t>
      </w:r>
      <w:r w:rsidRPr="00472719">
        <w:rPr>
          <w:rFonts w:ascii="Book Antiqua" w:hAnsi="Book Antiqua"/>
          <w:szCs w:val="24"/>
          <w:lang w:eastAsia="zh-CN"/>
        </w:rPr>
        <w:t>,</w:t>
      </w:r>
      <w:r w:rsidR="00B845F4" w:rsidRPr="00472719">
        <w:rPr>
          <w:rFonts w:ascii="Book Antiqua" w:hAnsi="Book Antiqua"/>
          <w:szCs w:val="24"/>
          <w:lang w:eastAsia="zh-CN"/>
        </w:rPr>
        <w:t xml:space="preserve"> </w:t>
      </w:r>
      <w:r w:rsidR="00791F57" w:rsidRPr="00472719">
        <w:rPr>
          <w:rFonts w:ascii="Book Antiqua" w:hAnsi="Book Antiqua"/>
          <w:szCs w:val="24"/>
        </w:rPr>
        <w:t>MS</w:t>
      </w:r>
      <w:r w:rsidR="00831E2E" w:rsidRPr="00472719">
        <w:rPr>
          <w:rFonts w:ascii="Book Antiqua" w:hAnsi="Book Antiqua"/>
          <w:szCs w:val="24"/>
        </w:rPr>
        <w:t xml:space="preserve"> 39216, U</w:t>
      </w:r>
      <w:r w:rsidRPr="00472719">
        <w:rPr>
          <w:rFonts w:ascii="Book Antiqua" w:hAnsi="Book Antiqua"/>
          <w:szCs w:val="24"/>
          <w:lang w:eastAsia="zh-CN"/>
        </w:rPr>
        <w:t>nited States</w:t>
      </w:r>
    </w:p>
    <w:p w14:paraId="68117454" w14:textId="77777777" w:rsidR="00776BDA" w:rsidRPr="00472719" w:rsidRDefault="00776BDA" w:rsidP="00472719">
      <w:pPr>
        <w:adjustRightInd w:val="0"/>
        <w:snapToGrid w:val="0"/>
        <w:spacing w:line="360" w:lineRule="auto"/>
        <w:jc w:val="both"/>
        <w:rPr>
          <w:rFonts w:ascii="Book Antiqua" w:hAnsi="Book Antiqua"/>
        </w:rPr>
      </w:pPr>
    </w:p>
    <w:p w14:paraId="1FCDFADB" w14:textId="3C1D54DD" w:rsidR="00E2021E" w:rsidRPr="00472719" w:rsidRDefault="00B845F4" w:rsidP="00472719">
      <w:pPr>
        <w:adjustRightInd w:val="0"/>
        <w:snapToGrid w:val="0"/>
        <w:spacing w:line="360" w:lineRule="auto"/>
        <w:jc w:val="both"/>
        <w:rPr>
          <w:rFonts w:ascii="Book Antiqua" w:hAnsi="Book Antiqua"/>
          <w:lang w:eastAsia="zh-CN"/>
        </w:rPr>
      </w:pPr>
      <w:r w:rsidRPr="00472719">
        <w:rPr>
          <w:rFonts w:ascii="Book Antiqua" w:hAnsi="Book Antiqua"/>
          <w:b/>
          <w:color w:val="000000"/>
        </w:rPr>
        <w:t>Author contributions:</w:t>
      </w:r>
      <w:r w:rsidR="00E2021E" w:rsidRPr="00472719">
        <w:rPr>
          <w:rFonts w:ascii="Book Antiqua" w:hAnsi="Book Antiqua"/>
          <w:b/>
          <w:color w:val="000000"/>
          <w:lang w:eastAsia="zh-CN"/>
        </w:rPr>
        <w:t xml:space="preserve"> </w:t>
      </w:r>
      <w:r w:rsidR="00DF7DB5" w:rsidRPr="00472719">
        <w:rPr>
          <w:rFonts w:ascii="Book Antiqua" w:hAnsi="Book Antiqua"/>
        </w:rPr>
        <w:t xml:space="preserve">All authors have been involved in the design and conduct of this work. </w:t>
      </w:r>
      <w:r w:rsidR="0071044F" w:rsidRPr="00472719">
        <w:rPr>
          <w:rFonts w:ascii="Book Antiqua" w:hAnsi="Book Antiqua"/>
        </w:rPr>
        <w:t>Research</w:t>
      </w:r>
      <w:r w:rsidR="00DF7DB5" w:rsidRPr="00472719">
        <w:rPr>
          <w:rFonts w:ascii="Book Antiqua" w:hAnsi="Book Antiqua"/>
        </w:rPr>
        <w:t xml:space="preserve"> was done by Tang SJ and </w:t>
      </w:r>
      <w:proofErr w:type="spellStart"/>
      <w:r w:rsidR="00DF7DB5" w:rsidRPr="00472719">
        <w:rPr>
          <w:rFonts w:ascii="Book Antiqua" w:hAnsi="Book Antiqua"/>
        </w:rPr>
        <w:t>Menachery</w:t>
      </w:r>
      <w:proofErr w:type="spellEnd"/>
      <w:r w:rsidR="00DF7DB5" w:rsidRPr="00472719">
        <w:rPr>
          <w:rFonts w:ascii="Book Antiqua" w:hAnsi="Book Antiqua"/>
        </w:rPr>
        <w:t xml:space="preserve"> J</w:t>
      </w:r>
      <w:r w:rsidR="00E2021E" w:rsidRPr="00472719">
        <w:rPr>
          <w:rFonts w:ascii="Book Antiqua" w:hAnsi="Book Antiqua"/>
          <w:lang w:eastAsia="zh-CN"/>
        </w:rPr>
        <w:t xml:space="preserve">; </w:t>
      </w:r>
      <w:proofErr w:type="gramStart"/>
      <w:r w:rsidR="00DF7DB5" w:rsidRPr="00472719">
        <w:rPr>
          <w:rFonts w:ascii="Book Antiqua" w:hAnsi="Book Antiqua"/>
        </w:rPr>
        <w:t>Drafting</w:t>
      </w:r>
      <w:proofErr w:type="gramEnd"/>
      <w:r w:rsidR="00DF7DB5" w:rsidRPr="00472719">
        <w:rPr>
          <w:rFonts w:ascii="Book Antiqua" w:hAnsi="Book Antiqua"/>
        </w:rPr>
        <w:t xml:space="preserve"> the article was</w:t>
      </w:r>
      <w:r w:rsidR="0071044F" w:rsidRPr="00472719">
        <w:rPr>
          <w:rFonts w:ascii="Book Antiqua" w:hAnsi="Book Antiqua"/>
        </w:rPr>
        <w:t xml:space="preserve"> equally done by </w:t>
      </w:r>
      <w:proofErr w:type="spellStart"/>
      <w:r w:rsidR="0071044F" w:rsidRPr="00472719">
        <w:rPr>
          <w:rFonts w:ascii="Book Antiqua" w:hAnsi="Book Antiqua"/>
        </w:rPr>
        <w:t>Vilmann</w:t>
      </w:r>
      <w:proofErr w:type="spellEnd"/>
      <w:r w:rsidR="0071044F" w:rsidRPr="00472719">
        <w:rPr>
          <w:rFonts w:ascii="Book Antiqua" w:hAnsi="Book Antiqua"/>
        </w:rPr>
        <w:t xml:space="preserve"> AS and </w:t>
      </w:r>
      <w:proofErr w:type="spellStart"/>
      <w:r w:rsidR="0071044F" w:rsidRPr="00472719">
        <w:rPr>
          <w:rFonts w:ascii="Book Antiqua" w:hAnsi="Book Antiqua"/>
        </w:rPr>
        <w:t>Menachery</w:t>
      </w:r>
      <w:proofErr w:type="spellEnd"/>
      <w:r w:rsidR="0071044F" w:rsidRPr="00472719">
        <w:rPr>
          <w:rFonts w:ascii="Book Antiqua" w:hAnsi="Book Antiqua"/>
        </w:rPr>
        <w:t xml:space="preserve"> J</w:t>
      </w:r>
      <w:r w:rsidR="00E2021E" w:rsidRPr="00472719">
        <w:rPr>
          <w:rFonts w:ascii="Book Antiqua" w:hAnsi="Book Antiqua"/>
          <w:lang w:eastAsia="zh-CN"/>
        </w:rPr>
        <w:t>;</w:t>
      </w:r>
      <w:r w:rsidR="0071044F" w:rsidRPr="00472719">
        <w:rPr>
          <w:rFonts w:ascii="Book Antiqua" w:hAnsi="Book Antiqua"/>
        </w:rPr>
        <w:t xml:space="preserve"> Critically revision was </w:t>
      </w:r>
      <w:r w:rsidR="00C8247C" w:rsidRPr="00472719">
        <w:rPr>
          <w:rFonts w:ascii="Book Antiqua" w:hAnsi="Book Antiqua"/>
        </w:rPr>
        <w:t>equally</w:t>
      </w:r>
      <w:r w:rsidR="00B46C42" w:rsidRPr="00472719">
        <w:rPr>
          <w:rFonts w:ascii="Book Antiqua" w:hAnsi="Book Antiqua"/>
        </w:rPr>
        <w:t xml:space="preserve"> done</w:t>
      </w:r>
      <w:r w:rsidR="00C8247C" w:rsidRPr="00472719">
        <w:rPr>
          <w:rFonts w:ascii="Book Antiqua" w:hAnsi="Book Antiqua"/>
        </w:rPr>
        <w:t xml:space="preserve"> by all authors</w:t>
      </w:r>
      <w:r w:rsidR="00E2021E" w:rsidRPr="00472719">
        <w:rPr>
          <w:rFonts w:ascii="Book Antiqua" w:hAnsi="Book Antiqua"/>
          <w:lang w:eastAsia="zh-CN"/>
        </w:rPr>
        <w:t>;</w:t>
      </w:r>
      <w:r w:rsidR="0071044F" w:rsidRPr="00472719">
        <w:rPr>
          <w:rFonts w:ascii="Book Antiqua" w:hAnsi="Book Antiqua"/>
        </w:rPr>
        <w:t xml:space="preserve"> Final version was approved by all authors.</w:t>
      </w:r>
    </w:p>
    <w:p w14:paraId="1D4CA27D" w14:textId="77777777" w:rsidR="00DF7DB5" w:rsidRPr="00472719" w:rsidRDefault="00DF7DB5" w:rsidP="00472719">
      <w:pPr>
        <w:adjustRightInd w:val="0"/>
        <w:snapToGrid w:val="0"/>
        <w:spacing w:line="360" w:lineRule="auto"/>
        <w:jc w:val="both"/>
        <w:rPr>
          <w:rFonts w:ascii="Book Antiqua" w:hAnsi="Book Antiqua"/>
        </w:rPr>
      </w:pPr>
    </w:p>
    <w:p w14:paraId="3B83D431" w14:textId="0BBE2E29" w:rsidR="0071044F" w:rsidRPr="00472719" w:rsidRDefault="00E2021E" w:rsidP="00472719">
      <w:pPr>
        <w:autoSpaceDE w:val="0"/>
        <w:autoSpaceDN w:val="0"/>
        <w:adjustRightInd w:val="0"/>
        <w:snapToGrid w:val="0"/>
        <w:spacing w:line="360" w:lineRule="auto"/>
        <w:jc w:val="both"/>
        <w:rPr>
          <w:rFonts w:ascii="Book Antiqua" w:hAnsi="Book Antiqua"/>
        </w:rPr>
      </w:pPr>
      <w:r w:rsidRPr="00472719">
        <w:rPr>
          <w:rFonts w:ascii="Book Antiqua" w:hAnsi="Book Antiqua" w:cs="TimesNewRomanPS-BoldItalicMT"/>
          <w:b/>
          <w:bCs/>
          <w:iCs/>
        </w:rPr>
        <w:t>Conflict-of-interest statement</w:t>
      </w:r>
      <w:r w:rsidRPr="00472719">
        <w:rPr>
          <w:rFonts w:ascii="Book Antiqua" w:hAnsi="Book Antiqua" w:cs="TimesNewRomanPS-BoldItalicMT"/>
          <w:b/>
          <w:bCs/>
          <w:iCs/>
          <w:lang w:eastAsia="zh-CN"/>
        </w:rPr>
        <w:t>:</w:t>
      </w:r>
      <w:r w:rsidRPr="00472719">
        <w:rPr>
          <w:rFonts w:ascii="Book Antiqua" w:hAnsi="Book Antiqua" w:cs="TimesNewRomanPS-BoldItalicMT"/>
          <w:b/>
          <w:bCs/>
          <w:iCs/>
        </w:rPr>
        <w:t xml:space="preserve"> </w:t>
      </w:r>
      <w:proofErr w:type="spellStart"/>
      <w:r w:rsidR="0071044F" w:rsidRPr="00472719">
        <w:rPr>
          <w:rFonts w:ascii="Book Antiqua" w:hAnsi="Book Antiqua"/>
        </w:rPr>
        <w:t>Vilmann</w:t>
      </w:r>
      <w:proofErr w:type="spellEnd"/>
      <w:r w:rsidR="0071044F" w:rsidRPr="00472719">
        <w:rPr>
          <w:rFonts w:ascii="Book Antiqua" w:hAnsi="Book Antiqua"/>
        </w:rPr>
        <w:t xml:space="preserve"> AS, </w:t>
      </w:r>
      <w:proofErr w:type="spellStart"/>
      <w:r w:rsidR="0071044F" w:rsidRPr="00472719">
        <w:rPr>
          <w:rFonts w:ascii="Book Antiqua" w:hAnsi="Book Antiqua"/>
        </w:rPr>
        <w:t>Menarchy</w:t>
      </w:r>
      <w:proofErr w:type="spellEnd"/>
      <w:r w:rsidR="0071044F" w:rsidRPr="00472719">
        <w:rPr>
          <w:rFonts w:ascii="Book Antiqua" w:hAnsi="Book Antiqua"/>
        </w:rPr>
        <w:t xml:space="preserve"> J</w:t>
      </w:r>
      <w:r w:rsidR="00C8247C" w:rsidRPr="00472719">
        <w:rPr>
          <w:rFonts w:ascii="Book Antiqua" w:hAnsi="Book Antiqua"/>
        </w:rPr>
        <w:t>, Srinivasan I</w:t>
      </w:r>
      <w:r w:rsidR="0071044F" w:rsidRPr="00472719">
        <w:rPr>
          <w:rFonts w:ascii="Book Antiqua" w:hAnsi="Book Antiqua"/>
        </w:rPr>
        <w:t xml:space="preserve"> and Tang SJ have no conflict of interest. </w:t>
      </w:r>
      <w:proofErr w:type="spellStart"/>
      <w:r w:rsidR="0071044F" w:rsidRPr="00472719">
        <w:rPr>
          <w:rFonts w:ascii="Book Antiqua" w:hAnsi="Book Antiqua"/>
        </w:rPr>
        <w:t>Vilmann</w:t>
      </w:r>
      <w:proofErr w:type="spellEnd"/>
      <w:r w:rsidR="0071044F" w:rsidRPr="00472719">
        <w:rPr>
          <w:rFonts w:ascii="Book Antiqua" w:hAnsi="Book Antiqua"/>
        </w:rPr>
        <w:t xml:space="preserve"> </w:t>
      </w:r>
      <w:r w:rsidR="00B70B07" w:rsidRPr="00472719">
        <w:rPr>
          <w:rFonts w:ascii="Book Antiqua" w:hAnsi="Book Antiqua"/>
        </w:rPr>
        <w:t xml:space="preserve">P </w:t>
      </w:r>
      <w:r w:rsidR="0071044F" w:rsidRPr="00472719">
        <w:rPr>
          <w:rFonts w:ascii="Book Antiqua" w:hAnsi="Book Antiqua"/>
        </w:rPr>
        <w:t>report</w:t>
      </w:r>
      <w:r w:rsidR="00860DB2" w:rsidRPr="00472719">
        <w:rPr>
          <w:rFonts w:ascii="Book Antiqua" w:hAnsi="Book Antiqua"/>
          <w:lang w:eastAsia="zh-CN"/>
        </w:rPr>
        <w:t>ed</w:t>
      </w:r>
      <w:r w:rsidR="0071044F" w:rsidRPr="00472719">
        <w:rPr>
          <w:rFonts w:ascii="Book Antiqua" w:hAnsi="Book Antiqua"/>
        </w:rPr>
        <w:t xml:space="preserve"> a conflict as a consultant for </w:t>
      </w:r>
      <w:proofErr w:type="spellStart"/>
      <w:r w:rsidR="0071044F" w:rsidRPr="00472719">
        <w:rPr>
          <w:rFonts w:ascii="Book Antiqua" w:hAnsi="Book Antiqua"/>
        </w:rPr>
        <w:t>MediGlobe</w:t>
      </w:r>
      <w:proofErr w:type="spellEnd"/>
      <w:r w:rsidR="0071044F" w:rsidRPr="00472719">
        <w:rPr>
          <w:rFonts w:ascii="Book Antiqua" w:hAnsi="Book Antiqua"/>
        </w:rPr>
        <w:t xml:space="preserve">, GmbH, </w:t>
      </w:r>
      <w:proofErr w:type="spellStart"/>
      <w:proofErr w:type="gramStart"/>
      <w:r w:rsidR="0071044F" w:rsidRPr="00472719">
        <w:rPr>
          <w:rFonts w:ascii="Book Antiqua" w:hAnsi="Book Antiqua"/>
        </w:rPr>
        <w:t>Grassau</w:t>
      </w:r>
      <w:proofErr w:type="spellEnd"/>
      <w:proofErr w:type="gramEnd"/>
      <w:r w:rsidR="0071044F" w:rsidRPr="00472719">
        <w:rPr>
          <w:rFonts w:ascii="Book Antiqua" w:hAnsi="Book Antiqua"/>
        </w:rPr>
        <w:t>, Germany.</w:t>
      </w:r>
    </w:p>
    <w:p w14:paraId="59A72664" w14:textId="77777777" w:rsidR="0071044F" w:rsidRPr="00472719" w:rsidRDefault="0071044F" w:rsidP="00472719">
      <w:pPr>
        <w:autoSpaceDE w:val="0"/>
        <w:autoSpaceDN w:val="0"/>
        <w:adjustRightInd w:val="0"/>
        <w:snapToGrid w:val="0"/>
        <w:spacing w:line="360" w:lineRule="auto"/>
        <w:jc w:val="both"/>
        <w:rPr>
          <w:rFonts w:ascii="Book Antiqua" w:hAnsi="Book Antiqua"/>
          <w:b/>
          <w:lang w:eastAsia="zh-CN"/>
        </w:rPr>
      </w:pPr>
    </w:p>
    <w:p w14:paraId="21AA1287" w14:textId="77777777" w:rsidR="00E2021E" w:rsidRPr="00472719" w:rsidRDefault="00E2021E" w:rsidP="00472719">
      <w:pPr>
        <w:adjustRightInd w:val="0"/>
        <w:snapToGrid w:val="0"/>
        <w:spacing w:line="360" w:lineRule="auto"/>
        <w:jc w:val="both"/>
        <w:rPr>
          <w:rFonts w:ascii="Book Antiqua" w:hAnsi="Book Antiqua"/>
          <w:color w:val="000000"/>
        </w:rPr>
      </w:pPr>
      <w:bookmarkStart w:id="1" w:name="OLE_LINK507"/>
      <w:bookmarkStart w:id="2" w:name="OLE_LINK506"/>
      <w:bookmarkStart w:id="3" w:name="OLE_LINK496"/>
      <w:bookmarkStart w:id="4" w:name="OLE_LINK479"/>
      <w:r w:rsidRPr="00472719">
        <w:rPr>
          <w:rFonts w:ascii="Book Antiqua" w:hAnsi="Book Antiqua"/>
          <w:b/>
          <w:color w:val="000000"/>
        </w:rPr>
        <w:t xml:space="preserve">Open-Access: </w:t>
      </w:r>
      <w:r w:rsidRPr="00472719">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14:paraId="0F35DBC3" w14:textId="77777777" w:rsidR="00E2021E" w:rsidRPr="00472719" w:rsidRDefault="00E2021E" w:rsidP="00472719">
      <w:pPr>
        <w:autoSpaceDE w:val="0"/>
        <w:autoSpaceDN w:val="0"/>
        <w:adjustRightInd w:val="0"/>
        <w:snapToGrid w:val="0"/>
        <w:spacing w:line="360" w:lineRule="auto"/>
        <w:jc w:val="both"/>
        <w:rPr>
          <w:rFonts w:ascii="Book Antiqua" w:hAnsi="Book Antiqua"/>
          <w:b/>
          <w:lang w:eastAsia="zh-CN"/>
        </w:rPr>
      </w:pPr>
    </w:p>
    <w:p w14:paraId="67152F3A" w14:textId="2043967E" w:rsidR="0013314B" w:rsidRPr="00472719" w:rsidRDefault="00B845F4"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b/>
        </w:rPr>
        <w:t>Correspondence to:</w:t>
      </w:r>
      <w:r w:rsidRPr="00472719">
        <w:rPr>
          <w:rFonts w:ascii="Book Antiqua" w:hAnsi="Book Antiqua"/>
          <w:b/>
          <w:lang w:eastAsia="zh-CN"/>
        </w:rPr>
        <w:t xml:space="preserve"> </w:t>
      </w:r>
      <w:r w:rsidR="00457FFE" w:rsidRPr="00472719">
        <w:rPr>
          <w:rFonts w:ascii="Book Antiqua" w:hAnsi="Book Antiqua"/>
          <w:b/>
        </w:rPr>
        <w:t xml:space="preserve">Andreas S </w:t>
      </w:r>
      <w:proofErr w:type="spellStart"/>
      <w:r w:rsidR="00457FFE" w:rsidRPr="00472719">
        <w:rPr>
          <w:rFonts w:ascii="Book Antiqua" w:hAnsi="Book Antiqua"/>
          <w:b/>
        </w:rPr>
        <w:t>Vilmann</w:t>
      </w:r>
      <w:proofErr w:type="spellEnd"/>
      <w:r w:rsidR="00C0645D" w:rsidRPr="00472719">
        <w:rPr>
          <w:rFonts w:ascii="Book Antiqua" w:hAnsi="Book Antiqua"/>
          <w:b/>
        </w:rPr>
        <w:t>, MD,</w:t>
      </w:r>
      <w:r w:rsidR="00C0645D" w:rsidRPr="00472719">
        <w:rPr>
          <w:rFonts w:ascii="Book Antiqua" w:hAnsi="Book Antiqua"/>
          <w:b/>
          <w:vertAlign w:val="superscript"/>
        </w:rPr>
        <w:t xml:space="preserve"> </w:t>
      </w:r>
      <w:r w:rsidR="00E2021E" w:rsidRPr="00472719">
        <w:rPr>
          <w:rFonts w:ascii="Book Antiqua" w:hAnsi="Book Antiqua"/>
        </w:rPr>
        <w:t xml:space="preserve">Department of Surgical Gastroenterology, </w:t>
      </w:r>
      <w:r w:rsidR="00E2021E" w:rsidRPr="00472719">
        <w:rPr>
          <w:rFonts w:ascii="Book Antiqua" w:hAnsi="Book Antiqua"/>
          <w:lang w:val="da-DK"/>
        </w:rPr>
        <w:t>Copenhagen University Hospital Herlev</w:t>
      </w:r>
      <w:r w:rsidR="00BE0074" w:rsidRPr="00472719">
        <w:rPr>
          <w:rFonts w:ascii="Book Antiqua" w:hAnsi="Book Antiqua"/>
        </w:rPr>
        <w:t>,</w:t>
      </w:r>
      <w:r w:rsidRPr="00472719">
        <w:rPr>
          <w:rFonts w:ascii="Book Antiqua" w:hAnsi="Book Antiqua"/>
          <w:lang w:eastAsia="zh-CN"/>
        </w:rPr>
        <w:t xml:space="preserve"> </w:t>
      </w:r>
      <w:proofErr w:type="spellStart"/>
      <w:r w:rsidR="00E2021E" w:rsidRPr="00472719">
        <w:rPr>
          <w:rFonts w:ascii="Book Antiqua" w:hAnsi="Book Antiqua"/>
          <w:lang w:eastAsia="zh-CN"/>
        </w:rPr>
        <w:t>Herlev</w:t>
      </w:r>
      <w:proofErr w:type="spellEnd"/>
      <w:r w:rsidR="00E2021E" w:rsidRPr="00472719">
        <w:rPr>
          <w:rFonts w:ascii="Book Antiqua" w:hAnsi="Book Antiqua"/>
          <w:lang w:eastAsia="zh-CN"/>
        </w:rPr>
        <w:t xml:space="preserve"> </w:t>
      </w:r>
      <w:proofErr w:type="spellStart"/>
      <w:r w:rsidR="00E2021E" w:rsidRPr="00472719">
        <w:rPr>
          <w:rFonts w:ascii="Book Antiqua" w:hAnsi="Book Antiqua"/>
          <w:lang w:eastAsia="zh-CN"/>
        </w:rPr>
        <w:t>Ringvej</w:t>
      </w:r>
      <w:proofErr w:type="spellEnd"/>
      <w:r w:rsidR="00E2021E" w:rsidRPr="00472719">
        <w:rPr>
          <w:rFonts w:ascii="Book Antiqua" w:hAnsi="Book Antiqua"/>
          <w:lang w:eastAsia="zh-CN"/>
        </w:rPr>
        <w:t xml:space="preserve"> 75, </w:t>
      </w:r>
      <w:r w:rsidR="00CA6D17" w:rsidRPr="00472719">
        <w:rPr>
          <w:rFonts w:ascii="Book Antiqua" w:hAnsi="Book Antiqua"/>
        </w:rPr>
        <w:t>2730</w:t>
      </w:r>
      <w:r w:rsidR="00CA6D17" w:rsidRPr="00472719">
        <w:rPr>
          <w:rFonts w:ascii="Book Antiqua" w:hAnsi="Book Antiqua"/>
          <w:lang w:eastAsia="zh-CN"/>
        </w:rPr>
        <w:t xml:space="preserve"> </w:t>
      </w:r>
      <w:proofErr w:type="spellStart"/>
      <w:r w:rsidR="00CA6D17" w:rsidRPr="00472719">
        <w:rPr>
          <w:rFonts w:ascii="Book Antiqua" w:hAnsi="Book Antiqua"/>
        </w:rPr>
        <w:t>Herlev</w:t>
      </w:r>
      <w:proofErr w:type="spellEnd"/>
      <w:r w:rsidR="00BE0074" w:rsidRPr="00472719">
        <w:rPr>
          <w:rFonts w:ascii="Book Antiqua" w:hAnsi="Book Antiqua"/>
        </w:rPr>
        <w:t>, Denmark</w:t>
      </w:r>
      <w:r w:rsidR="00CA6D17" w:rsidRPr="00472719">
        <w:rPr>
          <w:rFonts w:ascii="Book Antiqua" w:hAnsi="Book Antiqua"/>
          <w:lang w:eastAsia="zh-CN"/>
        </w:rPr>
        <w:t xml:space="preserve">. </w:t>
      </w:r>
      <w:r w:rsidR="00457FFE" w:rsidRPr="00472719">
        <w:rPr>
          <w:rFonts w:ascii="Book Antiqua" w:hAnsi="Book Antiqua"/>
        </w:rPr>
        <w:t>andreas.vilmann@gmail.com</w:t>
      </w:r>
    </w:p>
    <w:p w14:paraId="5604F39D" w14:textId="293BA036" w:rsidR="006C72E8" w:rsidRPr="00472719" w:rsidRDefault="006C72E8" w:rsidP="00472719">
      <w:pPr>
        <w:adjustRightInd w:val="0"/>
        <w:snapToGrid w:val="0"/>
        <w:spacing w:line="360" w:lineRule="auto"/>
        <w:jc w:val="both"/>
        <w:rPr>
          <w:rFonts w:ascii="Book Antiqua" w:hAnsi="Book Antiqua"/>
          <w:color w:val="0A0905"/>
        </w:rPr>
      </w:pPr>
      <w:r w:rsidRPr="00472719">
        <w:rPr>
          <w:rFonts w:ascii="Book Antiqua" w:hAnsi="Book Antiqua"/>
          <w:b/>
        </w:rPr>
        <w:t xml:space="preserve">Telephone: </w:t>
      </w:r>
      <w:r w:rsidRPr="00472719">
        <w:rPr>
          <w:rFonts w:ascii="Book Antiqua" w:hAnsi="Book Antiqua"/>
          <w:color w:val="000000"/>
        </w:rPr>
        <w:t>+45</w:t>
      </w:r>
      <w:r w:rsidRPr="00472719">
        <w:rPr>
          <w:rFonts w:ascii="Book Antiqua" w:hAnsi="Book Antiqua"/>
          <w:color w:val="000000"/>
          <w:lang w:eastAsia="zh-CN"/>
        </w:rPr>
        <w:t>-</w:t>
      </w:r>
      <w:r w:rsidRPr="00472719">
        <w:rPr>
          <w:rFonts w:ascii="Book Antiqua" w:hAnsi="Book Antiqua"/>
          <w:color w:val="000000"/>
        </w:rPr>
        <w:t>51</w:t>
      </w:r>
      <w:r w:rsidRPr="00472719">
        <w:rPr>
          <w:rFonts w:ascii="Book Antiqua" w:hAnsi="Book Antiqua"/>
          <w:color w:val="000000"/>
          <w:lang w:eastAsia="zh-CN"/>
        </w:rPr>
        <w:t>-</w:t>
      </w:r>
      <w:r w:rsidRPr="00472719">
        <w:rPr>
          <w:rFonts w:ascii="Book Antiqua" w:hAnsi="Book Antiqua"/>
          <w:color w:val="000000"/>
        </w:rPr>
        <w:t>365185</w:t>
      </w:r>
      <w:r w:rsidR="00F6294A" w:rsidRPr="00472719">
        <w:rPr>
          <w:rFonts w:ascii="Book Antiqua" w:hAnsi="Book Antiqua"/>
          <w:color w:val="0A0905"/>
        </w:rPr>
        <w:t xml:space="preserve">   </w:t>
      </w:r>
      <w:r w:rsidRPr="00472719">
        <w:rPr>
          <w:rFonts w:ascii="Book Antiqua" w:hAnsi="Book Antiqua"/>
          <w:color w:val="0A0905"/>
        </w:rPr>
        <w:t xml:space="preserve"> </w:t>
      </w:r>
    </w:p>
    <w:p w14:paraId="5DD20F52" w14:textId="77777777" w:rsidR="006C72E8" w:rsidRPr="00472719" w:rsidRDefault="006C72E8" w:rsidP="00472719">
      <w:pPr>
        <w:adjustRightInd w:val="0"/>
        <w:snapToGrid w:val="0"/>
        <w:spacing w:line="360" w:lineRule="auto"/>
        <w:jc w:val="both"/>
        <w:rPr>
          <w:rFonts w:ascii="Book Antiqua" w:hAnsi="Book Antiqua"/>
          <w:b/>
        </w:rPr>
      </w:pPr>
    </w:p>
    <w:p w14:paraId="5EA2B1AD" w14:textId="4DE73B6C" w:rsidR="006C72E8" w:rsidRPr="00472719" w:rsidRDefault="006C72E8" w:rsidP="00472719">
      <w:pPr>
        <w:adjustRightInd w:val="0"/>
        <w:snapToGrid w:val="0"/>
        <w:spacing w:line="360" w:lineRule="auto"/>
        <w:jc w:val="both"/>
        <w:rPr>
          <w:rFonts w:ascii="Book Antiqua" w:hAnsi="Book Antiqua"/>
          <w:b/>
        </w:rPr>
      </w:pPr>
      <w:r w:rsidRPr="00472719">
        <w:rPr>
          <w:rFonts w:ascii="Book Antiqua" w:hAnsi="Book Antiqua"/>
          <w:b/>
        </w:rPr>
        <w:t xml:space="preserve">Received: </w:t>
      </w:r>
      <w:r w:rsidR="00F6294A" w:rsidRPr="00472719">
        <w:rPr>
          <w:rFonts w:ascii="Book Antiqua" w:hAnsi="Book Antiqua"/>
        </w:rPr>
        <w:t>April</w:t>
      </w:r>
      <w:r w:rsidR="00F6294A" w:rsidRPr="00472719">
        <w:rPr>
          <w:rFonts w:ascii="Book Antiqua" w:hAnsi="Book Antiqua"/>
          <w:lang w:eastAsia="zh-CN"/>
        </w:rPr>
        <w:t xml:space="preserve"> 28, 2015</w:t>
      </w:r>
      <w:r w:rsidR="00F6294A" w:rsidRPr="00472719">
        <w:rPr>
          <w:rFonts w:ascii="Book Antiqua" w:hAnsi="Book Antiqua"/>
          <w:b/>
        </w:rPr>
        <w:t xml:space="preserve"> </w:t>
      </w:r>
    </w:p>
    <w:p w14:paraId="2287217A" w14:textId="46ED160A" w:rsidR="006C72E8" w:rsidRPr="00472719" w:rsidRDefault="006C72E8" w:rsidP="00472719">
      <w:pPr>
        <w:adjustRightInd w:val="0"/>
        <w:snapToGrid w:val="0"/>
        <w:spacing w:line="360" w:lineRule="auto"/>
        <w:jc w:val="both"/>
        <w:rPr>
          <w:rFonts w:ascii="Book Antiqua" w:hAnsi="Book Antiqua"/>
          <w:b/>
          <w:lang w:eastAsia="zh-CN"/>
        </w:rPr>
      </w:pPr>
      <w:r w:rsidRPr="00472719">
        <w:rPr>
          <w:rFonts w:ascii="Book Antiqua" w:hAnsi="Book Antiqua"/>
          <w:b/>
        </w:rPr>
        <w:t>Peer-review started:</w:t>
      </w:r>
      <w:r w:rsidR="00F6294A" w:rsidRPr="00472719">
        <w:rPr>
          <w:rFonts w:ascii="Book Antiqua" w:hAnsi="Book Antiqua"/>
          <w:b/>
          <w:lang w:eastAsia="zh-CN"/>
        </w:rPr>
        <w:t xml:space="preserve"> </w:t>
      </w:r>
      <w:r w:rsidR="00F6294A" w:rsidRPr="00472719">
        <w:rPr>
          <w:rFonts w:ascii="Book Antiqua" w:hAnsi="Book Antiqua"/>
        </w:rPr>
        <w:t>May</w:t>
      </w:r>
      <w:r w:rsidR="00F6294A" w:rsidRPr="00472719">
        <w:rPr>
          <w:rFonts w:ascii="Book Antiqua" w:hAnsi="Book Antiqua"/>
          <w:lang w:eastAsia="zh-CN"/>
        </w:rPr>
        <w:t xml:space="preserve"> 6, 2015</w:t>
      </w:r>
    </w:p>
    <w:p w14:paraId="351C00D0" w14:textId="2367D5E7" w:rsidR="006C72E8" w:rsidRPr="00472719" w:rsidRDefault="006C72E8" w:rsidP="00472719">
      <w:pPr>
        <w:adjustRightInd w:val="0"/>
        <w:snapToGrid w:val="0"/>
        <w:spacing w:line="360" w:lineRule="auto"/>
        <w:jc w:val="both"/>
        <w:rPr>
          <w:rFonts w:ascii="Book Antiqua" w:hAnsi="Book Antiqua"/>
          <w:b/>
          <w:lang w:eastAsia="zh-CN"/>
        </w:rPr>
      </w:pPr>
      <w:r w:rsidRPr="00472719">
        <w:rPr>
          <w:rFonts w:ascii="Book Antiqua" w:hAnsi="Book Antiqua"/>
          <w:b/>
        </w:rPr>
        <w:t>First decision:</w:t>
      </w:r>
      <w:r w:rsidR="00F6294A" w:rsidRPr="00472719">
        <w:rPr>
          <w:rFonts w:ascii="Book Antiqua" w:hAnsi="Book Antiqua"/>
          <w:b/>
          <w:lang w:eastAsia="zh-CN"/>
        </w:rPr>
        <w:t xml:space="preserve"> </w:t>
      </w:r>
      <w:r w:rsidR="00F6294A" w:rsidRPr="00472719">
        <w:rPr>
          <w:rFonts w:ascii="Book Antiqua" w:hAnsi="Book Antiqua"/>
        </w:rPr>
        <w:t>June</w:t>
      </w:r>
      <w:r w:rsidR="00F6294A" w:rsidRPr="00472719">
        <w:rPr>
          <w:rFonts w:ascii="Book Antiqua" w:hAnsi="Book Antiqua"/>
          <w:lang w:eastAsia="zh-CN"/>
        </w:rPr>
        <w:t xml:space="preserve"> 2, 2015</w:t>
      </w:r>
    </w:p>
    <w:p w14:paraId="0E580DF2" w14:textId="2C4768F8" w:rsidR="006C72E8" w:rsidRPr="00472719" w:rsidRDefault="006C72E8" w:rsidP="00472719">
      <w:pPr>
        <w:adjustRightInd w:val="0"/>
        <w:snapToGrid w:val="0"/>
        <w:spacing w:line="360" w:lineRule="auto"/>
        <w:jc w:val="both"/>
        <w:rPr>
          <w:rFonts w:ascii="Book Antiqua" w:hAnsi="Book Antiqua"/>
          <w:b/>
        </w:rPr>
      </w:pPr>
      <w:r w:rsidRPr="00472719">
        <w:rPr>
          <w:rFonts w:ascii="Book Antiqua" w:hAnsi="Book Antiqua"/>
          <w:b/>
        </w:rPr>
        <w:t>Revised:</w:t>
      </w:r>
      <w:r w:rsidR="00F6294A" w:rsidRPr="00472719">
        <w:rPr>
          <w:rFonts w:ascii="Book Antiqua" w:hAnsi="Book Antiqua"/>
          <w:b/>
          <w:lang w:eastAsia="zh-CN"/>
        </w:rPr>
        <w:t xml:space="preserve"> </w:t>
      </w:r>
      <w:r w:rsidR="00F6294A" w:rsidRPr="00472719">
        <w:rPr>
          <w:rFonts w:ascii="Book Antiqua" w:hAnsi="Book Antiqua"/>
        </w:rPr>
        <w:t>June</w:t>
      </w:r>
      <w:r w:rsidR="00F6294A" w:rsidRPr="00472719">
        <w:rPr>
          <w:rFonts w:ascii="Book Antiqua" w:hAnsi="Book Antiqua"/>
          <w:lang w:eastAsia="zh-CN"/>
        </w:rPr>
        <w:t xml:space="preserve"> 24, 2015</w:t>
      </w:r>
      <w:r w:rsidR="00F6294A" w:rsidRPr="00472719">
        <w:rPr>
          <w:rFonts w:ascii="Book Antiqua" w:hAnsi="Book Antiqua"/>
          <w:b/>
        </w:rPr>
        <w:t xml:space="preserve"> </w:t>
      </w:r>
    </w:p>
    <w:p w14:paraId="631BC358" w14:textId="3A62822C" w:rsidR="006C72E8" w:rsidRPr="00FA788A" w:rsidRDefault="006C72E8" w:rsidP="00FA788A">
      <w:pPr>
        <w:spacing w:line="360" w:lineRule="auto"/>
        <w:rPr>
          <w:rFonts w:ascii="Book Antiqua" w:hAnsi="Book Antiqua"/>
          <w:color w:val="000000"/>
        </w:rPr>
      </w:pPr>
      <w:r w:rsidRPr="00472719">
        <w:rPr>
          <w:rFonts w:ascii="Book Antiqua" w:hAnsi="Book Antiqua"/>
          <w:b/>
        </w:rPr>
        <w:t>Accepted:</w:t>
      </w:r>
      <w:bookmarkStart w:id="5" w:name="OLE_LINK99"/>
      <w:bookmarkStart w:id="6" w:name="OLE_LINK104"/>
      <w:bookmarkStart w:id="7" w:name="OLE_LINK110"/>
      <w:bookmarkStart w:id="8" w:name="OLE_LINK111"/>
      <w:bookmarkStart w:id="9" w:name="OLE_LINK115"/>
      <w:bookmarkStart w:id="10" w:name="OLE_LINK116"/>
      <w:bookmarkStart w:id="11" w:name="OLE_LINK117"/>
      <w:bookmarkStart w:id="12" w:name="OLE_LINK118"/>
      <w:bookmarkStart w:id="13" w:name="OLE_LINK119"/>
      <w:bookmarkStart w:id="14" w:name="OLE_LINK120"/>
      <w:bookmarkStart w:id="15" w:name="OLE_LINK121"/>
      <w:bookmarkStart w:id="16" w:name="OLE_LINK122"/>
      <w:bookmarkStart w:id="17" w:name="OLE_LINK125"/>
      <w:bookmarkStart w:id="18" w:name="OLE_LINK126"/>
      <w:bookmarkStart w:id="19" w:name="OLE_LINK127"/>
      <w:bookmarkStart w:id="20" w:name="OLE_LINK129"/>
      <w:bookmarkStart w:id="21" w:name="OLE_LINK132"/>
      <w:r w:rsidR="00FA788A" w:rsidRPr="00FA788A">
        <w:rPr>
          <w:rFonts w:ascii="Book Antiqua" w:hAnsi="Book Antiqua"/>
          <w:color w:val="000000"/>
        </w:rPr>
        <w:t xml:space="preserve"> </w:t>
      </w:r>
      <w:r w:rsidR="00FA788A">
        <w:rPr>
          <w:rFonts w:ascii="Book Antiqua" w:hAnsi="Book Antiqua"/>
          <w:color w:val="000000"/>
        </w:rPr>
        <w:t>August 30</w:t>
      </w:r>
      <w:r w:rsidR="00FA788A" w:rsidRPr="006F0407">
        <w:rPr>
          <w:rFonts w:ascii="Book Antiqua" w:hAnsi="Book Antiqua"/>
          <w:color w:val="000000"/>
        </w:rPr>
        <w:t>, 2015</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F6294A" w:rsidRPr="00472719">
        <w:rPr>
          <w:rFonts w:ascii="Book Antiqua" w:hAnsi="Book Antiqua"/>
          <w:b/>
        </w:rPr>
        <w:t xml:space="preserve"> </w:t>
      </w:r>
    </w:p>
    <w:p w14:paraId="3B21FD48" w14:textId="77777777" w:rsidR="006C72E8" w:rsidRPr="00472719" w:rsidRDefault="006C72E8" w:rsidP="00472719">
      <w:pPr>
        <w:adjustRightInd w:val="0"/>
        <w:snapToGrid w:val="0"/>
        <w:spacing w:line="360" w:lineRule="auto"/>
        <w:jc w:val="both"/>
        <w:rPr>
          <w:rFonts w:ascii="Book Antiqua" w:hAnsi="Book Antiqua"/>
          <w:b/>
        </w:rPr>
      </w:pPr>
      <w:r w:rsidRPr="00472719">
        <w:rPr>
          <w:rFonts w:ascii="Book Antiqua" w:hAnsi="Book Antiqua"/>
          <w:b/>
        </w:rPr>
        <w:t>Article in press:</w:t>
      </w:r>
    </w:p>
    <w:p w14:paraId="21FE85BB" w14:textId="77777777" w:rsidR="006C72E8" w:rsidRPr="00472719" w:rsidRDefault="006C72E8" w:rsidP="00472719">
      <w:pPr>
        <w:adjustRightInd w:val="0"/>
        <w:snapToGrid w:val="0"/>
        <w:spacing w:line="360" w:lineRule="auto"/>
        <w:jc w:val="both"/>
        <w:rPr>
          <w:rFonts w:ascii="Book Antiqua" w:hAnsi="Book Antiqua"/>
        </w:rPr>
      </w:pPr>
      <w:r w:rsidRPr="00472719">
        <w:rPr>
          <w:rFonts w:ascii="Book Antiqua" w:hAnsi="Book Antiqua"/>
          <w:b/>
        </w:rPr>
        <w:t>Published online:</w:t>
      </w:r>
    </w:p>
    <w:p w14:paraId="683A03D5" w14:textId="77777777" w:rsidR="004346C1" w:rsidRPr="00472719" w:rsidRDefault="004346C1" w:rsidP="00472719">
      <w:pPr>
        <w:tabs>
          <w:tab w:val="left" w:pos="-720"/>
        </w:tabs>
        <w:suppressAutoHyphens/>
        <w:adjustRightInd w:val="0"/>
        <w:snapToGrid w:val="0"/>
        <w:spacing w:line="360" w:lineRule="auto"/>
        <w:jc w:val="both"/>
        <w:rPr>
          <w:rFonts w:ascii="Book Antiqua" w:hAnsi="Book Antiqua"/>
        </w:rPr>
      </w:pPr>
    </w:p>
    <w:p w14:paraId="07E1106E" w14:textId="26E5CE06" w:rsidR="007E64A8" w:rsidRPr="00472719" w:rsidRDefault="007E64A8" w:rsidP="00472719">
      <w:pPr>
        <w:adjustRightInd w:val="0"/>
        <w:snapToGrid w:val="0"/>
        <w:spacing w:line="360" w:lineRule="auto"/>
        <w:jc w:val="both"/>
        <w:rPr>
          <w:rFonts w:ascii="Book Antiqua" w:hAnsi="Book Antiqua"/>
        </w:rPr>
      </w:pPr>
    </w:p>
    <w:p w14:paraId="60400DF9" w14:textId="0E190FF3" w:rsidR="00F6294A" w:rsidRPr="00472719" w:rsidRDefault="00F6294A"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br w:type="page"/>
      </w:r>
    </w:p>
    <w:p w14:paraId="7285A3EF" w14:textId="77777777" w:rsidR="00FC36A1" w:rsidRPr="00472719" w:rsidRDefault="00FC36A1" w:rsidP="00472719">
      <w:pPr>
        <w:autoSpaceDE w:val="0"/>
        <w:autoSpaceDN w:val="0"/>
        <w:adjustRightInd w:val="0"/>
        <w:snapToGrid w:val="0"/>
        <w:spacing w:line="360" w:lineRule="auto"/>
        <w:jc w:val="both"/>
        <w:rPr>
          <w:rFonts w:ascii="Book Antiqua" w:hAnsi="Book Antiqua"/>
        </w:rPr>
      </w:pPr>
    </w:p>
    <w:p w14:paraId="7D960A99" w14:textId="26FAF0F4" w:rsidR="0062730F" w:rsidRPr="00472719" w:rsidRDefault="009D798B" w:rsidP="00472719">
      <w:pPr>
        <w:autoSpaceDE w:val="0"/>
        <w:autoSpaceDN w:val="0"/>
        <w:adjustRightInd w:val="0"/>
        <w:snapToGrid w:val="0"/>
        <w:spacing w:line="360" w:lineRule="auto"/>
        <w:jc w:val="both"/>
        <w:rPr>
          <w:rFonts w:ascii="Book Antiqua" w:hAnsi="Book Antiqua"/>
          <w:b/>
        </w:rPr>
      </w:pPr>
      <w:r w:rsidRPr="00472719">
        <w:rPr>
          <w:rFonts w:ascii="Book Antiqua" w:hAnsi="Book Antiqua"/>
          <w:b/>
        </w:rPr>
        <w:t>Abstract</w:t>
      </w:r>
    </w:p>
    <w:p w14:paraId="00218021" w14:textId="696DD224" w:rsidR="007E64A8" w:rsidRPr="00472719" w:rsidRDefault="007E64A8"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t xml:space="preserve">The revised Atlanta classification of acute pancreatitis was induced by international consensus and </w:t>
      </w:r>
      <w:r w:rsidRPr="00472719">
        <w:rPr>
          <w:rFonts w:ascii="Book Antiqua" w:hAnsi="Book Antiqua"/>
        </w:rPr>
        <w:t>is based on the actual local and systemic determinants of severity. The local determinant includes pancreatic necrosis (sterile or infected) and the systemic determinant involves organ failure.</w:t>
      </w:r>
      <w:r w:rsidRPr="00472719">
        <w:rPr>
          <w:rFonts w:ascii="Book Antiqua" w:hAnsi="Book Antiqua"/>
          <w:lang w:eastAsia="zh-CN"/>
        </w:rPr>
        <w:t xml:space="preserve"> Local complications of pancreatitis include acute </w:t>
      </w:r>
      <w:proofErr w:type="spellStart"/>
      <w:r w:rsidRPr="00472719">
        <w:rPr>
          <w:rFonts w:ascii="Book Antiqua" w:hAnsi="Book Antiqua"/>
          <w:lang w:eastAsia="zh-CN"/>
        </w:rPr>
        <w:t>peri</w:t>
      </w:r>
      <w:proofErr w:type="spellEnd"/>
      <w:r w:rsidRPr="00472719">
        <w:rPr>
          <w:rFonts w:ascii="Book Antiqua" w:hAnsi="Book Antiqua"/>
          <w:lang w:eastAsia="zh-CN"/>
        </w:rPr>
        <w:t xml:space="preserve">-pancreatic fluid collection, acute necrotic collection, </w:t>
      </w:r>
      <w:proofErr w:type="spellStart"/>
      <w:r w:rsidRPr="00472719">
        <w:rPr>
          <w:rFonts w:ascii="Book Antiqua" w:hAnsi="Book Antiqua"/>
          <w:lang w:eastAsia="zh-CN"/>
        </w:rPr>
        <w:t>pseudocyst</w:t>
      </w:r>
      <w:proofErr w:type="spellEnd"/>
      <w:r w:rsidRPr="00472719">
        <w:rPr>
          <w:rFonts w:ascii="Book Antiqua" w:hAnsi="Book Antiqua"/>
          <w:lang w:eastAsia="zh-CN"/>
        </w:rPr>
        <w:t xml:space="preserve">, and walled-off necrosis. Increasingly, interventional endoscopic ultrasound (EUS) is utilized in the management of these local complications. </w:t>
      </w:r>
      <w:r w:rsidR="00AE7DDD" w:rsidRPr="00472719">
        <w:rPr>
          <w:rFonts w:ascii="Book Antiqua" w:hAnsi="Book Antiqua"/>
          <w:color w:val="000000"/>
        </w:rPr>
        <w:t xml:space="preserve">The authors performed PubMed search and a pre-defined inclusion criteria or filter was then manually applied. </w:t>
      </w:r>
      <w:r w:rsidR="00AE7DDD" w:rsidRPr="00472719">
        <w:rPr>
          <w:rFonts w:ascii="Book Antiqua" w:hAnsi="Book Antiqua"/>
          <w:lang w:eastAsia="zh-CN"/>
        </w:rPr>
        <w:t>The authors</w:t>
      </w:r>
      <w:r w:rsidRPr="00472719">
        <w:rPr>
          <w:rFonts w:ascii="Book Antiqua" w:hAnsi="Book Antiqua"/>
          <w:lang w:eastAsia="zh-CN"/>
        </w:rPr>
        <w:t xml:space="preserve"> reviewed the utility, efficacy and risks of therapeutic EUS and involved EUS devices among these settings, which we grouped as pancreatic fluid collections</w:t>
      </w:r>
      <w:r w:rsidR="00AE7DDD" w:rsidRPr="00472719">
        <w:rPr>
          <w:rFonts w:ascii="Book Antiqua" w:hAnsi="Book Antiqua"/>
          <w:lang w:eastAsia="zh-CN"/>
        </w:rPr>
        <w:t xml:space="preserve"> (PFC)</w:t>
      </w:r>
      <w:r w:rsidRPr="00472719">
        <w:rPr>
          <w:rFonts w:ascii="Book Antiqua" w:hAnsi="Book Antiqua"/>
          <w:lang w:eastAsia="zh-CN"/>
        </w:rPr>
        <w:t xml:space="preserve">. </w:t>
      </w:r>
      <w:r w:rsidR="00AE7DDD" w:rsidRPr="00472719">
        <w:rPr>
          <w:rFonts w:ascii="Book Antiqua" w:hAnsi="Book Antiqua"/>
          <w:lang w:eastAsia="zh-CN"/>
        </w:rPr>
        <w:t xml:space="preserve">The authors predict a continuing evolution in the management of these PFCs with improved and novel endoscopic devices dedicated for transmural drainage of fluid and necrotic debris: access and patency devices. EUS should become an indispensable part of this procedure for diagnosis and </w:t>
      </w:r>
      <w:r w:rsidR="008C0BF4" w:rsidRPr="00472719">
        <w:rPr>
          <w:rFonts w:ascii="Book Antiqua" w:hAnsi="Book Antiqua"/>
          <w:lang w:eastAsia="zh-CN"/>
        </w:rPr>
        <w:t xml:space="preserve">image guided interventions. </w:t>
      </w:r>
      <w:r w:rsidR="00AE7DDD" w:rsidRPr="00472719">
        <w:rPr>
          <w:rFonts w:ascii="Book Antiqua" w:hAnsi="Book Antiqua"/>
          <w:lang w:eastAsia="zh-CN"/>
        </w:rPr>
        <w:t>The</w:t>
      </w:r>
      <w:r w:rsidR="00AE7DDD" w:rsidRPr="00472719">
        <w:rPr>
          <w:rFonts w:ascii="Book Antiqua" w:hAnsi="Book Antiqua"/>
          <w:color w:val="000000"/>
        </w:rPr>
        <w:t xml:space="preserve"> amount of necrosis is the most important predictor of successful outcome after drainage of these PFCs, regardless of their different terminologies. Hence it would seem logical to classify these collections based on the percentage of necrotic component or debris under radiological imaging studies or EUS. </w:t>
      </w:r>
      <w:r w:rsidRPr="00472719">
        <w:rPr>
          <w:rFonts w:ascii="Book Antiqua" w:hAnsi="Book Antiqua"/>
          <w:lang w:eastAsia="zh-CN"/>
        </w:rPr>
        <w:t xml:space="preserve">The authors propose an </w:t>
      </w:r>
      <w:r w:rsidR="004A7673" w:rsidRPr="00472719">
        <w:rPr>
          <w:rFonts w:ascii="Book Antiqua" w:hAnsi="Book Antiqua"/>
          <w:lang w:eastAsia="zh-CN"/>
        </w:rPr>
        <w:t xml:space="preserve">algorithm </w:t>
      </w:r>
      <w:r w:rsidRPr="00472719">
        <w:rPr>
          <w:rFonts w:ascii="Book Antiqua" w:hAnsi="Book Antiqua"/>
          <w:lang w:eastAsia="zh-CN"/>
        </w:rPr>
        <w:t xml:space="preserve">in managing these fluid collections based on their size, locations, associated symptoms, internal echogenic patterns and </w:t>
      </w:r>
      <w:r w:rsidR="006B3ACE" w:rsidRPr="00472719">
        <w:rPr>
          <w:rFonts w:ascii="Book Antiqua" w:hAnsi="Book Antiqua"/>
          <w:lang w:eastAsia="zh-CN"/>
        </w:rPr>
        <w:t>content</w:t>
      </w:r>
      <w:r w:rsidRPr="00472719">
        <w:rPr>
          <w:rFonts w:ascii="Book Antiqua" w:hAnsi="Book Antiqua"/>
          <w:lang w:eastAsia="zh-CN"/>
        </w:rPr>
        <w:t>.</w:t>
      </w:r>
      <w:r w:rsidR="00F6294A" w:rsidRPr="00472719">
        <w:rPr>
          <w:rFonts w:ascii="Book Antiqua" w:hAnsi="Book Antiqua"/>
          <w:lang w:eastAsia="zh-CN"/>
        </w:rPr>
        <w:t xml:space="preserve"> </w:t>
      </w:r>
      <w:r w:rsidRPr="00472719">
        <w:rPr>
          <w:rFonts w:ascii="Book Antiqua" w:hAnsi="Book Antiqua"/>
          <w:lang w:eastAsia="zh-CN"/>
        </w:rPr>
        <w:t xml:space="preserve"> </w:t>
      </w:r>
    </w:p>
    <w:p w14:paraId="203D1EDF" w14:textId="77777777" w:rsidR="0013314B" w:rsidRPr="00472719" w:rsidRDefault="0013314B" w:rsidP="00472719">
      <w:pPr>
        <w:autoSpaceDE w:val="0"/>
        <w:autoSpaceDN w:val="0"/>
        <w:adjustRightInd w:val="0"/>
        <w:snapToGrid w:val="0"/>
        <w:spacing w:line="360" w:lineRule="auto"/>
        <w:jc w:val="both"/>
        <w:rPr>
          <w:rFonts w:ascii="Book Antiqua" w:hAnsi="Book Antiqua"/>
          <w:b/>
        </w:rPr>
      </w:pPr>
    </w:p>
    <w:p w14:paraId="7F3943FC" w14:textId="2F7DA5A1" w:rsidR="00B845F4" w:rsidRPr="00472719" w:rsidRDefault="00B845F4" w:rsidP="00472719">
      <w:pPr>
        <w:autoSpaceDE w:val="0"/>
        <w:autoSpaceDN w:val="0"/>
        <w:adjustRightInd w:val="0"/>
        <w:snapToGrid w:val="0"/>
        <w:spacing w:line="360" w:lineRule="auto"/>
        <w:jc w:val="both"/>
        <w:rPr>
          <w:rFonts w:ascii="Book Antiqua" w:hAnsi="Book Antiqua"/>
          <w:b/>
          <w:lang w:eastAsia="zh-CN"/>
        </w:rPr>
      </w:pPr>
      <w:r w:rsidRPr="00472719">
        <w:rPr>
          <w:rFonts w:ascii="Book Antiqua" w:hAnsi="Book Antiqua"/>
          <w:b/>
        </w:rPr>
        <w:t>Key</w:t>
      </w:r>
      <w:r w:rsidR="00F6294A" w:rsidRPr="00472719">
        <w:rPr>
          <w:rFonts w:ascii="Book Antiqua" w:hAnsi="Book Antiqua"/>
          <w:b/>
          <w:lang w:eastAsia="zh-CN"/>
        </w:rPr>
        <w:t xml:space="preserve"> </w:t>
      </w:r>
      <w:r w:rsidRPr="00472719">
        <w:rPr>
          <w:rFonts w:ascii="Book Antiqua" w:hAnsi="Book Antiqua"/>
          <w:b/>
        </w:rPr>
        <w:t xml:space="preserve">words: </w:t>
      </w:r>
      <w:r w:rsidRPr="00472719">
        <w:rPr>
          <w:rFonts w:ascii="Book Antiqua" w:hAnsi="Book Antiqua"/>
          <w:spacing w:val="-3"/>
        </w:rPr>
        <w:t xml:space="preserve">Endoscopic ultrasound; </w:t>
      </w:r>
      <w:r w:rsidR="00F6294A" w:rsidRPr="00472719">
        <w:rPr>
          <w:rFonts w:ascii="Book Antiqua" w:hAnsi="Book Antiqua"/>
          <w:spacing w:val="-3"/>
        </w:rPr>
        <w:t>Drainage</w:t>
      </w:r>
      <w:r w:rsidRPr="00472719">
        <w:rPr>
          <w:rFonts w:ascii="Book Antiqua" w:hAnsi="Book Antiqua"/>
          <w:spacing w:val="-3"/>
        </w:rPr>
        <w:t xml:space="preserve">; </w:t>
      </w:r>
      <w:r w:rsidR="00F6294A" w:rsidRPr="00472719">
        <w:rPr>
          <w:rFonts w:ascii="Book Antiqua" w:hAnsi="Book Antiqua"/>
          <w:spacing w:val="-3"/>
        </w:rPr>
        <w:t xml:space="preserve">Pancreatic </w:t>
      </w:r>
      <w:r w:rsidRPr="00472719">
        <w:rPr>
          <w:rFonts w:ascii="Book Antiqua" w:hAnsi="Book Antiqua"/>
          <w:spacing w:val="-3"/>
        </w:rPr>
        <w:t xml:space="preserve">fluid collection; </w:t>
      </w:r>
      <w:proofErr w:type="spellStart"/>
      <w:r w:rsidR="00F6294A" w:rsidRPr="00472719">
        <w:rPr>
          <w:rFonts w:ascii="Book Antiqua" w:hAnsi="Book Antiqua"/>
          <w:spacing w:val="-3"/>
        </w:rPr>
        <w:t>Pseudocyst</w:t>
      </w:r>
      <w:proofErr w:type="spellEnd"/>
      <w:r w:rsidRPr="00472719">
        <w:rPr>
          <w:rFonts w:ascii="Book Antiqua" w:hAnsi="Book Antiqua"/>
          <w:spacing w:val="-3"/>
        </w:rPr>
        <w:t xml:space="preserve">; </w:t>
      </w:r>
      <w:r w:rsidR="00F6294A" w:rsidRPr="00472719">
        <w:rPr>
          <w:rFonts w:ascii="Book Antiqua" w:hAnsi="Book Antiqua"/>
          <w:spacing w:val="-3"/>
        </w:rPr>
        <w:t xml:space="preserve">Patency </w:t>
      </w:r>
      <w:r w:rsidRPr="00472719">
        <w:rPr>
          <w:rFonts w:ascii="Book Antiqua" w:hAnsi="Book Antiqua"/>
          <w:spacing w:val="-3"/>
        </w:rPr>
        <w:t xml:space="preserve">device; </w:t>
      </w:r>
      <w:r w:rsidR="00F6294A" w:rsidRPr="00472719">
        <w:rPr>
          <w:rFonts w:ascii="Book Antiqua" w:hAnsi="Book Antiqua"/>
          <w:spacing w:val="-3"/>
        </w:rPr>
        <w:t>Abscess</w:t>
      </w:r>
      <w:r w:rsidRPr="00472719">
        <w:rPr>
          <w:rFonts w:ascii="Book Antiqua" w:hAnsi="Book Antiqua"/>
          <w:spacing w:val="-3"/>
        </w:rPr>
        <w:t xml:space="preserve">; </w:t>
      </w:r>
      <w:r w:rsidR="00F6294A" w:rsidRPr="00472719">
        <w:rPr>
          <w:rFonts w:ascii="Book Antiqua" w:hAnsi="Book Antiqua"/>
          <w:spacing w:val="-3"/>
        </w:rPr>
        <w:t xml:space="preserve">Walled </w:t>
      </w:r>
      <w:r w:rsidRPr="00472719">
        <w:rPr>
          <w:rFonts w:ascii="Book Antiqua" w:hAnsi="Book Antiqua"/>
          <w:spacing w:val="-3"/>
        </w:rPr>
        <w:t xml:space="preserve">of necrosis; </w:t>
      </w:r>
      <w:r w:rsidR="00F6294A" w:rsidRPr="00472719">
        <w:rPr>
          <w:rFonts w:ascii="Book Antiqua" w:hAnsi="Book Antiqua"/>
          <w:spacing w:val="-3"/>
        </w:rPr>
        <w:t>Pancreas</w:t>
      </w:r>
    </w:p>
    <w:p w14:paraId="29147A51" w14:textId="77777777" w:rsidR="004A7673" w:rsidRPr="00472719" w:rsidRDefault="004A7673" w:rsidP="00472719">
      <w:pPr>
        <w:autoSpaceDE w:val="0"/>
        <w:autoSpaceDN w:val="0"/>
        <w:adjustRightInd w:val="0"/>
        <w:snapToGrid w:val="0"/>
        <w:spacing w:line="360" w:lineRule="auto"/>
        <w:jc w:val="both"/>
        <w:rPr>
          <w:rFonts w:ascii="Book Antiqua" w:hAnsi="Book Antiqua"/>
          <w:b/>
        </w:rPr>
      </w:pPr>
    </w:p>
    <w:p w14:paraId="25D9CC62" w14:textId="77777777" w:rsidR="00B845F4" w:rsidRPr="00472719" w:rsidRDefault="00B845F4" w:rsidP="00472719">
      <w:pPr>
        <w:autoSpaceDE w:val="0"/>
        <w:autoSpaceDN w:val="0"/>
        <w:adjustRightInd w:val="0"/>
        <w:snapToGrid w:val="0"/>
        <w:spacing w:line="360" w:lineRule="auto"/>
        <w:jc w:val="both"/>
        <w:rPr>
          <w:rFonts w:ascii="Book Antiqua" w:hAnsi="Book Antiqua" w:cs="Arial Unicode MS"/>
        </w:rPr>
      </w:pPr>
      <w:bookmarkStart w:id="22" w:name="OLE_LINK98"/>
      <w:bookmarkStart w:id="23" w:name="OLE_LINK156"/>
      <w:bookmarkStart w:id="24" w:name="OLE_LINK196"/>
      <w:bookmarkStart w:id="25" w:name="OLE_LINK217"/>
      <w:bookmarkStart w:id="26" w:name="OLE_LINK242"/>
      <w:bookmarkStart w:id="27" w:name="OLE_LINK247"/>
      <w:bookmarkStart w:id="28" w:name="OLE_LINK311"/>
      <w:bookmarkStart w:id="29" w:name="OLE_LINK312"/>
      <w:bookmarkStart w:id="30" w:name="OLE_LINK325"/>
      <w:bookmarkStart w:id="31" w:name="OLE_LINK330"/>
      <w:bookmarkStart w:id="32" w:name="OLE_LINK513"/>
      <w:bookmarkStart w:id="33" w:name="OLE_LINK514"/>
      <w:bookmarkStart w:id="34" w:name="OLE_LINK464"/>
      <w:bookmarkStart w:id="35" w:name="OLE_LINK465"/>
      <w:bookmarkStart w:id="36" w:name="OLE_LINK466"/>
      <w:bookmarkStart w:id="37" w:name="OLE_LINK470"/>
      <w:bookmarkStart w:id="38" w:name="OLE_LINK471"/>
      <w:bookmarkStart w:id="39" w:name="OLE_LINK472"/>
      <w:bookmarkStart w:id="40" w:name="OLE_LINK474"/>
      <w:bookmarkStart w:id="41" w:name="OLE_LINK512"/>
      <w:bookmarkStart w:id="42" w:name="OLE_LINK800"/>
      <w:bookmarkStart w:id="43" w:name="OLE_LINK982"/>
      <w:bookmarkStart w:id="44" w:name="OLE_LINK1027"/>
      <w:bookmarkStart w:id="45" w:name="OLE_LINK504"/>
      <w:bookmarkStart w:id="46" w:name="OLE_LINK546"/>
      <w:bookmarkStart w:id="47" w:name="OLE_LINK547"/>
      <w:bookmarkStart w:id="48" w:name="OLE_LINK575"/>
      <w:bookmarkStart w:id="49" w:name="OLE_LINK640"/>
      <w:bookmarkStart w:id="50" w:name="OLE_LINK672"/>
      <w:bookmarkStart w:id="51" w:name="OLE_LINK714"/>
      <w:bookmarkStart w:id="52" w:name="OLE_LINK651"/>
      <w:bookmarkStart w:id="53" w:name="OLE_LINK652"/>
      <w:bookmarkStart w:id="54" w:name="OLE_LINK744"/>
      <w:bookmarkStart w:id="55" w:name="OLE_LINK758"/>
      <w:bookmarkStart w:id="56" w:name="OLE_LINK787"/>
      <w:bookmarkStart w:id="57" w:name="OLE_LINK807"/>
      <w:bookmarkStart w:id="58" w:name="OLE_LINK820"/>
      <w:bookmarkStart w:id="59" w:name="OLE_LINK862"/>
      <w:bookmarkStart w:id="60" w:name="OLE_LINK879"/>
      <w:bookmarkStart w:id="61" w:name="OLE_LINK906"/>
      <w:bookmarkStart w:id="62" w:name="OLE_LINK928"/>
      <w:bookmarkStart w:id="63" w:name="OLE_LINK960"/>
      <w:bookmarkStart w:id="64" w:name="OLE_LINK861"/>
      <w:bookmarkStart w:id="65" w:name="OLE_LINK983"/>
      <w:bookmarkStart w:id="66" w:name="OLE_LINK1334"/>
      <w:bookmarkStart w:id="67" w:name="OLE_LINK1029"/>
      <w:bookmarkStart w:id="68" w:name="OLE_LINK1060"/>
      <w:bookmarkStart w:id="69" w:name="OLE_LINK1061"/>
      <w:bookmarkStart w:id="70" w:name="OLE_LINK1348"/>
      <w:bookmarkStart w:id="71" w:name="OLE_LINK1086"/>
      <w:bookmarkStart w:id="72" w:name="OLE_LINK1100"/>
      <w:bookmarkStart w:id="73" w:name="OLE_LINK1125"/>
      <w:bookmarkStart w:id="74" w:name="OLE_LINK1163"/>
      <w:bookmarkStart w:id="75" w:name="OLE_LINK1193"/>
      <w:bookmarkStart w:id="76" w:name="OLE_LINK1219"/>
      <w:bookmarkStart w:id="77" w:name="OLE_LINK1247"/>
      <w:bookmarkStart w:id="78" w:name="OLE_LINK1284"/>
      <w:bookmarkStart w:id="79" w:name="OLE_LINK1313"/>
      <w:bookmarkStart w:id="80" w:name="OLE_LINK1361"/>
      <w:bookmarkStart w:id="81" w:name="OLE_LINK1384"/>
      <w:bookmarkStart w:id="82" w:name="OLE_LINK1403"/>
      <w:bookmarkStart w:id="83" w:name="OLE_LINK1437"/>
      <w:bookmarkStart w:id="84" w:name="OLE_LINK1454"/>
      <w:bookmarkStart w:id="85" w:name="OLE_LINK1480"/>
      <w:bookmarkStart w:id="86" w:name="OLE_LINK1504"/>
      <w:bookmarkStart w:id="87" w:name="OLE_LINK1516"/>
      <w:bookmarkStart w:id="88" w:name="OLE_LINK135"/>
      <w:bookmarkStart w:id="89" w:name="OLE_LINK216"/>
      <w:bookmarkStart w:id="90" w:name="OLE_LINK259"/>
      <w:bookmarkStart w:id="91" w:name="OLE_LINK1186"/>
      <w:bookmarkStart w:id="92" w:name="OLE_LINK1265"/>
      <w:bookmarkStart w:id="93" w:name="OLE_LINK1373"/>
      <w:bookmarkStart w:id="94" w:name="OLE_LINK1478"/>
      <w:bookmarkStart w:id="95" w:name="OLE_LINK1644"/>
      <w:bookmarkStart w:id="96" w:name="OLE_LINK1884"/>
      <w:bookmarkStart w:id="97" w:name="OLE_LINK1885"/>
      <w:bookmarkStart w:id="98" w:name="OLE_LINK1538"/>
      <w:bookmarkStart w:id="99" w:name="OLE_LINK1539"/>
      <w:bookmarkStart w:id="100" w:name="OLE_LINK1543"/>
      <w:bookmarkStart w:id="101" w:name="OLE_LINK1549"/>
      <w:bookmarkStart w:id="102" w:name="OLE_LINK1778"/>
      <w:bookmarkStart w:id="103" w:name="OLE_LINK1756"/>
      <w:bookmarkStart w:id="104" w:name="OLE_LINK1776"/>
      <w:bookmarkStart w:id="105" w:name="OLE_LINK1777"/>
      <w:bookmarkStart w:id="106" w:name="OLE_LINK1868"/>
      <w:bookmarkStart w:id="107" w:name="OLE_LINK1744"/>
      <w:bookmarkStart w:id="108" w:name="OLE_LINK1817"/>
      <w:bookmarkStart w:id="109" w:name="OLE_LINK1835"/>
      <w:bookmarkStart w:id="110" w:name="OLE_LINK1866"/>
      <w:bookmarkStart w:id="111" w:name="OLE_LINK1882"/>
      <w:bookmarkStart w:id="112" w:name="OLE_LINK1901"/>
      <w:bookmarkStart w:id="113" w:name="OLE_LINK1902"/>
      <w:bookmarkStart w:id="114" w:name="OLE_LINK2013"/>
      <w:bookmarkStart w:id="115" w:name="OLE_LINK1894"/>
      <w:bookmarkStart w:id="116" w:name="OLE_LINK1929"/>
      <w:bookmarkStart w:id="117" w:name="OLE_LINK1941"/>
      <w:bookmarkStart w:id="118" w:name="OLE_LINK1995"/>
      <w:bookmarkStart w:id="119" w:name="OLE_LINK1938"/>
      <w:bookmarkStart w:id="120" w:name="OLE_LINK2081"/>
      <w:bookmarkStart w:id="121" w:name="OLE_LINK2082"/>
      <w:bookmarkStart w:id="122" w:name="OLE_LINK2292"/>
      <w:bookmarkStart w:id="123" w:name="OLE_LINK1931"/>
      <w:bookmarkStart w:id="124" w:name="OLE_LINK1964"/>
      <w:bookmarkStart w:id="125" w:name="OLE_LINK2020"/>
      <w:bookmarkStart w:id="126" w:name="OLE_LINK2071"/>
      <w:bookmarkStart w:id="127" w:name="OLE_LINK2134"/>
      <w:bookmarkStart w:id="128" w:name="OLE_LINK2265"/>
      <w:bookmarkStart w:id="129" w:name="OLE_LINK2562"/>
      <w:bookmarkStart w:id="130" w:name="OLE_LINK1923"/>
      <w:bookmarkStart w:id="131" w:name="OLE_LINK2192"/>
      <w:bookmarkStart w:id="132" w:name="OLE_LINK2110"/>
      <w:bookmarkStart w:id="133" w:name="OLE_LINK2445"/>
      <w:bookmarkStart w:id="134" w:name="OLE_LINK2446"/>
      <w:bookmarkStart w:id="135" w:name="OLE_LINK2169"/>
      <w:bookmarkStart w:id="136" w:name="OLE_LINK2190"/>
      <w:bookmarkStart w:id="137" w:name="OLE_LINK2331"/>
      <w:bookmarkStart w:id="138" w:name="OLE_LINK2345"/>
      <w:bookmarkStart w:id="139" w:name="OLE_LINK2467"/>
      <w:bookmarkStart w:id="140" w:name="OLE_LINK2484"/>
      <w:bookmarkStart w:id="141" w:name="OLE_LINK2157"/>
      <w:bookmarkStart w:id="142" w:name="OLE_LINK2221"/>
      <w:bookmarkStart w:id="143" w:name="OLE_LINK2252"/>
      <w:bookmarkStart w:id="144" w:name="OLE_LINK2348"/>
      <w:bookmarkStart w:id="145" w:name="OLE_LINK2451"/>
      <w:bookmarkStart w:id="146" w:name="OLE_LINK2627"/>
      <w:bookmarkStart w:id="147" w:name="OLE_LINK2482"/>
      <w:bookmarkStart w:id="148" w:name="OLE_LINK2663"/>
      <w:bookmarkStart w:id="149" w:name="OLE_LINK2761"/>
      <w:bookmarkStart w:id="150" w:name="OLE_LINK2856"/>
      <w:bookmarkStart w:id="151" w:name="OLE_LINK2993"/>
      <w:bookmarkStart w:id="152" w:name="OLE_LINK2643"/>
      <w:bookmarkStart w:id="153" w:name="OLE_LINK2583"/>
      <w:bookmarkStart w:id="154" w:name="OLE_LINK2762"/>
      <w:bookmarkStart w:id="155" w:name="OLE_LINK2962"/>
      <w:bookmarkStart w:id="156" w:name="OLE_LINK2582"/>
      <w:proofErr w:type="gramStart"/>
      <w:r w:rsidRPr="00472719">
        <w:rPr>
          <w:rFonts w:ascii="Book Antiqua" w:hAnsi="Book Antiqua"/>
          <w:b/>
          <w:color w:val="000000"/>
          <w:lang w:val="en-GB"/>
        </w:rPr>
        <w:lastRenderedPageBreak/>
        <w:t xml:space="preserve">© </w:t>
      </w:r>
      <w:r w:rsidRPr="00472719">
        <w:rPr>
          <w:rFonts w:ascii="Book Antiqua" w:eastAsia="AdvTimes" w:hAnsi="Book Antiqua" w:cs="AdvTimes"/>
          <w:b/>
          <w:color w:val="000000"/>
        </w:rPr>
        <w:t>The Author(s) 2015.</w:t>
      </w:r>
      <w:proofErr w:type="gramEnd"/>
      <w:r w:rsidRPr="00472719">
        <w:rPr>
          <w:rFonts w:ascii="Book Antiqua" w:eastAsia="AdvTimes" w:hAnsi="Book Antiqua" w:cs="AdvTimes"/>
          <w:color w:val="000000"/>
        </w:rPr>
        <w:t xml:space="preserve"> </w:t>
      </w:r>
      <w:proofErr w:type="gramStart"/>
      <w:r w:rsidRPr="00472719">
        <w:rPr>
          <w:rFonts w:ascii="Book Antiqua" w:eastAsia="AdvTimes" w:hAnsi="Book Antiqua" w:cs="AdvTimes"/>
          <w:color w:val="000000"/>
        </w:rPr>
        <w:t xml:space="preserve">Published by </w:t>
      </w:r>
      <w:proofErr w:type="spellStart"/>
      <w:r w:rsidRPr="00472719">
        <w:rPr>
          <w:rFonts w:ascii="Book Antiqua" w:hAnsi="Book Antiqua" w:cs="Arial Unicode MS"/>
          <w:color w:val="000000"/>
          <w:lang w:val="en-GB"/>
        </w:rPr>
        <w:t>Baishideng</w:t>
      </w:r>
      <w:proofErr w:type="spellEnd"/>
      <w:r w:rsidRPr="00472719">
        <w:rPr>
          <w:rFonts w:ascii="Book Antiqua" w:hAnsi="Book Antiqua" w:cs="Arial Unicode MS"/>
          <w:color w:val="000000"/>
          <w:lang w:val="en-GB"/>
        </w:rPr>
        <w:t xml:space="preserve"> Publishing Group Inc.</w:t>
      </w:r>
      <w:proofErr w:type="gramEnd"/>
      <w:r w:rsidRPr="00472719">
        <w:rPr>
          <w:rFonts w:ascii="Book Antiqua" w:hAnsi="Book Antiqua" w:cs="Arial Unicode MS"/>
        </w:rPr>
        <w:t xml:space="preserve"> All rights reserved.</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2F828D17" w14:textId="77777777" w:rsidR="00B845F4" w:rsidRPr="00472719" w:rsidRDefault="00B845F4" w:rsidP="00472719">
      <w:pPr>
        <w:adjustRightInd w:val="0"/>
        <w:snapToGrid w:val="0"/>
        <w:spacing w:line="360" w:lineRule="auto"/>
        <w:jc w:val="both"/>
        <w:rPr>
          <w:rFonts w:ascii="Book Antiqua" w:hAnsi="Book Antiqua"/>
          <w:b/>
        </w:rPr>
      </w:pPr>
    </w:p>
    <w:p w14:paraId="3C777122" w14:textId="0247DC1F" w:rsidR="00B845F4" w:rsidRPr="00472719" w:rsidRDefault="00B845F4" w:rsidP="00472719">
      <w:pPr>
        <w:adjustRightInd w:val="0"/>
        <w:snapToGrid w:val="0"/>
        <w:spacing w:line="360" w:lineRule="auto"/>
        <w:jc w:val="both"/>
        <w:rPr>
          <w:rFonts w:ascii="Book Antiqua" w:eastAsia="Arial Unicode MS" w:hAnsi="Book Antiqua"/>
          <w:color w:val="0000FF"/>
        </w:rPr>
      </w:pPr>
      <w:bookmarkStart w:id="157" w:name="OLE_LINK33"/>
      <w:bookmarkStart w:id="158" w:name="OLE_LINK34"/>
      <w:bookmarkStart w:id="159" w:name="OLE_LINK49"/>
      <w:r w:rsidRPr="00472719">
        <w:rPr>
          <w:rFonts w:ascii="Book Antiqua" w:eastAsia="Arial Unicode MS" w:hAnsi="Book Antiqua"/>
          <w:b/>
        </w:rPr>
        <w:t xml:space="preserve">Core </w:t>
      </w:r>
      <w:r w:rsidRPr="00472719">
        <w:rPr>
          <w:rFonts w:ascii="Book Antiqua" w:hAnsi="Book Antiqua"/>
          <w:b/>
        </w:rPr>
        <w:t>tip</w:t>
      </w:r>
      <w:r w:rsidRPr="00472719">
        <w:rPr>
          <w:rFonts w:ascii="Book Antiqua" w:eastAsia="Arial Unicode MS" w:hAnsi="Book Antiqua"/>
          <w:b/>
        </w:rPr>
        <w:t>:</w:t>
      </w:r>
      <w:bookmarkEnd w:id="157"/>
      <w:bookmarkEnd w:id="158"/>
      <w:bookmarkEnd w:id="159"/>
      <w:r w:rsidRPr="00472719">
        <w:rPr>
          <w:rFonts w:ascii="Book Antiqua" w:eastAsia="Arial Unicode MS" w:hAnsi="Book Antiqua"/>
          <w:b/>
        </w:rPr>
        <w:t xml:space="preserve"> </w:t>
      </w:r>
      <w:r w:rsidR="00DF59A6" w:rsidRPr="00472719">
        <w:rPr>
          <w:rFonts w:ascii="Book Antiqua" w:hAnsi="Book Antiqua"/>
          <w:lang w:eastAsia="da-DK"/>
        </w:rPr>
        <w:t xml:space="preserve">The revised Atlanta classification of acute pancreatitis was induced by international consensus and is based on the actual local and systemic determinants of severity. Local complications of pancreatitis include acute </w:t>
      </w:r>
      <w:proofErr w:type="spellStart"/>
      <w:r w:rsidR="00DF59A6" w:rsidRPr="00472719">
        <w:rPr>
          <w:rFonts w:ascii="Book Antiqua" w:hAnsi="Book Antiqua"/>
          <w:lang w:eastAsia="da-DK"/>
        </w:rPr>
        <w:t>peri</w:t>
      </w:r>
      <w:proofErr w:type="spellEnd"/>
      <w:r w:rsidR="00DF59A6" w:rsidRPr="00472719">
        <w:rPr>
          <w:rFonts w:ascii="Book Antiqua" w:hAnsi="Book Antiqua"/>
          <w:lang w:eastAsia="da-DK"/>
        </w:rPr>
        <w:t xml:space="preserve">-pancreatic fluid collection, acute necrotic collection, </w:t>
      </w:r>
      <w:proofErr w:type="spellStart"/>
      <w:r w:rsidR="00DF59A6" w:rsidRPr="00472719">
        <w:rPr>
          <w:rFonts w:ascii="Book Antiqua" w:hAnsi="Book Antiqua"/>
          <w:lang w:eastAsia="da-DK"/>
        </w:rPr>
        <w:t>pseudocyst</w:t>
      </w:r>
      <w:proofErr w:type="spellEnd"/>
      <w:r w:rsidR="00DF59A6" w:rsidRPr="00472719">
        <w:rPr>
          <w:rFonts w:ascii="Book Antiqua" w:hAnsi="Book Antiqua"/>
          <w:lang w:eastAsia="da-DK"/>
        </w:rPr>
        <w:t>, and walled-off necrosis. Increasingly, interventional endoscopic ultrasound (EUS) is utilized in the management. In this review, the authors reviewed the utility, efficacy and risks of therapeutic EUS and involved EUS devices among these settings. The authors propose an algorithm in managing these fluid collections based on their size, locations, associated symptoms, internal echogenic patterns and content.</w:t>
      </w:r>
    </w:p>
    <w:p w14:paraId="65FEAB2F" w14:textId="77777777" w:rsidR="00DF59A6" w:rsidRPr="00472719" w:rsidRDefault="00DF59A6" w:rsidP="00472719">
      <w:pPr>
        <w:adjustRightInd w:val="0"/>
        <w:snapToGrid w:val="0"/>
        <w:spacing w:line="360" w:lineRule="auto"/>
        <w:jc w:val="both"/>
        <w:rPr>
          <w:rFonts w:ascii="Book Antiqua" w:hAnsi="Book Antiqua"/>
          <w:b/>
          <w:color w:val="000000"/>
        </w:rPr>
      </w:pPr>
    </w:p>
    <w:p w14:paraId="4DD30C80" w14:textId="10CD4627" w:rsidR="00F6294A" w:rsidRPr="00472719" w:rsidRDefault="00F6294A" w:rsidP="00472719">
      <w:pPr>
        <w:adjustRightInd w:val="0"/>
        <w:snapToGrid w:val="0"/>
        <w:spacing w:line="360" w:lineRule="auto"/>
        <w:jc w:val="both"/>
        <w:rPr>
          <w:rFonts w:ascii="Book Antiqua" w:hAnsi="Book Antiqua"/>
          <w:lang w:eastAsia="zh-CN"/>
        </w:rPr>
      </w:pPr>
      <w:proofErr w:type="spellStart"/>
      <w:r w:rsidRPr="00472719">
        <w:rPr>
          <w:rFonts w:ascii="Book Antiqua" w:hAnsi="Book Antiqua"/>
        </w:rPr>
        <w:t>Vilmann</w:t>
      </w:r>
      <w:proofErr w:type="spellEnd"/>
      <w:r w:rsidRPr="00472719">
        <w:rPr>
          <w:rFonts w:ascii="Book Antiqua" w:hAnsi="Book Antiqua"/>
          <w:lang w:eastAsia="zh-CN"/>
        </w:rPr>
        <w:t xml:space="preserve"> AS</w:t>
      </w:r>
      <w:r w:rsidRPr="00472719">
        <w:rPr>
          <w:rFonts w:ascii="Book Antiqua" w:hAnsi="Book Antiqua"/>
        </w:rPr>
        <w:t xml:space="preserve">, </w:t>
      </w:r>
      <w:proofErr w:type="spellStart"/>
      <w:r w:rsidRPr="00472719">
        <w:rPr>
          <w:rFonts w:ascii="Book Antiqua" w:hAnsi="Book Antiqua"/>
        </w:rPr>
        <w:t>Menachery</w:t>
      </w:r>
      <w:proofErr w:type="spellEnd"/>
      <w:r w:rsidRPr="00472719">
        <w:rPr>
          <w:rFonts w:ascii="Book Antiqua" w:hAnsi="Book Antiqua"/>
          <w:lang w:eastAsia="zh-CN"/>
        </w:rPr>
        <w:t xml:space="preserve"> J</w:t>
      </w:r>
      <w:r w:rsidRPr="00472719">
        <w:rPr>
          <w:rFonts w:ascii="Book Antiqua" w:hAnsi="Book Antiqua"/>
        </w:rPr>
        <w:t>, Tang</w:t>
      </w:r>
      <w:r w:rsidRPr="00472719">
        <w:rPr>
          <w:rFonts w:ascii="Book Antiqua" w:hAnsi="Book Antiqua"/>
          <w:lang w:eastAsia="zh-CN"/>
        </w:rPr>
        <w:t xml:space="preserve"> SJ</w:t>
      </w:r>
      <w:r w:rsidRPr="00472719">
        <w:rPr>
          <w:rFonts w:ascii="Book Antiqua" w:hAnsi="Book Antiqua"/>
        </w:rPr>
        <w:t>, Srinivasan</w:t>
      </w:r>
      <w:r w:rsidRPr="00472719">
        <w:rPr>
          <w:rFonts w:ascii="Book Antiqua" w:hAnsi="Book Antiqua"/>
          <w:lang w:eastAsia="zh-CN"/>
        </w:rPr>
        <w:t xml:space="preserve"> I</w:t>
      </w:r>
      <w:r w:rsidRPr="00472719">
        <w:rPr>
          <w:rFonts w:ascii="Book Antiqua" w:hAnsi="Book Antiqua"/>
        </w:rPr>
        <w:t xml:space="preserve">, </w:t>
      </w:r>
      <w:proofErr w:type="spellStart"/>
      <w:r w:rsidRPr="00472719">
        <w:rPr>
          <w:rFonts w:ascii="Book Antiqua" w:hAnsi="Book Antiqua"/>
        </w:rPr>
        <w:t>Vilmann</w:t>
      </w:r>
      <w:proofErr w:type="spellEnd"/>
      <w:r w:rsidRPr="00472719">
        <w:rPr>
          <w:rFonts w:ascii="Book Antiqua" w:hAnsi="Book Antiqua"/>
          <w:lang w:eastAsia="zh-CN"/>
        </w:rPr>
        <w:t xml:space="preserve"> P. </w:t>
      </w:r>
      <w:proofErr w:type="spellStart"/>
      <w:r w:rsidR="0081053F" w:rsidRPr="0081053F">
        <w:rPr>
          <w:rFonts w:ascii="Book Antiqua" w:hAnsi="Book Antiqua"/>
        </w:rPr>
        <w:t>Endosonography</w:t>
      </w:r>
      <w:proofErr w:type="spellEnd"/>
      <w:r w:rsidR="0081053F" w:rsidRPr="0081053F">
        <w:rPr>
          <w:rFonts w:ascii="Book Antiqua" w:hAnsi="Book Antiqua"/>
        </w:rPr>
        <w:t xml:space="preserve"> guided management of pancreatic fluid collections</w:t>
      </w:r>
      <w:r w:rsidRPr="00472719">
        <w:rPr>
          <w:rFonts w:ascii="Book Antiqua" w:hAnsi="Book Antiqua"/>
          <w:lang w:eastAsia="zh-CN"/>
        </w:rPr>
        <w:t xml:space="preserve">. </w:t>
      </w:r>
      <w:r w:rsidRPr="00472719">
        <w:rPr>
          <w:rFonts w:ascii="Book Antiqua" w:hAnsi="Book Antiqua"/>
          <w:i/>
          <w:lang w:eastAsia="zh-CN"/>
        </w:rPr>
        <w:t xml:space="preserve">World J </w:t>
      </w:r>
      <w:proofErr w:type="spellStart"/>
      <w:r w:rsidRPr="00472719">
        <w:rPr>
          <w:rFonts w:ascii="Book Antiqua" w:hAnsi="Book Antiqua"/>
          <w:i/>
          <w:lang w:eastAsia="zh-CN"/>
        </w:rPr>
        <w:t>Gastroenterol</w:t>
      </w:r>
      <w:proofErr w:type="spellEnd"/>
      <w:r w:rsidRPr="00472719">
        <w:rPr>
          <w:rFonts w:ascii="Book Antiqua" w:hAnsi="Book Antiqua"/>
          <w:lang w:eastAsia="zh-CN"/>
        </w:rPr>
        <w:t xml:space="preserve"> 2015; </w:t>
      </w:r>
      <w:proofErr w:type="gramStart"/>
      <w:r w:rsidRPr="00472719">
        <w:rPr>
          <w:rFonts w:ascii="Book Antiqua" w:hAnsi="Book Antiqua"/>
          <w:lang w:eastAsia="zh-CN"/>
        </w:rPr>
        <w:t>In</w:t>
      </w:r>
      <w:proofErr w:type="gramEnd"/>
      <w:r w:rsidRPr="00472719">
        <w:rPr>
          <w:rFonts w:ascii="Book Antiqua" w:hAnsi="Book Antiqua"/>
          <w:lang w:eastAsia="zh-CN"/>
        </w:rPr>
        <w:t xml:space="preserve"> press</w:t>
      </w:r>
    </w:p>
    <w:p w14:paraId="67347032" w14:textId="520CB765" w:rsidR="00F6294A" w:rsidRPr="00472719" w:rsidRDefault="00F6294A" w:rsidP="00472719">
      <w:pPr>
        <w:adjustRightInd w:val="0"/>
        <w:snapToGrid w:val="0"/>
        <w:spacing w:line="360" w:lineRule="auto"/>
        <w:jc w:val="both"/>
        <w:rPr>
          <w:rFonts w:ascii="Book Antiqua" w:hAnsi="Book Antiqua"/>
          <w:vertAlign w:val="superscript"/>
          <w:lang w:eastAsia="zh-CN"/>
        </w:rPr>
      </w:pPr>
    </w:p>
    <w:p w14:paraId="61722F56" w14:textId="13FC009C" w:rsidR="0062730F" w:rsidRPr="00472719" w:rsidRDefault="00F6294A" w:rsidP="00472719">
      <w:pPr>
        <w:autoSpaceDE w:val="0"/>
        <w:autoSpaceDN w:val="0"/>
        <w:adjustRightInd w:val="0"/>
        <w:snapToGrid w:val="0"/>
        <w:spacing w:line="360" w:lineRule="auto"/>
        <w:jc w:val="both"/>
        <w:rPr>
          <w:rFonts w:ascii="Book Antiqua" w:hAnsi="Book Antiqua"/>
          <w:b/>
          <w:caps/>
        </w:rPr>
      </w:pPr>
      <w:r w:rsidRPr="00472719">
        <w:rPr>
          <w:rFonts w:ascii="Book Antiqua" w:hAnsi="Book Antiqua"/>
          <w:b/>
        </w:rPr>
        <w:br w:type="column"/>
      </w:r>
      <w:r w:rsidR="00097D4F" w:rsidRPr="00472719">
        <w:rPr>
          <w:rFonts w:ascii="Book Antiqua" w:hAnsi="Book Antiqua"/>
          <w:b/>
          <w:caps/>
        </w:rPr>
        <w:lastRenderedPageBreak/>
        <w:t>Introduction</w:t>
      </w:r>
    </w:p>
    <w:p w14:paraId="2752B5F9" w14:textId="3B0700AE" w:rsidR="0062730F" w:rsidRPr="00472719" w:rsidRDefault="00022FDB"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t>In 1992, the Atlanta classification of acute pancreatitis was indu</w:t>
      </w:r>
      <w:r w:rsidR="00B056E3" w:rsidRPr="00472719">
        <w:rPr>
          <w:rFonts w:ascii="Book Antiqua" w:hAnsi="Book Antiqua"/>
          <w:lang w:eastAsia="zh-CN"/>
        </w:rPr>
        <w:t>ced by international consensus</w:t>
      </w:r>
      <w:r w:rsidRPr="00472719">
        <w:rPr>
          <w:rFonts w:ascii="Book Antiqua" w:hAnsi="Book Antiqua"/>
          <w:lang w:eastAsia="zh-CN"/>
        </w:rPr>
        <w:t xml:space="preserve">. The Atlanta classification aimed to standardize reporting and communication between </w:t>
      </w:r>
      <w:r w:rsidR="00ED48EA" w:rsidRPr="00472719">
        <w:rPr>
          <w:rFonts w:ascii="Book Antiqua" w:hAnsi="Book Antiqua"/>
          <w:lang w:eastAsia="zh-CN"/>
        </w:rPr>
        <w:t>health</w:t>
      </w:r>
      <w:r w:rsidRPr="00472719">
        <w:rPr>
          <w:rFonts w:ascii="Book Antiqua" w:hAnsi="Book Antiqua"/>
          <w:lang w:eastAsia="zh-CN"/>
        </w:rPr>
        <w:t xml:space="preserve"> care professionals. However, some of the terminologies used are confusing and lack objective description of local complications </w:t>
      </w:r>
      <w:r w:rsidR="004A7673" w:rsidRPr="00472719">
        <w:rPr>
          <w:rFonts w:ascii="Book Antiqua" w:hAnsi="Book Antiqua"/>
          <w:lang w:eastAsia="zh-CN"/>
        </w:rPr>
        <w:t xml:space="preserve">so </w:t>
      </w:r>
      <w:r w:rsidRPr="00472719">
        <w:rPr>
          <w:rFonts w:ascii="Book Antiqua" w:hAnsi="Book Antiqua"/>
          <w:lang w:eastAsia="zh-CN"/>
        </w:rPr>
        <w:t>that new treatment can be provided. In 2012, the revised Atlanta classification was released after years of web-based consultation among a global panel of experts and intern</w:t>
      </w:r>
      <w:r w:rsidR="00F6294A" w:rsidRPr="00472719">
        <w:rPr>
          <w:rFonts w:ascii="Book Antiqua" w:hAnsi="Book Antiqua"/>
          <w:lang w:eastAsia="zh-CN"/>
        </w:rPr>
        <w:t>ational pancreatic associations</w:t>
      </w:r>
      <w:r w:rsidR="009E0B7A" w:rsidRPr="00472719">
        <w:rPr>
          <w:rFonts w:ascii="Book Antiqua" w:hAnsi="Book Antiqua"/>
          <w:lang w:eastAsia="zh-CN"/>
        </w:rPr>
        <w:fldChar w:fldCharType="begin" w:fldLock="1"/>
      </w:r>
      <w:r w:rsidR="00FA79D6" w:rsidRPr="00472719">
        <w:rPr>
          <w:rFonts w:ascii="Book Antiqua" w:hAnsi="Book Antiqua"/>
          <w:lang w:eastAsia="zh-CN"/>
        </w:rPr>
        <w:instrText>ADDIN CSL_CITATION { "citationItems" : [ { "id" : "ITEM-1", "itemData" : { "DOI" : "10.1136/gutjnl-2012-302779", "ISSN" : "0017-5749", "PMID" : "23100216", "abstract" : "BACKGROUND AND OBJECTIVE: The Atlanta classification of acute pancreatitis enabled standardised reporting of research and aided communication between clinicians. Deficiencies identified and improved understanding of the disease make a revision necessary. METHODS: A web-based consultation was undertaken in 2007 to ensure wide participation of pancreatologists. After an initial meeting, the Working Group sent a draft document to 11 national and international pancreatic associations. This working draft was forwarded to all members. Revisions were made in response to comments, and the web-based consultation was repeated three times. The final consensus was reviewed, and only statements based on published evidence were retained. RESULTS: The revised classification of acute pancreatitis identified two phases of the disease: early and late. Severity is classified as mild, moderate or severe. Mild acute pancreatitis, the most common form, has no organ failure, local or systemic complications and usually resolves in the first week. Moderately severe acute pancreatitis is defined by the presence of transient organ failure, local complications or exacerbation of co-morbid disease. Severe acute pancreatitis is defined by persistent organ failure, that is, organ failure &gt;48 h. Local complications are peripancreatic fluid collections, pancreatic and peripancreatic necrosis (sterile or infected), pseudocyst and walled-off necrosis (sterile or infected). We present a standardised template for reporting CT images. CONCLUSIONS: This international, web-based consensus provides clear definitions to classify acute pancreatitis using easily identified clinical and radiologic criteria. The wide consultation among pancreatologists to reach this consensus should encourage widespread adoption.", "author" : [ { "dropping-particle" : "", "family" : "Banks", "given" : "P. a.", "non-dropping-particle" : "", "parse-names" : false, "suffix" : "" }, { "dropping-particle" : "", "family" : "Bollen", "given" : "T. L.", "non-dropping-particle" : "", "parse-names" : false, "suffix" : "" }, { "dropping-particle" : "", "family" : "Dervenis", "given" : "C.", "non-dropping-particle" : "", "parse-names" : false, "suffix" : "" }, { "dropping-particle" : "", "family" : "Gooszen", "given" : "H. G.", "non-dropping-particle" : "", "parse-names" : false, "suffix" : "" }, { "dropping-particle" : "", "family" : "Johnson", "given" : "C. D.", "non-dropping-particle" : "", "parse-names" : false, "suffix" : "" }, { "dropping-particle" : "", "family" : "Sarr", "given" : "M. G.", "non-dropping-particle" : "", "parse-names" : false, "suffix" : "" }, { "dropping-particle" : "", "family" : "Tsiotos", "given" : "G. G.", "non-dropping-particle" : "", "parse-names" : false, "suffix" : "" }, { "dropping-particle" : "", "family" : "Vege", "given" : "S. S.", "non-dropping-particle" : "", "parse-names" : false, "suffix" : "" } ], "container-title" : "Gut", "id" : "ITEM-1", "issued" : { "date-parts" : [ [ "2012" ] ] }, "page" : "102-111", "title" : "Classification of acute pancreatitis--2012: revision of the Atlanta classification and definitions by international consensus", "type" : "article-journal" }, "uris" : [ "http://www.mendeley.com/documents/?uuid=80e84697-abdf-4b06-83f9-1128446e4c19", "http://www.mendeley.com/documents/?uuid=d7baedd2-1c05-426b-b348-feac2aeb2fcc" ] }, { "id" : "ITEM-2", "itemData" : { "DOI" : "10.1097/SLA.0b013e318256f778", "ISBN" : "0003-4932", "ISSN" : "0003-4932", "PMID" : "22735715", "abstract" : "OBJECTIVE: To develop a new international classification of acute pancreatitis severity on the basis of a sound conceptual framework, comprehensive review of published evidence, and worldwide consultation.\\n\\nBACKGROUND: The Atlanta definitions of acute pancreatitis severity are ingrained in the lexicon of pancreatologists but suboptimal because these definitions are based on empiric description of occurrences that are merely associated with severity.\\n\\nMETHODS: A personal invitation to contribute to the development of a new international classification of acute pancreatitis severity was sent to all surgeons, gastroenterologists, internists, intensivists, and radiologists who are currently active in clinical research on acute pancreatitis. The invitation was not limited to members of certain associations or residents of certain countries. A global Web-based survey was conducted and a dedicated international symposium was organized to bring contributors from different disciplines together and discuss the concept and definitions.\\n\\nRESULT: The new international classification is based on the actual local and systemic determinants of severity, rather than description of events that are correlated with severity. The local determinant relates to whether there is (peri)pancreatic necrosis or not, and if present, whether it is sterile or infected. The systemic determinant relates to whether there is organ failure or not, and if present, whether it is transient or persistent. The presence of one determinant can modify the effect of another such that the presence of both infected (peri)pancreatic necrosis and persistent organ failure have a greater effect on severity than either determinant alone. The derivation of a classification based on the above principles results in 4 categories of severity-mild, moderate, severe, and critical.\\n\\nCONCLUSIONS: This classification is the result of a consultative process amongst pancreatologists from 49 countries spanning North America, South America, Europe, Asia, Oceania, and Africa. It provides a set of concise up-to-date definitions of all the main entities pertinent to classifying the severity of acute pancreatitis in clinical practice and research. This ensures that the determinant-based classification can be used in a uniform manner throughout the world.", "author" : [ { "dropping-particle" : "", "family" : "Dellinger", "given" : "E. Patchen", "non-dropping-particle" : "", "parse-names" : false, "suffix" : "" }, { "dropping-particle" : "", "family" : "Forsmark", "given" : "Christopher E.", "non-dropping-particle" : "", "parse-names" : false, "suffix" : "" }, { "dropping-particle" : "", "family" : "Layer", "given" : "Peter", "non-dropping-particle" : "", "parse-names" : false, "suffix" : "" }, { "dropping-particle" : "", "family" : "L\u00e9vy", "given" : "Philippe", "non-dropping-particle" : "", "parse-names" : false, "suffix" : "" }, { "dropping-particle" : "", "family" : "Marav\u00ed-Poma", "given" : "Enrique", "non-dropping-particle" : "", "parse-names" : false, "suffix" : "" }, { "dropping-particle" : "", "family" : "Petrov", "given" : "Maxim S.", "non-dropping-particle" : "", "parse-names" : false, "suffix" : "" }, { "dropping-particle" : "", "family" : "Shimosegawa", "given" : "Tooru", "non-dropping-particle" : "", "parse-names" : false, "suffix" : "" }, { "dropping-particle" : "", "family" : "Siriwardena", "given" : "Ajith K.", "non-dropping-particle" : "", "parse-names" : false, "suffix" : "" }, { "dropping-particle" : "", "family" : "Uomo", "given" : "Generoso", "non-dropping-particle" : "", "parse-names" : false, "suffix" : "" }, { "dropping-particle" : "", "family" : "Whitcomb", "given" : "David C.", "non-dropping-particle" : "", "parse-names" : false, "suffix" : "" }, { "dropping-particle" : "", "family" : "Windsor", "given" : "John a.", "non-dropping-particle" : "", "parse-names" : false, "suffix" : "" } ], "container-title" : "Annals of Surgery", "id" : "ITEM-2", "issue" : "6", "issued" : { "date-parts" : [ [ "2012" ] ] }, "page" : "1", "title" : "Determinant-Based Classification of Acute Pancreatitis Severity", "type" : "article-journal", "volume" : "256" }, "uris" : [ "http://www.mendeley.com/documents/?uuid=224c814b-e035-4cca-91fa-cfcaa1122c2c", "http://www.mendeley.com/documents/?uuid=d74c41bf-3d7d-45c3-a8d1-a9857ba377f9" ] }, { "id" : "ITEM-3", "itemData" : { "DOI" : "10.1148/radiol.11110947", "ISSN" : "1527-1315", "PMID" : "22357880", "abstract" : "An international working group has modified the Atlanta classification for acute pancreatitis to update the terminology and provide simple functional clinical and morphologic classifications. The modifications (a) address the clinical course and severity of disease, (b) divide acute pancreatitis into interstitial edematous pancreatitis and necrotizing pancreatitis, (c) distinguish an early phase (1st week) and a late phase (after the 1st week), and (d) emphasize systemic inflammatory response syndrome and multisystem organ failure. In the 1st week, only clinical parameters are important for treatment planning. After the 1st week, morphologic criteria defined on the basis of computed tomographic findings are combined with clinical parameters to help determine care. This revised classification introduces new terminology for pancreatic fluid collections. Depending on presence or absence of necrosis, acute collections in the first 4 weeks are called acute necrotic collections or acute peripancreatic fluid collections. Once an enhancing capsule develops, persistent acute peripancreatic fluid collections are referred to as pseudocysts; and acute necrotic collections, as walled-off necroses. All can be sterile or infected. Terms such as pancreatic abscess and intrapancreatic pseudocyst have been abandoned. The goal is for radiologists, gastroenterologists, surgeons, and pathologists to use the revised classifications to standardize imaging terminology to facilitate treatment planning and enable precise comparison of results among different departments and institutions.", "author" : [ { "dropping-particle" : "", "family" : "Thoeni", "given" : "Ruedi F", "non-dropping-particle" : "", "parse-names" : false, "suffix" : "" } ], "container-title" : "Radiology", "id" : "ITEM-3", "issue" : "3", "issued" : { "date-parts" : [ [ "2012", "3" ] ] }, "page" : "751-64", "title" : "The revised Atlanta classification of acute pancreatitis: its importance for the radiologist and its effect on treatment.", "type" : "article-journal", "volume" : "262" }, "uris" : [ "http://www.mendeley.com/documents/?uuid=0d0b8568-1e98-48c5-8b67-b85bb96ee9be", "http://www.mendeley.com/documents/?uuid=108b109f-59b8-4d8e-bec2-ceda7a54b2d4" ] } ], "mendeley" : { "formattedCitation" : "&lt;sup&gt;[1\u20133]&lt;/sup&gt;", "plainTextFormattedCitation" : "[1\u20133]", "previouslyFormattedCitation" : "&lt;sup&gt;[1\u20133]&lt;/sup&gt;" }, "properties" : { "noteIndex" : 0 }, "schema" : "https://github.com/citation-style-language/schema/raw/master/csl-citation.json" }</w:instrText>
      </w:r>
      <w:r w:rsidR="009E0B7A" w:rsidRPr="00472719">
        <w:rPr>
          <w:rFonts w:ascii="Book Antiqua" w:hAnsi="Book Antiqua"/>
          <w:lang w:eastAsia="zh-CN"/>
        </w:rPr>
        <w:fldChar w:fldCharType="separate"/>
      </w:r>
      <w:r w:rsidR="00467DD1" w:rsidRPr="00472719">
        <w:rPr>
          <w:rFonts w:ascii="Book Antiqua" w:hAnsi="Book Antiqua"/>
          <w:noProof/>
          <w:vertAlign w:val="superscript"/>
          <w:lang w:eastAsia="zh-CN"/>
        </w:rPr>
        <w:t>[1–3]</w:t>
      </w:r>
      <w:r w:rsidR="009E0B7A" w:rsidRPr="00472719">
        <w:rPr>
          <w:rFonts w:ascii="Book Antiqua" w:hAnsi="Book Antiqua"/>
          <w:lang w:eastAsia="zh-CN"/>
        </w:rPr>
        <w:fldChar w:fldCharType="end"/>
      </w:r>
      <w:r w:rsidRPr="00472719">
        <w:rPr>
          <w:rFonts w:ascii="Book Antiqua" w:hAnsi="Book Antiqua"/>
          <w:lang w:eastAsia="zh-CN"/>
        </w:rPr>
        <w:t>.</w:t>
      </w:r>
      <w:r w:rsidRPr="00472719">
        <w:rPr>
          <w:rFonts w:ascii="Book Antiqua" w:hAnsi="Book Antiqua"/>
        </w:rPr>
        <w:t xml:space="preserve"> The new </w:t>
      </w:r>
      <w:r w:rsidRPr="00472719">
        <w:rPr>
          <w:rStyle w:val="highlight2"/>
          <w:rFonts w:ascii="Book Antiqua" w:hAnsi="Book Antiqua"/>
        </w:rPr>
        <w:t>classification</w:t>
      </w:r>
      <w:r w:rsidRPr="00472719">
        <w:rPr>
          <w:rFonts w:ascii="Book Antiqua" w:hAnsi="Book Antiqua"/>
        </w:rPr>
        <w:t xml:space="preserve"> is based on the actual local and systemic determinants of severity, rather than description of events that are correlated with severity</w:t>
      </w:r>
      <w:r w:rsidR="009E0B7A"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"10.1136/gutjnl-2012-302779", "ISSN" : "0017-5749", "PMID" : "23100216", "abstract" : "BACKGROUND AND OBJECTIVE: The Atlanta classification of acute pancreatitis enabled standardised reporting of research and aided communication between clinicians. Deficiencies identified and improved understanding of the disease make a revision necessary. METHODS: A web-based consultation was undertaken in 2007 to ensure wide participation of pancreatologists. After an initial meeting, the Working Group sent a draft document to 11 national and international pancreatic associations. This working draft was forwarded to all members. Revisions were made in response to comments, and the web-based consultation was repeated three times. The final consensus was reviewed, and only statements based on published evidence were retained. RESULTS: The revised classification of acute pancreatitis identified two phases of the disease: early and late. Severity is classified as mild, moderate or severe. Mild acute pancreatitis, the most common form, has no organ failure, local or systemic complications and usually resolves in the first week. Moderately severe acute pancreatitis is defined by the presence of transient organ failure, local complications or exacerbation of co-morbid disease. Severe acute pancreatitis is defined by persistent organ failure, that is, organ failure &gt;48 h. Local complications are peripancreatic fluid collections, pancreatic and peripancreatic necrosis (sterile or infected), pseudocyst and walled-off necrosis (sterile or infected). We present a standardised template for reporting CT images. CONCLUSIONS: This international, web-based consensus provides clear definitions to classify acute pancreatitis using easily identified clinical and radiologic criteria. The wide consultation among pancreatologists to reach this consensus should encourage widespread adoption.", "author" : [ { "dropping-particle" : "", "family" : "Banks", "given" : "P. a.", "non-dropping-particle" : "", "parse-names" : false, "suffix" : "" }, { "dropping-particle" : "", "family" : "Bollen", "given" : "T. L.", "non-dropping-particle" : "", "parse-names" : false, "suffix" : "" }, { "dropping-particle" : "", "family" : "Dervenis", "given" : "C.", "non-dropping-particle" : "", "parse-names" : false, "suffix" : "" }, { "dropping-particle" : "", "family" : "Gooszen", "given" : "H. G.", "non-dropping-particle" : "", "parse-names" : false, "suffix" : "" }, { "dropping-particle" : "", "family" : "Johnson", "given" : "C. D.", "non-dropping-particle" : "", "parse-names" : false, "suffix" : "" }, { "dropping-particle" : "", "family" : "Sarr", "given" : "M. G.", "non-dropping-particle" : "", "parse-names" : false, "suffix" : "" }, { "dropping-particle" : "", "family" : "Tsiotos", "given" : "G. G.", "non-dropping-particle" : "", "parse-names" : false, "suffix" : "" }, { "dropping-particle" : "", "family" : "Vege", "given" : "S. S.", "non-dropping-particle" : "", "parse-names" : false, "suffix" : "" } ], "container-title" : "Gut", "id" : "ITEM-1", "issued" : { "date-parts" : [ [ "2012" ] ] }, "page" : "102-111", "title" : "Classification of acute pancreatitis--2012: revision of the Atlanta classification and definitions by international consensus", "type" : "article-journal" }, "uris" : [ "http://www.mendeley.com/documents/?uuid=d7baedd2-1c05-426b-b348-feac2aeb2fcc", "http://www.mendeley.com/documents/?uuid=80e84697-abdf-4b06-83f9-1128446e4c19" ] }, { "id" : "ITEM-2", "itemData" : { "DOI" : "10.1097/SLA.0b013e318256f778", "ISBN" : "0003-4932", "ISSN" : "0003-4932", "PMID" : "22735715", "abstract" : "OBJECTIVE: To develop a new international classification of acute pancreatitis severity on the basis of a sound conceptual framework, comprehensive review of published evidence, and worldwide consultation.\\n\\nBACKGROUND: The Atlanta definitions of acute pancreatitis severity are ingrained in the lexicon of pancreatologists but suboptimal because these definitions are based on empiric description of occurrences that are merely associated with severity.\\n\\nMETHODS: A personal invitation to contribute to the development of a new international classification of acute pancreatitis severity was sent to all surgeons, gastroenterologists, internists, intensivists, and radiologists who are currently active in clinical research on acute pancreatitis. The invitation was not limited to members of certain associations or residents of certain countries. A global Web-based survey was conducted and a dedicated international symposium was organized to bring contributors from different disciplines together and discuss the concept and definitions.\\n\\nRESULT: The new international classification is based on the actual local and systemic determinants of severity, rather than description of events that are correlated with severity. The local determinant relates to whether there is (peri)pancreatic necrosis or not, and if present, whether it is sterile or infected. The systemic determinant relates to whether there is organ failure or not, and if present, whether it is transient or persistent. The presence of one determinant can modify the effect of another such that the presence of both infected (peri)pancreatic necrosis and persistent organ failure have a greater effect on severity than either determinant alone. The derivation of a classification based on the above principles results in 4 categories of severity-mild, moderate, severe, and critical.\\n\\nCONCLUSIONS: This classification is the result of a consultative process amongst pancreatologists from 49 countries spanning North America, South America, Europe, Asia, Oceania, and Africa. It provides a set of concise up-to-date definitions of all the main entities pertinent to classifying the severity of acute pancreatitis in clinical practice and research. This ensures that the determinant-based classification can be used in a uniform manner throughout the world.", "author" : [ { "dropping-particle" : "", "family" : "Dellinger", "given" : "E. Patchen", "non-dropping-particle" : "", "parse-names" : false, "suffix" : "" }, { "dropping-particle" : "", "family" : "Forsmark", "given" : "Christopher E.", "non-dropping-particle" : "", "parse-names" : false, "suffix" : "" }, { "dropping-particle" : "", "family" : "Layer", "given" : "Peter", "non-dropping-particle" : "", "parse-names" : false, "suffix" : "" }, { "dropping-particle" : "", "family" : "L\u00e9vy", "given" : "Philippe", "non-dropping-particle" : "", "parse-names" : false, "suffix" : "" }, { "dropping-particle" : "", "family" : "Marav\u00ed-Poma", "given" : "Enrique", "non-dropping-particle" : "", "parse-names" : false, "suffix" : "" }, { "dropping-particle" : "", "family" : "Petrov", "given" : "Maxim S.", "non-dropping-particle" : "", "parse-names" : false, "suffix" : "" }, { "dropping-particle" : "", "family" : "Shimosegawa", "given" : "Tooru", "non-dropping-particle" : "", "parse-names" : false, "suffix" : "" }, { "dropping-particle" : "", "family" : "Siriwardena", "given" : "Ajith K.", "non-dropping-particle" : "", "parse-names" : false, "suffix" : "" }, { "dropping-particle" : "", "family" : "Uomo", "given" : "Generoso", "non-dropping-particle" : "", "parse-names" : false, "suffix" : "" }, { "dropping-particle" : "", "family" : "Whitcomb", "given" : "David C.", "non-dropping-particle" : "", "parse-names" : false, "suffix" : "" }, { "dropping-particle" : "", "family" : "Windsor", "given" : "John a.", "non-dropping-particle" : "", "parse-names" : false, "suffix" : "" } ], "container-title" : "Annals of Surgery", "id" : "ITEM-2", "issue" : "6", "issued" : { "date-parts" : [ [ "2012" ] ] }, "page" : "1", "title" : "Determinant-Based Classification of Acute Pancreatitis Severity", "type" : "article-journal", "volume" : "256" }, "uris" : [ "http://www.mendeley.com/documents/?uuid=d74c41bf-3d7d-45c3-a8d1-a9857ba377f9", "http://www.mendeley.com/documents/?uuid=224c814b-e035-4cca-91fa-cfcaa1122c2c", "http://www.mendeley.com/documents/?uuid=233c1138-814c-4414-b021-4eaeee3dbc16" ] } ], "mendeley" : { "formattedCitation" : "&lt;sup&gt;[1,2]&lt;/sup&gt;", "plainTextFormattedCitation" : "[1,2]", "previouslyFormattedCitation" : "&lt;sup&gt;[1,2]&lt;/sup&gt;" }, "properties" : { "noteIndex" : 0 }, "schema" : "https://github.com/citation-style-language/schema/raw/master/csl-citation.json" }</w:instrText>
      </w:r>
      <w:r w:rsidR="009E0B7A" w:rsidRPr="00472719">
        <w:rPr>
          <w:rFonts w:ascii="Book Antiqua" w:hAnsi="Book Antiqua"/>
        </w:rPr>
        <w:fldChar w:fldCharType="separate"/>
      </w:r>
      <w:r w:rsidR="00467DD1" w:rsidRPr="00472719">
        <w:rPr>
          <w:rFonts w:ascii="Book Antiqua" w:hAnsi="Book Antiqua"/>
          <w:noProof/>
          <w:vertAlign w:val="superscript"/>
        </w:rPr>
        <w:t>[1,2]</w:t>
      </w:r>
      <w:r w:rsidR="009E0B7A" w:rsidRPr="00472719">
        <w:rPr>
          <w:rFonts w:ascii="Book Antiqua" w:hAnsi="Book Antiqua"/>
        </w:rPr>
        <w:fldChar w:fldCharType="end"/>
      </w:r>
      <w:r w:rsidRPr="00472719">
        <w:rPr>
          <w:rFonts w:ascii="Book Antiqua" w:hAnsi="Book Antiqua"/>
        </w:rPr>
        <w:t xml:space="preserve">. The local determinant includes pancreatic necrosis (sterile or infected) and the systemic determinant involves organ failure (transient or persistent). </w:t>
      </w:r>
      <w:r w:rsidRPr="00472719">
        <w:rPr>
          <w:rFonts w:ascii="Book Antiqua" w:hAnsi="Book Antiqua"/>
          <w:lang w:eastAsia="zh-CN"/>
        </w:rPr>
        <w:t>Acute pancreatitis is now identified as early and late phases and its severity is classified as mild, moderate or severe. Mild acute pancreatitis has no organ failure, local or systemic complications and usually resolves in the first week. Moderately severe acute pancreatitis has transient organ failure, local complications or exacerbation of co-morbid disease. Severe acute pancreatitis displays persistent organ failure (&gt;</w:t>
      </w:r>
      <w:r w:rsidR="00F6294A" w:rsidRPr="00472719">
        <w:rPr>
          <w:rFonts w:ascii="Book Antiqua" w:hAnsi="Book Antiqua"/>
          <w:lang w:eastAsia="zh-CN"/>
        </w:rPr>
        <w:t xml:space="preserve"> </w:t>
      </w:r>
      <w:r w:rsidRPr="00472719">
        <w:rPr>
          <w:rFonts w:ascii="Book Antiqua" w:hAnsi="Book Antiqua"/>
          <w:lang w:eastAsia="zh-CN"/>
        </w:rPr>
        <w:t>48 h)</w:t>
      </w:r>
      <w:r w:rsidR="001B67C1" w:rsidRPr="00472719">
        <w:rPr>
          <w:rFonts w:ascii="Book Antiqua" w:hAnsi="Book Antiqua"/>
          <w:lang w:eastAsia="zh-CN"/>
        </w:rPr>
        <w:t xml:space="preserve"> (Tabl</w:t>
      </w:r>
      <w:r w:rsidR="00F6294A" w:rsidRPr="00472719">
        <w:rPr>
          <w:rFonts w:ascii="Book Antiqua" w:hAnsi="Book Antiqua"/>
          <w:lang w:eastAsia="zh-CN"/>
        </w:rPr>
        <w:t>e</w:t>
      </w:r>
      <w:r w:rsidR="00C97D8B" w:rsidRPr="00472719">
        <w:rPr>
          <w:rFonts w:ascii="Book Antiqua" w:hAnsi="Book Antiqua"/>
          <w:lang w:eastAsia="zh-CN"/>
        </w:rPr>
        <w:t xml:space="preserve"> 1)</w:t>
      </w:r>
      <w:r w:rsidRPr="00472719">
        <w:rPr>
          <w:rFonts w:ascii="Book Antiqua" w:hAnsi="Book Antiqua"/>
          <w:lang w:eastAsia="zh-CN"/>
        </w:rPr>
        <w:t>.</w:t>
      </w:r>
      <w:r w:rsidRPr="00472719">
        <w:rPr>
          <w:rFonts w:ascii="Book Antiqua" w:hAnsi="Book Antiqua"/>
        </w:rPr>
        <w:t xml:space="preserve"> </w:t>
      </w:r>
    </w:p>
    <w:p w14:paraId="2B1BDBB6" w14:textId="35390CA1" w:rsidR="00022FDB" w:rsidRPr="00472719" w:rsidRDefault="00022FDB"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rPr>
        <w:tab/>
      </w:r>
      <w:r w:rsidRPr="00472719">
        <w:rPr>
          <w:rFonts w:ascii="Book Antiqua" w:hAnsi="Book Antiqua"/>
          <w:lang w:eastAsia="zh-CN"/>
        </w:rPr>
        <w:t>Local complications of pancreatitis include</w:t>
      </w:r>
      <w:r w:rsidR="00BB2719" w:rsidRPr="00472719">
        <w:rPr>
          <w:rFonts w:ascii="Book Antiqua" w:hAnsi="Book Antiqua"/>
          <w:lang w:eastAsia="zh-CN"/>
        </w:rPr>
        <w:t xml:space="preserve"> acute</w:t>
      </w:r>
      <w:r w:rsidRPr="00472719">
        <w:rPr>
          <w:rFonts w:ascii="Book Antiqua" w:hAnsi="Book Antiqua"/>
          <w:lang w:eastAsia="zh-CN"/>
        </w:rPr>
        <w:t xml:space="preserve"> </w:t>
      </w:r>
      <w:proofErr w:type="spellStart"/>
      <w:r w:rsidRPr="00472719">
        <w:rPr>
          <w:rFonts w:ascii="Book Antiqua" w:hAnsi="Book Antiqua"/>
          <w:lang w:eastAsia="zh-CN"/>
        </w:rPr>
        <w:t>p</w:t>
      </w:r>
      <w:r w:rsidR="007E64A8" w:rsidRPr="00472719">
        <w:rPr>
          <w:rFonts w:ascii="Book Antiqua" w:hAnsi="Book Antiqua"/>
          <w:lang w:eastAsia="zh-CN"/>
        </w:rPr>
        <w:t>eri</w:t>
      </w:r>
      <w:proofErr w:type="spellEnd"/>
      <w:r w:rsidR="007E64A8" w:rsidRPr="00472719">
        <w:rPr>
          <w:rFonts w:ascii="Book Antiqua" w:hAnsi="Book Antiqua"/>
          <w:lang w:eastAsia="zh-CN"/>
        </w:rPr>
        <w:t>-pancreatic fluid collection</w:t>
      </w:r>
      <w:r w:rsidRPr="00472719">
        <w:rPr>
          <w:rFonts w:ascii="Book Antiqua" w:hAnsi="Book Antiqua"/>
          <w:lang w:eastAsia="zh-CN"/>
        </w:rPr>
        <w:t xml:space="preserve">, </w:t>
      </w:r>
      <w:r w:rsidR="00BB2719" w:rsidRPr="00472719">
        <w:rPr>
          <w:rFonts w:ascii="Book Antiqua" w:hAnsi="Book Antiqua"/>
          <w:lang w:eastAsia="zh-CN"/>
        </w:rPr>
        <w:t xml:space="preserve">acute necrotic collection (ANC, </w:t>
      </w:r>
      <w:r w:rsidRPr="00472719">
        <w:rPr>
          <w:rFonts w:ascii="Book Antiqua" w:hAnsi="Book Antiqua"/>
          <w:lang w:eastAsia="zh-CN"/>
        </w:rPr>
        <w:t xml:space="preserve">sterile or infected), </w:t>
      </w:r>
      <w:proofErr w:type="spellStart"/>
      <w:r w:rsidRPr="00472719">
        <w:rPr>
          <w:rFonts w:ascii="Book Antiqua" w:hAnsi="Book Antiqua"/>
          <w:lang w:eastAsia="zh-CN"/>
        </w:rPr>
        <w:t>pseudocyst</w:t>
      </w:r>
      <w:proofErr w:type="spellEnd"/>
      <w:r w:rsidRPr="00472719">
        <w:rPr>
          <w:rFonts w:ascii="Book Antiqua" w:hAnsi="Book Antiqua"/>
          <w:lang w:eastAsia="zh-CN"/>
        </w:rPr>
        <w:t>, and walled-off necrosis (WON) (sterile or infected).</w:t>
      </w:r>
      <w:r w:rsidR="0023606E" w:rsidRPr="00472719">
        <w:rPr>
          <w:rFonts w:ascii="Book Antiqua" w:hAnsi="Book Antiqua"/>
          <w:lang w:eastAsia="zh-CN"/>
        </w:rPr>
        <w:t xml:space="preserve"> WON</w:t>
      </w:r>
      <w:r w:rsidR="0034008C" w:rsidRPr="00472719">
        <w:rPr>
          <w:rFonts w:ascii="Book Antiqua" w:hAnsi="Book Antiqua"/>
          <w:lang w:eastAsia="zh-CN"/>
        </w:rPr>
        <w:t xml:space="preserve"> is characterized by a distinct rim that forms around the necrosis and adjacent pancreatic parenchyma.</w:t>
      </w:r>
      <w:r w:rsidRPr="00472719">
        <w:rPr>
          <w:rFonts w:ascii="Book Antiqua" w:hAnsi="Book Antiqua"/>
          <w:lang w:eastAsia="zh-CN"/>
        </w:rPr>
        <w:t xml:space="preserve"> Increasingly, interventional endoscopic ultrasound (EUS) is utilized in the manageme</w:t>
      </w:r>
      <w:r w:rsidR="00F6294A" w:rsidRPr="00472719">
        <w:rPr>
          <w:rFonts w:ascii="Book Antiqua" w:hAnsi="Book Antiqua"/>
          <w:lang w:eastAsia="zh-CN"/>
        </w:rPr>
        <w:t>nt of these local complications</w:t>
      </w:r>
      <w:r w:rsidR="00271654" w:rsidRPr="00472719">
        <w:rPr>
          <w:rFonts w:ascii="Book Antiqua" w:hAnsi="Book Antiqua"/>
          <w:lang w:eastAsia="zh-CN"/>
        </w:rPr>
        <w:fldChar w:fldCharType="begin" w:fldLock="1"/>
      </w:r>
      <w:r w:rsidR="00FA79D6" w:rsidRPr="00472719">
        <w:rPr>
          <w:rFonts w:ascii="Book Antiqua" w:hAnsi="Book Antiqua"/>
          <w:lang w:eastAsia="zh-CN"/>
        </w:rPr>
        <w:instrText>ADDIN CSL_CITATION { "citationItems" : [ { "id" : "ITEM-1", "itemData" : { "DOI" : "10.1016/j.gie.2010.01.023", "ISBN" : "00165107", "ISSN" : "00165107", "PMID" : "20381044", "abstract" : "The American Society for Gastrointestinal Endoscopy (ASGE) Technology Committee provides reviews of new or emerging endoscopic technologies that have the potential to have an impact on the practice of GI endoscopy. Evidence-based methodology is used by performing a MEDLINE literature search to identify pertinent preclinical and clinical studies on the topic and a MAUDE (U.S. Food and Drug Administration Center for Devices and Radiological Health) database search to identify the reported complications of a given technology. Both are supplemented by accessing the \"related articles\" feature of PubMed and by scrutinizing pertinent references cited by the identified studies. Controlled clinical trials are emphasized, but, in many cases, data from randomized, controlled trials are lacking. In such cases, large case series, preliminary clinical studies, and expert opinions are used. Technical data are gathered from traditional and Web-based publications, proprietary publications, and informal communications with pertinent vendors. For this review, the MEDLINE database was searched through August 2009 by using the keywords \"interventional endoscopic ultrasound,\" \"EUS,\" and \"interventional endoscopy.\". Reports on Emerging Technologies are drafted by 1 or 2 members of the ASGE Technology Committee, reviewed and edited by the committee as a whole, and approved by the Governing Board of the ASGE. These reports are scientific reviews provided solely for educational and informational purposes. Reports on Emerging Technologies are not rules and should not be construed as establishing a legal standard of care or as encouraging, advocating, requiring, or discouraging any particular treatment or payment for such treatment. \u00a9 2010 American Society for Gastrointestinal Endoscopy.", "author" : [ { "dropping-particle" : "", "family" : "Kaul", "given" : "Vivek", "non-dropping-particle" : "", "parse-names" : false, "suffix" : "" }, { "dropping-particle" : "", "family" : "Adler", "given" : "Douglas G.", "non-dropping-particle" : "", "parse-names" : false, "suffix" : "" }, { "dropping-particle" : "", "family" : "Conway", "given" : "Jason D.", "non-dropping-particle" : "", "parse-names" : false, "suffix" : "" }, { "dropping-particle" : "", "family" : "Farraye", "given" : "Francis a.", "non-dropping-particle" : "", "parse-names" : false, "suffix" : "" }, { "dropping-particle" : "V.", "family" : "Kantsevoy", "given" : "Sergey", "non-dropping-particle" : "", "parse-names" : false, "suffix" : "" }, { "dropping-particle" : "", "family" : "Kethu", "given" : "Sripathi R.", "non-dropping-particle" : "", "parse-names" : false, "suffix" : "" }, { "dropping-particle" : "", "family" : "Kwon", "given" : "Richard S.", "non-dropping-particle" : "", "parse-names" : false, "suffix" : "" }, { "dropping-particle" : "", "family" : "Mamula", "given" : "Petar", "non-dropping-particle" : "", "parse-names" : false, "suffix" : "" }, { "dropping-particle" : "", "family" : "Pedrosa", "given" : "Marcos C.", "non-dropping-particle" : "", "parse-names" : false, "suffix" : "" }, { "dropping-particle" : "", "family" : "Rodriguez", "given" : "Sarah a.", "non-dropping-particle" : "", "parse-names" : false, "suffix" : "" }, { "dropping-particle" : "", "family" : "Tierney", "given" : "William M.", "non-dropping-particle" : "", "parse-names" : false, "suffix" : "" } ], "container-title" : "Gastrointestinal Endoscopy", "id" : "ITEM-1", "issue" : "1", "issued" : { "date-parts" : [ [ "2010" ] ] }, "page" : "1-4", "title" : "Interventional EUS", "type" : "article-journal", "volume" : "72" }, "uris" : [ "http://www.mendeley.com/documents/?uuid=94bbc240-70cf-4d4d-9839-5b149ebef7dc", "http://www.mendeley.com/documents/?uuid=7338b135-80dd-44b5-8898-80fa2aa15bb0" ] }, { "id" : "ITEM-2", "itemData" : { "DOI" : "10.1007/s00464-013-3260-5", "ISSN" : "1432-2218", "PMID" : "24196551", "abstract" : "BACKGROUND: In recent years, endoscopic ultrasonography (EUS)-guided techniques have been developed as alternatives to surgical, radiologic, or conventional endoscopic approaches for the treatment or palliation of several digestive diseases. The use of EUS guidance allows the therapeutic area to be targeting more precisely, with a possible clinical benefit and less morbidity. Nevertheless, the risks persist and must be taken into consideration. This review gives an overview of the complications observed with the most established procedures of therapeutic EUS.\n\nMETHODS: The PubMed and Embase databases were used to search English language articles on interventional EUS. The studies considered for inclusion were those reporting on complications of EUS-guided celiac plexus block (EUS-CPB), EUS-guided celiac plexus neurolysis (EUS-CPN), drainage of fluid pancreatic and pelvic collections, and EUS-guided biliary and pancreatic drainage (EUS-BD and EUS-PD). Variations in methodology and design in most studies made a thorough statistical analysis difficult. Instead, a frequency analysis of complications and a critical discussion were performed.\n\nRESULTS: Although EUS-guided celiac plexus injection causes mainly mild and transient complications, growing experience shows that EUS-CPN is not as benign a procedure as previously thought. Most of the major complications have been observed in patients with chronic pancreatitis. The findings show that EUS-guided drainage of fluid collections is a safe procedure. Complications occur more often after the drainage of pancreatic abscesses and necrosis. Although the heterogeneity of studies dealing with pancreatobiliary drainage makes the evaluation of risks after these procedures difficult, complications after EUS-BD and EUS-PD are relatively frequent and can be severe. The technical complexity and the lack of specifically designed devices may account for their complication rates.\n\nCONCLUSIONS: Clinicians can consider EUS-guided celiac injection and EUS-guided drainage of fluid collections to be safe alternatives to surgical and radiologic interventions. Well-designed prospective trials are needed to assess the risks of EUS-BD and EUS-PD accurately before they are broadly advocated after a failed endoscopic retrograde cholangiopancreatography (ERCP).", "author" : [ { "dropping-particle" : "", "family" : "Alvarez-S\u00e1nchez", "given" : "Mar\u00eda Victoria", "non-dropping-particle" : "", "parse-names" : false, "suffix" : "" }, { "dropping-particle" : "", "family" : "Jenssen", "given" : "Christian", "non-dropping-particle" : "", "parse-names" : false, "suffix" : "" }, { "dropping-particle" : "", "family" : "Faiss", "given" : "Siegbert", "non-dropping-particle" : "", "parse-names" : false, "suffix" : "" }, { "dropping-particle" : "", "family" : "Napol\u00e9on", "given" : "Bertrand", "non-dropping-particle" : "", "parse-names" : false, "suffix" : "" } ], "container-title" : "Surgical endoscopy", "id" : "ITEM-2", "issue" : "3", "issued" : { "date-parts" : [ [ "2014", "3" ] ] }, "page" : "712-34", "title" : "Interventional endoscopic ultrasonography: an overview of safety and complications.", "type" : "article-journal", "volume" : "28" }, "uris" : [ "http://www.mendeley.com/documents/?uuid=0297cbee-3426-4722-bd64-44424fecad69", "http://www.mendeley.com/documents/?uuid=d2204366-f319-4cff-9db6-a7aef6a1ea88" ] } ], "mendeley" : { "formattedCitation" : "&lt;sup&gt;[4,5]&lt;/sup&gt;", "plainTextFormattedCitation" : "[4,5]", "previouslyFormattedCitation" : "&lt;sup&gt;[4,5]&lt;/sup&gt;" }, "properties" : { "noteIndex" : 0 }, "schema" : "https://github.com/citation-style-language/schema/raw/master/csl-citation.json" }</w:instrText>
      </w:r>
      <w:r w:rsidR="00271654" w:rsidRPr="00472719">
        <w:rPr>
          <w:rFonts w:ascii="Book Antiqua" w:hAnsi="Book Antiqua"/>
          <w:lang w:eastAsia="zh-CN"/>
        </w:rPr>
        <w:fldChar w:fldCharType="separate"/>
      </w:r>
      <w:r w:rsidR="00467DD1" w:rsidRPr="00472719">
        <w:rPr>
          <w:rFonts w:ascii="Book Antiqua" w:hAnsi="Book Antiqua"/>
          <w:noProof/>
          <w:vertAlign w:val="superscript"/>
          <w:lang w:eastAsia="zh-CN"/>
        </w:rPr>
        <w:t>[4,5]</w:t>
      </w:r>
      <w:r w:rsidR="00271654" w:rsidRPr="00472719">
        <w:rPr>
          <w:rFonts w:ascii="Book Antiqua" w:hAnsi="Book Antiqua"/>
          <w:lang w:eastAsia="zh-CN"/>
        </w:rPr>
        <w:fldChar w:fldCharType="end"/>
      </w:r>
      <w:r w:rsidRPr="00472719">
        <w:rPr>
          <w:rFonts w:ascii="Book Antiqua" w:hAnsi="Book Antiqua"/>
          <w:lang w:eastAsia="zh-CN"/>
        </w:rPr>
        <w:t>. In this review, the authors searched the English language medical literature and reviewed the utility, efficacy and risks of therapeutic EUS and involved EUS devices among these settings, which we grouped as pancreatic fluid collections</w:t>
      </w:r>
      <w:r w:rsidR="00F36438" w:rsidRPr="00472719">
        <w:rPr>
          <w:rFonts w:ascii="Book Antiqua" w:hAnsi="Book Antiqua"/>
          <w:lang w:eastAsia="zh-CN"/>
        </w:rPr>
        <w:t xml:space="preserve"> (PFC)</w:t>
      </w:r>
      <w:r w:rsidRPr="00472719">
        <w:rPr>
          <w:rFonts w:ascii="Book Antiqua" w:hAnsi="Book Antiqua"/>
          <w:lang w:eastAsia="zh-CN"/>
        </w:rPr>
        <w:t xml:space="preserve">. The authors propose an </w:t>
      </w:r>
      <w:r w:rsidR="004A7673" w:rsidRPr="00472719">
        <w:rPr>
          <w:rFonts w:ascii="Book Antiqua" w:hAnsi="Book Antiqua"/>
          <w:lang w:eastAsia="zh-CN"/>
        </w:rPr>
        <w:t xml:space="preserve">algorithm </w:t>
      </w:r>
      <w:r w:rsidRPr="00472719">
        <w:rPr>
          <w:rFonts w:ascii="Book Antiqua" w:hAnsi="Book Antiqua"/>
          <w:lang w:eastAsia="zh-CN"/>
        </w:rPr>
        <w:t>in managing these fluid collections based on their size, locations, associated symptoms, internal echogenic patterns and structures.</w:t>
      </w:r>
      <w:r w:rsidR="00F6294A" w:rsidRPr="00472719">
        <w:rPr>
          <w:rFonts w:ascii="Book Antiqua" w:hAnsi="Book Antiqua"/>
          <w:lang w:eastAsia="zh-CN"/>
        </w:rPr>
        <w:t xml:space="preserve"> </w:t>
      </w:r>
      <w:r w:rsidRPr="00472719">
        <w:rPr>
          <w:rFonts w:ascii="Book Antiqua" w:hAnsi="Book Antiqua"/>
          <w:lang w:eastAsia="zh-CN"/>
        </w:rPr>
        <w:t xml:space="preserve"> </w:t>
      </w:r>
    </w:p>
    <w:p w14:paraId="66C8AF2E" w14:textId="77777777" w:rsidR="00BC1839" w:rsidRPr="00472719" w:rsidRDefault="00BC1839" w:rsidP="00472719">
      <w:pPr>
        <w:autoSpaceDE w:val="0"/>
        <w:autoSpaceDN w:val="0"/>
        <w:adjustRightInd w:val="0"/>
        <w:snapToGrid w:val="0"/>
        <w:spacing w:line="360" w:lineRule="auto"/>
        <w:jc w:val="both"/>
        <w:rPr>
          <w:rFonts w:ascii="Book Antiqua" w:hAnsi="Book Antiqua"/>
          <w:caps/>
          <w:color w:val="000000"/>
        </w:rPr>
      </w:pPr>
    </w:p>
    <w:p w14:paraId="3BF55E4A" w14:textId="4E345B12" w:rsidR="00BC1839" w:rsidRPr="00472719" w:rsidRDefault="00BC1839"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color w:val="000000"/>
        </w:rPr>
        <w:t>Methods and Review Strategy</w:t>
      </w:r>
    </w:p>
    <w:p w14:paraId="4F2F09E9" w14:textId="1029BB09" w:rsidR="00C27ACC" w:rsidRPr="00472719" w:rsidRDefault="00022FDB" w:rsidP="00472719">
      <w:pPr>
        <w:autoSpaceDE w:val="0"/>
        <w:autoSpaceDN w:val="0"/>
        <w:adjustRightInd w:val="0"/>
        <w:snapToGrid w:val="0"/>
        <w:spacing w:line="360" w:lineRule="auto"/>
        <w:jc w:val="both"/>
        <w:rPr>
          <w:rFonts w:ascii="Book Antiqua" w:hAnsi="Book Antiqua"/>
          <w:color w:val="000000"/>
        </w:rPr>
      </w:pPr>
      <w:r w:rsidRPr="00472719">
        <w:rPr>
          <w:rFonts w:ascii="Book Antiqua" w:hAnsi="Book Antiqua"/>
          <w:color w:val="000000"/>
        </w:rPr>
        <w:t xml:space="preserve">On November 15, 2014, the authors performed PubMed search using </w:t>
      </w:r>
      <w:r w:rsidR="004A7673" w:rsidRPr="00472719">
        <w:rPr>
          <w:rFonts w:ascii="Book Antiqua" w:hAnsi="Book Antiqua"/>
          <w:color w:val="000000"/>
        </w:rPr>
        <w:t xml:space="preserve">following </w:t>
      </w:r>
      <w:r w:rsidRPr="00472719">
        <w:rPr>
          <w:rFonts w:ascii="Book Antiqua" w:hAnsi="Book Antiqua"/>
          <w:color w:val="000000"/>
        </w:rPr>
        <w:t xml:space="preserve">key word sets: EUS in combination </w:t>
      </w:r>
      <w:r w:rsidR="004A7673" w:rsidRPr="00472719">
        <w:rPr>
          <w:rFonts w:ascii="Book Antiqua" w:hAnsi="Book Antiqua"/>
          <w:color w:val="000000"/>
        </w:rPr>
        <w:t>with</w:t>
      </w:r>
      <w:r w:rsidRPr="00472719">
        <w:rPr>
          <w:rFonts w:ascii="Book Antiqua" w:hAnsi="Book Antiqua"/>
          <w:color w:val="000000"/>
        </w:rPr>
        <w:t xml:space="preserve"> terminologies related to pancreatic fluid collections such as </w:t>
      </w:r>
      <w:proofErr w:type="spellStart"/>
      <w:r w:rsidRPr="00472719">
        <w:rPr>
          <w:rFonts w:ascii="Book Antiqua" w:hAnsi="Book Antiqua"/>
          <w:color w:val="000000"/>
        </w:rPr>
        <w:t>pseudocyst</w:t>
      </w:r>
      <w:proofErr w:type="spellEnd"/>
      <w:r w:rsidRPr="00472719">
        <w:rPr>
          <w:rFonts w:ascii="Book Antiqua" w:hAnsi="Book Antiqua"/>
          <w:color w:val="000000"/>
        </w:rPr>
        <w:t xml:space="preserve">, fluid collection, abscess, and WON. A pre-defined inclusion criteria or filter was then manually applied to PubMed search results (Figure 1). The inclusion criteria </w:t>
      </w:r>
      <w:r w:rsidR="004A7673" w:rsidRPr="00472719">
        <w:rPr>
          <w:rFonts w:ascii="Book Antiqua" w:hAnsi="Book Antiqua"/>
          <w:color w:val="000000"/>
        </w:rPr>
        <w:t>were</w:t>
      </w:r>
      <w:r w:rsidRPr="00472719">
        <w:rPr>
          <w:rFonts w:ascii="Book Antiqua" w:hAnsi="Book Antiqua"/>
          <w:color w:val="000000"/>
        </w:rPr>
        <w:t xml:space="preserve">: </w:t>
      </w:r>
      <w:r w:rsidR="00F6294A" w:rsidRPr="00472719">
        <w:rPr>
          <w:rFonts w:ascii="Book Antiqua" w:hAnsi="Book Antiqua"/>
          <w:color w:val="000000"/>
          <w:lang w:eastAsia="zh-CN"/>
        </w:rPr>
        <w:t>(</w:t>
      </w:r>
      <w:r w:rsidRPr="00472719">
        <w:rPr>
          <w:rFonts w:ascii="Book Antiqua" w:hAnsi="Book Antiqua"/>
          <w:color w:val="000000"/>
        </w:rPr>
        <w:t>1) orig</w:t>
      </w:r>
      <w:r w:rsidR="007E64A8" w:rsidRPr="00472719">
        <w:rPr>
          <w:rFonts w:ascii="Book Antiqua" w:hAnsi="Book Antiqua"/>
          <w:color w:val="000000"/>
        </w:rPr>
        <w:t>inal reports</w:t>
      </w:r>
      <w:r w:rsidR="00F6294A" w:rsidRPr="00472719">
        <w:rPr>
          <w:rFonts w:ascii="Book Antiqua" w:hAnsi="Book Antiqua"/>
          <w:color w:val="000000"/>
          <w:lang w:eastAsia="zh-CN"/>
        </w:rPr>
        <w:t>;</w:t>
      </w:r>
      <w:r w:rsidR="007E64A8" w:rsidRPr="00472719">
        <w:rPr>
          <w:rFonts w:ascii="Book Antiqua" w:hAnsi="Book Antiqua"/>
          <w:color w:val="000000"/>
        </w:rPr>
        <w:t xml:space="preserve"> </w:t>
      </w:r>
      <w:r w:rsidR="00F6294A" w:rsidRPr="00472719">
        <w:rPr>
          <w:rFonts w:ascii="Book Antiqua" w:hAnsi="Book Antiqua"/>
          <w:color w:val="000000"/>
          <w:lang w:eastAsia="zh-CN"/>
        </w:rPr>
        <w:t>(</w:t>
      </w:r>
      <w:r w:rsidR="007E64A8" w:rsidRPr="00472719">
        <w:rPr>
          <w:rFonts w:ascii="Book Antiqua" w:hAnsi="Book Antiqua"/>
          <w:color w:val="000000"/>
        </w:rPr>
        <w:t>2) case number &gt;</w:t>
      </w:r>
      <w:r w:rsidR="00F6294A" w:rsidRPr="00472719">
        <w:rPr>
          <w:rFonts w:ascii="Book Antiqua" w:hAnsi="Book Antiqua"/>
          <w:color w:val="000000"/>
          <w:lang w:eastAsia="zh-CN"/>
        </w:rPr>
        <w:t xml:space="preserve"> </w:t>
      </w:r>
      <w:r w:rsidR="007E64A8" w:rsidRPr="00472719">
        <w:rPr>
          <w:rFonts w:ascii="Book Antiqua" w:hAnsi="Book Antiqua"/>
          <w:color w:val="000000"/>
        </w:rPr>
        <w:t>6</w:t>
      </w:r>
      <w:r w:rsidR="00F6294A" w:rsidRPr="00472719">
        <w:rPr>
          <w:rFonts w:ascii="Book Antiqua" w:hAnsi="Book Antiqua"/>
          <w:color w:val="000000"/>
          <w:lang w:eastAsia="zh-CN"/>
        </w:rPr>
        <w:t>;</w:t>
      </w:r>
      <w:r w:rsidRPr="00472719">
        <w:rPr>
          <w:rFonts w:ascii="Book Antiqua" w:hAnsi="Book Antiqua"/>
          <w:color w:val="000000"/>
        </w:rPr>
        <w:t xml:space="preserve"> </w:t>
      </w:r>
      <w:r w:rsidR="00F6294A" w:rsidRPr="00472719">
        <w:rPr>
          <w:rFonts w:ascii="Book Antiqua" w:hAnsi="Book Antiqua"/>
          <w:color w:val="000000"/>
          <w:lang w:eastAsia="zh-CN"/>
        </w:rPr>
        <w:t>and (</w:t>
      </w:r>
      <w:r w:rsidR="007E64A8" w:rsidRPr="00472719">
        <w:rPr>
          <w:rFonts w:ascii="Book Antiqua" w:hAnsi="Book Antiqua"/>
          <w:color w:val="000000"/>
        </w:rPr>
        <w:t xml:space="preserve">3) </w:t>
      </w:r>
      <w:r w:rsidRPr="00472719">
        <w:rPr>
          <w:rFonts w:ascii="Book Antiqua" w:hAnsi="Book Antiqua"/>
          <w:color w:val="000000"/>
        </w:rPr>
        <w:t xml:space="preserve">and English language publication only. The authors then performed manual review of these publications and their listed references, i.e. </w:t>
      </w:r>
      <w:r w:rsidR="007C3094" w:rsidRPr="00472719">
        <w:rPr>
          <w:rFonts w:ascii="Book Antiqua" w:hAnsi="Book Antiqua"/>
          <w:color w:val="000000"/>
        </w:rPr>
        <w:t>cross-reference</w:t>
      </w:r>
      <w:r w:rsidRPr="00472719">
        <w:rPr>
          <w:rFonts w:ascii="Book Antiqua" w:hAnsi="Book Antiqua"/>
          <w:color w:val="000000"/>
        </w:rPr>
        <w:t xml:space="preserve"> search. Finally, each published paper was reviewed by two of these authors together, extracting the important information related to this review. </w:t>
      </w:r>
    </w:p>
    <w:p w14:paraId="5A9BFEFE" w14:textId="77777777" w:rsidR="005E5E9B" w:rsidRPr="00472719" w:rsidRDefault="005E5E9B" w:rsidP="00472719">
      <w:pPr>
        <w:autoSpaceDE w:val="0"/>
        <w:autoSpaceDN w:val="0"/>
        <w:adjustRightInd w:val="0"/>
        <w:snapToGrid w:val="0"/>
        <w:spacing w:line="360" w:lineRule="auto"/>
        <w:jc w:val="both"/>
        <w:rPr>
          <w:rFonts w:ascii="Book Antiqua" w:hAnsi="Book Antiqua"/>
          <w:color w:val="000000"/>
        </w:rPr>
      </w:pPr>
    </w:p>
    <w:p w14:paraId="2D923DD3" w14:textId="2BF8F694" w:rsidR="00C27ACC" w:rsidRPr="00472719" w:rsidRDefault="004F0B82" w:rsidP="00472719">
      <w:pPr>
        <w:autoSpaceDE w:val="0"/>
        <w:autoSpaceDN w:val="0"/>
        <w:adjustRightInd w:val="0"/>
        <w:snapToGrid w:val="0"/>
        <w:spacing w:line="360" w:lineRule="auto"/>
        <w:jc w:val="both"/>
        <w:rPr>
          <w:rFonts w:ascii="Book Antiqua" w:hAnsi="Book Antiqua"/>
          <w:caps/>
          <w:color w:val="000000"/>
        </w:rPr>
      </w:pPr>
      <w:r w:rsidRPr="00472719">
        <w:rPr>
          <w:rFonts w:ascii="Book Antiqua" w:hAnsi="Book Antiqua"/>
          <w:b/>
          <w:caps/>
          <w:color w:val="000000"/>
        </w:rPr>
        <w:t>Indications and</w:t>
      </w:r>
      <w:r w:rsidR="00D554BD" w:rsidRPr="00472719">
        <w:rPr>
          <w:rFonts w:ascii="Book Antiqua" w:hAnsi="Book Antiqua"/>
          <w:b/>
          <w:caps/>
          <w:color w:val="000000"/>
        </w:rPr>
        <w:t xml:space="preserve"> timing </w:t>
      </w:r>
      <w:r w:rsidR="005F3A3D" w:rsidRPr="00472719">
        <w:rPr>
          <w:rFonts w:ascii="Book Antiqua" w:hAnsi="Book Antiqua"/>
          <w:b/>
          <w:caps/>
          <w:color w:val="000000"/>
        </w:rPr>
        <w:t>for transmural drainage</w:t>
      </w:r>
    </w:p>
    <w:p w14:paraId="5E5AA28A" w14:textId="4592C057" w:rsidR="006F5A67" w:rsidRPr="00472719" w:rsidRDefault="001152C6" w:rsidP="00472719">
      <w:pPr>
        <w:adjustRightInd w:val="0"/>
        <w:snapToGrid w:val="0"/>
        <w:spacing w:line="360" w:lineRule="auto"/>
        <w:jc w:val="both"/>
        <w:rPr>
          <w:rFonts w:ascii="Book Antiqua" w:hAnsi="Book Antiqua"/>
        </w:rPr>
      </w:pPr>
      <w:r w:rsidRPr="00472719">
        <w:rPr>
          <w:rFonts w:ascii="Book Antiqua" w:hAnsi="Book Antiqua"/>
          <w:color w:val="000000"/>
          <w:lang w:val="en-GB"/>
        </w:rPr>
        <w:t>The decision to drain a pancreatic fluid collection depends on clinical symptoms, condition of the patient, change in size over time, time from onset of symptoms, infection and other complications. A</w:t>
      </w:r>
      <w:r w:rsidRPr="00472719">
        <w:rPr>
          <w:rFonts w:ascii="Book Antiqua" w:hAnsi="Book Antiqua"/>
          <w:color w:val="000000"/>
        </w:rPr>
        <w:t xml:space="preserve">symptomatic pancreatic and/or extra-pancreatic fluid collections do not warrant intervention regardless of size, location, and/or extension, </w:t>
      </w:r>
      <w:r w:rsidRPr="00472719">
        <w:rPr>
          <w:rFonts w:ascii="Book Antiqua" w:hAnsi="Book Antiqua"/>
          <w:color w:val="000000"/>
          <w:lang w:val="en-GB"/>
        </w:rPr>
        <w:t xml:space="preserve">drainage </w:t>
      </w:r>
      <w:r w:rsidR="006F5A67" w:rsidRPr="00472719">
        <w:rPr>
          <w:rFonts w:ascii="Book Antiqua" w:hAnsi="Book Antiqua"/>
          <w:color w:val="000000"/>
        </w:rPr>
        <w:t>is considered only when a collection becomes symptomatic or is infected</w:t>
      </w:r>
      <w:r w:rsidR="00757694" w:rsidRPr="00472719">
        <w:rPr>
          <w:rFonts w:ascii="Book Antiqua" w:hAnsi="Book Antiqua"/>
          <w:color w:val="000000"/>
        </w:rPr>
        <w:fldChar w:fldCharType="begin" w:fldLock="1"/>
      </w:r>
      <w:r w:rsidR="00FA79D6" w:rsidRPr="00472719">
        <w:rPr>
          <w:rFonts w:ascii="Book Antiqua" w:hAnsi="Book Antiqua"/>
          <w:color w:val="000000"/>
        </w:rPr>
        <w:instrText>ADDIN CSL_CITATION { "citationItems" : [ { "id" : "ITEM-1", "itemData" : { "DOI" : "10.1016/j.gie.2012.05.028", "ISSN" : "1097-6779", "PMID" : "23040609", "author" : [ { "dropping-particle" : "", "family" : "Gardner", "given" : "Timothy B", "non-dropping-particle" : "", "parse-names" : false, "suffix" : "" } ], "container-title" : "Gastrointestinal endoscopy", "id" : "ITEM-1", "issue" : "6", "issued" : { "date-parts" : [ [ "2012", "12" ] ] }, "page" : "1214-23", "publisher" : "Elsevier Inc.", "title" : "Endoscopic management of necrotizing pancreatitis.", "type" : "article-journal", "volume" : "76" }, "uris" : [ "http://www.mendeley.com/documents/?uuid=d00343b4-1923-4c63-848c-ee6f5f15744d", "http://www.mendeley.com/documents/?uuid=18fb9e05-1b4a-4e13-966a-db3a38fcb04f" ] } ], "mendeley" : { "formattedCitation" : "&lt;sup&gt;[6]&lt;/sup&gt;", "plainTextFormattedCitation" : "[6]", "previouslyFormattedCitation" : "&lt;sup&gt;[6]&lt;/sup&gt;" }, "properties" : { "noteIndex" : 0 }, "schema" : "https://github.com/citation-style-language/schema/raw/master/csl-citation.json" }</w:instrText>
      </w:r>
      <w:r w:rsidR="00757694" w:rsidRPr="00472719">
        <w:rPr>
          <w:rFonts w:ascii="Book Antiqua" w:hAnsi="Book Antiqua"/>
          <w:color w:val="000000"/>
        </w:rPr>
        <w:fldChar w:fldCharType="separate"/>
      </w:r>
      <w:r w:rsidR="00467DD1" w:rsidRPr="00472719">
        <w:rPr>
          <w:rFonts w:ascii="Book Antiqua" w:hAnsi="Book Antiqua"/>
          <w:noProof/>
          <w:color w:val="000000"/>
          <w:vertAlign w:val="superscript"/>
        </w:rPr>
        <w:t>[6]</w:t>
      </w:r>
      <w:r w:rsidR="00757694" w:rsidRPr="00472719">
        <w:rPr>
          <w:rFonts w:ascii="Book Antiqua" w:hAnsi="Book Antiqua"/>
          <w:color w:val="000000"/>
        </w:rPr>
        <w:fldChar w:fldCharType="end"/>
      </w:r>
      <w:r w:rsidR="006F5A67" w:rsidRPr="00472719">
        <w:rPr>
          <w:rFonts w:ascii="Book Antiqua" w:hAnsi="Book Antiqua"/>
          <w:color w:val="000000"/>
        </w:rPr>
        <w:t>. Infection is more common in necrotic collections and is suggested by air pockets inside</w:t>
      </w:r>
      <w:r w:rsidR="006F5A67" w:rsidRPr="00472719">
        <w:rPr>
          <w:rFonts w:ascii="Book Antiqua" w:hAnsi="Book Antiqua"/>
        </w:rPr>
        <w:t xml:space="preserve"> the collection visible on </w:t>
      </w:r>
      <w:r w:rsidR="00F36438" w:rsidRPr="00472719">
        <w:rPr>
          <w:rFonts w:ascii="Book Antiqua" w:hAnsi="Book Antiqua"/>
        </w:rPr>
        <w:t>computerized tomography (</w:t>
      </w:r>
      <w:r w:rsidR="006F5A67" w:rsidRPr="00472719">
        <w:rPr>
          <w:rFonts w:ascii="Book Antiqua" w:hAnsi="Book Antiqua"/>
        </w:rPr>
        <w:t>CT</w:t>
      </w:r>
      <w:r w:rsidR="00F36438" w:rsidRPr="00472719">
        <w:rPr>
          <w:rFonts w:ascii="Book Antiqua" w:hAnsi="Book Antiqua"/>
        </w:rPr>
        <w:t>)</w:t>
      </w:r>
      <w:r w:rsidR="006F5A67" w:rsidRPr="00472719">
        <w:rPr>
          <w:rFonts w:ascii="Book Antiqua" w:hAnsi="Book Antiqua"/>
        </w:rPr>
        <w:t xml:space="preserve"> scan. If the clinical scenario strongly raises the suspicion of an infected collection it may be documented by fine needle aspiration. In case of sterile collections, luminal or biliary obstruction from external compression, persistent abdominal pain requiring narcotics or an undiagnosed sepsis syndrome can be indications for drainage</w:t>
      </w:r>
      <w:r w:rsidR="0046703A"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"10.1016/j.gie.2008.06.061", "ISSN" : "1097-6779", "PMID" : "19243764", "abstract" : "BACKGROUND: Endoscopic therapy of walled-off pancreatic necrosis (WOPN) via direct intracavitary debridement is described.\n\nOBJECTIVE: To compare direct endoscopic necrosectomy with conventional transmural endoscopic drainage for the treatment of WOPN.\n\nDESIGN: Retrospective, comparative study.\n\nSETTING: Academic tertiary-care center.\n\nPATIENTS: Patients referred to Mayo Clinic, Rochester, Minnesota, since April 1998 for endoscopic drainage of WOPN.\n\nINTERVENTIONS: Each patient underwent standard endoscopic drainage that consisted of transmural cavity puncture, dilation of the fistula tract, and placement of a large-bore stent(s). Patients were classified into the direct endoscopic necrosectomy group if, during any of their procedures, adjunctive direct endoscopic necrosectomy was performed; all others were in the standard drainage group.\n\nMAIN OUTCOME MEASUREMENTS: Success was defined as resolution of the necrotic cavity without the need for operative or percutaneous intervention.\n\nRESULTS: Forty-five patients were identified who met study criteria: 25 underwent direct endoscopic necrosectomy, and 20 underwent standard endoscopic drainage. There were no differences in baseline patient or cavity characteristics. Successful resolution was accomplished in 88% who underwent direct endoscopic necrosectomy versus 45% who received standard drainage (P &lt; .01), without a change in the total number of procedures. The maximum size of tract dilation was larger in the direct endoscopic necrosectomy group (17 mm vs 14 mm, P &lt; .02). Complications were limited to mild periprocedural bleeding with equivalent rates between groups.\n\nLIMITATIONS: Retrospective, referral bias, single center.\n\nCONCLUSIONS: Direct endoscopic necrosectomy achieves higher rates of resolution, without a concomitant change in the number of endoscopic procedures, complication rate, or time to resolution compared with standard endoscopic drainage for WOPN. The need for fewer postprocedural inpatient hospital days and a decrease in the rate of cavity recurrence are also likely benefits of this technique.", "author" : [ { "dropping-particle" : "", "family" : "Gardner", "given" : "Timothy B", "non-dropping-particle" : "", "parse-names" : false, "suffix" : "" }, { "dropping-particle" : "", "family" : "Chahal", "given" : "Prabhleen", "non-dropping-particle" : "", "parse-names" : false, "suffix" : "" }, { "dropping-particle" : "", "family" : "Papachristou", "given" : "Georgios I", "non-dropping-particle" : "", "parse-names" : false, "suffix" : "" }, { "dropping-particle" : "", "family" : "Vege", "given" : "Santhi Swaroop", "non-dropping-particle" : "", "parse-names" : false, "suffix" : "" }, { "dropping-particle" : "", "family" : "Petersen", "given" : "Bret T", "non-dropping-particle" : "", "parse-names" : false, "suffix" : "" }, { "dropping-particle" : "", "family" : "Gostout", "given" : "Christopher J", "non-dropping-particle" : "", "parse-names" : false, "suffix" : "" }, { "dropping-particle" : "", "family" : "Topazian", "given" : "Mark D", "non-dropping-particle" : "", "parse-names" : false, "suffix" : "" }, { "dropping-particle" : "", "family" : "Takahashi", "given" : "Naoki", "non-dropping-particle" : "", "parse-names" : false, "suffix" : "" }, { "dropping-particle" : "", "family" : "Sarr", "given" : "Michael G", "non-dropping-particle" : "", "parse-names" : false, "suffix" : "" }, { "dropping-particle" : "", "family" : "Baron", "given" : "Todd H", "non-dropping-particle" : "", "parse-names" : false, "suffix" : "" } ], "container-title" : "Gastrointestinal endoscopy", "id" : "ITEM-1", "issue" : "6", "issued" : { "date-parts" : [ [ "2009", "5" ] ] }, "page" : "1085-94", "publisher" : "American Society for Gastrointestinal Endoscopy", "title" : "A comparison of direct endoscopic necrosectomy with transmural endoscopic drainage for the treatment of walled-off pancreatic necrosis.", "type" : "article-journal", "volume" : "69" }, "uris" : [ "http://www.mendeley.com/documents/?uuid=4c5b6839-975c-473d-b25f-6329ee66e9e1", "http://www.mendeley.com/documents/?uuid=36c20b07-806e-46f3-b84f-52f0317166c9" ] } ], "mendeley" : { "formattedCitation" : "&lt;sup&gt;[7]&lt;/sup&gt;", "plainTextFormattedCitation" : "[7]", "previouslyFormattedCitation" : "&lt;sup&gt;[7]&lt;/sup&gt;" }, "properties" : { "noteIndex" : 0 }, "schema" : "https://github.com/citation-style-language/schema/raw/master/csl-citation.json" }</w:instrText>
      </w:r>
      <w:r w:rsidR="0046703A" w:rsidRPr="00472719">
        <w:rPr>
          <w:rFonts w:ascii="Book Antiqua" w:hAnsi="Book Antiqua"/>
        </w:rPr>
        <w:fldChar w:fldCharType="separate"/>
      </w:r>
      <w:r w:rsidR="00467DD1" w:rsidRPr="00472719">
        <w:rPr>
          <w:rFonts w:ascii="Book Antiqua" w:hAnsi="Book Antiqua"/>
          <w:noProof/>
          <w:vertAlign w:val="superscript"/>
        </w:rPr>
        <w:t>[7]</w:t>
      </w:r>
      <w:r w:rsidR="0046703A" w:rsidRPr="00472719">
        <w:rPr>
          <w:rFonts w:ascii="Book Antiqua" w:hAnsi="Book Antiqua"/>
        </w:rPr>
        <w:fldChar w:fldCharType="end"/>
      </w:r>
      <w:r w:rsidR="006F5A67" w:rsidRPr="00472719">
        <w:rPr>
          <w:rFonts w:ascii="Book Antiqua" w:hAnsi="Book Antiqua"/>
        </w:rPr>
        <w:t xml:space="preserve">. PFC may be drained surgically, percutaneously or </w:t>
      </w:r>
      <w:proofErr w:type="spellStart"/>
      <w:r w:rsidR="006F5A67" w:rsidRPr="00472719">
        <w:rPr>
          <w:rFonts w:ascii="Book Antiqua" w:hAnsi="Book Antiqua"/>
        </w:rPr>
        <w:t>endoscopically</w:t>
      </w:r>
      <w:proofErr w:type="spellEnd"/>
      <w:r w:rsidR="006F5A67" w:rsidRPr="00472719">
        <w:rPr>
          <w:rFonts w:ascii="Book Antiqua" w:hAnsi="Book Antiqua"/>
        </w:rPr>
        <w:t xml:space="preserve">. </w:t>
      </w:r>
    </w:p>
    <w:p w14:paraId="561A6EA2" w14:textId="77777777" w:rsidR="004265EB" w:rsidRPr="00472719" w:rsidRDefault="00F36438"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tab/>
      </w:r>
      <w:r w:rsidR="004569A2" w:rsidRPr="00472719">
        <w:rPr>
          <w:rFonts w:ascii="Book Antiqua" w:hAnsi="Book Antiqua"/>
        </w:rPr>
        <w:t>T</w:t>
      </w:r>
      <w:r w:rsidR="004265EB" w:rsidRPr="00472719">
        <w:rPr>
          <w:rFonts w:ascii="Book Antiqua" w:hAnsi="Book Antiqua"/>
        </w:rPr>
        <w:t>iming is cri</w:t>
      </w:r>
      <w:r w:rsidRPr="00472719">
        <w:rPr>
          <w:rFonts w:ascii="Book Antiqua" w:hAnsi="Book Antiqua"/>
        </w:rPr>
        <w:t xml:space="preserve">tical for successful endoscopic </w:t>
      </w:r>
      <w:r w:rsidR="004265EB" w:rsidRPr="00472719">
        <w:rPr>
          <w:rFonts w:ascii="Book Antiqua" w:hAnsi="Book Antiqua"/>
        </w:rPr>
        <w:t>drainage</w:t>
      </w:r>
      <w:r w:rsidR="004569A2" w:rsidRPr="00472719">
        <w:rPr>
          <w:rFonts w:ascii="Book Antiqua" w:hAnsi="Book Antiqua"/>
        </w:rPr>
        <w:t xml:space="preserve"> in necrotizing pancreatitis</w:t>
      </w:r>
      <w:r w:rsidR="004265EB" w:rsidRPr="00472719">
        <w:rPr>
          <w:rFonts w:ascii="Book Antiqua" w:hAnsi="Book Antiqua"/>
        </w:rPr>
        <w:t>. Interventions wit</w:t>
      </w:r>
      <w:r w:rsidR="004569A2" w:rsidRPr="00472719">
        <w:rPr>
          <w:rFonts w:ascii="Book Antiqua" w:hAnsi="Book Antiqua"/>
        </w:rPr>
        <w:t>hin the first few weeks for ne</w:t>
      </w:r>
      <w:r w:rsidR="004265EB" w:rsidRPr="00472719">
        <w:rPr>
          <w:rFonts w:ascii="Book Antiqua" w:hAnsi="Book Antiqua"/>
        </w:rPr>
        <w:t xml:space="preserve">crotizing </w:t>
      </w:r>
      <w:r w:rsidR="009053A8" w:rsidRPr="00472719">
        <w:rPr>
          <w:rFonts w:ascii="Book Antiqua" w:hAnsi="Book Antiqua"/>
        </w:rPr>
        <w:t>pancreatitis</w:t>
      </w:r>
      <w:r w:rsidR="004265EB" w:rsidRPr="00472719">
        <w:rPr>
          <w:rFonts w:ascii="Book Antiqua" w:hAnsi="Book Antiqua"/>
        </w:rPr>
        <w:t xml:space="preserve"> </w:t>
      </w:r>
      <w:r w:rsidR="004265EB" w:rsidRPr="00472719">
        <w:rPr>
          <w:rFonts w:ascii="Book Antiqua" w:hAnsi="Book Antiqua"/>
        </w:rPr>
        <w:lastRenderedPageBreak/>
        <w:t>are gene</w:t>
      </w:r>
      <w:r w:rsidR="004569A2" w:rsidRPr="00472719">
        <w:rPr>
          <w:rFonts w:ascii="Book Antiqua" w:hAnsi="Book Antiqua"/>
        </w:rPr>
        <w:t>rally associated with poor out</w:t>
      </w:r>
      <w:r w:rsidR="009053A8" w:rsidRPr="00472719">
        <w:rPr>
          <w:rFonts w:ascii="Book Antiqua" w:hAnsi="Book Antiqua"/>
        </w:rPr>
        <w:t>comes</w:t>
      </w:r>
      <w:r w:rsidR="004265EB" w:rsidRPr="00472719">
        <w:rPr>
          <w:rFonts w:ascii="Book Antiqua" w:hAnsi="Book Antiqua"/>
        </w:rPr>
        <w:t xml:space="preserve">. </w:t>
      </w:r>
      <w:r w:rsidR="009053A8" w:rsidRPr="00472719">
        <w:rPr>
          <w:rFonts w:ascii="Book Antiqua" w:hAnsi="Book Antiqua"/>
        </w:rPr>
        <w:t>The guiding principle for tim</w:t>
      </w:r>
      <w:r w:rsidR="004265EB" w:rsidRPr="00472719">
        <w:rPr>
          <w:rFonts w:ascii="Book Antiqua" w:hAnsi="Book Antiqua"/>
        </w:rPr>
        <w:t xml:space="preserve">ing of </w:t>
      </w:r>
      <w:r w:rsidR="009053A8" w:rsidRPr="00472719">
        <w:rPr>
          <w:rFonts w:ascii="Book Antiqua" w:hAnsi="Book Antiqua"/>
        </w:rPr>
        <w:t>debridement</w:t>
      </w:r>
      <w:r w:rsidR="004265EB" w:rsidRPr="00472719">
        <w:rPr>
          <w:rFonts w:ascii="Book Antiqua" w:hAnsi="Book Antiqua"/>
        </w:rPr>
        <w:t xml:space="preserve"> is to</w:t>
      </w:r>
      <w:r w:rsidR="009053A8" w:rsidRPr="00472719">
        <w:rPr>
          <w:rFonts w:ascii="Book Antiqua" w:hAnsi="Book Antiqua"/>
        </w:rPr>
        <w:t xml:space="preserve"> delay</w:t>
      </w:r>
      <w:r w:rsidR="004265EB" w:rsidRPr="00472719">
        <w:rPr>
          <w:rFonts w:ascii="Book Antiqua" w:hAnsi="Book Antiqua"/>
        </w:rPr>
        <w:t>, any intervention until the collection has become encapsulated</w:t>
      </w:r>
      <w:r w:rsidR="00575125" w:rsidRPr="00472719">
        <w:rPr>
          <w:rFonts w:ascii="Book Antiqua" w:hAnsi="Book Antiqua"/>
        </w:rPr>
        <w:t xml:space="preserve"> and the content liquefied as much as possible</w:t>
      </w:r>
      <w:r w:rsidR="004265EB" w:rsidRPr="00472719">
        <w:rPr>
          <w:rFonts w:ascii="Book Antiqua" w:hAnsi="Book Antiqua"/>
        </w:rPr>
        <w:t xml:space="preserve">. </w:t>
      </w:r>
      <w:r w:rsidR="000325B8" w:rsidRPr="00472719">
        <w:rPr>
          <w:rFonts w:ascii="Book Antiqua" w:hAnsi="Book Antiqua"/>
        </w:rPr>
        <w:t>T</w:t>
      </w:r>
      <w:r w:rsidR="004265EB" w:rsidRPr="00472719">
        <w:rPr>
          <w:rFonts w:ascii="Book Antiqua" w:hAnsi="Book Antiqua"/>
        </w:rPr>
        <w:t>ypically encapsulation does not occur until at least 4 weeks after the initial injury.</w:t>
      </w:r>
    </w:p>
    <w:p w14:paraId="4F132946" w14:textId="29E9A22C" w:rsidR="006F5A67" w:rsidRPr="00472719" w:rsidRDefault="00F36438"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tab/>
      </w:r>
      <w:r w:rsidR="006F5A67" w:rsidRPr="00472719">
        <w:rPr>
          <w:rFonts w:ascii="Book Antiqua" w:hAnsi="Book Antiqua"/>
        </w:rPr>
        <w:t>Endoscopic treatment has been shown to have comparable efficacy to surgical drainage albeit with shorter hospital stays</w:t>
      </w:r>
      <w:r w:rsidR="00D554BD" w:rsidRPr="00472719">
        <w:rPr>
          <w:rFonts w:ascii="Book Antiqua" w:hAnsi="Book Antiqua"/>
        </w:rPr>
        <w:t>, better physical and mental health of patien</w:t>
      </w:r>
      <w:r w:rsidRPr="00472719">
        <w:rPr>
          <w:rFonts w:ascii="Book Antiqua" w:hAnsi="Book Antiqua"/>
        </w:rPr>
        <w:t>t</w:t>
      </w:r>
      <w:r w:rsidR="00D554BD" w:rsidRPr="00472719">
        <w:rPr>
          <w:rFonts w:ascii="Book Antiqua" w:hAnsi="Book Antiqua"/>
        </w:rPr>
        <w:t>s</w:t>
      </w:r>
      <w:r w:rsidR="006F5A67" w:rsidRPr="00472719">
        <w:rPr>
          <w:rFonts w:ascii="Book Antiqua" w:hAnsi="Book Antiqua"/>
        </w:rPr>
        <w:t xml:space="preserve"> and lower cost</w:t>
      </w:r>
      <w:r w:rsidR="00757694"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"10.1053/j.gastro.2013.05.046", "ISSN" : "1528-0012", "PMID" : "23732774", "abstract" : "BACKGROUND &amp; AIMS: Although surgery is the standard technique for drainage of pancreatic pseudocysts, use of endoscopic methods is increasing. We performed a single-center, open-label, randomized trial to compare endoscopic and surgical cystogastrostomy for pancreatic pseudocyst drainage.\n\nMETHODS: Patients with pancreatic pseudocysts underwent endoscopic (n = 20) or surgical cystogastrostomy (n\u00a0= 20). The primary end point was pseudocyst recurrence after a 24-month follow-up period. Secondary end points were treatment success or failure, complications, re-interventions, length of hospital stay, physical and mental health scores, and total costs.\n\nRESULTS: At the end of the follow-up period, none of the patients who received endoscopic therapy had a pseudocyst recurrence, compared with 1 patient treated surgically. There were no differences in treatment successes, complications, or re-interventions between the groups. However, the length of hospital stay was shorter for patients who underwent endoscopic cystogastrostomy (median, 2 days, vs 6 days in the surgery group; P &lt; .001). Although there were no differences in physical component scores and mental health component scores (MCS) between groups at baseline on the Medical Outcomes Study 36-Item Short-Form General Survey questionnaire, longitudinal analysis showed significantly better physical component scores (P\u00a0= .019) and mental health component scores (P\u00a0= .025) for the endoscopy treatment group. The total mean cost was lower for patients managed by endoscopy than surgery ($7011 vs $15,052; P\u00a0= .003).\n\nCONCLUSIONS: In a randomized trial comparing endoscopic and surgical cystogastrostomy for pancreatic pseudocyst drainage, none of the patients in the endoscopy group had pseudocyst recurrence during the follow-up period, therefore there is no evidence that surgical cystogastrostomy is superior. However, endoscopic treatment was associated with shorter hospital stays, better physical and mental health of patients, and lower cost.\n\nTRIAL REGISTRATION: ClinicalTrials.gov: NCT00826501.", "author" : [ { "dropping-particle" : "", "family" : "Varadarajulu", "given" : "Shyam", "non-dropping-particle" : "", "parse-names" : false, "suffix" : "" }, { "dropping-particle" : "", "family" : "Bang", "given" : "Ji Young", "non-dropping-particle" : "", "parse-names" : false, "suffix" : "" }, { "dropping-particle" : "", "family" : "Sutton", "given" : "Bryce S", "non-dropping-particle" : "", "parse-names" : false, "suffix" : "" }, { "dropping-particle" : "", "family" : "Trevino", "given" : "Jessica M", "non-dropping-particle" : "", "parse-names" : false, "suffix" : "" }, { "dropping-particle" : "", "family" : "Christein", "given" : "John D", "non-dropping-particle" : "", "parse-names" : false, "suffix" : "" }, { "dropping-particle" : "", "family" : "Wilcox", "given" : "C Mel", "non-dropping-particle" : "", "parse-names" : false, "suffix" : "" } ], "container-title" : "Gastroenterology", "id" : "ITEM-1", "issue" : "3", "issued" : { "date-parts" : [ [ "2013", "9" ] ] }, "page" : "583-90.e1", "publisher" : "Elsevier, Inc", "title" : "Equal efficacy of endoscopic and surgical cystogastrostomy for pancreatic pseudocyst drainage in a randomized trial.", "type" : "article-journal", "volume" : "145" }, "uris" : [ "http://www.mendeley.com/documents/?uuid=f1d56fe8-0c50-4972-b19b-1be6d9950687", "http://www.mendeley.com/documents/?uuid=63f338ec-3743-443d-9802-494c0708eb89" ] } ], "mendeley" : { "formattedCitation" : "&lt;sup&gt;[8]&lt;/sup&gt;", "plainTextFormattedCitation" : "[8]", "previouslyFormattedCitation" : "&lt;sup&gt;[8]&lt;/sup&gt;" }, "properties" : { "noteIndex" : 0 }, "schema" : "https://github.com/citation-style-language/schema/raw/master/csl-citation.json" }</w:instrText>
      </w:r>
      <w:r w:rsidR="00757694" w:rsidRPr="00472719">
        <w:rPr>
          <w:rFonts w:ascii="Book Antiqua" w:hAnsi="Book Antiqua"/>
        </w:rPr>
        <w:fldChar w:fldCharType="separate"/>
      </w:r>
      <w:r w:rsidR="00467DD1" w:rsidRPr="00472719">
        <w:rPr>
          <w:rFonts w:ascii="Book Antiqua" w:hAnsi="Book Antiqua"/>
          <w:noProof/>
          <w:vertAlign w:val="superscript"/>
        </w:rPr>
        <w:t>[8]</w:t>
      </w:r>
      <w:r w:rsidR="00757694" w:rsidRPr="00472719">
        <w:rPr>
          <w:rFonts w:ascii="Book Antiqua" w:hAnsi="Book Antiqua"/>
        </w:rPr>
        <w:fldChar w:fldCharType="end"/>
      </w:r>
      <w:r w:rsidR="006F5A67" w:rsidRPr="00472719">
        <w:rPr>
          <w:rFonts w:ascii="Book Antiqua" w:hAnsi="Book Antiqua"/>
        </w:rPr>
        <w:t xml:space="preserve">. Percutaneous drainage requires the patient to have an external drain for an extended period of time. This may lead to development of </w:t>
      </w:r>
      <w:proofErr w:type="spellStart"/>
      <w:r w:rsidR="006F5A67" w:rsidRPr="00472719">
        <w:rPr>
          <w:rFonts w:ascii="Book Antiqua" w:hAnsi="Book Antiqua"/>
        </w:rPr>
        <w:t>pancreatico</w:t>
      </w:r>
      <w:proofErr w:type="spellEnd"/>
      <w:r w:rsidR="00D554BD" w:rsidRPr="00472719">
        <w:rPr>
          <w:rFonts w:ascii="Book Antiqua" w:hAnsi="Book Antiqua"/>
        </w:rPr>
        <w:t>-</w:t>
      </w:r>
      <w:r w:rsidR="006F5A67" w:rsidRPr="00472719">
        <w:rPr>
          <w:rFonts w:ascii="Book Antiqua" w:hAnsi="Book Antiqua"/>
        </w:rPr>
        <w:t xml:space="preserve">cutaneous fistulas especially in those cases with ductal disruption. When compared to percutaneous drainage endoscopic approach allows placement of multiple drainage modalities through a single puncture site. </w:t>
      </w:r>
    </w:p>
    <w:p w14:paraId="2D2335E7" w14:textId="3F676680" w:rsidR="005F3A3D" w:rsidRPr="00472719" w:rsidRDefault="00F36438" w:rsidP="00472719">
      <w:pPr>
        <w:autoSpaceDE w:val="0"/>
        <w:autoSpaceDN w:val="0"/>
        <w:adjustRightInd w:val="0"/>
        <w:snapToGrid w:val="0"/>
        <w:spacing w:line="360" w:lineRule="auto"/>
        <w:jc w:val="both"/>
        <w:rPr>
          <w:rFonts w:ascii="Book Antiqua" w:hAnsi="Book Antiqua"/>
          <w:color w:val="000000"/>
        </w:rPr>
      </w:pPr>
      <w:r w:rsidRPr="00472719">
        <w:rPr>
          <w:rFonts w:ascii="Book Antiqua" w:hAnsi="Book Antiqua"/>
        </w:rPr>
        <w:tab/>
      </w:r>
      <w:r w:rsidR="006F5A67" w:rsidRPr="00472719">
        <w:rPr>
          <w:rFonts w:ascii="Book Antiqua" w:hAnsi="Book Antiqua"/>
        </w:rPr>
        <w:t>EUS permits visualization of the entire cavity, assesses the maturity of the wall, measures the distance of the collection from the luminal wall and also identifies intervening vessels (collaterals) along the puncture site</w:t>
      </w:r>
      <w:r w:rsidR="004E1053" w:rsidRPr="00472719">
        <w:rPr>
          <w:rFonts w:ascii="Book Antiqua" w:hAnsi="Book Antiqua"/>
        </w:rPr>
        <w:t xml:space="preserve"> (Figure</w:t>
      </w:r>
      <w:r w:rsidR="006744A0" w:rsidRPr="00472719">
        <w:rPr>
          <w:rFonts w:ascii="Book Antiqua" w:hAnsi="Book Antiqua"/>
        </w:rPr>
        <w:t>s</w:t>
      </w:r>
      <w:r w:rsidR="004E1053" w:rsidRPr="00472719">
        <w:rPr>
          <w:rFonts w:ascii="Book Antiqua" w:hAnsi="Book Antiqua"/>
        </w:rPr>
        <w:t xml:space="preserve"> 2</w:t>
      </w:r>
      <w:r w:rsidR="006744A0" w:rsidRPr="00472719">
        <w:rPr>
          <w:rFonts w:ascii="Book Antiqua" w:hAnsi="Book Antiqua"/>
        </w:rPr>
        <w:t xml:space="preserve"> and 3</w:t>
      </w:r>
      <w:r w:rsidR="004E1053" w:rsidRPr="00472719">
        <w:rPr>
          <w:rFonts w:ascii="Book Antiqua" w:hAnsi="Book Antiqua"/>
        </w:rPr>
        <w:t>)</w:t>
      </w:r>
      <w:r w:rsidR="006F5A67" w:rsidRPr="00472719">
        <w:rPr>
          <w:rFonts w:ascii="Book Antiqua" w:hAnsi="Book Antiqua"/>
        </w:rPr>
        <w:t>. EUS guided drainage of PFC has been shown to have higher technical success when compared to conventional transmural endoscopic drainage</w:t>
      </w:r>
      <w:r w:rsidRPr="00472719">
        <w:rPr>
          <w:rFonts w:ascii="Book Antiqua" w:hAnsi="Book Antiqua"/>
        </w:rPr>
        <w:t xml:space="preserve"> without EUS guidance</w:t>
      </w:r>
      <w:r w:rsidR="00757694"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"10.1016/j.gie.2008.04.028", "ISSN" : "1097-6779", "PMID" : "18640677", "abstract" : "BACKGROUND: Although prior studies evaluated the role of EUS and EGD for drainage of pancreatic pseudocysts, there are no randomized trials that compared the technical outcomes between both modalities.\n\nOBJECTIVE: To compare the rate of technical success between EUS and EGD for transmural drainage of pancreatic pseudocysts.\n\nSTUDY DESIGN: A prospective randomized trial.\n\nSETTING: A tertiary-referral center.\n\nPATIENTS: Those with a history of pancreatitis and symptomatic pancreatic pseudocysts that measured greater than 4 cm in size who were referred for endoscopic transmural drainage. Patients with pancreatic abscess or necrosis were excluded.\n\nMAIN OUTCOME MEASUREMENTS: Technical success was defined as the ability to access and drain a pseudocyst by placement of transmural stents. Complications were assessed at 24 hours and at day 30. Treatment success was defined as the complete resolution or decrease in size of the pseudocyst to &lt;or=2 cm on CT in association with clinical resolution of symptoms at 6 weeks of follow-up.\n\nRESULTS: Thirty patients were randomized to undergo pseudocyst drainage by EUS (n = 15) or EGD (n = 15) over a 6-month period. Of the 15 patients randomized to EUS, drainage was not undertaken in one, because an alternative diagnosis of biliary cystadenoma was established at EUS and was excluded (after randomization) from analysis. The mean age of the patients was 47 years; 62% were men (18/29). Except for their sex, there was no difference in patient or clinical characteristics between the 2 cohorts. Although all the patients (n = 14) randomized to an EUS underwent successful drainage (100%), the procedure was technically successful in only 5 of 15 patients (33%) randomized to an EGD (P &lt; .001). All 10 patients who failed drainage by EGD underwent successful drainage of the pseudocyst on a crossover to EUS. There was no significant difference in the rates of treatment success between EUS and EGD after stenting, either by intention-to-treat (ITT) analysis (100% vs 87%; P = .48) or as-treated analysis (95.8% vs 80%; P = .32). Major procedure-related bleeding was encountered in 2 patients in whom drainage by EGD was attempted; one resulted in death and the other necessitated a blood transfusion. No significant difference was observed between EUS and EGD with regard to complications either by ITT (0% vs 13%; P = .48) or as-treated analyses (4% vs 20%; P = .32). Technical success was significantly greater for EUS than EGD, even after adju\u2026", "author" : [ { "dropping-particle" : "", "family" : "Varadarajulu", "given" : "Shyam", "non-dropping-particle" : "", "parse-names" : false, "suffix" : "" }, { "dropping-particle" : "", "family" : "Christein", "given" : "John D", "non-dropping-particle" : "", "parse-names" : false, "suffix" : "" }, { "dropping-particle" : "", "family" : "Tamhane", "given" : "Ashutosh", "non-dropping-particle" : "", "parse-names" : false, "suffix" : "" }, { "dropping-particle" : "", "family" : "Drelichman", "given" : "Ernesto R", "non-dropping-particle" : "", "parse-names" : false, "suffix" : "" }, { "dropping-particle" : "", "family" : "Wilcox", "given" : "C Mel", "non-dropping-particle" : "", "parse-names" : false, "suffix" : "" } ], "container-title" : "Gastrointestinal endoscopy", "id" : "ITEM-1", "issue" : "6", "issued" : { "date-parts" : [ [ "2008", "12" ] ] }, "page" : "1102-11", "publisher" : "American Society for Gastrointestinal Endoscopy", "title" : "Prospective randomized trial comparing EUS and EGD for transmural drainage of pancreatic pseudocysts (with videos).", "type" : "article-journal", "volume" : "68" }, "uris" : [ "http://www.mendeley.com/documents/?uuid=70e651c4-caf3-4c03-b33c-f131c217713a", "http://www.mendeley.com/documents/?uuid=ec0f90f9-276c-4edc-b722-c58e6516727f" ] } ], "mendeley" : { "formattedCitation" : "&lt;sup&gt;[9]&lt;/sup&gt;", "plainTextFormattedCitation" : "[9]", "previouslyFormattedCitation" : "&lt;sup&gt;[9]&lt;/sup&gt;" }, "properties" : { "noteIndex" : 0 }, "schema" : "https://github.com/citation-style-language/schema/raw/master/csl-citation.json" }</w:instrText>
      </w:r>
      <w:r w:rsidR="00757694" w:rsidRPr="00472719">
        <w:rPr>
          <w:rFonts w:ascii="Book Antiqua" w:hAnsi="Book Antiqua"/>
        </w:rPr>
        <w:fldChar w:fldCharType="separate"/>
      </w:r>
      <w:r w:rsidR="00467DD1" w:rsidRPr="00472719">
        <w:rPr>
          <w:rFonts w:ascii="Book Antiqua" w:hAnsi="Book Antiqua"/>
          <w:noProof/>
          <w:vertAlign w:val="superscript"/>
        </w:rPr>
        <w:t>[9]</w:t>
      </w:r>
      <w:r w:rsidR="00757694" w:rsidRPr="00472719">
        <w:rPr>
          <w:rFonts w:ascii="Book Antiqua" w:hAnsi="Book Antiqua"/>
        </w:rPr>
        <w:fldChar w:fldCharType="end"/>
      </w:r>
      <w:r w:rsidR="006F5A67" w:rsidRPr="00472719">
        <w:rPr>
          <w:rFonts w:ascii="Book Antiqua" w:hAnsi="Book Antiqua"/>
        </w:rPr>
        <w:t>. EUS guided drainage is the preferred modality when there is no visible luminal bulge or when there is a clinical suspicion of portal hypertension and collateral formation or in patients with coagulopathy</w:t>
      </w:r>
      <w:r w:rsidR="00FA79D6" w:rsidRPr="00472719">
        <w:rPr>
          <w:rFonts w:ascii="Book Antiqua" w:hAnsi="Book Antiqua"/>
        </w:rPr>
        <w:fldChar w:fldCharType="begin" w:fldLock="1"/>
      </w:r>
      <w:r w:rsidR="00517E56" w:rsidRPr="00472719">
        <w:rPr>
          <w:rFonts w:ascii="Book Antiqua" w:hAnsi="Book Antiqua"/>
        </w:rPr>
        <w:instrText>ADDIN CSL_CITATION { "citationItems" : [ { "id" : "ITEM-1", "itemData" : { "DOI" : "10.1016/j.gie.2010.01.023", "ISBN" : "00165107", "ISSN" : "00165107", "PMID" : "20381044", "abstract" : "The American Society for Gastrointestinal Endoscopy (ASGE) Technology Committee provides reviews of new or emerging endoscopic technologies that have the potential to have an impact on the practice of GI endoscopy. Evidence-based methodology is used by performing a MEDLINE literature search to identify pertinent preclinical and clinical studies on the topic and a MAUDE (U.S. Food and Drug Administration Center for Devices and Radiological Health) database search to identify the reported complications of a given technology. Both are supplemented by accessing the \"related articles\" feature of PubMed and by scrutinizing pertinent references cited by the identified studies. Controlled clinical trials are emphasized, but, in many cases, data from randomized, controlled trials are lacking. In such cases, large case series, preliminary clinical studies, and expert opinions are used. Technical data are gathered from traditional and Web-based publications, proprietary publications, and informal communications with pertinent vendors. For this review, the MEDLINE database was searched through August 2009 by using the keywords \"interventional endoscopic ultrasound,\" \"EUS,\" and \"interventional endoscopy.\". Reports on Emerging Technologies are drafted by 1 or 2 members of the ASGE Technology Committee, reviewed and edited by the committee as a whole, and approved by the Governing Board of the ASGE. These reports are scientific reviews provided solely for educational and informational purposes. Reports on Emerging Technologies are not rules and should not be construed as establishing a legal standard of care or as encouraging, advocating, requiring, or discouraging any particular treatment or payment for such treatment. \u00a9 2010 American Society for Gastrointestinal Endoscopy.", "author" : [ { "dropping-particle" : "", "family" : "Kaul", "given" : "Vivek", "non-dropping-particle" : "", "parse-names" : false, "suffix" : "" }, { "dropping-particle" : "", "family" : "Adler", "given" : "Douglas G.", "non-dropping-particle" : "", "parse-names" : false, "suffix" : "" }, { "dropping-particle" : "", "family" : "Conway", "given" : "Jason D.", "non-dropping-particle" : "", "parse-names" : false, "suffix" : "" }, { "dropping-particle" : "", "family" : "Farraye", "given" : "Francis a.", "non-dropping-particle" : "", "parse-names" : false, "suffix" : "" }, { "dropping-particle" : "V.", "family" : "Kantsevoy", "given" : "Sergey", "non-dropping-particle" : "", "parse-names" : false, "suffix" : "" }, { "dropping-particle" : "", "family" : "Kethu", "given" : "Sripathi R.", "non-dropping-particle" : "", "parse-names" : false, "suffix" : "" }, { "dropping-particle" : "", "family" : "Kwon", "given" : "Richard S.", "non-dropping-particle" : "", "parse-names" : false, "suffix" : "" }, { "dropping-particle" : "", "family" : "Mamula", "given" : "Petar", "non-dropping-particle" : "", "parse-names" : false, "suffix" : "" }, { "dropping-particle" : "", "family" : "Pedrosa", "given" : "Marcos C.", "non-dropping-particle" : "", "parse-names" : false, "suffix" : "" }, { "dropping-particle" : "", "family" : "Rodriguez", "given" : "Sarah a.", "non-dropping-particle" : "", "parse-names" : false, "suffix" : "" }, { "dropping-particle" : "", "family" : "Tierney", "given" : "William M.", "non-dropping-particle" : "", "parse-names" : false, "suffix" : "" } ], "container-title" : "Gastrointestinal Endoscopy", "id" : "ITEM-1", "issue" : "1", "issued" : { "date-parts" : [ [ "2010" ] ] }, "page" : "1-4", "title" : "Interventional EUS", "type" : "article-journal", "volume" : "72" }, "uris" : [ "http://www.mendeley.com/documents/?uuid=94bbc240-70cf-4d4d-9839-5b149ebef7dc" ] }, { "id" : "ITEM-2", "itemData" : { "DOI" : "10.1016/j.gie.2008.06.061", "ISSN" : "1097-6779", "PMID" : "19243764", "abstract" : "BACKGROUND: Endoscopic therapy of walled-off pancreatic necrosis (WOPN) via direct intracavitary debridement is described.\n\nOBJECTIVE: To compare direct endoscopic necrosectomy with conventional transmural endoscopic drainage for the treatment of WOPN.\n\nDESIGN: Retrospective, comparative study.\n\nSETTING: Academic tertiary-care center.\n\nPATIENTS: Patients referred to Mayo Clinic, Rochester, Minnesota, since April 1998 for endoscopic drainage of WOPN.\n\nINTERVENTIONS: Each patient underwent standard endoscopic drainage that consisted of transmural cavity puncture, dilation of the fistula tract, and placement of a large-bore stent(s). Patients were classified into the direct endoscopic necrosectomy group if, during any of their procedures, adjunctive direct endoscopic necrosectomy was performed; all others were in the standard drainage group.\n\nMAIN OUTCOME MEASUREMENTS: Success was defined as resolution of the necrotic cavity without the need for operative or percutaneous intervention.\n\nRESULTS: Forty-five patients were identified who met study criteria: 25 underwent direct endoscopic necrosectomy, and 20 underwent standard endoscopic drainage. There were no differences in baseline patient or cavity characteristics. Successful resolution was accomplished in 88% who underwent direct endoscopic necrosectomy versus 45% who received standard drainage (P &lt; .01), without a change in the total number of procedures. The maximum size of tract dilation was larger in the direct endoscopic necrosectomy group (17 mm vs 14 mm, P &lt; .02). Complications were limited to mild periprocedural bleeding with equivalent rates between groups.\n\nLIMITATIONS: Retrospective, referral bias, single center.\n\nCONCLUSIONS: Direct endoscopic necrosectomy achieves higher rates of resolution, without a concomitant change in the number of endoscopic procedures, complication rate, or time to resolution compared with standard endoscopic drainage for WOPN. The need for fewer postprocedural inpatient hospital days and a decrease in the rate of cavity recurrence are also likely benefits of this technique.", "author" : [ { "dropping-particle" : "", "family" : "Gardner", "given" : "Timothy B", "non-dropping-particle" : "", "parse-names" : false, "suffix" : "" }, { "dropping-particle" : "", "family" : "Chahal", "given" : "Prabhleen", "non-dropping-particle" : "", "parse-names" : false, "suffix" : "" }, { "dropping-particle" : "", "family" : "Papachristou", "given" : "Georgios I", "non-dropping-particle" : "", "parse-names" : false, "suffix" : "" }, { "dropping-particle" : "", "family" : "Vege", "given" : "Santhi Swaroop", "non-dropping-particle" : "", "parse-names" : false, "suffix" : "" }, { "dropping-particle" : "", "family" : "Petersen", "given" : "Bret T", "non-dropping-particle" : "", "parse-names" : false, "suffix" : "" }, { "dropping-particle" : "", "family" : "Gostout", "given" : "Christopher J", "non-dropping-particle" : "", "parse-names" : false, "suffix" : "" }, { "dropping-particle" : "", "family" : "Topazian", "given" : "Mark D", "non-dropping-particle" : "", "parse-names" : false, "suffix" : "" }, { "dropping-particle" : "", "family" : "Takahashi", "given" : "Naoki", "non-dropping-particle" : "", "parse-names" : false, "suffix" : "" }, { "dropping-particle" : "", "family" : "Sarr", "given" : "Michael G", "non-dropping-particle" : "", "parse-names" : false, "suffix" : "" }, { "dropping-particle" : "", "family" : "Baron", "given" : "Todd H", "non-dropping-particle" : "", "parse-names" : false, "suffix" : "" } ], "container-title" : "Gastrointestinal endoscopy", "id" : "ITEM-2", "issue" : "6", "issued" : { "date-parts" : [ [ "2009", "5" ] ] }, "page" : "1085-94", "publisher" : "American Society for Gastrointestinal Endoscopy", "title" : "A comparison of direct endoscopic necrosectomy with transmural endoscopic drainage for the treatment of walled-off pancreatic necrosis.", "type" : "article-journal", "volume" : "69" }, "uris" : [ "http://www.mendeley.com/documents/?uuid=4c5b6839-975c-473d-b25f-6329ee66e9e1" ] }, { "id" : "ITEM-3", "itemData" : { "DOI" : "10.1016/j.gie.2012.05.028", "ISSN" : "1097-6779", "PMID" : "23040609", "author" : [ { "dropping-particle" : "", "family" : "Gardner", "given" : "Timothy B", "non-dropping-particle" : "", "parse-names" : false, "suffix" : "" } ], "container-title" : "Gastrointestinal endoscopy", "id" : "ITEM-3", "issue" : "6", "issued" : { "date-parts" : [ [ "2012", "12" ] ] }, "page" : "1214-23", "publisher" : "Elsevier Inc.", "title" : "Endoscopic management of necrotizing pancreatitis.", "type" : "article-journal", "volume" : "76" }, "uris" : [ "http://www.mendeley.com/documents/?uuid=d00343b4-1923-4c63-848c-ee6f5f15744d" ] } ], "mendeley" : { "formattedCitation" : "&lt;sup&gt;[4,6,7]&lt;/sup&gt;", "plainTextFormattedCitation" : "[4,6,7]", "previouslyFormattedCitation" : "&lt;sup&gt;[4,6,7]&lt;/sup&gt;" }, "properties" : { "noteIndex" : 0 }, "schema" : "https://github.com/citation-style-language/schema/raw/master/csl-citation.json" }</w:instrText>
      </w:r>
      <w:r w:rsidR="00FA79D6" w:rsidRPr="00472719">
        <w:rPr>
          <w:rFonts w:ascii="Book Antiqua" w:hAnsi="Book Antiqua"/>
        </w:rPr>
        <w:fldChar w:fldCharType="separate"/>
      </w:r>
      <w:r w:rsidR="00FA79D6" w:rsidRPr="00472719">
        <w:rPr>
          <w:rFonts w:ascii="Book Antiqua" w:hAnsi="Book Antiqua"/>
          <w:noProof/>
          <w:vertAlign w:val="superscript"/>
        </w:rPr>
        <w:t>[4,6,7]</w:t>
      </w:r>
      <w:r w:rsidR="00FA79D6" w:rsidRPr="00472719">
        <w:rPr>
          <w:rFonts w:ascii="Book Antiqua" w:hAnsi="Book Antiqua"/>
        </w:rPr>
        <w:fldChar w:fldCharType="end"/>
      </w:r>
      <w:r w:rsidR="00FA79D6" w:rsidRPr="00472719">
        <w:rPr>
          <w:rFonts w:ascii="Book Antiqua" w:hAnsi="Book Antiqua"/>
        </w:rPr>
        <w:t>.</w:t>
      </w:r>
    </w:p>
    <w:p w14:paraId="3AD79FBB" w14:textId="77777777" w:rsidR="006F5A67" w:rsidRPr="00472719" w:rsidRDefault="006F5A67" w:rsidP="00472719">
      <w:pPr>
        <w:autoSpaceDE w:val="0"/>
        <w:autoSpaceDN w:val="0"/>
        <w:adjustRightInd w:val="0"/>
        <w:snapToGrid w:val="0"/>
        <w:spacing w:line="360" w:lineRule="auto"/>
        <w:jc w:val="both"/>
        <w:rPr>
          <w:rFonts w:ascii="Book Antiqua" w:hAnsi="Book Antiqua"/>
          <w:color w:val="000000"/>
        </w:rPr>
      </w:pPr>
    </w:p>
    <w:p w14:paraId="7D17A757" w14:textId="1552033E" w:rsidR="00BC1839" w:rsidRPr="00472719" w:rsidRDefault="00BC1839"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color w:val="000000"/>
        </w:rPr>
        <w:t xml:space="preserve">Should ERCP and trans-papillary drainage be performed on these </w:t>
      </w:r>
      <w:r w:rsidR="004F0B82" w:rsidRPr="00472719">
        <w:rPr>
          <w:rFonts w:ascii="Book Antiqua" w:hAnsi="Book Antiqua"/>
          <w:b/>
          <w:caps/>
          <w:color w:val="000000"/>
        </w:rPr>
        <w:t>patients?</w:t>
      </w:r>
    </w:p>
    <w:p w14:paraId="0F7BAFB7" w14:textId="613EA2C8" w:rsidR="00CE4552" w:rsidRPr="00472719" w:rsidRDefault="00CE4552" w:rsidP="00472719">
      <w:pPr>
        <w:autoSpaceDE w:val="0"/>
        <w:autoSpaceDN w:val="0"/>
        <w:adjustRightInd w:val="0"/>
        <w:snapToGrid w:val="0"/>
        <w:spacing w:line="360" w:lineRule="auto"/>
        <w:jc w:val="both"/>
        <w:rPr>
          <w:rFonts w:ascii="Book Antiqua" w:hAnsi="Book Antiqua"/>
          <w:color w:val="000000"/>
        </w:rPr>
      </w:pPr>
      <w:r w:rsidRPr="00472719">
        <w:rPr>
          <w:rFonts w:ascii="Book Antiqua" w:hAnsi="Book Antiqua"/>
          <w:color w:val="000000"/>
        </w:rPr>
        <w:t xml:space="preserve">Endoscopic drainage of </w:t>
      </w:r>
      <w:r w:rsidR="00F36438" w:rsidRPr="00472719">
        <w:rPr>
          <w:rFonts w:ascii="Book Antiqua" w:hAnsi="Book Antiqua"/>
          <w:color w:val="000000"/>
        </w:rPr>
        <w:t xml:space="preserve">PFCs </w:t>
      </w:r>
      <w:r w:rsidRPr="00472719">
        <w:rPr>
          <w:rFonts w:ascii="Book Antiqua" w:hAnsi="Book Antiqua"/>
          <w:color w:val="000000"/>
        </w:rPr>
        <w:t xml:space="preserve">may be performed either during </w:t>
      </w:r>
      <w:r w:rsidR="006F3103" w:rsidRPr="00472719">
        <w:rPr>
          <w:rFonts w:ascii="Book Antiqua" w:hAnsi="Book Antiqua"/>
          <w:color w:val="000000"/>
        </w:rPr>
        <w:t xml:space="preserve">endoscopic retrograde </w:t>
      </w:r>
      <w:proofErr w:type="spellStart"/>
      <w:r w:rsidR="006F3103" w:rsidRPr="00472719">
        <w:rPr>
          <w:rFonts w:ascii="Book Antiqua" w:hAnsi="Book Antiqua"/>
          <w:color w:val="000000"/>
        </w:rPr>
        <w:t>cholangiopancreatography</w:t>
      </w:r>
      <w:proofErr w:type="spellEnd"/>
      <w:r w:rsidR="006F3103" w:rsidRPr="00472719">
        <w:rPr>
          <w:rFonts w:ascii="Book Antiqua" w:hAnsi="Book Antiqua"/>
          <w:color w:val="000000"/>
        </w:rPr>
        <w:t xml:space="preserve"> (</w:t>
      </w:r>
      <w:r w:rsidRPr="00472719">
        <w:rPr>
          <w:rFonts w:ascii="Book Antiqua" w:hAnsi="Book Antiqua"/>
          <w:color w:val="000000"/>
        </w:rPr>
        <w:t>ERCP</w:t>
      </w:r>
      <w:r w:rsidR="006F3103" w:rsidRPr="00472719">
        <w:rPr>
          <w:rFonts w:ascii="Book Antiqua" w:hAnsi="Book Antiqua"/>
          <w:color w:val="000000"/>
        </w:rPr>
        <w:t>)</w:t>
      </w:r>
      <w:r w:rsidRPr="00472719">
        <w:rPr>
          <w:rFonts w:ascii="Book Antiqua" w:hAnsi="Book Antiqua"/>
          <w:color w:val="000000"/>
        </w:rPr>
        <w:t xml:space="preserve"> with drainage t</w:t>
      </w:r>
      <w:r w:rsidR="00F36438" w:rsidRPr="00472719">
        <w:rPr>
          <w:rFonts w:ascii="Book Antiqua" w:hAnsi="Book Antiqua"/>
          <w:color w:val="000000"/>
        </w:rPr>
        <w:t xml:space="preserve">hrough the main ampulla of </w:t>
      </w:r>
      <w:proofErr w:type="spellStart"/>
      <w:r w:rsidR="00F36438" w:rsidRPr="00472719">
        <w:rPr>
          <w:rFonts w:ascii="Book Antiqua" w:hAnsi="Book Antiqua"/>
          <w:color w:val="000000"/>
        </w:rPr>
        <w:t>Vater</w:t>
      </w:r>
      <w:proofErr w:type="spellEnd"/>
      <w:r w:rsidRPr="00472719">
        <w:rPr>
          <w:rFonts w:ascii="Book Antiqua" w:hAnsi="Book Antiqua"/>
          <w:color w:val="000000"/>
        </w:rPr>
        <w:t xml:space="preserve"> or </w:t>
      </w:r>
      <w:r w:rsidRPr="00472719">
        <w:rPr>
          <w:rFonts w:ascii="Book Antiqua" w:hAnsi="Book Antiqua"/>
          <w:i/>
          <w:color w:val="000000"/>
        </w:rPr>
        <w:t>via</w:t>
      </w:r>
      <w:r w:rsidRPr="00472719">
        <w:rPr>
          <w:rFonts w:ascii="Book Antiqua" w:hAnsi="Book Antiqua"/>
          <w:color w:val="000000"/>
        </w:rPr>
        <w:t xml:space="preserve"> a transmural route, either </w:t>
      </w:r>
      <w:r w:rsidRPr="00472719">
        <w:rPr>
          <w:rFonts w:ascii="Book Antiqua" w:hAnsi="Book Antiqua"/>
          <w:i/>
          <w:color w:val="000000"/>
        </w:rPr>
        <w:t>via</w:t>
      </w:r>
      <w:r w:rsidRPr="00472719">
        <w:rPr>
          <w:rFonts w:ascii="Book Antiqua" w:hAnsi="Book Antiqua"/>
          <w:color w:val="000000"/>
        </w:rPr>
        <w:t xml:space="preserve"> the duodenum or the stomach. There are at present no comparative or randomized studies from which solid data can be extracted regarding the preferred method for drainage. Only case series with inconsistency of methods and guidelines based on expert </w:t>
      </w:r>
      <w:r w:rsidR="00F6294A" w:rsidRPr="00472719">
        <w:rPr>
          <w:rFonts w:ascii="Book Antiqua" w:hAnsi="Book Antiqua"/>
          <w:color w:val="000000"/>
        </w:rPr>
        <w:lastRenderedPageBreak/>
        <w:t>opinions have been published</w:t>
      </w:r>
      <w:r w:rsidRPr="00472719">
        <w:rPr>
          <w:rFonts w:ascii="Book Antiqua" w:hAnsi="Book Antiqua"/>
          <w:color w:val="000000"/>
        </w:rPr>
        <w:fldChar w:fldCharType="begin" w:fldLock="1"/>
      </w:r>
      <w:r w:rsidR="00FA79D6" w:rsidRPr="00472719">
        <w:rPr>
          <w:rFonts w:ascii="Book Antiqua" w:hAnsi="Book Antiqua"/>
          <w:color w:val="000000"/>
        </w:rPr>
        <w:instrText>ADDIN CSL_CITATION { "citationItems" : [ { "id" : "ITEM-1", "itemData" : { "DOI" : "10.1055/s-0032-1309840", "ISSN" : "0013-726X", "author" : [ { "dropping-particle" : "", "family" : "Dumonceau", "given" : "J.-M.", "non-dropping-particle" : "", "parse-names" : false, "suffix" : "" }, { "dropping-particle" : "", "family" : "Delhaye", "given" : "M.", "non-dropping-particle" : "", "parse-names" : false, "suffix" : "" }, { "dropping-particle" : "", "family" : "Tringali", "given" : "a.", "non-dropping-particle" : "", "parse-names" : false, "suffix" : "" }, { "dropping-particle" : "", "family" : "Dominguez-Munoz", "given" : "J.", "non-dropping-particle" : "", "parse-names" : false, "suffix" : "" }, { "dropping-particle" : "", "family" : "Poley", "given" : "J.-W.", "non-dropping-particle" : "", "parse-names" : false, "suffix" : "" }, { "dropping-particle" : "", "family" : "Arvanitaki", "given" : "M.", "non-dropping-particle" : "", "parse-names" : false, "suffix" : "" }, { "dropping-particle" : "", "family" : "Costamagna", "given" : "G.", "non-dropping-particle" : "", "parse-names" : false, "suffix" : "" }, { "dropping-particle" : "", "family" : "Costea", "given" : "F.", "non-dropping-particle" : "", "parse-names" : false, "suffix" : "" }, { "dropping-particle" : "", "family" : "Devi\u00e8re", "given" : "J.", "non-dropping-particle" : "", "parse-names" : false, "suffix" : "" }, { "dropping-particle" : "", "family" : "Eisendrath", "given" : "P.", "non-dropping-particle" : "", "parse-names" : false, "suffix" : "" }, { "dropping-particle" : "", "family" : "Lakhtakia", "given" : "S.", "non-dropping-particle" : "", "parse-names" : false, "suffix" : "" }, { "dropping-particle" : "", "family" : "Reddy", "given" : "N.", "non-dropping-particle" : "", "parse-names" : false, "suffix" : "" }, { "dropping-particle" : "", "family" : "Fockens", "given" : "P.", "non-dropping-particle" : "", "parse-names" : false, "suffix" : "" }, { "dropping-particle" : "", "family" : "Ponchon", "given" : "T.", "non-dropping-particle" : "", "parse-names" : false, "suffix" : "" }, { "dropping-particle" : "", "family" : "Bruno", "given" : "M.", "non-dropping-particle" : "", "parse-names" : false, "suffix" : "" } ], "container-title" : "Endoscopy", "id" : "ITEM-1", "issued" : { "date-parts" : [ [ "2012" ] ] }, "page" : "784-800", "title" : "Endoscopic treatment of chronic pancreatitis: European Society of Gastrointestinal Endoscopy (ESGE) Clinical Guideline", "type" : "article-journal", "volume" : "44" }, "uris" : [ "http://www.mendeley.com/documents/?uuid=55657808-f93d-44b1-85e6-c53d436cb475", "http://www.mendeley.com/documents/?uuid=7134fecc-dfd4-4e41-85e2-9b1c91e26709" ] }, { "id" : "ITEM-2", "itemData" : { "DOI" : "10.1038/ajg.2013.218", "ISSN" : "1572-0241", "PMID" : "23896955", "abstract" : "This guideline presents recommendations for the management of patients with acute pancreatitis (AP). During the past decade, there have been new understandings and developments in the diagnosis, etiology, and early and late management of the disease. As the diagnosis of AP is most often established by clinical symptoms and laboratory testing, contrast-enhanced computed tomography (CECT) and/or magnetic resonance imaging (MRI) of the pancreas should be reserved for patients in whom the diagnosis is unclear or who fail to improve clinically. Hemodynamic status should be assessed immediately upon presentation and resuscitative measures begun as needed. Patients with organ failure and/or the systemic inflammatory response syndrome (SIRS) should be admitted to an intensive care unit or intermediary care setting whenever possible. Aggressive hydration should be provided to all patients, unless cardiovascular and/or renal comorbidites preclude it. Early aggressive intravenous hydration is most beneficial within the first 12-24 h, and may have little benefit beyond. Patients with AP and concurrent acute cholangitis should undergo endoscopic retrograde cholangiopancreatography (ERCP) within 24 h of admission. Pancreatic duct stents and/or postprocedure rectal nonsteroidal anti-inflammatory drug (NSAID) suppositories should be utilized to lower the risk of severe post-ERCP pancreatitis in high-risk patients. Routine use of prophylactic antibiotics in patients with severe AP and/or sterile necrosis is not recommended. In patients with infected necrosis, antibiotics known to penetrate pancreatic necrosis may be useful in delaying intervention, thus decreasing morbidity and mortality. In mild AP, oral feedings can be started immediately if there is no nausea and vomiting. In severe AP, enteral nutrition is recommended to prevent infectious complications, whereas parenteral nutrition should be avoided. Asymptomatic pancreatic and/or extrapancreatic necrosis and/or pseudocysts do not warrant intervention regardless of size, location, and/or extension. In stable patients with infected necrosis, surgical, radiologic, and/or endoscopic drainage should be delayed, preferably for 4 weeks, to allow the development of a wall around the necrosis.", "author" : [ { "dropping-particle" : "", "family" : "Tenner", "given" : "Scott", "non-dropping-particle" : "", "parse-names" : false, "suffix" : "" }, { "dropping-particle" : "", "family" : "Baillie", "given" : "John", "non-dropping-particle" : "", "parse-names" : false, "suffix" : "" }, { "dropping-particle" : "", "family" : "DeWitt", "given" : "John", "non-dropping-particle" : "", "parse-names" : false, "suffix" : "" }, { "dropping-particle" : "", "family" : "Vege", "given" : "Santhi Swaroop", "non-dropping-particle" : "", "parse-names" : false, "suffix" : "" } ], "container-title" : "The American journal of gastroenterology", "id" : "ITEM-2", "issue" : "9", "issued" : { "date-parts" : [ [ "2013", "9" ] ] }, "page" : "1400-15; 1416", "publisher" : "Nature Publishing Group", "title" : "American College of Gastroenterology guideline: management of acute pancreatitis.", "type" : "article-journal", "volume" : "108" }, "uris" : [ "http://www.mendeley.com/documents/?uuid=349849f5-102d-472c-8012-4af3a436574c", "http://www.mendeley.com/documents/?uuid=5de197cc-4550-4b4c-a426-f6702f711ca1" ] } ], "mendeley" : { "formattedCitation" : "&lt;sup&gt;[10,11]&lt;/sup&gt;", "plainTextFormattedCitation" : "[10,11]", "previouslyFormattedCitation" : "&lt;sup&gt;[10,11]&lt;/sup&gt;" }, "properties" : { "noteIndex" : 0 }, "schema" : "https://github.com/citation-style-language/schema/raw/master/csl-citation.json" }</w:instrText>
      </w:r>
      <w:r w:rsidRPr="00472719">
        <w:rPr>
          <w:rFonts w:ascii="Book Antiqua" w:hAnsi="Book Antiqua"/>
          <w:color w:val="000000"/>
        </w:rPr>
        <w:fldChar w:fldCharType="separate"/>
      </w:r>
      <w:r w:rsidR="00467DD1" w:rsidRPr="00472719">
        <w:rPr>
          <w:rFonts w:ascii="Book Antiqua" w:hAnsi="Book Antiqua"/>
          <w:noProof/>
          <w:color w:val="000000"/>
          <w:vertAlign w:val="superscript"/>
        </w:rPr>
        <w:t>[10,11]</w:t>
      </w:r>
      <w:r w:rsidRPr="00472719">
        <w:rPr>
          <w:rFonts w:ascii="Book Antiqua" w:hAnsi="Book Antiqua"/>
          <w:color w:val="000000"/>
        </w:rPr>
        <w:fldChar w:fldCharType="end"/>
      </w:r>
      <w:r w:rsidRPr="00472719">
        <w:rPr>
          <w:rFonts w:ascii="Book Antiqua" w:hAnsi="Book Antiqua"/>
          <w:color w:val="000000"/>
        </w:rPr>
        <w:t xml:space="preserve">. According to these </w:t>
      </w:r>
      <w:proofErr w:type="spellStart"/>
      <w:r w:rsidRPr="00472719">
        <w:rPr>
          <w:rFonts w:ascii="Book Antiqua" w:hAnsi="Book Antiqua"/>
          <w:color w:val="000000"/>
        </w:rPr>
        <w:t>transpapillary</w:t>
      </w:r>
      <w:proofErr w:type="spellEnd"/>
      <w:r w:rsidRPr="00472719">
        <w:rPr>
          <w:rFonts w:ascii="Book Antiqua" w:hAnsi="Book Antiqua"/>
          <w:color w:val="000000"/>
        </w:rPr>
        <w:t xml:space="preserve"> drainage is preferred to EUS guided transmural dra</w:t>
      </w:r>
      <w:r w:rsidR="000D09CB" w:rsidRPr="00472719">
        <w:rPr>
          <w:rFonts w:ascii="Book Antiqua" w:hAnsi="Book Antiqua"/>
          <w:color w:val="000000"/>
        </w:rPr>
        <w:t>inage as a first step procedure for small collections communicating with the main pancreatic duct in the head or body of the pancreas</w:t>
      </w:r>
      <w:r w:rsidR="004E1053" w:rsidRPr="00472719">
        <w:rPr>
          <w:rFonts w:ascii="Book Antiqua" w:hAnsi="Book Antiqua"/>
          <w:color w:val="000000"/>
        </w:rPr>
        <w:t xml:space="preserve"> (Figure </w:t>
      </w:r>
      <w:r w:rsidR="006744A0" w:rsidRPr="00472719">
        <w:rPr>
          <w:rFonts w:ascii="Book Antiqua" w:hAnsi="Book Antiqua"/>
          <w:color w:val="000000"/>
        </w:rPr>
        <w:t>4</w:t>
      </w:r>
      <w:r w:rsidR="004E1053" w:rsidRPr="00472719">
        <w:rPr>
          <w:rFonts w:ascii="Book Antiqua" w:hAnsi="Book Antiqua"/>
          <w:color w:val="000000"/>
        </w:rPr>
        <w:t>)</w:t>
      </w:r>
      <w:r w:rsidR="000D09CB" w:rsidRPr="00472719">
        <w:rPr>
          <w:rFonts w:ascii="Book Antiqua" w:hAnsi="Book Antiqua"/>
          <w:color w:val="000000"/>
        </w:rPr>
        <w:t>.</w:t>
      </w:r>
      <w:r w:rsidRPr="00472719">
        <w:rPr>
          <w:rFonts w:ascii="Book Antiqua" w:hAnsi="Book Antiqua"/>
          <w:color w:val="000000"/>
        </w:rPr>
        <w:t xml:space="preserve"> In most publications with EUS guided drainage there is no description whether all patients had undergone ERCP prior to EUS guided drainage. In a series of 116 patients of which 15 had </w:t>
      </w:r>
      <w:proofErr w:type="spellStart"/>
      <w:r w:rsidRPr="00472719">
        <w:rPr>
          <w:rFonts w:ascii="Book Antiqua" w:hAnsi="Book Antiqua"/>
          <w:color w:val="000000"/>
        </w:rPr>
        <w:t>transpapillary</w:t>
      </w:r>
      <w:proofErr w:type="spellEnd"/>
      <w:r w:rsidRPr="00472719">
        <w:rPr>
          <w:rFonts w:ascii="Book Antiqua" w:hAnsi="Book Antiqua"/>
          <w:color w:val="000000"/>
        </w:rPr>
        <w:t xml:space="preserve"> drainage, 60 transmural and 41 both methods, successful drainage was </w:t>
      </w:r>
      <w:r w:rsidR="00F6294A" w:rsidRPr="00472719">
        <w:rPr>
          <w:rFonts w:ascii="Book Antiqua" w:hAnsi="Book Antiqua"/>
          <w:color w:val="000000"/>
        </w:rPr>
        <w:t>achieved in 88% of the patients</w:t>
      </w:r>
      <w:r w:rsidRPr="00472719">
        <w:rPr>
          <w:rFonts w:ascii="Book Antiqua" w:hAnsi="Book Antiqua"/>
          <w:color w:val="000000"/>
        </w:rPr>
        <w:fldChar w:fldCharType="begin" w:fldLock="1"/>
      </w:r>
      <w:r w:rsidR="00FA79D6" w:rsidRPr="00472719">
        <w:rPr>
          <w:rFonts w:ascii="Book Antiqua" w:hAnsi="Book Antiqua"/>
          <w:color w:val="000000"/>
        </w:rPr>
        <w:instrText>ADDIN CSL_CITATION { "citationItems" : [ { "id" : "ITEM-1", "itemData" : { "DOI" : "10.1016/j.gie.2005.06.028", "ISSN" : "0016-5107", "PMID" : "16564865", "abstract" : "BACKGROUND: Pancreatic-fluid collections are frequent sequelae of acute and chronic pancreatitis, and endoscopic drainage of these collections has gained acceptance as an alternative to surgical drainage.\n\nMETHODS: Patient data, collection characteristics, drainage technique, and outcomes were obtained through chart review and prospective follow-up for 116 patients with attempted endoscopic drainage of symptomatic pancreatic-fluid collections.\n\nRESULTS: A total of 116 patients presented with fluid collections classified as acute fluid collection (n = 5), necrosis (n = 8), acute pseudocyst (n = 30), chronic pseudocyst (n = 64), and pancreatic abscess (n = 9). The median diameter of the collection drained was 60 mm (15-275 mm). Median follow-up after drainage was 21 months. The drainage technique was transpapillary in 15 patients, transmural in 60, and both in 41. Successful resolution of symptoms and collection occurred in 87.9% of cases. No difference in success rates was observed between patients with acute pancreatitis and those with chronic pancreatitis. However, drainage of organized necrosis was associated with a significantly higher failure rate than other collections. No significant differences were observed regarding success when disease, drainage technique, or site of drainage was considered. Complications occurred in 13 patients (11%), and there were 6 deaths in the 30 days after drainage, including one that was procedure related.\n\nCONCLUSIONS: Endoscopic drainage of pancreatic-fluid collections is successful in the majority of patients and is accompanied by an acceptable complication rate.", "author" : [ { "dropping-particle" : "", "family" : "Hookey", "given" : "Lawrence C", "non-dropping-particle" : "", "parse-names" : false, "suffix" : "" }, { "dropping-particle" : "", "family" : "Debroux", "given" : "S\u00e9bastien", "non-dropping-particle" : "", "parse-names" : false, "suffix" : "" }, { "dropping-particle" : "", "family" : "Delhaye", "given" : "Myriam", "non-dropping-particle" : "", "parse-names" : false, "suffix" : "" }, { "dropping-particle" : "", "family" : "Arvanitakis", "given" : "Marianna", "non-dropping-particle" : "", "parse-names" : false, "suffix" : "" }, { "dropping-particle" : "", "family" : "Moine", "given" : "Olivier", "non-dropping-particle" : "Le", "parse-names" : false, "suffix" : "" }, { "dropping-particle" : "", "family" : "Devi\u00e8re", "given" : "Jacques", "non-dropping-particle" : "", "parse-names" : false, "suffix" : "" } ], "container-title" : "Gastrointestinal endoscopy", "id" : "ITEM-1", "issue" : "4", "issued" : { "date-parts" : [ [ "2006", "4" ] ] }, "page" : "635-43", "title" : "Endoscopic drainage of pancreatic-fluid collections in 116 patients: a comparison of etiologies, drainage techniques, and outcomes.", "type" : "article-journal", "volume" : "63" }, "uris" : [ "http://www.mendeley.com/documents/?uuid=e050bc13-71fc-4511-9330-79c16e68dab3", "http://www.mendeley.com/documents/?uuid=14a18265-5a27-47ae-84c5-a43711ced2fe" ] } ], "mendeley" : { "formattedCitation" : "&lt;sup&gt;[12]&lt;/sup&gt;", "plainTextFormattedCitation" : "[12]", "previouslyFormattedCitation" : "&lt;sup&gt;[12]&lt;/sup&gt;" }, "properties" : { "noteIndex" : 0 }, "schema" : "https://github.com/citation-style-language/schema/raw/master/csl-citation.json" }</w:instrText>
      </w:r>
      <w:r w:rsidRPr="00472719">
        <w:rPr>
          <w:rFonts w:ascii="Book Antiqua" w:hAnsi="Book Antiqua"/>
          <w:color w:val="000000"/>
        </w:rPr>
        <w:fldChar w:fldCharType="separate"/>
      </w:r>
      <w:r w:rsidR="00467DD1" w:rsidRPr="00472719">
        <w:rPr>
          <w:rFonts w:ascii="Book Antiqua" w:hAnsi="Book Antiqua"/>
          <w:noProof/>
          <w:color w:val="000000"/>
          <w:vertAlign w:val="superscript"/>
        </w:rPr>
        <w:t>[12]</w:t>
      </w:r>
      <w:r w:rsidRPr="00472719">
        <w:rPr>
          <w:rFonts w:ascii="Book Antiqua" w:hAnsi="Book Antiqua"/>
          <w:color w:val="000000"/>
        </w:rPr>
        <w:fldChar w:fldCharType="end"/>
      </w:r>
      <w:r w:rsidRPr="00472719">
        <w:rPr>
          <w:rFonts w:ascii="Book Antiqua" w:hAnsi="Book Antiqua"/>
          <w:color w:val="000000"/>
        </w:rPr>
        <w:t>. There was no difference in success between the methods. Hence, the recommendation statement that a pancreatic fluid collection preferably s</w:t>
      </w:r>
      <w:r w:rsidR="006F3103" w:rsidRPr="00472719">
        <w:rPr>
          <w:rFonts w:ascii="Book Antiqua" w:hAnsi="Book Antiqua"/>
          <w:color w:val="000000"/>
        </w:rPr>
        <w:t xml:space="preserve">hould be drained </w:t>
      </w:r>
      <w:r w:rsidR="006F3103" w:rsidRPr="00472719">
        <w:rPr>
          <w:rFonts w:ascii="Book Antiqua" w:hAnsi="Book Antiqua"/>
          <w:i/>
          <w:color w:val="000000"/>
        </w:rPr>
        <w:t>via</w:t>
      </w:r>
      <w:r w:rsidR="006F3103" w:rsidRPr="00472719">
        <w:rPr>
          <w:rFonts w:ascii="Book Antiqua" w:hAnsi="Book Antiqua"/>
          <w:color w:val="000000"/>
        </w:rPr>
        <w:t xml:space="preserve"> the pancreatic papilla</w:t>
      </w:r>
      <w:r w:rsidRPr="00472719">
        <w:rPr>
          <w:rFonts w:ascii="Book Antiqua" w:hAnsi="Book Antiqua"/>
          <w:color w:val="000000"/>
        </w:rPr>
        <w:t xml:space="preserve"> and the pancreatic duct is base</w:t>
      </w:r>
      <w:r w:rsidR="006F3103" w:rsidRPr="00472719">
        <w:rPr>
          <w:rFonts w:ascii="Book Antiqua" w:hAnsi="Book Antiqua"/>
          <w:color w:val="000000"/>
        </w:rPr>
        <w:t>d on very low evidence</w:t>
      </w:r>
      <w:r w:rsidRPr="00472719">
        <w:rPr>
          <w:rFonts w:ascii="Book Antiqua" w:hAnsi="Book Antiqua"/>
          <w:color w:val="000000"/>
        </w:rPr>
        <w:t>.</w:t>
      </w:r>
    </w:p>
    <w:p w14:paraId="1710C3BE" w14:textId="77777777" w:rsidR="006539FA" w:rsidRPr="00472719" w:rsidRDefault="006539FA" w:rsidP="00472719">
      <w:pPr>
        <w:autoSpaceDE w:val="0"/>
        <w:autoSpaceDN w:val="0"/>
        <w:adjustRightInd w:val="0"/>
        <w:snapToGrid w:val="0"/>
        <w:spacing w:line="360" w:lineRule="auto"/>
        <w:jc w:val="both"/>
        <w:rPr>
          <w:rFonts w:ascii="Book Antiqua" w:hAnsi="Book Antiqua"/>
          <w:color w:val="000000"/>
        </w:rPr>
      </w:pPr>
    </w:p>
    <w:p w14:paraId="793215B4" w14:textId="3AF7C54C" w:rsidR="00BC1839" w:rsidRPr="00472719" w:rsidRDefault="00BC1839"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color w:val="000000"/>
        </w:rPr>
        <w:t>Does location of the fluid collection matter</w:t>
      </w:r>
    </w:p>
    <w:p w14:paraId="117797C0" w14:textId="63F65D21" w:rsidR="00E87288" w:rsidRPr="00472719" w:rsidRDefault="00E87288"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t xml:space="preserve">Transmural drainage has been attempted in pancreatic </w:t>
      </w:r>
      <w:proofErr w:type="spellStart"/>
      <w:r w:rsidRPr="00472719">
        <w:rPr>
          <w:rFonts w:ascii="Book Antiqua" w:hAnsi="Book Antiqua"/>
        </w:rPr>
        <w:t>pseudocysts</w:t>
      </w:r>
      <w:proofErr w:type="spellEnd"/>
      <w:r w:rsidR="002E1D18" w:rsidRPr="00472719">
        <w:rPr>
          <w:rFonts w:ascii="Book Antiqua" w:hAnsi="Book Antiqua"/>
        </w:rPr>
        <w:t xml:space="preserve"> </w:t>
      </w:r>
      <w:r w:rsidR="002E1D18" w:rsidRPr="00472719">
        <w:rPr>
          <w:rFonts w:ascii="Book Antiqua" w:hAnsi="Book Antiqua"/>
          <w:color w:val="000000"/>
        </w:rPr>
        <w:t>(Figure 5</w:t>
      </w:r>
      <w:r w:rsidR="00ED5D32">
        <w:rPr>
          <w:rFonts w:ascii="Book Antiqua" w:hAnsi="Book Antiqua" w:hint="eastAsia"/>
          <w:color w:val="000000"/>
          <w:lang w:eastAsia="zh-CN"/>
        </w:rPr>
        <w:t>A</w:t>
      </w:r>
      <w:r w:rsidR="002E1D18" w:rsidRPr="00472719">
        <w:rPr>
          <w:rFonts w:ascii="Book Antiqua" w:hAnsi="Book Antiqua"/>
          <w:color w:val="000000"/>
        </w:rPr>
        <w:t>).</w:t>
      </w:r>
      <w:r w:rsidR="00F6294A" w:rsidRPr="00472719">
        <w:rPr>
          <w:rFonts w:ascii="Book Antiqua" w:hAnsi="Book Antiqua"/>
          <w:color w:val="000000"/>
        </w:rPr>
        <w:t xml:space="preserve"> </w:t>
      </w:r>
      <w:proofErr w:type="gramStart"/>
      <w:r w:rsidRPr="00472719">
        <w:rPr>
          <w:rFonts w:ascii="Book Antiqua" w:hAnsi="Book Antiqua"/>
        </w:rPr>
        <w:t>and</w:t>
      </w:r>
      <w:proofErr w:type="gramEnd"/>
      <w:r w:rsidRPr="00472719">
        <w:rPr>
          <w:rFonts w:ascii="Book Antiqua" w:hAnsi="Book Antiqua"/>
        </w:rPr>
        <w:t xml:space="preserve"> </w:t>
      </w:r>
      <w:r w:rsidR="006F3103" w:rsidRPr="00472719">
        <w:rPr>
          <w:rFonts w:ascii="Book Antiqua" w:hAnsi="Book Antiqua"/>
        </w:rPr>
        <w:t xml:space="preserve">WON </w:t>
      </w:r>
      <w:r w:rsidR="002E1D18" w:rsidRPr="00472719">
        <w:rPr>
          <w:rFonts w:ascii="Book Antiqua" w:hAnsi="Book Antiqua"/>
          <w:color w:val="000000"/>
        </w:rPr>
        <w:t xml:space="preserve">(Figure </w:t>
      </w:r>
      <w:r w:rsidR="00ED5D32">
        <w:rPr>
          <w:rFonts w:ascii="Book Antiqua" w:hAnsi="Book Antiqua" w:hint="eastAsia"/>
          <w:color w:val="000000"/>
          <w:lang w:eastAsia="zh-CN"/>
        </w:rPr>
        <w:t>5B</w:t>
      </w:r>
      <w:r w:rsidR="002E1D18" w:rsidRPr="00472719">
        <w:rPr>
          <w:rFonts w:ascii="Book Antiqua" w:hAnsi="Book Antiqua"/>
          <w:color w:val="000000"/>
        </w:rPr>
        <w:t xml:space="preserve">). </w:t>
      </w:r>
      <w:r w:rsidRPr="00472719">
        <w:rPr>
          <w:rFonts w:ascii="Book Antiqua" w:hAnsi="Book Antiqua"/>
        </w:rPr>
        <w:t xml:space="preserve">of suitable size located in the head, body or tail of pancreas provided the distance between the lumen wall and cyst is less than 1 cm. Due to their location in the lesser sac or extension to the </w:t>
      </w:r>
      <w:proofErr w:type="spellStart"/>
      <w:r w:rsidRPr="00472719">
        <w:rPr>
          <w:rFonts w:ascii="Book Antiqua" w:hAnsi="Book Antiqua"/>
        </w:rPr>
        <w:t>pararenal</w:t>
      </w:r>
      <w:proofErr w:type="spellEnd"/>
      <w:r w:rsidRPr="00472719">
        <w:rPr>
          <w:rFonts w:ascii="Book Antiqua" w:hAnsi="Book Antiqua"/>
        </w:rPr>
        <w:t xml:space="preserve"> space, PFC in the pancreatic tail do not cause a luminal compression and can be accessed only by EUS. </w:t>
      </w:r>
      <w:proofErr w:type="spellStart"/>
      <w:r w:rsidRPr="00472719">
        <w:rPr>
          <w:rFonts w:ascii="Book Antiqua" w:hAnsi="Book Antiqua"/>
        </w:rPr>
        <w:t>Varadarajalu</w:t>
      </w:r>
      <w:proofErr w:type="spellEnd"/>
      <w:r w:rsidRPr="00472719">
        <w:rPr>
          <w:rFonts w:ascii="Book Antiqua" w:hAnsi="Book Antiqua"/>
        </w:rPr>
        <w:t xml:space="preserve"> </w:t>
      </w:r>
      <w:r w:rsidR="0081329E" w:rsidRPr="00472719">
        <w:rPr>
          <w:rFonts w:ascii="Book Antiqua" w:hAnsi="Book Antiqua"/>
          <w:i/>
        </w:rPr>
        <w:t>et al</w:t>
      </w:r>
      <w:r w:rsidR="00F6294A" w:rsidRPr="00472719">
        <w:rPr>
          <w:rFonts w:ascii="Book Antiqua" w:hAnsi="Book Antiqua"/>
        </w:rPr>
        <w:fldChar w:fldCharType="begin" w:fldLock="1"/>
      </w:r>
      <w:r w:rsidR="00F6294A" w:rsidRPr="00472719">
        <w:rPr>
          <w:rFonts w:ascii="Book Antiqua" w:hAnsi="Book Antiqua"/>
        </w:rPr>
        <w:instrText>ADDIN CSL_CITATION { "citationItems" : [ { "id" : "ITEM-1", "itemData" : { "DOI" : "10.1007/s11605-011-1621-8", "ISSN" : "1873-4626", "PMID" : "21786063", "abstract" : "OBJECTIVES: Endoscopy is a minimally invasive technique for the drainage of peripancreatic fluid collections. This study evaluated the clinical outcomes and predictors of treatment success in consecutive patients undergoing endoscopic transmural drainage of peripancreatic fluid collections.\n\nMETHODS: This is a retrospective study of patients who underwent endoscopic drainage of peripancreatic fluid collections over 7 years. Prior to drainage, an ERCP was attempted for stent placement in all patients with a pancreatic duct leak. Drainages were performed using conventional endoscopy or endoscopic ultrasound. Transmural stents and/or drainage catheters were deployed and endoscopic necrosectomy was undertaken when required. Data on clinical outcomes and complications were collected prospectively.\n\nRESULTS: A total of 211 patients underwent drainage of peripancreatic fluid collections that was classified as pseudocyst in 45%, abscess in 28%, and necrosis in 27%. Mean diameter of the fluid collection was 100.6 mm, and 34.5% of patients had pancreatic duct stent placement. Median duration of follow-up was 356 days. Treatment success was 85.3% and was higher for pseudocyst and abscess compared to necrosis (93.5% vs. 63.2%, p &lt; 0.0001). Complications were encountered in 17 patients (8.5%) and was higher for drainage of necrosis than pseudocyst or abscess (15.8% vs. 5.2%, p = 0.02). Treatment success was more likely for patients with pseudocyst or abscess than necrosis (adjusted OR = 7.6, 95% CI [2.9, 20.1], p &lt; 0.0001) when adjusted for serum albumin and white cell count, type of endoscopic modality or accessory used, pancreatic duct stenting, luminal compression, size and location of fluid collection.\n\nCONCLUSIONS: Endoscopic therapy is a highly effective technique for the management of patients with non-necrotic peripancreatic fluid collections.", "author" : [ { "dropping-particle" : "", "family" : "Varadarajulu", "given" : "Shyam", "non-dropping-particle" : "", "parse-names" : false, "suffix" : "" }, { "dropping-particle" : "", "family" : "Bang", "given" : "Ji Young", "non-dropping-particle" : "", "parse-names" : false, "suffix" : "" }, { "dropping-particle" : "", "family" : "Phadnis", "given" : "Milind a", "non-dropping-particle" : "", "parse-names" : false, "suffix" : "" }, { "dropping-particle" : "", "family" : "Christein", "given" : "John D", "non-dropping-particle" : "", "parse-names" : false, "suffix" : "" }, { "dropping-particle" : "", "family" : "Wilcox", "given" : "C Mel", "non-dropping-particle" : "", "parse-names" : false, "suffix" : "" } ], "container-title" : "Journal of gastrointestinal surgery : official journal of the Society for Surgery of the Alimentary Tract", "id" : "ITEM-1", "issue" : "11", "issued" : { "date-parts" : [ [ "2011", "11" ] ] }, "page" : "2080-8", "title" : "Endoscopic transmural drainage of peripancreatic fluid collections: outcomes and predictors of treatment success in 211 consecutive patients.", "type" : "article-journal", "volume" : "15" }, "uris" : [ "http://www.mendeley.com/documents/?uuid=070a1cff-d37d-4e02-96df-f8494187d8e9", "http://www.mendeley.com/documents/?uuid=2165fe02-17cf-472a-b72d-8b6030a9aa67" ] } ], "mendeley" : { "formattedCitation" : "&lt;sup&gt;[13]&lt;/sup&gt;", "plainTextFormattedCitation" : "[13]", "previouslyFormattedCitation" : "&lt;sup&gt;[13]&lt;/sup&gt;" }, "properties" : { "noteIndex" : 0 }, "schema" : "https://github.com/citation-style-language/schema/raw/master/csl-citation.json" }</w:instrText>
      </w:r>
      <w:r w:rsidR="00F6294A" w:rsidRPr="00472719">
        <w:rPr>
          <w:rFonts w:ascii="Book Antiqua" w:hAnsi="Book Antiqua"/>
        </w:rPr>
        <w:fldChar w:fldCharType="separate"/>
      </w:r>
      <w:r w:rsidR="00F6294A" w:rsidRPr="00472719">
        <w:rPr>
          <w:rFonts w:ascii="Book Antiqua" w:hAnsi="Book Antiqua"/>
          <w:noProof/>
          <w:vertAlign w:val="superscript"/>
        </w:rPr>
        <w:t>[13]</w:t>
      </w:r>
      <w:r w:rsidR="00F6294A" w:rsidRPr="00472719">
        <w:rPr>
          <w:rFonts w:ascii="Book Antiqua" w:hAnsi="Book Antiqua"/>
        </w:rPr>
        <w:fldChar w:fldCharType="end"/>
      </w:r>
      <w:r w:rsidRPr="00472719">
        <w:rPr>
          <w:rFonts w:ascii="Book Antiqua" w:hAnsi="Book Antiqua"/>
          <w:i/>
        </w:rPr>
        <w:t xml:space="preserve"> </w:t>
      </w:r>
      <w:r w:rsidRPr="00472719">
        <w:rPr>
          <w:rFonts w:ascii="Book Antiqua" w:hAnsi="Book Antiqua"/>
        </w:rPr>
        <w:t xml:space="preserve">have noted that the location of the </w:t>
      </w:r>
      <w:proofErr w:type="spellStart"/>
      <w:r w:rsidRPr="00472719">
        <w:rPr>
          <w:rFonts w:ascii="Book Antiqua" w:hAnsi="Book Antiqua"/>
        </w:rPr>
        <w:t>pseudocyst</w:t>
      </w:r>
      <w:proofErr w:type="spellEnd"/>
      <w:r w:rsidRPr="00472719">
        <w:rPr>
          <w:rFonts w:ascii="Book Antiqua" w:hAnsi="Book Antiqua"/>
        </w:rPr>
        <w:t xml:space="preserve"> is not a predictor for treatment success. However 2 cases of perforation have been described when </w:t>
      </w:r>
      <w:proofErr w:type="spellStart"/>
      <w:r w:rsidRPr="00472719">
        <w:rPr>
          <w:rFonts w:ascii="Book Antiqua" w:hAnsi="Book Antiqua"/>
        </w:rPr>
        <w:t>transgastric</w:t>
      </w:r>
      <w:proofErr w:type="spellEnd"/>
      <w:r w:rsidRPr="00472719">
        <w:rPr>
          <w:rFonts w:ascii="Book Antiqua" w:hAnsi="Book Antiqua"/>
        </w:rPr>
        <w:t xml:space="preserve"> drainage was attempted for </w:t>
      </w:r>
      <w:proofErr w:type="spellStart"/>
      <w:r w:rsidRPr="00472719">
        <w:rPr>
          <w:rFonts w:ascii="Book Antiqua" w:hAnsi="Book Antiqua"/>
        </w:rPr>
        <w:t>pseudocysts</w:t>
      </w:r>
      <w:proofErr w:type="spellEnd"/>
      <w:r w:rsidRPr="00472719">
        <w:rPr>
          <w:rFonts w:ascii="Book Antiqua" w:hAnsi="Book Antiqua"/>
        </w:rPr>
        <w:t xml:space="preserve"> located in the </w:t>
      </w:r>
      <w:proofErr w:type="spellStart"/>
      <w:r w:rsidRPr="00472719">
        <w:rPr>
          <w:rFonts w:ascii="Book Antiqua" w:hAnsi="Book Antiqua"/>
        </w:rPr>
        <w:t>uncinate</w:t>
      </w:r>
      <w:proofErr w:type="spellEnd"/>
      <w:r w:rsidRPr="00472719">
        <w:rPr>
          <w:rFonts w:ascii="Book Antiqua" w:hAnsi="Book Antiqua"/>
        </w:rPr>
        <w:t xml:space="preserve"> process of pancreas. This complication did not occur in </w:t>
      </w:r>
      <w:proofErr w:type="spellStart"/>
      <w:r w:rsidRPr="00472719">
        <w:rPr>
          <w:rFonts w:ascii="Book Antiqua" w:hAnsi="Book Antiqua"/>
        </w:rPr>
        <w:t>uncinate</w:t>
      </w:r>
      <w:proofErr w:type="spellEnd"/>
      <w:r w:rsidRPr="00472719">
        <w:rPr>
          <w:rFonts w:ascii="Book Antiqua" w:hAnsi="Book Antiqua"/>
        </w:rPr>
        <w:t xml:space="preserve"> </w:t>
      </w:r>
      <w:proofErr w:type="spellStart"/>
      <w:r w:rsidRPr="00472719">
        <w:rPr>
          <w:rFonts w:ascii="Book Antiqua" w:hAnsi="Book Antiqua"/>
        </w:rPr>
        <w:t>pseudocysts</w:t>
      </w:r>
      <w:proofErr w:type="spellEnd"/>
      <w:r w:rsidRPr="00472719">
        <w:rPr>
          <w:rFonts w:ascii="Book Antiqua" w:hAnsi="Book Antiqua"/>
        </w:rPr>
        <w:t xml:space="preserve"> when the drainage was attempted from the duodenum. Following transmural stenting, the </w:t>
      </w:r>
      <w:proofErr w:type="spellStart"/>
      <w:r w:rsidRPr="00472719">
        <w:rPr>
          <w:rFonts w:ascii="Book Antiqua" w:hAnsi="Book Antiqua"/>
        </w:rPr>
        <w:t>pseudocyst</w:t>
      </w:r>
      <w:proofErr w:type="spellEnd"/>
      <w:r w:rsidRPr="00472719">
        <w:rPr>
          <w:rFonts w:ascii="Book Antiqua" w:hAnsi="Book Antiqua"/>
        </w:rPr>
        <w:t xml:space="preserve"> hanging low from the </w:t>
      </w:r>
      <w:proofErr w:type="spellStart"/>
      <w:r w:rsidRPr="00472719">
        <w:rPr>
          <w:rFonts w:ascii="Book Antiqua" w:hAnsi="Book Antiqua"/>
        </w:rPr>
        <w:t>uncinate</w:t>
      </w:r>
      <w:proofErr w:type="spellEnd"/>
      <w:r w:rsidRPr="00472719">
        <w:rPr>
          <w:rFonts w:ascii="Book Antiqua" w:hAnsi="Book Antiqua"/>
        </w:rPr>
        <w:t xml:space="preserve"> region gets decompressed and probably </w:t>
      </w:r>
      <w:r w:rsidR="00A83BC1" w:rsidRPr="00472719">
        <w:rPr>
          <w:rFonts w:ascii="Book Antiqua" w:hAnsi="Book Antiqua"/>
        </w:rPr>
        <w:t>disconnect</w:t>
      </w:r>
      <w:r w:rsidRPr="00472719">
        <w:rPr>
          <w:rFonts w:ascii="Book Antiqua" w:hAnsi="Book Antiqua"/>
        </w:rPr>
        <w:t xml:space="preserve"> from the stoma</w:t>
      </w:r>
      <w:r w:rsidR="001B194D" w:rsidRPr="00472719">
        <w:rPr>
          <w:rFonts w:ascii="Book Antiqua" w:hAnsi="Book Antiqua"/>
        </w:rPr>
        <w:t>ch wall, leading to perforation</w:t>
      </w:r>
      <w:r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"10.1111/j.1440-1746.2011.06771.x", "ISSN" : "1440-1746", "PMID" : "21575060", "abstract" : "BACKGROUND AND AIM: The aim of the present study was to evaluate the frequency of complications during endoscopic ultrasound (EUS)-guided drainage of pancreatic fluid collections (PFC), identify contributing factors, and report on management outcomes.\n\nMETHODS: All patients who underwent EUS-guided PFC drainage over 7 years were enrolled. Indications, demographics, technical details, complications, surgical interventions, and final outcomes were prospectively recorded.\n\nRESULTS: Of 148 patients who underwent EUS, PFC was located in the pancreatic body in 84 (56.8%), in the tail in 45 (30.4%), in the head in 15 (10.1%), and in the uncinate region in four patients (2.7%). Perforation was encountered at the site of transmural stenting in two patients (1.3%, 95% confidence interval [CI]: 0.41-4.76) with a pseudocyst in the uncinate region that was drained transgastrically. When compared to other locations, perforation was more common with PFC involving the uncinate region (0% vs 50%, P = 0.0005). Other complications included bleeding in one (0.67%, 95% CI: 0.16, 3.68), stent migration in 1 (0.67%, 95% CI: 0.16, 3.68), and infection in four patients (2.7%, 95% CI: 1.09, 6.73). Bleeding occurred in a patient with underlying acquired factor VIII inhibitors, stent migration in a patient who underwent drainage via the gastric cardia, and infection in two patients with pseudocysts and two with necrosis. While two patients who developed post-procedural infection and one with stent migration were managed endoscopically, both perforations required surgery. Surgical debridement was performed in two patients who developed infection with successful outcomes in one, and death from underlying comorbidity in the other.\n\nCONCLUSIONS: Complications are rare during EUS-guided drainage of PFC and can be managed successfully in most patients.", "author" : [ { "dropping-particle" : "", "family" : "Varadarajulu", "given" : "Shyam", "non-dropping-particle" : "", "parse-names" : false, "suffix" : "" }, { "dropping-particle" : "", "family" : "Christein", "given" : "John D", "non-dropping-particle" : "", "parse-names" : false, "suffix" : "" }, { "dropping-particle" : "", "family" : "Wilcox", "given" : "Charles Mel", "non-dropping-particle" : "", "parse-names" : false, "suffix" : "" } ], "container-title" : "Journal of gastroenterology and hepatology", "id" : "ITEM-1", "issue" : "10", "issued" : { "date-parts" : [ [ "2011", "10" ] ] }, "page" : "1504-8", "title" : "Frequency of complications during EUS-guided drainage of pancreatic fluid collections in 148 consecutive patients.", "type" : "article-journal", "volume" : "26" }, "uris" : [ "http://www.mendeley.com/documents/?uuid=45794031-a423-4e1e-b473-04f12d48f7ad", "http://www.mendeley.com/documents/?uuid=06b0e7ca-a957-4d3d-8d6b-8225ade0b315" ] } ], "mendeley" : { "formattedCitation" : "&lt;sup&gt;[14]&lt;/sup&gt;", "plainTextFormattedCitation" : "[14]", "previouslyFormattedCitation" : "&lt;sup&gt;[14]&lt;/sup&gt;" }, "properties" : { "noteIndex" : 0 }, "schema" : "https://github.com/citation-style-language/schema/raw/master/csl-citation.json" }</w:instrText>
      </w:r>
      <w:r w:rsidRPr="00472719">
        <w:rPr>
          <w:rFonts w:ascii="Book Antiqua" w:hAnsi="Book Antiqua"/>
        </w:rPr>
        <w:fldChar w:fldCharType="separate"/>
      </w:r>
      <w:r w:rsidR="00467DD1" w:rsidRPr="00472719">
        <w:rPr>
          <w:rFonts w:ascii="Book Antiqua" w:hAnsi="Book Antiqua"/>
          <w:noProof/>
          <w:vertAlign w:val="superscript"/>
        </w:rPr>
        <w:t>[14]</w:t>
      </w:r>
      <w:r w:rsidRPr="00472719">
        <w:rPr>
          <w:rFonts w:ascii="Book Antiqua" w:hAnsi="Book Antiqua"/>
        </w:rPr>
        <w:fldChar w:fldCharType="end"/>
      </w:r>
      <w:r w:rsidRPr="00472719">
        <w:rPr>
          <w:rFonts w:ascii="Book Antiqua" w:hAnsi="Book Antiqua"/>
        </w:rPr>
        <w:t>.</w:t>
      </w:r>
    </w:p>
    <w:p w14:paraId="34054FE2" w14:textId="77777777" w:rsidR="00E87288" w:rsidRPr="00472719" w:rsidRDefault="00E87288" w:rsidP="00472719">
      <w:pPr>
        <w:autoSpaceDE w:val="0"/>
        <w:autoSpaceDN w:val="0"/>
        <w:adjustRightInd w:val="0"/>
        <w:snapToGrid w:val="0"/>
        <w:spacing w:line="360" w:lineRule="auto"/>
        <w:jc w:val="both"/>
        <w:rPr>
          <w:rFonts w:ascii="Book Antiqua" w:hAnsi="Book Antiqua"/>
        </w:rPr>
      </w:pPr>
    </w:p>
    <w:p w14:paraId="4AD64E3E" w14:textId="57B62A43" w:rsidR="006074F3" w:rsidRPr="00472719" w:rsidRDefault="00BC1839"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color w:val="000000"/>
        </w:rPr>
        <w:t>Does the amount of internal debris matter</w:t>
      </w:r>
    </w:p>
    <w:p w14:paraId="1A8482C2" w14:textId="04EFECEA" w:rsidR="007D2253" w:rsidRPr="00472719" w:rsidRDefault="007D2253"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lastRenderedPageBreak/>
        <w:t>In the context of drainage of</w:t>
      </w:r>
      <w:r w:rsidR="006F3103" w:rsidRPr="00472719">
        <w:rPr>
          <w:rFonts w:ascii="Book Antiqua" w:hAnsi="Book Antiqua"/>
        </w:rPr>
        <w:t xml:space="preserve"> PFCs</w:t>
      </w:r>
      <w:r w:rsidRPr="00472719">
        <w:rPr>
          <w:rFonts w:ascii="Book Antiqua" w:hAnsi="Book Antiqua"/>
        </w:rPr>
        <w:t>, technical success refers to achieving access and placement of transmural stents whereas clinical success would mean resolution of the collection. Very high clinical success rates between 90</w:t>
      </w:r>
      <w:r w:rsidR="001B194D" w:rsidRPr="00472719">
        <w:rPr>
          <w:rFonts w:ascii="Book Antiqua" w:hAnsi="Book Antiqua"/>
          <w:lang w:eastAsia="zh-CN"/>
        </w:rPr>
        <w:t>%</w:t>
      </w:r>
      <w:r w:rsidRPr="00472719">
        <w:rPr>
          <w:rFonts w:ascii="Book Antiqua" w:hAnsi="Book Antiqua"/>
        </w:rPr>
        <w:t>-100% have been achi</w:t>
      </w:r>
      <w:r w:rsidR="001B194D" w:rsidRPr="00472719">
        <w:rPr>
          <w:rFonts w:ascii="Book Antiqua" w:hAnsi="Book Antiqua"/>
        </w:rPr>
        <w:t xml:space="preserve">eved in drainage of </w:t>
      </w:r>
      <w:proofErr w:type="spellStart"/>
      <w:r w:rsidR="001B194D" w:rsidRPr="00472719">
        <w:rPr>
          <w:rFonts w:ascii="Book Antiqua" w:hAnsi="Book Antiqua"/>
        </w:rPr>
        <w:t>pseudocysts</w:t>
      </w:r>
      <w:proofErr w:type="spellEnd"/>
      <w:r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"10.1016/j.gie.2008.02.057", "ISSN" : "1097-6779", "PMID" : "18547566", "abstract" : "BACKGROUND: Although EUS-guided cyst-gastrostomy is increasingly being performed, there are no studies that compare the clinical outcomes and cost-effectiveness with surgical cyst-gastrostomy.\n\nOBJECTIVES: To compare the clinical outcomes of EUS-guided cyst-gastrostomy with surgical cyst-gastrostomy for the management of patients with uncomplicated pancreatic pseudocysts and to perform a cost analysis of each treatment modality.\n\nDESIGN: A retrospective case-controlled study.\n\nSETTING: A tertiary-referral center.\n\nPATIENTS: Consecutive patients with uncomplicated pancreatic pseudocysts managed by surgical and EUS-guided cyst-gastrostomy.\n\nMETHODS: An independent observer blinded to all clinic outcomes matched each patient who underwent a surgical cyst-gastrostomy with 2 patients who underwent an EUS-guided cyst-gastrostomy for age, etiology of pancreatitis, and the size of the pseudocyst.\n\nMAIN OUTCOME MEASUREMENTS: Rates of treatment success, complications, and reinterventions; length of postprocedure hospital stay; and cost associated with each treatment modality.\n\nRESULTS: Ten patients (6 men; mean age 42.3 years, range 22-65 years) who underwent surgical cyst-gastrostomy were matched with 20 patients who underwent an EUS-guided cyst-gastrostomy. There were no significant differences in demographics, major comorbidities, and clinical characteristics between both cohorts. Although there were no significant differences in rates of treatment success (100% vs 95%, P = .36), procedural complications (none in either cohort), or reinterventions (10% vs 0%, P = .13) between surgery versus an EUS-guided cyst-gastrostomy, the mean length of a postprocedure hospital stay for an EUS-guided cyst-gastrostomy was significantly shorter than for surgical cyst-gastrostomy (2.65 vs 6.5 days, P = .008). The average direct cost per case for EUS-guided cyst-gastrostomy was significantly less when compared with surgical cyst-gastrostomy ($9077 vs $14,815, P = .01), which corresponded to a cost savings of $5738 per patient.\n\nLIMITATIONS: Retrospective, nonrandomized design; patients with pancreatic abscess or necrosis were not evaluated; a limited sample size and a short duration of follow-up.\n\nCONCLUSIONS: EUS-guided cyst-gastrostomy should be considered as a first-line treatment approach for patients with uncomplicated pancreatic pseudocysts, because the procedure is cost saving and is associated with a shorter length of a postprocedure hospital stay when compared with su\u2026", "author" : [ { "dropping-particle" : "", "family" : "Varadarajulu", "given" : "Shyam", "non-dropping-particle" : "", "parse-names" : false, "suffix" : "" }, { "dropping-particle" : "", "family" : "Lopes", "given" : "Tercio L", "non-dropping-particle" : "", "parse-names" : false, "suffix" : "" }, { "dropping-particle" : "", "family" : "Wilcox", "given" : "C Mel", "non-dropping-particle" : "", "parse-names" : false, "suffix" : "" }, { "dropping-particle" : "", "family" : "Drelichman", "given" : "Ernesto R", "non-dropping-particle" : "", "parse-names" : false, "suffix" : "" }, { "dropping-particle" : "", "family" : "Kilgore", "given" : "Meredith L", "non-dropping-particle" : "", "parse-names" : false, "suffix" : "" }, { "dropping-particle" : "", "family" : "Christein", "given" : "John D", "non-dropping-particle" : "", "parse-names" : false, "suffix" : "" } ], "container-title" : "Gastrointestinal endoscopy", "id" : "ITEM-1", "issue" : "4", "issued" : { "date-parts" : [ [ "2008", "10" ] ] }, "page" : "649-55", "title" : "EUS versus surgical cyst-gastrostomy for management of pancreatic pseudocysts.", "type" : "article-journal", "volume" : "68" }, "uris" : [ "http://www.mendeley.com/documents/?uuid=5b028522-ef8b-4af2-bc2a-925f966ff3d3", "http://www.mendeley.com/documents/?uuid=fdb48a00-1cdf-4e92-a943-7bdacde8bfcb" ] }, { "id" : "ITEM-2", "itemData" : { "DOI" : "10.1016/j.gie.2005.06.028", "ISSN" : "0016-5107", "PMID" : "16564865", "abstract" : "BACKGROUND: Pancreatic-fluid collections are frequent sequelae of acute and chronic pancreatitis, and endoscopic drainage of these collections has gained acceptance as an alternative to surgical drainage.\n\nMETHODS: Patient data, collection characteristics, drainage technique, and outcomes were obtained through chart review and prospective follow-up for 116 patients with attempted endoscopic drainage of symptomatic pancreatic-fluid collections.\n\nRESULTS: A total of 116 patients presented with fluid collections classified as acute fluid collection (n = 5), necrosis (n = 8), acute pseudocyst (n = 30), chronic pseudocyst (n = 64), and pancreatic abscess (n = 9). The median diameter of the collection drained was 60 mm (15-275 mm). Median follow-up after drainage was 21 months. The drainage technique was transpapillary in 15 patients, transmural in 60, and both in 41. Successful resolution of symptoms and collection occurred in 87.9% of cases. No difference in success rates was observed between patients with acute pancreatitis and those with chronic pancreatitis. However, drainage of organized necrosis was associated with a significantly higher failure rate than other collections. No significant differences were observed regarding success when disease, drainage technique, or site of drainage was considered. Complications occurred in 13 patients (11%), and there were 6 deaths in the 30 days after drainage, including one that was procedure related.\n\nCONCLUSIONS: Endoscopic drainage of pancreatic-fluid collections is successful in the majority of patients and is accompanied by an acceptable complication rate.", "author" : [ { "dropping-particle" : "", "family" : "Hookey", "given" : "Lawrence C", "non-dropping-particle" : "", "parse-names" : false, "suffix" : "" }, { "dropping-particle" : "", "family" : "Debroux", "given" : "S\u00e9bastien", "non-dropping-particle" : "", "parse-names" : false, "suffix" : "" }, { "dropping-particle" : "", "family" : "Delhaye", "given" : "Myriam", "non-dropping-particle" : "", "parse-names" : false, "suffix" : "" }, { "dropping-particle" : "", "family" : "Arvanitakis", "given" : "Marianna", "non-dropping-particle" : "", "parse-names" : false, "suffix" : "" }, { "dropping-particle" : "", "family" : "Moine", "given" : "Olivier", "non-dropping-particle" : "Le", "parse-names" : false, "suffix" : "" }, { "dropping-particle" : "", "family" : "Devi\u00e8re", "given" : "Jacques", "non-dropping-particle" : "", "parse-names" : false, "suffix" : "" } ], "container-title" : "Gastrointestinal endoscopy", "id" : "ITEM-2", "issue" : "4", "issued" : { "date-parts" : [ [ "2006", "4" ] ] }, "page" : "635-43", "title" : "Endoscopic drainage of pancreatic-fluid collections in 116 patients: a comparison of etiologies, drainage techniques, and outcomes.", "type" : "article-journal", "volume" : "63" }, "uris" : [ "http://www.mendeley.com/documents/?uuid=14a18265-5a27-47ae-84c5-a43711ced2fe", "http://www.mendeley.com/documents/?uuid=e050bc13-71fc-4511-9330-79c16e68dab3" ] }, { "id" : "ITEM-3", "itemData" : { "DOI" : "10.1016/j.gie.2008.04.028", "ISSN" : "1097-6779", "PMID" : "18640677", "abstract" : "BACKGROUND: Although prior studies evaluated the role of EUS and EGD for drainage of pancreatic pseudocysts, there are no randomized trials that compared the technical outcomes between both modalities.\n\nOBJECTIVE: To compare the rate of technical success between EUS and EGD for transmural drainage of pancreatic pseudocysts.\n\nSTUDY DESIGN: A prospective randomized trial.\n\nSETTING: A tertiary-referral center.\n\nPATIENTS: Those with a history of pancreatitis and symptomatic pancreatic pseudocysts that measured greater than 4 cm in size who were referred for endoscopic transmural drainage. Patients with pancreatic abscess or necrosis were excluded.\n\nMAIN OUTCOME MEASUREMENTS: Technical success was defined as the ability to access and drain a pseudocyst by placement of transmural stents. Complications were assessed at 24 hours and at day 30. Treatment success was defined as the complete resolution or decrease in size of the pseudocyst to &lt;or=2 cm on CT in association with clinical resolution of symptoms at 6 weeks of follow-up.\n\nRESULTS: Thirty patients were randomized to undergo pseudocyst drainage by EUS (n = 15) or EGD (n = 15) over a 6-month period. Of the 15 patients randomized to EUS, drainage was not undertaken in one, because an alternative diagnosis of biliary cystadenoma was established at EUS and was excluded (after randomization) from analysis. The mean age of the patients was 47 years; 62% were men (18/29). Except for their sex, there was no difference in patient or clinical characteristics between the 2 cohorts. Although all the patients (n = 14) randomized to an EUS underwent successful drainage (100%), the procedure was technically successful in only 5 of 15 patients (33%) randomized to an EGD (P &lt; .001). All 10 patients who failed drainage by EGD underwent successful drainage of the pseudocyst on a crossover to EUS. There was no significant difference in the rates of treatment success between EUS and EGD after stenting, either by intention-to-treat (ITT) analysis (100% vs 87%; P = .48) or as-treated analysis (95.8% vs 80%; P = .32). Major procedure-related bleeding was encountered in 2 patients in whom drainage by EGD was attempted; one resulted in death and the other necessitated a blood transfusion. No significant difference was observed between EUS and EGD with regard to complications either by ITT (0% vs 13%; P = .48) or as-treated analyses (4% vs 20%; P = .32). Technical success was significantly greater for EUS than EGD, even after adju\u2026", "author" : [ { "dropping-particle" : "", "family" : "Varadarajulu", "given" : "Shyam", "non-dropping-particle" : "", "parse-names" : false, "suffix" : "" }, { "dropping-particle" : "", "family" : "Christein", "given" : "John D", "non-dropping-particle" : "", "parse-names" : false, "suffix" : "" }, { "dropping-particle" : "", "family" : "Tamhane", "given" : "Ashutosh", "non-dropping-particle" : "", "parse-names" : false, "suffix" : "" }, { "dropping-particle" : "", "family" : "Drelichman", "given" : "Ernesto R", "non-dropping-particle" : "", "parse-names" : false, "suffix" : "" }, { "dropping-particle" : "", "family" : "Wilcox", "given" : "C Mel", "non-dropping-particle" : "", "parse-names" : false, "suffix" : "" } ], "container-title" : "Gastrointestinal endoscopy", "id" : "ITEM-3", "issue" : "6", "issued" : { "date-parts" : [ [ "2008", "12" ] ] }, "page" : "1102-11", "publisher" : "American Society for Gastrointestinal Endoscopy", "title" : "Prospective randomized trial comparing EUS and EGD for transmural drainage of pancreatic pseudocysts (with videos).", "type" : "article-journal", "volume" : "68" }, "uris" : [ "http://www.mendeley.com/documents/?uuid=ec0f90f9-276c-4edc-b722-c58e6516727f", "http://www.mendeley.com/documents/?uuid=70e651c4-caf3-4c03-b33c-f131c217713a", "http://www.mendeley.com/documents/?uuid=a8c590a2-fd63-4093-ae7e-6be8630bc301" ] } ], "mendeley" : { "formattedCitation" : "&lt;sup&gt;[9,12,15]&lt;/sup&gt;", "plainTextFormattedCitation" : "[9,12,15]", "previouslyFormattedCitation" : "&lt;sup&gt;[9,12,15]&lt;/sup&gt;" }, "properties" : { "noteIndex" : 0 }, "schema" : "https://github.com/citation-style-language/schema/raw/master/csl-citation.json" }</w:instrText>
      </w:r>
      <w:r w:rsidRPr="00472719">
        <w:rPr>
          <w:rFonts w:ascii="Book Antiqua" w:hAnsi="Book Antiqua"/>
        </w:rPr>
        <w:fldChar w:fldCharType="separate"/>
      </w:r>
      <w:r w:rsidR="00467DD1" w:rsidRPr="00472719">
        <w:rPr>
          <w:rFonts w:ascii="Book Antiqua" w:hAnsi="Book Antiqua"/>
          <w:noProof/>
          <w:vertAlign w:val="superscript"/>
        </w:rPr>
        <w:t>[9,12,15]</w:t>
      </w:r>
      <w:r w:rsidRPr="00472719">
        <w:rPr>
          <w:rFonts w:ascii="Book Antiqua" w:hAnsi="Book Antiqua"/>
        </w:rPr>
        <w:fldChar w:fldCharType="end"/>
      </w:r>
      <w:r w:rsidRPr="00472719">
        <w:rPr>
          <w:rFonts w:ascii="Book Antiqua" w:hAnsi="Book Antiqua"/>
        </w:rPr>
        <w:t>. However in cases of walled off pancreatic necrosis, the results for clinical resolution are generally poor.</w:t>
      </w:r>
      <w:r w:rsidR="00F6294A" w:rsidRPr="00472719">
        <w:rPr>
          <w:rFonts w:ascii="Book Antiqua" w:hAnsi="Book Antiqua"/>
        </w:rPr>
        <w:t xml:space="preserve"> </w:t>
      </w:r>
      <w:r w:rsidRPr="00472719">
        <w:rPr>
          <w:rFonts w:ascii="Book Antiqua" w:hAnsi="Book Antiqua"/>
        </w:rPr>
        <w:t xml:space="preserve">In a recent study of 211 patients with symptomatic </w:t>
      </w:r>
      <w:r w:rsidR="006F3103" w:rsidRPr="00472719">
        <w:rPr>
          <w:rFonts w:ascii="Book Antiqua" w:hAnsi="Book Antiqua"/>
        </w:rPr>
        <w:t>PFCs</w:t>
      </w:r>
      <w:r w:rsidRPr="00472719">
        <w:rPr>
          <w:rFonts w:ascii="Book Antiqua" w:hAnsi="Book Antiqua"/>
        </w:rPr>
        <w:t xml:space="preserve">, whereas the rate of treatment success for sterile and infective </w:t>
      </w:r>
      <w:proofErr w:type="spellStart"/>
      <w:r w:rsidRPr="00472719">
        <w:rPr>
          <w:rFonts w:ascii="Book Antiqua" w:hAnsi="Book Antiqua"/>
        </w:rPr>
        <w:t>pseudocysts</w:t>
      </w:r>
      <w:proofErr w:type="spellEnd"/>
      <w:r w:rsidRPr="00472719">
        <w:rPr>
          <w:rFonts w:ascii="Book Antiqua" w:hAnsi="Book Antiqua"/>
        </w:rPr>
        <w:t xml:space="preserve"> was </w:t>
      </w:r>
      <w:r w:rsidR="006F3103" w:rsidRPr="00472719">
        <w:rPr>
          <w:rFonts w:ascii="Book Antiqua" w:hAnsi="Book Antiqua"/>
        </w:rPr>
        <w:t>93.5%, it was only 63.2% for WO</w:t>
      </w:r>
      <w:r w:rsidR="001B194D" w:rsidRPr="00472719">
        <w:rPr>
          <w:rFonts w:ascii="Book Antiqua" w:hAnsi="Book Antiqua"/>
        </w:rPr>
        <w:t>N</w:t>
      </w:r>
      <w:r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"10.1007/s11605-011-1621-8", "ISSN" : "1873-4626", "PMID" : "21786063", "abstract" : "OBJECTIVES: Endoscopy is a minimally invasive technique for the drainage of peripancreatic fluid collections. This study evaluated the clinical outcomes and predictors of treatment success in consecutive patients undergoing endoscopic transmural drainage of peripancreatic fluid collections.\n\nMETHODS: This is a retrospective study of patients who underwent endoscopic drainage of peripancreatic fluid collections over 7 years. Prior to drainage, an ERCP was attempted for stent placement in all patients with a pancreatic duct leak. Drainages were performed using conventional endoscopy or endoscopic ultrasound. Transmural stents and/or drainage catheters were deployed and endoscopic necrosectomy was undertaken when required. Data on clinical outcomes and complications were collected prospectively.\n\nRESULTS: A total of 211 patients underwent drainage of peripancreatic fluid collections that was classified as pseudocyst in 45%, abscess in 28%, and necrosis in 27%. Mean diameter of the fluid collection was 100.6 mm, and 34.5% of patients had pancreatic duct stent placement. Median duration of follow-up was 356 days. Treatment success was 85.3% and was higher for pseudocyst and abscess compared to necrosis (93.5% vs. 63.2%, p &lt; 0.0001). Complications were encountered in 17 patients (8.5%) and was higher for drainage of necrosis than pseudocyst or abscess (15.8% vs. 5.2%, p = 0.02). Treatment success was more likely for patients with pseudocyst or abscess than necrosis (adjusted OR = 7.6, 95% CI [2.9, 20.1], p &lt; 0.0001) when adjusted for serum albumin and white cell count, type of endoscopic modality or accessory used, pancreatic duct stenting, luminal compression, size and location of fluid collection.\n\nCONCLUSIONS: Endoscopic therapy is a highly effective technique for the management of patients with non-necrotic peripancreatic fluid collections.", "author" : [ { "dropping-particle" : "", "family" : "Varadarajulu", "given" : "Shyam", "non-dropping-particle" : "", "parse-names" : false, "suffix" : "" }, { "dropping-particle" : "", "family" : "Bang", "given" : "Ji Young", "non-dropping-particle" : "", "parse-names" : false, "suffix" : "" }, { "dropping-particle" : "", "family" : "Phadnis", "given" : "Milind a", "non-dropping-particle" : "", "parse-names" : false, "suffix" : "" }, { "dropping-particle" : "", "family" : "Christein", "given" : "John D", "non-dropping-particle" : "", "parse-names" : false, "suffix" : "" }, { "dropping-particle" : "", "family" : "Wilcox", "given" : "C Mel", "non-dropping-particle" : "", "parse-names" : false, "suffix" : "" } ], "container-title" : "Journal of gastrointestinal surgery : official journal of the Society for Surgery of the Alimentary Tract", "id" : "ITEM-1", "issue" : "11", "issued" : { "date-parts" : [ [ "2011", "11" ] ] }, "page" : "2080-8", "title" : "Endoscopic transmural drainage of peripancreatic fluid collections: outcomes and predictors of treatment success in 211 consecutive patients.", "type" : "article-journal", "volume" : "15" }, "uris" : [ "http://www.mendeley.com/documents/?uuid=2165fe02-17cf-472a-b72d-8b6030a9aa67", "http://www.mendeley.com/documents/?uuid=070a1cff-d37d-4e02-96df-f8494187d8e9" ] } ], "mendeley" : { "formattedCitation" : "&lt;sup&gt;[13]&lt;/sup&gt;", "plainTextFormattedCitation" : "[13]", "previouslyFormattedCitation" : "&lt;sup&gt;[13]&lt;/sup&gt;" }, "properties" : { "noteIndex" : 0 }, "schema" : "https://github.com/citation-style-language/schema/raw/master/csl-citation.json" }</w:instrText>
      </w:r>
      <w:r w:rsidRPr="00472719">
        <w:rPr>
          <w:rFonts w:ascii="Book Antiqua" w:hAnsi="Book Antiqua"/>
        </w:rPr>
        <w:fldChar w:fldCharType="separate"/>
      </w:r>
      <w:r w:rsidR="00467DD1" w:rsidRPr="00472719">
        <w:rPr>
          <w:rFonts w:ascii="Book Antiqua" w:hAnsi="Book Antiqua"/>
          <w:noProof/>
          <w:vertAlign w:val="superscript"/>
        </w:rPr>
        <w:t>[13]</w:t>
      </w:r>
      <w:r w:rsidRPr="00472719">
        <w:rPr>
          <w:rFonts w:ascii="Book Antiqua" w:hAnsi="Book Antiqua"/>
        </w:rPr>
        <w:fldChar w:fldCharType="end"/>
      </w:r>
      <w:r w:rsidRPr="00472719">
        <w:rPr>
          <w:rFonts w:ascii="Book Antiqua" w:hAnsi="Book Antiqua"/>
        </w:rPr>
        <w:t>.</w:t>
      </w:r>
      <w:r w:rsidR="00F6294A" w:rsidRPr="00472719">
        <w:rPr>
          <w:rFonts w:ascii="Book Antiqua" w:hAnsi="Book Antiqua"/>
        </w:rPr>
        <w:t xml:space="preserve"> </w:t>
      </w:r>
      <w:r w:rsidRPr="00472719">
        <w:rPr>
          <w:rFonts w:ascii="Book Antiqua" w:hAnsi="Book Antiqua"/>
        </w:rPr>
        <w:t xml:space="preserve">Baron </w:t>
      </w:r>
      <w:r w:rsidR="0081329E" w:rsidRPr="00472719">
        <w:rPr>
          <w:rFonts w:ascii="Book Antiqua" w:hAnsi="Book Antiqua"/>
          <w:i/>
          <w:iCs/>
        </w:rPr>
        <w:t>et al</w:t>
      </w:r>
      <w:r w:rsidR="001B194D" w:rsidRPr="00472719">
        <w:rPr>
          <w:rFonts w:ascii="Book Antiqua" w:hAnsi="Book Antiqua"/>
        </w:rPr>
        <w:fldChar w:fldCharType="begin" w:fldLock="1"/>
      </w:r>
      <w:r w:rsidR="001B194D" w:rsidRPr="00472719">
        <w:rPr>
          <w:rFonts w:ascii="Book Antiqua" w:hAnsi="Book Antiqua"/>
        </w:rPr>
        <w:instrText>ADDIN CSL_CITATION { "citationItems" : [ { "id" : "ITEM-1", "itemData" : { "DOI" : "10.1067/mge.2002.125106", "ISBN" : "0016-5107 (Print)\\r0016-5107 (Linking)", "ISSN" : "00165107", "PMID" : "12085029", "abstract" : "Background: Comparative outcomes after endoscopic drainage of specific types of symptomatic pancreatic fluid collections, defined by using standardized nomenclature, have not been described. This study sought to determine outcome differences after attempted endoscopic drainage of pancreatic fluid collections classified as pancreatic necrosis, acute pseudocyst, and chronic pseudocyst. Methods: Outcomes were retrospectively analyzed for consecutive patients with symptoms caused by pancreatic fluid collections referred for endoscopic transmural and/or transpapillary drainage. Results: Complete endoscopic resolution was achieved in 113 of 138 patients (82%). Resolution was significantly more frequent in patients with chronic pseudocysts (59/64, 92%) than acute pseudocysts (23/31, 74%, p = 0.02) or necrosis (31/43, 72%, p = 0.006). Complications were more common in patients with necrosis (16/43, 37%) than chronic (11/64, 17%, p = 0.02) or acute pseudocysts (6/31, 19%, p = NS). At a median follow-up of 2.1 years after successful endoscopic treatment (resolution), pancreatic fluid collections had recurred in 18 of 113 patients (16%). Recurrences developed more commonly in patients with necrosis (9/31, 29%) than acute pseudocysts (2/23, 9%, p = 0.07) or chronic pseudocysts (7/59, 12%, p = 0.047). Conclusions: Successful resolution of pancreatic fluid collections may be achieved endoscopically by an experienced therapeutic endoscopist. Outcomes differ depending on the type of pancreatic fluid collection drained. Further studies of endoscopic drainage of pancreatic fluid collections must use defined terminology to allow meaningful comparisons. Copyright \u00a9 2002 by the American Society for Gastrointestinal Endoscopy.", "author" : [ { "dropping-particle" : "", "family" : "Baron", "given" : "Todd H.", "non-dropping-particle" : "", "parse-names" : false, "suffix" : "" }, { "dropping-particle" : "", "family" : "Harewood", "given" : "Gavin C.", "non-dropping-particle" : "", "parse-names" : false, "suffix" : "" }, { "dropping-particle" : "", "family" : "Morgan", "given" : "Desiree E.", "non-dropping-particle" : "", "parse-names" : false, "suffix" : "" }, { "dropping-particle" : "", "family" : "Yates", "given" : "Munford Radford", "non-dropping-particle" : "", "parse-names" : false, "suffix" : "" } ], "container-title" : "Gastrointestinal Endoscopy", "id" : "ITEM-1", "issued" : { "date-parts" : [ [ "2002" ] ] }, "page" : "7-17", "title" : "Outcome differences after endoscopic drainage of pancreatic necrosis, acute pancreatic pseudocysts, and chronic pancreatic pseudocysts", "type" : "article-journal", "volume" : "56" }, "uris" : [ "http://www.mendeley.com/documents/?uuid=57626370-39ff-4bea-a894-c075ead99958", "http://www.mendeley.com/documents/?uuid=cb8b123f-7c04-4eb1-97e0-efdba59f8372" ] } ], "mendeley" : { "formattedCitation" : "&lt;sup&gt;[16]&lt;/sup&gt;", "plainTextFormattedCitation" : "[16]", "previouslyFormattedCitation" : "&lt;sup&gt;[16]&lt;/sup&gt;" }, "properties" : { "noteIndex" : 0 }, "schema" : "https://github.com/citation-style-language/schema/raw/master/csl-citation.json" }</w:instrText>
      </w:r>
      <w:r w:rsidR="001B194D" w:rsidRPr="00472719">
        <w:rPr>
          <w:rFonts w:ascii="Book Antiqua" w:hAnsi="Book Antiqua"/>
        </w:rPr>
        <w:fldChar w:fldCharType="separate"/>
      </w:r>
      <w:r w:rsidR="001B194D" w:rsidRPr="00472719">
        <w:rPr>
          <w:rFonts w:ascii="Book Antiqua" w:hAnsi="Book Antiqua"/>
          <w:noProof/>
          <w:vertAlign w:val="superscript"/>
        </w:rPr>
        <w:t>[16]</w:t>
      </w:r>
      <w:r w:rsidR="001B194D" w:rsidRPr="00472719">
        <w:rPr>
          <w:rFonts w:ascii="Book Antiqua" w:hAnsi="Book Antiqua"/>
        </w:rPr>
        <w:fldChar w:fldCharType="end"/>
      </w:r>
      <w:r w:rsidRPr="00472719">
        <w:rPr>
          <w:rFonts w:ascii="Book Antiqua" w:hAnsi="Book Antiqua"/>
        </w:rPr>
        <w:t xml:space="preserve"> showed that the success rate of </w:t>
      </w:r>
      <w:proofErr w:type="spellStart"/>
      <w:r w:rsidRPr="00472719">
        <w:rPr>
          <w:rFonts w:ascii="Book Antiqua" w:hAnsi="Book Antiqua"/>
        </w:rPr>
        <w:t>pseudocyst</w:t>
      </w:r>
      <w:proofErr w:type="spellEnd"/>
      <w:r w:rsidRPr="00472719">
        <w:rPr>
          <w:rFonts w:ascii="Book Antiqua" w:hAnsi="Book Antiqua"/>
        </w:rPr>
        <w:t xml:space="preserve"> drainage was 92%, compared to 72% in patients with necrosis. Although this study utilized non-EUS-guided endoscopic drainage, it </w:t>
      </w:r>
      <w:r w:rsidR="00A83BC1" w:rsidRPr="00472719">
        <w:rPr>
          <w:rFonts w:ascii="Book Antiqua" w:hAnsi="Book Antiqua"/>
        </w:rPr>
        <w:t xml:space="preserve">illustrates </w:t>
      </w:r>
      <w:r w:rsidRPr="00472719">
        <w:rPr>
          <w:rFonts w:ascii="Book Antiqua" w:hAnsi="Book Antiqua"/>
        </w:rPr>
        <w:t xml:space="preserve">the principle that the outcome of endoscopic drainage for </w:t>
      </w:r>
      <w:proofErr w:type="spellStart"/>
      <w:r w:rsidRPr="00472719">
        <w:rPr>
          <w:rFonts w:ascii="Book Antiqua" w:hAnsi="Book Antiqua"/>
        </w:rPr>
        <w:t>pseudocysts</w:t>
      </w:r>
      <w:proofErr w:type="spellEnd"/>
      <w:r w:rsidRPr="00472719">
        <w:rPr>
          <w:rFonts w:ascii="Book Antiqua" w:hAnsi="Book Antiqua"/>
        </w:rPr>
        <w:t xml:space="preserve"> was superior to </w:t>
      </w:r>
      <w:r w:rsidR="00A83BC1" w:rsidRPr="00472719">
        <w:rPr>
          <w:rFonts w:ascii="Book Antiqua" w:hAnsi="Book Antiqua"/>
        </w:rPr>
        <w:t xml:space="preserve">drainage of </w:t>
      </w:r>
      <w:r w:rsidRPr="00472719">
        <w:rPr>
          <w:rFonts w:ascii="Book Antiqua" w:hAnsi="Book Antiqua"/>
        </w:rPr>
        <w:t>infected necrosis. In another study</w:t>
      </w:r>
      <w:r w:rsidR="00831E3B" w:rsidRPr="00472719">
        <w:rPr>
          <w:rFonts w:ascii="Book Antiqua" w:hAnsi="Book Antiqua"/>
        </w:rPr>
        <w:t>, drainage of necrosis resulted in clinical success in only 25% and technical success in 50% of the cases</w:t>
      </w:r>
      <w:r w:rsidR="004A15D0"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"10.1016/j.gie.2005.06.028", "ISSN" : "0016-5107", "PMID" : "16564865", "abstract" : "BACKGROUND: Pancreatic-fluid collections are frequent sequelae of acute and chronic pancreatitis, and endoscopic drainage of these collections has gained acceptance as an alternative to surgical drainage.\n\nMETHODS: Patient data, collection characteristics, drainage technique, and outcomes were obtained through chart review and prospective follow-up for 116 patients with attempted endoscopic drainage of symptomatic pancreatic-fluid collections.\n\nRESULTS: A total of 116 patients presented with fluid collections classified as acute fluid collection (n = 5), necrosis (n = 8), acute pseudocyst (n = 30), chronic pseudocyst (n = 64), and pancreatic abscess (n = 9). The median diameter of the collection drained was 60 mm (15-275 mm). Median follow-up after drainage was 21 months. The drainage technique was transpapillary in 15 patients, transmural in 60, and both in 41. Successful resolution of symptoms and collection occurred in 87.9% of cases. No difference in success rates was observed between patients with acute pancreatitis and those with chronic pancreatitis. However, drainage of organized necrosis was associated with a significantly higher failure rate than other collections. No significant differences were observed regarding success when disease, drainage technique, or site of drainage was considered. Complications occurred in 13 patients (11%), and there were 6 deaths in the 30 days after drainage, including one that was procedure related.\n\nCONCLUSIONS: Endoscopic drainage of pancreatic-fluid collections is successful in the majority of patients and is accompanied by an acceptable complication rate.", "author" : [ { "dropping-particle" : "", "family" : "Hookey", "given" : "Lawrence C", "non-dropping-particle" : "", "parse-names" : false, "suffix" : "" }, { "dropping-particle" : "", "family" : "Debroux", "given" : "S\u00e9bastien", "non-dropping-particle" : "", "parse-names" : false, "suffix" : "" }, { "dropping-particle" : "", "family" : "Delhaye", "given" : "Myriam", "non-dropping-particle" : "", "parse-names" : false, "suffix" : "" }, { "dropping-particle" : "", "family" : "Arvanitakis", "given" : "Marianna", "non-dropping-particle" : "", "parse-names" : false, "suffix" : "" }, { "dropping-particle" : "", "family" : "Moine", "given" : "Olivier", "non-dropping-particle" : "Le", "parse-names" : false, "suffix" : "" }, { "dropping-particle" : "", "family" : "Devi\u00e8re", "given" : "Jacques", "non-dropping-particle" : "", "parse-names" : false, "suffix" : "" } ], "container-title" : "Gastrointestinal endoscopy", "id" : "ITEM-1", "issue" : "4", "issued" : { "date-parts" : [ [ "2006", "4" ] ] }, "page" : "635-43", "title" : "Endoscopic drainage of pancreatic-fluid collections in 116 patients: a comparison of etiologies, drainage techniques, and outcomes.", "type" : "article-journal", "volume" : "63" }, "uris" : [ "http://www.mendeley.com/documents/?uuid=14a18265-5a27-47ae-84c5-a43711ced2fe", "http://www.mendeley.com/documents/?uuid=e050bc13-71fc-4511-9330-79c16e68dab3" ] } ], "mendeley" : { "formattedCitation" : "&lt;sup&gt;[12]&lt;/sup&gt;", "plainTextFormattedCitation" : "[12]", "previouslyFormattedCitation" : "&lt;sup&gt;[12]&lt;/sup&gt;" }, "properties" : { "noteIndex" : 0 }, "schema" : "https://github.com/citation-style-language/schema/raw/master/csl-citation.json" }</w:instrText>
      </w:r>
      <w:r w:rsidR="004A15D0" w:rsidRPr="00472719">
        <w:rPr>
          <w:rFonts w:ascii="Book Antiqua" w:hAnsi="Book Antiqua"/>
        </w:rPr>
        <w:fldChar w:fldCharType="separate"/>
      </w:r>
      <w:r w:rsidR="00467DD1" w:rsidRPr="00472719">
        <w:rPr>
          <w:rFonts w:ascii="Book Antiqua" w:hAnsi="Book Antiqua"/>
          <w:noProof/>
          <w:vertAlign w:val="superscript"/>
        </w:rPr>
        <w:t>[12]</w:t>
      </w:r>
      <w:r w:rsidR="004A15D0" w:rsidRPr="00472719">
        <w:rPr>
          <w:rFonts w:ascii="Book Antiqua" w:hAnsi="Book Antiqua"/>
        </w:rPr>
        <w:fldChar w:fldCharType="end"/>
      </w:r>
      <w:r w:rsidRPr="00472719">
        <w:rPr>
          <w:rFonts w:ascii="Book Antiqua" w:hAnsi="Book Antiqua"/>
        </w:rPr>
        <w:t xml:space="preserve">. If an aggressive endoscopic approach using endoscopic </w:t>
      </w:r>
      <w:proofErr w:type="spellStart"/>
      <w:r w:rsidRPr="00472719">
        <w:rPr>
          <w:rFonts w:ascii="Book Antiqua" w:hAnsi="Book Antiqua"/>
        </w:rPr>
        <w:t>necrosectomy</w:t>
      </w:r>
      <w:proofErr w:type="spellEnd"/>
      <w:r w:rsidRPr="00472719">
        <w:rPr>
          <w:rFonts w:ascii="Book Antiqua" w:hAnsi="Book Antiqua"/>
        </w:rPr>
        <w:t xml:space="preserve"> is adopted, success rates up to 81%</w:t>
      </w:r>
      <w:r w:rsidR="004A15D0" w:rsidRPr="00472719">
        <w:rPr>
          <w:rFonts w:ascii="Book Antiqua" w:hAnsi="Book Antiqua"/>
        </w:rPr>
        <w:t xml:space="preserve"> </w:t>
      </w:r>
      <w:r w:rsidRPr="00472719">
        <w:rPr>
          <w:rFonts w:ascii="Book Antiqua" w:hAnsi="Book Antiqua"/>
        </w:rPr>
        <w:t>can be achieved in</w:t>
      </w:r>
      <w:r w:rsidR="006F3103" w:rsidRPr="00472719">
        <w:rPr>
          <w:rFonts w:ascii="Book Antiqua" w:hAnsi="Book Antiqua"/>
        </w:rPr>
        <w:t xml:space="preserve"> WON</w:t>
      </w:r>
      <w:r w:rsidR="00831E3B"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"10.1136/gut.2008.163733", "ISBN" : "1468-3288 (Electronic)\\r1468-3288 (Linking)", "ISSN" : "0017-5749", "PMID" : "19282306", "abstract" : "As with endoscopic transmural drainage of peripancreatic fluid collections, the same transluminal access can be expanded to introduce an endoscope through the gastrointestinal wall into the retroperitoneum and remove infected pancreatic necroses under direct visual control. This study reports the first large series with long-term follow-up.", "author" : [ { "dropping-particle" : "", "family" : "Seifert", "given" : "H", "non-dropping-particle" : "", "parse-names" : false, "suffix" : "" }, { "dropping-particle" : "", "family" : "Biermer", "given" : "M", "non-dropping-particle" : "", "parse-names" : false, "suffix" : "" }, { "dropping-particle" : "", "family" : "Schmitt", "given" : "W", "non-dropping-particle" : "", "parse-names" : false, "suffix" : "" }, { "dropping-particle" : "", "family" : "J\u00fcrgensen", "given" : "C", "non-dropping-particle" : "", "parse-names" : false, "suffix" : "" }, { "dropping-particle" : "", "family" : "Will", "given" : "U", "non-dropping-particle" : "", "parse-names" : false, "suffix" : "" }, { "dropping-particle" : "", "family" : "Gerlach", "given" : "R", "non-dropping-particle" : "", "parse-names" : false, "suffix" : "" }, { "dropping-particle" : "", "family" : "Kreitmair", "given" : "C", "non-dropping-particle" : "", "parse-names" : false, "suffix" : "" }, { "dropping-particle" : "", "family" : "Meining", "given" : "a", "non-dropping-particle" : "", "parse-names" : false, "suffix" : "" }, { "dropping-particle" : "", "family" : "Wehrmann", "given" : "T", "non-dropping-particle" : "", "parse-names" : false, "suffix" : "" }, { "dropping-particle" : "", "family" : "R\u00f6sch", "given" : "T", "non-dropping-particle" : "", "parse-names" : false, "suffix" : "" } ], "container-title" : "Gut", "id" : "ITEM-1", "issued" : { "date-parts" : [ [ "2009" ] ] }, "page" : "1260-1266", "title" : "Transluminal endoscopic necrosectomy after acute pancreatitis: a multicentre study with long-term follow-up (the GEPARD Study).", "type" : "article-journal", "volume" : "58" }, "uris" : [ "http://www.mendeley.com/documents/?uuid=f86f6a92-e02c-4094-b183-f119f682a8d4", "http://www.mendeley.com/documents/?uuid=d3864d05-3c8a-48a6-9475-e780de5f5559" ] } ], "mendeley" : { "formattedCitation" : "&lt;sup&gt;[17]&lt;/sup&gt;", "plainTextFormattedCitation" : "[17]", "previouslyFormattedCitation" : "&lt;sup&gt;[17]&lt;/sup&gt;" }, "properties" : { "noteIndex" : 0 }, "schema" : "https://github.com/citation-style-language/schema/raw/master/csl-citation.json" }</w:instrText>
      </w:r>
      <w:r w:rsidR="00831E3B" w:rsidRPr="00472719">
        <w:rPr>
          <w:rFonts w:ascii="Book Antiqua" w:hAnsi="Book Antiqua"/>
        </w:rPr>
        <w:fldChar w:fldCharType="separate"/>
      </w:r>
      <w:r w:rsidR="00467DD1" w:rsidRPr="00472719">
        <w:rPr>
          <w:rFonts w:ascii="Book Antiqua" w:hAnsi="Book Antiqua"/>
          <w:noProof/>
          <w:vertAlign w:val="superscript"/>
        </w:rPr>
        <w:t>[17]</w:t>
      </w:r>
      <w:r w:rsidR="00831E3B" w:rsidRPr="00472719">
        <w:rPr>
          <w:rFonts w:ascii="Book Antiqua" w:hAnsi="Book Antiqua"/>
        </w:rPr>
        <w:fldChar w:fldCharType="end"/>
      </w:r>
      <w:r w:rsidRPr="00472719">
        <w:rPr>
          <w:rFonts w:ascii="Book Antiqua" w:hAnsi="Book Antiqua"/>
        </w:rPr>
        <w:t xml:space="preserve">. Adjunctive surgical and percutaneous drainage may be needed. </w:t>
      </w:r>
      <w:proofErr w:type="spellStart"/>
      <w:r w:rsidRPr="00472719">
        <w:rPr>
          <w:rFonts w:ascii="Book Antiqua" w:hAnsi="Book Antiqua"/>
        </w:rPr>
        <w:t>Varadarajalu</w:t>
      </w:r>
      <w:proofErr w:type="spellEnd"/>
      <w:r w:rsidRPr="00472719">
        <w:rPr>
          <w:rFonts w:ascii="Book Antiqua" w:hAnsi="Book Antiqua"/>
        </w:rPr>
        <w:t xml:space="preserve"> </w:t>
      </w:r>
      <w:r w:rsidR="0081329E" w:rsidRPr="00472719">
        <w:rPr>
          <w:rFonts w:ascii="Book Antiqua" w:hAnsi="Book Antiqua"/>
          <w:i/>
        </w:rPr>
        <w:t>et al</w:t>
      </w:r>
      <w:r w:rsidR="006F3103" w:rsidRPr="00472719">
        <w:rPr>
          <w:rFonts w:ascii="Book Antiqua" w:hAnsi="Book Antiqua"/>
          <w:i/>
        </w:rPr>
        <w:t>.</w:t>
      </w:r>
      <w:r w:rsidRPr="00472719">
        <w:rPr>
          <w:rFonts w:ascii="Book Antiqua" w:hAnsi="Book Antiqua"/>
        </w:rPr>
        <w:t xml:space="preserve"> suggested multiple transluminal gateway treatment</w:t>
      </w:r>
      <w:r w:rsidR="007F2F76" w:rsidRPr="00472719">
        <w:rPr>
          <w:rFonts w:ascii="Book Antiqua" w:hAnsi="Book Antiqua"/>
        </w:rPr>
        <w:t xml:space="preserve"> (MTGT)</w:t>
      </w:r>
      <w:r w:rsidRPr="00472719">
        <w:rPr>
          <w:rFonts w:ascii="Book Antiqua" w:hAnsi="Book Antiqua"/>
        </w:rPr>
        <w:t xml:space="preserve"> for </w:t>
      </w:r>
      <w:r w:rsidR="006F3103" w:rsidRPr="00472719">
        <w:rPr>
          <w:rFonts w:ascii="Book Antiqua" w:hAnsi="Book Antiqua"/>
        </w:rPr>
        <w:t xml:space="preserve">WON </w:t>
      </w:r>
      <w:r w:rsidRPr="00472719">
        <w:rPr>
          <w:rFonts w:ascii="Book Antiqua" w:hAnsi="Book Antiqua"/>
        </w:rPr>
        <w:t>by which they could attain successful respon</w:t>
      </w:r>
      <w:r w:rsidR="005E0B78" w:rsidRPr="00472719">
        <w:rPr>
          <w:rFonts w:ascii="Book Antiqua" w:hAnsi="Book Antiqua"/>
        </w:rPr>
        <w:t xml:space="preserve">se in 92% of patients. </w:t>
      </w:r>
      <w:r w:rsidR="00011513" w:rsidRPr="00472719">
        <w:rPr>
          <w:rFonts w:ascii="Book Antiqua" w:hAnsi="Book Antiqua"/>
        </w:rPr>
        <w:t>Two</w:t>
      </w:r>
      <w:r w:rsidRPr="00472719">
        <w:rPr>
          <w:rFonts w:ascii="Book Antiqua" w:hAnsi="Book Antiqua"/>
        </w:rPr>
        <w:t xml:space="preserve"> or </w:t>
      </w:r>
      <w:r w:rsidR="00011513" w:rsidRPr="00472719">
        <w:rPr>
          <w:rFonts w:ascii="Book Antiqua" w:hAnsi="Book Antiqua"/>
        </w:rPr>
        <w:t>t</w:t>
      </w:r>
      <w:r w:rsidR="0023606E" w:rsidRPr="00472719">
        <w:rPr>
          <w:rFonts w:ascii="Book Antiqua" w:hAnsi="Book Antiqua"/>
        </w:rPr>
        <w:t>h</w:t>
      </w:r>
      <w:r w:rsidR="00011513" w:rsidRPr="00472719">
        <w:rPr>
          <w:rFonts w:ascii="Book Antiqua" w:hAnsi="Book Antiqua"/>
        </w:rPr>
        <w:t>ree</w:t>
      </w:r>
      <w:r w:rsidRPr="00472719">
        <w:rPr>
          <w:rFonts w:ascii="Book Antiqua" w:hAnsi="Book Antiqua"/>
        </w:rPr>
        <w:t xml:space="preserve"> transmural tracts were created by using EUS guidance betwe</w:t>
      </w:r>
      <w:r w:rsidR="005E0B78" w:rsidRPr="00472719">
        <w:rPr>
          <w:rFonts w:ascii="Book Antiqua" w:hAnsi="Book Antiqua"/>
        </w:rPr>
        <w:t>en the</w:t>
      </w:r>
      <w:r w:rsidR="006F3103" w:rsidRPr="00472719">
        <w:rPr>
          <w:rFonts w:ascii="Book Antiqua" w:hAnsi="Book Antiqua"/>
        </w:rPr>
        <w:t xml:space="preserve"> necrotic cavity and the gastrointe</w:t>
      </w:r>
      <w:r w:rsidR="005E0B78" w:rsidRPr="00472719">
        <w:rPr>
          <w:rFonts w:ascii="Book Antiqua" w:hAnsi="Book Antiqua"/>
        </w:rPr>
        <w:t>stinal</w:t>
      </w:r>
      <w:r w:rsidRPr="00472719">
        <w:rPr>
          <w:rFonts w:ascii="Book Antiqua" w:hAnsi="Book Antiqua"/>
        </w:rPr>
        <w:t xml:space="preserve"> lumen. While one tract was used to flush normal saline solution </w:t>
      </w:r>
      <w:r w:rsidRPr="00472719">
        <w:rPr>
          <w:rFonts w:ascii="Book Antiqua" w:hAnsi="Book Antiqua"/>
          <w:i/>
        </w:rPr>
        <w:t>via</w:t>
      </w:r>
      <w:r w:rsidRPr="00472719">
        <w:rPr>
          <w:rFonts w:ascii="Book Antiqua" w:hAnsi="Book Antiqua"/>
        </w:rPr>
        <w:t xml:space="preserve"> a </w:t>
      </w:r>
      <w:proofErr w:type="spellStart"/>
      <w:r w:rsidRPr="00472719">
        <w:rPr>
          <w:rFonts w:ascii="Book Antiqua" w:hAnsi="Book Antiqua"/>
        </w:rPr>
        <w:t>nasocystic</w:t>
      </w:r>
      <w:proofErr w:type="spellEnd"/>
      <w:r w:rsidRPr="00472719">
        <w:rPr>
          <w:rFonts w:ascii="Book Antiqua" w:hAnsi="Book Antiqua"/>
        </w:rPr>
        <w:t xml:space="preserve"> catheter, multiple stents were deployed in others to facilitate drainage of necrotic contents</w:t>
      </w:r>
      <w:r w:rsidR="004B220E"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"10.1016/j.gie.2011.03.1122", "ISSN" : "1097-6779", "PMID" : "21612778", "abstract" : "BACKGROUND: Walled-off pancreatic necrosis often leads to severe clinical deterioration necessitating open debridement or endoscopic necrosectomy. A new EUS-based approach was devised to manage this condition by creating multiple transluminal gateways to facilitate effective drainage of the necrotic contents.\n\nOBJECTIVE: To compare treatment outcomes between patients with walled-off pancreatic necrosis managed endoscopically by a multiple transluminal gateway technique (MTGT) or a conventional drainage technique (CDT).\n\nDESIGN: Retrospective study.\n\nSETTING: Tertiary-care referral center.\n\nPATIENTS: This study involved patients with severe acute pancreatitis complicated by walled-off pancreatic necrosis managed endoscopically.\n\nINTERVENTION: In MTGT, 2 or 3 transmural tracts were created by using EUS guidance between the necrotic cavity and the GI lumen. While one tract was used to flush normal saline solution via a nasocystic catheter, multiple stents were deployed in others to facilitate drainage of necrotic contents. In the CDT, two stents with a nasocystic catheter were deployed via 1 transmural tract.\n\nMAIN OUTCOME MEASUREMENTS: Resolution of symptoms, radiological findings on follow-up CT, and the need for subsequent surgery or endoscopic necrosectomy.\n\nRESULTS: Of 60 patients with symptomatic walled-off pancreatic necrosis, 12 (3 women, mean age 55.1 years) were managed by MTGT and 48 (12 women, mean age 55.2 years) by CDT. Treatment was successful in 11 of 12 (91.7%) patients managed by MTGT versus 25 of 48 (52.1%) managed by CDT (P = .01). Although 1 patient in the MTGT cohort required endoscopic necrosectomy, in the CDT cohort, 17 required surgery, 3 underwent endoscopic necrosectomy, and 3 died of multiple-organ failure. Treatment success was more likely for patients treated by MTGT than by CDT (adjusted odds ratio = 9.24; 95% confidence interval, 1.08-79.02; P = .04) when we adjusted for the size of the walled-off pancreatic necrosis and pancreatic duct stent placement.\n\nLIMITATIONS: Selective patient population.\n\nCONCLUSION: The EUS-guided MTGT is an effective treatment option for the management of symptomatic walled-off pancreatic necrosis because it obviates the need for surgery and endoscopic necrosectomy and its attendant procedure-related morbidity. Prospective studies are required to confirm these preliminary but promising data.", "author" : [ { "dropping-particle" : "", "family" : "Varadarajulu", "given" : "Shyam", "non-dropping-particle" : "", "parse-names" : false, "suffix" : "" }, { "dropping-particle" : "", "family" : "Phadnis", "given" : "Milind a", "non-dropping-particle" : "", "parse-names" : false, "suffix" : "" }, { "dropping-particle" : "", "family" : "Christein", "given" : "John D", "non-dropping-particle" : "", "parse-names" : false, "suffix" : "" }, { "dropping-particle" : "", "family" : "Wilcox", "given" : "C Mel", "non-dropping-particle" : "", "parse-names" : false, "suffix" : "" } ], "container-title" : "Gastrointestinal endoscopy", "id" : "ITEM-1", "issue" : "1", "issued" : { "date-parts" : [ [ "2011", "7" ] ] }, "page" : "74-80", "publisher" : "Elsevier Inc.", "title" : "Multiple transluminal gateway technique for EUS-guided drainage of symptomatic walled-off pancreatic necrosis.", "type" : "article-journal", "volume" : "74" }, "uris" : [ "http://www.mendeley.com/documents/?uuid=0d5698e0-e5a3-49d6-bda4-f37a5c68095c", "http://www.mendeley.com/documents/?uuid=3e4b624c-6458-4c1c-82db-1ef340fca8c5" ] } ], "mendeley" : { "formattedCitation" : "&lt;sup&gt;[18]&lt;/sup&gt;", "plainTextFormattedCitation" : "[18]", "previouslyFormattedCitation" : "&lt;sup&gt;[18]&lt;/sup&gt;" }, "properties" : { "noteIndex" : 0 }, "schema" : "https://github.com/citation-style-language/schema/raw/master/csl-citation.json" }</w:instrText>
      </w:r>
      <w:r w:rsidR="004B220E" w:rsidRPr="00472719">
        <w:rPr>
          <w:rFonts w:ascii="Book Antiqua" w:hAnsi="Book Antiqua"/>
        </w:rPr>
        <w:fldChar w:fldCharType="separate"/>
      </w:r>
      <w:r w:rsidR="00467DD1" w:rsidRPr="00472719">
        <w:rPr>
          <w:rFonts w:ascii="Book Antiqua" w:hAnsi="Book Antiqua"/>
          <w:noProof/>
          <w:vertAlign w:val="superscript"/>
        </w:rPr>
        <w:t>[18]</w:t>
      </w:r>
      <w:r w:rsidR="004B220E" w:rsidRPr="00472719">
        <w:rPr>
          <w:rFonts w:ascii="Book Antiqua" w:hAnsi="Book Antiqua"/>
        </w:rPr>
        <w:fldChar w:fldCharType="end"/>
      </w:r>
      <w:r w:rsidRPr="00472719">
        <w:rPr>
          <w:rFonts w:ascii="Book Antiqua" w:hAnsi="Book Antiqua"/>
        </w:rPr>
        <w:t>.</w:t>
      </w:r>
    </w:p>
    <w:p w14:paraId="689904F8" w14:textId="6BF1FD07" w:rsidR="007D2253" w:rsidRPr="00472719" w:rsidRDefault="007D2253" w:rsidP="00472719">
      <w:pPr>
        <w:autoSpaceDE w:val="0"/>
        <w:autoSpaceDN w:val="0"/>
        <w:adjustRightInd w:val="0"/>
        <w:snapToGrid w:val="0"/>
        <w:spacing w:line="360" w:lineRule="auto"/>
        <w:ind w:firstLine="720"/>
        <w:jc w:val="both"/>
        <w:rPr>
          <w:rFonts w:ascii="Book Antiqua" w:hAnsi="Book Antiqua"/>
          <w:color w:val="000000"/>
        </w:rPr>
      </w:pPr>
      <w:r w:rsidRPr="00472719">
        <w:rPr>
          <w:rFonts w:ascii="Book Antiqua" w:hAnsi="Book Antiqua"/>
        </w:rPr>
        <w:t xml:space="preserve">As the necrotic component in the collection increases the success rate decreases progressively unless aggressive endoscopic </w:t>
      </w:r>
      <w:proofErr w:type="spellStart"/>
      <w:r w:rsidRPr="00472719">
        <w:rPr>
          <w:rFonts w:ascii="Book Antiqua" w:hAnsi="Book Antiqua"/>
        </w:rPr>
        <w:t>necrosectomy</w:t>
      </w:r>
      <w:proofErr w:type="spellEnd"/>
      <w:r w:rsidRPr="00472719">
        <w:rPr>
          <w:rFonts w:ascii="Book Antiqua" w:hAnsi="Book Antiqua"/>
        </w:rPr>
        <w:t xml:space="preserve"> or concomitant percutaneous drainage is also used. The progression to surgery is also more common in these groups. The revised Atlanta </w:t>
      </w:r>
      <w:r w:rsidR="006F3103" w:rsidRPr="00472719">
        <w:rPr>
          <w:rFonts w:ascii="Book Antiqua" w:hAnsi="Book Antiqua"/>
        </w:rPr>
        <w:t>classification suggests that WO</w:t>
      </w:r>
      <w:r w:rsidRPr="00472719">
        <w:rPr>
          <w:rFonts w:ascii="Book Antiqua" w:hAnsi="Book Antiqua"/>
        </w:rPr>
        <w:t>N is a well encapsulated fluid collection which occurs 4 weeks in the setting of a necrotic pancreatitis. However</w:t>
      </w:r>
      <w:r w:rsidR="002E1D18" w:rsidRPr="00472719">
        <w:rPr>
          <w:rFonts w:ascii="Book Antiqua" w:hAnsi="Book Antiqua"/>
        </w:rPr>
        <w:t>,</w:t>
      </w:r>
      <w:r w:rsidRPr="00472719">
        <w:rPr>
          <w:rFonts w:ascii="Book Antiqua" w:hAnsi="Book Antiqua"/>
        </w:rPr>
        <w:t xml:space="preserve"> this may not always</w:t>
      </w:r>
      <w:r w:rsidR="00733291" w:rsidRPr="00472719">
        <w:rPr>
          <w:rFonts w:ascii="Book Antiqua" w:hAnsi="Book Antiqua"/>
        </w:rPr>
        <w:t xml:space="preserve"> be</w:t>
      </w:r>
      <w:r w:rsidRPr="00472719">
        <w:rPr>
          <w:rFonts w:ascii="Book Antiqua" w:hAnsi="Book Antiqua"/>
        </w:rPr>
        <w:t xml:space="preserve"> true as necrotic collections can liquefy over time. An Indian study with follow-up EUS at </w:t>
      </w:r>
      <w:r w:rsidRPr="00472719">
        <w:rPr>
          <w:rFonts w:ascii="Book Antiqua" w:hAnsi="Book Antiqua"/>
        </w:rPr>
        <w:lastRenderedPageBreak/>
        <w:t>6 weeks, 3 months and 6 months after the onset of acute necrotic pancreatitis demonstrated that all the fluid collections</w:t>
      </w:r>
      <w:r w:rsidRPr="00472719">
        <w:rPr>
          <w:rFonts w:ascii="Book Antiqua" w:hAnsi="Book Antiqua"/>
          <w:color w:val="000000"/>
        </w:rPr>
        <w:t xml:space="preserve"> following </w:t>
      </w:r>
      <w:r w:rsidRPr="00472719">
        <w:rPr>
          <w:rFonts w:ascii="Book Antiqua" w:hAnsi="Book Antiqua"/>
        </w:rPr>
        <w:t>acute necrotic pancreatitis</w:t>
      </w:r>
      <w:r w:rsidRPr="00472719">
        <w:rPr>
          <w:rFonts w:ascii="Book Antiqua" w:hAnsi="Book Antiqua"/>
          <w:color w:val="000000"/>
        </w:rPr>
        <w:t xml:space="preserve"> may not have solid necrotic content and over a period of time the collection</w:t>
      </w:r>
      <w:r w:rsidRPr="00472719">
        <w:rPr>
          <w:rFonts w:ascii="Book Antiqua" w:hAnsi="Book Antiqua"/>
        </w:rPr>
        <w:t>s</w:t>
      </w:r>
      <w:r w:rsidRPr="00472719">
        <w:rPr>
          <w:rFonts w:ascii="Book Antiqua" w:hAnsi="Book Antiqua"/>
          <w:color w:val="000000"/>
        </w:rPr>
        <w:t xml:space="preserve"> tend to decrease in size and the solid content tends to liquefy with almost half of PFCs completely liquefying at 6 mo</w:t>
      </w:r>
      <w:r w:rsidR="002228C3">
        <w:rPr>
          <w:rFonts w:ascii="Book Antiqua" w:hAnsi="Book Antiqua"/>
          <w:color w:val="000000"/>
        </w:rPr>
        <w:t>nths</w:t>
      </w:r>
      <w:r w:rsidR="004B220E" w:rsidRPr="00472719">
        <w:rPr>
          <w:rFonts w:ascii="Book Antiqua" w:hAnsi="Book Antiqua"/>
          <w:color w:val="000000"/>
        </w:rPr>
        <w:fldChar w:fldCharType="begin" w:fldLock="1"/>
      </w:r>
      <w:r w:rsidR="00FA79D6" w:rsidRPr="00472719">
        <w:rPr>
          <w:rFonts w:ascii="Book Antiqua" w:hAnsi="Book Antiqua"/>
          <w:color w:val="000000"/>
        </w:rPr>
        <w:instrText>ADDIN CSL_CITATION { "citationItems" : [ { "id" : "ITEM-1", "itemData" : { "author" : [ { "dropping-particle" : "", "family" : "Rana", "given" : "Surinder S", "non-dropping-particle" : "", "parse-names" : false, "suffix" : "" }, { "dropping-particle" : "", "family" : "Bhasin", "given" : "Deepak K", "non-dropping-particle" : "", "parse-names" : false, "suffix" : "" }, { "dropping-particle" : "", "family" : "Rami", "given" : "Yalaka", "non-dropping-particle" : "", "parse-names" : false, "suffix" : "" }, { "dropping-particle" : "", "family" : "Sharma", "given" : "Vishal", "non-dropping-particle" : "", "parse-names" : false, "suffix" : "" }, { "dropping-particle" : "", "family" : "Rao", "given" : "Chalapathi", "non-dropping-particle" : "", "parse-names" : false, "suffix" : "" } ], "id" : "ITEM-1", "issued" : { "date-parts" : [ [ "2014" ] ] }, "page" : "258-261", "title" : "Morphological features of fluid collections on endoscopic ultrasound in acute necrotizing pancreatitis : do they change over time ?", "type" : "article-journal" }, "uris" : [ "http://www.mendeley.com/documents/?uuid=fa90ff4c-75b7-4d66-8dea-e3c98c1a983d", "http://www.mendeley.com/documents/?uuid=cdfddebf-0ffc-49a3-9459-5cd8648615f6" ] } ], "mendeley" : { "formattedCitation" : "&lt;sup&gt;[19]&lt;/sup&gt;", "plainTextFormattedCitation" : "[19]", "previouslyFormattedCitation" : "&lt;sup&gt;[19]&lt;/sup&gt;" }, "properties" : { "noteIndex" : 0 }, "schema" : "https://github.com/citation-style-language/schema/raw/master/csl-citation.json" }</w:instrText>
      </w:r>
      <w:r w:rsidR="004B220E" w:rsidRPr="00472719">
        <w:rPr>
          <w:rFonts w:ascii="Book Antiqua" w:hAnsi="Book Antiqua"/>
          <w:color w:val="000000"/>
        </w:rPr>
        <w:fldChar w:fldCharType="separate"/>
      </w:r>
      <w:r w:rsidR="00467DD1" w:rsidRPr="00472719">
        <w:rPr>
          <w:rFonts w:ascii="Book Antiqua" w:hAnsi="Book Antiqua"/>
          <w:noProof/>
          <w:color w:val="000000"/>
          <w:vertAlign w:val="superscript"/>
        </w:rPr>
        <w:t>[19]</w:t>
      </w:r>
      <w:r w:rsidR="004B220E" w:rsidRPr="00472719">
        <w:rPr>
          <w:rFonts w:ascii="Book Antiqua" w:hAnsi="Book Antiqua"/>
          <w:color w:val="000000"/>
        </w:rPr>
        <w:fldChar w:fldCharType="end"/>
      </w:r>
      <w:r w:rsidRPr="00472719">
        <w:rPr>
          <w:rFonts w:ascii="Book Antiqua" w:hAnsi="Book Antiqua"/>
          <w:color w:val="000000"/>
        </w:rPr>
        <w:t>.</w:t>
      </w:r>
    </w:p>
    <w:p w14:paraId="51609CA6" w14:textId="0713F8DB" w:rsidR="007D2253" w:rsidRPr="00472719" w:rsidRDefault="007D2253" w:rsidP="00472719">
      <w:pPr>
        <w:autoSpaceDE w:val="0"/>
        <w:autoSpaceDN w:val="0"/>
        <w:adjustRightInd w:val="0"/>
        <w:snapToGrid w:val="0"/>
        <w:spacing w:line="360" w:lineRule="auto"/>
        <w:ind w:firstLine="720"/>
        <w:jc w:val="both"/>
        <w:rPr>
          <w:rFonts w:ascii="Book Antiqua" w:hAnsi="Book Antiqua"/>
        </w:rPr>
      </w:pPr>
      <w:r w:rsidRPr="00472719">
        <w:rPr>
          <w:rFonts w:ascii="Book Antiqua" w:hAnsi="Book Antiqua"/>
          <w:color w:val="000000"/>
        </w:rPr>
        <w:t xml:space="preserve">Another study from the same group looked at </w:t>
      </w:r>
      <w:r w:rsidR="007F2F76" w:rsidRPr="00472719">
        <w:rPr>
          <w:rFonts w:ascii="Book Antiqua" w:hAnsi="Book Antiqua"/>
        </w:rPr>
        <w:t>43 patients with symptomatic WO</w:t>
      </w:r>
      <w:r w:rsidRPr="00472719">
        <w:rPr>
          <w:rFonts w:ascii="Book Antiqua" w:hAnsi="Book Antiqua"/>
        </w:rPr>
        <w:t>N who were treated by endoscopic drainage</w:t>
      </w:r>
      <w:r w:rsidR="00E0681F"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"10.4103/2303-9027.131039", "ISSN" : "2303-9027", "PMID" : "24955341", "abstract" : "BACKGROUND AND OBJECTIVE: Endoscopic transmural drainage is an effective, but technically demanding treatment modality for walled off pancreatic necrosis (WOPN). The factors that determine the outcome of endoscopic treatment for WOPN have been infrequently studied. We aim to retrospectively correlate the morphological features of WOPN on endoscopic ultrasound (EUS) with the outcome of endoscopic transmural drainage.\n\nPATIENTS AND METHODS: Over the last 3 years, 43 patients (36 males; mean age 36.04 \u00b1 10.06 years) with symptomatic WOPN were treated by an attempted endoscopic drainage. The correlation between the morphological features of WOPN and the type of treatment offered as well as the number of endoscopic procedures undergone by the patient was assessed.\n\nRESULTS: The mean size of WOPN was 9.95 \u00b1 2.75 cm with &lt;10%, 10-40% and &gt;40% solid debris being present in 6, 33, and 4 patients, respectively. Patients with &lt;10% necrotic debris needed only single session of endoscopic drainage, whereas patients with 10-40% solid debris needed two or more sessions. Patients with &gt;40% solid debris either needed direct endoscopic debridement or surgical necrosectomy. The extent of necrosis correlated significantly (r = 0.703, P &lt; 0.001) with the type of treatment received by the patient. With increasing size of the collection (r = 0.320, P = 0.047) and the amount of the solid debris (r = 0.800, P &lt; 0.001), there was a significant increase in the number of endoscopic procedures required for successful outcome by the patient.\n\nCONCLUSIONS: The morphological features of WOPN on EUS have important therapeutic implications with collections having large size and more solid debris needing more aggressive therapeutic method for the successful outcome.", "author" : [ { "dropping-particle" : "", "family" : "Rana", "given" : "Surinder Singh", "non-dropping-particle" : "", "parse-names" : false, "suffix" : "" }, { "dropping-particle" : "", "family" : "Bhasin", "given" : "Deepak Kumar", "non-dropping-particle" : "", "parse-names" : false, "suffix" : "" }, { "dropping-particle" : "", "family" : "Sharma", "given" : "Ravi Kumar", "non-dropping-particle" : "", "parse-names" : false, "suffix" : "" }, { "dropping-particle" : "", "family" : "Kathiresan", "given" : "Jeyashree", "non-dropping-particle" : "", "parse-names" : false, "suffix" : "" }, { "dropping-particle" : "", "family" : "Gupta", "given" : "Rajesh", "non-dropping-particle" : "", "parse-names" : false, "suffix" : "" } ], "container-title" : "Endoscopic ultrasound", "id" : "ITEM-1", "issue" : "2", "issued" : { "date-parts" : [ [ "2014", "4" ] ] }, "page" : "118-22", "title" : "Do the morphological features of walled off pancreatic necrosis on endoscopic ultrasound determine the outcome of endoscopic transmural drainage?", "type" : "article-journal", "volume" : "3" }, "uris" : [ "http://www.mendeley.com/documents/?uuid=293776f1-a639-4af4-b0e1-7a299defc630", "http://www.mendeley.com/documents/?uuid=85cbaee4-91dc-4188-9fd1-d286b62b2e74" ] } ], "mendeley" : { "formattedCitation" : "&lt;sup&gt;[20]&lt;/sup&gt;", "plainTextFormattedCitation" : "[20]", "previouslyFormattedCitation" : "&lt;sup&gt;[20]&lt;/sup&gt;" }, "properties" : { "noteIndex" : 0 }, "schema" : "https://github.com/citation-style-language/schema/raw/master/csl-citation.json" }</w:instrText>
      </w:r>
      <w:r w:rsidR="00E0681F" w:rsidRPr="00472719">
        <w:rPr>
          <w:rFonts w:ascii="Book Antiqua" w:hAnsi="Book Antiqua"/>
        </w:rPr>
        <w:fldChar w:fldCharType="separate"/>
      </w:r>
      <w:r w:rsidR="00467DD1" w:rsidRPr="00472719">
        <w:rPr>
          <w:rFonts w:ascii="Book Antiqua" w:hAnsi="Book Antiqua"/>
          <w:noProof/>
          <w:vertAlign w:val="superscript"/>
        </w:rPr>
        <w:t>[20]</w:t>
      </w:r>
      <w:r w:rsidR="00E0681F" w:rsidRPr="00472719">
        <w:rPr>
          <w:rFonts w:ascii="Book Antiqua" w:hAnsi="Book Antiqua"/>
        </w:rPr>
        <w:fldChar w:fldCharType="end"/>
      </w:r>
      <w:r w:rsidRPr="00472719">
        <w:rPr>
          <w:rFonts w:ascii="Book Antiqua" w:hAnsi="Book Antiqua"/>
        </w:rPr>
        <w:t>. They divided the patients into th</w:t>
      </w:r>
      <w:r w:rsidR="007F2F76" w:rsidRPr="00472719">
        <w:rPr>
          <w:rFonts w:ascii="Book Antiqua" w:hAnsi="Book Antiqua"/>
        </w:rPr>
        <w:t>ree groups. The mean size of WO</w:t>
      </w:r>
      <w:r w:rsidRPr="00472719">
        <w:rPr>
          <w:rFonts w:ascii="Book Antiqua" w:hAnsi="Book Antiqua"/>
        </w:rPr>
        <w:t>N was 9.95 ± 2.75 cm with &lt;</w:t>
      </w:r>
      <w:r w:rsidR="00CB1E00" w:rsidRPr="00472719">
        <w:rPr>
          <w:rFonts w:ascii="Book Antiqua" w:hAnsi="Book Antiqua"/>
          <w:lang w:eastAsia="zh-CN"/>
        </w:rPr>
        <w:t xml:space="preserve"> </w:t>
      </w:r>
      <w:r w:rsidRPr="00472719">
        <w:rPr>
          <w:rFonts w:ascii="Book Antiqua" w:hAnsi="Book Antiqua"/>
        </w:rPr>
        <w:t>10%, 10</w:t>
      </w:r>
      <w:r w:rsidR="00CB1E00" w:rsidRPr="00472719">
        <w:rPr>
          <w:rFonts w:ascii="Book Antiqua" w:hAnsi="Book Antiqua"/>
          <w:lang w:eastAsia="zh-CN"/>
        </w:rPr>
        <w:t>%</w:t>
      </w:r>
      <w:r w:rsidRPr="00472719">
        <w:rPr>
          <w:rFonts w:ascii="Book Antiqua" w:hAnsi="Book Antiqua"/>
        </w:rPr>
        <w:t>-40% and &gt;</w:t>
      </w:r>
      <w:r w:rsidR="00CB1E00" w:rsidRPr="00472719">
        <w:rPr>
          <w:rFonts w:ascii="Book Antiqua" w:hAnsi="Book Antiqua"/>
          <w:lang w:eastAsia="zh-CN"/>
        </w:rPr>
        <w:t xml:space="preserve"> </w:t>
      </w:r>
      <w:r w:rsidRPr="00472719">
        <w:rPr>
          <w:rFonts w:ascii="Book Antiqua" w:hAnsi="Book Antiqua"/>
        </w:rPr>
        <w:t>40% solid debris being present in 6, 33, and 4 patients, respectively. Patients with &lt;</w:t>
      </w:r>
      <w:r w:rsidR="00CB1E00" w:rsidRPr="00472719">
        <w:rPr>
          <w:rFonts w:ascii="Book Antiqua" w:hAnsi="Book Antiqua"/>
          <w:lang w:eastAsia="zh-CN"/>
        </w:rPr>
        <w:t xml:space="preserve"> </w:t>
      </w:r>
      <w:r w:rsidRPr="00472719">
        <w:rPr>
          <w:rFonts w:ascii="Book Antiqua" w:hAnsi="Book Antiqua"/>
        </w:rPr>
        <w:t>10% necrotic debris needed only single session of endoscopic drainage, whereas patients with 10</w:t>
      </w:r>
      <w:r w:rsidR="00CB1E00" w:rsidRPr="00472719">
        <w:rPr>
          <w:rFonts w:ascii="Book Antiqua" w:hAnsi="Book Antiqua"/>
          <w:lang w:eastAsia="zh-CN"/>
        </w:rPr>
        <w:t>%</w:t>
      </w:r>
      <w:r w:rsidRPr="00472719">
        <w:rPr>
          <w:rFonts w:ascii="Book Antiqua" w:hAnsi="Book Antiqua"/>
        </w:rPr>
        <w:t>-40% solid debris needed two or more sessions. Patients with &gt;</w:t>
      </w:r>
      <w:r w:rsidR="00CB1E00" w:rsidRPr="00472719">
        <w:rPr>
          <w:rFonts w:ascii="Book Antiqua" w:hAnsi="Book Antiqua"/>
          <w:lang w:eastAsia="zh-CN"/>
        </w:rPr>
        <w:t xml:space="preserve"> </w:t>
      </w:r>
      <w:r w:rsidRPr="00472719">
        <w:rPr>
          <w:rFonts w:ascii="Book Antiqua" w:hAnsi="Book Antiqua"/>
        </w:rPr>
        <w:t xml:space="preserve">40% solid debris either needed direct endoscopic debridement or surgical </w:t>
      </w:r>
      <w:proofErr w:type="spellStart"/>
      <w:r w:rsidRPr="00472719">
        <w:rPr>
          <w:rFonts w:ascii="Book Antiqua" w:hAnsi="Book Antiqua"/>
        </w:rPr>
        <w:t>necrosectomy</w:t>
      </w:r>
      <w:proofErr w:type="spellEnd"/>
      <w:r w:rsidRPr="00472719">
        <w:rPr>
          <w:rFonts w:ascii="Book Antiqua" w:hAnsi="Book Antiqua"/>
        </w:rPr>
        <w:t>. The extent of necrosis correlated significantly (</w:t>
      </w:r>
      <w:r w:rsidRPr="00472719">
        <w:rPr>
          <w:rFonts w:ascii="Book Antiqua" w:hAnsi="Book Antiqua"/>
          <w:i/>
          <w:iCs/>
        </w:rPr>
        <w:t xml:space="preserve">r </w:t>
      </w:r>
      <w:r w:rsidRPr="00472719">
        <w:rPr>
          <w:rFonts w:ascii="Book Antiqua" w:hAnsi="Book Antiqua"/>
        </w:rPr>
        <w:t xml:space="preserve">= 0.703, </w:t>
      </w:r>
      <w:r w:rsidRPr="00472719">
        <w:rPr>
          <w:rFonts w:ascii="Book Antiqua" w:hAnsi="Book Antiqua"/>
          <w:i/>
          <w:iCs/>
        </w:rPr>
        <w:t xml:space="preserve">P </w:t>
      </w:r>
      <w:r w:rsidRPr="00472719">
        <w:rPr>
          <w:rFonts w:ascii="Book Antiqua" w:hAnsi="Book Antiqua"/>
        </w:rPr>
        <w:t>&lt; 0.001) with the type of treatment received by the patient.</w:t>
      </w:r>
    </w:p>
    <w:p w14:paraId="02665E21" w14:textId="77777777" w:rsidR="005F3A3D" w:rsidRPr="00472719" w:rsidRDefault="005F3A3D" w:rsidP="00472719">
      <w:pPr>
        <w:autoSpaceDE w:val="0"/>
        <w:autoSpaceDN w:val="0"/>
        <w:adjustRightInd w:val="0"/>
        <w:snapToGrid w:val="0"/>
        <w:spacing w:line="360" w:lineRule="auto"/>
        <w:jc w:val="both"/>
        <w:rPr>
          <w:rFonts w:ascii="Book Antiqua" w:hAnsi="Book Antiqua"/>
          <w:color w:val="000000"/>
        </w:rPr>
      </w:pPr>
    </w:p>
    <w:p w14:paraId="2C35D8F4" w14:textId="0336389F" w:rsidR="00BC1839" w:rsidRPr="00472719" w:rsidRDefault="00BC1839"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color w:val="000000"/>
        </w:rPr>
        <w:t>choice of transmural access devices</w:t>
      </w:r>
    </w:p>
    <w:p w14:paraId="28D0CEA1" w14:textId="45BBC579" w:rsidR="00B37D01" w:rsidRPr="00472719" w:rsidRDefault="00B37D01"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t xml:space="preserve">EUS-guided </w:t>
      </w:r>
      <w:r w:rsidR="007F2F76" w:rsidRPr="00472719">
        <w:rPr>
          <w:rFonts w:ascii="Book Antiqua" w:hAnsi="Book Antiqua"/>
        </w:rPr>
        <w:t xml:space="preserve">PFC </w:t>
      </w:r>
      <w:r w:rsidRPr="00472719">
        <w:rPr>
          <w:rFonts w:ascii="Book Antiqua" w:hAnsi="Book Antiqua"/>
        </w:rPr>
        <w:t xml:space="preserve">drainage is limited by the lack of dedicated accessories, which necessitates multiple steps for transluminal stent placement. At first the fluid collection is visualized using a linear </w:t>
      </w:r>
      <w:proofErr w:type="spellStart"/>
      <w:r w:rsidRPr="00472719">
        <w:rPr>
          <w:rFonts w:ascii="Book Antiqua" w:hAnsi="Book Antiqua"/>
        </w:rPr>
        <w:t>echoendoscope</w:t>
      </w:r>
      <w:proofErr w:type="spellEnd"/>
      <w:r w:rsidRPr="00472719">
        <w:rPr>
          <w:rFonts w:ascii="Book Antiqua" w:hAnsi="Book Antiqua"/>
        </w:rPr>
        <w:t>. Any intervening vessel in the line of puncture is ruled out using Doppler</w:t>
      </w:r>
      <w:r w:rsidR="007F2F76" w:rsidRPr="00472719">
        <w:rPr>
          <w:rFonts w:ascii="Book Antiqua" w:hAnsi="Book Antiqua"/>
        </w:rPr>
        <w:t xml:space="preserve"> technology</w:t>
      </w:r>
      <w:r w:rsidRPr="00472719">
        <w:rPr>
          <w:rFonts w:ascii="Book Antiqua" w:hAnsi="Book Antiqua"/>
        </w:rPr>
        <w:t>. The PFC is then punctured under vision. Puncture of the cyst wall could be performed in one of three ways: (</w:t>
      </w:r>
      <w:r w:rsidR="00C2205B" w:rsidRPr="00472719">
        <w:rPr>
          <w:rFonts w:ascii="Book Antiqua" w:hAnsi="Book Antiqua"/>
          <w:lang w:eastAsia="zh-CN"/>
        </w:rPr>
        <w:t>1</w:t>
      </w:r>
      <w:r w:rsidRPr="00472719">
        <w:rPr>
          <w:rFonts w:ascii="Book Antiqua" w:hAnsi="Book Antiqua"/>
        </w:rPr>
        <w:t>) a 19-gauge FNA needle</w:t>
      </w:r>
      <w:r w:rsidR="005C4EC4" w:rsidRPr="00472719">
        <w:rPr>
          <w:rFonts w:ascii="Book Antiqua" w:hAnsi="Book Antiqua"/>
          <w:lang w:eastAsia="zh-CN"/>
        </w:rPr>
        <w:t>;</w:t>
      </w:r>
      <w:r w:rsidRPr="00472719">
        <w:rPr>
          <w:rFonts w:ascii="Book Antiqua" w:hAnsi="Book Antiqua"/>
        </w:rPr>
        <w:t xml:space="preserve"> (</w:t>
      </w:r>
      <w:r w:rsidR="005C4EC4" w:rsidRPr="00472719">
        <w:rPr>
          <w:rFonts w:ascii="Book Antiqua" w:hAnsi="Book Antiqua"/>
          <w:lang w:eastAsia="zh-CN"/>
        </w:rPr>
        <w:t>2</w:t>
      </w:r>
      <w:r w:rsidRPr="00472719">
        <w:rPr>
          <w:rFonts w:ascii="Book Antiqua" w:hAnsi="Book Antiqua"/>
        </w:rPr>
        <w:t xml:space="preserve">) a </w:t>
      </w:r>
      <w:proofErr w:type="spellStart"/>
      <w:r w:rsidRPr="00472719">
        <w:rPr>
          <w:rFonts w:ascii="Book Antiqua" w:hAnsi="Book Antiqua"/>
        </w:rPr>
        <w:t>cystostome</w:t>
      </w:r>
      <w:proofErr w:type="spellEnd"/>
      <w:r w:rsidR="005C4EC4" w:rsidRPr="00472719">
        <w:rPr>
          <w:rFonts w:ascii="Book Antiqua" w:hAnsi="Book Antiqua"/>
          <w:lang w:eastAsia="zh-CN"/>
        </w:rPr>
        <w:t>;</w:t>
      </w:r>
      <w:r w:rsidRPr="00472719">
        <w:rPr>
          <w:rFonts w:ascii="Book Antiqua" w:hAnsi="Book Antiqua"/>
        </w:rPr>
        <w:t xml:space="preserve"> or (</w:t>
      </w:r>
      <w:r w:rsidR="005C4EC4" w:rsidRPr="00472719">
        <w:rPr>
          <w:rFonts w:ascii="Book Antiqua" w:hAnsi="Book Antiqua"/>
          <w:lang w:eastAsia="zh-CN"/>
        </w:rPr>
        <w:t>3</w:t>
      </w:r>
      <w:r w:rsidRPr="00472719">
        <w:rPr>
          <w:rFonts w:ascii="Book Antiqua" w:hAnsi="Book Antiqua"/>
        </w:rPr>
        <w:t>) a needle wire followed by the insertion of a 0.035 guide wire. When multiple stents need to be placed some authors prefer a double guide wire approach in which two guide</w:t>
      </w:r>
      <w:r w:rsidR="007F2F76" w:rsidRPr="00472719">
        <w:rPr>
          <w:rFonts w:ascii="Book Antiqua" w:hAnsi="Book Antiqua"/>
        </w:rPr>
        <w:t xml:space="preserve"> </w:t>
      </w:r>
      <w:r w:rsidRPr="00472719">
        <w:rPr>
          <w:rFonts w:ascii="Book Antiqua" w:hAnsi="Book Antiqua"/>
        </w:rPr>
        <w:t>wires are simultaneously in</w:t>
      </w:r>
      <w:r w:rsidR="00C2205B" w:rsidRPr="00472719">
        <w:rPr>
          <w:rFonts w:ascii="Book Antiqua" w:hAnsi="Book Antiqua"/>
        </w:rPr>
        <w:t>serted after the first puncture</w:t>
      </w:r>
      <w:r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"10.1016/j.gie.2006.07.049", "ISSN" : "0016-5107", "PMID" : "17055880", "abstract" : "BACKGROUND: EUS-guided pancreatic pseudocyst and abscess drainage ideally requires the insertion of both a transmural stent and nasocystic catheter to ensure continuous irrigation and effective drainage. Sequential stent and nasocystic catheter insertion may be time consuming because of the difficulty in recannulating the pseudocyst after the initial stent placement.\n\nOBJECTIVE: Our purpose was to describe a novel one-step simultaneous double-wire technique that facilitates effective pancreatic pseudocyst and abscess drainage.\n\nDESIGN: To solve the problem of recannulating the pseudocyst cavity after the initial transmural stent placement, we developed a prototype 3-layer puncture kit that allows the simultaneous insertion of 2 guidewires at the initial puncture in one step. This puncture kit consists of a 22-gauge needle used for FNA, a 6F inner polytetrafluoroethylene (Teflon) catheter, and an outer 8.5F Teflon catheter.\n\nSETTING: Tertiary referral center.\n\nPATIENTS: Eight consecutive patients were treated.\n\nINTERVENTIONS: With use of a therapeutic linear echoendoscope and the assembled kit with the needle protruding out distally, the pseudocyst cavity was punctured by using electrocautery. The needle and the inner catheter were then withdrawn, leaving the outer catheter within the cavity. The size of this outer catheter permitted the simultaneous insertion of two 0.035-inch guidewires. Sequential insertion of a transmural stent and nasocystic catheter was then performed without a need for recannulation of the pseudocyst or abscess cavity.\n\nMAIN OUTCOME MEASUREMENTS: Successful endoscopic drainage.\n\nRESULTS: All patients were successfully treated without complications. Mean procedural time was 32.5 minutes (range 25-45 minutes).\n\nCONCLUSIONS: With this novel technique, establishing an irrigation system for the treatment of pancreatic pseudocysts and abscesses becomes easier, faster, and safer.", "author" : [ { "dropping-particle" : "", "family" : "Seewald", "given" : "Stefan", "non-dropping-particle" : "", "parse-names" : false, "suffix" : "" }, { "dropping-particle" : "", "family" : "Thonke", "given" : "Frank", "non-dropping-particle" : "", "parse-names" : false, "suffix" : "" }, { "dropping-particle" : "", "family" : "Ang", "given" : "Tiing-Leong", "non-dropping-particle" : "", "parse-names" : false, "suffix" : "" }, { "dropping-particle" : "", "family" : "Omar", "given" : "Salem", "non-dropping-particle" : "", "parse-names" : false, "suffix" : "" }, { "dropping-particle" : "", "family" : "Seitz", "given" : "Uwe", "non-dropping-particle" : "", "parse-names" : false, "suffix" : "" }, { "dropping-particle" : "", "family" : "Groth", "given" : "Stefan", "non-dropping-particle" : "", "parse-names" : false, "suffix" : "" }, { "dropping-particle" : "", "family" : "Zhong", "given" : "Yan", "non-dropping-particle" : "", "parse-names" : false, "suffix" : "" }, { "dropping-particle" : "", "family" : "Yekebas", "given" : "Emre", "non-dropping-particle" : "", "parse-names" : false, "suffix" : "" }, { "dropping-particle" : "", "family" : "Izbicki", "given" : "Jakob", "non-dropping-particle" : "", "parse-names" : false, "suffix" : "" }, { "dropping-particle" : "", "family" : "Soehendra", "given" : "Nib", "non-dropping-particle" : "", "parse-names" : false, "suffix" : "" } ], "container-title" : "Gastrointestinal endoscopy", "id" : "ITEM-1", "issue" : "5", "issued" : { "date-parts" : [ [ "2006", "11" ] ] }, "page" : "805-8", "title" : "One-step, simultaneous double-wire technique facilitates pancreatic pseudocyst and abscess drainage (with videos).", "type" : "article-journal", "volume" : "64" }, "uris" : [ "http://www.mendeley.com/documents/?uuid=bd8e0f84-1c25-4c1e-8722-bb60314a61ff", "http://www.mendeley.com/documents/?uuid=15b195ee-8583-449d-b7f0-3174a874128a" ] } ], "mendeley" : { "formattedCitation" : "&lt;sup&gt;[21]&lt;/sup&gt;", "plainTextFormattedCitation" : "[21]", "previouslyFormattedCitation" : "&lt;sup&gt;[21]&lt;/sup&gt;" }, "properties" : { "noteIndex" : 0 }, "schema" : "https://github.com/citation-style-language/schema/raw/master/csl-citation.json" }</w:instrText>
      </w:r>
      <w:r w:rsidRPr="00472719">
        <w:rPr>
          <w:rFonts w:ascii="Book Antiqua" w:hAnsi="Book Antiqua"/>
        </w:rPr>
        <w:fldChar w:fldCharType="separate"/>
      </w:r>
      <w:r w:rsidR="00467DD1" w:rsidRPr="00472719">
        <w:rPr>
          <w:rFonts w:ascii="Book Antiqua" w:hAnsi="Book Antiqua"/>
          <w:noProof/>
          <w:vertAlign w:val="superscript"/>
        </w:rPr>
        <w:t>[21]</w:t>
      </w:r>
      <w:r w:rsidRPr="00472719">
        <w:rPr>
          <w:rFonts w:ascii="Book Antiqua" w:hAnsi="Book Antiqua"/>
        </w:rPr>
        <w:fldChar w:fldCharType="end"/>
      </w:r>
      <w:r w:rsidRPr="00472719">
        <w:rPr>
          <w:rFonts w:ascii="Book Antiqua" w:hAnsi="Book Antiqua"/>
        </w:rPr>
        <w:t>. Recently, a novel lumen-apposing self-</w:t>
      </w:r>
      <w:r w:rsidR="007F2F76" w:rsidRPr="00472719">
        <w:rPr>
          <w:rFonts w:ascii="Book Antiqua" w:hAnsi="Book Antiqua"/>
        </w:rPr>
        <w:t>expandable metal stent (A</w:t>
      </w:r>
      <w:r w:rsidR="00C55C02" w:rsidRPr="00472719">
        <w:rPr>
          <w:rFonts w:ascii="Book Antiqua" w:hAnsi="Book Antiqua"/>
        </w:rPr>
        <w:t>XIOS</w:t>
      </w:r>
      <w:r w:rsidR="00C55C02" w:rsidRPr="00472719">
        <w:rPr>
          <w:rFonts w:ascii="Book Antiqua" w:hAnsi="Book Antiqua"/>
          <w:color w:val="231F20"/>
          <w:vertAlign w:val="superscript"/>
        </w:rPr>
        <w:t>TM</w:t>
      </w:r>
      <w:r w:rsidR="007F2F76" w:rsidRPr="00472719">
        <w:rPr>
          <w:rFonts w:ascii="Book Antiqua" w:hAnsi="Book Antiqua"/>
        </w:rPr>
        <w:t xml:space="preserve"> system, </w:t>
      </w:r>
      <w:proofErr w:type="spellStart"/>
      <w:r w:rsidR="007F2F76" w:rsidRPr="00472719">
        <w:rPr>
          <w:rFonts w:ascii="Book Antiqua" w:hAnsi="Book Antiqua"/>
        </w:rPr>
        <w:t>Xl</w:t>
      </w:r>
      <w:r w:rsidRPr="00472719">
        <w:rPr>
          <w:rFonts w:ascii="Book Antiqua" w:hAnsi="Book Antiqua"/>
        </w:rPr>
        <w:t>umina</w:t>
      </w:r>
      <w:proofErr w:type="spellEnd"/>
      <w:r w:rsidR="007F2F76" w:rsidRPr="00472719">
        <w:rPr>
          <w:rFonts w:ascii="Book Antiqua" w:hAnsi="Book Antiqua"/>
        </w:rPr>
        <w:t>, Mountain View, CA, U</w:t>
      </w:r>
      <w:r w:rsidR="00C2205B" w:rsidRPr="00472719">
        <w:rPr>
          <w:rFonts w:ascii="Book Antiqua" w:hAnsi="Book Antiqua"/>
          <w:lang w:eastAsia="zh-CN"/>
        </w:rPr>
        <w:t>nited States</w:t>
      </w:r>
      <w:r w:rsidRPr="00472719">
        <w:rPr>
          <w:rFonts w:ascii="Book Antiqua" w:hAnsi="Book Antiqua"/>
        </w:rPr>
        <w:t>) has been developed that can be deployed in a single step</w:t>
      </w:r>
      <w:r w:rsidR="002E1D18" w:rsidRPr="00472719">
        <w:rPr>
          <w:rFonts w:ascii="Book Antiqua" w:hAnsi="Book Antiqua"/>
        </w:rPr>
        <w:t xml:space="preserve"> </w:t>
      </w:r>
      <w:r w:rsidR="002E1D18" w:rsidRPr="00472719">
        <w:rPr>
          <w:rFonts w:ascii="Book Antiqua" w:hAnsi="Book Antiqua"/>
          <w:color w:val="000000"/>
        </w:rPr>
        <w:t>(Figure</w:t>
      </w:r>
      <w:r w:rsidR="00C2205B" w:rsidRPr="00472719">
        <w:rPr>
          <w:rFonts w:ascii="Book Antiqua" w:hAnsi="Book Antiqua"/>
          <w:color w:val="000000"/>
          <w:lang w:eastAsia="zh-CN"/>
        </w:rPr>
        <w:t>s</w:t>
      </w:r>
      <w:r w:rsidR="002E1D18" w:rsidRPr="00472719">
        <w:rPr>
          <w:rFonts w:ascii="Book Antiqua" w:hAnsi="Book Antiqua"/>
          <w:color w:val="000000"/>
        </w:rPr>
        <w:t xml:space="preserve"> </w:t>
      </w:r>
      <w:r w:rsidR="00ED5D32">
        <w:rPr>
          <w:rFonts w:ascii="Book Antiqua" w:hAnsi="Book Antiqua" w:hint="eastAsia"/>
          <w:color w:val="000000"/>
          <w:lang w:eastAsia="zh-CN"/>
        </w:rPr>
        <w:t>6</w:t>
      </w:r>
      <w:r w:rsidR="00C2205B" w:rsidRPr="00472719">
        <w:rPr>
          <w:rFonts w:ascii="Book Antiqua" w:hAnsi="Book Antiqua"/>
          <w:color w:val="000000"/>
          <w:lang w:eastAsia="zh-CN"/>
        </w:rPr>
        <w:t xml:space="preserve"> and </w:t>
      </w:r>
      <w:r w:rsidR="00ED5D32">
        <w:rPr>
          <w:rFonts w:ascii="Book Antiqua" w:hAnsi="Book Antiqua" w:hint="eastAsia"/>
          <w:color w:val="000000"/>
          <w:lang w:eastAsia="zh-CN"/>
        </w:rPr>
        <w:t>7</w:t>
      </w:r>
      <w:r w:rsidR="002E1D18" w:rsidRPr="00472719">
        <w:rPr>
          <w:rFonts w:ascii="Book Antiqua" w:hAnsi="Book Antiqua"/>
          <w:color w:val="000000"/>
        </w:rPr>
        <w:t>).</w:t>
      </w:r>
      <w:r w:rsidRPr="00472719">
        <w:rPr>
          <w:rStyle w:val="A70"/>
          <w:rFonts w:ascii="Book Antiqua" w:hAnsi="Book Antiqua" w:cs="Times New Roman"/>
          <w:sz w:val="24"/>
          <w:szCs w:val="24"/>
        </w:rPr>
        <w:t xml:space="preserve"> </w:t>
      </w:r>
      <w:r w:rsidRPr="00472719">
        <w:rPr>
          <w:rFonts w:ascii="Book Antiqua" w:hAnsi="Book Antiqua"/>
        </w:rPr>
        <w:t xml:space="preserve">The stent has a dumbbell-shaped configuration </w:t>
      </w:r>
      <w:r w:rsidRPr="00472719">
        <w:rPr>
          <w:rFonts w:ascii="Book Antiqua" w:hAnsi="Book Antiqua"/>
        </w:rPr>
        <w:lastRenderedPageBreak/>
        <w:t>that foreshortens on deployment, there</w:t>
      </w:r>
      <w:r w:rsidRPr="00472719">
        <w:rPr>
          <w:rFonts w:ascii="Book Antiqua" w:hAnsi="Book Antiqua"/>
        </w:rPr>
        <w:softHyphen/>
        <w:t>by minimizing the pos</w:t>
      </w:r>
      <w:r w:rsidR="00CB1E00" w:rsidRPr="00472719">
        <w:rPr>
          <w:rFonts w:ascii="Book Antiqua" w:hAnsi="Book Antiqua"/>
        </w:rPr>
        <w:t>sibility of leak or perforation</w:t>
      </w:r>
      <w:r w:rsidR="002B279C" w:rsidRPr="00472719">
        <w:rPr>
          <w:rFonts w:ascii="Book Antiqua" w:hAnsi="Book Antiqua"/>
        </w:rPr>
        <w:fldChar w:fldCharType="begin" w:fldLock="1"/>
      </w:r>
      <w:r w:rsidR="00FA79D6" w:rsidRPr="00472719">
        <w:rPr>
          <w:rFonts w:ascii="Book Antiqua" w:hAnsi="Book Antiqua"/>
        </w:rPr>
        <w:instrText>ADDIN CSL_CITATION { "citationItems" : [ { "id" : "ITEM-1", "itemData" : { "author" : [ { "dropping-particle" : "", "family" : "L\u00f3pez-jamar", "given" : "Esteban", "non-dropping-particle" : "", "parse-names" : false, "suffix" : "" }, { "dropping-particle" : "", "family" : "Jechart", "given" : "Gertrud", "non-dropping-particle" : "", "parse-names" : false, "suffix" : "" }, { "dropping-particle" : "", "family" : "Vilmann", "given" : "Peter", "non-dropping-particle" : "", "parse-names" : false, "suffix" : "" }, { "dropping-particle" : "", "family" : "Gornals", "given" : "Joan B", "non-dropping-particle" : "", "parse-names" : false, "suffix" : "" }, { "dropping-particle" : "", "family" : "Ullrich", "given" : "Sebastian", "non-dropping-particle" : "", "parse-names" : false, "suffix" : "" }, { "dropping-particle" : "", "family" : "F\u00e4hndrich", "given" : "Martin", "non-dropping-particle" : "", "parse-names" : false, "suffix" : "" } ], "id" : "ITEM-1", "issued" : { "date-parts" : [ [ "2015" ] ] }, "page" : "63-67", "title" : "A novel lumen-apposing metal stent for endoscopic ultrasound-guided drainage of pancreatic fluid collections : a prospective cohort study", "type" : "article-journal" }, "uris" : [ "http://www.mendeley.com/documents/?uuid=91f65a3a-7569-4b0e-9dff-487bb4a0ed08", "http://www.mendeley.com/documents/?uuid=65ad3909-1635-4e9d-afce-66819a7ec1da" ] } ], "mendeley" : { "formattedCitation" : "&lt;sup&gt;[22]&lt;/sup&gt;", "plainTextFormattedCitation" : "[22]", "previouslyFormattedCitation" : "&lt;sup&gt;[22]&lt;/sup&gt;" }, "properties" : { "noteIndex" : 0 }, "schema" : "https://github.com/citation-style-language/schema/raw/master/csl-citation.json" }</w:instrText>
      </w:r>
      <w:r w:rsidR="002B279C" w:rsidRPr="00472719">
        <w:rPr>
          <w:rFonts w:ascii="Book Antiqua" w:hAnsi="Book Antiqua"/>
        </w:rPr>
        <w:fldChar w:fldCharType="separate"/>
      </w:r>
      <w:r w:rsidR="00467DD1" w:rsidRPr="00472719">
        <w:rPr>
          <w:rFonts w:ascii="Book Antiqua" w:hAnsi="Book Antiqua"/>
          <w:noProof/>
          <w:vertAlign w:val="superscript"/>
        </w:rPr>
        <w:t>[22]</w:t>
      </w:r>
      <w:r w:rsidR="002B279C" w:rsidRPr="00472719">
        <w:rPr>
          <w:rFonts w:ascii="Book Antiqua" w:hAnsi="Book Antiqua"/>
        </w:rPr>
        <w:fldChar w:fldCharType="end"/>
      </w:r>
      <w:r w:rsidRPr="00472719">
        <w:rPr>
          <w:rFonts w:ascii="Book Antiqua" w:hAnsi="Book Antiqua"/>
        </w:rPr>
        <w:t xml:space="preserve">. </w:t>
      </w:r>
    </w:p>
    <w:p w14:paraId="6D93B3A1" w14:textId="77777777" w:rsidR="00AA3CB8" w:rsidRPr="00472719" w:rsidRDefault="00AA3CB8" w:rsidP="00472719">
      <w:pPr>
        <w:autoSpaceDE w:val="0"/>
        <w:autoSpaceDN w:val="0"/>
        <w:adjustRightInd w:val="0"/>
        <w:snapToGrid w:val="0"/>
        <w:spacing w:line="360" w:lineRule="auto"/>
        <w:jc w:val="both"/>
        <w:rPr>
          <w:rFonts w:ascii="Book Antiqua" w:hAnsi="Book Antiqua"/>
          <w:color w:val="000000"/>
        </w:rPr>
      </w:pPr>
    </w:p>
    <w:p w14:paraId="357AD0F8" w14:textId="20277DE3" w:rsidR="004B09BB" w:rsidRPr="00472719" w:rsidRDefault="004B09BB"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color w:val="000000"/>
        </w:rPr>
        <w:t>Cystoenterotomy patency devices</w:t>
      </w:r>
    </w:p>
    <w:p w14:paraId="43AF86F8" w14:textId="26154163" w:rsidR="004B09BB" w:rsidRPr="00472719" w:rsidRDefault="004B09BB"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t xml:space="preserve">A variety of stents have been used to maintain patency of the fistulous tract between the gut lumen and the PFC. Single plastic stents (straight or double pigtail), multiple plastic stents, </w:t>
      </w:r>
      <w:proofErr w:type="spellStart"/>
      <w:r w:rsidRPr="00472719">
        <w:rPr>
          <w:rFonts w:ascii="Book Antiqua" w:hAnsi="Book Antiqua"/>
        </w:rPr>
        <w:t>nasocystic</w:t>
      </w:r>
      <w:proofErr w:type="spellEnd"/>
      <w:r w:rsidRPr="00472719">
        <w:rPr>
          <w:rFonts w:ascii="Book Antiqua" w:hAnsi="Book Antiqua"/>
        </w:rPr>
        <w:t xml:space="preserve"> drainage catheters, enteral metal stents and biliary metal stents have been tried. Some studies have also described a combination of modalities like plastic stents in combination with </w:t>
      </w:r>
      <w:proofErr w:type="spellStart"/>
      <w:r w:rsidRPr="00472719">
        <w:rPr>
          <w:rFonts w:ascii="Book Antiqua" w:hAnsi="Book Antiqua"/>
        </w:rPr>
        <w:t>nasocystic</w:t>
      </w:r>
      <w:proofErr w:type="spellEnd"/>
      <w:r w:rsidRPr="00472719">
        <w:rPr>
          <w:rFonts w:ascii="Book Antiqua" w:hAnsi="Book Antiqua"/>
        </w:rPr>
        <w:t xml:space="preserve"> drainage catheters or double pigtail stents axially placed through a metal stent. The available literature contain studies with </w:t>
      </w:r>
      <w:proofErr w:type="spellStart"/>
      <w:r w:rsidRPr="00472719">
        <w:rPr>
          <w:rFonts w:ascii="Book Antiqua" w:hAnsi="Book Antiqua"/>
        </w:rPr>
        <w:t>heterogenous</w:t>
      </w:r>
      <w:proofErr w:type="spellEnd"/>
      <w:r w:rsidRPr="00472719">
        <w:rPr>
          <w:rFonts w:ascii="Book Antiqua" w:hAnsi="Book Antiqua"/>
        </w:rPr>
        <w:t xml:space="preserve"> nature and there is no clear evidence to suggest metal stents are better than plastic stents or one type of plastic stent is better than another. </w:t>
      </w:r>
    </w:p>
    <w:p w14:paraId="0DAC6826" w14:textId="77777777" w:rsidR="0081329E" w:rsidRPr="00472719" w:rsidRDefault="0081329E" w:rsidP="00472719">
      <w:pPr>
        <w:autoSpaceDE w:val="0"/>
        <w:autoSpaceDN w:val="0"/>
        <w:adjustRightInd w:val="0"/>
        <w:snapToGrid w:val="0"/>
        <w:spacing w:line="360" w:lineRule="auto"/>
        <w:jc w:val="both"/>
        <w:rPr>
          <w:rFonts w:ascii="Book Antiqua" w:hAnsi="Book Antiqua"/>
          <w:lang w:eastAsia="zh-CN"/>
        </w:rPr>
      </w:pPr>
    </w:p>
    <w:p w14:paraId="34481087" w14:textId="77777777" w:rsidR="0081329E" w:rsidRPr="00472719" w:rsidRDefault="004B09BB" w:rsidP="00472719">
      <w:pPr>
        <w:autoSpaceDE w:val="0"/>
        <w:autoSpaceDN w:val="0"/>
        <w:adjustRightInd w:val="0"/>
        <w:snapToGrid w:val="0"/>
        <w:spacing w:line="360" w:lineRule="auto"/>
        <w:jc w:val="both"/>
        <w:rPr>
          <w:rFonts w:ascii="Book Antiqua" w:hAnsi="Book Antiqua"/>
          <w:b/>
          <w:i/>
          <w:lang w:eastAsia="zh-CN"/>
        </w:rPr>
      </w:pPr>
      <w:proofErr w:type="spellStart"/>
      <w:r w:rsidRPr="00472719">
        <w:rPr>
          <w:rFonts w:ascii="Book Antiqua" w:hAnsi="Book Antiqua"/>
          <w:b/>
          <w:i/>
        </w:rPr>
        <w:t>Pseudocysts</w:t>
      </w:r>
      <w:proofErr w:type="spellEnd"/>
    </w:p>
    <w:p w14:paraId="3FD9BFDF" w14:textId="4BAECB1B" w:rsidR="004B09BB" w:rsidRPr="00472719" w:rsidRDefault="004B09BB"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t xml:space="preserve">Lopez </w:t>
      </w:r>
      <w:r w:rsidR="0081329E" w:rsidRPr="00472719">
        <w:rPr>
          <w:rFonts w:ascii="Book Antiqua" w:hAnsi="Book Antiqua"/>
          <w:i/>
        </w:rPr>
        <w:t>et al</w:t>
      </w:r>
      <w:r w:rsidRPr="00472719">
        <w:rPr>
          <w:rFonts w:ascii="Book Antiqua" w:hAnsi="Book Antiqua"/>
        </w:rPr>
        <w:t xml:space="preserve"> used single plastic stents for draining </w:t>
      </w:r>
      <w:proofErr w:type="spellStart"/>
      <w:r w:rsidRPr="00472719">
        <w:rPr>
          <w:rFonts w:ascii="Book Antiqua" w:hAnsi="Book Antiqua"/>
        </w:rPr>
        <w:t>pseudocysts</w:t>
      </w:r>
      <w:proofErr w:type="spellEnd"/>
      <w:r w:rsidRPr="00472719">
        <w:rPr>
          <w:rFonts w:ascii="Book Antiqua" w:hAnsi="Book Antiqua"/>
        </w:rPr>
        <w:t>. The drainage was successful in 93% patients with a recurrence noted in 25% cases. They also noted that straight stents had a trend for higher complications as compared to double pigtail stents even though the difference wa</w:t>
      </w:r>
      <w:r w:rsidR="00CB1E00" w:rsidRPr="00472719">
        <w:rPr>
          <w:rFonts w:ascii="Book Antiqua" w:hAnsi="Book Antiqua"/>
        </w:rPr>
        <w:t>s not statistically significant</w:t>
      </w:r>
      <w:r w:rsidRPr="00472719">
        <w:rPr>
          <w:rFonts w:ascii="Book Antiqua" w:hAnsi="Book Antiqua"/>
        </w:rPr>
        <w:fldChar w:fldCharType="begin" w:fldLock="1"/>
      </w:r>
      <w:r w:rsidRPr="00472719">
        <w:rPr>
          <w:rFonts w:ascii="Book Antiqua" w:hAnsi="Book Antiqua"/>
        </w:rPr>
        <w:instrText>ADDIN CSL_CITATION { "citationItems" : [ { "id" : "ITEM-1", "itemData" : { "author" : [ { "dropping-particle" : "", "family" : "Lopes CV, Pesenti C, Bories E, Caillol F", "given" : "Giovannini M.", "non-dropping-particle" : "", "parse-names" : false, "suffix" : "" } ], "id" : "ITEM-1", "issue" : "1", "issued" : { "date-parts" : [ [ "2008" ] ] }, "page" : "17-21", "title" : "ENDOSCOPIC ULTRASOUND-GUIDED ENDOSCOPIC TRANSMURAL DRAINAGE OF PANCREATIC PSEUDOCYSTS", "type" : "article-journal", "volume" : "14" }, "uris" : [ "http://www.mendeley.com/documents/?uuid=b25516b1-96a0-445c-b577-3a5a6e71b233", "http://www.mendeley.com/documents/?uuid=df17deaf-5971-48a4-928a-c9f61b1b042b" ] } ], "mendeley" : { "formattedCitation" : "&lt;sup&gt;[23]&lt;/sup&gt;", "plainTextFormattedCitation" : "[23]", "previouslyFormattedCitation" : "&lt;sup&gt;[23]&lt;/sup&gt;" }, "properties" : { "noteIndex" : 0 }, "schema" : "https://github.com/citation-style-language/schema/raw/master/csl-citation.json" }</w:instrText>
      </w:r>
      <w:r w:rsidRPr="00472719">
        <w:rPr>
          <w:rFonts w:ascii="Book Antiqua" w:hAnsi="Book Antiqua"/>
        </w:rPr>
        <w:fldChar w:fldCharType="separate"/>
      </w:r>
      <w:r w:rsidRPr="00472719">
        <w:rPr>
          <w:rFonts w:ascii="Book Antiqua" w:hAnsi="Book Antiqua"/>
          <w:noProof/>
          <w:vertAlign w:val="superscript"/>
        </w:rPr>
        <w:t>[23]</w:t>
      </w:r>
      <w:r w:rsidRPr="00472719">
        <w:rPr>
          <w:rFonts w:ascii="Book Antiqua" w:hAnsi="Book Antiqua"/>
        </w:rPr>
        <w:fldChar w:fldCharType="end"/>
      </w:r>
      <w:r w:rsidRPr="00472719">
        <w:rPr>
          <w:rFonts w:ascii="Book Antiqua" w:hAnsi="Book Antiqua"/>
        </w:rPr>
        <w:t>. The straight stents do not have anchorage and may migrate more easily as compared to double pigtail stents. Straight stents have also been reported to cause bleeding and perforation.</w:t>
      </w:r>
    </w:p>
    <w:p w14:paraId="1FA29772" w14:textId="77B6DA1E" w:rsidR="004B09BB" w:rsidRPr="00472719" w:rsidRDefault="004B09BB"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tab/>
        <w:t xml:space="preserve">In a single </w:t>
      </w:r>
      <w:proofErr w:type="spellStart"/>
      <w:r w:rsidRPr="00472719">
        <w:rPr>
          <w:rFonts w:ascii="Book Antiqua" w:hAnsi="Book Antiqua"/>
        </w:rPr>
        <w:t>centre</w:t>
      </w:r>
      <w:proofErr w:type="spellEnd"/>
      <w:r w:rsidRPr="00472719">
        <w:rPr>
          <w:rFonts w:ascii="Book Antiqua" w:hAnsi="Book Antiqua"/>
        </w:rPr>
        <w:t xml:space="preserve"> prospective cohort study </w:t>
      </w:r>
      <w:proofErr w:type="spellStart"/>
      <w:r w:rsidRPr="00472719">
        <w:rPr>
          <w:rFonts w:ascii="Book Antiqua" w:hAnsi="Book Antiqua"/>
        </w:rPr>
        <w:t>Antillon</w:t>
      </w:r>
      <w:proofErr w:type="spellEnd"/>
      <w:r w:rsidRPr="00472719">
        <w:rPr>
          <w:rFonts w:ascii="Book Antiqua" w:hAnsi="Book Antiqua"/>
        </w:rPr>
        <w:t xml:space="preserve"> </w:t>
      </w:r>
      <w:r w:rsidR="0081329E" w:rsidRPr="00472719">
        <w:rPr>
          <w:rFonts w:ascii="Book Antiqua" w:hAnsi="Book Antiqua"/>
          <w:i/>
        </w:rPr>
        <w:t>et al</w:t>
      </w:r>
      <w:r w:rsidR="0081329E" w:rsidRPr="00472719">
        <w:rPr>
          <w:rFonts w:ascii="Book Antiqua" w:hAnsi="Book Antiqua"/>
        </w:rPr>
        <w:fldChar w:fldCharType="begin" w:fldLock="1"/>
      </w:r>
      <w:r w:rsidR="0081329E" w:rsidRPr="00472719">
        <w:rPr>
          <w:rFonts w:ascii="Book Antiqua" w:hAnsi="Book Antiqua"/>
        </w:rPr>
        <w:instrText>ADDIN CSL_CITATION { "citationItems" : [ { "id" : "ITEM-1", "itemData" : { "DOI" : "10.1016/j.gie.2005.10.025", "ISSN" : "0016-5107", "PMID" : "16650541", "abstract" : "BACKGROUND: Single-step EUS-guided transmural drainage of pseudocysts has been reported, but there are no published prospective studies on clinical outcomes.\n\nOBJECTIVE: To assess the safety and the efficacy of single-step EUS-guided placement of large endoprostheses to treat simple and complicated pseudocysts.\n\nDESIGN: Prospective cohort study.\n\nSETTING: Single tertiary referral center.\n\nPATIENTS: Consecutive patients referred for management of symptomatic chronic pancreatic pseudocysts &gt;4 cm in size.\n\nINTERVENTIONS: Single-step EUS-guided transmural pseudocyst drainage performed with a linear-array echoendoscope for placement of 10F stents in adults and 7F stents in children.\n\nMAIN OUTCOME MEASURES: Complete or partial (&gt;50% reduction) resolution of pseudocyst on follow-up imaging, recurrence, clinical response, and procedure-related complications. Recurrence was defined as the reappearance of a pancreatic pseudocyst in the same location.\n\nRESULTS: There were 33 patients, with a mean age of 43 years. Median pseudocyst size was 8.5 cm (range, 4-20 cm). Fourteen patients (42%) had infected pseudocysts, 8 patients (24%) had gastric varices, and 16 patients (48%) had no visible endoscopic bulge. Stent placement was successful in 31 patients (94%). Twenty-seven patients (82%) had complete resolution of a pseudocyst; 4 patients (12%) had partial resolution, with symptom relief. There were 2 major complications and 3 minor complications. Recurrence of a pseudocyst was observed in only 1 patient over a median follow-up of 46 weeks.\n\nLIMITATIONS: No randomized treatment arm comparing this technique with conventional endoscopic drainage.\n\nCONCLUSIONS: Single-step EUS-guided transmural drainage with large endoprostheses is a safe and effective therapy for patients with simple and complicated pancreatic pseudocysts.", "author" : [ { "dropping-particle" : "", "family" : "Antillon", "given" : "Mainor R", "non-dropping-particle" : "", "parse-names" : false, "suffix" : "" }, { "dropping-particle" : "", "family" : "Shah", "given" : "Raj J", "non-dropping-particle" : "", "parse-names" : false, "suffix" : "" }, { "dropping-particle" : "", "family" : "Stiegmann", "given" : "Gregory", "non-dropping-particle" : "", "parse-names" : false, "suffix" : "" }, { "dropping-particle" : "", "family" : "Chen", "given" : "Yang K", "non-dropping-particle" : "", "parse-names" : false, "suffix" : "" } ], "container-title" : "Gastrointestinal endoscopy", "id" : "ITEM-1", "issue" : "6", "issued" : { "date-parts" : [ [ "2006", "5" ] ] }, "page" : "797-803", "title" : "Single-step EUS-guided transmural drainage of simple and complicated pancreatic pseudocysts.", "type" : "article-journal", "volume" : "63" }, "uris" : [ "http://www.mendeley.com/documents/?uuid=4e80480c-c1c3-40df-84b7-2978623fd72c", "http://www.mendeley.com/documents/?uuid=c50e91c4-36de-4603-9da8-6a3e5d27d6ce" ] } ], "mendeley" : { "formattedCitation" : "&lt;sup&gt;[24]&lt;/sup&gt;", "plainTextFormattedCitation" : "[24]", "previouslyFormattedCitation" : "&lt;sup&gt;[24]&lt;/sup&gt;" }, "properties" : { "noteIndex" : 0 }, "schema" : "https://github.com/citation-style-language/schema/raw/master/csl-citation.json" }</w:instrText>
      </w:r>
      <w:r w:rsidR="0081329E" w:rsidRPr="00472719">
        <w:rPr>
          <w:rFonts w:ascii="Book Antiqua" w:hAnsi="Book Antiqua"/>
        </w:rPr>
        <w:fldChar w:fldCharType="separate"/>
      </w:r>
      <w:r w:rsidR="0081329E" w:rsidRPr="00472719">
        <w:rPr>
          <w:rFonts w:ascii="Book Antiqua" w:hAnsi="Book Antiqua"/>
          <w:noProof/>
          <w:vertAlign w:val="superscript"/>
        </w:rPr>
        <w:t>[24]</w:t>
      </w:r>
      <w:r w:rsidR="0081329E" w:rsidRPr="00472719">
        <w:rPr>
          <w:rFonts w:ascii="Book Antiqua" w:hAnsi="Book Antiqua"/>
        </w:rPr>
        <w:fldChar w:fldCharType="end"/>
      </w:r>
      <w:r w:rsidRPr="00472719">
        <w:rPr>
          <w:rFonts w:ascii="Book Antiqua" w:hAnsi="Book Antiqua"/>
        </w:rPr>
        <w:t xml:space="preserve"> looked at the efficacy of single-step EUS-guided transmural drainage of </w:t>
      </w:r>
      <w:proofErr w:type="spellStart"/>
      <w:r w:rsidRPr="00472719">
        <w:rPr>
          <w:rFonts w:ascii="Book Antiqua" w:hAnsi="Book Antiqua"/>
        </w:rPr>
        <w:t>pseudocysts</w:t>
      </w:r>
      <w:proofErr w:type="spellEnd"/>
      <w:r w:rsidRPr="00472719">
        <w:rPr>
          <w:rFonts w:ascii="Book Antiqua" w:hAnsi="Book Antiqua"/>
        </w:rPr>
        <w:t xml:space="preserve">. Complete resolution of the </w:t>
      </w:r>
      <w:proofErr w:type="spellStart"/>
      <w:r w:rsidRPr="00472719">
        <w:rPr>
          <w:rFonts w:ascii="Book Antiqua" w:hAnsi="Book Antiqua"/>
        </w:rPr>
        <w:t>pseudocyst</w:t>
      </w:r>
      <w:proofErr w:type="spellEnd"/>
      <w:r w:rsidRPr="00472719">
        <w:rPr>
          <w:rFonts w:ascii="Book Antiqua" w:hAnsi="Book Antiqua"/>
        </w:rPr>
        <w:t xml:space="preserve"> was achieved in 27 (82%) of the 33 patients at the index procedure. Four additional patients (12%) had only partial resolution (50% reduction in cyst size), accompanied by symptom resolution. Recurrence was observed in only 1 patient over</w:t>
      </w:r>
      <w:r w:rsidR="00CB1E00" w:rsidRPr="00472719">
        <w:rPr>
          <w:rFonts w:ascii="Book Antiqua" w:hAnsi="Book Antiqua"/>
        </w:rPr>
        <w:t xml:space="preserve"> a median follow-up of 46 wk</w:t>
      </w:r>
      <w:r w:rsidRPr="00472719">
        <w:rPr>
          <w:rFonts w:ascii="Book Antiqua" w:hAnsi="Book Antiqua"/>
        </w:rPr>
        <w:t xml:space="preserve">. </w:t>
      </w:r>
    </w:p>
    <w:p w14:paraId="3B98A431" w14:textId="2E4FF29B" w:rsidR="004B09BB" w:rsidRPr="00472719" w:rsidRDefault="004B09BB"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lastRenderedPageBreak/>
        <w:tab/>
        <w:t xml:space="preserve">In a retrospective study 87 consecutive patients with pancreatic </w:t>
      </w:r>
      <w:proofErr w:type="spellStart"/>
      <w:r w:rsidRPr="00472719">
        <w:rPr>
          <w:rFonts w:ascii="Book Antiqua" w:hAnsi="Book Antiqua"/>
        </w:rPr>
        <w:t>pseudocysts</w:t>
      </w:r>
      <w:proofErr w:type="spellEnd"/>
      <w:r w:rsidRPr="00472719">
        <w:rPr>
          <w:rFonts w:ascii="Book Antiqua" w:hAnsi="Book Antiqua"/>
        </w:rPr>
        <w:t xml:space="preserve"> were managed by EUS-guided drainage: those with solid debris who underwent drainage </w:t>
      </w:r>
      <w:r w:rsidRPr="00472719">
        <w:rPr>
          <w:rFonts w:ascii="Book Antiqua" w:hAnsi="Book Antiqua"/>
          <w:i/>
        </w:rPr>
        <w:t>via</w:t>
      </w:r>
      <w:r w:rsidRPr="00472719">
        <w:rPr>
          <w:rFonts w:ascii="Book Antiqua" w:hAnsi="Book Antiqua"/>
        </w:rPr>
        <w:t xml:space="preserve"> </w:t>
      </w:r>
      <w:proofErr w:type="spellStart"/>
      <w:r w:rsidRPr="00472719">
        <w:rPr>
          <w:rFonts w:ascii="Book Antiqua" w:hAnsi="Book Antiqua"/>
        </w:rPr>
        <w:t>nasocystic</w:t>
      </w:r>
      <w:proofErr w:type="spellEnd"/>
      <w:r w:rsidRPr="00472719">
        <w:rPr>
          <w:rFonts w:ascii="Book Antiqua" w:hAnsi="Book Antiqua"/>
        </w:rPr>
        <w:t xml:space="preserve"> drains alongside stents (</w:t>
      </w:r>
      <w:r w:rsidR="00C56FB8" w:rsidRPr="00472719">
        <w:rPr>
          <w:rFonts w:ascii="Book Antiqua" w:hAnsi="Book Antiqua"/>
          <w:i/>
        </w:rPr>
        <w:t xml:space="preserve">n = </w:t>
      </w:r>
      <w:r w:rsidRPr="00472719">
        <w:rPr>
          <w:rFonts w:ascii="Book Antiqua" w:hAnsi="Book Antiqua"/>
        </w:rPr>
        <w:t xml:space="preserve">63) and those with solid debris who underwent drainage </w:t>
      </w:r>
      <w:r w:rsidRPr="00472719">
        <w:rPr>
          <w:rFonts w:ascii="Book Antiqua" w:hAnsi="Book Antiqua"/>
          <w:i/>
        </w:rPr>
        <w:t>via</w:t>
      </w:r>
      <w:r w:rsidRPr="00472719">
        <w:rPr>
          <w:rFonts w:ascii="Book Antiqua" w:hAnsi="Book Antiqua"/>
        </w:rPr>
        <w:t xml:space="preserve"> transmural stents only (</w:t>
      </w:r>
      <w:r w:rsidR="00C56FB8" w:rsidRPr="00472719">
        <w:rPr>
          <w:rFonts w:ascii="Book Antiqua" w:hAnsi="Book Antiqua"/>
          <w:i/>
        </w:rPr>
        <w:t xml:space="preserve">n = </w:t>
      </w:r>
      <w:r w:rsidRPr="00472719">
        <w:rPr>
          <w:rFonts w:ascii="Book Antiqua" w:hAnsi="Book Antiqua"/>
        </w:rPr>
        <w:t xml:space="preserve">24). The patients with viscous solid debris-laden fluid whose </w:t>
      </w:r>
      <w:proofErr w:type="spellStart"/>
      <w:r w:rsidRPr="00472719">
        <w:rPr>
          <w:rFonts w:ascii="Book Antiqua" w:hAnsi="Book Antiqua"/>
        </w:rPr>
        <w:t>pseudocysts</w:t>
      </w:r>
      <w:proofErr w:type="spellEnd"/>
      <w:r w:rsidRPr="00472719">
        <w:rPr>
          <w:rFonts w:ascii="Book Antiqua" w:hAnsi="Book Antiqua"/>
        </w:rPr>
        <w:t xml:space="preserve"> were drained by both stents and </w:t>
      </w:r>
      <w:proofErr w:type="spellStart"/>
      <w:r w:rsidRPr="00472719">
        <w:rPr>
          <w:rFonts w:ascii="Book Antiqua" w:hAnsi="Book Antiqua"/>
        </w:rPr>
        <w:t>nasocystic</w:t>
      </w:r>
      <w:proofErr w:type="spellEnd"/>
      <w:r w:rsidRPr="00472719">
        <w:rPr>
          <w:rFonts w:ascii="Book Antiqua" w:hAnsi="Book Antiqua"/>
        </w:rPr>
        <w:t xml:space="preserve"> tubes had a 3 times greater short-term success rate compared with those who had drainage by stents alone (OR </w:t>
      </w:r>
      <w:r w:rsidR="00C56FB8" w:rsidRPr="00472719">
        <w:rPr>
          <w:rFonts w:ascii="Book Antiqua" w:hAnsi="Book Antiqua"/>
          <w:lang w:eastAsia="zh-CN"/>
        </w:rPr>
        <w:t xml:space="preserve">= </w:t>
      </w:r>
      <w:r w:rsidR="00C56FB8" w:rsidRPr="00472719">
        <w:rPr>
          <w:rFonts w:ascii="Book Antiqua" w:hAnsi="Book Antiqua"/>
        </w:rPr>
        <w:t>3.6; 95%</w:t>
      </w:r>
      <w:r w:rsidRPr="00472719">
        <w:rPr>
          <w:rFonts w:ascii="Book Antiqua" w:hAnsi="Book Antiqua"/>
        </w:rPr>
        <w:t>CI</w:t>
      </w:r>
      <w:r w:rsidR="00C56FB8" w:rsidRPr="00472719">
        <w:rPr>
          <w:rFonts w:ascii="Book Antiqua" w:hAnsi="Book Antiqua"/>
          <w:lang w:eastAsia="zh-CN"/>
        </w:rPr>
        <w:t>:</w:t>
      </w:r>
      <w:r w:rsidRPr="00472719">
        <w:rPr>
          <w:rFonts w:ascii="Book Antiqua" w:hAnsi="Book Antiqua"/>
        </w:rPr>
        <w:t xml:space="preserve"> 1.2-10.7; </w:t>
      </w:r>
      <w:r w:rsidR="001B194D" w:rsidRPr="00472719">
        <w:rPr>
          <w:rFonts w:ascii="Book Antiqua" w:hAnsi="Book Antiqua"/>
          <w:i/>
        </w:rPr>
        <w:t xml:space="preserve">P = </w:t>
      </w:r>
      <w:r w:rsidRPr="00472719">
        <w:rPr>
          <w:rFonts w:ascii="Book Antiqua" w:hAnsi="Book Antiqua"/>
        </w:rPr>
        <w:t xml:space="preserve">0.03). Long-term follow-up showed a non-significant trend toward better resolution of </w:t>
      </w:r>
      <w:proofErr w:type="spellStart"/>
      <w:r w:rsidRPr="00472719">
        <w:rPr>
          <w:rFonts w:ascii="Book Antiqua" w:hAnsi="Book Antiqua"/>
        </w:rPr>
        <w:t>pseudocyst</w:t>
      </w:r>
      <w:proofErr w:type="spellEnd"/>
      <w:r w:rsidRPr="00472719">
        <w:rPr>
          <w:rFonts w:ascii="Book Antiqua" w:hAnsi="Book Antiqua"/>
        </w:rPr>
        <w:t xml:space="preserve"> with debris drainage </w:t>
      </w:r>
      <w:r w:rsidRPr="00472719">
        <w:rPr>
          <w:rFonts w:ascii="Book Antiqua" w:hAnsi="Book Antiqua"/>
          <w:i/>
        </w:rPr>
        <w:t>via</w:t>
      </w:r>
      <w:r w:rsidRPr="00472719">
        <w:rPr>
          <w:rFonts w:ascii="Book Antiqua" w:hAnsi="Book Antiqua"/>
        </w:rPr>
        <w:t xml:space="preserve"> </w:t>
      </w:r>
      <w:proofErr w:type="spellStart"/>
      <w:r w:rsidRPr="00472719">
        <w:rPr>
          <w:rFonts w:ascii="Book Antiqua" w:hAnsi="Book Antiqua"/>
        </w:rPr>
        <w:t>nasocystic</w:t>
      </w:r>
      <w:proofErr w:type="spellEnd"/>
      <w:r w:rsidRPr="00472719">
        <w:rPr>
          <w:rFonts w:ascii="Book Antiqua" w:hAnsi="Book Antiqua"/>
        </w:rPr>
        <w:t xml:space="preserve"> drains alongside stents compared with stents alone (79% </w:t>
      </w:r>
      <w:r w:rsidR="00C56FB8" w:rsidRPr="00472719">
        <w:rPr>
          <w:rFonts w:ascii="Book Antiqua" w:hAnsi="Book Antiqua"/>
          <w:i/>
        </w:rPr>
        <w:t>vs</w:t>
      </w:r>
      <w:r w:rsidRPr="00472719">
        <w:rPr>
          <w:rFonts w:ascii="Book Antiqua" w:hAnsi="Book Antiqua"/>
        </w:rPr>
        <w:t xml:space="preserve"> 58% respectively, OR </w:t>
      </w:r>
      <w:r w:rsidR="0081329E" w:rsidRPr="00472719">
        <w:rPr>
          <w:rFonts w:ascii="Book Antiqua" w:hAnsi="Book Antiqua"/>
          <w:lang w:eastAsia="zh-CN"/>
        </w:rPr>
        <w:t xml:space="preserve">= </w:t>
      </w:r>
      <w:r w:rsidRPr="00472719">
        <w:rPr>
          <w:rFonts w:ascii="Book Antiqua" w:hAnsi="Book Antiqua"/>
        </w:rPr>
        <w:t xml:space="preserve">2.7; </w:t>
      </w:r>
      <w:r w:rsidR="001B194D" w:rsidRPr="00472719">
        <w:rPr>
          <w:rFonts w:ascii="Book Antiqua" w:hAnsi="Book Antiqua"/>
          <w:i/>
        </w:rPr>
        <w:t xml:space="preserve">P = </w:t>
      </w:r>
      <w:r w:rsidRPr="00472719">
        <w:rPr>
          <w:rFonts w:ascii="Book Antiqua" w:hAnsi="Book Antiqua"/>
        </w:rPr>
        <w:t xml:space="preserve">0.059). The rate of stent occlusion was higher in cysts with debris drained by stents alone compared with those drained </w:t>
      </w:r>
      <w:r w:rsidRPr="00472719">
        <w:rPr>
          <w:rFonts w:ascii="Book Antiqua" w:hAnsi="Book Antiqua"/>
          <w:i/>
        </w:rPr>
        <w:t>via</w:t>
      </w:r>
      <w:r w:rsidRPr="00472719">
        <w:rPr>
          <w:rFonts w:ascii="Book Antiqua" w:hAnsi="Book Antiqua"/>
        </w:rPr>
        <w:t xml:space="preserve"> </w:t>
      </w:r>
      <w:proofErr w:type="spellStart"/>
      <w:r w:rsidRPr="00472719">
        <w:rPr>
          <w:rFonts w:ascii="Book Antiqua" w:hAnsi="Book Antiqua"/>
        </w:rPr>
        <w:t>nasocystic</w:t>
      </w:r>
      <w:proofErr w:type="spellEnd"/>
      <w:r w:rsidRPr="00472719">
        <w:rPr>
          <w:rFonts w:ascii="Book Antiqua" w:hAnsi="Book Antiqua"/>
        </w:rPr>
        <w:t xml:space="preserve"> drains alongside stents (33% </w:t>
      </w:r>
      <w:r w:rsidR="00C56FB8" w:rsidRPr="00472719">
        <w:rPr>
          <w:rFonts w:ascii="Book Antiqua" w:hAnsi="Book Antiqua"/>
          <w:i/>
        </w:rPr>
        <w:t>vs</w:t>
      </w:r>
      <w:r w:rsidRPr="00472719">
        <w:rPr>
          <w:rFonts w:ascii="Book Antiqua" w:hAnsi="Book Antiqua"/>
        </w:rPr>
        <w:t xml:space="preserve"> 13%; </w:t>
      </w:r>
      <w:r w:rsidR="001B194D" w:rsidRPr="00472719">
        <w:rPr>
          <w:rFonts w:ascii="Book Antiqua" w:hAnsi="Book Antiqua"/>
          <w:i/>
        </w:rPr>
        <w:t xml:space="preserve">P = </w:t>
      </w:r>
      <w:r w:rsidR="00CB1E00" w:rsidRPr="00472719">
        <w:rPr>
          <w:rFonts w:ascii="Book Antiqua" w:hAnsi="Book Antiqua"/>
        </w:rPr>
        <w:t>0.03)</w:t>
      </w:r>
      <w:r w:rsidRPr="00472719">
        <w:rPr>
          <w:rFonts w:ascii="Book Antiqua" w:hAnsi="Book Antiqua"/>
        </w:rPr>
        <w:fldChar w:fldCharType="begin" w:fldLock="1"/>
      </w:r>
      <w:r w:rsidRPr="00472719">
        <w:rPr>
          <w:rFonts w:ascii="Book Antiqua" w:hAnsi="Book Antiqua"/>
        </w:rPr>
        <w:instrText>ADDIN CSL_CITATION { "citationItems" : [ { "id" : "ITEM-1", "itemData" : { "DOI" : "10.1016/j.gie.2013.03.1337", "ISSN" : "1097-6779", "PMID" : "23660566", "abstract" : "BACKGROUND: The presence of debris within a pseudocyst may impair success of endoscopic drainage.\n\nOBJECTIVE: To compare the clinical outcomes and adverse-event rates of EUS-guided pseudocyst drainage with and without a nasocystic drain for the management of pancreatic pseudocysts with viscous solid debris-laden fluid.\n\nDESIGN: Retrospective study.\n\nSETTING: Single, tertiary-care referral center.\n\nPATIENTS: Consecutive patients with pancreatic pseudocysts managed by EUS-guided drainage: those with solid debris who underwent drainage via nasocystic drains alongside stents (n = 63) and those with solid debris who underwent drainage via transmural stents only (n = 24).\n\nINTERVENTION: Drainage via nasocystic drains alongside stents or drainage via transmural stents only.\n\nMAIN OUTCOME MEASUREMENTS: The primary outcomes were short-term success and long-term success of the procedures. The secondary outcomes were procedure-related adverse events and reintervention.\n\nRESULTS: The patients with viscous solid debris-laden fluid whose pseudocysts were drained by both stents and nasocystic tubes had a 3 times greater short-term success rate compared with those who had drainage by stents alone (P = .03). On 12-month follow-up, complete resolution of pseudocysts with debris drained via stents alone was less (58%) compared with those with debris who underwent drainage via nasocystic drains alongside stents (79%; P = .059). The rate of stent occlusion was higher in cysts with debris drained by stents alone (33%) compared with those drained via nasocystic drains alongside stents (13%; P = .03).\n\nLIMITATIONS: Retrospective design; limited sample size.\n\nCONCLUSION: In patients with pseudocysts with viscous debris-laden fluid, EUS-guided drainage by using a combination of a nasocystic drain and transmural stents improves clinical outcomes and lowers the stent occlusion rate compared with those who underwent drainage via stents alone.", "author" : [ { "dropping-particle" : "", "family" : "Siddiqui", "given" : "Ali a", "non-dropping-particle" : "", "parse-names" : false, "suffix" : "" }, { "dropping-particle" : "", "family" : "Dewitt", "given" : "John M", "non-dropping-particle" : "", "parse-names" : false, "suffix" : "" }, { "dropping-particle" : "", "family" : "Strongin", "given" : "Anna", "non-dropping-particle" : "", "parse-names" : false, "suffix" : "" }, { "dropping-particle" : "", "family" : "Singh", "given" : "Harkirat", "non-dropping-particle" : "", "parse-names" : false, "suffix" : "" }, { "dropping-particle" : "", "family" : "Jordan", "given" : "Smoker", "non-dropping-particle" : "", "parse-names" : false, "suffix" : "" }, { "dropping-particle" : "", "family" : "Loren", "given" : "David E", "non-dropping-particle" : "", "parse-names" : false, "suffix" : "" }, { "dropping-particle" : "", "family" : "Kowalski", "given" : "Thomas", "non-dropping-particle" : "", "parse-names" : false, "suffix" : "" }, { "dropping-particle" : "", "family" : "Eloubeidi", "given" : "Mohamad a", "non-dropping-particle" : "", "parse-names" : false, "suffix" : "" } ], "container-title" : "Gastrointestinal endoscopy", "id" : "ITEM-1", "issue" : "4", "issued" : { "date-parts" : [ [ "2013", "10" ] ] }, "page" : "589-95", "publisher" : "American Society for Gastrointestinal Endoscopy", "title" : "Outcomes of EUS-guided drainage of debris-containing pancreatic pseudocysts by using combined endoprosthesis and a nasocystic drain.", "type" : "article-journal", "volume" : "78" }, "uris" : [ "http://www.mendeley.com/documents/?uuid=a01c36d4-71fd-4b7c-9b82-dc69c7aaf45c", "http://www.mendeley.com/documents/?uuid=19e088cb-cffe-4e19-95e6-ff8dc851cc84" ] } ], "mendeley" : { "formattedCitation" : "&lt;sup&gt;[25]&lt;/sup&gt;", "plainTextFormattedCitation" : "[25]", "previouslyFormattedCitation" : "&lt;sup&gt;[25]&lt;/sup&gt;" }, "properties" : { "noteIndex" : 0 }, "schema" : "https://github.com/citation-style-language/schema/raw/master/csl-citation.json" }</w:instrText>
      </w:r>
      <w:r w:rsidRPr="00472719">
        <w:rPr>
          <w:rFonts w:ascii="Book Antiqua" w:hAnsi="Book Antiqua"/>
        </w:rPr>
        <w:fldChar w:fldCharType="separate"/>
      </w:r>
      <w:r w:rsidRPr="00472719">
        <w:rPr>
          <w:rFonts w:ascii="Book Antiqua" w:hAnsi="Book Antiqua"/>
          <w:noProof/>
          <w:vertAlign w:val="superscript"/>
        </w:rPr>
        <w:t>[25]</w:t>
      </w:r>
      <w:r w:rsidRPr="00472719">
        <w:rPr>
          <w:rFonts w:ascii="Book Antiqua" w:hAnsi="Book Antiqua"/>
        </w:rPr>
        <w:fldChar w:fldCharType="end"/>
      </w:r>
      <w:r w:rsidRPr="00472719">
        <w:rPr>
          <w:rFonts w:ascii="Book Antiqua" w:hAnsi="Book Antiqua"/>
        </w:rPr>
        <w:t>.</w:t>
      </w:r>
    </w:p>
    <w:p w14:paraId="69DFB2FB" w14:textId="400E0693" w:rsidR="004B09BB" w:rsidRPr="00472719" w:rsidRDefault="004B09BB"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tab/>
        <w:t xml:space="preserve">A single step, simultaneous double-wire technique with a prototype device was introduced by Seewald </w:t>
      </w:r>
      <w:r w:rsidR="0081329E" w:rsidRPr="00472719">
        <w:rPr>
          <w:rFonts w:ascii="Book Antiqua" w:hAnsi="Book Antiqua"/>
          <w:i/>
        </w:rPr>
        <w:t>et al</w:t>
      </w:r>
      <w:r w:rsidR="00CB1E00" w:rsidRPr="00472719">
        <w:rPr>
          <w:rFonts w:ascii="Book Antiqua" w:hAnsi="Book Antiqua"/>
        </w:rPr>
        <w:fldChar w:fldCharType="begin" w:fldLock="1"/>
      </w:r>
      <w:r w:rsidR="00CB1E00" w:rsidRPr="00472719">
        <w:rPr>
          <w:rFonts w:ascii="Book Antiqua" w:hAnsi="Book Antiqua"/>
        </w:rPr>
        <w:instrText>ADDIN CSL_CITATION { "citationItems" : [ { "id" : "ITEM-1", "itemData" : { "DOI" : "10.1016/j.gie.2006.07.049", "ISSN" : "0016-5107", "PMID" : "17055880", "abstract" : "BACKGROUND: EUS-guided pancreatic pseudocyst and abscess drainage ideally requires the insertion of both a transmural stent and nasocystic catheter to ensure continuous irrigation and effective drainage. Sequential stent and nasocystic catheter insertion may be time consuming because of the difficulty in recannulating the pseudocyst after the initial stent placement.\n\nOBJECTIVE: Our purpose was to describe a novel one-step simultaneous double-wire technique that facilitates effective pancreatic pseudocyst and abscess drainage.\n\nDESIGN: To solve the problem of recannulating the pseudocyst cavity after the initial transmural stent placement, we developed a prototype 3-layer puncture kit that allows the simultaneous insertion of 2 guidewires at the initial puncture in one step. This puncture kit consists of a 22-gauge needle used for FNA, a 6F inner polytetrafluoroethylene (Teflon) catheter, and an outer 8.5F Teflon catheter.\n\nSETTING: Tertiary referral center.\n\nPATIENTS: Eight consecutive patients were treated.\n\nINTERVENTIONS: With use of a therapeutic linear echoendoscope and the assembled kit with the needle protruding out distally, the pseudocyst cavity was punctured by using electrocautery. The needle and the inner catheter were then withdrawn, leaving the outer catheter within the cavity. The size of this outer catheter permitted the simultaneous insertion of two 0.035-inch guidewires. Sequential insertion of a transmural stent and nasocystic catheter was then performed without a need for recannulation of the pseudocyst or abscess cavity.\n\nMAIN OUTCOME MEASUREMENTS: Successful endoscopic drainage.\n\nRESULTS: All patients were successfully treated without complications. Mean procedural time was 32.5 minutes (range 25-45 minutes).\n\nCONCLUSIONS: With this novel technique, establishing an irrigation system for the treatment of pancreatic pseudocysts and abscesses becomes easier, faster, and safer.", "author" : [ { "dropping-particle" : "", "family" : "Seewald", "given" : "Stefan", "non-dropping-particle" : "", "parse-names" : false, "suffix" : "" }, { "dropping-particle" : "", "family" : "Thonke", "given" : "Frank", "non-dropping-particle" : "", "parse-names" : false, "suffix" : "" }, { "dropping-particle" : "", "family" : "Ang", "given" : "Tiing-Leong", "non-dropping-particle" : "", "parse-names" : false, "suffix" : "" }, { "dropping-particle" : "", "family" : "Omar", "given" : "Salem", "non-dropping-particle" : "", "parse-names" : false, "suffix" : "" }, { "dropping-particle" : "", "family" : "Seitz", "given" : "Uwe", "non-dropping-particle" : "", "parse-names" : false, "suffix" : "" }, { "dropping-particle" : "", "family" : "Groth", "given" : "Stefan", "non-dropping-particle" : "", "parse-names" : false, "suffix" : "" }, { "dropping-particle" : "", "family" : "Zhong", "given" : "Yan", "non-dropping-particle" : "", "parse-names" : false, "suffix" : "" }, { "dropping-particle" : "", "family" : "Yekebas", "given" : "Emre", "non-dropping-particle" : "", "parse-names" : false, "suffix" : "" }, { "dropping-particle" : "", "family" : "Izbicki", "given" : "Jakob", "non-dropping-particle" : "", "parse-names" : false, "suffix" : "" }, { "dropping-particle" : "", "family" : "Soehendra", "given" : "Nib", "non-dropping-particle" : "", "parse-names" : false, "suffix" : "" } ], "container-title" : "Gastrointestinal endoscopy", "id" : "ITEM-1", "issue" : "5", "issued" : { "date-parts" : [ [ "2006", "11" ] ] }, "page" : "805-8", "title" : "One-step, simultaneous double-wire technique facilitates pancreatic pseudocyst and abscess drainage (with videos).", "type" : "article-journal", "volume" : "64" }, "uris" : [ "http://www.mendeley.com/documents/?uuid=15b195ee-8583-449d-b7f0-3174a874128a", "http://www.mendeley.com/documents/?uuid=bd8e0f84-1c25-4c1e-8722-bb60314a61ff" ] } ], "mendeley" : { "formattedCitation" : "&lt;sup&gt;[21]&lt;/sup&gt;", "plainTextFormattedCitation" : "[21]", "previouslyFormattedCitation" : "&lt;sup&gt;[21]&lt;/sup&gt;" }, "properties" : { "noteIndex" : 0 }, "schema" : "https://github.com/citation-style-language/schema/raw/master/csl-citation.json" }</w:instrText>
      </w:r>
      <w:r w:rsidR="00CB1E00" w:rsidRPr="00472719">
        <w:rPr>
          <w:rFonts w:ascii="Book Antiqua" w:hAnsi="Book Antiqua"/>
        </w:rPr>
        <w:fldChar w:fldCharType="separate"/>
      </w:r>
      <w:r w:rsidR="00CB1E00" w:rsidRPr="00472719">
        <w:rPr>
          <w:rFonts w:ascii="Book Antiqua" w:hAnsi="Book Antiqua"/>
          <w:noProof/>
          <w:vertAlign w:val="superscript"/>
        </w:rPr>
        <w:t>[21]</w:t>
      </w:r>
      <w:r w:rsidR="00CB1E00" w:rsidRPr="00472719">
        <w:rPr>
          <w:rFonts w:ascii="Book Antiqua" w:hAnsi="Book Antiqua"/>
        </w:rPr>
        <w:fldChar w:fldCharType="end"/>
      </w:r>
      <w:r w:rsidRPr="00472719">
        <w:rPr>
          <w:rFonts w:ascii="Book Antiqua" w:hAnsi="Book Antiqua"/>
        </w:rPr>
        <w:t xml:space="preserve"> Eight patients with symptomatic </w:t>
      </w:r>
      <w:proofErr w:type="spellStart"/>
      <w:r w:rsidRPr="00472719">
        <w:rPr>
          <w:rFonts w:ascii="Book Antiqua" w:hAnsi="Book Antiqua"/>
        </w:rPr>
        <w:t>pseudocysts</w:t>
      </w:r>
      <w:proofErr w:type="spellEnd"/>
      <w:r w:rsidRPr="00472719">
        <w:rPr>
          <w:rFonts w:ascii="Book Antiqua" w:hAnsi="Book Antiqua"/>
        </w:rPr>
        <w:t xml:space="preserve"> underwent drainage. After puncture two 0.035-inch guide wires were simultaneously inserted into the cyst cavity followed by transmural stenting with an 8.5F double pigtail stent and insertion of a 7 French </w:t>
      </w:r>
      <w:proofErr w:type="spellStart"/>
      <w:r w:rsidRPr="00472719">
        <w:rPr>
          <w:rFonts w:ascii="Book Antiqua" w:hAnsi="Book Antiqua"/>
        </w:rPr>
        <w:t>nasocystic</w:t>
      </w:r>
      <w:proofErr w:type="spellEnd"/>
      <w:r w:rsidRPr="00472719">
        <w:rPr>
          <w:rFonts w:ascii="Book Antiqua" w:hAnsi="Book Antiqua"/>
        </w:rPr>
        <w:t xml:space="preserve"> catheter. The cavity was irrigated with a total of 1500 mL of saline solution daily through the </w:t>
      </w:r>
      <w:proofErr w:type="spellStart"/>
      <w:r w:rsidRPr="00472719">
        <w:rPr>
          <w:rFonts w:ascii="Book Antiqua" w:hAnsi="Book Antiqua"/>
        </w:rPr>
        <w:t>nasocystic</w:t>
      </w:r>
      <w:proofErr w:type="spellEnd"/>
      <w:r w:rsidRPr="00472719">
        <w:rPr>
          <w:rFonts w:ascii="Book Antiqua" w:hAnsi="Book Antiqua"/>
        </w:rPr>
        <w:t xml:space="preserve"> catheter to prevent accumulation of pus and debris. The </w:t>
      </w:r>
      <w:proofErr w:type="spellStart"/>
      <w:r w:rsidRPr="00472719">
        <w:rPr>
          <w:rFonts w:ascii="Book Antiqua" w:hAnsi="Book Antiqua"/>
        </w:rPr>
        <w:t>nasocystic</w:t>
      </w:r>
      <w:proofErr w:type="spellEnd"/>
      <w:r w:rsidRPr="00472719">
        <w:rPr>
          <w:rFonts w:ascii="Book Antiqua" w:hAnsi="Book Antiqua"/>
        </w:rPr>
        <w:t xml:space="preserve"> catheter was used to provide irrigation over a range of 7 to 21 d. </w:t>
      </w:r>
      <w:proofErr w:type="gramStart"/>
      <w:r w:rsidRPr="00472719">
        <w:rPr>
          <w:rFonts w:ascii="Book Antiqua" w:hAnsi="Book Antiqua"/>
        </w:rPr>
        <w:t>Complete</w:t>
      </w:r>
      <w:proofErr w:type="gramEnd"/>
      <w:r w:rsidRPr="00472719">
        <w:rPr>
          <w:rFonts w:ascii="Book Antiqua" w:hAnsi="Book Antiqua"/>
        </w:rPr>
        <w:t xml:space="preserve"> resolution of the </w:t>
      </w:r>
      <w:proofErr w:type="spellStart"/>
      <w:r w:rsidRPr="00472719">
        <w:rPr>
          <w:rFonts w:ascii="Book Antiqua" w:hAnsi="Book Antiqua"/>
        </w:rPr>
        <w:t>pseudocysts</w:t>
      </w:r>
      <w:proofErr w:type="spellEnd"/>
      <w:r w:rsidRPr="00472719">
        <w:rPr>
          <w:rFonts w:ascii="Book Antiqua" w:hAnsi="Book Antiqua"/>
        </w:rPr>
        <w:t xml:space="preserve"> was achieved in all patients as determined by follow-up CT scan. There was no </w:t>
      </w:r>
      <w:proofErr w:type="spellStart"/>
      <w:r w:rsidRPr="00472719">
        <w:rPr>
          <w:rFonts w:ascii="Book Antiqua" w:hAnsi="Book Antiqua"/>
        </w:rPr>
        <w:t>pseudocyst</w:t>
      </w:r>
      <w:proofErr w:type="spellEnd"/>
      <w:r w:rsidRPr="00472719">
        <w:rPr>
          <w:rFonts w:ascii="Book Antiqua" w:hAnsi="Book Antiqua"/>
        </w:rPr>
        <w:t xml:space="preserve"> recurrence during the follow-up period, which ranged from 6 to 16 </w:t>
      </w:r>
      <w:proofErr w:type="gramStart"/>
      <w:r w:rsidRPr="00472719">
        <w:rPr>
          <w:rFonts w:ascii="Book Antiqua" w:hAnsi="Book Antiqua"/>
        </w:rPr>
        <w:t>mo</w:t>
      </w:r>
      <w:proofErr w:type="gramEnd"/>
      <w:r w:rsidRPr="00472719">
        <w:rPr>
          <w:rFonts w:ascii="Book Antiqua" w:hAnsi="Book Antiqua"/>
        </w:rPr>
        <w:t xml:space="preserve">. </w:t>
      </w:r>
    </w:p>
    <w:p w14:paraId="45E23674" w14:textId="751F154F" w:rsidR="004B09BB" w:rsidRPr="00472719" w:rsidRDefault="004B09BB" w:rsidP="00472719">
      <w:pPr>
        <w:autoSpaceDE w:val="0"/>
        <w:autoSpaceDN w:val="0"/>
        <w:adjustRightInd w:val="0"/>
        <w:snapToGrid w:val="0"/>
        <w:spacing w:line="360" w:lineRule="auto"/>
        <w:ind w:firstLine="1304"/>
        <w:jc w:val="both"/>
        <w:rPr>
          <w:rFonts w:ascii="Book Antiqua" w:hAnsi="Book Antiqua"/>
          <w:color w:val="231F20"/>
        </w:rPr>
      </w:pPr>
      <w:r w:rsidRPr="00472719">
        <w:rPr>
          <w:rFonts w:ascii="Book Antiqua" w:hAnsi="Book Antiqua"/>
        </w:rPr>
        <w:t xml:space="preserve">Due </w:t>
      </w:r>
      <w:r w:rsidR="0081329E" w:rsidRPr="00472719">
        <w:rPr>
          <w:rFonts w:ascii="Book Antiqua" w:hAnsi="Book Antiqua"/>
          <w:i/>
        </w:rPr>
        <w:t>et al</w:t>
      </w:r>
      <w:r w:rsidRPr="00472719">
        <w:rPr>
          <w:rFonts w:ascii="Book Antiqua" w:hAnsi="Book Antiqua"/>
        </w:rPr>
        <w:t xml:space="preserve"> described 10 cases of pancreatic </w:t>
      </w:r>
      <w:proofErr w:type="spellStart"/>
      <w:r w:rsidRPr="00472719">
        <w:rPr>
          <w:rFonts w:ascii="Book Antiqua" w:hAnsi="Book Antiqua"/>
        </w:rPr>
        <w:t>pseudocyst</w:t>
      </w:r>
      <w:proofErr w:type="spellEnd"/>
      <w:r w:rsidRPr="00472719">
        <w:rPr>
          <w:rFonts w:ascii="Book Antiqua" w:hAnsi="Book Antiqua"/>
        </w:rPr>
        <w:t xml:space="preserve"> drainage out of which 7 patients received a 10 mm × 20 mm cov</w:t>
      </w:r>
      <w:r w:rsidR="00CB1E00" w:rsidRPr="00472719">
        <w:rPr>
          <w:rFonts w:ascii="Book Antiqua" w:hAnsi="Book Antiqua"/>
        </w:rPr>
        <w:t>ered double-flanged metal stent</w:t>
      </w:r>
      <w:r w:rsidRPr="00472719">
        <w:rPr>
          <w:rFonts w:ascii="Book Antiqua" w:hAnsi="Book Antiqua"/>
        </w:rPr>
        <w:fldChar w:fldCharType="begin" w:fldLock="1"/>
      </w:r>
      <w:r w:rsidRPr="00472719">
        <w:rPr>
          <w:rFonts w:ascii="Book Antiqua" w:hAnsi="Book Antiqua"/>
        </w:rPr>
        <w:instrText>ADDIN CSL_CITATION { "citationItems" : [ { "id" : "ITEM-1", "itemData" : { "DOI" : "10.1111/ans.12648", "ISSN" : "1445-2197", "PMID" : "24801660", "abstract" : "BACKGROUND: Pseudocysts are a common consequence of acute pancreatitis and require intervention if symptomatic. Endoscopic management is emerging as a safe and effective alternative to surgery, although its use is not yet widespread.\n\nMETHODS: We describe our experience of 10 consecutive unselected patients who underwent endoscopic ultrasound-guided cyst-gastrostomy and stent insertion at a tertiary referral centre. Technical aspects of the procedure are detailed with accompanying photographs.\n\nRESULTS: Six patients made an uneventful recovery. Four patients developed complications, of which one was successfully salvaged by endoscopy and three required surgery.\n\nCONCLUSION: We discuss technical and patient factors which may have contributed to these complications in the context of current literature, and in particular, found that the presence of necrosis was associated with higher morbidity, both in our series and in others. In our experience, endoscopic ultrasound-guided cyst-gastrostomy is best employed in simple, mature pseudocysts without necrotic debris, and we recommend this procedure only after a detailed assessment of the pseudocyst in a specialist hepatobiliary unit.", "author" : [ { "dropping-particle" : "", "family" : "Due", "given" : "Steven L", "non-dropping-particle" : "", "parse-names" : false, "suffix" : "" }, { "dropping-particle" : "", "family" : "Wilson", "given" : "Thomas G", "non-dropping-particle" : "", "parse-names" : false, "suffix" : "" }, { "dropping-particle" : "", "family" : "Chung", "given" : "Adrian", "non-dropping-particle" : "", "parse-names" : false, "suffix" : "" }, { "dropping-particle" : "", "family" : "Chen", "given" : "John W C", "non-dropping-particle" : "", "parse-names" : false, "suffix" : "" } ], "container-title" : "ANZ journal of surgery", "id" : "ITEM-1", "issued" : { "date-parts" : [ [ "2014", "5", "7" ] ] }, "page" : "1-4", "title" : "Endoscopic cyst-gastrostomy for pancreatic pseudocysts: refining the indications.", "type" : "article-journal" }, "uris" : [ "http://www.mendeley.com/documents/?uuid=361b5ff5-28a5-43ea-b3d1-d0400bab2fa3", "http://www.mendeley.com/documents/?uuid=93a2d4f6-110c-4573-b972-c6e54105e856" ] } ], "mendeley" : { "formattedCitation" : "&lt;sup&gt;[26]&lt;/sup&gt;", "plainTextFormattedCitation" : "[26]", "previouslyFormattedCitation" : "&lt;sup&gt;[26]&lt;/sup&gt;" }, "properties" : { "noteIndex" : 0 }, "schema" : "https://github.com/citation-style-language/schema/raw/master/csl-citation.json" }</w:instrText>
      </w:r>
      <w:r w:rsidRPr="00472719">
        <w:rPr>
          <w:rFonts w:ascii="Book Antiqua" w:hAnsi="Book Antiqua"/>
        </w:rPr>
        <w:fldChar w:fldCharType="separate"/>
      </w:r>
      <w:r w:rsidRPr="00472719">
        <w:rPr>
          <w:rFonts w:ascii="Book Antiqua" w:hAnsi="Book Antiqua"/>
          <w:noProof/>
          <w:vertAlign w:val="superscript"/>
        </w:rPr>
        <w:t>[26]</w:t>
      </w:r>
      <w:r w:rsidRPr="00472719">
        <w:rPr>
          <w:rFonts w:ascii="Book Antiqua" w:hAnsi="Book Antiqua"/>
        </w:rPr>
        <w:fldChar w:fldCharType="end"/>
      </w:r>
      <w:r w:rsidRPr="00472719">
        <w:rPr>
          <w:rFonts w:ascii="Book Antiqua" w:hAnsi="Book Antiqua"/>
        </w:rPr>
        <w:t>.</w:t>
      </w:r>
      <w:r w:rsidR="00F6294A" w:rsidRPr="00472719">
        <w:rPr>
          <w:rFonts w:ascii="Book Antiqua" w:hAnsi="Book Antiqua"/>
        </w:rPr>
        <w:t xml:space="preserve"> </w:t>
      </w:r>
      <w:r w:rsidRPr="00472719">
        <w:rPr>
          <w:rFonts w:ascii="Book Antiqua" w:hAnsi="Book Antiqua"/>
        </w:rPr>
        <w:t xml:space="preserve">Three patients had sepsis due to stent blockage and one patient had a persistent leak. Two patients with stent blockage and the one patient with leak ultimately required surgical intervention. </w:t>
      </w:r>
      <w:proofErr w:type="spellStart"/>
      <w:r w:rsidRPr="00472719">
        <w:rPr>
          <w:rFonts w:ascii="Book Antiqua" w:hAnsi="Book Antiqua"/>
        </w:rPr>
        <w:t>Fabbry</w:t>
      </w:r>
      <w:proofErr w:type="spellEnd"/>
      <w:r w:rsidRPr="00472719">
        <w:rPr>
          <w:rFonts w:ascii="Book Antiqua" w:hAnsi="Book Antiqua"/>
        </w:rPr>
        <w:t xml:space="preserve"> </w:t>
      </w:r>
      <w:r w:rsidR="0081329E" w:rsidRPr="00472719">
        <w:rPr>
          <w:rFonts w:ascii="Book Antiqua" w:hAnsi="Book Antiqua"/>
          <w:i/>
        </w:rPr>
        <w:t>et al</w:t>
      </w:r>
      <w:r w:rsidR="00CB1E00" w:rsidRPr="00472719">
        <w:rPr>
          <w:rFonts w:ascii="Book Antiqua" w:hAnsi="Book Antiqua"/>
        </w:rPr>
        <w:fldChar w:fldCharType="begin" w:fldLock="1"/>
      </w:r>
      <w:r w:rsidR="00CB1E00" w:rsidRPr="00472719">
        <w:rPr>
          <w:rFonts w:ascii="Book Antiqua" w:hAnsi="Book Antiqua"/>
        </w:rPr>
        <w:instrText>ADDIN CSL_CITATION { "citationItems" : [ { "id" : "ITEM-1", "itemData" : { "DOI" : "10.1055/s-0031-1291624", "ISSN" : "1438-8812", "PMID" : "22382852", "abstract" : "Endoscopic ultrasound-guided transmural drainage (EUS-GTD) has become the standard procedure for treating symptomatic pancreatic fluid collections. The aim of this series was to evaluate the efficacy and safety of covered self-expanding metal stent (CSEMS) placement for treating infected pancreatic fluid collections. From January 2007 to May 2010, 22 patients (18 M/4F; mean age 56.9) with infected pancreatic fluid collections (mean size, 13.2 cm) at two Italian centers were evaluated for EUS-GTD. In 20 of the 22 patients, EUS-GTD with CSEMS placement was indicated. Early complications occurred in two patients: one patient developed a superinfection, which was managed conservatively, and one experienced stent migration and superinfection, and was managed surgically. The CSEMSs were removed without difficulty in 18 patients after a median of 26 days, while stent removal failed in one patient due to inflammatory tissue ingrowth; instead it was removed during surgery performed for renal cancer. Clinical success was achieved without additional intervention in 17 patients during a mean follow-up of 610 days; only one symptomatic recurrence was observed. In our experience, EUS-GTD with CSEMS placement appears safe for the treatment of infected pancreatic fluid collections.", "author" : [ { "dropping-particle" : "", "family" : "Fabbri", "given" : "C", "non-dropping-particle" : "", "parse-names" : false, "suffix" : "" }, { "dropping-particle" : "", "family" : "Luigiano", "given" : "C", "non-dropping-particle" : "", "parse-names" : false, "suffix" : "" }, { "dropping-particle" : "", "family" : "Cennamo", "given" : "V", "non-dropping-particle" : "", "parse-names" : false, "suffix" : "" }, { "dropping-particle" : "", "family" : "Polifemo", "given" : "a M", "non-dropping-particle" : "", "parse-names" : false, "suffix" : "" }, { "dropping-particle" : "", "family" : "Barresi", "given" : "L", "non-dropping-particle" : "", "parse-names" : false, "suffix" : "" }, { "dropping-particle" : "", "family" : "Jovine", "given" : "E", "non-dropping-particle" : "", "parse-names" : false, "suffix" : "" }, { "dropping-particle" : "", "family" : "Traina", "given" : "M", "non-dropping-particle" : "", "parse-names" : false, "suffix" : "" }, { "dropping-particle" : "", "family" : "D'Imperio", "given" : "N", "non-dropping-particle" : "", "parse-names" : false, "suffix" : "" }, { "dropping-particle" : "", "family" : "Tarantino", "given" : "I", "non-dropping-particle" : "", "parse-names" : false, "suffix" : "" } ], "container-title" : "Endoscopy", "id" : "ITEM-1", "issue" : "4", "issued" : { "date-parts" : [ [ "2012", "4" ] ] }, "page" : "429-33", "title" : "Endoscopic ultrasound-guided transmural drainage of infected pancreatic fluid collections with placement of covered self-expanding metal stents: a case series.", "type" : "article-journal", "volume" : "44" }, "uris" : [ "http://www.mendeley.com/documents/?uuid=cb8f9e23-068c-40a8-bade-39370dee7f3f", "http://www.mendeley.com/documents/?uuid=a6a7bd15-20d7-4a9d-9166-dff4885b3cdb" ] } ], "mendeley" : { "formattedCitation" : "&lt;sup&gt;[27]&lt;/sup&gt;", "plainTextFormattedCitation" : "[27]", "previouslyFormattedCitation" : "&lt;sup&gt;[27]&lt;/sup&gt;" }, "properties" : { "noteIndex" : 0 }, "schema" : "https://github.com/citation-style-language/schema/raw/master/csl-citation.json" }</w:instrText>
      </w:r>
      <w:r w:rsidR="00CB1E00" w:rsidRPr="00472719">
        <w:rPr>
          <w:rFonts w:ascii="Book Antiqua" w:hAnsi="Book Antiqua"/>
        </w:rPr>
        <w:fldChar w:fldCharType="separate"/>
      </w:r>
      <w:r w:rsidR="00CB1E00" w:rsidRPr="00472719">
        <w:rPr>
          <w:rFonts w:ascii="Book Antiqua" w:hAnsi="Book Antiqua"/>
          <w:noProof/>
          <w:vertAlign w:val="superscript"/>
        </w:rPr>
        <w:t>[27]</w:t>
      </w:r>
      <w:r w:rsidR="00CB1E00" w:rsidRPr="00472719">
        <w:rPr>
          <w:rFonts w:ascii="Book Antiqua" w:hAnsi="Book Antiqua"/>
        </w:rPr>
        <w:fldChar w:fldCharType="end"/>
      </w:r>
      <w:r w:rsidRPr="00472719">
        <w:rPr>
          <w:rFonts w:ascii="Book Antiqua" w:hAnsi="Book Antiqua"/>
        </w:rPr>
        <w:t xml:space="preserve"> reported the drainage of </w:t>
      </w:r>
      <w:r w:rsidRPr="00472719">
        <w:rPr>
          <w:rFonts w:ascii="Book Antiqua" w:hAnsi="Book Antiqua"/>
        </w:rPr>
        <w:lastRenderedPageBreak/>
        <w:t xml:space="preserve">20 cases of infected fluid collection using covered </w:t>
      </w:r>
      <w:proofErr w:type="spellStart"/>
      <w:r w:rsidRPr="00472719">
        <w:rPr>
          <w:rFonts w:ascii="Book Antiqua" w:hAnsi="Book Antiqua"/>
        </w:rPr>
        <w:t>self expanding</w:t>
      </w:r>
      <w:proofErr w:type="spellEnd"/>
      <w:r w:rsidRPr="00472719">
        <w:rPr>
          <w:rFonts w:ascii="Book Antiqua" w:hAnsi="Book Antiqua"/>
        </w:rPr>
        <w:t xml:space="preserve"> metal stents (SEMS). Either 4cms or 6cms long SEMS were used with a diameter of 10</w:t>
      </w:r>
      <w:r w:rsidR="00D32811" w:rsidRPr="00472719">
        <w:rPr>
          <w:rFonts w:ascii="Book Antiqua" w:hAnsi="Book Antiqua"/>
          <w:lang w:eastAsia="zh-CN"/>
        </w:rPr>
        <w:t xml:space="preserve"> </w:t>
      </w:r>
      <w:r w:rsidRPr="00472719">
        <w:rPr>
          <w:rFonts w:ascii="Book Antiqua" w:hAnsi="Book Antiqua"/>
        </w:rPr>
        <w:t>mm. The procedure was technically successful in all and the treatment success was 90%. The stents were removed after 1 mo.</w:t>
      </w:r>
      <w:r w:rsidR="00F6294A" w:rsidRPr="00472719">
        <w:rPr>
          <w:rFonts w:ascii="Book Antiqua" w:hAnsi="Book Antiqua"/>
        </w:rPr>
        <w:t xml:space="preserve"> </w:t>
      </w:r>
      <w:r w:rsidRPr="00472719">
        <w:rPr>
          <w:rFonts w:ascii="Book Antiqua" w:hAnsi="Book Antiqua"/>
        </w:rPr>
        <w:t>Removal was successful in all except one case and one stent was found to be migrated. One patient required surgery.</w:t>
      </w:r>
      <w:r w:rsidRPr="00472719">
        <w:rPr>
          <w:rFonts w:ascii="Book Antiqua" w:hAnsi="Book Antiqua"/>
          <w:color w:val="231F20"/>
        </w:rPr>
        <w:t xml:space="preserve"> There have been attempts to provide better anchorage to metal stents by deploying plastic stents through them thereby reducing chances of SEMS migration. </w:t>
      </w:r>
      <w:proofErr w:type="spellStart"/>
      <w:r w:rsidRPr="00472719">
        <w:rPr>
          <w:rFonts w:ascii="Book Antiqua" w:hAnsi="Book Antiqua"/>
          <w:color w:val="231F20"/>
        </w:rPr>
        <w:t>Talreja</w:t>
      </w:r>
      <w:proofErr w:type="spellEnd"/>
      <w:r w:rsidRPr="00472719">
        <w:rPr>
          <w:rFonts w:ascii="Book Antiqua" w:hAnsi="Book Antiqua"/>
          <w:color w:val="231F20"/>
        </w:rPr>
        <w:t xml:space="preserve"> </w:t>
      </w:r>
      <w:r w:rsidR="0081329E" w:rsidRPr="00472719">
        <w:rPr>
          <w:rFonts w:ascii="Book Antiqua" w:hAnsi="Book Antiqua"/>
          <w:i/>
          <w:color w:val="231F20"/>
        </w:rPr>
        <w:t>et al</w:t>
      </w:r>
      <w:r w:rsidR="00D32811" w:rsidRPr="00472719">
        <w:rPr>
          <w:rFonts w:ascii="Book Antiqua" w:hAnsi="Book Antiqua"/>
          <w:color w:val="231F20"/>
        </w:rPr>
        <w:fldChar w:fldCharType="begin" w:fldLock="1"/>
      </w:r>
      <w:r w:rsidR="00D32811" w:rsidRPr="00472719">
        <w:rPr>
          <w:rFonts w:ascii="Book Antiqua" w:hAnsi="Book Antiqua"/>
          <w:color w:val="231F20"/>
        </w:rPr>
        <w:instrText>ADDIN CSL_CITATION { "citationItems" : [ { "id" : "ITEM-1", "itemData" : { "DOI" : "10.1016/j.gie.2008.06.015", "ISSN" : "1097-6779", "PMID" : "19028232", "abstract" : "BACKGROUND: Drainage of pancreatic-fluid collections (PFCs) by using fully covered self-expanding metallic stents (CSEMSs) offers the option of providing a larger-diameter access fistula for drainage when compared with plastic stents.\n\nOBJECTIVE: To evaluate the efficacy and safety of transenteric drainage of PFCs by using CSEMSs.\n\nDESIGN: A prospective case series.\n\nSETTING: A tertiary-referral center.\n\nPATIENTS: Between January 2007 and September 2007, 18 patients underwent drainage of PFCs by using CSEMSs. Follow-up and final results were prospectively recorded until May 2008.\n\nINTERVENTIONS: Placement of CSEMSs with a double-pigtail stent placed alongside (4 cases) or into the CSEMS (14 cases) to prevent migration.\n\nMAIN OUTCOME MEASUREMENTS: The number of sessions and time to resolution of the PFCs.\n\nRESULTS: A median of 1 session was required to achieve drainage (range 1-4) when using CSEMSs. Complications included superinfection (5), bleeding (2), and inner migration (1). A total of 17 of 18 patients (95%) responded successfully, with 14 patients (78%) achieving complete resolution of their PFC. The mean (+/- SD) time of follow-up until final resolution was 77 +/- 80 days (range 15-310 days).\n\nCONCLUSIONS: Placement of CSEMSs seems to offer an effective and safe alternative for the drainage of PFCs. A randomized controlled trial should be performed to compare this technique with plastic-stent drainage.", "author" : [ { "dropping-particle" : "", "family" : "Talreja", "given" : "Jayant P", "non-dropping-particle" : "", "parse-names" : false, "suffix" : "" }, { "dropping-particle" : "", "family" : "Shami", "given" : "Vanessa M", "non-dropping-particle" : "", "parse-names" : false, "suffix" : "" }, { "dropping-particle" : "", "family" : "Ku", "given" : "Jennifer", "non-dropping-particle" : "", "parse-names" : false, "suffix" : "" }, { "dropping-particle" : "", "family" : "Morris", "given" : "Tanya D", "non-dropping-particle" : "", "parse-names" : false, "suffix" : "" }, { "dropping-particle" : "", "family" : "Ellen", "given" : "Kristi", "non-dropping-particle" : "", "parse-names" : false, "suffix" : "" }, { "dropping-particle" : "", "family" : "Kahaleh", "given" : "Michel", "non-dropping-particle" : "", "parse-names" : false, "suffix" : "" } ], "container-title" : "Gastrointestinal endoscopy", "id" : "ITEM-1", "issue" : "6", "issued" : { "date-parts" : [ [ "2008", "12" ] ] }, "page" : "1199-203", "publisher" : "American Society for Gastrointestinal Endoscopy", "title" : "Transenteric drainage of pancreatic-fluid collections with fully covered self-expanding metallic stents (with video).", "type" : "article-journal", "volume" : "68" }, "uris" : [ "http://www.mendeley.com/documents/?uuid=3df4d5e0-a426-468b-b844-7de23d76d2b6", "http://www.mendeley.com/documents/?uuid=2eb03781-0ae9-403a-b8ba-2b4f8ff31697" ] } ], "mendeley" : { "formattedCitation" : "&lt;sup&gt;[28]&lt;/sup&gt;", "plainTextFormattedCitation" : "[28]", "previouslyFormattedCitation" : "&lt;sup&gt;[28]&lt;/sup&gt;" }, "properties" : { "noteIndex" : 0 }, "schema" : "https://github.com/citation-style-language/schema/raw/master/csl-citation.json" }</w:instrText>
      </w:r>
      <w:r w:rsidR="00D32811" w:rsidRPr="00472719">
        <w:rPr>
          <w:rFonts w:ascii="Book Antiqua" w:hAnsi="Book Antiqua"/>
          <w:color w:val="231F20"/>
        </w:rPr>
        <w:fldChar w:fldCharType="separate"/>
      </w:r>
      <w:r w:rsidR="00D32811" w:rsidRPr="00472719">
        <w:rPr>
          <w:rFonts w:ascii="Book Antiqua" w:hAnsi="Book Antiqua"/>
          <w:noProof/>
          <w:color w:val="231F20"/>
          <w:vertAlign w:val="superscript"/>
        </w:rPr>
        <w:t>[28]</w:t>
      </w:r>
      <w:r w:rsidR="00D32811" w:rsidRPr="00472719">
        <w:rPr>
          <w:rFonts w:ascii="Book Antiqua" w:hAnsi="Book Antiqua"/>
          <w:color w:val="231F20"/>
        </w:rPr>
        <w:fldChar w:fldCharType="end"/>
      </w:r>
      <w:r w:rsidRPr="00472719">
        <w:rPr>
          <w:rFonts w:ascii="Book Antiqua" w:hAnsi="Book Antiqua"/>
          <w:color w:val="231F20"/>
        </w:rPr>
        <w:t xml:space="preserve"> described a series of seventeen patients with PFC who underwent endoscopic drai</w:t>
      </w:r>
      <w:r w:rsidR="00D32811" w:rsidRPr="00472719">
        <w:rPr>
          <w:rFonts w:ascii="Book Antiqua" w:hAnsi="Book Antiqua"/>
          <w:color w:val="231F20"/>
        </w:rPr>
        <w:t>nage</w:t>
      </w:r>
      <w:r w:rsidRPr="00472719">
        <w:rPr>
          <w:rFonts w:ascii="Book Antiqua" w:hAnsi="Book Antiqua"/>
          <w:color w:val="231F20"/>
        </w:rPr>
        <w:t>.</w:t>
      </w:r>
      <w:r w:rsidR="00F6294A" w:rsidRPr="00472719">
        <w:rPr>
          <w:rFonts w:ascii="Book Antiqua" w:hAnsi="Book Antiqua"/>
          <w:color w:val="231F20"/>
        </w:rPr>
        <w:t xml:space="preserve"> </w:t>
      </w:r>
      <w:r w:rsidRPr="00472719">
        <w:rPr>
          <w:rFonts w:ascii="Book Antiqua" w:hAnsi="Book Antiqua"/>
          <w:color w:val="231F20"/>
        </w:rPr>
        <w:t>10</w:t>
      </w:r>
      <w:r w:rsidR="00D32811" w:rsidRPr="00472719">
        <w:rPr>
          <w:rFonts w:ascii="Book Antiqua" w:hAnsi="Book Antiqua"/>
          <w:color w:val="231F20"/>
          <w:lang w:eastAsia="zh-CN"/>
        </w:rPr>
        <w:t xml:space="preserve"> </w:t>
      </w:r>
      <w:r w:rsidRPr="00472719">
        <w:rPr>
          <w:rFonts w:ascii="Book Antiqua" w:hAnsi="Book Antiqua"/>
          <w:color w:val="231F20"/>
        </w:rPr>
        <w:t xml:space="preserve">mm × 60 mm SEMS were used and double pigtail plastic stents were deployed through or along the side of the metal stents to provide better anchorage. They had reported 95% treatment response with stent migration reported in only one patient. Comparable results were noted by Penn </w:t>
      </w:r>
      <w:r w:rsidR="0081329E" w:rsidRPr="00472719">
        <w:rPr>
          <w:rFonts w:ascii="Book Antiqua" w:hAnsi="Book Antiqua"/>
          <w:i/>
          <w:color w:val="231F20"/>
        </w:rPr>
        <w:t>et al</w:t>
      </w:r>
      <w:r w:rsidR="00D32811" w:rsidRPr="00472719">
        <w:rPr>
          <w:rFonts w:ascii="Book Antiqua" w:hAnsi="Book Antiqua"/>
          <w:color w:val="231F20"/>
        </w:rPr>
        <w:fldChar w:fldCharType="begin" w:fldLock="1"/>
      </w:r>
      <w:r w:rsidR="00D32811" w:rsidRPr="00472719">
        <w:rPr>
          <w:rFonts w:ascii="Book Antiqua" w:hAnsi="Book Antiqua"/>
          <w:color w:val="231F20"/>
        </w:rPr>
        <w:instrText>ADDIN CSL_CITATION { "citationItems" : [ { "id" : "ITEM-1", "itemData" : { "DOI" : "10.1016/j.gie.2012.04.457", "ISSN" : "1097-6779", "PMID" : "22732874", "author" : [ { "dropping-particle" : "", "family" : "Penn", "given" : "D Eli", "non-dropping-particle" : "", "parse-names" : false, "suffix" : "" }, { "dropping-particle" : "V", "family" : "Draganov", "given" : "Peter", "non-dropping-particle" : "", "parse-names" : false, "suffix" : "" }, { "dropping-particle" : "", "family" : "Wagh", "given" : "Mihir S", "non-dropping-particle" : "", "parse-names" : false, "suffix" : "" }, { "dropping-particle" : "", "family" : "Forsmark", "given" : "Chris E", "non-dropping-particle" : "", "parse-names" : false, "suffix" : "" }, { "dropping-particle" : "", "family" : "Gupte", "given" : "Anand R", "non-dropping-particle" : "", "parse-names" : false, "suffix" : "" }, { "dropping-particle" : "", "family" : "Chauhan", "given" : "Shailendra S", "non-dropping-particle" : "", "parse-names" : false, "suffix" : "" } ], "container-title" : "Gastrointestinal endoscopy", "id" : "ITEM-1", "issue" : "3", "issued" : { "date-parts" : [ [ "2012", "9" ] ] }, "page" : "679-84", "publisher" : "Elsevier Inc.", "title" : "Prospective evaluation of the use of fully covered self-expanding metal stents for EUS-guided transmural drainage of pancreatic pseudocysts.", "type" : "article-journal", "volume" : "76" }, "uris" : [ "http://www.mendeley.com/documents/?uuid=20355222-3fc8-4b10-9306-45a8071e6f4a", "http://www.mendeley.com/documents/?uuid=92340968-f4fe-4e09-a73a-0496626b071e" ] } ], "mendeley" : { "formattedCitation" : "&lt;sup&gt;[29]&lt;/sup&gt;", "plainTextFormattedCitation" : "[29]", "previouslyFormattedCitation" : "&lt;sup&gt;[29]&lt;/sup&gt;" }, "properties" : { "noteIndex" : 0 }, "schema" : "https://github.com/citation-style-language/schema/raw/master/csl-citation.json" }</w:instrText>
      </w:r>
      <w:r w:rsidR="00D32811" w:rsidRPr="00472719">
        <w:rPr>
          <w:rFonts w:ascii="Book Antiqua" w:hAnsi="Book Antiqua"/>
          <w:color w:val="231F20"/>
        </w:rPr>
        <w:fldChar w:fldCharType="separate"/>
      </w:r>
      <w:r w:rsidR="00D32811" w:rsidRPr="00472719">
        <w:rPr>
          <w:rFonts w:ascii="Book Antiqua" w:hAnsi="Book Antiqua"/>
          <w:noProof/>
          <w:color w:val="231F20"/>
          <w:vertAlign w:val="superscript"/>
        </w:rPr>
        <w:t>[29]</w:t>
      </w:r>
      <w:r w:rsidR="00D32811" w:rsidRPr="00472719">
        <w:rPr>
          <w:rFonts w:ascii="Book Antiqua" w:hAnsi="Book Antiqua"/>
          <w:color w:val="231F20"/>
        </w:rPr>
        <w:fldChar w:fldCharType="end"/>
      </w:r>
      <w:r w:rsidRPr="00472719">
        <w:rPr>
          <w:rFonts w:ascii="Book Antiqua" w:hAnsi="Book Antiqua"/>
          <w:color w:val="231F20"/>
        </w:rPr>
        <w:t xml:space="preserve"> when they used this te</w:t>
      </w:r>
      <w:r w:rsidR="00D32811" w:rsidRPr="00472719">
        <w:rPr>
          <w:rFonts w:ascii="Book Antiqua" w:hAnsi="Book Antiqua"/>
          <w:color w:val="231F20"/>
        </w:rPr>
        <w:t xml:space="preserve">chnique for </w:t>
      </w:r>
      <w:proofErr w:type="spellStart"/>
      <w:r w:rsidR="00D32811" w:rsidRPr="00472719">
        <w:rPr>
          <w:rFonts w:ascii="Book Antiqua" w:hAnsi="Book Antiqua"/>
          <w:color w:val="231F20"/>
        </w:rPr>
        <w:t>pseudocyst</w:t>
      </w:r>
      <w:proofErr w:type="spellEnd"/>
      <w:r w:rsidR="00D32811" w:rsidRPr="00472719">
        <w:rPr>
          <w:rFonts w:ascii="Book Antiqua" w:hAnsi="Book Antiqua"/>
          <w:color w:val="231F20"/>
        </w:rPr>
        <w:t xml:space="preserve"> drainage</w:t>
      </w:r>
      <w:r w:rsidRPr="00472719">
        <w:rPr>
          <w:rFonts w:ascii="Book Antiqua" w:hAnsi="Book Antiqua"/>
          <w:color w:val="231F20"/>
        </w:rPr>
        <w:t xml:space="preserve">. </w:t>
      </w:r>
    </w:p>
    <w:p w14:paraId="124FCFDE" w14:textId="1D38887D" w:rsidR="004B09BB" w:rsidRPr="00472719" w:rsidRDefault="004B09BB" w:rsidP="00472719">
      <w:pPr>
        <w:autoSpaceDE w:val="0"/>
        <w:autoSpaceDN w:val="0"/>
        <w:adjustRightInd w:val="0"/>
        <w:snapToGrid w:val="0"/>
        <w:spacing w:line="360" w:lineRule="auto"/>
        <w:ind w:firstLineChars="300" w:firstLine="720"/>
        <w:jc w:val="both"/>
        <w:rPr>
          <w:rFonts w:ascii="Book Antiqua" w:hAnsi="Book Antiqua"/>
        </w:rPr>
      </w:pPr>
      <w:r w:rsidRPr="00472719">
        <w:rPr>
          <w:rFonts w:ascii="Book Antiqua" w:hAnsi="Book Antiqua"/>
          <w:color w:val="231F20"/>
        </w:rPr>
        <w:t>A study from California evaluated EUS guided drainage of PFCs using a one-step access device (NAVIX</w:t>
      </w:r>
      <w:r w:rsidRPr="00472719">
        <w:rPr>
          <w:rFonts w:ascii="Book Antiqua" w:hAnsi="Book Antiqua"/>
          <w:color w:val="231F20"/>
          <w:vertAlign w:val="superscript"/>
        </w:rPr>
        <w:t>TM</w:t>
      </w:r>
      <w:r w:rsidRPr="00472719">
        <w:rPr>
          <w:rFonts w:ascii="Book Antiqua" w:hAnsi="Book Antiqua"/>
          <w:color w:val="231F20"/>
        </w:rPr>
        <w:t>,</w:t>
      </w:r>
      <w:r w:rsidRPr="00472719">
        <w:rPr>
          <w:rFonts w:ascii="Book Antiqua" w:hAnsi="Book Antiqua"/>
        </w:rPr>
        <w:t xml:space="preserve"> </w:t>
      </w:r>
      <w:proofErr w:type="spellStart"/>
      <w:r w:rsidRPr="00472719">
        <w:rPr>
          <w:rFonts w:ascii="Book Antiqua" w:hAnsi="Book Antiqua"/>
        </w:rPr>
        <w:t>Xlumina</w:t>
      </w:r>
      <w:proofErr w:type="spellEnd"/>
      <w:r w:rsidRPr="00472719">
        <w:rPr>
          <w:rFonts w:ascii="Book Antiqua" w:hAnsi="Book Antiqua"/>
          <w:color w:val="231F20"/>
        </w:rPr>
        <w:t xml:space="preserve">) followed by placement of a fully covered SEMS. Eighteen patients with PFC with indeterminate adherence were enrolled. After 7–10 d, the fully covered SEMSs were removed and exchanged for double-pigtail stents. When indicated, tract dilation and endoscopy-guided cyst debridement was performed. Fully covered SEMS placement was technically successful in all patients without complications. Median procedure time was 37.5 min. Cyst resolution </w:t>
      </w:r>
      <w:r w:rsidR="00D32811" w:rsidRPr="00472719">
        <w:rPr>
          <w:rFonts w:ascii="Book Antiqua" w:hAnsi="Book Antiqua"/>
          <w:color w:val="231F20"/>
        </w:rPr>
        <w:t>was achieved in 78% of patients</w:t>
      </w:r>
      <w:r w:rsidRPr="00472719">
        <w:rPr>
          <w:rFonts w:ascii="Book Antiqua" w:hAnsi="Book Antiqua"/>
          <w:color w:val="231F20"/>
        </w:rPr>
        <w:fldChar w:fldCharType="begin" w:fldLock="1"/>
      </w:r>
      <w:r w:rsidR="00B853AA" w:rsidRPr="00472719">
        <w:rPr>
          <w:rFonts w:ascii="Book Antiqua" w:hAnsi="Book Antiqua"/>
          <w:color w:val="231F20"/>
        </w:rPr>
        <w:instrText>ADDIN CSL_CITATION { "citationItems" : [ { "id" : "ITEM-1", "itemData" : { "DOI" : "10.1055/s-0032-1309839", "ISSN" : "0013726X", "PMID" : "22791588", "abstract" : "Transenteric drainage of a pancreatic fluid collection (PFC) with poor adherence to the bowel wall risks leakage and perforation. Elimination of tract dilation and the use of a fully covered self-expanding metal stent (FCSEMS) may improve safety. We evaluated endoscopic ultrasound (EUS)-guided drainage of PFCs using a one-step access device followed by placement of a FCSEMS. Eighteen patients (12 males; median age 50) with PFCs (median size 135 mm) meeting the criteria for indeterminate adherence were enrolled. After 7 - 10 days, the FCSEMSs were removed and exchanged for double-pigtail stents. When indicated, tract dilation and endoscopy-guided cyst debridement was performed. FCSEMS placement was technically successful in all patients without complications. Median procedure time was 37.5 minutes. Cystgastrostomy dilation resulted in dehiscence in one patient and was treated with repeat FCSEMS placement. Cyst resolution was achieved in 78 % of patients. FCSEMS placement without tract dilation enables safe initial drainage of PFCs with indeterminate adherence.", "author" : [ { "dropping-particle" : "", "family" : "Weilert", "given" : "F.", "non-dropping-particle" : "", "parse-names" : false, "suffix" : "" }, { "dropping-particle" : "", "family" : "Binmoeller", "given" : "K. F.", "non-dropping-particle" : "", "parse-names" : false, "suffix" : "" }, { "dropping-particle" : "", "family" : "Shah", "given" : "J. N.", "non-dropping-particle" : "", "parse-names" : false, "suffix" : "" }, { "dropping-particle" : "", "family" : "Bhat", "given" : "Y. M.", "non-dropping-particle" : "", "parse-names" : false, "suffix" : "" }, { "dropping-particle" : "", "family" : "Kane", "given" : "S.", "non-dropping-particle" : "", "parse-names" : false, "suffix" : "" } ], "container-title" : "Endoscopy", "id" : "ITEM-1", "issued" : { "date-parts" : [ [ "2012" ] ] }, "page" : "780-783", "title" : "Endoscopic ultrasound-guided drainage of pancreatic fluid collections with indeterminate adherence using temporary covered metal stents", "type" : "article-journal", "volume" : "44" }, "uris" : [ "http://www.mendeley.com/documents/?uuid=6e2ef9b5-4a12-4c72-8a62-332d09925647", "http://www.mendeley.com/documents/?uuid=f18d6264-65f0-4bd6-a02c-165ab9ad9693" ] } ], "mendeley" : { "formattedCitation" : "&lt;sup&gt;[30]&lt;/sup&gt;", "plainTextFormattedCitation" : "[30]", "previouslyFormattedCitation" : "&lt;sup&gt;[30]&lt;/sup&gt;" }, "properties" : { "noteIndex" : 0 }, "schema" : "https://github.com/citation-style-language/schema/raw/master/csl-citation.json" }</w:instrText>
      </w:r>
      <w:r w:rsidRPr="00472719">
        <w:rPr>
          <w:rFonts w:ascii="Book Antiqua" w:hAnsi="Book Antiqua"/>
          <w:color w:val="231F20"/>
        </w:rPr>
        <w:fldChar w:fldCharType="separate"/>
      </w:r>
      <w:r w:rsidR="00B853AA" w:rsidRPr="00472719">
        <w:rPr>
          <w:rFonts w:ascii="Book Antiqua" w:hAnsi="Book Antiqua"/>
          <w:noProof/>
          <w:color w:val="231F20"/>
          <w:vertAlign w:val="superscript"/>
        </w:rPr>
        <w:t>[30]</w:t>
      </w:r>
      <w:r w:rsidRPr="00472719">
        <w:rPr>
          <w:rFonts w:ascii="Book Antiqua" w:hAnsi="Book Antiqua"/>
          <w:color w:val="231F20"/>
        </w:rPr>
        <w:fldChar w:fldCharType="end"/>
      </w:r>
      <w:r w:rsidRPr="00472719">
        <w:rPr>
          <w:rFonts w:ascii="Book Antiqua" w:hAnsi="Book Antiqua"/>
          <w:color w:val="231F20"/>
        </w:rPr>
        <w:t xml:space="preserve">. </w:t>
      </w:r>
      <w:proofErr w:type="spellStart"/>
      <w:r w:rsidRPr="00472719">
        <w:rPr>
          <w:rFonts w:ascii="Book Antiqua" w:hAnsi="Book Antiqua"/>
          <w:color w:val="231F20"/>
        </w:rPr>
        <w:t>Berzosa</w:t>
      </w:r>
      <w:proofErr w:type="spellEnd"/>
      <w:r w:rsidRPr="00472719">
        <w:rPr>
          <w:rFonts w:ascii="Book Antiqua" w:hAnsi="Book Antiqua"/>
          <w:color w:val="231F20"/>
        </w:rPr>
        <w:t xml:space="preserve"> </w:t>
      </w:r>
      <w:r w:rsidR="0081329E" w:rsidRPr="00472719">
        <w:rPr>
          <w:rFonts w:ascii="Book Antiqua" w:hAnsi="Book Antiqua"/>
          <w:i/>
          <w:color w:val="231F20"/>
        </w:rPr>
        <w:t>et al</w:t>
      </w:r>
      <w:r w:rsidR="00D32811" w:rsidRPr="00472719">
        <w:rPr>
          <w:rFonts w:ascii="Book Antiqua" w:hAnsi="Book Antiqua"/>
          <w:color w:val="231F20"/>
        </w:rPr>
        <w:fldChar w:fldCharType="begin" w:fldLock="1"/>
      </w:r>
      <w:r w:rsidR="00D32811" w:rsidRPr="00472719">
        <w:rPr>
          <w:rFonts w:ascii="Book Antiqua" w:hAnsi="Book Antiqua"/>
          <w:color w:val="231F20"/>
        </w:rPr>
        <w:instrText>ADDIN CSL_CITATION { "citationItems" : [ { "id" : "ITEM-1", "itemData" : { "DOI" : "10.1055/s-0031-1291710", "ISSN" : "1438-8812", "PMID" : "22407382", "abstract" : "Endoscopic ultrasonography (EUS)-guided drainage of peripancreatic fluid collections (PFCs) is a well described alternative to surgery or percutaneous drainage. However, it is limited by the requirement for a large working channel that allows multiple plastic stent placement, which is only commercially available on therapeutic linear echoendoscopes. Herein, we describe the drainage of PFCs with a single self-expandable metal stent (SEMS) using a single-step technique and standard linear echoendoscope. Seven cases were identified during a retrospective chart review, and included all patients who had undergone EUS-guided drainage of PFCs during a 6-month period. The mean age was 46 years (range 25 - 70 years) and all patients were symptomatic. The mean diameter of PFCs was 8 cm (range 4.1 - 12.5 cm). Previous percutaneous drainage had failed in three patients. A total of 10 PFCs were drained. Three patients had two cysts drained by the same stent and one patient had two separate procedures to drain two distinct cysts. The SEMS was in place for a mean of 13 weeks (range 4 - 34 weeks). Successful placement of SEMS was achieved in all seven cases. Patients were followed for a mean of 18 weeks (range 7 - 35 weeks), and symptom improvement was achieved in all cases. Complete resolution of PFC was achieved in 9 /10 cysts. No complications were encountered. Single-step EUS-guided drainage of PFCs using a single 10-mm SEMS and a standard linear echoendoscope appears to be a feasible endoscopic technique with excellent technical and clinical success rates.", "author" : [ { "dropping-particle" : "", "family" : "Berzosa", "given" : "M", "non-dropping-particle" : "", "parse-names" : false, "suffix" : "" }, { "dropping-particle" : "", "family" : "Maheshwari", "given" : "S", "non-dropping-particle" : "", "parse-names" : false, "suffix" : "" }, { "dropping-particle" : "", "family" : "Patel", "given" : "K K", "non-dropping-particle" : "", "parse-names" : false, "suffix" : "" }, { "dropping-particle" : "", "family" : "Shaib", "given" : "Y H", "non-dropping-particle" : "", "parse-names" : false, "suffix" : "" } ], "container-title" : "Endoscopy", "id" : "ITEM-1", "issue" : "5", "issued" : { "date-parts" : [ [ "2012", "5" ] ] }, "page" : "543-7", "title" : "Single-step endoscopic ultrasonography-guided drainage of peripancreatic fluid collections with a single self-expandable metal stent and standard linear echoendoscope.", "type" : "article-journal", "volume" : "44" }, "uris" : [ "http://www.mendeley.com/documents/?uuid=52f174fc-2efa-4d2d-a95b-146910be7c7c", "http://www.mendeley.com/documents/?uuid=c2abb770-a833-4193-a5fb-35d2fd2c7903" ] } ], "mendeley" : { "formattedCitation" : "&lt;sup&gt;[31]&lt;/sup&gt;", "plainTextFormattedCitation" : "[31]", "previouslyFormattedCitation" : "&lt;sup&gt;[31]&lt;/sup&gt;" }, "properties" : { "noteIndex" : 0 }, "schema" : "https://github.com/citation-style-language/schema/raw/master/csl-citation.json" }</w:instrText>
      </w:r>
      <w:r w:rsidR="00D32811" w:rsidRPr="00472719">
        <w:rPr>
          <w:rFonts w:ascii="Book Antiqua" w:hAnsi="Book Antiqua"/>
          <w:color w:val="231F20"/>
        </w:rPr>
        <w:fldChar w:fldCharType="separate"/>
      </w:r>
      <w:r w:rsidR="00D32811" w:rsidRPr="00472719">
        <w:rPr>
          <w:rFonts w:ascii="Book Antiqua" w:hAnsi="Book Antiqua"/>
          <w:noProof/>
          <w:color w:val="231F20"/>
          <w:vertAlign w:val="superscript"/>
        </w:rPr>
        <w:t>[31]</w:t>
      </w:r>
      <w:r w:rsidR="00D32811" w:rsidRPr="00472719">
        <w:rPr>
          <w:rFonts w:ascii="Book Antiqua" w:hAnsi="Book Antiqua"/>
          <w:color w:val="231F20"/>
        </w:rPr>
        <w:fldChar w:fldCharType="end"/>
      </w:r>
      <w:r w:rsidRPr="00472719">
        <w:rPr>
          <w:rFonts w:ascii="Book Antiqua" w:hAnsi="Book Antiqua"/>
          <w:color w:val="231F20"/>
        </w:rPr>
        <w:t xml:space="preserve"> also showed 100% technical and clinical success with SEMS. No instance of stent migration was reported in this study. Most of these SEMS’s were tubular stents designed for transluminal drainage, such as bile duct drainage. When used for transmural drainage, these SEMSs have some limitations, including a high risk of stent migration and </w:t>
      </w:r>
      <w:r w:rsidRPr="00472719">
        <w:rPr>
          <w:rFonts w:ascii="Book Antiqua" w:hAnsi="Book Antiqua"/>
        </w:rPr>
        <w:t>may cause tissue injury and bleeding.</w:t>
      </w:r>
      <w:r w:rsidRPr="00472719">
        <w:rPr>
          <w:rFonts w:ascii="Book Antiqua" w:hAnsi="Book Antiqua"/>
          <w:color w:val="231F20"/>
        </w:rPr>
        <w:t xml:space="preserve"> Therefore, a novel large-diameter SEMS with bilateral flanges, the AXIOS stent, has been designed especially for transmural drainage. It </w:t>
      </w:r>
      <w:r w:rsidRPr="00472719">
        <w:rPr>
          <w:rFonts w:ascii="Book Antiqua" w:hAnsi="Book Antiqua"/>
        </w:rPr>
        <w:t xml:space="preserve">consists of a barbell-shaped, flexible, fully covered, self-expanding </w:t>
      </w:r>
      <w:proofErr w:type="spellStart"/>
      <w:r w:rsidRPr="00472719">
        <w:rPr>
          <w:rFonts w:ascii="Book Antiqua" w:hAnsi="Book Antiqua"/>
        </w:rPr>
        <w:t>nitinol</w:t>
      </w:r>
      <w:proofErr w:type="spellEnd"/>
      <w:r w:rsidRPr="00472719">
        <w:rPr>
          <w:rFonts w:ascii="Book Antiqua" w:hAnsi="Book Antiqua"/>
        </w:rPr>
        <w:t xml:space="preserve"> stent housed within a catheter-based delivery </w:t>
      </w:r>
      <w:r w:rsidRPr="00472719">
        <w:rPr>
          <w:rFonts w:ascii="Book Antiqua" w:hAnsi="Book Antiqua"/>
        </w:rPr>
        <w:lastRenderedPageBreak/>
        <w:t xml:space="preserve">system. The stents are available in 2 sizes: 10 </w:t>
      </w:r>
      <w:r w:rsidR="0081329E" w:rsidRPr="00472719">
        <w:rPr>
          <w:rFonts w:ascii="Book Antiqua" w:hAnsi="Book Antiqua"/>
        </w:rPr>
        <w:t>mm</w:t>
      </w:r>
      <w:r w:rsidR="0081329E" w:rsidRPr="00472719">
        <w:rPr>
          <w:rFonts w:ascii="Book Antiqua" w:hAnsi="Book Antiqua"/>
          <w:lang w:eastAsia="zh-CN"/>
        </w:rPr>
        <w:t xml:space="preserve"> </w:t>
      </w:r>
      <w:r w:rsidRPr="00472719">
        <w:rPr>
          <w:rFonts w:ascii="Book Antiqua" w:hAnsi="Book Antiqua"/>
        </w:rPr>
        <w:t xml:space="preserve">× 10 mm and 15 </w:t>
      </w:r>
      <w:r w:rsidR="0081329E" w:rsidRPr="00472719">
        <w:rPr>
          <w:rFonts w:ascii="Book Antiqua" w:hAnsi="Book Antiqua"/>
        </w:rPr>
        <w:t>mm</w:t>
      </w:r>
      <w:r w:rsidR="0081329E" w:rsidRPr="00472719">
        <w:rPr>
          <w:rFonts w:ascii="Book Antiqua" w:hAnsi="Book Antiqua"/>
          <w:lang w:eastAsia="zh-CN"/>
        </w:rPr>
        <w:t xml:space="preserve"> </w:t>
      </w:r>
      <w:r w:rsidRPr="00472719">
        <w:rPr>
          <w:rFonts w:ascii="Book Antiqua" w:hAnsi="Book Antiqua"/>
        </w:rPr>
        <w:t xml:space="preserve">× 10 mm. The 10 mm saddle length is designed to </w:t>
      </w:r>
      <w:proofErr w:type="spellStart"/>
      <w:r w:rsidRPr="00472719">
        <w:rPr>
          <w:rFonts w:ascii="Book Antiqua" w:hAnsi="Book Antiqua"/>
        </w:rPr>
        <w:t>appose</w:t>
      </w:r>
      <w:proofErr w:type="spellEnd"/>
      <w:r w:rsidRPr="00472719">
        <w:rPr>
          <w:rFonts w:ascii="Book Antiqua" w:hAnsi="Book Antiqua"/>
        </w:rPr>
        <w:t xml:space="preserve"> the stomach or duodenum to the PFC wall.</w:t>
      </w:r>
      <w:r w:rsidRPr="00472719">
        <w:rPr>
          <w:rFonts w:ascii="Book Antiqua" w:hAnsi="Book Antiqua"/>
          <w:color w:val="231F20"/>
        </w:rPr>
        <w:t xml:space="preserve"> In 2012, </w:t>
      </w:r>
      <w:proofErr w:type="spellStart"/>
      <w:r w:rsidRPr="00472719">
        <w:rPr>
          <w:rFonts w:ascii="Book Antiqua" w:hAnsi="Book Antiqua"/>
          <w:color w:val="231F20"/>
        </w:rPr>
        <w:t>Itoi</w:t>
      </w:r>
      <w:proofErr w:type="spellEnd"/>
      <w:r w:rsidRPr="00472719">
        <w:rPr>
          <w:rFonts w:ascii="Book Antiqua" w:hAnsi="Book Antiqua"/>
          <w:color w:val="231F20"/>
        </w:rPr>
        <w:t xml:space="preserve"> </w:t>
      </w:r>
      <w:r w:rsidR="0081329E" w:rsidRPr="00472719">
        <w:rPr>
          <w:rFonts w:ascii="Book Antiqua" w:hAnsi="Book Antiqua"/>
          <w:i/>
          <w:color w:val="231F20"/>
        </w:rPr>
        <w:t>et al</w:t>
      </w:r>
      <w:r w:rsidR="0081329E" w:rsidRPr="00472719">
        <w:rPr>
          <w:rFonts w:ascii="Book Antiqua" w:hAnsi="Book Antiqua"/>
        </w:rPr>
        <w:fldChar w:fldCharType="begin" w:fldLock="1"/>
      </w:r>
      <w:r w:rsidR="0081329E" w:rsidRPr="00472719">
        <w:rPr>
          <w:rFonts w:ascii="Book Antiqua" w:hAnsi="Book Antiqua"/>
        </w:rPr>
        <w:instrText>ADDIN CSL_CITATION { "citationItems" : [ { "id" : "ITEM-1", "itemData" : { "DOI" : "10.1016/j.gie.2011.10.020", "ISSN" : "1097-6779", "PMID" : "22301347", "abstract" : "BACKGROUND: Tubular plastic and metal stents have inherent shortcomings when used for transenteric drainage of fluid collections.\n\nOBJECTIVE: To evaluate a novel lumen-apposing, self-expandable metal stent for EUS-guided drainage of pancreatic pseudocysts and the gallbladder.\n\nDESIGN: Retrospective case series.\n\nSETTING: Tertiary-care academic medical center.\n\nPATIENTS: This study involved 15 patients (median age 54 years) with symptomatic pancreatic pseudocysts who underwent 12 transgastric and 3 transduodenal pseudocyst drainage procedures. Five patients (median age 69.5 years) with acute cholecystitis underwent 4 cholecystoduodenostomies and 1 cholecystogastostomy.\n\nINTERVENTION: Stent deployment under EUS guidance, passage of an endoscope through the stent lumen for pseudocystoscopy or cholecystoscopy, transenteric endoscopy-guided interventions including biopsy, necrosectomy, and stone removal.\n\nMAIN OUTCOME MEASUREMENTS: Technical and clinical success.\n\nRESULTS: All stents were successfully deployed without complication, with a median time to removal of 35 days. All pseudocysts resolved after a single drainage procedure. One stent migrated into the stomach, and the remaining 14 were found to be patent at the time of removal. There was no pseudocyst recurrence during the 11.4-month median follow-up period. One gallbladder stent remains indwelling and fully patent at 12 months. Resolution of acute cholecystitis was observed immediately after stent implantation. No recurrence of symptoms was observed during a median follow-up period of 9 months.\n\nLIMITATIONS: Retrospective study, small sample size, lack of control patients.\n\nCONCLUSION: Transenteric drainage of pancreatic pseudocysts and the gallbladder by using a novel, lumen-apposing, metal stent was accomplished with high technical and clinical success in this pilot observational study. Further studies are warranted.", "author" : [ { "dropping-particle" : "", "family" : "Itoi", "given" : "Takao", "non-dropping-particle" : "", "parse-names" : false, "suffix" : "" }, { "dropping-particle" : "", "family" : "Binmoeller", "given" : "Kenneth F", "non-dropping-particle" : "", "parse-names" : false, "suffix" : "" }, { "dropping-particle" : "", "family" : "Shah", "given" : "Janak", "non-dropping-particle" : "", "parse-names" : false, "suffix" : "" }, { "dropping-particle" : "", "family" : "Sofuni", "given" : "Atsushi", "non-dropping-particle" : "", "parse-names" : false, "suffix" : "" }, { "dropping-particle" : "", "family" : "Itokawa", "given" : "Fumihide", "non-dropping-particle" : "", "parse-names" : false, "suffix" : "" }, { "dropping-particle" : "", "family" : "Kurihara", "given" : "Toshio", "non-dropping-particle" : "", "parse-names" : false, "suffix" : "" }, { "dropping-particle" : "", "family" : "Tsuchiya", "given" : "Takayoshi", "non-dropping-particle" : "", "parse-names" : false, "suffix" : "" }, { "dropping-particle" : "", "family" : "Ishii", "given" : "Kentaro", "non-dropping-particle" : "", "parse-names" : false, "suffix" : "" }, { "dropping-particle" : "", "family" : "Tsuji", "given" : "Shujiro", "non-dropping-particle" : "", "parse-names" : false, "suffix" : "" }, { "dropping-particle" : "", "family" : "Ikeuchi", "given" : "Nobuhito", "non-dropping-particle" : "", "parse-names" : false, "suffix" : "" }, { "dropping-particle" : "", "family" : "Moriyasu", "given" : "Fuminori", "non-dropping-particle" : "", "parse-names" : false, "suffix" : "" } ], "container-title" : "Gastrointestinal endoscopy", "id" : "ITEM-1", "issue" : "4", "issued" : { "date-parts" : [ [ "2012", "4" ] ] }, "page" : "870-6", "publisher" : "Elsevier Inc.", "title" : "Clinical evaluation of a novel lumen-apposing metal stent for endosonography-guided pancreatic pseudocyst and gallbladder drainage (with videos).", "type" : "article-journal", "volume" : "75" }, "uris" : [ "http://www.mendeley.com/documents/?uuid=3a9af196-3afd-4c07-8693-622e72dbe74c", "http://www.mendeley.com/documents/?uuid=8902e7a5-e461-4101-8e8a-daf63ce131b7" ] } ], "mendeley" : { "formattedCitation" : "&lt;sup&gt;[32]&lt;/sup&gt;", "plainTextFormattedCitation" : "[32]", "previouslyFormattedCitation" : "&lt;sup&gt;[32]&lt;/sup&gt;" }, "properties" : { "noteIndex" : 0 }, "schema" : "https://github.com/citation-style-language/schema/raw/master/csl-citation.json" }</w:instrText>
      </w:r>
      <w:r w:rsidR="0081329E" w:rsidRPr="00472719">
        <w:rPr>
          <w:rFonts w:ascii="Book Antiqua" w:hAnsi="Book Antiqua"/>
        </w:rPr>
        <w:fldChar w:fldCharType="separate"/>
      </w:r>
      <w:r w:rsidR="0081329E" w:rsidRPr="00472719">
        <w:rPr>
          <w:rFonts w:ascii="Book Antiqua" w:hAnsi="Book Antiqua"/>
          <w:noProof/>
          <w:vertAlign w:val="superscript"/>
        </w:rPr>
        <w:t>[32]</w:t>
      </w:r>
      <w:r w:rsidR="0081329E" w:rsidRPr="00472719">
        <w:rPr>
          <w:rFonts w:ascii="Book Antiqua" w:hAnsi="Book Antiqua"/>
        </w:rPr>
        <w:fldChar w:fldCharType="end"/>
      </w:r>
      <w:r w:rsidRPr="00472719">
        <w:rPr>
          <w:rFonts w:ascii="Book Antiqua" w:hAnsi="Book Antiqua"/>
          <w:color w:val="231F20"/>
        </w:rPr>
        <w:t xml:space="preserve"> first described the use of AXIOS stents in a series of </w:t>
      </w:r>
      <w:r w:rsidRPr="00472719">
        <w:rPr>
          <w:rFonts w:ascii="Book Antiqua" w:hAnsi="Book Antiqua"/>
        </w:rPr>
        <w:t xml:space="preserve">15 patients with symptomatic </w:t>
      </w:r>
      <w:proofErr w:type="spellStart"/>
      <w:r w:rsidRPr="00472719">
        <w:rPr>
          <w:rFonts w:ascii="Book Antiqua" w:hAnsi="Book Antiqua"/>
        </w:rPr>
        <w:t>pse</w:t>
      </w:r>
      <w:r w:rsidR="002202DC" w:rsidRPr="00472719">
        <w:rPr>
          <w:rFonts w:ascii="Book Antiqua" w:hAnsi="Book Antiqua"/>
        </w:rPr>
        <w:t>udocysts</w:t>
      </w:r>
      <w:proofErr w:type="spellEnd"/>
      <w:r w:rsidR="002202DC" w:rsidRPr="00472719">
        <w:rPr>
          <w:rFonts w:ascii="Book Antiqua" w:hAnsi="Book Antiqua"/>
        </w:rPr>
        <w:t xml:space="preserve"> who underwent drainage</w:t>
      </w:r>
      <w:r w:rsidRPr="00472719">
        <w:rPr>
          <w:rFonts w:ascii="Book Antiqua" w:hAnsi="Book Antiqua"/>
        </w:rPr>
        <w:t xml:space="preserve">. All stents were successfully deployed without complications, with a median time to removal of 35 d. All </w:t>
      </w:r>
      <w:proofErr w:type="spellStart"/>
      <w:r w:rsidRPr="00472719">
        <w:rPr>
          <w:rFonts w:ascii="Book Antiqua" w:hAnsi="Book Antiqua"/>
        </w:rPr>
        <w:t>pseudocysts</w:t>
      </w:r>
      <w:proofErr w:type="spellEnd"/>
      <w:r w:rsidRPr="00472719">
        <w:rPr>
          <w:rFonts w:ascii="Book Antiqua" w:hAnsi="Book Antiqua"/>
        </w:rPr>
        <w:t xml:space="preserve"> resolved after a single drainage procedure. One stent migrated into the stomach, and the remaining 14 were found to be patent at the time of removal. There was no </w:t>
      </w:r>
      <w:proofErr w:type="spellStart"/>
      <w:r w:rsidRPr="00472719">
        <w:rPr>
          <w:rFonts w:ascii="Book Antiqua" w:hAnsi="Book Antiqua"/>
        </w:rPr>
        <w:t>pseudocyst</w:t>
      </w:r>
      <w:proofErr w:type="spellEnd"/>
      <w:r w:rsidRPr="00472719">
        <w:rPr>
          <w:rFonts w:ascii="Book Antiqua" w:hAnsi="Book Antiqua"/>
        </w:rPr>
        <w:t xml:space="preserve"> recurrence during the 11-month median follow-up period. In 2013, a Spanish study reported the usage of AXIOS</w:t>
      </w:r>
      <w:r w:rsidR="002202DC" w:rsidRPr="00472719">
        <w:rPr>
          <w:rFonts w:ascii="Book Antiqua" w:hAnsi="Book Antiqua"/>
        </w:rPr>
        <w:t xml:space="preserve"> stents for </w:t>
      </w:r>
      <w:proofErr w:type="spellStart"/>
      <w:r w:rsidR="002202DC" w:rsidRPr="00472719">
        <w:rPr>
          <w:rFonts w:ascii="Book Antiqua" w:hAnsi="Book Antiqua"/>
        </w:rPr>
        <w:t>pseudocyst</w:t>
      </w:r>
      <w:proofErr w:type="spellEnd"/>
      <w:r w:rsidR="002202DC" w:rsidRPr="00472719">
        <w:rPr>
          <w:rFonts w:ascii="Book Antiqua" w:hAnsi="Book Antiqua"/>
        </w:rPr>
        <w:t xml:space="preserve"> drainage</w:t>
      </w:r>
      <w:r w:rsidRPr="00472719">
        <w:rPr>
          <w:rFonts w:ascii="Book Antiqua" w:hAnsi="Book Antiqua"/>
        </w:rPr>
        <w:fldChar w:fldCharType="begin" w:fldLock="1"/>
      </w:r>
      <w:r w:rsidRPr="00472719">
        <w:rPr>
          <w:rFonts w:ascii="Book Antiqua" w:hAnsi="Book Antiqua"/>
        </w:rPr>
        <w:instrText>ADDIN CSL_CITATION { "citationItems" : [ { "id" : "ITEM-1", "itemData" : { "DOI" : "10.1007/s00464-012-2591-y", "ISSN" : "1432-2218", "PMID" : "23232994", "abstract" : "BACKGROUND: The purpose of this study is to report our initial experience with a new fully covered metallic stent with a novel design (AXIOS) to prevent migration and fluid leakage, in the drainage of pancreatic fluid collections (PFC).\n\nMETHODS: We included nine patients from four Spanish centers undergoing endoscopic ultrasound (EUS)-guided drainage of PFC with placement of an AXIOS stent. The lesions were accessed via transgastric (n = 7), transesophageal (n = 1), and transduodenal (n = 1) by using a novel access device (NAVIX) in six cases or a 19-G needle in three. Patients were individually followed prospectively for procedure indications, demographic data, previous imaging techniques, technical aspects, clinical outcomes, complications, and follow-up after endoscopic drainage.\n\nRESULTS: The mean size of lesions was 105 \u00b1 26.3 mm (range, 70-150). In six cases, cystoscopy was performed through the stent, including necrosectomy in two. Median procedure time was 25 \u00b1 13 min. A median number of two sessions were performed. The technical success rate was 88.8 % (8/9) due to one failure of the delivery system. One patient developed a tension pneumothorax immediately after transesophageal drainage. No migrations were reported, and all stents were removed easily. All patients had a successful treatment outcome achieving complete cyst resolution. Mean time to stent retrieval was 33 \u00b1 40 days. Mean follow-up was 50 \u00b1 1.3 weeks (range, 45-55), and only one patient presented a recurrence 4 weeks after the stent removal. Furthermore, comparison with ten previous consecutively recruited PFC cases drained by EUS-guided using plastic pigtail stents was done. Technical and clinical successes were similar. However, two stent migrations, two recurrences, and two complications were found. The number of stents used (n = 15) and the median procedure time (42.8 \u00b1 3.1 min) were significantly higher.\n\nCONCLUSIONS: Drainage of PFC using dedicated devices as this novel metallic stent with special design seems to be an effective, feasible and safe alternative technique.", "author" : [ { "dropping-particle" : "", "family" : "Gornals", "given" : "Joan B", "non-dropping-particle" : "", "parse-names" : false, "suffix" : "" }, { "dropping-particle" : "", "family" : "la Serna-Higuera", "given" : "Carlos", "non-dropping-particle" : "De", "parse-names" : false, "suffix" : "" }, { "dropping-particle" : "", "family" : "S\u00e1nchez-Yague", "given" : "Andr\u00e9s", "non-dropping-particle" : "", "parse-names" : false, "suffix" : "" }, { "dropping-particle" : "", "family" : "Loras", "given" : "Carme", "non-dropping-particle" : "", "parse-names" : false, "suffix" : "" }, { "dropping-particle" : "", "family" : "S\u00e1nchez-Cantos", "given" : "Andr\u00e9s M", "non-dropping-particle" : "", "parse-names" : false, "suffix" : "" }, { "dropping-particle" : "", "family" : "P\u00e9rez-Miranda", "given" : "Manolo", "non-dropping-particle" : "", "parse-names" : false, "suffix" : "" } ], "container-title" : "Surgical endoscopy", "id" : "ITEM-1", "issue" : "4", "issued" : { "date-parts" : [ [ "2013", "4" ] ] }, "page" : "1428-34", "title" : "Endosonography-guided drainage of pancreatic fluid collections with a novel lumen-apposing stent.", "type" : "article-journal", "volume" : "27" }, "uris" : [ "http://www.mendeley.com/documents/?uuid=9f5dea93-c4e2-4bc3-9c4e-31d3b473bc93", "http://www.mendeley.com/documents/?uuid=c6d8c5af-abe4-4335-90bd-cf1ae797577f" ] } ], "mendeley" : { "formattedCitation" : "&lt;sup&gt;[33]&lt;/sup&gt;", "plainTextFormattedCitation" : "[33]", "previouslyFormattedCitation" : "&lt;sup&gt;[33]&lt;/sup&gt;" }, "properties" : { "noteIndex" : 0 }, "schema" : "https://github.com/citation-style-language/schema/raw/master/csl-citation.json" }</w:instrText>
      </w:r>
      <w:r w:rsidRPr="00472719">
        <w:rPr>
          <w:rFonts w:ascii="Book Antiqua" w:hAnsi="Book Antiqua"/>
        </w:rPr>
        <w:fldChar w:fldCharType="separate"/>
      </w:r>
      <w:r w:rsidRPr="00472719">
        <w:rPr>
          <w:rFonts w:ascii="Book Antiqua" w:hAnsi="Book Antiqua"/>
          <w:noProof/>
          <w:vertAlign w:val="superscript"/>
        </w:rPr>
        <w:t>[33]</w:t>
      </w:r>
      <w:r w:rsidRPr="00472719">
        <w:rPr>
          <w:rFonts w:ascii="Book Antiqua" w:hAnsi="Book Antiqua"/>
        </w:rPr>
        <w:fldChar w:fldCharType="end"/>
      </w:r>
      <w:r w:rsidRPr="00472719">
        <w:rPr>
          <w:rFonts w:ascii="Book Antiqua" w:hAnsi="Book Antiqua"/>
        </w:rPr>
        <w:t>. They had a technical success of 88% (8/9) as there was failure of the delivery system in one case. No stent migration was reported and all stents were removed easily. All patients had a successful treatment outcome achieving complete cyst resolution.</w:t>
      </w:r>
    </w:p>
    <w:p w14:paraId="47C3BC99" w14:textId="77777777" w:rsidR="0081329E" w:rsidRPr="00472719" w:rsidRDefault="0081329E" w:rsidP="00472719">
      <w:pPr>
        <w:autoSpaceDE w:val="0"/>
        <w:autoSpaceDN w:val="0"/>
        <w:adjustRightInd w:val="0"/>
        <w:snapToGrid w:val="0"/>
        <w:spacing w:line="360" w:lineRule="auto"/>
        <w:jc w:val="both"/>
        <w:rPr>
          <w:rFonts w:ascii="Book Antiqua" w:hAnsi="Book Antiqua"/>
          <w:lang w:eastAsia="zh-CN"/>
        </w:rPr>
      </w:pPr>
    </w:p>
    <w:p w14:paraId="67A4CAEF" w14:textId="77777777" w:rsidR="0081329E" w:rsidRPr="00472719" w:rsidRDefault="004B09BB" w:rsidP="00472719">
      <w:pPr>
        <w:autoSpaceDE w:val="0"/>
        <w:autoSpaceDN w:val="0"/>
        <w:adjustRightInd w:val="0"/>
        <w:snapToGrid w:val="0"/>
        <w:spacing w:line="360" w:lineRule="auto"/>
        <w:jc w:val="both"/>
        <w:rPr>
          <w:rFonts w:ascii="Book Antiqua" w:hAnsi="Book Antiqua"/>
          <w:b/>
          <w:i/>
          <w:lang w:eastAsia="zh-CN"/>
        </w:rPr>
      </w:pPr>
      <w:r w:rsidRPr="00472719">
        <w:rPr>
          <w:rFonts w:ascii="Book Antiqua" w:hAnsi="Book Antiqua"/>
          <w:b/>
          <w:i/>
        </w:rPr>
        <w:t>Walled-off necrosis</w:t>
      </w:r>
    </w:p>
    <w:p w14:paraId="1AE63551" w14:textId="380A302E" w:rsidR="004B09BB" w:rsidRPr="00472719" w:rsidRDefault="004B09BB" w:rsidP="00472719">
      <w:pPr>
        <w:autoSpaceDE w:val="0"/>
        <w:autoSpaceDN w:val="0"/>
        <w:adjustRightInd w:val="0"/>
        <w:snapToGrid w:val="0"/>
        <w:spacing w:line="360" w:lineRule="auto"/>
        <w:jc w:val="both"/>
        <w:rPr>
          <w:rFonts w:ascii="Book Antiqua" w:hAnsi="Book Antiqua"/>
          <w:color w:val="231F20"/>
        </w:rPr>
      </w:pPr>
      <w:r w:rsidRPr="00472719">
        <w:rPr>
          <w:rFonts w:ascii="Book Antiqua" w:hAnsi="Book Antiqua"/>
        </w:rPr>
        <w:t xml:space="preserve">WON often leads to severe clinical deterioration necessitating open debridement or endoscopic </w:t>
      </w:r>
      <w:proofErr w:type="spellStart"/>
      <w:r w:rsidRPr="00472719">
        <w:rPr>
          <w:rFonts w:ascii="Book Antiqua" w:hAnsi="Book Antiqua"/>
        </w:rPr>
        <w:t>necrosectomy</w:t>
      </w:r>
      <w:proofErr w:type="spellEnd"/>
      <w:r w:rsidRPr="00472719">
        <w:rPr>
          <w:rFonts w:ascii="Book Antiqua" w:hAnsi="Book Antiqua"/>
        </w:rPr>
        <w:t xml:space="preserve">. Infection is a common complication in the endoscopic drainage of pancreatic fluid collections. It is more commonly observed in WON than in </w:t>
      </w:r>
      <w:proofErr w:type="spellStart"/>
      <w:r w:rsidRPr="00472719">
        <w:rPr>
          <w:rFonts w:ascii="Book Antiqua" w:hAnsi="Book Antiqua"/>
        </w:rPr>
        <w:t>pseudocysts</w:t>
      </w:r>
      <w:proofErr w:type="spellEnd"/>
      <w:r w:rsidRPr="00472719">
        <w:rPr>
          <w:rFonts w:ascii="Book Antiqua" w:hAnsi="Book Antiqua"/>
        </w:rPr>
        <w:t xml:space="preserve"> presumably due to stent occlusion by the solid debris and subsequent bacterial colonization. Hence the general opinion is in favor of placing multiple stents especially in WON. In MTGT, 2 or 3 transmural tracts were created by using EUS guidance between the necrotic cavity and the gastrointestinal lumen. While one tract was used to flush normal saline solution </w:t>
      </w:r>
      <w:r w:rsidRPr="00472719">
        <w:rPr>
          <w:rFonts w:ascii="Book Antiqua" w:hAnsi="Book Antiqua"/>
          <w:i/>
        </w:rPr>
        <w:t>via</w:t>
      </w:r>
      <w:r w:rsidRPr="00472719">
        <w:rPr>
          <w:rFonts w:ascii="Book Antiqua" w:hAnsi="Book Antiqua"/>
        </w:rPr>
        <w:t xml:space="preserve"> a </w:t>
      </w:r>
      <w:proofErr w:type="spellStart"/>
      <w:r w:rsidRPr="00472719">
        <w:rPr>
          <w:rFonts w:ascii="Book Antiqua" w:hAnsi="Book Antiqua"/>
        </w:rPr>
        <w:t>nasocystic</w:t>
      </w:r>
      <w:proofErr w:type="spellEnd"/>
      <w:r w:rsidRPr="00472719">
        <w:rPr>
          <w:rFonts w:ascii="Book Antiqua" w:hAnsi="Book Antiqua"/>
        </w:rPr>
        <w:t xml:space="preserve"> catheter, multiple stents were deployed in others to facilitate drainage of necrotic contents. </w:t>
      </w:r>
      <w:proofErr w:type="spellStart"/>
      <w:r w:rsidRPr="00472719">
        <w:rPr>
          <w:rFonts w:ascii="Book Antiqua" w:hAnsi="Book Antiqua"/>
        </w:rPr>
        <w:t>Varadarajalu</w:t>
      </w:r>
      <w:proofErr w:type="spellEnd"/>
      <w:r w:rsidRPr="00472719">
        <w:rPr>
          <w:rFonts w:ascii="Book Antiqua" w:hAnsi="Book Antiqua"/>
        </w:rPr>
        <w:t xml:space="preserve"> </w:t>
      </w:r>
      <w:r w:rsidR="0081329E" w:rsidRPr="00472719">
        <w:rPr>
          <w:rFonts w:ascii="Book Antiqua" w:hAnsi="Book Antiqua"/>
          <w:i/>
        </w:rPr>
        <w:t>et al</w:t>
      </w:r>
      <w:r w:rsidRPr="00472719">
        <w:rPr>
          <w:rFonts w:ascii="Book Antiqua" w:hAnsi="Book Antiqua"/>
        </w:rPr>
        <w:t xml:space="preserve"> compared MTGT with conventional EUS guided drainage. Of 60 patients with symptomatic WON, 12 were managed by MTGT and 48 by conventional drainage. Treatment was successful in 11 of 12 (91.7%) patients managed by MTGT </w:t>
      </w:r>
      <w:r w:rsidR="00C56FB8" w:rsidRPr="00472719">
        <w:rPr>
          <w:rFonts w:ascii="Book Antiqua" w:hAnsi="Book Antiqua"/>
          <w:i/>
        </w:rPr>
        <w:t>vs</w:t>
      </w:r>
      <w:r w:rsidRPr="00472719">
        <w:rPr>
          <w:rFonts w:ascii="Book Antiqua" w:hAnsi="Book Antiqua"/>
        </w:rPr>
        <w:t xml:space="preserve"> 25 of 48 (52.1%) managed by conventional drainage (</w:t>
      </w:r>
      <w:r w:rsidR="001B194D" w:rsidRPr="00472719">
        <w:rPr>
          <w:rFonts w:ascii="Book Antiqua" w:hAnsi="Book Antiqua"/>
          <w:i/>
        </w:rPr>
        <w:t xml:space="preserve">P = </w:t>
      </w:r>
      <w:r w:rsidRPr="00472719">
        <w:rPr>
          <w:rFonts w:ascii="Book Antiqua" w:hAnsi="Book Antiqua"/>
        </w:rPr>
        <w:t xml:space="preserve">0.01). Although 1 patient in the MTGT </w:t>
      </w:r>
      <w:r w:rsidRPr="00472719">
        <w:rPr>
          <w:rFonts w:ascii="Book Antiqua" w:hAnsi="Book Antiqua"/>
        </w:rPr>
        <w:lastRenderedPageBreak/>
        <w:t xml:space="preserve">cohort required endoscopic </w:t>
      </w:r>
      <w:proofErr w:type="spellStart"/>
      <w:r w:rsidRPr="00472719">
        <w:rPr>
          <w:rFonts w:ascii="Book Antiqua" w:hAnsi="Book Antiqua"/>
        </w:rPr>
        <w:t>necrosectomy</w:t>
      </w:r>
      <w:proofErr w:type="spellEnd"/>
      <w:r w:rsidRPr="00472719">
        <w:rPr>
          <w:rFonts w:ascii="Book Antiqua" w:hAnsi="Book Antiqua"/>
        </w:rPr>
        <w:t xml:space="preserve">, in the conventional drainage cohort, 17 required surgery, 3 underwent endoscopic </w:t>
      </w:r>
      <w:proofErr w:type="spellStart"/>
      <w:r w:rsidRPr="00472719">
        <w:rPr>
          <w:rFonts w:ascii="Book Antiqua" w:hAnsi="Book Antiqua"/>
        </w:rPr>
        <w:t>necrosectomy</w:t>
      </w:r>
      <w:proofErr w:type="spellEnd"/>
      <w:r w:rsidRPr="00472719">
        <w:rPr>
          <w:rFonts w:ascii="Book Antiqua" w:hAnsi="Book Antiqua"/>
        </w:rPr>
        <w:t>, and 3</w:t>
      </w:r>
      <w:r w:rsidR="001B194D" w:rsidRPr="00472719">
        <w:rPr>
          <w:rFonts w:ascii="Book Antiqua" w:hAnsi="Book Antiqua"/>
        </w:rPr>
        <w:t xml:space="preserve"> died of multiple-organ failure</w:t>
      </w:r>
      <w:r w:rsidRPr="00472719">
        <w:rPr>
          <w:rFonts w:ascii="Book Antiqua" w:hAnsi="Book Antiqua"/>
        </w:rPr>
        <w:fldChar w:fldCharType="begin" w:fldLock="1"/>
      </w:r>
      <w:r w:rsidRPr="00472719">
        <w:rPr>
          <w:rFonts w:ascii="Book Antiqua" w:hAnsi="Book Antiqua"/>
        </w:rPr>
        <w:instrText>ADDIN CSL_CITATION { "citationItems" : [ { "id" : "ITEM-1", "itemData" : { "DOI" : "10.1016/j.gie.2011.03.1122", "ISSN" : "1097-6779", "PMID" : "21612778", "abstract" : "BACKGROUND: Walled-off pancreatic necrosis often leads to severe clinical deterioration necessitating open debridement or endoscopic necrosectomy. A new EUS-based approach was devised to manage this condition by creating multiple transluminal gateways to facilitate effective drainage of the necrotic contents.\n\nOBJECTIVE: To compare treatment outcomes between patients with walled-off pancreatic necrosis managed endoscopically by a multiple transluminal gateway technique (MTGT) or a conventional drainage technique (CDT).\n\nDESIGN: Retrospective study.\n\nSETTING: Tertiary-care referral center.\n\nPATIENTS: This study involved patients with severe acute pancreatitis complicated by walled-off pancreatic necrosis managed endoscopically.\n\nINTERVENTION: In MTGT, 2 or 3 transmural tracts were created by using EUS guidance between the necrotic cavity and the GI lumen. While one tract was used to flush normal saline solution via a nasocystic catheter, multiple stents were deployed in others to facilitate drainage of necrotic contents. In the CDT, two stents with a nasocystic catheter were deployed via 1 transmural tract.\n\nMAIN OUTCOME MEASUREMENTS: Resolution of symptoms, radiological findings on follow-up CT, and the need for subsequent surgery or endoscopic necrosectomy.\n\nRESULTS: Of 60 patients with symptomatic walled-off pancreatic necrosis, 12 (3 women, mean age 55.1 years) were managed by MTGT and 48 (12 women, mean age 55.2 years) by CDT. Treatment was successful in 11 of 12 (91.7%) patients managed by MTGT versus 25 of 48 (52.1%) managed by CDT (P = .01). Although 1 patient in the MTGT cohort required endoscopic necrosectomy, in the CDT cohort, 17 required surgery, 3 underwent endoscopic necrosectomy, and 3 died of multiple-organ failure. Treatment success was more likely for patients treated by MTGT than by CDT (adjusted odds ratio = 9.24; 95% confidence interval, 1.08-79.02; P = .04) when we adjusted for the size of the walled-off pancreatic necrosis and pancreatic duct stent placement.\n\nLIMITATIONS: Selective patient population.\n\nCONCLUSION: The EUS-guided MTGT is an effective treatment option for the management of symptomatic walled-off pancreatic necrosis because it obviates the need for surgery and endoscopic necrosectomy and its attendant procedure-related morbidity. Prospective studies are required to confirm these preliminary but promising data.", "author" : [ { "dropping-particle" : "", "family" : "Varadarajulu", "given" : "Shyam", "non-dropping-particle" : "", "parse-names" : false, "suffix" : "" }, { "dropping-particle" : "", "family" : "Phadnis", "given" : "Milind a", "non-dropping-particle" : "", "parse-names" : false, "suffix" : "" }, { "dropping-particle" : "", "family" : "Christein", "given" : "John D", "non-dropping-particle" : "", "parse-names" : false, "suffix" : "" }, { "dropping-particle" : "", "family" : "Wilcox", "given" : "C Mel", "non-dropping-particle" : "", "parse-names" : false, "suffix" : "" } ], "container-title" : "Gastrointestinal endoscopy", "id" : "ITEM-1", "issue" : "1", "issued" : { "date-parts" : [ [ "2011", "7" ] ] }, "page" : "74-80", "publisher" : "Elsevier Inc.", "title" : "Multiple transluminal gateway technique for EUS-guided drainage of symptomatic walled-off pancreatic necrosis.", "type" : "article-journal", "volume" : "74" }, "uris" : [ "http://www.mendeley.com/documents/?uuid=3e4b624c-6458-4c1c-82db-1ef340fca8c5", "http://www.mendeley.com/documents/?uuid=0d5698e0-e5a3-49d6-bda4-f37a5c68095c" ] } ], "mendeley" : { "formattedCitation" : "&lt;sup&gt;[18]&lt;/sup&gt;", "plainTextFormattedCitation" : "[18]", "previouslyFormattedCitation" : "&lt;sup&gt;[18]&lt;/sup&gt;" }, "properties" : { "noteIndex" : 0 }, "schema" : "https://github.com/citation-style-language/schema/raw/master/csl-citation.json" }</w:instrText>
      </w:r>
      <w:r w:rsidRPr="00472719">
        <w:rPr>
          <w:rFonts w:ascii="Book Antiqua" w:hAnsi="Book Antiqua"/>
        </w:rPr>
        <w:fldChar w:fldCharType="separate"/>
      </w:r>
      <w:r w:rsidRPr="00472719">
        <w:rPr>
          <w:rFonts w:ascii="Book Antiqua" w:hAnsi="Book Antiqua"/>
          <w:noProof/>
          <w:vertAlign w:val="superscript"/>
        </w:rPr>
        <w:t>[18]</w:t>
      </w:r>
      <w:r w:rsidRPr="00472719">
        <w:rPr>
          <w:rFonts w:ascii="Book Antiqua" w:hAnsi="Book Antiqua"/>
        </w:rPr>
        <w:fldChar w:fldCharType="end"/>
      </w:r>
      <w:r w:rsidRPr="00472719">
        <w:rPr>
          <w:rFonts w:ascii="Book Antiqua" w:hAnsi="Book Antiqua"/>
        </w:rPr>
        <w:t xml:space="preserve">. </w:t>
      </w:r>
    </w:p>
    <w:p w14:paraId="0C982AB6" w14:textId="1274406A" w:rsidR="004B09BB" w:rsidRPr="00472719" w:rsidRDefault="004B09BB" w:rsidP="00472719">
      <w:pPr>
        <w:autoSpaceDE w:val="0"/>
        <w:autoSpaceDN w:val="0"/>
        <w:adjustRightInd w:val="0"/>
        <w:snapToGrid w:val="0"/>
        <w:spacing w:line="360" w:lineRule="auto"/>
        <w:jc w:val="both"/>
        <w:rPr>
          <w:rFonts w:ascii="Book Antiqua" w:hAnsi="Book Antiqua"/>
          <w:color w:val="231F20"/>
        </w:rPr>
      </w:pPr>
      <w:r w:rsidRPr="00472719">
        <w:rPr>
          <w:rFonts w:ascii="Book Antiqua" w:hAnsi="Book Antiqua"/>
          <w:color w:val="231F20"/>
        </w:rPr>
        <w:tab/>
      </w:r>
      <w:r w:rsidRPr="00472719">
        <w:rPr>
          <w:rFonts w:ascii="Book Antiqua" w:hAnsi="Book Antiqua"/>
        </w:rPr>
        <w:t xml:space="preserve">A </w:t>
      </w:r>
      <w:proofErr w:type="spellStart"/>
      <w:r w:rsidRPr="00472719">
        <w:rPr>
          <w:rFonts w:ascii="Book Antiqua" w:hAnsi="Book Antiqua"/>
        </w:rPr>
        <w:t>multicentre</w:t>
      </w:r>
      <w:proofErr w:type="spellEnd"/>
      <w:r w:rsidRPr="00472719">
        <w:rPr>
          <w:rFonts w:ascii="Book Antiqua" w:hAnsi="Book Antiqua"/>
        </w:rPr>
        <w:t xml:space="preserve"> prospective study from </w:t>
      </w:r>
      <w:r w:rsidR="001B194D" w:rsidRPr="00472719">
        <w:rPr>
          <w:rFonts w:ascii="Book Antiqua" w:hAnsi="Book Antiqua"/>
          <w:lang w:eastAsia="zh-CN"/>
        </w:rPr>
        <w:t>United States</w:t>
      </w:r>
      <w:r w:rsidRPr="00472719">
        <w:rPr>
          <w:rFonts w:ascii="Book Antiqua" w:hAnsi="Book Antiqua"/>
        </w:rPr>
        <w:t xml:space="preserve"> evaluated the outcomes of AXIOS stent placement in 33 patients with symptomatic pancreatic </w:t>
      </w:r>
      <w:proofErr w:type="spellStart"/>
      <w:r w:rsidRPr="00472719">
        <w:rPr>
          <w:rFonts w:ascii="Book Antiqua" w:hAnsi="Book Antiqua"/>
        </w:rPr>
        <w:t>pseudocy</w:t>
      </w:r>
      <w:r w:rsidR="001B194D" w:rsidRPr="00472719">
        <w:rPr>
          <w:rFonts w:ascii="Book Antiqua" w:hAnsi="Book Antiqua"/>
        </w:rPr>
        <w:t>sts</w:t>
      </w:r>
      <w:proofErr w:type="spellEnd"/>
      <w:r w:rsidR="001B194D" w:rsidRPr="00472719">
        <w:rPr>
          <w:rFonts w:ascii="Book Antiqua" w:hAnsi="Book Antiqua"/>
        </w:rPr>
        <w:t xml:space="preserve"> and WON</w:t>
      </w:r>
      <w:r w:rsidRPr="00472719">
        <w:rPr>
          <w:rFonts w:ascii="Book Antiqua" w:hAnsi="Book Antiqua"/>
        </w:rPr>
        <w:fldChar w:fldCharType="begin" w:fldLock="1"/>
      </w:r>
      <w:r w:rsidRPr="00472719">
        <w:rPr>
          <w:rFonts w:ascii="Book Antiqua" w:hAnsi="Book Antiqua"/>
        </w:rPr>
        <w:instrText>ADDIN CSL_CITATION { "citationItems" : [ { "id" : "ITEM-1", "itemData" : { "author" : [ { "dropping-particle" : "", "family" : "Daisy Walter, Uwe Will, Andres Sanchez-Yague", "given" : "Dirk Brenke", "non-dropping-particle" : "", "parse-names" : false, "suffix" : "" } ], "id" : "ITEM-1", "issued" : { "date-parts" : [ [ "2014" ] ] }, "title" : "A novel lumen-apposing metal stent for endoscopic ultrasound-guided drainage of pancreatic fluid collections : a prospective cohort study", "type" : "article-journal" }, "uris" : [ "http://www.mendeley.com/documents/?uuid=bf0db511-e4b1-4eae-a947-48c14b6e8a99", "http://www.mendeley.com/documents/?uuid=36e5757c-8eec-4d7a-acc8-c658df0c598e" ] } ], "mendeley" : { "formattedCitation" : "&lt;sup&gt;[34]&lt;/sup&gt;", "plainTextFormattedCitation" : "[34]", "previouslyFormattedCitation" : "&lt;sup&gt;[34]&lt;/sup&gt;" }, "properties" : { "noteIndex" : 0 }, "schema" : "https://github.com/citation-style-language/schema/raw/master/csl-citation.json" }</w:instrText>
      </w:r>
      <w:r w:rsidRPr="00472719">
        <w:rPr>
          <w:rFonts w:ascii="Book Antiqua" w:hAnsi="Book Antiqua"/>
        </w:rPr>
        <w:fldChar w:fldCharType="separate"/>
      </w:r>
      <w:r w:rsidRPr="00472719">
        <w:rPr>
          <w:rFonts w:ascii="Book Antiqua" w:hAnsi="Book Antiqua"/>
          <w:noProof/>
          <w:vertAlign w:val="superscript"/>
        </w:rPr>
        <w:t>[</w:t>
      </w:r>
      <w:r w:rsidR="00843137">
        <w:rPr>
          <w:rFonts w:ascii="Book Antiqua" w:hAnsi="Book Antiqua"/>
          <w:noProof/>
          <w:vertAlign w:val="superscript"/>
        </w:rPr>
        <w:t>22</w:t>
      </w:r>
      <w:r w:rsidRPr="00472719">
        <w:rPr>
          <w:rFonts w:ascii="Book Antiqua" w:hAnsi="Book Antiqua"/>
          <w:noProof/>
          <w:vertAlign w:val="superscript"/>
        </w:rPr>
        <w:t>]</w:t>
      </w:r>
      <w:r w:rsidRPr="00472719">
        <w:rPr>
          <w:rFonts w:ascii="Book Antiqua" w:hAnsi="Book Antiqua"/>
        </w:rPr>
        <w:fldChar w:fldCharType="end"/>
      </w:r>
      <w:r w:rsidRPr="00472719">
        <w:rPr>
          <w:rFonts w:ascii="Book Antiqua" w:hAnsi="Book Antiqua"/>
        </w:rPr>
        <w:t xml:space="preserve">. The devices were placed successfully under endoscopic ultrasound guidance in 30 patients (91%); the remaining 3 patients received 2 double-pigtail stents. One subject could not be evaluated because of a </w:t>
      </w:r>
      <w:proofErr w:type="spellStart"/>
      <w:r w:rsidRPr="00472719">
        <w:rPr>
          <w:rFonts w:ascii="Book Antiqua" w:hAnsi="Book Antiqua"/>
        </w:rPr>
        <w:t>pseudoaneurysm</w:t>
      </w:r>
      <w:proofErr w:type="spellEnd"/>
      <w:r w:rsidRPr="00472719">
        <w:rPr>
          <w:rFonts w:ascii="Book Antiqua" w:hAnsi="Book Antiqua"/>
        </w:rPr>
        <w:t xml:space="preserve">. In the patients receiving AXIOS stents, PFCs resolved in 27 of 29 (93%). Stent migration was noted only in one patient. In a large </w:t>
      </w:r>
      <w:proofErr w:type="spellStart"/>
      <w:r w:rsidRPr="00472719">
        <w:rPr>
          <w:rFonts w:ascii="Book Antiqua" w:hAnsi="Book Antiqua"/>
        </w:rPr>
        <w:t>multicentre</w:t>
      </w:r>
      <w:proofErr w:type="spellEnd"/>
      <w:r w:rsidRPr="00472719">
        <w:rPr>
          <w:rFonts w:ascii="Book Antiqua" w:hAnsi="Book Antiqua"/>
        </w:rPr>
        <w:t xml:space="preserve"> trial involving 15 European centers, 61 patients with either </w:t>
      </w:r>
      <w:proofErr w:type="spellStart"/>
      <w:r w:rsidRPr="00472719">
        <w:rPr>
          <w:rFonts w:ascii="Book Antiqua" w:hAnsi="Book Antiqua"/>
        </w:rPr>
        <w:t>pseudocyst</w:t>
      </w:r>
      <w:proofErr w:type="spellEnd"/>
      <w:r w:rsidRPr="00472719">
        <w:rPr>
          <w:rFonts w:ascii="Book Antiqua" w:hAnsi="Book Antiqua"/>
        </w:rPr>
        <w:t xml:space="preserve"> (</w:t>
      </w:r>
      <w:r w:rsidR="00C56FB8" w:rsidRPr="00472719">
        <w:rPr>
          <w:rFonts w:ascii="Book Antiqua" w:hAnsi="Book Antiqua"/>
          <w:i/>
        </w:rPr>
        <w:t xml:space="preserve">n = </w:t>
      </w:r>
      <w:r w:rsidRPr="00472719">
        <w:rPr>
          <w:rFonts w:ascii="Book Antiqua" w:hAnsi="Book Antiqua"/>
        </w:rPr>
        <w:t>46, 75%) or WON (</w:t>
      </w:r>
      <w:r w:rsidR="00C56FB8" w:rsidRPr="00472719">
        <w:rPr>
          <w:rFonts w:ascii="Book Antiqua" w:hAnsi="Book Antiqua"/>
          <w:i/>
        </w:rPr>
        <w:t xml:space="preserve">n = </w:t>
      </w:r>
      <w:r w:rsidRPr="00472719">
        <w:rPr>
          <w:rFonts w:ascii="Book Antiqua" w:hAnsi="Book Antiqua"/>
        </w:rPr>
        <w:t xml:space="preserve">15, 25%) were drained using AXIOS stents. </w:t>
      </w:r>
      <w:r w:rsidRPr="00472719">
        <w:rPr>
          <w:rFonts w:ascii="Book Antiqua" w:hAnsi="Book Antiqua"/>
          <w:color w:val="231F20"/>
        </w:rPr>
        <w:t>Stent placement was technically successful in 6</w:t>
      </w:r>
      <w:r w:rsidR="00C56FB8" w:rsidRPr="00472719">
        <w:rPr>
          <w:rFonts w:ascii="Book Antiqua" w:hAnsi="Book Antiqua"/>
          <w:color w:val="231F20"/>
        </w:rPr>
        <w:t>0 patients (98</w:t>
      </w:r>
      <w:r w:rsidRPr="00472719">
        <w:rPr>
          <w:rFonts w:ascii="Book Antiqua" w:hAnsi="Book Antiqua"/>
          <w:color w:val="231F20"/>
        </w:rPr>
        <w:t xml:space="preserve">%). Clinical success, defined as resolution of clinical symptoms in combination with a decrease in the PFC size to </w:t>
      </w:r>
      <w:r w:rsidRPr="00472719">
        <w:rPr>
          <w:rFonts w:ascii="Book Antiqua" w:eastAsia="AdvTT31ea7dbe+22" w:hAnsi="Book Antiqua"/>
          <w:color w:val="231F20"/>
        </w:rPr>
        <w:t xml:space="preserve">≤ </w:t>
      </w:r>
      <w:r w:rsidRPr="00472719">
        <w:rPr>
          <w:rFonts w:ascii="Book Antiqua" w:hAnsi="Book Antiqua"/>
          <w:color w:val="231F20"/>
        </w:rPr>
        <w:t>2</w:t>
      </w:r>
      <w:r w:rsidR="00C56FB8" w:rsidRPr="00472719">
        <w:rPr>
          <w:rFonts w:ascii="Book Antiqua" w:hAnsi="Book Antiqua"/>
          <w:color w:val="231F20"/>
          <w:lang w:eastAsia="zh-CN"/>
        </w:rPr>
        <w:t xml:space="preserve"> </w:t>
      </w:r>
      <w:r w:rsidRPr="00472719">
        <w:rPr>
          <w:rFonts w:ascii="Book Antiqua" w:hAnsi="Book Antiqua"/>
          <w:color w:val="231F20"/>
        </w:rPr>
        <w:t xml:space="preserve">cm on imaging, was achieved in 93% of patients with a pancreatic </w:t>
      </w:r>
      <w:proofErr w:type="spellStart"/>
      <w:r w:rsidRPr="00472719">
        <w:rPr>
          <w:rFonts w:ascii="Book Antiqua" w:hAnsi="Book Antiqua"/>
          <w:color w:val="231F20"/>
        </w:rPr>
        <w:t>pseudocyst</w:t>
      </w:r>
      <w:proofErr w:type="spellEnd"/>
      <w:r w:rsidRPr="00472719">
        <w:rPr>
          <w:rFonts w:ascii="Book Antiqua" w:hAnsi="Book Antiqua"/>
          <w:color w:val="231F20"/>
        </w:rPr>
        <w:t xml:space="preserve"> and in 81% of patients with WON. Treatment failur</w:t>
      </w:r>
      <w:r w:rsidR="00C56FB8" w:rsidRPr="00472719">
        <w:rPr>
          <w:rFonts w:ascii="Book Antiqua" w:hAnsi="Book Antiqua"/>
          <w:color w:val="231F20"/>
        </w:rPr>
        <w:t>e occurred in nine patients (16</w:t>
      </w:r>
      <w:r w:rsidRPr="00472719">
        <w:rPr>
          <w:rFonts w:ascii="Book Antiqua" w:hAnsi="Book Antiqua"/>
          <w:color w:val="231F20"/>
        </w:rPr>
        <w:t>%) including four patients who required surgical intervention. Stent removal was performed in 82% of patients after a median of 32 days and was rated as easy in all but one patient. In 10 patients, endoscopic stent removal was not performed because of stent migration (</w:t>
      </w:r>
      <w:r w:rsidR="00C56FB8" w:rsidRPr="00472719">
        <w:rPr>
          <w:rFonts w:ascii="Book Antiqua" w:hAnsi="Book Antiqua"/>
          <w:i/>
          <w:color w:val="231F20"/>
        </w:rPr>
        <w:t xml:space="preserve">n = </w:t>
      </w:r>
      <w:r w:rsidRPr="00472719">
        <w:rPr>
          <w:rFonts w:ascii="Book Antiqua" w:hAnsi="Book Antiqua"/>
          <w:color w:val="231F20"/>
        </w:rPr>
        <w:t xml:space="preserve">3), stent dislodgement during </w:t>
      </w:r>
      <w:proofErr w:type="spellStart"/>
      <w:r w:rsidRPr="00472719">
        <w:rPr>
          <w:rFonts w:ascii="Book Antiqua" w:hAnsi="Book Antiqua"/>
          <w:color w:val="231F20"/>
        </w:rPr>
        <w:t>necrosectomy</w:t>
      </w:r>
      <w:proofErr w:type="spellEnd"/>
      <w:r w:rsidRPr="00472719">
        <w:rPr>
          <w:rFonts w:ascii="Book Antiqua" w:hAnsi="Book Antiqua"/>
          <w:color w:val="231F20"/>
        </w:rPr>
        <w:t xml:space="preserve"> (</w:t>
      </w:r>
      <w:r w:rsidR="00C56FB8" w:rsidRPr="00472719">
        <w:rPr>
          <w:rFonts w:ascii="Book Antiqua" w:hAnsi="Book Antiqua"/>
          <w:i/>
          <w:color w:val="231F20"/>
        </w:rPr>
        <w:t xml:space="preserve">n = </w:t>
      </w:r>
      <w:r w:rsidRPr="00472719">
        <w:rPr>
          <w:rFonts w:ascii="Book Antiqua" w:hAnsi="Book Antiqua"/>
          <w:color w:val="231F20"/>
        </w:rPr>
        <w:t>3), stent removal during surgery (</w:t>
      </w:r>
      <w:r w:rsidR="00C56FB8" w:rsidRPr="00472719">
        <w:rPr>
          <w:rFonts w:ascii="Book Antiqua" w:hAnsi="Book Antiqua"/>
          <w:i/>
          <w:color w:val="231F20"/>
        </w:rPr>
        <w:t xml:space="preserve">n = </w:t>
      </w:r>
      <w:r w:rsidRPr="00472719">
        <w:rPr>
          <w:rFonts w:ascii="Book Antiqua" w:hAnsi="Book Antiqua"/>
          <w:color w:val="231F20"/>
        </w:rPr>
        <w:t>2), or refusal by the patient (</w:t>
      </w:r>
      <w:r w:rsidR="00C56FB8" w:rsidRPr="00472719">
        <w:rPr>
          <w:rFonts w:ascii="Book Antiqua" w:hAnsi="Book Antiqua"/>
          <w:i/>
          <w:color w:val="231F20"/>
        </w:rPr>
        <w:t xml:space="preserve">n = </w:t>
      </w:r>
      <w:r w:rsidRPr="00472719">
        <w:rPr>
          <w:rFonts w:ascii="Book Antiqua" w:hAnsi="Book Antiqua"/>
          <w:color w:val="231F20"/>
        </w:rPr>
        <w:t xml:space="preserve">2). </w:t>
      </w:r>
    </w:p>
    <w:p w14:paraId="0D2B2FF1" w14:textId="77777777" w:rsidR="003E317A" w:rsidRPr="00472719" w:rsidRDefault="003E317A" w:rsidP="00472719">
      <w:pPr>
        <w:autoSpaceDE w:val="0"/>
        <w:autoSpaceDN w:val="0"/>
        <w:adjustRightInd w:val="0"/>
        <w:snapToGrid w:val="0"/>
        <w:spacing w:line="360" w:lineRule="auto"/>
        <w:jc w:val="both"/>
        <w:rPr>
          <w:rFonts w:ascii="Book Antiqua" w:hAnsi="Book Antiqua"/>
          <w:color w:val="000000"/>
        </w:rPr>
      </w:pPr>
    </w:p>
    <w:p w14:paraId="4CDAE85F" w14:textId="4DD15E9B" w:rsidR="00B37D01" w:rsidRPr="00472719" w:rsidRDefault="002B279C"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color w:val="000000"/>
        </w:rPr>
        <w:t>Single or multiple stents</w:t>
      </w:r>
    </w:p>
    <w:p w14:paraId="05116AB8" w14:textId="08C24D80" w:rsidR="002B279C" w:rsidRPr="00472719" w:rsidRDefault="002B279C" w:rsidP="00472719">
      <w:pPr>
        <w:pStyle w:val="Default"/>
        <w:snapToGrid w:val="0"/>
        <w:spacing w:line="360" w:lineRule="auto"/>
        <w:jc w:val="both"/>
        <w:rPr>
          <w:rFonts w:ascii="Book Antiqua" w:hAnsi="Book Antiqua" w:cs="Times New Roman"/>
        </w:rPr>
      </w:pPr>
      <w:r w:rsidRPr="00472719">
        <w:rPr>
          <w:rFonts w:ascii="Book Antiqua" w:hAnsi="Book Antiqua" w:cs="Times New Roman"/>
        </w:rPr>
        <w:t xml:space="preserve">In cases of </w:t>
      </w:r>
      <w:proofErr w:type="spellStart"/>
      <w:r w:rsidRPr="00472719">
        <w:rPr>
          <w:rFonts w:ascii="Book Antiqua" w:hAnsi="Book Antiqua" w:cs="Times New Roman"/>
        </w:rPr>
        <w:t>pseudocysts</w:t>
      </w:r>
      <w:proofErr w:type="spellEnd"/>
      <w:r w:rsidRPr="00472719">
        <w:rPr>
          <w:rFonts w:ascii="Book Antiqua" w:hAnsi="Book Antiqua" w:cs="Times New Roman"/>
        </w:rPr>
        <w:t xml:space="preserve"> there is no randomized control </w:t>
      </w:r>
      <w:r w:rsidR="00726CDF" w:rsidRPr="00472719">
        <w:rPr>
          <w:rFonts w:ascii="Book Antiqua" w:hAnsi="Book Antiqua" w:cs="Times New Roman"/>
        </w:rPr>
        <w:t>trial, which</w:t>
      </w:r>
      <w:r w:rsidRPr="00472719">
        <w:rPr>
          <w:rFonts w:ascii="Book Antiqua" w:hAnsi="Book Antiqua" w:cs="Times New Roman"/>
        </w:rPr>
        <w:t xml:space="preserve"> has looked at the question whether a single plastic stent or multiple plastic stents or a metal stent is better. However retrospective studies have shown that even single stents have given high rates of clinical resolution. This is probably because stent occlusion may not have occurred as there is no solid necrotic debris. In a recent </w:t>
      </w:r>
      <w:r w:rsidRPr="00472719">
        <w:rPr>
          <w:rFonts w:ascii="Book Antiqua" w:hAnsi="Book Antiqua" w:cs="Times New Roman"/>
        </w:rPr>
        <w:lastRenderedPageBreak/>
        <w:t>meta-analysis, 14 studies involving 698 patients were evaluated and no difference was detected in the rates of treatment success between patients managed with mul</w:t>
      </w:r>
      <w:r w:rsidRPr="00472719">
        <w:rPr>
          <w:rFonts w:ascii="Book Antiqua" w:hAnsi="Book Antiqua" w:cs="Times New Roman"/>
        </w:rPr>
        <w:softHyphen/>
        <w:t xml:space="preserve">tiple plastic stents </w:t>
      </w:r>
      <w:r w:rsidR="00C56FB8" w:rsidRPr="00472719">
        <w:rPr>
          <w:rFonts w:ascii="Book Antiqua" w:hAnsi="Book Antiqua" w:cs="Times New Roman"/>
          <w:i/>
        </w:rPr>
        <w:t>vs</w:t>
      </w:r>
      <w:r w:rsidRPr="00472719">
        <w:rPr>
          <w:rFonts w:ascii="Book Antiqua" w:hAnsi="Book Antiqua" w:cs="Times New Roman"/>
        </w:rPr>
        <w:t xml:space="preserve"> metal stents at 8</w:t>
      </w:r>
      <w:r w:rsidR="00C56FB8" w:rsidRPr="00472719">
        <w:rPr>
          <w:rFonts w:ascii="Book Antiqua" w:hAnsi="Book Antiqua" w:cs="Times New Roman"/>
        </w:rPr>
        <w:t>9% (95%</w:t>
      </w:r>
      <w:r w:rsidR="00726CDF" w:rsidRPr="00472719">
        <w:rPr>
          <w:rFonts w:ascii="Book Antiqua" w:hAnsi="Book Antiqua" w:cs="Times New Roman"/>
        </w:rPr>
        <w:t>CI</w:t>
      </w:r>
      <w:r w:rsidR="00C56FB8" w:rsidRPr="00472719">
        <w:rPr>
          <w:rFonts w:ascii="Book Antiqua" w:hAnsi="Book Antiqua" w:cs="Times New Roman"/>
        </w:rPr>
        <w:t>: 87-</w:t>
      </w:r>
      <w:r w:rsidR="008A5D99" w:rsidRPr="00472719">
        <w:rPr>
          <w:rFonts w:ascii="Book Antiqua" w:hAnsi="Book Antiqua" w:cs="Times New Roman"/>
        </w:rPr>
        <w:t xml:space="preserve">91) </w:t>
      </w:r>
      <w:r w:rsidR="00C56FB8" w:rsidRPr="00472719">
        <w:rPr>
          <w:rFonts w:ascii="Book Antiqua" w:hAnsi="Book Antiqua" w:cs="Times New Roman"/>
          <w:i/>
        </w:rPr>
        <w:t>vs</w:t>
      </w:r>
      <w:r w:rsidR="00C56FB8" w:rsidRPr="00472719">
        <w:rPr>
          <w:rFonts w:ascii="Book Antiqua" w:hAnsi="Book Antiqua" w:cs="Times New Roman"/>
        </w:rPr>
        <w:t xml:space="preserve"> 87% (95%CI:</w:t>
      </w:r>
      <w:r w:rsidRPr="00472719">
        <w:rPr>
          <w:rFonts w:ascii="Book Antiqua" w:hAnsi="Book Antiqua" w:cs="Times New Roman"/>
        </w:rPr>
        <w:t xml:space="preserve"> 76 to 91; </w:t>
      </w:r>
      <w:r w:rsidR="001B194D" w:rsidRPr="00472719">
        <w:rPr>
          <w:rFonts w:ascii="Book Antiqua" w:hAnsi="Book Antiqua" w:cs="Times New Roman"/>
          <w:i/>
          <w:iCs/>
        </w:rPr>
        <w:t xml:space="preserve">P = </w:t>
      </w:r>
      <w:r w:rsidRPr="00472719">
        <w:rPr>
          <w:rFonts w:ascii="Book Antiqua" w:hAnsi="Book Antiqua" w:cs="Times New Roman"/>
        </w:rPr>
        <w:t>0.22), re</w:t>
      </w:r>
      <w:r w:rsidRPr="00472719">
        <w:rPr>
          <w:rFonts w:ascii="Book Antiqua" w:hAnsi="Book Antiqua" w:cs="Times New Roman"/>
        </w:rPr>
        <w:softHyphen/>
        <w:t>spectively.</w:t>
      </w:r>
      <w:r w:rsidR="00F6294A" w:rsidRPr="00472719">
        <w:rPr>
          <w:rFonts w:ascii="Book Antiqua" w:hAnsi="Book Antiqua" w:cs="Times New Roman"/>
        </w:rPr>
        <w:t xml:space="preserve"> </w:t>
      </w:r>
      <w:r w:rsidRPr="00472719">
        <w:rPr>
          <w:rFonts w:ascii="Book Antiqua" w:hAnsi="Book Antiqua" w:cs="Times New Roman"/>
        </w:rPr>
        <w:t>Also, there was no difference in the rates of ad</w:t>
      </w:r>
      <w:r w:rsidRPr="00472719">
        <w:rPr>
          <w:rFonts w:ascii="Book Antiqua" w:hAnsi="Book Antiqua" w:cs="Times New Roman"/>
        </w:rPr>
        <w:softHyphen/>
        <w:t xml:space="preserve">verse events or </w:t>
      </w:r>
      <w:proofErr w:type="spellStart"/>
      <w:r w:rsidRPr="00472719">
        <w:rPr>
          <w:rFonts w:ascii="Book Antiqua" w:hAnsi="Book Antiqua" w:cs="Times New Roman"/>
        </w:rPr>
        <w:t>pseudocyst</w:t>
      </w:r>
      <w:proofErr w:type="spellEnd"/>
      <w:r w:rsidR="00C56FB8" w:rsidRPr="00472719">
        <w:rPr>
          <w:rFonts w:ascii="Book Antiqua" w:hAnsi="Book Antiqua" w:cs="Times New Roman"/>
        </w:rPr>
        <w:t xml:space="preserve"> recurrence between the two cohorts</w:t>
      </w:r>
      <w:r w:rsidRPr="00472719">
        <w:rPr>
          <w:rFonts w:ascii="Book Antiqua" w:hAnsi="Book Antiqua" w:cs="Times New Roman"/>
        </w:rPr>
        <w:fldChar w:fldCharType="begin" w:fldLock="1"/>
      </w:r>
      <w:r w:rsidR="00FA79D6" w:rsidRPr="00472719">
        <w:rPr>
          <w:rFonts w:ascii="Book Antiqua" w:hAnsi="Book Antiqua" w:cs="Times New Roman"/>
        </w:rPr>
        <w:instrText>ADDIN CSL_CITATION { "citationItems" : [ { "id" : "ITEM-1", "itemData" : { "DOI" : "10.1016/j.gie.2014.02.171", "ISSN" : "00165107", "author" : [ { "dropping-particle" : "", "family" : "Navaneethan", "given" : "Udayakumar", "non-dropping-particle" : "", "parse-names" : false, "suffix" : "" }, { "dropping-particle" : "", "family" : "Njei", "given" : "Basile", "non-dropping-particle" : "", "parse-names" : false, "suffix" : "" }, { "dropping-particle" : "", "family" : "Sanaka", "given" : "Madhusudhan R.", "non-dropping-particle" : "", "parse-names" : false, "suffix" : "" } ], "container-title" : "Gastrointestinal Endoscopy", "id" : "ITEM-1", "issue" : "5", "issued" : { "date-parts" : [ [ "2014", "5" ] ] }, "page" : "AB167-AB168", "publisher" : "Elsevier Ltd", "title" : "734 Endoscopic Transmural Drainage of Pancreatic Pseudocysts: Multiple Plastic Stents Versus Metal Stents- a Systematic Review and Meta-Analysis", "type" : "article-journal", "volume" : "79" }, "uris" : [ "http://www.mendeley.com/documents/?uuid=ec7f9bf1-0076-4c10-84a1-26869b9a7a80", "http://www.mendeley.com/documents/?uuid=f6feae8d-9fff-467c-bf34-90122c02365c" ] } ], "mendeley" : { "formattedCitation" : "&lt;sup&gt;[35]&lt;/sup&gt;", "plainTextFormattedCitation" : "[35]", "previouslyFormattedCitation" : "&lt;sup&gt;[35]&lt;/sup&gt;" }, "properties" : { "noteIndex" : 0 }, "schema" : "https://github.com/citation-style-language/schema/raw/master/csl-citation.json" }</w:instrText>
      </w:r>
      <w:r w:rsidRPr="00472719">
        <w:rPr>
          <w:rFonts w:ascii="Book Antiqua" w:hAnsi="Book Antiqua" w:cs="Times New Roman"/>
        </w:rPr>
        <w:fldChar w:fldCharType="separate"/>
      </w:r>
      <w:r w:rsidR="00467DD1" w:rsidRPr="00472719">
        <w:rPr>
          <w:rFonts w:ascii="Book Antiqua" w:hAnsi="Book Antiqua" w:cs="Times New Roman"/>
          <w:noProof/>
          <w:vertAlign w:val="superscript"/>
        </w:rPr>
        <w:t>[3</w:t>
      </w:r>
      <w:r w:rsidR="00843137">
        <w:rPr>
          <w:rFonts w:ascii="Book Antiqua" w:hAnsi="Book Antiqua" w:cs="Times New Roman"/>
          <w:noProof/>
          <w:vertAlign w:val="superscript"/>
        </w:rPr>
        <w:t>4</w:t>
      </w:r>
      <w:r w:rsidR="00467DD1" w:rsidRPr="00472719">
        <w:rPr>
          <w:rFonts w:ascii="Book Antiqua" w:hAnsi="Book Antiqua" w:cs="Times New Roman"/>
          <w:noProof/>
          <w:vertAlign w:val="superscript"/>
        </w:rPr>
        <w:t>]</w:t>
      </w:r>
      <w:r w:rsidRPr="00472719">
        <w:rPr>
          <w:rFonts w:ascii="Book Antiqua" w:hAnsi="Book Antiqua" w:cs="Times New Roman"/>
        </w:rPr>
        <w:fldChar w:fldCharType="end"/>
      </w:r>
      <w:r w:rsidRPr="00472719">
        <w:rPr>
          <w:rFonts w:ascii="Book Antiqua" w:hAnsi="Book Antiqua" w:cs="Times New Roman"/>
        </w:rPr>
        <w:t xml:space="preserve">. However in cases of </w:t>
      </w:r>
      <w:r w:rsidR="008A5D99" w:rsidRPr="00472719">
        <w:rPr>
          <w:rFonts w:ascii="Book Antiqua" w:hAnsi="Book Antiqua" w:cs="Times New Roman"/>
        </w:rPr>
        <w:t xml:space="preserve">WON </w:t>
      </w:r>
      <w:r w:rsidRPr="00472719">
        <w:rPr>
          <w:rFonts w:ascii="Book Antiqua" w:hAnsi="Book Antiqua" w:cs="Times New Roman"/>
        </w:rPr>
        <w:t>this may not be applicable as stent occlusion and consequent treatment failure are very much likely</w:t>
      </w:r>
      <w:r w:rsidR="003B61BA" w:rsidRPr="00472719">
        <w:rPr>
          <w:rFonts w:ascii="Book Antiqua" w:hAnsi="Book Antiqua" w:cs="Times New Roman"/>
        </w:rPr>
        <w:t xml:space="preserve"> and it should be stressed that the chance of clinical resolution and success is depended on adequate drainage</w:t>
      </w:r>
      <w:r w:rsidRPr="00472719">
        <w:rPr>
          <w:rFonts w:ascii="Book Antiqua" w:hAnsi="Book Antiqua" w:cs="Times New Roman"/>
        </w:rPr>
        <w:t xml:space="preserve">. This is underlined by the success of MTGT technique for </w:t>
      </w:r>
      <w:r w:rsidR="008A5D99" w:rsidRPr="00472719">
        <w:rPr>
          <w:rFonts w:ascii="Book Antiqua" w:hAnsi="Book Antiqua" w:cs="Times New Roman"/>
        </w:rPr>
        <w:t xml:space="preserve">WON </w:t>
      </w:r>
      <w:r w:rsidRPr="00472719">
        <w:rPr>
          <w:rFonts w:ascii="Book Antiqua" w:hAnsi="Book Antiqua" w:cs="Times New Roman"/>
        </w:rPr>
        <w:t xml:space="preserve">proposed by </w:t>
      </w:r>
      <w:proofErr w:type="spellStart"/>
      <w:r w:rsidRPr="00472719">
        <w:rPr>
          <w:rFonts w:ascii="Book Antiqua" w:hAnsi="Book Antiqua" w:cs="Times New Roman"/>
        </w:rPr>
        <w:t>Varadarajalu</w:t>
      </w:r>
      <w:proofErr w:type="spellEnd"/>
      <w:r w:rsidRPr="00472719">
        <w:rPr>
          <w:rFonts w:ascii="Book Antiqua" w:hAnsi="Book Antiqua" w:cs="Times New Roman"/>
        </w:rPr>
        <w:t xml:space="preserve"> </w:t>
      </w:r>
      <w:r w:rsidR="0081329E" w:rsidRPr="00472719">
        <w:rPr>
          <w:rFonts w:ascii="Book Antiqua" w:hAnsi="Book Antiqua" w:cs="Times New Roman"/>
          <w:i/>
        </w:rPr>
        <w:t>et al</w:t>
      </w:r>
      <w:r w:rsidRPr="00472719">
        <w:rPr>
          <w:rFonts w:ascii="Book Antiqua" w:hAnsi="Book Antiqua" w:cs="Times New Roman"/>
        </w:rPr>
        <w:t xml:space="preserve"> where placement of multiple stents at different sites along with a </w:t>
      </w:r>
      <w:proofErr w:type="spellStart"/>
      <w:r w:rsidRPr="00472719">
        <w:rPr>
          <w:rFonts w:ascii="Book Antiqua" w:hAnsi="Book Antiqua" w:cs="Times New Roman"/>
        </w:rPr>
        <w:t>nasocystic</w:t>
      </w:r>
      <w:proofErr w:type="spellEnd"/>
      <w:r w:rsidRPr="00472719">
        <w:rPr>
          <w:rFonts w:ascii="Book Antiqua" w:hAnsi="Book Antiqua" w:cs="Times New Roman"/>
        </w:rPr>
        <w:t xml:space="preserve"> drain achieved clinical resolution in more than 90% cases</w:t>
      </w:r>
      <w:r w:rsidR="0045442A" w:rsidRPr="00472719">
        <w:rPr>
          <w:rFonts w:ascii="Book Antiqua" w:hAnsi="Book Antiqua" w:cs="Times New Roman"/>
        </w:rPr>
        <w:fldChar w:fldCharType="begin" w:fldLock="1"/>
      </w:r>
      <w:r w:rsidR="00FA79D6" w:rsidRPr="00472719">
        <w:rPr>
          <w:rFonts w:ascii="Book Antiqua" w:hAnsi="Book Antiqua" w:cs="Times New Roman"/>
        </w:rPr>
        <w:instrText>ADDIN CSL_CITATION { "citationItems" : [ { "id" : "ITEM-1", "itemData" : { "DOI" : "10.1016/j.gie.2011.03.1122", "ISSN" : "1097-6779", "PMID" : "21612778", "abstract" : "BACKGROUND: Walled-off pancreatic necrosis often leads to severe clinical deterioration necessitating open debridement or endoscopic necrosectomy. A new EUS-based approach was devised to manage this condition by creating multiple transluminal gateways to facilitate effective drainage of the necrotic contents.\n\nOBJECTIVE: To compare treatment outcomes between patients with walled-off pancreatic necrosis managed endoscopically by a multiple transluminal gateway technique (MTGT) or a conventional drainage technique (CDT).\n\nDESIGN: Retrospective study.\n\nSETTING: Tertiary-care referral center.\n\nPATIENTS: This study involved patients with severe acute pancreatitis complicated by walled-off pancreatic necrosis managed endoscopically.\n\nINTERVENTION: In MTGT, 2 or 3 transmural tracts were created by using EUS guidance between the necrotic cavity and the GI lumen. While one tract was used to flush normal saline solution via a nasocystic catheter, multiple stents were deployed in others to facilitate drainage of necrotic contents. In the CDT, two stents with a nasocystic catheter were deployed via 1 transmural tract.\n\nMAIN OUTCOME MEASUREMENTS: Resolution of symptoms, radiological findings on follow-up CT, and the need for subsequent surgery or endoscopic necrosectomy.\n\nRESULTS: Of 60 patients with symptomatic walled-off pancreatic necrosis, 12 (3 women, mean age 55.1 years) were managed by MTGT and 48 (12 women, mean age 55.2 years) by CDT. Treatment was successful in 11 of 12 (91.7%) patients managed by MTGT versus 25 of 48 (52.1%) managed by CDT (P = .01). Although 1 patient in the MTGT cohort required endoscopic necrosectomy, in the CDT cohort, 17 required surgery, 3 underwent endoscopic necrosectomy, and 3 died of multiple-organ failure. Treatment success was more likely for patients treated by MTGT than by CDT (adjusted odds ratio = 9.24; 95% confidence interval, 1.08-79.02; P = .04) when we adjusted for the size of the walled-off pancreatic necrosis and pancreatic duct stent placement.\n\nLIMITATIONS: Selective patient population.\n\nCONCLUSION: The EUS-guided MTGT is an effective treatment option for the management of symptomatic walled-off pancreatic necrosis because it obviates the need for surgery and endoscopic necrosectomy and its attendant procedure-related morbidity. Prospective studies are required to confirm these preliminary but promising data.", "author" : [ { "dropping-particle" : "", "family" : "Varadarajulu", "given" : "Shyam", "non-dropping-particle" : "", "parse-names" : false, "suffix" : "" }, { "dropping-particle" : "", "family" : "Phadnis", "given" : "Milind a", "non-dropping-particle" : "", "parse-names" : false, "suffix" : "" }, { "dropping-particle" : "", "family" : "Christein", "given" : "John D", "non-dropping-particle" : "", "parse-names" : false, "suffix" : "" }, { "dropping-particle" : "", "family" : "Wilcox", "given" : "C Mel", "non-dropping-particle" : "", "parse-names" : false, "suffix" : "" } ], "container-title" : "Gastrointestinal endoscopy", "id" : "ITEM-1", "issue" : "1", "issued" : { "date-parts" : [ [ "2011", "7" ] ] }, "page" : "74-80", "publisher" : "Elsevier Inc.", "title" : "Multiple transluminal gateway technique for EUS-guided drainage of symptomatic walled-off pancreatic necrosis.", "type" : "article-journal", "volume" : "74" }, "uris" : [ "http://www.mendeley.com/documents/?uuid=3e4b624c-6458-4c1c-82db-1ef340fca8c5", "http://www.mendeley.com/documents/?uuid=0d5698e0-e5a3-49d6-bda4-f37a5c68095c" ] } ], "mendeley" : { "formattedCitation" : "&lt;sup&gt;[18]&lt;/sup&gt;", "plainTextFormattedCitation" : "[18]", "previouslyFormattedCitation" : "&lt;sup&gt;[18]&lt;/sup&gt;" }, "properties" : { "noteIndex" : 0 }, "schema" : "https://github.com/citation-style-language/schema/raw/master/csl-citation.json" }</w:instrText>
      </w:r>
      <w:r w:rsidR="0045442A" w:rsidRPr="00472719">
        <w:rPr>
          <w:rFonts w:ascii="Book Antiqua" w:hAnsi="Book Antiqua" w:cs="Times New Roman"/>
        </w:rPr>
        <w:fldChar w:fldCharType="separate"/>
      </w:r>
      <w:r w:rsidR="00467DD1" w:rsidRPr="00472719">
        <w:rPr>
          <w:rFonts w:ascii="Book Antiqua" w:hAnsi="Book Antiqua" w:cs="Times New Roman"/>
          <w:noProof/>
          <w:vertAlign w:val="superscript"/>
        </w:rPr>
        <w:t>[18]</w:t>
      </w:r>
      <w:r w:rsidR="0045442A" w:rsidRPr="00472719">
        <w:rPr>
          <w:rFonts w:ascii="Book Antiqua" w:hAnsi="Book Antiqua" w:cs="Times New Roman"/>
        </w:rPr>
        <w:fldChar w:fldCharType="end"/>
      </w:r>
      <w:r w:rsidRPr="00472719">
        <w:rPr>
          <w:rFonts w:ascii="Book Antiqua" w:hAnsi="Book Antiqua" w:cs="Times New Roman"/>
        </w:rPr>
        <w:t>.</w:t>
      </w:r>
    </w:p>
    <w:p w14:paraId="0837BF08" w14:textId="77777777" w:rsidR="005F3A3D" w:rsidRPr="00472719" w:rsidRDefault="005F3A3D" w:rsidP="00472719">
      <w:pPr>
        <w:autoSpaceDE w:val="0"/>
        <w:autoSpaceDN w:val="0"/>
        <w:adjustRightInd w:val="0"/>
        <w:snapToGrid w:val="0"/>
        <w:spacing w:line="360" w:lineRule="auto"/>
        <w:jc w:val="both"/>
        <w:rPr>
          <w:rFonts w:ascii="Book Antiqua" w:hAnsi="Book Antiqua"/>
          <w:color w:val="000000"/>
        </w:rPr>
      </w:pPr>
    </w:p>
    <w:p w14:paraId="5DA8537F" w14:textId="7381657D" w:rsidR="005F3A3D" w:rsidRPr="00472719" w:rsidRDefault="005F3A3D"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color w:val="000000"/>
        </w:rPr>
        <w:t>Definition of clinical and radiological success</w:t>
      </w:r>
    </w:p>
    <w:p w14:paraId="1D9814D1" w14:textId="6ADF4616" w:rsidR="00B37D01" w:rsidRPr="00472719" w:rsidRDefault="00B37D01"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t xml:space="preserve">Technical success is defined as the ability to access and drain the pancreatic </w:t>
      </w:r>
      <w:proofErr w:type="spellStart"/>
      <w:r w:rsidRPr="00472719">
        <w:rPr>
          <w:rFonts w:ascii="Book Antiqua" w:hAnsi="Book Antiqua"/>
        </w:rPr>
        <w:t>pseudocyst</w:t>
      </w:r>
      <w:proofErr w:type="spellEnd"/>
      <w:r w:rsidRPr="00472719">
        <w:rPr>
          <w:rFonts w:ascii="Book Antiqua" w:hAnsi="Book Antiqua"/>
        </w:rPr>
        <w:t xml:space="preserve"> by the placement of a stent. Treatment success involves both clinical and radiologic improvement. Clinical success refers to the resolution of the symptoms that prompted the intervention.</w:t>
      </w:r>
      <w:r w:rsidR="00F6294A" w:rsidRPr="00472719">
        <w:rPr>
          <w:rFonts w:ascii="Book Antiqua" w:hAnsi="Book Antiqua"/>
        </w:rPr>
        <w:t xml:space="preserve"> </w:t>
      </w:r>
      <w:r w:rsidRPr="00472719">
        <w:rPr>
          <w:rFonts w:ascii="Book Antiqua" w:hAnsi="Book Antiqua"/>
        </w:rPr>
        <w:t xml:space="preserve">Radiologic success refers to the decrease in size or </w:t>
      </w:r>
      <w:r w:rsidR="008A5D99" w:rsidRPr="00472719">
        <w:rPr>
          <w:rFonts w:ascii="Book Antiqua" w:hAnsi="Book Antiqua"/>
        </w:rPr>
        <w:t>resolution of the cyst. In a randomized clinical trial</w:t>
      </w:r>
      <w:r w:rsidRPr="00472719">
        <w:rPr>
          <w:rFonts w:ascii="Book Antiqua" w:hAnsi="Book Antiqua"/>
        </w:rPr>
        <w:t xml:space="preserve"> which compared endoscopic and surgical drainage for </w:t>
      </w:r>
      <w:proofErr w:type="spellStart"/>
      <w:r w:rsidRPr="00472719">
        <w:rPr>
          <w:rFonts w:ascii="Book Antiqua" w:hAnsi="Book Antiqua"/>
        </w:rPr>
        <w:t>pseudocysts</w:t>
      </w:r>
      <w:proofErr w:type="spellEnd"/>
      <w:r w:rsidRPr="00472719">
        <w:rPr>
          <w:rFonts w:ascii="Book Antiqua" w:hAnsi="Book Antiqua"/>
        </w:rPr>
        <w:t>, treatment success for endoscopy was defined as complete resolution or a decrease in size of the fluid collection to 2 cm or smaller on CT</w:t>
      </w:r>
      <w:r w:rsidR="008A5D99" w:rsidRPr="00472719">
        <w:rPr>
          <w:rFonts w:ascii="Book Antiqua" w:hAnsi="Book Antiqua"/>
        </w:rPr>
        <w:t xml:space="preserve"> scan</w:t>
      </w:r>
      <w:r w:rsidRPr="00472719">
        <w:rPr>
          <w:rFonts w:ascii="Book Antiqua" w:hAnsi="Book Antiqua"/>
        </w:rPr>
        <w:t xml:space="preserve"> in association with </w:t>
      </w:r>
      <w:r w:rsidR="008A5D99" w:rsidRPr="00472719">
        <w:rPr>
          <w:rFonts w:ascii="Book Antiqua" w:hAnsi="Book Antiqua"/>
        </w:rPr>
        <w:t xml:space="preserve">resolution of symptoms at the 8 </w:t>
      </w:r>
      <w:r w:rsidRPr="00472719">
        <w:rPr>
          <w:rFonts w:ascii="Book Antiqua" w:hAnsi="Book Antiqua"/>
        </w:rPr>
        <w:t>week</w:t>
      </w:r>
      <w:r w:rsidR="008A5D99" w:rsidRPr="00472719">
        <w:rPr>
          <w:rFonts w:ascii="Book Antiqua" w:hAnsi="Book Antiqua"/>
        </w:rPr>
        <w:t>s</w:t>
      </w:r>
      <w:r w:rsidRPr="00472719">
        <w:rPr>
          <w:rFonts w:ascii="Book Antiqua" w:hAnsi="Book Antiqua"/>
        </w:rPr>
        <w:t xml:space="preserve"> outpatient follow</w:t>
      </w:r>
      <w:r w:rsidR="008A5D99" w:rsidRPr="00472719">
        <w:rPr>
          <w:rFonts w:ascii="Book Antiqua" w:hAnsi="Book Antiqua"/>
        </w:rPr>
        <w:t xml:space="preserve"> </w:t>
      </w:r>
      <w:r w:rsidR="00C56FB8" w:rsidRPr="00472719">
        <w:rPr>
          <w:rFonts w:ascii="Book Antiqua" w:hAnsi="Book Antiqua"/>
        </w:rPr>
        <w:t>up evaluation</w:t>
      </w:r>
      <w:r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"10.1053/j.gastro.2013.05.046", "ISSN" : "1528-0012", "PMID" : "23732774", "abstract" : "BACKGROUND &amp; AIMS: Although surgery is the standard technique for drainage of pancreatic pseudocysts, use of endoscopic methods is increasing. We performed a single-center, open-label, randomized trial to compare endoscopic and surgical cystogastrostomy for pancreatic pseudocyst drainage.\n\nMETHODS: Patients with pancreatic pseudocysts underwent endoscopic (n = 20) or surgical cystogastrostomy (n\u00a0= 20). The primary end point was pseudocyst recurrence after a 24-month follow-up period. Secondary end points were treatment success or failure, complications, re-interventions, length of hospital stay, physical and mental health scores, and total costs.\n\nRESULTS: At the end of the follow-up period, none of the patients who received endoscopic therapy had a pseudocyst recurrence, compared with 1 patient treated surgically. There were no differences in treatment successes, complications, or re-interventions between the groups. However, the length of hospital stay was shorter for patients who underwent endoscopic cystogastrostomy (median, 2 days, vs 6 days in the surgery group; P &lt; .001). Although there were no differences in physical component scores and mental health component scores (MCS) between groups at baseline on the Medical Outcomes Study 36-Item Short-Form General Survey questionnaire, longitudinal analysis showed significantly better physical component scores (P\u00a0= .019) and mental health component scores (P\u00a0= .025) for the endoscopy treatment group. The total mean cost was lower for patients managed by endoscopy than surgery ($7011 vs $15,052; P\u00a0= .003).\n\nCONCLUSIONS: In a randomized trial comparing endoscopic and surgical cystogastrostomy for pancreatic pseudocyst drainage, none of the patients in the endoscopy group had pseudocyst recurrence during the follow-up period, therefore there is no evidence that surgical cystogastrostomy is superior. However, endoscopic treatment was associated with shorter hospital stays, better physical and mental health of patients, and lower cost.\n\nTRIAL REGISTRATION: ClinicalTrials.gov: NCT00826501.", "author" : [ { "dropping-particle" : "", "family" : "Varadarajulu", "given" : "Shyam", "non-dropping-particle" : "", "parse-names" : false, "suffix" : "" }, { "dropping-particle" : "", "family" : "Bang", "given" : "Ji Young", "non-dropping-particle" : "", "parse-names" : false, "suffix" : "" }, { "dropping-particle" : "", "family" : "Sutton", "given" : "Bryce S", "non-dropping-particle" : "", "parse-names" : false, "suffix" : "" }, { "dropping-particle" : "", "family" : "Trevino", "given" : "Jessica M", "non-dropping-particle" : "", "parse-names" : false, "suffix" : "" }, { "dropping-particle" : "", "family" : "Christein", "given" : "John D", "non-dropping-particle" : "", "parse-names" : false, "suffix" : "" }, { "dropping-particle" : "", "family" : "Wilcox", "given" : "C Mel", "non-dropping-particle" : "", "parse-names" : false, "suffix" : "" } ], "container-title" : "Gastroenterology", "id" : "ITEM-1", "issue" : "3", "issued" : { "date-parts" : [ [ "2013", "9" ] ] }, "page" : "583-90.e1", "publisher" : "Elsevier, Inc", "title" : "Equal efficacy of endoscopic and surgical cystogastrostomy for pancreatic pseudocyst drainage in a randomized trial.", "type" : "article-journal", "volume" : "145" }, "uris" : [ "http://www.mendeley.com/documents/?uuid=63f338ec-3743-443d-9802-494c0708eb89", "http://www.mendeley.com/documents/?uuid=f1d56fe8-0c50-4972-b19b-1be6d9950687" ] } ], "mendeley" : { "formattedCitation" : "&lt;sup&gt;[8]&lt;/sup&gt;", "plainTextFormattedCitation" : "[8]", "previouslyFormattedCitation" : "&lt;sup&gt;[8]&lt;/sup&gt;" }, "properties" : { "noteIndex" : 0 }, "schema" : "https://github.com/citation-style-language/schema/raw/master/csl-citation.json" }</w:instrText>
      </w:r>
      <w:r w:rsidRPr="00472719">
        <w:rPr>
          <w:rFonts w:ascii="Book Antiqua" w:hAnsi="Book Antiqua"/>
        </w:rPr>
        <w:fldChar w:fldCharType="separate"/>
      </w:r>
      <w:r w:rsidR="00467DD1" w:rsidRPr="00472719">
        <w:rPr>
          <w:rFonts w:ascii="Book Antiqua" w:hAnsi="Book Antiqua"/>
          <w:noProof/>
          <w:vertAlign w:val="superscript"/>
        </w:rPr>
        <w:t>[8]</w:t>
      </w:r>
      <w:r w:rsidRPr="00472719">
        <w:rPr>
          <w:rFonts w:ascii="Book Antiqua" w:hAnsi="Book Antiqua"/>
        </w:rPr>
        <w:fldChar w:fldCharType="end"/>
      </w:r>
      <w:r w:rsidRPr="00472719">
        <w:rPr>
          <w:rFonts w:ascii="Book Antiqua" w:hAnsi="Book Antiqua"/>
        </w:rPr>
        <w:t xml:space="preserve">. Follow </w:t>
      </w:r>
      <w:r w:rsidR="008A5D99" w:rsidRPr="00472719">
        <w:rPr>
          <w:rFonts w:ascii="Book Antiqua" w:hAnsi="Book Antiqua"/>
        </w:rPr>
        <w:t>up is usually done with upper</w:t>
      </w:r>
      <w:r w:rsidRPr="00472719">
        <w:rPr>
          <w:rFonts w:ascii="Book Antiqua" w:hAnsi="Book Antiqua"/>
        </w:rPr>
        <w:t xml:space="preserve"> endoscopies and imaging which could be either CT scan or abdominal ultrasound. </w:t>
      </w:r>
    </w:p>
    <w:p w14:paraId="6E635C0E" w14:textId="77777777" w:rsidR="00195269" w:rsidRPr="00472719" w:rsidRDefault="00195269" w:rsidP="00472719">
      <w:pPr>
        <w:autoSpaceDE w:val="0"/>
        <w:autoSpaceDN w:val="0"/>
        <w:adjustRightInd w:val="0"/>
        <w:snapToGrid w:val="0"/>
        <w:spacing w:line="360" w:lineRule="auto"/>
        <w:jc w:val="both"/>
        <w:rPr>
          <w:rFonts w:ascii="Book Antiqua" w:hAnsi="Book Antiqua"/>
          <w:color w:val="000000"/>
        </w:rPr>
      </w:pPr>
    </w:p>
    <w:p w14:paraId="74CF85E3" w14:textId="1290A704" w:rsidR="00B37D01" w:rsidRPr="00472719" w:rsidRDefault="00195269"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color w:val="000000"/>
        </w:rPr>
        <w:t>Efficacy of EUS guided drainage o</w:t>
      </w:r>
      <w:r w:rsidR="00B37D01" w:rsidRPr="00472719">
        <w:rPr>
          <w:rFonts w:ascii="Book Antiqua" w:hAnsi="Book Antiqua"/>
          <w:b/>
          <w:caps/>
          <w:color w:val="000000"/>
        </w:rPr>
        <w:t>f pancreatic fluid collections</w:t>
      </w:r>
    </w:p>
    <w:p w14:paraId="58503898" w14:textId="0BEEEA35" w:rsidR="00D2290E" w:rsidRPr="00472719" w:rsidRDefault="00D2290E" w:rsidP="00472719">
      <w:pPr>
        <w:autoSpaceDE w:val="0"/>
        <w:autoSpaceDN w:val="0"/>
        <w:adjustRightInd w:val="0"/>
        <w:snapToGrid w:val="0"/>
        <w:spacing w:line="360" w:lineRule="auto"/>
        <w:jc w:val="both"/>
        <w:rPr>
          <w:rFonts w:ascii="Book Antiqua" w:hAnsi="Book Antiqua"/>
        </w:rPr>
      </w:pPr>
      <w:r w:rsidRPr="00472719">
        <w:rPr>
          <w:rFonts w:ascii="Book Antiqua" w:hAnsi="Book Antiqua"/>
        </w:rPr>
        <w:t>Very high clinical success rates between 90</w:t>
      </w:r>
      <w:r w:rsidR="00C56FB8" w:rsidRPr="00472719">
        <w:rPr>
          <w:rFonts w:ascii="Book Antiqua" w:hAnsi="Book Antiqua"/>
          <w:lang w:eastAsia="zh-CN"/>
        </w:rPr>
        <w:t>%</w:t>
      </w:r>
      <w:r w:rsidRPr="00472719">
        <w:rPr>
          <w:rFonts w:ascii="Book Antiqua" w:hAnsi="Book Antiqua"/>
        </w:rPr>
        <w:t>-100% have been achi</w:t>
      </w:r>
      <w:r w:rsidR="00C56FB8" w:rsidRPr="00472719">
        <w:rPr>
          <w:rFonts w:ascii="Book Antiqua" w:hAnsi="Book Antiqua"/>
        </w:rPr>
        <w:t xml:space="preserve">eved in drainage of </w:t>
      </w:r>
      <w:proofErr w:type="spellStart"/>
      <w:r w:rsidR="00C56FB8" w:rsidRPr="00472719">
        <w:rPr>
          <w:rFonts w:ascii="Book Antiqua" w:hAnsi="Book Antiqua"/>
        </w:rPr>
        <w:t>pseudocysts</w:t>
      </w:r>
      <w:proofErr w:type="spellEnd"/>
      <w:r w:rsidR="002E201D"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"10.1016/j.gie.2005.06.028", "ISSN" : "0016-5107", "PMID" : "16564865", "abstract" : "BACKGROUND: Pancreatic-fluid collections are frequent sequelae of acute and chronic pancreatitis, and endoscopic drainage of these collections has gained acceptance as an alternative to surgical drainage.\n\nMETHODS: Patient data, collection characteristics, drainage technique, and outcomes were obtained through chart review and prospective follow-up for 116 patients with attempted endoscopic drainage of symptomatic pancreatic-fluid collections.\n\nRESULTS: A total of 116 patients presented with fluid collections classified as acute fluid collection (n = 5), necrosis (n = 8), acute pseudocyst (n = 30), chronic pseudocyst (n = 64), and pancreatic abscess (n = 9). The median diameter of the collection drained was 60 mm (15-275 mm). Median follow-up after drainage was 21 months. The drainage technique was transpapillary in 15 patients, transmural in 60, and both in 41. Successful resolution of symptoms and collection occurred in 87.9% of cases. No difference in success rates was observed between patients with acute pancreatitis and those with chronic pancreatitis. However, drainage of organized necrosis was associated with a significantly higher failure rate than other collections. No significant differences were observed regarding success when disease, drainage technique, or site of drainage was considered. Complications occurred in 13 patients (11%), and there were 6 deaths in the 30 days after drainage, including one that was procedure related.\n\nCONCLUSIONS: Endoscopic drainage of pancreatic-fluid collections is successful in the majority of patients and is accompanied by an acceptable complication rate.", "author" : [ { "dropping-particle" : "", "family" : "Hookey", "given" : "Lawrence C", "non-dropping-particle" : "", "parse-names" : false, "suffix" : "" }, { "dropping-particle" : "", "family" : "Debroux", "given" : "S\u00e9bastien", "non-dropping-particle" : "", "parse-names" : false, "suffix" : "" }, { "dropping-particle" : "", "family" : "Delhaye", "given" : "Myriam", "non-dropping-particle" : "", "parse-names" : false, "suffix" : "" }, { "dropping-particle" : "", "family" : "Arvanitakis", "given" : "Marianna", "non-dropping-particle" : "", "parse-names" : false, "suffix" : "" }, { "dropping-particle" : "", "family" : "Moine", "given" : "Olivier", "non-dropping-particle" : "Le", "parse-names" : false, "suffix" : "" }, { "dropping-particle" : "", "family" : "Devi\u00e8re", "given" : "Jacques", "non-dropping-particle" : "", "parse-names" : false, "suffix" : "" } ], "container-title" : "Gastrointestinal endoscopy", "id" : "ITEM-1", "issue" : "4", "issued" : { "date-parts" : [ [ "2006", "4" ] ] }, "page" : "635-43", "title" : "Endoscopic drainage of pancreatic-fluid collections in 116 patients: a comparison of etiologies, drainage techniques, and outcomes.", "type" : "article-journal", "volume" : "63" }, "uris" : [ "http://www.mendeley.com/documents/?uuid=14a18265-5a27-47ae-84c5-a43711ced2fe", "http://www.mendeley.com/documents/?uuid=e050bc13-71fc-4511-9330-79c16e68dab3" ] }, { "id" : "ITEM-2", "itemData" : { "author" : [ { "dropping-particle" : "", "family" : "Lopes CV, Pesenti C, Bories E, Caillol F", "given" : "Giovannini M.", "non-dropping-particle" : "", "parse-names" : false, "suffix" : "" } ], "id" : "ITEM-2", "issue" : "1", "issued" : { "date-parts" : [ [ "2008" ] ] }, "page" : "17-21", "title" : "ENDOSCOPIC ULTRASOUND-GUIDED ENDOSCOPIC TRANSMURAL DRAINAGE OF PANCREATIC PSEUDOCYSTS", "type" : "article-journal", "volume" : "14" }, "uris" : [ "http://www.mendeley.com/documents/?uuid=df17deaf-5971-48a4-928a-c9f61b1b042b", "http://www.mendeley.com/documents/?uuid=b25516b1-96a0-445c-b577-3a5a6e71b233", "http://www.mendeley.com/documents/?uuid=0473c4d0-bd19-4862-a585-85d2411b4cb0" ] }, { "id" : "ITEM-3", "itemData" : { "DOI" : "10.1016/j.gie.2008.04.028", "ISSN" : "1097-6779", "PMID" : "18640677", "abstract" : "BACKGROUND: Although prior studies evaluated the role of EUS and EGD for drainage of pancreatic pseudocysts, there are no randomized trials that compared the technical outcomes between both modalities.\n\nOBJECTIVE: To compare the rate of technical success between EUS and EGD for transmural drainage of pancreatic pseudocysts.\n\nSTUDY DESIGN: A prospective randomized trial.\n\nSETTING: A tertiary-referral center.\n\nPATIENTS: Those with a history of pancreatitis and symptomatic pancreatic pseudocysts that measured greater than 4 cm in size who were referred for endoscopic transmural drainage. Patients with pancreatic abscess or necrosis were excluded.\n\nMAIN OUTCOME MEASUREMENTS: Technical success was defined as the ability to access and drain a pseudocyst by placement of transmural stents. Complications were assessed at 24 hours and at day 30. Treatment success was defined as the complete resolution or decrease in size of the pseudocyst to &lt;or=2 cm on CT in association with clinical resolution of symptoms at 6 weeks of follow-up.\n\nRESULTS: Thirty patients were randomized to undergo pseudocyst drainage by EUS (n = 15) or EGD (n = 15) over a 6-month period. Of the 15 patients randomized to EUS, drainage was not undertaken in one, because an alternative diagnosis of biliary cystadenoma was established at EUS and was excluded (after randomization) from analysis. The mean age of the patients was 47 years; 62% were men (18/29). Except for their sex, there was no difference in patient or clinical characteristics between the 2 cohorts. Although all the patients (n = 14) randomized to an EUS underwent successful drainage (100%), the procedure was technically successful in only 5 of 15 patients (33%) randomized to an EGD (P &lt; .001). All 10 patients who failed drainage by EGD underwent successful drainage of the pseudocyst on a crossover to EUS. There was no significant difference in the rates of treatment success between EUS and EGD after stenting, either by intention-to-treat (ITT) analysis (100% vs 87%; P = .48) or as-treated analysis (95.8% vs 80%; P = .32). Major procedure-related bleeding was encountered in 2 patients in whom drainage by EGD was attempted; one resulted in death and the other necessitated a blood transfusion. No significant difference was observed between EUS and EGD with regard to complications either by ITT (0% vs 13%; P = .48) or as-treated analyses (4% vs 20%; P = .32). Technical success was significantly greater for EUS than EGD, even after adju\u2026", "author" : [ { "dropping-particle" : "", "family" : "Varadarajulu", "given" : "Shyam", "non-dropping-particle" : "", "parse-names" : false, "suffix" : "" }, { "dropping-particle" : "", "family" : "Christein", "given" : "John D", "non-dropping-particle" : "", "parse-names" : false, "suffix" : "" }, { "dropping-particle" : "", "family" : "Tamhane", "given" : "Ashutosh", "non-dropping-particle" : "", "parse-names" : false, "suffix" : "" }, { "dropping-particle" : "", "family" : "Drelichman", "given" : "Ernesto R", "non-dropping-particle" : "", "parse-names" : false, "suffix" : "" }, { "dropping-particle" : "", "family" : "Wilcox", "given" : "C Mel", "non-dropping-particle" : "", "parse-names" : false, "suffix" : "" } ], "container-title" : "Gastrointestinal endoscopy", "id" : "ITEM-3", "issue" : "6", "issued" : { "date-parts" : [ [ "2008", "12" ] ] }, "page" : "1102-11", "publisher" : "American Society for Gastrointestinal Endoscopy", "title" : "Prospective randomized trial comparing EUS and EGD for transmural drainage of pancreatic pseudocysts (with videos).", "type" : "article-journal", "volume" : "68" }, "uris" : [ "http://www.mendeley.com/documents/?uuid=ec0f90f9-276c-4edc-b722-c58e6516727f", "http://www.mendeley.com/documents/?uuid=70e651c4-caf3-4c03-b33c-f131c217713a", "http://www.mendeley.com/documents/?uuid=5e909b64-1a9a-427f-9256-980e3f197db6" ] } ], "mendeley" : { "formattedCitation" : "&lt;sup&gt;[9,12,23]&lt;/sup&gt;", "plainTextFormattedCitation" : "[9,12,23]", "previouslyFormattedCitation" : "&lt;sup&gt;[9,12,23]&lt;/sup&gt;" }, "properties" : { "noteIndex" : 0 }, "schema" : "https://github.com/citation-style-language/schema/raw/master/csl-citation.json" }</w:instrText>
      </w:r>
      <w:r w:rsidR="002E201D" w:rsidRPr="00472719">
        <w:rPr>
          <w:rFonts w:ascii="Book Antiqua" w:hAnsi="Book Antiqua"/>
        </w:rPr>
        <w:fldChar w:fldCharType="separate"/>
      </w:r>
      <w:r w:rsidR="00467DD1" w:rsidRPr="00472719">
        <w:rPr>
          <w:rFonts w:ascii="Book Antiqua" w:hAnsi="Book Antiqua"/>
          <w:noProof/>
          <w:vertAlign w:val="superscript"/>
        </w:rPr>
        <w:t>[9,12,23]</w:t>
      </w:r>
      <w:r w:rsidR="002E201D" w:rsidRPr="00472719">
        <w:rPr>
          <w:rFonts w:ascii="Book Antiqua" w:hAnsi="Book Antiqua"/>
        </w:rPr>
        <w:fldChar w:fldCharType="end"/>
      </w:r>
      <w:r w:rsidR="002E201D" w:rsidRPr="00472719">
        <w:rPr>
          <w:rFonts w:ascii="Book Antiqua" w:hAnsi="Book Antiqua"/>
        </w:rPr>
        <w:t>.</w:t>
      </w:r>
      <w:r w:rsidRPr="00472719">
        <w:rPr>
          <w:rFonts w:ascii="Book Antiqua" w:hAnsi="Book Antiqua"/>
        </w:rPr>
        <w:t xml:space="preserve"> The data on abscess drainage are more limited </w:t>
      </w:r>
      <w:r w:rsidRPr="00472719">
        <w:rPr>
          <w:rFonts w:ascii="Book Antiqua" w:hAnsi="Book Antiqua"/>
        </w:rPr>
        <w:lastRenderedPageBreak/>
        <w:t xml:space="preserve">than </w:t>
      </w:r>
      <w:proofErr w:type="spellStart"/>
      <w:r w:rsidRPr="00472719">
        <w:rPr>
          <w:rFonts w:ascii="Book Antiqua" w:hAnsi="Book Antiqua"/>
        </w:rPr>
        <w:t>pseudocyst</w:t>
      </w:r>
      <w:proofErr w:type="spellEnd"/>
      <w:r w:rsidRPr="00472719">
        <w:rPr>
          <w:rFonts w:ascii="Book Antiqua" w:hAnsi="Book Antiqua"/>
        </w:rPr>
        <w:t xml:space="preserve"> drainage. High treatment success rates ranging from 80%</w:t>
      </w:r>
      <w:r w:rsidR="003E317A"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"10.1016/S0016-5107(05)00541-9", "ISBN" : "0016-5107 (Print)\\r0016-5107 (Linking)", "ISSN" : "00165107", "PMID" : "15990825", "abstract" : "Background: Pancreatic necrosis and pancreatic abscess are severe complications of acute pancreatitis. Surgery is associated with significant morbidity and mortality in these critically ill patients. Endoscopic therapy has the potential to offer a safer and more effective alternative treatment modality. However, its role needs to be further investigated. Methods: This is a retrospective study of the outcome of consecutive patients with pancreatic necrosis and pancreatic abscess, all unfit to undergo surgery, who underwent a new aggressive endoscopic approach. The treatment includes (1) synchronous EUS-guided multiple transmural and/or transpapillary drainage procedures followed by balloon dilation of the cystogastrostoma or cystoduodenostoma, (2) daily endoscopic necrosectomy and saline solution lavage, and (3) sealing of pancreatic fistula by N-butyl-2-cyanoacrylate. Results: Pancreatic necrosis and pancreatic abscesses were successfully drained in 13 patients, thus avoiding emergency surgery as an initial treatment. Surgery was completely avoided in 9 patients over a median follow-up of 8.3 months (range 3-81 months). Surgery was combined with endoscopic therapy in one patient because of abscess extension into the right paracolic gutter, which was not manageable by endoscopic drainage. Because of the \"disconnected-duct syndrome,\" two patients later developed recurrent pseudocysts and underwent elective surgery. Complications included minor bleeding after balloon dilation and necrosectomy in 4 cases, which were self limiting or controlled endoscopically. Conclusions: This aggressive endoscopic approach shows promising results. It expands the potential for endoscopic treatment in patients with pancreatic necrosis and/or pancreatic abscess. Copyright \u00a9 2005 by the American Society for Gastrointestinal Endoscopy.", "author" : [ { "dropping-particle" : "", "family" : "Seewald", "given" : "Stefan", "non-dropping-particle" : "", "parse-names" : false, "suffix" : "" }, { "dropping-particle" : "", "family" : "Groth", "given" : "Stefan", "non-dropping-particle" : "", "parse-names" : false, "suffix" : "" }, { "dropping-particle" : "", "family" : "Omar", "given" : "Salem", "non-dropping-particle" : "", "parse-names" : false, "suffix" : "" }, { "dropping-particle" : "", "family" : "Imazu", "given" : "Hiroo", "non-dropping-particle" : "", "parse-names" : false, "suffix" : "" }, { "dropping-particle" : "", "family" : "Seitz", "given" : "Uwe", "non-dropping-particle" : "", "parse-names" : false, "suffix" : "" }, { "dropping-particle" : "", "family" : "Weerth", "given" : "Andreas", "non-dropping-particle" : "De", "parse-names" : false, "suffix" : "" }, { "dropping-particle" : "", "family" : "Soetikno", "given" : "Roy", "non-dropping-particle" : "", "parse-names" : false, "suffix" : "" }, { "dropping-particle" : "", "family" : "Zhong", "given" : "Yan", "non-dropping-particle" : "", "parse-names" : false, "suffix" : "" }, { "dropping-particle" : "", "family" : "Sriram", "given" : "Parupudi V J", "non-dropping-particle" : "", "parse-names" : false, "suffix" : "" }, { "dropping-particle" : "", "family" : "Ponnudurai", "given" : "Ryan", "non-dropping-particle" : "", "parse-names" : false, "suffix" : "" }, { "dropping-particle" : "", "family" : "Sikka", "given" : "Sanjay", "non-dropping-particle" : "", "parse-names" : false, "suffix" : "" }, { "dropping-particle" : "", "family" : "Thonke", "given" : "Frank", "non-dropping-particle" : "", "parse-names" : false, "suffix" : "" }, { "dropping-particle" : "", "family" : "Soehendra", "given" : "Nib", "non-dropping-particle" : "", "parse-names" : false, "suffix" : "" } ], "container-title" : "Gastrointestinal Endoscopy", "id" : "ITEM-1", "issue" : "1", "issued" : { "date-parts" : [ [ "2005" ] ] }, "page" : "92-100", "title" : "Aggressive endoscopic therapy for pancreatic necrosis and pancreatic abscess: A new safe and effective treatment algorithm (videos)", "type" : "article-journal", "volume" : "62" }, "uris" : [ "http://www.mendeley.com/documents/?uuid=37ec01e1-ee83-460f-bc02-29e9122f5940", "http://www.mendeley.com/documents/?uuid=de64ec68-ed37-4929-a09d-196a9f90d559" ] } ], "mendeley" : { "formattedCitation" : "&lt;sup&gt;[36]&lt;/sup&gt;", "plainTextFormattedCitation" : "[36]", "previouslyFormattedCitation" : "&lt;sup&gt;[36]&lt;/sup&gt;" }, "properties" : { "noteIndex" : 0 }, "schema" : "https://github.com/citation-style-language/schema/raw/master/csl-citation.json" }</w:instrText>
      </w:r>
      <w:r w:rsidR="003E317A" w:rsidRPr="00472719">
        <w:rPr>
          <w:rFonts w:ascii="Book Antiqua" w:hAnsi="Book Antiqua"/>
        </w:rPr>
        <w:fldChar w:fldCharType="separate"/>
      </w:r>
      <w:r w:rsidR="00467DD1" w:rsidRPr="00472719">
        <w:rPr>
          <w:rFonts w:ascii="Book Antiqua" w:hAnsi="Book Antiqua"/>
          <w:noProof/>
          <w:vertAlign w:val="superscript"/>
        </w:rPr>
        <w:t>[3</w:t>
      </w:r>
      <w:r w:rsidR="00843137">
        <w:rPr>
          <w:rFonts w:ascii="Book Antiqua" w:hAnsi="Book Antiqua"/>
          <w:noProof/>
          <w:vertAlign w:val="superscript"/>
        </w:rPr>
        <w:t>5</w:t>
      </w:r>
      <w:r w:rsidR="00467DD1" w:rsidRPr="00472719">
        <w:rPr>
          <w:rFonts w:ascii="Book Antiqua" w:hAnsi="Book Antiqua"/>
          <w:noProof/>
          <w:vertAlign w:val="superscript"/>
        </w:rPr>
        <w:t>]</w:t>
      </w:r>
      <w:r w:rsidR="003E317A" w:rsidRPr="00472719">
        <w:rPr>
          <w:rFonts w:ascii="Book Antiqua" w:hAnsi="Book Antiqua"/>
        </w:rPr>
        <w:fldChar w:fldCharType="end"/>
      </w:r>
      <w:r w:rsidRPr="00472719">
        <w:rPr>
          <w:rFonts w:ascii="Book Antiqua" w:hAnsi="Book Antiqua"/>
        </w:rPr>
        <w:t xml:space="preserve"> to greater than 90%</w:t>
      </w:r>
      <w:r w:rsidR="003E317A"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"10.1016/j.gie.2005.06.028", "ISSN" : "0016-5107", "PMID" : "16564865", "abstract" : "BACKGROUND: Pancreatic-fluid collections are frequent sequelae of acute and chronic pancreatitis, and endoscopic drainage of these collections has gained acceptance as an alternative to surgical drainage.\n\nMETHODS: Patient data, collection characteristics, drainage technique, and outcomes were obtained through chart review and prospective follow-up for 116 patients with attempted endoscopic drainage of symptomatic pancreatic-fluid collections.\n\nRESULTS: A total of 116 patients presented with fluid collections classified as acute fluid collection (n = 5), necrosis (n = 8), acute pseudocyst (n = 30), chronic pseudocyst (n = 64), and pancreatic abscess (n = 9). The median diameter of the collection drained was 60 mm (15-275 mm). Median follow-up after drainage was 21 months. The drainage technique was transpapillary in 15 patients, transmural in 60, and both in 41. Successful resolution of symptoms and collection occurred in 87.9% of cases. No difference in success rates was observed between patients with acute pancreatitis and those with chronic pancreatitis. However, drainage of organized necrosis was associated with a significantly higher failure rate than other collections. No significant differences were observed regarding success when disease, drainage technique, or site of drainage was considered. Complications occurred in 13 patients (11%), and there were 6 deaths in the 30 days after drainage, including one that was procedure related.\n\nCONCLUSIONS: Endoscopic drainage of pancreatic-fluid collections is successful in the majority of patients and is accompanied by an acceptable complication rate.", "author" : [ { "dropping-particle" : "", "family" : "Hookey", "given" : "Lawrence C", "non-dropping-particle" : "", "parse-names" : false, "suffix" : "" }, { "dropping-particle" : "", "family" : "Debroux", "given" : "S\u00e9bastien", "non-dropping-particle" : "", "parse-names" : false, "suffix" : "" }, { "dropping-particle" : "", "family" : "Delhaye", "given" : "Myriam", "non-dropping-particle" : "", "parse-names" : false, "suffix" : "" }, { "dropping-particle" : "", "family" : "Arvanitakis", "given" : "Marianna", "non-dropping-particle" : "", "parse-names" : false, "suffix" : "" }, { "dropping-particle" : "", "family" : "Moine", "given" : "Olivier", "non-dropping-particle" : "Le", "parse-names" : false, "suffix" : "" }, { "dropping-particle" : "", "family" : "Devi\u00e8re", "given" : "Jacques", "non-dropping-particle" : "", "parse-names" : false, "suffix" : "" } ], "container-title" : "Gastrointestinal endoscopy", "id" : "ITEM-1", "issue" : "4", "issued" : { "date-parts" : [ [ "2006", "4" ] ] }, "page" : "635-43", "title" : "Endoscopic drainage of pancreatic-fluid collections in 116 patients: a comparison of etiologies, drainage techniques, and outcomes.", "type" : "article-journal", "volume" : "63" }, "uris" : [ "http://www.mendeley.com/documents/?uuid=14a18265-5a27-47ae-84c5-a43711ced2fe", "http://www.mendeley.com/documents/?uuid=e050bc13-71fc-4511-9330-79c16e68dab3" ] } ], "mendeley" : { "formattedCitation" : "&lt;sup&gt;[12]&lt;/sup&gt;", "plainTextFormattedCitation" : "[12]", "previouslyFormattedCitation" : "&lt;sup&gt;[12]&lt;/sup&gt;" }, "properties" : { "noteIndex" : 0 }, "schema" : "https://github.com/citation-style-language/schema/raw/master/csl-citation.json" }</w:instrText>
      </w:r>
      <w:r w:rsidR="003E317A" w:rsidRPr="00472719">
        <w:rPr>
          <w:rFonts w:ascii="Book Antiqua" w:hAnsi="Book Antiqua"/>
        </w:rPr>
        <w:fldChar w:fldCharType="separate"/>
      </w:r>
      <w:r w:rsidR="00467DD1" w:rsidRPr="00472719">
        <w:rPr>
          <w:rFonts w:ascii="Book Antiqua" w:hAnsi="Book Antiqua"/>
          <w:noProof/>
          <w:vertAlign w:val="superscript"/>
        </w:rPr>
        <w:t>[12]</w:t>
      </w:r>
      <w:r w:rsidR="003E317A" w:rsidRPr="00472719">
        <w:rPr>
          <w:rFonts w:ascii="Book Antiqua" w:hAnsi="Book Antiqua"/>
        </w:rPr>
        <w:fldChar w:fldCharType="end"/>
      </w:r>
      <w:r w:rsidR="003E317A" w:rsidRPr="00472719">
        <w:rPr>
          <w:rFonts w:ascii="Book Antiqua" w:hAnsi="Book Antiqua"/>
        </w:rPr>
        <w:t xml:space="preserve"> </w:t>
      </w:r>
      <w:r w:rsidRPr="00472719">
        <w:rPr>
          <w:rFonts w:ascii="Book Antiqua" w:hAnsi="Book Antiqua"/>
        </w:rPr>
        <w:t>have been reported. However in cases of</w:t>
      </w:r>
      <w:r w:rsidR="008A5D99" w:rsidRPr="00472719">
        <w:rPr>
          <w:rFonts w:ascii="Book Antiqua" w:hAnsi="Book Antiqua"/>
        </w:rPr>
        <w:t xml:space="preserve"> WON</w:t>
      </w:r>
      <w:r w:rsidRPr="00472719">
        <w:rPr>
          <w:rFonts w:ascii="Book Antiqua" w:hAnsi="Book Antiqua"/>
        </w:rPr>
        <w:t>, the results for clinical</w:t>
      </w:r>
      <w:r w:rsidR="003E317A" w:rsidRPr="00472719">
        <w:rPr>
          <w:rFonts w:ascii="Book Antiqua" w:hAnsi="Book Antiqua"/>
        </w:rPr>
        <w:t xml:space="preserve"> resolution are generally poor.</w:t>
      </w:r>
      <w:r w:rsidRPr="00472719">
        <w:rPr>
          <w:rFonts w:ascii="Book Antiqua" w:hAnsi="Book Antiqua"/>
        </w:rPr>
        <w:t xml:space="preserve"> In a recent study of 211 patients with symptomatic </w:t>
      </w:r>
      <w:r w:rsidR="00BE7CE4" w:rsidRPr="00472719">
        <w:rPr>
          <w:rFonts w:ascii="Book Antiqua" w:hAnsi="Book Antiqua"/>
        </w:rPr>
        <w:t>PFCs</w:t>
      </w:r>
      <w:r w:rsidRPr="00472719">
        <w:rPr>
          <w:rFonts w:ascii="Book Antiqua" w:hAnsi="Book Antiqua"/>
        </w:rPr>
        <w:t>, whereas the rate of treatment s</w:t>
      </w:r>
      <w:r w:rsidR="008A5D99" w:rsidRPr="00472719">
        <w:rPr>
          <w:rFonts w:ascii="Book Antiqua" w:hAnsi="Book Antiqua"/>
        </w:rPr>
        <w:t>uccess for sterile and infected</w:t>
      </w:r>
      <w:r w:rsidRPr="00472719">
        <w:rPr>
          <w:rFonts w:ascii="Book Antiqua" w:hAnsi="Book Antiqua"/>
        </w:rPr>
        <w:t xml:space="preserve"> </w:t>
      </w:r>
      <w:proofErr w:type="spellStart"/>
      <w:r w:rsidRPr="00472719">
        <w:rPr>
          <w:rFonts w:ascii="Book Antiqua" w:hAnsi="Book Antiqua"/>
        </w:rPr>
        <w:t>pseudocysts</w:t>
      </w:r>
      <w:proofErr w:type="spellEnd"/>
      <w:r w:rsidRPr="00472719">
        <w:rPr>
          <w:rFonts w:ascii="Book Antiqua" w:hAnsi="Book Antiqua"/>
        </w:rPr>
        <w:t xml:space="preserve"> was 93.5%, it wa</w:t>
      </w:r>
      <w:r w:rsidR="008A5D99" w:rsidRPr="00472719">
        <w:rPr>
          <w:rFonts w:ascii="Book Antiqua" w:hAnsi="Book Antiqua"/>
        </w:rPr>
        <w:t>s only 63.2% for WO</w:t>
      </w:r>
      <w:r w:rsidRPr="00472719">
        <w:rPr>
          <w:rFonts w:ascii="Book Antiqua" w:hAnsi="Book Antiqua"/>
        </w:rPr>
        <w:t>N</w:t>
      </w:r>
      <w:r w:rsidR="003E317A"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"10.1016/j.gie.2008.03.1091", "ISSN" : "1097-6779", "PMID" : "18599050", "abstract" : "BACKGROUND: Although the utility and safety of EUS and EUS-guided FNA is well known, there is a need for more data on outcomes and complications of EUS-guided drainage procedures.\n\nOBJECTIVE: To evaluate the rates of technical success, treatment success, and complications of the graded dilation technique for performing EUS-guided drainage of peripancreatic fluid collections (PFCs) in a large cohort of patients. Also, the technical proficiency for performing EUS-guided drainage of PFCs was evaluated.\n\nDESIGN: A prospective study of all patients undergoing EUS-guided drainage of PFC.\n\nSETTING: A tertiary-referral center.\n\nINTERVENTIONS: After passage of a 0.035-inch guidewire into the PFC by using a 19-gauge needle, graded dilation of the tract was sequentially performed by using a 4.5F ERCP cannula, a 10F ERCP inner guiding catheter, and an 8-mm balloon dilator. A transmural stent and/or drainage catheter was then deployed.\n\nMAIN OUTCOME MEASUREMENTS: To evaluate the technical success, treatment success, and complications of the graded dilation technique. Technical proficiency was evaluated by comparing the procedural duration between the first 25 cases (group A), with a later cohort of patients (group B, n = 29) who underwent EUS-guided drainage of a single PFC.\n\nRESULTS: Sixty patients (41 men; mean age 51 years [range 20-79 years], 6 multiple PFCs) underwent EUS-guided drainage of a PFC (types included 36 pseudocyst, 15 abscess, and 9 necrosis) over a 42-month period. The rates of technical and treatment success were 95% and 93%, respectively. A minor complication of stent migration was encountered in 1 of 60 patients (1.7%). There was no significant difference in patient or clinical characteristics between group A and B patients who were undergoing drainage of a single PFC. Although there was no significant difference in technical or treatment outcome, median procedural duration was significantly shorter for group B than for group A patients (25 vs 70 minutes; P &lt; .001). Procedural duration for performing EUS-guided drainage of a single PFC was more likely to be &lt;30 minutes in group B than in group A patients (crude odds ratio [OR] 18.8; P &lt; .001), which remained significant (adjusted OR 11.8; P = .01), even after adjusting for patient age; serum albumin; type, location, and size of PFCs; drainage modality (stent vs stent plus drainage catheter); and site of endoscopic access for establishing drainage.\n\nCONCLUSIONS: In this study, EUS-guided drainage\u2026", "author" : [ { "dropping-particle" : "", "family" : "Varadarajulu", "given" : "Shyam", "non-dropping-particle" : "", "parse-names" : false, "suffix" : "" }, { "dropping-particle" : "", "family" : "Tamhane", "given" : "Ashutosh", "non-dropping-particle" : "", "parse-names" : false, "suffix" : "" }, { "dropping-particle" : "", "family" : "Blakely", "given" : "Jeanetta", "non-dropping-particle" : "", "parse-names" : false, "suffix" : "" } ], "container-title" : "Gastrointestinal endoscopy", "id" : "ITEM-1", "issue" : "4", "issued" : { "date-parts" : [ [ "2008", "10" ] ] }, "page" : "656-66", "title" : "Graded dilation technique for EUS-guided drainage of peripancreatic fluid collections: an assessment of outcomes and complications and technical proficiency (with video).", "type" : "article-journal", "volume" : "68" }, "uris" : [ "http://www.mendeley.com/documents/?uuid=37caeed2-723b-41f2-b096-3a07ebe96fbf", "http://www.mendeley.com/documents/?uuid=5e60a81d-ec58-4aae-8b33-986ba48bc1c8" ] } ], "mendeley" : { "formattedCitation" : "&lt;sup&gt;[37]&lt;/sup&gt;", "plainTextFormattedCitation" : "[37]", "previouslyFormattedCitation" : "&lt;sup&gt;[37]&lt;/sup&gt;" }, "properties" : { "noteIndex" : 0 }, "schema" : "https://github.com/citation-style-language/schema/raw/master/csl-citation.json" }</w:instrText>
      </w:r>
      <w:r w:rsidR="003E317A" w:rsidRPr="00472719">
        <w:rPr>
          <w:rFonts w:ascii="Book Antiqua" w:hAnsi="Book Antiqua"/>
        </w:rPr>
        <w:fldChar w:fldCharType="separate"/>
      </w:r>
      <w:r w:rsidR="00467DD1" w:rsidRPr="00472719">
        <w:rPr>
          <w:rFonts w:ascii="Book Antiqua" w:hAnsi="Book Antiqua"/>
          <w:noProof/>
          <w:vertAlign w:val="superscript"/>
        </w:rPr>
        <w:t>[3</w:t>
      </w:r>
      <w:r w:rsidR="00843137">
        <w:rPr>
          <w:rFonts w:ascii="Book Antiqua" w:hAnsi="Book Antiqua"/>
          <w:noProof/>
          <w:vertAlign w:val="superscript"/>
        </w:rPr>
        <w:t>6</w:t>
      </w:r>
      <w:r w:rsidR="00467DD1" w:rsidRPr="00472719">
        <w:rPr>
          <w:rFonts w:ascii="Book Antiqua" w:hAnsi="Book Antiqua"/>
          <w:noProof/>
          <w:vertAlign w:val="superscript"/>
        </w:rPr>
        <w:t>]</w:t>
      </w:r>
      <w:r w:rsidR="003E317A" w:rsidRPr="00472719">
        <w:rPr>
          <w:rFonts w:ascii="Book Antiqua" w:hAnsi="Book Antiqua"/>
        </w:rPr>
        <w:fldChar w:fldCharType="end"/>
      </w:r>
      <w:r w:rsidRPr="00472719">
        <w:rPr>
          <w:rFonts w:ascii="Book Antiqua" w:hAnsi="Book Antiqua"/>
        </w:rPr>
        <w:t xml:space="preserve">. If an aggressive endoscopic approach using endoscopic </w:t>
      </w:r>
      <w:proofErr w:type="spellStart"/>
      <w:r w:rsidRPr="00472719">
        <w:rPr>
          <w:rFonts w:ascii="Book Antiqua" w:hAnsi="Book Antiqua"/>
        </w:rPr>
        <w:t>necrosectomy</w:t>
      </w:r>
      <w:proofErr w:type="spellEnd"/>
      <w:r w:rsidRPr="00472719">
        <w:rPr>
          <w:rFonts w:ascii="Book Antiqua" w:hAnsi="Book Antiqua"/>
        </w:rPr>
        <w:t xml:space="preserve"> is adopted, success rates up to 81%</w:t>
      </w:r>
      <w:r w:rsidR="003E317A"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"10.1136/gut.2008.163733", "ISBN" : "1468-3288 (Electronic)\\r1468-3288 (Linking)", "ISSN" : "0017-5749", "PMID" : "19282306", "abstract" : "As with endoscopic transmural drainage of peripancreatic fluid collections, the same transluminal access can be expanded to introduce an endoscope through the gastrointestinal wall into the retroperitoneum and remove infected pancreatic necroses under direct visual control. This study reports the first large series with long-term follow-up.", "author" : [ { "dropping-particle" : "", "family" : "Seifert", "given" : "H", "non-dropping-particle" : "", "parse-names" : false, "suffix" : "" }, { "dropping-particle" : "", "family" : "Biermer", "given" : "M", "non-dropping-particle" : "", "parse-names" : false, "suffix" : "" }, { "dropping-particle" : "", "family" : "Schmitt", "given" : "W", "non-dropping-particle" : "", "parse-names" : false, "suffix" : "" }, { "dropping-particle" : "", "family" : "J\u00fcrgensen", "given" : "C", "non-dropping-particle" : "", "parse-names" : false, "suffix" : "" }, { "dropping-particle" : "", "family" : "Will", "given" : "U", "non-dropping-particle" : "", "parse-names" : false, "suffix" : "" }, { "dropping-particle" : "", "family" : "Gerlach", "given" : "R", "non-dropping-particle" : "", "parse-names" : false, "suffix" : "" }, { "dropping-particle" : "", "family" : "Kreitmair", "given" : "C", "non-dropping-particle" : "", "parse-names" : false, "suffix" : "" }, { "dropping-particle" : "", "family" : "Meining", "given" : "a", "non-dropping-particle" : "", "parse-names" : false, "suffix" : "" }, { "dropping-particle" : "", "family" : "Wehrmann", "given" : "T", "non-dropping-particle" : "", "parse-names" : false, "suffix" : "" }, { "dropping-particle" : "", "family" : "R\u00f6sch", "given" : "T", "non-dropping-particle" : "", "parse-names" : false, "suffix" : "" } ], "container-title" : "Gut", "id" : "ITEM-1", "issued" : { "date-parts" : [ [ "2009" ] ] }, "page" : "1260-1266", "title" : "Transluminal endoscopic necrosectomy after acute pancreatitis: a multicentre study with long-term follow-up (the GEPARD Study).", "type" : "article-journal", "volume" : "58" }, "uris" : [ "http://www.mendeley.com/documents/?uuid=d3864d05-3c8a-48a6-9475-e780de5f5559", "http://www.mendeley.com/documents/?uuid=f86f6a92-e02c-4094-b183-f119f682a8d4" ] } ], "mendeley" : { "formattedCitation" : "&lt;sup&gt;[17]&lt;/sup&gt;", "plainTextFormattedCitation" : "[17]", "previouslyFormattedCitation" : "&lt;sup&gt;[17]&lt;/sup&gt;" }, "properties" : { "noteIndex" : 0 }, "schema" : "https://github.com/citation-style-language/schema/raw/master/csl-citation.json" }</w:instrText>
      </w:r>
      <w:r w:rsidR="003E317A" w:rsidRPr="00472719">
        <w:rPr>
          <w:rFonts w:ascii="Book Antiqua" w:hAnsi="Book Antiqua"/>
        </w:rPr>
        <w:fldChar w:fldCharType="separate"/>
      </w:r>
      <w:r w:rsidR="00467DD1" w:rsidRPr="00472719">
        <w:rPr>
          <w:rFonts w:ascii="Book Antiqua" w:hAnsi="Book Antiqua"/>
          <w:noProof/>
          <w:vertAlign w:val="superscript"/>
        </w:rPr>
        <w:t>[17]</w:t>
      </w:r>
      <w:r w:rsidR="003E317A" w:rsidRPr="00472719">
        <w:rPr>
          <w:rFonts w:ascii="Book Antiqua" w:hAnsi="Book Antiqua"/>
        </w:rPr>
        <w:fldChar w:fldCharType="end"/>
      </w:r>
      <w:r w:rsidRPr="00472719">
        <w:rPr>
          <w:rFonts w:ascii="Book Antiqua" w:hAnsi="Book Antiqua"/>
          <w:vertAlign w:val="superscript"/>
        </w:rPr>
        <w:t xml:space="preserve"> </w:t>
      </w:r>
      <w:r w:rsidRPr="00472719">
        <w:rPr>
          <w:rFonts w:ascii="Book Antiqua" w:hAnsi="Book Antiqua"/>
        </w:rPr>
        <w:t>can be achieved in</w:t>
      </w:r>
      <w:r w:rsidR="008A5D99" w:rsidRPr="00472719">
        <w:rPr>
          <w:rFonts w:ascii="Book Antiqua" w:hAnsi="Book Antiqua"/>
        </w:rPr>
        <w:t xml:space="preserve"> WON</w:t>
      </w:r>
      <w:r w:rsidRPr="00472719">
        <w:rPr>
          <w:rFonts w:ascii="Book Antiqua" w:hAnsi="Book Antiqua"/>
        </w:rPr>
        <w:t xml:space="preserve">. Adjunctive surgical and percutaneous drainage may be needed. </w:t>
      </w:r>
      <w:proofErr w:type="spellStart"/>
      <w:r w:rsidRPr="00472719">
        <w:rPr>
          <w:rFonts w:ascii="Book Antiqua" w:hAnsi="Book Antiqua"/>
        </w:rPr>
        <w:t>Varadarajalu</w:t>
      </w:r>
      <w:proofErr w:type="spellEnd"/>
      <w:r w:rsidRPr="00472719">
        <w:rPr>
          <w:rFonts w:ascii="Book Antiqua" w:hAnsi="Book Antiqua"/>
        </w:rPr>
        <w:t xml:space="preserve"> </w:t>
      </w:r>
      <w:r w:rsidR="0081329E" w:rsidRPr="00472719">
        <w:rPr>
          <w:rFonts w:ascii="Book Antiqua" w:hAnsi="Book Antiqua"/>
          <w:i/>
        </w:rPr>
        <w:t>et al</w:t>
      </w:r>
      <w:r w:rsidRPr="00472719">
        <w:rPr>
          <w:rFonts w:ascii="Book Antiqua" w:hAnsi="Book Antiqua"/>
        </w:rPr>
        <w:t xml:space="preserve"> suggested multiple transluminal gateway treatment for </w:t>
      </w:r>
      <w:r w:rsidR="008A5D99" w:rsidRPr="00472719">
        <w:rPr>
          <w:rFonts w:ascii="Book Antiqua" w:hAnsi="Book Antiqua"/>
        </w:rPr>
        <w:t xml:space="preserve">WON </w:t>
      </w:r>
      <w:r w:rsidRPr="00472719">
        <w:rPr>
          <w:rFonts w:ascii="Book Antiqua" w:hAnsi="Book Antiqua"/>
        </w:rPr>
        <w:t>by which they could attain successful response in 92% of patients</w:t>
      </w:r>
      <w:r w:rsidR="003E317A"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"10.1016/j.gie.2011.03.1122", "ISSN" : "1097-6779", "PMID" : "21612778", "abstract" : "BACKGROUND: Walled-off pancreatic necrosis often leads to severe clinical deterioration necessitating open debridement or endoscopic necrosectomy. A new EUS-based approach was devised to manage this condition by creating multiple transluminal gateways to facilitate effective drainage of the necrotic contents.\n\nOBJECTIVE: To compare treatment outcomes between patients with walled-off pancreatic necrosis managed endoscopically by a multiple transluminal gateway technique (MTGT) or a conventional drainage technique (CDT).\n\nDESIGN: Retrospective study.\n\nSETTING: Tertiary-care referral center.\n\nPATIENTS: This study involved patients with severe acute pancreatitis complicated by walled-off pancreatic necrosis managed endoscopically.\n\nINTERVENTION: In MTGT, 2 or 3 transmural tracts were created by using EUS guidance between the necrotic cavity and the GI lumen. While one tract was used to flush normal saline solution via a nasocystic catheter, multiple stents were deployed in others to facilitate drainage of necrotic contents. In the CDT, two stents with a nasocystic catheter were deployed via 1 transmural tract.\n\nMAIN OUTCOME MEASUREMENTS: Resolution of symptoms, radiological findings on follow-up CT, and the need for subsequent surgery or endoscopic necrosectomy.\n\nRESULTS: Of 60 patients with symptomatic walled-off pancreatic necrosis, 12 (3 women, mean age 55.1 years) were managed by MTGT and 48 (12 women, mean age 55.2 years) by CDT. Treatment was successful in 11 of 12 (91.7%) patients managed by MTGT versus 25 of 48 (52.1%) managed by CDT (P = .01). Although 1 patient in the MTGT cohort required endoscopic necrosectomy, in the CDT cohort, 17 required surgery, 3 underwent endoscopic necrosectomy, and 3 died of multiple-organ failure. Treatment success was more likely for patients treated by MTGT than by CDT (adjusted odds ratio = 9.24; 95% confidence interval, 1.08-79.02; P = .04) when we adjusted for the size of the walled-off pancreatic necrosis and pancreatic duct stent placement.\n\nLIMITATIONS: Selective patient population.\n\nCONCLUSION: The EUS-guided MTGT is an effective treatment option for the management of symptomatic walled-off pancreatic necrosis because it obviates the need for surgery and endoscopic necrosectomy and its attendant procedure-related morbidity. Prospective studies are required to confirm these preliminary but promising data.", "author" : [ { "dropping-particle" : "", "family" : "Varadarajulu", "given" : "Shyam", "non-dropping-particle" : "", "parse-names" : false, "suffix" : "" }, { "dropping-particle" : "", "family" : "Phadnis", "given" : "Milind a", "non-dropping-particle" : "", "parse-names" : false, "suffix" : "" }, { "dropping-particle" : "", "family" : "Christein", "given" : "John D", "non-dropping-particle" : "", "parse-names" : false, "suffix" : "" }, { "dropping-particle" : "", "family" : "Wilcox", "given" : "C Mel", "non-dropping-particle" : "", "parse-names" : false, "suffix" : "" } ], "container-title" : "Gastrointestinal endoscopy", "id" : "ITEM-1", "issue" : "1", "issued" : { "date-parts" : [ [ "2011", "7" ] ] }, "page" : "74-80", "publisher" : "Elsevier Inc.", "title" : "Multiple transluminal gateway technique for EUS-guided drainage of symptomatic walled-off pancreatic necrosis.", "type" : "article-journal", "volume" : "74" }, "uris" : [ "http://www.mendeley.com/documents/?uuid=3e4b624c-6458-4c1c-82db-1ef340fca8c5", "http://www.mendeley.com/documents/?uuid=0d5698e0-e5a3-49d6-bda4-f37a5c68095c" ] } ], "mendeley" : { "formattedCitation" : "&lt;sup&gt;[18]&lt;/sup&gt;", "plainTextFormattedCitation" : "[18]", "previouslyFormattedCitation" : "&lt;sup&gt;[18]&lt;/sup&gt;" }, "properties" : { "noteIndex" : 0 }, "schema" : "https://github.com/citation-style-language/schema/raw/master/csl-citation.json" }</w:instrText>
      </w:r>
      <w:r w:rsidR="003E317A" w:rsidRPr="00472719">
        <w:rPr>
          <w:rFonts w:ascii="Book Antiqua" w:hAnsi="Book Antiqua"/>
        </w:rPr>
        <w:fldChar w:fldCharType="separate"/>
      </w:r>
      <w:r w:rsidR="00467DD1" w:rsidRPr="00472719">
        <w:rPr>
          <w:rFonts w:ascii="Book Antiqua" w:hAnsi="Book Antiqua"/>
          <w:noProof/>
          <w:vertAlign w:val="superscript"/>
        </w:rPr>
        <w:t>[18]</w:t>
      </w:r>
      <w:r w:rsidR="003E317A" w:rsidRPr="00472719">
        <w:rPr>
          <w:rFonts w:ascii="Book Antiqua" w:hAnsi="Book Antiqua"/>
        </w:rPr>
        <w:fldChar w:fldCharType="end"/>
      </w:r>
      <w:r w:rsidRPr="00472719">
        <w:rPr>
          <w:rFonts w:ascii="Book Antiqua" w:hAnsi="Book Antiqua"/>
        </w:rPr>
        <w:t>. In a retrospective review o</w:t>
      </w:r>
      <w:r w:rsidR="008A5D99" w:rsidRPr="00472719">
        <w:rPr>
          <w:rFonts w:ascii="Book Antiqua" w:hAnsi="Book Antiqua"/>
        </w:rPr>
        <w:t xml:space="preserve">f 31 patients who underwent EUS </w:t>
      </w:r>
      <w:r w:rsidRPr="00472719">
        <w:rPr>
          <w:rFonts w:ascii="Book Antiqua" w:hAnsi="Book Antiqua"/>
        </w:rPr>
        <w:t xml:space="preserve">guided drainage of fluid collections after pancreatic resection, </w:t>
      </w:r>
      <w:r w:rsidR="008A5D99" w:rsidRPr="00472719">
        <w:rPr>
          <w:rFonts w:ascii="Book Antiqua" w:hAnsi="Book Antiqua"/>
        </w:rPr>
        <w:t xml:space="preserve">EUS </w:t>
      </w:r>
      <w:r w:rsidRPr="00472719">
        <w:rPr>
          <w:rFonts w:ascii="Book Antiqua" w:hAnsi="Book Antiqua"/>
        </w:rPr>
        <w:t>guided drainage was performed effectively with a technical success rate of 100%. Clinical success was achieved in 29 of 31 patients (93%)</w:t>
      </w:r>
      <w:r w:rsidR="003E317A" w:rsidRPr="00472719">
        <w:rPr>
          <w:rFonts w:ascii="Book Antiqua" w:hAnsi="Book Antiqua"/>
        </w:rPr>
        <w:fldChar w:fldCharType="begin" w:fldLock="1"/>
      </w:r>
      <w:r w:rsidR="00FA79D6" w:rsidRPr="00472719">
        <w:rPr>
          <w:rFonts w:ascii="Book Antiqua" w:hAnsi="Book Antiqua"/>
        </w:rPr>
        <w:instrText>ADDIN CSL_CITATION { "citationItems" : [ { "id" : "ITEM-1", "itemData" : { "DOI" : "10.1016/j.jamcollsurg.2013.09.001", "ISSN" : "1879-1190", "PMID" : "24099888", "abstract" : "BACKGROUND: Pancreatic leak is a major cause of morbidity after pancreatectomy. Traditionally, peripancreatic fluid collections have been managed by percutaneous or operative drainage. Data for endoscopic ultrasound (EUS)-guided drainage of postoperative fluid collections are limited. Here we report on the safety, efficacy, and timing of EUS-guided drainage of postoperative peripancreatic collections.\n\nSTUDY DESIGN: This is a retrospective review of 31 patients who underwent EUS-guided drainage of fluid collections after pancreatic resection. Technical success was defined as successful transgastric deployment of at least one double pigtail plastic stent. Clinical success was defined as resolution of the fluid collection on follow-up CT scan and resolution of symptoms. Early drainage was defined as initial transmural stent placement within 30 days after surgery.\n\nRESULTS: Endoscopic ultrasound-guided drainage was performed effectively with a technical success rate of 100%. Clinical success was achieved in 29 of 31 patients (93%). Nineteen of the 29 patients (65%) had complete resolution of their symptoms and collection with the first endoscopic procedure. Repeat drainage procedures, including some with necrosectomy, were required in the remaining 10 patients, with eventual resolution of collection and symptoms. Two patients who did not achieve durable clinical success required percutaneous drainage by interventional radiology. Seventeen (55%) of 31 patients had successful early drainage completed within 30 days of their operation.\n\nCONCLUSIONS: Endoscopic ultrasound-guided drainage of fluid collections after pancreatic resection is safe and effective. Early drainage (&lt;30 days) of postoperative pancreatic fluid collections was not associated with increased complications in this series.", "author" : [ { "dropping-particle" : "", "family" : "Tilara", "given" : "Amy", "non-dropping-particle" : "", "parse-names" : false, "suffix" : "" }, { "dropping-particle" : "", "family" : "Gerdes", "given" : "Hans", "non-dropping-particle" : "", "parse-names" : false, "suffix" : "" }, { "dropping-particle" : "", "family" : "Allen", "given" : "Peter", "non-dropping-particle" : "", "parse-names" : false, "suffix" : "" }, { "dropping-particle" : "", "family" : "Jarnagin", "given" : "William", "non-dropping-particle" : "", "parse-names" : false, "suffix" : "" }, { "dropping-particle" : "", "family" : "Kingham", "given" : "Peter", "non-dropping-particle" : "", "parse-names" : false, "suffix" : "" }, { "dropping-particle" : "", "family" : "Fong", "given" : "Yuman", "non-dropping-particle" : "", "parse-names" : false, "suffix" : "" }, { "dropping-particle" : "", "family" : "DeMatteo", "given" : "Ronald", "non-dropping-particle" : "", "parse-names" : false, "suffix" : "" }, { "dropping-particle" : "", "family" : "D'Angelica", "given" : "Michael", "non-dropping-particle" : "", "parse-names" : false, "suffix" : "" }, { "dropping-particle" : "", "family" : "Schattner", "given" : "Mark", "non-dropping-particle" : "", "parse-names" : false, "suffix" : "" } ], "container-title" : "Journal of the American College of Surgeons", "id" : "ITEM-1", "issue" : "1", "issued" : { "date-parts" : [ [ "2014", "1" ] ] }, "page" : "33-40", "publisher" : "American College of Surgeons", "title" : "Endoscopic ultrasound-guided transmural drainage of postoperative pancreatic collections.", "type" : "article-journal", "volume" : "218" }, "uris" : [ "http://www.mendeley.com/documents/?uuid=19cb06d1-2185-489c-a7d4-3423d8578fe9", "http://www.mendeley.com/documents/?uuid=976ae0d3-24dc-42ea-a166-f16e31125e01" ] } ], "mendeley" : { "formattedCitation" : "&lt;sup&gt;[38]&lt;/sup&gt;", "plainTextFormattedCitation" : "[38]", "previouslyFormattedCitation" : "&lt;sup&gt;[38]&lt;/sup&gt;" }, "properties" : { "noteIndex" : 0 }, "schema" : "https://github.com/citation-style-language/schema/raw/master/csl-citation.json" }</w:instrText>
      </w:r>
      <w:r w:rsidR="003E317A" w:rsidRPr="00472719">
        <w:rPr>
          <w:rFonts w:ascii="Book Antiqua" w:hAnsi="Book Antiqua"/>
        </w:rPr>
        <w:fldChar w:fldCharType="separate"/>
      </w:r>
      <w:r w:rsidR="00467DD1" w:rsidRPr="00472719">
        <w:rPr>
          <w:rFonts w:ascii="Book Antiqua" w:hAnsi="Book Antiqua"/>
          <w:noProof/>
          <w:vertAlign w:val="superscript"/>
        </w:rPr>
        <w:t>[3</w:t>
      </w:r>
      <w:r w:rsidR="00843137">
        <w:rPr>
          <w:rFonts w:ascii="Book Antiqua" w:hAnsi="Book Antiqua"/>
          <w:noProof/>
          <w:vertAlign w:val="superscript"/>
        </w:rPr>
        <w:t>7</w:t>
      </w:r>
      <w:r w:rsidR="00467DD1" w:rsidRPr="00472719">
        <w:rPr>
          <w:rFonts w:ascii="Book Antiqua" w:hAnsi="Book Antiqua"/>
          <w:noProof/>
          <w:vertAlign w:val="superscript"/>
        </w:rPr>
        <w:t>]</w:t>
      </w:r>
      <w:r w:rsidR="003E317A" w:rsidRPr="00472719">
        <w:rPr>
          <w:rFonts w:ascii="Book Antiqua" w:hAnsi="Book Antiqua"/>
        </w:rPr>
        <w:fldChar w:fldCharType="end"/>
      </w:r>
      <w:r w:rsidRPr="00472719">
        <w:rPr>
          <w:rFonts w:ascii="Book Antiqua" w:hAnsi="Book Antiqua"/>
        </w:rPr>
        <w:t>.</w:t>
      </w:r>
    </w:p>
    <w:p w14:paraId="1898050D" w14:textId="77777777" w:rsidR="005F3A3D" w:rsidRPr="00472719" w:rsidRDefault="005F3A3D" w:rsidP="00472719">
      <w:pPr>
        <w:autoSpaceDE w:val="0"/>
        <w:autoSpaceDN w:val="0"/>
        <w:adjustRightInd w:val="0"/>
        <w:snapToGrid w:val="0"/>
        <w:spacing w:line="360" w:lineRule="auto"/>
        <w:jc w:val="both"/>
        <w:rPr>
          <w:rFonts w:ascii="Book Antiqua" w:hAnsi="Book Antiqua"/>
          <w:color w:val="000000"/>
        </w:rPr>
      </w:pPr>
    </w:p>
    <w:p w14:paraId="232FB22F" w14:textId="55609D45" w:rsidR="00B829EC" w:rsidRPr="00472719" w:rsidRDefault="005F3A3D"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color w:val="000000"/>
        </w:rPr>
        <w:t>Complications and risks</w:t>
      </w:r>
      <w:r w:rsidR="00195269" w:rsidRPr="00472719">
        <w:rPr>
          <w:rFonts w:ascii="Book Antiqua" w:hAnsi="Book Antiqua"/>
          <w:b/>
          <w:caps/>
          <w:color w:val="000000"/>
        </w:rPr>
        <w:t xml:space="preserve"> of EUS guided transmural drainage</w:t>
      </w:r>
    </w:p>
    <w:p w14:paraId="09598E5D" w14:textId="31DF471A" w:rsidR="00FA74DD" w:rsidRPr="00472719" w:rsidRDefault="00E87288" w:rsidP="00472719">
      <w:pPr>
        <w:autoSpaceDE w:val="0"/>
        <w:autoSpaceDN w:val="0"/>
        <w:adjustRightInd w:val="0"/>
        <w:snapToGrid w:val="0"/>
        <w:spacing w:line="360" w:lineRule="auto"/>
        <w:jc w:val="both"/>
        <w:rPr>
          <w:rFonts w:ascii="Book Antiqua" w:hAnsi="Book Antiqua"/>
          <w:color w:val="000000"/>
          <w:lang w:eastAsia="zh-CN"/>
        </w:rPr>
      </w:pPr>
      <w:r w:rsidRPr="00472719">
        <w:rPr>
          <w:rFonts w:ascii="Book Antiqua" w:hAnsi="Book Antiqua"/>
          <w:color w:val="000000"/>
        </w:rPr>
        <w:t>The rate of complications range from 1</w:t>
      </w:r>
      <w:r w:rsidR="00C56FB8" w:rsidRPr="00472719">
        <w:rPr>
          <w:rFonts w:ascii="Book Antiqua" w:hAnsi="Book Antiqua"/>
          <w:color w:val="000000"/>
          <w:lang w:eastAsia="zh-CN"/>
        </w:rPr>
        <w:t>%</w:t>
      </w:r>
      <w:r w:rsidR="00C56FB8" w:rsidRPr="00472719">
        <w:rPr>
          <w:rFonts w:ascii="Book Antiqua" w:hAnsi="Book Antiqua"/>
          <w:color w:val="000000"/>
        </w:rPr>
        <w:t>-18%</w:t>
      </w:r>
      <w:r w:rsidRPr="00472719">
        <w:rPr>
          <w:rFonts w:ascii="Book Antiqua" w:hAnsi="Book Antiqua"/>
          <w:color w:val="000000"/>
        </w:rPr>
        <w:fldChar w:fldCharType="begin" w:fldLock="1"/>
      </w:r>
      <w:r w:rsidR="00FA79D6" w:rsidRPr="00472719">
        <w:rPr>
          <w:rFonts w:ascii="Book Antiqua" w:hAnsi="Book Antiqua"/>
          <w:color w:val="000000"/>
        </w:rPr>
        <w:instrText>ADDIN CSL_CITATION { "citationItems" : [ { "id" : "ITEM-1", "itemData" : { "DOI" : "10.1080/00365520601065093", "ISSN" : "0036-5521", "PMID" : "17454865", "abstract" : "OBJECTIVE: Surgery is the traditional treatment for symptomatic pancreatic pseudocysts and abscesses, but morbidity and mortality are still too high. Minimally invasive approaches have been encouraged. The aim of this study was to evaluate the results of the endoscopic-ultrasound-guided (EUS) endoscopic transmural drainage of these pancreatic collections.\n\nMATERIAL AND METHODS: In this retrospective review of consecutive cases from a single referral centre, cystogastrostomy and cystoduodenostomy were created with an interventional linear echoendoscope under endosonographic and fluoroscopic control by the endoscopic insertion of straight or double pigtail stents.\n\nRESULTS: Fifty-one symptomatic patients (33 men; mean age 58 years) were submitted to 62 procedures from January 2003 to December 2005. EUS-guided drainage was successful in 48 (94%) patients. Only three patients needed surgery. There were two procedure-related complications managed clinically. During a mean follow-up of 39 weeks, recurrence due to migration or obstruction of the stent was 17.7%. All these cases were submitted to a new session of endoscopic drainage. There was no mortality. Complications were more frequent in patients with a recent episode of acute pancreatitis (38.5% versus 10%; p=0.083). The endoscopic approach was not more hazardous for abscesses in regard to complications rate (19% versus 16.6%; p&gt;0.05). In abscesses, a nasocystic drain did not decrease the complications rate (27% versus 13%; p=0.619), but the placement of 2 stents did decrease this rate (18% versus 20%; p&gt;0.05), although increased it in pseudocysts (40% versus 13%; p=0.185).\n\nCONCLUSIONS: Endoscopic transmural drainage is a minimally invasive, effective and safe approach in the management of pancreatic pseudocysts and abscesses.", "author" : [ { "dropping-particle" : "", "family" : "Lopes", "given" : "Cesar Vivian", "non-dropping-particle" : "", "parse-names" : false, "suffix" : "" }, { "dropping-particle" : "", "family" : "Pesenti", "given" : "Christian", "non-dropping-particle" : "", "parse-names" : false, "suffix" : "" }, { "dropping-particle" : "", "family" : "Bories", "given" : "Erwan", "non-dropping-particle" : "", "parse-names" : false, "suffix" : "" }, { "dropping-particle" : "", "family" : "Caillol", "given" : "Fabrice", "non-dropping-particle" : "", "parse-names" : false, "suffix" : "" }, { "dropping-particle" : "", "family" : "Giovannini", "given" : "Marc", "non-dropping-particle" : "", "parse-names" : false, "suffix" : "" } ], "container-title" : "Scandinavian journal of gastroenterology", "id" : "ITEM-1", "issue" : "4", "issued" : { "date-parts" : [ [ "2007", "4" ] ] }, "page" : "524-9", "title" : "Endoscopic-ultrasound-guided endoscopic transmural drainage of pancreatic pseudocysts and abscesses.", "type" : "article-journal", "volume" : "42" }, "uris" : [ "http://www.mendeley.com/documents/?uuid=0773dc39-5196-45c8-9858-e1f9414603da", "http://www.mendeley.com/documents/?uuid=82bda7dc-dc36-468a-95c9-ae6067e982db" ] }, { "id" : "ITEM-2", "itemData" : { "DOI" : "10.1055/s", "author" : [ { "dropping-particle" : "", "family" : "Author", "given" : "Corresponding", "non-dropping-particle" : "", "parse-names" : false, "suffix" : "" }, { "dropping-particle" : "", "family" : "Kahaleh", "given" : "M", "non-dropping-particle" : "", "parse-names" : false, "suffix" : "" } ], "id" : "ITEM-2", "issued" : { "date-parts" : [ [ "0" ] ] }, "title" : "Endoscopic Ultrasound Drainage of Pancreatic Pseudocyst : A Prospective Comparison with Conventional Endoscopic Drainage", "type" : "article-journal" }, "uris" : [ "http://www.mendeley.com/documents/?uuid=f7e1ce02-791e-43a1-bfac-a6baabe2540a", "http://www.mendeley.com/documents/?uuid=810f3dfd-6268-407d-8f50-93805322a6f8" ] }, { "id" : "ITEM-3", "itemData" : { "DOI" : "10.1016/j.gie.2007.06.014", "ISSN" : "0016-5107", "PMID" : "18226686", "abstract" : "BACKGROUND: Endoscopic procedures have become a first-line approach to the treatment of pancreatic pseudocysts.\n\nOBJECTIVE: Our purpose was to determine the results of a therapeutic algorithm including EUS-assisted drainage, transpapillary drainage, and conventional endoscopic drainage in terms of (1) feasibility and efficacy of the endoscopic procedure and (2) morbidity.\n\nDESIGN: Prospective study with a treatment algorithm drawn up before the endoscopic procedure, including either conventional endoscopic transmural drainage (CTMD), conventional transpapillary drainage (CTPD), or EUS-guided transmural drainage (EUS-GTD).\n\nPATIENTS: A total of 50 patients, including 15 women and 35 men with a mean age of 51 years, were included in this prospective study.\n\nRESULTS: The mean size of the pseudocysts was 8.2 cm (range 3-12 cm). A total of 29 pseudocysts did not bulge into the digestive wall (58%); 24 (48%) neither bulged nor communicated with the pancreatic duct. EUS-GTD was performed on 28 patients (56%), CTMD on 13 patients (26%), and CTPD on 8 patients (16%), and endoscopic procedures failed in 1 patient. Technical feasibility was 98% (49/50), and clinical success was achieved in 90% of the cases and disappearance of the pseudocysts in 96% of the cases without significant differences among the 3 groups. The morbidity rate was 18% (9 cases). Five superinfections occurred in the EUS-GTD group and 1 in the CTMD group. One death occurred from late bleeding in the CTMD group.\n\nLIMITATION: Randomization of patients in this prospective study was not possible because of the different characteristics of the pseudocysts.\n\nCONCLUSION: With this algorithm, clinical success was achieved in 45 (90%) of the cases and disappearance of the pseudocysts in 48 (96%) of the cases with a reasonable morbidity rate. In half of the cases, EUS is required for treating pancreatic pseudocyst.", "author" : [ { "dropping-particle" : "", "family" : "Barthet", "given" : "Marc", "non-dropping-particle" : "", "parse-names" : false, "suffix" : "" }, { "dropping-particle" : "", "family" : "Lamblin", "given" : "Gatien", "non-dropping-particle" : "", "parse-names" : false, "suffix" : "" }, { "dropping-particle" : "", "family" : "Gasmi", "given" : "Mohamed", "non-dropping-particle" : "", "parse-names" : false, "suffix" : "" }, { "dropping-particle" : "", "family" : "Vitton", "given" : "Veronique", "non-dropping-particle" : "", "parse-names" : false, "suffix" : "" }, { "dropping-particle" : "", "family" : "Desjeux", "given" : "Ariadne", "non-dropping-particle" : "", "parse-names" : false, "suffix" : "" }, { "dropping-particle" : "", "family" : "Grimaud", "given" : "Jean-Charles", "non-dropping-particle" : "", "parse-names" : false, "suffix" : "" } ], "container-title" : "Gastrointestinal endoscopy", "id" : "ITEM-3", "issue" : "2", "issued" : { "date-parts" : [ [ "2008", "2" ] ] }, "page" : "245-52", "title" : "Clinical usefulness of a treatment algorithm for pancreatic pseudocysts.", "type" : "article-journal", "volume" : "67" }, "uris" : [ "http://www.mendeley.com/documents/?uuid=772e9e9d-4260-435d-8ea8-7925b8e5b3a3", "http://www.mendeley.com/documents/?uuid=40a3299b-9e41-4ab0-8924-ac2b2b2a7696" ] }, { "id" : "ITEM-4", "itemData" : { "DOI" : "10.1016/j.gie.2005.06.028", "ISSN" : "0016-5107", "PMID" : "16564865", "abstract" : "BACKGROUND: Pancreatic-fluid collections are frequent sequelae of acute and chronic pancreatitis, and endoscopic drainage of these collections has gained acceptance as an alternative to surgical drainage.\n\nMETHODS: Patient data, collection characteristics, drainage technique, and outcomes were obtained through chart review and prospective follow-up for 116 patients with attempted endoscopic drainage of symptomatic pancreatic-fluid collections.\n\nRESULTS: A total of 116 patients presented with fluid collections classified as acute fluid collection (n = 5), necrosis (n = 8), acute pseudocyst (n = 30), chronic pseudocyst (n = 64), and pancreatic abscess (n = 9). The median diameter of the collection drained was 60 mm (15-275 mm). Median follow-up after drainage was 21 months. The drainage technique was transpapillary in 15 patients, transmural in 60, and both in 41. Successful resolution of symptoms and collection occurred in 87.9% of cases. No difference in success rates was observed between patients with acute pancreatitis and those with chronic pancreatitis. However, drainage of organized necrosis was associated with a significantly higher failure rate than other collections. No significant differences were observed regarding success when disease, drainage technique, or site of drainage was considered. Complications occurred in 13 patients (11%), and there were 6 deaths in the 30 days after drainage, including one that was procedure related.\n\nCONCLUSIONS: Endoscopic drainage of pancreatic-fluid collections is successful in the majority of patients and is accompanied by an acceptable complication rate.", "author" : [ { "dropping-particle" : "", "family" : "Hookey", "given" : "Lawrence C", "non-dropping-particle" : "", "parse-names" : false, "suffix" : "" }, { "dropping-particle" : "", "family" : "Debroux", "given" : "S\u00e9bastien", "non-dropping-particle" : "", "parse-names" : false, "suffix" : "" }, { "dropping-particle" : "", "family" : "Delhaye", "given" : "Myriam", "non-dropping-particle" : "", "parse-names" : false, "suffix" : "" }, { "dropping-particle" : "", "family" : "Arvanitakis", "given" : "Marianna", "non-dropping-particle" : "", "parse-names" : false, "suffix" : "" }, { "dropping-particle" : "", "family" : "Moine", "given" : "Olivier", "non-dropping-particle" : "Le", "parse-names" : false, "suffix" : "" }, { "dropping-particle" : "", "family" : "Devi\u00e8re", "given" : "Jacques", "non-dropping-particle" : "", "parse-names" : false, "suffix" : "" } ], "container-title" : "Gastrointestinal endoscopy", "id" : "ITEM-4", "issue" : "4", "issued" : { "date-parts" : [ [ "2006", "4" ] ] }, "page" : "635-43", "title" : "Endoscopic drainage of pancreatic-fluid collections in 116 patients: a comparison of etiologies, drainage techniques, and outcomes.", "type" : "article-journal", "volume" : "63" }, "uris" : [ "http://www.mendeley.com/documents/?uuid=14a18265-5a27-47ae-84c5-a43711ced2fe", "http://www.mendeley.com/documents/?uuid=e050bc13-71fc-4511-9330-79c16e68dab3" ] }, { "id" : "ITEM-5", "itemData" : { "DOI" : "10.1016/j.gie.2008.03.1091", "ISSN" : "1097-6779", "PMID" : "18599050", "abstract" : "BACKGROUND: Although the utility and safety of EUS and EUS-guided FNA is well known, there is a need for more data on outcomes and complications of EUS-guided drainage procedures.\n\nOBJECTIVE: To evaluate the rates of technical success, treatment success, and complications of the graded dilation technique for performing EUS-guided drainage of peripancreatic fluid collections (PFCs) in a large cohort of patients. Also, the technical proficiency for performing EUS-guided drainage of PFCs was evaluated.\n\nDESIGN: A prospective study of all patients undergoing EUS-guided drainage of PFC.\n\nSETTING: A tertiary-referral center.\n\nINTERVENTIONS: After passage of a 0.035-inch guidewire into the PFC by using a 19-gauge needle, graded dilation of the tract was sequentially performed by using a 4.5F ERCP cannula, a 10F ERCP inner guiding catheter, and an 8-mm balloon dilator. A transmural stent and/or drainage catheter was then deployed.\n\nMAIN OUTCOME MEASUREMENTS: To evaluate the technical success, treatment success, and complications of the graded dilation technique. Technical proficiency was evaluated by comparing the procedural duration between the first 25 cases (group A), with a later cohort of patients (group B, n = 29) who underwent EUS-guided drainage of a single PFC.\n\nRESULTS: Sixty patients (41 men; mean age 51 years [range 20-79 years], 6 multiple PFCs) underwent EUS-guided drainage of a PFC (types included 36 pseudocyst, 15 abscess, and 9 necrosis) over a 42-month period. The rates of technical and treatment success were 95% and 93%, respectively. A minor complication of stent migration was encountered in 1 of 60 patients (1.7%). There was no significant difference in patient or clinical characteristics between group A and B patients who were undergoing drainage of a single PFC. Although there was no significant difference in technical or treatment outcome, median procedural duration was significantly shorter for group B than for group A patients (25 vs 70 minutes; P &lt; .001). Procedural duration for performing EUS-guided drainage of a single PFC was more likely to be &lt;30 minutes in group B than in group A patients (crude odds ratio [OR] 18.8; P &lt; .001), which remained significant (adjusted OR 11.8; P = .01), even after adjusting for patient age; serum albumin; type, location, and size of PFCs; drainage modality (stent vs stent plus drainage catheter); and site of endoscopic access for establishing drainage.\n\nCONCLUSIONS: In this study, EUS-guided drainage\u2026", "author" : [ { "dropping-particle" : "", "family" : "Varadarajulu", "given" : "Shyam", "non-dropping-particle" : "", "parse-names" : false, "suffix" : "" }, { "dropping-particle" : "", "family" : "Tamhane", "given" : "Ashutosh", "non-dropping-particle" : "", "parse-names" : false, "suffix" : "" }, { "dropping-particle" : "", "family" : "Blakely", "given" : "Jeanetta", "non-dropping-particle" : "", "parse-names" : false, "suffix" : "" } ], "container-title" : "Gastrointestinal endoscopy", "id" : "ITEM-5", "issue" : "4", "issued" : { "date-parts" : [ [ "2008", "10" ] ] }, "page" : "656-66", "title" : "Graded dilation technique for EUS-guided drainage of peripancreatic fluid collections: an assessment of outcomes and complications and technical proficiency (with video).", "type" : "article-journal", "volume" : "68" }, "uris" : [ "http://www.mendeley.com/documents/?uuid=5e60a81d-ec58-4aae-8b33-986ba48bc1c8", "http://www.mendeley.com/documents/?uuid=37caeed2-723b-41f2-b096-3a07ebe96fbf", "http://www.mendeley.com/documents/?uuid=d0e2de53-47a5-4c78-a541-ad5f10ffcd21" ] }, { "id" : "ITEM-6", "itemData" : { "DOI" : "10.1016/j.gie.2005.10.025", "ISSN" : "0016-5107", "PMID" : "16650541", "abstract" : "BACKGROUND: Single-step EUS-guided transmural drainage of pseudocysts has been reported, but there are no published prospective studies on clinical outcomes.\n\nOBJECTIVE: To assess the safety and the efficacy of single-step EUS-guided placement of large endoprostheses to treat simple and complicated pseudocysts.\n\nDESIGN: Prospective cohort study.\n\nSETTING: Single tertiary referral center.\n\nPATIENTS: Consecutive patients referred for management of symptomatic chronic pancreatic pseudocysts &gt;4 cm in size.\n\nINTERVENTIONS: Single-step EUS-guided transmural pseudocyst drainage performed with a linear-array echoendoscope for placement of 10F stents in adults and 7F stents in children.\n\nMAIN OUTCOME MEASURES: Complete or partial (&gt;50% reduction) resolution of pseudocyst on follow-up imaging, recurrence, clinical response, and procedure-related complications. Recurrence was defined as the reappearance of a pancreatic pseudocyst in the same location.\n\nRESULTS: There were 33 patients, with a mean age of 43 years. Median pseudocyst size was 8.5 cm (range, 4-20 cm). Fourteen patients (42%) had infected pseudocysts, 8 patients (24%) had gastric varices, and 16 patients (48%) had no visible endoscopic bulge. Stent placement was successful in 31 patients (94%). Twenty-seven patients (82%) had complete resolution of a pseudocyst; 4 patients (12%) had partial resolution, with symptom relief. There were 2 major complications and 3 minor complications. Recurrence of a pseudocyst was observed in only 1 patient over a median follow-up of 46 weeks.\n\nLIMITATIONS: No randomized treatment arm comparing this technique with conventional endoscopic drainage.\n\nCONCLUSIONS: Single-step EUS-guided transmural drainage with large endoprostheses is a safe and effective therapy for patients with simple and complicated pancreatic pseudocysts.", "author" : [ { "dropping-particle" : "", "family" : "Antillon", "given" : "Mainor R", "non-dropping-particle" : "", "parse-names" : false, "suffix" : "" }, { "dropping-particle" : "", "family" : "Shah", "given" : "Raj J", "non-dropping-particle" : "", "parse-names" : false, "suffix" : "" }, { "dropping-particle" : "", "family" : "Stiegmann", "given" : "Gregory", "non-dropping-particle" : "", "parse-names" : false, "suffix" : "" }, { "dropping-particle" : "", "family" : "Chen", "given" : "Yang K", "non-dropping-particle" : "", "parse-names" : false, "suffix" : "" } ], "container-title" : "Gastrointestinal endoscopy", "id" : "ITEM-6", "issue" : "6", "issued" : { "date-parts" : [ [ "2006", "5" ] ] }, "page" : "797-803", "title" : "Single-step EUS-guided transmural drainage of simple and complicated pancreatic pseudocysts.", "type" : "article-journal", "volume" : "63" }, "uris" : [ "http://www.mendeley.com/documents/?uuid=c50e91c4-36de-4603-9da8-6a3e5d27d6ce", "http://www.mendeley.com/documents/?uuid=4e80480c-c1c3-40df-84b7-2978623fd72c", "http://www.mendeley.com/documents/?uuid=5e736b99-867c-42fa-befa-a33ec951bfef" ] } ], "mendeley" : { "formattedCitation" : "&lt;sup&gt;[12,24,37,39\u201341]&lt;/sup&gt;", "plainTextFormattedCitation" : "[12,24,37,39\u201341]", "previouslyFormattedCitation" : "&lt;sup&gt;[12,24,37,39\u201341]&lt;/sup&gt;" }, "properties" : { "noteIndex" : 0 }, "schema" : "https://github.com/citation-style-language/schema/raw/master/csl-citation.json" }</w:instrText>
      </w:r>
      <w:r w:rsidRPr="00472719">
        <w:rPr>
          <w:rFonts w:ascii="Book Antiqua" w:hAnsi="Book Antiqua"/>
          <w:color w:val="000000"/>
        </w:rPr>
        <w:fldChar w:fldCharType="separate"/>
      </w:r>
      <w:r w:rsidR="00467DD1" w:rsidRPr="00472719">
        <w:rPr>
          <w:rFonts w:ascii="Book Antiqua" w:hAnsi="Book Antiqua"/>
          <w:noProof/>
          <w:color w:val="000000"/>
          <w:vertAlign w:val="superscript"/>
        </w:rPr>
        <w:t>[12,24,3</w:t>
      </w:r>
      <w:r w:rsidR="00843137">
        <w:rPr>
          <w:rFonts w:ascii="Book Antiqua" w:hAnsi="Book Antiqua"/>
          <w:noProof/>
          <w:color w:val="000000"/>
          <w:vertAlign w:val="superscript"/>
        </w:rPr>
        <w:t>6</w:t>
      </w:r>
      <w:r w:rsidR="00467DD1" w:rsidRPr="00472719">
        <w:rPr>
          <w:rFonts w:ascii="Book Antiqua" w:hAnsi="Book Antiqua"/>
          <w:noProof/>
          <w:color w:val="000000"/>
          <w:vertAlign w:val="superscript"/>
        </w:rPr>
        <w:t>,3</w:t>
      </w:r>
      <w:r w:rsidR="00843137">
        <w:rPr>
          <w:rFonts w:ascii="Book Antiqua" w:hAnsi="Book Antiqua"/>
          <w:noProof/>
          <w:color w:val="000000"/>
          <w:vertAlign w:val="superscript"/>
        </w:rPr>
        <w:t>8</w:t>
      </w:r>
      <w:r w:rsidR="00467DD1" w:rsidRPr="00472719">
        <w:rPr>
          <w:rFonts w:ascii="Book Antiqua" w:hAnsi="Book Antiqua"/>
          <w:noProof/>
          <w:color w:val="000000"/>
          <w:vertAlign w:val="superscript"/>
        </w:rPr>
        <w:t>–</w:t>
      </w:r>
      <w:r w:rsidR="00843137">
        <w:rPr>
          <w:rFonts w:ascii="Book Antiqua" w:hAnsi="Book Antiqua"/>
          <w:noProof/>
          <w:color w:val="000000"/>
          <w:vertAlign w:val="superscript"/>
        </w:rPr>
        <w:t>40</w:t>
      </w:r>
      <w:r w:rsidR="00467DD1" w:rsidRPr="00472719">
        <w:rPr>
          <w:rFonts w:ascii="Book Antiqua" w:hAnsi="Book Antiqua"/>
          <w:noProof/>
          <w:color w:val="000000"/>
          <w:vertAlign w:val="superscript"/>
        </w:rPr>
        <w:t>]</w:t>
      </w:r>
      <w:r w:rsidRPr="00472719">
        <w:rPr>
          <w:rFonts w:ascii="Book Antiqua" w:hAnsi="Book Antiqua"/>
          <w:color w:val="000000"/>
        </w:rPr>
        <w:fldChar w:fldCharType="end"/>
      </w:r>
      <w:r w:rsidRPr="00472719">
        <w:rPr>
          <w:rFonts w:ascii="Book Antiqua" w:hAnsi="Book Antiqua"/>
          <w:color w:val="000000"/>
        </w:rPr>
        <w:t xml:space="preserve">, most commonly in the form of bleeding, perforation, secondary infection and stent migration. A retrospective study, by </w:t>
      </w:r>
      <w:proofErr w:type="spellStart"/>
      <w:r w:rsidRPr="00472719">
        <w:rPr>
          <w:rFonts w:ascii="Book Antiqua" w:hAnsi="Book Antiqua"/>
          <w:color w:val="000000"/>
        </w:rPr>
        <w:t>Varadarajulu</w:t>
      </w:r>
      <w:proofErr w:type="spellEnd"/>
      <w:r w:rsidRPr="00472719">
        <w:rPr>
          <w:rFonts w:ascii="Book Antiqua" w:hAnsi="Book Antiqua"/>
          <w:color w:val="000000"/>
        </w:rPr>
        <w:t xml:space="preserve"> </w:t>
      </w:r>
      <w:r w:rsidR="0081329E" w:rsidRPr="00472719">
        <w:rPr>
          <w:rFonts w:ascii="Book Antiqua" w:hAnsi="Book Antiqua"/>
          <w:i/>
          <w:color w:val="000000"/>
        </w:rPr>
        <w:t>et al</w:t>
      </w:r>
      <w:r w:rsidRPr="00472719">
        <w:rPr>
          <w:rFonts w:ascii="Book Antiqua" w:hAnsi="Book Antiqua"/>
          <w:color w:val="000000"/>
        </w:rPr>
        <w:t xml:space="preserve"> reported a significantly higher complication frequency in cases of pancreatic necrosis (15%) compared wi</w:t>
      </w:r>
      <w:r w:rsidR="00C56FB8" w:rsidRPr="00472719">
        <w:rPr>
          <w:rFonts w:ascii="Book Antiqua" w:hAnsi="Book Antiqua"/>
          <w:color w:val="000000"/>
        </w:rPr>
        <w:t xml:space="preserve">th </w:t>
      </w:r>
      <w:proofErr w:type="spellStart"/>
      <w:r w:rsidR="00C56FB8" w:rsidRPr="00472719">
        <w:rPr>
          <w:rFonts w:ascii="Book Antiqua" w:hAnsi="Book Antiqua"/>
          <w:color w:val="000000"/>
        </w:rPr>
        <w:t>pseudocysts</w:t>
      </w:r>
      <w:proofErr w:type="spellEnd"/>
      <w:r w:rsidR="00C56FB8" w:rsidRPr="00472719">
        <w:rPr>
          <w:rFonts w:ascii="Book Antiqua" w:hAnsi="Book Antiqua"/>
          <w:color w:val="000000"/>
        </w:rPr>
        <w:t xml:space="preserve"> and abscess (5%)</w:t>
      </w:r>
      <w:r w:rsidRPr="00472719">
        <w:rPr>
          <w:rFonts w:ascii="Book Antiqua" w:hAnsi="Book Antiqua"/>
          <w:color w:val="000000"/>
        </w:rPr>
        <w:fldChar w:fldCharType="begin" w:fldLock="1"/>
      </w:r>
      <w:r w:rsidR="00FA79D6" w:rsidRPr="00472719">
        <w:rPr>
          <w:rFonts w:ascii="Book Antiqua" w:hAnsi="Book Antiqua"/>
          <w:color w:val="000000"/>
        </w:rPr>
        <w:instrText>ADDIN CSL_CITATION { "citationItems" : [ { "id" : "ITEM-1", "itemData" : { "DOI" : "10.1007/s11605-011-1621-8", "ISSN" : "1873-4626", "PMID" : "21786063", "abstract" : "OBJECTIVES: Endoscopy is a minimally invasive technique for the drainage of peripancreatic fluid collections. This study evaluated the clinical outcomes and predictors of treatment success in consecutive patients undergoing endoscopic transmural drainage of peripancreatic fluid collections.\n\nMETHODS: This is a retrospective study of patients who underwent endoscopic drainage of peripancreatic fluid collections over 7 years. Prior to drainage, an ERCP was attempted for stent placement in all patients with a pancreatic duct leak. Drainages were performed using conventional endoscopy or endoscopic ultrasound. Transmural stents and/or drainage catheters were deployed and endoscopic necrosectomy was undertaken when required. Data on clinical outcomes and complications were collected prospectively.\n\nRESULTS: A total of 211 patients underwent drainage of peripancreatic fluid collections that was classified as pseudocyst in 45%, abscess in 28%, and necrosis in 27%. Mean diameter of the fluid collection was 100.6 mm, and 34.5% of patients had pancreatic duct stent placement. Median duration of follow-up was 356 days. Treatment success was 85.3% and was higher for pseudocyst and abscess compared to necrosis (93.5% vs. 63.2%, p &lt; 0.0001). Complications were encountered in 17 patients (8.5%) and was higher for drainage of necrosis than pseudocyst or abscess (15.8% vs. 5.2%, p = 0.02). Treatment success was more likely for patients with pseudocyst or abscess than necrosis (adjusted OR = 7.6, 95% CI [2.9, 20.1], p &lt; 0.0001) when adjusted for serum albumin and white cell count, type of endoscopic modality or accessory used, pancreatic duct stenting, luminal compression, size and location of fluid collection.\n\nCONCLUSIONS: Endoscopic therapy is a highly effective technique for the management of patients with non-necrotic peripancreatic fluid collections.", "author" : [ { "dropping-particle" : "", "family" : "Varadarajulu", "given" : "Shyam", "non-dropping-particle" : "", "parse-names" : false, "suffix" : "" }, { "dropping-particle" : "", "family" : "Bang", "given" : "Ji Young", "non-dropping-particle" : "", "parse-names" : false, "suffix" : "" }, { "dropping-particle" : "", "family" : "Phadnis", "given" : "Milind a", "non-dropping-particle" : "", "parse-names" : false, "suffix" : "" }, { "dropping-particle" : "", "family" : "Christein", "given" : "John D", "non-dropping-particle" : "", "parse-names" : false, "suffix" : "" }, { "dropping-particle" : "", "family" : "Wilcox", "given" : "C Mel", "non-dropping-particle" : "", "parse-names" : false, "suffix" : "" } ], "container-title" : "Journal of gastrointestinal surgery : official journal of the Society for Surgery of the Alimentary Tract", "id" : "ITEM-1", "issue" : "11", "issued" : { "date-parts" : [ [ "2011", "11" ] ] }, "page" : "2080-8", "title" : "Endoscopic transmural drainage of peripancreatic fluid collections: outcomes and predictors of treatment success in 211 consecutive patients.", "type" : "article-journal", "volume" : "15" }, "uris" : [ "http://www.mendeley.com/documents/?uuid=2165fe02-17cf-472a-b72d-8b6030a9aa67", "http://www.mendeley.com/documents/?uuid=070a1cff-d37d-4e02-96df-f8494187d8e9" ] } ], "mendeley" : { "formattedCitation" : "&lt;sup&gt;[13]&lt;/sup&gt;", "plainTextFormattedCitation" : "[13]", "previouslyFormattedCitation" : "&lt;sup&gt;[13]&lt;/sup&gt;" }, "properties" : { "noteIndex" : 0 }, "schema" : "https://github.com/citation-style-language/schema/raw/master/csl-citation.json" }</w:instrText>
      </w:r>
      <w:r w:rsidRPr="00472719">
        <w:rPr>
          <w:rFonts w:ascii="Book Antiqua" w:hAnsi="Book Antiqua"/>
          <w:color w:val="000000"/>
        </w:rPr>
        <w:fldChar w:fldCharType="separate"/>
      </w:r>
      <w:r w:rsidR="00467DD1" w:rsidRPr="00472719">
        <w:rPr>
          <w:rFonts w:ascii="Book Antiqua" w:hAnsi="Book Antiqua"/>
          <w:noProof/>
          <w:color w:val="000000"/>
          <w:vertAlign w:val="superscript"/>
        </w:rPr>
        <w:t>[13]</w:t>
      </w:r>
      <w:r w:rsidRPr="00472719">
        <w:rPr>
          <w:rFonts w:ascii="Book Antiqua" w:hAnsi="Book Antiqua"/>
          <w:color w:val="000000"/>
        </w:rPr>
        <w:fldChar w:fldCharType="end"/>
      </w:r>
      <w:r w:rsidRPr="00472719">
        <w:rPr>
          <w:rFonts w:ascii="Book Antiqua" w:hAnsi="Book Antiqua"/>
          <w:color w:val="000000"/>
        </w:rPr>
        <w:t>.</w:t>
      </w:r>
      <w:r w:rsidR="00F6294A" w:rsidRPr="00472719">
        <w:rPr>
          <w:rFonts w:ascii="Book Antiqua" w:hAnsi="Book Antiqua"/>
          <w:color w:val="000000"/>
        </w:rPr>
        <w:t xml:space="preserve"> </w:t>
      </w:r>
      <w:r w:rsidRPr="00472719">
        <w:rPr>
          <w:rFonts w:ascii="Book Antiqua" w:hAnsi="Book Antiqua"/>
          <w:color w:val="000000"/>
        </w:rPr>
        <w:t xml:space="preserve">Secondary infection is caused by contamination of an incompletely drained </w:t>
      </w:r>
      <w:r w:rsidR="008D22D5" w:rsidRPr="00472719">
        <w:rPr>
          <w:rFonts w:ascii="Book Antiqua" w:hAnsi="Book Antiqua"/>
          <w:color w:val="000000"/>
        </w:rPr>
        <w:t xml:space="preserve">WON or </w:t>
      </w:r>
      <w:proofErr w:type="spellStart"/>
      <w:r w:rsidRPr="00472719">
        <w:rPr>
          <w:rFonts w:ascii="Book Antiqua" w:hAnsi="Book Antiqua"/>
          <w:color w:val="000000"/>
        </w:rPr>
        <w:t>pseudocys</w:t>
      </w:r>
      <w:r w:rsidR="007E48FF" w:rsidRPr="00472719">
        <w:rPr>
          <w:rFonts w:ascii="Book Antiqua" w:hAnsi="Book Antiqua"/>
          <w:color w:val="000000"/>
        </w:rPr>
        <w:t>t</w:t>
      </w:r>
      <w:proofErr w:type="spellEnd"/>
      <w:r w:rsidR="007E48FF" w:rsidRPr="00472719">
        <w:rPr>
          <w:rFonts w:ascii="Book Antiqua" w:hAnsi="Book Antiqua"/>
          <w:color w:val="000000"/>
        </w:rPr>
        <w:t xml:space="preserve"> </w:t>
      </w:r>
      <w:r w:rsidRPr="00472719">
        <w:rPr>
          <w:rFonts w:ascii="Book Antiqua" w:hAnsi="Book Antiqua"/>
          <w:color w:val="000000"/>
        </w:rPr>
        <w:t xml:space="preserve">from premature stent occlusion </w:t>
      </w:r>
      <w:r w:rsidR="008A5D99" w:rsidRPr="00472719">
        <w:rPr>
          <w:rFonts w:ascii="Book Antiqua" w:hAnsi="Book Antiqua"/>
          <w:color w:val="000000"/>
        </w:rPr>
        <w:t>or uneven collapse.</w:t>
      </w:r>
      <w:r w:rsidR="008D22D5" w:rsidRPr="00472719">
        <w:rPr>
          <w:rFonts w:ascii="Book Antiqua" w:hAnsi="Book Antiqua"/>
          <w:color w:val="000000"/>
        </w:rPr>
        <w:t xml:space="preserve"> The frequency of secondary infection is up to 10%.</w:t>
      </w:r>
      <w:r w:rsidR="008A5D99" w:rsidRPr="00472719">
        <w:rPr>
          <w:rFonts w:ascii="Book Antiqua" w:hAnsi="Book Antiqua"/>
          <w:color w:val="000000"/>
        </w:rPr>
        <w:t xml:space="preserve"> The </w:t>
      </w:r>
      <w:r w:rsidRPr="00472719">
        <w:rPr>
          <w:rFonts w:ascii="Book Antiqua" w:hAnsi="Book Antiqua"/>
          <w:color w:val="000000"/>
        </w:rPr>
        <w:t>perforation</w:t>
      </w:r>
      <w:r w:rsidR="008A5D99" w:rsidRPr="00472719">
        <w:rPr>
          <w:rFonts w:ascii="Book Antiqua" w:hAnsi="Book Antiqua"/>
          <w:color w:val="000000"/>
        </w:rPr>
        <w:t xml:space="preserve"> risk</w:t>
      </w:r>
      <w:r w:rsidRPr="00472719">
        <w:rPr>
          <w:rFonts w:ascii="Book Antiqua" w:hAnsi="Book Antiqua"/>
          <w:color w:val="000000"/>
        </w:rPr>
        <w:t xml:space="preserve"> increases when the </w:t>
      </w:r>
      <w:proofErr w:type="spellStart"/>
      <w:r w:rsidRPr="00472719">
        <w:rPr>
          <w:rFonts w:ascii="Book Antiqua" w:hAnsi="Book Antiqua"/>
          <w:color w:val="000000"/>
        </w:rPr>
        <w:t>pseudocyst</w:t>
      </w:r>
      <w:proofErr w:type="spellEnd"/>
      <w:r w:rsidRPr="00472719">
        <w:rPr>
          <w:rFonts w:ascii="Book Antiqua" w:hAnsi="Book Antiqua"/>
          <w:color w:val="000000"/>
        </w:rPr>
        <w:t xml:space="preserve"> wall is poorly defined or has a distance of more than 1 cm from the intestinal lumen. Very few cases of procedure related mortality have been repo</w:t>
      </w:r>
      <w:r w:rsidR="00C56FB8" w:rsidRPr="00472719">
        <w:rPr>
          <w:rFonts w:ascii="Book Antiqua" w:hAnsi="Book Antiqua"/>
          <w:color w:val="000000"/>
        </w:rPr>
        <w:t>rted mainly related to bleeding</w:t>
      </w:r>
      <w:r w:rsidRPr="00472719">
        <w:rPr>
          <w:rFonts w:ascii="Book Antiqua" w:hAnsi="Book Antiqua"/>
          <w:color w:val="000000"/>
        </w:rPr>
        <w:fldChar w:fldCharType="begin" w:fldLock="1"/>
      </w:r>
      <w:r w:rsidR="00FA79D6" w:rsidRPr="00472719">
        <w:rPr>
          <w:rFonts w:ascii="Book Antiqua" w:hAnsi="Book Antiqua"/>
          <w:color w:val="000000"/>
        </w:rPr>
        <w:instrText>ADDIN CSL_CITATION { "citationItems" : [ { "id" : "ITEM-1", "itemData" : { "DOI" : "10.1111/j.1440-1746.2009.06109.x", "ISSN" : "1440-1746", "PMID" : "20074158", "abstract" : "BACKGROUND AND AIM: The role of pancreatic duct (PD) stenting in patients undergoing endoscopic transmural drainage of peripancreatic fluid collection (PFC) remains unclear. The objective of this study is to evaluate the effect of PD stenting on treatment success in patients undergoing endoscopic transmural drainage of PFC.\n\nMETHODS: This is a retrospective follow-up study of all patients who underwent endoscopic and endoscopic ultrasonography-guided transmural drainage of PFC during a 5-year period. Double-pigtail stents were deployed in all patients; in addition, nasocystic catheters were deployed in those with abscess/necrosis. An endoscopic retrograde cholangiopancreatogram was attempted whenever feasible in all patients, and pancreatic stents were placed when the duct disruption could be bridged. Success was defined as an improvement in symptoms and resolution of PFC upon follow-up computed tomography at 8 weeks.\n\nRESULTS: Of the 110 patients who underwent PFC drainage, 40 (36%) underwent simultaneous PD stenting. Treatment was successful in 95 of the 110 patients (86%). The PFC types were: pseudocyst (62%), necrosis (20%), and abscess (18%). The median duration of follow up was 9.9 months. Those who underwent PD stenting were significantly more likely to have treatment success than those who did not undergo PD stenting (97.5% vs 80%; risk ratio [RR](crude) = 1.48, P = 0.01). In the multivariable analysis, this association remained significant (RR(adjusted) = 1.14, 95% confidence interval: 1.01-1.29, P = 0.036), even after adjusting for the etiology of pancreatitis, type and location of PFC, luminal compression at endoscopy, enteral nutrition, white blood cell count, and number of endoscopic interventions.\n\nCONCLUSIONS: Transpapillary PD stenting improves treatment outcomes in patients undergoing endoscopic transmural drainage of PFC.", "author" : [ { "dropping-particle" : "", "family" : "Trevino", "given" : "Jessica M", "non-dropping-particle" : "", "parse-names" : false, "suffix" : "" }, { "dropping-particle" : "", "family" : "Tevino", "given" : "Jessica M", "non-dropping-particle" : "", "parse-names" : false, "suffix" : "" }, { "dropping-particle" : "", "family" : "Tamhane", "given" : "Ashutosh", "non-dropping-particle" : "", "parse-names" : false, "suffix" : "" }, { "dropping-particle" : "", "family" : "Varadarajulu", "given" : "Shyam", "non-dropping-particle" : "", "parse-names" : false, "suffix" : "" } ], "container-title" : "Journal of gastroenterology and hepatology", "id" : "ITEM-1", "issue" : "3", "issued" : { "date-parts" : [ [ "2010", "3" ] ] }, "page" : "526-31", "title" : "Successful stenting in ductal disruption favorably impacts treatment outcomes in patients undergoing transmural drainage of peripancreatic fluid collections.", "type" : "article-journal", "volume" : "25" }, "uris" : [ "http://www.mendeley.com/documents/?uuid=080a270a-9c61-4f0c-8836-ac9cefc98232", "http://www.mendeley.com/documents/?uuid=61c971e3-1621-4e76-bd6e-80db8eb061ed" ] }, { "id" : "ITEM-2", "itemData" : { "DOI" : "10.1159/000177024", "ISSN" : "1421-9875", "PMID" : "19188730", "abstract" : "BACKGROUND AND AIMS: Endoscopic ultrasound (EUS) is useful for the treatment of sterile pancreatic fluid collections (PFC), either by means of transmural drainage or by complete aspiration. The aim of this study was to evaluate the efficacy and safety of single-step EUS-guided endoscopic approaches for treatment of sterile PFC.\n\nPATIENTS AND METHODS: During a 3-year period, 77 consecutive patients with symptomatic, persistent sterile PFC were evaluated and treated with the linear EUS. We excluded patients with grossly purulent collections, chronic pseudocyst and those whose cytology diagnostic was neoplastic cyst of pancreas. 44 patients received a single 10-Fr plastic straight stent under EUS or fluoroscopic control (group I) and 33 of these underwent a single-step complete aspiration with a 19-gauge needle (group II).\n\nRESULTS: The mean size of the sterile PFC was 48 mm in group I and 28 mm in group II (p &lt; 0.001). Overall, endoscopic treatment was successful in 70 (90.9%) patients. The mean volume aspirated was 25 (18-65) ml. The total number of procedures was 50 in group I and 41 punctures in group II. After a mean follow-up of 64 +/- 15.6 weeks there were 6 complications (13.6%): 2 recurrences (referred to surgery), 2 developing abscesses (submitted a new EUS-guided endoscopic drainage with success), 1 perforation that died (2.2%), and 1 case of bleeding (sent to surgery) in group I. In group II there were only 6 (18.1%) recurrences (submitted a new EUS-guided aspiration). None of the patients undergoing single-step aspiration developed infections, perforation or hemorrhage.\n\nCONCLUSION: The recurrence of pancreatic pseudocysts after endoscopic treatment was similar, either by means of plastic stents or by complete single-step aspiration.", "author" : [ { "dropping-particle" : "", "family" : "Ardengh", "given" : "Jos\u00e9 C", "non-dropping-particle" : "", "parse-names" : false, "suffix" : "" }, { "dropping-particle" : "", "family" : "Coelho", "given" : "Djalma E", "non-dropping-particle" : "", "parse-names" : false, "suffix" : "" }, { "dropping-particle" : "", "family" : "Coelho", "given" : "Jos\u00e9 F", "non-dropping-particle" : "", "parse-names" : false, "suffix" : "" }, { "dropping-particle" : "", "family" : "Lima", "given" : "Luiz F Pereira", "non-dropping-particle" : "de", "parse-names" : false, "suffix" : "" }, { "dropping-particle" : "", "family" : "Santos", "given" : "Jos\u00e9 S", "non-dropping-particle" : "dos", "parse-names" : false, "suffix" : "" }, { "dropping-particle" : "", "family" : "M\u00f3dena", "given" : "Jos\u00e9 L Pimenta", "non-dropping-particle" : "", "parse-names" : false, "suffix" : "" } ], "container-title" : "Digestive diseases (Basel, Switzerland)", "id" : "ITEM-2", "issue" : "4", "issued" : { "date-parts" : [ [ "2008", "1" ] ] }, "page" : "370-6", "title" : "Single-step EUS-guided endoscopic treatment for sterile pancreatic collections: a single-center experience.", "type" : "article-journal", "volume" : "26" }, "uris" : [ "http://www.mendeley.com/documents/?uuid=590fd695-73f5-4203-b872-ed4d04cfbba9", "http://www.mendeley.com/documents/?uuid=5ec95ba2-cfbd-4548-a1eb-babf03ffc462" ] }, { "id" : "ITEM-3", "itemData" : { "DOI" : "10.1016/j.gie.2005.06.028", "ISSN" : "0016-5107", "PMID" : "16564865", "abstract" : "BACKGROUND: Pancreatic-fluid collections are frequent sequelae of acute and chronic pancreatitis, and endoscopic drainage of these collections has gained acceptance as an alternative to surgical drainage.\n\nMETHODS: Patient data, collection characteristics, drainage technique, and outcomes were obtained through chart review and prospective follow-up for 116 patients with attempted endoscopic drainage of symptomatic pancreatic-fluid collections.\n\nRESULTS: A total of 116 patients presented with fluid collections classified as acute fluid collection (n = 5), necrosis (n = 8), acute pseudocyst (n = 30), chronic pseudocyst (n = 64), and pancreatic abscess (n = 9). The median diameter of the collection drained was 60 mm (15-275 mm). Median follow-up after drainage was 21 months. The drainage technique was transpapillary in 15 patients, transmural in 60, and both in 41. Successful resolution of symptoms and collection occurred in 87.9% of cases. No difference in success rates was observed between patients with acute pancreatitis and those with chronic pancreatitis. However, drainage of organized necrosis was associated with a significantly higher failure rate than other collections. No significant differences were observed regarding success when disease, drainage technique, or site of drainage was considered. Complications occurred in 13 patients (11%), and there were 6 deaths in the 30 days after drainage, including one that was procedure related.\n\nCONCLUSIONS: Endoscopic drainage of pancreatic-fluid collections is successful in the majority of patients and is accompanied by an acceptable complication rate.", "author" : [ { "dropping-particle" : "", "family" : "Hookey", "given" : "Lawrence C", "non-dropping-particle" : "", "parse-names" : false, "suffix" : "" }, { "dropping-particle" : "", "family" : "Debroux", "given" : "S\u00e9bastien", "non-dropping-particle" : "", "parse-names" : false, "suffix" : "" }, { "dropping-particle" : "", "family" : "Delhaye", "given" : "Myriam", "non-dropping-particle" : "", "parse-names" : false, "suffix" : "" }, { "dropping-particle" : "", "family" : "Arvanitakis", "given" : "Marianna", "non-dropping-particle" : "", "parse-names" : false, "suffix" : "" }, { "dropping-particle" : "", "family" : "Moine", "given" : "Olivier", "non-dropping-particle" : "Le", "parse-names" : false, "suffix" : "" }, { "dropping-particle" : "", "family" : "Devi\u00e8re", "given" : "Jacques", "non-dropping-particle" : "", "parse-names" : false, "suffix" : "" } ], "container-title" : "Gastrointestinal endoscopy", "id" : "ITEM-3", "issue" : "4", "issued" : { "date-parts" : [ [ "2006", "4" ] ] }, "page" : "635-43", "title" : "Endoscopic drainage of pancreatic-fluid collections in 116 patients: a comparison of etiologies, drainage techniques, and outcomes.", "type" : "article-journal", "volume" : "63" }, "uris" : [ "http://www.mendeley.com/documents/?uuid=14a18265-5a27-47ae-84c5-a43711ced2fe", "http://www.mendeley.com/documents/?uuid=e050bc13-71fc-4511-9330-79c16e68dab3" ] } ], "mendeley" : { "formattedCitation" : "&lt;sup&gt;[12,42,43]&lt;/sup&gt;", "plainTextFormattedCitation" : "[12,42,43]", "previouslyFormattedCitation" : "&lt;sup&gt;[12,42,43]&lt;/sup&gt;" }, "properties" : { "noteIndex" : 0 }, "schema" : "https://github.com/citation-style-language/schema/raw/master/csl-citation.json" }</w:instrText>
      </w:r>
      <w:r w:rsidRPr="00472719">
        <w:rPr>
          <w:rFonts w:ascii="Book Antiqua" w:hAnsi="Book Antiqua"/>
          <w:color w:val="000000"/>
        </w:rPr>
        <w:fldChar w:fldCharType="separate"/>
      </w:r>
      <w:r w:rsidR="00467DD1" w:rsidRPr="00472719">
        <w:rPr>
          <w:rFonts w:ascii="Book Antiqua" w:hAnsi="Book Antiqua"/>
          <w:noProof/>
          <w:color w:val="000000"/>
          <w:vertAlign w:val="superscript"/>
        </w:rPr>
        <w:t>[12,4</w:t>
      </w:r>
      <w:r w:rsidR="00843137">
        <w:rPr>
          <w:rFonts w:ascii="Book Antiqua" w:hAnsi="Book Antiqua"/>
          <w:noProof/>
          <w:color w:val="000000"/>
          <w:vertAlign w:val="superscript"/>
        </w:rPr>
        <w:t>1</w:t>
      </w:r>
      <w:r w:rsidR="00467DD1" w:rsidRPr="00472719">
        <w:rPr>
          <w:rFonts w:ascii="Book Antiqua" w:hAnsi="Book Antiqua"/>
          <w:noProof/>
          <w:color w:val="000000"/>
          <w:vertAlign w:val="superscript"/>
        </w:rPr>
        <w:t>,4</w:t>
      </w:r>
      <w:r w:rsidR="00843137">
        <w:rPr>
          <w:rFonts w:ascii="Book Antiqua" w:hAnsi="Book Antiqua"/>
          <w:noProof/>
          <w:color w:val="000000"/>
          <w:vertAlign w:val="superscript"/>
        </w:rPr>
        <w:t>2</w:t>
      </w:r>
      <w:r w:rsidR="00467DD1" w:rsidRPr="00472719">
        <w:rPr>
          <w:rFonts w:ascii="Book Antiqua" w:hAnsi="Book Antiqua"/>
          <w:noProof/>
          <w:color w:val="000000"/>
          <w:vertAlign w:val="superscript"/>
        </w:rPr>
        <w:t>]</w:t>
      </w:r>
      <w:r w:rsidRPr="00472719">
        <w:rPr>
          <w:rFonts w:ascii="Book Antiqua" w:hAnsi="Book Antiqua"/>
          <w:color w:val="000000"/>
        </w:rPr>
        <w:fldChar w:fldCharType="end"/>
      </w:r>
      <w:r w:rsidRPr="00472719">
        <w:rPr>
          <w:rFonts w:ascii="Book Antiqua" w:hAnsi="Book Antiqua"/>
          <w:color w:val="000000"/>
        </w:rPr>
        <w:t>. Surgery is required in up to 5</w:t>
      </w:r>
      <w:r w:rsidR="00C56FB8" w:rsidRPr="00472719">
        <w:rPr>
          <w:rFonts w:ascii="Book Antiqua" w:hAnsi="Book Antiqua"/>
          <w:color w:val="000000"/>
          <w:lang w:eastAsia="zh-CN"/>
        </w:rPr>
        <w:t>%</w:t>
      </w:r>
      <w:r w:rsidRPr="00472719">
        <w:rPr>
          <w:rFonts w:ascii="Book Antiqua" w:hAnsi="Book Antiqua"/>
          <w:color w:val="000000"/>
        </w:rPr>
        <w:t>-11% of the cases, thus most complications are managed conservatively, by interventional radiolog</w:t>
      </w:r>
      <w:r w:rsidR="00C56FB8" w:rsidRPr="00472719">
        <w:rPr>
          <w:rFonts w:ascii="Book Antiqua" w:hAnsi="Book Antiqua"/>
          <w:color w:val="000000"/>
        </w:rPr>
        <w:t>ist or by endoscopy</w:t>
      </w:r>
      <w:r w:rsidRPr="00472719">
        <w:rPr>
          <w:rFonts w:ascii="Book Antiqua" w:hAnsi="Book Antiqua"/>
          <w:color w:val="000000"/>
        </w:rPr>
        <w:fldChar w:fldCharType="begin" w:fldLock="1"/>
      </w:r>
      <w:r w:rsidR="00FA79D6" w:rsidRPr="00472719">
        <w:rPr>
          <w:rFonts w:ascii="Book Antiqua" w:hAnsi="Book Antiqua"/>
          <w:color w:val="000000"/>
        </w:rPr>
        <w:instrText>ADDIN CSL_CITATION { "citationItems" : [ { "id" : "ITEM-1", "itemData" : { "DOI" : "10.3748/wjg.v17.i4.499", "ISSN" : "2219-2840", "PMID" : "21274380", "abstract" : "AIM: To compare the results for endoscopic ultrasound (EUS)-guided drainage of clear fluid pancreatic pseudocysts with the results for abscess drainage.\n\nMETHODS: All patients referred for endoscopic drainage of a fluid collection were prospectively included. The outcome was recorded.\n\nRESULTS: Altogether 26 pseudocysts or abscesses were treated in 25 (6 female) patients. One endoscopist performed the procedures. Non-infected pseudocysts were present in 15 patients and 10 patients had infected fluid collections. The cyst size ranged between 28 cm \u00d7 13 cm and 5 cm \u00d7 5 cm. The EUS drainage was successful in 94% of the pseudocysts and in 80% of the abscesses (P = 0.04). The complication rate in pseudocysts was 6% and in abscesses was 30% (P = 0.02). Recurrence of a pseudocyst occurred in one patient (4%) after 6 mo; the patient was successfully retreated.\n\nCONCLUSION: EUS-guided drainage of pseudocysts is associated with a higher success rate and a lower complication rate compared with abscess drainage.", "author" : [ { "dropping-particle" : "", "family" : "Sadik", "given" : "Riadh", "non-dropping-particle" : "", "parse-names" : false, "suffix" : "" }, { "dropping-particle" : "", "family" : "Kalaitzakis", "given" : "Evangelos", "non-dropping-particle" : "", "parse-names" : false, "suffix" : "" }, { "dropping-particle" : "", "family" : "Thune", "given" : "Anders", "non-dropping-particle" : "", "parse-names" : false, "suffix" : "" }, { "dropping-particle" : "", "family" : "Hansen", "given" : "Jan", "non-dropping-particle" : "", "parse-names" : false, "suffix" : "" }, { "dropping-particle" : "", "family" : "J\u00f6nson", "given" : "Claes", "non-dropping-particle" : "", "parse-names" : false, "suffix" : "" } ], "container-title" : "World journal of gastroenterology : WJG", "id" : "ITEM-1", "issue" : "4", "issued" : { "date-parts" : [ [ "2011", "1", "28" ] ] }, "page" : "499-505", "title" : "EUS-guided drainage is more successful in pancreatic pseudocysts compared with abscesses.", "type" : "article-journal", "volume" : "17" }, "uris" : [ "http://www.mendeley.com/documents/?uuid=fe38b6ad-8d7b-478c-aa19-795cc5eb11ed", "http://www.mendeley.com/documents/?uuid=b49e788c-710e-440f-912f-838619767d52" ] } ], "mendeley" : { "formattedCitation" : "&lt;sup&gt;[44]&lt;/sup&gt;", "plainTextFormattedCitation" : "[44]", "previouslyFormattedCitation" : "&lt;sup&gt;[44]&lt;/sup&gt;" }, "properties" : { "noteIndex" : 0 }, "schema" : "https://github.com/citation-style-language/schema/raw/master/csl-citation.json" }</w:instrText>
      </w:r>
      <w:r w:rsidRPr="00472719">
        <w:rPr>
          <w:rFonts w:ascii="Book Antiqua" w:hAnsi="Book Antiqua"/>
          <w:color w:val="000000"/>
        </w:rPr>
        <w:fldChar w:fldCharType="separate"/>
      </w:r>
      <w:r w:rsidR="00467DD1" w:rsidRPr="00472719">
        <w:rPr>
          <w:rFonts w:ascii="Book Antiqua" w:hAnsi="Book Antiqua"/>
          <w:noProof/>
          <w:color w:val="000000"/>
          <w:vertAlign w:val="superscript"/>
        </w:rPr>
        <w:t>[4</w:t>
      </w:r>
      <w:r w:rsidR="00843137">
        <w:rPr>
          <w:rFonts w:ascii="Book Antiqua" w:hAnsi="Book Antiqua"/>
          <w:noProof/>
          <w:color w:val="000000"/>
          <w:vertAlign w:val="superscript"/>
        </w:rPr>
        <w:t>3</w:t>
      </w:r>
      <w:r w:rsidR="00467DD1" w:rsidRPr="00472719">
        <w:rPr>
          <w:rFonts w:ascii="Book Antiqua" w:hAnsi="Book Antiqua"/>
          <w:noProof/>
          <w:color w:val="000000"/>
          <w:vertAlign w:val="superscript"/>
        </w:rPr>
        <w:t>]</w:t>
      </w:r>
      <w:r w:rsidRPr="00472719">
        <w:rPr>
          <w:rFonts w:ascii="Book Antiqua" w:hAnsi="Book Antiqua"/>
          <w:color w:val="000000"/>
        </w:rPr>
        <w:fldChar w:fldCharType="end"/>
      </w:r>
      <w:r w:rsidRPr="00472719">
        <w:rPr>
          <w:rFonts w:ascii="Book Antiqua" w:hAnsi="Book Antiqua"/>
          <w:color w:val="000000"/>
        </w:rPr>
        <w:t xml:space="preserve">. </w:t>
      </w:r>
      <w:r w:rsidRPr="00472719">
        <w:rPr>
          <w:rFonts w:ascii="Book Antiqua" w:hAnsi="Book Antiqua"/>
          <w:color w:val="000000"/>
        </w:rPr>
        <w:lastRenderedPageBreak/>
        <w:t>Complication such as pneumothorax, air embolism and intra</w:t>
      </w:r>
      <w:r w:rsidR="008A5D99" w:rsidRPr="00472719">
        <w:rPr>
          <w:rFonts w:ascii="Book Antiqua" w:hAnsi="Book Antiqua"/>
          <w:color w:val="000000"/>
        </w:rPr>
        <w:t>-</w:t>
      </w:r>
      <w:r w:rsidRPr="00472719">
        <w:rPr>
          <w:rFonts w:ascii="Book Antiqua" w:hAnsi="Book Antiqua"/>
          <w:color w:val="000000"/>
        </w:rPr>
        <w:t xml:space="preserve">abdominal abscess are seldom reported. </w:t>
      </w:r>
    </w:p>
    <w:p w14:paraId="36FA42D3" w14:textId="77777777" w:rsidR="00C56FB8" w:rsidRPr="00472719" w:rsidRDefault="00C56FB8" w:rsidP="00472719">
      <w:pPr>
        <w:autoSpaceDE w:val="0"/>
        <w:autoSpaceDN w:val="0"/>
        <w:adjustRightInd w:val="0"/>
        <w:snapToGrid w:val="0"/>
        <w:spacing w:line="360" w:lineRule="auto"/>
        <w:jc w:val="both"/>
        <w:rPr>
          <w:rFonts w:ascii="Book Antiqua" w:hAnsi="Book Antiqua"/>
          <w:b/>
          <w:color w:val="000000"/>
          <w:lang w:eastAsia="zh-CN"/>
        </w:rPr>
      </w:pPr>
    </w:p>
    <w:p w14:paraId="16C7F157" w14:textId="39E273EA" w:rsidR="005F3A3D" w:rsidRPr="00472719" w:rsidRDefault="005F3A3D"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color w:val="000000"/>
        </w:rPr>
        <w:t>When consider surgery</w:t>
      </w:r>
    </w:p>
    <w:p w14:paraId="75B31ED3" w14:textId="3F85BAFD" w:rsidR="00DF59A6" w:rsidRPr="00472719" w:rsidRDefault="008A5D99" w:rsidP="00472719">
      <w:pPr>
        <w:autoSpaceDE w:val="0"/>
        <w:autoSpaceDN w:val="0"/>
        <w:adjustRightInd w:val="0"/>
        <w:snapToGrid w:val="0"/>
        <w:spacing w:line="360" w:lineRule="auto"/>
        <w:jc w:val="both"/>
        <w:rPr>
          <w:rFonts w:ascii="Book Antiqua" w:hAnsi="Book Antiqua"/>
          <w:color w:val="000000"/>
        </w:rPr>
      </w:pPr>
      <w:r w:rsidRPr="00472719">
        <w:rPr>
          <w:rFonts w:ascii="Book Antiqua" w:hAnsi="Book Antiqua"/>
          <w:color w:val="000000"/>
        </w:rPr>
        <w:t>Surgical management of walled-</w:t>
      </w:r>
      <w:r w:rsidR="0045442A" w:rsidRPr="00472719">
        <w:rPr>
          <w:rFonts w:ascii="Book Antiqua" w:hAnsi="Book Antiqua"/>
          <w:color w:val="000000"/>
        </w:rPr>
        <w:t>of</w:t>
      </w:r>
      <w:r w:rsidRPr="00472719">
        <w:rPr>
          <w:rFonts w:ascii="Book Antiqua" w:hAnsi="Book Antiqua"/>
          <w:color w:val="000000"/>
        </w:rPr>
        <w:t>f</w:t>
      </w:r>
      <w:r w:rsidR="0045442A" w:rsidRPr="00472719">
        <w:rPr>
          <w:rFonts w:ascii="Book Antiqua" w:hAnsi="Book Antiqua"/>
          <w:color w:val="000000"/>
        </w:rPr>
        <w:t xml:space="preserve"> pancreatic collections can be performed with an open surgical procedure or with a laparoscopic approach. Most of the surgical literature is based on open surgical drainage procedures. Open surgical drainage can be accomplished </w:t>
      </w:r>
      <w:r w:rsidR="0045442A" w:rsidRPr="00472719">
        <w:rPr>
          <w:rFonts w:ascii="Book Antiqua" w:hAnsi="Book Antiqua"/>
          <w:i/>
          <w:color w:val="000000"/>
        </w:rPr>
        <w:t>via</w:t>
      </w:r>
      <w:r w:rsidR="0045442A" w:rsidRPr="00472719">
        <w:rPr>
          <w:rFonts w:ascii="Book Antiqua" w:hAnsi="Book Antiqua"/>
          <w:color w:val="000000"/>
        </w:rPr>
        <w:t xml:space="preserve"> </w:t>
      </w:r>
      <w:proofErr w:type="spellStart"/>
      <w:r w:rsidR="0045442A" w:rsidRPr="00472719">
        <w:rPr>
          <w:rFonts w:ascii="Book Antiqua" w:hAnsi="Book Antiqua"/>
          <w:color w:val="000000"/>
        </w:rPr>
        <w:t>cystgastrostomy</w:t>
      </w:r>
      <w:proofErr w:type="spellEnd"/>
      <w:r w:rsidR="0045442A" w:rsidRPr="00472719">
        <w:rPr>
          <w:rFonts w:ascii="Book Antiqua" w:hAnsi="Book Antiqua"/>
          <w:color w:val="000000"/>
        </w:rPr>
        <w:t xml:space="preserve">, </w:t>
      </w:r>
      <w:proofErr w:type="spellStart"/>
      <w:r w:rsidR="0045442A" w:rsidRPr="00472719">
        <w:rPr>
          <w:rFonts w:ascii="Book Antiqua" w:hAnsi="Book Antiqua"/>
          <w:color w:val="000000"/>
        </w:rPr>
        <w:t>cystenterostomy</w:t>
      </w:r>
      <w:proofErr w:type="spellEnd"/>
      <w:r w:rsidR="0045442A" w:rsidRPr="00472719">
        <w:rPr>
          <w:rFonts w:ascii="Book Antiqua" w:hAnsi="Book Antiqua"/>
          <w:color w:val="000000"/>
        </w:rPr>
        <w:t xml:space="preserve"> (direct drainage or </w:t>
      </w:r>
      <w:r w:rsidR="0045442A" w:rsidRPr="00472719">
        <w:rPr>
          <w:rFonts w:ascii="Book Antiqua" w:hAnsi="Book Antiqua"/>
          <w:i/>
          <w:color w:val="000000"/>
        </w:rPr>
        <w:t>via</w:t>
      </w:r>
      <w:r w:rsidR="0045442A" w:rsidRPr="00472719">
        <w:rPr>
          <w:rFonts w:ascii="Book Antiqua" w:hAnsi="Book Antiqua"/>
          <w:color w:val="000000"/>
        </w:rPr>
        <w:t xml:space="preserve"> a Roux limb), or resection. Drainage can also b</w:t>
      </w:r>
      <w:r w:rsidR="00BE7CE4" w:rsidRPr="00472719">
        <w:rPr>
          <w:rFonts w:ascii="Book Antiqua" w:hAnsi="Book Antiqua"/>
          <w:color w:val="000000"/>
        </w:rPr>
        <w:t>e accomplished laparoscopically.</w:t>
      </w:r>
      <w:r w:rsidR="0045442A" w:rsidRPr="00472719">
        <w:rPr>
          <w:rFonts w:ascii="Book Antiqua" w:hAnsi="Book Antiqua"/>
          <w:color w:val="000000"/>
        </w:rPr>
        <w:t xml:space="preserve"> Laparoscopic</w:t>
      </w:r>
      <w:r w:rsidR="00F6294A" w:rsidRPr="00472719">
        <w:rPr>
          <w:rFonts w:ascii="Book Antiqua" w:hAnsi="Book Antiqua"/>
          <w:color w:val="000000"/>
        </w:rPr>
        <w:t xml:space="preserve"> </w:t>
      </w:r>
      <w:proofErr w:type="spellStart"/>
      <w:r w:rsidR="0045442A" w:rsidRPr="00472719">
        <w:rPr>
          <w:rFonts w:ascii="Book Antiqua" w:hAnsi="Book Antiqua"/>
          <w:color w:val="000000"/>
        </w:rPr>
        <w:t>cystgastrostomy</w:t>
      </w:r>
      <w:proofErr w:type="spellEnd"/>
      <w:r w:rsidR="0045442A" w:rsidRPr="00472719">
        <w:rPr>
          <w:rFonts w:ascii="Book Antiqua" w:hAnsi="Book Antiqua"/>
          <w:color w:val="000000"/>
        </w:rPr>
        <w:t xml:space="preserve"> can be performed </w:t>
      </w:r>
      <w:r w:rsidR="0045442A" w:rsidRPr="00472719">
        <w:rPr>
          <w:rFonts w:ascii="Book Antiqua" w:hAnsi="Book Antiqua"/>
          <w:i/>
          <w:color w:val="000000"/>
        </w:rPr>
        <w:t>via</w:t>
      </w:r>
      <w:r w:rsidR="0045442A" w:rsidRPr="00472719">
        <w:rPr>
          <w:rFonts w:ascii="Book Antiqua" w:hAnsi="Book Antiqua"/>
          <w:color w:val="000000"/>
        </w:rPr>
        <w:t xml:space="preserve"> an anterior </w:t>
      </w:r>
      <w:proofErr w:type="spellStart"/>
      <w:r w:rsidR="0045442A" w:rsidRPr="00472719">
        <w:rPr>
          <w:rFonts w:ascii="Book Antiqua" w:hAnsi="Book Antiqua"/>
          <w:color w:val="000000"/>
        </w:rPr>
        <w:t>transgastric</w:t>
      </w:r>
      <w:proofErr w:type="spellEnd"/>
      <w:r w:rsidR="0045442A" w:rsidRPr="00472719">
        <w:rPr>
          <w:rFonts w:ascii="Book Antiqua" w:hAnsi="Book Antiqua"/>
          <w:color w:val="000000"/>
        </w:rPr>
        <w:t xml:space="preserve"> approach or a posterior approach through the lesser sac requiring only a single </w:t>
      </w:r>
      <w:proofErr w:type="spellStart"/>
      <w:r w:rsidR="0045442A" w:rsidRPr="00472719">
        <w:rPr>
          <w:rFonts w:ascii="Book Antiqua" w:hAnsi="Book Antiqua"/>
          <w:color w:val="000000"/>
        </w:rPr>
        <w:t>gastrotomy</w:t>
      </w:r>
      <w:proofErr w:type="spellEnd"/>
      <w:r w:rsidR="0045442A" w:rsidRPr="00472719">
        <w:rPr>
          <w:rFonts w:ascii="Book Antiqua" w:hAnsi="Book Antiqua"/>
          <w:color w:val="000000"/>
        </w:rPr>
        <w:t xml:space="preserve"> in continuity with the walled-off pancreatic fluid collection. Over the last 10 years endoscopic drainage has come to the forefront and has been shown to have comparable efficacy to surgical drainage with lesser </w:t>
      </w:r>
      <w:r w:rsidRPr="00472719">
        <w:rPr>
          <w:rFonts w:ascii="Book Antiqua" w:hAnsi="Book Antiqua"/>
          <w:color w:val="000000"/>
        </w:rPr>
        <w:t xml:space="preserve">treatment </w:t>
      </w:r>
      <w:r w:rsidR="0045442A" w:rsidRPr="00472719">
        <w:rPr>
          <w:rFonts w:ascii="Book Antiqua" w:hAnsi="Book Antiqua"/>
          <w:color w:val="000000"/>
        </w:rPr>
        <w:t>cost</w:t>
      </w:r>
      <w:r w:rsidRPr="00472719">
        <w:rPr>
          <w:rFonts w:ascii="Book Antiqua" w:hAnsi="Book Antiqua"/>
          <w:color w:val="000000"/>
        </w:rPr>
        <w:t>s</w:t>
      </w:r>
      <w:r w:rsidR="0045442A" w:rsidRPr="00472719">
        <w:rPr>
          <w:rFonts w:ascii="Book Antiqua" w:hAnsi="Book Antiqua"/>
          <w:color w:val="000000"/>
        </w:rPr>
        <w:t xml:space="preserve"> and shorter hospital stay. </w:t>
      </w:r>
    </w:p>
    <w:p w14:paraId="0F8247FD" w14:textId="5DB76B90" w:rsidR="0045442A" w:rsidRPr="00472719" w:rsidRDefault="00DF59A6" w:rsidP="00472719">
      <w:pPr>
        <w:autoSpaceDE w:val="0"/>
        <w:autoSpaceDN w:val="0"/>
        <w:adjustRightInd w:val="0"/>
        <w:snapToGrid w:val="0"/>
        <w:spacing w:line="360" w:lineRule="auto"/>
        <w:ind w:firstLineChars="200" w:firstLine="480"/>
        <w:jc w:val="both"/>
        <w:rPr>
          <w:rFonts w:ascii="Book Antiqua" w:hAnsi="Book Antiqua"/>
          <w:color w:val="000000"/>
        </w:rPr>
      </w:pPr>
      <w:r w:rsidRPr="00472719">
        <w:rPr>
          <w:rFonts w:ascii="Book Antiqua" w:hAnsi="Book Antiqua"/>
          <w:color w:val="000000"/>
        </w:rPr>
        <w:t>Surgical</w:t>
      </w:r>
      <w:r w:rsidR="0045442A" w:rsidRPr="00472719">
        <w:rPr>
          <w:rFonts w:ascii="Book Antiqua" w:hAnsi="Book Antiqua"/>
          <w:color w:val="000000"/>
        </w:rPr>
        <w:t xml:space="preserve"> drainage is</w:t>
      </w:r>
      <w:r w:rsidRPr="00472719">
        <w:rPr>
          <w:rFonts w:ascii="Book Antiqua" w:hAnsi="Book Antiqua"/>
          <w:color w:val="000000"/>
        </w:rPr>
        <w:t xml:space="preserve"> a multidisciplinary decision and should only be</w:t>
      </w:r>
      <w:r w:rsidR="0045442A" w:rsidRPr="00472719">
        <w:rPr>
          <w:rFonts w:ascii="Book Antiqua" w:hAnsi="Book Antiqua"/>
          <w:color w:val="000000"/>
        </w:rPr>
        <w:t xml:space="preserve"> </w:t>
      </w:r>
      <w:r w:rsidRPr="00472719">
        <w:rPr>
          <w:rFonts w:ascii="Book Antiqua" w:hAnsi="Book Antiqua"/>
          <w:color w:val="000000"/>
        </w:rPr>
        <w:t xml:space="preserve">considered </w:t>
      </w:r>
      <w:r w:rsidR="0045442A" w:rsidRPr="00472719">
        <w:rPr>
          <w:rFonts w:ascii="Book Antiqua" w:hAnsi="Book Antiqua"/>
          <w:color w:val="000000"/>
        </w:rPr>
        <w:t xml:space="preserve">for patients with endoscopic failures, recurrence following successful endoscopic drainage or those not meeting criteria for endoscopic or percutaneous drainage. In 2011 Seewald </w:t>
      </w:r>
      <w:r w:rsidR="0081329E" w:rsidRPr="00472719">
        <w:rPr>
          <w:rFonts w:ascii="Book Antiqua" w:hAnsi="Book Antiqua"/>
          <w:i/>
          <w:color w:val="000000"/>
        </w:rPr>
        <w:t>et al</w:t>
      </w:r>
      <w:r w:rsidR="00C56FB8" w:rsidRPr="00472719">
        <w:rPr>
          <w:rFonts w:ascii="Book Antiqua" w:hAnsi="Book Antiqua"/>
          <w:color w:val="000000"/>
        </w:rPr>
        <w:fldChar w:fldCharType="begin" w:fldLock="1"/>
      </w:r>
      <w:r w:rsidR="00C56FB8" w:rsidRPr="00472719">
        <w:rPr>
          <w:rFonts w:ascii="Book Antiqua" w:hAnsi="Book Antiqua"/>
          <w:color w:val="000000"/>
        </w:rPr>
        <w:instrText>ADDIN CSL_CITATION { "citationItems" : [ { "id" : "ITEM-1", "itemData" : { "DOI" : "10.1111/j.1443-1661.2011.01162.x", "ISSN" : "1443-1661", "PMID" : "22211410", "abstract" : "AIMS: To determine the immediate and long-term results of endoscopic drainage and necrosectomy for symptomatic pancreatic fluid collections.\n\nMETHODS: The data of 80 patients with symptomatic pancreatic fluid collections (mean diameter: 11.7 cm, range 3-20; pseudocysts: 24/80, abscess: 20/80, infected walled-off necrosis: 36/80) referred for endoscopic management from October 1997 to March 2008 were analyzed retrospectively.\n\nRESULTS: Endoscopic drainage techniques included endoscopic ultrasound (EUS)-guided aspiration (2/80), EUS-guided transenteric drainage (70/80) and non-EUS-guided drainage across a spontaneous transenteric fistula (8/80). Endoscopic necrosectomy was carried out in 49/80 (abscesses: 14/20; infected necrosis: 35/36). Procedural complications were bleeding (12/80), perforation (7/80), portal air embolism (1/80) and Ogilvie Syndrome (1/80). Initial technical success was achieved in 78/80 (97.5%) and clinical resolution of the collections was achieved endoscopically in 67/80 (83.8%), with surgery required in 13/80 (perforation: four; endoscopically inaccessible areas: two; inadequate drainage: seven). Within 6 months five patients required surgery due to recurrent fluid collections; over a mean follow up of 31 months, surgery was required in four more patients due to recurrent collections as a consequence of underlying pancreatic duct abnormalities that could not be treated endoscopically. The long-term success of endoscopic treatment was 58/80 (72.5%).\n\nCONCLUSIONS: Endoscopic drainage of symptomatic pancreatic fluid collections is safe and effective, with excellent immediate and long-term results. Endoscopic necrosectomy has a risk of serious complications. The underlying pancreatic duct abnormalities must be addressed to prevent recurrence of fluid collections.", "author" : [ { "dropping-particle" : "", "family" : "Seewald", "given" : "Stefan", "non-dropping-particle" : "", "parse-names" : false, "suffix" : "" }, { "dropping-particle" : "", "family" : "Ang", "given" : "Tiing Leong", "non-dropping-particle" : "", "parse-names" : false, "suffix" : "" }, { "dropping-particle" : "", "family" : "Richter", "given" : "Hugo", "non-dropping-particle" : "", "parse-names" : false, "suffix" : "" }, { "dropping-particle" : "", "family" : "Teng", "given" : "Karl Yu Kim", "non-dropping-particle" : "", "parse-names" : false, "suffix" : "" }, { "dropping-particle" : "", "family" : "Zhong", "given" : "Yan", "non-dropping-particle" : "", "parse-names" : false, "suffix" : "" }, { "dropping-particle" : "", "family" : "Groth", "given" : "Stefan", "non-dropping-particle" : "", "parse-names" : false, "suffix" : "" }, { "dropping-particle" : "", "family" : "Omar", "given" : "Salem", "non-dropping-particle" : "", "parse-names" : false, "suffix" : "" }, { "dropping-particle" : "", "family" : "Soehendra", "given" : "Nib", "non-dropping-particle" : "", "parse-names" : false, "suffix" : "" } ], "container-title" : "Digestive endoscopy : official journal of the Japan Gastroenterological Endoscopy Society", "id" : "ITEM-1", "issue" : "1", "issued" : { "date-parts" : [ [ "2012", "1" ] ] }, "page" : "36-41", "title" : "Long-term results after endoscopic drainage and necrosectomy of symptomatic pancreatic fluid collections.", "type" : "article-journal", "volume" : "24" }, "uris" : [ "http://www.mendeley.com/documents/?uuid=e2c276dc-71b3-45a2-a968-92c52aa7de98", "http://www.mendeley.com/documents/?uuid=6160ab26-37d2-4a94-a7b7-833aad966b3c" ] } ], "mendeley" : { "formattedCitation" : "&lt;sup&gt;[45]&lt;/sup&gt;", "plainTextFormattedCitation" : "[45]", "previouslyFormattedCitation" : "&lt;sup&gt;[45]&lt;/sup&gt;" }, "properties" : { "noteIndex" : 0 }, "schema" : "https://github.com/citation-style-language/schema/raw/master/csl-citation.json" }</w:instrText>
      </w:r>
      <w:r w:rsidR="00C56FB8" w:rsidRPr="00472719">
        <w:rPr>
          <w:rFonts w:ascii="Book Antiqua" w:hAnsi="Book Antiqua"/>
          <w:color w:val="000000"/>
        </w:rPr>
        <w:fldChar w:fldCharType="separate"/>
      </w:r>
      <w:r w:rsidR="00C56FB8" w:rsidRPr="00472719">
        <w:rPr>
          <w:rFonts w:ascii="Book Antiqua" w:hAnsi="Book Antiqua"/>
          <w:noProof/>
          <w:color w:val="000000"/>
          <w:vertAlign w:val="superscript"/>
        </w:rPr>
        <w:t>[4</w:t>
      </w:r>
      <w:r w:rsidR="00843137">
        <w:rPr>
          <w:rFonts w:ascii="Book Antiqua" w:hAnsi="Book Antiqua"/>
          <w:noProof/>
          <w:color w:val="000000"/>
          <w:vertAlign w:val="superscript"/>
        </w:rPr>
        <w:t>4</w:t>
      </w:r>
      <w:r w:rsidR="00C56FB8" w:rsidRPr="00472719">
        <w:rPr>
          <w:rFonts w:ascii="Book Antiqua" w:hAnsi="Book Antiqua"/>
          <w:noProof/>
          <w:color w:val="000000"/>
          <w:vertAlign w:val="superscript"/>
        </w:rPr>
        <w:t>]</w:t>
      </w:r>
      <w:r w:rsidR="00C56FB8" w:rsidRPr="00472719">
        <w:rPr>
          <w:rFonts w:ascii="Book Antiqua" w:hAnsi="Book Antiqua"/>
          <w:color w:val="000000"/>
        </w:rPr>
        <w:fldChar w:fldCharType="end"/>
      </w:r>
      <w:r w:rsidR="0045442A" w:rsidRPr="00472719">
        <w:rPr>
          <w:rFonts w:ascii="Book Antiqua" w:hAnsi="Book Antiqua"/>
          <w:color w:val="000000"/>
        </w:rPr>
        <w:t xml:space="preserve"> published the long term results of endoscopic drainage of</w:t>
      </w:r>
      <w:r w:rsidR="008A5D99" w:rsidRPr="00472719">
        <w:rPr>
          <w:rFonts w:ascii="Book Antiqua" w:hAnsi="Book Antiqua"/>
          <w:color w:val="000000"/>
        </w:rPr>
        <w:t xml:space="preserve"> </w:t>
      </w:r>
      <w:proofErr w:type="spellStart"/>
      <w:r w:rsidR="008A5D99" w:rsidRPr="00472719">
        <w:rPr>
          <w:rFonts w:ascii="Book Antiqua" w:hAnsi="Book Antiqua"/>
          <w:color w:val="000000"/>
        </w:rPr>
        <w:t>PFCs</w:t>
      </w:r>
      <w:r w:rsidR="0045442A" w:rsidRPr="00472719">
        <w:rPr>
          <w:rFonts w:ascii="Book Antiqua" w:hAnsi="Book Antiqua"/>
          <w:color w:val="000000"/>
        </w:rPr>
        <w:t>.</w:t>
      </w:r>
      <w:proofErr w:type="spellEnd"/>
      <w:r w:rsidR="0045442A" w:rsidRPr="00472719">
        <w:rPr>
          <w:rFonts w:ascii="Book Antiqua" w:hAnsi="Book Antiqua"/>
          <w:color w:val="000000"/>
        </w:rPr>
        <w:t xml:space="preserve"> The data of 80 patients with symptomatic </w:t>
      </w:r>
      <w:r w:rsidR="008A5D99" w:rsidRPr="00472719">
        <w:rPr>
          <w:rFonts w:ascii="Book Antiqua" w:hAnsi="Book Antiqua"/>
          <w:color w:val="000000"/>
        </w:rPr>
        <w:t xml:space="preserve">PFCs </w:t>
      </w:r>
      <w:r w:rsidR="0045442A" w:rsidRPr="00472719">
        <w:rPr>
          <w:rFonts w:ascii="Book Antiqua" w:hAnsi="Book Antiqua"/>
          <w:color w:val="000000"/>
        </w:rPr>
        <w:t xml:space="preserve">were analyzed retrospectively. Clinical resolution of the collections was achieved </w:t>
      </w:r>
      <w:proofErr w:type="spellStart"/>
      <w:r w:rsidR="0045442A" w:rsidRPr="00472719">
        <w:rPr>
          <w:rFonts w:ascii="Book Antiqua" w:hAnsi="Book Antiqua"/>
          <w:color w:val="000000"/>
        </w:rPr>
        <w:t>endoscopically</w:t>
      </w:r>
      <w:proofErr w:type="spellEnd"/>
      <w:r w:rsidR="0045442A" w:rsidRPr="00472719">
        <w:rPr>
          <w:rFonts w:ascii="Book Antiqua" w:hAnsi="Book Antiqua"/>
          <w:color w:val="000000"/>
        </w:rPr>
        <w:t xml:space="preserve"> in 67/80 (83.8%), with surgery required in 13/80 (perforation: four; </w:t>
      </w:r>
      <w:proofErr w:type="spellStart"/>
      <w:r w:rsidR="0045442A" w:rsidRPr="00472719">
        <w:rPr>
          <w:rFonts w:ascii="Book Antiqua" w:hAnsi="Book Antiqua"/>
          <w:color w:val="000000"/>
        </w:rPr>
        <w:t>endoscopically</w:t>
      </w:r>
      <w:proofErr w:type="spellEnd"/>
      <w:r w:rsidR="0045442A" w:rsidRPr="00472719">
        <w:rPr>
          <w:rFonts w:ascii="Book Antiqua" w:hAnsi="Book Antiqua"/>
          <w:color w:val="000000"/>
        </w:rPr>
        <w:t xml:space="preserve"> inaccessible areas: two; inadequate drainage: seven).</w:t>
      </w:r>
      <w:r w:rsidR="00BE7CE4" w:rsidRPr="00472719">
        <w:rPr>
          <w:rFonts w:ascii="Book Antiqua" w:hAnsi="Book Antiqua"/>
          <w:color w:val="000000"/>
        </w:rPr>
        <w:t xml:space="preserve"> </w:t>
      </w:r>
      <w:proofErr w:type="gramStart"/>
      <w:r w:rsidR="0045442A" w:rsidRPr="00472719">
        <w:rPr>
          <w:rFonts w:ascii="Book Antiqua" w:hAnsi="Book Antiqua"/>
          <w:color w:val="000000"/>
        </w:rPr>
        <w:t xml:space="preserve">Within 6 </w:t>
      </w:r>
      <w:proofErr w:type="spellStart"/>
      <w:r w:rsidR="0045442A" w:rsidRPr="00472719">
        <w:rPr>
          <w:rFonts w:ascii="Book Antiqua" w:hAnsi="Book Antiqua"/>
          <w:color w:val="000000"/>
        </w:rPr>
        <w:t>mo</w:t>
      </w:r>
      <w:proofErr w:type="spellEnd"/>
      <w:r w:rsidR="0045442A" w:rsidRPr="00472719">
        <w:rPr>
          <w:rFonts w:ascii="Book Antiqua" w:hAnsi="Book Antiqua"/>
          <w:color w:val="000000"/>
        </w:rPr>
        <w:t xml:space="preserve"> five patients required surgery due to recurrent fluid collections.</w:t>
      </w:r>
      <w:proofErr w:type="gramEnd"/>
      <w:r w:rsidR="0045442A" w:rsidRPr="00472719">
        <w:rPr>
          <w:rFonts w:ascii="Book Antiqua" w:hAnsi="Book Antiqua"/>
          <w:color w:val="000000"/>
        </w:rPr>
        <w:t xml:space="preserve"> Over a mean follow up of 31 months, surgery was required in four more patients due to recurrent collections as a consequence of underlying pancreatic duct abnormalities that could not be treated </w:t>
      </w:r>
      <w:proofErr w:type="spellStart"/>
      <w:r w:rsidR="0045442A" w:rsidRPr="00472719">
        <w:rPr>
          <w:rFonts w:ascii="Book Antiqua" w:hAnsi="Book Antiqua"/>
          <w:color w:val="000000"/>
        </w:rPr>
        <w:t>endoscopically</w:t>
      </w:r>
      <w:proofErr w:type="spellEnd"/>
      <w:r w:rsidR="0045442A" w:rsidRPr="00472719">
        <w:rPr>
          <w:rFonts w:ascii="Book Antiqua" w:hAnsi="Book Antiqua"/>
          <w:color w:val="000000"/>
        </w:rPr>
        <w:t>. The long-term success of endoscopic treatment was 58/80 (72.5%) and surgery was required in 28% of patients.</w:t>
      </w:r>
    </w:p>
    <w:p w14:paraId="14105CED" w14:textId="60A65937" w:rsidR="00BC1839" w:rsidRPr="00472719" w:rsidRDefault="008A5D99" w:rsidP="00472719">
      <w:pPr>
        <w:autoSpaceDE w:val="0"/>
        <w:autoSpaceDN w:val="0"/>
        <w:adjustRightInd w:val="0"/>
        <w:snapToGrid w:val="0"/>
        <w:spacing w:line="360" w:lineRule="auto"/>
        <w:jc w:val="both"/>
        <w:rPr>
          <w:rFonts w:ascii="Book Antiqua" w:hAnsi="Book Antiqua"/>
          <w:color w:val="000000"/>
        </w:rPr>
      </w:pPr>
      <w:r w:rsidRPr="00472719">
        <w:rPr>
          <w:rFonts w:ascii="Book Antiqua" w:hAnsi="Book Antiqua"/>
          <w:color w:val="000000"/>
        </w:rPr>
        <w:lastRenderedPageBreak/>
        <w:tab/>
      </w:r>
      <w:r w:rsidR="0045442A" w:rsidRPr="00472719">
        <w:rPr>
          <w:rFonts w:ascii="Book Antiqua" w:hAnsi="Book Antiqua"/>
          <w:color w:val="000000"/>
        </w:rPr>
        <w:t xml:space="preserve">The traditional approach to the treatment of necrotizing pancreatitis with secondary infection of necrotic tissue is open </w:t>
      </w:r>
      <w:proofErr w:type="spellStart"/>
      <w:r w:rsidR="0045442A" w:rsidRPr="00472719">
        <w:rPr>
          <w:rFonts w:ascii="Book Antiqua" w:hAnsi="Book Antiqua"/>
          <w:color w:val="000000"/>
        </w:rPr>
        <w:t>necrosectomy</w:t>
      </w:r>
      <w:proofErr w:type="spellEnd"/>
      <w:r w:rsidR="0045442A" w:rsidRPr="00472719">
        <w:rPr>
          <w:rFonts w:ascii="Book Antiqua" w:hAnsi="Book Antiqua"/>
          <w:color w:val="000000"/>
        </w:rPr>
        <w:t xml:space="preserve"> to completely remove the infected necrotic tissue. This invasive approach is associated with high rates of</w:t>
      </w:r>
      <w:r w:rsidR="005575FC" w:rsidRPr="00472719">
        <w:rPr>
          <w:rFonts w:ascii="Book Antiqua" w:hAnsi="Book Antiqua"/>
          <w:color w:val="000000"/>
        </w:rPr>
        <w:t xml:space="preserve"> complications and death (11</w:t>
      </w:r>
      <w:r w:rsidR="00C56FB8" w:rsidRPr="00472719">
        <w:rPr>
          <w:rFonts w:ascii="Book Antiqua" w:hAnsi="Book Antiqua"/>
          <w:color w:val="000000"/>
          <w:lang w:eastAsia="zh-CN"/>
        </w:rPr>
        <w:t>%</w:t>
      </w:r>
      <w:r w:rsidR="005575FC" w:rsidRPr="00472719">
        <w:rPr>
          <w:rFonts w:ascii="Book Antiqua" w:hAnsi="Book Antiqua"/>
          <w:color w:val="000000"/>
        </w:rPr>
        <w:t>-</w:t>
      </w:r>
      <w:r w:rsidR="0045442A" w:rsidRPr="00472719">
        <w:rPr>
          <w:rFonts w:ascii="Book Antiqua" w:hAnsi="Book Antiqua"/>
          <w:color w:val="000000"/>
        </w:rPr>
        <w:t xml:space="preserve">39%) and with a risk of long-term pancreatic insufficiency. The Dutch pancreatitis study group has shown that a step up approach consisting of percutaneous drainage followed, if necessary, by minimally invasive retroperitoneal </w:t>
      </w:r>
      <w:proofErr w:type="spellStart"/>
      <w:r w:rsidR="0045442A" w:rsidRPr="00472719">
        <w:rPr>
          <w:rFonts w:ascii="Book Antiqua" w:hAnsi="Book Antiqua"/>
          <w:color w:val="000000"/>
        </w:rPr>
        <w:t>necrosectomy</w:t>
      </w:r>
      <w:proofErr w:type="spellEnd"/>
      <w:r w:rsidR="0045442A" w:rsidRPr="00472719">
        <w:rPr>
          <w:rFonts w:ascii="Book Antiqua" w:hAnsi="Book Antiqua"/>
          <w:color w:val="000000"/>
        </w:rPr>
        <w:t xml:space="preserve"> is a better treatment strategy than open </w:t>
      </w:r>
      <w:proofErr w:type="spellStart"/>
      <w:r w:rsidR="0045442A" w:rsidRPr="00472719">
        <w:rPr>
          <w:rFonts w:ascii="Book Antiqua" w:hAnsi="Book Antiqua"/>
          <w:color w:val="000000"/>
        </w:rPr>
        <w:t>necrosectomy</w:t>
      </w:r>
      <w:proofErr w:type="spellEnd"/>
      <w:r w:rsidR="0045442A" w:rsidRPr="00472719">
        <w:rPr>
          <w:rFonts w:ascii="Book Antiqua" w:hAnsi="Book Antiqua"/>
          <w:color w:val="000000"/>
        </w:rPr>
        <w:t xml:space="preserve"> in patients with necrotizing pancr</w:t>
      </w:r>
      <w:r w:rsidR="00C56FB8" w:rsidRPr="00472719">
        <w:rPr>
          <w:rFonts w:ascii="Book Antiqua" w:hAnsi="Book Antiqua"/>
          <w:color w:val="000000"/>
        </w:rPr>
        <w:t>eatitis and secondary infection</w:t>
      </w:r>
      <w:r w:rsidR="007675D0" w:rsidRPr="00472719">
        <w:rPr>
          <w:rFonts w:ascii="Book Antiqua" w:hAnsi="Book Antiqua"/>
          <w:color w:val="000000"/>
        </w:rPr>
        <w:fldChar w:fldCharType="begin" w:fldLock="1"/>
      </w:r>
      <w:r w:rsidR="00FA79D6" w:rsidRPr="00472719">
        <w:rPr>
          <w:rFonts w:ascii="Book Antiqua" w:hAnsi="Book Antiqua"/>
          <w:color w:val="000000"/>
        </w:rPr>
        <w:instrText>ADDIN CSL_CITATION { "citationItems" : [ { "id" : "ITEM-1", "itemData" : { "DOI" : "10.1056/NEJMoa0908821", "ISBN" : "1533-4406", "ISSN" : "0028-4793", "PMID" : "20410514", "abstract" : "Necrotizing pancreatitis with infected necrotic tissue is associated with a high rate of complications and death. Standard treatment is open necrosectomy. The outcome may be improved by a minimally invasive step-up approach.", "author" : [ { "dropping-particle" : "", "family" : "Santvoort", "given" : "Hjalmar C", "non-dropping-particle" : "van", "parse-names" : false, "suffix" : "" }, { "dropping-particle" : "", "family" : "Besselink", "given" : "Marc G", "non-dropping-particle" : "", "parse-names" : false, "suffix" : "" }, { "dropping-particle" : "", "family" : "Bakker", "given" : "Olaf J", "non-dropping-particle" : "", "parse-names" : false, "suffix" : "" }, { "dropping-particle" : "", "family" : "Hofker", "given" : "H Sijbrand", "non-dropping-particle" : "", "parse-names" : false, "suffix" : "" }, { "dropping-particle" : "", "family" : "Boermeester", "given" : "Marja a", "non-dropping-particle" : "", "parse-names" : false, "suffix" : "" }, { "dropping-particle" : "", "family" : "Dejong", "given" : "Cornelis H", "non-dropping-particle" : "", "parse-names" : false, "suffix" : "" }, { "dropping-particle" : "", "family" : "Goor", "given" : "Harry", "non-dropping-particle" : "van", "parse-names" : false, "suffix" : "" }, { "dropping-particle" : "", "family" : "Schaapherder", "given" : "Alexander F", "non-dropping-particle" : "", "parse-names" : false, "suffix" : "" }, { "dropping-particle" : "", "family" : "Eijck", "given" : "Casper H", "non-dropping-particle" : "van", "parse-names" : false, "suffix" : "" }, { "dropping-particle" : "", "family" : "Bollen", "given" : "Thomas L", "non-dropping-particle" : "", "parse-names" : false, "suffix" : "" }, { "dropping-particle" : "", "family" : "Ramshorst", "given" : "Bert", "non-dropping-particle" : "van", "parse-names" : false, "suffix" : "" }, { "dropping-particle" : "", "family" : "Nieuwenhuijs", "given" : "Vincent B", "non-dropping-particle" : "", "parse-names" : false, "suffix" : "" }, { "dropping-particle" : "", "family" : "Timmer", "given" : "Robin", "non-dropping-particle" : "", "parse-names" : false, "suffix" : "" }, { "dropping-particle" : "", "family" : "Lam\u00e9ris", "given" : "Johan S", "non-dropping-particle" : "", "parse-names" : false, "suffix" : "" }, { "dropping-particle" : "", "family" : "Kruyt", "given" : "Philip M", "non-dropping-particle" : "", "parse-names" : false, "suffix" : "" }, { "dropping-particle" : "", "family" : "Manusama", "given" : "Eric R", "non-dropping-particle" : "", "parse-names" : false, "suffix" : "" }, { "dropping-particle" : "", "family" : "Harst", "given" : "Erwin", "non-dropping-particle" : "van der", "parse-names" : false, "suffix" : "" }, { "dropping-particle" : "", "family" : "Schelling", "given" : "George P", "non-dropping-particle" : "van der", "parse-names" : false, "suffix" : "" }, { "dropping-particle" : "", "family" : "Karsten", "given" : "Tom", "non-dropping-particle" : "", "parse-names" : false, "suffix" : "" }, { "dropping-particle" : "", "family" : "Hesselink", "given" : "Eric J", "non-dropping-particle" : "", "parse-names" : false, "suffix" : "" }, { "dropping-particle" : "", "family" : "Laarhoven", "given" : "Cornelis J", "non-dropping-particle" : "van", "parse-names" : false, "suffix" : "" }, { "dropping-particle" : "", "family" : "Rosman", "given" : "Camiel", "non-dropping-particle" : "", "parse-names" : false, "suffix" : "" }, { "dropping-particle" : "", "family" : "Bosscha", "given" : "Koop", "non-dropping-particle" : "", "parse-names" : false, "suffix" : "" }, { "dropping-particle" : "", "family" : "Wit", "given" : "Ralph J", "non-dropping-particle" : "de", "parse-names" : false, "suffix" : "" }, { "dropping-particle" : "", "family" : "Houdijk", "given" : "Alexander P", "non-dropping-particle" : "", "parse-names" : false, "suffix" : "" }, { "dropping-particle" : "", "family" : "Leeuwen", "given" : "Maarten S", "non-dropping-particle" : "van", "parse-names" : false, "suffix" : "" }, { "dropping-particle" : "", "family" : "Buskens", "given" : "Erik", "non-dropping-particle" : "", "parse-names" : false, "suffix" : "" }, { "dropping-particle" : "", "family" : "Gooszen", "given" : "Hein G", "non-dropping-particle" : "", "parse-names" : false, "suffix" : "" } ], "container-title" : "The New England journal of medicine", "id" : "ITEM-1", "issued" : { "date-parts" : [ [ "2010" ] ] }, "page" : "1491-1502", "title" : "A step-up approach or open necrosectomy for necrotizing pancreatitis.", "type" : "article-journal", "volume" : "362" }, "uris" : [ "http://www.mendeley.com/documents/?uuid=3092292d-dd93-4623-81b4-ae8c66d73be7", "http://www.mendeley.com/documents/?uuid=739886af-adbd-497e-bf1c-feba8e2dd030" ] } ], "mendeley" : { "formattedCitation" : "&lt;sup&gt;[46]&lt;/sup&gt;", "plainTextFormattedCitation" : "[46]", "previouslyFormattedCitation" : "&lt;sup&gt;[46]&lt;/sup&gt;" }, "properties" : { "noteIndex" : 0 }, "schema" : "https://github.com/citation-style-language/schema/raw/master/csl-citation.json" }</w:instrText>
      </w:r>
      <w:r w:rsidR="007675D0" w:rsidRPr="00472719">
        <w:rPr>
          <w:rFonts w:ascii="Book Antiqua" w:hAnsi="Book Antiqua"/>
          <w:color w:val="000000"/>
        </w:rPr>
        <w:fldChar w:fldCharType="separate"/>
      </w:r>
      <w:r w:rsidR="00467DD1" w:rsidRPr="00472719">
        <w:rPr>
          <w:rFonts w:ascii="Book Antiqua" w:hAnsi="Book Antiqua"/>
          <w:noProof/>
          <w:color w:val="000000"/>
          <w:vertAlign w:val="superscript"/>
        </w:rPr>
        <w:t>[4</w:t>
      </w:r>
      <w:r w:rsidR="00843137">
        <w:rPr>
          <w:rFonts w:ascii="Book Antiqua" w:hAnsi="Book Antiqua"/>
          <w:noProof/>
          <w:color w:val="000000"/>
          <w:vertAlign w:val="superscript"/>
        </w:rPr>
        <w:t>5</w:t>
      </w:r>
      <w:r w:rsidR="00467DD1" w:rsidRPr="00472719">
        <w:rPr>
          <w:rFonts w:ascii="Book Antiqua" w:hAnsi="Book Antiqua"/>
          <w:noProof/>
          <w:color w:val="000000"/>
          <w:vertAlign w:val="superscript"/>
        </w:rPr>
        <w:t>]</w:t>
      </w:r>
      <w:r w:rsidR="007675D0" w:rsidRPr="00472719">
        <w:rPr>
          <w:rFonts w:ascii="Book Antiqua" w:hAnsi="Book Antiqua"/>
          <w:color w:val="000000"/>
        </w:rPr>
        <w:fldChar w:fldCharType="end"/>
      </w:r>
      <w:r w:rsidR="0045442A" w:rsidRPr="00472719">
        <w:rPr>
          <w:rFonts w:ascii="Book Antiqua" w:hAnsi="Book Antiqua"/>
          <w:color w:val="000000"/>
        </w:rPr>
        <w:t>. New-onset multiple-organ failure occurred less often in patients assigned to the step-up approach than in those assig</w:t>
      </w:r>
      <w:r w:rsidR="00567ECA" w:rsidRPr="00472719">
        <w:rPr>
          <w:rFonts w:ascii="Book Antiqua" w:hAnsi="Book Antiqua"/>
          <w:color w:val="000000"/>
        </w:rPr>
        <w:t xml:space="preserve">ned to open </w:t>
      </w:r>
      <w:proofErr w:type="spellStart"/>
      <w:r w:rsidR="00567ECA" w:rsidRPr="00472719">
        <w:rPr>
          <w:rFonts w:ascii="Book Antiqua" w:hAnsi="Book Antiqua"/>
          <w:color w:val="000000"/>
        </w:rPr>
        <w:t>necrosectomy</w:t>
      </w:r>
      <w:proofErr w:type="spellEnd"/>
      <w:r w:rsidR="00567ECA" w:rsidRPr="00472719">
        <w:rPr>
          <w:rFonts w:ascii="Book Antiqua" w:hAnsi="Book Antiqua"/>
          <w:color w:val="000000"/>
        </w:rPr>
        <w:t xml:space="preserve"> (12% </w:t>
      </w:r>
      <w:r w:rsidR="00C56FB8" w:rsidRPr="00472719">
        <w:rPr>
          <w:rFonts w:ascii="Book Antiqua" w:hAnsi="Book Antiqua"/>
          <w:i/>
          <w:color w:val="000000"/>
        </w:rPr>
        <w:t>vs</w:t>
      </w:r>
      <w:r w:rsidR="0045442A" w:rsidRPr="00472719">
        <w:rPr>
          <w:rFonts w:ascii="Book Antiqua" w:hAnsi="Book Antiqua"/>
          <w:color w:val="000000"/>
        </w:rPr>
        <w:t xml:space="preserve"> 40%, </w:t>
      </w:r>
      <w:r w:rsidR="001B194D" w:rsidRPr="00472719">
        <w:rPr>
          <w:rFonts w:ascii="Book Antiqua" w:hAnsi="Book Antiqua"/>
          <w:i/>
          <w:color w:val="000000"/>
        </w:rPr>
        <w:t xml:space="preserve">P = </w:t>
      </w:r>
      <w:r w:rsidR="0045442A" w:rsidRPr="00472719">
        <w:rPr>
          <w:rFonts w:ascii="Book Antiqua" w:hAnsi="Book Antiqua"/>
          <w:color w:val="000000"/>
        </w:rPr>
        <w:t>0.002).</w:t>
      </w:r>
      <w:r w:rsidR="0045442A" w:rsidRPr="00472719">
        <w:rPr>
          <w:rStyle w:val="apple-converted-space"/>
          <w:rFonts w:ascii="Book Antiqua" w:hAnsi="Book Antiqua"/>
          <w:color w:val="000000"/>
        </w:rPr>
        <w:t> </w:t>
      </w:r>
    </w:p>
    <w:p w14:paraId="52C9A36C" w14:textId="77777777" w:rsidR="00BC1839" w:rsidRPr="00472719" w:rsidRDefault="00BC1839" w:rsidP="00472719">
      <w:pPr>
        <w:autoSpaceDE w:val="0"/>
        <w:autoSpaceDN w:val="0"/>
        <w:adjustRightInd w:val="0"/>
        <w:snapToGrid w:val="0"/>
        <w:spacing w:line="360" w:lineRule="auto"/>
        <w:jc w:val="both"/>
        <w:rPr>
          <w:rFonts w:ascii="Book Antiqua" w:hAnsi="Book Antiqua"/>
          <w:color w:val="000000"/>
        </w:rPr>
      </w:pPr>
    </w:p>
    <w:p w14:paraId="1C8F5056" w14:textId="5DDDDA36" w:rsidR="00A31743" w:rsidRPr="00472719" w:rsidRDefault="00BC1839" w:rsidP="00472719">
      <w:pPr>
        <w:autoSpaceDE w:val="0"/>
        <w:autoSpaceDN w:val="0"/>
        <w:adjustRightInd w:val="0"/>
        <w:snapToGrid w:val="0"/>
        <w:spacing w:line="360" w:lineRule="auto"/>
        <w:jc w:val="both"/>
        <w:rPr>
          <w:rFonts w:ascii="Book Antiqua" w:hAnsi="Book Antiqua"/>
          <w:b/>
          <w:caps/>
          <w:color w:val="000000"/>
        </w:rPr>
      </w:pPr>
      <w:r w:rsidRPr="00472719">
        <w:rPr>
          <w:rFonts w:ascii="Book Antiqua" w:hAnsi="Book Antiqua"/>
          <w:b/>
          <w:caps/>
        </w:rPr>
        <w:t>Future directions</w:t>
      </w:r>
    </w:p>
    <w:p w14:paraId="4109AE83" w14:textId="23092FD2" w:rsidR="00BF4F78" w:rsidRPr="00472719" w:rsidRDefault="00BF4F78"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t xml:space="preserve">The revised Atlanta classification of acute pancreatitis better defines </w:t>
      </w:r>
      <w:r w:rsidRPr="00472719">
        <w:rPr>
          <w:rFonts w:ascii="Book Antiqua" w:hAnsi="Book Antiqua"/>
        </w:rPr>
        <w:t xml:space="preserve">the local complications associated with pancreatitis: </w:t>
      </w:r>
      <w:r w:rsidRPr="00472719">
        <w:rPr>
          <w:rFonts w:ascii="Book Antiqua" w:hAnsi="Book Antiqua"/>
          <w:lang w:eastAsia="zh-CN"/>
        </w:rPr>
        <w:t xml:space="preserve">acute PFC, acute necrotic collection, </w:t>
      </w:r>
      <w:proofErr w:type="spellStart"/>
      <w:r w:rsidRPr="00472719">
        <w:rPr>
          <w:rFonts w:ascii="Book Antiqua" w:hAnsi="Book Antiqua"/>
          <w:lang w:eastAsia="zh-CN"/>
        </w:rPr>
        <w:t>pseudocyst</w:t>
      </w:r>
      <w:proofErr w:type="spellEnd"/>
      <w:r w:rsidRPr="00472719">
        <w:rPr>
          <w:rFonts w:ascii="Book Antiqua" w:hAnsi="Book Antiqua"/>
          <w:lang w:eastAsia="zh-CN"/>
        </w:rPr>
        <w:t>, and WON</w:t>
      </w:r>
      <w:r w:rsidRPr="00472719">
        <w:rPr>
          <w:rFonts w:ascii="Book Antiqua" w:hAnsi="Book Antiqua"/>
        </w:rPr>
        <w:t xml:space="preserve">. </w:t>
      </w:r>
      <w:r w:rsidR="00011513" w:rsidRPr="00472719">
        <w:rPr>
          <w:rFonts w:ascii="Book Antiqua" w:hAnsi="Book Antiqua"/>
          <w:lang w:eastAsia="zh-CN"/>
        </w:rPr>
        <w:t>In the past</w:t>
      </w:r>
      <w:r w:rsidRPr="00472719">
        <w:rPr>
          <w:rFonts w:ascii="Book Antiqua" w:hAnsi="Book Antiqua"/>
          <w:lang w:eastAsia="zh-CN"/>
        </w:rPr>
        <w:t xml:space="preserve"> decades, interventional EUS is increasingly utilized in the management of these local complications. </w:t>
      </w:r>
      <w:r w:rsidR="009F7E68" w:rsidRPr="00472719">
        <w:rPr>
          <w:rFonts w:ascii="Book Antiqua" w:hAnsi="Book Antiqua"/>
          <w:lang w:eastAsia="zh-CN"/>
        </w:rPr>
        <w:t>The authors predict a continuing evolution in the management of these PFCs with improved and novel endoscopic devices dedicated for transmural drainage of fluid and necrotic debris</w:t>
      </w:r>
      <w:r w:rsidR="005B7CA1" w:rsidRPr="00472719">
        <w:rPr>
          <w:rFonts w:ascii="Book Antiqua" w:hAnsi="Book Antiqua"/>
          <w:lang w:eastAsia="zh-CN"/>
        </w:rPr>
        <w:t>: access and patency devices</w:t>
      </w:r>
      <w:r w:rsidR="009F7E68" w:rsidRPr="00472719">
        <w:rPr>
          <w:rFonts w:ascii="Book Antiqua" w:hAnsi="Book Antiqua"/>
          <w:lang w:eastAsia="zh-CN"/>
        </w:rPr>
        <w:t>. EUS should become an indispensable part of this procedure for diagnosis and image guided interventions.</w:t>
      </w:r>
      <w:r w:rsidR="00F6294A" w:rsidRPr="00472719">
        <w:rPr>
          <w:rFonts w:ascii="Book Antiqua" w:hAnsi="Book Antiqua"/>
          <w:lang w:eastAsia="zh-CN"/>
        </w:rPr>
        <w:t xml:space="preserve">  </w:t>
      </w:r>
      <w:r w:rsidR="009F7E68" w:rsidRPr="00472719">
        <w:rPr>
          <w:rFonts w:ascii="Book Antiqua" w:hAnsi="Book Antiqua"/>
          <w:lang w:eastAsia="zh-CN"/>
        </w:rPr>
        <w:t xml:space="preserve"> </w:t>
      </w:r>
    </w:p>
    <w:p w14:paraId="2B78A511" w14:textId="6CC6662C" w:rsidR="00CD1A63" w:rsidRPr="00472719" w:rsidRDefault="00BF4F78"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tab/>
      </w:r>
      <w:r w:rsidR="009F7E68" w:rsidRPr="00472719">
        <w:rPr>
          <w:rFonts w:ascii="Book Antiqua" w:hAnsi="Book Antiqua"/>
          <w:lang w:eastAsia="zh-CN"/>
        </w:rPr>
        <w:t xml:space="preserve">As the authors have extensively reviewed and outlined the evidence, </w:t>
      </w:r>
      <w:r w:rsidR="009F7E68" w:rsidRPr="00472719">
        <w:rPr>
          <w:rFonts w:ascii="Book Antiqua" w:hAnsi="Book Antiqua"/>
          <w:color w:val="000000"/>
        </w:rPr>
        <w:t>t</w:t>
      </w:r>
      <w:r w:rsidRPr="00472719">
        <w:rPr>
          <w:rFonts w:ascii="Book Antiqua" w:hAnsi="Book Antiqua"/>
          <w:color w:val="000000"/>
        </w:rPr>
        <w:t>he amount of necrosis is the most important predictor of successful outcome after drainage</w:t>
      </w:r>
      <w:r w:rsidR="009F7E68" w:rsidRPr="00472719">
        <w:rPr>
          <w:rFonts w:ascii="Book Antiqua" w:hAnsi="Book Antiqua"/>
          <w:color w:val="000000"/>
        </w:rPr>
        <w:t xml:space="preserve"> of these PFCs, regardless of their different terminologies</w:t>
      </w:r>
      <w:r w:rsidRPr="00472719">
        <w:rPr>
          <w:rFonts w:ascii="Book Antiqua" w:hAnsi="Book Antiqua"/>
          <w:color w:val="000000"/>
        </w:rPr>
        <w:t>. Hence it would s</w:t>
      </w:r>
      <w:r w:rsidR="009F7E68" w:rsidRPr="00472719">
        <w:rPr>
          <w:rFonts w:ascii="Book Antiqua" w:hAnsi="Book Antiqua"/>
          <w:color w:val="000000"/>
        </w:rPr>
        <w:t>eem logical to classify these</w:t>
      </w:r>
      <w:r w:rsidRPr="00472719">
        <w:rPr>
          <w:rFonts w:ascii="Book Antiqua" w:hAnsi="Book Antiqua"/>
          <w:color w:val="000000"/>
        </w:rPr>
        <w:t xml:space="preserve"> collections based on the percentage of necrotic component</w:t>
      </w:r>
      <w:r w:rsidR="009F7E68" w:rsidRPr="00472719">
        <w:rPr>
          <w:rFonts w:ascii="Book Antiqua" w:hAnsi="Book Antiqua"/>
          <w:color w:val="000000"/>
        </w:rPr>
        <w:t xml:space="preserve"> or debris under radiological imaging studies or EUS</w:t>
      </w:r>
      <w:r w:rsidRPr="00472719">
        <w:rPr>
          <w:rFonts w:ascii="Book Antiqua" w:hAnsi="Book Antiqua"/>
          <w:color w:val="000000"/>
        </w:rPr>
        <w:t xml:space="preserve">. We would like to propose a </w:t>
      </w:r>
      <w:r w:rsidR="009F7E68" w:rsidRPr="00472719">
        <w:rPr>
          <w:rFonts w:ascii="Book Antiqua" w:hAnsi="Book Antiqua"/>
          <w:color w:val="000000"/>
        </w:rPr>
        <w:t xml:space="preserve">classification system where these fluid </w:t>
      </w:r>
      <w:r w:rsidRPr="00472719">
        <w:rPr>
          <w:rFonts w:ascii="Book Antiqua" w:hAnsi="Book Antiqua"/>
          <w:color w:val="000000"/>
        </w:rPr>
        <w:t>collections can be categorized into 3 groups, those with solid component &lt; 20%, those with solid component between 20</w:t>
      </w:r>
      <w:r w:rsidR="00C56FB8" w:rsidRPr="00472719">
        <w:rPr>
          <w:rFonts w:ascii="Book Antiqua" w:hAnsi="Book Antiqua"/>
          <w:color w:val="000000"/>
          <w:lang w:eastAsia="zh-CN"/>
        </w:rPr>
        <w:t>%</w:t>
      </w:r>
      <w:r w:rsidRPr="00472719">
        <w:rPr>
          <w:rFonts w:ascii="Book Antiqua" w:hAnsi="Book Antiqua"/>
          <w:color w:val="000000"/>
        </w:rPr>
        <w:t xml:space="preserve">-50% and those with solid component &gt; 50%. </w:t>
      </w:r>
      <w:r w:rsidRPr="00472719">
        <w:rPr>
          <w:rFonts w:ascii="Book Antiqua" w:hAnsi="Book Antiqua"/>
        </w:rPr>
        <w:t xml:space="preserve">As the </w:t>
      </w:r>
      <w:r w:rsidRPr="00472719">
        <w:rPr>
          <w:rFonts w:ascii="Book Antiqua" w:hAnsi="Book Antiqua"/>
        </w:rPr>
        <w:lastRenderedPageBreak/>
        <w:t>cl</w:t>
      </w:r>
      <w:r w:rsidR="00C56FB8" w:rsidRPr="00472719">
        <w:rPr>
          <w:rFonts w:ascii="Book Antiqua" w:hAnsi="Book Antiqua"/>
        </w:rPr>
        <w:t>inical outcomes are directly re</w:t>
      </w:r>
      <w:r w:rsidRPr="00472719">
        <w:rPr>
          <w:rFonts w:ascii="Book Antiqua" w:hAnsi="Book Antiqua"/>
        </w:rPr>
        <w:t>lated to the type of flu</w:t>
      </w:r>
      <w:r w:rsidR="00C56FB8" w:rsidRPr="00472719">
        <w:rPr>
          <w:rFonts w:ascii="Book Antiqua" w:hAnsi="Book Antiqua"/>
        </w:rPr>
        <w:t>id collection being treated, ac</w:t>
      </w:r>
      <w:r w:rsidRPr="00472719">
        <w:rPr>
          <w:rFonts w:ascii="Book Antiqua" w:hAnsi="Book Antiqua"/>
        </w:rPr>
        <w:t>curate distinction is important before undertaking any inter</w:t>
      </w:r>
      <w:r w:rsidRPr="00472719">
        <w:rPr>
          <w:rFonts w:ascii="Book Antiqua" w:hAnsi="Book Antiqua"/>
        </w:rPr>
        <w:softHyphen/>
        <w:t xml:space="preserve">vention. The authors proposed a </w:t>
      </w:r>
      <w:r w:rsidR="00195269" w:rsidRPr="00472719">
        <w:rPr>
          <w:rFonts w:ascii="Book Antiqua" w:hAnsi="Book Antiqua"/>
        </w:rPr>
        <w:t xml:space="preserve">management </w:t>
      </w:r>
      <w:r w:rsidR="00AD3B27" w:rsidRPr="00472719">
        <w:rPr>
          <w:rFonts w:ascii="Book Antiqua" w:hAnsi="Book Antiqua"/>
        </w:rPr>
        <w:t xml:space="preserve">algorithm </w:t>
      </w:r>
      <w:r w:rsidR="00195269" w:rsidRPr="00472719">
        <w:rPr>
          <w:rFonts w:ascii="Book Antiqua" w:hAnsi="Book Antiqua"/>
        </w:rPr>
        <w:t>based on the amount of internal debris</w:t>
      </w:r>
      <w:r w:rsidRPr="00472719">
        <w:rPr>
          <w:rFonts w:ascii="Book Antiqua" w:hAnsi="Book Antiqua"/>
        </w:rPr>
        <w:t xml:space="preserve"> (Figure </w:t>
      </w:r>
      <w:r w:rsidR="00ED5D32">
        <w:rPr>
          <w:rFonts w:ascii="Book Antiqua" w:hAnsi="Book Antiqua" w:hint="eastAsia"/>
          <w:lang w:eastAsia="zh-CN"/>
        </w:rPr>
        <w:t>8</w:t>
      </w:r>
      <w:r w:rsidRPr="00472719">
        <w:rPr>
          <w:rFonts w:ascii="Book Antiqua" w:hAnsi="Book Antiqua"/>
        </w:rPr>
        <w:t>).</w:t>
      </w:r>
      <w:r w:rsidR="00F6294A" w:rsidRPr="00472719">
        <w:rPr>
          <w:rFonts w:ascii="Book Antiqua" w:hAnsi="Book Antiqua"/>
        </w:rPr>
        <w:t xml:space="preserve"> </w:t>
      </w:r>
      <w:r w:rsidR="005B7CA1" w:rsidRPr="00472719">
        <w:rPr>
          <w:rFonts w:ascii="Book Antiqua" w:hAnsi="Book Antiqua"/>
        </w:rPr>
        <w:t>For PFCs with internal debris &lt;</w:t>
      </w:r>
      <w:r w:rsidR="00011513" w:rsidRPr="00472719">
        <w:rPr>
          <w:rFonts w:ascii="Book Antiqua" w:hAnsi="Book Antiqua"/>
        </w:rPr>
        <w:t xml:space="preserve"> </w:t>
      </w:r>
      <w:r w:rsidR="005B7CA1" w:rsidRPr="00472719">
        <w:rPr>
          <w:rFonts w:ascii="Book Antiqua" w:hAnsi="Book Antiqua"/>
        </w:rPr>
        <w:t>20%, transmural drainage with 1-2 double pigtail plastic stents</w:t>
      </w:r>
      <w:r w:rsidR="00AD3B27" w:rsidRPr="00472719">
        <w:rPr>
          <w:rFonts w:ascii="Book Antiqua" w:hAnsi="Book Antiqua"/>
        </w:rPr>
        <w:t xml:space="preserve"> or lumen apposing metal stent</w:t>
      </w:r>
      <w:r w:rsidR="005B7CA1" w:rsidRPr="00472719">
        <w:rPr>
          <w:rFonts w:ascii="Book Antiqua" w:hAnsi="Book Antiqua"/>
        </w:rPr>
        <w:t xml:space="preserve"> is probably enough. For PFCs with internal debris &gt;</w:t>
      </w:r>
      <w:r w:rsidR="00011513" w:rsidRPr="00472719">
        <w:rPr>
          <w:rFonts w:ascii="Book Antiqua" w:hAnsi="Book Antiqua"/>
        </w:rPr>
        <w:t xml:space="preserve"> </w:t>
      </w:r>
      <w:r w:rsidR="005B7CA1" w:rsidRPr="00472719">
        <w:rPr>
          <w:rFonts w:ascii="Book Antiqua" w:hAnsi="Book Antiqua"/>
        </w:rPr>
        <w:t xml:space="preserve">50%, endoscopic </w:t>
      </w:r>
      <w:proofErr w:type="spellStart"/>
      <w:r w:rsidR="005B7CA1" w:rsidRPr="00472719">
        <w:rPr>
          <w:rFonts w:ascii="Book Antiqua" w:hAnsi="Book Antiqua"/>
        </w:rPr>
        <w:t>necrosectomy</w:t>
      </w:r>
      <w:proofErr w:type="spellEnd"/>
      <w:r w:rsidR="005B7CA1" w:rsidRPr="00472719">
        <w:rPr>
          <w:rFonts w:ascii="Book Antiqua" w:hAnsi="Book Antiqua"/>
        </w:rPr>
        <w:t xml:space="preserve"> with multiple plastic stents or lumen apposing metal stent placement is needed. Trans-papillary drainage through ERCP</w:t>
      </w:r>
      <w:r w:rsidR="00AD3B27" w:rsidRPr="00472719">
        <w:rPr>
          <w:rFonts w:ascii="Book Antiqua" w:hAnsi="Book Antiqua"/>
        </w:rPr>
        <w:t>,</w:t>
      </w:r>
      <w:r w:rsidR="005B7CA1" w:rsidRPr="00472719">
        <w:rPr>
          <w:rFonts w:ascii="Book Antiqua" w:hAnsi="Book Antiqua"/>
        </w:rPr>
        <w:t xml:space="preserve"> </w:t>
      </w:r>
      <w:r w:rsidR="00AD3B27" w:rsidRPr="00472719">
        <w:rPr>
          <w:rFonts w:ascii="Book Antiqua" w:hAnsi="Book Antiqua"/>
        </w:rPr>
        <w:t xml:space="preserve">if the pancreatic duct is connected to the cyst, </w:t>
      </w:r>
      <w:r w:rsidR="005B7CA1" w:rsidRPr="00472719">
        <w:rPr>
          <w:rFonts w:ascii="Book Antiqua" w:hAnsi="Book Antiqua"/>
        </w:rPr>
        <w:t xml:space="preserve">can be performed on all these patients at the discretion of the </w:t>
      </w:r>
      <w:proofErr w:type="spellStart"/>
      <w:r w:rsidR="005B7CA1" w:rsidRPr="00472719">
        <w:rPr>
          <w:rFonts w:ascii="Book Antiqua" w:hAnsi="Book Antiqua"/>
        </w:rPr>
        <w:t>endoscopists</w:t>
      </w:r>
      <w:proofErr w:type="spellEnd"/>
      <w:r w:rsidR="005B7CA1" w:rsidRPr="00472719">
        <w:rPr>
          <w:rFonts w:ascii="Book Antiqua" w:hAnsi="Book Antiqua"/>
        </w:rPr>
        <w:t>.</w:t>
      </w:r>
      <w:r w:rsidR="00F6294A" w:rsidRPr="00472719">
        <w:rPr>
          <w:rFonts w:ascii="Book Antiqua" w:hAnsi="Book Antiqua"/>
        </w:rPr>
        <w:t xml:space="preserve"> </w:t>
      </w:r>
      <w:r w:rsidR="002413F7" w:rsidRPr="00472719">
        <w:rPr>
          <w:rFonts w:ascii="Book Antiqua" w:hAnsi="Book Antiqua"/>
        </w:rPr>
        <w:tab/>
      </w:r>
    </w:p>
    <w:p w14:paraId="7E13F2B5" w14:textId="7E355F02" w:rsidR="002202DC" w:rsidRPr="00472719" w:rsidRDefault="002202DC"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br w:type="page"/>
      </w:r>
    </w:p>
    <w:p w14:paraId="608AC031" w14:textId="77777777" w:rsidR="00C56FB8" w:rsidRPr="00472719" w:rsidRDefault="00C56FB8" w:rsidP="00472719">
      <w:pPr>
        <w:autoSpaceDE w:val="0"/>
        <w:autoSpaceDN w:val="0"/>
        <w:adjustRightInd w:val="0"/>
        <w:snapToGrid w:val="0"/>
        <w:spacing w:line="360" w:lineRule="auto"/>
        <w:jc w:val="both"/>
        <w:rPr>
          <w:rFonts w:ascii="Book Antiqua" w:hAnsi="Book Antiqua"/>
          <w:lang w:eastAsia="zh-CN"/>
        </w:rPr>
      </w:pPr>
    </w:p>
    <w:p w14:paraId="5E530F0D" w14:textId="34E33FAD" w:rsidR="00C56FB8" w:rsidRPr="00472719" w:rsidRDefault="00C56FB8" w:rsidP="00472719">
      <w:pPr>
        <w:autoSpaceDE w:val="0"/>
        <w:autoSpaceDN w:val="0"/>
        <w:adjustRightInd w:val="0"/>
        <w:snapToGrid w:val="0"/>
        <w:spacing w:line="360" w:lineRule="auto"/>
        <w:jc w:val="both"/>
        <w:rPr>
          <w:rFonts w:ascii="Book Antiqua" w:hAnsi="Book Antiqua"/>
          <w:b/>
          <w:caps/>
          <w:lang w:eastAsia="zh-CN"/>
        </w:rPr>
      </w:pPr>
      <w:r w:rsidRPr="00472719">
        <w:rPr>
          <w:rFonts w:ascii="Book Antiqua" w:eastAsia="MS Mincho" w:hAnsi="Book Antiqua"/>
          <w:b/>
          <w:caps/>
          <w:lang w:eastAsia="ja-JP"/>
        </w:rPr>
        <w:t>References</w:t>
      </w:r>
    </w:p>
    <w:p w14:paraId="22C9B0B5"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1 </w:t>
      </w:r>
      <w:r w:rsidRPr="00472719">
        <w:rPr>
          <w:rFonts w:ascii="Book Antiqua" w:hAnsi="Book Antiqua" w:cs="宋体"/>
          <w:b/>
          <w:bCs/>
          <w:color w:val="000000"/>
        </w:rPr>
        <w:t>Banks PA</w:t>
      </w:r>
      <w:r w:rsidRPr="00472719">
        <w:rPr>
          <w:rFonts w:ascii="Book Antiqua" w:hAnsi="Book Antiqua" w:cs="宋体"/>
          <w:color w:val="000000"/>
        </w:rPr>
        <w:t xml:space="preserve">, </w:t>
      </w:r>
      <w:proofErr w:type="spellStart"/>
      <w:r w:rsidRPr="00472719">
        <w:rPr>
          <w:rFonts w:ascii="Book Antiqua" w:hAnsi="Book Antiqua" w:cs="宋体"/>
          <w:color w:val="000000"/>
        </w:rPr>
        <w:t>Bollen</w:t>
      </w:r>
      <w:proofErr w:type="spellEnd"/>
      <w:r w:rsidRPr="00472719">
        <w:rPr>
          <w:rFonts w:ascii="Book Antiqua" w:hAnsi="Book Antiqua" w:cs="宋体"/>
          <w:color w:val="000000"/>
        </w:rPr>
        <w:t xml:space="preserve"> TL, </w:t>
      </w:r>
      <w:proofErr w:type="spellStart"/>
      <w:r w:rsidRPr="00472719">
        <w:rPr>
          <w:rFonts w:ascii="Book Antiqua" w:hAnsi="Book Antiqua" w:cs="宋体"/>
          <w:color w:val="000000"/>
        </w:rPr>
        <w:t>Dervenis</w:t>
      </w:r>
      <w:proofErr w:type="spellEnd"/>
      <w:r w:rsidRPr="00472719">
        <w:rPr>
          <w:rFonts w:ascii="Book Antiqua" w:hAnsi="Book Antiqua" w:cs="宋体"/>
          <w:color w:val="000000"/>
        </w:rPr>
        <w:t xml:space="preserve"> C, </w:t>
      </w:r>
      <w:proofErr w:type="spellStart"/>
      <w:r w:rsidRPr="00472719">
        <w:rPr>
          <w:rFonts w:ascii="Book Antiqua" w:hAnsi="Book Antiqua" w:cs="宋体"/>
          <w:color w:val="000000"/>
        </w:rPr>
        <w:t>Gooszen</w:t>
      </w:r>
      <w:proofErr w:type="spellEnd"/>
      <w:r w:rsidRPr="00472719">
        <w:rPr>
          <w:rFonts w:ascii="Book Antiqua" w:hAnsi="Book Antiqua" w:cs="宋体"/>
          <w:color w:val="000000"/>
        </w:rPr>
        <w:t xml:space="preserve"> HG, Johnson CD, </w:t>
      </w:r>
      <w:proofErr w:type="spellStart"/>
      <w:r w:rsidRPr="00472719">
        <w:rPr>
          <w:rFonts w:ascii="Book Antiqua" w:hAnsi="Book Antiqua" w:cs="宋体"/>
          <w:color w:val="000000"/>
        </w:rPr>
        <w:t>Sarr</w:t>
      </w:r>
      <w:proofErr w:type="spellEnd"/>
      <w:r w:rsidRPr="00472719">
        <w:rPr>
          <w:rFonts w:ascii="Book Antiqua" w:hAnsi="Book Antiqua" w:cs="宋体"/>
          <w:color w:val="000000"/>
        </w:rPr>
        <w:t xml:space="preserve"> MG, </w:t>
      </w:r>
      <w:proofErr w:type="spellStart"/>
      <w:r w:rsidRPr="00472719">
        <w:rPr>
          <w:rFonts w:ascii="Book Antiqua" w:hAnsi="Book Antiqua" w:cs="宋体"/>
          <w:color w:val="000000"/>
        </w:rPr>
        <w:t>Tsiotos</w:t>
      </w:r>
      <w:proofErr w:type="spellEnd"/>
      <w:r w:rsidRPr="00472719">
        <w:rPr>
          <w:rFonts w:ascii="Book Antiqua" w:hAnsi="Book Antiqua" w:cs="宋体"/>
          <w:color w:val="000000"/>
        </w:rPr>
        <w:t xml:space="preserve"> GG, Vege SS. Classification of acute pancreatitis--2012: revision of the Atlanta classification and definitions by international consensus. </w:t>
      </w:r>
      <w:r w:rsidRPr="00472719">
        <w:rPr>
          <w:rFonts w:ascii="Book Antiqua" w:hAnsi="Book Antiqua" w:cs="宋体"/>
          <w:i/>
          <w:iCs/>
          <w:color w:val="000000"/>
        </w:rPr>
        <w:t>Gut</w:t>
      </w:r>
      <w:r w:rsidRPr="00472719">
        <w:rPr>
          <w:rFonts w:ascii="Book Antiqua" w:hAnsi="Book Antiqua" w:cs="宋体"/>
          <w:color w:val="000000"/>
        </w:rPr>
        <w:t> 2013; </w:t>
      </w:r>
      <w:r w:rsidRPr="00472719">
        <w:rPr>
          <w:rFonts w:ascii="Book Antiqua" w:hAnsi="Book Antiqua" w:cs="宋体"/>
          <w:b/>
          <w:bCs/>
          <w:color w:val="000000"/>
        </w:rPr>
        <w:t>62</w:t>
      </w:r>
      <w:r w:rsidRPr="00472719">
        <w:rPr>
          <w:rFonts w:ascii="Book Antiqua" w:hAnsi="Book Antiqua" w:cs="宋体"/>
          <w:color w:val="000000"/>
        </w:rPr>
        <w:t>: 102-111 [PMID: 23100216 DOI: 10.1136/gutjnl-2012-302779]</w:t>
      </w:r>
    </w:p>
    <w:p w14:paraId="2E8CD7B0"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2 </w:t>
      </w:r>
      <w:r w:rsidRPr="00472719">
        <w:rPr>
          <w:rFonts w:ascii="Book Antiqua" w:hAnsi="Book Antiqua" w:cs="宋体"/>
          <w:b/>
          <w:bCs/>
          <w:color w:val="000000"/>
        </w:rPr>
        <w:t>Dellinger EP</w:t>
      </w:r>
      <w:r w:rsidRPr="00472719">
        <w:rPr>
          <w:rFonts w:ascii="Book Antiqua" w:hAnsi="Book Antiqua" w:cs="宋体"/>
          <w:color w:val="000000"/>
        </w:rPr>
        <w:t xml:space="preserve">, </w:t>
      </w:r>
      <w:proofErr w:type="spellStart"/>
      <w:r w:rsidRPr="00472719">
        <w:rPr>
          <w:rFonts w:ascii="Book Antiqua" w:hAnsi="Book Antiqua" w:cs="宋体"/>
          <w:color w:val="000000"/>
        </w:rPr>
        <w:t>Forsmark</w:t>
      </w:r>
      <w:proofErr w:type="spellEnd"/>
      <w:r w:rsidRPr="00472719">
        <w:rPr>
          <w:rFonts w:ascii="Book Antiqua" w:hAnsi="Book Antiqua" w:cs="宋体"/>
          <w:color w:val="000000"/>
        </w:rPr>
        <w:t xml:space="preserve"> CE, Layer P, </w:t>
      </w:r>
      <w:proofErr w:type="spellStart"/>
      <w:r w:rsidRPr="00472719">
        <w:rPr>
          <w:rFonts w:ascii="Book Antiqua" w:hAnsi="Book Antiqua" w:cs="宋体"/>
          <w:color w:val="000000"/>
        </w:rPr>
        <w:t>Lévy</w:t>
      </w:r>
      <w:proofErr w:type="spellEnd"/>
      <w:r w:rsidRPr="00472719">
        <w:rPr>
          <w:rFonts w:ascii="Book Antiqua" w:hAnsi="Book Antiqua" w:cs="宋体"/>
          <w:color w:val="000000"/>
        </w:rPr>
        <w:t xml:space="preserve"> P, </w:t>
      </w:r>
      <w:proofErr w:type="spellStart"/>
      <w:r w:rsidRPr="00472719">
        <w:rPr>
          <w:rFonts w:ascii="Book Antiqua" w:hAnsi="Book Antiqua" w:cs="宋体"/>
          <w:color w:val="000000"/>
        </w:rPr>
        <w:t>Maraví-Poma</w:t>
      </w:r>
      <w:proofErr w:type="spellEnd"/>
      <w:r w:rsidRPr="00472719">
        <w:rPr>
          <w:rFonts w:ascii="Book Antiqua" w:hAnsi="Book Antiqua" w:cs="宋体"/>
          <w:color w:val="000000"/>
        </w:rPr>
        <w:t xml:space="preserve"> E, </w:t>
      </w:r>
      <w:proofErr w:type="spellStart"/>
      <w:r w:rsidRPr="00472719">
        <w:rPr>
          <w:rFonts w:ascii="Book Antiqua" w:hAnsi="Book Antiqua" w:cs="宋体"/>
          <w:color w:val="000000"/>
        </w:rPr>
        <w:t>Petrov</w:t>
      </w:r>
      <w:proofErr w:type="spellEnd"/>
      <w:r w:rsidRPr="00472719">
        <w:rPr>
          <w:rFonts w:ascii="Book Antiqua" w:hAnsi="Book Antiqua" w:cs="宋体"/>
          <w:color w:val="000000"/>
        </w:rPr>
        <w:t xml:space="preserve"> MS, </w:t>
      </w:r>
      <w:proofErr w:type="spellStart"/>
      <w:r w:rsidRPr="00472719">
        <w:rPr>
          <w:rFonts w:ascii="Book Antiqua" w:hAnsi="Book Antiqua" w:cs="宋体"/>
          <w:color w:val="000000"/>
        </w:rPr>
        <w:t>Shimosegawa</w:t>
      </w:r>
      <w:proofErr w:type="spellEnd"/>
      <w:r w:rsidRPr="00472719">
        <w:rPr>
          <w:rFonts w:ascii="Book Antiqua" w:hAnsi="Book Antiqua" w:cs="宋体"/>
          <w:color w:val="000000"/>
        </w:rPr>
        <w:t xml:space="preserve"> T, </w:t>
      </w:r>
      <w:proofErr w:type="spellStart"/>
      <w:r w:rsidRPr="00472719">
        <w:rPr>
          <w:rFonts w:ascii="Book Antiqua" w:hAnsi="Book Antiqua" w:cs="宋体"/>
          <w:color w:val="000000"/>
        </w:rPr>
        <w:t>Siriwardena</w:t>
      </w:r>
      <w:proofErr w:type="spellEnd"/>
      <w:r w:rsidRPr="00472719">
        <w:rPr>
          <w:rFonts w:ascii="Book Antiqua" w:hAnsi="Book Antiqua" w:cs="宋体"/>
          <w:color w:val="000000"/>
        </w:rPr>
        <w:t xml:space="preserve"> AK, </w:t>
      </w:r>
      <w:proofErr w:type="spellStart"/>
      <w:r w:rsidRPr="00472719">
        <w:rPr>
          <w:rFonts w:ascii="Book Antiqua" w:hAnsi="Book Antiqua" w:cs="宋体"/>
          <w:color w:val="000000"/>
        </w:rPr>
        <w:t>Uomo</w:t>
      </w:r>
      <w:proofErr w:type="spellEnd"/>
      <w:r w:rsidRPr="00472719">
        <w:rPr>
          <w:rFonts w:ascii="Book Antiqua" w:hAnsi="Book Antiqua" w:cs="宋体"/>
          <w:color w:val="000000"/>
        </w:rPr>
        <w:t xml:space="preserve"> G, Whitcomb DC, Windsor JA. Determinant-based classification of acute pancreatitis severity: an international multidisciplinary consultation. </w:t>
      </w:r>
      <w:r w:rsidRPr="00472719">
        <w:rPr>
          <w:rFonts w:ascii="Book Antiqua" w:hAnsi="Book Antiqua" w:cs="宋体"/>
          <w:i/>
          <w:iCs/>
          <w:color w:val="000000"/>
        </w:rPr>
        <w:t xml:space="preserve">Ann </w:t>
      </w:r>
      <w:proofErr w:type="spellStart"/>
      <w:r w:rsidRPr="00472719">
        <w:rPr>
          <w:rFonts w:ascii="Book Antiqua" w:hAnsi="Book Antiqua" w:cs="宋体"/>
          <w:i/>
          <w:iCs/>
          <w:color w:val="000000"/>
        </w:rPr>
        <w:t>Surg</w:t>
      </w:r>
      <w:proofErr w:type="spellEnd"/>
      <w:r w:rsidRPr="00472719">
        <w:rPr>
          <w:rFonts w:ascii="Book Antiqua" w:hAnsi="Book Antiqua" w:cs="宋体"/>
          <w:color w:val="000000"/>
        </w:rPr>
        <w:t> 2012; </w:t>
      </w:r>
      <w:r w:rsidRPr="00472719">
        <w:rPr>
          <w:rFonts w:ascii="Book Antiqua" w:hAnsi="Book Antiqua" w:cs="宋体"/>
          <w:b/>
          <w:bCs/>
          <w:color w:val="000000"/>
        </w:rPr>
        <w:t>256</w:t>
      </w:r>
      <w:r w:rsidRPr="00472719">
        <w:rPr>
          <w:rFonts w:ascii="Book Antiqua" w:hAnsi="Book Antiqua" w:cs="宋体"/>
          <w:color w:val="000000"/>
        </w:rPr>
        <w:t>: 875-880 [PMID: 22735715 DOI: 10.1097/SLA.0b013e318256f778]</w:t>
      </w:r>
    </w:p>
    <w:p w14:paraId="6C3B3CCC" w14:textId="77777777" w:rsidR="00C2205B" w:rsidRPr="00472719" w:rsidRDefault="00C2205B" w:rsidP="00472719">
      <w:pPr>
        <w:adjustRightInd w:val="0"/>
        <w:snapToGrid w:val="0"/>
        <w:spacing w:line="360" w:lineRule="auto"/>
        <w:jc w:val="both"/>
        <w:rPr>
          <w:rFonts w:ascii="Book Antiqua" w:hAnsi="Book Antiqua" w:cs="宋体"/>
          <w:color w:val="000000"/>
        </w:rPr>
      </w:pPr>
      <w:proofErr w:type="gramStart"/>
      <w:r w:rsidRPr="00472719">
        <w:rPr>
          <w:rFonts w:ascii="Book Antiqua" w:hAnsi="Book Antiqua" w:cs="宋体"/>
          <w:color w:val="000000"/>
        </w:rPr>
        <w:t>3 </w:t>
      </w:r>
      <w:proofErr w:type="spellStart"/>
      <w:r w:rsidRPr="00472719">
        <w:rPr>
          <w:rFonts w:ascii="Book Antiqua" w:hAnsi="Book Antiqua" w:cs="宋体"/>
          <w:b/>
          <w:bCs/>
          <w:color w:val="000000"/>
        </w:rPr>
        <w:t>Thoeni</w:t>
      </w:r>
      <w:proofErr w:type="spellEnd"/>
      <w:r w:rsidRPr="00472719">
        <w:rPr>
          <w:rFonts w:ascii="Book Antiqua" w:hAnsi="Book Antiqua" w:cs="宋体"/>
          <w:b/>
          <w:bCs/>
          <w:color w:val="000000"/>
        </w:rPr>
        <w:t xml:space="preserve"> RF</w:t>
      </w:r>
      <w:r w:rsidRPr="00472719">
        <w:rPr>
          <w:rFonts w:ascii="Book Antiqua" w:hAnsi="Book Antiqua" w:cs="宋体"/>
          <w:color w:val="000000"/>
        </w:rPr>
        <w:t>.</w:t>
      </w:r>
      <w:proofErr w:type="gramEnd"/>
      <w:r w:rsidRPr="00472719">
        <w:rPr>
          <w:rFonts w:ascii="Book Antiqua" w:hAnsi="Book Antiqua" w:cs="宋体"/>
          <w:color w:val="000000"/>
        </w:rPr>
        <w:t xml:space="preserve"> The revised Atlanta classification of acute pancreatitis: its importance for the radiologist and its effect on treatment. </w:t>
      </w:r>
      <w:r w:rsidRPr="00472719">
        <w:rPr>
          <w:rFonts w:ascii="Book Antiqua" w:hAnsi="Book Antiqua" w:cs="宋体"/>
          <w:i/>
          <w:iCs/>
          <w:color w:val="000000"/>
        </w:rPr>
        <w:t>Radiology</w:t>
      </w:r>
      <w:r w:rsidRPr="00472719">
        <w:rPr>
          <w:rFonts w:ascii="Book Antiqua" w:hAnsi="Book Antiqua" w:cs="宋体"/>
          <w:color w:val="000000"/>
        </w:rPr>
        <w:t> 2012; </w:t>
      </w:r>
      <w:r w:rsidRPr="00472719">
        <w:rPr>
          <w:rFonts w:ascii="Book Antiqua" w:hAnsi="Book Antiqua" w:cs="宋体"/>
          <w:b/>
          <w:bCs/>
          <w:color w:val="000000"/>
        </w:rPr>
        <w:t>262</w:t>
      </w:r>
      <w:r w:rsidRPr="00472719">
        <w:rPr>
          <w:rFonts w:ascii="Book Antiqua" w:hAnsi="Book Antiqua" w:cs="宋体"/>
          <w:color w:val="000000"/>
        </w:rPr>
        <w:t>: 751-764 [PMID: 22357880 DOI: 10.1148/radiol.11110947]</w:t>
      </w:r>
    </w:p>
    <w:p w14:paraId="3798515A" w14:textId="77777777" w:rsidR="00C2205B" w:rsidRPr="00472719" w:rsidRDefault="00C2205B" w:rsidP="00472719">
      <w:pPr>
        <w:adjustRightInd w:val="0"/>
        <w:snapToGrid w:val="0"/>
        <w:spacing w:line="360" w:lineRule="auto"/>
        <w:jc w:val="both"/>
        <w:rPr>
          <w:rFonts w:ascii="Book Antiqua" w:hAnsi="Book Antiqua" w:cs="宋体"/>
          <w:color w:val="000000"/>
        </w:rPr>
      </w:pPr>
      <w:proofErr w:type="gramStart"/>
      <w:r w:rsidRPr="00472719">
        <w:rPr>
          <w:rFonts w:ascii="Book Antiqua" w:hAnsi="Book Antiqua" w:cs="宋体"/>
          <w:color w:val="000000"/>
        </w:rPr>
        <w:t>4 </w:t>
      </w:r>
      <w:proofErr w:type="spellStart"/>
      <w:r w:rsidRPr="00472719">
        <w:rPr>
          <w:rFonts w:ascii="Book Antiqua" w:hAnsi="Book Antiqua" w:cs="宋体"/>
          <w:b/>
          <w:bCs/>
          <w:color w:val="000000"/>
        </w:rPr>
        <w:t>Kaul</w:t>
      </w:r>
      <w:proofErr w:type="spellEnd"/>
      <w:r w:rsidRPr="00472719">
        <w:rPr>
          <w:rFonts w:ascii="Book Antiqua" w:hAnsi="Book Antiqua" w:cs="宋体"/>
          <w:b/>
          <w:bCs/>
          <w:color w:val="000000"/>
        </w:rPr>
        <w:t xml:space="preserve"> V</w:t>
      </w:r>
      <w:r w:rsidRPr="00472719">
        <w:rPr>
          <w:rFonts w:ascii="Book Antiqua" w:hAnsi="Book Antiqua" w:cs="宋体"/>
          <w:color w:val="000000"/>
        </w:rPr>
        <w:t xml:space="preserve">, Adler DG, Conway JD, </w:t>
      </w:r>
      <w:proofErr w:type="spellStart"/>
      <w:r w:rsidRPr="00472719">
        <w:rPr>
          <w:rFonts w:ascii="Book Antiqua" w:hAnsi="Book Antiqua" w:cs="宋体"/>
          <w:color w:val="000000"/>
        </w:rPr>
        <w:t>Farraye</w:t>
      </w:r>
      <w:proofErr w:type="spellEnd"/>
      <w:r w:rsidRPr="00472719">
        <w:rPr>
          <w:rFonts w:ascii="Book Antiqua" w:hAnsi="Book Antiqua" w:cs="宋体"/>
          <w:color w:val="000000"/>
        </w:rPr>
        <w:t xml:space="preserve"> FA, </w:t>
      </w:r>
      <w:proofErr w:type="spellStart"/>
      <w:r w:rsidRPr="00472719">
        <w:rPr>
          <w:rFonts w:ascii="Book Antiqua" w:hAnsi="Book Antiqua" w:cs="宋体"/>
          <w:color w:val="000000"/>
        </w:rPr>
        <w:t>Kantsevoy</w:t>
      </w:r>
      <w:proofErr w:type="spellEnd"/>
      <w:r w:rsidRPr="00472719">
        <w:rPr>
          <w:rFonts w:ascii="Book Antiqua" w:hAnsi="Book Antiqua" w:cs="宋体"/>
          <w:color w:val="000000"/>
        </w:rPr>
        <w:t xml:space="preserve"> SV, </w:t>
      </w:r>
      <w:proofErr w:type="spellStart"/>
      <w:r w:rsidRPr="00472719">
        <w:rPr>
          <w:rFonts w:ascii="Book Antiqua" w:hAnsi="Book Antiqua" w:cs="宋体"/>
          <w:color w:val="000000"/>
        </w:rPr>
        <w:t>Kethu</w:t>
      </w:r>
      <w:proofErr w:type="spellEnd"/>
      <w:r w:rsidRPr="00472719">
        <w:rPr>
          <w:rFonts w:ascii="Book Antiqua" w:hAnsi="Book Antiqua" w:cs="宋体"/>
          <w:color w:val="000000"/>
        </w:rPr>
        <w:t xml:space="preserve"> SR, Kwon RS, </w:t>
      </w:r>
      <w:proofErr w:type="spellStart"/>
      <w:r w:rsidRPr="00472719">
        <w:rPr>
          <w:rFonts w:ascii="Book Antiqua" w:hAnsi="Book Antiqua" w:cs="宋体"/>
          <w:color w:val="000000"/>
        </w:rPr>
        <w:t>Mamula</w:t>
      </w:r>
      <w:proofErr w:type="spellEnd"/>
      <w:r w:rsidRPr="00472719">
        <w:rPr>
          <w:rFonts w:ascii="Book Antiqua" w:hAnsi="Book Antiqua" w:cs="宋体"/>
          <w:color w:val="000000"/>
        </w:rPr>
        <w:t xml:space="preserve"> P, </w:t>
      </w:r>
      <w:proofErr w:type="spellStart"/>
      <w:r w:rsidRPr="00472719">
        <w:rPr>
          <w:rFonts w:ascii="Book Antiqua" w:hAnsi="Book Antiqua" w:cs="宋体"/>
          <w:color w:val="000000"/>
        </w:rPr>
        <w:t>Pedrosa</w:t>
      </w:r>
      <w:proofErr w:type="spellEnd"/>
      <w:r w:rsidRPr="00472719">
        <w:rPr>
          <w:rFonts w:ascii="Book Antiqua" w:hAnsi="Book Antiqua" w:cs="宋体"/>
          <w:color w:val="000000"/>
        </w:rPr>
        <w:t xml:space="preserve"> MC, Rodriguez SA, Tierney WM. Interventional EUS.</w:t>
      </w:r>
      <w:proofErr w:type="gramEnd"/>
      <w:r w:rsidRPr="00472719">
        <w:rPr>
          <w:rFonts w:ascii="Book Antiqua" w:hAnsi="Book Antiqua" w:cs="宋体"/>
          <w:color w:val="000000"/>
        </w:rPr>
        <w:t>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2010; </w:t>
      </w:r>
      <w:r w:rsidRPr="00472719">
        <w:rPr>
          <w:rFonts w:ascii="Book Antiqua" w:hAnsi="Book Antiqua" w:cs="宋体"/>
          <w:b/>
          <w:bCs/>
          <w:color w:val="000000"/>
        </w:rPr>
        <w:t>72</w:t>
      </w:r>
      <w:r w:rsidRPr="00472719">
        <w:rPr>
          <w:rFonts w:ascii="Book Antiqua" w:hAnsi="Book Antiqua" w:cs="宋体"/>
          <w:color w:val="000000"/>
        </w:rPr>
        <w:t>: 1-4 [PMID: 20381044 DOI: 10.1016/j.gie.2010.01.023]</w:t>
      </w:r>
    </w:p>
    <w:p w14:paraId="6975AB1B"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5 </w:t>
      </w:r>
      <w:r w:rsidRPr="00472719">
        <w:rPr>
          <w:rFonts w:ascii="Book Antiqua" w:hAnsi="Book Antiqua" w:cs="宋体"/>
          <w:b/>
          <w:bCs/>
          <w:color w:val="000000"/>
        </w:rPr>
        <w:t>Alvarez-Sánchez MV</w:t>
      </w:r>
      <w:r w:rsidRPr="00472719">
        <w:rPr>
          <w:rFonts w:ascii="Book Antiqua" w:hAnsi="Book Antiqua" w:cs="宋体"/>
          <w:color w:val="000000"/>
        </w:rPr>
        <w:t xml:space="preserve">, </w:t>
      </w:r>
      <w:proofErr w:type="spellStart"/>
      <w:r w:rsidRPr="00472719">
        <w:rPr>
          <w:rFonts w:ascii="Book Antiqua" w:hAnsi="Book Antiqua" w:cs="宋体"/>
          <w:color w:val="000000"/>
        </w:rPr>
        <w:t>Jenssen</w:t>
      </w:r>
      <w:proofErr w:type="spellEnd"/>
      <w:r w:rsidRPr="00472719">
        <w:rPr>
          <w:rFonts w:ascii="Book Antiqua" w:hAnsi="Book Antiqua" w:cs="宋体"/>
          <w:color w:val="000000"/>
        </w:rPr>
        <w:t xml:space="preserve"> C, </w:t>
      </w:r>
      <w:proofErr w:type="spellStart"/>
      <w:r w:rsidRPr="00472719">
        <w:rPr>
          <w:rFonts w:ascii="Book Antiqua" w:hAnsi="Book Antiqua" w:cs="宋体"/>
          <w:color w:val="000000"/>
        </w:rPr>
        <w:t>Faiss</w:t>
      </w:r>
      <w:proofErr w:type="spellEnd"/>
      <w:r w:rsidRPr="00472719">
        <w:rPr>
          <w:rFonts w:ascii="Book Antiqua" w:hAnsi="Book Antiqua" w:cs="宋体"/>
          <w:color w:val="000000"/>
        </w:rPr>
        <w:t xml:space="preserve"> S, Napoléon B. Interventional endoscopic ultrasonography: an overview of safety and complications. </w:t>
      </w:r>
      <w:proofErr w:type="spellStart"/>
      <w:r w:rsidRPr="00472719">
        <w:rPr>
          <w:rFonts w:ascii="Book Antiqua" w:hAnsi="Book Antiqua" w:cs="宋体"/>
          <w:i/>
          <w:iCs/>
          <w:color w:val="000000"/>
        </w:rPr>
        <w:t>Surg</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2014; </w:t>
      </w:r>
      <w:r w:rsidRPr="00472719">
        <w:rPr>
          <w:rFonts w:ascii="Book Antiqua" w:hAnsi="Book Antiqua" w:cs="宋体"/>
          <w:b/>
          <w:bCs/>
          <w:color w:val="000000"/>
        </w:rPr>
        <w:t>28</w:t>
      </w:r>
      <w:r w:rsidRPr="00472719">
        <w:rPr>
          <w:rFonts w:ascii="Book Antiqua" w:hAnsi="Book Antiqua" w:cs="宋体"/>
          <w:color w:val="000000"/>
        </w:rPr>
        <w:t>: 712-734 [PMID: 24196551 DOI: 10.1007/s00464-013-3260-5]</w:t>
      </w:r>
    </w:p>
    <w:p w14:paraId="62321A9A" w14:textId="77777777" w:rsidR="00C2205B" w:rsidRPr="00472719" w:rsidRDefault="00C2205B" w:rsidP="00472719">
      <w:pPr>
        <w:adjustRightInd w:val="0"/>
        <w:snapToGrid w:val="0"/>
        <w:spacing w:line="360" w:lineRule="auto"/>
        <w:jc w:val="both"/>
        <w:rPr>
          <w:rFonts w:ascii="Book Antiqua" w:hAnsi="Book Antiqua" w:cs="宋体"/>
          <w:color w:val="000000"/>
        </w:rPr>
      </w:pPr>
      <w:proofErr w:type="gramStart"/>
      <w:r w:rsidRPr="00472719">
        <w:rPr>
          <w:rFonts w:ascii="Book Antiqua" w:hAnsi="Book Antiqua" w:cs="宋体"/>
          <w:color w:val="000000"/>
        </w:rPr>
        <w:t>6 </w:t>
      </w:r>
      <w:r w:rsidRPr="00472719">
        <w:rPr>
          <w:rFonts w:ascii="Book Antiqua" w:hAnsi="Book Antiqua" w:cs="宋体"/>
          <w:b/>
          <w:bCs/>
          <w:color w:val="000000"/>
        </w:rPr>
        <w:t>Gardner TB</w:t>
      </w:r>
      <w:r w:rsidRPr="00472719">
        <w:rPr>
          <w:rFonts w:ascii="Book Antiqua" w:hAnsi="Book Antiqua" w:cs="宋体"/>
          <w:color w:val="000000"/>
        </w:rPr>
        <w:t>.</w:t>
      </w:r>
      <w:proofErr w:type="gramEnd"/>
      <w:r w:rsidRPr="00472719">
        <w:rPr>
          <w:rFonts w:ascii="Book Antiqua" w:hAnsi="Book Antiqua" w:cs="宋体"/>
          <w:color w:val="000000"/>
        </w:rPr>
        <w:t xml:space="preserve"> </w:t>
      </w:r>
      <w:proofErr w:type="gramStart"/>
      <w:r w:rsidRPr="00472719">
        <w:rPr>
          <w:rFonts w:ascii="Book Antiqua" w:hAnsi="Book Antiqua" w:cs="宋体"/>
          <w:color w:val="000000"/>
        </w:rPr>
        <w:t>Endoscopic management of necrotizing pancreatitis.</w:t>
      </w:r>
      <w:proofErr w:type="gramEnd"/>
      <w:r w:rsidRPr="00472719">
        <w:rPr>
          <w:rFonts w:ascii="Book Antiqua" w:hAnsi="Book Antiqua" w:cs="宋体"/>
          <w:color w:val="000000"/>
        </w:rPr>
        <w:t>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2012; </w:t>
      </w:r>
      <w:r w:rsidRPr="00472719">
        <w:rPr>
          <w:rFonts w:ascii="Book Antiqua" w:hAnsi="Book Antiqua" w:cs="宋体"/>
          <w:b/>
          <w:bCs/>
          <w:color w:val="000000"/>
        </w:rPr>
        <w:t>76</w:t>
      </w:r>
      <w:r w:rsidRPr="00472719">
        <w:rPr>
          <w:rFonts w:ascii="Book Antiqua" w:hAnsi="Book Antiqua" w:cs="宋体"/>
          <w:color w:val="000000"/>
        </w:rPr>
        <w:t>: 1214-1223 [PMID: 23040609 DOI: 10.1016/j.gie.2012.05.028]</w:t>
      </w:r>
    </w:p>
    <w:p w14:paraId="37336016"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7 </w:t>
      </w:r>
      <w:r w:rsidRPr="00472719">
        <w:rPr>
          <w:rFonts w:ascii="Book Antiqua" w:hAnsi="Book Antiqua" w:cs="宋体"/>
          <w:b/>
          <w:bCs/>
          <w:color w:val="000000"/>
        </w:rPr>
        <w:t>Gardner TB</w:t>
      </w:r>
      <w:r w:rsidRPr="00472719">
        <w:rPr>
          <w:rFonts w:ascii="Book Antiqua" w:hAnsi="Book Antiqua" w:cs="宋体"/>
          <w:color w:val="000000"/>
        </w:rPr>
        <w:t xml:space="preserve">, </w:t>
      </w:r>
      <w:proofErr w:type="spellStart"/>
      <w:r w:rsidRPr="00472719">
        <w:rPr>
          <w:rFonts w:ascii="Book Antiqua" w:hAnsi="Book Antiqua" w:cs="宋体"/>
          <w:color w:val="000000"/>
        </w:rPr>
        <w:t>Chahal</w:t>
      </w:r>
      <w:proofErr w:type="spellEnd"/>
      <w:r w:rsidRPr="00472719">
        <w:rPr>
          <w:rFonts w:ascii="Book Antiqua" w:hAnsi="Book Antiqua" w:cs="宋体"/>
          <w:color w:val="000000"/>
        </w:rPr>
        <w:t xml:space="preserve"> P, </w:t>
      </w:r>
      <w:proofErr w:type="spellStart"/>
      <w:r w:rsidRPr="00472719">
        <w:rPr>
          <w:rFonts w:ascii="Book Antiqua" w:hAnsi="Book Antiqua" w:cs="宋体"/>
          <w:color w:val="000000"/>
        </w:rPr>
        <w:t>Papachristou</w:t>
      </w:r>
      <w:proofErr w:type="spellEnd"/>
      <w:r w:rsidRPr="00472719">
        <w:rPr>
          <w:rFonts w:ascii="Book Antiqua" w:hAnsi="Book Antiqua" w:cs="宋体"/>
          <w:color w:val="000000"/>
        </w:rPr>
        <w:t xml:space="preserve"> GI, Vege SS, Petersen BT, </w:t>
      </w:r>
      <w:proofErr w:type="spellStart"/>
      <w:r w:rsidRPr="00472719">
        <w:rPr>
          <w:rFonts w:ascii="Book Antiqua" w:hAnsi="Book Antiqua" w:cs="宋体"/>
          <w:color w:val="000000"/>
        </w:rPr>
        <w:t>Gostout</w:t>
      </w:r>
      <w:proofErr w:type="spellEnd"/>
      <w:r w:rsidRPr="00472719">
        <w:rPr>
          <w:rFonts w:ascii="Book Antiqua" w:hAnsi="Book Antiqua" w:cs="宋体"/>
          <w:color w:val="000000"/>
        </w:rPr>
        <w:t xml:space="preserve"> CJ, </w:t>
      </w:r>
      <w:proofErr w:type="spellStart"/>
      <w:r w:rsidRPr="00472719">
        <w:rPr>
          <w:rFonts w:ascii="Book Antiqua" w:hAnsi="Book Antiqua" w:cs="宋体"/>
          <w:color w:val="000000"/>
        </w:rPr>
        <w:t>Topazian</w:t>
      </w:r>
      <w:proofErr w:type="spellEnd"/>
      <w:r w:rsidRPr="00472719">
        <w:rPr>
          <w:rFonts w:ascii="Book Antiqua" w:hAnsi="Book Antiqua" w:cs="宋体"/>
          <w:color w:val="000000"/>
        </w:rPr>
        <w:t xml:space="preserve"> MD, Takahashi N, </w:t>
      </w:r>
      <w:proofErr w:type="spellStart"/>
      <w:r w:rsidRPr="00472719">
        <w:rPr>
          <w:rFonts w:ascii="Book Antiqua" w:hAnsi="Book Antiqua" w:cs="宋体"/>
          <w:color w:val="000000"/>
        </w:rPr>
        <w:t>Sarr</w:t>
      </w:r>
      <w:proofErr w:type="spellEnd"/>
      <w:r w:rsidRPr="00472719">
        <w:rPr>
          <w:rFonts w:ascii="Book Antiqua" w:hAnsi="Book Antiqua" w:cs="宋体"/>
          <w:color w:val="000000"/>
        </w:rPr>
        <w:t xml:space="preserve"> MG, Baron TH. </w:t>
      </w:r>
      <w:proofErr w:type="gramStart"/>
      <w:r w:rsidRPr="00472719">
        <w:rPr>
          <w:rFonts w:ascii="Book Antiqua" w:hAnsi="Book Antiqua" w:cs="宋体"/>
          <w:color w:val="000000"/>
        </w:rPr>
        <w:t xml:space="preserve">A comparison of direct endoscopic </w:t>
      </w:r>
      <w:proofErr w:type="spellStart"/>
      <w:r w:rsidRPr="00472719">
        <w:rPr>
          <w:rFonts w:ascii="Book Antiqua" w:hAnsi="Book Antiqua" w:cs="宋体"/>
          <w:color w:val="000000"/>
        </w:rPr>
        <w:t>necrosectomy</w:t>
      </w:r>
      <w:proofErr w:type="spellEnd"/>
      <w:r w:rsidRPr="00472719">
        <w:rPr>
          <w:rFonts w:ascii="Book Antiqua" w:hAnsi="Book Antiqua" w:cs="宋体"/>
          <w:color w:val="000000"/>
        </w:rPr>
        <w:t xml:space="preserve"> with transmural endoscopic drainage for the treatment of walled-off pancreatic necrosis.</w:t>
      </w:r>
      <w:proofErr w:type="gramEnd"/>
      <w:r w:rsidRPr="00472719">
        <w:rPr>
          <w:rFonts w:ascii="Book Antiqua" w:hAnsi="Book Antiqua" w:cs="宋体"/>
          <w:color w:val="000000"/>
        </w:rPr>
        <w:t>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2009; </w:t>
      </w:r>
      <w:r w:rsidRPr="00472719">
        <w:rPr>
          <w:rFonts w:ascii="Book Antiqua" w:hAnsi="Book Antiqua" w:cs="宋体"/>
          <w:b/>
          <w:bCs/>
          <w:color w:val="000000"/>
        </w:rPr>
        <w:t>69</w:t>
      </w:r>
      <w:r w:rsidRPr="00472719">
        <w:rPr>
          <w:rFonts w:ascii="Book Antiqua" w:hAnsi="Book Antiqua" w:cs="宋体"/>
          <w:color w:val="000000"/>
        </w:rPr>
        <w:t>: 1085-1094 [PMID: 19243764 DOI: 10.1016/j.gie.2008.06.061]</w:t>
      </w:r>
    </w:p>
    <w:p w14:paraId="48F9F32D"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lastRenderedPageBreak/>
        <w:t>8 </w:t>
      </w:r>
      <w:proofErr w:type="spellStart"/>
      <w:r w:rsidRPr="00472719">
        <w:rPr>
          <w:rFonts w:ascii="Book Antiqua" w:hAnsi="Book Antiqua" w:cs="宋体"/>
          <w:b/>
          <w:bCs/>
          <w:color w:val="000000"/>
        </w:rPr>
        <w:t>Varadarajulu</w:t>
      </w:r>
      <w:proofErr w:type="spellEnd"/>
      <w:r w:rsidRPr="00472719">
        <w:rPr>
          <w:rFonts w:ascii="Book Antiqua" w:hAnsi="Book Antiqua" w:cs="宋体"/>
          <w:b/>
          <w:bCs/>
          <w:color w:val="000000"/>
        </w:rPr>
        <w:t xml:space="preserve"> S</w:t>
      </w:r>
      <w:r w:rsidRPr="00472719">
        <w:rPr>
          <w:rFonts w:ascii="Book Antiqua" w:hAnsi="Book Antiqua" w:cs="宋体"/>
          <w:color w:val="000000"/>
        </w:rPr>
        <w:t xml:space="preserve">, Bang JY, Sutton BS, Trevino JM, </w:t>
      </w:r>
      <w:proofErr w:type="spellStart"/>
      <w:r w:rsidRPr="00472719">
        <w:rPr>
          <w:rFonts w:ascii="Book Antiqua" w:hAnsi="Book Antiqua" w:cs="宋体"/>
          <w:color w:val="000000"/>
        </w:rPr>
        <w:t>Christein</w:t>
      </w:r>
      <w:proofErr w:type="spellEnd"/>
      <w:r w:rsidRPr="00472719">
        <w:rPr>
          <w:rFonts w:ascii="Book Antiqua" w:hAnsi="Book Antiqua" w:cs="宋体"/>
          <w:color w:val="000000"/>
        </w:rPr>
        <w:t xml:space="preserve"> JD, Wilcox CM. Equal efficacy of endoscopic and surgical </w:t>
      </w:r>
      <w:proofErr w:type="spellStart"/>
      <w:r w:rsidRPr="00472719">
        <w:rPr>
          <w:rFonts w:ascii="Book Antiqua" w:hAnsi="Book Antiqua" w:cs="宋体"/>
          <w:color w:val="000000"/>
        </w:rPr>
        <w:t>cystogastrostomy</w:t>
      </w:r>
      <w:proofErr w:type="spellEnd"/>
      <w:r w:rsidRPr="00472719">
        <w:rPr>
          <w:rFonts w:ascii="Book Antiqua" w:hAnsi="Book Antiqua" w:cs="宋体"/>
          <w:color w:val="000000"/>
        </w:rPr>
        <w:t xml:space="preserve"> for pancreatic </w:t>
      </w:r>
      <w:proofErr w:type="spellStart"/>
      <w:r w:rsidRPr="00472719">
        <w:rPr>
          <w:rFonts w:ascii="Book Antiqua" w:hAnsi="Book Antiqua" w:cs="宋体"/>
          <w:color w:val="000000"/>
        </w:rPr>
        <w:t>pseudocyst</w:t>
      </w:r>
      <w:proofErr w:type="spellEnd"/>
      <w:r w:rsidRPr="00472719">
        <w:rPr>
          <w:rFonts w:ascii="Book Antiqua" w:hAnsi="Book Antiqua" w:cs="宋体"/>
          <w:color w:val="000000"/>
        </w:rPr>
        <w:t xml:space="preserve"> drainage in a randomized trial. </w:t>
      </w:r>
      <w:r w:rsidRPr="00472719">
        <w:rPr>
          <w:rFonts w:ascii="Book Antiqua" w:hAnsi="Book Antiqua" w:cs="宋体"/>
          <w:i/>
          <w:iCs/>
          <w:color w:val="000000"/>
        </w:rPr>
        <w:t>Gastroenterology</w:t>
      </w:r>
      <w:r w:rsidRPr="00472719">
        <w:rPr>
          <w:rFonts w:ascii="Book Antiqua" w:hAnsi="Book Antiqua" w:cs="宋体"/>
          <w:color w:val="000000"/>
        </w:rPr>
        <w:t> 2013; </w:t>
      </w:r>
      <w:r w:rsidRPr="00472719">
        <w:rPr>
          <w:rFonts w:ascii="Book Antiqua" w:hAnsi="Book Antiqua" w:cs="宋体"/>
          <w:b/>
          <w:bCs/>
          <w:color w:val="000000"/>
        </w:rPr>
        <w:t>145</w:t>
      </w:r>
      <w:r w:rsidRPr="00472719">
        <w:rPr>
          <w:rFonts w:ascii="Book Antiqua" w:hAnsi="Book Antiqua" w:cs="宋体"/>
          <w:color w:val="000000"/>
        </w:rPr>
        <w:t>: 583-90.e1 [PMID: 23732774 DOI: 10.1053/j.gastro.2013.05.046]</w:t>
      </w:r>
    </w:p>
    <w:p w14:paraId="37F2CE41"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9 </w:t>
      </w:r>
      <w:proofErr w:type="spellStart"/>
      <w:r w:rsidRPr="00472719">
        <w:rPr>
          <w:rFonts w:ascii="Book Antiqua" w:hAnsi="Book Antiqua" w:cs="宋体"/>
          <w:b/>
          <w:bCs/>
          <w:color w:val="000000"/>
        </w:rPr>
        <w:t>Varadarajulu</w:t>
      </w:r>
      <w:proofErr w:type="spellEnd"/>
      <w:r w:rsidRPr="00472719">
        <w:rPr>
          <w:rFonts w:ascii="Book Antiqua" w:hAnsi="Book Antiqua" w:cs="宋体"/>
          <w:b/>
          <w:bCs/>
          <w:color w:val="000000"/>
        </w:rPr>
        <w:t xml:space="preserve"> S</w:t>
      </w:r>
      <w:r w:rsidRPr="00472719">
        <w:rPr>
          <w:rFonts w:ascii="Book Antiqua" w:hAnsi="Book Antiqua" w:cs="宋体"/>
          <w:color w:val="000000"/>
        </w:rPr>
        <w:t xml:space="preserve">, </w:t>
      </w:r>
      <w:proofErr w:type="spellStart"/>
      <w:r w:rsidRPr="00472719">
        <w:rPr>
          <w:rFonts w:ascii="Book Antiqua" w:hAnsi="Book Antiqua" w:cs="宋体"/>
          <w:color w:val="000000"/>
        </w:rPr>
        <w:t>Christein</w:t>
      </w:r>
      <w:proofErr w:type="spellEnd"/>
      <w:r w:rsidRPr="00472719">
        <w:rPr>
          <w:rFonts w:ascii="Book Antiqua" w:hAnsi="Book Antiqua" w:cs="宋体"/>
          <w:color w:val="000000"/>
        </w:rPr>
        <w:t xml:space="preserve"> JD, </w:t>
      </w:r>
      <w:proofErr w:type="spellStart"/>
      <w:r w:rsidRPr="00472719">
        <w:rPr>
          <w:rFonts w:ascii="Book Antiqua" w:hAnsi="Book Antiqua" w:cs="宋体"/>
          <w:color w:val="000000"/>
        </w:rPr>
        <w:t>Tamhane</w:t>
      </w:r>
      <w:proofErr w:type="spellEnd"/>
      <w:r w:rsidRPr="00472719">
        <w:rPr>
          <w:rFonts w:ascii="Book Antiqua" w:hAnsi="Book Antiqua" w:cs="宋体"/>
          <w:color w:val="000000"/>
        </w:rPr>
        <w:t xml:space="preserve"> A, </w:t>
      </w:r>
      <w:proofErr w:type="spellStart"/>
      <w:r w:rsidRPr="00472719">
        <w:rPr>
          <w:rFonts w:ascii="Book Antiqua" w:hAnsi="Book Antiqua" w:cs="宋体"/>
          <w:color w:val="000000"/>
        </w:rPr>
        <w:t>Drelichman</w:t>
      </w:r>
      <w:proofErr w:type="spellEnd"/>
      <w:r w:rsidRPr="00472719">
        <w:rPr>
          <w:rFonts w:ascii="Book Antiqua" w:hAnsi="Book Antiqua" w:cs="宋体"/>
          <w:color w:val="000000"/>
        </w:rPr>
        <w:t xml:space="preserve"> ER, Wilcox CM. Prospective randomized trial comparing EUS and EGD for transmural drainage of pancreatic </w:t>
      </w:r>
      <w:proofErr w:type="spellStart"/>
      <w:r w:rsidRPr="00472719">
        <w:rPr>
          <w:rFonts w:ascii="Book Antiqua" w:hAnsi="Book Antiqua" w:cs="宋体"/>
          <w:color w:val="000000"/>
        </w:rPr>
        <w:t>pseudocysts</w:t>
      </w:r>
      <w:proofErr w:type="spellEnd"/>
      <w:r w:rsidRPr="00472719">
        <w:rPr>
          <w:rFonts w:ascii="Book Antiqua" w:hAnsi="Book Antiqua" w:cs="宋体"/>
          <w:color w:val="000000"/>
        </w:rPr>
        <w:t xml:space="preserve"> (with videos).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2008; </w:t>
      </w:r>
      <w:r w:rsidRPr="00472719">
        <w:rPr>
          <w:rFonts w:ascii="Book Antiqua" w:hAnsi="Book Antiqua" w:cs="宋体"/>
          <w:b/>
          <w:bCs/>
          <w:color w:val="000000"/>
        </w:rPr>
        <w:t>68</w:t>
      </w:r>
      <w:r w:rsidRPr="00472719">
        <w:rPr>
          <w:rFonts w:ascii="Book Antiqua" w:hAnsi="Book Antiqua" w:cs="宋体"/>
          <w:color w:val="000000"/>
        </w:rPr>
        <w:t>: 1102-1111 [PMID: 18640677 DOI: 10.1016/j.gie.2008.04.028]</w:t>
      </w:r>
    </w:p>
    <w:p w14:paraId="78DF6355"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 xml:space="preserve">10 </w:t>
      </w:r>
      <w:proofErr w:type="spellStart"/>
      <w:r w:rsidRPr="00472719">
        <w:rPr>
          <w:rFonts w:ascii="Book Antiqua" w:hAnsi="Book Antiqua" w:cs="宋体"/>
          <w:b/>
          <w:bCs/>
          <w:color w:val="000000"/>
        </w:rPr>
        <w:t>Dumonceau</w:t>
      </w:r>
      <w:proofErr w:type="spellEnd"/>
      <w:r w:rsidRPr="00472719">
        <w:rPr>
          <w:rFonts w:ascii="Book Antiqua" w:hAnsi="Book Antiqua" w:cs="宋体"/>
          <w:b/>
          <w:bCs/>
          <w:color w:val="000000"/>
        </w:rPr>
        <w:t xml:space="preserve"> JM</w:t>
      </w:r>
      <w:r w:rsidRPr="00472719">
        <w:rPr>
          <w:rFonts w:ascii="Book Antiqua" w:hAnsi="Book Antiqua" w:cs="宋体"/>
          <w:color w:val="000000"/>
        </w:rPr>
        <w:t xml:space="preserve">, </w:t>
      </w:r>
      <w:proofErr w:type="spellStart"/>
      <w:r w:rsidRPr="00472719">
        <w:rPr>
          <w:rFonts w:ascii="Book Antiqua" w:hAnsi="Book Antiqua" w:cs="宋体"/>
          <w:color w:val="000000"/>
        </w:rPr>
        <w:t>Delhaye</w:t>
      </w:r>
      <w:proofErr w:type="spellEnd"/>
      <w:r w:rsidRPr="00472719">
        <w:rPr>
          <w:rFonts w:ascii="Book Antiqua" w:hAnsi="Book Antiqua" w:cs="宋体"/>
          <w:color w:val="000000"/>
        </w:rPr>
        <w:t xml:space="preserve"> M, </w:t>
      </w:r>
      <w:proofErr w:type="spellStart"/>
      <w:r w:rsidRPr="00472719">
        <w:rPr>
          <w:rFonts w:ascii="Book Antiqua" w:hAnsi="Book Antiqua" w:cs="宋体"/>
          <w:color w:val="000000"/>
        </w:rPr>
        <w:t>Tringali</w:t>
      </w:r>
      <w:proofErr w:type="spellEnd"/>
      <w:r w:rsidRPr="00472719">
        <w:rPr>
          <w:rFonts w:ascii="Book Antiqua" w:hAnsi="Book Antiqua" w:cs="宋体"/>
          <w:color w:val="000000"/>
        </w:rPr>
        <w:t xml:space="preserve"> A, Dominguez-Munoz JE, </w:t>
      </w:r>
      <w:proofErr w:type="spellStart"/>
      <w:r w:rsidRPr="00472719">
        <w:rPr>
          <w:rFonts w:ascii="Book Antiqua" w:hAnsi="Book Antiqua" w:cs="宋体"/>
          <w:color w:val="000000"/>
        </w:rPr>
        <w:t>Poley</w:t>
      </w:r>
      <w:proofErr w:type="spellEnd"/>
      <w:r w:rsidRPr="00472719">
        <w:rPr>
          <w:rFonts w:ascii="Book Antiqua" w:hAnsi="Book Antiqua" w:cs="宋体"/>
          <w:color w:val="000000"/>
        </w:rPr>
        <w:t xml:space="preserve"> JW, </w:t>
      </w:r>
      <w:proofErr w:type="spellStart"/>
      <w:r w:rsidRPr="00472719">
        <w:rPr>
          <w:rFonts w:ascii="Book Antiqua" w:hAnsi="Book Antiqua" w:cs="宋体"/>
          <w:color w:val="000000"/>
        </w:rPr>
        <w:t>Arvanitaki</w:t>
      </w:r>
      <w:proofErr w:type="spellEnd"/>
      <w:r w:rsidRPr="00472719">
        <w:rPr>
          <w:rFonts w:ascii="Book Antiqua" w:hAnsi="Book Antiqua" w:cs="宋体"/>
          <w:color w:val="000000"/>
        </w:rPr>
        <w:t xml:space="preserve"> M, </w:t>
      </w:r>
      <w:proofErr w:type="spellStart"/>
      <w:r w:rsidRPr="00472719">
        <w:rPr>
          <w:rFonts w:ascii="Book Antiqua" w:hAnsi="Book Antiqua" w:cs="宋体"/>
          <w:color w:val="000000"/>
        </w:rPr>
        <w:t>Costamagna</w:t>
      </w:r>
      <w:proofErr w:type="spellEnd"/>
      <w:r w:rsidRPr="00472719">
        <w:rPr>
          <w:rFonts w:ascii="Book Antiqua" w:hAnsi="Book Antiqua" w:cs="宋体"/>
          <w:color w:val="000000"/>
        </w:rPr>
        <w:t xml:space="preserve"> G, </w:t>
      </w:r>
      <w:proofErr w:type="spellStart"/>
      <w:r w:rsidRPr="00472719">
        <w:rPr>
          <w:rFonts w:ascii="Book Antiqua" w:hAnsi="Book Antiqua" w:cs="宋体"/>
          <w:color w:val="000000"/>
        </w:rPr>
        <w:t>Costea</w:t>
      </w:r>
      <w:proofErr w:type="spellEnd"/>
      <w:r w:rsidRPr="00472719">
        <w:rPr>
          <w:rFonts w:ascii="Book Antiqua" w:hAnsi="Book Antiqua" w:cs="宋体"/>
          <w:color w:val="000000"/>
        </w:rPr>
        <w:t xml:space="preserve"> F, </w:t>
      </w:r>
      <w:proofErr w:type="spellStart"/>
      <w:r w:rsidRPr="00472719">
        <w:rPr>
          <w:rFonts w:ascii="Book Antiqua" w:hAnsi="Book Antiqua" w:cs="宋体"/>
          <w:color w:val="000000"/>
        </w:rPr>
        <w:t>Devière</w:t>
      </w:r>
      <w:proofErr w:type="spellEnd"/>
      <w:r w:rsidRPr="00472719">
        <w:rPr>
          <w:rFonts w:ascii="Book Antiqua" w:hAnsi="Book Antiqua" w:cs="宋体"/>
          <w:color w:val="000000"/>
        </w:rPr>
        <w:t xml:space="preserve"> J, </w:t>
      </w:r>
      <w:proofErr w:type="spellStart"/>
      <w:r w:rsidRPr="00472719">
        <w:rPr>
          <w:rFonts w:ascii="Book Antiqua" w:hAnsi="Book Antiqua" w:cs="宋体"/>
          <w:color w:val="000000"/>
        </w:rPr>
        <w:t>Eisendrath</w:t>
      </w:r>
      <w:proofErr w:type="spellEnd"/>
      <w:r w:rsidRPr="00472719">
        <w:rPr>
          <w:rFonts w:ascii="Book Antiqua" w:hAnsi="Book Antiqua" w:cs="宋体"/>
          <w:color w:val="000000"/>
        </w:rPr>
        <w:t xml:space="preserve"> P, </w:t>
      </w:r>
      <w:proofErr w:type="spellStart"/>
      <w:r w:rsidRPr="00472719">
        <w:rPr>
          <w:rFonts w:ascii="Book Antiqua" w:hAnsi="Book Antiqua" w:cs="宋体"/>
          <w:color w:val="000000"/>
        </w:rPr>
        <w:t>Lakhtakia</w:t>
      </w:r>
      <w:proofErr w:type="spellEnd"/>
      <w:r w:rsidRPr="00472719">
        <w:rPr>
          <w:rFonts w:ascii="Book Antiqua" w:hAnsi="Book Antiqua" w:cs="宋体"/>
          <w:color w:val="000000"/>
        </w:rPr>
        <w:t xml:space="preserve"> S, Reddy N, </w:t>
      </w:r>
      <w:proofErr w:type="spellStart"/>
      <w:r w:rsidRPr="00472719">
        <w:rPr>
          <w:rFonts w:ascii="Book Antiqua" w:hAnsi="Book Antiqua" w:cs="宋体"/>
          <w:color w:val="000000"/>
        </w:rPr>
        <w:t>Fockens</w:t>
      </w:r>
      <w:proofErr w:type="spellEnd"/>
      <w:r w:rsidRPr="00472719">
        <w:rPr>
          <w:rFonts w:ascii="Book Antiqua" w:hAnsi="Book Antiqua" w:cs="宋体"/>
          <w:color w:val="000000"/>
        </w:rPr>
        <w:t xml:space="preserve"> P, </w:t>
      </w:r>
      <w:proofErr w:type="spellStart"/>
      <w:r w:rsidRPr="00472719">
        <w:rPr>
          <w:rFonts w:ascii="Book Antiqua" w:hAnsi="Book Antiqua" w:cs="宋体"/>
          <w:color w:val="000000"/>
        </w:rPr>
        <w:t>Ponchon</w:t>
      </w:r>
      <w:proofErr w:type="spellEnd"/>
      <w:r w:rsidRPr="00472719">
        <w:rPr>
          <w:rFonts w:ascii="Book Antiqua" w:hAnsi="Book Antiqua" w:cs="宋体"/>
          <w:color w:val="000000"/>
        </w:rPr>
        <w:t xml:space="preserve"> T, Bruno M. Endoscopic treatment of chronic pancreatitis: European Society of Gastrointestinal Endoscopy (ESGE) Clinical Guideline. </w:t>
      </w:r>
      <w:r w:rsidRPr="00472719">
        <w:rPr>
          <w:rFonts w:ascii="Book Antiqua" w:hAnsi="Book Antiqua" w:cs="宋体"/>
          <w:i/>
          <w:iCs/>
          <w:color w:val="000000"/>
        </w:rPr>
        <w:t>Endoscopy</w:t>
      </w:r>
      <w:r w:rsidRPr="00472719">
        <w:rPr>
          <w:rFonts w:ascii="Book Antiqua" w:hAnsi="Book Antiqua" w:cs="宋体"/>
          <w:color w:val="000000"/>
        </w:rPr>
        <w:t> 2012; </w:t>
      </w:r>
      <w:r w:rsidRPr="00472719">
        <w:rPr>
          <w:rFonts w:ascii="Book Antiqua" w:hAnsi="Book Antiqua" w:cs="宋体"/>
          <w:b/>
          <w:bCs/>
          <w:color w:val="000000"/>
        </w:rPr>
        <w:t>44</w:t>
      </w:r>
      <w:r w:rsidRPr="00472719">
        <w:rPr>
          <w:rFonts w:ascii="Book Antiqua" w:hAnsi="Book Antiqua" w:cs="宋体"/>
          <w:color w:val="000000"/>
        </w:rPr>
        <w:t>: 784-800 [PMID: 22752888 DOI: 10.1055/s-0032-1309840]</w:t>
      </w:r>
    </w:p>
    <w:p w14:paraId="2CF2BE46"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11 </w:t>
      </w:r>
      <w:r w:rsidRPr="00472719">
        <w:rPr>
          <w:rFonts w:ascii="Book Antiqua" w:hAnsi="Book Antiqua" w:cs="宋体"/>
          <w:b/>
          <w:bCs/>
          <w:color w:val="000000"/>
        </w:rPr>
        <w:t>Tenner S</w:t>
      </w:r>
      <w:r w:rsidRPr="00472719">
        <w:rPr>
          <w:rFonts w:ascii="Book Antiqua" w:hAnsi="Book Antiqua" w:cs="宋体"/>
          <w:color w:val="000000"/>
        </w:rPr>
        <w:t>, Baillie J, DeWitt J, Vege SS. American College of Gastroenterology guideline: management of acute pancreatitis. </w:t>
      </w:r>
      <w:r w:rsidRPr="00472719">
        <w:rPr>
          <w:rFonts w:ascii="Book Antiqua" w:hAnsi="Book Antiqua" w:cs="宋体"/>
          <w:i/>
          <w:iCs/>
          <w:color w:val="000000"/>
        </w:rPr>
        <w:t xml:space="preserve">Am J </w:t>
      </w:r>
      <w:proofErr w:type="spellStart"/>
      <w:r w:rsidRPr="00472719">
        <w:rPr>
          <w:rFonts w:ascii="Book Antiqua" w:hAnsi="Book Antiqua" w:cs="宋体"/>
          <w:i/>
          <w:iCs/>
          <w:color w:val="000000"/>
        </w:rPr>
        <w:t>Gastroenterol</w:t>
      </w:r>
      <w:proofErr w:type="spellEnd"/>
      <w:r w:rsidRPr="00472719">
        <w:rPr>
          <w:rFonts w:ascii="Book Antiqua" w:hAnsi="Book Antiqua" w:cs="宋体"/>
          <w:color w:val="000000"/>
        </w:rPr>
        <w:t> 2013; </w:t>
      </w:r>
      <w:r w:rsidRPr="00472719">
        <w:rPr>
          <w:rFonts w:ascii="Book Antiqua" w:hAnsi="Book Antiqua" w:cs="宋体"/>
          <w:b/>
          <w:bCs/>
          <w:color w:val="000000"/>
        </w:rPr>
        <w:t>108</w:t>
      </w:r>
      <w:r w:rsidRPr="00472719">
        <w:rPr>
          <w:rFonts w:ascii="Book Antiqua" w:hAnsi="Book Antiqua" w:cs="宋体"/>
          <w:color w:val="000000"/>
        </w:rPr>
        <w:t>: 1400-115; 1416 [PMID: 23896955 DOI: 10.1038/ajg.2013.218]</w:t>
      </w:r>
    </w:p>
    <w:p w14:paraId="777A49C9"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12 </w:t>
      </w:r>
      <w:proofErr w:type="spellStart"/>
      <w:r w:rsidRPr="00472719">
        <w:rPr>
          <w:rFonts w:ascii="Book Antiqua" w:hAnsi="Book Antiqua" w:cs="宋体"/>
          <w:b/>
          <w:bCs/>
          <w:color w:val="000000"/>
        </w:rPr>
        <w:t>Hookey</w:t>
      </w:r>
      <w:proofErr w:type="spellEnd"/>
      <w:r w:rsidRPr="00472719">
        <w:rPr>
          <w:rFonts w:ascii="Book Antiqua" w:hAnsi="Book Antiqua" w:cs="宋体"/>
          <w:b/>
          <w:bCs/>
          <w:color w:val="000000"/>
        </w:rPr>
        <w:t xml:space="preserve"> LC</w:t>
      </w:r>
      <w:r w:rsidRPr="00472719">
        <w:rPr>
          <w:rFonts w:ascii="Book Antiqua" w:hAnsi="Book Antiqua" w:cs="宋体"/>
          <w:color w:val="000000"/>
        </w:rPr>
        <w:t xml:space="preserve">, </w:t>
      </w:r>
      <w:proofErr w:type="spellStart"/>
      <w:r w:rsidRPr="00472719">
        <w:rPr>
          <w:rFonts w:ascii="Book Antiqua" w:hAnsi="Book Antiqua" w:cs="宋体"/>
          <w:color w:val="000000"/>
        </w:rPr>
        <w:t>Debroux</w:t>
      </w:r>
      <w:proofErr w:type="spellEnd"/>
      <w:r w:rsidRPr="00472719">
        <w:rPr>
          <w:rFonts w:ascii="Book Antiqua" w:hAnsi="Book Antiqua" w:cs="宋体"/>
          <w:color w:val="000000"/>
        </w:rPr>
        <w:t xml:space="preserve"> S, </w:t>
      </w:r>
      <w:proofErr w:type="spellStart"/>
      <w:r w:rsidRPr="00472719">
        <w:rPr>
          <w:rFonts w:ascii="Book Antiqua" w:hAnsi="Book Antiqua" w:cs="宋体"/>
          <w:color w:val="000000"/>
        </w:rPr>
        <w:t>Delhaye</w:t>
      </w:r>
      <w:proofErr w:type="spellEnd"/>
      <w:r w:rsidRPr="00472719">
        <w:rPr>
          <w:rFonts w:ascii="Book Antiqua" w:hAnsi="Book Antiqua" w:cs="宋体"/>
          <w:color w:val="000000"/>
        </w:rPr>
        <w:t xml:space="preserve"> M, </w:t>
      </w:r>
      <w:proofErr w:type="spellStart"/>
      <w:r w:rsidRPr="00472719">
        <w:rPr>
          <w:rFonts w:ascii="Book Antiqua" w:hAnsi="Book Antiqua" w:cs="宋体"/>
          <w:color w:val="000000"/>
        </w:rPr>
        <w:t>Arvanitakis</w:t>
      </w:r>
      <w:proofErr w:type="spellEnd"/>
      <w:r w:rsidRPr="00472719">
        <w:rPr>
          <w:rFonts w:ascii="Book Antiqua" w:hAnsi="Book Antiqua" w:cs="宋体"/>
          <w:color w:val="000000"/>
        </w:rPr>
        <w:t xml:space="preserve"> M, Le </w:t>
      </w:r>
      <w:proofErr w:type="spellStart"/>
      <w:r w:rsidRPr="00472719">
        <w:rPr>
          <w:rFonts w:ascii="Book Antiqua" w:hAnsi="Book Antiqua" w:cs="宋体"/>
          <w:color w:val="000000"/>
        </w:rPr>
        <w:t>Moine</w:t>
      </w:r>
      <w:proofErr w:type="spellEnd"/>
      <w:r w:rsidRPr="00472719">
        <w:rPr>
          <w:rFonts w:ascii="Book Antiqua" w:hAnsi="Book Antiqua" w:cs="宋体"/>
          <w:color w:val="000000"/>
        </w:rPr>
        <w:t xml:space="preserve"> O, </w:t>
      </w:r>
      <w:proofErr w:type="spellStart"/>
      <w:r w:rsidRPr="00472719">
        <w:rPr>
          <w:rFonts w:ascii="Book Antiqua" w:hAnsi="Book Antiqua" w:cs="宋体"/>
          <w:color w:val="000000"/>
        </w:rPr>
        <w:t>Devière</w:t>
      </w:r>
      <w:proofErr w:type="spellEnd"/>
      <w:r w:rsidRPr="00472719">
        <w:rPr>
          <w:rFonts w:ascii="Book Antiqua" w:hAnsi="Book Antiqua" w:cs="宋体"/>
          <w:color w:val="000000"/>
        </w:rPr>
        <w:t xml:space="preserve"> J. Endoscopic drainage of pancreatic-fluid collections in 116 patients: a comparison of etiologies, drainage techniques, and outcomes.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2006; </w:t>
      </w:r>
      <w:r w:rsidRPr="00472719">
        <w:rPr>
          <w:rFonts w:ascii="Book Antiqua" w:hAnsi="Book Antiqua" w:cs="宋体"/>
          <w:b/>
          <w:bCs/>
          <w:color w:val="000000"/>
        </w:rPr>
        <w:t>63</w:t>
      </w:r>
      <w:r w:rsidRPr="00472719">
        <w:rPr>
          <w:rFonts w:ascii="Book Antiqua" w:hAnsi="Book Antiqua" w:cs="宋体"/>
          <w:color w:val="000000"/>
        </w:rPr>
        <w:t>: 635-643 [PMID: 16564865 DOI: 10.1016/j.gie.2005.06.028]</w:t>
      </w:r>
    </w:p>
    <w:p w14:paraId="296D935D"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13 </w:t>
      </w:r>
      <w:proofErr w:type="spellStart"/>
      <w:r w:rsidRPr="00472719">
        <w:rPr>
          <w:rFonts w:ascii="Book Antiqua" w:hAnsi="Book Antiqua" w:cs="宋体"/>
          <w:b/>
          <w:bCs/>
          <w:color w:val="000000"/>
        </w:rPr>
        <w:t>Varadarajulu</w:t>
      </w:r>
      <w:proofErr w:type="spellEnd"/>
      <w:r w:rsidRPr="00472719">
        <w:rPr>
          <w:rFonts w:ascii="Book Antiqua" w:hAnsi="Book Antiqua" w:cs="宋体"/>
          <w:b/>
          <w:bCs/>
          <w:color w:val="000000"/>
        </w:rPr>
        <w:t xml:space="preserve"> S</w:t>
      </w:r>
      <w:r w:rsidRPr="00472719">
        <w:rPr>
          <w:rFonts w:ascii="Book Antiqua" w:hAnsi="Book Antiqua" w:cs="宋体"/>
          <w:color w:val="000000"/>
        </w:rPr>
        <w:t xml:space="preserve">, Bang JY, </w:t>
      </w:r>
      <w:proofErr w:type="spellStart"/>
      <w:r w:rsidRPr="00472719">
        <w:rPr>
          <w:rFonts w:ascii="Book Antiqua" w:hAnsi="Book Antiqua" w:cs="宋体"/>
          <w:color w:val="000000"/>
        </w:rPr>
        <w:t>Phadnis</w:t>
      </w:r>
      <w:proofErr w:type="spellEnd"/>
      <w:r w:rsidRPr="00472719">
        <w:rPr>
          <w:rFonts w:ascii="Book Antiqua" w:hAnsi="Book Antiqua" w:cs="宋体"/>
          <w:color w:val="000000"/>
        </w:rPr>
        <w:t xml:space="preserve"> MA, </w:t>
      </w:r>
      <w:proofErr w:type="spellStart"/>
      <w:r w:rsidRPr="00472719">
        <w:rPr>
          <w:rFonts w:ascii="Book Antiqua" w:hAnsi="Book Antiqua" w:cs="宋体"/>
          <w:color w:val="000000"/>
        </w:rPr>
        <w:t>Christein</w:t>
      </w:r>
      <w:proofErr w:type="spellEnd"/>
      <w:r w:rsidRPr="00472719">
        <w:rPr>
          <w:rFonts w:ascii="Book Antiqua" w:hAnsi="Book Antiqua" w:cs="宋体"/>
          <w:color w:val="000000"/>
        </w:rPr>
        <w:t xml:space="preserve"> JD, Wilcox CM. Endoscopic transmural drainage of </w:t>
      </w:r>
      <w:proofErr w:type="spellStart"/>
      <w:r w:rsidRPr="00472719">
        <w:rPr>
          <w:rFonts w:ascii="Book Antiqua" w:hAnsi="Book Antiqua" w:cs="宋体"/>
          <w:color w:val="000000"/>
        </w:rPr>
        <w:t>peripancreatic</w:t>
      </w:r>
      <w:proofErr w:type="spellEnd"/>
      <w:r w:rsidRPr="00472719">
        <w:rPr>
          <w:rFonts w:ascii="Book Antiqua" w:hAnsi="Book Antiqua" w:cs="宋体"/>
          <w:color w:val="000000"/>
        </w:rPr>
        <w:t xml:space="preserve"> fluid collections: outcomes and predictors of treatment success in 211 consecutive patients. </w:t>
      </w:r>
      <w:r w:rsidRPr="00472719">
        <w:rPr>
          <w:rFonts w:ascii="Book Antiqua" w:hAnsi="Book Antiqua" w:cs="宋体"/>
          <w:i/>
          <w:iCs/>
          <w:color w:val="000000"/>
        </w:rPr>
        <w:t xml:space="preserve">J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Surg</w:t>
      </w:r>
      <w:proofErr w:type="spellEnd"/>
      <w:r w:rsidRPr="00472719">
        <w:rPr>
          <w:rFonts w:ascii="Book Antiqua" w:hAnsi="Book Antiqua" w:cs="宋体"/>
          <w:color w:val="000000"/>
        </w:rPr>
        <w:t> 2011; </w:t>
      </w:r>
      <w:r w:rsidRPr="00472719">
        <w:rPr>
          <w:rFonts w:ascii="Book Antiqua" w:hAnsi="Book Antiqua" w:cs="宋体"/>
          <w:b/>
          <w:bCs/>
          <w:color w:val="000000"/>
        </w:rPr>
        <w:t>15</w:t>
      </w:r>
      <w:r w:rsidRPr="00472719">
        <w:rPr>
          <w:rFonts w:ascii="Book Antiqua" w:hAnsi="Book Antiqua" w:cs="宋体"/>
          <w:color w:val="000000"/>
        </w:rPr>
        <w:t>: 2080-2088 [PMID: 21786063 DOI: 10.1007/s11605-011-1621-8]</w:t>
      </w:r>
    </w:p>
    <w:p w14:paraId="6BBB2D7A"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14 </w:t>
      </w:r>
      <w:proofErr w:type="spellStart"/>
      <w:r w:rsidRPr="00472719">
        <w:rPr>
          <w:rFonts w:ascii="Book Antiqua" w:hAnsi="Book Antiqua" w:cs="宋体"/>
          <w:b/>
          <w:bCs/>
          <w:color w:val="000000"/>
        </w:rPr>
        <w:t>Varadarajulu</w:t>
      </w:r>
      <w:proofErr w:type="spellEnd"/>
      <w:r w:rsidRPr="00472719">
        <w:rPr>
          <w:rFonts w:ascii="Book Antiqua" w:hAnsi="Book Antiqua" w:cs="宋体"/>
          <w:b/>
          <w:bCs/>
          <w:color w:val="000000"/>
        </w:rPr>
        <w:t xml:space="preserve"> S</w:t>
      </w:r>
      <w:r w:rsidRPr="00472719">
        <w:rPr>
          <w:rFonts w:ascii="Book Antiqua" w:hAnsi="Book Antiqua" w:cs="宋体"/>
          <w:color w:val="000000"/>
        </w:rPr>
        <w:t xml:space="preserve">, </w:t>
      </w:r>
      <w:proofErr w:type="spellStart"/>
      <w:r w:rsidRPr="00472719">
        <w:rPr>
          <w:rFonts w:ascii="Book Antiqua" w:hAnsi="Book Antiqua" w:cs="宋体"/>
          <w:color w:val="000000"/>
        </w:rPr>
        <w:t>Christein</w:t>
      </w:r>
      <w:proofErr w:type="spellEnd"/>
      <w:r w:rsidRPr="00472719">
        <w:rPr>
          <w:rFonts w:ascii="Book Antiqua" w:hAnsi="Book Antiqua" w:cs="宋体"/>
          <w:color w:val="000000"/>
        </w:rPr>
        <w:t xml:space="preserve"> JD, Wilcox CM. Frequency of complications during EUS-guided drainage of pancreatic fluid collections in 148 consecutive patients. </w:t>
      </w:r>
      <w:r w:rsidRPr="00472719">
        <w:rPr>
          <w:rFonts w:ascii="Book Antiqua" w:hAnsi="Book Antiqua" w:cs="宋体"/>
          <w:i/>
          <w:iCs/>
          <w:color w:val="000000"/>
        </w:rPr>
        <w:t xml:space="preserve">J </w:t>
      </w:r>
      <w:proofErr w:type="spellStart"/>
      <w:r w:rsidRPr="00472719">
        <w:rPr>
          <w:rFonts w:ascii="Book Antiqua" w:hAnsi="Book Antiqua" w:cs="宋体"/>
          <w:i/>
          <w:iCs/>
          <w:color w:val="000000"/>
        </w:rPr>
        <w:t>Gastroenterol</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Hepatol</w:t>
      </w:r>
      <w:proofErr w:type="spellEnd"/>
      <w:r w:rsidRPr="00472719">
        <w:rPr>
          <w:rFonts w:ascii="Book Antiqua" w:hAnsi="Book Antiqua" w:cs="宋体"/>
          <w:color w:val="000000"/>
        </w:rPr>
        <w:t> 2011; </w:t>
      </w:r>
      <w:r w:rsidRPr="00472719">
        <w:rPr>
          <w:rFonts w:ascii="Book Antiqua" w:hAnsi="Book Antiqua" w:cs="宋体"/>
          <w:b/>
          <w:bCs/>
          <w:color w:val="000000"/>
        </w:rPr>
        <w:t>26</w:t>
      </w:r>
      <w:r w:rsidRPr="00472719">
        <w:rPr>
          <w:rFonts w:ascii="Book Antiqua" w:hAnsi="Book Antiqua" w:cs="宋体"/>
          <w:color w:val="000000"/>
        </w:rPr>
        <w:t>: 1504-1508 [PMID: 21575060 DOI: 10.1111/j.1440-1746.2011.06771.x]</w:t>
      </w:r>
    </w:p>
    <w:p w14:paraId="06CC813B"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lastRenderedPageBreak/>
        <w:t>15 </w:t>
      </w:r>
      <w:proofErr w:type="spellStart"/>
      <w:r w:rsidRPr="00472719">
        <w:rPr>
          <w:rFonts w:ascii="Book Antiqua" w:hAnsi="Book Antiqua" w:cs="宋体"/>
          <w:b/>
          <w:bCs/>
          <w:color w:val="000000"/>
        </w:rPr>
        <w:t>Varadarajulu</w:t>
      </w:r>
      <w:proofErr w:type="spellEnd"/>
      <w:r w:rsidRPr="00472719">
        <w:rPr>
          <w:rFonts w:ascii="Book Antiqua" w:hAnsi="Book Antiqua" w:cs="宋体"/>
          <w:b/>
          <w:bCs/>
          <w:color w:val="000000"/>
        </w:rPr>
        <w:t xml:space="preserve"> S</w:t>
      </w:r>
      <w:r w:rsidRPr="00472719">
        <w:rPr>
          <w:rFonts w:ascii="Book Antiqua" w:hAnsi="Book Antiqua" w:cs="宋体"/>
          <w:color w:val="000000"/>
        </w:rPr>
        <w:t xml:space="preserve">, Lopes TL, Wilcox CM, </w:t>
      </w:r>
      <w:proofErr w:type="spellStart"/>
      <w:r w:rsidRPr="00472719">
        <w:rPr>
          <w:rFonts w:ascii="Book Antiqua" w:hAnsi="Book Antiqua" w:cs="宋体"/>
          <w:color w:val="000000"/>
        </w:rPr>
        <w:t>Drelichman</w:t>
      </w:r>
      <w:proofErr w:type="spellEnd"/>
      <w:r w:rsidRPr="00472719">
        <w:rPr>
          <w:rFonts w:ascii="Book Antiqua" w:hAnsi="Book Antiqua" w:cs="宋体"/>
          <w:color w:val="000000"/>
        </w:rPr>
        <w:t xml:space="preserve"> ER, Kilgore ML, </w:t>
      </w:r>
      <w:proofErr w:type="spellStart"/>
      <w:r w:rsidRPr="00472719">
        <w:rPr>
          <w:rFonts w:ascii="Book Antiqua" w:hAnsi="Book Antiqua" w:cs="宋体"/>
          <w:color w:val="000000"/>
        </w:rPr>
        <w:t>Christein</w:t>
      </w:r>
      <w:proofErr w:type="spellEnd"/>
      <w:r w:rsidRPr="00472719">
        <w:rPr>
          <w:rFonts w:ascii="Book Antiqua" w:hAnsi="Book Antiqua" w:cs="宋体"/>
          <w:color w:val="000000"/>
        </w:rPr>
        <w:t xml:space="preserve"> JD. </w:t>
      </w:r>
      <w:proofErr w:type="gramStart"/>
      <w:r w:rsidRPr="00472719">
        <w:rPr>
          <w:rFonts w:ascii="Book Antiqua" w:hAnsi="Book Antiqua" w:cs="宋体"/>
          <w:color w:val="000000"/>
        </w:rPr>
        <w:t xml:space="preserve">EUS versus surgical cyst-gastrostomy for management of pancreatic </w:t>
      </w:r>
      <w:proofErr w:type="spellStart"/>
      <w:r w:rsidRPr="00472719">
        <w:rPr>
          <w:rFonts w:ascii="Book Antiqua" w:hAnsi="Book Antiqua" w:cs="宋体"/>
          <w:color w:val="000000"/>
        </w:rPr>
        <w:t>pseudocysts</w:t>
      </w:r>
      <w:proofErr w:type="spellEnd"/>
      <w:r w:rsidRPr="00472719">
        <w:rPr>
          <w:rFonts w:ascii="Book Antiqua" w:hAnsi="Book Antiqua" w:cs="宋体"/>
          <w:color w:val="000000"/>
        </w:rPr>
        <w:t>.</w:t>
      </w:r>
      <w:proofErr w:type="gramEnd"/>
      <w:r w:rsidRPr="00472719">
        <w:rPr>
          <w:rFonts w:ascii="Book Antiqua" w:hAnsi="Book Antiqua" w:cs="宋体"/>
          <w:color w:val="000000"/>
        </w:rPr>
        <w:t>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2008; </w:t>
      </w:r>
      <w:r w:rsidRPr="00472719">
        <w:rPr>
          <w:rFonts w:ascii="Book Antiqua" w:hAnsi="Book Antiqua" w:cs="宋体"/>
          <w:b/>
          <w:bCs/>
          <w:color w:val="000000"/>
        </w:rPr>
        <w:t>68</w:t>
      </w:r>
      <w:r w:rsidRPr="00472719">
        <w:rPr>
          <w:rFonts w:ascii="Book Antiqua" w:hAnsi="Book Antiqua" w:cs="宋体"/>
          <w:color w:val="000000"/>
        </w:rPr>
        <w:t>: 649-655 [PMID: 18547566 DOI: 10.1016/j.gie.2008.02.057]</w:t>
      </w:r>
    </w:p>
    <w:p w14:paraId="6E867B17"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16 </w:t>
      </w:r>
      <w:r w:rsidRPr="00472719">
        <w:rPr>
          <w:rFonts w:ascii="Book Antiqua" w:hAnsi="Book Antiqua" w:cs="宋体"/>
          <w:b/>
          <w:bCs/>
          <w:color w:val="000000"/>
        </w:rPr>
        <w:t>Baron TH</w:t>
      </w:r>
      <w:r w:rsidRPr="00472719">
        <w:rPr>
          <w:rFonts w:ascii="Book Antiqua" w:hAnsi="Book Antiqua" w:cs="宋体"/>
          <w:color w:val="000000"/>
        </w:rPr>
        <w:t xml:space="preserve">, </w:t>
      </w:r>
      <w:proofErr w:type="spellStart"/>
      <w:r w:rsidRPr="00472719">
        <w:rPr>
          <w:rFonts w:ascii="Book Antiqua" w:hAnsi="Book Antiqua" w:cs="宋体"/>
          <w:color w:val="000000"/>
        </w:rPr>
        <w:t>Harewood</w:t>
      </w:r>
      <w:proofErr w:type="spellEnd"/>
      <w:r w:rsidRPr="00472719">
        <w:rPr>
          <w:rFonts w:ascii="Book Antiqua" w:hAnsi="Book Antiqua" w:cs="宋体"/>
          <w:color w:val="000000"/>
        </w:rPr>
        <w:t xml:space="preserve"> GC, Morgan DE, Yates MR. Outcome differences after endoscopic drainage of pancreatic necrosis, acute pancreatic </w:t>
      </w:r>
      <w:proofErr w:type="spellStart"/>
      <w:r w:rsidRPr="00472719">
        <w:rPr>
          <w:rFonts w:ascii="Book Antiqua" w:hAnsi="Book Antiqua" w:cs="宋体"/>
          <w:color w:val="000000"/>
        </w:rPr>
        <w:t>pseudocysts</w:t>
      </w:r>
      <w:proofErr w:type="spellEnd"/>
      <w:r w:rsidRPr="00472719">
        <w:rPr>
          <w:rFonts w:ascii="Book Antiqua" w:hAnsi="Book Antiqua" w:cs="宋体"/>
          <w:color w:val="000000"/>
        </w:rPr>
        <w:t xml:space="preserve">, and chronic pancreatic </w:t>
      </w:r>
      <w:proofErr w:type="spellStart"/>
      <w:r w:rsidRPr="00472719">
        <w:rPr>
          <w:rFonts w:ascii="Book Antiqua" w:hAnsi="Book Antiqua" w:cs="宋体"/>
          <w:color w:val="000000"/>
        </w:rPr>
        <w:t>pseudocysts</w:t>
      </w:r>
      <w:proofErr w:type="spellEnd"/>
      <w:r w:rsidRPr="00472719">
        <w:rPr>
          <w:rFonts w:ascii="Book Antiqua" w:hAnsi="Book Antiqua" w:cs="宋体"/>
          <w:color w:val="000000"/>
        </w:rPr>
        <w:t>.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2002; </w:t>
      </w:r>
      <w:r w:rsidRPr="00472719">
        <w:rPr>
          <w:rFonts w:ascii="Book Antiqua" w:hAnsi="Book Antiqua" w:cs="宋体"/>
          <w:b/>
          <w:bCs/>
          <w:color w:val="000000"/>
        </w:rPr>
        <w:t>56</w:t>
      </w:r>
      <w:r w:rsidRPr="00472719">
        <w:rPr>
          <w:rFonts w:ascii="Book Antiqua" w:hAnsi="Book Antiqua" w:cs="宋体"/>
          <w:color w:val="000000"/>
        </w:rPr>
        <w:t>: 7-17 [PMID: 12085029 DOI: 10.1067/mge.2002.125106]</w:t>
      </w:r>
    </w:p>
    <w:p w14:paraId="382D0636"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17 </w:t>
      </w:r>
      <w:r w:rsidRPr="00472719">
        <w:rPr>
          <w:rFonts w:ascii="Book Antiqua" w:hAnsi="Book Antiqua" w:cs="宋体"/>
          <w:b/>
          <w:bCs/>
          <w:color w:val="000000"/>
        </w:rPr>
        <w:t>Seifert H</w:t>
      </w:r>
      <w:r w:rsidRPr="00472719">
        <w:rPr>
          <w:rFonts w:ascii="Book Antiqua" w:hAnsi="Book Antiqua" w:cs="宋体"/>
          <w:color w:val="000000"/>
        </w:rPr>
        <w:t xml:space="preserve">, </w:t>
      </w:r>
      <w:proofErr w:type="spellStart"/>
      <w:r w:rsidRPr="00472719">
        <w:rPr>
          <w:rFonts w:ascii="Book Antiqua" w:hAnsi="Book Antiqua" w:cs="宋体"/>
          <w:color w:val="000000"/>
        </w:rPr>
        <w:t>Biermer</w:t>
      </w:r>
      <w:proofErr w:type="spellEnd"/>
      <w:r w:rsidRPr="00472719">
        <w:rPr>
          <w:rFonts w:ascii="Book Antiqua" w:hAnsi="Book Antiqua" w:cs="宋体"/>
          <w:color w:val="000000"/>
        </w:rPr>
        <w:t xml:space="preserve"> M, Schmitt W, </w:t>
      </w:r>
      <w:proofErr w:type="spellStart"/>
      <w:r w:rsidRPr="00472719">
        <w:rPr>
          <w:rFonts w:ascii="Book Antiqua" w:hAnsi="Book Antiqua" w:cs="宋体"/>
          <w:color w:val="000000"/>
        </w:rPr>
        <w:t>Jürgensen</w:t>
      </w:r>
      <w:proofErr w:type="spellEnd"/>
      <w:r w:rsidRPr="00472719">
        <w:rPr>
          <w:rFonts w:ascii="Book Antiqua" w:hAnsi="Book Antiqua" w:cs="宋体"/>
          <w:color w:val="000000"/>
        </w:rPr>
        <w:t xml:space="preserve"> C, Will U, </w:t>
      </w:r>
      <w:proofErr w:type="spellStart"/>
      <w:r w:rsidRPr="00472719">
        <w:rPr>
          <w:rFonts w:ascii="Book Antiqua" w:hAnsi="Book Antiqua" w:cs="宋体"/>
          <w:color w:val="000000"/>
        </w:rPr>
        <w:t>Gerlach</w:t>
      </w:r>
      <w:proofErr w:type="spellEnd"/>
      <w:r w:rsidRPr="00472719">
        <w:rPr>
          <w:rFonts w:ascii="Book Antiqua" w:hAnsi="Book Antiqua" w:cs="宋体"/>
          <w:color w:val="000000"/>
        </w:rPr>
        <w:t xml:space="preserve"> R, </w:t>
      </w:r>
      <w:proofErr w:type="spellStart"/>
      <w:r w:rsidRPr="00472719">
        <w:rPr>
          <w:rFonts w:ascii="Book Antiqua" w:hAnsi="Book Antiqua" w:cs="宋体"/>
          <w:color w:val="000000"/>
        </w:rPr>
        <w:t>Kreitmair</w:t>
      </w:r>
      <w:proofErr w:type="spellEnd"/>
      <w:r w:rsidRPr="00472719">
        <w:rPr>
          <w:rFonts w:ascii="Book Antiqua" w:hAnsi="Book Antiqua" w:cs="宋体"/>
          <w:color w:val="000000"/>
        </w:rPr>
        <w:t xml:space="preserve"> C, </w:t>
      </w:r>
      <w:proofErr w:type="spellStart"/>
      <w:r w:rsidRPr="00472719">
        <w:rPr>
          <w:rFonts w:ascii="Book Antiqua" w:hAnsi="Book Antiqua" w:cs="宋体"/>
          <w:color w:val="000000"/>
        </w:rPr>
        <w:t>Meining</w:t>
      </w:r>
      <w:proofErr w:type="spellEnd"/>
      <w:r w:rsidRPr="00472719">
        <w:rPr>
          <w:rFonts w:ascii="Book Antiqua" w:hAnsi="Book Antiqua" w:cs="宋体"/>
          <w:color w:val="000000"/>
        </w:rPr>
        <w:t xml:space="preserve"> A, </w:t>
      </w:r>
      <w:proofErr w:type="spellStart"/>
      <w:r w:rsidRPr="00472719">
        <w:rPr>
          <w:rFonts w:ascii="Book Antiqua" w:hAnsi="Book Antiqua" w:cs="宋体"/>
          <w:color w:val="000000"/>
        </w:rPr>
        <w:t>Wehrmann</w:t>
      </w:r>
      <w:proofErr w:type="spellEnd"/>
      <w:r w:rsidRPr="00472719">
        <w:rPr>
          <w:rFonts w:ascii="Book Antiqua" w:hAnsi="Book Antiqua" w:cs="宋体"/>
          <w:color w:val="000000"/>
        </w:rPr>
        <w:t xml:space="preserve"> T, </w:t>
      </w:r>
      <w:proofErr w:type="spellStart"/>
      <w:r w:rsidRPr="00472719">
        <w:rPr>
          <w:rFonts w:ascii="Book Antiqua" w:hAnsi="Book Antiqua" w:cs="宋体"/>
          <w:color w:val="000000"/>
        </w:rPr>
        <w:t>Rösch</w:t>
      </w:r>
      <w:proofErr w:type="spellEnd"/>
      <w:r w:rsidRPr="00472719">
        <w:rPr>
          <w:rFonts w:ascii="Book Antiqua" w:hAnsi="Book Antiqua" w:cs="宋体"/>
          <w:color w:val="000000"/>
        </w:rPr>
        <w:t xml:space="preserve"> T. Transluminal endoscopic </w:t>
      </w:r>
      <w:proofErr w:type="spellStart"/>
      <w:r w:rsidRPr="00472719">
        <w:rPr>
          <w:rFonts w:ascii="Book Antiqua" w:hAnsi="Book Antiqua" w:cs="宋体"/>
          <w:color w:val="000000"/>
        </w:rPr>
        <w:t>necrosectomy</w:t>
      </w:r>
      <w:proofErr w:type="spellEnd"/>
      <w:r w:rsidRPr="00472719">
        <w:rPr>
          <w:rFonts w:ascii="Book Antiqua" w:hAnsi="Book Antiqua" w:cs="宋体"/>
          <w:color w:val="000000"/>
        </w:rPr>
        <w:t xml:space="preserve"> after acute pancreatitis: a </w:t>
      </w:r>
      <w:proofErr w:type="spellStart"/>
      <w:r w:rsidRPr="00472719">
        <w:rPr>
          <w:rFonts w:ascii="Book Antiqua" w:hAnsi="Book Antiqua" w:cs="宋体"/>
          <w:color w:val="000000"/>
        </w:rPr>
        <w:t>multicentre</w:t>
      </w:r>
      <w:proofErr w:type="spellEnd"/>
      <w:r w:rsidRPr="00472719">
        <w:rPr>
          <w:rFonts w:ascii="Book Antiqua" w:hAnsi="Book Antiqua" w:cs="宋体"/>
          <w:color w:val="000000"/>
        </w:rPr>
        <w:t xml:space="preserve"> study with long-term follow-up (the GEPARD Study). </w:t>
      </w:r>
      <w:r w:rsidRPr="00472719">
        <w:rPr>
          <w:rFonts w:ascii="Book Antiqua" w:hAnsi="Book Antiqua" w:cs="宋体"/>
          <w:i/>
          <w:iCs/>
          <w:color w:val="000000"/>
        </w:rPr>
        <w:t>Gut</w:t>
      </w:r>
      <w:r w:rsidRPr="00472719">
        <w:rPr>
          <w:rFonts w:ascii="Book Antiqua" w:hAnsi="Book Antiqua" w:cs="宋体"/>
          <w:color w:val="000000"/>
        </w:rPr>
        <w:t> 2009; </w:t>
      </w:r>
      <w:r w:rsidRPr="00472719">
        <w:rPr>
          <w:rFonts w:ascii="Book Antiqua" w:hAnsi="Book Antiqua" w:cs="宋体"/>
          <w:b/>
          <w:bCs/>
          <w:color w:val="000000"/>
        </w:rPr>
        <w:t>58</w:t>
      </w:r>
      <w:r w:rsidRPr="00472719">
        <w:rPr>
          <w:rFonts w:ascii="Book Antiqua" w:hAnsi="Book Antiqua" w:cs="宋体"/>
          <w:color w:val="000000"/>
        </w:rPr>
        <w:t>: 1260-1266 [PMID: 19282306 DOI: 10.1136/gut.2008.163733]</w:t>
      </w:r>
    </w:p>
    <w:p w14:paraId="32540BD3" w14:textId="77777777" w:rsidR="00C2205B" w:rsidRPr="00472719" w:rsidRDefault="00C2205B" w:rsidP="00472719">
      <w:pPr>
        <w:adjustRightInd w:val="0"/>
        <w:snapToGrid w:val="0"/>
        <w:spacing w:line="360" w:lineRule="auto"/>
        <w:jc w:val="both"/>
        <w:rPr>
          <w:rFonts w:ascii="Book Antiqua" w:hAnsi="Book Antiqua" w:cs="宋体"/>
          <w:color w:val="000000"/>
        </w:rPr>
      </w:pPr>
      <w:proofErr w:type="gramStart"/>
      <w:r w:rsidRPr="00472719">
        <w:rPr>
          <w:rFonts w:ascii="Book Antiqua" w:hAnsi="Book Antiqua" w:cs="宋体"/>
          <w:color w:val="000000"/>
        </w:rPr>
        <w:t>18 </w:t>
      </w:r>
      <w:proofErr w:type="spellStart"/>
      <w:r w:rsidRPr="00472719">
        <w:rPr>
          <w:rFonts w:ascii="Book Antiqua" w:hAnsi="Book Antiqua" w:cs="宋体"/>
          <w:b/>
          <w:bCs/>
          <w:color w:val="000000"/>
        </w:rPr>
        <w:t>Varadarajulu</w:t>
      </w:r>
      <w:proofErr w:type="spellEnd"/>
      <w:r w:rsidRPr="00472719">
        <w:rPr>
          <w:rFonts w:ascii="Book Antiqua" w:hAnsi="Book Antiqua" w:cs="宋体"/>
          <w:b/>
          <w:bCs/>
          <w:color w:val="000000"/>
        </w:rPr>
        <w:t xml:space="preserve"> S</w:t>
      </w:r>
      <w:r w:rsidRPr="00472719">
        <w:rPr>
          <w:rFonts w:ascii="Book Antiqua" w:hAnsi="Book Antiqua" w:cs="宋体"/>
          <w:color w:val="000000"/>
        </w:rPr>
        <w:t xml:space="preserve">, </w:t>
      </w:r>
      <w:proofErr w:type="spellStart"/>
      <w:r w:rsidRPr="00472719">
        <w:rPr>
          <w:rFonts w:ascii="Book Antiqua" w:hAnsi="Book Antiqua" w:cs="宋体"/>
          <w:color w:val="000000"/>
        </w:rPr>
        <w:t>Phadnis</w:t>
      </w:r>
      <w:proofErr w:type="spellEnd"/>
      <w:r w:rsidRPr="00472719">
        <w:rPr>
          <w:rFonts w:ascii="Book Antiqua" w:hAnsi="Book Antiqua" w:cs="宋体"/>
          <w:color w:val="000000"/>
        </w:rPr>
        <w:t xml:space="preserve"> MA, </w:t>
      </w:r>
      <w:proofErr w:type="spellStart"/>
      <w:r w:rsidRPr="00472719">
        <w:rPr>
          <w:rFonts w:ascii="Book Antiqua" w:hAnsi="Book Antiqua" w:cs="宋体"/>
          <w:color w:val="000000"/>
        </w:rPr>
        <w:t>Christein</w:t>
      </w:r>
      <w:proofErr w:type="spellEnd"/>
      <w:r w:rsidRPr="00472719">
        <w:rPr>
          <w:rFonts w:ascii="Book Antiqua" w:hAnsi="Book Antiqua" w:cs="宋体"/>
          <w:color w:val="000000"/>
        </w:rPr>
        <w:t xml:space="preserve"> JD, Wilcox CM. Multiple transluminal gateway technique for EUS-guided drainage of symptomatic walled-off pancreatic necrosis.</w:t>
      </w:r>
      <w:proofErr w:type="gramEnd"/>
      <w:r w:rsidRPr="00472719">
        <w:rPr>
          <w:rFonts w:ascii="Book Antiqua" w:hAnsi="Book Antiqua" w:cs="宋体"/>
          <w:color w:val="000000"/>
        </w:rPr>
        <w:t>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2011; </w:t>
      </w:r>
      <w:r w:rsidRPr="00472719">
        <w:rPr>
          <w:rFonts w:ascii="Book Antiqua" w:hAnsi="Book Antiqua" w:cs="宋体"/>
          <w:b/>
          <w:bCs/>
          <w:color w:val="000000"/>
        </w:rPr>
        <w:t>74</w:t>
      </w:r>
      <w:r w:rsidRPr="00472719">
        <w:rPr>
          <w:rFonts w:ascii="Book Antiqua" w:hAnsi="Book Antiqua" w:cs="宋体"/>
          <w:color w:val="000000"/>
        </w:rPr>
        <w:t>: 74-80 [PMID: 21612778 DOI: 10.1016/j.gie.2011.03.1122]</w:t>
      </w:r>
    </w:p>
    <w:p w14:paraId="5D567F0F"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 xml:space="preserve">19 </w:t>
      </w:r>
      <w:r w:rsidRPr="00472719">
        <w:rPr>
          <w:rFonts w:ascii="Book Antiqua" w:hAnsi="Book Antiqua" w:cs="宋体"/>
          <w:b/>
          <w:color w:val="000000"/>
        </w:rPr>
        <w:t>Rana SS</w:t>
      </w:r>
      <w:r w:rsidRPr="00472719">
        <w:rPr>
          <w:rFonts w:ascii="Book Antiqua" w:hAnsi="Book Antiqua" w:cs="宋体"/>
          <w:color w:val="000000"/>
        </w:rPr>
        <w:t xml:space="preserve">, </w:t>
      </w:r>
      <w:proofErr w:type="spellStart"/>
      <w:r w:rsidRPr="00472719">
        <w:rPr>
          <w:rFonts w:ascii="Book Antiqua" w:hAnsi="Book Antiqua" w:cs="宋体"/>
          <w:color w:val="000000"/>
        </w:rPr>
        <w:t>Bhasin</w:t>
      </w:r>
      <w:proofErr w:type="spellEnd"/>
      <w:r w:rsidRPr="00472719">
        <w:rPr>
          <w:rFonts w:ascii="Book Antiqua" w:hAnsi="Book Antiqua" w:cs="宋体"/>
          <w:color w:val="000000"/>
        </w:rPr>
        <w:t xml:space="preserve"> DK, Reddy YR, Sharma V, Rao C, </w:t>
      </w:r>
      <w:proofErr w:type="gramStart"/>
      <w:r w:rsidRPr="00472719">
        <w:rPr>
          <w:rFonts w:ascii="Book Antiqua" w:hAnsi="Book Antiqua" w:cs="宋体"/>
          <w:color w:val="000000"/>
        </w:rPr>
        <w:t>Sharma</w:t>
      </w:r>
      <w:proofErr w:type="gramEnd"/>
      <w:r w:rsidRPr="00472719">
        <w:rPr>
          <w:rFonts w:ascii="Book Antiqua" w:hAnsi="Book Antiqua" w:cs="宋体"/>
          <w:color w:val="000000"/>
        </w:rPr>
        <w:t xml:space="preserve"> RK, Gupta R. </w:t>
      </w:r>
      <w:r w:rsidRPr="00472719">
        <w:rPr>
          <w:rFonts w:ascii="Book Antiqua" w:hAnsi="Book Antiqua"/>
          <w:color w:val="000000"/>
        </w:rPr>
        <w:t>Morphological features of fluid collections on endoscopic ultrasound in acute necrotizing pancreatitis: do they change over time?</w:t>
      </w:r>
      <w:r w:rsidRPr="00472719">
        <w:rPr>
          <w:rStyle w:val="apple-converted-space"/>
          <w:rFonts w:ascii="Book Antiqua" w:hAnsi="Book Antiqua"/>
          <w:color w:val="000000"/>
        </w:rPr>
        <w:t> </w:t>
      </w:r>
      <w:r w:rsidRPr="00472719">
        <w:rPr>
          <w:rFonts w:ascii="Book Antiqua" w:hAnsi="Book Antiqua"/>
          <w:i/>
          <w:iCs/>
          <w:color w:val="000000"/>
        </w:rPr>
        <w:t xml:space="preserve">Ann </w:t>
      </w:r>
      <w:proofErr w:type="spellStart"/>
      <w:r w:rsidRPr="00472719">
        <w:rPr>
          <w:rFonts w:ascii="Book Antiqua" w:hAnsi="Book Antiqua"/>
          <w:i/>
          <w:iCs/>
          <w:color w:val="000000"/>
        </w:rPr>
        <w:t>Gastroenterol</w:t>
      </w:r>
      <w:proofErr w:type="spellEnd"/>
      <w:r w:rsidRPr="00472719">
        <w:rPr>
          <w:rStyle w:val="apple-converted-space"/>
          <w:rFonts w:ascii="Book Antiqua" w:hAnsi="Book Antiqua"/>
          <w:color w:val="000000"/>
        </w:rPr>
        <w:t> </w:t>
      </w:r>
      <w:r w:rsidRPr="00472719">
        <w:rPr>
          <w:rFonts w:ascii="Book Antiqua" w:hAnsi="Book Antiqua"/>
          <w:color w:val="000000"/>
        </w:rPr>
        <w:t>2014;</w:t>
      </w:r>
      <w:r w:rsidRPr="00472719">
        <w:rPr>
          <w:rStyle w:val="apple-converted-space"/>
          <w:rFonts w:ascii="Book Antiqua" w:hAnsi="Book Antiqua"/>
          <w:color w:val="000000"/>
        </w:rPr>
        <w:t> </w:t>
      </w:r>
      <w:r w:rsidRPr="00472719">
        <w:rPr>
          <w:rFonts w:ascii="Book Antiqua" w:hAnsi="Book Antiqua"/>
          <w:b/>
          <w:bCs/>
          <w:color w:val="000000"/>
        </w:rPr>
        <w:t>27</w:t>
      </w:r>
      <w:r w:rsidRPr="00472719">
        <w:rPr>
          <w:rFonts w:ascii="Book Antiqua" w:hAnsi="Book Antiqua"/>
          <w:color w:val="000000"/>
        </w:rPr>
        <w:t>: 258-261 [PMID: 24975052]</w:t>
      </w:r>
    </w:p>
    <w:p w14:paraId="5A554162" w14:textId="77777777" w:rsidR="00C2205B" w:rsidRPr="00472719" w:rsidRDefault="00C2205B" w:rsidP="00472719">
      <w:pPr>
        <w:adjustRightInd w:val="0"/>
        <w:snapToGrid w:val="0"/>
        <w:spacing w:line="360" w:lineRule="auto"/>
        <w:jc w:val="both"/>
        <w:rPr>
          <w:rFonts w:ascii="Book Antiqua" w:hAnsi="Book Antiqua" w:cs="宋体"/>
          <w:color w:val="000000"/>
        </w:rPr>
      </w:pPr>
      <w:proofErr w:type="gramStart"/>
      <w:r w:rsidRPr="00472719">
        <w:rPr>
          <w:rFonts w:ascii="Book Antiqua" w:hAnsi="Book Antiqua" w:cs="宋体"/>
          <w:color w:val="000000"/>
        </w:rPr>
        <w:t>20 </w:t>
      </w:r>
      <w:r w:rsidRPr="00472719">
        <w:rPr>
          <w:rFonts w:ascii="Book Antiqua" w:hAnsi="Book Antiqua" w:cs="宋体"/>
          <w:b/>
          <w:bCs/>
          <w:color w:val="000000"/>
        </w:rPr>
        <w:t>Rana SS</w:t>
      </w:r>
      <w:r w:rsidRPr="00472719">
        <w:rPr>
          <w:rFonts w:ascii="Book Antiqua" w:hAnsi="Book Antiqua" w:cs="宋体"/>
          <w:color w:val="000000"/>
        </w:rPr>
        <w:t xml:space="preserve">, </w:t>
      </w:r>
      <w:proofErr w:type="spellStart"/>
      <w:r w:rsidRPr="00472719">
        <w:rPr>
          <w:rFonts w:ascii="Book Antiqua" w:hAnsi="Book Antiqua" w:cs="宋体"/>
          <w:color w:val="000000"/>
        </w:rPr>
        <w:t>Bhasin</w:t>
      </w:r>
      <w:proofErr w:type="spellEnd"/>
      <w:r w:rsidRPr="00472719">
        <w:rPr>
          <w:rFonts w:ascii="Book Antiqua" w:hAnsi="Book Antiqua" w:cs="宋体"/>
          <w:color w:val="000000"/>
        </w:rPr>
        <w:t xml:space="preserve"> DK, Sharma RK, </w:t>
      </w:r>
      <w:proofErr w:type="spellStart"/>
      <w:r w:rsidRPr="00472719">
        <w:rPr>
          <w:rFonts w:ascii="Book Antiqua" w:hAnsi="Book Antiqua" w:cs="宋体"/>
          <w:color w:val="000000"/>
        </w:rPr>
        <w:t>Kathiresan</w:t>
      </w:r>
      <w:proofErr w:type="spellEnd"/>
      <w:r w:rsidRPr="00472719">
        <w:rPr>
          <w:rFonts w:ascii="Book Antiqua" w:hAnsi="Book Antiqua" w:cs="宋体"/>
          <w:color w:val="000000"/>
        </w:rPr>
        <w:t xml:space="preserve"> J, Gupta R.</w:t>
      </w:r>
      <w:proofErr w:type="gramEnd"/>
      <w:r w:rsidRPr="00472719">
        <w:rPr>
          <w:rFonts w:ascii="Book Antiqua" w:hAnsi="Book Antiqua" w:cs="宋体"/>
          <w:color w:val="000000"/>
        </w:rPr>
        <w:t xml:space="preserve"> Do the morphological features of walled off pancreatic necrosis on endoscopic ultrasound determine the outcome of endoscopic transmural drainage? </w:t>
      </w:r>
      <w:proofErr w:type="spellStart"/>
      <w:r w:rsidRPr="00472719">
        <w:rPr>
          <w:rFonts w:ascii="Book Antiqua" w:hAnsi="Book Antiqua" w:cs="宋体"/>
          <w:i/>
          <w:iCs/>
          <w:color w:val="000000"/>
        </w:rPr>
        <w:t>Endosc</w:t>
      </w:r>
      <w:proofErr w:type="spellEnd"/>
      <w:r w:rsidRPr="00472719">
        <w:rPr>
          <w:rFonts w:ascii="Book Antiqua" w:hAnsi="Book Antiqua" w:cs="宋体"/>
          <w:i/>
          <w:iCs/>
          <w:color w:val="000000"/>
        </w:rPr>
        <w:t xml:space="preserve"> Ultrasound</w:t>
      </w:r>
      <w:r w:rsidRPr="00472719">
        <w:rPr>
          <w:rFonts w:ascii="Book Antiqua" w:hAnsi="Book Antiqua" w:cs="宋体"/>
          <w:color w:val="000000"/>
        </w:rPr>
        <w:t> 2014; </w:t>
      </w:r>
      <w:r w:rsidRPr="00472719">
        <w:rPr>
          <w:rFonts w:ascii="Book Antiqua" w:hAnsi="Book Antiqua" w:cs="宋体"/>
          <w:b/>
          <w:bCs/>
          <w:color w:val="000000"/>
        </w:rPr>
        <w:t>3</w:t>
      </w:r>
      <w:r w:rsidRPr="00472719">
        <w:rPr>
          <w:rFonts w:ascii="Book Antiqua" w:hAnsi="Book Antiqua" w:cs="宋体"/>
          <w:color w:val="000000"/>
        </w:rPr>
        <w:t>: 118-122 [PMID: 24955341 DOI: 10.4103/2303-9027.131039]</w:t>
      </w:r>
    </w:p>
    <w:p w14:paraId="13BA2BC3"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21 </w:t>
      </w:r>
      <w:r w:rsidRPr="00472719">
        <w:rPr>
          <w:rFonts w:ascii="Book Antiqua" w:hAnsi="Book Antiqua" w:cs="宋体"/>
          <w:b/>
          <w:bCs/>
          <w:color w:val="000000"/>
        </w:rPr>
        <w:t>Seewald S</w:t>
      </w:r>
      <w:r w:rsidRPr="00472719">
        <w:rPr>
          <w:rFonts w:ascii="Book Antiqua" w:hAnsi="Book Antiqua" w:cs="宋体"/>
          <w:color w:val="000000"/>
        </w:rPr>
        <w:t xml:space="preserve">, </w:t>
      </w:r>
      <w:proofErr w:type="spellStart"/>
      <w:r w:rsidRPr="00472719">
        <w:rPr>
          <w:rFonts w:ascii="Book Antiqua" w:hAnsi="Book Antiqua" w:cs="宋体"/>
          <w:color w:val="000000"/>
        </w:rPr>
        <w:t>Thonke</w:t>
      </w:r>
      <w:proofErr w:type="spellEnd"/>
      <w:r w:rsidRPr="00472719">
        <w:rPr>
          <w:rFonts w:ascii="Book Antiqua" w:hAnsi="Book Antiqua" w:cs="宋体"/>
          <w:color w:val="000000"/>
        </w:rPr>
        <w:t xml:space="preserve"> F, </w:t>
      </w:r>
      <w:proofErr w:type="spellStart"/>
      <w:r w:rsidRPr="00472719">
        <w:rPr>
          <w:rFonts w:ascii="Book Antiqua" w:hAnsi="Book Antiqua" w:cs="宋体"/>
          <w:color w:val="000000"/>
        </w:rPr>
        <w:t>Ang</w:t>
      </w:r>
      <w:proofErr w:type="spellEnd"/>
      <w:r w:rsidRPr="00472719">
        <w:rPr>
          <w:rFonts w:ascii="Book Antiqua" w:hAnsi="Book Antiqua" w:cs="宋体"/>
          <w:color w:val="000000"/>
        </w:rPr>
        <w:t xml:space="preserve"> TL, Omar S, Seitz U, </w:t>
      </w:r>
      <w:proofErr w:type="spellStart"/>
      <w:r w:rsidRPr="00472719">
        <w:rPr>
          <w:rFonts w:ascii="Book Antiqua" w:hAnsi="Book Antiqua" w:cs="宋体"/>
          <w:color w:val="000000"/>
        </w:rPr>
        <w:t>Groth</w:t>
      </w:r>
      <w:proofErr w:type="spellEnd"/>
      <w:r w:rsidRPr="00472719">
        <w:rPr>
          <w:rFonts w:ascii="Book Antiqua" w:hAnsi="Book Antiqua" w:cs="宋体"/>
          <w:color w:val="000000"/>
        </w:rPr>
        <w:t xml:space="preserve"> S, </w:t>
      </w:r>
      <w:proofErr w:type="spellStart"/>
      <w:r w:rsidRPr="00472719">
        <w:rPr>
          <w:rFonts w:ascii="Book Antiqua" w:hAnsi="Book Antiqua" w:cs="宋体"/>
          <w:color w:val="000000"/>
        </w:rPr>
        <w:t>Zhong</w:t>
      </w:r>
      <w:proofErr w:type="spellEnd"/>
      <w:r w:rsidRPr="00472719">
        <w:rPr>
          <w:rFonts w:ascii="Book Antiqua" w:hAnsi="Book Antiqua" w:cs="宋体"/>
          <w:color w:val="000000"/>
        </w:rPr>
        <w:t xml:space="preserve"> Y, </w:t>
      </w:r>
      <w:proofErr w:type="spellStart"/>
      <w:r w:rsidRPr="00472719">
        <w:rPr>
          <w:rFonts w:ascii="Book Antiqua" w:hAnsi="Book Antiqua" w:cs="宋体"/>
          <w:color w:val="000000"/>
        </w:rPr>
        <w:t>Yekebas</w:t>
      </w:r>
      <w:proofErr w:type="spellEnd"/>
      <w:r w:rsidRPr="00472719">
        <w:rPr>
          <w:rFonts w:ascii="Book Antiqua" w:hAnsi="Book Antiqua" w:cs="宋体"/>
          <w:color w:val="000000"/>
        </w:rPr>
        <w:t xml:space="preserve"> E, </w:t>
      </w:r>
      <w:proofErr w:type="spellStart"/>
      <w:r w:rsidRPr="00472719">
        <w:rPr>
          <w:rFonts w:ascii="Book Antiqua" w:hAnsi="Book Antiqua" w:cs="宋体"/>
          <w:color w:val="000000"/>
        </w:rPr>
        <w:t>Izbicki</w:t>
      </w:r>
      <w:proofErr w:type="spellEnd"/>
      <w:r w:rsidRPr="00472719">
        <w:rPr>
          <w:rFonts w:ascii="Book Antiqua" w:hAnsi="Book Antiqua" w:cs="宋体"/>
          <w:color w:val="000000"/>
        </w:rPr>
        <w:t xml:space="preserve"> J, </w:t>
      </w:r>
      <w:proofErr w:type="spellStart"/>
      <w:r w:rsidRPr="00472719">
        <w:rPr>
          <w:rFonts w:ascii="Book Antiqua" w:hAnsi="Book Antiqua" w:cs="宋体"/>
          <w:color w:val="000000"/>
        </w:rPr>
        <w:t>Soehendra</w:t>
      </w:r>
      <w:proofErr w:type="spellEnd"/>
      <w:r w:rsidRPr="00472719">
        <w:rPr>
          <w:rFonts w:ascii="Book Antiqua" w:hAnsi="Book Antiqua" w:cs="宋体"/>
          <w:color w:val="000000"/>
        </w:rPr>
        <w:t xml:space="preserve"> N. One-step, simultaneous double-wire technique facilitates pancreatic </w:t>
      </w:r>
      <w:proofErr w:type="spellStart"/>
      <w:r w:rsidRPr="00472719">
        <w:rPr>
          <w:rFonts w:ascii="Book Antiqua" w:hAnsi="Book Antiqua" w:cs="宋体"/>
          <w:color w:val="000000"/>
        </w:rPr>
        <w:t>pseudocyst</w:t>
      </w:r>
      <w:proofErr w:type="spellEnd"/>
      <w:r w:rsidRPr="00472719">
        <w:rPr>
          <w:rFonts w:ascii="Book Antiqua" w:hAnsi="Book Antiqua" w:cs="宋体"/>
          <w:color w:val="000000"/>
        </w:rPr>
        <w:t xml:space="preserve"> and abscess drainage (with videos).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2006; </w:t>
      </w:r>
      <w:r w:rsidRPr="00472719">
        <w:rPr>
          <w:rFonts w:ascii="Book Antiqua" w:hAnsi="Book Antiqua" w:cs="宋体"/>
          <w:b/>
          <w:bCs/>
          <w:color w:val="000000"/>
        </w:rPr>
        <w:t>64</w:t>
      </w:r>
      <w:r w:rsidRPr="00472719">
        <w:rPr>
          <w:rFonts w:ascii="Book Antiqua" w:hAnsi="Book Antiqua" w:cs="宋体"/>
          <w:color w:val="000000"/>
        </w:rPr>
        <w:t>: 805-808 [PMID: 17055880 DOI: 10.1016/j.gie.2006.07.049]</w:t>
      </w:r>
    </w:p>
    <w:p w14:paraId="7238BC59" w14:textId="4A8F2CF8" w:rsidR="00843137" w:rsidRPr="0083275B" w:rsidRDefault="00C2205B" w:rsidP="00843137">
      <w:pPr>
        <w:adjustRightInd w:val="0"/>
        <w:snapToGrid w:val="0"/>
        <w:spacing w:line="360" w:lineRule="auto"/>
        <w:jc w:val="both"/>
        <w:rPr>
          <w:rFonts w:ascii="Book Antiqua" w:hAnsi="Book Antiqua" w:cs="宋体"/>
        </w:rPr>
      </w:pPr>
      <w:r w:rsidRPr="0083275B">
        <w:rPr>
          <w:rFonts w:ascii="Book Antiqua" w:hAnsi="Book Antiqua" w:cs="宋体"/>
        </w:rPr>
        <w:lastRenderedPageBreak/>
        <w:t xml:space="preserve">22 </w:t>
      </w:r>
      <w:r w:rsidR="00843137" w:rsidRPr="0083275B">
        <w:rPr>
          <w:rFonts w:ascii="Book Antiqua" w:hAnsi="Book Antiqua"/>
          <w:b/>
          <w:bCs/>
        </w:rPr>
        <w:t>Walter D</w:t>
      </w:r>
      <w:r w:rsidR="00843137" w:rsidRPr="0083275B">
        <w:rPr>
          <w:rFonts w:ascii="Book Antiqua" w:hAnsi="Book Antiqua"/>
        </w:rPr>
        <w:t>, Will U, Sanchez-</w:t>
      </w:r>
      <w:proofErr w:type="spellStart"/>
      <w:r w:rsidR="00843137" w:rsidRPr="0083275B">
        <w:rPr>
          <w:rFonts w:ascii="Book Antiqua" w:hAnsi="Book Antiqua"/>
        </w:rPr>
        <w:t>Yague</w:t>
      </w:r>
      <w:proofErr w:type="spellEnd"/>
      <w:r w:rsidR="00843137" w:rsidRPr="0083275B">
        <w:rPr>
          <w:rFonts w:ascii="Book Antiqua" w:hAnsi="Book Antiqua"/>
        </w:rPr>
        <w:t xml:space="preserve"> A, </w:t>
      </w:r>
      <w:proofErr w:type="spellStart"/>
      <w:r w:rsidR="00843137" w:rsidRPr="0083275B">
        <w:rPr>
          <w:rFonts w:ascii="Book Antiqua" w:hAnsi="Book Antiqua"/>
        </w:rPr>
        <w:t>Brenke</w:t>
      </w:r>
      <w:proofErr w:type="spellEnd"/>
      <w:r w:rsidR="00843137" w:rsidRPr="0083275B">
        <w:rPr>
          <w:rFonts w:ascii="Book Antiqua" w:hAnsi="Book Antiqua"/>
        </w:rPr>
        <w:t xml:space="preserve"> D, </w:t>
      </w:r>
      <w:proofErr w:type="spellStart"/>
      <w:r w:rsidR="00843137" w:rsidRPr="0083275B">
        <w:rPr>
          <w:rFonts w:ascii="Book Antiqua" w:hAnsi="Book Antiqua"/>
        </w:rPr>
        <w:t>Hampe</w:t>
      </w:r>
      <w:proofErr w:type="spellEnd"/>
      <w:r w:rsidR="00843137" w:rsidRPr="0083275B">
        <w:rPr>
          <w:rFonts w:ascii="Book Antiqua" w:hAnsi="Book Antiqua"/>
        </w:rPr>
        <w:t xml:space="preserve"> J, </w:t>
      </w:r>
      <w:proofErr w:type="spellStart"/>
      <w:r w:rsidR="00843137" w:rsidRPr="0083275B">
        <w:rPr>
          <w:rFonts w:ascii="Book Antiqua" w:hAnsi="Book Antiqua"/>
        </w:rPr>
        <w:t>Wollny</w:t>
      </w:r>
      <w:proofErr w:type="spellEnd"/>
      <w:r w:rsidR="00843137" w:rsidRPr="0083275B">
        <w:rPr>
          <w:rFonts w:ascii="Book Antiqua" w:hAnsi="Book Antiqua"/>
        </w:rPr>
        <w:t xml:space="preserve"> H, </w:t>
      </w:r>
      <w:proofErr w:type="spellStart"/>
      <w:r w:rsidR="00843137" w:rsidRPr="0083275B">
        <w:rPr>
          <w:rFonts w:ascii="Book Antiqua" w:hAnsi="Book Antiqua"/>
        </w:rPr>
        <w:t>López</w:t>
      </w:r>
      <w:proofErr w:type="spellEnd"/>
      <w:r w:rsidR="00843137" w:rsidRPr="0083275B">
        <w:rPr>
          <w:rFonts w:ascii="Book Antiqua" w:hAnsi="Book Antiqua"/>
        </w:rPr>
        <w:t xml:space="preserve">-Jamar JM, </w:t>
      </w:r>
      <w:proofErr w:type="spellStart"/>
      <w:r w:rsidR="00843137" w:rsidRPr="0083275B">
        <w:rPr>
          <w:rFonts w:ascii="Book Antiqua" w:hAnsi="Book Antiqua"/>
        </w:rPr>
        <w:t>Jechart</w:t>
      </w:r>
      <w:proofErr w:type="spellEnd"/>
      <w:r w:rsidR="00843137" w:rsidRPr="0083275B">
        <w:rPr>
          <w:rFonts w:ascii="Book Antiqua" w:hAnsi="Book Antiqua"/>
        </w:rPr>
        <w:t xml:space="preserve"> G, </w:t>
      </w:r>
      <w:proofErr w:type="spellStart"/>
      <w:r w:rsidR="00843137" w:rsidRPr="0083275B">
        <w:rPr>
          <w:rFonts w:ascii="Book Antiqua" w:hAnsi="Book Antiqua"/>
        </w:rPr>
        <w:t>Vilmann</w:t>
      </w:r>
      <w:proofErr w:type="spellEnd"/>
      <w:r w:rsidR="00843137" w:rsidRPr="0083275B">
        <w:rPr>
          <w:rFonts w:ascii="Book Antiqua" w:hAnsi="Book Antiqua"/>
        </w:rPr>
        <w:t xml:space="preserve"> P, </w:t>
      </w:r>
      <w:proofErr w:type="spellStart"/>
      <w:r w:rsidR="00843137" w:rsidRPr="0083275B">
        <w:rPr>
          <w:rFonts w:ascii="Book Antiqua" w:hAnsi="Book Antiqua"/>
        </w:rPr>
        <w:t>Gornals</w:t>
      </w:r>
      <w:proofErr w:type="spellEnd"/>
      <w:r w:rsidR="00843137" w:rsidRPr="0083275B">
        <w:rPr>
          <w:rFonts w:ascii="Book Antiqua" w:hAnsi="Book Antiqua"/>
        </w:rPr>
        <w:t xml:space="preserve"> JB, </w:t>
      </w:r>
      <w:proofErr w:type="spellStart"/>
      <w:r w:rsidR="00843137" w:rsidRPr="0083275B">
        <w:rPr>
          <w:rFonts w:ascii="Book Antiqua" w:hAnsi="Book Antiqua"/>
        </w:rPr>
        <w:t>Ullrich</w:t>
      </w:r>
      <w:proofErr w:type="spellEnd"/>
      <w:r w:rsidR="00843137" w:rsidRPr="0083275B">
        <w:rPr>
          <w:rFonts w:ascii="Book Antiqua" w:hAnsi="Book Antiqua"/>
        </w:rPr>
        <w:t xml:space="preserve"> S, </w:t>
      </w:r>
      <w:proofErr w:type="spellStart"/>
      <w:r w:rsidR="00843137" w:rsidRPr="0083275B">
        <w:rPr>
          <w:rFonts w:ascii="Book Antiqua" w:hAnsi="Book Antiqua"/>
        </w:rPr>
        <w:t>Fähndrich</w:t>
      </w:r>
      <w:proofErr w:type="spellEnd"/>
      <w:r w:rsidR="00843137" w:rsidRPr="0083275B">
        <w:rPr>
          <w:rFonts w:ascii="Book Antiqua" w:hAnsi="Book Antiqua"/>
        </w:rPr>
        <w:t xml:space="preserve"> M, de Tejada AH, </w:t>
      </w:r>
      <w:proofErr w:type="spellStart"/>
      <w:r w:rsidR="00843137" w:rsidRPr="0083275B">
        <w:rPr>
          <w:rFonts w:ascii="Book Antiqua" w:hAnsi="Book Antiqua"/>
        </w:rPr>
        <w:t>Junquera</w:t>
      </w:r>
      <w:proofErr w:type="spellEnd"/>
      <w:r w:rsidR="00843137" w:rsidRPr="0083275B">
        <w:rPr>
          <w:rFonts w:ascii="Book Antiqua" w:hAnsi="Book Antiqua"/>
        </w:rPr>
        <w:t xml:space="preserve"> F, Gonzalez-</w:t>
      </w:r>
      <w:proofErr w:type="spellStart"/>
      <w:r w:rsidR="00843137" w:rsidRPr="0083275B">
        <w:rPr>
          <w:rFonts w:ascii="Book Antiqua" w:hAnsi="Book Antiqua"/>
        </w:rPr>
        <w:t>Huix</w:t>
      </w:r>
      <w:proofErr w:type="spellEnd"/>
      <w:r w:rsidR="00843137" w:rsidRPr="0083275B">
        <w:rPr>
          <w:rFonts w:ascii="Book Antiqua" w:hAnsi="Book Antiqua"/>
        </w:rPr>
        <w:t xml:space="preserve"> F, </w:t>
      </w:r>
      <w:proofErr w:type="spellStart"/>
      <w:r w:rsidR="00843137" w:rsidRPr="0083275B">
        <w:rPr>
          <w:rFonts w:ascii="Book Antiqua" w:hAnsi="Book Antiqua"/>
        </w:rPr>
        <w:t>Siersema</w:t>
      </w:r>
      <w:proofErr w:type="spellEnd"/>
      <w:r w:rsidR="00843137" w:rsidRPr="0083275B">
        <w:rPr>
          <w:rFonts w:ascii="Book Antiqua" w:hAnsi="Book Antiqua"/>
        </w:rPr>
        <w:t xml:space="preserve"> PD, </w:t>
      </w:r>
      <w:proofErr w:type="spellStart"/>
      <w:r w:rsidR="00843137" w:rsidRPr="0083275B">
        <w:rPr>
          <w:rFonts w:ascii="Book Antiqua" w:hAnsi="Book Antiqua"/>
        </w:rPr>
        <w:t>Vleggaar</w:t>
      </w:r>
      <w:proofErr w:type="spellEnd"/>
      <w:r w:rsidR="00843137" w:rsidRPr="0083275B">
        <w:rPr>
          <w:rFonts w:ascii="Book Antiqua" w:hAnsi="Book Antiqua"/>
        </w:rPr>
        <w:t xml:space="preserve"> FP. A novel lumen-apposing metal stent for endoscopic ultrasound-guided drainage of pancreatic fluid collections: a prospective cohort study.</w:t>
      </w:r>
      <w:r w:rsidR="00843137" w:rsidRPr="0083275B">
        <w:rPr>
          <w:rStyle w:val="apple-converted-space"/>
          <w:rFonts w:ascii="Book Antiqua" w:hAnsi="Book Antiqua"/>
        </w:rPr>
        <w:t> </w:t>
      </w:r>
      <w:r w:rsidR="00843137" w:rsidRPr="0083275B">
        <w:rPr>
          <w:rFonts w:ascii="Book Antiqua" w:hAnsi="Book Antiqua"/>
          <w:i/>
          <w:iCs/>
        </w:rPr>
        <w:t>Endoscopy</w:t>
      </w:r>
      <w:r w:rsidR="00843137" w:rsidRPr="0083275B">
        <w:rPr>
          <w:rStyle w:val="apple-converted-space"/>
          <w:rFonts w:ascii="Book Antiqua" w:hAnsi="Book Antiqua"/>
        </w:rPr>
        <w:t> </w:t>
      </w:r>
      <w:r w:rsidR="00843137" w:rsidRPr="0083275B">
        <w:rPr>
          <w:rFonts w:ascii="Book Antiqua" w:hAnsi="Book Antiqua"/>
        </w:rPr>
        <w:t>2015;</w:t>
      </w:r>
      <w:r w:rsidR="00843137" w:rsidRPr="0083275B">
        <w:rPr>
          <w:rStyle w:val="apple-converted-space"/>
          <w:rFonts w:ascii="Book Antiqua" w:hAnsi="Book Antiqua"/>
        </w:rPr>
        <w:t> </w:t>
      </w:r>
      <w:r w:rsidR="00843137" w:rsidRPr="0083275B">
        <w:rPr>
          <w:rFonts w:ascii="Book Antiqua" w:hAnsi="Book Antiqua"/>
          <w:b/>
          <w:bCs/>
        </w:rPr>
        <w:t>47</w:t>
      </w:r>
      <w:r w:rsidR="00843137" w:rsidRPr="0083275B">
        <w:rPr>
          <w:rFonts w:ascii="Book Antiqua" w:hAnsi="Book Antiqua"/>
        </w:rPr>
        <w:t>: 63-67 [PMID: 25268308 DOI: 10.1055/s-0034-1378113]</w:t>
      </w:r>
    </w:p>
    <w:p w14:paraId="3A3486D6"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 xml:space="preserve">23 </w:t>
      </w:r>
      <w:r w:rsidRPr="00472719">
        <w:rPr>
          <w:rFonts w:ascii="Book Antiqua" w:hAnsi="Book Antiqua"/>
          <w:b/>
          <w:bCs/>
          <w:color w:val="000000"/>
        </w:rPr>
        <w:t>Lopes CV</w:t>
      </w:r>
      <w:r w:rsidRPr="00472719">
        <w:rPr>
          <w:rFonts w:ascii="Book Antiqua" w:hAnsi="Book Antiqua"/>
          <w:color w:val="000000"/>
        </w:rPr>
        <w:t xml:space="preserve">, </w:t>
      </w:r>
      <w:proofErr w:type="spellStart"/>
      <w:r w:rsidRPr="00472719">
        <w:rPr>
          <w:rFonts w:ascii="Book Antiqua" w:hAnsi="Book Antiqua"/>
          <w:color w:val="000000"/>
        </w:rPr>
        <w:t>Pesenti</w:t>
      </w:r>
      <w:proofErr w:type="spellEnd"/>
      <w:r w:rsidRPr="00472719">
        <w:rPr>
          <w:rFonts w:ascii="Book Antiqua" w:hAnsi="Book Antiqua"/>
          <w:color w:val="000000"/>
        </w:rPr>
        <w:t xml:space="preserve"> C, </w:t>
      </w:r>
      <w:proofErr w:type="spellStart"/>
      <w:r w:rsidRPr="00472719">
        <w:rPr>
          <w:rFonts w:ascii="Book Antiqua" w:hAnsi="Book Antiqua"/>
          <w:color w:val="000000"/>
        </w:rPr>
        <w:t>Bories</w:t>
      </w:r>
      <w:proofErr w:type="spellEnd"/>
      <w:r w:rsidRPr="00472719">
        <w:rPr>
          <w:rFonts w:ascii="Book Antiqua" w:hAnsi="Book Antiqua"/>
          <w:color w:val="000000"/>
        </w:rPr>
        <w:t xml:space="preserve"> E, </w:t>
      </w:r>
      <w:proofErr w:type="spellStart"/>
      <w:r w:rsidRPr="00472719">
        <w:rPr>
          <w:rFonts w:ascii="Book Antiqua" w:hAnsi="Book Antiqua"/>
          <w:color w:val="000000"/>
        </w:rPr>
        <w:t>Caillol</w:t>
      </w:r>
      <w:proofErr w:type="spellEnd"/>
      <w:r w:rsidRPr="00472719">
        <w:rPr>
          <w:rFonts w:ascii="Book Antiqua" w:hAnsi="Book Antiqua"/>
          <w:color w:val="000000"/>
        </w:rPr>
        <w:t xml:space="preserve"> F, </w:t>
      </w:r>
      <w:proofErr w:type="spellStart"/>
      <w:r w:rsidRPr="00472719">
        <w:rPr>
          <w:rFonts w:ascii="Book Antiqua" w:hAnsi="Book Antiqua"/>
          <w:color w:val="000000"/>
        </w:rPr>
        <w:t>Giovannini</w:t>
      </w:r>
      <w:proofErr w:type="spellEnd"/>
      <w:r w:rsidRPr="00472719">
        <w:rPr>
          <w:rFonts w:ascii="Book Antiqua" w:hAnsi="Book Antiqua"/>
          <w:color w:val="000000"/>
        </w:rPr>
        <w:t xml:space="preserve"> M. Endoscopic ultrasound-guided endoscopic transmural drainage of pancreatic </w:t>
      </w:r>
      <w:proofErr w:type="spellStart"/>
      <w:r w:rsidRPr="00472719">
        <w:rPr>
          <w:rFonts w:ascii="Book Antiqua" w:hAnsi="Book Antiqua"/>
          <w:color w:val="000000"/>
        </w:rPr>
        <w:t>pseudocysts</w:t>
      </w:r>
      <w:proofErr w:type="spellEnd"/>
      <w:r w:rsidRPr="00472719">
        <w:rPr>
          <w:rFonts w:ascii="Book Antiqua" w:hAnsi="Book Antiqua"/>
          <w:color w:val="000000"/>
        </w:rPr>
        <w:t>.</w:t>
      </w:r>
      <w:r w:rsidRPr="00472719">
        <w:rPr>
          <w:rStyle w:val="apple-converted-space"/>
          <w:rFonts w:ascii="Book Antiqua" w:hAnsi="Book Antiqua"/>
          <w:color w:val="000000"/>
        </w:rPr>
        <w:t> </w:t>
      </w:r>
      <w:proofErr w:type="spellStart"/>
      <w:r w:rsidRPr="00472719">
        <w:rPr>
          <w:rFonts w:ascii="Book Antiqua" w:hAnsi="Book Antiqua"/>
          <w:i/>
          <w:iCs/>
          <w:color w:val="000000"/>
        </w:rPr>
        <w:t>Arq</w:t>
      </w:r>
      <w:proofErr w:type="spellEnd"/>
      <w:r w:rsidRPr="00472719">
        <w:rPr>
          <w:rFonts w:ascii="Book Antiqua" w:hAnsi="Book Antiqua"/>
          <w:i/>
          <w:iCs/>
          <w:color w:val="000000"/>
        </w:rPr>
        <w:t xml:space="preserve"> </w:t>
      </w:r>
      <w:proofErr w:type="spellStart"/>
      <w:r w:rsidRPr="00472719">
        <w:rPr>
          <w:rFonts w:ascii="Book Antiqua" w:hAnsi="Book Antiqua"/>
          <w:i/>
          <w:iCs/>
          <w:color w:val="000000"/>
        </w:rPr>
        <w:t>Gastroenterol</w:t>
      </w:r>
      <w:proofErr w:type="spellEnd"/>
      <w:r w:rsidRPr="00472719">
        <w:rPr>
          <w:rStyle w:val="apple-converted-space"/>
          <w:rFonts w:ascii="Book Antiqua" w:hAnsi="Book Antiqua"/>
          <w:color w:val="000000"/>
        </w:rPr>
        <w:t> 2008</w:t>
      </w:r>
      <w:r w:rsidRPr="00472719">
        <w:rPr>
          <w:rFonts w:ascii="Book Antiqua" w:hAnsi="Book Antiqua"/>
          <w:color w:val="000000"/>
        </w:rPr>
        <w:t>;</w:t>
      </w:r>
      <w:r w:rsidRPr="00472719">
        <w:rPr>
          <w:rStyle w:val="apple-converted-space"/>
          <w:rFonts w:ascii="Book Antiqua" w:hAnsi="Book Antiqua"/>
          <w:color w:val="000000"/>
        </w:rPr>
        <w:t> </w:t>
      </w:r>
      <w:r w:rsidRPr="00472719">
        <w:rPr>
          <w:rFonts w:ascii="Book Antiqua" w:hAnsi="Book Antiqua"/>
          <w:b/>
          <w:bCs/>
          <w:color w:val="000000"/>
        </w:rPr>
        <w:t>45</w:t>
      </w:r>
      <w:r w:rsidRPr="00472719">
        <w:rPr>
          <w:rFonts w:ascii="Book Antiqua" w:hAnsi="Book Antiqua"/>
          <w:color w:val="000000"/>
        </w:rPr>
        <w:t>: 17-21 [PMID: 18425223]</w:t>
      </w:r>
    </w:p>
    <w:p w14:paraId="0C258235" w14:textId="77777777" w:rsidR="00C2205B" w:rsidRPr="00472719" w:rsidRDefault="00C2205B" w:rsidP="00472719">
      <w:pPr>
        <w:adjustRightInd w:val="0"/>
        <w:snapToGrid w:val="0"/>
        <w:spacing w:line="360" w:lineRule="auto"/>
        <w:jc w:val="both"/>
        <w:rPr>
          <w:rFonts w:ascii="Book Antiqua" w:hAnsi="Book Antiqua" w:cs="宋体"/>
          <w:color w:val="000000"/>
        </w:rPr>
      </w:pPr>
      <w:proofErr w:type="gramStart"/>
      <w:r w:rsidRPr="00472719">
        <w:rPr>
          <w:rFonts w:ascii="Book Antiqua" w:hAnsi="Book Antiqua" w:cs="宋体"/>
          <w:color w:val="000000"/>
        </w:rPr>
        <w:t>24 </w:t>
      </w:r>
      <w:proofErr w:type="spellStart"/>
      <w:r w:rsidRPr="00472719">
        <w:rPr>
          <w:rFonts w:ascii="Book Antiqua" w:hAnsi="Book Antiqua" w:cs="宋体"/>
          <w:b/>
          <w:bCs/>
          <w:color w:val="000000"/>
        </w:rPr>
        <w:t>Antillon</w:t>
      </w:r>
      <w:proofErr w:type="spellEnd"/>
      <w:r w:rsidRPr="00472719">
        <w:rPr>
          <w:rFonts w:ascii="Book Antiqua" w:hAnsi="Book Antiqua" w:cs="宋体"/>
          <w:b/>
          <w:bCs/>
          <w:color w:val="000000"/>
        </w:rPr>
        <w:t xml:space="preserve"> MR</w:t>
      </w:r>
      <w:r w:rsidRPr="00472719">
        <w:rPr>
          <w:rFonts w:ascii="Book Antiqua" w:hAnsi="Book Antiqua" w:cs="宋体"/>
          <w:color w:val="000000"/>
        </w:rPr>
        <w:t xml:space="preserve">, Shah RJ, </w:t>
      </w:r>
      <w:proofErr w:type="spellStart"/>
      <w:r w:rsidRPr="00472719">
        <w:rPr>
          <w:rFonts w:ascii="Book Antiqua" w:hAnsi="Book Antiqua" w:cs="宋体"/>
          <w:color w:val="000000"/>
        </w:rPr>
        <w:t>Stiegmann</w:t>
      </w:r>
      <w:proofErr w:type="spellEnd"/>
      <w:r w:rsidRPr="00472719">
        <w:rPr>
          <w:rFonts w:ascii="Book Antiqua" w:hAnsi="Book Antiqua" w:cs="宋体"/>
          <w:color w:val="000000"/>
        </w:rPr>
        <w:t xml:space="preserve"> G, Chen YK.</w:t>
      </w:r>
      <w:proofErr w:type="gramEnd"/>
      <w:r w:rsidRPr="00472719">
        <w:rPr>
          <w:rFonts w:ascii="Book Antiqua" w:hAnsi="Book Antiqua" w:cs="宋体"/>
          <w:color w:val="000000"/>
        </w:rPr>
        <w:t xml:space="preserve"> </w:t>
      </w:r>
      <w:proofErr w:type="gramStart"/>
      <w:r w:rsidRPr="00472719">
        <w:rPr>
          <w:rFonts w:ascii="Book Antiqua" w:hAnsi="Book Antiqua" w:cs="宋体"/>
          <w:color w:val="000000"/>
        </w:rPr>
        <w:t xml:space="preserve">Single-step EUS-guided transmural drainage of simple and complicated pancreatic </w:t>
      </w:r>
      <w:proofErr w:type="spellStart"/>
      <w:r w:rsidRPr="00472719">
        <w:rPr>
          <w:rFonts w:ascii="Book Antiqua" w:hAnsi="Book Antiqua" w:cs="宋体"/>
          <w:color w:val="000000"/>
        </w:rPr>
        <w:t>pseudocysts</w:t>
      </w:r>
      <w:proofErr w:type="spellEnd"/>
      <w:r w:rsidRPr="00472719">
        <w:rPr>
          <w:rFonts w:ascii="Book Antiqua" w:hAnsi="Book Antiqua" w:cs="宋体"/>
          <w:color w:val="000000"/>
        </w:rPr>
        <w:t>.</w:t>
      </w:r>
      <w:proofErr w:type="gramEnd"/>
      <w:r w:rsidRPr="00472719">
        <w:rPr>
          <w:rFonts w:ascii="Book Antiqua" w:hAnsi="Book Antiqua" w:cs="宋体"/>
          <w:color w:val="000000"/>
        </w:rPr>
        <w:t>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2006; </w:t>
      </w:r>
      <w:r w:rsidRPr="00472719">
        <w:rPr>
          <w:rFonts w:ascii="Book Antiqua" w:hAnsi="Book Antiqua" w:cs="宋体"/>
          <w:b/>
          <w:bCs/>
          <w:color w:val="000000"/>
        </w:rPr>
        <w:t>63</w:t>
      </w:r>
      <w:r w:rsidRPr="00472719">
        <w:rPr>
          <w:rFonts w:ascii="Book Antiqua" w:hAnsi="Book Antiqua" w:cs="宋体"/>
          <w:color w:val="000000"/>
        </w:rPr>
        <w:t>: 797-803 [PMID: 16650541 DOI: 10.1016/j.gie.2005.10.025]</w:t>
      </w:r>
    </w:p>
    <w:p w14:paraId="1600E327"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25 </w:t>
      </w:r>
      <w:r w:rsidRPr="00472719">
        <w:rPr>
          <w:rFonts w:ascii="Book Antiqua" w:hAnsi="Book Antiqua" w:cs="宋体"/>
          <w:b/>
          <w:bCs/>
          <w:color w:val="000000"/>
        </w:rPr>
        <w:t>Siddiqui AA</w:t>
      </w:r>
      <w:r w:rsidRPr="00472719">
        <w:rPr>
          <w:rFonts w:ascii="Book Antiqua" w:hAnsi="Book Antiqua" w:cs="宋体"/>
          <w:color w:val="000000"/>
        </w:rPr>
        <w:t xml:space="preserve">, Dewitt JM, </w:t>
      </w:r>
      <w:proofErr w:type="spellStart"/>
      <w:r w:rsidRPr="00472719">
        <w:rPr>
          <w:rFonts w:ascii="Book Antiqua" w:hAnsi="Book Antiqua" w:cs="宋体"/>
          <w:color w:val="000000"/>
        </w:rPr>
        <w:t>Strongin</w:t>
      </w:r>
      <w:proofErr w:type="spellEnd"/>
      <w:r w:rsidRPr="00472719">
        <w:rPr>
          <w:rFonts w:ascii="Book Antiqua" w:hAnsi="Book Antiqua" w:cs="宋体"/>
          <w:color w:val="000000"/>
        </w:rPr>
        <w:t xml:space="preserve"> A, Singh H, Jordan S, Loren DE, Kowalski T, </w:t>
      </w:r>
      <w:proofErr w:type="spellStart"/>
      <w:r w:rsidRPr="00472719">
        <w:rPr>
          <w:rFonts w:ascii="Book Antiqua" w:hAnsi="Book Antiqua" w:cs="宋体"/>
          <w:color w:val="000000"/>
        </w:rPr>
        <w:t>Eloubeidi</w:t>
      </w:r>
      <w:proofErr w:type="spellEnd"/>
      <w:r w:rsidRPr="00472719">
        <w:rPr>
          <w:rFonts w:ascii="Book Antiqua" w:hAnsi="Book Antiqua" w:cs="宋体"/>
          <w:color w:val="000000"/>
        </w:rPr>
        <w:t xml:space="preserve"> MA. Outcomes of EUS-guided drainage of debris-containing pancreatic </w:t>
      </w:r>
      <w:proofErr w:type="spellStart"/>
      <w:r w:rsidRPr="00472719">
        <w:rPr>
          <w:rFonts w:ascii="Book Antiqua" w:hAnsi="Book Antiqua" w:cs="宋体"/>
          <w:color w:val="000000"/>
        </w:rPr>
        <w:t>pseudocysts</w:t>
      </w:r>
      <w:proofErr w:type="spellEnd"/>
      <w:r w:rsidRPr="00472719">
        <w:rPr>
          <w:rFonts w:ascii="Book Antiqua" w:hAnsi="Book Antiqua" w:cs="宋体"/>
          <w:color w:val="000000"/>
        </w:rPr>
        <w:t xml:space="preserve"> by using combined </w:t>
      </w:r>
      <w:proofErr w:type="spellStart"/>
      <w:r w:rsidRPr="00472719">
        <w:rPr>
          <w:rFonts w:ascii="Book Antiqua" w:hAnsi="Book Antiqua" w:cs="宋体"/>
          <w:color w:val="000000"/>
        </w:rPr>
        <w:t>endoprosthesis</w:t>
      </w:r>
      <w:proofErr w:type="spellEnd"/>
      <w:r w:rsidRPr="00472719">
        <w:rPr>
          <w:rFonts w:ascii="Book Antiqua" w:hAnsi="Book Antiqua" w:cs="宋体"/>
          <w:color w:val="000000"/>
        </w:rPr>
        <w:t xml:space="preserve"> and a </w:t>
      </w:r>
      <w:proofErr w:type="spellStart"/>
      <w:r w:rsidRPr="00472719">
        <w:rPr>
          <w:rFonts w:ascii="Book Antiqua" w:hAnsi="Book Antiqua" w:cs="宋体"/>
          <w:color w:val="000000"/>
        </w:rPr>
        <w:t>nasocystic</w:t>
      </w:r>
      <w:proofErr w:type="spellEnd"/>
      <w:r w:rsidRPr="00472719">
        <w:rPr>
          <w:rFonts w:ascii="Book Antiqua" w:hAnsi="Book Antiqua" w:cs="宋体"/>
          <w:color w:val="000000"/>
        </w:rPr>
        <w:t xml:space="preserve"> drain.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2013; </w:t>
      </w:r>
      <w:r w:rsidRPr="00472719">
        <w:rPr>
          <w:rFonts w:ascii="Book Antiqua" w:hAnsi="Book Antiqua" w:cs="宋体"/>
          <w:b/>
          <w:bCs/>
          <w:color w:val="000000"/>
        </w:rPr>
        <w:t>78</w:t>
      </w:r>
      <w:r w:rsidRPr="00472719">
        <w:rPr>
          <w:rFonts w:ascii="Book Antiqua" w:hAnsi="Book Antiqua" w:cs="宋体"/>
          <w:color w:val="000000"/>
        </w:rPr>
        <w:t>: 589-595 [PMID: 23660566 DOI: 10.1016/j.gie.2013.03.1337]</w:t>
      </w:r>
    </w:p>
    <w:p w14:paraId="3B1715FA"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olor w:val="000000"/>
        </w:rPr>
        <w:t>26</w:t>
      </w:r>
      <w:r w:rsidRPr="00472719">
        <w:rPr>
          <w:rFonts w:ascii="Book Antiqua" w:hAnsi="Book Antiqua"/>
          <w:b/>
          <w:color w:val="000000"/>
        </w:rPr>
        <w:t xml:space="preserve"> Due SL</w:t>
      </w:r>
      <w:r w:rsidRPr="00472719">
        <w:rPr>
          <w:rFonts w:ascii="Book Antiqua" w:hAnsi="Book Antiqua"/>
          <w:color w:val="000000"/>
        </w:rPr>
        <w:t xml:space="preserve">, Wilson TG, Chung A, Chen JWC. Endoscopic cyst-gastrostomy for pancreatic </w:t>
      </w:r>
      <w:proofErr w:type="spellStart"/>
      <w:r w:rsidRPr="00472719">
        <w:rPr>
          <w:rFonts w:ascii="Book Antiqua" w:hAnsi="Book Antiqua"/>
          <w:color w:val="000000"/>
        </w:rPr>
        <w:t>pseudocysts</w:t>
      </w:r>
      <w:proofErr w:type="spellEnd"/>
      <w:r w:rsidRPr="00472719">
        <w:rPr>
          <w:rFonts w:ascii="Book Antiqua" w:hAnsi="Book Antiqua"/>
          <w:color w:val="000000"/>
        </w:rPr>
        <w:t>: refining the indications.</w:t>
      </w:r>
      <w:r w:rsidRPr="00472719">
        <w:rPr>
          <w:rStyle w:val="apple-converted-space"/>
          <w:rFonts w:ascii="Book Antiqua" w:hAnsi="Book Antiqua"/>
          <w:color w:val="000000"/>
        </w:rPr>
        <w:t> </w:t>
      </w:r>
      <w:r w:rsidRPr="00472719">
        <w:rPr>
          <w:rFonts w:ascii="Book Antiqua" w:hAnsi="Book Antiqua"/>
          <w:i/>
          <w:iCs/>
          <w:color w:val="000000"/>
        </w:rPr>
        <w:t xml:space="preserve">ANZ J </w:t>
      </w:r>
      <w:proofErr w:type="spellStart"/>
      <w:r w:rsidRPr="00472719">
        <w:rPr>
          <w:rFonts w:ascii="Book Antiqua" w:hAnsi="Book Antiqua"/>
          <w:i/>
          <w:iCs/>
          <w:color w:val="000000"/>
        </w:rPr>
        <w:t>Surg</w:t>
      </w:r>
      <w:proofErr w:type="spellEnd"/>
      <w:r w:rsidRPr="00472719">
        <w:rPr>
          <w:rStyle w:val="apple-converted-space"/>
          <w:rFonts w:ascii="Book Antiqua" w:hAnsi="Book Antiqua"/>
          <w:color w:val="000000"/>
        </w:rPr>
        <w:t> </w:t>
      </w:r>
      <w:r w:rsidRPr="00472719">
        <w:rPr>
          <w:rFonts w:ascii="Book Antiqua" w:hAnsi="Book Antiqua"/>
          <w:color w:val="000000"/>
        </w:rPr>
        <w:t>2014</w:t>
      </w:r>
      <w:proofErr w:type="gramStart"/>
      <w:r w:rsidRPr="00472719">
        <w:rPr>
          <w:rFonts w:ascii="Book Antiqua" w:hAnsi="Book Antiqua"/>
          <w:color w:val="000000"/>
        </w:rPr>
        <w:t>;</w:t>
      </w:r>
      <w:r w:rsidRPr="00472719">
        <w:rPr>
          <w:rStyle w:val="apple-converted-space"/>
          <w:rFonts w:ascii="Book Antiqua" w:hAnsi="Book Antiqua"/>
          <w:color w:val="000000"/>
        </w:rPr>
        <w:t> </w:t>
      </w:r>
      <w:r w:rsidRPr="00472719">
        <w:rPr>
          <w:rFonts w:ascii="Book Antiqua" w:hAnsi="Book Antiqua"/>
          <w:color w:val="000000"/>
        </w:rPr>
        <w:t>:</w:t>
      </w:r>
      <w:proofErr w:type="gramEnd"/>
      <w:r w:rsidRPr="00472719">
        <w:rPr>
          <w:rFonts w:ascii="Book Antiqua" w:hAnsi="Book Antiqua"/>
          <w:color w:val="000000"/>
        </w:rPr>
        <w:t xml:space="preserve"> [PMID: 24801660 DOI: 10.1111/ans.12648]</w:t>
      </w:r>
    </w:p>
    <w:p w14:paraId="7FB2E43E"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27 </w:t>
      </w:r>
      <w:proofErr w:type="spellStart"/>
      <w:r w:rsidRPr="00472719">
        <w:rPr>
          <w:rFonts w:ascii="Book Antiqua" w:hAnsi="Book Antiqua" w:cs="宋体"/>
          <w:b/>
          <w:bCs/>
          <w:color w:val="000000"/>
        </w:rPr>
        <w:t>Fabbri</w:t>
      </w:r>
      <w:proofErr w:type="spellEnd"/>
      <w:r w:rsidRPr="00472719">
        <w:rPr>
          <w:rFonts w:ascii="Book Antiqua" w:hAnsi="Book Antiqua" w:cs="宋体"/>
          <w:b/>
          <w:bCs/>
          <w:color w:val="000000"/>
        </w:rPr>
        <w:t xml:space="preserve"> C</w:t>
      </w:r>
      <w:r w:rsidRPr="00472719">
        <w:rPr>
          <w:rFonts w:ascii="Book Antiqua" w:hAnsi="Book Antiqua" w:cs="宋体"/>
          <w:color w:val="000000"/>
        </w:rPr>
        <w:t xml:space="preserve">, </w:t>
      </w:r>
      <w:proofErr w:type="spellStart"/>
      <w:r w:rsidRPr="00472719">
        <w:rPr>
          <w:rFonts w:ascii="Book Antiqua" w:hAnsi="Book Antiqua" w:cs="宋体"/>
          <w:color w:val="000000"/>
        </w:rPr>
        <w:t>Luigiano</w:t>
      </w:r>
      <w:proofErr w:type="spellEnd"/>
      <w:r w:rsidRPr="00472719">
        <w:rPr>
          <w:rFonts w:ascii="Book Antiqua" w:hAnsi="Book Antiqua" w:cs="宋体"/>
          <w:color w:val="000000"/>
        </w:rPr>
        <w:t xml:space="preserve"> C, </w:t>
      </w:r>
      <w:proofErr w:type="spellStart"/>
      <w:r w:rsidRPr="00472719">
        <w:rPr>
          <w:rFonts w:ascii="Book Antiqua" w:hAnsi="Book Antiqua" w:cs="宋体"/>
          <w:color w:val="000000"/>
        </w:rPr>
        <w:t>Cennamo</w:t>
      </w:r>
      <w:proofErr w:type="spellEnd"/>
      <w:r w:rsidRPr="00472719">
        <w:rPr>
          <w:rFonts w:ascii="Book Antiqua" w:hAnsi="Book Antiqua" w:cs="宋体"/>
          <w:color w:val="000000"/>
        </w:rPr>
        <w:t xml:space="preserve"> V, </w:t>
      </w:r>
      <w:proofErr w:type="spellStart"/>
      <w:r w:rsidRPr="00472719">
        <w:rPr>
          <w:rFonts w:ascii="Book Antiqua" w:hAnsi="Book Antiqua" w:cs="宋体"/>
          <w:color w:val="000000"/>
        </w:rPr>
        <w:t>Polifemo</w:t>
      </w:r>
      <w:proofErr w:type="spellEnd"/>
      <w:r w:rsidRPr="00472719">
        <w:rPr>
          <w:rFonts w:ascii="Book Antiqua" w:hAnsi="Book Antiqua" w:cs="宋体"/>
          <w:color w:val="000000"/>
        </w:rPr>
        <w:t xml:space="preserve"> AM, Barresi L, </w:t>
      </w:r>
      <w:proofErr w:type="spellStart"/>
      <w:r w:rsidRPr="00472719">
        <w:rPr>
          <w:rFonts w:ascii="Book Antiqua" w:hAnsi="Book Antiqua" w:cs="宋体"/>
          <w:color w:val="000000"/>
        </w:rPr>
        <w:t>Jovine</w:t>
      </w:r>
      <w:proofErr w:type="spellEnd"/>
      <w:r w:rsidRPr="00472719">
        <w:rPr>
          <w:rFonts w:ascii="Book Antiqua" w:hAnsi="Book Antiqua" w:cs="宋体"/>
          <w:color w:val="000000"/>
        </w:rPr>
        <w:t xml:space="preserve"> E, </w:t>
      </w:r>
      <w:proofErr w:type="spellStart"/>
      <w:r w:rsidRPr="00472719">
        <w:rPr>
          <w:rFonts w:ascii="Book Antiqua" w:hAnsi="Book Antiqua" w:cs="宋体"/>
          <w:color w:val="000000"/>
        </w:rPr>
        <w:t>Traina</w:t>
      </w:r>
      <w:proofErr w:type="spellEnd"/>
      <w:r w:rsidRPr="00472719">
        <w:rPr>
          <w:rFonts w:ascii="Book Antiqua" w:hAnsi="Book Antiqua" w:cs="宋体"/>
          <w:color w:val="000000"/>
        </w:rPr>
        <w:t xml:space="preserve"> M, </w:t>
      </w:r>
      <w:proofErr w:type="spellStart"/>
      <w:r w:rsidRPr="00472719">
        <w:rPr>
          <w:rFonts w:ascii="Book Antiqua" w:hAnsi="Book Antiqua" w:cs="宋体"/>
          <w:color w:val="000000"/>
        </w:rPr>
        <w:t>D'Imperio</w:t>
      </w:r>
      <w:proofErr w:type="spellEnd"/>
      <w:r w:rsidRPr="00472719">
        <w:rPr>
          <w:rFonts w:ascii="Book Antiqua" w:hAnsi="Book Antiqua" w:cs="宋体"/>
          <w:color w:val="000000"/>
        </w:rPr>
        <w:t xml:space="preserve"> N, Tarantino I. Endoscopic ultrasound-guided transmural drainage of infected pancreatic fluid collections with placement of covered self-expanding metal stents: a case series. </w:t>
      </w:r>
      <w:r w:rsidRPr="00472719">
        <w:rPr>
          <w:rFonts w:ascii="Book Antiqua" w:hAnsi="Book Antiqua" w:cs="宋体"/>
          <w:i/>
          <w:iCs/>
          <w:color w:val="000000"/>
        </w:rPr>
        <w:t>Endoscopy</w:t>
      </w:r>
      <w:r w:rsidRPr="00472719">
        <w:rPr>
          <w:rFonts w:ascii="Book Antiqua" w:hAnsi="Book Antiqua" w:cs="宋体"/>
          <w:color w:val="000000"/>
        </w:rPr>
        <w:t> 2012; </w:t>
      </w:r>
      <w:r w:rsidRPr="00472719">
        <w:rPr>
          <w:rFonts w:ascii="Book Antiqua" w:hAnsi="Book Antiqua" w:cs="宋体"/>
          <w:b/>
          <w:bCs/>
          <w:color w:val="000000"/>
        </w:rPr>
        <w:t>44</w:t>
      </w:r>
      <w:r w:rsidRPr="00472719">
        <w:rPr>
          <w:rFonts w:ascii="Book Antiqua" w:hAnsi="Book Antiqua" w:cs="宋体"/>
          <w:color w:val="000000"/>
        </w:rPr>
        <w:t>: 429-433 [PMID: 22382852 DOI: 10.1055/s-0031-1291624]</w:t>
      </w:r>
    </w:p>
    <w:p w14:paraId="0CEB2938"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28 </w:t>
      </w:r>
      <w:proofErr w:type="spellStart"/>
      <w:r w:rsidRPr="00472719">
        <w:rPr>
          <w:rFonts w:ascii="Book Antiqua" w:hAnsi="Book Antiqua" w:cs="宋体"/>
          <w:b/>
          <w:bCs/>
          <w:color w:val="000000"/>
        </w:rPr>
        <w:t>Talreja</w:t>
      </w:r>
      <w:proofErr w:type="spellEnd"/>
      <w:r w:rsidRPr="00472719">
        <w:rPr>
          <w:rFonts w:ascii="Book Antiqua" w:hAnsi="Book Antiqua" w:cs="宋体"/>
          <w:b/>
          <w:bCs/>
          <w:color w:val="000000"/>
        </w:rPr>
        <w:t xml:space="preserve"> JP</w:t>
      </w:r>
      <w:r w:rsidRPr="00472719">
        <w:rPr>
          <w:rFonts w:ascii="Book Antiqua" w:hAnsi="Book Antiqua" w:cs="宋体"/>
          <w:color w:val="000000"/>
        </w:rPr>
        <w:t xml:space="preserve">, </w:t>
      </w:r>
      <w:proofErr w:type="spellStart"/>
      <w:r w:rsidRPr="00472719">
        <w:rPr>
          <w:rFonts w:ascii="Book Antiqua" w:hAnsi="Book Antiqua" w:cs="宋体"/>
          <w:color w:val="000000"/>
        </w:rPr>
        <w:t>Shami</w:t>
      </w:r>
      <w:proofErr w:type="spellEnd"/>
      <w:r w:rsidRPr="00472719">
        <w:rPr>
          <w:rFonts w:ascii="Book Antiqua" w:hAnsi="Book Antiqua" w:cs="宋体"/>
          <w:color w:val="000000"/>
        </w:rPr>
        <w:t xml:space="preserve"> VM, Ku J, Morris TD, Ellen K, </w:t>
      </w:r>
      <w:proofErr w:type="spellStart"/>
      <w:r w:rsidRPr="00472719">
        <w:rPr>
          <w:rFonts w:ascii="Book Antiqua" w:hAnsi="Book Antiqua" w:cs="宋体"/>
          <w:color w:val="000000"/>
        </w:rPr>
        <w:t>Kahaleh</w:t>
      </w:r>
      <w:proofErr w:type="spellEnd"/>
      <w:r w:rsidRPr="00472719">
        <w:rPr>
          <w:rFonts w:ascii="Book Antiqua" w:hAnsi="Book Antiqua" w:cs="宋体"/>
          <w:color w:val="000000"/>
        </w:rPr>
        <w:t xml:space="preserve"> M. </w:t>
      </w:r>
      <w:proofErr w:type="spellStart"/>
      <w:r w:rsidRPr="00472719">
        <w:rPr>
          <w:rFonts w:ascii="Book Antiqua" w:hAnsi="Book Antiqua" w:cs="宋体"/>
          <w:color w:val="000000"/>
        </w:rPr>
        <w:t>Transenteric</w:t>
      </w:r>
      <w:proofErr w:type="spellEnd"/>
      <w:r w:rsidRPr="00472719">
        <w:rPr>
          <w:rFonts w:ascii="Book Antiqua" w:hAnsi="Book Antiqua" w:cs="宋体"/>
          <w:color w:val="000000"/>
        </w:rPr>
        <w:t xml:space="preserve"> drainage of pancreatic-fluid collections with fully covered self-expanding </w:t>
      </w:r>
      <w:r w:rsidRPr="00472719">
        <w:rPr>
          <w:rFonts w:ascii="Book Antiqua" w:hAnsi="Book Antiqua" w:cs="宋体"/>
          <w:color w:val="000000"/>
        </w:rPr>
        <w:lastRenderedPageBreak/>
        <w:t>metallic stents (with video).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2008; </w:t>
      </w:r>
      <w:r w:rsidRPr="00472719">
        <w:rPr>
          <w:rFonts w:ascii="Book Antiqua" w:hAnsi="Book Antiqua" w:cs="宋体"/>
          <w:b/>
          <w:bCs/>
          <w:color w:val="000000"/>
        </w:rPr>
        <w:t>68</w:t>
      </w:r>
      <w:r w:rsidRPr="00472719">
        <w:rPr>
          <w:rFonts w:ascii="Book Antiqua" w:hAnsi="Book Antiqua" w:cs="宋体"/>
          <w:color w:val="000000"/>
        </w:rPr>
        <w:t>: 1199-1203 [PMID: 19028232 DOI: 10.1016/j.gie.2008.06.015]</w:t>
      </w:r>
    </w:p>
    <w:p w14:paraId="34990536"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29 </w:t>
      </w:r>
      <w:r w:rsidRPr="00472719">
        <w:rPr>
          <w:rFonts w:ascii="Book Antiqua" w:hAnsi="Book Antiqua" w:cs="宋体"/>
          <w:b/>
          <w:bCs/>
          <w:color w:val="000000"/>
        </w:rPr>
        <w:t>Penn DE</w:t>
      </w:r>
      <w:r w:rsidRPr="00472719">
        <w:rPr>
          <w:rFonts w:ascii="Book Antiqua" w:hAnsi="Book Antiqua" w:cs="宋体"/>
          <w:color w:val="000000"/>
        </w:rPr>
        <w:t xml:space="preserve">, </w:t>
      </w:r>
      <w:proofErr w:type="spellStart"/>
      <w:r w:rsidRPr="00472719">
        <w:rPr>
          <w:rFonts w:ascii="Book Antiqua" w:hAnsi="Book Antiqua" w:cs="宋体"/>
          <w:color w:val="000000"/>
        </w:rPr>
        <w:t>Draganov</w:t>
      </w:r>
      <w:proofErr w:type="spellEnd"/>
      <w:r w:rsidRPr="00472719">
        <w:rPr>
          <w:rFonts w:ascii="Book Antiqua" w:hAnsi="Book Antiqua" w:cs="宋体"/>
          <w:color w:val="000000"/>
        </w:rPr>
        <w:t xml:space="preserve"> PV, </w:t>
      </w:r>
      <w:proofErr w:type="spellStart"/>
      <w:r w:rsidRPr="00472719">
        <w:rPr>
          <w:rFonts w:ascii="Book Antiqua" w:hAnsi="Book Antiqua" w:cs="宋体"/>
          <w:color w:val="000000"/>
        </w:rPr>
        <w:t>Wagh</w:t>
      </w:r>
      <w:proofErr w:type="spellEnd"/>
      <w:r w:rsidRPr="00472719">
        <w:rPr>
          <w:rFonts w:ascii="Book Antiqua" w:hAnsi="Book Antiqua" w:cs="宋体"/>
          <w:color w:val="000000"/>
        </w:rPr>
        <w:t xml:space="preserve"> MS, </w:t>
      </w:r>
      <w:proofErr w:type="spellStart"/>
      <w:r w:rsidRPr="00472719">
        <w:rPr>
          <w:rFonts w:ascii="Book Antiqua" w:hAnsi="Book Antiqua" w:cs="宋体"/>
          <w:color w:val="000000"/>
        </w:rPr>
        <w:t>Forsmark</w:t>
      </w:r>
      <w:proofErr w:type="spellEnd"/>
      <w:r w:rsidRPr="00472719">
        <w:rPr>
          <w:rFonts w:ascii="Book Antiqua" w:hAnsi="Book Antiqua" w:cs="宋体"/>
          <w:color w:val="000000"/>
        </w:rPr>
        <w:t xml:space="preserve"> CE, </w:t>
      </w:r>
      <w:proofErr w:type="spellStart"/>
      <w:r w:rsidRPr="00472719">
        <w:rPr>
          <w:rFonts w:ascii="Book Antiqua" w:hAnsi="Book Antiqua" w:cs="宋体"/>
          <w:color w:val="000000"/>
        </w:rPr>
        <w:t>Gupte</w:t>
      </w:r>
      <w:proofErr w:type="spellEnd"/>
      <w:r w:rsidRPr="00472719">
        <w:rPr>
          <w:rFonts w:ascii="Book Antiqua" w:hAnsi="Book Antiqua" w:cs="宋体"/>
          <w:color w:val="000000"/>
        </w:rPr>
        <w:t xml:space="preserve"> AR, Chauhan SS. Prospective evaluation of the use of fully covered self-expanding metal stents for EUS-guided transmural drainage of pancreatic </w:t>
      </w:r>
      <w:proofErr w:type="spellStart"/>
      <w:r w:rsidRPr="00472719">
        <w:rPr>
          <w:rFonts w:ascii="Book Antiqua" w:hAnsi="Book Antiqua" w:cs="宋体"/>
          <w:color w:val="000000"/>
        </w:rPr>
        <w:t>pseudocysts</w:t>
      </w:r>
      <w:proofErr w:type="spellEnd"/>
      <w:r w:rsidRPr="00472719">
        <w:rPr>
          <w:rFonts w:ascii="Book Antiqua" w:hAnsi="Book Antiqua" w:cs="宋体"/>
          <w:color w:val="000000"/>
        </w:rPr>
        <w:t>.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2012; </w:t>
      </w:r>
      <w:r w:rsidRPr="00472719">
        <w:rPr>
          <w:rFonts w:ascii="Book Antiqua" w:hAnsi="Book Antiqua" w:cs="宋体"/>
          <w:b/>
          <w:bCs/>
          <w:color w:val="000000"/>
        </w:rPr>
        <w:t>76</w:t>
      </w:r>
      <w:r w:rsidRPr="00472719">
        <w:rPr>
          <w:rFonts w:ascii="Book Antiqua" w:hAnsi="Book Antiqua" w:cs="宋体"/>
          <w:color w:val="000000"/>
        </w:rPr>
        <w:t>: 679-684 [PMID: 22732874 DOI: 10.1016/j.gie.2012.04.457]</w:t>
      </w:r>
    </w:p>
    <w:p w14:paraId="6D69C779"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30 </w:t>
      </w:r>
      <w:proofErr w:type="spellStart"/>
      <w:r w:rsidRPr="00472719">
        <w:rPr>
          <w:rFonts w:ascii="Book Antiqua" w:hAnsi="Book Antiqua" w:cs="宋体"/>
          <w:b/>
          <w:bCs/>
          <w:color w:val="000000"/>
        </w:rPr>
        <w:t>Weilert</w:t>
      </w:r>
      <w:proofErr w:type="spellEnd"/>
      <w:r w:rsidRPr="00472719">
        <w:rPr>
          <w:rFonts w:ascii="Book Antiqua" w:hAnsi="Book Antiqua" w:cs="宋体"/>
          <w:b/>
          <w:bCs/>
          <w:color w:val="000000"/>
        </w:rPr>
        <w:t xml:space="preserve"> F</w:t>
      </w:r>
      <w:r w:rsidRPr="00472719">
        <w:rPr>
          <w:rFonts w:ascii="Book Antiqua" w:hAnsi="Book Antiqua" w:cs="宋体"/>
          <w:color w:val="000000"/>
        </w:rPr>
        <w:t xml:space="preserve">, </w:t>
      </w:r>
      <w:proofErr w:type="spellStart"/>
      <w:r w:rsidRPr="00472719">
        <w:rPr>
          <w:rFonts w:ascii="Book Antiqua" w:hAnsi="Book Antiqua" w:cs="宋体"/>
          <w:color w:val="000000"/>
        </w:rPr>
        <w:t>Binmoeller</w:t>
      </w:r>
      <w:proofErr w:type="spellEnd"/>
      <w:r w:rsidRPr="00472719">
        <w:rPr>
          <w:rFonts w:ascii="Book Antiqua" w:hAnsi="Book Antiqua" w:cs="宋体"/>
          <w:color w:val="000000"/>
        </w:rPr>
        <w:t xml:space="preserve"> KF, Shah JN, Bhat YM, Kane S. Endoscopic ultrasound-guided drainage of pancreatic fluid collections with indeterminate adherence using temporary covered metal stents. </w:t>
      </w:r>
      <w:r w:rsidRPr="00472719">
        <w:rPr>
          <w:rFonts w:ascii="Book Antiqua" w:hAnsi="Book Antiqua" w:cs="宋体"/>
          <w:i/>
          <w:iCs/>
          <w:color w:val="000000"/>
        </w:rPr>
        <w:t>Endoscopy</w:t>
      </w:r>
      <w:r w:rsidRPr="00472719">
        <w:rPr>
          <w:rFonts w:ascii="Book Antiqua" w:hAnsi="Book Antiqua" w:cs="宋体"/>
          <w:color w:val="000000"/>
        </w:rPr>
        <w:t> 2012; </w:t>
      </w:r>
      <w:r w:rsidRPr="00472719">
        <w:rPr>
          <w:rFonts w:ascii="Book Antiqua" w:hAnsi="Book Antiqua" w:cs="宋体"/>
          <w:b/>
          <w:bCs/>
          <w:color w:val="000000"/>
        </w:rPr>
        <w:t>44</w:t>
      </w:r>
      <w:r w:rsidRPr="00472719">
        <w:rPr>
          <w:rFonts w:ascii="Book Antiqua" w:hAnsi="Book Antiqua" w:cs="宋体"/>
          <w:color w:val="000000"/>
        </w:rPr>
        <w:t>: 780-783 [PMID: 22791588 DOI: 10.1055/s-0032-1309839]</w:t>
      </w:r>
    </w:p>
    <w:p w14:paraId="0E166B84"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31 </w:t>
      </w:r>
      <w:proofErr w:type="spellStart"/>
      <w:r w:rsidRPr="00472719">
        <w:rPr>
          <w:rFonts w:ascii="Book Antiqua" w:hAnsi="Book Antiqua" w:cs="宋体"/>
          <w:b/>
          <w:bCs/>
          <w:color w:val="000000"/>
        </w:rPr>
        <w:t>Berzosa</w:t>
      </w:r>
      <w:proofErr w:type="spellEnd"/>
      <w:r w:rsidRPr="00472719">
        <w:rPr>
          <w:rFonts w:ascii="Book Antiqua" w:hAnsi="Book Antiqua" w:cs="宋体"/>
          <w:b/>
          <w:bCs/>
          <w:color w:val="000000"/>
        </w:rPr>
        <w:t xml:space="preserve"> M</w:t>
      </w:r>
      <w:r w:rsidRPr="00472719">
        <w:rPr>
          <w:rFonts w:ascii="Book Antiqua" w:hAnsi="Book Antiqua" w:cs="宋体"/>
          <w:color w:val="000000"/>
        </w:rPr>
        <w:t xml:space="preserve">, </w:t>
      </w:r>
      <w:proofErr w:type="spellStart"/>
      <w:r w:rsidRPr="00472719">
        <w:rPr>
          <w:rFonts w:ascii="Book Antiqua" w:hAnsi="Book Antiqua" w:cs="宋体"/>
          <w:color w:val="000000"/>
        </w:rPr>
        <w:t>Maheshwari</w:t>
      </w:r>
      <w:proofErr w:type="spellEnd"/>
      <w:r w:rsidRPr="00472719">
        <w:rPr>
          <w:rFonts w:ascii="Book Antiqua" w:hAnsi="Book Antiqua" w:cs="宋体"/>
          <w:color w:val="000000"/>
        </w:rPr>
        <w:t xml:space="preserve"> S, Patel KK, </w:t>
      </w:r>
      <w:proofErr w:type="spellStart"/>
      <w:r w:rsidRPr="00472719">
        <w:rPr>
          <w:rFonts w:ascii="Book Antiqua" w:hAnsi="Book Antiqua" w:cs="宋体"/>
          <w:color w:val="000000"/>
        </w:rPr>
        <w:t>Shaib</w:t>
      </w:r>
      <w:proofErr w:type="spellEnd"/>
      <w:r w:rsidRPr="00472719">
        <w:rPr>
          <w:rFonts w:ascii="Book Antiqua" w:hAnsi="Book Antiqua" w:cs="宋体"/>
          <w:color w:val="000000"/>
        </w:rPr>
        <w:t xml:space="preserve"> YH. </w:t>
      </w:r>
      <w:proofErr w:type="gramStart"/>
      <w:r w:rsidRPr="00472719">
        <w:rPr>
          <w:rFonts w:ascii="Book Antiqua" w:hAnsi="Book Antiqua" w:cs="宋体"/>
          <w:color w:val="000000"/>
        </w:rPr>
        <w:t xml:space="preserve">Single-step endoscopic ultrasonography-guided drainage of </w:t>
      </w:r>
      <w:proofErr w:type="spellStart"/>
      <w:r w:rsidRPr="00472719">
        <w:rPr>
          <w:rFonts w:ascii="Book Antiqua" w:hAnsi="Book Antiqua" w:cs="宋体"/>
          <w:color w:val="000000"/>
        </w:rPr>
        <w:t>peripancreatic</w:t>
      </w:r>
      <w:proofErr w:type="spellEnd"/>
      <w:r w:rsidRPr="00472719">
        <w:rPr>
          <w:rFonts w:ascii="Book Antiqua" w:hAnsi="Book Antiqua" w:cs="宋体"/>
          <w:color w:val="000000"/>
        </w:rPr>
        <w:t xml:space="preserve"> fluid collections with a single self-expandable metal stent and standard linear </w:t>
      </w:r>
      <w:proofErr w:type="spellStart"/>
      <w:r w:rsidRPr="00472719">
        <w:rPr>
          <w:rFonts w:ascii="Book Antiqua" w:hAnsi="Book Antiqua" w:cs="宋体"/>
          <w:color w:val="000000"/>
        </w:rPr>
        <w:t>echoendoscope</w:t>
      </w:r>
      <w:proofErr w:type="spellEnd"/>
      <w:r w:rsidRPr="00472719">
        <w:rPr>
          <w:rFonts w:ascii="Book Antiqua" w:hAnsi="Book Antiqua" w:cs="宋体"/>
          <w:color w:val="000000"/>
        </w:rPr>
        <w:t>.</w:t>
      </w:r>
      <w:proofErr w:type="gramEnd"/>
      <w:r w:rsidRPr="00472719">
        <w:rPr>
          <w:rFonts w:ascii="Book Antiqua" w:hAnsi="Book Antiqua" w:cs="宋体"/>
          <w:color w:val="000000"/>
        </w:rPr>
        <w:t> </w:t>
      </w:r>
      <w:r w:rsidRPr="00472719">
        <w:rPr>
          <w:rFonts w:ascii="Book Antiqua" w:hAnsi="Book Antiqua" w:cs="宋体"/>
          <w:i/>
          <w:iCs/>
          <w:color w:val="000000"/>
        </w:rPr>
        <w:t>Endoscopy</w:t>
      </w:r>
      <w:r w:rsidRPr="00472719">
        <w:rPr>
          <w:rFonts w:ascii="Book Antiqua" w:hAnsi="Book Antiqua" w:cs="宋体"/>
          <w:color w:val="000000"/>
        </w:rPr>
        <w:t> 2012; </w:t>
      </w:r>
      <w:r w:rsidRPr="00472719">
        <w:rPr>
          <w:rFonts w:ascii="Book Antiqua" w:hAnsi="Book Antiqua" w:cs="宋体"/>
          <w:b/>
          <w:bCs/>
          <w:color w:val="000000"/>
        </w:rPr>
        <w:t>44</w:t>
      </w:r>
      <w:r w:rsidRPr="00472719">
        <w:rPr>
          <w:rFonts w:ascii="Book Antiqua" w:hAnsi="Book Antiqua" w:cs="宋体"/>
          <w:color w:val="000000"/>
        </w:rPr>
        <w:t>: 543-547 [PMID: 22407382 DOI: 10.1055/s-0031-1291710]</w:t>
      </w:r>
    </w:p>
    <w:p w14:paraId="0D27527D"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32 </w:t>
      </w:r>
      <w:proofErr w:type="spellStart"/>
      <w:r w:rsidRPr="00472719">
        <w:rPr>
          <w:rFonts w:ascii="Book Antiqua" w:hAnsi="Book Antiqua" w:cs="宋体"/>
          <w:b/>
          <w:bCs/>
          <w:color w:val="000000"/>
        </w:rPr>
        <w:t>Itoi</w:t>
      </w:r>
      <w:proofErr w:type="spellEnd"/>
      <w:r w:rsidRPr="00472719">
        <w:rPr>
          <w:rFonts w:ascii="Book Antiqua" w:hAnsi="Book Antiqua" w:cs="宋体"/>
          <w:b/>
          <w:bCs/>
          <w:color w:val="000000"/>
        </w:rPr>
        <w:t xml:space="preserve"> T</w:t>
      </w:r>
      <w:r w:rsidRPr="00472719">
        <w:rPr>
          <w:rFonts w:ascii="Book Antiqua" w:hAnsi="Book Antiqua" w:cs="宋体"/>
          <w:color w:val="000000"/>
        </w:rPr>
        <w:t xml:space="preserve">, </w:t>
      </w:r>
      <w:proofErr w:type="spellStart"/>
      <w:r w:rsidRPr="00472719">
        <w:rPr>
          <w:rFonts w:ascii="Book Antiqua" w:hAnsi="Book Antiqua" w:cs="宋体"/>
          <w:color w:val="000000"/>
        </w:rPr>
        <w:t>Binmoeller</w:t>
      </w:r>
      <w:proofErr w:type="spellEnd"/>
      <w:r w:rsidRPr="00472719">
        <w:rPr>
          <w:rFonts w:ascii="Book Antiqua" w:hAnsi="Book Antiqua" w:cs="宋体"/>
          <w:color w:val="000000"/>
        </w:rPr>
        <w:t xml:space="preserve"> KF, Shah J, </w:t>
      </w:r>
      <w:proofErr w:type="spellStart"/>
      <w:r w:rsidRPr="00472719">
        <w:rPr>
          <w:rFonts w:ascii="Book Antiqua" w:hAnsi="Book Antiqua" w:cs="宋体"/>
          <w:color w:val="000000"/>
        </w:rPr>
        <w:t>Sofuni</w:t>
      </w:r>
      <w:proofErr w:type="spellEnd"/>
      <w:r w:rsidRPr="00472719">
        <w:rPr>
          <w:rFonts w:ascii="Book Antiqua" w:hAnsi="Book Antiqua" w:cs="宋体"/>
          <w:color w:val="000000"/>
        </w:rPr>
        <w:t xml:space="preserve"> A, Itokawa F, </w:t>
      </w:r>
      <w:proofErr w:type="spellStart"/>
      <w:r w:rsidRPr="00472719">
        <w:rPr>
          <w:rFonts w:ascii="Book Antiqua" w:hAnsi="Book Antiqua" w:cs="宋体"/>
          <w:color w:val="000000"/>
        </w:rPr>
        <w:t>Kurihara</w:t>
      </w:r>
      <w:proofErr w:type="spellEnd"/>
      <w:r w:rsidRPr="00472719">
        <w:rPr>
          <w:rFonts w:ascii="Book Antiqua" w:hAnsi="Book Antiqua" w:cs="宋体"/>
          <w:color w:val="000000"/>
        </w:rPr>
        <w:t xml:space="preserve"> T, Tsuchiya T, Ishii K, Tsuji S, </w:t>
      </w:r>
      <w:proofErr w:type="spellStart"/>
      <w:r w:rsidRPr="00472719">
        <w:rPr>
          <w:rFonts w:ascii="Book Antiqua" w:hAnsi="Book Antiqua" w:cs="宋体"/>
          <w:color w:val="000000"/>
        </w:rPr>
        <w:t>Ikeuchi</w:t>
      </w:r>
      <w:proofErr w:type="spellEnd"/>
      <w:r w:rsidRPr="00472719">
        <w:rPr>
          <w:rFonts w:ascii="Book Antiqua" w:hAnsi="Book Antiqua" w:cs="宋体"/>
          <w:color w:val="000000"/>
        </w:rPr>
        <w:t xml:space="preserve"> N, </w:t>
      </w:r>
      <w:proofErr w:type="spellStart"/>
      <w:r w:rsidRPr="00472719">
        <w:rPr>
          <w:rFonts w:ascii="Book Antiqua" w:hAnsi="Book Antiqua" w:cs="宋体"/>
          <w:color w:val="000000"/>
        </w:rPr>
        <w:t>Moriyasu</w:t>
      </w:r>
      <w:proofErr w:type="spellEnd"/>
      <w:r w:rsidRPr="00472719">
        <w:rPr>
          <w:rFonts w:ascii="Book Antiqua" w:hAnsi="Book Antiqua" w:cs="宋体"/>
          <w:color w:val="000000"/>
        </w:rPr>
        <w:t xml:space="preserve"> F. Clinical evaluation of a novel lumen-apposing metal stent for </w:t>
      </w:r>
      <w:proofErr w:type="spellStart"/>
      <w:r w:rsidRPr="00472719">
        <w:rPr>
          <w:rFonts w:ascii="Book Antiqua" w:hAnsi="Book Antiqua" w:cs="宋体"/>
          <w:color w:val="000000"/>
        </w:rPr>
        <w:t>endosonography</w:t>
      </w:r>
      <w:proofErr w:type="spellEnd"/>
      <w:r w:rsidRPr="00472719">
        <w:rPr>
          <w:rFonts w:ascii="Book Antiqua" w:hAnsi="Book Antiqua" w:cs="宋体"/>
          <w:color w:val="000000"/>
        </w:rPr>
        <w:t xml:space="preserve">-guided pancreatic </w:t>
      </w:r>
      <w:proofErr w:type="spellStart"/>
      <w:r w:rsidRPr="00472719">
        <w:rPr>
          <w:rFonts w:ascii="Book Antiqua" w:hAnsi="Book Antiqua" w:cs="宋体"/>
          <w:color w:val="000000"/>
        </w:rPr>
        <w:t>pseudocyst</w:t>
      </w:r>
      <w:proofErr w:type="spellEnd"/>
      <w:r w:rsidRPr="00472719">
        <w:rPr>
          <w:rFonts w:ascii="Book Antiqua" w:hAnsi="Book Antiqua" w:cs="宋体"/>
          <w:color w:val="000000"/>
        </w:rPr>
        <w:t xml:space="preserve"> and gallbladder drainage (with videos).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2012; </w:t>
      </w:r>
      <w:r w:rsidRPr="00472719">
        <w:rPr>
          <w:rFonts w:ascii="Book Antiqua" w:hAnsi="Book Antiqua" w:cs="宋体"/>
          <w:b/>
          <w:bCs/>
          <w:color w:val="000000"/>
        </w:rPr>
        <w:t>75</w:t>
      </w:r>
      <w:r w:rsidRPr="00472719">
        <w:rPr>
          <w:rFonts w:ascii="Book Antiqua" w:hAnsi="Book Antiqua" w:cs="宋体"/>
          <w:color w:val="000000"/>
        </w:rPr>
        <w:t>: 870-876 [PMID: 22301347 DOI: 10.1016/j.gie.2011.10.020]</w:t>
      </w:r>
    </w:p>
    <w:p w14:paraId="38944D58" w14:textId="7777777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33 </w:t>
      </w:r>
      <w:proofErr w:type="spellStart"/>
      <w:r w:rsidRPr="00472719">
        <w:rPr>
          <w:rFonts w:ascii="Book Antiqua" w:hAnsi="Book Antiqua" w:cs="宋体"/>
          <w:b/>
          <w:bCs/>
          <w:color w:val="000000"/>
        </w:rPr>
        <w:t>Gornals</w:t>
      </w:r>
      <w:proofErr w:type="spellEnd"/>
      <w:r w:rsidRPr="00472719">
        <w:rPr>
          <w:rFonts w:ascii="Book Antiqua" w:hAnsi="Book Antiqua" w:cs="宋体"/>
          <w:b/>
          <w:bCs/>
          <w:color w:val="000000"/>
        </w:rPr>
        <w:t xml:space="preserve"> JB</w:t>
      </w:r>
      <w:r w:rsidRPr="00472719">
        <w:rPr>
          <w:rFonts w:ascii="Book Antiqua" w:hAnsi="Book Antiqua" w:cs="宋体"/>
          <w:color w:val="000000"/>
        </w:rPr>
        <w:t>, De la Serna-</w:t>
      </w:r>
      <w:proofErr w:type="spellStart"/>
      <w:r w:rsidRPr="00472719">
        <w:rPr>
          <w:rFonts w:ascii="Book Antiqua" w:hAnsi="Book Antiqua" w:cs="宋体"/>
          <w:color w:val="000000"/>
        </w:rPr>
        <w:t>Higuera</w:t>
      </w:r>
      <w:proofErr w:type="spellEnd"/>
      <w:r w:rsidRPr="00472719">
        <w:rPr>
          <w:rFonts w:ascii="Book Antiqua" w:hAnsi="Book Antiqua" w:cs="宋体"/>
          <w:color w:val="000000"/>
        </w:rPr>
        <w:t xml:space="preserve"> C, Sánchez-</w:t>
      </w:r>
      <w:proofErr w:type="spellStart"/>
      <w:r w:rsidRPr="00472719">
        <w:rPr>
          <w:rFonts w:ascii="Book Antiqua" w:hAnsi="Book Antiqua" w:cs="宋体"/>
          <w:color w:val="000000"/>
        </w:rPr>
        <w:t>Yague</w:t>
      </w:r>
      <w:proofErr w:type="spellEnd"/>
      <w:r w:rsidRPr="00472719">
        <w:rPr>
          <w:rFonts w:ascii="Book Antiqua" w:hAnsi="Book Antiqua" w:cs="宋体"/>
          <w:color w:val="000000"/>
        </w:rPr>
        <w:t xml:space="preserve"> A, </w:t>
      </w:r>
      <w:proofErr w:type="spellStart"/>
      <w:r w:rsidRPr="00472719">
        <w:rPr>
          <w:rFonts w:ascii="Book Antiqua" w:hAnsi="Book Antiqua" w:cs="宋体"/>
          <w:color w:val="000000"/>
        </w:rPr>
        <w:t>Loras</w:t>
      </w:r>
      <w:proofErr w:type="spellEnd"/>
      <w:r w:rsidRPr="00472719">
        <w:rPr>
          <w:rFonts w:ascii="Book Antiqua" w:hAnsi="Book Antiqua" w:cs="宋体"/>
          <w:color w:val="000000"/>
        </w:rPr>
        <w:t xml:space="preserve"> C, Sánchez-Cantos AM, Pérez-Miranda M. </w:t>
      </w:r>
      <w:proofErr w:type="spellStart"/>
      <w:r w:rsidRPr="00472719">
        <w:rPr>
          <w:rFonts w:ascii="Book Antiqua" w:hAnsi="Book Antiqua" w:cs="宋体"/>
          <w:color w:val="000000"/>
        </w:rPr>
        <w:t>Endosonography</w:t>
      </w:r>
      <w:proofErr w:type="spellEnd"/>
      <w:r w:rsidRPr="00472719">
        <w:rPr>
          <w:rFonts w:ascii="Book Antiqua" w:hAnsi="Book Antiqua" w:cs="宋体"/>
          <w:color w:val="000000"/>
        </w:rPr>
        <w:t>-guided drainage of pancreatic fluid collections with a novel lumen-apposing stent. </w:t>
      </w:r>
      <w:proofErr w:type="spellStart"/>
      <w:r w:rsidRPr="00472719">
        <w:rPr>
          <w:rFonts w:ascii="Book Antiqua" w:hAnsi="Book Antiqua" w:cs="宋体"/>
          <w:i/>
          <w:iCs/>
          <w:color w:val="000000"/>
        </w:rPr>
        <w:t>Surg</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2013; </w:t>
      </w:r>
      <w:r w:rsidRPr="00472719">
        <w:rPr>
          <w:rFonts w:ascii="Book Antiqua" w:hAnsi="Book Antiqua" w:cs="宋体"/>
          <w:b/>
          <w:bCs/>
          <w:color w:val="000000"/>
        </w:rPr>
        <w:t>27</w:t>
      </w:r>
      <w:r w:rsidRPr="00472719">
        <w:rPr>
          <w:rFonts w:ascii="Book Antiqua" w:hAnsi="Book Antiqua" w:cs="宋体"/>
          <w:color w:val="000000"/>
        </w:rPr>
        <w:t>: 1428-1434 [PMID: 23232994 DOI: 10.1007/s00464-012-2591-y]</w:t>
      </w:r>
    </w:p>
    <w:p w14:paraId="29A8BA42" w14:textId="7BAAF7FE"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3</w:t>
      </w:r>
      <w:r w:rsidR="00843137">
        <w:rPr>
          <w:rFonts w:ascii="Book Antiqua" w:hAnsi="Book Antiqua" w:cs="宋体"/>
          <w:color w:val="000000"/>
        </w:rPr>
        <w:t>4</w:t>
      </w:r>
      <w:r w:rsidRPr="00472719">
        <w:rPr>
          <w:rFonts w:ascii="Book Antiqua" w:hAnsi="Book Antiqua" w:cs="宋体"/>
          <w:color w:val="000000"/>
        </w:rPr>
        <w:t xml:space="preserve"> </w:t>
      </w:r>
      <w:r w:rsidRPr="00472719">
        <w:rPr>
          <w:rFonts w:ascii="Book Antiqua" w:hAnsi="Book Antiqua" w:cs="宋体"/>
          <w:b/>
          <w:color w:val="000000"/>
        </w:rPr>
        <w:t>Navaneethan U</w:t>
      </w:r>
      <w:r w:rsidRPr="00472719">
        <w:rPr>
          <w:rFonts w:ascii="Book Antiqua" w:hAnsi="Book Antiqua" w:cs="宋体"/>
          <w:color w:val="000000"/>
        </w:rPr>
        <w:t xml:space="preserve">, </w:t>
      </w:r>
      <w:proofErr w:type="spellStart"/>
      <w:r w:rsidRPr="00472719">
        <w:rPr>
          <w:rFonts w:ascii="Book Antiqua" w:hAnsi="Book Antiqua" w:cs="宋体"/>
          <w:color w:val="000000"/>
        </w:rPr>
        <w:t>Njei</w:t>
      </w:r>
      <w:proofErr w:type="spellEnd"/>
      <w:r w:rsidRPr="00472719">
        <w:rPr>
          <w:rFonts w:ascii="Book Antiqua" w:hAnsi="Book Antiqua" w:cs="宋体"/>
          <w:color w:val="000000"/>
        </w:rPr>
        <w:t xml:space="preserve"> B, </w:t>
      </w:r>
      <w:proofErr w:type="spellStart"/>
      <w:proofErr w:type="gramStart"/>
      <w:r w:rsidRPr="00472719">
        <w:rPr>
          <w:rFonts w:ascii="Book Antiqua" w:hAnsi="Book Antiqua" w:cs="宋体"/>
          <w:color w:val="000000"/>
        </w:rPr>
        <w:t>Sanaka</w:t>
      </w:r>
      <w:proofErr w:type="spellEnd"/>
      <w:proofErr w:type="gramEnd"/>
      <w:r w:rsidRPr="00472719">
        <w:rPr>
          <w:rFonts w:ascii="Book Antiqua" w:hAnsi="Book Antiqua" w:cs="宋体"/>
          <w:color w:val="000000"/>
        </w:rPr>
        <w:t xml:space="preserve"> MR. 734 Endoscopic Transmural Drainage of Pancreatic </w:t>
      </w:r>
      <w:proofErr w:type="spellStart"/>
      <w:r w:rsidRPr="00472719">
        <w:rPr>
          <w:rFonts w:ascii="Book Antiqua" w:hAnsi="Book Antiqua" w:cs="宋体"/>
          <w:color w:val="000000"/>
        </w:rPr>
        <w:t>Pseudocysts</w:t>
      </w:r>
      <w:proofErr w:type="spellEnd"/>
      <w:r w:rsidRPr="00472719">
        <w:rPr>
          <w:rFonts w:ascii="Book Antiqua" w:hAnsi="Book Antiqua" w:cs="宋体"/>
          <w:color w:val="000000"/>
        </w:rPr>
        <w:t xml:space="preserve">: Multiple Plastic Stents Versus Metal Stents- a Systematic Review and Meta-Analysis. </w:t>
      </w:r>
      <w:proofErr w:type="spellStart"/>
      <w:r w:rsidRPr="00472719">
        <w:rPr>
          <w:rFonts w:ascii="Book Antiqua" w:hAnsi="Book Antiqua" w:cs="宋体"/>
          <w:i/>
          <w:color w:val="000000"/>
        </w:rPr>
        <w:t>Gastrointest</w:t>
      </w:r>
      <w:proofErr w:type="spellEnd"/>
      <w:r w:rsidRPr="00472719">
        <w:rPr>
          <w:rFonts w:ascii="Book Antiqua" w:hAnsi="Book Antiqua" w:cs="宋体"/>
          <w:i/>
          <w:color w:val="000000"/>
        </w:rPr>
        <w:t xml:space="preserve"> </w:t>
      </w:r>
      <w:proofErr w:type="spellStart"/>
      <w:r w:rsidRPr="00472719">
        <w:rPr>
          <w:rFonts w:ascii="Book Antiqua" w:hAnsi="Book Antiqua" w:cs="宋体"/>
          <w:i/>
          <w:color w:val="000000"/>
        </w:rPr>
        <w:t>Endosc</w:t>
      </w:r>
      <w:proofErr w:type="spellEnd"/>
      <w:r w:rsidRPr="00472719">
        <w:rPr>
          <w:rFonts w:ascii="Book Antiqua" w:hAnsi="Book Antiqua" w:cs="宋体"/>
          <w:i/>
          <w:color w:val="000000"/>
        </w:rPr>
        <w:t xml:space="preserve"> </w:t>
      </w:r>
      <w:r w:rsidRPr="00472719">
        <w:rPr>
          <w:rFonts w:ascii="Book Antiqua" w:hAnsi="Book Antiqua" w:cs="宋体"/>
          <w:color w:val="000000"/>
        </w:rPr>
        <w:t xml:space="preserve">2014; </w:t>
      </w:r>
      <w:r w:rsidRPr="00472719">
        <w:rPr>
          <w:rFonts w:ascii="Book Antiqua" w:hAnsi="Book Antiqua" w:cs="宋体"/>
          <w:b/>
          <w:color w:val="000000"/>
        </w:rPr>
        <w:t>79</w:t>
      </w:r>
      <w:r w:rsidRPr="00472719">
        <w:rPr>
          <w:rFonts w:ascii="Book Antiqua" w:hAnsi="Book Antiqua" w:cs="宋体"/>
          <w:color w:val="000000"/>
        </w:rPr>
        <w:t>: AB167–8 [DOI: 10.1016/j.gie.2014.02.171]</w:t>
      </w:r>
    </w:p>
    <w:p w14:paraId="48FE3764" w14:textId="68F8D2F7"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lastRenderedPageBreak/>
        <w:t>3</w:t>
      </w:r>
      <w:r w:rsidR="00843137">
        <w:rPr>
          <w:rFonts w:ascii="Book Antiqua" w:hAnsi="Book Antiqua" w:cs="宋体"/>
          <w:color w:val="000000"/>
        </w:rPr>
        <w:t>5</w:t>
      </w:r>
      <w:r w:rsidRPr="00472719">
        <w:rPr>
          <w:rFonts w:ascii="Book Antiqua" w:hAnsi="Book Antiqua" w:cs="宋体"/>
          <w:color w:val="000000"/>
        </w:rPr>
        <w:t> </w:t>
      </w:r>
      <w:r w:rsidRPr="00472719">
        <w:rPr>
          <w:rFonts w:ascii="Book Antiqua" w:hAnsi="Book Antiqua" w:cs="宋体"/>
          <w:b/>
          <w:bCs/>
          <w:color w:val="000000"/>
        </w:rPr>
        <w:t>Seewald S</w:t>
      </w:r>
      <w:r w:rsidRPr="00472719">
        <w:rPr>
          <w:rFonts w:ascii="Book Antiqua" w:hAnsi="Book Antiqua" w:cs="宋体"/>
          <w:color w:val="000000"/>
        </w:rPr>
        <w:t xml:space="preserve">, </w:t>
      </w:r>
      <w:proofErr w:type="spellStart"/>
      <w:r w:rsidRPr="00472719">
        <w:rPr>
          <w:rFonts w:ascii="Book Antiqua" w:hAnsi="Book Antiqua" w:cs="宋体"/>
          <w:color w:val="000000"/>
        </w:rPr>
        <w:t>Groth</w:t>
      </w:r>
      <w:proofErr w:type="spellEnd"/>
      <w:r w:rsidRPr="00472719">
        <w:rPr>
          <w:rFonts w:ascii="Book Antiqua" w:hAnsi="Book Antiqua" w:cs="宋体"/>
          <w:color w:val="000000"/>
        </w:rPr>
        <w:t xml:space="preserve"> S, Omar S, </w:t>
      </w:r>
      <w:proofErr w:type="spellStart"/>
      <w:r w:rsidRPr="00472719">
        <w:rPr>
          <w:rFonts w:ascii="Book Antiqua" w:hAnsi="Book Antiqua" w:cs="宋体"/>
          <w:color w:val="000000"/>
        </w:rPr>
        <w:t>Imazu</w:t>
      </w:r>
      <w:proofErr w:type="spellEnd"/>
      <w:r w:rsidRPr="00472719">
        <w:rPr>
          <w:rFonts w:ascii="Book Antiqua" w:hAnsi="Book Antiqua" w:cs="宋体"/>
          <w:color w:val="000000"/>
        </w:rPr>
        <w:t xml:space="preserve"> H, Seitz U, de </w:t>
      </w:r>
      <w:proofErr w:type="spellStart"/>
      <w:r w:rsidRPr="00472719">
        <w:rPr>
          <w:rFonts w:ascii="Book Antiqua" w:hAnsi="Book Antiqua" w:cs="宋体"/>
          <w:color w:val="000000"/>
        </w:rPr>
        <w:t>Weerth</w:t>
      </w:r>
      <w:proofErr w:type="spellEnd"/>
      <w:r w:rsidRPr="00472719">
        <w:rPr>
          <w:rFonts w:ascii="Book Antiqua" w:hAnsi="Book Antiqua" w:cs="宋体"/>
          <w:color w:val="000000"/>
        </w:rPr>
        <w:t xml:space="preserve"> A, </w:t>
      </w:r>
      <w:proofErr w:type="spellStart"/>
      <w:r w:rsidRPr="00472719">
        <w:rPr>
          <w:rFonts w:ascii="Book Antiqua" w:hAnsi="Book Antiqua" w:cs="宋体"/>
          <w:color w:val="000000"/>
        </w:rPr>
        <w:t>Soetikno</w:t>
      </w:r>
      <w:proofErr w:type="spellEnd"/>
      <w:r w:rsidRPr="00472719">
        <w:rPr>
          <w:rFonts w:ascii="Book Antiqua" w:hAnsi="Book Antiqua" w:cs="宋体"/>
          <w:color w:val="000000"/>
        </w:rPr>
        <w:t xml:space="preserve"> R, </w:t>
      </w:r>
      <w:proofErr w:type="spellStart"/>
      <w:r w:rsidRPr="00472719">
        <w:rPr>
          <w:rFonts w:ascii="Book Antiqua" w:hAnsi="Book Antiqua" w:cs="宋体"/>
          <w:color w:val="000000"/>
        </w:rPr>
        <w:t>Zhong</w:t>
      </w:r>
      <w:proofErr w:type="spellEnd"/>
      <w:r w:rsidRPr="00472719">
        <w:rPr>
          <w:rFonts w:ascii="Book Antiqua" w:hAnsi="Book Antiqua" w:cs="宋体"/>
          <w:color w:val="000000"/>
        </w:rPr>
        <w:t xml:space="preserve"> Y, </w:t>
      </w:r>
      <w:proofErr w:type="spellStart"/>
      <w:r w:rsidRPr="00472719">
        <w:rPr>
          <w:rFonts w:ascii="Book Antiqua" w:hAnsi="Book Antiqua" w:cs="宋体"/>
          <w:color w:val="000000"/>
        </w:rPr>
        <w:t>Sriram</w:t>
      </w:r>
      <w:proofErr w:type="spellEnd"/>
      <w:r w:rsidRPr="00472719">
        <w:rPr>
          <w:rFonts w:ascii="Book Antiqua" w:hAnsi="Book Antiqua" w:cs="宋体"/>
          <w:color w:val="000000"/>
        </w:rPr>
        <w:t xml:space="preserve"> PV, </w:t>
      </w:r>
      <w:proofErr w:type="spellStart"/>
      <w:r w:rsidRPr="00472719">
        <w:rPr>
          <w:rFonts w:ascii="Book Antiqua" w:hAnsi="Book Antiqua" w:cs="宋体"/>
          <w:color w:val="000000"/>
        </w:rPr>
        <w:t>Ponnudurai</w:t>
      </w:r>
      <w:proofErr w:type="spellEnd"/>
      <w:r w:rsidRPr="00472719">
        <w:rPr>
          <w:rFonts w:ascii="Book Antiqua" w:hAnsi="Book Antiqua" w:cs="宋体"/>
          <w:color w:val="000000"/>
        </w:rPr>
        <w:t xml:space="preserve"> R, </w:t>
      </w:r>
      <w:proofErr w:type="spellStart"/>
      <w:r w:rsidRPr="00472719">
        <w:rPr>
          <w:rFonts w:ascii="Book Antiqua" w:hAnsi="Book Antiqua" w:cs="宋体"/>
          <w:color w:val="000000"/>
        </w:rPr>
        <w:t>Sikka</w:t>
      </w:r>
      <w:proofErr w:type="spellEnd"/>
      <w:r w:rsidRPr="00472719">
        <w:rPr>
          <w:rFonts w:ascii="Book Antiqua" w:hAnsi="Book Antiqua" w:cs="宋体"/>
          <w:color w:val="000000"/>
        </w:rPr>
        <w:t xml:space="preserve"> S, </w:t>
      </w:r>
      <w:proofErr w:type="spellStart"/>
      <w:r w:rsidRPr="00472719">
        <w:rPr>
          <w:rFonts w:ascii="Book Antiqua" w:hAnsi="Book Antiqua" w:cs="宋体"/>
          <w:color w:val="000000"/>
        </w:rPr>
        <w:t>Thonke</w:t>
      </w:r>
      <w:proofErr w:type="spellEnd"/>
      <w:r w:rsidRPr="00472719">
        <w:rPr>
          <w:rFonts w:ascii="Book Antiqua" w:hAnsi="Book Antiqua" w:cs="宋体"/>
          <w:color w:val="000000"/>
        </w:rPr>
        <w:t xml:space="preserve"> F, </w:t>
      </w:r>
      <w:proofErr w:type="spellStart"/>
      <w:r w:rsidRPr="00472719">
        <w:rPr>
          <w:rFonts w:ascii="Book Antiqua" w:hAnsi="Book Antiqua" w:cs="宋体"/>
          <w:color w:val="000000"/>
        </w:rPr>
        <w:t>Soehendra</w:t>
      </w:r>
      <w:proofErr w:type="spellEnd"/>
      <w:r w:rsidRPr="00472719">
        <w:rPr>
          <w:rFonts w:ascii="Book Antiqua" w:hAnsi="Book Antiqua" w:cs="宋体"/>
          <w:color w:val="000000"/>
        </w:rPr>
        <w:t xml:space="preserve"> N. Aggressive endoscopic therapy for pancreatic necrosis and pancreatic abscess: a new safe and effective treatment algorithm (videos).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2005; </w:t>
      </w:r>
      <w:r w:rsidRPr="00472719">
        <w:rPr>
          <w:rFonts w:ascii="Book Antiqua" w:hAnsi="Book Antiqua" w:cs="宋体"/>
          <w:b/>
          <w:bCs/>
          <w:color w:val="000000"/>
        </w:rPr>
        <w:t>62</w:t>
      </w:r>
      <w:r w:rsidRPr="00472719">
        <w:rPr>
          <w:rFonts w:ascii="Book Antiqua" w:hAnsi="Book Antiqua" w:cs="宋体"/>
          <w:color w:val="000000"/>
        </w:rPr>
        <w:t>: 92-100 [PMID: 15990825 DOI: 10.1016/S0016-5107(05)00541-9]</w:t>
      </w:r>
    </w:p>
    <w:p w14:paraId="5B9FC0C2" w14:textId="2CC24C23"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3</w:t>
      </w:r>
      <w:r w:rsidR="00843137">
        <w:rPr>
          <w:rFonts w:ascii="Book Antiqua" w:hAnsi="Book Antiqua" w:cs="宋体"/>
          <w:color w:val="000000"/>
        </w:rPr>
        <w:t>6</w:t>
      </w:r>
      <w:r w:rsidRPr="00472719">
        <w:rPr>
          <w:rFonts w:ascii="Book Antiqua" w:hAnsi="Book Antiqua" w:cs="宋体"/>
          <w:color w:val="000000"/>
        </w:rPr>
        <w:t> </w:t>
      </w:r>
      <w:proofErr w:type="spellStart"/>
      <w:r w:rsidRPr="00472719">
        <w:rPr>
          <w:rFonts w:ascii="Book Antiqua" w:hAnsi="Book Antiqua" w:cs="宋体"/>
          <w:b/>
          <w:bCs/>
          <w:color w:val="000000"/>
        </w:rPr>
        <w:t>Varadarajulu</w:t>
      </w:r>
      <w:proofErr w:type="spellEnd"/>
      <w:r w:rsidRPr="00472719">
        <w:rPr>
          <w:rFonts w:ascii="Book Antiqua" w:hAnsi="Book Antiqua" w:cs="宋体"/>
          <w:b/>
          <w:bCs/>
          <w:color w:val="000000"/>
        </w:rPr>
        <w:t xml:space="preserve"> S</w:t>
      </w:r>
      <w:r w:rsidRPr="00472719">
        <w:rPr>
          <w:rFonts w:ascii="Book Antiqua" w:hAnsi="Book Antiqua" w:cs="宋体"/>
          <w:color w:val="000000"/>
        </w:rPr>
        <w:t xml:space="preserve">, </w:t>
      </w:r>
      <w:proofErr w:type="spellStart"/>
      <w:r w:rsidRPr="00472719">
        <w:rPr>
          <w:rFonts w:ascii="Book Antiqua" w:hAnsi="Book Antiqua" w:cs="宋体"/>
          <w:color w:val="000000"/>
        </w:rPr>
        <w:t>Tamhane</w:t>
      </w:r>
      <w:proofErr w:type="spellEnd"/>
      <w:r w:rsidRPr="00472719">
        <w:rPr>
          <w:rFonts w:ascii="Book Antiqua" w:hAnsi="Book Antiqua" w:cs="宋体"/>
          <w:color w:val="000000"/>
        </w:rPr>
        <w:t xml:space="preserve"> A, Blakely J. Graded dilation technique for EUS-guided drainage of </w:t>
      </w:r>
      <w:proofErr w:type="spellStart"/>
      <w:r w:rsidRPr="00472719">
        <w:rPr>
          <w:rFonts w:ascii="Book Antiqua" w:hAnsi="Book Antiqua" w:cs="宋体"/>
          <w:color w:val="000000"/>
        </w:rPr>
        <w:t>peripancreatic</w:t>
      </w:r>
      <w:proofErr w:type="spellEnd"/>
      <w:r w:rsidRPr="00472719">
        <w:rPr>
          <w:rFonts w:ascii="Book Antiqua" w:hAnsi="Book Antiqua" w:cs="宋体"/>
          <w:color w:val="000000"/>
        </w:rPr>
        <w:t xml:space="preserve"> fluid collections: an assessment of outcomes and complications and technical proficiency (with video).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2008; </w:t>
      </w:r>
      <w:r w:rsidRPr="00472719">
        <w:rPr>
          <w:rFonts w:ascii="Book Antiqua" w:hAnsi="Book Antiqua" w:cs="宋体"/>
          <w:b/>
          <w:bCs/>
          <w:color w:val="000000"/>
        </w:rPr>
        <w:t>68</w:t>
      </w:r>
      <w:r w:rsidRPr="00472719">
        <w:rPr>
          <w:rFonts w:ascii="Book Antiqua" w:hAnsi="Book Antiqua" w:cs="宋体"/>
          <w:color w:val="000000"/>
        </w:rPr>
        <w:t>: 656-666 [PMID: 18599050 DOI: 10.1016/j.gie.2008.03.1091]</w:t>
      </w:r>
    </w:p>
    <w:p w14:paraId="1AB2AC9E" w14:textId="34EF9E9A"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3</w:t>
      </w:r>
      <w:r w:rsidR="00843137">
        <w:rPr>
          <w:rFonts w:ascii="Book Antiqua" w:hAnsi="Book Antiqua" w:cs="宋体"/>
          <w:color w:val="000000"/>
        </w:rPr>
        <w:t>7</w:t>
      </w:r>
      <w:r w:rsidRPr="00472719">
        <w:rPr>
          <w:rFonts w:ascii="Book Antiqua" w:hAnsi="Book Antiqua" w:cs="宋体"/>
          <w:color w:val="000000"/>
        </w:rPr>
        <w:t> </w:t>
      </w:r>
      <w:proofErr w:type="spellStart"/>
      <w:r w:rsidRPr="00472719">
        <w:rPr>
          <w:rFonts w:ascii="Book Antiqua" w:hAnsi="Book Antiqua" w:cs="宋体"/>
          <w:b/>
          <w:bCs/>
          <w:color w:val="000000"/>
        </w:rPr>
        <w:t>Tilara</w:t>
      </w:r>
      <w:proofErr w:type="spellEnd"/>
      <w:r w:rsidRPr="00472719">
        <w:rPr>
          <w:rFonts w:ascii="Book Antiqua" w:hAnsi="Book Antiqua" w:cs="宋体"/>
          <w:b/>
          <w:bCs/>
          <w:color w:val="000000"/>
        </w:rPr>
        <w:t xml:space="preserve"> A</w:t>
      </w:r>
      <w:r w:rsidRPr="00472719">
        <w:rPr>
          <w:rFonts w:ascii="Book Antiqua" w:hAnsi="Book Antiqua" w:cs="宋体"/>
          <w:color w:val="000000"/>
        </w:rPr>
        <w:t xml:space="preserve">, </w:t>
      </w:r>
      <w:proofErr w:type="spellStart"/>
      <w:r w:rsidRPr="00472719">
        <w:rPr>
          <w:rFonts w:ascii="Book Antiqua" w:hAnsi="Book Antiqua" w:cs="宋体"/>
          <w:color w:val="000000"/>
        </w:rPr>
        <w:t>Gerdes</w:t>
      </w:r>
      <w:proofErr w:type="spellEnd"/>
      <w:r w:rsidRPr="00472719">
        <w:rPr>
          <w:rFonts w:ascii="Book Antiqua" w:hAnsi="Book Antiqua" w:cs="宋体"/>
          <w:color w:val="000000"/>
        </w:rPr>
        <w:t xml:space="preserve"> H, Allen P, </w:t>
      </w:r>
      <w:proofErr w:type="spellStart"/>
      <w:r w:rsidRPr="00472719">
        <w:rPr>
          <w:rFonts w:ascii="Book Antiqua" w:hAnsi="Book Antiqua" w:cs="宋体"/>
          <w:color w:val="000000"/>
        </w:rPr>
        <w:t>Jarnagin</w:t>
      </w:r>
      <w:proofErr w:type="spellEnd"/>
      <w:r w:rsidRPr="00472719">
        <w:rPr>
          <w:rFonts w:ascii="Book Antiqua" w:hAnsi="Book Antiqua" w:cs="宋体"/>
          <w:color w:val="000000"/>
        </w:rPr>
        <w:t xml:space="preserve"> W, </w:t>
      </w:r>
      <w:proofErr w:type="spellStart"/>
      <w:r w:rsidRPr="00472719">
        <w:rPr>
          <w:rFonts w:ascii="Book Antiqua" w:hAnsi="Book Antiqua" w:cs="宋体"/>
          <w:color w:val="000000"/>
        </w:rPr>
        <w:t>Kingham</w:t>
      </w:r>
      <w:proofErr w:type="spellEnd"/>
      <w:r w:rsidRPr="00472719">
        <w:rPr>
          <w:rFonts w:ascii="Book Antiqua" w:hAnsi="Book Antiqua" w:cs="宋体"/>
          <w:color w:val="000000"/>
        </w:rPr>
        <w:t xml:space="preserve"> P, Fong Y, </w:t>
      </w:r>
      <w:proofErr w:type="spellStart"/>
      <w:r w:rsidRPr="00472719">
        <w:rPr>
          <w:rFonts w:ascii="Book Antiqua" w:hAnsi="Book Antiqua" w:cs="宋体"/>
          <w:color w:val="000000"/>
        </w:rPr>
        <w:t>DeMatteo</w:t>
      </w:r>
      <w:proofErr w:type="spellEnd"/>
      <w:r w:rsidRPr="00472719">
        <w:rPr>
          <w:rFonts w:ascii="Book Antiqua" w:hAnsi="Book Antiqua" w:cs="宋体"/>
          <w:color w:val="000000"/>
        </w:rPr>
        <w:t xml:space="preserve"> R, </w:t>
      </w:r>
      <w:proofErr w:type="spellStart"/>
      <w:r w:rsidRPr="00472719">
        <w:rPr>
          <w:rFonts w:ascii="Book Antiqua" w:hAnsi="Book Antiqua" w:cs="宋体"/>
          <w:color w:val="000000"/>
        </w:rPr>
        <w:t>D'Angelica</w:t>
      </w:r>
      <w:proofErr w:type="spellEnd"/>
      <w:r w:rsidRPr="00472719">
        <w:rPr>
          <w:rFonts w:ascii="Book Antiqua" w:hAnsi="Book Antiqua" w:cs="宋体"/>
          <w:color w:val="000000"/>
        </w:rPr>
        <w:t xml:space="preserve"> M, </w:t>
      </w:r>
      <w:proofErr w:type="spellStart"/>
      <w:r w:rsidRPr="00472719">
        <w:rPr>
          <w:rFonts w:ascii="Book Antiqua" w:hAnsi="Book Antiqua" w:cs="宋体"/>
          <w:color w:val="000000"/>
        </w:rPr>
        <w:t>Schattner</w:t>
      </w:r>
      <w:proofErr w:type="spellEnd"/>
      <w:r w:rsidRPr="00472719">
        <w:rPr>
          <w:rFonts w:ascii="Book Antiqua" w:hAnsi="Book Antiqua" w:cs="宋体"/>
          <w:color w:val="000000"/>
        </w:rPr>
        <w:t xml:space="preserve"> M. Endoscopic ultrasound-guided transmural drainage of postoperative pancreatic collections. </w:t>
      </w:r>
      <w:r w:rsidRPr="00472719">
        <w:rPr>
          <w:rFonts w:ascii="Book Antiqua" w:hAnsi="Book Antiqua" w:cs="宋体"/>
          <w:i/>
          <w:iCs/>
          <w:color w:val="000000"/>
        </w:rPr>
        <w:t xml:space="preserve">J Am </w:t>
      </w:r>
      <w:proofErr w:type="spellStart"/>
      <w:r w:rsidRPr="00472719">
        <w:rPr>
          <w:rFonts w:ascii="Book Antiqua" w:hAnsi="Book Antiqua" w:cs="宋体"/>
          <w:i/>
          <w:iCs/>
          <w:color w:val="000000"/>
        </w:rPr>
        <w:t>Coll</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Surg</w:t>
      </w:r>
      <w:proofErr w:type="spellEnd"/>
      <w:r w:rsidRPr="00472719">
        <w:rPr>
          <w:rFonts w:ascii="Book Antiqua" w:hAnsi="Book Antiqua" w:cs="宋体"/>
          <w:color w:val="000000"/>
        </w:rPr>
        <w:t> 2014; </w:t>
      </w:r>
      <w:r w:rsidRPr="00472719">
        <w:rPr>
          <w:rFonts w:ascii="Book Antiqua" w:hAnsi="Book Antiqua" w:cs="宋体"/>
          <w:b/>
          <w:bCs/>
          <w:color w:val="000000"/>
        </w:rPr>
        <w:t>218</w:t>
      </w:r>
      <w:r w:rsidRPr="00472719">
        <w:rPr>
          <w:rFonts w:ascii="Book Antiqua" w:hAnsi="Book Antiqua" w:cs="宋体"/>
          <w:color w:val="000000"/>
        </w:rPr>
        <w:t>: 33-40 [PMID: 24099888 DOI: 10.1016/j.jamcollsurg.2013.09.001]</w:t>
      </w:r>
    </w:p>
    <w:p w14:paraId="5394F094" w14:textId="67A44326"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3</w:t>
      </w:r>
      <w:r w:rsidR="00843137">
        <w:rPr>
          <w:rFonts w:ascii="Book Antiqua" w:hAnsi="Book Antiqua" w:cs="宋体"/>
          <w:color w:val="000000"/>
        </w:rPr>
        <w:t>8</w:t>
      </w:r>
      <w:r w:rsidRPr="00472719">
        <w:rPr>
          <w:rFonts w:ascii="Book Antiqua" w:hAnsi="Book Antiqua" w:cs="宋体"/>
          <w:color w:val="000000"/>
        </w:rPr>
        <w:t> </w:t>
      </w:r>
      <w:r w:rsidRPr="00472719">
        <w:rPr>
          <w:rFonts w:ascii="Book Antiqua" w:hAnsi="Book Antiqua" w:cs="宋体"/>
          <w:b/>
          <w:bCs/>
          <w:color w:val="000000"/>
        </w:rPr>
        <w:t>Lopes CV</w:t>
      </w:r>
      <w:r w:rsidRPr="00472719">
        <w:rPr>
          <w:rFonts w:ascii="Book Antiqua" w:hAnsi="Book Antiqua" w:cs="宋体"/>
          <w:color w:val="000000"/>
        </w:rPr>
        <w:t xml:space="preserve">, </w:t>
      </w:r>
      <w:proofErr w:type="spellStart"/>
      <w:r w:rsidRPr="00472719">
        <w:rPr>
          <w:rFonts w:ascii="Book Antiqua" w:hAnsi="Book Antiqua" w:cs="宋体"/>
          <w:color w:val="000000"/>
        </w:rPr>
        <w:t>Pesenti</w:t>
      </w:r>
      <w:proofErr w:type="spellEnd"/>
      <w:r w:rsidRPr="00472719">
        <w:rPr>
          <w:rFonts w:ascii="Book Antiqua" w:hAnsi="Book Antiqua" w:cs="宋体"/>
          <w:color w:val="000000"/>
        </w:rPr>
        <w:t xml:space="preserve"> C, </w:t>
      </w:r>
      <w:proofErr w:type="spellStart"/>
      <w:r w:rsidRPr="00472719">
        <w:rPr>
          <w:rFonts w:ascii="Book Antiqua" w:hAnsi="Book Antiqua" w:cs="宋体"/>
          <w:color w:val="000000"/>
        </w:rPr>
        <w:t>Bories</w:t>
      </w:r>
      <w:proofErr w:type="spellEnd"/>
      <w:r w:rsidRPr="00472719">
        <w:rPr>
          <w:rFonts w:ascii="Book Antiqua" w:hAnsi="Book Antiqua" w:cs="宋体"/>
          <w:color w:val="000000"/>
        </w:rPr>
        <w:t xml:space="preserve"> E, </w:t>
      </w:r>
      <w:proofErr w:type="spellStart"/>
      <w:r w:rsidRPr="00472719">
        <w:rPr>
          <w:rFonts w:ascii="Book Antiqua" w:hAnsi="Book Antiqua" w:cs="宋体"/>
          <w:color w:val="000000"/>
        </w:rPr>
        <w:t>Caillol</w:t>
      </w:r>
      <w:proofErr w:type="spellEnd"/>
      <w:r w:rsidRPr="00472719">
        <w:rPr>
          <w:rFonts w:ascii="Book Antiqua" w:hAnsi="Book Antiqua" w:cs="宋体"/>
          <w:color w:val="000000"/>
        </w:rPr>
        <w:t xml:space="preserve"> F, </w:t>
      </w:r>
      <w:proofErr w:type="spellStart"/>
      <w:r w:rsidRPr="00472719">
        <w:rPr>
          <w:rFonts w:ascii="Book Antiqua" w:hAnsi="Book Antiqua" w:cs="宋体"/>
          <w:color w:val="000000"/>
        </w:rPr>
        <w:t>Giovannini</w:t>
      </w:r>
      <w:proofErr w:type="spellEnd"/>
      <w:r w:rsidRPr="00472719">
        <w:rPr>
          <w:rFonts w:ascii="Book Antiqua" w:hAnsi="Book Antiqua" w:cs="宋体"/>
          <w:color w:val="000000"/>
        </w:rPr>
        <w:t xml:space="preserve"> M. Endoscopic-ultrasound-guided endoscopic transmural drainage of pancreatic </w:t>
      </w:r>
      <w:proofErr w:type="spellStart"/>
      <w:r w:rsidRPr="00472719">
        <w:rPr>
          <w:rFonts w:ascii="Book Antiqua" w:hAnsi="Book Antiqua" w:cs="宋体"/>
          <w:color w:val="000000"/>
        </w:rPr>
        <w:t>pseudocysts</w:t>
      </w:r>
      <w:proofErr w:type="spellEnd"/>
      <w:r w:rsidRPr="00472719">
        <w:rPr>
          <w:rFonts w:ascii="Book Antiqua" w:hAnsi="Book Antiqua" w:cs="宋体"/>
          <w:color w:val="000000"/>
        </w:rPr>
        <w:t xml:space="preserve"> and abscesses. </w:t>
      </w:r>
      <w:proofErr w:type="spellStart"/>
      <w:r w:rsidRPr="00472719">
        <w:rPr>
          <w:rFonts w:ascii="Book Antiqua" w:hAnsi="Book Antiqua" w:cs="宋体"/>
          <w:i/>
          <w:iCs/>
          <w:color w:val="000000"/>
        </w:rPr>
        <w:t>Scand</w:t>
      </w:r>
      <w:proofErr w:type="spellEnd"/>
      <w:r w:rsidRPr="00472719">
        <w:rPr>
          <w:rFonts w:ascii="Book Antiqua" w:hAnsi="Book Antiqua" w:cs="宋体"/>
          <w:i/>
          <w:iCs/>
          <w:color w:val="000000"/>
        </w:rPr>
        <w:t xml:space="preserve"> J </w:t>
      </w:r>
      <w:proofErr w:type="spellStart"/>
      <w:r w:rsidRPr="00472719">
        <w:rPr>
          <w:rFonts w:ascii="Book Antiqua" w:hAnsi="Book Antiqua" w:cs="宋体"/>
          <w:i/>
          <w:iCs/>
          <w:color w:val="000000"/>
        </w:rPr>
        <w:t>Gastroenterol</w:t>
      </w:r>
      <w:proofErr w:type="spellEnd"/>
      <w:r w:rsidRPr="00472719">
        <w:rPr>
          <w:rFonts w:ascii="Book Antiqua" w:hAnsi="Book Antiqua" w:cs="宋体"/>
          <w:color w:val="000000"/>
        </w:rPr>
        <w:t> 2007; </w:t>
      </w:r>
      <w:r w:rsidRPr="00472719">
        <w:rPr>
          <w:rFonts w:ascii="Book Antiqua" w:hAnsi="Book Antiqua" w:cs="宋体"/>
          <w:b/>
          <w:bCs/>
          <w:color w:val="000000"/>
        </w:rPr>
        <w:t>42</w:t>
      </w:r>
      <w:r w:rsidRPr="00472719">
        <w:rPr>
          <w:rFonts w:ascii="Book Antiqua" w:hAnsi="Book Antiqua" w:cs="宋体"/>
          <w:color w:val="000000"/>
        </w:rPr>
        <w:t>: 524-529 [PMID: 17454865 DOI: 10.1080/00365520601065093]</w:t>
      </w:r>
    </w:p>
    <w:p w14:paraId="13DE4D0A" w14:textId="23B0F467" w:rsidR="00C2205B" w:rsidRPr="00472719" w:rsidRDefault="00843137" w:rsidP="00472719">
      <w:pPr>
        <w:adjustRightInd w:val="0"/>
        <w:snapToGrid w:val="0"/>
        <w:spacing w:line="360" w:lineRule="auto"/>
        <w:jc w:val="both"/>
        <w:rPr>
          <w:rFonts w:ascii="Book Antiqua" w:hAnsi="Book Antiqua" w:cs="宋体"/>
          <w:color w:val="000000"/>
        </w:rPr>
      </w:pPr>
      <w:r>
        <w:rPr>
          <w:rFonts w:ascii="Book Antiqua" w:hAnsi="Book Antiqua" w:cs="宋体"/>
          <w:color w:val="000000"/>
        </w:rPr>
        <w:t>39</w:t>
      </w:r>
      <w:r w:rsidR="00C2205B" w:rsidRPr="00472719">
        <w:rPr>
          <w:rFonts w:ascii="Book Antiqua" w:hAnsi="Book Antiqua" w:cs="宋体"/>
          <w:color w:val="000000"/>
        </w:rPr>
        <w:t xml:space="preserve"> </w:t>
      </w:r>
      <w:proofErr w:type="spellStart"/>
      <w:r w:rsidR="00C2205B" w:rsidRPr="00472719">
        <w:rPr>
          <w:rFonts w:ascii="Book Antiqua" w:hAnsi="Book Antiqua"/>
          <w:b/>
          <w:bCs/>
          <w:color w:val="000000"/>
        </w:rPr>
        <w:t>Kahaleh</w:t>
      </w:r>
      <w:proofErr w:type="spellEnd"/>
      <w:r w:rsidR="00C2205B" w:rsidRPr="00472719">
        <w:rPr>
          <w:rFonts w:ascii="Book Antiqua" w:hAnsi="Book Antiqua"/>
          <w:b/>
          <w:bCs/>
          <w:color w:val="000000"/>
        </w:rPr>
        <w:t xml:space="preserve"> M</w:t>
      </w:r>
      <w:r w:rsidR="00C2205B" w:rsidRPr="00472719">
        <w:rPr>
          <w:rFonts w:ascii="Book Antiqua" w:hAnsi="Book Antiqua"/>
          <w:color w:val="000000"/>
        </w:rPr>
        <w:t xml:space="preserve">, </w:t>
      </w:r>
      <w:proofErr w:type="spellStart"/>
      <w:r w:rsidR="00C2205B" w:rsidRPr="00472719">
        <w:rPr>
          <w:rFonts w:ascii="Book Antiqua" w:hAnsi="Book Antiqua"/>
          <w:color w:val="000000"/>
        </w:rPr>
        <w:t>Shami</w:t>
      </w:r>
      <w:proofErr w:type="spellEnd"/>
      <w:r w:rsidR="00C2205B" w:rsidRPr="00472719">
        <w:rPr>
          <w:rFonts w:ascii="Book Antiqua" w:hAnsi="Book Antiqua"/>
          <w:color w:val="000000"/>
        </w:rPr>
        <w:t xml:space="preserve"> VM, Conaway MR, </w:t>
      </w:r>
      <w:proofErr w:type="spellStart"/>
      <w:r w:rsidR="00C2205B" w:rsidRPr="00472719">
        <w:rPr>
          <w:rFonts w:ascii="Book Antiqua" w:hAnsi="Book Antiqua"/>
          <w:color w:val="000000"/>
        </w:rPr>
        <w:t>Tokar</w:t>
      </w:r>
      <w:proofErr w:type="spellEnd"/>
      <w:r w:rsidR="00C2205B" w:rsidRPr="00472719">
        <w:rPr>
          <w:rFonts w:ascii="Book Antiqua" w:hAnsi="Book Antiqua"/>
          <w:color w:val="000000"/>
        </w:rPr>
        <w:t xml:space="preserve"> J, </w:t>
      </w:r>
      <w:proofErr w:type="spellStart"/>
      <w:r w:rsidR="00C2205B" w:rsidRPr="00472719">
        <w:rPr>
          <w:rFonts w:ascii="Book Antiqua" w:hAnsi="Book Antiqua"/>
          <w:color w:val="000000"/>
        </w:rPr>
        <w:t>Rockoff</w:t>
      </w:r>
      <w:proofErr w:type="spellEnd"/>
      <w:r w:rsidR="00C2205B" w:rsidRPr="00472719">
        <w:rPr>
          <w:rFonts w:ascii="Book Antiqua" w:hAnsi="Book Antiqua"/>
          <w:color w:val="000000"/>
        </w:rPr>
        <w:t xml:space="preserve"> T, De La Rue SA, de Lange E, </w:t>
      </w:r>
      <w:proofErr w:type="spellStart"/>
      <w:r w:rsidR="00C2205B" w:rsidRPr="00472719">
        <w:rPr>
          <w:rFonts w:ascii="Book Antiqua" w:hAnsi="Book Antiqua"/>
          <w:color w:val="000000"/>
        </w:rPr>
        <w:t>Bassignani</w:t>
      </w:r>
      <w:proofErr w:type="spellEnd"/>
      <w:r w:rsidR="00C2205B" w:rsidRPr="00472719">
        <w:rPr>
          <w:rFonts w:ascii="Book Antiqua" w:hAnsi="Book Antiqua"/>
          <w:color w:val="000000"/>
        </w:rPr>
        <w:t xml:space="preserve"> M, Gay S, Adams RB, </w:t>
      </w:r>
      <w:proofErr w:type="spellStart"/>
      <w:r w:rsidR="00C2205B" w:rsidRPr="00472719">
        <w:rPr>
          <w:rFonts w:ascii="Book Antiqua" w:hAnsi="Book Antiqua"/>
          <w:color w:val="000000"/>
        </w:rPr>
        <w:t>Yeaton</w:t>
      </w:r>
      <w:proofErr w:type="spellEnd"/>
      <w:r w:rsidR="00C2205B" w:rsidRPr="00472719">
        <w:rPr>
          <w:rFonts w:ascii="Book Antiqua" w:hAnsi="Book Antiqua"/>
          <w:color w:val="000000"/>
        </w:rPr>
        <w:t xml:space="preserve"> P. Endoscopic ultrasound drainage of pancreatic </w:t>
      </w:r>
      <w:proofErr w:type="spellStart"/>
      <w:r w:rsidR="00C2205B" w:rsidRPr="00472719">
        <w:rPr>
          <w:rFonts w:ascii="Book Antiqua" w:hAnsi="Book Antiqua"/>
          <w:color w:val="000000"/>
        </w:rPr>
        <w:t>pseudocyst</w:t>
      </w:r>
      <w:proofErr w:type="spellEnd"/>
      <w:r w:rsidR="00C2205B" w:rsidRPr="00472719">
        <w:rPr>
          <w:rFonts w:ascii="Book Antiqua" w:hAnsi="Book Antiqua"/>
          <w:color w:val="000000"/>
        </w:rPr>
        <w:t>: a prospective comparison with conventional endoscopic drainage.</w:t>
      </w:r>
      <w:r w:rsidR="00C2205B" w:rsidRPr="00472719">
        <w:rPr>
          <w:rStyle w:val="apple-converted-space"/>
          <w:rFonts w:ascii="Book Antiqua" w:hAnsi="Book Antiqua"/>
          <w:color w:val="000000"/>
        </w:rPr>
        <w:t> </w:t>
      </w:r>
      <w:r w:rsidR="00C2205B" w:rsidRPr="00472719">
        <w:rPr>
          <w:rFonts w:ascii="Book Antiqua" w:hAnsi="Book Antiqua"/>
          <w:i/>
          <w:iCs/>
          <w:color w:val="000000"/>
        </w:rPr>
        <w:t>Endoscopy</w:t>
      </w:r>
      <w:r w:rsidR="00C2205B" w:rsidRPr="00472719">
        <w:rPr>
          <w:rStyle w:val="apple-converted-space"/>
          <w:rFonts w:ascii="Book Antiqua" w:hAnsi="Book Antiqua"/>
          <w:color w:val="000000"/>
        </w:rPr>
        <w:t> </w:t>
      </w:r>
      <w:r w:rsidR="00C2205B" w:rsidRPr="00472719">
        <w:rPr>
          <w:rFonts w:ascii="Book Antiqua" w:hAnsi="Book Antiqua"/>
          <w:color w:val="000000"/>
        </w:rPr>
        <w:t>2006;</w:t>
      </w:r>
      <w:r w:rsidR="00C2205B" w:rsidRPr="00472719">
        <w:rPr>
          <w:rStyle w:val="apple-converted-space"/>
          <w:rFonts w:ascii="Book Antiqua" w:hAnsi="Book Antiqua"/>
          <w:color w:val="000000"/>
        </w:rPr>
        <w:t> </w:t>
      </w:r>
      <w:r w:rsidR="00C2205B" w:rsidRPr="00472719">
        <w:rPr>
          <w:rFonts w:ascii="Book Antiqua" w:hAnsi="Book Antiqua"/>
          <w:b/>
          <w:bCs/>
          <w:color w:val="000000"/>
        </w:rPr>
        <w:t>38</w:t>
      </w:r>
      <w:r w:rsidR="00C2205B" w:rsidRPr="00472719">
        <w:rPr>
          <w:rFonts w:ascii="Book Antiqua" w:hAnsi="Book Antiqua"/>
          <w:color w:val="000000"/>
        </w:rPr>
        <w:t>: 355-359 [PMID: 16680634]</w:t>
      </w:r>
    </w:p>
    <w:p w14:paraId="523E21FE" w14:textId="569CE6F6"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4</w:t>
      </w:r>
      <w:r w:rsidR="00843137">
        <w:rPr>
          <w:rFonts w:ascii="Book Antiqua" w:hAnsi="Book Antiqua" w:cs="宋体"/>
          <w:color w:val="000000"/>
        </w:rPr>
        <w:t>0</w:t>
      </w:r>
      <w:r w:rsidRPr="00472719">
        <w:rPr>
          <w:rFonts w:ascii="Book Antiqua" w:hAnsi="Book Antiqua" w:cs="宋体"/>
          <w:color w:val="000000"/>
        </w:rPr>
        <w:t> </w:t>
      </w:r>
      <w:proofErr w:type="spellStart"/>
      <w:r w:rsidRPr="00472719">
        <w:rPr>
          <w:rFonts w:ascii="Book Antiqua" w:hAnsi="Book Antiqua" w:cs="宋体"/>
          <w:b/>
          <w:bCs/>
          <w:color w:val="000000"/>
        </w:rPr>
        <w:t>Barthet</w:t>
      </w:r>
      <w:proofErr w:type="spellEnd"/>
      <w:r w:rsidRPr="00472719">
        <w:rPr>
          <w:rFonts w:ascii="Book Antiqua" w:hAnsi="Book Antiqua" w:cs="宋体"/>
          <w:b/>
          <w:bCs/>
          <w:color w:val="000000"/>
        </w:rPr>
        <w:t xml:space="preserve"> M</w:t>
      </w:r>
      <w:r w:rsidRPr="00472719">
        <w:rPr>
          <w:rFonts w:ascii="Book Antiqua" w:hAnsi="Book Antiqua" w:cs="宋体"/>
          <w:color w:val="000000"/>
        </w:rPr>
        <w:t xml:space="preserve">, </w:t>
      </w:r>
      <w:proofErr w:type="spellStart"/>
      <w:r w:rsidRPr="00472719">
        <w:rPr>
          <w:rFonts w:ascii="Book Antiqua" w:hAnsi="Book Antiqua" w:cs="宋体"/>
          <w:color w:val="000000"/>
        </w:rPr>
        <w:t>Lamblin</w:t>
      </w:r>
      <w:proofErr w:type="spellEnd"/>
      <w:r w:rsidRPr="00472719">
        <w:rPr>
          <w:rFonts w:ascii="Book Antiqua" w:hAnsi="Book Antiqua" w:cs="宋体"/>
          <w:color w:val="000000"/>
        </w:rPr>
        <w:t xml:space="preserve"> G, </w:t>
      </w:r>
      <w:proofErr w:type="spellStart"/>
      <w:r w:rsidRPr="00472719">
        <w:rPr>
          <w:rFonts w:ascii="Book Antiqua" w:hAnsi="Book Antiqua" w:cs="宋体"/>
          <w:color w:val="000000"/>
        </w:rPr>
        <w:t>Gasmi</w:t>
      </w:r>
      <w:proofErr w:type="spellEnd"/>
      <w:r w:rsidRPr="00472719">
        <w:rPr>
          <w:rFonts w:ascii="Book Antiqua" w:hAnsi="Book Antiqua" w:cs="宋体"/>
          <w:color w:val="000000"/>
        </w:rPr>
        <w:t xml:space="preserve"> M, </w:t>
      </w:r>
      <w:proofErr w:type="spellStart"/>
      <w:r w:rsidRPr="00472719">
        <w:rPr>
          <w:rFonts w:ascii="Book Antiqua" w:hAnsi="Book Antiqua" w:cs="宋体"/>
          <w:color w:val="000000"/>
        </w:rPr>
        <w:t>Vitton</w:t>
      </w:r>
      <w:proofErr w:type="spellEnd"/>
      <w:r w:rsidRPr="00472719">
        <w:rPr>
          <w:rFonts w:ascii="Book Antiqua" w:hAnsi="Book Antiqua" w:cs="宋体"/>
          <w:color w:val="000000"/>
        </w:rPr>
        <w:t xml:space="preserve"> V, </w:t>
      </w:r>
      <w:proofErr w:type="spellStart"/>
      <w:r w:rsidRPr="00472719">
        <w:rPr>
          <w:rFonts w:ascii="Book Antiqua" w:hAnsi="Book Antiqua" w:cs="宋体"/>
          <w:color w:val="000000"/>
        </w:rPr>
        <w:t>Desjeux</w:t>
      </w:r>
      <w:proofErr w:type="spellEnd"/>
      <w:r w:rsidRPr="00472719">
        <w:rPr>
          <w:rFonts w:ascii="Book Antiqua" w:hAnsi="Book Antiqua" w:cs="宋体"/>
          <w:color w:val="000000"/>
        </w:rPr>
        <w:t xml:space="preserve"> A, </w:t>
      </w:r>
      <w:proofErr w:type="spellStart"/>
      <w:r w:rsidRPr="00472719">
        <w:rPr>
          <w:rFonts w:ascii="Book Antiqua" w:hAnsi="Book Antiqua" w:cs="宋体"/>
          <w:color w:val="000000"/>
        </w:rPr>
        <w:t>Grimaud</w:t>
      </w:r>
      <w:proofErr w:type="spellEnd"/>
      <w:r w:rsidRPr="00472719">
        <w:rPr>
          <w:rFonts w:ascii="Book Antiqua" w:hAnsi="Book Antiqua" w:cs="宋体"/>
          <w:color w:val="000000"/>
        </w:rPr>
        <w:t xml:space="preserve"> JC. </w:t>
      </w:r>
      <w:proofErr w:type="gramStart"/>
      <w:r w:rsidRPr="00472719">
        <w:rPr>
          <w:rFonts w:ascii="Book Antiqua" w:hAnsi="Book Antiqua" w:cs="宋体"/>
          <w:color w:val="000000"/>
        </w:rPr>
        <w:t xml:space="preserve">Clinical usefulness of a treatment algorithm for pancreatic </w:t>
      </w:r>
      <w:proofErr w:type="spellStart"/>
      <w:r w:rsidRPr="00472719">
        <w:rPr>
          <w:rFonts w:ascii="Book Antiqua" w:hAnsi="Book Antiqua" w:cs="宋体"/>
          <w:color w:val="000000"/>
        </w:rPr>
        <w:t>pseudocysts</w:t>
      </w:r>
      <w:proofErr w:type="spellEnd"/>
      <w:r w:rsidRPr="00472719">
        <w:rPr>
          <w:rFonts w:ascii="Book Antiqua" w:hAnsi="Book Antiqua" w:cs="宋体"/>
          <w:color w:val="000000"/>
        </w:rPr>
        <w:t>.</w:t>
      </w:r>
      <w:proofErr w:type="gramEnd"/>
      <w:r w:rsidRPr="00472719">
        <w:rPr>
          <w:rFonts w:ascii="Book Antiqua" w:hAnsi="Book Antiqua" w:cs="宋体"/>
          <w:color w:val="000000"/>
        </w:rPr>
        <w:t> </w:t>
      </w:r>
      <w:proofErr w:type="spellStart"/>
      <w:r w:rsidRPr="00472719">
        <w:rPr>
          <w:rFonts w:ascii="Book Antiqua" w:hAnsi="Book Antiqua" w:cs="宋体"/>
          <w:i/>
          <w:iCs/>
          <w:color w:val="000000"/>
        </w:rPr>
        <w:t>Gastrointest</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2008; </w:t>
      </w:r>
      <w:r w:rsidRPr="00472719">
        <w:rPr>
          <w:rFonts w:ascii="Book Antiqua" w:hAnsi="Book Antiqua" w:cs="宋体"/>
          <w:b/>
          <w:bCs/>
          <w:color w:val="000000"/>
        </w:rPr>
        <w:t>67</w:t>
      </w:r>
      <w:r w:rsidRPr="00472719">
        <w:rPr>
          <w:rFonts w:ascii="Book Antiqua" w:hAnsi="Book Antiqua" w:cs="宋体"/>
          <w:color w:val="000000"/>
        </w:rPr>
        <w:t>: 245-252 [PMID: 18226686 DOI: 10.1016/j.gie.2007.06.014]</w:t>
      </w:r>
    </w:p>
    <w:p w14:paraId="34AAF14E" w14:textId="5C555983"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4</w:t>
      </w:r>
      <w:r w:rsidR="00843137">
        <w:rPr>
          <w:rFonts w:ascii="Book Antiqua" w:hAnsi="Book Antiqua" w:cs="宋体"/>
          <w:color w:val="000000"/>
        </w:rPr>
        <w:t>1</w:t>
      </w:r>
      <w:r w:rsidRPr="00472719">
        <w:rPr>
          <w:rFonts w:ascii="Book Antiqua" w:hAnsi="Book Antiqua" w:cs="宋体"/>
          <w:color w:val="000000"/>
        </w:rPr>
        <w:t> </w:t>
      </w:r>
      <w:r w:rsidRPr="00472719">
        <w:rPr>
          <w:rFonts w:ascii="Book Antiqua" w:hAnsi="Book Antiqua" w:cs="宋体"/>
          <w:b/>
          <w:bCs/>
          <w:color w:val="000000"/>
        </w:rPr>
        <w:t>Trevino JM</w:t>
      </w:r>
      <w:r w:rsidRPr="00472719">
        <w:rPr>
          <w:rFonts w:ascii="Book Antiqua" w:hAnsi="Book Antiqua" w:cs="宋体"/>
          <w:color w:val="000000"/>
        </w:rPr>
        <w:t xml:space="preserve">, </w:t>
      </w:r>
      <w:proofErr w:type="spellStart"/>
      <w:r w:rsidRPr="00472719">
        <w:rPr>
          <w:rFonts w:ascii="Book Antiqua" w:hAnsi="Book Antiqua" w:cs="宋体"/>
          <w:color w:val="000000"/>
        </w:rPr>
        <w:t>Tamhane</w:t>
      </w:r>
      <w:proofErr w:type="spellEnd"/>
      <w:r w:rsidRPr="00472719">
        <w:rPr>
          <w:rFonts w:ascii="Book Antiqua" w:hAnsi="Book Antiqua" w:cs="宋体"/>
          <w:color w:val="000000"/>
        </w:rPr>
        <w:t xml:space="preserve"> A, </w:t>
      </w:r>
      <w:proofErr w:type="spellStart"/>
      <w:r w:rsidRPr="00472719">
        <w:rPr>
          <w:rFonts w:ascii="Book Antiqua" w:hAnsi="Book Antiqua" w:cs="宋体"/>
          <w:color w:val="000000"/>
        </w:rPr>
        <w:t>Varadarajulu</w:t>
      </w:r>
      <w:proofErr w:type="spellEnd"/>
      <w:r w:rsidRPr="00472719">
        <w:rPr>
          <w:rFonts w:ascii="Book Antiqua" w:hAnsi="Book Antiqua" w:cs="宋体"/>
          <w:color w:val="000000"/>
        </w:rPr>
        <w:t xml:space="preserve"> S. Successful stenting in ductal disruption favorably impacts treatment outcomes in patients undergoing transmural drainage of </w:t>
      </w:r>
      <w:proofErr w:type="spellStart"/>
      <w:r w:rsidRPr="00472719">
        <w:rPr>
          <w:rFonts w:ascii="Book Antiqua" w:hAnsi="Book Antiqua" w:cs="宋体"/>
          <w:color w:val="000000"/>
        </w:rPr>
        <w:t>peripancreatic</w:t>
      </w:r>
      <w:proofErr w:type="spellEnd"/>
      <w:r w:rsidRPr="00472719">
        <w:rPr>
          <w:rFonts w:ascii="Book Antiqua" w:hAnsi="Book Antiqua" w:cs="宋体"/>
          <w:color w:val="000000"/>
        </w:rPr>
        <w:t xml:space="preserve"> fluid collections. </w:t>
      </w:r>
      <w:r w:rsidRPr="00472719">
        <w:rPr>
          <w:rFonts w:ascii="Book Antiqua" w:hAnsi="Book Antiqua" w:cs="宋体"/>
          <w:i/>
          <w:iCs/>
          <w:color w:val="000000"/>
        </w:rPr>
        <w:t xml:space="preserve">J </w:t>
      </w:r>
      <w:proofErr w:type="spellStart"/>
      <w:r w:rsidRPr="00472719">
        <w:rPr>
          <w:rFonts w:ascii="Book Antiqua" w:hAnsi="Book Antiqua" w:cs="宋体"/>
          <w:i/>
          <w:iCs/>
          <w:color w:val="000000"/>
        </w:rPr>
        <w:t>Gastroenterol</w:t>
      </w:r>
      <w:proofErr w:type="spellEnd"/>
      <w:r w:rsidRPr="00472719">
        <w:rPr>
          <w:rFonts w:ascii="Book Antiqua" w:hAnsi="Book Antiqua" w:cs="宋体"/>
          <w:i/>
          <w:iCs/>
          <w:color w:val="000000"/>
        </w:rPr>
        <w:t xml:space="preserve"> </w:t>
      </w:r>
      <w:proofErr w:type="spellStart"/>
      <w:r w:rsidRPr="00472719">
        <w:rPr>
          <w:rFonts w:ascii="Book Antiqua" w:hAnsi="Book Antiqua" w:cs="宋体"/>
          <w:i/>
          <w:iCs/>
          <w:color w:val="000000"/>
        </w:rPr>
        <w:t>Hepatol</w:t>
      </w:r>
      <w:proofErr w:type="spellEnd"/>
      <w:r w:rsidRPr="00472719">
        <w:rPr>
          <w:rFonts w:ascii="Book Antiqua" w:hAnsi="Book Antiqua" w:cs="宋体"/>
          <w:color w:val="000000"/>
        </w:rPr>
        <w:t> 2010; </w:t>
      </w:r>
      <w:r w:rsidRPr="00472719">
        <w:rPr>
          <w:rFonts w:ascii="Book Antiqua" w:hAnsi="Book Antiqua" w:cs="宋体"/>
          <w:b/>
          <w:bCs/>
          <w:color w:val="000000"/>
        </w:rPr>
        <w:t>25</w:t>
      </w:r>
      <w:r w:rsidRPr="00472719">
        <w:rPr>
          <w:rFonts w:ascii="Book Antiqua" w:hAnsi="Book Antiqua" w:cs="宋体"/>
          <w:color w:val="000000"/>
        </w:rPr>
        <w:t>: 526-531 [PMID: 20074158 DOI: 10.1111/j.1440-1746.2009.06109.x]</w:t>
      </w:r>
    </w:p>
    <w:p w14:paraId="1CF8039F" w14:textId="5157D0E1"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lastRenderedPageBreak/>
        <w:t>4</w:t>
      </w:r>
      <w:r w:rsidR="00843137">
        <w:rPr>
          <w:rFonts w:ascii="Book Antiqua" w:hAnsi="Book Antiqua" w:cs="宋体"/>
          <w:color w:val="000000"/>
        </w:rPr>
        <w:t>2</w:t>
      </w:r>
      <w:r w:rsidRPr="00472719">
        <w:rPr>
          <w:rFonts w:ascii="Book Antiqua" w:hAnsi="Book Antiqua" w:cs="宋体"/>
          <w:color w:val="000000"/>
        </w:rPr>
        <w:t> </w:t>
      </w:r>
      <w:proofErr w:type="spellStart"/>
      <w:r w:rsidRPr="00472719">
        <w:rPr>
          <w:rFonts w:ascii="Book Antiqua" w:hAnsi="Book Antiqua" w:cs="宋体"/>
          <w:b/>
          <w:bCs/>
          <w:color w:val="000000"/>
        </w:rPr>
        <w:t>Ardengh</w:t>
      </w:r>
      <w:proofErr w:type="spellEnd"/>
      <w:r w:rsidRPr="00472719">
        <w:rPr>
          <w:rFonts w:ascii="Book Antiqua" w:hAnsi="Book Antiqua" w:cs="宋体"/>
          <w:b/>
          <w:bCs/>
          <w:color w:val="000000"/>
        </w:rPr>
        <w:t xml:space="preserve"> JC</w:t>
      </w:r>
      <w:r w:rsidRPr="00472719">
        <w:rPr>
          <w:rFonts w:ascii="Book Antiqua" w:hAnsi="Book Antiqua" w:cs="宋体"/>
          <w:color w:val="000000"/>
        </w:rPr>
        <w:t xml:space="preserve">, Coelho DE, Coelho JF, de Lima LF, dos Santos JS, </w:t>
      </w:r>
      <w:proofErr w:type="spellStart"/>
      <w:r w:rsidRPr="00472719">
        <w:rPr>
          <w:rFonts w:ascii="Book Antiqua" w:hAnsi="Book Antiqua" w:cs="宋体"/>
          <w:color w:val="000000"/>
        </w:rPr>
        <w:t>Módena</w:t>
      </w:r>
      <w:proofErr w:type="spellEnd"/>
      <w:r w:rsidRPr="00472719">
        <w:rPr>
          <w:rFonts w:ascii="Book Antiqua" w:hAnsi="Book Antiqua" w:cs="宋体"/>
          <w:color w:val="000000"/>
        </w:rPr>
        <w:t xml:space="preserve"> JL. Single-step EUS-guided endoscopic treatment for sterile pancreatic collections: a single-center experience. </w:t>
      </w:r>
      <w:r w:rsidRPr="00472719">
        <w:rPr>
          <w:rFonts w:ascii="Book Antiqua" w:hAnsi="Book Antiqua" w:cs="宋体"/>
          <w:i/>
          <w:iCs/>
          <w:color w:val="000000"/>
        </w:rPr>
        <w:t>Dig Dis</w:t>
      </w:r>
      <w:r w:rsidRPr="00472719">
        <w:rPr>
          <w:rFonts w:ascii="Book Antiqua" w:hAnsi="Book Antiqua" w:cs="宋体"/>
          <w:color w:val="000000"/>
        </w:rPr>
        <w:t> 2008; </w:t>
      </w:r>
      <w:r w:rsidRPr="00472719">
        <w:rPr>
          <w:rFonts w:ascii="Book Antiqua" w:hAnsi="Book Antiqua" w:cs="宋体"/>
          <w:b/>
          <w:bCs/>
          <w:color w:val="000000"/>
        </w:rPr>
        <w:t>26</w:t>
      </w:r>
      <w:r w:rsidRPr="00472719">
        <w:rPr>
          <w:rFonts w:ascii="Book Antiqua" w:hAnsi="Book Antiqua" w:cs="宋体"/>
          <w:color w:val="000000"/>
        </w:rPr>
        <w:t>: 370-376 [PMID: 19188730 DOI: 10.1159/000177024]</w:t>
      </w:r>
    </w:p>
    <w:p w14:paraId="71AFACC5" w14:textId="30F51CDC"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4</w:t>
      </w:r>
      <w:r w:rsidR="00843137">
        <w:rPr>
          <w:rFonts w:ascii="Book Antiqua" w:hAnsi="Book Antiqua" w:cs="宋体"/>
          <w:color w:val="000000"/>
        </w:rPr>
        <w:t>3</w:t>
      </w:r>
      <w:r w:rsidRPr="00472719">
        <w:rPr>
          <w:rFonts w:ascii="Book Antiqua" w:hAnsi="Book Antiqua" w:cs="宋体"/>
          <w:color w:val="000000"/>
        </w:rPr>
        <w:t> </w:t>
      </w:r>
      <w:proofErr w:type="spellStart"/>
      <w:r w:rsidRPr="00472719">
        <w:rPr>
          <w:rFonts w:ascii="Book Antiqua" w:hAnsi="Book Antiqua" w:cs="宋体"/>
          <w:b/>
          <w:bCs/>
          <w:color w:val="000000"/>
        </w:rPr>
        <w:t>Sadik</w:t>
      </w:r>
      <w:proofErr w:type="spellEnd"/>
      <w:r w:rsidRPr="00472719">
        <w:rPr>
          <w:rFonts w:ascii="Book Antiqua" w:hAnsi="Book Antiqua" w:cs="宋体"/>
          <w:b/>
          <w:bCs/>
          <w:color w:val="000000"/>
        </w:rPr>
        <w:t xml:space="preserve"> R</w:t>
      </w:r>
      <w:r w:rsidRPr="00472719">
        <w:rPr>
          <w:rFonts w:ascii="Book Antiqua" w:hAnsi="Book Antiqua" w:cs="宋体"/>
          <w:color w:val="000000"/>
        </w:rPr>
        <w:t xml:space="preserve">, </w:t>
      </w:r>
      <w:proofErr w:type="spellStart"/>
      <w:r w:rsidRPr="00472719">
        <w:rPr>
          <w:rFonts w:ascii="Book Antiqua" w:hAnsi="Book Antiqua" w:cs="宋体"/>
          <w:color w:val="000000"/>
        </w:rPr>
        <w:t>Kalaitzakis</w:t>
      </w:r>
      <w:proofErr w:type="spellEnd"/>
      <w:r w:rsidRPr="00472719">
        <w:rPr>
          <w:rFonts w:ascii="Book Antiqua" w:hAnsi="Book Antiqua" w:cs="宋体"/>
          <w:color w:val="000000"/>
        </w:rPr>
        <w:t xml:space="preserve"> E, Thune A, Hansen J, </w:t>
      </w:r>
      <w:proofErr w:type="spellStart"/>
      <w:r w:rsidRPr="00472719">
        <w:rPr>
          <w:rFonts w:ascii="Book Antiqua" w:hAnsi="Book Antiqua" w:cs="宋体"/>
          <w:color w:val="000000"/>
        </w:rPr>
        <w:t>Jönson</w:t>
      </w:r>
      <w:proofErr w:type="spellEnd"/>
      <w:r w:rsidRPr="00472719">
        <w:rPr>
          <w:rFonts w:ascii="Book Antiqua" w:hAnsi="Book Antiqua" w:cs="宋体"/>
          <w:color w:val="000000"/>
        </w:rPr>
        <w:t xml:space="preserve"> C. EUS-guided drainage is more successful in pancreatic </w:t>
      </w:r>
      <w:proofErr w:type="spellStart"/>
      <w:r w:rsidRPr="00472719">
        <w:rPr>
          <w:rFonts w:ascii="Book Antiqua" w:hAnsi="Book Antiqua" w:cs="宋体"/>
          <w:color w:val="000000"/>
        </w:rPr>
        <w:t>pseudocysts</w:t>
      </w:r>
      <w:proofErr w:type="spellEnd"/>
      <w:r w:rsidRPr="00472719">
        <w:rPr>
          <w:rFonts w:ascii="Book Antiqua" w:hAnsi="Book Antiqua" w:cs="宋体"/>
          <w:color w:val="000000"/>
        </w:rPr>
        <w:t xml:space="preserve"> compared with abscesses. </w:t>
      </w:r>
      <w:r w:rsidRPr="00472719">
        <w:rPr>
          <w:rFonts w:ascii="Book Antiqua" w:hAnsi="Book Antiqua" w:cs="宋体"/>
          <w:i/>
          <w:iCs/>
          <w:color w:val="000000"/>
        </w:rPr>
        <w:t xml:space="preserve">World J </w:t>
      </w:r>
      <w:proofErr w:type="spellStart"/>
      <w:r w:rsidRPr="00472719">
        <w:rPr>
          <w:rFonts w:ascii="Book Antiqua" w:hAnsi="Book Antiqua" w:cs="宋体"/>
          <w:i/>
          <w:iCs/>
          <w:color w:val="000000"/>
        </w:rPr>
        <w:t>Gastroenterol</w:t>
      </w:r>
      <w:proofErr w:type="spellEnd"/>
      <w:r w:rsidRPr="00472719">
        <w:rPr>
          <w:rFonts w:ascii="Book Antiqua" w:hAnsi="Book Antiqua" w:cs="宋体"/>
          <w:color w:val="000000"/>
        </w:rPr>
        <w:t> 2011; </w:t>
      </w:r>
      <w:r w:rsidRPr="00472719">
        <w:rPr>
          <w:rFonts w:ascii="Book Antiqua" w:hAnsi="Book Antiqua" w:cs="宋体"/>
          <w:b/>
          <w:bCs/>
          <w:color w:val="000000"/>
        </w:rPr>
        <w:t>17</w:t>
      </w:r>
      <w:r w:rsidRPr="00472719">
        <w:rPr>
          <w:rFonts w:ascii="Book Antiqua" w:hAnsi="Book Antiqua" w:cs="宋体"/>
          <w:color w:val="000000"/>
        </w:rPr>
        <w:t>: 499-505 [PMID: 21274380 DOI: 10.3748/wjg.v17.i4.499]</w:t>
      </w:r>
    </w:p>
    <w:p w14:paraId="7B8402BD" w14:textId="4660E496"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4</w:t>
      </w:r>
      <w:r w:rsidR="00843137">
        <w:rPr>
          <w:rFonts w:ascii="Book Antiqua" w:hAnsi="Book Antiqua" w:cs="宋体"/>
          <w:color w:val="000000"/>
        </w:rPr>
        <w:t>4</w:t>
      </w:r>
      <w:r w:rsidRPr="00472719">
        <w:rPr>
          <w:rFonts w:ascii="Book Antiqua" w:hAnsi="Book Antiqua" w:cs="宋体"/>
          <w:color w:val="000000"/>
        </w:rPr>
        <w:t> </w:t>
      </w:r>
      <w:r w:rsidRPr="00472719">
        <w:rPr>
          <w:rFonts w:ascii="Book Antiqua" w:hAnsi="Book Antiqua" w:cs="宋体"/>
          <w:b/>
          <w:bCs/>
          <w:color w:val="000000"/>
        </w:rPr>
        <w:t>Seewald S</w:t>
      </w:r>
      <w:r w:rsidRPr="00472719">
        <w:rPr>
          <w:rFonts w:ascii="Book Antiqua" w:hAnsi="Book Antiqua" w:cs="宋体"/>
          <w:color w:val="000000"/>
        </w:rPr>
        <w:t xml:space="preserve">, </w:t>
      </w:r>
      <w:proofErr w:type="spellStart"/>
      <w:r w:rsidRPr="00472719">
        <w:rPr>
          <w:rFonts w:ascii="Book Antiqua" w:hAnsi="Book Antiqua" w:cs="宋体"/>
          <w:color w:val="000000"/>
        </w:rPr>
        <w:t>Ang</w:t>
      </w:r>
      <w:proofErr w:type="spellEnd"/>
      <w:r w:rsidRPr="00472719">
        <w:rPr>
          <w:rFonts w:ascii="Book Antiqua" w:hAnsi="Book Antiqua" w:cs="宋体"/>
          <w:color w:val="000000"/>
        </w:rPr>
        <w:t xml:space="preserve"> TL, Richter H, </w:t>
      </w:r>
      <w:proofErr w:type="spellStart"/>
      <w:r w:rsidRPr="00472719">
        <w:rPr>
          <w:rFonts w:ascii="Book Antiqua" w:hAnsi="Book Antiqua" w:cs="宋体"/>
          <w:color w:val="000000"/>
        </w:rPr>
        <w:t>Teng</w:t>
      </w:r>
      <w:proofErr w:type="spellEnd"/>
      <w:r w:rsidRPr="00472719">
        <w:rPr>
          <w:rFonts w:ascii="Book Antiqua" w:hAnsi="Book Antiqua" w:cs="宋体"/>
          <w:color w:val="000000"/>
        </w:rPr>
        <w:t xml:space="preserve"> KY, </w:t>
      </w:r>
      <w:proofErr w:type="spellStart"/>
      <w:r w:rsidRPr="00472719">
        <w:rPr>
          <w:rFonts w:ascii="Book Antiqua" w:hAnsi="Book Antiqua" w:cs="宋体"/>
          <w:color w:val="000000"/>
        </w:rPr>
        <w:t>Zhong</w:t>
      </w:r>
      <w:proofErr w:type="spellEnd"/>
      <w:r w:rsidRPr="00472719">
        <w:rPr>
          <w:rFonts w:ascii="Book Antiqua" w:hAnsi="Book Antiqua" w:cs="宋体"/>
          <w:color w:val="000000"/>
        </w:rPr>
        <w:t xml:space="preserve"> Y, </w:t>
      </w:r>
      <w:proofErr w:type="spellStart"/>
      <w:r w:rsidRPr="00472719">
        <w:rPr>
          <w:rFonts w:ascii="Book Antiqua" w:hAnsi="Book Antiqua" w:cs="宋体"/>
          <w:color w:val="000000"/>
        </w:rPr>
        <w:t>Groth</w:t>
      </w:r>
      <w:proofErr w:type="spellEnd"/>
      <w:r w:rsidRPr="00472719">
        <w:rPr>
          <w:rFonts w:ascii="Book Antiqua" w:hAnsi="Book Antiqua" w:cs="宋体"/>
          <w:color w:val="000000"/>
        </w:rPr>
        <w:t xml:space="preserve"> S, Omar S, </w:t>
      </w:r>
      <w:proofErr w:type="spellStart"/>
      <w:r w:rsidRPr="00472719">
        <w:rPr>
          <w:rFonts w:ascii="Book Antiqua" w:hAnsi="Book Antiqua" w:cs="宋体"/>
          <w:color w:val="000000"/>
        </w:rPr>
        <w:t>Soehendra</w:t>
      </w:r>
      <w:proofErr w:type="spellEnd"/>
      <w:r w:rsidRPr="00472719">
        <w:rPr>
          <w:rFonts w:ascii="Book Antiqua" w:hAnsi="Book Antiqua" w:cs="宋体"/>
          <w:color w:val="000000"/>
        </w:rPr>
        <w:t xml:space="preserve"> N. Long-term results after endoscopic drainage and </w:t>
      </w:r>
      <w:proofErr w:type="spellStart"/>
      <w:r w:rsidRPr="00472719">
        <w:rPr>
          <w:rFonts w:ascii="Book Antiqua" w:hAnsi="Book Antiqua" w:cs="宋体"/>
          <w:color w:val="000000"/>
        </w:rPr>
        <w:t>necrosectomy</w:t>
      </w:r>
      <w:proofErr w:type="spellEnd"/>
      <w:r w:rsidRPr="00472719">
        <w:rPr>
          <w:rFonts w:ascii="Book Antiqua" w:hAnsi="Book Antiqua" w:cs="宋体"/>
          <w:color w:val="000000"/>
        </w:rPr>
        <w:t xml:space="preserve"> of symptomatic pancreatic fluid collections. </w:t>
      </w:r>
      <w:r w:rsidRPr="00472719">
        <w:rPr>
          <w:rFonts w:ascii="Book Antiqua" w:hAnsi="Book Antiqua" w:cs="宋体"/>
          <w:i/>
          <w:iCs/>
          <w:color w:val="000000"/>
        </w:rPr>
        <w:t xml:space="preserve">Dig </w:t>
      </w:r>
      <w:proofErr w:type="spellStart"/>
      <w:r w:rsidRPr="00472719">
        <w:rPr>
          <w:rFonts w:ascii="Book Antiqua" w:hAnsi="Book Antiqua" w:cs="宋体"/>
          <w:i/>
          <w:iCs/>
          <w:color w:val="000000"/>
        </w:rPr>
        <w:t>Endosc</w:t>
      </w:r>
      <w:proofErr w:type="spellEnd"/>
      <w:r w:rsidRPr="00472719">
        <w:rPr>
          <w:rFonts w:ascii="Book Antiqua" w:hAnsi="Book Antiqua" w:cs="宋体"/>
          <w:color w:val="000000"/>
        </w:rPr>
        <w:t> 2012; </w:t>
      </w:r>
      <w:r w:rsidRPr="00472719">
        <w:rPr>
          <w:rFonts w:ascii="Book Antiqua" w:hAnsi="Book Antiqua" w:cs="宋体"/>
          <w:b/>
          <w:bCs/>
          <w:color w:val="000000"/>
        </w:rPr>
        <w:t>24</w:t>
      </w:r>
      <w:r w:rsidRPr="00472719">
        <w:rPr>
          <w:rFonts w:ascii="Book Antiqua" w:hAnsi="Book Antiqua" w:cs="宋体"/>
          <w:color w:val="000000"/>
        </w:rPr>
        <w:t>: 36-41 [PMID: 22211410 DOI: 10.1111/j.1443-1661.2011.01162.x]</w:t>
      </w:r>
    </w:p>
    <w:p w14:paraId="126A128F" w14:textId="0E2E1EF8" w:rsidR="00C2205B" w:rsidRPr="00472719" w:rsidRDefault="00C2205B" w:rsidP="00472719">
      <w:pPr>
        <w:adjustRightInd w:val="0"/>
        <w:snapToGrid w:val="0"/>
        <w:spacing w:line="360" w:lineRule="auto"/>
        <w:jc w:val="both"/>
        <w:rPr>
          <w:rFonts w:ascii="Book Antiqua" w:hAnsi="Book Antiqua" w:cs="宋体"/>
          <w:color w:val="000000"/>
        </w:rPr>
      </w:pPr>
      <w:r w:rsidRPr="00472719">
        <w:rPr>
          <w:rFonts w:ascii="Book Antiqua" w:hAnsi="Book Antiqua" w:cs="宋体"/>
          <w:color w:val="000000"/>
        </w:rPr>
        <w:t>4</w:t>
      </w:r>
      <w:r w:rsidR="00843137">
        <w:rPr>
          <w:rFonts w:ascii="Book Antiqua" w:hAnsi="Book Antiqua" w:cs="宋体"/>
          <w:color w:val="000000"/>
        </w:rPr>
        <w:t>5</w:t>
      </w:r>
      <w:r w:rsidRPr="00472719">
        <w:rPr>
          <w:rFonts w:ascii="Book Antiqua" w:hAnsi="Book Antiqua" w:cs="宋体"/>
          <w:color w:val="000000"/>
        </w:rPr>
        <w:t> </w:t>
      </w:r>
      <w:r w:rsidRPr="00472719">
        <w:rPr>
          <w:rFonts w:ascii="Book Antiqua" w:hAnsi="Book Antiqua" w:cs="宋体"/>
          <w:b/>
          <w:bCs/>
          <w:color w:val="000000"/>
        </w:rPr>
        <w:t xml:space="preserve">van </w:t>
      </w:r>
      <w:proofErr w:type="spellStart"/>
      <w:r w:rsidRPr="00472719">
        <w:rPr>
          <w:rFonts w:ascii="Book Antiqua" w:hAnsi="Book Antiqua" w:cs="宋体"/>
          <w:b/>
          <w:bCs/>
          <w:color w:val="000000"/>
        </w:rPr>
        <w:t>Santvoort</w:t>
      </w:r>
      <w:proofErr w:type="spellEnd"/>
      <w:r w:rsidRPr="00472719">
        <w:rPr>
          <w:rFonts w:ascii="Book Antiqua" w:hAnsi="Book Antiqua" w:cs="宋体"/>
          <w:b/>
          <w:bCs/>
          <w:color w:val="000000"/>
        </w:rPr>
        <w:t xml:space="preserve"> HC</w:t>
      </w:r>
      <w:r w:rsidRPr="00472719">
        <w:rPr>
          <w:rFonts w:ascii="Book Antiqua" w:hAnsi="Book Antiqua" w:cs="宋体"/>
          <w:color w:val="000000"/>
        </w:rPr>
        <w:t xml:space="preserve">, </w:t>
      </w:r>
      <w:proofErr w:type="spellStart"/>
      <w:r w:rsidRPr="00472719">
        <w:rPr>
          <w:rFonts w:ascii="Book Antiqua" w:hAnsi="Book Antiqua" w:cs="宋体"/>
          <w:color w:val="000000"/>
        </w:rPr>
        <w:t>Besselink</w:t>
      </w:r>
      <w:proofErr w:type="spellEnd"/>
      <w:r w:rsidRPr="00472719">
        <w:rPr>
          <w:rFonts w:ascii="Book Antiqua" w:hAnsi="Book Antiqua" w:cs="宋体"/>
          <w:color w:val="000000"/>
        </w:rPr>
        <w:t xml:space="preserve"> MG, Bakker OJ, </w:t>
      </w:r>
      <w:proofErr w:type="spellStart"/>
      <w:r w:rsidRPr="00472719">
        <w:rPr>
          <w:rFonts w:ascii="Book Antiqua" w:hAnsi="Book Antiqua" w:cs="宋体"/>
          <w:color w:val="000000"/>
        </w:rPr>
        <w:t>Hofker</w:t>
      </w:r>
      <w:proofErr w:type="spellEnd"/>
      <w:r w:rsidRPr="00472719">
        <w:rPr>
          <w:rFonts w:ascii="Book Antiqua" w:hAnsi="Book Antiqua" w:cs="宋体"/>
          <w:color w:val="000000"/>
        </w:rPr>
        <w:t xml:space="preserve"> HS, </w:t>
      </w:r>
      <w:proofErr w:type="spellStart"/>
      <w:r w:rsidRPr="00472719">
        <w:rPr>
          <w:rFonts w:ascii="Book Antiqua" w:hAnsi="Book Antiqua" w:cs="宋体"/>
          <w:color w:val="000000"/>
        </w:rPr>
        <w:t>Boermeester</w:t>
      </w:r>
      <w:proofErr w:type="spellEnd"/>
      <w:r w:rsidRPr="00472719">
        <w:rPr>
          <w:rFonts w:ascii="Book Antiqua" w:hAnsi="Book Antiqua" w:cs="宋体"/>
          <w:color w:val="000000"/>
        </w:rPr>
        <w:t xml:space="preserve"> MA, </w:t>
      </w:r>
      <w:proofErr w:type="spellStart"/>
      <w:r w:rsidRPr="00472719">
        <w:rPr>
          <w:rFonts w:ascii="Book Antiqua" w:hAnsi="Book Antiqua" w:cs="宋体"/>
          <w:color w:val="000000"/>
        </w:rPr>
        <w:t>Dejong</w:t>
      </w:r>
      <w:proofErr w:type="spellEnd"/>
      <w:r w:rsidRPr="00472719">
        <w:rPr>
          <w:rFonts w:ascii="Book Antiqua" w:hAnsi="Book Antiqua" w:cs="宋体"/>
          <w:color w:val="000000"/>
        </w:rPr>
        <w:t xml:space="preserve"> CH, van </w:t>
      </w:r>
      <w:proofErr w:type="spellStart"/>
      <w:r w:rsidRPr="00472719">
        <w:rPr>
          <w:rFonts w:ascii="Book Antiqua" w:hAnsi="Book Antiqua" w:cs="宋体"/>
          <w:color w:val="000000"/>
        </w:rPr>
        <w:t>Goor</w:t>
      </w:r>
      <w:proofErr w:type="spellEnd"/>
      <w:r w:rsidRPr="00472719">
        <w:rPr>
          <w:rFonts w:ascii="Book Antiqua" w:hAnsi="Book Antiqua" w:cs="宋体"/>
          <w:color w:val="000000"/>
        </w:rPr>
        <w:t xml:space="preserve"> H, </w:t>
      </w:r>
      <w:proofErr w:type="spellStart"/>
      <w:r w:rsidRPr="00472719">
        <w:rPr>
          <w:rFonts w:ascii="Book Antiqua" w:hAnsi="Book Antiqua" w:cs="宋体"/>
          <w:color w:val="000000"/>
        </w:rPr>
        <w:t>Schaapherder</w:t>
      </w:r>
      <w:proofErr w:type="spellEnd"/>
      <w:r w:rsidRPr="00472719">
        <w:rPr>
          <w:rFonts w:ascii="Book Antiqua" w:hAnsi="Book Antiqua" w:cs="宋体"/>
          <w:color w:val="000000"/>
        </w:rPr>
        <w:t xml:space="preserve"> AF, van </w:t>
      </w:r>
      <w:proofErr w:type="spellStart"/>
      <w:r w:rsidRPr="00472719">
        <w:rPr>
          <w:rFonts w:ascii="Book Antiqua" w:hAnsi="Book Antiqua" w:cs="宋体"/>
          <w:color w:val="000000"/>
        </w:rPr>
        <w:t>Eijck</w:t>
      </w:r>
      <w:proofErr w:type="spellEnd"/>
      <w:r w:rsidRPr="00472719">
        <w:rPr>
          <w:rFonts w:ascii="Book Antiqua" w:hAnsi="Book Antiqua" w:cs="宋体"/>
          <w:color w:val="000000"/>
        </w:rPr>
        <w:t xml:space="preserve"> CH, </w:t>
      </w:r>
      <w:proofErr w:type="spellStart"/>
      <w:r w:rsidRPr="00472719">
        <w:rPr>
          <w:rFonts w:ascii="Book Antiqua" w:hAnsi="Book Antiqua" w:cs="宋体"/>
          <w:color w:val="000000"/>
        </w:rPr>
        <w:t>Bollen</w:t>
      </w:r>
      <w:proofErr w:type="spellEnd"/>
      <w:r w:rsidRPr="00472719">
        <w:rPr>
          <w:rFonts w:ascii="Book Antiqua" w:hAnsi="Book Antiqua" w:cs="宋体"/>
          <w:color w:val="000000"/>
        </w:rPr>
        <w:t xml:space="preserve"> TL, van </w:t>
      </w:r>
      <w:proofErr w:type="spellStart"/>
      <w:r w:rsidRPr="00472719">
        <w:rPr>
          <w:rFonts w:ascii="Book Antiqua" w:hAnsi="Book Antiqua" w:cs="宋体"/>
          <w:color w:val="000000"/>
        </w:rPr>
        <w:t>Ramshorst</w:t>
      </w:r>
      <w:proofErr w:type="spellEnd"/>
      <w:r w:rsidRPr="00472719">
        <w:rPr>
          <w:rFonts w:ascii="Book Antiqua" w:hAnsi="Book Antiqua" w:cs="宋体"/>
          <w:color w:val="000000"/>
        </w:rPr>
        <w:t xml:space="preserve"> B, </w:t>
      </w:r>
      <w:proofErr w:type="spellStart"/>
      <w:r w:rsidRPr="00472719">
        <w:rPr>
          <w:rFonts w:ascii="Book Antiqua" w:hAnsi="Book Antiqua" w:cs="宋体"/>
          <w:color w:val="000000"/>
        </w:rPr>
        <w:t>Nieuwenhuijs</w:t>
      </w:r>
      <w:proofErr w:type="spellEnd"/>
      <w:r w:rsidRPr="00472719">
        <w:rPr>
          <w:rFonts w:ascii="Book Antiqua" w:hAnsi="Book Antiqua" w:cs="宋体"/>
          <w:color w:val="000000"/>
        </w:rPr>
        <w:t xml:space="preserve"> VB, </w:t>
      </w:r>
      <w:proofErr w:type="spellStart"/>
      <w:r w:rsidRPr="00472719">
        <w:rPr>
          <w:rFonts w:ascii="Book Antiqua" w:hAnsi="Book Antiqua" w:cs="宋体"/>
          <w:color w:val="000000"/>
        </w:rPr>
        <w:t>Timmer</w:t>
      </w:r>
      <w:proofErr w:type="spellEnd"/>
      <w:r w:rsidRPr="00472719">
        <w:rPr>
          <w:rFonts w:ascii="Book Antiqua" w:hAnsi="Book Antiqua" w:cs="宋体"/>
          <w:color w:val="000000"/>
        </w:rPr>
        <w:t xml:space="preserve"> R, </w:t>
      </w:r>
      <w:proofErr w:type="spellStart"/>
      <w:r w:rsidRPr="00472719">
        <w:rPr>
          <w:rFonts w:ascii="Book Antiqua" w:hAnsi="Book Antiqua" w:cs="宋体"/>
          <w:color w:val="000000"/>
        </w:rPr>
        <w:t>Laméris</w:t>
      </w:r>
      <w:proofErr w:type="spellEnd"/>
      <w:r w:rsidRPr="00472719">
        <w:rPr>
          <w:rFonts w:ascii="Book Antiqua" w:hAnsi="Book Antiqua" w:cs="宋体"/>
          <w:color w:val="000000"/>
        </w:rPr>
        <w:t xml:space="preserve"> JS, </w:t>
      </w:r>
      <w:proofErr w:type="spellStart"/>
      <w:r w:rsidRPr="00472719">
        <w:rPr>
          <w:rFonts w:ascii="Book Antiqua" w:hAnsi="Book Antiqua" w:cs="宋体"/>
          <w:color w:val="000000"/>
        </w:rPr>
        <w:t>Kruyt</w:t>
      </w:r>
      <w:proofErr w:type="spellEnd"/>
      <w:r w:rsidRPr="00472719">
        <w:rPr>
          <w:rFonts w:ascii="Book Antiqua" w:hAnsi="Book Antiqua" w:cs="宋体"/>
          <w:color w:val="000000"/>
        </w:rPr>
        <w:t xml:space="preserve"> PM, </w:t>
      </w:r>
      <w:proofErr w:type="spellStart"/>
      <w:r w:rsidRPr="00472719">
        <w:rPr>
          <w:rFonts w:ascii="Book Antiqua" w:hAnsi="Book Antiqua" w:cs="宋体"/>
          <w:color w:val="000000"/>
        </w:rPr>
        <w:t>Manusama</w:t>
      </w:r>
      <w:proofErr w:type="spellEnd"/>
      <w:r w:rsidRPr="00472719">
        <w:rPr>
          <w:rFonts w:ascii="Book Antiqua" w:hAnsi="Book Antiqua" w:cs="宋体"/>
          <w:color w:val="000000"/>
        </w:rPr>
        <w:t xml:space="preserve"> ER, van der </w:t>
      </w:r>
      <w:proofErr w:type="spellStart"/>
      <w:r w:rsidRPr="00472719">
        <w:rPr>
          <w:rFonts w:ascii="Book Antiqua" w:hAnsi="Book Antiqua" w:cs="宋体"/>
          <w:color w:val="000000"/>
        </w:rPr>
        <w:t>Harst</w:t>
      </w:r>
      <w:proofErr w:type="spellEnd"/>
      <w:r w:rsidRPr="00472719">
        <w:rPr>
          <w:rFonts w:ascii="Book Antiqua" w:hAnsi="Book Antiqua" w:cs="宋体"/>
          <w:color w:val="000000"/>
        </w:rPr>
        <w:t xml:space="preserve"> E, van der Schelling GP, </w:t>
      </w:r>
      <w:proofErr w:type="spellStart"/>
      <w:r w:rsidRPr="00472719">
        <w:rPr>
          <w:rFonts w:ascii="Book Antiqua" w:hAnsi="Book Antiqua" w:cs="宋体"/>
          <w:color w:val="000000"/>
        </w:rPr>
        <w:t>Karsten</w:t>
      </w:r>
      <w:proofErr w:type="spellEnd"/>
      <w:r w:rsidRPr="00472719">
        <w:rPr>
          <w:rFonts w:ascii="Book Antiqua" w:hAnsi="Book Antiqua" w:cs="宋体"/>
          <w:color w:val="000000"/>
        </w:rPr>
        <w:t xml:space="preserve"> T, </w:t>
      </w:r>
      <w:proofErr w:type="spellStart"/>
      <w:r w:rsidRPr="00472719">
        <w:rPr>
          <w:rFonts w:ascii="Book Antiqua" w:hAnsi="Book Antiqua" w:cs="宋体"/>
          <w:color w:val="000000"/>
        </w:rPr>
        <w:t>Hesselink</w:t>
      </w:r>
      <w:proofErr w:type="spellEnd"/>
      <w:r w:rsidRPr="00472719">
        <w:rPr>
          <w:rFonts w:ascii="Book Antiqua" w:hAnsi="Book Antiqua" w:cs="宋体"/>
          <w:color w:val="000000"/>
        </w:rPr>
        <w:t xml:space="preserve"> EJ, van </w:t>
      </w:r>
      <w:proofErr w:type="spellStart"/>
      <w:r w:rsidRPr="00472719">
        <w:rPr>
          <w:rFonts w:ascii="Book Antiqua" w:hAnsi="Book Antiqua" w:cs="宋体"/>
          <w:color w:val="000000"/>
        </w:rPr>
        <w:t>Laarhoven</w:t>
      </w:r>
      <w:proofErr w:type="spellEnd"/>
      <w:r w:rsidRPr="00472719">
        <w:rPr>
          <w:rFonts w:ascii="Book Antiqua" w:hAnsi="Book Antiqua" w:cs="宋体"/>
          <w:color w:val="000000"/>
        </w:rPr>
        <w:t xml:space="preserve"> CJ, </w:t>
      </w:r>
      <w:proofErr w:type="spellStart"/>
      <w:r w:rsidRPr="00472719">
        <w:rPr>
          <w:rFonts w:ascii="Book Antiqua" w:hAnsi="Book Antiqua" w:cs="宋体"/>
          <w:color w:val="000000"/>
        </w:rPr>
        <w:t>Rosman</w:t>
      </w:r>
      <w:proofErr w:type="spellEnd"/>
      <w:r w:rsidRPr="00472719">
        <w:rPr>
          <w:rFonts w:ascii="Book Antiqua" w:hAnsi="Book Antiqua" w:cs="宋体"/>
          <w:color w:val="000000"/>
        </w:rPr>
        <w:t xml:space="preserve"> C, </w:t>
      </w:r>
      <w:proofErr w:type="spellStart"/>
      <w:r w:rsidRPr="00472719">
        <w:rPr>
          <w:rFonts w:ascii="Book Antiqua" w:hAnsi="Book Antiqua" w:cs="宋体"/>
          <w:color w:val="000000"/>
        </w:rPr>
        <w:t>Bosscha</w:t>
      </w:r>
      <w:proofErr w:type="spellEnd"/>
      <w:r w:rsidRPr="00472719">
        <w:rPr>
          <w:rFonts w:ascii="Book Antiqua" w:hAnsi="Book Antiqua" w:cs="宋体"/>
          <w:color w:val="000000"/>
        </w:rPr>
        <w:t xml:space="preserve"> K, de Wit RJ, </w:t>
      </w:r>
      <w:proofErr w:type="spellStart"/>
      <w:r w:rsidRPr="00472719">
        <w:rPr>
          <w:rFonts w:ascii="Book Antiqua" w:hAnsi="Book Antiqua" w:cs="宋体"/>
          <w:color w:val="000000"/>
        </w:rPr>
        <w:t>Houdijk</w:t>
      </w:r>
      <w:proofErr w:type="spellEnd"/>
      <w:r w:rsidRPr="00472719">
        <w:rPr>
          <w:rFonts w:ascii="Book Antiqua" w:hAnsi="Book Antiqua" w:cs="宋体"/>
          <w:color w:val="000000"/>
        </w:rPr>
        <w:t xml:space="preserve"> AP, van </w:t>
      </w:r>
      <w:proofErr w:type="spellStart"/>
      <w:r w:rsidRPr="00472719">
        <w:rPr>
          <w:rFonts w:ascii="Book Antiqua" w:hAnsi="Book Antiqua" w:cs="宋体"/>
          <w:color w:val="000000"/>
        </w:rPr>
        <w:t>Leeuwen</w:t>
      </w:r>
      <w:proofErr w:type="spellEnd"/>
      <w:r w:rsidRPr="00472719">
        <w:rPr>
          <w:rFonts w:ascii="Book Antiqua" w:hAnsi="Book Antiqua" w:cs="宋体"/>
          <w:color w:val="000000"/>
        </w:rPr>
        <w:t xml:space="preserve"> MS, </w:t>
      </w:r>
      <w:proofErr w:type="spellStart"/>
      <w:r w:rsidRPr="00472719">
        <w:rPr>
          <w:rFonts w:ascii="Book Antiqua" w:hAnsi="Book Antiqua" w:cs="宋体"/>
          <w:color w:val="000000"/>
        </w:rPr>
        <w:t>Buskens</w:t>
      </w:r>
      <w:proofErr w:type="spellEnd"/>
      <w:r w:rsidRPr="00472719">
        <w:rPr>
          <w:rFonts w:ascii="Book Antiqua" w:hAnsi="Book Antiqua" w:cs="宋体"/>
          <w:color w:val="000000"/>
        </w:rPr>
        <w:t xml:space="preserve"> E, </w:t>
      </w:r>
      <w:proofErr w:type="spellStart"/>
      <w:r w:rsidRPr="00472719">
        <w:rPr>
          <w:rFonts w:ascii="Book Antiqua" w:hAnsi="Book Antiqua" w:cs="宋体"/>
          <w:color w:val="000000"/>
        </w:rPr>
        <w:t>Gooszen</w:t>
      </w:r>
      <w:proofErr w:type="spellEnd"/>
      <w:r w:rsidRPr="00472719">
        <w:rPr>
          <w:rFonts w:ascii="Book Antiqua" w:hAnsi="Book Antiqua" w:cs="宋体"/>
          <w:color w:val="000000"/>
        </w:rPr>
        <w:t xml:space="preserve"> HG. A step-up approach or open </w:t>
      </w:r>
      <w:proofErr w:type="spellStart"/>
      <w:r w:rsidRPr="00472719">
        <w:rPr>
          <w:rFonts w:ascii="Book Antiqua" w:hAnsi="Book Antiqua" w:cs="宋体"/>
          <w:color w:val="000000"/>
        </w:rPr>
        <w:t>necrosectomy</w:t>
      </w:r>
      <w:proofErr w:type="spellEnd"/>
      <w:r w:rsidRPr="00472719">
        <w:rPr>
          <w:rFonts w:ascii="Book Antiqua" w:hAnsi="Book Antiqua" w:cs="宋体"/>
          <w:color w:val="000000"/>
        </w:rPr>
        <w:t xml:space="preserve"> for necrotizing pancreatitis. </w:t>
      </w:r>
      <w:r w:rsidRPr="00472719">
        <w:rPr>
          <w:rFonts w:ascii="Book Antiqua" w:hAnsi="Book Antiqua" w:cs="宋体"/>
          <w:i/>
          <w:iCs/>
          <w:color w:val="000000"/>
        </w:rPr>
        <w:t xml:space="preserve">N </w:t>
      </w:r>
      <w:proofErr w:type="spellStart"/>
      <w:r w:rsidRPr="00472719">
        <w:rPr>
          <w:rFonts w:ascii="Book Antiqua" w:hAnsi="Book Antiqua" w:cs="宋体"/>
          <w:i/>
          <w:iCs/>
          <w:color w:val="000000"/>
        </w:rPr>
        <w:t>Engl</w:t>
      </w:r>
      <w:proofErr w:type="spellEnd"/>
      <w:r w:rsidRPr="00472719">
        <w:rPr>
          <w:rFonts w:ascii="Book Antiqua" w:hAnsi="Book Antiqua" w:cs="宋体"/>
          <w:i/>
          <w:iCs/>
          <w:color w:val="000000"/>
        </w:rPr>
        <w:t xml:space="preserve"> J Med</w:t>
      </w:r>
      <w:r w:rsidRPr="00472719">
        <w:rPr>
          <w:rFonts w:ascii="Book Antiqua" w:hAnsi="Book Antiqua" w:cs="宋体"/>
          <w:color w:val="000000"/>
        </w:rPr>
        <w:t> 2010; </w:t>
      </w:r>
      <w:r w:rsidRPr="00472719">
        <w:rPr>
          <w:rFonts w:ascii="Book Antiqua" w:hAnsi="Book Antiqua" w:cs="宋体"/>
          <w:b/>
          <w:bCs/>
          <w:color w:val="000000"/>
        </w:rPr>
        <w:t>362</w:t>
      </w:r>
      <w:r w:rsidRPr="00472719">
        <w:rPr>
          <w:rFonts w:ascii="Book Antiqua" w:hAnsi="Book Antiqua" w:cs="宋体"/>
          <w:color w:val="000000"/>
        </w:rPr>
        <w:t>: 1491-1502 [PMID: 20410514 DOI: 10.1056/NEJMoa0908821]</w:t>
      </w:r>
    </w:p>
    <w:p w14:paraId="0A56C235" w14:textId="77777777" w:rsidR="00C2205B" w:rsidRPr="00472719" w:rsidRDefault="00C2205B" w:rsidP="00472719">
      <w:pPr>
        <w:adjustRightInd w:val="0"/>
        <w:snapToGrid w:val="0"/>
        <w:spacing w:line="360" w:lineRule="auto"/>
        <w:jc w:val="both"/>
        <w:rPr>
          <w:rFonts w:ascii="Book Antiqua" w:hAnsi="Book Antiqua"/>
        </w:rPr>
      </w:pPr>
    </w:p>
    <w:p w14:paraId="6B615D37" w14:textId="0A4881CA" w:rsidR="00C2205B" w:rsidRPr="00472719" w:rsidRDefault="00C2205B" w:rsidP="00351BF7">
      <w:pPr>
        <w:adjustRightInd w:val="0"/>
        <w:snapToGrid w:val="0"/>
        <w:spacing w:line="360" w:lineRule="auto"/>
        <w:jc w:val="right"/>
        <w:rPr>
          <w:rFonts w:ascii="Book Antiqua" w:hAnsi="Book Antiqua"/>
          <w:b/>
          <w:bCs/>
        </w:rPr>
      </w:pPr>
      <w:r w:rsidRPr="00472719">
        <w:rPr>
          <w:rFonts w:ascii="Book Antiqua" w:hAnsi="Book Antiqua"/>
          <w:b/>
          <w:bCs/>
        </w:rPr>
        <w:t xml:space="preserve">P-Reviewer: </w:t>
      </w:r>
      <w:proofErr w:type="spellStart"/>
      <w:r w:rsidRPr="00472719">
        <w:rPr>
          <w:rFonts w:ascii="Book Antiqua" w:hAnsi="Book Antiqua"/>
          <w:bCs/>
        </w:rPr>
        <w:t>Tomizawa</w:t>
      </w:r>
      <w:proofErr w:type="spellEnd"/>
      <w:r w:rsidRPr="00472719">
        <w:rPr>
          <w:rFonts w:ascii="Book Antiqua" w:hAnsi="Book Antiqua"/>
          <w:bCs/>
          <w:lang w:eastAsia="zh-CN"/>
        </w:rPr>
        <w:t xml:space="preserve"> </w:t>
      </w:r>
      <w:r w:rsidRPr="00472719">
        <w:rPr>
          <w:rFonts w:ascii="Book Antiqua" w:hAnsi="Book Antiqua"/>
          <w:bCs/>
          <w:caps/>
          <w:lang w:eastAsia="zh-CN"/>
        </w:rPr>
        <w:t>m</w:t>
      </w:r>
      <w:r w:rsidRPr="00472719">
        <w:rPr>
          <w:rFonts w:ascii="Book Antiqua" w:hAnsi="Book Antiqua"/>
          <w:bCs/>
          <w:lang w:eastAsia="zh-CN"/>
        </w:rPr>
        <w:t>,</w:t>
      </w:r>
      <w:r w:rsidRPr="00472719">
        <w:rPr>
          <w:rFonts w:ascii="Book Antiqua" w:hAnsi="Book Antiqua"/>
          <w:bCs/>
        </w:rPr>
        <w:t xml:space="preserve"> Wilcox</w:t>
      </w:r>
      <w:r w:rsidRPr="00472719">
        <w:rPr>
          <w:rFonts w:ascii="Book Antiqua" w:hAnsi="Book Antiqua"/>
          <w:bCs/>
          <w:lang w:eastAsia="zh-CN"/>
        </w:rPr>
        <w:t xml:space="preserve"> </w:t>
      </w:r>
      <w:r w:rsidRPr="00472719">
        <w:rPr>
          <w:rFonts w:ascii="Book Antiqua" w:hAnsi="Book Antiqua"/>
          <w:bCs/>
          <w:caps/>
          <w:lang w:eastAsia="zh-CN"/>
        </w:rPr>
        <w:t>cm</w:t>
      </w:r>
      <w:r w:rsidRPr="00472719">
        <w:rPr>
          <w:rFonts w:ascii="Book Antiqua" w:hAnsi="Book Antiqua"/>
          <w:b/>
          <w:bCs/>
        </w:rPr>
        <w:t xml:space="preserve"> S-Editor:</w:t>
      </w:r>
      <w:r w:rsidRPr="00472719">
        <w:rPr>
          <w:rFonts w:ascii="Book Antiqua" w:hAnsi="Book Antiqua"/>
        </w:rPr>
        <w:t xml:space="preserve"> Ma YJ </w:t>
      </w:r>
      <w:r w:rsidRPr="00472719">
        <w:rPr>
          <w:rFonts w:ascii="Book Antiqua" w:hAnsi="Book Antiqua"/>
          <w:b/>
          <w:bCs/>
        </w:rPr>
        <w:t>L-Editor:</w:t>
      </w:r>
      <w:r w:rsidRPr="00472719">
        <w:rPr>
          <w:rFonts w:ascii="Book Antiqua" w:hAnsi="Book Antiqua"/>
        </w:rPr>
        <w:t xml:space="preserve">   </w:t>
      </w:r>
      <w:r w:rsidRPr="00472719">
        <w:rPr>
          <w:rFonts w:ascii="Book Antiqua" w:hAnsi="Book Antiqua"/>
          <w:b/>
          <w:bCs/>
        </w:rPr>
        <w:t>E-Editor:</w:t>
      </w:r>
    </w:p>
    <w:p w14:paraId="0D0E8D11" w14:textId="77777777" w:rsidR="00C56FB8" w:rsidRPr="00472719" w:rsidRDefault="00C56FB8" w:rsidP="00472719">
      <w:pPr>
        <w:autoSpaceDE w:val="0"/>
        <w:autoSpaceDN w:val="0"/>
        <w:adjustRightInd w:val="0"/>
        <w:snapToGrid w:val="0"/>
        <w:spacing w:line="360" w:lineRule="auto"/>
        <w:jc w:val="both"/>
        <w:rPr>
          <w:rFonts w:ascii="Book Antiqua" w:hAnsi="Book Antiqua"/>
          <w:caps/>
          <w:lang w:eastAsia="zh-CN"/>
        </w:rPr>
      </w:pPr>
    </w:p>
    <w:p w14:paraId="337544F5" w14:textId="32DAF5AD" w:rsidR="0081329E" w:rsidRPr="00472719" w:rsidRDefault="0081329E"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br w:type="page"/>
      </w:r>
    </w:p>
    <w:p w14:paraId="150FB170" w14:textId="6701A596" w:rsidR="00C56FB8" w:rsidRPr="00472719" w:rsidRDefault="0081329E" w:rsidP="00472719">
      <w:pPr>
        <w:pStyle w:val="EndNoteBibliography"/>
        <w:adjustRightInd w:val="0"/>
        <w:snapToGrid w:val="0"/>
        <w:spacing w:line="360" w:lineRule="auto"/>
        <w:rPr>
          <w:rFonts w:ascii="Book Antiqua" w:eastAsia="宋体" w:hAnsi="Book Antiqua" w:cs="Arial"/>
          <w:b/>
          <w:bCs/>
          <w:lang w:eastAsia="zh-CN"/>
        </w:rPr>
      </w:pPr>
      <w:r w:rsidRPr="00472719">
        <w:rPr>
          <w:rFonts w:ascii="Book Antiqua" w:hAnsi="Book Antiqua" w:cs="Arial"/>
          <w:b/>
          <w:bCs/>
        </w:rPr>
        <w:lastRenderedPageBreak/>
        <w:t>Table 1</w:t>
      </w:r>
      <w:r w:rsidRPr="00472719">
        <w:rPr>
          <w:rFonts w:ascii="Book Antiqua" w:eastAsia="宋体" w:hAnsi="Book Antiqua" w:cs="Arial"/>
          <w:b/>
          <w:bCs/>
          <w:lang w:eastAsia="zh-CN"/>
        </w:rPr>
        <w:t xml:space="preserve"> </w:t>
      </w:r>
      <w:r w:rsidRPr="00472719">
        <w:rPr>
          <w:rFonts w:ascii="Book Antiqua" w:hAnsi="Book Antiqua" w:cs="Arial"/>
          <w:b/>
          <w:bCs/>
        </w:rPr>
        <w:t>Revised Atlanta classification (2012) of pancreatic/peripancreatic fluid collections</w:t>
      </w:r>
    </w:p>
    <w:tbl>
      <w:tblPr>
        <w:tblW w:w="0" w:type="auto"/>
        <w:tblBorders>
          <w:top w:val="single" w:sz="4" w:space="0" w:color="auto"/>
          <w:bottom w:val="single" w:sz="4" w:space="0" w:color="auto"/>
        </w:tblBorders>
        <w:tblLayout w:type="fixed"/>
        <w:tblLook w:val="00A0" w:firstRow="1" w:lastRow="0" w:firstColumn="1" w:lastColumn="0" w:noHBand="0" w:noVBand="0"/>
      </w:tblPr>
      <w:tblGrid>
        <w:gridCol w:w="2705"/>
        <w:gridCol w:w="2110"/>
        <w:gridCol w:w="992"/>
        <w:gridCol w:w="2410"/>
      </w:tblGrid>
      <w:tr w:rsidR="0081329E" w:rsidRPr="00472719" w14:paraId="60B9CD4A" w14:textId="77777777" w:rsidTr="0081329E">
        <w:tc>
          <w:tcPr>
            <w:tcW w:w="2705" w:type="dxa"/>
            <w:tcBorders>
              <w:top w:val="single" w:sz="4" w:space="0" w:color="auto"/>
              <w:bottom w:val="single" w:sz="4" w:space="0" w:color="auto"/>
            </w:tcBorders>
          </w:tcPr>
          <w:p w14:paraId="39B4A2FF" w14:textId="77777777" w:rsidR="0081329E" w:rsidRPr="00472719" w:rsidRDefault="0081329E" w:rsidP="00472719">
            <w:pPr>
              <w:adjustRightInd w:val="0"/>
              <w:snapToGrid w:val="0"/>
              <w:spacing w:line="360" w:lineRule="auto"/>
              <w:jc w:val="both"/>
              <w:rPr>
                <w:rFonts w:ascii="Book Antiqua" w:eastAsia="MS Mincho" w:hAnsi="Book Antiqua" w:cs="Arial"/>
                <w:b/>
                <w:lang w:eastAsia="it-IT"/>
              </w:rPr>
            </w:pPr>
            <w:r w:rsidRPr="00472719">
              <w:rPr>
                <w:rFonts w:ascii="Book Antiqua" w:eastAsia="MS Mincho" w:hAnsi="Book Antiqua" w:cs="Arial"/>
                <w:b/>
                <w:lang w:eastAsia="it-IT"/>
              </w:rPr>
              <w:t xml:space="preserve">Type of pancreatic or </w:t>
            </w:r>
            <w:proofErr w:type="spellStart"/>
            <w:r w:rsidRPr="00472719">
              <w:rPr>
                <w:rFonts w:ascii="Book Antiqua" w:eastAsia="MS Mincho" w:hAnsi="Book Antiqua" w:cs="Arial"/>
                <w:b/>
                <w:lang w:eastAsia="it-IT"/>
              </w:rPr>
              <w:t>peripancreatic</w:t>
            </w:r>
            <w:proofErr w:type="spellEnd"/>
            <w:r w:rsidRPr="00472719">
              <w:rPr>
                <w:rFonts w:ascii="Book Antiqua" w:eastAsia="MS Mincho" w:hAnsi="Book Antiqua" w:cs="Arial"/>
                <w:b/>
                <w:lang w:eastAsia="it-IT"/>
              </w:rPr>
              <w:t xml:space="preserve"> fluid collection</w:t>
            </w:r>
          </w:p>
        </w:tc>
        <w:tc>
          <w:tcPr>
            <w:tcW w:w="2110" w:type="dxa"/>
            <w:tcBorders>
              <w:top w:val="single" w:sz="4" w:space="0" w:color="auto"/>
              <w:bottom w:val="single" w:sz="4" w:space="0" w:color="auto"/>
            </w:tcBorders>
          </w:tcPr>
          <w:p w14:paraId="61DDD7BE" w14:textId="77777777" w:rsidR="0081329E" w:rsidRPr="00472719" w:rsidRDefault="0081329E" w:rsidP="00472719">
            <w:pPr>
              <w:adjustRightInd w:val="0"/>
              <w:snapToGrid w:val="0"/>
              <w:spacing w:line="360" w:lineRule="auto"/>
              <w:jc w:val="both"/>
              <w:rPr>
                <w:rFonts w:ascii="Book Antiqua" w:eastAsia="MS Mincho" w:hAnsi="Book Antiqua" w:cs="Arial"/>
                <w:b/>
                <w:lang w:eastAsia="it-IT"/>
              </w:rPr>
            </w:pPr>
            <w:r w:rsidRPr="00472719">
              <w:rPr>
                <w:rFonts w:ascii="Book Antiqua" w:eastAsia="MS Mincho" w:hAnsi="Book Antiqua" w:cs="Arial"/>
                <w:b/>
                <w:lang w:eastAsia="it-IT"/>
              </w:rPr>
              <w:t>Etiology</w:t>
            </w:r>
          </w:p>
        </w:tc>
        <w:tc>
          <w:tcPr>
            <w:tcW w:w="992" w:type="dxa"/>
            <w:tcBorders>
              <w:top w:val="single" w:sz="4" w:space="0" w:color="auto"/>
              <w:bottom w:val="single" w:sz="4" w:space="0" w:color="auto"/>
            </w:tcBorders>
          </w:tcPr>
          <w:p w14:paraId="16AA7C54" w14:textId="77777777" w:rsidR="0081329E" w:rsidRPr="00472719" w:rsidRDefault="0081329E" w:rsidP="00472719">
            <w:pPr>
              <w:adjustRightInd w:val="0"/>
              <w:snapToGrid w:val="0"/>
              <w:spacing w:line="360" w:lineRule="auto"/>
              <w:jc w:val="both"/>
              <w:rPr>
                <w:rFonts w:ascii="Book Antiqua" w:eastAsia="MS Mincho" w:hAnsi="Book Antiqua" w:cs="Arial"/>
                <w:b/>
                <w:lang w:eastAsia="it-IT"/>
              </w:rPr>
            </w:pPr>
            <w:r w:rsidRPr="00472719">
              <w:rPr>
                <w:rFonts w:ascii="Book Antiqua" w:eastAsia="MS Mincho" w:hAnsi="Book Antiqua" w:cs="Arial"/>
                <w:b/>
                <w:lang w:eastAsia="it-IT"/>
              </w:rPr>
              <w:t>Capsule</w:t>
            </w:r>
          </w:p>
        </w:tc>
        <w:tc>
          <w:tcPr>
            <w:tcW w:w="2410" w:type="dxa"/>
            <w:tcBorders>
              <w:top w:val="single" w:sz="4" w:space="0" w:color="auto"/>
              <w:bottom w:val="single" w:sz="4" w:space="0" w:color="auto"/>
            </w:tcBorders>
          </w:tcPr>
          <w:p w14:paraId="25705000" w14:textId="77777777" w:rsidR="0081329E" w:rsidRPr="00472719" w:rsidRDefault="0081329E" w:rsidP="00472719">
            <w:pPr>
              <w:adjustRightInd w:val="0"/>
              <w:snapToGrid w:val="0"/>
              <w:spacing w:line="360" w:lineRule="auto"/>
              <w:jc w:val="both"/>
              <w:rPr>
                <w:rFonts w:ascii="Book Antiqua" w:eastAsia="MS Mincho" w:hAnsi="Book Antiqua" w:cs="Arial"/>
                <w:b/>
                <w:lang w:eastAsia="it-IT"/>
              </w:rPr>
            </w:pPr>
            <w:r w:rsidRPr="00472719">
              <w:rPr>
                <w:rFonts w:ascii="Book Antiqua" w:eastAsia="MS Mincho" w:hAnsi="Book Antiqua" w:cs="Arial"/>
                <w:b/>
                <w:lang w:eastAsia="it-IT"/>
              </w:rPr>
              <w:t>Specific features</w:t>
            </w:r>
          </w:p>
        </w:tc>
      </w:tr>
      <w:tr w:rsidR="0081329E" w:rsidRPr="00472719" w14:paraId="4ECA9365" w14:textId="77777777" w:rsidTr="0081329E">
        <w:tc>
          <w:tcPr>
            <w:tcW w:w="2705" w:type="dxa"/>
            <w:tcBorders>
              <w:top w:val="single" w:sz="4" w:space="0" w:color="auto"/>
            </w:tcBorders>
          </w:tcPr>
          <w:p w14:paraId="5305800D" w14:textId="77777777"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 xml:space="preserve">Acute </w:t>
            </w:r>
            <w:proofErr w:type="spellStart"/>
            <w:r w:rsidRPr="00472719">
              <w:rPr>
                <w:rFonts w:ascii="Book Antiqua" w:eastAsia="MS Mincho" w:hAnsi="Book Antiqua" w:cs="Arial"/>
                <w:lang w:eastAsia="it-IT"/>
              </w:rPr>
              <w:t>peripancreatic</w:t>
            </w:r>
            <w:proofErr w:type="spellEnd"/>
            <w:r w:rsidRPr="00472719">
              <w:rPr>
                <w:rFonts w:ascii="Book Antiqua" w:eastAsia="MS Mincho" w:hAnsi="Book Antiqua" w:cs="Arial"/>
                <w:lang w:eastAsia="it-IT"/>
              </w:rPr>
              <w:t xml:space="preserve"> fluid collection, APFC</w:t>
            </w:r>
          </w:p>
        </w:tc>
        <w:tc>
          <w:tcPr>
            <w:tcW w:w="2110" w:type="dxa"/>
            <w:tcBorders>
              <w:top w:val="single" w:sz="4" w:space="0" w:color="auto"/>
            </w:tcBorders>
          </w:tcPr>
          <w:p w14:paraId="150E4958" w14:textId="6573858F"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 xml:space="preserve">≤ 4 </w:t>
            </w:r>
            <w:proofErr w:type="spellStart"/>
            <w:r w:rsidRPr="00472719">
              <w:rPr>
                <w:rFonts w:ascii="Book Antiqua" w:eastAsia="MS Mincho" w:hAnsi="Book Antiqua" w:cs="Arial"/>
                <w:lang w:eastAsia="it-IT"/>
              </w:rPr>
              <w:t>wk</w:t>
            </w:r>
            <w:proofErr w:type="spellEnd"/>
            <w:r w:rsidRPr="00472719">
              <w:rPr>
                <w:rFonts w:ascii="Book Antiqua" w:eastAsia="MS Mincho" w:hAnsi="Book Antiqua" w:cs="Arial"/>
                <w:lang w:eastAsia="it-IT"/>
              </w:rPr>
              <w:t xml:space="preserve"> after onset of acute interstitial-edematous</w:t>
            </w:r>
          </w:p>
          <w:p w14:paraId="6020678B" w14:textId="77777777"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Pancreatitis</w:t>
            </w:r>
          </w:p>
        </w:tc>
        <w:tc>
          <w:tcPr>
            <w:tcW w:w="992" w:type="dxa"/>
            <w:tcBorders>
              <w:top w:val="single" w:sz="4" w:space="0" w:color="auto"/>
            </w:tcBorders>
          </w:tcPr>
          <w:p w14:paraId="563130A3" w14:textId="77777777"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w:t>
            </w:r>
          </w:p>
        </w:tc>
        <w:tc>
          <w:tcPr>
            <w:tcW w:w="2410" w:type="dxa"/>
            <w:tcBorders>
              <w:top w:val="single" w:sz="4" w:space="0" w:color="auto"/>
            </w:tcBorders>
          </w:tcPr>
          <w:p w14:paraId="3823C1B2" w14:textId="3CD0B036"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 xml:space="preserve">Homogeneous, liquid, infection +/-, no features of a </w:t>
            </w:r>
            <w:proofErr w:type="spellStart"/>
            <w:r w:rsidRPr="00472719">
              <w:rPr>
                <w:rFonts w:ascii="Book Antiqua" w:eastAsia="MS Mincho" w:hAnsi="Book Antiqua" w:cs="Arial"/>
                <w:lang w:eastAsia="it-IT"/>
              </w:rPr>
              <w:t>pseudocyst</w:t>
            </w:r>
            <w:proofErr w:type="spellEnd"/>
            <w:r w:rsidRPr="00472719">
              <w:rPr>
                <w:rFonts w:ascii="Book Antiqua" w:eastAsia="MS Mincho" w:hAnsi="Book Antiqua" w:cs="Arial"/>
                <w:lang w:eastAsia="it-IT"/>
              </w:rPr>
              <w:t>, usually spontaneous resolution</w:t>
            </w:r>
          </w:p>
        </w:tc>
      </w:tr>
      <w:tr w:rsidR="0081329E" w:rsidRPr="00472719" w14:paraId="385A2B85" w14:textId="77777777" w:rsidTr="0081329E">
        <w:tc>
          <w:tcPr>
            <w:tcW w:w="2705" w:type="dxa"/>
          </w:tcPr>
          <w:p w14:paraId="4C855957" w14:textId="77777777"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 xml:space="preserve">Pancreatic </w:t>
            </w:r>
            <w:proofErr w:type="spellStart"/>
            <w:r w:rsidRPr="00472719">
              <w:rPr>
                <w:rFonts w:ascii="Book Antiqua" w:eastAsia="MS Mincho" w:hAnsi="Book Antiqua" w:cs="Arial"/>
                <w:lang w:eastAsia="it-IT"/>
              </w:rPr>
              <w:t>pseudocyst</w:t>
            </w:r>
            <w:proofErr w:type="spellEnd"/>
            <w:r w:rsidRPr="00472719">
              <w:rPr>
                <w:rFonts w:ascii="Book Antiqua" w:eastAsia="MS Mincho" w:hAnsi="Book Antiqua" w:cs="Arial"/>
                <w:lang w:eastAsia="it-IT"/>
              </w:rPr>
              <w:t>, PPC</w:t>
            </w:r>
          </w:p>
        </w:tc>
        <w:tc>
          <w:tcPr>
            <w:tcW w:w="2110" w:type="dxa"/>
          </w:tcPr>
          <w:p w14:paraId="32C13BAB" w14:textId="5ACF8453"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 xml:space="preserve">&gt; 4 </w:t>
            </w:r>
            <w:proofErr w:type="spellStart"/>
            <w:r w:rsidRPr="00472719">
              <w:rPr>
                <w:rFonts w:ascii="Book Antiqua" w:eastAsia="MS Mincho" w:hAnsi="Book Antiqua" w:cs="Arial"/>
                <w:lang w:eastAsia="it-IT"/>
              </w:rPr>
              <w:t>wk</w:t>
            </w:r>
            <w:proofErr w:type="spellEnd"/>
            <w:r w:rsidRPr="00472719">
              <w:rPr>
                <w:rFonts w:ascii="Book Antiqua" w:eastAsia="MS Mincho" w:hAnsi="Book Antiqua" w:cs="Arial"/>
                <w:lang w:eastAsia="it-IT"/>
              </w:rPr>
              <w:t xml:space="preserve"> after onset of acute interstitial-edematous</w:t>
            </w:r>
          </w:p>
          <w:p w14:paraId="3A1AD987" w14:textId="77777777"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Pancreatitis</w:t>
            </w:r>
          </w:p>
        </w:tc>
        <w:tc>
          <w:tcPr>
            <w:tcW w:w="992" w:type="dxa"/>
          </w:tcPr>
          <w:p w14:paraId="3317D1AE" w14:textId="77777777"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w:t>
            </w:r>
          </w:p>
        </w:tc>
        <w:tc>
          <w:tcPr>
            <w:tcW w:w="2410" w:type="dxa"/>
          </w:tcPr>
          <w:p w14:paraId="33D3DE8C" w14:textId="2FA8F2E9"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Round/ oval,</w:t>
            </w:r>
          </w:p>
          <w:p w14:paraId="620D6EA2" w14:textId="43AE6194"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Liquid, no non-liquid contents, persistent</w:t>
            </w:r>
          </w:p>
        </w:tc>
      </w:tr>
      <w:tr w:rsidR="0081329E" w:rsidRPr="00472719" w14:paraId="1C0E04C0" w14:textId="77777777" w:rsidTr="0081329E">
        <w:tc>
          <w:tcPr>
            <w:tcW w:w="2705" w:type="dxa"/>
          </w:tcPr>
          <w:p w14:paraId="76447204" w14:textId="77777777"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Acute necrotic collection, ANC</w:t>
            </w:r>
          </w:p>
        </w:tc>
        <w:tc>
          <w:tcPr>
            <w:tcW w:w="2110" w:type="dxa"/>
          </w:tcPr>
          <w:p w14:paraId="3AD70874" w14:textId="77777777"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Acute necrotizing pancreatitis</w:t>
            </w:r>
          </w:p>
        </w:tc>
        <w:tc>
          <w:tcPr>
            <w:tcW w:w="992" w:type="dxa"/>
          </w:tcPr>
          <w:p w14:paraId="666C0D80" w14:textId="77777777"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w:t>
            </w:r>
          </w:p>
        </w:tc>
        <w:tc>
          <w:tcPr>
            <w:tcW w:w="2410" w:type="dxa"/>
          </w:tcPr>
          <w:p w14:paraId="5A4ECCA7" w14:textId="682A1A1A"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Heterogeneous, liquid and necrotic contents, usually spontaneous resolution</w:t>
            </w:r>
          </w:p>
        </w:tc>
      </w:tr>
      <w:tr w:rsidR="0081329E" w:rsidRPr="00472719" w14:paraId="5A0AFC87" w14:textId="77777777" w:rsidTr="0081329E">
        <w:tc>
          <w:tcPr>
            <w:tcW w:w="2705" w:type="dxa"/>
          </w:tcPr>
          <w:p w14:paraId="60D90AAC" w14:textId="77777777"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Walled-off pancreatic necrosis, WOPN</w:t>
            </w:r>
          </w:p>
        </w:tc>
        <w:tc>
          <w:tcPr>
            <w:tcW w:w="2110" w:type="dxa"/>
          </w:tcPr>
          <w:p w14:paraId="017B48EC" w14:textId="12813D8A"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 xml:space="preserve">&gt; 4 </w:t>
            </w:r>
            <w:proofErr w:type="spellStart"/>
            <w:r w:rsidRPr="00472719">
              <w:rPr>
                <w:rFonts w:ascii="Book Antiqua" w:eastAsia="MS Mincho" w:hAnsi="Book Antiqua" w:cs="Arial"/>
                <w:lang w:eastAsia="it-IT"/>
              </w:rPr>
              <w:t>wk</w:t>
            </w:r>
            <w:proofErr w:type="spellEnd"/>
            <w:r w:rsidRPr="00472719">
              <w:rPr>
                <w:rFonts w:ascii="Book Antiqua" w:eastAsia="MS Mincho" w:hAnsi="Book Antiqua" w:cs="Arial"/>
                <w:lang w:eastAsia="it-IT"/>
              </w:rPr>
              <w:t xml:space="preserve"> after onset of necrotizing Pancreatitis</w:t>
            </w:r>
          </w:p>
        </w:tc>
        <w:tc>
          <w:tcPr>
            <w:tcW w:w="992" w:type="dxa"/>
          </w:tcPr>
          <w:p w14:paraId="71A93071" w14:textId="77777777"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w:t>
            </w:r>
          </w:p>
        </w:tc>
        <w:tc>
          <w:tcPr>
            <w:tcW w:w="2410" w:type="dxa"/>
          </w:tcPr>
          <w:p w14:paraId="02B44D6D" w14:textId="34BB61AB" w:rsidR="0081329E" w:rsidRPr="00472719" w:rsidRDefault="0081329E" w:rsidP="00472719">
            <w:pPr>
              <w:adjustRightInd w:val="0"/>
              <w:snapToGrid w:val="0"/>
              <w:spacing w:line="360" w:lineRule="auto"/>
              <w:jc w:val="both"/>
              <w:rPr>
                <w:rFonts w:ascii="Book Antiqua" w:eastAsia="MS Mincho" w:hAnsi="Book Antiqua" w:cs="Arial"/>
                <w:lang w:eastAsia="it-IT"/>
              </w:rPr>
            </w:pPr>
            <w:r w:rsidRPr="00472719">
              <w:rPr>
                <w:rFonts w:ascii="Book Antiqua" w:eastAsia="MS Mincho" w:hAnsi="Book Antiqua" w:cs="Arial"/>
                <w:lang w:eastAsia="it-IT"/>
              </w:rPr>
              <w:t>Heterogeneous, liquid and necrotic contents, infection +/-</w:t>
            </w:r>
          </w:p>
        </w:tc>
      </w:tr>
    </w:tbl>
    <w:p w14:paraId="33D3AFE3" w14:textId="70330E05" w:rsidR="0081329E" w:rsidRPr="00472719" w:rsidRDefault="0081329E" w:rsidP="00472719">
      <w:pPr>
        <w:adjustRightInd w:val="0"/>
        <w:snapToGrid w:val="0"/>
        <w:spacing w:line="360" w:lineRule="auto"/>
        <w:jc w:val="both"/>
        <w:rPr>
          <w:rFonts w:ascii="Book Antiqua" w:hAnsi="Book Antiqua"/>
          <w:lang w:eastAsia="zh-CN"/>
        </w:rPr>
      </w:pPr>
      <w:r w:rsidRPr="00472719">
        <w:rPr>
          <w:rFonts w:ascii="Book Antiqua" w:hAnsi="Book Antiqua"/>
          <w:lang w:eastAsia="zh-CN"/>
        </w:rPr>
        <w:t xml:space="preserve">ANC: </w:t>
      </w:r>
      <w:r w:rsidRPr="00472719">
        <w:rPr>
          <w:rFonts w:ascii="Book Antiqua" w:hAnsi="Book Antiqua"/>
          <w:caps/>
          <w:lang w:eastAsia="zh-CN"/>
        </w:rPr>
        <w:t>a</w:t>
      </w:r>
      <w:r w:rsidRPr="00472719">
        <w:rPr>
          <w:rFonts w:ascii="Book Antiqua" w:hAnsi="Book Antiqua"/>
          <w:lang w:eastAsia="zh-CN"/>
        </w:rPr>
        <w:t>cute necrotic collection.</w:t>
      </w:r>
    </w:p>
    <w:p w14:paraId="60928632" w14:textId="77777777" w:rsidR="0081329E" w:rsidRPr="00472719" w:rsidRDefault="0081329E" w:rsidP="00472719">
      <w:pPr>
        <w:adjustRightInd w:val="0"/>
        <w:snapToGrid w:val="0"/>
        <w:spacing w:line="360" w:lineRule="auto"/>
        <w:jc w:val="both"/>
        <w:rPr>
          <w:rFonts w:ascii="Book Antiqua" w:hAnsi="Book Antiqua"/>
          <w:lang w:eastAsia="zh-CN"/>
        </w:rPr>
      </w:pPr>
    </w:p>
    <w:p w14:paraId="154957A9" w14:textId="30804309" w:rsidR="0081329E" w:rsidRPr="00472719" w:rsidRDefault="0081329E"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br w:type="page"/>
      </w:r>
    </w:p>
    <w:p w14:paraId="633B3E93" w14:textId="77777777" w:rsidR="00D86D98" w:rsidRPr="00472719" w:rsidRDefault="00D86D98" w:rsidP="00472719">
      <w:pPr>
        <w:adjustRightInd w:val="0"/>
        <w:snapToGrid w:val="0"/>
        <w:spacing w:line="360" w:lineRule="auto"/>
        <w:jc w:val="both"/>
        <w:rPr>
          <w:rFonts w:ascii="Book Antiqua" w:hAnsi="Book Antiqua"/>
        </w:rPr>
      </w:pPr>
      <w:r w:rsidRPr="00472719">
        <w:rPr>
          <w:rFonts w:ascii="Book Antiqua" w:hAnsi="Book Antiqua"/>
          <w:noProof/>
          <w:color w:val="000000"/>
          <w:lang w:eastAsia="zh-CN"/>
        </w:rPr>
        <w:lastRenderedPageBreak/>
        <w:drawing>
          <wp:inline distT="0" distB="0" distL="0" distR="0" wp14:anchorId="09938311" wp14:editId="7B17EA34">
            <wp:extent cx="5478145" cy="3550285"/>
            <wp:effectExtent l="19050" t="0" r="8255" b="0"/>
            <wp:docPr id="1" name="Billed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cstate="print"/>
                    <a:srcRect/>
                    <a:stretch>
                      <a:fillRect/>
                    </a:stretch>
                  </pic:blipFill>
                  <pic:spPr bwMode="auto">
                    <a:xfrm>
                      <a:off x="0" y="0"/>
                      <a:ext cx="5478145" cy="3550285"/>
                    </a:xfrm>
                    <a:prstGeom prst="rect">
                      <a:avLst/>
                    </a:prstGeom>
                    <a:noFill/>
                    <a:ln w="9525">
                      <a:noFill/>
                      <a:miter lim="800000"/>
                      <a:headEnd/>
                      <a:tailEnd/>
                    </a:ln>
                  </pic:spPr>
                </pic:pic>
              </a:graphicData>
            </a:graphic>
          </wp:inline>
        </w:drawing>
      </w:r>
    </w:p>
    <w:p w14:paraId="72DC7CD1" w14:textId="516813CB" w:rsidR="00D86D98" w:rsidRPr="00472719" w:rsidRDefault="00D86D98" w:rsidP="00472719">
      <w:pPr>
        <w:pStyle w:val="a5"/>
        <w:adjustRightInd w:val="0"/>
        <w:snapToGrid w:val="0"/>
        <w:spacing w:before="0" w:beforeAutospacing="0" w:after="0" w:afterAutospacing="0" w:line="360" w:lineRule="auto"/>
        <w:jc w:val="both"/>
        <w:rPr>
          <w:rFonts w:ascii="Book Antiqua" w:hAnsi="Book Antiqua"/>
          <w:color w:val="000000"/>
          <w:lang w:eastAsia="zh-CN"/>
        </w:rPr>
      </w:pPr>
      <w:r w:rsidRPr="00472719">
        <w:rPr>
          <w:rFonts w:ascii="Book Antiqua" w:hAnsi="Book Antiqua"/>
          <w:b/>
          <w:color w:val="000000"/>
        </w:rPr>
        <w:t>Figure 1</w:t>
      </w:r>
      <w:r w:rsidRPr="00472719">
        <w:rPr>
          <w:rFonts w:ascii="Book Antiqua" w:hAnsi="Book Antiqua"/>
          <w:color w:val="000000"/>
        </w:rPr>
        <w:t xml:space="preserve"> </w:t>
      </w:r>
      <w:r w:rsidRPr="00472719">
        <w:rPr>
          <w:rFonts w:ascii="Book Antiqua" w:hAnsi="Book Antiqua"/>
          <w:b/>
          <w:color w:val="000000"/>
        </w:rPr>
        <w:t xml:space="preserve">On November 15, 2014, the authors performed PubMed search using following key word sets: endoscopic ultrasound in combination with terminologies related to pancreatic fluid collections such as </w:t>
      </w:r>
      <w:proofErr w:type="spellStart"/>
      <w:r w:rsidRPr="00472719">
        <w:rPr>
          <w:rFonts w:ascii="Book Antiqua" w:hAnsi="Book Antiqua"/>
          <w:b/>
          <w:color w:val="000000"/>
        </w:rPr>
        <w:t>pseudocyst</w:t>
      </w:r>
      <w:proofErr w:type="spellEnd"/>
      <w:r w:rsidRPr="00472719">
        <w:rPr>
          <w:rFonts w:ascii="Book Antiqua" w:hAnsi="Book Antiqua"/>
          <w:b/>
          <w:color w:val="000000"/>
        </w:rPr>
        <w:t>, fluid collection, abscess, and walled off necrosis.</w:t>
      </w:r>
      <w:r w:rsidRPr="00472719">
        <w:rPr>
          <w:rFonts w:ascii="Book Antiqua" w:hAnsi="Book Antiqua"/>
          <w:color w:val="000000"/>
        </w:rPr>
        <w:t xml:space="preserve"> Each published paper was reviewed by two of these authors together, extracting the important information related to this review.</w:t>
      </w:r>
      <w:r w:rsidRPr="00472719">
        <w:rPr>
          <w:rFonts w:ascii="Book Antiqua" w:hAnsi="Book Antiqua"/>
          <w:color w:val="000000"/>
          <w:lang w:eastAsia="zh-CN"/>
        </w:rPr>
        <w:t xml:space="preserve"> EUS: Endoscopic ultrasound; WON: Walled off necrosis.</w:t>
      </w:r>
    </w:p>
    <w:p w14:paraId="0FAD61F4" w14:textId="77777777" w:rsidR="00D86D98" w:rsidRPr="00472719" w:rsidRDefault="00D86D98" w:rsidP="00472719">
      <w:pPr>
        <w:adjustRightInd w:val="0"/>
        <w:snapToGrid w:val="0"/>
        <w:spacing w:line="360" w:lineRule="auto"/>
        <w:jc w:val="both"/>
        <w:rPr>
          <w:rFonts w:ascii="Book Antiqua" w:hAnsi="Book Antiqua"/>
        </w:rPr>
      </w:pPr>
    </w:p>
    <w:p w14:paraId="43988743" w14:textId="02FD0D1E" w:rsidR="00D86D98" w:rsidRPr="00472719" w:rsidRDefault="00D86D98"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br w:type="page"/>
      </w:r>
    </w:p>
    <w:p w14:paraId="3291B6CD" w14:textId="77777777" w:rsidR="006A6804" w:rsidRPr="00472719" w:rsidRDefault="006A6804" w:rsidP="00472719">
      <w:pPr>
        <w:adjustRightInd w:val="0"/>
        <w:snapToGrid w:val="0"/>
        <w:spacing w:line="360" w:lineRule="auto"/>
        <w:jc w:val="both"/>
        <w:rPr>
          <w:rFonts w:ascii="Book Antiqua" w:hAnsi="Book Antiqua"/>
        </w:rPr>
      </w:pPr>
      <w:r w:rsidRPr="00472719">
        <w:rPr>
          <w:rFonts w:ascii="Book Antiqua" w:hAnsi="Book Antiqua"/>
          <w:noProof/>
          <w:color w:val="000000"/>
          <w:lang w:eastAsia="zh-CN"/>
        </w:rPr>
        <w:lastRenderedPageBreak/>
        <w:drawing>
          <wp:inline distT="0" distB="0" distL="0" distR="0" wp14:anchorId="1E5E27AE" wp14:editId="1D24F942">
            <wp:extent cx="4604657" cy="3483212"/>
            <wp:effectExtent l="0" t="0" r="0" b="0"/>
            <wp:docPr id="2" name="Billed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0" cstate="print"/>
                    <a:srcRect/>
                    <a:stretch>
                      <a:fillRect/>
                    </a:stretch>
                  </pic:blipFill>
                  <pic:spPr bwMode="auto">
                    <a:xfrm>
                      <a:off x="0" y="0"/>
                      <a:ext cx="4604657" cy="3483212"/>
                    </a:xfrm>
                    <a:prstGeom prst="rect">
                      <a:avLst/>
                    </a:prstGeom>
                    <a:noFill/>
                    <a:ln w="9525">
                      <a:noFill/>
                      <a:miter lim="800000"/>
                      <a:headEnd/>
                      <a:tailEnd/>
                    </a:ln>
                  </pic:spPr>
                </pic:pic>
              </a:graphicData>
            </a:graphic>
          </wp:inline>
        </w:drawing>
      </w:r>
    </w:p>
    <w:p w14:paraId="1B1E9D22" w14:textId="251B96BC" w:rsidR="006A6804" w:rsidRPr="00472719" w:rsidRDefault="006A6804" w:rsidP="00472719">
      <w:pPr>
        <w:pStyle w:val="a5"/>
        <w:adjustRightInd w:val="0"/>
        <w:snapToGrid w:val="0"/>
        <w:spacing w:before="0" w:beforeAutospacing="0" w:after="0" w:afterAutospacing="0" w:line="360" w:lineRule="auto"/>
        <w:jc w:val="both"/>
        <w:rPr>
          <w:rFonts w:ascii="Book Antiqua" w:hAnsi="Book Antiqua"/>
          <w:b/>
        </w:rPr>
      </w:pPr>
      <w:r w:rsidRPr="00472719">
        <w:rPr>
          <w:rFonts w:ascii="Book Antiqua" w:hAnsi="Book Antiqua"/>
          <w:b/>
        </w:rPr>
        <w:t xml:space="preserve">Figure 2 </w:t>
      </w:r>
      <w:r w:rsidRPr="00472719">
        <w:rPr>
          <w:rFonts w:ascii="Book Antiqua" w:hAnsi="Book Antiqua"/>
          <w:b/>
          <w:caps/>
        </w:rPr>
        <w:t>s</w:t>
      </w:r>
      <w:r w:rsidRPr="00472719">
        <w:rPr>
          <w:rFonts w:ascii="Book Antiqua" w:hAnsi="Book Antiqua"/>
          <w:b/>
        </w:rPr>
        <w:t xml:space="preserve">elected magnetic resonance imaging </w:t>
      </w:r>
      <w:proofErr w:type="gramStart"/>
      <w:r w:rsidRPr="00472719">
        <w:rPr>
          <w:rFonts w:ascii="Book Antiqua" w:hAnsi="Book Antiqua"/>
          <w:b/>
        </w:rPr>
        <w:t>frame</w:t>
      </w:r>
      <w:proofErr w:type="gramEnd"/>
      <w:r w:rsidRPr="00472719">
        <w:rPr>
          <w:rFonts w:ascii="Book Antiqua" w:hAnsi="Book Antiqua"/>
          <w:b/>
        </w:rPr>
        <w:t xml:space="preserve"> showing a large </w:t>
      </w:r>
      <w:proofErr w:type="spellStart"/>
      <w:r w:rsidRPr="00472719">
        <w:rPr>
          <w:rFonts w:ascii="Book Antiqua" w:hAnsi="Book Antiqua"/>
          <w:b/>
        </w:rPr>
        <w:t>peri</w:t>
      </w:r>
      <w:proofErr w:type="spellEnd"/>
      <w:r w:rsidRPr="00472719">
        <w:rPr>
          <w:rFonts w:ascii="Book Antiqua" w:hAnsi="Book Antiqua"/>
          <w:b/>
        </w:rPr>
        <w:t xml:space="preserve">-pancreatic </w:t>
      </w:r>
      <w:proofErr w:type="spellStart"/>
      <w:r w:rsidRPr="00472719">
        <w:rPr>
          <w:rFonts w:ascii="Book Antiqua" w:hAnsi="Book Antiqua"/>
          <w:b/>
        </w:rPr>
        <w:t>pseudocyst</w:t>
      </w:r>
      <w:proofErr w:type="spellEnd"/>
      <w:r w:rsidRPr="00472719">
        <w:rPr>
          <w:rFonts w:ascii="Book Antiqua" w:hAnsi="Book Antiqua"/>
          <w:b/>
        </w:rPr>
        <w:t xml:space="preserve"> extending from the pancreatic tail to the anterior abdominal wall in a patient with pancreatitis and splenic vein thrombosis.</w:t>
      </w:r>
    </w:p>
    <w:p w14:paraId="007EDFD9" w14:textId="77777777" w:rsidR="006A6804" w:rsidRPr="00472719" w:rsidRDefault="006A6804" w:rsidP="00472719">
      <w:pPr>
        <w:adjustRightInd w:val="0"/>
        <w:snapToGrid w:val="0"/>
        <w:spacing w:line="360" w:lineRule="auto"/>
        <w:jc w:val="both"/>
        <w:rPr>
          <w:rFonts w:ascii="Book Antiqua" w:hAnsi="Book Antiqua"/>
        </w:rPr>
      </w:pPr>
    </w:p>
    <w:p w14:paraId="40ECF903" w14:textId="7977ED91" w:rsidR="006A6804" w:rsidRPr="00472719" w:rsidRDefault="006A6804"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br w:type="page"/>
      </w:r>
    </w:p>
    <w:p w14:paraId="1B4429F8" w14:textId="77777777" w:rsidR="006A6804" w:rsidRPr="00472719" w:rsidRDefault="006A6804" w:rsidP="00472719">
      <w:pPr>
        <w:adjustRightInd w:val="0"/>
        <w:snapToGrid w:val="0"/>
        <w:spacing w:line="360" w:lineRule="auto"/>
        <w:jc w:val="both"/>
        <w:rPr>
          <w:rFonts w:ascii="Book Antiqua" w:hAnsi="Book Antiqua"/>
        </w:rPr>
      </w:pPr>
      <w:r w:rsidRPr="00472719">
        <w:rPr>
          <w:rFonts w:ascii="Book Antiqua" w:hAnsi="Book Antiqua"/>
          <w:noProof/>
          <w:lang w:eastAsia="zh-CN"/>
        </w:rPr>
        <w:lastRenderedPageBreak/>
        <w:drawing>
          <wp:inline distT="0" distB="0" distL="0" distR="0" wp14:anchorId="4538718C" wp14:editId="2168F003">
            <wp:extent cx="4933376" cy="1763486"/>
            <wp:effectExtent l="0" t="0" r="0" b="0"/>
            <wp:docPr id="3" name="Billed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1" cstate="print"/>
                    <a:srcRect/>
                    <a:stretch>
                      <a:fillRect/>
                    </a:stretch>
                  </pic:blipFill>
                  <pic:spPr bwMode="auto">
                    <a:xfrm>
                      <a:off x="0" y="0"/>
                      <a:ext cx="4933376" cy="1763486"/>
                    </a:xfrm>
                    <a:prstGeom prst="rect">
                      <a:avLst/>
                    </a:prstGeom>
                    <a:noFill/>
                    <a:ln w="9525">
                      <a:noFill/>
                      <a:miter lim="800000"/>
                      <a:headEnd/>
                      <a:tailEnd/>
                    </a:ln>
                  </pic:spPr>
                </pic:pic>
              </a:graphicData>
            </a:graphic>
          </wp:inline>
        </w:drawing>
      </w:r>
    </w:p>
    <w:p w14:paraId="210AD71A" w14:textId="6EEFCD64" w:rsidR="006A6804" w:rsidRPr="00472719" w:rsidRDefault="006A6804" w:rsidP="00472719">
      <w:pPr>
        <w:pStyle w:val="a5"/>
        <w:adjustRightInd w:val="0"/>
        <w:snapToGrid w:val="0"/>
        <w:spacing w:before="0" w:beforeAutospacing="0" w:after="0" w:afterAutospacing="0" w:line="360" w:lineRule="auto"/>
        <w:jc w:val="both"/>
        <w:rPr>
          <w:rFonts w:ascii="Book Antiqua" w:hAnsi="Book Antiqua"/>
          <w:lang w:eastAsia="zh-CN"/>
        </w:rPr>
      </w:pPr>
      <w:r w:rsidRPr="00472719">
        <w:rPr>
          <w:rFonts w:ascii="Book Antiqua" w:hAnsi="Book Antiqua"/>
          <w:b/>
        </w:rPr>
        <w:t>Figure 3</w:t>
      </w:r>
      <w:r w:rsidRPr="00472719">
        <w:rPr>
          <w:rFonts w:ascii="Book Antiqua" w:hAnsi="Book Antiqua"/>
        </w:rPr>
        <w:t xml:space="preserve"> </w:t>
      </w:r>
      <w:r w:rsidRPr="00472719">
        <w:rPr>
          <w:rFonts w:ascii="Book Antiqua" w:hAnsi="Book Antiqua"/>
          <w:b/>
        </w:rPr>
        <w:t xml:space="preserve">In the same patient, endoscopic ultrasound permits visualization of the pancreatic </w:t>
      </w:r>
      <w:proofErr w:type="spellStart"/>
      <w:r w:rsidRPr="00472719">
        <w:rPr>
          <w:rFonts w:ascii="Book Antiqua" w:hAnsi="Book Antiqua"/>
          <w:b/>
        </w:rPr>
        <w:t>pseudocyst</w:t>
      </w:r>
      <w:proofErr w:type="spellEnd"/>
      <w:r w:rsidRPr="00472719">
        <w:rPr>
          <w:rFonts w:ascii="Book Antiqua" w:hAnsi="Book Antiqua"/>
          <w:b/>
        </w:rPr>
        <w:t>, assesses the maturity of the wall, measures the distance of the collection from the luminal wall, identifies intervening vessels or collaterals (red arrow) (A), and selects the optimal puncture site (B).</w:t>
      </w:r>
      <w:r w:rsidRPr="00472719">
        <w:rPr>
          <w:rFonts w:ascii="Book Antiqua" w:hAnsi="Book Antiqua"/>
          <w:b/>
          <w:lang w:eastAsia="zh-CN"/>
        </w:rPr>
        <w:t xml:space="preserve"> </w:t>
      </w:r>
      <w:r w:rsidRPr="00472719">
        <w:rPr>
          <w:rFonts w:ascii="Book Antiqua" w:hAnsi="Book Antiqua"/>
        </w:rPr>
        <w:t>PP</w:t>
      </w:r>
      <w:r w:rsidRPr="00472719">
        <w:rPr>
          <w:rFonts w:ascii="Book Antiqua" w:hAnsi="Book Antiqua"/>
          <w:lang w:eastAsia="zh-CN"/>
        </w:rPr>
        <w:t>:</w:t>
      </w:r>
      <w:r w:rsidRPr="00472719">
        <w:rPr>
          <w:rFonts w:ascii="Book Antiqua" w:hAnsi="Book Antiqua"/>
        </w:rPr>
        <w:t xml:space="preserve"> </w:t>
      </w:r>
      <w:r w:rsidRPr="00472719">
        <w:rPr>
          <w:rFonts w:ascii="Book Antiqua" w:hAnsi="Book Antiqua"/>
          <w:caps/>
        </w:rPr>
        <w:t>p</w:t>
      </w:r>
      <w:r w:rsidRPr="00472719">
        <w:rPr>
          <w:rFonts w:ascii="Book Antiqua" w:hAnsi="Book Antiqua"/>
        </w:rPr>
        <w:t xml:space="preserve">ancreatic </w:t>
      </w:r>
      <w:proofErr w:type="spellStart"/>
      <w:r w:rsidRPr="00472719">
        <w:rPr>
          <w:rFonts w:ascii="Book Antiqua" w:hAnsi="Book Antiqua"/>
        </w:rPr>
        <w:t>pseudocyst</w:t>
      </w:r>
      <w:proofErr w:type="spellEnd"/>
      <w:r w:rsidRPr="00472719">
        <w:rPr>
          <w:rFonts w:ascii="Book Antiqua" w:hAnsi="Book Antiqua"/>
          <w:lang w:eastAsia="zh-CN"/>
        </w:rPr>
        <w:t>.</w:t>
      </w:r>
    </w:p>
    <w:p w14:paraId="37EAC947" w14:textId="77777777" w:rsidR="006A6804" w:rsidRPr="00472719" w:rsidRDefault="006A6804" w:rsidP="00472719">
      <w:pPr>
        <w:adjustRightInd w:val="0"/>
        <w:snapToGrid w:val="0"/>
        <w:spacing w:line="360" w:lineRule="auto"/>
        <w:jc w:val="both"/>
        <w:rPr>
          <w:rFonts w:ascii="Book Antiqua" w:hAnsi="Book Antiqua"/>
        </w:rPr>
      </w:pPr>
    </w:p>
    <w:p w14:paraId="08E1C51F" w14:textId="2F0AA58F" w:rsidR="006A6804" w:rsidRPr="00472719" w:rsidRDefault="006A6804"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br w:type="page"/>
      </w:r>
    </w:p>
    <w:p w14:paraId="761056A8" w14:textId="77777777" w:rsidR="006A6804" w:rsidRPr="00472719" w:rsidRDefault="006A6804" w:rsidP="00472719">
      <w:pPr>
        <w:adjustRightInd w:val="0"/>
        <w:snapToGrid w:val="0"/>
        <w:spacing w:line="360" w:lineRule="auto"/>
        <w:jc w:val="both"/>
        <w:rPr>
          <w:rFonts w:ascii="Book Antiqua" w:hAnsi="Book Antiqua"/>
        </w:rPr>
      </w:pPr>
      <w:r w:rsidRPr="00472719">
        <w:rPr>
          <w:rFonts w:ascii="Book Antiqua" w:hAnsi="Book Antiqua"/>
          <w:noProof/>
          <w:color w:val="000000"/>
          <w:lang w:eastAsia="zh-CN"/>
        </w:rPr>
        <w:lastRenderedPageBreak/>
        <w:drawing>
          <wp:inline distT="0" distB="0" distL="0" distR="0" wp14:anchorId="23FDAF2A" wp14:editId="5635A97C">
            <wp:extent cx="4474029" cy="3640441"/>
            <wp:effectExtent l="0" t="0" r="0" b="0"/>
            <wp:docPr id="4" name="Billede 4" descr="PP internal dra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 internal drainage"/>
                    <pic:cNvPicPr>
                      <a:picLocks noChangeAspect="1" noChangeArrowheads="1"/>
                    </pic:cNvPicPr>
                  </pic:nvPicPr>
                  <pic:blipFill>
                    <a:blip r:embed="rId12" cstate="print"/>
                    <a:srcRect/>
                    <a:stretch>
                      <a:fillRect/>
                    </a:stretch>
                  </pic:blipFill>
                  <pic:spPr bwMode="auto">
                    <a:xfrm>
                      <a:off x="0" y="0"/>
                      <a:ext cx="4474029" cy="3640441"/>
                    </a:xfrm>
                    <a:prstGeom prst="rect">
                      <a:avLst/>
                    </a:prstGeom>
                    <a:noFill/>
                    <a:ln w="9525">
                      <a:noFill/>
                      <a:miter lim="800000"/>
                      <a:headEnd/>
                      <a:tailEnd/>
                    </a:ln>
                  </pic:spPr>
                </pic:pic>
              </a:graphicData>
            </a:graphic>
          </wp:inline>
        </w:drawing>
      </w:r>
    </w:p>
    <w:p w14:paraId="6BD96191" w14:textId="63B3E1F8" w:rsidR="006A6804" w:rsidRPr="00472719" w:rsidRDefault="006A6804" w:rsidP="00472719">
      <w:pPr>
        <w:pStyle w:val="a5"/>
        <w:adjustRightInd w:val="0"/>
        <w:snapToGrid w:val="0"/>
        <w:spacing w:before="0" w:beforeAutospacing="0" w:after="0" w:afterAutospacing="0" w:line="360" w:lineRule="auto"/>
        <w:jc w:val="both"/>
        <w:rPr>
          <w:rFonts w:ascii="Book Antiqua" w:hAnsi="Book Antiqua"/>
          <w:b/>
          <w:color w:val="000000"/>
        </w:rPr>
      </w:pPr>
      <w:proofErr w:type="gramStart"/>
      <w:r w:rsidRPr="00472719">
        <w:rPr>
          <w:rFonts w:ascii="Book Antiqua" w:hAnsi="Book Antiqua"/>
          <w:b/>
          <w:color w:val="000000"/>
        </w:rPr>
        <w:t xml:space="preserve">Figure 4 </w:t>
      </w:r>
      <w:r w:rsidRPr="00472719">
        <w:rPr>
          <w:rFonts w:ascii="Book Antiqua" w:hAnsi="Book Antiqua"/>
          <w:b/>
          <w:caps/>
          <w:color w:val="000000"/>
        </w:rPr>
        <w:t>f</w:t>
      </w:r>
      <w:r w:rsidRPr="00472719">
        <w:rPr>
          <w:rFonts w:ascii="Book Antiqua" w:hAnsi="Book Antiqua"/>
          <w:b/>
          <w:color w:val="000000"/>
        </w:rPr>
        <w:t xml:space="preserve">luoroscopic image showing </w:t>
      </w:r>
      <w:proofErr w:type="spellStart"/>
      <w:r w:rsidRPr="00472719">
        <w:rPr>
          <w:rFonts w:ascii="Book Antiqua" w:hAnsi="Book Antiqua"/>
          <w:b/>
          <w:color w:val="000000"/>
        </w:rPr>
        <w:t>transpapillary</w:t>
      </w:r>
      <w:proofErr w:type="spellEnd"/>
      <w:r w:rsidRPr="00472719">
        <w:rPr>
          <w:rFonts w:ascii="Book Antiqua" w:hAnsi="Book Antiqua"/>
          <w:b/>
          <w:color w:val="000000"/>
        </w:rPr>
        <w:t xml:space="preserve"> drainage of a pancreatic </w:t>
      </w:r>
      <w:proofErr w:type="spellStart"/>
      <w:r w:rsidRPr="00472719">
        <w:rPr>
          <w:rFonts w:ascii="Book Antiqua" w:hAnsi="Book Antiqua"/>
          <w:b/>
          <w:color w:val="000000"/>
        </w:rPr>
        <w:t>pseudocyst</w:t>
      </w:r>
      <w:proofErr w:type="spellEnd"/>
      <w:r w:rsidRPr="00472719">
        <w:rPr>
          <w:rFonts w:ascii="Book Antiqua" w:hAnsi="Book Antiqua"/>
          <w:b/>
          <w:color w:val="000000"/>
        </w:rPr>
        <w:t xml:space="preserve"> that is communicated with the main pancreatic duct.</w:t>
      </w:r>
      <w:proofErr w:type="gramEnd"/>
    </w:p>
    <w:p w14:paraId="0D80DF28" w14:textId="77777777" w:rsidR="006A6804" w:rsidRPr="00472719" w:rsidRDefault="006A6804" w:rsidP="00472719">
      <w:pPr>
        <w:adjustRightInd w:val="0"/>
        <w:snapToGrid w:val="0"/>
        <w:spacing w:line="360" w:lineRule="auto"/>
        <w:jc w:val="both"/>
        <w:rPr>
          <w:rFonts w:ascii="Book Antiqua" w:hAnsi="Book Antiqua"/>
        </w:rPr>
      </w:pPr>
    </w:p>
    <w:p w14:paraId="467E1A4B" w14:textId="6287448C" w:rsidR="006A6804" w:rsidRPr="00472719" w:rsidRDefault="006A6804"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br w:type="page"/>
      </w:r>
    </w:p>
    <w:p w14:paraId="010ADA6E" w14:textId="77777777" w:rsidR="006A6804" w:rsidRDefault="006A6804" w:rsidP="00472719">
      <w:pPr>
        <w:adjustRightInd w:val="0"/>
        <w:snapToGrid w:val="0"/>
        <w:spacing w:line="360" w:lineRule="auto"/>
        <w:jc w:val="both"/>
        <w:rPr>
          <w:rFonts w:ascii="Book Antiqua" w:hAnsi="Book Antiqua"/>
          <w:lang w:eastAsia="zh-CN"/>
        </w:rPr>
      </w:pPr>
      <w:r w:rsidRPr="00472719">
        <w:rPr>
          <w:rFonts w:ascii="Book Antiqua" w:hAnsi="Book Antiqua"/>
          <w:noProof/>
          <w:color w:val="000000"/>
          <w:lang w:eastAsia="zh-CN"/>
        </w:rPr>
        <w:lastRenderedPageBreak/>
        <w:drawing>
          <wp:inline distT="0" distB="0" distL="0" distR="0" wp14:anchorId="6C13025A" wp14:editId="304E3A7F">
            <wp:extent cx="4572000" cy="3429000"/>
            <wp:effectExtent l="0" t="0" r="0" b="0"/>
            <wp:docPr id="5" name="Billede 5" descr="C:\Users\PETER\Desktop\Andreas\cyst images\Figur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Desktop\Andreas\cyst images\Figure 5.bmp"/>
                    <pic:cNvPicPr>
                      <a:picLocks noChangeAspect="1" noChangeArrowheads="1"/>
                    </pic:cNvPicPr>
                  </pic:nvPicPr>
                  <pic:blipFill>
                    <a:blip r:embed="rId13" cstate="print"/>
                    <a:srcRect/>
                    <a:stretch>
                      <a:fillRect/>
                    </a:stretch>
                  </pic:blipFill>
                  <pic:spPr bwMode="auto">
                    <a:xfrm>
                      <a:off x="0" y="0"/>
                      <a:ext cx="4572452" cy="3429339"/>
                    </a:xfrm>
                    <a:prstGeom prst="rect">
                      <a:avLst/>
                    </a:prstGeom>
                    <a:noFill/>
                    <a:ln w="9525">
                      <a:noFill/>
                      <a:miter lim="800000"/>
                      <a:headEnd/>
                      <a:tailEnd/>
                    </a:ln>
                  </pic:spPr>
                </pic:pic>
              </a:graphicData>
            </a:graphic>
          </wp:inline>
        </w:drawing>
      </w:r>
    </w:p>
    <w:p w14:paraId="071EB57F" w14:textId="4025895A" w:rsidR="00ED5D32" w:rsidRDefault="00ED5D32" w:rsidP="00472719">
      <w:pPr>
        <w:adjustRightInd w:val="0"/>
        <w:snapToGrid w:val="0"/>
        <w:spacing w:line="360" w:lineRule="auto"/>
        <w:jc w:val="both"/>
        <w:rPr>
          <w:rFonts w:ascii="Book Antiqua" w:hAnsi="Book Antiqua"/>
          <w:lang w:eastAsia="zh-CN"/>
        </w:rPr>
      </w:pPr>
      <w:r>
        <w:rPr>
          <w:rFonts w:ascii="Book Antiqua" w:hAnsi="Book Antiqua" w:hint="eastAsia"/>
          <w:lang w:eastAsia="zh-CN"/>
        </w:rPr>
        <w:t>A</w:t>
      </w:r>
    </w:p>
    <w:p w14:paraId="7B130EB8" w14:textId="326E77C7" w:rsidR="00ED5D32" w:rsidRDefault="00ED5D32" w:rsidP="00472719">
      <w:pPr>
        <w:adjustRightInd w:val="0"/>
        <w:snapToGrid w:val="0"/>
        <w:spacing w:line="360" w:lineRule="auto"/>
        <w:jc w:val="both"/>
        <w:rPr>
          <w:rFonts w:ascii="Book Antiqua" w:hAnsi="Book Antiqua"/>
          <w:lang w:eastAsia="zh-CN"/>
        </w:rPr>
      </w:pPr>
      <w:r w:rsidRPr="00472719">
        <w:rPr>
          <w:rFonts w:ascii="Book Antiqua" w:hAnsi="Book Antiqua"/>
          <w:noProof/>
          <w:color w:val="000000"/>
          <w:lang w:eastAsia="zh-CN"/>
        </w:rPr>
        <w:drawing>
          <wp:inline distT="0" distB="0" distL="0" distR="0" wp14:anchorId="52F5CE2E" wp14:editId="3AF3AB97">
            <wp:extent cx="4521200" cy="3390900"/>
            <wp:effectExtent l="0" t="0" r="0" b="12700"/>
            <wp:docPr id="6" name="Billede 6" descr="C:\Users\PETER\Desktop\Andreas\cyst images\Figure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Desktop\Andreas\cyst images\Figure 6.bmp"/>
                    <pic:cNvPicPr>
                      <a:picLocks noChangeAspect="1" noChangeArrowheads="1"/>
                    </pic:cNvPicPr>
                  </pic:nvPicPr>
                  <pic:blipFill>
                    <a:blip r:embed="rId14" cstate="print"/>
                    <a:srcRect/>
                    <a:stretch>
                      <a:fillRect/>
                    </a:stretch>
                  </pic:blipFill>
                  <pic:spPr bwMode="auto">
                    <a:xfrm>
                      <a:off x="0" y="0"/>
                      <a:ext cx="4523958" cy="3392968"/>
                    </a:xfrm>
                    <a:prstGeom prst="rect">
                      <a:avLst/>
                    </a:prstGeom>
                    <a:noFill/>
                    <a:ln w="9525">
                      <a:noFill/>
                      <a:miter lim="800000"/>
                      <a:headEnd/>
                      <a:tailEnd/>
                    </a:ln>
                  </pic:spPr>
                </pic:pic>
              </a:graphicData>
            </a:graphic>
          </wp:inline>
        </w:drawing>
      </w:r>
    </w:p>
    <w:p w14:paraId="25289E8F" w14:textId="310A9F2A" w:rsidR="00ED5D32" w:rsidRPr="00472719" w:rsidRDefault="00ED5D32" w:rsidP="00472719">
      <w:pPr>
        <w:adjustRightInd w:val="0"/>
        <w:snapToGrid w:val="0"/>
        <w:spacing w:line="360" w:lineRule="auto"/>
        <w:jc w:val="both"/>
        <w:rPr>
          <w:rFonts w:ascii="Book Antiqua" w:hAnsi="Book Antiqua"/>
          <w:lang w:eastAsia="zh-CN"/>
        </w:rPr>
      </w:pPr>
      <w:r>
        <w:rPr>
          <w:rFonts w:ascii="Book Antiqua" w:hAnsi="Book Antiqua" w:hint="eastAsia"/>
          <w:lang w:eastAsia="zh-CN"/>
        </w:rPr>
        <w:t>B</w:t>
      </w:r>
    </w:p>
    <w:p w14:paraId="4306846C" w14:textId="26C3249D" w:rsidR="006A6804" w:rsidRPr="00ED5D32" w:rsidRDefault="006A6804" w:rsidP="00ED5D32">
      <w:pPr>
        <w:pStyle w:val="a5"/>
        <w:adjustRightInd w:val="0"/>
        <w:snapToGrid w:val="0"/>
        <w:spacing w:before="0" w:beforeAutospacing="0" w:after="0" w:afterAutospacing="0" w:line="360" w:lineRule="auto"/>
        <w:jc w:val="both"/>
        <w:rPr>
          <w:rFonts w:ascii="Book Antiqua" w:hAnsi="Book Antiqua"/>
          <w:b/>
          <w:color w:val="000000"/>
          <w:lang w:eastAsia="zh-CN"/>
        </w:rPr>
      </w:pPr>
      <w:r w:rsidRPr="00472719">
        <w:rPr>
          <w:rFonts w:ascii="Book Antiqua" w:hAnsi="Book Antiqua"/>
          <w:b/>
          <w:color w:val="000000"/>
        </w:rPr>
        <w:t>Figure 5</w:t>
      </w:r>
      <w:r w:rsidRPr="00472719">
        <w:rPr>
          <w:rFonts w:ascii="Book Antiqua" w:hAnsi="Book Antiqua"/>
          <w:b/>
          <w:color w:val="000000"/>
          <w:lang w:eastAsia="zh-CN"/>
        </w:rPr>
        <w:t xml:space="preserve"> </w:t>
      </w:r>
      <w:r w:rsidRPr="00472719">
        <w:rPr>
          <w:rFonts w:ascii="Book Antiqua" w:hAnsi="Book Antiqua"/>
          <w:b/>
          <w:color w:val="000000"/>
        </w:rPr>
        <w:t xml:space="preserve">Endoscopic ultrasound image of a 5 cm chronic </w:t>
      </w:r>
      <w:proofErr w:type="spellStart"/>
      <w:r w:rsidRPr="00472719">
        <w:rPr>
          <w:rFonts w:ascii="Book Antiqua" w:hAnsi="Book Antiqua"/>
          <w:b/>
          <w:color w:val="000000"/>
        </w:rPr>
        <w:t>pseudocyst</w:t>
      </w:r>
      <w:proofErr w:type="spellEnd"/>
      <w:r w:rsidRPr="00472719">
        <w:rPr>
          <w:rFonts w:ascii="Book Antiqua" w:hAnsi="Book Antiqua"/>
          <w:b/>
          <w:color w:val="000000"/>
        </w:rPr>
        <w:t xml:space="preserve"> with a thin wall</w:t>
      </w:r>
      <w:r w:rsidR="00ED5D32">
        <w:rPr>
          <w:rFonts w:ascii="Book Antiqua" w:hAnsi="Book Antiqua" w:hint="eastAsia"/>
          <w:b/>
          <w:color w:val="000000"/>
          <w:lang w:eastAsia="zh-CN"/>
        </w:rPr>
        <w:t xml:space="preserve"> (A) or </w:t>
      </w:r>
      <w:r w:rsidR="00ED5D32" w:rsidRPr="00472719">
        <w:rPr>
          <w:rFonts w:ascii="Book Antiqua" w:hAnsi="Book Antiqua"/>
          <w:b/>
          <w:color w:val="000000"/>
        </w:rPr>
        <w:t xml:space="preserve">a 7.8 cm irregular </w:t>
      </w:r>
      <w:proofErr w:type="spellStart"/>
      <w:r w:rsidR="00ED5D32" w:rsidRPr="00472719">
        <w:rPr>
          <w:rFonts w:ascii="Book Antiqua" w:hAnsi="Book Antiqua"/>
          <w:b/>
          <w:color w:val="000000"/>
        </w:rPr>
        <w:t>pseudocyst</w:t>
      </w:r>
      <w:proofErr w:type="spellEnd"/>
      <w:r w:rsidR="00ED5D32" w:rsidRPr="00472719">
        <w:rPr>
          <w:rFonts w:ascii="Book Antiqua" w:hAnsi="Book Antiqua"/>
          <w:b/>
          <w:color w:val="000000"/>
        </w:rPr>
        <w:t xml:space="preserve"> with walled off necrosis</w:t>
      </w:r>
    </w:p>
    <w:p w14:paraId="265B27D8" w14:textId="01018596" w:rsidR="00472719" w:rsidRPr="00472719" w:rsidRDefault="00472719" w:rsidP="00472719">
      <w:pPr>
        <w:adjustRightInd w:val="0"/>
        <w:snapToGrid w:val="0"/>
        <w:spacing w:line="360" w:lineRule="auto"/>
        <w:jc w:val="both"/>
        <w:rPr>
          <w:rFonts w:ascii="Book Antiqua" w:hAnsi="Book Antiqua"/>
        </w:rPr>
      </w:pPr>
    </w:p>
    <w:p w14:paraId="32DC6341" w14:textId="77777777" w:rsidR="00472719" w:rsidRPr="00472719" w:rsidRDefault="00472719" w:rsidP="00472719">
      <w:pPr>
        <w:adjustRightInd w:val="0"/>
        <w:snapToGrid w:val="0"/>
        <w:spacing w:line="360" w:lineRule="auto"/>
        <w:jc w:val="both"/>
        <w:rPr>
          <w:rFonts w:ascii="Book Antiqua" w:hAnsi="Book Antiqua"/>
        </w:rPr>
      </w:pPr>
    </w:p>
    <w:p w14:paraId="104EC332" w14:textId="77777777" w:rsidR="00472719" w:rsidRPr="00472719" w:rsidRDefault="00472719" w:rsidP="00472719">
      <w:pPr>
        <w:adjustRightInd w:val="0"/>
        <w:snapToGrid w:val="0"/>
        <w:spacing w:line="360" w:lineRule="auto"/>
        <w:jc w:val="both"/>
        <w:rPr>
          <w:rFonts w:ascii="Book Antiqua" w:hAnsi="Book Antiqua"/>
        </w:rPr>
      </w:pPr>
      <w:r w:rsidRPr="00472719">
        <w:rPr>
          <w:rFonts w:ascii="Book Antiqua" w:hAnsi="Book Antiqua"/>
          <w:noProof/>
          <w:color w:val="000000"/>
          <w:lang w:eastAsia="zh-CN"/>
        </w:rPr>
        <w:drawing>
          <wp:inline distT="0" distB="0" distL="0" distR="0" wp14:anchorId="35FA07E4" wp14:editId="540D8A0C">
            <wp:extent cx="4556769" cy="3102429"/>
            <wp:effectExtent l="0" t="0" r="0" b="0"/>
            <wp:docPr id="7" name="Billede 7" descr="C:\Users\PETER\Desktop\Andreas\cyst image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Desktop\Andreas\cyst images\Figure 7.jpg"/>
                    <pic:cNvPicPr>
                      <a:picLocks noChangeAspect="1" noChangeArrowheads="1"/>
                    </pic:cNvPicPr>
                  </pic:nvPicPr>
                  <pic:blipFill>
                    <a:blip r:embed="rId15" cstate="print"/>
                    <a:srcRect/>
                    <a:stretch>
                      <a:fillRect/>
                    </a:stretch>
                  </pic:blipFill>
                  <pic:spPr bwMode="auto">
                    <a:xfrm>
                      <a:off x="0" y="0"/>
                      <a:ext cx="4561958" cy="3105962"/>
                    </a:xfrm>
                    <a:prstGeom prst="rect">
                      <a:avLst/>
                    </a:prstGeom>
                    <a:noFill/>
                    <a:ln w="9525">
                      <a:noFill/>
                      <a:miter lim="800000"/>
                      <a:headEnd/>
                      <a:tailEnd/>
                    </a:ln>
                  </pic:spPr>
                </pic:pic>
              </a:graphicData>
            </a:graphic>
          </wp:inline>
        </w:drawing>
      </w:r>
    </w:p>
    <w:p w14:paraId="38A309D7" w14:textId="3734AC4B" w:rsidR="00472719" w:rsidRPr="00472719" w:rsidRDefault="00472719" w:rsidP="00472719">
      <w:pPr>
        <w:pStyle w:val="a5"/>
        <w:adjustRightInd w:val="0"/>
        <w:snapToGrid w:val="0"/>
        <w:spacing w:before="0" w:beforeAutospacing="0" w:after="0" w:afterAutospacing="0" w:line="360" w:lineRule="auto"/>
        <w:jc w:val="both"/>
        <w:rPr>
          <w:rFonts w:ascii="Book Antiqua" w:hAnsi="Book Antiqua"/>
          <w:color w:val="000000"/>
        </w:rPr>
      </w:pPr>
      <w:r w:rsidRPr="00472719">
        <w:rPr>
          <w:rFonts w:ascii="Book Antiqua" w:hAnsi="Book Antiqua"/>
          <w:b/>
          <w:color w:val="000000"/>
        </w:rPr>
        <w:t xml:space="preserve">Figure </w:t>
      </w:r>
      <w:r w:rsidR="00ED5D32">
        <w:rPr>
          <w:rFonts w:ascii="Book Antiqua" w:hAnsi="Book Antiqua" w:hint="eastAsia"/>
          <w:b/>
          <w:color w:val="000000"/>
          <w:lang w:eastAsia="zh-CN"/>
        </w:rPr>
        <w:t>6</w:t>
      </w:r>
      <w:r w:rsidRPr="00472719">
        <w:rPr>
          <w:rFonts w:ascii="Book Antiqua" w:hAnsi="Book Antiqua"/>
          <w:color w:val="000000"/>
        </w:rPr>
        <w:t xml:space="preserve"> </w:t>
      </w:r>
      <w:r w:rsidRPr="00472719">
        <w:rPr>
          <w:rFonts w:ascii="Book Antiqua" w:hAnsi="Book Antiqua"/>
          <w:b/>
          <w:color w:val="000000"/>
        </w:rPr>
        <w:t xml:space="preserve">Endoscopic image of a self-expandable metal stent immediately after endoscopic ultrasound guided drainage </w:t>
      </w:r>
      <w:r w:rsidRPr="00472719">
        <w:rPr>
          <w:rFonts w:ascii="Book Antiqua" w:hAnsi="Book Antiqua"/>
          <w:b/>
        </w:rPr>
        <w:t>(AXIOS</w:t>
      </w:r>
      <w:r w:rsidRPr="00472719">
        <w:rPr>
          <w:rFonts w:ascii="Book Antiqua" w:hAnsi="Book Antiqua"/>
          <w:b/>
          <w:color w:val="231F20"/>
          <w:vertAlign w:val="superscript"/>
        </w:rPr>
        <w:t>TM</w:t>
      </w:r>
      <w:r w:rsidRPr="00472719">
        <w:rPr>
          <w:rFonts w:ascii="Book Antiqua" w:hAnsi="Book Antiqua"/>
          <w:b/>
        </w:rPr>
        <w:t xml:space="preserve"> system, </w:t>
      </w:r>
      <w:proofErr w:type="spellStart"/>
      <w:r w:rsidRPr="00472719">
        <w:rPr>
          <w:rFonts w:ascii="Book Antiqua" w:hAnsi="Book Antiqua"/>
          <w:b/>
        </w:rPr>
        <w:t>Xlumina</w:t>
      </w:r>
      <w:proofErr w:type="spellEnd"/>
      <w:r w:rsidRPr="00472719">
        <w:rPr>
          <w:rFonts w:ascii="Book Antiqua" w:hAnsi="Book Antiqua"/>
          <w:b/>
        </w:rPr>
        <w:t>, Mountain View, CA, U</w:t>
      </w:r>
      <w:r w:rsidRPr="00472719">
        <w:rPr>
          <w:rFonts w:ascii="Book Antiqua" w:hAnsi="Book Antiqua"/>
          <w:b/>
          <w:lang w:eastAsia="zh-CN"/>
        </w:rPr>
        <w:t>nited States</w:t>
      </w:r>
      <w:r w:rsidRPr="00472719">
        <w:rPr>
          <w:rFonts w:ascii="Book Antiqua" w:hAnsi="Book Antiqua"/>
          <w:b/>
        </w:rPr>
        <w:t>)</w:t>
      </w:r>
      <w:r w:rsidRPr="00472719">
        <w:rPr>
          <w:rFonts w:ascii="Book Antiqua" w:hAnsi="Book Antiqua"/>
          <w:b/>
          <w:color w:val="000000"/>
        </w:rPr>
        <w:t xml:space="preserve">. </w:t>
      </w:r>
      <w:r w:rsidRPr="00472719">
        <w:rPr>
          <w:rFonts w:ascii="Book Antiqua" w:hAnsi="Book Antiqua"/>
          <w:color w:val="000000"/>
        </w:rPr>
        <w:t>Note the fluid floating through the stent opening. A guidewire is still visible extending through the stent lumen.</w:t>
      </w:r>
    </w:p>
    <w:p w14:paraId="61BD4B2E" w14:textId="77777777" w:rsidR="00472719" w:rsidRPr="00472719" w:rsidRDefault="00472719" w:rsidP="00472719">
      <w:pPr>
        <w:adjustRightInd w:val="0"/>
        <w:snapToGrid w:val="0"/>
        <w:spacing w:line="360" w:lineRule="auto"/>
        <w:jc w:val="both"/>
        <w:rPr>
          <w:rFonts w:ascii="Book Antiqua" w:hAnsi="Book Antiqua"/>
        </w:rPr>
      </w:pPr>
    </w:p>
    <w:p w14:paraId="7E8E133F" w14:textId="438F982A" w:rsidR="00472719" w:rsidRPr="00472719" w:rsidRDefault="00472719"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br w:type="page"/>
      </w:r>
    </w:p>
    <w:p w14:paraId="0403802A" w14:textId="77777777" w:rsidR="00472719" w:rsidRPr="00472719" w:rsidRDefault="00472719" w:rsidP="00472719">
      <w:pPr>
        <w:adjustRightInd w:val="0"/>
        <w:snapToGrid w:val="0"/>
        <w:spacing w:line="360" w:lineRule="auto"/>
        <w:jc w:val="both"/>
        <w:rPr>
          <w:rFonts w:ascii="Book Antiqua" w:hAnsi="Book Antiqua"/>
        </w:rPr>
      </w:pPr>
      <w:r w:rsidRPr="00472719">
        <w:rPr>
          <w:rFonts w:ascii="Book Antiqua" w:hAnsi="Book Antiqua"/>
          <w:b/>
          <w:noProof/>
          <w:color w:val="000000"/>
          <w:lang w:eastAsia="zh-CN"/>
        </w:rPr>
        <w:lastRenderedPageBreak/>
        <w:drawing>
          <wp:inline distT="0" distB="0" distL="0" distR="0" wp14:anchorId="68BAF531" wp14:editId="675D5076">
            <wp:extent cx="4550229" cy="3412672"/>
            <wp:effectExtent l="0" t="0" r="0" b="0"/>
            <wp:docPr id="8" name="Billede 8" descr="C:\Users\PETER\Desktop\Andreas\cyst images\Fig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Desktop\Andreas\cyst images\Figure 8.bmp"/>
                    <pic:cNvPicPr>
                      <a:picLocks noChangeAspect="1" noChangeArrowheads="1"/>
                    </pic:cNvPicPr>
                  </pic:nvPicPr>
                  <pic:blipFill>
                    <a:blip r:embed="rId16" cstate="print"/>
                    <a:srcRect/>
                    <a:stretch>
                      <a:fillRect/>
                    </a:stretch>
                  </pic:blipFill>
                  <pic:spPr bwMode="auto">
                    <a:xfrm>
                      <a:off x="0" y="0"/>
                      <a:ext cx="4552719" cy="3414540"/>
                    </a:xfrm>
                    <a:prstGeom prst="rect">
                      <a:avLst/>
                    </a:prstGeom>
                    <a:noFill/>
                    <a:ln w="9525">
                      <a:noFill/>
                      <a:miter lim="800000"/>
                      <a:headEnd/>
                      <a:tailEnd/>
                    </a:ln>
                  </pic:spPr>
                </pic:pic>
              </a:graphicData>
            </a:graphic>
          </wp:inline>
        </w:drawing>
      </w:r>
    </w:p>
    <w:p w14:paraId="15588EB2" w14:textId="15244995" w:rsidR="00472719" w:rsidRPr="00472719" w:rsidRDefault="00472719" w:rsidP="00472719">
      <w:pPr>
        <w:pStyle w:val="a5"/>
        <w:adjustRightInd w:val="0"/>
        <w:snapToGrid w:val="0"/>
        <w:spacing w:before="0" w:beforeAutospacing="0" w:after="0" w:afterAutospacing="0" w:line="360" w:lineRule="auto"/>
        <w:jc w:val="both"/>
        <w:rPr>
          <w:rFonts w:ascii="Book Antiqua" w:hAnsi="Book Antiqua"/>
          <w:color w:val="000000"/>
        </w:rPr>
      </w:pPr>
      <w:r w:rsidRPr="00472719">
        <w:rPr>
          <w:rFonts w:ascii="Book Antiqua" w:hAnsi="Book Antiqua"/>
          <w:b/>
          <w:color w:val="000000"/>
        </w:rPr>
        <w:t xml:space="preserve">Figure </w:t>
      </w:r>
      <w:r w:rsidR="00ED5D32">
        <w:rPr>
          <w:rFonts w:ascii="Book Antiqua" w:hAnsi="Book Antiqua" w:hint="eastAsia"/>
          <w:b/>
          <w:color w:val="000000"/>
          <w:lang w:eastAsia="zh-CN"/>
        </w:rPr>
        <w:t>7</w:t>
      </w:r>
      <w:r w:rsidRPr="00472719">
        <w:rPr>
          <w:rFonts w:ascii="Book Antiqua" w:hAnsi="Book Antiqua"/>
          <w:color w:val="000000"/>
        </w:rPr>
        <w:t xml:space="preserve"> </w:t>
      </w:r>
      <w:r w:rsidRPr="00472719">
        <w:rPr>
          <w:rFonts w:ascii="Book Antiqua" w:hAnsi="Book Antiqua"/>
          <w:b/>
          <w:color w:val="000000"/>
        </w:rPr>
        <w:t xml:space="preserve">Corresponding endoscopic ultrasound image of a collapsed pancreatic </w:t>
      </w:r>
      <w:proofErr w:type="spellStart"/>
      <w:r w:rsidRPr="00472719">
        <w:rPr>
          <w:rFonts w:ascii="Book Antiqua" w:hAnsi="Book Antiqua"/>
          <w:b/>
          <w:color w:val="000000"/>
        </w:rPr>
        <w:t>psuedocyst</w:t>
      </w:r>
      <w:proofErr w:type="spellEnd"/>
      <w:r w:rsidRPr="00472719">
        <w:rPr>
          <w:rFonts w:ascii="Book Antiqua" w:hAnsi="Book Antiqua"/>
          <w:b/>
          <w:color w:val="000000"/>
        </w:rPr>
        <w:t xml:space="preserve"> immediately after drainage. </w:t>
      </w:r>
      <w:r w:rsidRPr="00472719">
        <w:rPr>
          <w:rFonts w:ascii="Book Antiqua" w:hAnsi="Book Antiqua"/>
          <w:color w:val="000000"/>
        </w:rPr>
        <w:t xml:space="preserve">Note </w:t>
      </w:r>
      <w:proofErr w:type="spellStart"/>
      <w:r w:rsidRPr="00472719">
        <w:rPr>
          <w:rFonts w:ascii="Book Antiqua" w:hAnsi="Book Antiqua"/>
          <w:color w:val="000000"/>
        </w:rPr>
        <w:t>reflexions</w:t>
      </w:r>
      <w:proofErr w:type="spellEnd"/>
      <w:r w:rsidRPr="00472719">
        <w:rPr>
          <w:rFonts w:ascii="Book Antiqua" w:hAnsi="Book Antiqua"/>
          <w:color w:val="000000"/>
        </w:rPr>
        <w:t xml:space="preserve"> from the stent mesh inside the collapsed cyst.</w:t>
      </w:r>
    </w:p>
    <w:p w14:paraId="0167086D" w14:textId="77777777" w:rsidR="00472719" w:rsidRPr="00472719" w:rsidRDefault="00472719" w:rsidP="00472719">
      <w:pPr>
        <w:adjustRightInd w:val="0"/>
        <w:snapToGrid w:val="0"/>
        <w:spacing w:line="360" w:lineRule="auto"/>
        <w:jc w:val="both"/>
        <w:rPr>
          <w:rFonts w:ascii="Book Antiqua" w:hAnsi="Book Antiqua"/>
        </w:rPr>
      </w:pPr>
    </w:p>
    <w:p w14:paraId="76CD535A" w14:textId="3D938430" w:rsidR="00472719" w:rsidRPr="00472719" w:rsidRDefault="00472719" w:rsidP="00472719">
      <w:pPr>
        <w:autoSpaceDE w:val="0"/>
        <w:autoSpaceDN w:val="0"/>
        <w:adjustRightInd w:val="0"/>
        <w:snapToGrid w:val="0"/>
        <w:spacing w:line="360" w:lineRule="auto"/>
        <w:jc w:val="both"/>
        <w:rPr>
          <w:rFonts w:ascii="Book Antiqua" w:hAnsi="Book Antiqua"/>
          <w:lang w:eastAsia="zh-CN"/>
        </w:rPr>
      </w:pPr>
      <w:r w:rsidRPr="00472719">
        <w:rPr>
          <w:rFonts w:ascii="Book Antiqua" w:hAnsi="Book Antiqua"/>
          <w:lang w:eastAsia="zh-CN"/>
        </w:rPr>
        <w:br w:type="page"/>
      </w:r>
    </w:p>
    <w:p w14:paraId="05252EC4" w14:textId="77777777" w:rsidR="00472719" w:rsidRPr="00472719" w:rsidRDefault="00472719" w:rsidP="00472719">
      <w:pPr>
        <w:pStyle w:val="a5"/>
        <w:adjustRightInd w:val="0"/>
        <w:snapToGrid w:val="0"/>
        <w:spacing w:before="0" w:beforeAutospacing="0" w:after="0" w:afterAutospacing="0" w:line="360" w:lineRule="auto"/>
        <w:jc w:val="both"/>
        <w:rPr>
          <w:rFonts w:ascii="Book Antiqua" w:hAnsi="Book Antiqua"/>
          <w:color w:val="000000"/>
        </w:rPr>
      </w:pPr>
      <w:r w:rsidRPr="00472719">
        <w:rPr>
          <w:rFonts w:ascii="Book Antiqua" w:eastAsia="Times New Roman" w:hAnsi="Book Antiqua"/>
          <w:bCs/>
          <w:noProof/>
          <w:kern w:val="36"/>
          <w:lang w:eastAsia="zh-CN"/>
        </w:rPr>
        <w:lastRenderedPageBreak/>
        <mc:AlternateContent>
          <mc:Choice Requires="wps">
            <w:drawing>
              <wp:anchor distT="0" distB="0" distL="114300" distR="114300" simplePos="0" relativeHeight="251659264" behindDoc="0" locked="0" layoutInCell="1" allowOverlap="1" wp14:anchorId="046CD018" wp14:editId="5D77E0C3">
                <wp:simplePos x="0" y="0"/>
                <wp:positionH relativeFrom="column">
                  <wp:posOffset>2171700</wp:posOffset>
                </wp:positionH>
                <wp:positionV relativeFrom="paragraph">
                  <wp:posOffset>126365</wp:posOffset>
                </wp:positionV>
                <wp:extent cx="2286000" cy="712470"/>
                <wp:effectExtent l="0" t="0" r="25400" b="241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12470"/>
                        </a:xfrm>
                        <a:prstGeom prst="rect">
                          <a:avLst/>
                        </a:prstGeom>
                        <a:solidFill>
                          <a:srgbClr val="FFFFFF"/>
                        </a:solidFill>
                        <a:ln w="9525">
                          <a:solidFill>
                            <a:srgbClr val="000000"/>
                          </a:solidFill>
                          <a:miter lim="800000"/>
                          <a:headEnd/>
                          <a:tailEnd/>
                        </a:ln>
                      </wps:spPr>
                      <wps:txbx>
                        <w:txbxContent>
                          <w:p w14:paraId="1C7E249C" w14:textId="1CDC87A6" w:rsidR="00843137" w:rsidRPr="00206AEC" w:rsidRDefault="00843137" w:rsidP="00472719">
                            <w:pPr>
                              <w:rPr>
                                <w:rFonts w:ascii="Book Antiqua" w:hAnsi="Book Antiqua"/>
                                <w:b/>
                                <w:sz w:val="20"/>
                                <w:szCs w:val="20"/>
                              </w:rPr>
                            </w:pPr>
                            <w:r w:rsidRPr="00206AEC">
                              <w:rPr>
                                <w:rFonts w:ascii="Book Antiqua" w:hAnsi="Book Antiqua"/>
                                <w:b/>
                                <w:sz w:val="20"/>
                                <w:szCs w:val="20"/>
                              </w:rPr>
                              <w:t>Pancreatic fluid collections</w:t>
                            </w:r>
                          </w:p>
                          <w:p w14:paraId="2E4F4572" w14:textId="77777777" w:rsidR="00843137" w:rsidRPr="00206AEC" w:rsidRDefault="00843137" w:rsidP="00472719">
                            <w:pPr>
                              <w:rPr>
                                <w:rFonts w:ascii="Book Antiqua" w:hAnsi="Book Antiqua"/>
                                <w:sz w:val="20"/>
                                <w:szCs w:val="20"/>
                              </w:rPr>
                            </w:pPr>
                            <w:r w:rsidRPr="00206AEC">
                              <w:rPr>
                                <w:rFonts w:ascii="Book Antiqua" w:hAnsi="Book Antiqua"/>
                                <w:sz w:val="20"/>
                                <w:szCs w:val="20"/>
                                <w:lang w:eastAsia="zh-CN"/>
                              </w:rPr>
                              <w:t>(</w:t>
                            </w:r>
                            <w:proofErr w:type="gramStart"/>
                            <w:r w:rsidRPr="00206AEC">
                              <w:rPr>
                                <w:rFonts w:ascii="Book Antiqua" w:hAnsi="Book Antiqua"/>
                                <w:sz w:val="20"/>
                                <w:szCs w:val="20"/>
                                <w:lang w:eastAsia="zh-CN"/>
                              </w:rPr>
                              <w:t>acute</w:t>
                            </w:r>
                            <w:proofErr w:type="gramEnd"/>
                            <w:r w:rsidRPr="00206AEC">
                              <w:rPr>
                                <w:rFonts w:ascii="Book Antiqua" w:hAnsi="Book Antiqua"/>
                                <w:sz w:val="20"/>
                                <w:szCs w:val="20"/>
                                <w:lang w:eastAsia="zh-CN"/>
                              </w:rPr>
                              <w:t xml:space="preserve"> pancreatic fluid collection, acute necrotic collection, </w:t>
                            </w:r>
                            <w:proofErr w:type="spellStart"/>
                            <w:r w:rsidRPr="00206AEC">
                              <w:rPr>
                                <w:rFonts w:ascii="Book Antiqua" w:hAnsi="Book Antiqua"/>
                                <w:sz w:val="20"/>
                                <w:szCs w:val="20"/>
                                <w:lang w:eastAsia="zh-CN"/>
                              </w:rPr>
                              <w:t>pseudocyst</w:t>
                            </w:r>
                            <w:proofErr w:type="spellEnd"/>
                            <w:r w:rsidRPr="00206AEC">
                              <w:rPr>
                                <w:rFonts w:ascii="Book Antiqua" w:hAnsi="Book Antiqua"/>
                                <w:sz w:val="20"/>
                                <w:szCs w:val="20"/>
                                <w:lang w:eastAsia="zh-CN"/>
                              </w:rPr>
                              <w:t>, and walled-off necrosis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1pt;margin-top:9.95pt;width:180pt;height:56.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">
                <v:textbox style="mso-fit-shape-to-text:t">
                  <w:txbxContent>
                    <w:p w14:paraId="1C7E249C" w14:textId="1CDC87A6" w:rsidR="00843137" w:rsidRPr="00206AEC" w:rsidRDefault="00843137" w:rsidP="00472719">
                      <w:pPr>
                        <w:rPr>
                          <w:rFonts w:ascii="Book Antiqua" w:hAnsi="Book Antiqua"/>
                          <w:b/>
                          <w:sz w:val="20"/>
                          <w:szCs w:val="20"/>
                        </w:rPr>
                      </w:pPr>
                      <w:r w:rsidRPr="00206AEC">
                        <w:rPr>
                          <w:rFonts w:ascii="Book Antiqua" w:hAnsi="Book Antiqua"/>
                          <w:b/>
                          <w:sz w:val="20"/>
                          <w:szCs w:val="20"/>
                        </w:rPr>
                        <w:t>Pancreatic fluid collections</w:t>
                      </w:r>
                    </w:p>
                    <w:p w14:paraId="2E4F4572" w14:textId="77777777" w:rsidR="00843137" w:rsidRPr="00206AEC" w:rsidRDefault="00843137" w:rsidP="00472719">
                      <w:pPr>
                        <w:rPr>
                          <w:rFonts w:ascii="Book Antiqua" w:hAnsi="Book Antiqua"/>
                          <w:sz w:val="20"/>
                          <w:szCs w:val="20"/>
                        </w:rPr>
                      </w:pPr>
                      <w:r w:rsidRPr="00206AEC">
                        <w:rPr>
                          <w:rFonts w:ascii="Book Antiqua" w:hAnsi="Book Antiqua"/>
                          <w:sz w:val="20"/>
                          <w:szCs w:val="20"/>
                          <w:lang w:eastAsia="zh-CN"/>
                        </w:rPr>
                        <w:t>(</w:t>
                      </w:r>
                      <w:proofErr w:type="gramStart"/>
                      <w:r w:rsidRPr="00206AEC">
                        <w:rPr>
                          <w:rFonts w:ascii="Book Antiqua" w:hAnsi="Book Antiqua"/>
                          <w:sz w:val="20"/>
                          <w:szCs w:val="20"/>
                          <w:lang w:eastAsia="zh-CN"/>
                        </w:rPr>
                        <w:t>acute</w:t>
                      </w:r>
                      <w:proofErr w:type="gramEnd"/>
                      <w:r w:rsidRPr="00206AEC">
                        <w:rPr>
                          <w:rFonts w:ascii="Book Antiqua" w:hAnsi="Book Antiqua"/>
                          <w:sz w:val="20"/>
                          <w:szCs w:val="20"/>
                          <w:lang w:eastAsia="zh-CN"/>
                        </w:rPr>
                        <w:t xml:space="preserve"> pancreatic fluid collection, acute necrotic collection, </w:t>
                      </w:r>
                      <w:proofErr w:type="spellStart"/>
                      <w:r w:rsidRPr="00206AEC">
                        <w:rPr>
                          <w:rFonts w:ascii="Book Antiqua" w:hAnsi="Book Antiqua"/>
                          <w:sz w:val="20"/>
                          <w:szCs w:val="20"/>
                          <w:lang w:eastAsia="zh-CN"/>
                        </w:rPr>
                        <w:t>pseudocyst</w:t>
                      </w:r>
                      <w:proofErr w:type="spellEnd"/>
                      <w:r w:rsidRPr="00206AEC">
                        <w:rPr>
                          <w:rFonts w:ascii="Book Antiqua" w:hAnsi="Book Antiqua"/>
                          <w:sz w:val="20"/>
                          <w:szCs w:val="20"/>
                          <w:lang w:eastAsia="zh-CN"/>
                        </w:rPr>
                        <w:t>, and walled-off necrosis</w:t>
                      </w:r>
                    </w:p>
                  </w:txbxContent>
                </v:textbox>
              </v:shape>
            </w:pict>
          </mc:Fallback>
        </mc:AlternateContent>
      </w:r>
    </w:p>
    <w:p w14:paraId="7E7FB6C4" w14:textId="77777777" w:rsidR="00472719" w:rsidRPr="00472719" w:rsidRDefault="00472719" w:rsidP="00472719">
      <w:pPr>
        <w:shd w:val="clear" w:color="auto" w:fill="FFFFFF"/>
        <w:adjustRightInd w:val="0"/>
        <w:snapToGrid w:val="0"/>
        <w:spacing w:line="360" w:lineRule="auto"/>
        <w:jc w:val="both"/>
        <w:outlineLvl w:val="0"/>
        <w:rPr>
          <w:rFonts w:ascii="Book Antiqua" w:eastAsia="Times New Roman" w:hAnsi="Book Antiqua"/>
          <w:bCs/>
          <w:kern w:val="36"/>
        </w:rPr>
      </w:pPr>
    </w:p>
    <w:p w14:paraId="04938BCC" w14:textId="77777777" w:rsidR="00472719" w:rsidRPr="00472719" w:rsidRDefault="00472719" w:rsidP="00472719">
      <w:pPr>
        <w:shd w:val="clear" w:color="auto" w:fill="FFFFFF"/>
        <w:adjustRightInd w:val="0"/>
        <w:snapToGrid w:val="0"/>
        <w:spacing w:line="360" w:lineRule="auto"/>
        <w:jc w:val="both"/>
        <w:outlineLvl w:val="0"/>
        <w:rPr>
          <w:rFonts w:ascii="Book Antiqua" w:eastAsia="Times New Roman" w:hAnsi="Book Antiqua"/>
          <w:bCs/>
          <w:kern w:val="36"/>
        </w:rPr>
      </w:pPr>
      <w:r w:rsidRPr="00472719">
        <w:rPr>
          <w:rFonts w:ascii="Book Antiqua" w:eastAsia="Times New Roman" w:hAnsi="Book Antiqua"/>
          <w:bCs/>
          <w:noProof/>
          <w:kern w:val="36"/>
          <w:lang w:eastAsia="zh-CN"/>
        </w:rPr>
        <mc:AlternateContent>
          <mc:Choice Requires="wps">
            <w:drawing>
              <wp:anchor distT="0" distB="0" distL="114300" distR="114300" simplePos="0" relativeHeight="251665408" behindDoc="0" locked="0" layoutInCell="1" allowOverlap="1" wp14:anchorId="5AF693F2" wp14:editId="40969576">
                <wp:simplePos x="0" y="0"/>
                <wp:positionH relativeFrom="column">
                  <wp:posOffset>4572000</wp:posOffset>
                </wp:positionH>
                <wp:positionV relativeFrom="paragraph">
                  <wp:posOffset>0</wp:posOffset>
                </wp:positionV>
                <wp:extent cx="685800" cy="571500"/>
                <wp:effectExtent l="0" t="0" r="76200" b="6350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93EFE3" id="_x0000_t32" coordsize="21600,21600" o:spt="32" o:oned="t" path="m,l21600,21600e" filled="f">
                <v:path arrowok="t" fillok="f" o:connecttype="none"/>
                <o:lock v:ext="edit" shapetype="t"/>
              </v:shapetype>
              <v:shape id="AutoShape 8" o:spid="_x0000_s1026" type="#_x0000_t32" style="position:absolute;margin-left:5in;margin-top:0;width:54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">
                <v:stroke endarrow="block"/>
              </v:shape>
            </w:pict>
          </mc:Fallback>
        </mc:AlternateContent>
      </w:r>
      <w:r w:rsidRPr="00472719">
        <w:rPr>
          <w:rFonts w:ascii="Book Antiqua" w:eastAsia="Times New Roman" w:hAnsi="Book Antiqua"/>
          <w:bCs/>
          <w:noProof/>
          <w:kern w:val="36"/>
          <w:lang w:eastAsia="zh-CN"/>
        </w:rPr>
        <mc:AlternateContent>
          <mc:Choice Requires="wps">
            <w:drawing>
              <wp:anchor distT="0" distB="0" distL="114300" distR="114300" simplePos="0" relativeHeight="251664384" behindDoc="0" locked="0" layoutInCell="1" allowOverlap="1" wp14:anchorId="6BF0B4F1" wp14:editId="0C5A8308">
                <wp:simplePos x="0" y="0"/>
                <wp:positionH relativeFrom="column">
                  <wp:posOffset>1371600</wp:posOffset>
                </wp:positionH>
                <wp:positionV relativeFrom="paragraph">
                  <wp:posOffset>0</wp:posOffset>
                </wp:positionV>
                <wp:extent cx="704216" cy="571500"/>
                <wp:effectExtent l="50800" t="0" r="32385" b="6350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216"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89858D" id="AutoShape 7" o:spid="_x0000_s1026" type="#_x0000_t32" style="position:absolute;margin-left:108pt;margin-top:0;width:55.45pt;height: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9zQAIAAGw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">
                <v:stroke endarrow="block"/>
              </v:shape>
            </w:pict>
          </mc:Fallback>
        </mc:AlternateContent>
      </w:r>
    </w:p>
    <w:p w14:paraId="2B66B7B3" w14:textId="77777777" w:rsidR="00472719" w:rsidRPr="00472719" w:rsidRDefault="00472719" w:rsidP="00472719">
      <w:pPr>
        <w:shd w:val="clear" w:color="auto" w:fill="FFFFFF"/>
        <w:adjustRightInd w:val="0"/>
        <w:snapToGrid w:val="0"/>
        <w:spacing w:line="360" w:lineRule="auto"/>
        <w:jc w:val="both"/>
        <w:outlineLvl w:val="0"/>
        <w:rPr>
          <w:rFonts w:ascii="Book Antiqua" w:eastAsia="Times New Roman" w:hAnsi="Book Antiqua"/>
          <w:bCs/>
          <w:kern w:val="36"/>
        </w:rPr>
      </w:pPr>
      <w:r w:rsidRPr="00472719">
        <w:rPr>
          <w:rFonts w:ascii="Book Antiqua" w:eastAsia="Times New Roman" w:hAnsi="Book Antiqua"/>
          <w:bCs/>
          <w:noProof/>
          <w:kern w:val="36"/>
          <w:lang w:eastAsia="zh-CN"/>
        </w:rPr>
        <mc:AlternateContent>
          <mc:Choice Requires="wps">
            <w:drawing>
              <wp:anchor distT="0" distB="0" distL="114300" distR="114300" simplePos="0" relativeHeight="251663360" behindDoc="0" locked="0" layoutInCell="1" allowOverlap="1" wp14:anchorId="07617897" wp14:editId="415BF28D">
                <wp:simplePos x="0" y="0"/>
                <wp:positionH relativeFrom="column">
                  <wp:posOffset>3314700</wp:posOffset>
                </wp:positionH>
                <wp:positionV relativeFrom="paragraph">
                  <wp:posOffset>14605</wp:posOffset>
                </wp:positionV>
                <wp:extent cx="8255" cy="379095"/>
                <wp:effectExtent l="50800" t="0" r="67945" b="7810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A74607" id="AutoShape 6" o:spid="_x0000_s1026" type="#_x0000_t32" style="position:absolute;margin-left:261pt;margin-top:1.15pt;width:.65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VSNgIAAGA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">
                <v:stroke endarrow="block"/>
              </v:shape>
            </w:pict>
          </mc:Fallback>
        </mc:AlternateContent>
      </w:r>
    </w:p>
    <w:p w14:paraId="1EA21669" w14:textId="77777777" w:rsidR="00472719" w:rsidRPr="00472719" w:rsidRDefault="00472719" w:rsidP="00472719">
      <w:pPr>
        <w:shd w:val="clear" w:color="auto" w:fill="FFFFFF"/>
        <w:adjustRightInd w:val="0"/>
        <w:snapToGrid w:val="0"/>
        <w:spacing w:line="360" w:lineRule="auto"/>
        <w:jc w:val="both"/>
        <w:outlineLvl w:val="0"/>
        <w:rPr>
          <w:rFonts w:ascii="Book Antiqua" w:eastAsia="Times New Roman" w:hAnsi="Book Antiqua"/>
          <w:bCs/>
          <w:kern w:val="36"/>
        </w:rPr>
      </w:pPr>
      <w:r w:rsidRPr="00472719">
        <w:rPr>
          <w:rFonts w:ascii="Book Antiqua" w:hAnsi="Book Antiqua"/>
          <w:b/>
          <w:noProof/>
          <w:lang w:eastAsia="zh-CN"/>
        </w:rPr>
        <mc:AlternateContent>
          <mc:Choice Requires="wps">
            <w:drawing>
              <wp:anchor distT="0" distB="0" distL="114300" distR="114300" simplePos="0" relativeHeight="251660288" behindDoc="0" locked="0" layoutInCell="1" allowOverlap="1" wp14:anchorId="7F74DFD0" wp14:editId="41BB318A">
                <wp:simplePos x="0" y="0"/>
                <wp:positionH relativeFrom="column">
                  <wp:posOffset>457200</wp:posOffset>
                </wp:positionH>
                <wp:positionV relativeFrom="paragraph">
                  <wp:posOffset>143510</wp:posOffset>
                </wp:positionV>
                <wp:extent cx="1828165" cy="406400"/>
                <wp:effectExtent l="0" t="0" r="26035" b="2540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406400"/>
                        </a:xfrm>
                        <a:prstGeom prst="rect">
                          <a:avLst/>
                        </a:prstGeom>
                        <a:solidFill>
                          <a:srgbClr val="FFFFFF"/>
                        </a:solidFill>
                        <a:ln w="9525">
                          <a:solidFill>
                            <a:srgbClr val="000000"/>
                          </a:solidFill>
                          <a:miter lim="800000"/>
                          <a:headEnd/>
                          <a:tailEnd/>
                        </a:ln>
                      </wps:spPr>
                      <wps:txbx>
                        <w:txbxContent>
                          <w:p w14:paraId="4284DBF6" w14:textId="77777777" w:rsidR="00843137" w:rsidRPr="00206AEC" w:rsidRDefault="00843137" w:rsidP="00472719">
                            <w:pPr>
                              <w:jc w:val="center"/>
                              <w:rPr>
                                <w:rFonts w:ascii="Book Antiqua" w:hAnsi="Book Antiqua"/>
                                <w:b/>
                                <w:sz w:val="20"/>
                                <w:szCs w:val="20"/>
                              </w:rPr>
                            </w:pPr>
                            <w:r w:rsidRPr="00206AEC">
                              <w:rPr>
                                <w:rFonts w:ascii="Book Antiqua" w:hAnsi="Book Antiqua"/>
                                <w:b/>
                                <w:sz w:val="20"/>
                                <w:szCs w:val="20"/>
                              </w:rPr>
                              <w:t>Pancreatic fluid collections</w:t>
                            </w:r>
                          </w:p>
                          <w:p w14:paraId="7DF7339F" w14:textId="77777777" w:rsidR="00843137" w:rsidRPr="00206AEC" w:rsidRDefault="00843137" w:rsidP="00472719">
                            <w:pPr>
                              <w:jc w:val="center"/>
                              <w:rPr>
                                <w:rFonts w:ascii="Book Antiqua" w:hAnsi="Book Antiqua"/>
                                <w:sz w:val="20"/>
                                <w:szCs w:val="20"/>
                              </w:rPr>
                            </w:pPr>
                            <w:proofErr w:type="gramStart"/>
                            <w:r w:rsidRPr="00206AEC">
                              <w:rPr>
                                <w:rFonts w:ascii="Book Antiqua" w:hAnsi="Book Antiqua"/>
                                <w:color w:val="000000"/>
                                <w:sz w:val="20"/>
                                <w:szCs w:val="20"/>
                              </w:rPr>
                              <w:t>with</w:t>
                            </w:r>
                            <w:proofErr w:type="gramEnd"/>
                            <w:r w:rsidRPr="00206AEC">
                              <w:rPr>
                                <w:rFonts w:ascii="Book Antiqua" w:hAnsi="Book Antiqua"/>
                                <w:color w:val="000000"/>
                                <w:sz w:val="20"/>
                                <w:szCs w:val="20"/>
                              </w:rPr>
                              <w:t xml:space="preserve"> solid debris  &lt; 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left:0;text-align:left;margin-left:36pt;margin-top:11.3pt;width:143.95pt;height:3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">
                <v:textbox style="mso-fit-shape-to-text:t">
                  <w:txbxContent>
                    <w:p w14:paraId="4284DBF6" w14:textId="77777777" w:rsidR="00843137" w:rsidRPr="00206AEC" w:rsidRDefault="00843137" w:rsidP="00472719">
                      <w:pPr>
                        <w:jc w:val="center"/>
                        <w:rPr>
                          <w:rFonts w:ascii="Book Antiqua" w:hAnsi="Book Antiqua"/>
                          <w:b/>
                          <w:sz w:val="20"/>
                          <w:szCs w:val="20"/>
                        </w:rPr>
                      </w:pPr>
                      <w:r w:rsidRPr="00206AEC">
                        <w:rPr>
                          <w:rFonts w:ascii="Book Antiqua" w:hAnsi="Book Antiqua"/>
                          <w:b/>
                          <w:sz w:val="20"/>
                          <w:szCs w:val="20"/>
                        </w:rPr>
                        <w:t>Pancreatic fluid collections</w:t>
                      </w:r>
                    </w:p>
                    <w:p w14:paraId="7DF7339F" w14:textId="77777777" w:rsidR="00843137" w:rsidRPr="00206AEC" w:rsidRDefault="00843137" w:rsidP="00472719">
                      <w:pPr>
                        <w:jc w:val="center"/>
                        <w:rPr>
                          <w:rFonts w:ascii="Book Antiqua" w:hAnsi="Book Antiqua"/>
                          <w:sz w:val="20"/>
                          <w:szCs w:val="20"/>
                        </w:rPr>
                      </w:pPr>
                      <w:proofErr w:type="gramStart"/>
                      <w:r w:rsidRPr="00206AEC">
                        <w:rPr>
                          <w:rFonts w:ascii="Book Antiqua" w:hAnsi="Book Antiqua"/>
                          <w:color w:val="000000"/>
                          <w:sz w:val="20"/>
                          <w:szCs w:val="20"/>
                        </w:rPr>
                        <w:t>with</w:t>
                      </w:r>
                      <w:proofErr w:type="gramEnd"/>
                      <w:r w:rsidRPr="00206AEC">
                        <w:rPr>
                          <w:rFonts w:ascii="Book Antiqua" w:hAnsi="Book Antiqua"/>
                          <w:color w:val="000000"/>
                          <w:sz w:val="20"/>
                          <w:szCs w:val="20"/>
                        </w:rPr>
                        <w:t xml:space="preserve"> solid debris  &lt; 20%</w:t>
                      </w:r>
                    </w:p>
                  </w:txbxContent>
                </v:textbox>
              </v:shape>
            </w:pict>
          </mc:Fallback>
        </mc:AlternateContent>
      </w:r>
      <w:r w:rsidRPr="00472719">
        <w:rPr>
          <w:rFonts w:ascii="Book Antiqua" w:hAnsi="Book Antiqua"/>
          <w:b/>
          <w:noProof/>
          <w:lang w:eastAsia="zh-CN"/>
        </w:rPr>
        <mc:AlternateContent>
          <mc:Choice Requires="wps">
            <w:drawing>
              <wp:anchor distT="0" distB="0" distL="114300" distR="114300" simplePos="0" relativeHeight="251662336" behindDoc="0" locked="0" layoutInCell="1" allowOverlap="1" wp14:anchorId="45684217" wp14:editId="4BBC46B8">
                <wp:simplePos x="0" y="0"/>
                <wp:positionH relativeFrom="column">
                  <wp:posOffset>4343400</wp:posOffset>
                </wp:positionH>
                <wp:positionV relativeFrom="paragraph">
                  <wp:posOffset>143510</wp:posOffset>
                </wp:positionV>
                <wp:extent cx="1828800" cy="406400"/>
                <wp:effectExtent l="0" t="0" r="25400" b="2540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6400"/>
                        </a:xfrm>
                        <a:prstGeom prst="rect">
                          <a:avLst/>
                        </a:prstGeom>
                        <a:solidFill>
                          <a:srgbClr val="FFFFFF"/>
                        </a:solidFill>
                        <a:ln w="9525">
                          <a:solidFill>
                            <a:srgbClr val="000000"/>
                          </a:solidFill>
                          <a:miter lim="800000"/>
                          <a:headEnd/>
                          <a:tailEnd/>
                        </a:ln>
                      </wps:spPr>
                      <wps:txbx>
                        <w:txbxContent>
                          <w:p w14:paraId="6224389A" w14:textId="77777777" w:rsidR="00843137" w:rsidRPr="00206AEC" w:rsidRDefault="00843137" w:rsidP="00472719">
                            <w:pPr>
                              <w:jc w:val="center"/>
                              <w:rPr>
                                <w:rFonts w:ascii="Book Antiqua" w:hAnsi="Book Antiqua"/>
                                <w:b/>
                                <w:sz w:val="20"/>
                                <w:szCs w:val="20"/>
                              </w:rPr>
                            </w:pPr>
                            <w:r w:rsidRPr="00206AEC">
                              <w:rPr>
                                <w:rFonts w:ascii="Book Antiqua" w:hAnsi="Book Antiqua"/>
                                <w:b/>
                                <w:sz w:val="20"/>
                                <w:szCs w:val="20"/>
                              </w:rPr>
                              <w:t>Pancreatic fluid collections</w:t>
                            </w:r>
                          </w:p>
                          <w:p w14:paraId="229C505A" w14:textId="77777777" w:rsidR="00843137" w:rsidRPr="00206AEC" w:rsidRDefault="00843137" w:rsidP="00472719">
                            <w:pPr>
                              <w:jc w:val="center"/>
                              <w:rPr>
                                <w:rFonts w:ascii="Book Antiqua" w:hAnsi="Book Antiqua"/>
                                <w:sz w:val="20"/>
                                <w:szCs w:val="20"/>
                              </w:rPr>
                            </w:pPr>
                            <w:proofErr w:type="gramStart"/>
                            <w:r w:rsidRPr="00206AEC">
                              <w:rPr>
                                <w:rFonts w:ascii="Book Antiqua" w:hAnsi="Book Antiqua"/>
                                <w:color w:val="000000"/>
                                <w:sz w:val="20"/>
                                <w:szCs w:val="20"/>
                              </w:rPr>
                              <w:t>with</w:t>
                            </w:r>
                            <w:proofErr w:type="gramEnd"/>
                            <w:r w:rsidRPr="00206AEC">
                              <w:rPr>
                                <w:rFonts w:ascii="Book Antiqua" w:hAnsi="Book Antiqua"/>
                                <w:color w:val="000000"/>
                                <w:sz w:val="20"/>
                                <w:szCs w:val="20"/>
                              </w:rPr>
                              <w:t xml:space="preserve"> solid debris &gt; 50%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8" type="#_x0000_t202" style="position:absolute;left:0;text-align:left;margin-left:342pt;margin-top:11.3pt;width:2in;height:3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">
                <v:textbox style="mso-fit-shape-to-text:t">
                  <w:txbxContent>
                    <w:p w14:paraId="6224389A" w14:textId="77777777" w:rsidR="00843137" w:rsidRPr="00206AEC" w:rsidRDefault="00843137" w:rsidP="00472719">
                      <w:pPr>
                        <w:jc w:val="center"/>
                        <w:rPr>
                          <w:rFonts w:ascii="Book Antiqua" w:hAnsi="Book Antiqua"/>
                          <w:b/>
                          <w:sz w:val="20"/>
                          <w:szCs w:val="20"/>
                        </w:rPr>
                      </w:pPr>
                      <w:r w:rsidRPr="00206AEC">
                        <w:rPr>
                          <w:rFonts w:ascii="Book Antiqua" w:hAnsi="Book Antiqua"/>
                          <w:b/>
                          <w:sz w:val="20"/>
                          <w:szCs w:val="20"/>
                        </w:rPr>
                        <w:t>Pancreatic fluid collections</w:t>
                      </w:r>
                    </w:p>
                    <w:p w14:paraId="229C505A" w14:textId="77777777" w:rsidR="00843137" w:rsidRPr="00206AEC" w:rsidRDefault="00843137" w:rsidP="00472719">
                      <w:pPr>
                        <w:jc w:val="center"/>
                        <w:rPr>
                          <w:rFonts w:ascii="Book Antiqua" w:hAnsi="Book Antiqua"/>
                          <w:sz w:val="20"/>
                          <w:szCs w:val="20"/>
                        </w:rPr>
                      </w:pPr>
                      <w:proofErr w:type="gramStart"/>
                      <w:r w:rsidRPr="00206AEC">
                        <w:rPr>
                          <w:rFonts w:ascii="Book Antiqua" w:hAnsi="Book Antiqua"/>
                          <w:color w:val="000000"/>
                          <w:sz w:val="20"/>
                          <w:szCs w:val="20"/>
                        </w:rPr>
                        <w:t>with</w:t>
                      </w:r>
                      <w:proofErr w:type="gramEnd"/>
                      <w:r w:rsidRPr="00206AEC">
                        <w:rPr>
                          <w:rFonts w:ascii="Book Antiqua" w:hAnsi="Book Antiqua"/>
                          <w:color w:val="000000"/>
                          <w:sz w:val="20"/>
                          <w:szCs w:val="20"/>
                        </w:rPr>
                        <w:t xml:space="preserve"> solid debris &gt; 50%</w:t>
                      </w:r>
                    </w:p>
                  </w:txbxContent>
                </v:textbox>
              </v:shape>
            </w:pict>
          </mc:Fallback>
        </mc:AlternateContent>
      </w:r>
      <w:r w:rsidRPr="00472719">
        <w:rPr>
          <w:rFonts w:ascii="Book Antiqua" w:hAnsi="Book Antiqua"/>
          <w:b/>
          <w:noProof/>
          <w:lang w:eastAsia="zh-CN"/>
        </w:rPr>
        <mc:AlternateContent>
          <mc:Choice Requires="wps">
            <w:drawing>
              <wp:anchor distT="0" distB="0" distL="114300" distR="114300" simplePos="0" relativeHeight="251661312" behindDoc="0" locked="0" layoutInCell="1" allowOverlap="1" wp14:anchorId="10F1DCEF" wp14:editId="29B5795E">
                <wp:simplePos x="0" y="0"/>
                <wp:positionH relativeFrom="column">
                  <wp:posOffset>2400300</wp:posOffset>
                </wp:positionH>
                <wp:positionV relativeFrom="paragraph">
                  <wp:posOffset>143510</wp:posOffset>
                </wp:positionV>
                <wp:extent cx="1828800" cy="406400"/>
                <wp:effectExtent l="0" t="0" r="25400" b="2540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6400"/>
                        </a:xfrm>
                        <a:prstGeom prst="rect">
                          <a:avLst/>
                        </a:prstGeom>
                        <a:solidFill>
                          <a:srgbClr val="FFFFFF"/>
                        </a:solidFill>
                        <a:ln w="9525">
                          <a:solidFill>
                            <a:srgbClr val="000000"/>
                          </a:solidFill>
                          <a:miter lim="800000"/>
                          <a:headEnd/>
                          <a:tailEnd/>
                        </a:ln>
                      </wps:spPr>
                      <wps:txbx>
                        <w:txbxContent>
                          <w:p w14:paraId="1CCC0F47" w14:textId="77777777" w:rsidR="00843137" w:rsidRPr="00206AEC" w:rsidRDefault="00843137" w:rsidP="00472719">
                            <w:pPr>
                              <w:jc w:val="center"/>
                              <w:rPr>
                                <w:rFonts w:ascii="Book Antiqua" w:hAnsi="Book Antiqua"/>
                                <w:b/>
                                <w:sz w:val="20"/>
                                <w:szCs w:val="20"/>
                              </w:rPr>
                            </w:pPr>
                            <w:r w:rsidRPr="00206AEC">
                              <w:rPr>
                                <w:rFonts w:ascii="Book Antiqua" w:hAnsi="Book Antiqua"/>
                                <w:b/>
                                <w:sz w:val="20"/>
                                <w:szCs w:val="20"/>
                              </w:rPr>
                              <w:t>Pancreatic fluid collections</w:t>
                            </w:r>
                          </w:p>
                          <w:p w14:paraId="5B72CD1D" w14:textId="4CFFC958" w:rsidR="00843137" w:rsidRPr="00206AEC" w:rsidRDefault="00351BF7" w:rsidP="00472719">
                            <w:pPr>
                              <w:jc w:val="center"/>
                              <w:rPr>
                                <w:rFonts w:ascii="Book Antiqua" w:hAnsi="Book Antiqua"/>
                                <w:sz w:val="20"/>
                                <w:szCs w:val="20"/>
                              </w:rPr>
                            </w:pPr>
                            <w:proofErr w:type="gramStart"/>
                            <w:r>
                              <w:rPr>
                                <w:rFonts w:ascii="Book Antiqua" w:hAnsi="Book Antiqua"/>
                                <w:color w:val="000000"/>
                                <w:sz w:val="20"/>
                                <w:szCs w:val="20"/>
                              </w:rPr>
                              <w:t>with</w:t>
                            </w:r>
                            <w:proofErr w:type="gramEnd"/>
                            <w:r>
                              <w:rPr>
                                <w:rFonts w:ascii="Book Antiqua" w:hAnsi="Book Antiqua"/>
                                <w:color w:val="000000"/>
                                <w:sz w:val="20"/>
                                <w:szCs w:val="20"/>
                              </w:rPr>
                              <w:t xml:space="preserve"> solid debris </w:t>
                            </w:r>
                            <w:r w:rsidR="00843137" w:rsidRPr="00206AEC">
                              <w:rPr>
                                <w:rFonts w:ascii="Book Antiqua" w:hAnsi="Book Antiqua"/>
                                <w:color w:val="000000"/>
                                <w:sz w:val="20"/>
                                <w:szCs w:val="20"/>
                              </w:rPr>
                              <w:t>20</w:t>
                            </w:r>
                            <w:r>
                              <w:rPr>
                                <w:rFonts w:ascii="Book Antiqua" w:hAnsi="Book Antiqua" w:hint="eastAsia"/>
                                <w:color w:val="000000"/>
                                <w:sz w:val="20"/>
                                <w:szCs w:val="20"/>
                                <w:lang w:eastAsia="zh-CN"/>
                              </w:rPr>
                              <w:t>%</w:t>
                            </w:r>
                            <w:r w:rsidR="00843137" w:rsidRPr="00206AEC">
                              <w:rPr>
                                <w:rFonts w:ascii="Book Antiqua" w:hAnsi="Book Antiqua"/>
                                <w:color w:val="000000"/>
                                <w:sz w:val="20"/>
                                <w:szCs w:val="20"/>
                              </w:rPr>
                              <w:t>-50%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9" type="#_x0000_t202" style="position:absolute;left:0;text-align:left;margin-left:189pt;margin-top:11.3pt;width:2in;height:3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">
                <v:textbox style="mso-fit-shape-to-text:t">
                  <w:txbxContent>
                    <w:p w14:paraId="1CCC0F47" w14:textId="77777777" w:rsidR="00843137" w:rsidRPr="00206AEC" w:rsidRDefault="00843137" w:rsidP="00472719">
                      <w:pPr>
                        <w:jc w:val="center"/>
                        <w:rPr>
                          <w:rFonts w:ascii="Book Antiqua" w:hAnsi="Book Antiqua"/>
                          <w:b/>
                          <w:sz w:val="20"/>
                          <w:szCs w:val="20"/>
                        </w:rPr>
                      </w:pPr>
                      <w:r w:rsidRPr="00206AEC">
                        <w:rPr>
                          <w:rFonts w:ascii="Book Antiqua" w:hAnsi="Book Antiqua"/>
                          <w:b/>
                          <w:sz w:val="20"/>
                          <w:szCs w:val="20"/>
                        </w:rPr>
                        <w:t>Pancreatic fluid collections</w:t>
                      </w:r>
                    </w:p>
                    <w:p w14:paraId="5B72CD1D" w14:textId="4CFFC958" w:rsidR="00843137" w:rsidRPr="00206AEC" w:rsidRDefault="00351BF7" w:rsidP="00472719">
                      <w:pPr>
                        <w:jc w:val="center"/>
                        <w:rPr>
                          <w:rFonts w:ascii="Book Antiqua" w:hAnsi="Book Antiqua"/>
                          <w:sz w:val="20"/>
                          <w:szCs w:val="20"/>
                        </w:rPr>
                      </w:pPr>
                      <w:proofErr w:type="gramStart"/>
                      <w:r>
                        <w:rPr>
                          <w:rFonts w:ascii="Book Antiqua" w:hAnsi="Book Antiqua"/>
                          <w:color w:val="000000"/>
                          <w:sz w:val="20"/>
                          <w:szCs w:val="20"/>
                        </w:rPr>
                        <w:t>with</w:t>
                      </w:r>
                      <w:proofErr w:type="gramEnd"/>
                      <w:r>
                        <w:rPr>
                          <w:rFonts w:ascii="Book Antiqua" w:hAnsi="Book Antiqua"/>
                          <w:color w:val="000000"/>
                          <w:sz w:val="20"/>
                          <w:szCs w:val="20"/>
                        </w:rPr>
                        <w:t xml:space="preserve"> solid debris </w:t>
                      </w:r>
                      <w:r w:rsidR="00843137" w:rsidRPr="00206AEC">
                        <w:rPr>
                          <w:rFonts w:ascii="Book Antiqua" w:hAnsi="Book Antiqua"/>
                          <w:color w:val="000000"/>
                          <w:sz w:val="20"/>
                          <w:szCs w:val="20"/>
                        </w:rPr>
                        <w:t>20</w:t>
                      </w:r>
                      <w:r>
                        <w:rPr>
                          <w:rFonts w:ascii="Book Antiqua" w:hAnsi="Book Antiqua" w:hint="eastAsia"/>
                          <w:color w:val="000000"/>
                          <w:sz w:val="20"/>
                          <w:szCs w:val="20"/>
                          <w:lang w:eastAsia="zh-CN"/>
                        </w:rPr>
                        <w:t>%</w:t>
                      </w:r>
                      <w:r w:rsidR="00843137" w:rsidRPr="00206AEC">
                        <w:rPr>
                          <w:rFonts w:ascii="Book Antiqua" w:hAnsi="Book Antiqua"/>
                          <w:color w:val="000000"/>
                          <w:sz w:val="20"/>
                          <w:szCs w:val="20"/>
                        </w:rPr>
                        <w:t>-50%</w:t>
                      </w:r>
                    </w:p>
                  </w:txbxContent>
                </v:textbox>
              </v:shape>
            </w:pict>
          </mc:Fallback>
        </mc:AlternateContent>
      </w:r>
    </w:p>
    <w:p w14:paraId="4B427F74" w14:textId="77777777" w:rsidR="00472719" w:rsidRPr="00472719" w:rsidRDefault="00472719" w:rsidP="00472719">
      <w:pPr>
        <w:autoSpaceDE w:val="0"/>
        <w:autoSpaceDN w:val="0"/>
        <w:adjustRightInd w:val="0"/>
        <w:snapToGrid w:val="0"/>
        <w:spacing w:line="360" w:lineRule="auto"/>
        <w:jc w:val="both"/>
        <w:rPr>
          <w:rFonts w:ascii="Book Antiqua" w:hAnsi="Book Antiqua"/>
          <w:b/>
        </w:rPr>
      </w:pPr>
      <w:r w:rsidRPr="00472719">
        <w:rPr>
          <w:rFonts w:ascii="Book Antiqua" w:hAnsi="Book Antiqua"/>
          <w:b/>
          <w:noProof/>
          <w:lang w:eastAsia="zh-CN"/>
        </w:rPr>
        <mc:AlternateContent>
          <mc:Choice Requires="wps">
            <w:drawing>
              <wp:anchor distT="0" distB="0" distL="114300" distR="114300" simplePos="0" relativeHeight="251666432" behindDoc="0" locked="0" layoutInCell="1" allowOverlap="1" wp14:anchorId="31FDDBFF" wp14:editId="72ED9F19">
                <wp:simplePos x="0" y="0"/>
                <wp:positionH relativeFrom="column">
                  <wp:posOffset>1371600</wp:posOffset>
                </wp:positionH>
                <wp:positionV relativeFrom="paragraph">
                  <wp:posOffset>272415</wp:posOffset>
                </wp:positionV>
                <wp:extent cx="0" cy="228600"/>
                <wp:effectExtent l="50800" t="0" r="76200" b="7620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C468A9" id="AutoShape 9" o:spid="_x0000_s1026" type="#_x0000_t32" style="position:absolute;margin-left:108pt;margin-top:21.45pt;width:0;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">
                <v:stroke endarrow="block"/>
              </v:shape>
            </w:pict>
          </mc:Fallback>
        </mc:AlternateContent>
      </w:r>
      <w:r w:rsidRPr="00472719">
        <w:rPr>
          <w:rFonts w:ascii="Book Antiqua" w:hAnsi="Book Antiqua"/>
          <w:b/>
          <w:noProof/>
          <w:lang w:eastAsia="zh-CN"/>
        </w:rPr>
        <mc:AlternateContent>
          <mc:Choice Requires="wps">
            <w:drawing>
              <wp:anchor distT="0" distB="0" distL="114300" distR="114300" simplePos="0" relativeHeight="251667456" behindDoc="0" locked="0" layoutInCell="1" allowOverlap="1" wp14:anchorId="20FD7DA4" wp14:editId="37C9C449">
                <wp:simplePos x="0" y="0"/>
                <wp:positionH relativeFrom="column">
                  <wp:posOffset>3314700</wp:posOffset>
                </wp:positionH>
                <wp:positionV relativeFrom="paragraph">
                  <wp:posOffset>272415</wp:posOffset>
                </wp:positionV>
                <wp:extent cx="0" cy="228600"/>
                <wp:effectExtent l="50800" t="0" r="76200" b="76200"/>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17F3BA" id="AutoShape 10" o:spid="_x0000_s1026" type="#_x0000_t32" style="position:absolute;margin-left:261pt;margin-top:21.45pt;width:0;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">
                <v:stroke endarrow="block"/>
              </v:shape>
            </w:pict>
          </mc:Fallback>
        </mc:AlternateContent>
      </w:r>
      <w:r w:rsidRPr="00472719">
        <w:rPr>
          <w:rFonts w:ascii="Book Antiqua" w:hAnsi="Book Antiqua"/>
          <w:b/>
          <w:noProof/>
          <w:lang w:eastAsia="zh-CN"/>
        </w:rPr>
        <mc:AlternateContent>
          <mc:Choice Requires="wps">
            <w:drawing>
              <wp:anchor distT="0" distB="0" distL="114300" distR="114300" simplePos="0" relativeHeight="251668480" behindDoc="0" locked="0" layoutInCell="1" allowOverlap="1" wp14:anchorId="527BF7D7" wp14:editId="78DFCC58">
                <wp:simplePos x="0" y="0"/>
                <wp:positionH relativeFrom="column">
                  <wp:posOffset>5257800</wp:posOffset>
                </wp:positionH>
                <wp:positionV relativeFrom="paragraph">
                  <wp:posOffset>272415</wp:posOffset>
                </wp:positionV>
                <wp:extent cx="0" cy="228600"/>
                <wp:effectExtent l="50800" t="0" r="76200" b="7620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B80D24" id="AutoShape 11" o:spid="_x0000_s1026" type="#_x0000_t32" style="position:absolute;margin-left:414pt;margin-top:21.45pt;width:0;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">
                <v:stroke endarrow="block"/>
              </v:shape>
            </w:pict>
          </mc:Fallback>
        </mc:AlternateContent>
      </w:r>
    </w:p>
    <w:p w14:paraId="51205FA7" w14:textId="77777777" w:rsidR="00472719" w:rsidRPr="00472719" w:rsidRDefault="00472719" w:rsidP="00472719">
      <w:pPr>
        <w:autoSpaceDE w:val="0"/>
        <w:autoSpaceDN w:val="0"/>
        <w:adjustRightInd w:val="0"/>
        <w:snapToGrid w:val="0"/>
        <w:spacing w:line="360" w:lineRule="auto"/>
        <w:jc w:val="both"/>
        <w:rPr>
          <w:rFonts w:ascii="Book Antiqua" w:hAnsi="Book Antiqua"/>
          <w:b/>
        </w:rPr>
      </w:pPr>
    </w:p>
    <w:p w14:paraId="620273B1" w14:textId="77777777" w:rsidR="00472719" w:rsidRPr="00472719" w:rsidRDefault="00472719" w:rsidP="00472719">
      <w:pPr>
        <w:autoSpaceDE w:val="0"/>
        <w:autoSpaceDN w:val="0"/>
        <w:adjustRightInd w:val="0"/>
        <w:snapToGrid w:val="0"/>
        <w:spacing w:line="360" w:lineRule="auto"/>
        <w:jc w:val="both"/>
        <w:rPr>
          <w:rFonts w:ascii="Book Antiqua" w:hAnsi="Book Antiqua"/>
          <w:b/>
        </w:rPr>
      </w:pPr>
      <w:r w:rsidRPr="00472719">
        <w:rPr>
          <w:rFonts w:ascii="Book Antiqua" w:hAnsi="Book Antiqua"/>
          <w:b/>
          <w:noProof/>
          <w:lang w:eastAsia="zh-CN"/>
        </w:rPr>
        <mc:AlternateContent>
          <mc:Choice Requires="wps">
            <w:drawing>
              <wp:anchor distT="0" distB="0" distL="114300" distR="114300" simplePos="0" relativeHeight="251669504" behindDoc="0" locked="0" layoutInCell="1" allowOverlap="1" wp14:anchorId="3CAF329F" wp14:editId="2835D1C2">
                <wp:simplePos x="0" y="0"/>
                <wp:positionH relativeFrom="column">
                  <wp:posOffset>457200</wp:posOffset>
                </wp:positionH>
                <wp:positionV relativeFrom="paragraph">
                  <wp:posOffset>2540</wp:posOffset>
                </wp:positionV>
                <wp:extent cx="1828800" cy="1325245"/>
                <wp:effectExtent l="0" t="0" r="25400" b="2095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25245"/>
                        </a:xfrm>
                        <a:prstGeom prst="rect">
                          <a:avLst/>
                        </a:prstGeom>
                        <a:solidFill>
                          <a:srgbClr val="FFFFFF"/>
                        </a:solidFill>
                        <a:ln w="9525">
                          <a:solidFill>
                            <a:srgbClr val="000000"/>
                          </a:solidFill>
                          <a:miter lim="800000"/>
                          <a:headEnd/>
                          <a:tailEnd/>
                        </a:ln>
                      </wps:spPr>
                      <wps:txbx>
                        <w:txbxContent>
                          <w:p w14:paraId="033905E6" w14:textId="77777777" w:rsidR="00843137" w:rsidRPr="00206AEC" w:rsidRDefault="00843137" w:rsidP="00472719">
                            <w:pPr>
                              <w:pStyle w:val="af0"/>
                              <w:numPr>
                                <w:ilvl w:val="0"/>
                                <w:numId w:val="14"/>
                              </w:numPr>
                              <w:rPr>
                                <w:rFonts w:ascii="Book Antiqua" w:hAnsi="Book Antiqua"/>
                                <w:sz w:val="20"/>
                                <w:szCs w:val="20"/>
                              </w:rPr>
                            </w:pPr>
                            <w:r w:rsidRPr="00206AEC">
                              <w:rPr>
                                <w:rFonts w:ascii="Book Antiqua" w:hAnsi="Book Antiqua"/>
                                <w:sz w:val="20"/>
                                <w:szCs w:val="20"/>
                              </w:rPr>
                              <w:t>Transmural drainage with 1-2 double pigtail plastic stents or lumen apposing metal stent</w:t>
                            </w:r>
                          </w:p>
                          <w:p w14:paraId="3DA3FEA7" w14:textId="77777777" w:rsidR="00843137" w:rsidRPr="00206AEC" w:rsidRDefault="00843137" w:rsidP="00472719">
                            <w:pPr>
                              <w:ind w:left="360"/>
                              <w:jc w:val="center"/>
                              <w:rPr>
                                <w:rFonts w:ascii="Book Antiqua" w:hAnsi="Book Antiqua"/>
                                <w:sz w:val="20"/>
                                <w:szCs w:val="20"/>
                              </w:rPr>
                            </w:pPr>
                            <w:proofErr w:type="gramStart"/>
                            <w:r w:rsidRPr="00206AEC">
                              <w:rPr>
                                <w:rFonts w:ascii="Book Antiqua" w:hAnsi="Book Antiqua"/>
                                <w:sz w:val="20"/>
                                <w:szCs w:val="20"/>
                              </w:rPr>
                              <w:t>or</w:t>
                            </w:r>
                            <w:proofErr w:type="gramEnd"/>
                          </w:p>
                          <w:p w14:paraId="576D2C0E" w14:textId="77777777" w:rsidR="00843137" w:rsidRPr="00206AEC" w:rsidRDefault="00843137" w:rsidP="00472719">
                            <w:pPr>
                              <w:pStyle w:val="af0"/>
                              <w:numPr>
                                <w:ilvl w:val="0"/>
                                <w:numId w:val="14"/>
                              </w:numPr>
                              <w:tabs>
                                <w:tab w:val="left" w:pos="426"/>
                              </w:tabs>
                              <w:rPr>
                                <w:rFonts w:ascii="Book Antiqua" w:hAnsi="Book Antiqua"/>
                                <w:sz w:val="20"/>
                                <w:szCs w:val="20"/>
                              </w:rPr>
                            </w:pPr>
                            <w:r w:rsidRPr="00206AEC">
                              <w:rPr>
                                <w:rFonts w:ascii="Book Antiqua" w:hAnsi="Book Antiqua"/>
                                <w:sz w:val="20"/>
                                <w:szCs w:val="20"/>
                              </w:rPr>
                              <w:t>Trans-papillary drainage through ERCP if pancreatic duct involved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0" type="#_x0000_t202" style="position:absolute;left:0;text-align:left;margin-left:36pt;margin-top:.2pt;width:2in;height:104.3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">
                <v:textbox style="mso-fit-shape-to-text:t">
                  <w:txbxContent>
                    <w:p w14:paraId="033905E6" w14:textId="77777777" w:rsidR="00843137" w:rsidRPr="00206AEC" w:rsidRDefault="00843137" w:rsidP="00472719">
                      <w:pPr>
                        <w:pStyle w:val="af0"/>
                        <w:numPr>
                          <w:ilvl w:val="0"/>
                          <w:numId w:val="14"/>
                        </w:numPr>
                        <w:rPr>
                          <w:rFonts w:ascii="Book Antiqua" w:hAnsi="Book Antiqua"/>
                          <w:sz w:val="20"/>
                          <w:szCs w:val="20"/>
                        </w:rPr>
                      </w:pPr>
                      <w:r w:rsidRPr="00206AEC">
                        <w:rPr>
                          <w:rFonts w:ascii="Book Antiqua" w:hAnsi="Book Antiqua"/>
                          <w:sz w:val="20"/>
                          <w:szCs w:val="20"/>
                        </w:rPr>
                        <w:t>Transmural drainage with 1-2 double pigtail plastic stents or lumen apposing metal stent</w:t>
                      </w:r>
                    </w:p>
                    <w:p w14:paraId="3DA3FEA7" w14:textId="77777777" w:rsidR="00843137" w:rsidRPr="00206AEC" w:rsidRDefault="00843137" w:rsidP="00472719">
                      <w:pPr>
                        <w:ind w:left="360"/>
                        <w:jc w:val="center"/>
                        <w:rPr>
                          <w:rFonts w:ascii="Book Antiqua" w:hAnsi="Book Antiqua"/>
                          <w:sz w:val="20"/>
                          <w:szCs w:val="20"/>
                        </w:rPr>
                      </w:pPr>
                      <w:proofErr w:type="gramStart"/>
                      <w:r w:rsidRPr="00206AEC">
                        <w:rPr>
                          <w:rFonts w:ascii="Book Antiqua" w:hAnsi="Book Antiqua"/>
                          <w:sz w:val="20"/>
                          <w:szCs w:val="20"/>
                        </w:rPr>
                        <w:t>or</w:t>
                      </w:r>
                      <w:proofErr w:type="gramEnd"/>
                    </w:p>
                    <w:p w14:paraId="576D2C0E" w14:textId="77777777" w:rsidR="00843137" w:rsidRPr="00206AEC" w:rsidRDefault="00843137" w:rsidP="00472719">
                      <w:pPr>
                        <w:pStyle w:val="af0"/>
                        <w:numPr>
                          <w:ilvl w:val="0"/>
                          <w:numId w:val="14"/>
                        </w:numPr>
                        <w:tabs>
                          <w:tab w:val="left" w:pos="426"/>
                        </w:tabs>
                        <w:rPr>
                          <w:rFonts w:ascii="Book Antiqua" w:hAnsi="Book Antiqua"/>
                          <w:sz w:val="20"/>
                          <w:szCs w:val="20"/>
                        </w:rPr>
                      </w:pPr>
                      <w:r w:rsidRPr="00206AEC">
                        <w:rPr>
                          <w:rFonts w:ascii="Book Antiqua" w:hAnsi="Book Antiqua"/>
                          <w:sz w:val="20"/>
                          <w:szCs w:val="20"/>
                        </w:rPr>
                        <w:t>Trans-papillary drainage through ERCP if pancreatic duct involved</w:t>
                      </w:r>
                    </w:p>
                  </w:txbxContent>
                </v:textbox>
              </v:shape>
            </w:pict>
          </mc:Fallback>
        </mc:AlternateContent>
      </w:r>
      <w:r w:rsidRPr="00472719">
        <w:rPr>
          <w:rFonts w:ascii="Book Antiqua" w:hAnsi="Book Antiqua"/>
          <w:b/>
          <w:noProof/>
          <w:lang w:eastAsia="zh-CN"/>
        </w:rPr>
        <mc:AlternateContent>
          <mc:Choice Requires="wps">
            <w:drawing>
              <wp:anchor distT="0" distB="0" distL="114300" distR="114300" simplePos="0" relativeHeight="251670528" behindDoc="0" locked="0" layoutInCell="1" allowOverlap="1" wp14:anchorId="33BCCAB5" wp14:editId="6CB94350">
                <wp:simplePos x="0" y="0"/>
                <wp:positionH relativeFrom="column">
                  <wp:posOffset>2400300</wp:posOffset>
                </wp:positionH>
                <wp:positionV relativeFrom="paragraph">
                  <wp:posOffset>2540</wp:posOffset>
                </wp:positionV>
                <wp:extent cx="1828800" cy="1631315"/>
                <wp:effectExtent l="0" t="0" r="25400" b="1968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31315"/>
                        </a:xfrm>
                        <a:prstGeom prst="rect">
                          <a:avLst/>
                        </a:prstGeom>
                        <a:solidFill>
                          <a:srgbClr val="FFFFFF"/>
                        </a:solidFill>
                        <a:ln w="9525">
                          <a:solidFill>
                            <a:srgbClr val="000000"/>
                          </a:solidFill>
                          <a:miter lim="800000"/>
                          <a:headEnd/>
                          <a:tailEnd/>
                        </a:ln>
                      </wps:spPr>
                      <wps:txbx>
                        <w:txbxContent>
                          <w:p w14:paraId="38C0D727" w14:textId="77777777" w:rsidR="00843137" w:rsidRPr="00206AEC" w:rsidRDefault="00843137" w:rsidP="00472719">
                            <w:pPr>
                              <w:numPr>
                                <w:ilvl w:val="0"/>
                                <w:numId w:val="12"/>
                              </w:numPr>
                              <w:rPr>
                                <w:rFonts w:ascii="Book Antiqua" w:hAnsi="Book Antiqua"/>
                                <w:sz w:val="20"/>
                                <w:szCs w:val="20"/>
                              </w:rPr>
                            </w:pPr>
                            <w:r w:rsidRPr="00206AEC">
                              <w:rPr>
                                <w:rFonts w:ascii="Book Antiqua" w:hAnsi="Book Antiqua"/>
                                <w:sz w:val="20"/>
                                <w:szCs w:val="20"/>
                              </w:rPr>
                              <w:t xml:space="preserve">Lumen apposing metal stent placement  </w:t>
                            </w:r>
                          </w:p>
                          <w:p w14:paraId="590AB794" w14:textId="77777777" w:rsidR="00843137" w:rsidRPr="00206AEC" w:rsidRDefault="00843137" w:rsidP="00472719">
                            <w:pPr>
                              <w:ind w:left="360"/>
                              <w:jc w:val="center"/>
                              <w:rPr>
                                <w:rFonts w:ascii="Book Antiqua" w:hAnsi="Book Antiqua"/>
                                <w:sz w:val="20"/>
                                <w:szCs w:val="20"/>
                              </w:rPr>
                            </w:pPr>
                            <w:proofErr w:type="gramStart"/>
                            <w:r w:rsidRPr="00206AEC">
                              <w:rPr>
                                <w:rFonts w:ascii="Book Antiqua" w:hAnsi="Book Antiqua"/>
                                <w:sz w:val="20"/>
                                <w:szCs w:val="20"/>
                              </w:rPr>
                              <w:t>or</w:t>
                            </w:r>
                            <w:proofErr w:type="gramEnd"/>
                          </w:p>
                          <w:p w14:paraId="0B317C64" w14:textId="12F1AA3D" w:rsidR="00843137" w:rsidRPr="00206AEC" w:rsidRDefault="00843137" w:rsidP="00472719">
                            <w:pPr>
                              <w:numPr>
                                <w:ilvl w:val="0"/>
                                <w:numId w:val="12"/>
                              </w:numPr>
                              <w:rPr>
                                <w:rFonts w:ascii="Book Antiqua" w:hAnsi="Book Antiqua"/>
                                <w:sz w:val="20"/>
                                <w:szCs w:val="20"/>
                              </w:rPr>
                            </w:pPr>
                            <w:r w:rsidRPr="00206AEC">
                              <w:rPr>
                                <w:rFonts w:ascii="Book Antiqua" w:hAnsi="Book Antiqua"/>
                                <w:sz w:val="20"/>
                                <w:szCs w:val="20"/>
                              </w:rPr>
                              <w:t>Transmural drainage with multiple (&gt;</w:t>
                            </w:r>
                            <w:r>
                              <w:rPr>
                                <w:rFonts w:ascii="Book Antiqua" w:hAnsi="Book Antiqua" w:hint="eastAsia"/>
                                <w:sz w:val="20"/>
                                <w:szCs w:val="20"/>
                                <w:lang w:eastAsia="zh-CN"/>
                              </w:rPr>
                              <w:t xml:space="preserve"> </w:t>
                            </w:r>
                            <w:r w:rsidRPr="00206AEC">
                              <w:rPr>
                                <w:rFonts w:ascii="Book Antiqua" w:hAnsi="Book Antiqua"/>
                                <w:sz w:val="20"/>
                                <w:szCs w:val="20"/>
                              </w:rPr>
                              <w:t xml:space="preserve">2) double pigtail plastic stents at single site or multiple sites </w:t>
                            </w:r>
                          </w:p>
                          <w:p w14:paraId="047DB0B8" w14:textId="77777777" w:rsidR="00843137" w:rsidRPr="00206AEC" w:rsidRDefault="00843137" w:rsidP="00472719">
                            <w:pPr>
                              <w:rPr>
                                <w:rFonts w:ascii="Book Antiqua" w:hAnsi="Book Antiqua"/>
                                <w:sz w:val="20"/>
                                <w:szCs w:val="20"/>
                              </w:rPr>
                            </w:pPr>
                            <w:r w:rsidRPr="00206AEC">
                              <w:rPr>
                                <w:rFonts w:ascii="Book Antiqua" w:hAnsi="Book Antiqua"/>
                                <w:sz w:val="20"/>
                                <w:szCs w:val="20"/>
                              </w:rPr>
                              <w:t xml:space="preserve">+/- Transmural drainage with </w:t>
                            </w:r>
                            <w:proofErr w:type="spellStart"/>
                            <w:r w:rsidRPr="00206AEC">
                              <w:rPr>
                                <w:rFonts w:ascii="Book Antiqua" w:hAnsi="Book Antiqua"/>
                                <w:sz w:val="20"/>
                                <w:szCs w:val="20"/>
                              </w:rPr>
                              <w:t>nasocystic</w:t>
                            </w:r>
                            <w:proofErr w:type="spellEnd"/>
                            <w:r w:rsidRPr="00206AEC">
                              <w:rPr>
                                <w:rFonts w:ascii="Book Antiqua" w:hAnsi="Book Antiqua"/>
                                <w:sz w:val="20"/>
                                <w:szCs w:val="20"/>
                              </w:rPr>
                              <w:t xml:space="preserve"> drainage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1" type="#_x0000_t202" style="position:absolute;left:0;text-align:left;margin-left:189pt;margin-top:.2pt;width:2in;height:128.4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">
                <v:textbox style="mso-fit-shape-to-text:t">
                  <w:txbxContent>
                    <w:p w14:paraId="38C0D727" w14:textId="77777777" w:rsidR="00843137" w:rsidRPr="00206AEC" w:rsidRDefault="00843137" w:rsidP="00472719">
                      <w:pPr>
                        <w:numPr>
                          <w:ilvl w:val="0"/>
                          <w:numId w:val="12"/>
                        </w:numPr>
                        <w:rPr>
                          <w:rFonts w:ascii="Book Antiqua" w:hAnsi="Book Antiqua"/>
                          <w:sz w:val="20"/>
                          <w:szCs w:val="20"/>
                        </w:rPr>
                      </w:pPr>
                      <w:r w:rsidRPr="00206AEC">
                        <w:rPr>
                          <w:rFonts w:ascii="Book Antiqua" w:hAnsi="Book Antiqua"/>
                          <w:sz w:val="20"/>
                          <w:szCs w:val="20"/>
                        </w:rPr>
                        <w:t xml:space="preserve">Lumen apposing metal stent placement  </w:t>
                      </w:r>
                    </w:p>
                    <w:p w14:paraId="590AB794" w14:textId="77777777" w:rsidR="00843137" w:rsidRPr="00206AEC" w:rsidRDefault="00843137" w:rsidP="00472719">
                      <w:pPr>
                        <w:ind w:left="360"/>
                        <w:jc w:val="center"/>
                        <w:rPr>
                          <w:rFonts w:ascii="Book Antiqua" w:hAnsi="Book Antiqua"/>
                          <w:sz w:val="20"/>
                          <w:szCs w:val="20"/>
                        </w:rPr>
                      </w:pPr>
                      <w:proofErr w:type="gramStart"/>
                      <w:r w:rsidRPr="00206AEC">
                        <w:rPr>
                          <w:rFonts w:ascii="Book Antiqua" w:hAnsi="Book Antiqua"/>
                          <w:sz w:val="20"/>
                          <w:szCs w:val="20"/>
                        </w:rPr>
                        <w:t>or</w:t>
                      </w:r>
                      <w:proofErr w:type="gramEnd"/>
                    </w:p>
                    <w:p w14:paraId="0B317C64" w14:textId="12F1AA3D" w:rsidR="00843137" w:rsidRPr="00206AEC" w:rsidRDefault="00843137" w:rsidP="00472719">
                      <w:pPr>
                        <w:numPr>
                          <w:ilvl w:val="0"/>
                          <w:numId w:val="12"/>
                        </w:numPr>
                        <w:rPr>
                          <w:rFonts w:ascii="Book Antiqua" w:hAnsi="Book Antiqua"/>
                          <w:sz w:val="20"/>
                          <w:szCs w:val="20"/>
                        </w:rPr>
                      </w:pPr>
                      <w:r w:rsidRPr="00206AEC">
                        <w:rPr>
                          <w:rFonts w:ascii="Book Antiqua" w:hAnsi="Book Antiqua"/>
                          <w:sz w:val="20"/>
                          <w:szCs w:val="20"/>
                        </w:rPr>
                        <w:t>Transmural drainage with multiple (&gt;</w:t>
                      </w:r>
                      <w:r>
                        <w:rPr>
                          <w:rFonts w:ascii="Book Antiqua" w:hAnsi="Book Antiqua" w:hint="eastAsia"/>
                          <w:sz w:val="20"/>
                          <w:szCs w:val="20"/>
                          <w:lang w:eastAsia="zh-CN"/>
                        </w:rPr>
                        <w:t xml:space="preserve"> </w:t>
                      </w:r>
                      <w:r w:rsidRPr="00206AEC">
                        <w:rPr>
                          <w:rFonts w:ascii="Book Antiqua" w:hAnsi="Book Antiqua"/>
                          <w:sz w:val="20"/>
                          <w:szCs w:val="20"/>
                        </w:rPr>
                        <w:t xml:space="preserve">2) double pigtail plastic stents at single site or multiple sites </w:t>
                      </w:r>
                    </w:p>
                    <w:p w14:paraId="047DB0B8" w14:textId="77777777" w:rsidR="00843137" w:rsidRPr="00206AEC" w:rsidRDefault="00843137" w:rsidP="00472719">
                      <w:pPr>
                        <w:rPr>
                          <w:rFonts w:ascii="Book Antiqua" w:hAnsi="Book Antiqua"/>
                          <w:sz w:val="20"/>
                          <w:szCs w:val="20"/>
                        </w:rPr>
                      </w:pPr>
                      <w:r w:rsidRPr="00206AEC">
                        <w:rPr>
                          <w:rFonts w:ascii="Book Antiqua" w:hAnsi="Book Antiqua"/>
                          <w:sz w:val="20"/>
                          <w:szCs w:val="20"/>
                        </w:rPr>
                        <w:t xml:space="preserve">+/- Transmural drainage with </w:t>
                      </w:r>
                      <w:proofErr w:type="spellStart"/>
                      <w:r w:rsidRPr="00206AEC">
                        <w:rPr>
                          <w:rFonts w:ascii="Book Antiqua" w:hAnsi="Book Antiqua"/>
                          <w:sz w:val="20"/>
                          <w:szCs w:val="20"/>
                        </w:rPr>
                        <w:t>nasocystic</w:t>
                      </w:r>
                      <w:proofErr w:type="spellEnd"/>
                      <w:r w:rsidRPr="00206AEC">
                        <w:rPr>
                          <w:rFonts w:ascii="Book Antiqua" w:hAnsi="Book Antiqua"/>
                          <w:sz w:val="20"/>
                          <w:szCs w:val="20"/>
                        </w:rPr>
                        <w:t xml:space="preserve"> drainage </w:t>
                      </w:r>
                    </w:p>
                  </w:txbxContent>
                </v:textbox>
              </v:shape>
            </w:pict>
          </mc:Fallback>
        </mc:AlternateContent>
      </w:r>
      <w:r w:rsidRPr="00472719">
        <w:rPr>
          <w:rFonts w:ascii="Book Antiqua" w:hAnsi="Book Antiqua"/>
          <w:b/>
          <w:noProof/>
          <w:lang w:eastAsia="zh-CN"/>
        </w:rPr>
        <mc:AlternateContent>
          <mc:Choice Requires="wps">
            <w:drawing>
              <wp:anchor distT="0" distB="0" distL="114300" distR="114300" simplePos="0" relativeHeight="251671552" behindDoc="0" locked="0" layoutInCell="1" allowOverlap="1" wp14:anchorId="1A5851CB" wp14:editId="4946AAA4">
                <wp:simplePos x="0" y="0"/>
                <wp:positionH relativeFrom="column">
                  <wp:posOffset>4343400</wp:posOffset>
                </wp:positionH>
                <wp:positionV relativeFrom="paragraph">
                  <wp:posOffset>2540</wp:posOffset>
                </wp:positionV>
                <wp:extent cx="1828800" cy="2397125"/>
                <wp:effectExtent l="0" t="0" r="25400" b="1651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97125"/>
                        </a:xfrm>
                        <a:prstGeom prst="rect">
                          <a:avLst/>
                        </a:prstGeom>
                        <a:solidFill>
                          <a:srgbClr val="FFFFFF"/>
                        </a:solidFill>
                        <a:ln w="9525">
                          <a:solidFill>
                            <a:srgbClr val="000000"/>
                          </a:solidFill>
                          <a:miter lim="800000"/>
                          <a:headEnd/>
                          <a:tailEnd/>
                        </a:ln>
                      </wps:spPr>
                      <wps:txbx>
                        <w:txbxContent>
                          <w:p w14:paraId="1430DFCD" w14:textId="77777777" w:rsidR="00843137" w:rsidRPr="00206AEC" w:rsidRDefault="00843137" w:rsidP="00472719">
                            <w:pPr>
                              <w:numPr>
                                <w:ilvl w:val="0"/>
                                <w:numId w:val="10"/>
                              </w:numPr>
                              <w:rPr>
                                <w:rFonts w:ascii="Book Antiqua" w:hAnsi="Book Antiqua"/>
                                <w:sz w:val="20"/>
                                <w:szCs w:val="20"/>
                              </w:rPr>
                            </w:pPr>
                            <w:r w:rsidRPr="00206AEC">
                              <w:rPr>
                                <w:rFonts w:ascii="Book Antiqua" w:hAnsi="Book Antiqua"/>
                                <w:sz w:val="20"/>
                                <w:szCs w:val="20"/>
                              </w:rPr>
                              <w:t xml:space="preserve">Endoscopic </w:t>
                            </w:r>
                            <w:proofErr w:type="spellStart"/>
                            <w:r w:rsidRPr="00206AEC">
                              <w:rPr>
                                <w:rFonts w:ascii="Book Antiqua" w:hAnsi="Book Antiqua"/>
                                <w:sz w:val="20"/>
                                <w:szCs w:val="20"/>
                              </w:rPr>
                              <w:t>necrosectomy</w:t>
                            </w:r>
                            <w:proofErr w:type="spellEnd"/>
                            <w:r w:rsidRPr="00206AEC">
                              <w:rPr>
                                <w:rFonts w:ascii="Book Antiqua" w:hAnsi="Book Antiqua"/>
                                <w:sz w:val="20"/>
                                <w:szCs w:val="20"/>
                              </w:rPr>
                              <w:t xml:space="preserve"> </w:t>
                            </w:r>
                          </w:p>
                          <w:p w14:paraId="3206789E" w14:textId="5C1CB309" w:rsidR="00843137" w:rsidRPr="00206AEC" w:rsidRDefault="00843137" w:rsidP="00472719">
                            <w:pPr>
                              <w:numPr>
                                <w:ilvl w:val="0"/>
                                <w:numId w:val="10"/>
                              </w:numPr>
                              <w:rPr>
                                <w:rFonts w:ascii="Book Antiqua" w:hAnsi="Book Antiqua"/>
                                <w:sz w:val="20"/>
                                <w:szCs w:val="20"/>
                              </w:rPr>
                            </w:pPr>
                            <w:r w:rsidRPr="00206AEC">
                              <w:rPr>
                                <w:rFonts w:ascii="Book Antiqua" w:hAnsi="Book Antiqua"/>
                                <w:sz w:val="20"/>
                                <w:szCs w:val="20"/>
                              </w:rPr>
                              <w:t>Transmural drainage with multiple (&gt;</w:t>
                            </w:r>
                            <w:r>
                              <w:rPr>
                                <w:rFonts w:ascii="Book Antiqua" w:hAnsi="Book Antiqua" w:hint="eastAsia"/>
                                <w:sz w:val="20"/>
                                <w:szCs w:val="20"/>
                                <w:lang w:eastAsia="zh-CN"/>
                              </w:rPr>
                              <w:t xml:space="preserve"> </w:t>
                            </w:r>
                            <w:r w:rsidRPr="00206AEC">
                              <w:rPr>
                                <w:rFonts w:ascii="Book Antiqua" w:hAnsi="Book Antiqua"/>
                                <w:sz w:val="20"/>
                                <w:szCs w:val="20"/>
                              </w:rPr>
                              <w:t>2) double pigtail plastic stents at single site or multiple sites or Lumen apposing metal stent placement</w:t>
                            </w:r>
                          </w:p>
                          <w:p w14:paraId="3D4E0144" w14:textId="77777777" w:rsidR="00843137" w:rsidRPr="00206AEC" w:rsidRDefault="00843137" w:rsidP="00472719">
                            <w:pPr>
                              <w:rPr>
                                <w:rFonts w:ascii="Book Antiqua" w:hAnsi="Book Antiqua"/>
                                <w:sz w:val="20"/>
                                <w:szCs w:val="20"/>
                              </w:rPr>
                            </w:pPr>
                            <w:r w:rsidRPr="00206AEC">
                              <w:rPr>
                                <w:rFonts w:ascii="Book Antiqua" w:hAnsi="Book Antiqua"/>
                                <w:sz w:val="20"/>
                                <w:szCs w:val="20"/>
                              </w:rPr>
                              <w:t xml:space="preserve">+/- Transmural drainage with </w:t>
                            </w:r>
                            <w:proofErr w:type="spellStart"/>
                            <w:r w:rsidRPr="00206AEC">
                              <w:rPr>
                                <w:rFonts w:ascii="Book Antiqua" w:hAnsi="Book Antiqua"/>
                                <w:sz w:val="20"/>
                                <w:szCs w:val="20"/>
                              </w:rPr>
                              <w:t>nasocystic</w:t>
                            </w:r>
                            <w:proofErr w:type="spellEnd"/>
                            <w:r w:rsidRPr="00206AEC">
                              <w:rPr>
                                <w:rFonts w:ascii="Book Antiqua" w:hAnsi="Book Antiqua"/>
                                <w:sz w:val="20"/>
                                <w:szCs w:val="20"/>
                              </w:rPr>
                              <w:t xml:space="preserve"> drainage</w:t>
                            </w:r>
                          </w:p>
                          <w:p w14:paraId="74936C8F" w14:textId="5E832B21" w:rsidR="00843137" w:rsidRPr="00206AEC" w:rsidRDefault="00843137" w:rsidP="00472719">
                            <w:pPr>
                              <w:rPr>
                                <w:rFonts w:ascii="Book Antiqua" w:hAnsi="Book Antiqua"/>
                                <w:sz w:val="20"/>
                                <w:szCs w:val="20"/>
                              </w:rPr>
                            </w:pPr>
                            <w:r w:rsidRPr="00206AEC">
                              <w:rPr>
                                <w:rFonts w:ascii="Book Antiqua" w:hAnsi="Book Antiqua"/>
                                <w:sz w:val="20"/>
                                <w:szCs w:val="20"/>
                              </w:rPr>
                              <w:t xml:space="preserve">+/- </w:t>
                            </w:r>
                            <w:proofErr w:type="spellStart"/>
                            <w:r w:rsidRPr="00206AEC">
                              <w:rPr>
                                <w:rFonts w:ascii="Book Antiqua" w:hAnsi="Book Antiqua"/>
                                <w:sz w:val="20"/>
                                <w:szCs w:val="20"/>
                              </w:rPr>
                              <w:t>Transcutaneus</w:t>
                            </w:r>
                            <w:proofErr w:type="spellEnd"/>
                            <w:r w:rsidRPr="00206AEC">
                              <w:rPr>
                                <w:rFonts w:ascii="Book Antiqua" w:hAnsi="Book Antiqua"/>
                                <w:sz w:val="20"/>
                                <w:szCs w:val="20"/>
                              </w:rPr>
                              <w:t xml:space="preserve"> </w:t>
                            </w:r>
                            <w:r w:rsidRPr="00472719">
                              <w:rPr>
                                <w:rFonts w:ascii="Book Antiqua" w:hAnsi="Book Antiqua"/>
                                <w:sz w:val="20"/>
                                <w:szCs w:val="20"/>
                              </w:rPr>
                              <w:t xml:space="preserve">ultrasound </w:t>
                            </w:r>
                            <w:r w:rsidRPr="00206AEC">
                              <w:rPr>
                                <w:rFonts w:ascii="Book Antiqua" w:hAnsi="Book Antiqua"/>
                                <w:sz w:val="20"/>
                                <w:szCs w:val="20"/>
                              </w:rPr>
                              <w:t xml:space="preserve">drainage depending on size location and content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32" type="#_x0000_t202" style="position:absolute;left:0;text-align:left;margin-left:342pt;margin-top:.2pt;width:2in;height:188.7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">
                <v:textbox style="mso-fit-shape-to-text:t">
                  <w:txbxContent>
                    <w:p w14:paraId="1430DFCD" w14:textId="77777777" w:rsidR="00843137" w:rsidRPr="00206AEC" w:rsidRDefault="00843137" w:rsidP="00472719">
                      <w:pPr>
                        <w:numPr>
                          <w:ilvl w:val="0"/>
                          <w:numId w:val="10"/>
                        </w:numPr>
                        <w:rPr>
                          <w:rFonts w:ascii="Book Antiqua" w:hAnsi="Book Antiqua"/>
                          <w:sz w:val="20"/>
                          <w:szCs w:val="20"/>
                        </w:rPr>
                      </w:pPr>
                      <w:r w:rsidRPr="00206AEC">
                        <w:rPr>
                          <w:rFonts w:ascii="Book Antiqua" w:hAnsi="Book Antiqua"/>
                          <w:sz w:val="20"/>
                          <w:szCs w:val="20"/>
                        </w:rPr>
                        <w:t xml:space="preserve">Endoscopic </w:t>
                      </w:r>
                      <w:proofErr w:type="spellStart"/>
                      <w:r w:rsidRPr="00206AEC">
                        <w:rPr>
                          <w:rFonts w:ascii="Book Antiqua" w:hAnsi="Book Antiqua"/>
                          <w:sz w:val="20"/>
                          <w:szCs w:val="20"/>
                        </w:rPr>
                        <w:t>necrosectomy</w:t>
                      </w:r>
                      <w:proofErr w:type="spellEnd"/>
                      <w:r w:rsidRPr="00206AEC">
                        <w:rPr>
                          <w:rFonts w:ascii="Book Antiqua" w:hAnsi="Book Antiqua"/>
                          <w:sz w:val="20"/>
                          <w:szCs w:val="20"/>
                        </w:rPr>
                        <w:t xml:space="preserve"> </w:t>
                      </w:r>
                    </w:p>
                    <w:p w14:paraId="3206789E" w14:textId="5C1CB309" w:rsidR="00843137" w:rsidRPr="00206AEC" w:rsidRDefault="00843137" w:rsidP="00472719">
                      <w:pPr>
                        <w:numPr>
                          <w:ilvl w:val="0"/>
                          <w:numId w:val="10"/>
                        </w:numPr>
                        <w:rPr>
                          <w:rFonts w:ascii="Book Antiqua" w:hAnsi="Book Antiqua"/>
                          <w:sz w:val="20"/>
                          <w:szCs w:val="20"/>
                        </w:rPr>
                      </w:pPr>
                      <w:r w:rsidRPr="00206AEC">
                        <w:rPr>
                          <w:rFonts w:ascii="Book Antiqua" w:hAnsi="Book Antiqua"/>
                          <w:sz w:val="20"/>
                          <w:szCs w:val="20"/>
                        </w:rPr>
                        <w:t>Transmural drainage with multiple (&gt;</w:t>
                      </w:r>
                      <w:r>
                        <w:rPr>
                          <w:rFonts w:ascii="Book Antiqua" w:hAnsi="Book Antiqua" w:hint="eastAsia"/>
                          <w:sz w:val="20"/>
                          <w:szCs w:val="20"/>
                          <w:lang w:eastAsia="zh-CN"/>
                        </w:rPr>
                        <w:t xml:space="preserve"> </w:t>
                      </w:r>
                      <w:r w:rsidRPr="00206AEC">
                        <w:rPr>
                          <w:rFonts w:ascii="Book Antiqua" w:hAnsi="Book Antiqua"/>
                          <w:sz w:val="20"/>
                          <w:szCs w:val="20"/>
                        </w:rPr>
                        <w:t>2) double pigtail plastic stents at single site or multiple sites or Lumen apposing metal stent placement</w:t>
                      </w:r>
                    </w:p>
                    <w:p w14:paraId="3D4E0144" w14:textId="77777777" w:rsidR="00843137" w:rsidRPr="00206AEC" w:rsidRDefault="00843137" w:rsidP="00472719">
                      <w:pPr>
                        <w:rPr>
                          <w:rFonts w:ascii="Book Antiqua" w:hAnsi="Book Antiqua"/>
                          <w:sz w:val="20"/>
                          <w:szCs w:val="20"/>
                        </w:rPr>
                      </w:pPr>
                      <w:r w:rsidRPr="00206AEC">
                        <w:rPr>
                          <w:rFonts w:ascii="Book Antiqua" w:hAnsi="Book Antiqua"/>
                          <w:sz w:val="20"/>
                          <w:szCs w:val="20"/>
                        </w:rPr>
                        <w:t xml:space="preserve">+/- Transmural drainage with </w:t>
                      </w:r>
                      <w:proofErr w:type="spellStart"/>
                      <w:r w:rsidRPr="00206AEC">
                        <w:rPr>
                          <w:rFonts w:ascii="Book Antiqua" w:hAnsi="Book Antiqua"/>
                          <w:sz w:val="20"/>
                          <w:szCs w:val="20"/>
                        </w:rPr>
                        <w:t>nasocystic</w:t>
                      </w:r>
                      <w:proofErr w:type="spellEnd"/>
                      <w:r w:rsidRPr="00206AEC">
                        <w:rPr>
                          <w:rFonts w:ascii="Book Antiqua" w:hAnsi="Book Antiqua"/>
                          <w:sz w:val="20"/>
                          <w:szCs w:val="20"/>
                        </w:rPr>
                        <w:t xml:space="preserve"> drainage</w:t>
                      </w:r>
                    </w:p>
                    <w:p w14:paraId="74936C8F" w14:textId="5E832B21" w:rsidR="00843137" w:rsidRPr="00206AEC" w:rsidRDefault="00843137" w:rsidP="00472719">
                      <w:pPr>
                        <w:rPr>
                          <w:rFonts w:ascii="Book Antiqua" w:hAnsi="Book Antiqua"/>
                          <w:sz w:val="20"/>
                          <w:szCs w:val="20"/>
                        </w:rPr>
                      </w:pPr>
                      <w:r w:rsidRPr="00206AEC">
                        <w:rPr>
                          <w:rFonts w:ascii="Book Antiqua" w:hAnsi="Book Antiqua"/>
                          <w:sz w:val="20"/>
                          <w:szCs w:val="20"/>
                        </w:rPr>
                        <w:t xml:space="preserve">+/- </w:t>
                      </w:r>
                      <w:proofErr w:type="spellStart"/>
                      <w:r w:rsidRPr="00206AEC">
                        <w:rPr>
                          <w:rFonts w:ascii="Book Antiqua" w:hAnsi="Book Antiqua"/>
                          <w:sz w:val="20"/>
                          <w:szCs w:val="20"/>
                        </w:rPr>
                        <w:t>Transcutaneus</w:t>
                      </w:r>
                      <w:proofErr w:type="spellEnd"/>
                      <w:r w:rsidRPr="00206AEC">
                        <w:rPr>
                          <w:rFonts w:ascii="Book Antiqua" w:hAnsi="Book Antiqua"/>
                          <w:sz w:val="20"/>
                          <w:szCs w:val="20"/>
                        </w:rPr>
                        <w:t xml:space="preserve"> </w:t>
                      </w:r>
                      <w:r w:rsidRPr="00472719">
                        <w:rPr>
                          <w:rFonts w:ascii="Book Antiqua" w:hAnsi="Book Antiqua"/>
                          <w:sz w:val="20"/>
                          <w:szCs w:val="20"/>
                        </w:rPr>
                        <w:t xml:space="preserve">ultrasound </w:t>
                      </w:r>
                      <w:r w:rsidRPr="00206AEC">
                        <w:rPr>
                          <w:rFonts w:ascii="Book Antiqua" w:hAnsi="Book Antiqua"/>
                          <w:sz w:val="20"/>
                          <w:szCs w:val="20"/>
                        </w:rPr>
                        <w:t xml:space="preserve">drainage depending on size location and content </w:t>
                      </w:r>
                    </w:p>
                  </w:txbxContent>
                </v:textbox>
              </v:shape>
            </w:pict>
          </mc:Fallback>
        </mc:AlternateContent>
      </w:r>
    </w:p>
    <w:p w14:paraId="131D27F8" w14:textId="77777777" w:rsidR="00472719" w:rsidRPr="00472719" w:rsidRDefault="00472719" w:rsidP="00472719">
      <w:pPr>
        <w:autoSpaceDE w:val="0"/>
        <w:autoSpaceDN w:val="0"/>
        <w:adjustRightInd w:val="0"/>
        <w:snapToGrid w:val="0"/>
        <w:spacing w:line="360" w:lineRule="auto"/>
        <w:jc w:val="both"/>
        <w:rPr>
          <w:rFonts w:ascii="Book Antiqua" w:hAnsi="Book Antiqua"/>
          <w:b/>
        </w:rPr>
      </w:pPr>
    </w:p>
    <w:p w14:paraId="60930053" w14:textId="77777777" w:rsidR="00472719" w:rsidRPr="00472719" w:rsidRDefault="00472719" w:rsidP="00472719">
      <w:pPr>
        <w:autoSpaceDE w:val="0"/>
        <w:autoSpaceDN w:val="0"/>
        <w:adjustRightInd w:val="0"/>
        <w:snapToGrid w:val="0"/>
        <w:spacing w:line="360" w:lineRule="auto"/>
        <w:jc w:val="both"/>
        <w:rPr>
          <w:rFonts w:ascii="Book Antiqua" w:hAnsi="Book Antiqua"/>
          <w:b/>
        </w:rPr>
      </w:pPr>
    </w:p>
    <w:p w14:paraId="028068F1" w14:textId="77777777" w:rsidR="00472719" w:rsidRPr="00472719" w:rsidRDefault="00472719" w:rsidP="00472719">
      <w:pPr>
        <w:autoSpaceDE w:val="0"/>
        <w:autoSpaceDN w:val="0"/>
        <w:adjustRightInd w:val="0"/>
        <w:snapToGrid w:val="0"/>
        <w:spacing w:line="360" w:lineRule="auto"/>
        <w:jc w:val="both"/>
        <w:rPr>
          <w:rFonts w:ascii="Book Antiqua" w:hAnsi="Book Antiqua"/>
          <w:b/>
        </w:rPr>
      </w:pPr>
    </w:p>
    <w:p w14:paraId="13469189" w14:textId="77777777" w:rsidR="00472719" w:rsidRPr="00472719" w:rsidRDefault="00472719" w:rsidP="00472719">
      <w:pPr>
        <w:autoSpaceDE w:val="0"/>
        <w:autoSpaceDN w:val="0"/>
        <w:adjustRightInd w:val="0"/>
        <w:snapToGrid w:val="0"/>
        <w:spacing w:line="360" w:lineRule="auto"/>
        <w:jc w:val="both"/>
        <w:rPr>
          <w:rFonts w:ascii="Book Antiqua" w:hAnsi="Book Antiqua"/>
          <w:b/>
        </w:rPr>
      </w:pPr>
    </w:p>
    <w:p w14:paraId="154A0027" w14:textId="77777777" w:rsidR="00472719" w:rsidRPr="00472719" w:rsidRDefault="00472719" w:rsidP="00472719">
      <w:pPr>
        <w:autoSpaceDE w:val="0"/>
        <w:autoSpaceDN w:val="0"/>
        <w:adjustRightInd w:val="0"/>
        <w:snapToGrid w:val="0"/>
        <w:spacing w:line="360" w:lineRule="auto"/>
        <w:jc w:val="both"/>
        <w:rPr>
          <w:rFonts w:ascii="Book Antiqua" w:hAnsi="Book Antiqua"/>
          <w:b/>
        </w:rPr>
      </w:pPr>
    </w:p>
    <w:p w14:paraId="52F4984E" w14:textId="77777777" w:rsidR="00472719" w:rsidRPr="00472719" w:rsidRDefault="00472719" w:rsidP="00472719">
      <w:pPr>
        <w:autoSpaceDE w:val="0"/>
        <w:autoSpaceDN w:val="0"/>
        <w:adjustRightInd w:val="0"/>
        <w:snapToGrid w:val="0"/>
        <w:spacing w:line="360" w:lineRule="auto"/>
        <w:jc w:val="both"/>
        <w:rPr>
          <w:rFonts w:ascii="Book Antiqua" w:hAnsi="Book Antiqua"/>
          <w:b/>
        </w:rPr>
      </w:pPr>
    </w:p>
    <w:p w14:paraId="0C83D4C3" w14:textId="77777777" w:rsidR="00472719" w:rsidRPr="00472719" w:rsidRDefault="00472719" w:rsidP="00472719">
      <w:pPr>
        <w:autoSpaceDE w:val="0"/>
        <w:autoSpaceDN w:val="0"/>
        <w:adjustRightInd w:val="0"/>
        <w:snapToGrid w:val="0"/>
        <w:spacing w:line="360" w:lineRule="auto"/>
        <w:jc w:val="both"/>
        <w:rPr>
          <w:rFonts w:ascii="Book Antiqua" w:hAnsi="Book Antiqua"/>
          <w:b/>
          <w:lang w:eastAsia="zh-CN"/>
        </w:rPr>
      </w:pPr>
    </w:p>
    <w:p w14:paraId="691A6BE0" w14:textId="77777777" w:rsidR="00472719" w:rsidRPr="00472719" w:rsidRDefault="00472719" w:rsidP="00472719">
      <w:pPr>
        <w:autoSpaceDE w:val="0"/>
        <w:autoSpaceDN w:val="0"/>
        <w:adjustRightInd w:val="0"/>
        <w:snapToGrid w:val="0"/>
        <w:spacing w:line="360" w:lineRule="auto"/>
        <w:jc w:val="both"/>
        <w:rPr>
          <w:rFonts w:ascii="Book Antiqua" w:hAnsi="Book Antiqua"/>
          <w:b/>
          <w:lang w:eastAsia="zh-CN"/>
        </w:rPr>
      </w:pPr>
    </w:p>
    <w:p w14:paraId="35A956E1" w14:textId="77777777" w:rsidR="00472719" w:rsidRPr="00472719" w:rsidRDefault="00472719" w:rsidP="00472719">
      <w:pPr>
        <w:autoSpaceDE w:val="0"/>
        <w:autoSpaceDN w:val="0"/>
        <w:adjustRightInd w:val="0"/>
        <w:snapToGrid w:val="0"/>
        <w:spacing w:line="360" w:lineRule="auto"/>
        <w:jc w:val="both"/>
        <w:rPr>
          <w:rFonts w:ascii="Book Antiqua" w:hAnsi="Book Antiqua"/>
          <w:b/>
          <w:lang w:eastAsia="zh-CN"/>
        </w:rPr>
      </w:pPr>
    </w:p>
    <w:p w14:paraId="3885E9F3" w14:textId="04B16354" w:rsidR="00472719" w:rsidRPr="00472719" w:rsidRDefault="00472719" w:rsidP="00472719">
      <w:pPr>
        <w:adjustRightInd w:val="0"/>
        <w:snapToGrid w:val="0"/>
        <w:spacing w:line="360" w:lineRule="auto"/>
        <w:jc w:val="both"/>
        <w:rPr>
          <w:rFonts w:ascii="Book Antiqua" w:hAnsi="Book Antiqua"/>
          <w:b/>
        </w:rPr>
      </w:pPr>
      <w:r w:rsidRPr="00472719">
        <w:rPr>
          <w:rFonts w:ascii="Book Antiqua" w:hAnsi="Book Antiqua"/>
          <w:b/>
        </w:rPr>
        <w:t xml:space="preserve">Figure </w:t>
      </w:r>
      <w:r w:rsidR="00ED5D32">
        <w:rPr>
          <w:rFonts w:ascii="Book Antiqua" w:hAnsi="Book Antiqua" w:hint="eastAsia"/>
          <w:b/>
          <w:lang w:eastAsia="zh-CN"/>
        </w:rPr>
        <w:t>8</w:t>
      </w:r>
      <w:r w:rsidRPr="00472719">
        <w:rPr>
          <w:rFonts w:ascii="Book Antiqua" w:hAnsi="Book Antiqua"/>
          <w:b/>
          <w:lang w:eastAsia="zh-CN"/>
        </w:rPr>
        <w:t xml:space="preserve"> </w:t>
      </w:r>
      <w:r w:rsidRPr="00472719">
        <w:rPr>
          <w:rFonts w:ascii="Book Antiqua" w:hAnsi="Book Antiqua"/>
          <w:b/>
          <w:caps/>
        </w:rPr>
        <w:t>a</w:t>
      </w:r>
      <w:r w:rsidRPr="00472719">
        <w:rPr>
          <w:rFonts w:ascii="Book Antiqua" w:hAnsi="Book Antiqua"/>
          <w:b/>
        </w:rPr>
        <w:t>uthors' proposed endoscopic ultrasound guided management algorithm based on the amount of internal debris inside the pancreatic fluid collections.</w:t>
      </w:r>
    </w:p>
    <w:p w14:paraId="5F42EF8A" w14:textId="77777777" w:rsidR="0081329E" w:rsidRPr="00472719" w:rsidRDefault="0081329E" w:rsidP="00472719">
      <w:pPr>
        <w:autoSpaceDE w:val="0"/>
        <w:autoSpaceDN w:val="0"/>
        <w:adjustRightInd w:val="0"/>
        <w:snapToGrid w:val="0"/>
        <w:spacing w:line="360" w:lineRule="auto"/>
        <w:jc w:val="both"/>
        <w:rPr>
          <w:rFonts w:ascii="Book Antiqua" w:hAnsi="Book Antiqua"/>
          <w:lang w:eastAsia="zh-CN"/>
        </w:rPr>
      </w:pPr>
    </w:p>
    <w:p w14:paraId="39B7CEFE" w14:textId="77777777" w:rsidR="002339F0" w:rsidRPr="00472719" w:rsidRDefault="002339F0" w:rsidP="00472719">
      <w:pPr>
        <w:shd w:val="clear" w:color="auto" w:fill="FFFFFF"/>
        <w:adjustRightInd w:val="0"/>
        <w:snapToGrid w:val="0"/>
        <w:spacing w:line="360" w:lineRule="auto"/>
        <w:jc w:val="both"/>
        <w:outlineLvl w:val="0"/>
        <w:rPr>
          <w:rFonts w:ascii="Book Antiqua" w:hAnsi="Book Antiqua"/>
          <w:bCs/>
          <w:kern w:val="36"/>
          <w:lang w:eastAsia="zh-CN"/>
        </w:rPr>
      </w:pPr>
    </w:p>
    <w:sectPr w:rsidR="002339F0" w:rsidRPr="00472719" w:rsidSect="00660C71">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6F353" w14:textId="77777777" w:rsidR="00E918B9" w:rsidRDefault="00E918B9" w:rsidP="00B56633">
      <w:r>
        <w:separator/>
      </w:r>
    </w:p>
  </w:endnote>
  <w:endnote w:type="continuationSeparator" w:id="0">
    <w:p w14:paraId="6A8D5416" w14:textId="77777777" w:rsidR="00E918B9" w:rsidRDefault="00E918B9" w:rsidP="00B5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dvTimes">
    <w:altName w:val="MingLiU"/>
    <w:charset w:val="88"/>
    <w:family w:val="auto"/>
    <w:pitch w:val="default"/>
    <w:sig w:usb0="00000000" w:usb1="08080000" w:usb2="00000010" w:usb3="00000000" w:csb0="00100000" w:csb1="00000000"/>
  </w:font>
  <w:font w:name="AdvTT31ea7dbe+22">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2D167" w14:textId="77777777" w:rsidR="00843137" w:rsidRDefault="00843137">
    <w:pPr>
      <w:pStyle w:val="a7"/>
      <w:jc w:val="center"/>
    </w:pPr>
    <w:r>
      <w:t xml:space="preserve">Page </w:t>
    </w:r>
    <w:r>
      <w:fldChar w:fldCharType="begin"/>
    </w:r>
    <w:r>
      <w:instrText xml:space="preserve"> PAGE   \* MERGEFORMAT </w:instrText>
    </w:r>
    <w:r>
      <w:fldChar w:fldCharType="separate"/>
    </w:r>
    <w:r w:rsidR="0081053F">
      <w:rPr>
        <w:noProof/>
      </w:rPr>
      <w:t>1</w:t>
    </w:r>
    <w:r>
      <w:rPr>
        <w:noProof/>
      </w:rPr>
      <w:fldChar w:fldCharType="end"/>
    </w:r>
  </w:p>
  <w:p w14:paraId="7FF82791" w14:textId="77777777" w:rsidR="00843137" w:rsidRDefault="0084313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C9223" w14:textId="77777777" w:rsidR="00E918B9" w:rsidRDefault="00E918B9" w:rsidP="00B56633">
      <w:r>
        <w:separator/>
      </w:r>
    </w:p>
  </w:footnote>
  <w:footnote w:type="continuationSeparator" w:id="0">
    <w:p w14:paraId="0CFF3504" w14:textId="77777777" w:rsidR="00E918B9" w:rsidRDefault="00E918B9" w:rsidP="00B566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3B08F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447920"/>
    <w:multiLevelType w:val="hybridMultilevel"/>
    <w:tmpl w:val="DC265BB0"/>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nsid w:val="0ECD1226"/>
    <w:multiLevelType w:val="hybridMultilevel"/>
    <w:tmpl w:val="2CCAB7FE"/>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nsid w:val="1D853043"/>
    <w:multiLevelType w:val="multilevel"/>
    <w:tmpl w:val="4C88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66253C"/>
    <w:multiLevelType w:val="multilevel"/>
    <w:tmpl w:val="F1F84A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25AC7B62"/>
    <w:multiLevelType w:val="hybridMultilevel"/>
    <w:tmpl w:val="0FC42ED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901221"/>
    <w:multiLevelType w:val="multilevel"/>
    <w:tmpl w:val="4BF2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0149EA"/>
    <w:multiLevelType w:val="multilevel"/>
    <w:tmpl w:val="8C3C3D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DF096B"/>
    <w:multiLevelType w:val="multilevel"/>
    <w:tmpl w:val="1828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D146C32"/>
    <w:multiLevelType w:val="hybridMultilevel"/>
    <w:tmpl w:val="F1F84A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8B57D8E"/>
    <w:multiLevelType w:val="hybridMultilevel"/>
    <w:tmpl w:val="1930CD18"/>
    <w:lvl w:ilvl="0" w:tplc="BFD847F6">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2C4DB6"/>
    <w:multiLevelType w:val="hybridMultilevel"/>
    <w:tmpl w:val="18C2499A"/>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nsid w:val="4A5159B1"/>
    <w:multiLevelType w:val="singleLevel"/>
    <w:tmpl w:val="55922F30"/>
    <w:lvl w:ilvl="0">
      <w:start w:val="1"/>
      <w:numFmt w:val="decimal"/>
      <w:lvlText w:val="%1."/>
      <w:lvlJc w:val="left"/>
      <w:pPr>
        <w:tabs>
          <w:tab w:val="num" w:pos="360"/>
        </w:tabs>
        <w:ind w:left="360" w:hanging="360"/>
      </w:pPr>
      <w:rPr>
        <w:rFonts w:hint="default"/>
        <w:b w:val="0"/>
      </w:rPr>
    </w:lvl>
  </w:abstractNum>
  <w:abstractNum w:abstractNumId="13">
    <w:nsid w:val="60AD2426"/>
    <w:multiLevelType w:val="hybridMultilevel"/>
    <w:tmpl w:val="469C3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ED2C9B"/>
    <w:multiLevelType w:val="hybridMultilevel"/>
    <w:tmpl w:val="6D5CF3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6"/>
  </w:num>
  <w:num w:numId="3">
    <w:abstractNumId w:val="12"/>
  </w:num>
  <w:num w:numId="4">
    <w:abstractNumId w:val="13"/>
  </w:num>
  <w:num w:numId="5">
    <w:abstractNumId w:val="10"/>
  </w:num>
  <w:num w:numId="6">
    <w:abstractNumId w:val="8"/>
  </w:num>
  <w:num w:numId="7">
    <w:abstractNumId w:val="3"/>
  </w:num>
  <w:num w:numId="8">
    <w:abstractNumId w:val="7"/>
  </w:num>
  <w:num w:numId="9">
    <w:abstractNumId w:val="0"/>
  </w:num>
  <w:num w:numId="10">
    <w:abstractNumId w:val="2"/>
  </w:num>
  <w:num w:numId="11">
    <w:abstractNumId w:val="11"/>
  </w:num>
  <w:num w:numId="12">
    <w:abstractNumId w:val="1"/>
  </w:num>
  <w:num w:numId="13">
    <w:abstractNumId w:val="9"/>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91B"/>
    <w:rsid w:val="00001618"/>
    <w:rsid w:val="00001C66"/>
    <w:rsid w:val="00007112"/>
    <w:rsid w:val="00011513"/>
    <w:rsid w:val="000130F8"/>
    <w:rsid w:val="000150CC"/>
    <w:rsid w:val="0001619A"/>
    <w:rsid w:val="00017C5A"/>
    <w:rsid w:val="00020263"/>
    <w:rsid w:val="000212E1"/>
    <w:rsid w:val="000220C1"/>
    <w:rsid w:val="00022FDB"/>
    <w:rsid w:val="00024362"/>
    <w:rsid w:val="00024D57"/>
    <w:rsid w:val="00025600"/>
    <w:rsid w:val="000265D7"/>
    <w:rsid w:val="00031B7F"/>
    <w:rsid w:val="000325B8"/>
    <w:rsid w:val="00034270"/>
    <w:rsid w:val="000357DE"/>
    <w:rsid w:val="00036339"/>
    <w:rsid w:val="000411A3"/>
    <w:rsid w:val="00046F2B"/>
    <w:rsid w:val="0005377E"/>
    <w:rsid w:val="00056168"/>
    <w:rsid w:val="00056C65"/>
    <w:rsid w:val="00057014"/>
    <w:rsid w:val="00062393"/>
    <w:rsid w:val="000655B5"/>
    <w:rsid w:val="000671BD"/>
    <w:rsid w:val="0007352A"/>
    <w:rsid w:val="000740B1"/>
    <w:rsid w:val="00074294"/>
    <w:rsid w:val="00083631"/>
    <w:rsid w:val="00086E3C"/>
    <w:rsid w:val="00093E6D"/>
    <w:rsid w:val="00096376"/>
    <w:rsid w:val="00097D4F"/>
    <w:rsid w:val="000A2453"/>
    <w:rsid w:val="000A51CA"/>
    <w:rsid w:val="000B023C"/>
    <w:rsid w:val="000B3362"/>
    <w:rsid w:val="000C2FDF"/>
    <w:rsid w:val="000C419E"/>
    <w:rsid w:val="000C51B0"/>
    <w:rsid w:val="000C67CF"/>
    <w:rsid w:val="000D09CB"/>
    <w:rsid w:val="000D15C4"/>
    <w:rsid w:val="000D351A"/>
    <w:rsid w:val="000E0BC7"/>
    <w:rsid w:val="000E1E31"/>
    <w:rsid w:val="000E2E2D"/>
    <w:rsid w:val="000E495F"/>
    <w:rsid w:val="000F06BA"/>
    <w:rsid w:val="000F0835"/>
    <w:rsid w:val="000F5A0D"/>
    <w:rsid w:val="000F77B1"/>
    <w:rsid w:val="0010174D"/>
    <w:rsid w:val="00103D5C"/>
    <w:rsid w:val="00104E36"/>
    <w:rsid w:val="00105109"/>
    <w:rsid w:val="00106C81"/>
    <w:rsid w:val="001152C6"/>
    <w:rsid w:val="00115E44"/>
    <w:rsid w:val="00116B4E"/>
    <w:rsid w:val="00120EF8"/>
    <w:rsid w:val="0012167A"/>
    <w:rsid w:val="00125F22"/>
    <w:rsid w:val="001269B4"/>
    <w:rsid w:val="00127EA6"/>
    <w:rsid w:val="0013314B"/>
    <w:rsid w:val="00135118"/>
    <w:rsid w:val="00135942"/>
    <w:rsid w:val="00137248"/>
    <w:rsid w:val="001375B2"/>
    <w:rsid w:val="00143F46"/>
    <w:rsid w:val="00146D9C"/>
    <w:rsid w:val="00150691"/>
    <w:rsid w:val="00151C8B"/>
    <w:rsid w:val="00151F5C"/>
    <w:rsid w:val="0015664D"/>
    <w:rsid w:val="00162DEC"/>
    <w:rsid w:val="00165D88"/>
    <w:rsid w:val="00167B77"/>
    <w:rsid w:val="001716D7"/>
    <w:rsid w:val="00172C70"/>
    <w:rsid w:val="00176E86"/>
    <w:rsid w:val="00181AE0"/>
    <w:rsid w:val="00182DCA"/>
    <w:rsid w:val="00187502"/>
    <w:rsid w:val="00191642"/>
    <w:rsid w:val="00192547"/>
    <w:rsid w:val="00193204"/>
    <w:rsid w:val="00195269"/>
    <w:rsid w:val="0019680E"/>
    <w:rsid w:val="001A126C"/>
    <w:rsid w:val="001A1FB1"/>
    <w:rsid w:val="001A36D1"/>
    <w:rsid w:val="001A5CD8"/>
    <w:rsid w:val="001A6AC8"/>
    <w:rsid w:val="001B194D"/>
    <w:rsid w:val="001B67B5"/>
    <w:rsid w:val="001B67C1"/>
    <w:rsid w:val="001C3215"/>
    <w:rsid w:val="001C32E0"/>
    <w:rsid w:val="001C3448"/>
    <w:rsid w:val="001C3E11"/>
    <w:rsid w:val="001C64A0"/>
    <w:rsid w:val="001D17F4"/>
    <w:rsid w:val="001D2E93"/>
    <w:rsid w:val="001D5FC8"/>
    <w:rsid w:val="001D7473"/>
    <w:rsid w:val="001E31BF"/>
    <w:rsid w:val="001E3764"/>
    <w:rsid w:val="001E7A52"/>
    <w:rsid w:val="001F21AA"/>
    <w:rsid w:val="001F4D8A"/>
    <w:rsid w:val="00205852"/>
    <w:rsid w:val="00205DB1"/>
    <w:rsid w:val="00206AEC"/>
    <w:rsid w:val="00211390"/>
    <w:rsid w:val="00213E0B"/>
    <w:rsid w:val="0021681A"/>
    <w:rsid w:val="002202DC"/>
    <w:rsid w:val="002228C3"/>
    <w:rsid w:val="0022436B"/>
    <w:rsid w:val="002339F0"/>
    <w:rsid w:val="00235F59"/>
    <w:rsid w:val="0023606E"/>
    <w:rsid w:val="002412A5"/>
    <w:rsid w:val="002413F7"/>
    <w:rsid w:val="00244578"/>
    <w:rsid w:val="002472BC"/>
    <w:rsid w:val="00252F0E"/>
    <w:rsid w:val="00253582"/>
    <w:rsid w:val="00255DDE"/>
    <w:rsid w:val="002571AF"/>
    <w:rsid w:val="00262B15"/>
    <w:rsid w:val="00265375"/>
    <w:rsid w:val="00266850"/>
    <w:rsid w:val="00271075"/>
    <w:rsid w:val="00271654"/>
    <w:rsid w:val="00272356"/>
    <w:rsid w:val="00274BD0"/>
    <w:rsid w:val="00276208"/>
    <w:rsid w:val="00291E52"/>
    <w:rsid w:val="002940DF"/>
    <w:rsid w:val="002945D4"/>
    <w:rsid w:val="00295222"/>
    <w:rsid w:val="00295A3C"/>
    <w:rsid w:val="00295FB9"/>
    <w:rsid w:val="002A0C0E"/>
    <w:rsid w:val="002A19E7"/>
    <w:rsid w:val="002A2F68"/>
    <w:rsid w:val="002A3F5C"/>
    <w:rsid w:val="002A3FB3"/>
    <w:rsid w:val="002A520D"/>
    <w:rsid w:val="002B279C"/>
    <w:rsid w:val="002B3996"/>
    <w:rsid w:val="002B48A7"/>
    <w:rsid w:val="002B628A"/>
    <w:rsid w:val="002C0D15"/>
    <w:rsid w:val="002C3119"/>
    <w:rsid w:val="002C4D31"/>
    <w:rsid w:val="002C6265"/>
    <w:rsid w:val="002D1A5C"/>
    <w:rsid w:val="002D2E46"/>
    <w:rsid w:val="002D33F9"/>
    <w:rsid w:val="002D386D"/>
    <w:rsid w:val="002D62F2"/>
    <w:rsid w:val="002E1923"/>
    <w:rsid w:val="002E1D18"/>
    <w:rsid w:val="002E201D"/>
    <w:rsid w:val="002E33A0"/>
    <w:rsid w:val="002E6D1E"/>
    <w:rsid w:val="002E6EDD"/>
    <w:rsid w:val="002F1AE0"/>
    <w:rsid w:val="002F20CD"/>
    <w:rsid w:val="002F4CCF"/>
    <w:rsid w:val="003016B3"/>
    <w:rsid w:val="00322A01"/>
    <w:rsid w:val="0032372D"/>
    <w:rsid w:val="00323974"/>
    <w:rsid w:val="0032483F"/>
    <w:rsid w:val="00324FA8"/>
    <w:rsid w:val="00325BF2"/>
    <w:rsid w:val="00332E85"/>
    <w:rsid w:val="0033382E"/>
    <w:rsid w:val="003339DF"/>
    <w:rsid w:val="0033440B"/>
    <w:rsid w:val="0033513A"/>
    <w:rsid w:val="0034008C"/>
    <w:rsid w:val="00346061"/>
    <w:rsid w:val="00347B93"/>
    <w:rsid w:val="00347C68"/>
    <w:rsid w:val="00351BF7"/>
    <w:rsid w:val="0035386D"/>
    <w:rsid w:val="00361A68"/>
    <w:rsid w:val="00363F5F"/>
    <w:rsid w:val="003657F8"/>
    <w:rsid w:val="003701BF"/>
    <w:rsid w:val="00370ACB"/>
    <w:rsid w:val="003713E0"/>
    <w:rsid w:val="0037324B"/>
    <w:rsid w:val="003764AF"/>
    <w:rsid w:val="003769D6"/>
    <w:rsid w:val="00381953"/>
    <w:rsid w:val="003837D8"/>
    <w:rsid w:val="003852AC"/>
    <w:rsid w:val="00386ED5"/>
    <w:rsid w:val="0038737B"/>
    <w:rsid w:val="003944CD"/>
    <w:rsid w:val="003964C1"/>
    <w:rsid w:val="003A03D4"/>
    <w:rsid w:val="003A0FE9"/>
    <w:rsid w:val="003A63C3"/>
    <w:rsid w:val="003A6A05"/>
    <w:rsid w:val="003B23E2"/>
    <w:rsid w:val="003B289A"/>
    <w:rsid w:val="003B390F"/>
    <w:rsid w:val="003B506F"/>
    <w:rsid w:val="003B61BA"/>
    <w:rsid w:val="003C1E1C"/>
    <w:rsid w:val="003C48A9"/>
    <w:rsid w:val="003C697C"/>
    <w:rsid w:val="003C7797"/>
    <w:rsid w:val="003D4E1C"/>
    <w:rsid w:val="003D6F5F"/>
    <w:rsid w:val="003E317A"/>
    <w:rsid w:val="003F19EE"/>
    <w:rsid w:val="003F1AAF"/>
    <w:rsid w:val="003F1C1D"/>
    <w:rsid w:val="003F6DB2"/>
    <w:rsid w:val="003F741D"/>
    <w:rsid w:val="003F7F23"/>
    <w:rsid w:val="003F7F3A"/>
    <w:rsid w:val="00400358"/>
    <w:rsid w:val="00404173"/>
    <w:rsid w:val="0040435A"/>
    <w:rsid w:val="004047AA"/>
    <w:rsid w:val="00407D1E"/>
    <w:rsid w:val="00411627"/>
    <w:rsid w:val="0041219A"/>
    <w:rsid w:val="0041265F"/>
    <w:rsid w:val="00417A14"/>
    <w:rsid w:val="00417AEC"/>
    <w:rsid w:val="00421152"/>
    <w:rsid w:val="00422349"/>
    <w:rsid w:val="00423062"/>
    <w:rsid w:val="004265EB"/>
    <w:rsid w:val="00430A7D"/>
    <w:rsid w:val="00433643"/>
    <w:rsid w:val="004346C1"/>
    <w:rsid w:val="004361F4"/>
    <w:rsid w:val="0044281C"/>
    <w:rsid w:val="00443F82"/>
    <w:rsid w:val="004501BF"/>
    <w:rsid w:val="0045442A"/>
    <w:rsid w:val="00455400"/>
    <w:rsid w:val="004569A2"/>
    <w:rsid w:val="00457FFE"/>
    <w:rsid w:val="00461664"/>
    <w:rsid w:val="00462E44"/>
    <w:rsid w:val="00463FFB"/>
    <w:rsid w:val="00465F7B"/>
    <w:rsid w:val="0046703A"/>
    <w:rsid w:val="00467D27"/>
    <w:rsid w:val="00467DD1"/>
    <w:rsid w:val="00467F12"/>
    <w:rsid w:val="0047075B"/>
    <w:rsid w:val="004711B1"/>
    <w:rsid w:val="00472719"/>
    <w:rsid w:val="00474B9D"/>
    <w:rsid w:val="0047669F"/>
    <w:rsid w:val="00477A0B"/>
    <w:rsid w:val="0048771A"/>
    <w:rsid w:val="00494D79"/>
    <w:rsid w:val="00497C65"/>
    <w:rsid w:val="004A15D0"/>
    <w:rsid w:val="004A2276"/>
    <w:rsid w:val="004A4324"/>
    <w:rsid w:val="004A43D6"/>
    <w:rsid w:val="004A4DA5"/>
    <w:rsid w:val="004A64E8"/>
    <w:rsid w:val="004A6DBA"/>
    <w:rsid w:val="004A7673"/>
    <w:rsid w:val="004B01E3"/>
    <w:rsid w:val="004B0321"/>
    <w:rsid w:val="004B09BB"/>
    <w:rsid w:val="004B1844"/>
    <w:rsid w:val="004B220E"/>
    <w:rsid w:val="004B2697"/>
    <w:rsid w:val="004B3DC1"/>
    <w:rsid w:val="004B3E62"/>
    <w:rsid w:val="004C2D74"/>
    <w:rsid w:val="004D02D7"/>
    <w:rsid w:val="004E044E"/>
    <w:rsid w:val="004E1053"/>
    <w:rsid w:val="004E45CA"/>
    <w:rsid w:val="004E50DE"/>
    <w:rsid w:val="004E6F27"/>
    <w:rsid w:val="004F0B82"/>
    <w:rsid w:val="004F0CF9"/>
    <w:rsid w:val="004F59B2"/>
    <w:rsid w:val="004F60E5"/>
    <w:rsid w:val="00504176"/>
    <w:rsid w:val="00510634"/>
    <w:rsid w:val="00510A5B"/>
    <w:rsid w:val="005165D4"/>
    <w:rsid w:val="00517ACE"/>
    <w:rsid w:val="00517E06"/>
    <w:rsid w:val="00517E56"/>
    <w:rsid w:val="00523444"/>
    <w:rsid w:val="00531192"/>
    <w:rsid w:val="0053158A"/>
    <w:rsid w:val="00533895"/>
    <w:rsid w:val="00534D99"/>
    <w:rsid w:val="00552BA0"/>
    <w:rsid w:val="00555D71"/>
    <w:rsid w:val="00557156"/>
    <w:rsid w:val="005575FC"/>
    <w:rsid w:val="00557E9F"/>
    <w:rsid w:val="00563116"/>
    <w:rsid w:val="005651EC"/>
    <w:rsid w:val="00567ECA"/>
    <w:rsid w:val="0057133B"/>
    <w:rsid w:val="0057351F"/>
    <w:rsid w:val="00575125"/>
    <w:rsid w:val="00575EB7"/>
    <w:rsid w:val="00581B77"/>
    <w:rsid w:val="00582612"/>
    <w:rsid w:val="00583CD3"/>
    <w:rsid w:val="005848F1"/>
    <w:rsid w:val="00584CC9"/>
    <w:rsid w:val="00585AC7"/>
    <w:rsid w:val="00586F35"/>
    <w:rsid w:val="00590DF0"/>
    <w:rsid w:val="00591943"/>
    <w:rsid w:val="00591BCB"/>
    <w:rsid w:val="00593996"/>
    <w:rsid w:val="00593DEB"/>
    <w:rsid w:val="005960CC"/>
    <w:rsid w:val="005A6C07"/>
    <w:rsid w:val="005A7A89"/>
    <w:rsid w:val="005B22AD"/>
    <w:rsid w:val="005B39DD"/>
    <w:rsid w:val="005B3A4D"/>
    <w:rsid w:val="005B7CA1"/>
    <w:rsid w:val="005B7DD7"/>
    <w:rsid w:val="005C1699"/>
    <w:rsid w:val="005C2543"/>
    <w:rsid w:val="005C2C2A"/>
    <w:rsid w:val="005C4EC4"/>
    <w:rsid w:val="005C6B8A"/>
    <w:rsid w:val="005D07B7"/>
    <w:rsid w:val="005D333F"/>
    <w:rsid w:val="005E0B78"/>
    <w:rsid w:val="005E0DC4"/>
    <w:rsid w:val="005E31D4"/>
    <w:rsid w:val="005E55A1"/>
    <w:rsid w:val="005E5E9B"/>
    <w:rsid w:val="005E6AE8"/>
    <w:rsid w:val="005E7BC1"/>
    <w:rsid w:val="005F0F5C"/>
    <w:rsid w:val="005F3A3D"/>
    <w:rsid w:val="005F5BB4"/>
    <w:rsid w:val="005F68A4"/>
    <w:rsid w:val="005F718B"/>
    <w:rsid w:val="00601F10"/>
    <w:rsid w:val="00602260"/>
    <w:rsid w:val="00602478"/>
    <w:rsid w:val="00603729"/>
    <w:rsid w:val="00604C95"/>
    <w:rsid w:val="006074F3"/>
    <w:rsid w:val="00607C17"/>
    <w:rsid w:val="006152AC"/>
    <w:rsid w:val="00615C19"/>
    <w:rsid w:val="0062443B"/>
    <w:rsid w:val="00624A0D"/>
    <w:rsid w:val="0062508F"/>
    <w:rsid w:val="0062624B"/>
    <w:rsid w:val="0062730F"/>
    <w:rsid w:val="00633230"/>
    <w:rsid w:val="0063479C"/>
    <w:rsid w:val="00637C3F"/>
    <w:rsid w:val="006423E3"/>
    <w:rsid w:val="00645A9D"/>
    <w:rsid w:val="00651B0C"/>
    <w:rsid w:val="006539FA"/>
    <w:rsid w:val="00660550"/>
    <w:rsid w:val="00660C71"/>
    <w:rsid w:val="00671BB6"/>
    <w:rsid w:val="006744A0"/>
    <w:rsid w:val="00677A2D"/>
    <w:rsid w:val="00680416"/>
    <w:rsid w:val="006808C3"/>
    <w:rsid w:val="00680F11"/>
    <w:rsid w:val="00693C29"/>
    <w:rsid w:val="0069550D"/>
    <w:rsid w:val="00696AF8"/>
    <w:rsid w:val="006A6804"/>
    <w:rsid w:val="006A71F5"/>
    <w:rsid w:val="006A7C58"/>
    <w:rsid w:val="006B2447"/>
    <w:rsid w:val="006B2F57"/>
    <w:rsid w:val="006B3ACE"/>
    <w:rsid w:val="006B3DA3"/>
    <w:rsid w:val="006B43BB"/>
    <w:rsid w:val="006B52B8"/>
    <w:rsid w:val="006B56AF"/>
    <w:rsid w:val="006B572D"/>
    <w:rsid w:val="006B58BE"/>
    <w:rsid w:val="006B5C4D"/>
    <w:rsid w:val="006C72E8"/>
    <w:rsid w:val="006D0919"/>
    <w:rsid w:val="006D18D5"/>
    <w:rsid w:val="006D40D0"/>
    <w:rsid w:val="006D6BD0"/>
    <w:rsid w:val="006D7E76"/>
    <w:rsid w:val="006E34B5"/>
    <w:rsid w:val="006E73B1"/>
    <w:rsid w:val="006F2F22"/>
    <w:rsid w:val="006F3103"/>
    <w:rsid w:val="006F3F10"/>
    <w:rsid w:val="006F4E62"/>
    <w:rsid w:val="006F5A67"/>
    <w:rsid w:val="006F6463"/>
    <w:rsid w:val="0070180C"/>
    <w:rsid w:val="00701AD9"/>
    <w:rsid w:val="007040C3"/>
    <w:rsid w:val="007056DF"/>
    <w:rsid w:val="00705925"/>
    <w:rsid w:val="0071044F"/>
    <w:rsid w:val="007106E8"/>
    <w:rsid w:val="00714B38"/>
    <w:rsid w:val="00714B69"/>
    <w:rsid w:val="007159D6"/>
    <w:rsid w:val="00715DAE"/>
    <w:rsid w:val="00725B6A"/>
    <w:rsid w:val="00726678"/>
    <w:rsid w:val="00726CDF"/>
    <w:rsid w:val="00727447"/>
    <w:rsid w:val="00732833"/>
    <w:rsid w:val="00733291"/>
    <w:rsid w:val="00733672"/>
    <w:rsid w:val="00736B27"/>
    <w:rsid w:val="00737595"/>
    <w:rsid w:val="0073773C"/>
    <w:rsid w:val="00746077"/>
    <w:rsid w:val="00751456"/>
    <w:rsid w:val="00751EB7"/>
    <w:rsid w:val="00751F89"/>
    <w:rsid w:val="007522ED"/>
    <w:rsid w:val="00753BC9"/>
    <w:rsid w:val="00754CD5"/>
    <w:rsid w:val="00757694"/>
    <w:rsid w:val="00762F1F"/>
    <w:rsid w:val="00764B44"/>
    <w:rsid w:val="007662F6"/>
    <w:rsid w:val="007673AB"/>
    <w:rsid w:val="007675D0"/>
    <w:rsid w:val="007767C0"/>
    <w:rsid w:val="00776BDA"/>
    <w:rsid w:val="0077714D"/>
    <w:rsid w:val="00781FD9"/>
    <w:rsid w:val="00782B91"/>
    <w:rsid w:val="00786934"/>
    <w:rsid w:val="00791F57"/>
    <w:rsid w:val="0079438E"/>
    <w:rsid w:val="00797271"/>
    <w:rsid w:val="007A3534"/>
    <w:rsid w:val="007A3E35"/>
    <w:rsid w:val="007A3F74"/>
    <w:rsid w:val="007A6128"/>
    <w:rsid w:val="007B0BC2"/>
    <w:rsid w:val="007B1045"/>
    <w:rsid w:val="007B1FD6"/>
    <w:rsid w:val="007B3B0D"/>
    <w:rsid w:val="007B6900"/>
    <w:rsid w:val="007B7322"/>
    <w:rsid w:val="007B7E01"/>
    <w:rsid w:val="007C3094"/>
    <w:rsid w:val="007C5010"/>
    <w:rsid w:val="007D2253"/>
    <w:rsid w:val="007D2862"/>
    <w:rsid w:val="007D29C9"/>
    <w:rsid w:val="007D2BEC"/>
    <w:rsid w:val="007D4BBB"/>
    <w:rsid w:val="007D7588"/>
    <w:rsid w:val="007E156A"/>
    <w:rsid w:val="007E1D92"/>
    <w:rsid w:val="007E3F9D"/>
    <w:rsid w:val="007E48FF"/>
    <w:rsid w:val="007E64A8"/>
    <w:rsid w:val="007F2F76"/>
    <w:rsid w:val="007F4CD6"/>
    <w:rsid w:val="007F4DA9"/>
    <w:rsid w:val="007F70B1"/>
    <w:rsid w:val="00803085"/>
    <w:rsid w:val="00804AB1"/>
    <w:rsid w:val="008071C0"/>
    <w:rsid w:val="0081053F"/>
    <w:rsid w:val="00810631"/>
    <w:rsid w:val="00811D98"/>
    <w:rsid w:val="008126BB"/>
    <w:rsid w:val="0081329E"/>
    <w:rsid w:val="00813AB4"/>
    <w:rsid w:val="00814277"/>
    <w:rsid w:val="00820D72"/>
    <w:rsid w:val="00827555"/>
    <w:rsid w:val="00830498"/>
    <w:rsid w:val="00830BD8"/>
    <w:rsid w:val="00831E2E"/>
    <w:rsid w:val="00831E3B"/>
    <w:rsid w:val="0083275B"/>
    <w:rsid w:val="008330A5"/>
    <w:rsid w:val="008402AE"/>
    <w:rsid w:val="00840513"/>
    <w:rsid w:val="00840902"/>
    <w:rsid w:val="00843137"/>
    <w:rsid w:val="00845D30"/>
    <w:rsid w:val="00845DE0"/>
    <w:rsid w:val="00860DB2"/>
    <w:rsid w:val="00863492"/>
    <w:rsid w:val="008640E8"/>
    <w:rsid w:val="00864890"/>
    <w:rsid w:val="00865A8B"/>
    <w:rsid w:val="00866C32"/>
    <w:rsid w:val="00875435"/>
    <w:rsid w:val="00876316"/>
    <w:rsid w:val="00876DC6"/>
    <w:rsid w:val="00877FD9"/>
    <w:rsid w:val="0088001C"/>
    <w:rsid w:val="00881003"/>
    <w:rsid w:val="008844D5"/>
    <w:rsid w:val="00887829"/>
    <w:rsid w:val="00890158"/>
    <w:rsid w:val="00890720"/>
    <w:rsid w:val="008912CB"/>
    <w:rsid w:val="0089265D"/>
    <w:rsid w:val="00892F6A"/>
    <w:rsid w:val="00893F0D"/>
    <w:rsid w:val="00894668"/>
    <w:rsid w:val="00896BB4"/>
    <w:rsid w:val="00896DE8"/>
    <w:rsid w:val="00897E5E"/>
    <w:rsid w:val="008A588F"/>
    <w:rsid w:val="008A5C73"/>
    <w:rsid w:val="008A5D99"/>
    <w:rsid w:val="008B1ADE"/>
    <w:rsid w:val="008B2B4F"/>
    <w:rsid w:val="008B749A"/>
    <w:rsid w:val="008B77FF"/>
    <w:rsid w:val="008C0BF4"/>
    <w:rsid w:val="008C1FED"/>
    <w:rsid w:val="008C27A2"/>
    <w:rsid w:val="008C524D"/>
    <w:rsid w:val="008C613C"/>
    <w:rsid w:val="008C64D3"/>
    <w:rsid w:val="008C6F5E"/>
    <w:rsid w:val="008C72DB"/>
    <w:rsid w:val="008D22D5"/>
    <w:rsid w:val="008E0233"/>
    <w:rsid w:val="008E08D2"/>
    <w:rsid w:val="008E264F"/>
    <w:rsid w:val="008E2ABB"/>
    <w:rsid w:val="008E492D"/>
    <w:rsid w:val="008E4C04"/>
    <w:rsid w:val="008E5DD8"/>
    <w:rsid w:val="008F25D6"/>
    <w:rsid w:val="00902144"/>
    <w:rsid w:val="009033E1"/>
    <w:rsid w:val="00904A14"/>
    <w:rsid w:val="00904E47"/>
    <w:rsid w:val="009053A8"/>
    <w:rsid w:val="00910F34"/>
    <w:rsid w:val="00913ACB"/>
    <w:rsid w:val="00915C48"/>
    <w:rsid w:val="0092170B"/>
    <w:rsid w:val="00921B1F"/>
    <w:rsid w:val="009235D3"/>
    <w:rsid w:val="00925D57"/>
    <w:rsid w:val="00930C70"/>
    <w:rsid w:val="009375EE"/>
    <w:rsid w:val="00941F0F"/>
    <w:rsid w:val="009443A3"/>
    <w:rsid w:val="00944AC0"/>
    <w:rsid w:val="009457E8"/>
    <w:rsid w:val="009460D1"/>
    <w:rsid w:val="00946D34"/>
    <w:rsid w:val="0095120F"/>
    <w:rsid w:val="009515D2"/>
    <w:rsid w:val="0095539F"/>
    <w:rsid w:val="009566D9"/>
    <w:rsid w:val="0096584F"/>
    <w:rsid w:val="00965D01"/>
    <w:rsid w:val="00967EF4"/>
    <w:rsid w:val="00972229"/>
    <w:rsid w:val="00974D5D"/>
    <w:rsid w:val="00976F85"/>
    <w:rsid w:val="009835A2"/>
    <w:rsid w:val="009836DA"/>
    <w:rsid w:val="009837FC"/>
    <w:rsid w:val="00983968"/>
    <w:rsid w:val="00983F5C"/>
    <w:rsid w:val="00985EF0"/>
    <w:rsid w:val="0099473A"/>
    <w:rsid w:val="00996106"/>
    <w:rsid w:val="0099725B"/>
    <w:rsid w:val="00997486"/>
    <w:rsid w:val="009A0F5A"/>
    <w:rsid w:val="009A637E"/>
    <w:rsid w:val="009A7608"/>
    <w:rsid w:val="009B0041"/>
    <w:rsid w:val="009C30E9"/>
    <w:rsid w:val="009C43EB"/>
    <w:rsid w:val="009C5573"/>
    <w:rsid w:val="009D15E7"/>
    <w:rsid w:val="009D229D"/>
    <w:rsid w:val="009D41E8"/>
    <w:rsid w:val="009D6ECC"/>
    <w:rsid w:val="009D798B"/>
    <w:rsid w:val="009E0A6B"/>
    <w:rsid w:val="009E0B7A"/>
    <w:rsid w:val="009E0C6F"/>
    <w:rsid w:val="009E0D52"/>
    <w:rsid w:val="009E37BD"/>
    <w:rsid w:val="009E5A22"/>
    <w:rsid w:val="009E73C5"/>
    <w:rsid w:val="009F07A4"/>
    <w:rsid w:val="009F126C"/>
    <w:rsid w:val="009F1A31"/>
    <w:rsid w:val="009F39E3"/>
    <w:rsid w:val="009F3C2B"/>
    <w:rsid w:val="009F4642"/>
    <w:rsid w:val="009F4925"/>
    <w:rsid w:val="009F549E"/>
    <w:rsid w:val="009F5D97"/>
    <w:rsid w:val="009F7E68"/>
    <w:rsid w:val="00A007AE"/>
    <w:rsid w:val="00A077F5"/>
    <w:rsid w:val="00A103C6"/>
    <w:rsid w:val="00A114AF"/>
    <w:rsid w:val="00A146BA"/>
    <w:rsid w:val="00A14A18"/>
    <w:rsid w:val="00A16805"/>
    <w:rsid w:val="00A16C56"/>
    <w:rsid w:val="00A17A02"/>
    <w:rsid w:val="00A2048A"/>
    <w:rsid w:val="00A2076C"/>
    <w:rsid w:val="00A220DB"/>
    <w:rsid w:val="00A243AC"/>
    <w:rsid w:val="00A24BB8"/>
    <w:rsid w:val="00A251F7"/>
    <w:rsid w:val="00A258DC"/>
    <w:rsid w:val="00A31743"/>
    <w:rsid w:val="00A36421"/>
    <w:rsid w:val="00A364E1"/>
    <w:rsid w:val="00A374B2"/>
    <w:rsid w:val="00A41434"/>
    <w:rsid w:val="00A44A26"/>
    <w:rsid w:val="00A4716B"/>
    <w:rsid w:val="00A47286"/>
    <w:rsid w:val="00A53D57"/>
    <w:rsid w:val="00A60A84"/>
    <w:rsid w:val="00A651A5"/>
    <w:rsid w:val="00A65E58"/>
    <w:rsid w:val="00A70825"/>
    <w:rsid w:val="00A7169A"/>
    <w:rsid w:val="00A724C5"/>
    <w:rsid w:val="00A7506B"/>
    <w:rsid w:val="00A80154"/>
    <w:rsid w:val="00A83BC1"/>
    <w:rsid w:val="00A856CD"/>
    <w:rsid w:val="00A952B8"/>
    <w:rsid w:val="00AA3CB8"/>
    <w:rsid w:val="00AA4BB6"/>
    <w:rsid w:val="00AB2E9F"/>
    <w:rsid w:val="00AB7088"/>
    <w:rsid w:val="00AC0D3D"/>
    <w:rsid w:val="00AC1152"/>
    <w:rsid w:val="00AC7005"/>
    <w:rsid w:val="00AD01FC"/>
    <w:rsid w:val="00AD2E63"/>
    <w:rsid w:val="00AD3B27"/>
    <w:rsid w:val="00AD4FA5"/>
    <w:rsid w:val="00AE41C3"/>
    <w:rsid w:val="00AE6019"/>
    <w:rsid w:val="00AE7DDD"/>
    <w:rsid w:val="00AF16A3"/>
    <w:rsid w:val="00AF1CC4"/>
    <w:rsid w:val="00AF43CD"/>
    <w:rsid w:val="00B01AD0"/>
    <w:rsid w:val="00B043C1"/>
    <w:rsid w:val="00B056E3"/>
    <w:rsid w:val="00B05C21"/>
    <w:rsid w:val="00B0640F"/>
    <w:rsid w:val="00B12CD5"/>
    <w:rsid w:val="00B14089"/>
    <w:rsid w:val="00B22341"/>
    <w:rsid w:val="00B2248D"/>
    <w:rsid w:val="00B32079"/>
    <w:rsid w:val="00B3434C"/>
    <w:rsid w:val="00B37D01"/>
    <w:rsid w:val="00B4147E"/>
    <w:rsid w:val="00B46C42"/>
    <w:rsid w:val="00B51A4F"/>
    <w:rsid w:val="00B529BD"/>
    <w:rsid w:val="00B54A70"/>
    <w:rsid w:val="00B563EC"/>
    <w:rsid w:val="00B56633"/>
    <w:rsid w:val="00B56823"/>
    <w:rsid w:val="00B57866"/>
    <w:rsid w:val="00B60C29"/>
    <w:rsid w:val="00B638D2"/>
    <w:rsid w:val="00B64895"/>
    <w:rsid w:val="00B6513E"/>
    <w:rsid w:val="00B70709"/>
    <w:rsid w:val="00B70B07"/>
    <w:rsid w:val="00B829EC"/>
    <w:rsid w:val="00B845E5"/>
    <w:rsid w:val="00B845F4"/>
    <w:rsid w:val="00B853AA"/>
    <w:rsid w:val="00B9004D"/>
    <w:rsid w:val="00B90802"/>
    <w:rsid w:val="00B92687"/>
    <w:rsid w:val="00B95155"/>
    <w:rsid w:val="00B96B70"/>
    <w:rsid w:val="00BA0D56"/>
    <w:rsid w:val="00BA31EB"/>
    <w:rsid w:val="00BB1015"/>
    <w:rsid w:val="00BB2719"/>
    <w:rsid w:val="00BB2C3A"/>
    <w:rsid w:val="00BB35D5"/>
    <w:rsid w:val="00BB69D4"/>
    <w:rsid w:val="00BB715A"/>
    <w:rsid w:val="00BB7B66"/>
    <w:rsid w:val="00BC08B5"/>
    <w:rsid w:val="00BC0D08"/>
    <w:rsid w:val="00BC1839"/>
    <w:rsid w:val="00BC1D9E"/>
    <w:rsid w:val="00BC3BC3"/>
    <w:rsid w:val="00BC46A3"/>
    <w:rsid w:val="00BC5D45"/>
    <w:rsid w:val="00BC736A"/>
    <w:rsid w:val="00BD00B5"/>
    <w:rsid w:val="00BD06D8"/>
    <w:rsid w:val="00BD39D2"/>
    <w:rsid w:val="00BE0074"/>
    <w:rsid w:val="00BE03FA"/>
    <w:rsid w:val="00BE1965"/>
    <w:rsid w:val="00BE31BC"/>
    <w:rsid w:val="00BE5380"/>
    <w:rsid w:val="00BE65BC"/>
    <w:rsid w:val="00BE77C6"/>
    <w:rsid w:val="00BE7CE4"/>
    <w:rsid w:val="00BF06FF"/>
    <w:rsid w:val="00BF4F78"/>
    <w:rsid w:val="00BF4FE7"/>
    <w:rsid w:val="00BF68B5"/>
    <w:rsid w:val="00C026BB"/>
    <w:rsid w:val="00C0645D"/>
    <w:rsid w:val="00C11740"/>
    <w:rsid w:val="00C12DB1"/>
    <w:rsid w:val="00C159DD"/>
    <w:rsid w:val="00C15E0F"/>
    <w:rsid w:val="00C175F4"/>
    <w:rsid w:val="00C207A5"/>
    <w:rsid w:val="00C2205B"/>
    <w:rsid w:val="00C27ACC"/>
    <w:rsid w:val="00C30E92"/>
    <w:rsid w:val="00C318A1"/>
    <w:rsid w:val="00C31DB2"/>
    <w:rsid w:val="00C32140"/>
    <w:rsid w:val="00C36AEB"/>
    <w:rsid w:val="00C460A6"/>
    <w:rsid w:val="00C50310"/>
    <w:rsid w:val="00C5118C"/>
    <w:rsid w:val="00C54247"/>
    <w:rsid w:val="00C54F02"/>
    <w:rsid w:val="00C55C02"/>
    <w:rsid w:val="00C56EE1"/>
    <w:rsid w:val="00C56FB8"/>
    <w:rsid w:val="00C6076F"/>
    <w:rsid w:val="00C70733"/>
    <w:rsid w:val="00C72CF1"/>
    <w:rsid w:val="00C72EF7"/>
    <w:rsid w:val="00C73476"/>
    <w:rsid w:val="00C75F2B"/>
    <w:rsid w:val="00C77C76"/>
    <w:rsid w:val="00C80801"/>
    <w:rsid w:val="00C80E24"/>
    <w:rsid w:val="00C8247C"/>
    <w:rsid w:val="00C84D24"/>
    <w:rsid w:val="00C86981"/>
    <w:rsid w:val="00C93B4F"/>
    <w:rsid w:val="00C93CC8"/>
    <w:rsid w:val="00C96936"/>
    <w:rsid w:val="00C97D8B"/>
    <w:rsid w:val="00CA0227"/>
    <w:rsid w:val="00CA12D2"/>
    <w:rsid w:val="00CA1BD7"/>
    <w:rsid w:val="00CA6D17"/>
    <w:rsid w:val="00CA796F"/>
    <w:rsid w:val="00CA7F2D"/>
    <w:rsid w:val="00CB1E00"/>
    <w:rsid w:val="00CB1ECD"/>
    <w:rsid w:val="00CB4E0F"/>
    <w:rsid w:val="00CB5957"/>
    <w:rsid w:val="00CB7605"/>
    <w:rsid w:val="00CC1BF2"/>
    <w:rsid w:val="00CC2573"/>
    <w:rsid w:val="00CC5B45"/>
    <w:rsid w:val="00CC7931"/>
    <w:rsid w:val="00CC7D7D"/>
    <w:rsid w:val="00CC7F7E"/>
    <w:rsid w:val="00CD1A63"/>
    <w:rsid w:val="00CD1F18"/>
    <w:rsid w:val="00CD7D0F"/>
    <w:rsid w:val="00CE291B"/>
    <w:rsid w:val="00CE339A"/>
    <w:rsid w:val="00CE3CB9"/>
    <w:rsid w:val="00CE4552"/>
    <w:rsid w:val="00CE6162"/>
    <w:rsid w:val="00CF1F18"/>
    <w:rsid w:val="00CF3176"/>
    <w:rsid w:val="00CF37B1"/>
    <w:rsid w:val="00CF396A"/>
    <w:rsid w:val="00CF7109"/>
    <w:rsid w:val="00D02F14"/>
    <w:rsid w:val="00D033C7"/>
    <w:rsid w:val="00D145EF"/>
    <w:rsid w:val="00D20B04"/>
    <w:rsid w:val="00D2290E"/>
    <w:rsid w:val="00D23C8A"/>
    <w:rsid w:val="00D258F9"/>
    <w:rsid w:val="00D2735D"/>
    <w:rsid w:val="00D30B34"/>
    <w:rsid w:val="00D316EA"/>
    <w:rsid w:val="00D31C05"/>
    <w:rsid w:val="00D32811"/>
    <w:rsid w:val="00D34EA2"/>
    <w:rsid w:val="00D41049"/>
    <w:rsid w:val="00D41B66"/>
    <w:rsid w:val="00D42837"/>
    <w:rsid w:val="00D43759"/>
    <w:rsid w:val="00D50AC1"/>
    <w:rsid w:val="00D5263D"/>
    <w:rsid w:val="00D554BD"/>
    <w:rsid w:val="00D567C3"/>
    <w:rsid w:val="00D61B81"/>
    <w:rsid w:val="00D6505C"/>
    <w:rsid w:val="00D66965"/>
    <w:rsid w:val="00D71CD6"/>
    <w:rsid w:val="00D729A7"/>
    <w:rsid w:val="00D76D4D"/>
    <w:rsid w:val="00D777E3"/>
    <w:rsid w:val="00D80AD9"/>
    <w:rsid w:val="00D8414D"/>
    <w:rsid w:val="00D86D98"/>
    <w:rsid w:val="00D93E1F"/>
    <w:rsid w:val="00D966D9"/>
    <w:rsid w:val="00D972AA"/>
    <w:rsid w:val="00D97DB2"/>
    <w:rsid w:val="00DA0EE7"/>
    <w:rsid w:val="00DA1C7E"/>
    <w:rsid w:val="00DA1D61"/>
    <w:rsid w:val="00DA1E21"/>
    <w:rsid w:val="00DA2DE0"/>
    <w:rsid w:val="00DB2312"/>
    <w:rsid w:val="00DC0C8C"/>
    <w:rsid w:val="00DC0FFC"/>
    <w:rsid w:val="00DC128C"/>
    <w:rsid w:val="00DC335D"/>
    <w:rsid w:val="00DC54C9"/>
    <w:rsid w:val="00DC5B20"/>
    <w:rsid w:val="00DC6251"/>
    <w:rsid w:val="00DC772F"/>
    <w:rsid w:val="00DD05AA"/>
    <w:rsid w:val="00DD264F"/>
    <w:rsid w:val="00DE3763"/>
    <w:rsid w:val="00DE38B7"/>
    <w:rsid w:val="00DF32DB"/>
    <w:rsid w:val="00DF5659"/>
    <w:rsid w:val="00DF59A6"/>
    <w:rsid w:val="00DF7330"/>
    <w:rsid w:val="00DF7DB5"/>
    <w:rsid w:val="00E01267"/>
    <w:rsid w:val="00E020AA"/>
    <w:rsid w:val="00E0526C"/>
    <w:rsid w:val="00E0681F"/>
    <w:rsid w:val="00E07661"/>
    <w:rsid w:val="00E12A11"/>
    <w:rsid w:val="00E146DB"/>
    <w:rsid w:val="00E16847"/>
    <w:rsid w:val="00E16ACB"/>
    <w:rsid w:val="00E2021E"/>
    <w:rsid w:val="00E21DA8"/>
    <w:rsid w:val="00E248C2"/>
    <w:rsid w:val="00E25930"/>
    <w:rsid w:val="00E27172"/>
    <w:rsid w:val="00E2791E"/>
    <w:rsid w:val="00E334F3"/>
    <w:rsid w:val="00E33C54"/>
    <w:rsid w:val="00E358D0"/>
    <w:rsid w:val="00E35C79"/>
    <w:rsid w:val="00E37CCE"/>
    <w:rsid w:val="00E42598"/>
    <w:rsid w:val="00E44AFC"/>
    <w:rsid w:val="00E4620A"/>
    <w:rsid w:val="00E47498"/>
    <w:rsid w:val="00E478AC"/>
    <w:rsid w:val="00E512A1"/>
    <w:rsid w:val="00E537E6"/>
    <w:rsid w:val="00E54FE9"/>
    <w:rsid w:val="00E559F1"/>
    <w:rsid w:val="00E64293"/>
    <w:rsid w:val="00E64DCB"/>
    <w:rsid w:val="00E6571B"/>
    <w:rsid w:val="00E667BD"/>
    <w:rsid w:val="00E6764F"/>
    <w:rsid w:val="00E679AD"/>
    <w:rsid w:val="00E70600"/>
    <w:rsid w:val="00E71298"/>
    <w:rsid w:val="00E73D31"/>
    <w:rsid w:val="00E83120"/>
    <w:rsid w:val="00E843A5"/>
    <w:rsid w:val="00E84BEF"/>
    <w:rsid w:val="00E86003"/>
    <w:rsid w:val="00E87288"/>
    <w:rsid w:val="00E918B9"/>
    <w:rsid w:val="00E96890"/>
    <w:rsid w:val="00EA078F"/>
    <w:rsid w:val="00EA205D"/>
    <w:rsid w:val="00EA37AA"/>
    <w:rsid w:val="00EA3E10"/>
    <w:rsid w:val="00EA48E6"/>
    <w:rsid w:val="00EA4D1F"/>
    <w:rsid w:val="00EA7C1D"/>
    <w:rsid w:val="00EC0436"/>
    <w:rsid w:val="00EC15CA"/>
    <w:rsid w:val="00EC263B"/>
    <w:rsid w:val="00EC297B"/>
    <w:rsid w:val="00EC3573"/>
    <w:rsid w:val="00ED10DE"/>
    <w:rsid w:val="00ED1B6E"/>
    <w:rsid w:val="00ED1CC9"/>
    <w:rsid w:val="00ED2289"/>
    <w:rsid w:val="00ED48EA"/>
    <w:rsid w:val="00ED4E3B"/>
    <w:rsid w:val="00ED5D32"/>
    <w:rsid w:val="00EE258A"/>
    <w:rsid w:val="00EE38B5"/>
    <w:rsid w:val="00EF39D6"/>
    <w:rsid w:val="00EF7217"/>
    <w:rsid w:val="00F01418"/>
    <w:rsid w:val="00F04E3F"/>
    <w:rsid w:val="00F1695E"/>
    <w:rsid w:val="00F17B67"/>
    <w:rsid w:val="00F21CD8"/>
    <w:rsid w:val="00F273CE"/>
    <w:rsid w:val="00F300D5"/>
    <w:rsid w:val="00F31AD0"/>
    <w:rsid w:val="00F332F9"/>
    <w:rsid w:val="00F33734"/>
    <w:rsid w:val="00F34AB3"/>
    <w:rsid w:val="00F356E1"/>
    <w:rsid w:val="00F36438"/>
    <w:rsid w:val="00F41A60"/>
    <w:rsid w:val="00F42D3D"/>
    <w:rsid w:val="00F43607"/>
    <w:rsid w:val="00F47F5D"/>
    <w:rsid w:val="00F51A88"/>
    <w:rsid w:val="00F53976"/>
    <w:rsid w:val="00F552A7"/>
    <w:rsid w:val="00F553D5"/>
    <w:rsid w:val="00F56244"/>
    <w:rsid w:val="00F5760D"/>
    <w:rsid w:val="00F61723"/>
    <w:rsid w:val="00F6294A"/>
    <w:rsid w:val="00F62C44"/>
    <w:rsid w:val="00F63E2D"/>
    <w:rsid w:val="00F65435"/>
    <w:rsid w:val="00F7684A"/>
    <w:rsid w:val="00F82B41"/>
    <w:rsid w:val="00F83ED7"/>
    <w:rsid w:val="00F845CD"/>
    <w:rsid w:val="00F851E1"/>
    <w:rsid w:val="00F85947"/>
    <w:rsid w:val="00F85D6E"/>
    <w:rsid w:val="00F91770"/>
    <w:rsid w:val="00F92514"/>
    <w:rsid w:val="00F933B0"/>
    <w:rsid w:val="00F95A89"/>
    <w:rsid w:val="00FA0840"/>
    <w:rsid w:val="00FA642D"/>
    <w:rsid w:val="00FA7123"/>
    <w:rsid w:val="00FA74DD"/>
    <w:rsid w:val="00FA788A"/>
    <w:rsid w:val="00FA79D6"/>
    <w:rsid w:val="00FB37F0"/>
    <w:rsid w:val="00FB521F"/>
    <w:rsid w:val="00FB74DF"/>
    <w:rsid w:val="00FB7C5D"/>
    <w:rsid w:val="00FB7F26"/>
    <w:rsid w:val="00FC2933"/>
    <w:rsid w:val="00FC36A1"/>
    <w:rsid w:val="00FC6FB5"/>
    <w:rsid w:val="00FD1670"/>
    <w:rsid w:val="00FE541B"/>
    <w:rsid w:val="00FF0190"/>
    <w:rsid w:val="00FF251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FB4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C71"/>
    <w:rPr>
      <w:sz w:val="24"/>
      <w:szCs w:val="24"/>
      <w:lang w:val="en-US" w:eastAsia="en-US"/>
    </w:rPr>
  </w:style>
  <w:style w:type="paragraph" w:styleId="1">
    <w:name w:val="heading 1"/>
    <w:basedOn w:val="a"/>
    <w:next w:val="a"/>
    <w:link w:val="1Char"/>
    <w:qFormat/>
    <w:rsid w:val="00020263"/>
    <w:pPr>
      <w:keepNext/>
      <w:spacing w:before="240" w:after="60"/>
      <w:outlineLvl w:val="0"/>
    </w:pPr>
    <w:rPr>
      <w:rFonts w:ascii="Cambria" w:hAnsi="Cambria"/>
      <w:b/>
      <w:bCs/>
      <w:kern w:val="32"/>
      <w:sz w:val="32"/>
      <w:szCs w:val="32"/>
    </w:rPr>
  </w:style>
  <w:style w:type="paragraph" w:styleId="2">
    <w:name w:val="heading 2"/>
    <w:basedOn w:val="a"/>
    <w:next w:val="a"/>
    <w:qFormat/>
    <w:rsid w:val="00996106"/>
    <w:pPr>
      <w:keepNext/>
      <w:jc w:val="center"/>
      <w:outlineLvl w:val="1"/>
    </w:pPr>
    <w:rPr>
      <w:b/>
      <w:sz w:val="28"/>
      <w:szCs w:val="20"/>
    </w:rPr>
  </w:style>
  <w:style w:type="paragraph" w:styleId="7">
    <w:name w:val="heading 7"/>
    <w:basedOn w:val="a"/>
    <w:next w:val="a"/>
    <w:link w:val="7Char"/>
    <w:qFormat/>
    <w:rsid w:val="001D7473"/>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C46A3"/>
    <w:rPr>
      <w:rFonts w:ascii="Tahoma" w:hAnsi="Tahoma" w:cs="Tahoma"/>
      <w:sz w:val="16"/>
      <w:szCs w:val="16"/>
    </w:rPr>
  </w:style>
  <w:style w:type="character" w:styleId="a4">
    <w:name w:val="Hyperlink"/>
    <w:rsid w:val="00996106"/>
    <w:rPr>
      <w:color w:val="0000FF"/>
      <w:u w:val="single"/>
    </w:rPr>
  </w:style>
  <w:style w:type="paragraph" w:styleId="20">
    <w:name w:val="Body Text 2"/>
    <w:basedOn w:val="a"/>
    <w:rsid w:val="00996106"/>
    <w:pPr>
      <w:spacing w:line="480" w:lineRule="auto"/>
      <w:jc w:val="both"/>
    </w:pPr>
    <w:rPr>
      <w:szCs w:val="20"/>
    </w:rPr>
  </w:style>
  <w:style w:type="character" w:customStyle="1" w:styleId="ti2">
    <w:name w:val="ti2"/>
    <w:rsid w:val="00725B6A"/>
    <w:rPr>
      <w:sz w:val="22"/>
      <w:szCs w:val="22"/>
    </w:rPr>
  </w:style>
  <w:style w:type="character" w:customStyle="1" w:styleId="volume">
    <w:name w:val="volume"/>
    <w:basedOn w:val="a0"/>
    <w:rsid w:val="00585AC7"/>
  </w:style>
  <w:style w:type="character" w:customStyle="1" w:styleId="issue">
    <w:name w:val="issue"/>
    <w:basedOn w:val="a0"/>
    <w:rsid w:val="00585AC7"/>
  </w:style>
  <w:style w:type="character" w:customStyle="1" w:styleId="pages">
    <w:name w:val="pages"/>
    <w:basedOn w:val="a0"/>
    <w:rsid w:val="00585AC7"/>
  </w:style>
  <w:style w:type="paragraph" w:customStyle="1" w:styleId="title1">
    <w:name w:val="title1"/>
    <w:basedOn w:val="a"/>
    <w:rsid w:val="00705925"/>
    <w:rPr>
      <w:sz w:val="29"/>
      <w:szCs w:val="29"/>
    </w:rPr>
  </w:style>
  <w:style w:type="paragraph" w:customStyle="1" w:styleId="desc1">
    <w:name w:val="desc1"/>
    <w:basedOn w:val="a"/>
    <w:rsid w:val="00705925"/>
    <w:pPr>
      <w:spacing w:before="100" w:beforeAutospacing="1" w:after="100" w:afterAutospacing="1"/>
    </w:pPr>
    <w:rPr>
      <w:sz w:val="28"/>
      <w:szCs w:val="28"/>
    </w:rPr>
  </w:style>
  <w:style w:type="paragraph" w:customStyle="1" w:styleId="details1">
    <w:name w:val="details1"/>
    <w:basedOn w:val="a"/>
    <w:rsid w:val="00705925"/>
    <w:pPr>
      <w:spacing w:before="100" w:beforeAutospacing="1" w:after="100" w:afterAutospacing="1"/>
    </w:pPr>
  </w:style>
  <w:style w:type="character" w:customStyle="1" w:styleId="jrnl">
    <w:name w:val="jrnl"/>
    <w:basedOn w:val="a0"/>
    <w:rsid w:val="00705925"/>
  </w:style>
  <w:style w:type="paragraph" w:styleId="a5">
    <w:name w:val="Normal (Web)"/>
    <w:basedOn w:val="a"/>
    <w:uiPriority w:val="99"/>
    <w:unhideWhenUsed/>
    <w:rsid w:val="00001C66"/>
    <w:pPr>
      <w:spacing w:before="100" w:beforeAutospacing="1" w:after="100" w:afterAutospacing="1"/>
    </w:pPr>
  </w:style>
  <w:style w:type="paragraph" w:styleId="a6">
    <w:name w:val="header"/>
    <w:basedOn w:val="a"/>
    <w:link w:val="Char"/>
    <w:rsid w:val="00C15E0F"/>
    <w:pPr>
      <w:tabs>
        <w:tab w:val="center" w:pos="4320"/>
        <w:tab w:val="right" w:pos="8640"/>
      </w:tabs>
    </w:pPr>
  </w:style>
  <w:style w:type="character" w:customStyle="1" w:styleId="Char">
    <w:name w:val="页眉 Char"/>
    <w:link w:val="a6"/>
    <w:rsid w:val="00C15E0F"/>
    <w:rPr>
      <w:sz w:val="24"/>
      <w:szCs w:val="24"/>
    </w:rPr>
  </w:style>
  <w:style w:type="paragraph" w:styleId="a7">
    <w:name w:val="footer"/>
    <w:basedOn w:val="a"/>
    <w:link w:val="Char0"/>
    <w:uiPriority w:val="99"/>
    <w:rsid w:val="00B56633"/>
    <w:pPr>
      <w:tabs>
        <w:tab w:val="center" w:pos="4680"/>
        <w:tab w:val="right" w:pos="9360"/>
      </w:tabs>
    </w:pPr>
  </w:style>
  <w:style w:type="character" w:customStyle="1" w:styleId="Char0">
    <w:name w:val="页脚 Char"/>
    <w:link w:val="a7"/>
    <w:uiPriority w:val="99"/>
    <w:rsid w:val="00B56633"/>
    <w:rPr>
      <w:sz w:val="24"/>
      <w:szCs w:val="24"/>
      <w:lang w:eastAsia="en-US"/>
    </w:rPr>
  </w:style>
  <w:style w:type="character" w:customStyle="1" w:styleId="7Char">
    <w:name w:val="标题 7 Char"/>
    <w:link w:val="7"/>
    <w:semiHidden/>
    <w:rsid w:val="001D7473"/>
    <w:rPr>
      <w:rFonts w:ascii="Calibri" w:eastAsia="宋体" w:hAnsi="Calibri" w:cs="Times New Roman"/>
      <w:sz w:val="24"/>
      <w:szCs w:val="24"/>
      <w:lang w:eastAsia="en-US"/>
    </w:rPr>
  </w:style>
  <w:style w:type="table" w:styleId="a8">
    <w:name w:val="Table Grid"/>
    <w:basedOn w:val="a1"/>
    <w:uiPriority w:val="59"/>
    <w:rsid w:val="00F332F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0">
    <w:name w:val="Title1"/>
    <w:basedOn w:val="a"/>
    <w:rsid w:val="0032483F"/>
    <w:pPr>
      <w:spacing w:before="100" w:beforeAutospacing="1" w:after="100" w:afterAutospacing="1"/>
    </w:pPr>
    <w:rPr>
      <w:lang w:eastAsia="zh-CN"/>
    </w:rPr>
  </w:style>
  <w:style w:type="paragraph" w:customStyle="1" w:styleId="desc">
    <w:name w:val="desc"/>
    <w:basedOn w:val="a"/>
    <w:rsid w:val="0032483F"/>
    <w:pPr>
      <w:spacing w:before="100" w:beforeAutospacing="1" w:after="100" w:afterAutospacing="1"/>
    </w:pPr>
    <w:rPr>
      <w:lang w:eastAsia="zh-CN"/>
    </w:rPr>
  </w:style>
  <w:style w:type="paragraph" w:customStyle="1" w:styleId="details">
    <w:name w:val="details"/>
    <w:basedOn w:val="a"/>
    <w:rsid w:val="0032483F"/>
    <w:pPr>
      <w:spacing w:before="100" w:beforeAutospacing="1" w:after="100" w:afterAutospacing="1"/>
    </w:pPr>
    <w:rPr>
      <w:lang w:eastAsia="zh-CN"/>
    </w:rPr>
  </w:style>
  <w:style w:type="paragraph" w:customStyle="1" w:styleId="meta">
    <w:name w:val="meta"/>
    <w:basedOn w:val="a"/>
    <w:rsid w:val="00265375"/>
    <w:pPr>
      <w:spacing w:before="100" w:beforeAutospacing="1" w:after="100" w:afterAutospacing="1"/>
    </w:pPr>
    <w:rPr>
      <w:color w:val="999999"/>
      <w:sz w:val="13"/>
      <w:szCs w:val="13"/>
      <w:lang w:eastAsia="zh-CN"/>
    </w:rPr>
  </w:style>
  <w:style w:type="character" w:styleId="a9">
    <w:name w:val="Emphasis"/>
    <w:uiPriority w:val="20"/>
    <w:qFormat/>
    <w:rsid w:val="00265375"/>
    <w:rPr>
      <w:i/>
      <w:iCs/>
    </w:rPr>
  </w:style>
  <w:style w:type="character" w:styleId="aa">
    <w:name w:val="annotation reference"/>
    <w:uiPriority w:val="99"/>
    <w:rsid w:val="00C159DD"/>
    <w:rPr>
      <w:sz w:val="16"/>
      <w:szCs w:val="16"/>
    </w:rPr>
  </w:style>
  <w:style w:type="paragraph" w:styleId="ab">
    <w:name w:val="annotation text"/>
    <w:basedOn w:val="a"/>
    <w:link w:val="Char1"/>
    <w:uiPriority w:val="99"/>
    <w:rsid w:val="00C159DD"/>
    <w:rPr>
      <w:sz w:val="20"/>
      <w:szCs w:val="20"/>
    </w:rPr>
  </w:style>
  <w:style w:type="character" w:customStyle="1" w:styleId="Char1">
    <w:name w:val="批注文字 Char"/>
    <w:basedOn w:val="a0"/>
    <w:link w:val="ab"/>
    <w:uiPriority w:val="99"/>
    <w:rsid w:val="00C159DD"/>
  </w:style>
  <w:style w:type="paragraph" w:styleId="ac">
    <w:name w:val="annotation subject"/>
    <w:basedOn w:val="ab"/>
    <w:next w:val="ab"/>
    <w:link w:val="Char2"/>
    <w:rsid w:val="00C159DD"/>
    <w:rPr>
      <w:b/>
      <w:bCs/>
    </w:rPr>
  </w:style>
  <w:style w:type="character" w:customStyle="1" w:styleId="Char2">
    <w:name w:val="批注主题 Char"/>
    <w:link w:val="ac"/>
    <w:rsid w:val="00C159DD"/>
    <w:rPr>
      <w:b/>
      <w:bCs/>
    </w:rPr>
  </w:style>
  <w:style w:type="paragraph" w:customStyle="1" w:styleId="Mediumgitter1-markeringsfarve21">
    <w:name w:val="Medium gitter 1 - markeringsfarve  21"/>
    <w:basedOn w:val="a"/>
    <w:uiPriority w:val="34"/>
    <w:qFormat/>
    <w:rsid w:val="0088001C"/>
    <w:pPr>
      <w:ind w:left="720"/>
      <w:contextualSpacing/>
    </w:pPr>
  </w:style>
  <w:style w:type="character" w:customStyle="1" w:styleId="1Char">
    <w:name w:val="标题 1 Char"/>
    <w:link w:val="1"/>
    <w:rsid w:val="00020263"/>
    <w:rPr>
      <w:rFonts w:ascii="Cambria" w:eastAsia="宋体" w:hAnsi="Cambria" w:cs="Times New Roman"/>
      <w:b/>
      <w:bCs/>
      <w:kern w:val="32"/>
      <w:sz w:val="32"/>
      <w:szCs w:val="32"/>
      <w:lang w:eastAsia="en-US"/>
    </w:rPr>
  </w:style>
  <w:style w:type="character" w:customStyle="1" w:styleId="highlight">
    <w:name w:val="highlight"/>
    <w:basedOn w:val="a0"/>
    <w:rsid w:val="00020263"/>
  </w:style>
  <w:style w:type="paragraph" w:customStyle="1" w:styleId="Title2">
    <w:name w:val="Title2"/>
    <w:basedOn w:val="a"/>
    <w:rsid w:val="0069550D"/>
    <w:pPr>
      <w:spacing w:before="100" w:beforeAutospacing="1" w:after="100" w:afterAutospacing="1"/>
    </w:pPr>
    <w:rPr>
      <w:rFonts w:eastAsia="Times New Roman"/>
    </w:rPr>
  </w:style>
  <w:style w:type="character" w:customStyle="1" w:styleId="hvr">
    <w:name w:val="hvr"/>
    <w:basedOn w:val="a0"/>
    <w:rsid w:val="007A3E35"/>
  </w:style>
  <w:style w:type="paragraph" w:customStyle="1" w:styleId="desc2">
    <w:name w:val="desc2"/>
    <w:basedOn w:val="a"/>
    <w:rsid w:val="00C460A6"/>
    <w:rPr>
      <w:rFonts w:eastAsia="Times New Roman"/>
      <w:sz w:val="26"/>
      <w:szCs w:val="26"/>
      <w:lang w:eastAsia="zh-CN"/>
    </w:rPr>
  </w:style>
  <w:style w:type="character" w:customStyle="1" w:styleId="highlight2">
    <w:name w:val="highlight2"/>
    <w:basedOn w:val="a0"/>
    <w:rsid w:val="004B3DC1"/>
  </w:style>
  <w:style w:type="character" w:styleId="ad">
    <w:name w:val="Strong"/>
    <w:uiPriority w:val="22"/>
    <w:qFormat/>
    <w:rsid w:val="007E3F9D"/>
    <w:rPr>
      <w:b/>
      <w:bCs/>
    </w:rPr>
  </w:style>
  <w:style w:type="paragraph" w:customStyle="1" w:styleId="Default">
    <w:name w:val="Default"/>
    <w:rsid w:val="00DC772F"/>
    <w:pPr>
      <w:autoSpaceDE w:val="0"/>
      <w:autoSpaceDN w:val="0"/>
      <w:adjustRightInd w:val="0"/>
    </w:pPr>
    <w:rPr>
      <w:rFonts w:ascii="Minion Pro" w:hAnsi="Minion Pro" w:cs="Minion Pro"/>
      <w:color w:val="000000"/>
      <w:sz w:val="24"/>
      <w:szCs w:val="24"/>
      <w:lang w:val="en-US" w:eastAsia="zh-CN"/>
    </w:rPr>
  </w:style>
  <w:style w:type="paragraph" w:customStyle="1" w:styleId="yiv7754251296msonormal">
    <w:name w:val="yiv7754251296msonormal"/>
    <w:basedOn w:val="a"/>
    <w:rsid w:val="0013314B"/>
    <w:pPr>
      <w:spacing w:before="100" w:beforeAutospacing="1" w:after="100" w:afterAutospacing="1"/>
    </w:pPr>
    <w:rPr>
      <w:rFonts w:eastAsia="Times New Roman"/>
      <w:lang w:eastAsia="zh-CN"/>
    </w:rPr>
  </w:style>
  <w:style w:type="paragraph" w:customStyle="1" w:styleId="paratext">
    <w:name w:val="paratext"/>
    <w:basedOn w:val="a"/>
    <w:rsid w:val="00347C68"/>
    <w:pPr>
      <w:spacing w:before="100" w:beforeAutospacing="1" w:after="100" w:afterAutospacing="1"/>
    </w:pPr>
    <w:rPr>
      <w:rFonts w:eastAsia="Times New Roman"/>
      <w:color w:val="000000"/>
      <w:lang w:eastAsia="zh-CN"/>
    </w:rPr>
  </w:style>
  <w:style w:type="character" w:customStyle="1" w:styleId="A70">
    <w:name w:val="A7"/>
    <w:uiPriority w:val="99"/>
    <w:rsid w:val="00B37D01"/>
    <w:rPr>
      <w:rFonts w:cs="Minion Pro"/>
      <w:color w:val="000000"/>
      <w:sz w:val="11"/>
      <w:szCs w:val="11"/>
    </w:rPr>
  </w:style>
  <w:style w:type="character" w:customStyle="1" w:styleId="apple-converted-space">
    <w:name w:val="apple-converted-space"/>
    <w:rsid w:val="0045442A"/>
  </w:style>
  <w:style w:type="paragraph" w:styleId="ae">
    <w:name w:val="caption"/>
    <w:basedOn w:val="a"/>
    <w:next w:val="a"/>
    <w:qFormat/>
    <w:rsid w:val="00E87288"/>
    <w:rPr>
      <w:b/>
      <w:bCs/>
      <w:sz w:val="20"/>
      <w:szCs w:val="20"/>
    </w:rPr>
  </w:style>
  <w:style w:type="character" w:styleId="af">
    <w:name w:val="FollowedHyperlink"/>
    <w:rsid w:val="00CD7D0F"/>
    <w:rPr>
      <w:color w:val="800080"/>
      <w:u w:val="single"/>
    </w:rPr>
  </w:style>
  <w:style w:type="paragraph" w:customStyle="1" w:styleId="EndNoteBibliography">
    <w:name w:val="EndNote Bibliography"/>
    <w:basedOn w:val="a"/>
    <w:rsid w:val="00C97D8B"/>
    <w:pPr>
      <w:jc w:val="both"/>
    </w:pPr>
    <w:rPr>
      <w:rFonts w:eastAsia="MS Mincho"/>
      <w:lang w:val="it-IT" w:eastAsia="it-IT"/>
    </w:rPr>
  </w:style>
  <w:style w:type="paragraph" w:styleId="af0">
    <w:name w:val="List Paragraph"/>
    <w:basedOn w:val="a"/>
    <w:uiPriority w:val="34"/>
    <w:qFormat/>
    <w:rsid w:val="00206A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C71"/>
    <w:rPr>
      <w:sz w:val="24"/>
      <w:szCs w:val="24"/>
      <w:lang w:val="en-US" w:eastAsia="en-US"/>
    </w:rPr>
  </w:style>
  <w:style w:type="paragraph" w:styleId="1">
    <w:name w:val="heading 1"/>
    <w:basedOn w:val="a"/>
    <w:next w:val="a"/>
    <w:link w:val="1Char"/>
    <w:qFormat/>
    <w:rsid w:val="00020263"/>
    <w:pPr>
      <w:keepNext/>
      <w:spacing w:before="240" w:after="60"/>
      <w:outlineLvl w:val="0"/>
    </w:pPr>
    <w:rPr>
      <w:rFonts w:ascii="Cambria" w:hAnsi="Cambria"/>
      <w:b/>
      <w:bCs/>
      <w:kern w:val="32"/>
      <w:sz w:val="32"/>
      <w:szCs w:val="32"/>
    </w:rPr>
  </w:style>
  <w:style w:type="paragraph" w:styleId="2">
    <w:name w:val="heading 2"/>
    <w:basedOn w:val="a"/>
    <w:next w:val="a"/>
    <w:qFormat/>
    <w:rsid w:val="00996106"/>
    <w:pPr>
      <w:keepNext/>
      <w:jc w:val="center"/>
      <w:outlineLvl w:val="1"/>
    </w:pPr>
    <w:rPr>
      <w:b/>
      <w:sz w:val="28"/>
      <w:szCs w:val="20"/>
    </w:rPr>
  </w:style>
  <w:style w:type="paragraph" w:styleId="7">
    <w:name w:val="heading 7"/>
    <w:basedOn w:val="a"/>
    <w:next w:val="a"/>
    <w:link w:val="7Char"/>
    <w:qFormat/>
    <w:rsid w:val="001D7473"/>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C46A3"/>
    <w:rPr>
      <w:rFonts w:ascii="Tahoma" w:hAnsi="Tahoma" w:cs="Tahoma"/>
      <w:sz w:val="16"/>
      <w:szCs w:val="16"/>
    </w:rPr>
  </w:style>
  <w:style w:type="character" w:styleId="a4">
    <w:name w:val="Hyperlink"/>
    <w:rsid w:val="00996106"/>
    <w:rPr>
      <w:color w:val="0000FF"/>
      <w:u w:val="single"/>
    </w:rPr>
  </w:style>
  <w:style w:type="paragraph" w:styleId="20">
    <w:name w:val="Body Text 2"/>
    <w:basedOn w:val="a"/>
    <w:rsid w:val="00996106"/>
    <w:pPr>
      <w:spacing w:line="480" w:lineRule="auto"/>
      <w:jc w:val="both"/>
    </w:pPr>
    <w:rPr>
      <w:szCs w:val="20"/>
    </w:rPr>
  </w:style>
  <w:style w:type="character" w:customStyle="1" w:styleId="ti2">
    <w:name w:val="ti2"/>
    <w:rsid w:val="00725B6A"/>
    <w:rPr>
      <w:sz w:val="22"/>
      <w:szCs w:val="22"/>
    </w:rPr>
  </w:style>
  <w:style w:type="character" w:customStyle="1" w:styleId="volume">
    <w:name w:val="volume"/>
    <w:basedOn w:val="a0"/>
    <w:rsid w:val="00585AC7"/>
  </w:style>
  <w:style w:type="character" w:customStyle="1" w:styleId="issue">
    <w:name w:val="issue"/>
    <w:basedOn w:val="a0"/>
    <w:rsid w:val="00585AC7"/>
  </w:style>
  <w:style w:type="character" w:customStyle="1" w:styleId="pages">
    <w:name w:val="pages"/>
    <w:basedOn w:val="a0"/>
    <w:rsid w:val="00585AC7"/>
  </w:style>
  <w:style w:type="paragraph" w:customStyle="1" w:styleId="title1">
    <w:name w:val="title1"/>
    <w:basedOn w:val="a"/>
    <w:rsid w:val="00705925"/>
    <w:rPr>
      <w:sz w:val="29"/>
      <w:szCs w:val="29"/>
    </w:rPr>
  </w:style>
  <w:style w:type="paragraph" w:customStyle="1" w:styleId="desc1">
    <w:name w:val="desc1"/>
    <w:basedOn w:val="a"/>
    <w:rsid w:val="00705925"/>
    <w:pPr>
      <w:spacing w:before="100" w:beforeAutospacing="1" w:after="100" w:afterAutospacing="1"/>
    </w:pPr>
    <w:rPr>
      <w:sz w:val="28"/>
      <w:szCs w:val="28"/>
    </w:rPr>
  </w:style>
  <w:style w:type="paragraph" w:customStyle="1" w:styleId="details1">
    <w:name w:val="details1"/>
    <w:basedOn w:val="a"/>
    <w:rsid w:val="00705925"/>
    <w:pPr>
      <w:spacing w:before="100" w:beforeAutospacing="1" w:after="100" w:afterAutospacing="1"/>
    </w:pPr>
  </w:style>
  <w:style w:type="character" w:customStyle="1" w:styleId="jrnl">
    <w:name w:val="jrnl"/>
    <w:basedOn w:val="a0"/>
    <w:rsid w:val="00705925"/>
  </w:style>
  <w:style w:type="paragraph" w:styleId="a5">
    <w:name w:val="Normal (Web)"/>
    <w:basedOn w:val="a"/>
    <w:uiPriority w:val="99"/>
    <w:unhideWhenUsed/>
    <w:rsid w:val="00001C66"/>
    <w:pPr>
      <w:spacing w:before="100" w:beforeAutospacing="1" w:after="100" w:afterAutospacing="1"/>
    </w:pPr>
  </w:style>
  <w:style w:type="paragraph" w:styleId="a6">
    <w:name w:val="header"/>
    <w:basedOn w:val="a"/>
    <w:link w:val="Char"/>
    <w:rsid w:val="00C15E0F"/>
    <w:pPr>
      <w:tabs>
        <w:tab w:val="center" w:pos="4320"/>
        <w:tab w:val="right" w:pos="8640"/>
      </w:tabs>
    </w:pPr>
  </w:style>
  <w:style w:type="character" w:customStyle="1" w:styleId="Char">
    <w:name w:val="页眉 Char"/>
    <w:link w:val="a6"/>
    <w:rsid w:val="00C15E0F"/>
    <w:rPr>
      <w:sz w:val="24"/>
      <w:szCs w:val="24"/>
    </w:rPr>
  </w:style>
  <w:style w:type="paragraph" w:styleId="a7">
    <w:name w:val="footer"/>
    <w:basedOn w:val="a"/>
    <w:link w:val="Char0"/>
    <w:uiPriority w:val="99"/>
    <w:rsid w:val="00B56633"/>
    <w:pPr>
      <w:tabs>
        <w:tab w:val="center" w:pos="4680"/>
        <w:tab w:val="right" w:pos="9360"/>
      </w:tabs>
    </w:pPr>
  </w:style>
  <w:style w:type="character" w:customStyle="1" w:styleId="Char0">
    <w:name w:val="页脚 Char"/>
    <w:link w:val="a7"/>
    <w:uiPriority w:val="99"/>
    <w:rsid w:val="00B56633"/>
    <w:rPr>
      <w:sz w:val="24"/>
      <w:szCs w:val="24"/>
      <w:lang w:eastAsia="en-US"/>
    </w:rPr>
  </w:style>
  <w:style w:type="character" w:customStyle="1" w:styleId="7Char">
    <w:name w:val="标题 7 Char"/>
    <w:link w:val="7"/>
    <w:semiHidden/>
    <w:rsid w:val="001D7473"/>
    <w:rPr>
      <w:rFonts w:ascii="Calibri" w:eastAsia="宋体" w:hAnsi="Calibri" w:cs="Times New Roman"/>
      <w:sz w:val="24"/>
      <w:szCs w:val="24"/>
      <w:lang w:eastAsia="en-US"/>
    </w:rPr>
  </w:style>
  <w:style w:type="table" w:styleId="a8">
    <w:name w:val="Table Grid"/>
    <w:basedOn w:val="a1"/>
    <w:uiPriority w:val="59"/>
    <w:rsid w:val="00F332F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0">
    <w:name w:val="Title1"/>
    <w:basedOn w:val="a"/>
    <w:rsid w:val="0032483F"/>
    <w:pPr>
      <w:spacing w:before="100" w:beforeAutospacing="1" w:after="100" w:afterAutospacing="1"/>
    </w:pPr>
    <w:rPr>
      <w:lang w:eastAsia="zh-CN"/>
    </w:rPr>
  </w:style>
  <w:style w:type="paragraph" w:customStyle="1" w:styleId="desc">
    <w:name w:val="desc"/>
    <w:basedOn w:val="a"/>
    <w:rsid w:val="0032483F"/>
    <w:pPr>
      <w:spacing w:before="100" w:beforeAutospacing="1" w:after="100" w:afterAutospacing="1"/>
    </w:pPr>
    <w:rPr>
      <w:lang w:eastAsia="zh-CN"/>
    </w:rPr>
  </w:style>
  <w:style w:type="paragraph" w:customStyle="1" w:styleId="details">
    <w:name w:val="details"/>
    <w:basedOn w:val="a"/>
    <w:rsid w:val="0032483F"/>
    <w:pPr>
      <w:spacing w:before="100" w:beforeAutospacing="1" w:after="100" w:afterAutospacing="1"/>
    </w:pPr>
    <w:rPr>
      <w:lang w:eastAsia="zh-CN"/>
    </w:rPr>
  </w:style>
  <w:style w:type="paragraph" w:customStyle="1" w:styleId="meta">
    <w:name w:val="meta"/>
    <w:basedOn w:val="a"/>
    <w:rsid w:val="00265375"/>
    <w:pPr>
      <w:spacing w:before="100" w:beforeAutospacing="1" w:after="100" w:afterAutospacing="1"/>
    </w:pPr>
    <w:rPr>
      <w:color w:val="999999"/>
      <w:sz w:val="13"/>
      <w:szCs w:val="13"/>
      <w:lang w:eastAsia="zh-CN"/>
    </w:rPr>
  </w:style>
  <w:style w:type="character" w:styleId="a9">
    <w:name w:val="Emphasis"/>
    <w:uiPriority w:val="20"/>
    <w:qFormat/>
    <w:rsid w:val="00265375"/>
    <w:rPr>
      <w:i/>
      <w:iCs/>
    </w:rPr>
  </w:style>
  <w:style w:type="character" w:styleId="aa">
    <w:name w:val="annotation reference"/>
    <w:uiPriority w:val="99"/>
    <w:rsid w:val="00C159DD"/>
    <w:rPr>
      <w:sz w:val="16"/>
      <w:szCs w:val="16"/>
    </w:rPr>
  </w:style>
  <w:style w:type="paragraph" w:styleId="ab">
    <w:name w:val="annotation text"/>
    <w:basedOn w:val="a"/>
    <w:link w:val="Char1"/>
    <w:uiPriority w:val="99"/>
    <w:rsid w:val="00C159DD"/>
    <w:rPr>
      <w:sz w:val="20"/>
      <w:szCs w:val="20"/>
    </w:rPr>
  </w:style>
  <w:style w:type="character" w:customStyle="1" w:styleId="Char1">
    <w:name w:val="批注文字 Char"/>
    <w:basedOn w:val="a0"/>
    <w:link w:val="ab"/>
    <w:uiPriority w:val="99"/>
    <w:rsid w:val="00C159DD"/>
  </w:style>
  <w:style w:type="paragraph" w:styleId="ac">
    <w:name w:val="annotation subject"/>
    <w:basedOn w:val="ab"/>
    <w:next w:val="ab"/>
    <w:link w:val="Char2"/>
    <w:rsid w:val="00C159DD"/>
    <w:rPr>
      <w:b/>
      <w:bCs/>
    </w:rPr>
  </w:style>
  <w:style w:type="character" w:customStyle="1" w:styleId="Char2">
    <w:name w:val="批注主题 Char"/>
    <w:link w:val="ac"/>
    <w:rsid w:val="00C159DD"/>
    <w:rPr>
      <w:b/>
      <w:bCs/>
    </w:rPr>
  </w:style>
  <w:style w:type="paragraph" w:customStyle="1" w:styleId="Mediumgitter1-markeringsfarve21">
    <w:name w:val="Medium gitter 1 - markeringsfarve  21"/>
    <w:basedOn w:val="a"/>
    <w:uiPriority w:val="34"/>
    <w:qFormat/>
    <w:rsid w:val="0088001C"/>
    <w:pPr>
      <w:ind w:left="720"/>
      <w:contextualSpacing/>
    </w:pPr>
  </w:style>
  <w:style w:type="character" w:customStyle="1" w:styleId="1Char">
    <w:name w:val="标题 1 Char"/>
    <w:link w:val="1"/>
    <w:rsid w:val="00020263"/>
    <w:rPr>
      <w:rFonts w:ascii="Cambria" w:eastAsia="宋体" w:hAnsi="Cambria" w:cs="Times New Roman"/>
      <w:b/>
      <w:bCs/>
      <w:kern w:val="32"/>
      <w:sz w:val="32"/>
      <w:szCs w:val="32"/>
      <w:lang w:eastAsia="en-US"/>
    </w:rPr>
  </w:style>
  <w:style w:type="character" w:customStyle="1" w:styleId="highlight">
    <w:name w:val="highlight"/>
    <w:basedOn w:val="a0"/>
    <w:rsid w:val="00020263"/>
  </w:style>
  <w:style w:type="paragraph" w:customStyle="1" w:styleId="Title2">
    <w:name w:val="Title2"/>
    <w:basedOn w:val="a"/>
    <w:rsid w:val="0069550D"/>
    <w:pPr>
      <w:spacing w:before="100" w:beforeAutospacing="1" w:after="100" w:afterAutospacing="1"/>
    </w:pPr>
    <w:rPr>
      <w:rFonts w:eastAsia="Times New Roman"/>
    </w:rPr>
  </w:style>
  <w:style w:type="character" w:customStyle="1" w:styleId="hvr">
    <w:name w:val="hvr"/>
    <w:basedOn w:val="a0"/>
    <w:rsid w:val="007A3E35"/>
  </w:style>
  <w:style w:type="paragraph" w:customStyle="1" w:styleId="desc2">
    <w:name w:val="desc2"/>
    <w:basedOn w:val="a"/>
    <w:rsid w:val="00C460A6"/>
    <w:rPr>
      <w:rFonts w:eastAsia="Times New Roman"/>
      <w:sz w:val="26"/>
      <w:szCs w:val="26"/>
      <w:lang w:eastAsia="zh-CN"/>
    </w:rPr>
  </w:style>
  <w:style w:type="character" w:customStyle="1" w:styleId="highlight2">
    <w:name w:val="highlight2"/>
    <w:basedOn w:val="a0"/>
    <w:rsid w:val="004B3DC1"/>
  </w:style>
  <w:style w:type="character" w:styleId="ad">
    <w:name w:val="Strong"/>
    <w:uiPriority w:val="22"/>
    <w:qFormat/>
    <w:rsid w:val="007E3F9D"/>
    <w:rPr>
      <w:b/>
      <w:bCs/>
    </w:rPr>
  </w:style>
  <w:style w:type="paragraph" w:customStyle="1" w:styleId="Default">
    <w:name w:val="Default"/>
    <w:rsid w:val="00DC772F"/>
    <w:pPr>
      <w:autoSpaceDE w:val="0"/>
      <w:autoSpaceDN w:val="0"/>
      <w:adjustRightInd w:val="0"/>
    </w:pPr>
    <w:rPr>
      <w:rFonts w:ascii="Minion Pro" w:hAnsi="Minion Pro" w:cs="Minion Pro"/>
      <w:color w:val="000000"/>
      <w:sz w:val="24"/>
      <w:szCs w:val="24"/>
      <w:lang w:val="en-US" w:eastAsia="zh-CN"/>
    </w:rPr>
  </w:style>
  <w:style w:type="paragraph" w:customStyle="1" w:styleId="yiv7754251296msonormal">
    <w:name w:val="yiv7754251296msonormal"/>
    <w:basedOn w:val="a"/>
    <w:rsid w:val="0013314B"/>
    <w:pPr>
      <w:spacing w:before="100" w:beforeAutospacing="1" w:after="100" w:afterAutospacing="1"/>
    </w:pPr>
    <w:rPr>
      <w:rFonts w:eastAsia="Times New Roman"/>
      <w:lang w:eastAsia="zh-CN"/>
    </w:rPr>
  </w:style>
  <w:style w:type="paragraph" w:customStyle="1" w:styleId="paratext">
    <w:name w:val="paratext"/>
    <w:basedOn w:val="a"/>
    <w:rsid w:val="00347C68"/>
    <w:pPr>
      <w:spacing w:before="100" w:beforeAutospacing="1" w:after="100" w:afterAutospacing="1"/>
    </w:pPr>
    <w:rPr>
      <w:rFonts w:eastAsia="Times New Roman"/>
      <w:color w:val="000000"/>
      <w:lang w:eastAsia="zh-CN"/>
    </w:rPr>
  </w:style>
  <w:style w:type="character" w:customStyle="1" w:styleId="A70">
    <w:name w:val="A7"/>
    <w:uiPriority w:val="99"/>
    <w:rsid w:val="00B37D01"/>
    <w:rPr>
      <w:rFonts w:cs="Minion Pro"/>
      <w:color w:val="000000"/>
      <w:sz w:val="11"/>
      <w:szCs w:val="11"/>
    </w:rPr>
  </w:style>
  <w:style w:type="character" w:customStyle="1" w:styleId="apple-converted-space">
    <w:name w:val="apple-converted-space"/>
    <w:rsid w:val="0045442A"/>
  </w:style>
  <w:style w:type="paragraph" w:styleId="ae">
    <w:name w:val="caption"/>
    <w:basedOn w:val="a"/>
    <w:next w:val="a"/>
    <w:qFormat/>
    <w:rsid w:val="00E87288"/>
    <w:rPr>
      <w:b/>
      <w:bCs/>
      <w:sz w:val="20"/>
      <w:szCs w:val="20"/>
    </w:rPr>
  </w:style>
  <w:style w:type="character" w:styleId="af">
    <w:name w:val="FollowedHyperlink"/>
    <w:rsid w:val="00CD7D0F"/>
    <w:rPr>
      <w:color w:val="800080"/>
      <w:u w:val="single"/>
    </w:rPr>
  </w:style>
  <w:style w:type="paragraph" w:customStyle="1" w:styleId="EndNoteBibliography">
    <w:name w:val="EndNote Bibliography"/>
    <w:basedOn w:val="a"/>
    <w:rsid w:val="00C97D8B"/>
    <w:pPr>
      <w:jc w:val="both"/>
    </w:pPr>
    <w:rPr>
      <w:rFonts w:eastAsia="MS Mincho"/>
      <w:lang w:val="it-IT" w:eastAsia="it-IT"/>
    </w:rPr>
  </w:style>
  <w:style w:type="paragraph" w:styleId="af0">
    <w:name w:val="List Paragraph"/>
    <w:basedOn w:val="a"/>
    <w:uiPriority w:val="34"/>
    <w:qFormat/>
    <w:rsid w:val="00206A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0785">
      <w:bodyDiv w:val="1"/>
      <w:marLeft w:val="0"/>
      <w:marRight w:val="0"/>
      <w:marTop w:val="0"/>
      <w:marBottom w:val="0"/>
      <w:divBdr>
        <w:top w:val="none" w:sz="0" w:space="0" w:color="auto"/>
        <w:left w:val="none" w:sz="0" w:space="0" w:color="auto"/>
        <w:bottom w:val="none" w:sz="0" w:space="0" w:color="auto"/>
        <w:right w:val="none" w:sz="0" w:space="0" w:color="auto"/>
      </w:divBdr>
      <w:divsChild>
        <w:div w:id="1398164025">
          <w:marLeft w:val="0"/>
          <w:marRight w:val="0"/>
          <w:marTop w:val="0"/>
          <w:marBottom w:val="0"/>
          <w:divBdr>
            <w:top w:val="none" w:sz="0" w:space="0" w:color="auto"/>
            <w:left w:val="none" w:sz="0" w:space="0" w:color="auto"/>
            <w:bottom w:val="none" w:sz="0" w:space="0" w:color="auto"/>
            <w:right w:val="none" w:sz="0" w:space="0" w:color="auto"/>
          </w:divBdr>
          <w:divsChild>
            <w:div w:id="1438603332">
              <w:marLeft w:val="0"/>
              <w:marRight w:val="0"/>
              <w:marTop w:val="0"/>
              <w:marBottom w:val="0"/>
              <w:divBdr>
                <w:top w:val="none" w:sz="0" w:space="0" w:color="auto"/>
                <w:left w:val="none" w:sz="0" w:space="0" w:color="auto"/>
                <w:bottom w:val="none" w:sz="0" w:space="0" w:color="auto"/>
                <w:right w:val="none" w:sz="0" w:space="0" w:color="auto"/>
              </w:divBdr>
              <w:divsChild>
                <w:div w:id="847329650">
                  <w:marLeft w:val="0"/>
                  <w:marRight w:val="0"/>
                  <w:marTop w:val="0"/>
                  <w:marBottom w:val="0"/>
                  <w:divBdr>
                    <w:top w:val="none" w:sz="0" w:space="0" w:color="auto"/>
                    <w:left w:val="none" w:sz="0" w:space="0" w:color="auto"/>
                    <w:bottom w:val="none" w:sz="0" w:space="0" w:color="auto"/>
                    <w:right w:val="none" w:sz="0" w:space="0" w:color="auto"/>
                  </w:divBdr>
                  <w:divsChild>
                    <w:div w:id="1127428471">
                      <w:marLeft w:val="0"/>
                      <w:marRight w:val="0"/>
                      <w:marTop w:val="0"/>
                      <w:marBottom w:val="0"/>
                      <w:divBdr>
                        <w:top w:val="none" w:sz="0" w:space="0" w:color="auto"/>
                        <w:left w:val="none" w:sz="0" w:space="0" w:color="auto"/>
                        <w:bottom w:val="none" w:sz="0" w:space="0" w:color="auto"/>
                        <w:right w:val="none" w:sz="0" w:space="0" w:color="auto"/>
                      </w:divBdr>
                      <w:divsChild>
                        <w:div w:id="326514814">
                          <w:marLeft w:val="0"/>
                          <w:marRight w:val="0"/>
                          <w:marTop w:val="0"/>
                          <w:marBottom w:val="0"/>
                          <w:divBdr>
                            <w:top w:val="none" w:sz="0" w:space="0" w:color="auto"/>
                            <w:left w:val="none" w:sz="0" w:space="0" w:color="auto"/>
                            <w:bottom w:val="none" w:sz="0" w:space="0" w:color="auto"/>
                            <w:right w:val="none" w:sz="0" w:space="0" w:color="auto"/>
                          </w:divBdr>
                          <w:divsChild>
                            <w:div w:id="2113043432">
                              <w:marLeft w:val="0"/>
                              <w:marRight w:val="0"/>
                              <w:marTop w:val="0"/>
                              <w:marBottom w:val="0"/>
                              <w:divBdr>
                                <w:top w:val="none" w:sz="0" w:space="0" w:color="auto"/>
                                <w:left w:val="none" w:sz="0" w:space="0" w:color="auto"/>
                                <w:bottom w:val="none" w:sz="0" w:space="0" w:color="auto"/>
                                <w:right w:val="none" w:sz="0" w:space="0" w:color="auto"/>
                              </w:divBdr>
                              <w:divsChild>
                                <w:div w:id="2020156732">
                                  <w:marLeft w:val="0"/>
                                  <w:marRight w:val="0"/>
                                  <w:marTop w:val="0"/>
                                  <w:marBottom w:val="0"/>
                                  <w:divBdr>
                                    <w:top w:val="none" w:sz="0" w:space="0" w:color="auto"/>
                                    <w:left w:val="none" w:sz="0" w:space="0" w:color="auto"/>
                                    <w:bottom w:val="none" w:sz="0" w:space="0" w:color="auto"/>
                                    <w:right w:val="none" w:sz="0" w:space="0" w:color="auto"/>
                                  </w:divBdr>
                                  <w:divsChild>
                                    <w:div w:id="398020536">
                                      <w:marLeft w:val="0"/>
                                      <w:marRight w:val="0"/>
                                      <w:marTop w:val="0"/>
                                      <w:marBottom w:val="0"/>
                                      <w:divBdr>
                                        <w:top w:val="none" w:sz="0" w:space="0" w:color="auto"/>
                                        <w:left w:val="none" w:sz="0" w:space="0" w:color="auto"/>
                                        <w:bottom w:val="none" w:sz="0" w:space="0" w:color="auto"/>
                                        <w:right w:val="none" w:sz="0" w:space="0" w:color="auto"/>
                                      </w:divBdr>
                                      <w:divsChild>
                                        <w:div w:id="96234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27143">
      <w:bodyDiv w:val="1"/>
      <w:marLeft w:val="0"/>
      <w:marRight w:val="0"/>
      <w:marTop w:val="0"/>
      <w:marBottom w:val="0"/>
      <w:divBdr>
        <w:top w:val="none" w:sz="0" w:space="0" w:color="auto"/>
        <w:left w:val="none" w:sz="0" w:space="0" w:color="auto"/>
        <w:bottom w:val="none" w:sz="0" w:space="0" w:color="auto"/>
        <w:right w:val="none" w:sz="0" w:space="0" w:color="auto"/>
      </w:divBdr>
      <w:divsChild>
        <w:div w:id="1389379889">
          <w:marLeft w:val="0"/>
          <w:marRight w:val="0"/>
          <w:marTop w:val="0"/>
          <w:marBottom w:val="0"/>
          <w:divBdr>
            <w:top w:val="none" w:sz="0" w:space="0" w:color="auto"/>
            <w:left w:val="none" w:sz="0" w:space="0" w:color="auto"/>
            <w:bottom w:val="none" w:sz="0" w:space="0" w:color="auto"/>
            <w:right w:val="none" w:sz="0" w:space="0" w:color="auto"/>
          </w:divBdr>
          <w:divsChild>
            <w:div w:id="931936165">
              <w:marLeft w:val="0"/>
              <w:marRight w:val="0"/>
              <w:marTop w:val="0"/>
              <w:marBottom w:val="0"/>
              <w:divBdr>
                <w:top w:val="none" w:sz="0" w:space="0" w:color="auto"/>
                <w:left w:val="none" w:sz="0" w:space="0" w:color="auto"/>
                <w:bottom w:val="none" w:sz="0" w:space="0" w:color="auto"/>
                <w:right w:val="none" w:sz="0" w:space="0" w:color="auto"/>
              </w:divBdr>
              <w:divsChild>
                <w:div w:id="879048819">
                  <w:marLeft w:val="0"/>
                  <w:marRight w:val="0"/>
                  <w:marTop w:val="0"/>
                  <w:marBottom w:val="0"/>
                  <w:divBdr>
                    <w:top w:val="none" w:sz="0" w:space="0" w:color="auto"/>
                    <w:left w:val="none" w:sz="0" w:space="0" w:color="auto"/>
                    <w:bottom w:val="none" w:sz="0" w:space="0" w:color="auto"/>
                    <w:right w:val="none" w:sz="0" w:space="0" w:color="auto"/>
                  </w:divBdr>
                  <w:divsChild>
                    <w:div w:id="341860543">
                      <w:marLeft w:val="0"/>
                      <w:marRight w:val="0"/>
                      <w:marTop w:val="0"/>
                      <w:marBottom w:val="0"/>
                      <w:divBdr>
                        <w:top w:val="none" w:sz="0" w:space="0" w:color="auto"/>
                        <w:left w:val="none" w:sz="0" w:space="0" w:color="auto"/>
                        <w:bottom w:val="none" w:sz="0" w:space="0" w:color="auto"/>
                        <w:right w:val="none" w:sz="0" w:space="0" w:color="auto"/>
                      </w:divBdr>
                      <w:divsChild>
                        <w:div w:id="1487475280">
                          <w:marLeft w:val="0"/>
                          <w:marRight w:val="0"/>
                          <w:marTop w:val="0"/>
                          <w:marBottom w:val="0"/>
                          <w:divBdr>
                            <w:top w:val="none" w:sz="0" w:space="0" w:color="auto"/>
                            <w:left w:val="none" w:sz="0" w:space="0" w:color="auto"/>
                            <w:bottom w:val="none" w:sz="0" w:space="0" w:color="auto"/>
                            <w:right w:val="none" w:sz="0" w:space="0" w:color="auto"/>
                          </w:divBdr>
                          <w:divsChild>
                            <w:div w:id="809590469">
                              <w:marLeft w:val="0"/>
                              <w:marRight w:val="0"/>
                              <w:marTop w:val="0"/>
                              <w:marBottom w:val="0"/>
                              <w:divBdr>
                                <w:top w:val="none" w:sz="0" w:space="0" w:color="auto"/>
                                <w:left w:val="none" w:sz="0" w:space="0" w:color="auto"/>
                                <w:bottom w:val="none" w:sz="0" w:space="0" w:color="auto"/>
                                <w:right w:val="none" w:sz="0" w:space="0" w:color="auto"/>
                              </w:divBdr>
                              <w:divsChild>
                                <w:div w:id="537082565">
                                  <w:marLeft w:val="0"/>
                                  <w:marRight w:val="0"/>
                                  <w:marTop w:val="0"/>
                                  <w:marBottom w:val="0"/>
                                  <w:divBdr>
                                    <w:top w:val="none" w:sz="0" w:space="0" w:color="auto"/>
                                    <w:left w:val="none" w:sz="0" w:space="0" w:color="auto"/>
                                    <w:bottom w:val="none" w:sz="0" w:space="0" w:color="auto"/>
                                    <w:right w:val="none" w:sz="0" w:space="0" w:color="auto"/>
                                  </w:divBdr>
                                  <w:divsChild>
                                    <w:div w:id="319777717">
                                      <w:marLeft w:val="0"/>
                                      <w:marRight w:val="0"/>
                                      <w:marTop w:val="0"/>
                                      <w:marBottom w:val="0"/>
                                      <w:divBdr>
                                        <w:top w:val="none" w:sz="0" w:space="0" w:color="auto"/>
                                        <w:left w:val="none" w:sz="0" w:space="0" w:color="auto"/>
                                        <w:bottom w:val="none" w:sz="0" w:space="0" w:color="auto"/>
                                        <w:right w:val="none" w:sz="0" w:space="0" w:color="auto"/>
                                      </w:divBdr>
                                      <w:divsChild>
                                        <w:div w:id="205916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11396">
      <w:bodyDiv w:val="1"/>
      <w:marLeft w:val="0"/>
      <w:marRight w:val="0"/>
      <w:marTop w:val="0"/>
      <w:marBottom w:val="0"/>
      <w:divBdr>
        <w:top w:val="none" w:sz="0" w:space="0" w:color="auto"/>
        <w:left w:val="none" w:sz="0" w:space="0" w:color="auto"/>
        <w:bottom w:val="none" w:sz="0" w:space="0" w:color="auto"/>
        <w:right w:val="none" w:sz="0" w:space="0" w:color="auto"/>
      </w:divBdr>
      <w:divsChild>
        <w:div w:id="755975303">
          <w:marLeft w:val="0"/>
          <w:marRight w:val="0"/>
          <w:marTop w:val="0"/>
          <w:marBottom w:val="0"/>
          <w:divBdr>
            <w:top w:val="none" w:sz="0" w:space="0" w:color="auto"/>
            <w:left w:val="none" w:sz="0" w:space="0" w:color="auto"/>
            <w:bottom w:val="none" w:sz="0" w:space="0" w:color="auto"/>
            <w:right w:val="none" w:sz="0" w:space="0" w:color="auto"/>
          </w:divBdr>
          <w:divsChild>
            <w:div w:id="215167918">
              <w:marLeft w:val="0"/>
              <w:marRight w:val="0"/>
              <w:marTop w:val="0"/>
              <w:marBottom w:val="0"/>
              <w:divBdr>
                <w:top w:val="none" w:sz="0" w:space="0" w:color="auto"/>
                <w:left w:val="none" w:sz="0" w:space="0" w:color="auto"/>
                <w:bottom w:val="none" w:sz="0" w:space="0" w:color="auto"/>
                <w:right w:val="none" w:sz="0" w:space="0" w:color="auto"/>
              </w:divBdr>
              <w:divsChild>
                <w:div w:id="44911495">
                  <w:marLeft w:val="0"/>
                  <w:marRight w:val="0"/>
                  <w:marTop w:val="0"/>
                  <w:marBottom w:val="0"/>
                  <w:divBdr>
                    <w:top w:val="none" w:sz="0" w:space="0" w:color="auto"/>
                    <w:left w:val="none" w:sz="0" w:space="0" w:color="auto"/>
                    <w:bottom w:val="none" w:sz="0" w:space="0" w:color="auto"/>
                    <w:right w:val="none" w:sz="0" w:space="0" w:color="auto"/>
                  </w:divBdr>
                  <w:divsChild>
                    <w:div w:id="1192572415">
                      <w:marLeft w:val="0"/>
                      <w:marRight w:val="0"/>
                      <w:marTop w:val="0"/>
                      <w:marBottom w:val="0"/>
                      <w:divBdr>
                        <w:top w:val="none" w:sz="0" w:space="0" w:color="auto"/>
                        <w:left w:val="none" w:sz="0" w:space="0" w:color="auto"/>
                        <w:bottom w:val="none" w:sz="0" w:space="0" w:color="auto"/>
                        <w:right w:val="none" w:sz="0" w:space="0" w:color="auto"/>
                      </w:divBdr>
                      <w:divsChild>
                        <w:div w:id="2045667063">
                          <w:marLeft w:val="0"/>
                          <w:marRight w:val="0"/>
                          <w:marTop w:val="0"/>
                          <w:marBottom w:val="0"/>
                          <w:divBdr>
                            <w:top w:val="none" w:sz="0" w:space="0" w:color="auto"/>
                            <w:left w:val="none" w:sz="0" w:space="0" w:color="auto"/>
                            <w:bottom w:val="none" w:sz="0" w:space="0" w:color="auto"/>
                            <w:right w:val="none" w:sz="0" w:space="0" w:color="auto"/>
                          </w:divBdr>
                          <w:divsChild>
                            <w:div w:id="1959095920">
                              <w:marLeft w:val="0"/>
                              <w:marRight w:val="0"/>
                              <w:marTop w:val="0"/>
                              <w:marBottom w:val="0"/>
                              <w:divBdr>
                                <w:top w:val="none" w:sz="0" w:space="0" w:color="auto"/>
                                <w:left w:val="none" w:sz="0" w:space="0" w:color="auto"/>
                                <w:bottom w:val="none" w:sz="0" w:space="0" w:color="auto"/>
                                <w:right w:val="none" w:sz="0" w:space="0" w:color="auto"/>
                              </w:divBdr>
                              <w:divsChild>
                                <w:div w:id="1613705846">
                                  <w:marLeft w:val="0"/>
                                  <w:marRight w:val="0"/>
                                  <w:marTop w:val="0"/>
                                  <w:marBottom w:val="0"/>
                                  <w:divBdr>
                                    <w:top w:val="none" w:sz="0" w:space="0" w:color="auto"/>
                                    <w:left w:val="none" w:sz="0" w:space="0" w:color="auto"/>
                                    <w:bottom w:val="none" w:sz="0" w:space="0" w:color="auto"/>
                                    <w:right w:val="none" w:sz="0" w:space="0" w:color="auto"/>
                                  </w:divBdr>
                                  <w:divsChild>
                                    <w:div w:id="13771731">
                                      <w:marLeft w:val="0"/>
                                      <w:marRight w:val="0"/>
                                      <w:marTop w:val="0"/>
                                      <w:marBottom w:val="0"/>
                                      <w:divBdr>
                                        <w:top w:val="none" w:sz="0" w:space="0" w:color="auto"/>
                                        <w:left w:val="none" w:sz="0" w:space="0" w:color="auto"/>
                                        <w:bottom w:val="none" w:sz="0" w:space="0" w:color="auto"/>
                                        <w:right w:val="none" w:sz="0" w:space="0" w:color="auto"/>
                                      </w:divBdr>
                                      <w:divsChild>
                                        <w:div w:id="13718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432040">
      <w:bodyDiv w:val="1"/>
      <w:marLeft w:val="0"/>
      <w:marRight w:val="0"/>
      <w:marTop w:val="0"/>
      <w:marBottom w:val="0"/>
      <w:divBdr>
        <w:top w:val="none" w:sz="0" w:space="0" w:color="auto"/>
        <w:left w:val="none" w:sz="0" w:space="0" w:color="auto"/>
        <w:bottom w:val="none" w:sz="0" w:space="0" w:color="auto"/>
        <w:right w:val="none" w:sz="0" w:space="0" w:color="auto"/>
      </w:divBdr>
    </w:div>
    <w:div w:id="166748078">
      <w:bodyDiv w:val="1"/>
      <w:marLeft w:val="0"/>
      <w:marRight w:val="0"/>
      <w:marTop w:val="0"/>
      <w:marBottom w:val="0"/>
      <w:divBdr>
        <w:top w:val="none" w:sz="0" w:space="0" w:color="auto"/>
        <w:left w:val="none" w:sz="0" w:space="0" w:color="auto"/>
        <w:bottom w:val="none" w:sz="0" w:space="0" w:color="auto"/>
        <w:right w:val="none" w:sz="0" w:space="0" w:color="auto"/>
      </w:divBdr>
      <w:divsChild>
        <w:div w:id="1742024307">
          <w:marLeft w:val="0"/>
          <w:marRight w:val="0"/>
          <w:marTop w:val="0"/>
          <w:marBottom w:val="0"/>
          <w:divBdr>
            <w:top w:val="none" w:sz="0" w:space="0" w:color="auto"/>
            <w:left w:val="none" w:sz="0" w:space="0" w:color="auto"/>
            <w:bottom w:val="none" w:sz="0" w:space="0" w:color="auto"/>
            <w:right w:val="none" w:sz="0" w:space="0" w:color="auto"/>
          </w:divBdr>
          <w:divsChild>
            <w:div w:id="374355124">
              <w:marLeft w:val="0"/>
              <w:marRight w:val="0"/>
              <w:marTop w:val="0"/>
              <w:marBottom w:val="0"/>
              <w:divBdr>
                <w:top w:val="none" w:sz="0" w:space="0" w:color="auto"/>
                <w:left w:val="none" w:sz="0" w:space="0" w:color="auto"/>
                <w:bottom w:val="none" w:sz="0" w:space="0" w:color="auto"/>
                <w:right w:val="none" w:sz="0" w:space="0" w:color="auto"/>
              </w:divBdr>
              <w:divsChild>
                <w:div w:id="459227314">
                  <w:marLeft w:val="0"/>
                  <w:marRight w:val="-6084"/>
                  <w:marTop w:val="0"/>
                  <w:marBottom w:val="0"/>
                  <w:divBdr>
                    <w:top w:val="none" w:sz="0" w:space="0" w:color="auto"/>
                    <w:left w:val="none" w:sz="0" w:space="0" w:color="auto"/>
                    <w:bottom w:val="none" w:sz="0" w:space="0" w:color="auto"/>
                    <w:right w:val="none" w:sz="0" w:space="0" w:color="auto"/>
                  </w:divBdr>
                  <w:divsChild>
                    <w:div w:id="1407262973">
                      <w:marLeft w:val="0"/>
                      <w:marRight w:val="5604"/>
                      <w:marTop w:val="0"/>
                      <w:marBottom w:val="0"/>
                      <w:divBdr>
                        <w:top w:val="none" w:sz="0" w:space="0" w:color="auto"/>
                        <w:left w:val="none" w:sz="0" w:space="0" w:color="auto"/>
                        <w:bottom w:val="none" w:sz="0" w:space="0" w:color="auto"/>
                        <w:right w:val="none" w:sz="0" w:space="0" w:color="auto"/>
                      </w:divBdr>
                      <w:divsChild>
                        <w:div w:id="849612289">
                          <w:marLeft w:val="0"/>
                          <w:marRight w:val="0"/>
                          <w:marTop w:val="0"/>
                          <w:marBottom w:val="0"/>
                          <w:divBdr>
                            <w:top w:val="none" w:sz="0" w:space="0" w:color="auto"/>
                            <w:left w:val="none" w:sz="0" w:space="0" w:color="auto"/>
                            <w:bottom w:val="none" w:sz="0" w:space="0" w:color="auto"/>
                            <w:right w:val="none" w:sz="0" w:space="0" w:color="auto"/>
                          </w:divBdr>
                          <w:divsChild>
                            <w:div w:id="517428905">
                              <w:marLeft w:val="0"/>
                              <w:marRight w:val="0"/>
                              <w:marTop w:val="120"/>
                              <w:marBottom w:val="360"/>
                              <w:divBdr>
                                <w:top w:val="none" w:sz="0" w:space="0" w:color="auto"/>
                                <w:left w:val="none" w:sz="0" w:space="0" w:color="auto"/>
                                <w:bottom w:val="none" w:sz="0" w:space="0" w:color="auto"/>
                                <w:right w:val="none" w:sz="0" w:space="0" w:color="auto"/>
                              </w:divBdr>
                              <w:divsChild>
                                <w:div w:id="461508346">
                                  <w:marLeft w:val="336"/>
                                  <w:marRight w:val="0"/>
                                  <w:marTop w:val="0"/>
                                  <w:marBottom w:val="0"/>
                                  <w:divBdr>
                                    <w:top w:val="none" w:sz="0" w:space="0" w:color="auto"/>
                                    <w:left w:val="none" w:sz="0" w:space="0" w:color="auto"/>
                                    <w:bottom w:val="none" w:sz="0" w:space="0" w:color="auto"/>
                                    <w:right w:val="none" w:sz="0" w:space="0" w:color="auto"/>
                                  </w:divBdr>
                                  <w:divsChild>
                                    <w:div w:id="143598146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658748">
      <w:bodyDiv w:val="1"/>
      <w:marLeft w:val="0"/>
      <w:marRight w:val="0"/>
      <w:marTop w:val="0"/>
      <w:marBottom w:val="0"/>
      <w:divBdr>
        <w:top w:val="none" w:sz="0" w:space="0" w:color="auto"/>
        <w:left w:val="none" w:sz="0" w:space="0" w:color="auto"/>
        <w:bottom w:val="none" w:sz="0" w:space="0" w:color="auto"/>
        <w:right w:val="none" w:sz="0" w:space="0" w:color="auto"/>
      </w:divBdr>
      <w:divsChild>
        <w:div w:id="280653645">
          <w:marLeft w:val="0"/>
          <w:marRight w:val="0"/>
          <w:marTop w:val="0"/>
          <w:marBottom w:val="0"/>
          <w:divBdr>
            <w:top w:val="none" w:sz="0" w:space="0" w:color="auto"/>
            <w:left w:val="none" w:sz="0" w:space="0" w:color="auto"/>
            <w:bottom w:val="none" w:sz="0" w:space="0" w:color="auto"/>
            <w:right w:val="none" w:sz="0" w:space="0" w:color="auto"/>
          </w:divBdr>
          <w:divsChild>
            <w:div w:id="1925141440">
              <w:marLeft w:val="0"/>
              <w:marRight w:val="0"/>
              <w:marTop w:val="240"/>
              <w:marBottom w:val="0"/>
              <w:divBdr>
                <w:top w:val="none" w:sz="0" w:space="0" w:color="auto"/>
                <w:left w:val="none" w:sz="0" w:space="0" w:color="auto"/>
                <w:bottom w:val="none" w:sz="0" w:space="0" w:color="auto"/>
                <w:right w:val="none" w:sz="0" w:space="0" w:color="auto"/>
              </w:divBdr>
              <w:divsChild>
                <w:div w:id="1351487102">
                  <w:marLeft w:val="120"/>
                  <w:marRight w:val="120"/>
                  <w:marTop w:val="0"/>
                  <w:marBottom w:val="0"/>
                  <w:divBdr>
                    <w:top w:val="none" w:sz="0" w:space="0" w:color="auto"/>
                    <w:left w:val="none" w:sz="0" w:space="0" w:color="auto"/>
                    <w:bottom w:val="none" w:sz="0" w:space="0" w:color="auto"/>
                    <w:right w:val="none" w:sz="0" w:space="0" w:color="auto"/>
                  </w:divBdr>
                  <w:divsChild>
                    <w:div w:id="605773552">
                      <w:marLeft w:val="0"/>
                      <w:marRight w:val="0"/>
                      <w:marTop w:val="0"/>
                      <w:marBottom w:val="168"/>
                      <w:divBdr>
                        <w:top w:val="single" w:sz="4" w:space="0" w:color="E6E6E6"/>
                        <w:left w:val="single" w:sz="4" w:space="0" w:color="E6E6E6"/>
                        <w:bottom w:val="single" w:sz="4" w:space="0" w:color="E6E6E6"/>
                        <w:right w:val="single" w:sz="4" w:space="0" w:color="E6E6E6"/>
                      </w:divBdr>
                    </w:div>
                  </w:divsChild>
                </w:div>
              </w:divsChild>
            </w:div>
          </w:divsChild>
        </w:div>
      </w:divsChild>
    </w:div>
    <w:div w:id="256911743">
      <w:bodyDiv w:val="1"/>
      <w:marLeft w:val="0"/>
      <w:marRight w:val="0"/>
      <w:marTop w:val="0"/>
      <w:marBottom w:val="0"/>
      <w:divBdr>
        <w:top w:val="none" w:sz="0" w:space="0" w:color="auto"/>
        <w:left w:val="none" w:sz="0" w:space="0" w:color="auto"/>
        <w:bottom w:val="none" w:sz="0" w:space="0" w:color="auto"/>
        <w:right w:val="none" w:sz="0" w:space="0" w:color="auto"/>
      </w:divBdr>
      <w:divsChild>
        <w:div w:id="868025775">
          <w:marLeft w:val="0"/>
          <w:marRight w:val="0"/>
          <w:marTop w:val="0"/>
          <w:marBottom w:val="0"/>
          <w:divBdr>
            <w:top w:val="none" w:sz="0" w:space="0" w:color="auto"/>
            <w:left w:val="none" w:sz="0" w:space="0" w:color="auto"/>
            <w:bottom w:val="none" w:sz="0" w:space="0" w:color="auto"/>
            <w:right w:val="none" w:sz="0" w:space="0" w:color="auto"/>
          </w:divBdr>
          <w:divsChild>
            <w:div w:id="289434216">
              <w:marLeft w:val="0"/>
              <w:marRight w:val="0"/>
              <w:marTop w:val="0"/>
              <w:marBottom w:val="0"/>
              <w:divBdr>
                <w:top w:val="none" w:sz="0" w:space="0" w:color="auto"/>
                <w:left w:val="none" w:sz="0" w:space="0" w:color="auto"/>
                <w:bottom w:val="none" w:sz="0" w:space="0" w:color="auto"/>
                <w:right w:val="none" w:sz="0" w:space="0" w:color="auto"/>
              </w:divBdr>
              <w:divsChild>
                <w:div w:id="496116542">
                  <w:marLeft w:val="0"/>
                  <w:marRight w:val="0"/>
                  <w:marTop w:val="0"/>
                  <w:marBottom w:val="0"/>
                  <w:divBdr>
                    <w:top w:val="none" w:sz="0" w:space="0" w:color="auto"/>
                    <w:left w:val="none" w:sz="0" w:space="0" w:color="auto"/>
                    <w:bottom w:val="none" w:sz="0" w:space="0" w:color="auto"/>
                    <w:right w:val="none" w:sz="0" w:space="0" w:color="auto"/>
                  </w:divBdr>
                  <w:divsChild>
                    <w:div w:id="1975987928">
                      <w:marLeft w:val="0"/>
                      <w:marRight w:val="0"/>
                      <w:marTop w:val="0"/>
                      <w:marBottom w:val="0"/>
                      <w:divBdr>
                        <w:top w:val="none" w:sz="0" w:space="0" w:color="auto"/>
                        <w:left w:val="none" w:sz="0" w:space="0" w:color="auto"/>
                        <w:bottom w:val="none" w:sz="0" w:space="0" w:color="auto"/>
                        <w:right w:val="none" w:sz="0" w:space="0" w:color="auto"/>
                      </w:divBdr>
                      <w:divsChild>
                        <w:div w:id="888304471">
                          <w:marLeft w:val="0"/>
                          <w:marRight w:val="0"/>
                          <w:marTop w:val="0"/>
                          <w:marBottom w:val="0"/>
                          <w:divBdr>
                            <w:top w:val="none" w:sz="0" w:space="0" w:color="auto"/>
                            <w:left w:val="none" w:sz="0" w:space="0" w:color="auto"/>
                            <w:bottom w:val="none" w:sz="0" w:space="0" w:color="auto"/>
                            <w:right w:val="none" w:sz="0" w:space="0" w:color="auto"/>
                          </w:divBdr>
                          <w:divsChild>
                            <w:div w:id="1170483181">
                              <w:marLeft w:val="0"/>
                              <w:marRight w:val="0"/>
                              <w:marTop w:val="0"/>
                              <w:marBottom w:val="0"/>
                              <w:divBdr>
                                <w:top w:val="none" w:sz="0" w:space="0" w:color="auto"/>
                                <w:left w:val="none" w:sz="0" w:space="0" w:color="auto"/>
                                <w:bottom w:val="none" w:sz="0" w:space="0" w:color="auto"/>
                                <w:right w:val="none" w:sz="0" w:space="0" w:color="auto"/>
                              </w:divBdr>
                              <w:divsChild>
                                <w:div w:id="1285119528">
                                  <w:marLeft w:val="0"/>
                                  <w:marRight w:val="0"/>
                                  <w:marTop w:val="0"/>
                                  <w:marBottom w:val="0"/>
                                  <w:divBdr>
                                    <w:top w:val="none" w:sz="0" w:space="0" w:color="auto"/>
                                    <w:left w:val="none" w:sz="0" w:space="0" w:color="auto"/>
                                    <w:bottom w:val="none" w:sz="0" w:space="0" w:color="auto"/>
                                    <w:right w:val="none" w:sz="0" w:space="0" w:color="auto"/>
                                  </w:divBdr>
                                  <w:divsChild>
                                    <w:div w:id="1040711932">
                                      <w:marLeft w:val="0"/>
                                      <w:marRight w:val="0"/>
                                      <w:marTop w:val="0"/>
                                      <w:marBottom w:val="0"/>
                                      <w:divBdr>
                                        <w:top w:val="none" w:sz="0" w:space="0" w:color="auto"/>
                                        <w:left w:val="none" w:sz="0" w:space="0" w:color="auto"/>
                                        <w:bottom w:val="none" w:sz="0" w:space="0" w:color="auto"/>
                                        <w:right w:val="none" w:sz="0" w:space="0" w:color="auto"/>
                                      </w:divBdr>
                                      <w:divsChild>
                                        <w:div w:id="1882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7369876">
      <w:bodyDiv w:val="1"/>
      <w:marLeft w:val="0"/>
      <w:marRight w:val="0"/>
      <w:marTop w:val="0"/>
      <w:marBottom w:val="0"/>
      <w:divBdr>
        <w:top w:val="none" w:sz="0" w:space="0" w:color="auto"/>
        <w:left w:val="none" w:sz="0" w:space="0" w:color="auto"/>
        <w:bottom w:val="none" w:sz="0" w:space="0" w:color="auto"/>
        <w:right w:val="none" w:sz="0" w:space="0" w:color="auto"/>
      </w:divBdr>
    </w:div>
    <w:div w:id="271592341">
      <w:bodyDiv w:val="1"/>
      <w:marLeft w:val="0"/>
      <w:marRight w:val="0"/>
      <w:marTop w:val="0"/>
      <w:marBottom w:val="0"/>
      <w:divBdr>
        <w:top w:val="none" w:sz="0" w:space="0" w:color="auto"/>
        <w:left w:val="none" w:sz="0" w:space="0" w:color="auto"/>
        <w:bottom w:val="none" w:sz="0" w:space="0" w:color="auto"/>
        <w:right w:val="none" w:sz="0" w:space="0" w:color="auto"/>
      </w:divBdr>
      <w:divsChild>
        <w:div w:id="320080701">
          <w:marLeft w:val="0"/>
          <w:marRight w:val="0"/>
          <w:marTop w:val="0"/>
          <w:marBottom w:val="0"/>
          <w:divBdr>
            <w:top w:val="none" w:sz="0" w:space="0" w:color="auto"/>
            <w:left w:val="none" w:sz="0" w:space="0" w:color="auto"/>
            <w:bottom w:val="none" w:sz="0" w:space="0" w:color="auto"/>
            <w:right w:val="none" w:sz="0" w:space="0" w:color="auto"/>
          </w:divBdr>
        </w:div>
      </w:divsChild>
    </w:div>
    <w:div w:id="308485676">
      <w:bodyDiv w:val="1"/>
      <w:marLeft w:val="0"/>
      <w:marRight w:val="0"/>
      <w:marTop w:val="0"/>
      <w:marBottom w:val="0"/>
      <w:divBdr>
        <w:top w:val="none" w:sz="0" w:space="0" w:color="auto"/>
        <w:left w:val="none" w:sz="0" w:space="0" w:color="auto"/>
        <w:bottom w:val="none" w:sz="0" w:space="0" w:color="auto"/>
        <w:right w:val="none" w:sz="0" w:space="0" w:color="auto"/>
      </w:divBdr>
      <w:divsChild>
        <w:div w:id="1891964366">
          <w:marLeft w:val="0"/>
          <w:marRight w:val="0"/>
          <w:marTop w:val="0"/>
          <w:marBottom w:val="0"/>
          <w:divBdr>
            <w:top w:val="none" w:sz="0" w:space="0" w:color="auto"/>
            <w:left w:val="none" w:sz="0" w:space="0" w:color="auto"/>
            <w:bottom w:val="none" w:sz="0" w:space="0" w:color="auto"/>
            <w:right w:val="none" w:sz="0" w:space="0" w:color="auto"/>
          </w:divBdr>
          <w:divsChild>
            <w:div w:id="875846385">
              <w:marLeft w:val="0"/>
              <w:marRight w:val="0"/>
              <w:marTop w:val="0"/>
              <w:marBottom w:val="0"/>
              <w:divBdr>
                <w:top w:val="none" w:sz="0" w:space="0" w:color="auto"/>
                <w:left w:val="none" w:sz="0" w:space="0" w:color="auto"/>
                <w:bottom w:val="none" w:sz="0" w:space="0" w:color="auto"/>
                <w:right w:val="none" w:sz="0" w:space="0" w:color="auto"/>
              </w:divBdr>
              <w:divsChild>
                <w:div w:id="611787816">
                  <w:marLeft w:val="0"/>
                  <w:marRight w:val="0"/>
                  <w:marTop w:val="0"/>
                  <w:marBottom w:val="0"/>
                  <w:divBdr>
                    <w:top w:val="none" w:sz="0" w:space="0" w:color="auto"/>
                    <w:left w:val="none" w:sz="0" w:space="0" w:color="auto"/>
                    <w:bottom w:val="none" w:sz="0" w:space="0" w:color="auto"/>
                    <w:right w:val="none" w:sz="0" w:space="0" w:color="auto"/>
                  </w:divBdr>
                  <w:divsChild>
                    <w:div w:id="372194773">
                      <w:marLeft w:val="0"/>
                      <w:marRight w:val="0"/>
                      <w:marTop w:val="0"/>
                      <w:marBottom w:val="0"/>
                      <w:divBdr>
                        <w:top w:val="none" w:sz="0" w:space="0" w:color="auto"/>
                        <w:left w:val="none" w:sz="0" w:space="0" w:color="auto"/>
                        <w:bottom w:val="none" w:sz="0" w:space="0" w:color="auto"/>
                        <w:right w:val="none" w:sz="0" w:space="0" w:color="auto"/>
                      </w:divBdr>
                      <w:divsChild>
                        <w:div w:id="626087492">
                          <w:marLeft w:val="0"/>
                          <w:marRight w:val="0"/>
                          <w:marTop w:val="0"/>
                          <w:marBottom w:val="0"/>
                          <w:divBdr>
                            <w:top w:val="none" w:sz="0" w:space="0" w:color="auto"/>
                            <w:left w:val="none" w:sz="0" w:space="0" w:color="auto"/>
                            <w:bottom w:val="none" w:sz="0" w:space="0" w:color="auto"/>
                            <w:right w:val="none" w:sz="0" w:space="0" w:color="auto"/>
                          </w:divBdr>
                          <w:divsChild>
                            <w:div w:id="1822190720">
                              <w:marLeft w:val="0"/>
                              <w:marRight w:val="0"/>
                              <w:marTop w:val="0"/>
                              <w:marBottom w:val="0"/>
                              <w:divBdr>
                                <w:top w:val="none" w:sz="0" w:space="0" w:color="auto"/>
                                <w:left w:val="none" w:sz="0" w:space="0" w:color="auto"/>
                                <w:bottom w:val="none" w:sz="0" w:space="0" w:color="auto"/>
                                <w:right w:val="none" w:sz="0" w:space="0" w:color="auto"/>
                              </w:divBdr>
                              <w:divsChild>
                                <w:div w:id="972709437">
                                  <w:marLeft w:val="0"/>
                                  <w:marRight w:val="0"/>
                                  <w:marTop w:val="0"/>
                                  <w:marBottom w:val="0"/>
                                  <w:divBdr>
                                    <w:top w:val="none" w:sz="0" w:space="0" w:color="auto"/>
                                    <w:left w:val="none" w:sz="0" w:space="0" w:color="auto"/>
                                    <w:bottom w:val="none" w:sz="0" w:space="0" w:color="auto"/>
                                    <w:right w:val="none" w:sz="0" w:space="0" w:color="auto"/>
                                  </w:divBdr>
                                  <w:divsChild>
                                    <w:div w:id="1107190769">
                                      <w:marLeft w:val="0"/>
                                      <w:marRight w:val="0"/>
                                      <w:marTop w:val="0"/>
                                      <w:marBottom w:val="0"/>
                                      <w:divBdr>
                                        <w:top w:val="none" w:sz="0" w:space="0" w:color="auto"/>
                                        <w:left w:val="none" w:sz="0" w:space="0" w:color="auto"/>
                                        <w:bottom w:val="none" w:sz="0" w:space="0" w:color="auto"/>
                                        <w:right w:val="none" w:sz="0" w:space="0" w:color="auto"/>
                                      </w:divBdr>
                                      <w:divsChild>
                                        <w:div w:id="13576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695772">
      <w:bodyDiv w:val="1"/>
      <w:marLeft w:val="0"/>
      <w:marRight w:val="0"/>
      <w:marTop w:val="0"/>
      <w:marBottom w:val="0"/>
      <w:divBdr>
        <w:top w:val="none" w:sz="0" w:space="0" w:color="auto"/>
        <w:left w:val="none" w:sz="0" w:space="0" w:color="auto"/>
        <w:bottom w:val="none" w:sz="0" w:space="0" w:color="auto"/>
        <w:right w:val="none" w:sz="0" w:space="0" w:color="auto"/>
      </w:divBdr>
      <w:divsChild>
        <w:div w:id="670529298">
          <w:marLeft w:val="0"/>
          <w:marRight w:val="0"/>
          <w:marTop w:val="0"/>
          <w:marBottom w:val="0"/>
          <w:divBdr>
            <w:top w:val="none" w:sz="0" w:space="0" w:color="auto"/>
            <w:left w:val="none" w:sz="0" w:space="0" w:color="auto"/>
            <w:bottom w:val="none" w:sz="0" w:space="0" w:color="auto"/>
            <w:right w:val="none" w:sz="0" w:space="0" w:color="auto"/>
          </w:divBdr>
          <w:divsChild>
            <w:div w:id="1156648715">
              <w:marLeft w:val="0"/>
              <w:marRight w:val="0"/>
              <w:marTop w:val="0"/>
              <w:marBottom w:val="0"/>
              <w:divBdr>
                <w:top w:val="none" w:sz="0" w:space="0" w:color="auto"/>
                <w:left w:val="none" w:sz="0" w:space="0" w:color="auto"/>
                <w:bottom w:val="none" w:sz="0" w:space="0" w:color="auto"/>
                <w:right w:val="none" w:sz="0" w:space="0" w:color="auto"/>
              </w:divBdr>
              <w:divsChild>
                <w:div w:id="1267426006">
                  <w:marLeft w:val="0"/>
                  <w:marRight w:val="-6084"/>
                  <w:marTop w:val="0"/>
                  <w:marBottom w:val="0"/>
                  <w:divBdr>
                    <w:top w:val="none" w:sz="0" w:space="0" w:color="auto"/>
                    <w:left w:val="none" w:sz="0" w:space="0" w:color="auto"/>
                    <w:bottom w:val="none" w:sz="0" w:space="0" w:color="auto"/>
                    <w:right w:val="none" w:sz="0" w:space="0" w:color="auto"/>
                  </w:divBdr>
                  <w:divsChild>
                    <w:div w:id="685789605">
                      <w:marLeft w:val="0"/>
                      <w:marRight w:val="5604"/>
                      <w:marTop w:val="0"/>
                      <w:marBottom w:val="0"/>
                      <w:divBdr>
                        <w:top w:val="none" w:sz="0" w:space="0" w:color="auto"/>
                        <w:left w:val="none" w:sz="0" w:space="0" w:color="auto"/>
                        <w:bottom w:val="none" w:sz="0" w:space="0" w:color="auto"/>
                        <w:right w:val="none" w:sz="0" w:space="0" w:color="auto"/>
                      </w:divBdr>
                      <w:divsChild>
                        <w:div w:id="1667241666">
                          <w:marLeft w:val="0"/>
                          <w:marRight w:val="0"/>
                          <w:marTop w:val="0"/>
                          <w:marBottom w:val="0"/>
                          <w:divBdr>
                            <w:top w:val="none" w:sz="0" w:space="0" w:color="auto"/>
                            <w:left w:val="none" w:sz="0" w:space="0" w:color="auto"/>
                            <w:bottom w:val="none" w:sz="0" w:space="0" w:color="auto"/>
                            <w:right w:val="none" w:sz="0" w:space="0" w:color="auto"/>
                          </w:divBdr>
                          <w:divsChild>
                            <w:div w:id="351691916">
                              <w:marLeft w:val="0"/>
                              <w:marRight w:val="0"/>
                              <w:marTop w:val="120"/>
                              <w:marBottom w:val="360"/>
                              <w:divBdr>
                                <w:top w:val="none" w:sz="0" w:space="0" w:color="auto"/>
                                <w:left w:val="none" w:sz="0" w:space="0" w:color="auto"/>
                                <w:bottom w:val="none" w:sz="0" w:space="0" w:color="auto"/>
                                <w:right w:val="none" w:sz="0" w:space="0" w:color="auto"/>
                              </w:divBdr>
                              <w:divsChild>
                                <w:div w:id="15317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100696">
      <w:bodyDiv w:val="1"/>
      <w:marLeft w:val="0"/>
      <w:marRight w:val="0"/>
      <w:marTop w:val="0"/>
      <w:marBottom w:val="0"/>
      <w:divBdr>
        <w:top w:val="none" w:sz="0" w:space="0" w:color="auto"/>
        <w:left w:val="none" w:sz="0" w:space="0" w:color="auto"/>
        <w:bottom w:val="none" w:sz="0" w:space="0" w:color="auto"/>
        <w:right w:val="none" w:sz="0" w:space="0" w:color="auto"/>
      </w:divBdr>
      <w:divsChild>
        <w:div w:id="52778985">
          <w:marLeft w:val="0"/>
          <w:marRight w:val="0"/>
          <w:marTop w:val="0"/>
          <w:marBottom w:val="0"/>
          <w:divBdr>
            <w:top w:val="none" w:sz="0" w:space="0" w:color="auto"/>
            <w:left w:val="none" w:sz="0" w:space="0" w:color="auto"/>
            <w:bottom w:val="none" w:sz="0" w:space="0" w:color="auto"/>
            <w:right w:val="none" w:sz="0" w:space="0" w:color="auto"/>
          </w:divBdr>
          <w:divsChild>
            <w:div w:id="1311135733">
              <w:marLeft w:val="0"/>
              <w:marRight w:val="0"/>
              <w:marTop w:val="0"/>
              <w:marBottom w:val="0"/>
              <w:divBdr>
                <w:top w:val="none" w:sz="0" w:space="0" w:color="auto"/>
                <w:left w:val="none" w:sz="0" w:space="0" w:color="auto"/>
                <w:bottom w:val="none" w:sz="0" w:space="0" w:color="auto"/>
                <w:right w:val="none" w:sz="0" w:space="0" w:color="auto"/>
              </w:divBdr>
              <w:divsChild>
                <w:div w:id="571038568">
                  <w:marLeft w:val="0"/>
                  <w:marRight w:val="0"/>
                  <w:marTop w:val="0"/>
                  <w:marBottom w:val="0"/>
                  <w:divBdr>
                    <w:top w:val="none" w:sz="0" w:space="0" w:color="auto"/>
                    <w:left w:val="none" w:sz="0" w:space="0" w:color="auto"/>
                    <w:bottom w:val="none" w:sz="0" w:space="0" w:color="auto"/>
                    <w:right w:val="none" w:sz="0" w:space="0" w:color="auto"/>
                  </w:divBdr>
                  <w:divsChild>
                    <w:div w:id="1153259223">
                      <w:marLeft w:val="0"/>
                      <w:marRight w:val="0"/>
                      <w:marTop w:val="0"/>
                      <w:marBottom w:val="0"/>
                      <w:divBdr>
                        <w:top w:val="none" w:sz="0" w:space="0" w:color="auto"/>
                        <w:left w:val="none" w:sz="0" w:space="0" w:color="auto"/>
                        <w:bottom w:val="none" w:sz="0" w:space="0" w:color="auto"/>
                        <w:right w:val="none" w:sz="0" w:space="0" w:color="auto"/>
                      </w:divBdr>
                      <w:divsChild>
                        <w:div w:id="593169184">
                          <w:marLeft w:val="0"/>
                          <w:marRight w:val="0"/>
                          <w:marTop w:val="0"/>
                          <w:marBottom w:val="0"/>
                          <w:divBdr>
                            <w:top w:val="none" w:sz="0" w:space="0" w:color="auto"/>
                            <w:left w:val="none" w:sz="0" w:space="0" w:color="auto"/>
                            <w:bottom w:val="none" w:sz="0" w:space="0" w:color="auto"/>
                            <w:right w:val="none" w:sz="0" w:space="0" w:color="auto"/>
                          </w:divBdr>
                          <w:divsChild>
                            <w:div w:id="185289871">
                              <w:marLeft w:val="0"/>
                              <w:marRight w:val="0"/>
                              <w:marTop w:val="0"/>
                              <w:marBottom w:val="0"/>
                              <w:divBdr>
                                <w:top w:val="none" w:sz="0" w:space="0" w:color="auto"/>
                                <w:left w:val="none" w:sz="0" w:space="0" w:color="auto"/>
                                <w:bottom w:val="none" w:sz="0" w:space="0" w:color="auto"/>
                                <w:right w:val="none" w:sz="0" w:space="0" w:color="auto"/>
                              </w:divBdr>
                              <w:divsChild>
                                <w:div w:id="1475948928">
                                  <w:marLeft w:val="0"/>
                                  <w:marRight w:val="0"/>
                                  <w:marTop w:val="0"/>
                                  <w:marBottom w:val="0"/>
                                  <w:divBdr>
                                    <w:top w:val="none" w:sz="0" w:space="0" w:color="auto"/>
                                    <w:left w:val="none" w:sz="0" w:space="0" w:color="auto"/>
                                    <w:bottom w:val="none" w:sz="0" w:space="0" w:color="auto"/>
                                    <w:right w:val="none" w:sz="0" w:space="0" w:color="auto"/>
                                  </w:divBdr>
                                  <w:divsChild>
                                    <w:div w:id="1531338427">
                                      <w:marLeft w:val="0"/>
                                      <w:marRight w:val="0"/>
                                      <w:marTop w:val="0"/>
                                      <w:marBottom w:val="0"/>
                                      <w:divBdr>
                                        <w:top w:val="none" w:sz="0" w:space="0" w:color="auto"/>
                                        <w:left w:val="none" w:sz="0" w:space="0" w:color="auto"/>
                                        <w:bottom w:val="none" w:sz="0" w:space="0" w:color="auto"/>
                                        <w:right w:val="none" w:sz="0" w:space="0" w:color="auto"/>
                                      </w:divBdr>
                                      <w:divsChild>
                                        <w:div w:id="18151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634230">
      <w:bodyDiv w:val="1"/>
      <w:marLeft w:val="0"/>
      <w:marRight w:val="0"/>
      <w:marTop w:val="0"/>
      <w:marBottom w:val="0"/>
      <w:divBdr>
        <w:top w:val="none" w:sz="0" w:space="0" w:color="auto"/>
        <w:left w:val="none" w:sz="0" w:space="0" w:color="auto"/>
        <w:bottom w:val="none" w:sz="0" w:space="0" w:color="auto"/>
        <w:right w:val="none" w:sz="0" w:space="0" w:color="auto"/>
      </w:divBdr>
      <w:divsChild>
        <w:div w:id="1168398590">
          <w:marLeft w:val="0"/>
          <w:marRight w:val="0"/>
          <w:marTop w:val="0"/>
          <w:marBottom w:val="0"/>
          <w:divBdr>
            <w:top w:val="none" w:sz="0" w:space="0" w:color="auto"/>
            <w:left w:val="none" w:sz="0" w:space="0" w:color="auto"/>
            <w:bottom w:val="none" w:sz="0" w:space="0" w:color="auto"/>
            <w:right w:val="none" w:sz="0" w:space="0" w:color="auto"/>
          </w:divBdr>
          <w:divsChild>
            <w:div w:id="1590893351">
              <w:marLeft w:val="0"/>
              <w:marRight w:val="0"/>
              <w:marTop w:val="0"/>
              <w:marBottom w:val="0"/>
              <w:divBdr>
                <w:top w:val="none" w:sz="0" w:space="0" w:color="auto"/>
                <w:left w:val="none" w:sz="0" w:space="0" w:color="auto"/>
                <w:bottom w:val="none" w:sz="0" w:space="0" w:color="auto"/>
                <w:right w:val="none" w:sz="0" w:space="0" w:color="auto"/>
              </w:divBdr>
              <w:divsChild>
                <w:div w:id="242683701">
                  <w:marLeft w:val="0"/>
                  <w:marRight w:val="0"/>
                  <w:marTop w:val="0"/>
                  <w:marBottom w:val="0"/>
                  <w:divBdr>
                    <w:top w:val="none" w:sz="0" w:space="0" w:color="auto"/>
                    <w:left w:val="none" w:sz="0" w:space="0" w:color="auto"/>
                    <w:bottom w:val="none" w:sz="0" w:space="0" w:color="auto"/>
                    <w:right w:val="none" w:sz="0" w:space="0" w:color="auto"/>
                  </w:divBdr>
                  <w:divsChild>
                    <w:div w:id="1480999938">
                      <w:marLeft w:val="0"/>
                      <w:marRight w:val="0"/>
                      <w:marTop w:val="0"/>
                      <w:marBottom w:val="0"/>
                      <w:divBdr>
                        <w:top w:val="none" w:sz="0" w:space="0" w:color="auto"/>
                        <w:left w:val="none" w:sz="0" w:space="0" w:color="auto"/>
                        <w:bottom w:val="none" w:sz="0" w:space="0" w:color="auto"/>
                        <w:right w:val="none" w:sz="0" w:space="0" w:color="auto"/>
                      </w:divBdr>
                      <w:divsChild>
                        <w:div w:id="130562815">
                          <w:marLeft w:val="0"/>
                          <w:marRight w:val="0"/>
                          <w:marTop w:val="0"/>
                          <w:marBottom w:val="0"/>
                          <w:divBdr>
                            <w:top w:val="none" w:sz="0" w:space="0" w:color="auto"/>
                            <w:left w:val="none" w:sz="0" w:space="0" w:color="auto"/>
                            <w:bottom w:val="none" w:sz="0" w:space="0" w:color="auto"/>
                            <w:right w:val="none" w:sz="0" w:space="0" w:color="auto"/>
                          </w:divBdr>
                          <w:divsChild>
                            <w:div w:id="554393156">
                              <w:marLeft w:val="0"/>
                              <w:marRight w:val="0"/>
                              <w:marTop w:val="0"/>
                              <w:marBottom w:val="0"/>
                              <w:divBdr>
                                <w:top w:val="none" w:sz="0" w:space="0" w:color="auto"/>
                                <w:left w:val="none" w:sz="0" w:space="0" w:color="auto"/>
                                <w:bottom w:val="none" w:sz="0" w:space="0" w:color="auto"/>
                                <w:right w:val="none" w:sz="0" w:space="0" w:color="auto"/>
                              </w:divBdr>
                              <w:divsChild>
                                <w:div w:id="1307122003">
                                  <w:marLeft w:val="0"/>
                                  <w:marRight w:val="0"/>
                                  <w:marTop w:val="0"/>
                                  <w:marBottom w:val="0"/>
                                  <w:divBdr>
                                    <w:top w:val="none" w:sz="0" w:space="0" w:color="auto"/>
                                    <w:left w:val="none" w:sz="0" w:space="0" w:color="auto"/>
                                    <w:bottom w:val="none" w:sz="0" w:space="0" w:color="auto"/>
                                    <w:right w:val="none" w:sz="0" w:space="0" w:color="auto"/>
                                  </w:divBdr>
                                  <w:divsChild>
                                    <w:div w:id="1832675748">
                                      <w:marLeft w:val="3405"/>
                                      <w:marRight w:val="3000"/>
                                      <w:marTop w:val="0"/>
                                      <w:marBottom w:val="0"/>
                                      <w:divBdr>
                                        <w:top w:val="single" w:sz="6" w:space="0" w:color="C9C9C9"/>
                                        <w:left w:val="single" w:sz="6" w:space="0" w:color="C9C9C9"/>
                                        <w:bottom w:val="single" w:sz="6" w:space="0" w:color="C9C9C9"/>
                                        <w:right w:val="single" w:sz="6" w:space="0" w:color="C9C9C9"/>
                                      </w:divBdr>
                                      <w:divsChild>
                                        <w:div w:id="404226771">
                                          <w:marLeft w:val="0"/>
                                          <w:marRight w:val="0"/>
                                          <w:marTop w:val="0"/>
                                          <w:marBottom w:val="0"/>
                                          <w:divBdr>
                                            <w:top w:val="none" w:sz="0" w:space="0" w:color="auto"/>
                                            <w:left w:val="none" w:sz="0" w:space="0" w:color="auto"/>
                                            <w:bottom w:val="none" w:sz="0" w:space="0" w:color="auto"/>
                                            <w:right w:val="none" w:sz="0" w:space="0" w:color="auto"/>
                                          </w:divBdr>
                                          <w:divsChild>
                                            <w:div w:id="182205768">
                                              <w:marLeft w:val="0"/>
                                              <w:marRight w:val="0"/>
                                              <w:marTop w:val="0"/>
                                              <w:marBottom w:val="0"/>
                                              <w:divBdr>
                                                <w:top w:val="none" w:sz="0" w:space="0" w:color="auto"/>
                                                <w:left w:val="none" w:sz="0" w:space="0" w:color="auto"/>
                                                <w:bottom w:val="none" w:sz="0" w:space="0" w:color="auto"/>
                                                <w:right w:val="none" w:sz="0" w:space="0" w:color="auto"/>
                                              </w:divBdr>
                                              <w:divsChild>
                                                <w:div w:id="1180196147">
                                                  <w:marLeft w:val="0"/>
                                                  <w:marRight w:val="0"/>
                                                  <w:marTop w:val="0"/>
                                                  <w:marBottom w:val="0"/>
                                                  <w:divBdr>
                                                    <w:top w:val="none" w:sz="0" w:space="0" w:color="auto"/>
                                                    <w:left w:val="none" w:sz="0" w:space="0" w:color="auto"/>
                                                    <w:bottom w:val="none" w:sz="0" w:space="0" w:color="auto"/>
                                                    <w:right w:val="none" w:sz="0" w:space="0" w:color="auto"/>
                                                  </w:divBdr>
                                                  <w:divsChild>
                                                    <w:div w:id="378748394">
                                                      <w:marLeft w:val="0"/>
                                                      <w:marRight w:val="0"/>
                                                      <w:marTop w:val="0"/>
                                                      <w:marBottom w:val="0"/>
                                                      <w:divBdr>
                                                        <w:top w:val="none" w:sz="0" w:space="0" w:color="auto"/>
                                                        <w:left w:val="none" w:sz="0" w:space="0" w:color="auto"/>
                                                        <w:bottom w:val="none" w:sz="0" w:space="0" w:color="auto"/>
                                                        <w:right w:val="none" w:sz="0" w:space="0" w:color="auto"/>
                                                      </w:divBdr>
                                                      <w:divsChild>
                                                        <w:div w:id="2096125061">
                                                          <w:marLeft w:val="0"/>
                                                          <w:marRight w:val="0"/>
                                                          <w:marTop w:val="0"/>
                                                          <w:marBottom w:val="0"/>
                                                          <w:divBdr>
                                                            <w:top w:val="none" w:sz="0" w:space="0" w:color="auto"/>
                                                            <w:left w:val="none" w:sz="0" w:space="0" w:color="auto"/>
                                                            <w:bottom w:val="none" w:sz="0" w:space="0" w:color="auto"/>
                                                            <w:right w:val="none" w:sz="0" w:space="0" w:color="auto"/>
                                                          </w:divBdr>
                                                          <w:divsChild>
                                                            <w:div w:id="169638764">
                                                              <w:marLeft w:val="0"/>
                                                              <w:marRight w:val="0"/>
                                                              <w:marTop w:val="0"/>
                                                              <w:marBottom w:val="0"/>
                                                              <w:divBdr>
                                                                <w:top w:val="none" w:sz="0" w:space="0" w:color="auto"/>
                                                                <w:left w:val="none" w:sz="0" w:space="0" w:color="auto"/>
                                                                <w:bottom w:val="none" w:sz="0" w:space="0" w:color="auto"/>
                                                                <w:right w:val="none" w:sz="0" w:space="0" w:color="auto"/>
                                                              </w:divBdr>
                                                              <w:divsChild>
                                                                <w:div w:id="1468158735">
                                                                  <w:marLeft w:val="0"/>
                                                                  <w:marRight w:val="0"/>
                                                                  <w:marTop w:val="0"/>
                                                                  <w:marBottom w:val="0"/>
                                                                  <w:divBdr>
                                                                    <w:top w:val="none" w:sz="0" w:space="0" w:color="auto"/>
                                                                    <w:left w:val="none" w:sz="0" w:space="0" w:color="auto"/>
                                                                    <w:bottom w:val="none" w:sz="0" w:space="0" w:color="auto"/>
                                                                    <w:right w:val="none" w:sz="0" w:space="0" w:color="auto"/>
                                                                  </w:divBdr>
                                                                  <w:divsChild>
                                                                    <w:div w:id="904754507">
                                                                      <w:marLeft w:val="0"/>
                                                                      <w:marRight w:val="0"/>
                                                                      <w:marTop w:val="0"/>
                                                                      <w:marBottom w:val="0"/>
                                                                      <w:divBdr>
                                                                        <w:top w:val="none" w:sz="0" w:space="0" w:color="auto"/>
                                                                        <w:left w:val="none" w:sz="0" w:space="0" w:color="auto"/>
                                                                        <w:bottom w:val="none" w:sz="0" w:space="0" w:color="auto"/>
                                                                        <w:right w:val="none" w:sz="0" w:space="0" w:color="auto"/>
                                                                      </w:divBdr>
                                                                      <w:divsChild>
                                                                        <w:div w:id="1369603082">
                                                                          <w:marLeft w:val="0"/>
                                                                          <w:marRight w:val="0"/>
                                                                          <w:marTop w:val="0"/>
                                                                          <w:marBottom w:val="0"/>
                                                                          <w:divBdr>
                                                                            <w:top w:val="none" w:sz="0" w:space="0" w:color="auto"/>
                                                                            <w:left w:val="none" w:sz="0" w:space="0" w:color="auto"/>
                                                                            <w:bottom w:val="none" w:sz="0" w:space="0" w:color="auto"/>
                                                                            <w:right w:val="none" w:sz="0" w:space="0" w:color="auto"/>
                                                                          </w:divBdr>
                                                                          <w:divsChild>
                                                                            <w:div w:id="20911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768252">
      <w:bodyDiv w:val="1"/>
      <w:marLeft w:val="0"/>
      <w:marRight w:val="0"/>
      <w:marTop w:val="0"/>
      <w:marBottom w:val="0"/>
      <w:divBdr>
        <w:top w:val="none" w:sz="0" w:space="0" w:color="auto"/>
        <w:left w:val="none" w:sz="0" w:space="0" w:color="auto"/>
        <w:bottom w:val="none" w:sz="0" w:space="0" w:color="auto"/>
        <w:right w:val="none" w:sz="0" w:space="0" w:color="auto"/>
      </w:divBdr>
      <w:divsChild>
        <w:div w:id="1945502971">
          <w:marLeft w:val="0"/>
          <w:marRight w:val="0"/>
          <w:marTop w:val="0"/>
          <w:marBottom w:val="0"/>
          <w:divBdr>
            <w:top w:val="none" w:sz="0" w:space="0" w:color="auto"/>
            <w:left w:val="none" w:sz="0" w:space="0" w:color="auto"/>
            <w:bottom w:val="none" w:sz="0" w:space="0" w:color="auto"/>
            <w:right w:val="none" w:sz="0" w:space="0" w:color="auto"/>
          </w:divBdr>
          <w:divsChild>
            <w:div w:id="189344270">
              <w:marLeft w:val="0"/>
              <w:marRight w:val="0"/>
              <w:marTop w:val="0"/>
              <w:marBottom w:val="0"/>
              <w:divBdr>
                <w:top w:val="none" w:sz="0" w:space="0" w:color="auto"/>
                <w:left w:val="none" w:sz="0" w:space="0" w:color="auto"/>
                <w:bottom w:val="none" w:sz="0" w:space="0" w:color="auto"/>
                <w:right w:val="none" w:sz="0" w:space="0" w:color="auto"/>
              </w:divBdr>
              <w:divsChild>
                <w:div w:id="1811441274">
                  <w:marLeft w:val="0"/>
                  <w:marRight w:val="-6084"/>
                  <w:marTop w:val="0"/>
                  <w:marBottom w:val="0"/>
                  <w:divBdr>
                    <w:top w:val="none" w:sz="0" w:space="0" w:color="auto"/>
                    <w:left w:val="none" w:sz="0" w:space="0" w:color="auto"/>
                    <w:bottom w:val="none" w:sz="0" w:space="0" w:color="auto"/>
                    <w:right w:val="none" w:sz="0" w:space="0" w:color="auto"/>
                  </w:divBdr>
                  <w:divsChild>
                    <w:div w:id="680858685">
                      <w:marLeft w:val="0"/>
                      <w:marRight w:val="5604"/>
                      <w:marTop w:val="0"/>
                      <w:marBottom w:val="0"/>
                      <w:divBdr>
                        <w:top w:val="none" w:sz="0" w:space="0" w:color="auto"/>
                        <w:left w:val="none" w:sz="0" w:space="0" w:color="auto"/>
                        <w:bottom w:val="none" w:sz="0" w:space="0" w:color="auto"/>
                        <w:right w:val="none" w:sz="0" w:space="0" w:color="auto"/>
                      </w:divBdr>
                      <w:divsChild>
                        <w:div w:id="169222337">
                          <w:marLeft w:val="0"/>
                          <w:marRight w:val="0"/>
                          <w:marTop w:val="0"/>
                          <w:marBottom w:val="0"/>
                          <w:divBdr>
                            <w:top w:val="none" w:sz="0" w:space="0" w:color="auto"/>
                            <w:left w:val="none" w:sz="0" w:space="0" w:color="auto"/>
                            <w:bottom w:val="none" w:sz="0" w:space="0" w:color="auto"/>
                            <w:right w:val="none" w:sz="0" w:space="0" w:color="auto"/>
                          </w:divBdr>
                          <w:divsChild>
                            <w:div w:id="1479568765">
                              <w:marLeft w:val="0"/>
                              <w:marRight w:val="0"/>
                              <w:marTop w:val="120"/>
                              <w:marBottom w:val="360"/>
                              <w:divBdr>
                                <w:top w:val="none" w:sz="0" w:space="0" w:color="auto"/>
                                <w:left w:val="none" w:sz="0" w:space="0" w:color="auto"/>
                                <w:bottom w:val="none" w:sz="0" w:space="0" w:color="auto"/>
                                <w:right w:val="none" w:sz="0" w:space="0" w:color="auto"/>
                              </w:divBdr>
                              <w:divsChild>
                                <w:div w:id="4773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883783">
      <w:bodyDiv w:val="1"/>
      <w:marLeft w:val="0"/>
      <w:marRight w:val="0"/>
      <w:marTop w:val="0"/>
      <w:marBottom w:val="0"/>
      <w:divBdr>
        <w:top w:val="none" w:sz="0" w:space="0" w:color="auto"/>
        <w:left w:val="none" w:sz="0" w:space="0" w:color="auto"/>
        <w:bottom w:val="none" w:sz="0" w:space="0" w:color="auto"/>
        <w:right w:val="none" w:sz="0" w:space="0" w:color="auto"/>
      </w:divBdr>
      <w:divsChild>
        <w:div w:id="766461894">
          <w:marLeft w:val="0"/>
          <w:marRight w:val="1"/>
          <w:marTop w:val="0"/>
          <w:marBottom w:val="0"/>
          <w:divBdr>
            <w:top w:val="none" w:sz="0" w:space="0" w:color="auto"/>
            <w:left w:val="none" w:sz="0" w:space="0" w:color="auto"/>
            <w:bottom w:val="none" w:sz="0" w:space="0" w:color="auto"/>
            <w:right w:val="none" w:sz="0" w:space="0" w:color="auto"/>
          </w:divBdr>
          <w:divsChild>
            <w:div w:id="327825817">
              <w:marLeft w:val="0"/>
              <w:marRight w:val="0"/>
              <w:marTop w:val="0"/>
              <w:marBottom w:val="0"/>
              <w:divBdr>
                <w:top w:val="none" w:sz="0" w:space="0" w:color="auto"/>
                <w:left w:val="none" w:sz="0" w:space="0" w:color="auto"/>
                <w:bottom w:val="none" w:sz="0" w:space="0" w:color="auto"/>
                <w:right w:val="none" w:sz="0" w:space="0" w:color="auto"/>
              </w:divBdr>
              <w:divsChild>
                <w:div w:id="1437362901">
                  <w:marLeft w:val="0"/>
                  <w:marRight w:val="1"/>
                  <w:marTop w:val="0"/>
                  <w:marBottom w:val="0"/>
                  <w:divBdr>
                    <w:top w:val="none" w:sz="0" w:space="0" w:color="auto"/>
                    <w:left w:val="none" w:sz="0" w:space="0" w:color="auto"/>
                    <w:bottom w:val="none" w:sz="0" w:space="0" w:color="auto"/>
                    <w:right w:val="none" w:sz="0" w:space="0" w:color="auto"/>
                  </w:divBdr>
                  <w:divsChild>
                    <w:div w:id="1069840428">
                      <w:marLeft w:val="0"/>
                      <w:marRight w:val="0"/>
                      <w:marTop w:val="0"/>
                      <w:marBottom w:val="0"/>
                      <w:divBdr>
                        <w:top w:val="none" w:sz="0" w:space="0" w:color="auto"/>
                        <w:left w:val="none" w:sz="0" w:space="0" w:color="auto"/>
                        <w:bottom w:val="none" w:sz="0" w:space="0" w:color="auto"/>
                        <w:right w:val="none" w:sz="0" w:space="0" w:color="auto"/>
                      </w:divBdr>
                      <w:divsChild>
                        <w:div w:id="1710917">
                          <w:marLeft w:val="0"/>
                          <w:marRight w:val="0"/>
                          <w:marTop w:val="0"/>
                          <w:marBottom w:val="0"/>
                          <w:divBdr>
                            <w:top w:val="none" w:sz="0" w:space="0" w:color="auto"/>
                            <w:left w:val="none" w:sz="0" w:space="0" w:color="auto"/>
                            <w:bottom w:val="none" w:sz="0" w:space="0" w:color="auto"/>
                            <w:right w:val="none" w:sz="0" w:space="0" w:color="auto"/>
                          </w:divBdr>
                          <w:divsChild>
                            <w:div w:id="1687095123">
                              <w:marLeft w:val="0"/>
                              <w:marRight w:val="0"/>
                              <w:marTop w:val="120"/>
                              <w:marBottom w:val="360"/>
                              <w:divBdr>
                                <w:top w:val="none" w:sz="0" w:space="0" w:color="auto"/>
                                <w:left w:val="none" w:sz="0" w:space="0" w:color="auto"/>
                                <w:bottom w:val="none" w:sz="0" w:space="0" w:color="auto"/>
                                <w:right w:val="none" w:sz="0" w:space="0" w:color="auto"/>
                              </w:divBdr>
                              <w:divsChild>
                                <w:div w:id="1103915835">
                                  <w:marLeft w:val="420"/>
                                  <w:marRight w:val="0"/>
                                  <w:marTop w:val="0"/>
                                  <w:marBottom w:val="0"/>
                                  <w:divBdr>
                                    <w:top w:val="none" w:sz="0" w:space="0" w:color="auto"/>
                                    <w:left w:val="none" w:sz="0" w:space="0" w:color="auto"/>
                                    <w:bottom w:val="none" w:sz="0" w:space="0" w:color="auto"/>
                                    <w:right w:val="none" w:sz="0" w:space="0" w:color="auto"/>
                                  </w:divBdr>
                                  <w:divsChild>
                                    <w:div w:id="151075675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871746">
      <w:bodyDiv w:val="1"/>
      <w:marLeft w:val="0"/>
      <w:marRight w:val="0"/>
      <w:marTop w:val="0"/>
      <w:marBottom w:val="0"/>
      <w:divBdr>
        <w:top w:val="none" w:sz="0" w:space="0" w:color="auto"/>
        <w:left w:val="none" w:sz="0" w:space="0" w:color="auto"/>
        <w:bottom w:val="none" w:sz="0" w:space="0" w:color="auto"/>
        <w:right w:val="none" w:sz="0" w:space="0" w:color="auto"/>
      </w:divBdr>
      <w:divsChild>
        <w:div w:id="2116055222">
          <w:marLeft w:val="0"/>
          <w:marRight w:val="0"/>
          <w:marTop w:val="0"/>
          <w:marBottom w:val="0"/>
          <w:divBdr>
            <w:top w:val="none" w:sz="0" w:space="0" w:color="auto"/>
            <w:left w:val="none" w:sz="0" w:space="0" w:color="auto"/>
            <w:bottom w:val="none" w:sz="0" w:space="0" w:color="auto"/>
            <w:right w:val="none" w:sz="0" w:space="0" w:color="auto"/>
          </w:divBdr>
          <w:divsChild>
            <w:div w:id="1307512783">
              <w:marLeft w:val="0"/>
              <w:marRight w:val="0"/>
              <w:marTop w:val="0"/>
              <w:marBottom w:val="0"/>
              <w:divBdr>
                <w:top w:val="none" w:sz="0" w:space="0" w:color="auto"/>
                <w:left w:val="none" w:sz="0" w:space="0" w:color="auto"/>
                <w:bottom w:val="none" w:sz="0" w:space="0" w:color="auto"/>
                <w:right w:val="none" w:sz="0" w:space="0" w:color="auto"/>
              </w:divBdr>
              <w:divsChild>
                <w:div w:id="1712917930">
                  <w:marLeft w:val="0"/>
                  <w:marRight w:val="0"/>
                  <w:marTop w:val="0"/>
                  <w:marBottom w:val="0"/>
                  <w:divBdr>
                    <w:top w:val="none" w:sz="0" w:space="0" w:color="auto"/>
                    <w:left w:val="none" w:sz="0" w:space="0" w:color="auto"/>
                    <w:bottom w:val="none" w:sz="0" w:space="0" w:color="auto"/>
                    <w:right w:val="none" w:sz="0" w:space="0" w:color="auto"/>
                  </w:divBdr>
                  <w:divsChild>
                    <w:div w:id="1997875429">
                      <w:marLeft w:val="0"/>
                      <w:marRight w:val="0"/>
                      <w:marTop w:val="0"/>
                      <w:marBottom w:val="0"/>
                      <w:divBdr>
                        <w:top w:val="none" w:sz="0" w:space="0" w:color="auto"/>
                        <w:left w:val="none" w:sz="0" w:space="0" w:color="auto"/>
                        <w:bottom w:val="none" w:sz="0" w:space="0" w:color="auto"/>
                        <w:right w:val="none" w:sz="0" w:space="0" w:color="auto"/>
                      </w:divBdr>
                      <w:divsChild>
                        <w:div w:id="1735734565">
                          <w:marLeft w:val="0"/>
                          <w:marRight w:val="0"/>
                          <w:marTop w:val="0"/>
                          <w:marBottom w:val="0"/>
                          <w:divBdr>
                            <w:top w:val="none" w:sz="0" w:space="0" w:color="auto"/>
                            <w:left w:val="none" w:sz="0" w:space="0" w:color="auto"/>
                            <w:bottom w:val="none" w:sz="0" w:space="0" w:color="auto"/>
                            <w:right w:val="none" w:sz="0" w:space="0" w:color="auto"/>
                          </w:divBdr>
                          <w:divsChild>
                            <w:div w:id="539317243">
                              <w:marLeft w:val="0"/>
                              <w:marRight w:val="0"/>
                              <w:marTop w:val="0"/>
                              <w:marBottom w:val="0"/>
                              <w:divBdr>
                                <w:top w:val="none" w:sz="0" w:space="0" w:color="auto"/>
                                <w:left w:val="none" w:sz="0" w:space="0" w:color="auto"/>
                                <w:bottom w:val="none" w:sz="0" w:space="0" w:color="auto"/>
                                <w:right w:val="none" w:sz="0" w:space="0" w:color="auto"/>
                              </w:divBdr>
                              <w:divsChild>
                                <w:div w:id="379520515">
                                  <w:marLeft w:val="0"/>
                                  <w:marRight w:val="0"/>
                                  <w:marTop w:val="0"/>
                                  <w:marBottom w:val="0"/>
                                  <w:divBdr>
                                    <w:top w:val="none" w:sz="0" w:space="0" w:color="auto"/>
                                    <w:left w:val="none" w:sz="0" w:space="0" w:color="auto"/>
                                    <w:bottom w:val="none" w:sz="0" w:space="0" w:color="auto"/>
                                    <w:right w:val="none" w:sz="0" w:space="0" w:color="auto"/>
                                  </w:divBdr>
                                  <w:divsChild>
                                    <w:div w:id="291444828">
                                      <w:marLeft w:val="0"/>
                                      <w:marRight w:val="0"/>
                                      <w:marTop w:val="0"/>
                                      <w:marBottom w:val="0"/>
                                      <w:divBdr>
                                        <w:top w:val="none" w:sz="0" w:space="0" w:color="auto"/>
                                        <w:left w:val="none" w:sz="0" w:space="0" w:color="auto"/>
                                        <w:bottom w:val="none" w:sz="0" w:space="0" w:color="auto"/>
                                        <w:right w:val="none" w:sz="0" w:space="0" w:color="auto"/>
                                      </w:divBdr>
                                      <w:divsChild>
                                        <w:div w:id="5765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810774">
      <w:bodyDiv w:val="1"/>
      <w:marLeft w:val="0"/>
      <w:marRight w:val="0"/>
      <w:marTop w:val="0"/>
      <w:marBottom w:val="0"/>
      <w:divBdr>
        <w:top w:val="none" w:sz="0" w:space="0" w:color="auto"/>
        <w:left w:val="none" w:sz="0" w:space="0" w:color="auto"/>
        <w:bottom w:val="none" w:sz="0" w:space="0" w:color="auto"/>
        <w:right w:val="none" w:sz="0" w:space="0" w:color="auto"/>
      </w:divBdr>
      <w:divsChild>
        <w:div w:id="281156264">
          <w:marLeft w:val="0"/>
          <w:marRight w:val="0"/>
          <w:marTop w:val="0"/>
          <w:marBottom w:val="0"/>
          <w:divBdr>
            <w:top w:val="none" w:sz="0" w:space="0" w:color="auto"/>
            <w:left w:val="none" w:sz="0" w:space="0" w:color="auto"/>
            <w:bottom w:val="none" w:sz="0" w:space="0" w:color="auto"/>
            <w:right w:val="none" w:sz="0" w:space="0" w:color="auto"/>
          </w:divBdr>
          <w:divsChild>
            <w:div w:id="20984816">
              <w:marLeft w:val="0"/>
              <w:marRight w:val="0"/>
              <w:marTop w:val="0"/>
              <w:marBottom w:val="0"/>
              <w:divBdr>
                <w:top w:val="none" w:sz="0" w:space="0" w:color="auto"/>
                <w:left w:val="none" w:sz="0" w:space="0" w:color="auto"/>
                <w:bottom w:val="none" w:sz="0" w:space="0" w:color="auto"/>
                <w:right w:val="none" w:sz="0" w:space="0" w:color="auto"/>
              </w:divBdr>
              <w:divsChild>
                <w:div w:id="12998579">
                  <w:marLeft w:val="0"/>
                  <w:marRight w:val="0"/>
                  <w:marTop w:val="0"/>
                  <w:marBottom w:val="0"/>
                  <w:divBdr>
                    <w:top w:val="none" w:sz="0" w:space="0" w:color="auto"/>
                    <w:left w:val="none" w:sz="0" w:space="0" w:color="auto"/>
                    <w:bottom w:val="none" w:sz="0" w:space="0" w:color="auto"/>
                    <w:right w:val="none" w:sz="0" w:space="0" w:color="auto"/>
                  </w:divBdr>
                  <w:divsChild>
                    <w:div w:id="1380547179">
                      <w:marLeft w:val="0"/>
                      <w:marRight w:val="0"/>
                      <w:marTop w:val="0"/>
                      <w:marBottom w:val="0"/>
                      <w:divBdr>
                        <w:top w:val="none" w:sz="0" w:space="0" w:color="auto"/>
                        <w:left w:val="none" w:sz="0" w:space="0" w:color="auto"/>
                        <w:bottom w:val="none" w:sz="0" w:space="0" w:color="auto"/>
                        <w:right w:val="none" w:sz="0" w:space="0" w:color="auto"/>
                      </w:divBdr>
                      <w:divsChild>
                        <w:div w:id="826820448">
                          <w:marLeft w:val="0"/>
                          <w:marRight w:val="0"/>
                          <w:marTop w:val="0"/>
                          <w:marBottom w:val="0"/>
                          <w:divBdr>
                            <w:top w:val="none" w:sz="0" w:space="0" w:color="auto"/>
                            <w:left w:val="none" w:sz="0" w:space="0" w:color="auto"/>
                            <w:bottom w:val="none" w:sz="0" w:space="0" w:color="auto"/>
                            <w:right w:val="none" w:sz="0" w:space="0" w:color="auto"/>
                          </w:divBdr>
                          <w:divsChild>
                            <w:div w:id="106892834">
                              <w:marLeft w:val="0"/>
                              <w:marRight w:val="0"/>
                              <w:marTop w:val="0"/>
                              <w:marBottom w:val="0"/>
                              <w:divBdr>
                                <w:top w:val="none" w:sz="0" w:space="0" w:color="auto"/>
                                <w:left w:val="none" w:sz="0" w:space="0" w:color="auto"/>
                                <w:bottom w:val="none" w:sz="0" w:space="0" w:color="auto"/>
                                <w:right w:val="none" w:sz="0" w:space="0" w:color="auto"/>
                              </w:divBdr>
                              <w:divsChild>
                                <w:div w:id="8987777">
                                  <w:marLeft w:val="0"/>
                                  <w:marRight w:val="0"/>
                                  <w:marTop w:val="0"/>
                                  <w:marBottom w:val="0"/>
                                  <w:divBdr>
                                    <w:top w:val="none" w:sz="0" w:space="0" w:color="auto"/>
                                    <w:left w:val="none" w:sz="0" w:space="0" w:color="auto"/>
                                    <w:bottom w:val="none" w:sz="0" w:space="0" w:color="auto"/>
                                    <w:right w:val="none" w:sz="0" w:space="0" w:color="auto"/>
                                  </w:divBdr>
                                  <w:divsChild>
                                    <w:div w:id="624779120">
                                      <w:marLeft w:val="0"/>
                                      <w:marRight w:val="0"/>
                                      <w:marTop w:val="0"/>
                                      <w:marBottom w:val="0"/>
                                      <w:divBdr>
                                        <w:top w:val="none" w:sz="0" w:space="0" w:color="auto"/>
                                        <w:left w:val="none" w:sz="0" w:space="0" w:color="auto"/>
                                        <w:bottom w:val="none" w:sz="0" w:space="0" w:color="auto"/>
                                        <w:right w:val="none" w:sz="0" w:space="0" w:color="auto"/>
                                      </w:divBdr>
                                      <w:divsChild>
                                        <w:div w:id="1383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752033">
      <w:bodyDiv w:val="1"/>
      <w:marLeft w:val="0"/>
      <w:marRight w:val="0"/>
      <w:marTop w:val="0"/>
      <w:marBottom w:val="0"/>
      <w:divBdr>
        <w:top w:val="none" w:sz="0" w:space="0" w:color="auto"/>
        <w:left w:val="none" w:sz="0" w:space="0" w:color="auto"/>
        <w:bottom w:val="none" w:sz="0" w:space="0" w:color="auto"/>
        <w:right w:val="none" w:sz="0" w:space="0" w:color="auto"/>
      </w:divBdr>
      <w:divsChild>
        <w:div w:id="1811508335">
          <w:marLeft w:val="0"/>
          <w:marRight w:val="0"/>
          <w:marTop w:val="0"/>
          <w:marBottom w:val="0"/>
          <w:divBdr>
            <w:top w:val="none" w:sz="0" w:space="0" w:color="auto"/>
            <w:left w:val="none" w:sz="0" w:space="0" w:color="auto"/>
            <w:bottom w:val="none" w:sz="0" w:space="0" w:color="auto"/>
            <w:right w:val="none" w:sz="0" w:space="0" w:color="auto"/>
          </w:divBdr>
          <w:divsChild>
            <w:div w:id="1141966177">
              <w:marLeft w:val="0"/>
              <w:marRight w:val="0"/>
              <w:marTop w:val="0"/>
              <w:marBottom w:val="0"/>
              <w:divBdr>
                <w:top w:val="none" w:sz="0" w:space="0" w:color="auto"/>
                <w:left w:val="none" w:sz="0" w:space="0" w:color="auto"/>
                <w:bottom w:val="none" w:sz="0" w:space="0" w:color="auto"/>
                <w:right w:val="none" w:sz="0" w:space="0" w:color="auto"/>
              </w:divBdr>
              <w:divsChild>
                <w:div w:id="391849771">
                  <w:marLeft w:val="0"/>
                  <w:marRight w:val="0"/>
                  <w:marTop w:val="0"/>
                  <w:marBottom w:val="0"/>
                  <w:divBdr>
                    <w:top w:val="none" w:sz="0" w:space="0" w:color="auto"/>
                    <w:left w:val="none" w:sz="0" w:space="0" w:color="auto"/>
                    <w:bottom w:val="none" w:sz="0" w:space="0" w:color="auto"/>
                    <w:right w:val="none" w:sz="0" w:space="0" w:color="auto"/>
                  </w:divBdr>
                  <w:divsChild>
                    <w:div w:id="869032661">
                      <w:marLeft w:val="0"/>
                      <w:marRight w:val="0"/>
                      <w:marTop w:val="0"/>
                      <w:marBottom w:val="0"/>
                      <w:divBdr>
                        <w:top w:val="none" w:sz="0" w:space="0" w:color="auto"/>
                        <w:left w:val="none" w:sz="0" w:space="0" w:color="auto"/>
                        <w:bottom w:val="none" w:sz="0" w:space="0" w:color="auto"/>
                        <w:right w:val="none" w:sz="0" w:space="0" w:color="auto"/>
                      </w:divBdr>
                      <w:divsChild>
                        <w:div w:id="91248053">
                          <w:marLeft w:val="0"/>
                          <w:marRight w:val="0"/>
                          <w:marTop w:val="0"/>
                          <w:marBottom w:val="0"/>
                          <w:divBdr>
                            <w:top w:val="none" w:sz="0" w:space="0" w:color="auto"/>
                            <w:left w:val="none" w:sz="0" w:space="0" w:color="auto"/>
                            <w:bottom w:val="none" w:sz="0" w:space="0" w:color="auto"/>
                            <w:right w:val="none" w:sz="0" w:space="0" w:color="auto"/>
                          </w:divBdr>
                          <w:divsChild>
                            <w:div w:id="420641224">
                              <w:marLeft w:val="0"/>
                              <w:marRight w:val="0"/>
                              <w:marTop w:val="0"/>
                              <w:marBottom w:val="0"/>
                              <w:divBdr>
                                <w:top w:val="none" w:sz="0" w:space="0" w:color="auto"/>
                                <w:left w:val="none" w:sz="0" w:space="0" w:color="auto"/>
                                <w:bottom w:val="none" w:sz="0" w:space="0" w:color="auto"/>
                                <w:right w:val="none" w:sz="0" w:space="0" w:color="auto"/>
                              </w:divBdr>
                              <w:divsChild>
                                <w:div w:id="197931000">
                                  <w:marLeft w:val="0"/>
                                  <w:marRight w:val="0"/>
                                  <w:marTop w:val="0"/>
                                  <w:marBottom w:val="0"/>
                                  <w:divBdr>
                                    <w:top w:val="none" w:sz="0" w:space="0" w:color="auto"/>
                                    <w:left w:val="none" w:sz="0" w:space="0" w:color="auto"/>
                                    <w:bottom w:val="none" w:sz="0" w:space="0" w:color="auto"/>
                                    <w:right w:val="none" w:sz="0" w:space="0" w:color="auto"/>
                                  </w:divBdr>
                                  <w:divsChild>
                                    <w:div w:id="812867076">
                                      <w:marLeft w:val="0"/>
                                      <w:marRight w:val="0"/>
                                      <w:marTop w:val="0"/>
                                      <w:marBottom w:val="0"/>
                                      <w:divBdr>
                                        <w:top w:val="none" w:sz="0" w:space="0" w:color="auto"/>
                                        <w:left w:val="none" w:sz="0" w:space="0" w:color="auto"/>
                                        <w:bottom w:val="none" w:sz="0" w:space="0" w:color="auto"/>
                                        <w:right w:val="none" w:sz="0" w:space="0" w:color="auto"/>
                                      </w:divBdr>
                                      <w:divsChild>
                                        <w:div w:id="2039577207">
                                          <w:marLeft w:val="0"/>
                                          <w:marRight w:val="0"/>
                                          <w:marTop w:val="0"/>
                                          <w:marBottom w:val="0"/>
                                          <w:divBdr>
                                            <w:top w:val="none" w:sz="0" w:space="0" w:color="auto"/>
                                            <w:left w:val="none" w:sz="0" w:space="0" w:color="auto"/>
                                            <w:bottom w:val="none" w:sz="0" w:space="0" w:color="auto"/>
                                            <w:right w:val="none" w:sz="0" w:space="0" w:color="auto"/>
                                          </w:divBdr>
                                          <w:divsChild>
                                            <w:div w:id="1986271494">
                                              <w:marLeft w:val="0"/>
                                              <w:marRight w:val="0"/>
                                              <w:marTop w:val="0"/>
                                              <w:marBottom w:val="0"/>
                                              <w:divBdr>
                                                <w:top w:val="none" w:sz="0" w:space="0" w:color="auto"/>
                                                <w:left w:val="none" w:sz="0" w:space="0" w:color="auto"/>
                                                <w:bottom w:val="none" w:sz="0" w:space="0" w:color="auto"/>
                                                <w:right w:val="none" w:sz="0" w:space="0" w:color="auto"/>
                                              </w:divBdr>
                                              <w:divsChild>
                                                <w:div w:id="1529638869">
                                                  <w:marLeft w:val="0"/>
                                                  <w:marRight w:val="0"/>
                                                  <w:marTop w:val="0"/>
                                                  <w:marBottom w:val="0"/>
                                                  <w:divBdr>
                                                    <w:top w:val="none" w:sz="0" w:space="0" w:color="auto"/>
                                                    <w:left w:val="none" w:sz="0" w:space="0" w:color="auto"/>
                                                    <w:bottom w:val="none" w:sz="0" w:space="0" w:color="auto"/>
                                                    <w:right w:val="none" w:sz="0" w:space="0" w:color="auto"/>
                                                  </w:divBdr>
                                                  <w:divsChild>
                                                    <w:div w:id="343215376">
                                                      <w:marLeft w:val="0"/>
                                                      <w:marRight w:val="0"/>
                                                      <w:marTop w:val="0"/>
                                                      <w:marBottom w:val="0"/>
                                                      <w:divBdr>
                                                        <w:top w:val="none" w:sz="0" w:space="0" w:color="auto"/>
                                                        <w:left w:val="none" w:sz="0" w:space="0" w:color="auto"/>
                                                        <w:bottom w:val="none" w:sz="0" w:space="0" w:color="auto"/>
                                                        <w:right w:val="none" w:sz="0" w:space="0" w:color="auto"/>
                                                      </w:divBdr>
                                                      <w:divsChild>
                                                        <w:div w:id="458572175">
                                                          <w:marLeft w:val="0"/>
                                                          <w:marRight w:val="0"/>
                                                          <w:marTop w:val="0"/>
                                                          <w:marBottom w:val="0"/>
                                                          <w:divBdr>
                                                            <w:top w:val="none" w:sz="0" w:space="0" w:color="auto"/>
                                                            <w:left w:val="none" w:sz="0" w:space="0" w:color="auto"/>
                                                            <w:bottom w:val="none" w:sz="0" w:space="0" w:color="auto"/>
                                                            <w:right w:val="none" w:sz="0" w:space="0" w:color="auto"/>
                                                          </w:divBdr>
                                                          <w:divsChild>
                                                            <w:div w:id="2065635567">
                                                              <w:marLeft w:val="0"/>
                                                              <w:marRight w:val="0"/>
                                                              <w:marTop w:val="0"/>
                                                              <w:marBottom w:val="0"/>
                                                              <w:divBdr>
                                                                <w:top w:val="none" w:sz="0" w:space="0" w:color="auto"/>
                                                                <w:left w:val="none" w:sz="0" w:space="0" w:color="auto"/>
                                                                <w:bottom w:val="none" w:sz="0" w:space="0" w:color="auto"/>
                                                                <w:right w:val="none" w:sz="0" w:space="0" w:color="auto"/>
                                                              </w:divBdr>
                                                              <w:divsChild>
                                                                <w:div w:id="1004433566">
                                                                  <w:marLeft w:val="0"/>
                                                                  <w:marRight w:val="0"/>
                                                                  <w:marTop w:val="0"/>
                                                                  <w:marBottom w:val="0"/>
                                                                  <w:divBdr>
                                                                    <w:top w:val="none" w:sz="0" w:space="0" w:color="auto"/>
                                                                    <w:left w:val="none" w:sz="0" w:space="0" w:color="auto"/>
                                                                    <w:bottom w:val="none" w:sz="0" w:space="0" w:color="auto"/>
                                                                    <w:right w:val="none" w:sz="0" w:space="0" w:color="auto"/>
                                                                  </w:divBdr>
                                                                  <w:divsChild>
                                                                    <w:div w:id="1549801077">
                                                                      <w:marLeft w:val="0"/>
                                                                      <w:marRight w:val="0"/>
                                                                      <w:marTop w:val="0"/>
                                                                      <w:marBottom w:val="0"/>
                                                                      <w:divBdr>
                                                                        <w:top w:val="none" w:sz="0" w:space="0" w:color="auto"/>
                                                                        <w:left w:val="none" w:sz="0" w:space="0" w:color="auto"/>
                                                                        <w:bottom w:val="none" w:sz="0" w:space="0" w:color="auto"/>
                                                                        <w:right w:val="none" w:sz="0" w:space="0" w:color="auto"/>
                                                                      </w:divBdr>
                                                                      <w:divsChild>
                                                                        <w:div w:id="1755006186">
                                                                          <w:marLeft w:val="0"/>
                                                                          <w:marRight w:val="0"/>
                                                                          <w:marTop w:val="0"/>
                                                                          <w:marBottom w:val="0"/>
                                                                          <w:divBdr>
                                                                            <w:top w:val="none" w:sz="0" w:space="0" w:color="auto"/>
                                                                            <w:left w:val="none" w:sz="0" w:space="0" w:color="auto"/>
                                                                            <w:bottom w:val="none" w:sz="0" w:space="0" w:color="auto"/>
                                                                            <w:right w:val="none" w:sz="0" w:space="0" w:color="auto"/>
                                                                          </w:divBdr>
                                                                          <w:divsChild>
                                                                            <w:div w:id="573970660">
                                                                              <w:marLeft w:val="0"/>
                                                                              <w:marRight w:val="0"/>
                                                                              <w:marTop w:val="0"/>
                                                                              <w:marBottom w:val="0"/>
                                                                              <w:divBdr>
                                                                                <w:top w:val="none" w:sz="0" w:space="0" w:color="auto"/>
                                                                                <w:left w:val="none" w:sz="0" w:space="0" w:color="auto"/>
                                                                                <w:bottom w:val="none" w:sz="0" w:space="0" w:color="auto"/>
                                                                                <w:right w:val="none" w:sz="0" w:space="0" w:color="auto"/>
                                                                              </w:divBdr>
                                                                              <w:divsChild>
                                                                                <w:div w:id="352147845">
                                                                                  <w:marLeft w:val="0"/>
                                                                                  <w:marRight w:val="0"/>
                                                                                  <w:marTop w:val="0"/>
                                                                                  <w:marBottom w:val="0"/>
                                                                                  <w:divBdr>
                                                                                    <w:top w:val="none" w:sz="0" w:space="0" w:color="auto"/>
                                                                                    <w:left w:val="none" w:sz="0" w:space="0" w:color="auto"/>
                                                                                    <w:bottom w:val="none" w:sz="0" w:space="0" w:color="auto"/>
                                                                                    <w:right w:val="none" w:sz="0" w:space="0" w:color="auto"/>
                                                                                  </w:divBdr>
                                                                                  <w:divsChild>
                                                                                    <w:div w:id="798298677">
                                                                                      <w:marLeft w:val="0"/>
                                                                                      <w:marRight w:val="0"/>
                                                                                      <w:marTop w:val="0"/>
                                                                                      <w:marBottom w:val="0"/>
                                                                                      <w:divBdr>
                                                                                        <w:top w:val="none" w:sz="0" w:space="0" w:color="auto"/>
                                                                                        <w:left w:val="none" w:sz="0" w:space="0" w:color="auto"/>
                                                                                        <w:bottom w:val="none" w:sz="0" w:space="0" w:color="auto"/>
                                                                                        <w:right w:val="none" w:sz="0" w:space="0" w:color="auto"/>
                                                                                      </w:divBdr>
                                                                                      <w:divsChild>
                                                                                        <w:div w:id="1755857044">
                                                                                          <w:marLeft w:val="0"/>
                                                                                          <w:marRight w:val="0"/>
                                                                                          <w:marTop w:val="0"/>
                                                                                          <w:marBottom w:val="0"/>
                                                                                          <w:divBdr>
                                                                                            <w:top w:val="none" w:sz="0" w:space="0" w:color="auto"/>
                                                                                            <w:left w:val="none" w:sz="0" w:space="0" w:color="auto"/>
                                                                                            <w:bottom w:val="none" w:sz="0" w:space="0" w:color="auto"/>
                                                                                            <w:right w:val="none" w:sz="0" w:space="0" w:color="auto"/>
                                                                                          </w:divBdr>
                                                                                          <w:divsChild>
                                                                                            <w:div w:id="1833133511">
                                                                                              <w:marLeft w:val="0"/>
                                                                                              <w:marRight w:val="0"/>
                                                                                              <w:marTop w:val="0"/>
                                                                                              <w:marBottom w:val="0"/>
                                                                                              <w:divBdr>
                                                                                                <w:top w:val="none" w:sz="0" w:space="0" w:color="auto"/>
                                                                                                <w:left w:val="none" w:sz="0" w:space="0" w:color="auto"/>
                                                                                                <w:bottom w:val="none" w:sz="0" w:space="0" w:color="auto"/>
                                                                                                <w:right w:val="none" w:sz="0" w:space="0" w:color="auto"/>
                                                                                              </w:divBdr>
                                                                                              <w:divsChild>
                                                                                                <w:div w:id="1510295346">
                                                                                                  <w:marLeft w:val="0"/>
                                                                                                  <w:marRight w:val="0"/>
                                                                                                  <w:marTop w:val="0"/>
                                                                                                  <w:marBottom w:val="0"/>
                                                                                                  <w:divBdr>
                                                                                                    <w:top w:val="none" w:sz="0" w:space="0" w:color="auto"/>
                                                                                                    <w:left w:val="none" w:sz="0" w:space="0" w:color="auto"/>
                                                                                                    <w:bottom w:val="none" w:sz="0" w:space="0" w:color="auto"/>
                                                                                                    <w:right w:val="none" w:sz="0" w:space="0" w:color="auto"/>
                                                                                                  </w:divBdr>
                                                                                                  <w:divsChild>
                                                                                                    <w:div w:id="1384711695">
                                                                                                      <w:marLeft w:val="0"/>
                                                                                                      <w:marRight w:val="0"/>
                                                                                                      <w:marTop w:val="0"/>
                                                                                                      <w:marBottom w:val="0"/>
                                                                                                      <w:divBdr>
                                                                                                        <w:top w:val="none" w:sz="0" w:space="0" w:color="auto"/>
                                                                                                        <w:left w:val="none" w:sz="0" w:space="0" w:color="auto"/>
                                                                                                        <w:bottom w:val="none" w:sz="0" w:space="0" w:color="auto"/>
                                                                                                        <w:right w:val="none" w:sz="0" w:space="0" w:color="auto"/>
                                                                                                      </w:divBdr>
                                                                                                      <w:divsChild>
                                                                                                        <w:div w:id="257955843">
                                                                                                          <w:marLeft w:val="0"/>
                                                                                                          <w:marRight w:val="0"/>
                                                                                                          <w:marTop w:val="0"/>
                                                                                                          <w:marBottom w:val="0"/>
                                                                                                          <w:divBdr>
                                                                                                            <w:top w:val="none" w:sz="0" w:space="0" w:color="auto"/>
                                                                                                            <w:left w:val="none" w:sz="0" w:space="0" w:color="auto"/>
                                                                                                            <w:bottom w:val="none" w:sz="0" w:space="0" w:color="auto"/>
                                                                                                            <w:right w:val="none" w:sz="0" w:space="0" w:color="auto"/>
                                                                                                          </w:divBdr>
                                                                                                          <w:divsChild>
                                                                                                            <w:div w:id="212622223">
                                                                                                              <w:marLeft w:val="0"/>
                                                                                                              <w:marRight w:val="0"/>
                                                                                                              <w:marTop w:val="0"/>
                                                                                                              <w:marBottom w:val="0"/>
                                                                                                              <w:divBdr>
                                                                                                                <w:top w:val="none" w:sz="0" w:space="0" w:color="auto"/>
                                                                                                                <w:left w:val="none" w:sz="0" w:space="0" w:color="auto"/>
                                                                                                                <w:bottom w:val="none" w:sz="0" w:space="0" w:color="auto"/>
                                                                                                                <w:right w:val="none" w:sz="0" w:space="0" w:color="auto"/>
                                                                                                              </w:divBdr>
                                                                                                              <w:divsChild>
                                                                                                                <w:div w:id="26176645">
                                                                                                                  <w:marLeft w:val="0"/>
                                                                                                                  <w:marRight w:val="0"/>
                                                                                                                  <w:marTop w:val="0"/>
                                                                                                                  <w:marBottom w:val="0"/>
                                                                                                                  <w:divBdr>
                                                                                                                    <w:top w:val="none" w:sz="0" w:space="0" w:color="auto"/>
                                                                                                                    <w:left w:val="none" w:sz="0" w:space="0" w:color="auto"/>
                                                                                                                    <w:bottom w:val="none" w:sz="0" w:space="0" w:color="auto"/>
                                                                                                                    <w:right w:val="none" w:sz="0" w:space="0" w:color="auto"/>
                                                                                                                  </w:divBdr>
                                                                                                                  <w:divsChild>
                                                                                                                    <w:div w:id="2091194763">
                                                                                                                      <w:marLeft w:val="0"/>
                                                                                                                      <w:marRight w:val="0"/>
                                                                                                                      <w:marTop w:val="0"/>
                                                                                                                      <w:marBottom w:val="0"/>
                                                                                                                      <w:divBdr>
                                                                                                                        <w:top w:val="none" w:sz="0" w:space="0" w:color="auto"/>
                                                                                                                        <w:left w:val="none" w:sz="0" w:space="0" w:color="auto"/>
                                                                                                                        <w:bottom w:val="none" w:sz="0" w:space="0" w:color="auto"/>
                                                                                                                        <w:right w:val="none" w:sz="0" w:space="0" w:color="auto"/>
                                                                                                                      </w:divBdr>
                                                                                                                      <w:divsChild>
                                                                                                                        <w:div w:id="1415980661">
                                                                                                                          <w:marLeft w:val="0"/>
                                                                                                                          <w:marRight w:val="0"/>
                                                                                                                          <w:marTop w:val="0"/>
                                                                                                                          <w:marBottom w:val="0"/>
                                                                                                                          <w:divBdr>
                                                                                                                            <w:top w:val="none" w:sz="0" w:space="0" w:color="auto"/>
                                                                                                                            <w:left w:val="none" w:sz="0" w:space="0" w:color="auto"/>
                                                                                                                            <w:bottom w:val="none" w:sz="0" w:space="0" w:color="auto"/>
                                                                                                                            <w:right w:val="none" w:sz="0" w:space="0" w:color="auto"/>
                                                                                                                          </w:divBdr>
                                                                                                                          <w:divsChild>
                                                                                                                            <w:div w:id="1442919901">
                                                                                                                              <w:marLeft w:val="0"/>
                                                                                                                              <w:marRight w:val="0"/>
                                                                                                                              <w:marTop w:val="0"/>
                                                                                                                              <w:marBottom w:val="0"/>
                                                                                                                              <w:divBdr>
                                                                                                                                <w:top w:val="none" w:sz="0" w:space="0" w:color="auto"/>
                                                                                                                                <w:left w:val="none" w:sz="0" w:space="0" w:color="auto"/>
                                                                                                                                <w:bottom w:val="none" w:sz="0" w:space="0" w:color="auto"/>
                                                                                                                                <w:right w:val="none" w:sz="0" w:space="0" w:color="auto"/>
                                                                                                                              </w:divBdr>
                                                                                                                              <w:divsChild>
                                                                                                                                <w:div w:id="1192570394">
                                                                                                                                  <w:marLeft w:val="0"/>
                                                                                                                                  <w:marRight w:val="0"/>
                                                                                                                                  <w:marTop w:val="0"/>
                                                                                                                                  <w:marBottom w:val="0"/>
                                                                                                                                  <w:divBdr>
                                                                                                                                    <w:top w:val="none" w:sz="0" w:space="0" w:color="auto"/>
                                                                                                                                    <w:left w:val="none" w:sz="0" w:space="0" w:color="auto"/>
                                                                                                                                    <w:bottom w:val="none" w:sz="0" w:space="0" w:color="auto"/>
                                                                                                                                    <w:right w:val="none" w:sz="0" w:space="0" w:color="auto"/>
                                                                                                                                  </w:divBdr>
                                                                                                                                  <w:divsChild>
                                                                                                                                    <w:div w:id="186213708">
                                                                                                                                      <w:marLeft w:val="0"/>
                                                                                                                                      <w:marRight w:val="0"/>
                                                                                                                                      <w:marTop w:val="0"/>
                                                                                                                                      <w:marBottom w:val="0"/>
                                                                                                                                      <w:divBdr>
                                                                                                                                        <w:top w:val="none" w:sz="0" w:space="0" w:color="auto"/>
                                                                                                                                        <w:left w:val="none" w:sz="0" w:space="0" w:color="auto"/>
                                                                                                                                        <w:bottom w:val="none" w:sz="0" w:space="0" w:color="auto"/>
                                                                                                                                        <w:right w:val="none" w:sz="0" w:space="0" w:color="auto"/>
                                                                                                                                      </w:divBdr>
                                                                                                                                      <w:divsChild>
                                                                                                                                        <w:div w:id="1189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014470">
      <w:bodyDiv w:val="1"/>
      <w:marLeft w:val="0"/>
      <w:marRight w:val="0"/>
      <w:marTop w:val="0"/>
      <w:marBottom w:val="0"/>
      <w:divBdr>
        <w:top w:val="none" w:sz="0" w:space="0" w:color="auto"/>
        <w:left w:val="none" w:sz="0" w:space="0" w:color="auto"/>
        <w:bottom w:val="none" w:sz="0" w:space="0" w:color="auto"/>
        <w:right w:val="none" w:sz="0" w:space="0" w:color="auto"/>
      </w:divBdr>
    </w:div>
    <w:div w:id="676922931">
      <w:bodyDiv w:val="1"/>
      <w:marLeft w:val="0"/>
      <w:marRight w:val="0"/>
      <w:marTop w:val="0"/>
      <w:marBottom w:val="0"/>
      <w:divBdr>
        <w:top w:val="none" w:sz="0" w:space="0" w:color="auto"/>
        <w:left w:val="none" w:sz="0" w:space="0" w:color="auto"/>
        <w:bottom w:val="none" w:sz="0" w:space="0" w:color="auto"/>
        <w:right w:val="none" w:sz="0" w:space="0" w:color="auto"/>
      </w:divBdr>
      <w:divsChild>
        <w:div w:id="1240483085">
          <w:marLeft w:val="120"/>
          <w:marRight w:val="120"/>
          <w:marTop w:val="0"/>
          <w:marBottom w:val="0"/>
          <w:divBdr>
            <w:top w:val="none" w:sz="0" w:space="0" w:color="auto"/>
            <w:left w:val="none" w:sz="0" w:space="0" w:color="auto"/>
            <w:bottom w:val="none" w:sz="0" w:space="0" w:color="auto"/>
            <w:right w:val="none" w:sz="0" w:space="0" w:color="auto"/>
          </w:divBdr>
          <w:divsChild>
            <w:div w:id="2027098011">
              <w:marLeft w:val="0"/>
              <w:marRight w:val="0"/>
              <w:marTop w:val="0"/>
              <w:marBottom w:val="0"/>
              <w:divBdr>
                <w:top w:val="none" w:sz="0" w:space="0" w:color="auto"/>
                <w:left w:val="none" w:sz="0" w:space="0" w:color="auto"/>
                <w:bottom w:val="none" w:sz="0" w:space="0" w:color="auto"/>
                <w:right w:val="none" w:sz="0" w:space="0" w:color="auto"/>
              </w:divBdr>
              <w:divsChild>
                <w:div w:id="1635989674">
                  <w:marLeft w:val="0"/>
                  <w:marRight w:val="0"/>
                  <w:marTop w:val="72"/>
                  <w:marBottom w:val="0"/>
                  <w:divBdr>
                    <w:top w:val="none" w:sz="0" w:space="0" w:color="auto"/>
                    <w:left w:val="none" w:sz="0" w:space="0" w:color="auto"/>
                    <w:bottom w:val="none" w:sz="0" w:space="0" w:color="auto"/>
                    <w:right w:val="none" w:sz="0" w:space="0" w:color="auto"/>
                  </w:divBdr>
                  <w:divsChild>
                    <w:div w:id="84572328">
                      <w:marLeft w:val="0"/>
                      <w:marRight w:val="0"/>
                      <w:marTop w:val="0"/>
                      <w:marBottom w:val="0"/>
                      <w:divBdr>
                        <w:top w:val="none" w:sz="0" w:space="0" w:color="auto"/>
                        <w:left w:val="none" w:sz="0" w:space="0" w:color="auto"/>
                        <w:bottom w:val="none" w:sz="0" w:space="0" w:color="auto"/>
                        <w:right w:val="none" w:sz="0" w:space="0" w:color="auto"/>
                      </w:divBdr>
                      <w:divsChild>
                        <w:div w:id="2098864134">
                          <w:marLeft w:val="0"/>
                          <w:marRight w:val="0"/>
                          <w:marTop w:val="0"/>
                          <w:marBottom w:val="0"/>
                          <w:divBdr>
                            <w:top w:val="none" w:sz="0" w:space="0" w:color="auto"/>
                            <w:left w:val="none" w:sz="0" w:space="0" w:color="auto"/>
                            <w:bottom w:val="none" w:sz="0" w:space="0" w:color="auto"/>
                            <w:right w:val="none" w:sz="0" w:space="0" w:color="auto"/>
                          </w:divBdr>
                          <w:divsChild>
                            <w:div w:id="1189299508">
                              <w:marLeft w:val="0"/>
                              <w:marRight w:val="0"/>
                              <w:marTop w:val="0"/>
                              <w:marBottom w:val="0"/>
                              <w:divBdr>
                                <w:top w:val="none" w:sz="0" w:space="0" w:color="auto"/>
                                <w:left w:val="none" w:sz="0" w:space="0" w:color="auto"/>
                                <w:bottom w:val="none" w:sz="0" w:space="0" w:color="auto"/>
                                <w:right w:val="none" w:sz="0" w:space="0" w:color="auto"/>
                              </w:divBdr>
                              <w:divsChild>
                                <w:div w:id="1447967937">
                                  <w:marLeft w:val="-120"/>
                                  <w:marRight w:val="0"/>
                                  <w:marTop w:val="0"/>
                                  <w:marBottom w:val="132"/>
                                  <w:divBdr>
                                    <w:top w:val="none" w:sz="0" w:space="0" w:color="auto"/>
                                    <w:left w:val="none" w:sz="0" w:space="0" w:color="auto"/>
                                    <w:bottom w:val="none" w:sz="0" w:space="0" w:color="auto"/>
                                    <w:right w:val="none" w:sz="0" w:space="0" w:color="auto"/>
                                  </w:divBdr>
                                  <w:divsChild>
                                    <w:div w:id="1936207374">
                                      <w:marLeft w:val="0"/>
                                      <w:marRight w:val="0"/>
                                      <w:marTop w:val="0"/>
                                      <w:marBottom w:val="0"/>
                                      <w:divBdr>
                                        <w:top w:val="none" w:sz="0" w:space="0" w:color="auto"/>
                                        <w:left w:val="none" w:sz="0" w:space="0" w:color="auto"/>
                                        <w:bottom w:val="none" w:sz="0" w:space="0" w:color="auto"/>
                                        <w:right w:val="none" w:sz="0" w:space="0" w:color="auto"/>
                                      </w:divBdr>
                                      <w:divsChild>
                                        <w:div w:id="1503543126">
                                          <w:marLeft w:val="948"/>
                                          <w:marRight w:val="0"/>
                                          <w:marTop w:val="0"/>
                                          <w:marBottom w:val="0"/>
                                          <w:divBdr>
                                            <w:top w:val="none" w:sz="0" w:space="0" w:color="auto"/>
                                            <w:left w:val="none" w:sz="0" w:space="0" w:color="auto"/>
                                            <w:bottom w:val="none" w:sz="0" w:space="0" w:color="auto"/>
                                            <w:right w:val="none" w:sz="0" w:space="0" w:color="auto"/>
                                          </w:divBdr>
                                          <w:divsChild>
                                            <w:div w:id="510995871">
                                              <w:marLeft w:val="0"/>
                                              <w:marRight w:val="0"/>
                                              <w:marTop w:val="48"/>
                                              <w:marBottom w:val="48"/>
                                              <w:divBdr>
                                                <w:top w:val="none" w:sz="0" w:space="0" w:color="auto"/>
                                                <w:left w:val="none" w:sz="0" w:space="0" w:color="auto"/>
                                                <w:bottom w:val="none" w:sz="0" w:space="0" w:color="auto"/>
                                                <w:right w:val="none" w:sz="0" w:space="0" w:color="auto"/>
                                              </w:divBdr>
                                            </w:div>
                                            <w:div w:id="12158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6641241">
      <w:bodyDiv w:val="1"/>
      <w:marLeft w:val="0"/>
      <w:marRight w:val="0"/>
      <w:marTop w:val="0"/>
      <w:marBottom w:val="0"/>
      <w:divBdr>
        <w:top w:val="none" w:sz="0" w:space="0" w:color="auto"/>
        <w:left w:val="none" w:sz="0" w:space="0" w:color="auto"/>
        <w:bottom w:val="none" w:sz="0" w:space="0" w:color="auto"/>
        <w:right w:val="none" w:sz="0" w:space="0" w:color="auto"/>
      </w:divBdr>
      <w:divsChild>
        <w:div w:id="423842152">
          <w:marLeft w:val="0"/>
          <w:marRight w:val="1"/>
          <w:marTop w:val="0"/>
          <w:marBottom w:val="0"/>
          <w:divBdr>
            <w:top w:val="none" w:sz="0" w:space="0" w:color="auto"/>
            <w:left w:val="none" w:sz="0" w:space="0" w:color="auto"/>
            <w:bottom w:val="none" w:sz="0" w:space="0" w:color="auto"/>
            <w:right w:val="none" w:sz="0" w:space="0" w:color="auto"/>
          </w:divBdr>
          <w:divsChild>
            <w:div w:id="1166171784">
              <w:marLeft w:val="0"/>
              <w:marRight w:val="0"/>
              <w:marTop w:val="0"/>
              <w:marBottom w:val="0"/>
              <w:divBdr>
                <w:top w:val="none" w:sz="0" w:space="0" w:color="auto"/>
                <w:left w:val="none" w:sz="0" w:space="0" w:color="auto"/>
                <w:bottom w:val="none" w:sz="0" w:space="0" w:color="auto"/>
                <w:right w:val="none" w:sz="0" w:space="0" w:color="auto"/>
              </w:divBdr>
              <w:divsChild>
                <w:div w:id="481165827">
                  <w:marLeft w:val="0"/>
                  <w:marRight w:val="1"/>
                  <w:marTop w:val="0"/>
                  <w:marBottom w:val="0"/>
                  <w:divBdr>
                    <w:top w:val="none" w:sz="0" w:space="0" w:color="auto"/>
                    <w:left w:val="none" w:sz="0" w:space="0" w:color="auto"/>
                    <w:bottom w:val="none" w:sz="0" w:space="0" w:color="auto"/>
                    <w:right w:val="none" w:sz="0" w:space="0" w:color="auto"/>
                  </w:divBdr>
                  <w:divsChild>
                    <w:div w:id="892083987">
                      <w:marLeft w:val="0"/>
                      <w:marRight w:val="0"/>
                      <w:marTop w:val="0"/>
                      <w:marBottom w:val="0"/>
                      <w:divBdr>
                        <w:top w:val="none" w:sz="0" w:space="0" w:color="auto"/>
                        <w:left w:val="none" w:sz="0" w:space="0" w:color="auto"/>
                        <w:bottom w:val="none" w:sz="0" w:space="0" w:color="auto"/>
                        <w:right w:val="none" w:sz="0" w:space="0" w:color="auto"/>
                      </w:divBdr>
                      <w:divsChild>
                        <w:div w:id="18285826">
                          <w:marLeft w:val="0"/>
                          <w:marRight w:val="0"/>
                          <w:marTop w:val="0"/>
                          <w:marBottom w:val="0"/>
                          <w:divBdr>
                            <w:top w:val="none" w:sz="0" w:space="0" w:color="auto"/>
                            <w:left w:val="none" w:sz="0" w:space="0" w:color="auto"/>
                            <w:bottom w:val="none" w:sz="0" w:space="0" w:color="auto"/>
                            <w:right w:val="none" w:sz="0" w:space="0" w:color="auto"/>
                          </w:divBdr>
                          <w:divsChild>
                            <w:div w:id="638460817">
                              <w:marLeft w:val="0"/>
                              <w:marRight w:val="0"/>
                              <w:marTop w:val="120"/>
                              <w:marBottom w:val="360"/>
                              <w:divBdr>
                                <w:top w:val="none" w:sz="0" w:space="0" w:color="auto"/>
                                <w:left w:val="none" w:sz="0" w:space="0" w:color="auto"/>
                                <w:bottom w:val="none" w:sz="0" w:space="0" w:color="auto"/>
                                <w:right w:val="none" w:sz="0" w:space="0" w:color="auto"/>
                              </w:divBdr>
                              <w:divsChild>
                                <w:div w:id="676077484">
                                  <w:marLeft w:val="420"/>
                                  <w:marRight w:val="0"/>
                                  <w:marTop w:val="0"/>
                                  <w:marBottom w:val="0"/>
                                  <w:divBdr>
                                    <w:top w:val="none" w:sz="0" w:space="0" w:color="auto"/>
                                    <w:left w:val="none" w:sz="0" w:space="0" w:color="auto"/>
                                    <w:bottom w:val="none" w:sz="0" w:space="0" w:color="auto"/>
                                    <w:right w:val="none" w:sz="0" w:space="0" w:color="auto"/>
                                  </w:divBdr>
                                  <w:divsChild>
                                    <w:div w:id="13068251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001090">
      <w:bodyDiv w:val="1"/>
      <w:marLeft w:val="0"/>
      <w:marRight w:val="0"/>
      <w:marTop w:val="0"/>
      <w:marBottom w:val="0"/>
      <w:divBdr>
        <w:top w:val="none" w:sz="0" w:space="0" w:color="auto"/>
        <w:left w:val="none" w:sz="0" w:space="0" w:color="auto"/>
        <w:bottom w:val="none" w:sz="0" w:space="0" w:color="auto"/>
        <w:right w:val="none" w:sz="0" w:space="0" w:color="auto"/>
      </w:divBdr>
    </w:div>
    <w:div w:id="731539386">
      <w:bodyDiv w:val="1"/>
      <w:marLeft w:val="0"/>
      <w:marRight w:val="0"/>
      <w:marTop w:val="0"/>
      <w:marBottom w:val="0"/>
      <w:divBdr>
        <w:top w:val="none" w:sz="0" w:space="0" w:color="auto"/>
        <w:left w:val="none" w:sz="0" w:space="0" w:color="auto"/>
        <w:bottom w:val="none" w:sz="0" w:space="0" w:color="auto"/>
        <w:right w:val="none" w:sz="0" w:space="0" w:color="auto"/>
      </w:divBdr>
      <w:divsChild>
        <w:div w:id="1039627660">
          <w:marLeft w:val="0"/>
          <w:marRight w:val="1"/>
          <w:marTop w:val="0"/>
          <w:marBottom w:val="0"/>
          <w:divBdr>
            <w:top w:val="none" w:sz="0" w:space="0" w:color="auto"/>
            <w:left w:val="none" w:sz="0" w:space="0" w:color="auto"/>
            <w:bottom w:val="none" w:sz="0" w:space="0" w:color="auto"/>
            <w:right w:val="none" w:sz="0" w:space="0" w:color="auto"/>
          </w:divBdr>
          <w:divsChild>
            <w:div w:id="810708060">
              <w:marLeft w:val="0"/>
              <w:marRight w:val="0"/>
              <w:marTop w:val="0"/>
              <w:marBottom w:val="0"/>
              <w:divBdr>
                <w:top w:val="none" w:sz="0" w:space="0" w:color="auto"/>
                <w:left w:val="none" w:sz="0" w:space="0" w:color="auto"/>
                <w:bottom w:val="none" w:sz="0" w:space="0" w:color="auto"/>
                <w:right w:val="none" w:sz="0" w:space="0" w:color="auto"/>
              </w:divBdr>
              <w:divsChild>
                <w:div w:id="530650058">
                  <w:marLeft w:val="0"/>
                  <w:marRight w:val="1"/>
                  <w:marTop w:val="0"/>
                  <w:marBottom w:val="0"/>
                  <w:divBdr>
                    <w:top w:val="none" w:sz="0" w:space="0" w:color="auto"/>
                    <w:left w:val="none" w:sz="0" w:space="0" w:color="auto"/>
                    <w:bottom w:val="none" w:sz="0" w:space="0" w:color="auto"/>
                    <w:right w:val="none" w:sz="0" w:space="0" w:color="auto"/>
                  </w:divBdr>
                  <w:divsChild>
                    <w:div w:id="1596590271">
                      <w:marLeft w:val="0"/>
                      <w:marRight w:val="0"/>
                      <w:marTop w:val="0"/>
                      <w:marBottom w:val="0"/>
                      <w:divBdr>
                        <w:top w:val="none" w:sz="0" w:space="0" w:color="auto"/>
                        <w:left w:val="none" w:sz="0" w:space="0" w:color="auto"/>
                        <w:bottom w:val="none" w:sz="0" w:space="0" w:color="auto"/>
                        <w:right w:val="none" w:sz="0" w:space="0" w:color="auto"/>
                      </w:divBdr>
                      <w:divsChild>
                        <w:div w:id="2087191424">
                          <w:marLeft w:val="0"/>
                          <w:marRight w:val="0"/>
                          <w:marTop w:val="0"/>
                          <w:marBottom w:val="0"/>
                          <w:divBdr>
                            <w:top w:val="none" w:sz="0" w:space="0" w:color="auto"/>
                            <w:left w:val="none" w:sz="0" w:space="0" w:color="auto"/>
                            <w:bottom w:val="none" w:sz="0" w:space="0" w:color="auto"/>
                            <w:right w:val="none" w:sz="0" w:space="0" w:color="auto"/>
                          </w:divBdr>
                          <w:divsChild>
                            <w:div w:id="1753046316">
                              <w:marLeft w:val="0"/>
                              <w:marRight w:val="0"/>
                              <w:marTop w:val="120"/>
                              <w:marBottom w:val="360"/>
                              <w:divBdr>
                                <w:top w:val="none" w:sz="0" w:space="0" w:color="auto"/>
                                <w:left w:val="none" w:sz="0" w:space="0" w:color="auto"/>
                                <w:bottom w:val="none" w:sz="0" w:space="0" w:color="auto"/>
                                <w:right w:val="none" w:sz="0" w:space="0" w:color="auto"/>
                              </w:divBdr>
                              <w:divsChild>
                                <w:div w:id="1665543717">
                                  <w:marLeft w:val="0"/>
                                  <w:marRight w:val="0"/>
                                  <w:marTop w:val="0"/>
                                  <w:marBottom w:val="0"/>
                                  <w:divBdr>
                                    <w:top w:val="none" w:sz="0" w:space="0" w:color="auto"/>
                                    <w:left w:val="none" w:sz="0" w:space="0" w:color="auto"/>
                                    <w:bottom w:val="none" w:sz="0" w:space="0" w:color="auto"/>
                                    <w:right w:val="none" w:sz="0" w:space="0" w:color="auto"/>
                                  </w:divBdr>
                                </w:div>
                                <w:div w:id="17191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49623">
                          <w:marLeft w:val="0"/>
                          <w:marRight w:val="0"/>
                          <w:marTop w:val="0"/>
                          <w:marBottom w:val="0"/>
                          <w:divBdr>
                            <w:top w:val="none" w:sz="0" w:space="0" w:color="auto"/>
                            <w:left w:val="none" w:sz="0" w:space="0" w:color="auto"/>
                            <w:bottom w:val="none" w:sz="0" w:space="0" w:color="auto"/>
                            <w:right w:val="none" w:sz="0" w:space="0" w:color="auto"/>
                          </w:divBdr>
                          <w:divsChild>
                            <w:div w:id="11687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363941">
      <w:bodyDiv w:val="1"/>
      <w:marLeft w:val="0"/>
      <w:marRight w:val="0"/>
      <w:marTop w:val="0"/>
      <w:marBottom w:val="0"/>
      <w:divBdr>
        <w:top w:val="none" w:sz="0" w:space="0" w:color="auto"/>
        <w:left w:val="none" w:sz="0" w:space="0" w:color="auto"/>
        <w:bottom w:val="none" w:sz="0" w:space="0" w:color="auto"/>
        <w:right w:val="none" w:sz="0" w:space="0" w:color="auto"/>
      </w:divBdr>
      <w:divsChild>
        <w:div w:id="2122063962">
          <w:marLeft w:val="0"/>
          <w:marRight w:val="0"/>
          <w:marTop w:val="300"/>
          <w:marBottom w:val="0"/>
          <w:divBdr>
            <w:top w:val="none" w:sz="0" w:space="0" w:color="auto"/>
            <w:left w:val="none" w:sz="0" w:space="0" w:color="auto"/>
            <w:bottom w:val="none" w:sz="0" w:space="0" w:color="auto"/>
            <w:right w:val="none" w:sz="0" w:space="0" w:color="auto"/>
          </w:divBdr>
          <w:divsChild>
            <w:div w:id="1970742034">
              <w:marLeft w:val="0"/>
              <w:marRight w:val="900"/>
              <w:marTop w:val="600"/>
              <w:marBottom w:val="0"/>
              <w:divBdr>
                <w:top w:val="none" w:sz="0" w:space="0" w:color="auto"/>
                <w:left w:val="none" w:sz="0" w:space="0" w:color="auto"/>
                <w:bottom w:val="none" w:sz="0" w:space="0" w:color="auto"/>
                <w:right w:val="none" w:sz="0" w:space="0" w:color="auto"/>
              </w:divBdr>
              <w:divsChild>
                <w:div w:id="1436630300">
                  <w:marLeft w:val="0"/>
                  <w:marRight w:val="0"/>
                  <w:marTop w:val="0"/>
                  <w:marBottom w:val="0"/>
                  <w:divBdr>
                    <w:top w:val="none" w:sz="0" w:space="0" w:color="auto"/>
                    <w:left w:val="none" w:sz="0" w:space="0" w:color="auto"/>
                    <w:bottom w:val="none" w:sz="0" w:space="0" w:color="auto"/>
                    <w:right w:val="none" w:sz="0" w:space="0" w:color="auto"/>
                  </w:divBdr>
                  <w:divsChild>
                    <w:div w:id="1295332097">
                      <w:marLeft w:val="0"/>
                      <w:marRight w:val="0"/>
                      <w:marTop w:val="300"/>
                      <w:marBottom w:val="0"/>
                      <w:divBdr>
                        <w:top w:val="none" w:sz="0" w:space="0" w:color="auto"/>
                        <w:left w:val="none" w:sz="0" w:space="0" w:color="auto"/>
                        <w:bottom w:val="none" w:sz="0" w:space="0" w:color="auto"/>
                        <w:right w:val="none" w:sz="0" w:space="0" w:color="auto"/>
                      </w:divBdr>
                      <w:divsChild>
                        <w:div w:id="786201564">
                          <w:marLeft w:val="0"/>
                          <w:marRight w:val="0"/>
                          <w:marTop w:val="0"/>
                          <w:marBottom w:val="0"/>
                          <w:divBdr>
                            <w:top w:val="none" w:sz="0" w:space="0" w:color="auto"/>
                            <w:left w:val="none" w:sz="0" w:space="0" w:color="auto"/>
                            <w:bottom w:val="none" w:sz="0" w:space="0" w:color="auto"/>
                            <w:right w:val="none" w:sz="0" w:space="0" w:color="auto"/>
                          </w:divBdr>
                        </w:div>
                      </w:divsChild>
                    </w:div>
                    <w:div w:id="2050563418">
                      <w:marLeft w:val="0"/>
                      <w:marRight w:val="0"/>
                      <w:marTop w:val="300"/>
                      <w:marBottom w:val="0"/>
                      <w:divBdr>
                        <w:top w:val="none" w:sz="0" w:space="0" w:color="auto"/>
                        <w:left w:val="none" w:sz="0" w:space="0" w:color="auto"/>
                        <w:bottom w:val="none" w:sz="0" w:space="0" w:color="auto"/>
                        <w:right w:val="none" w:sz="0" w:space="0" w:color="auto"/>
                      </w:divBdr>
                      <w:divsChild>
                        <w:div w:id="12919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02674">
      <w:bodyDiv w:val="1"/>
      <w:marLeft w:val="0"/>
      <w:marRight w:val="0"/>
      <w:marTop w:val="0"/>
      <w:marBottom w:val="0"/>
      <w:divBdr>
        <w:top w:val="none" w:sz="0" w:space="0" w:color="auto"/>
        <w:left w:val="none" w:sz="0" w:space="0" w:color="auto"/>
        <w:bottom w:val="none" w:sz="0" w:space="0" w:color="auto"/>
        <w:right w:val="none" w:sz="0" w:space="0" w:color="auto"/>
      </w:divBdr>
      <w:divsChild>
        <w:div w:id="1207521947">
          <w:marLeft w:val="0"/>
          <w:marRight w:val="1"/>
          <w:marTop w:val="0"/>
          <w:marBottom w:val="0"/>
          <w:divBdr>
            <w:top w:val="none" w:sz="0" w:space="0" w:color="auto"/>
            <w:left w:val="none" w:sz="0" w:space="0" w:color="auto"/>
            <w:bottom w:val="none" w:sz="0" w:space="0" w:color="auto"/>
            <w:right w:val="none" w:sz="0" w:space="0" w:color="auto"/>
          </w:divBdr>
          <w:divsChild>
            <w:div w:id="1149397842">
              <w:marLeft w:val="0"/>
              <w:marRight w:val="0"/>
              <w:marTop w:val="0"/>
              <w:marBottom w:val="0"/>
              <w:divBdr>
                <w:top w:val="none" w:sz="0" w:space="0" w:color="auto"/>
                <w:left w:val="none" w:sz="0" w:space="0" w:color="auto"/>
                <w:bottom w:val="none" w:sz="0" w:space="0" w:color="auto"/>
                <w:right w:val="none" w:sz="0" w:space="0" w:color="auto"/>
              </w:divBdr>
              <w:divsChild>
                <w:div w:id="1820884816">
                  <w:marLeft w:val="0"/>
                  <w:marRight w:val="1"/>
                  <w:marTop w:val="0"/>
                  <w:marBottom w:val="0"/>
                  <w:divBdr>
                    <w:top w:val="none" w:sz="0" w:space="0" w:color="auto"/>
                    <w:left w:val="none" w:sz="0" w:space="0" w:color="auto"/>
                    <w:bottom w:val="none" w:sz="0" w:space="0" w:color="auto"/>
                    <w:right w:val="none" w:sz="0" w:space="0" w:color="auto"/>
                  </w:divBdr>
                  <w:divsChild>
                    <w:div w:id="2014867703">
                      <w:marLeft w:val="0"/>
                      <w:marRight w:val="0"/>
                      <w:marTop w:val="0"/>
                      <w:marBottom w:val="0"/>
                      <w:divBdr>
                        <w:top w:val="none" w:sz="0" w:space="0" w:color="auto"/>
                        <w:left w:val="none" w:sz="0" w:space="0" w:color="auto"/>
                        <w:bottom w:val="none" w:sz="0" w:space="0" w:color="auto"/>
                        <w:right w:val="none" w:sz="0" w:space="0" w:color="auto"/>
                      </w:divBdr>
                      <w:divsChild>
                        <w:div w:id="1070738351">
                          <w:marLeft w:val="0"/>
                          <w:marRight w:val="0"/>
                          <w:marTop w:val="0"/>
                          <w:marBottom w:val="0"/>
                          <w:divBdr>
                            <w:top w:val="none" w:sz="0" w:space="0" w:color="auto"/>
                            <w:left w:val="none" w:sz="0" w:space="0" w:color="auto"/>
                            <w:bottom w:val="none" w:sz="0" w:space="0" w:color="auto"/>
                            <w:right w:val="none" w:sz="0" w:space="0" w:color="auto"/>
                          </w:divBdr>
                          <w:divsChild>
                            <w:div w:id="833301622">
                              <w:marLeft w:val="0"/>
                              <w:marRight w:val="0"/>
                              <w:marTop w:val="120"/>
                              <w:marBottom w:val="360"/>
                              <w:divBdr>
                                <w:top w:val="none" w:sz="0" w:space="0" w:color="auto"/>
                                <w:left w:val="none" w:sz="0" w:space="0" w:color="auto"/>
                                <w:bottom w:val="none" w:sz="0" w:space="0" w:color="auto"/>
                                <w:right w:val="none" w:sz="0" w:space="0" w:color="auto"/>
                              </w:divBdr>
                              <w:divsChild>
                                <w:div w:id="339897346">
                                  <w:marLeft w:val="0"/>
                                  <w:marRight w:val="0"/>
                                  <w:marTop w:val="0"/>
                                  <w:marBottom w:val="0"/>
                                  <w:divBdr>
                                    <w:top w:val="none" w:sz="0" w:space="0" w:color="auto"/>
                                    <w:left w:val="none" w:sz="0" w:space="0" w:color="auto"/>
                                    <w:bottom w:val="none" w:sz="0" w:space="0" w:color="auto"/>
                                    <w:right w:val="none" w:sz="0" w:space="0" w:color="auto"/>
                                  </w:divBdr>
                                </w:div>
                                <w:div w:id="17696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463519">
      <w:bodyDiv w:val="1"/>
      <w:marLeft w:val="0"/>
      <w:marRight w:val="0"/>
      <w:marTop w:val="0"/>
      <w:marBottom w:val="0"/>
      <w:divBdr>
        <w:top w:val="none" w:sz="0" w:space="0" w:color="auto"/>
        <w:left w:val="none" w:sz="0" w:space="0" w:color="auto"/>
        <w:bottom w:val="none" w:sz="0" w:space="0" w:color="auto"/>
        <w:right w:val="none" w:sz="0" w:space="0" w:color="auto"/>
      </w:divBdr>
      <w:divsChild>
        <w:div w:id="1136873219">
          <w:marLeft w:val="0"/>
          <w:marRight w:val="0"/>
          <w:marTop w:val="0"/>
          <w:marBottom w:val="0"/>
          <w:divBdr>
            <w:top w:val="none" w:sz="0" w:space="0" w:color="auto"/>
            <w:left w:val="none" w:sz="0" w:space="0" w:color="auto"/>
            <w:bottom w:val="none" w:sz="0" w:space="0" w:color="auto"/>
            <w:right w:val="none" w:sz="0" w:space="0" w:color="auto"/>
          </w:divBdr>
          <w:divsChild>
            <w:div w:id="1182360895">
              <w:marLeft w:val="0"/>
              <w:marRight w:val="0"/>
              <w:marTop w:val="0"/>
              <w:marBottom w:val="0"/>
              <w:divBdr>
                <w:top w:val="none" w:sz="0" w:space="0" w:color="auto"/>
                <w:left w:val="none" w:sz="0" w:space="0" w:color="auto"/>
                <w:bottom w:val="none" w:sz="0" w:space="0" w:color="auto"/>
                <w:right w:val="none" w:sz="0" w:space="0" w:color="auto"/>
              </w:divBdr>
              <w:divsChild>
                <w:div w:id="468598033">
                  <w:marLeft w:val="0"/>
                  <w:marRight w:val="0"/>
                  <w:marTop w:val="0"/>
                  <w:marBottom w:val="0"/>
                  <w:divBdr>
                    <w:top w:val="none" w:sz="0" w:space="0" w:color="auto"/>
                    <w:left w:val="none" w:sz="0" w:space="0" w:color="auto"/>
                    <w:bottom w:val="none" w:sz="0" w:space="0" w:color="auto"/>
                    <w:right w:val="none" w:sz="0" w:space="0" w:color="auto"/>
                  </w:divBdr>
                  <w:divsChild>
                    <w:div w:id="347295880">
                      <w:marLeft w:val="0"/>
                      <w:marRight w:val="0"/>
                      <w:marTop w:val="0"/>
                      <w:marBottom w:val="0"/>
                      <w:divBdr>
                        <w:top w:val="none" w:sz="0" w:space="0" w:color="auto"/>
                        <w:left w:val="none" w:sz="0" w:space="0" w:color="auto"/>
                        <w:bottom w:val="none" w:sz="0" w:space="0" w:color="auto"/>
                        <w:right w:val="none" w:sz="0" w:space="0" w:color="auto"/>
                      </w:divBdr>
                      <w:divsChild>
                        <w:div w:id="1417050645">
                          <w:marLeft w:val="0"/>
                          <w:marRight w:val="0"/>
                          <w:marTop w:val="0"/>
                          <w:marBottom w:val="0"/>
                          <w:divBdr>
                            <w:top w:val="none" w:sz="0" w:space="0" w:color="auto"/>
                            <w:left w:val="none" w:sz="0" w:space="0" w:color="auto"/>
                            <w:bottom w:val="none" w:sz="0" w:space="0" w:color="auto"/>
                            <w:right w:val="none" w:sz="0" w:space="0" w:color="auto"/>
                          </w:divBdr>
                          <w:divsChild>
                            <w:div w:id="2000380140">
                              <w:marLeft w:val="0"/>
                              <w:marRight w:val="0"/>
                              <w:marTop w:val="0"/>
                              <w:marBottom w:val="0"/>
                              <w:divBdr>
                                <w:top w:val="none" w:sz="0" w:space="0" w:color="auto"/>
                                <w:left w:val="none" w:sz="0" w:space="0" w:color="auto"/>
                                <w:bottom w:val="none" w:sz="0" w:space="0" w:color="auto"/>
                                <w:right w:val="none" w:sz="0" w:space="0" w:color="auto"/>
                              </w:divBdr>
                              <w:divsChild>
                                <w:div w:id="1716614759">
                                  <w:marLeft w:val="0"/>
                                  <w:marRight w:val="0"/>
                                  <w:marTop w:val="0"/>
                                  <w:marBottom w:val="0"/>
                                  <w:divBdr>
                                    <w:top w:val="none" w:sz="0" w:space="0" w:color="auto"/>
                                    <w:left w:val="none" w:sz="0" w:space="0" w:color="auto"/>
                                    <w:bottom w:val="none" w:sz="0" w:space="0" w:color="auto"/>
                                    <w:right w:val="none" w:sz="0" w:space="0" w:color="auto"/>
                                  </w:divBdr>
                                  <w:divsChild>
                                    <w:div w:id="848174185">
                                      <w:marLeft w:val="0"/>
                                      <w:marRight w:val="0"/>
                                      <w:marTop w:val="0"/>
                                      <w:marBottom w:val="0"/>
                                      <w:divBdr>
                                        <w:top w:val="none" w:sz="0" w:space="0" w:color="auto"/>
                                        <w:left w:val="none" w:sz="0" w:space="0" w:color="auto"/>
                                        <w:bottom w:val="none" w:sz="0" w:space="0" w:color="auto"/>
                                        <w:right w:val="none" w:sz="0" w:space="0" w:color="auto"/>
                                      </w:divBdr>
                                      <w:divsChild>
                                        <w:div w:id="5152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544237">
      <w:bodyDiv w:val="1"/>
      <w:marLeft w:val="0"/>
      <w:marRight w:val="0"/>
      <w:marTop w:val="0"/>
      <w:marBottom w:val="0"/>
      <w:divBdr>
        <w:top w:val="none" w:sz="0" w:space="0" w:color="auto"/>
        <w:left w:val="none" w:sz="0" w:space="0" w:color="auto"/>
        <w:bottom w:val="none" w:sz="0" w:space="0" w:color="auto"/>
        <w:right w:val="none" w:sz="0" w:space="0" w:color="auto"/>
      </w:divBdr>
    </w:div>
    <w:div w:id="1165896166">
      <w:bodyDiv w:val="1"/>
      <w:marLeft w:val="0"/>
      <w:marRight w:val="0"/>
      <w:marTop w:val="0"/>
      <w:marBottom w:val="0"/>
      <w:divBdr>
        <w:top w:val="none" w:sz="0" w:space="0" w:color="auto"/>
        <w:left w:val="none" w:sz="0" w:space="0" w:color="auto"/>
        <w:bottom w:val="none" w:sz="0" w:space="0" w:color="auto"/>
        <w:right w:val="none" w:sz="0" w:space="0" w:color="auto"/>
      </w:divBdr>
      <w:divsChild>
        <w:div w:id="690032379">
          <w:marLeft w:val="0"/>
          <w:marRight w:val="0"/>
          <w:marTop w:val="0"/>
          <w:marBottom w:val="0"/>
          <w:divBdr>
            <w:top w:val="none" w:sz="0" w:space="0" w:color="auto"/>
            <w:left w:val="none" w:sz="0" w:space="0" w:color="auto"/>
            <w:bottom w:val="none" w:sz="0" w:space="0" w:color="auto"/>
            <w:right w:val="none" w:sz="0" w:space="0" w:color="auto"/>
          </w:divBdr>
          <w:divsChild>
            <w:div w:id="1999067323">
              <w:marLeft w:val="0"/>
              <w:marRight w:val="0"/>
              <w:marTop w:val="0"/>
              <w:marBottom w:val="0"/>
              <w:divBdr>
                <w:top w:val="none" w:sz="0" w:space="0" w:color="auto"/>
                <w:left w:val="none" w:sz="0" w:space="0" w:color="auto"/>
                <w:bottom w:val="none" w:sz="0" w:space="0" w:color="auto"/>
                <w:right w:val="none" w:sz="0" w:space="0" w:color="auto"/>
              </w:divBdr>
              <w:divsChild>
                <w:div w:id="390157551">
                  <w:marLeft w:val="0"/>
                  <w:marRight w:val="0"/>
                  <w:marTop w:val="0"/>
                  <w:marBottom w:val="0"/>
                  <w:divBdr>
                    <w:top w:val="none" w:sz="0" w:space="0" w:color="auto"/>
                    <w:left w:val="none" w:sz="0" w:space="0" w:color="auto"/>
                    <w:bottom w:val="none" w:sz="0" w:space="0" w:color="auto"/>
                    <w:right w:val="none" w:sz="0" w:space="0" w:color="auto"/>
                  </w:divBdr>
                  <w:divsChild>
                    <w:div w:id="1381439156">
                      <w:marLeft w:val="0"/>
                      <w:marRight w:val="0"/>
                      <w:marTop w:val="0"/>
                      <w:marBottom w:val="0"/>
                      <w:divBdr>
                        <w:top w:val="none" w:sz="0" w:space="0" w:color="auto"/>
                        <w:left w:val="none" w:sz="0" w:space="0" w:color="auto"/>
                        <w:bottom w:val="none" w:sz="0" w:space="0" w:color="auto"/>
                        <w:right w:val="none" w:sz="0" w:space="0" w:color="auto"/>
                      </w:divBdr>
                      <w:divsChild>
                        <w:div w:id="633222643">
                          <w:marLeft w:val="0"/>
                          <w:marRight w:val="0"/>
                          <w:marTop w:val="0"/>
                          <w:marBottom w:val="0"/>
                          <w:divBdr>
                            <w:top w:val="none" w:sz="0" w:space="0" w:color="auto"/>
                            <w:left w:val="none" w:sz="0" w:space="0" w:color="auto"/>
                            <w:bottom w:val="none" w:sz="0" w:space="0" w:color="auto"/>
                            <w:right w:val="none" w:sz="0" w:space="0" w:color="auto"/>
                          </w:divBdr>
                          <w:divsChild>
                            <w:div w:id="826749383">
                              <w:marLeft w:val="0"/>
                              <w:marRight w:val="0"/>
                              <w:marTop w:val="0"/>
                              <w:marBottom w:val="0"/>
                              <w:divBdr>
                                <w:top w:val="none" w:sz="0" w:space="0" w:color="auto"/>
                                <w:left w:val="none" w:sz="0" w:space="0" w:color="auto"/>
                                <w:bottom w:val="none" w:sz="0" w:space="0" w:color="auto"/>
                                <w:right w:val="none" w:sz="0" w:space="0" w:color="auto"/>
                              </w:divBdr>
                              <w:divsChild>
                                <w:div w:id="734276048">
                                  <w:marLeft w:val="0"/>
                                  <w:marRight w:val="0"/>
                                  <w:marTop w:val="0"/>
                                  <w:marBottom w:val="0"/>
                                  <w:divBdr>
                                    <w:top w:val="none" w:sz="0" w:space="0" w:color="auto"/>
                                    <w:left w:val="none" w:sz="0" w:space="0" w:color="auto"/>
                                    <w:bottom w:val="none" w:sz="0" w:space="0" w:color="auto"/>
                                    <w:right w:val="none" w:sz="0" w:space="0" w:color="auto"/>
                                  </w:divBdr>
                                  <w:divsChild>
                                    <w:div w:id="97995459">
                                      <w:marLeft w:val="0"/>
                                      <w:marRight w:val="0"/>
                                      <w:marTop w:val="0"/>
                                      <w:marBottom w:val="0"/>
                                      <w:divBdr>
                                        <w:top w:val="none" w:sz="0" w:space="0" w:color="auto"/>
                                        <w:left w:val="none" w:sz="0" w:space="0" w:color="auto"/>
                                        <w:bottom w:val="none" w:sz="0" w:space="0" w:color="auto"/>
                                        <w:right w:val="none" w:sz="0" w:space="0" w:color="auto"/>
                                      </w:divBdr>
                                    </w:div>
                                    <w:div w:id="4753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564079">
      <w:bodyDiv w:val="1"/>
      <w:marLeft w:val="0"/>
      <w:marRight w:val="0"/>
      <w:marTop w:val="0"/>
      <w:marBottom w:val="0"/>
      <w:divBdr>
        <w:top w:val="none" w:sz="0" w:space="0" w:color="auto"/>
        <w:left w:val="none" w:sz="0" w:space="0" w:color="auto"/>
        <w:bottom w:val="none" w:sz="0" w:space="0" w:color="auto"/>
        <w:right w:val="none" w:sz="0" w:space="0" w:color="auto"/>
      </w:divBdr>
      <w:divsChild>
        <w:div w:id="1109280595">
          <w:marLeft w:val="0"/>
          <w:marRight w:val="1"/>
          <w:marTop w:val="0"/>
          <w:marBottom w:val="0"/>
          <w:divBdr>
            <w:top w:val="none" w:sz="0" w:space="0" w:color="auto"/>
            <w:left w:val="none" w:sz="0" w:space="0" w:color="auto"/>
            <w:bottom w:val="none" w:sz="0" w:space="0" w:color="auto"/>
            <w:right w:val="none" w:sz="0" w:space="0" w:color="auto"/>
          </w:divBdr>
          <w:divsChild>
            <w:div w:id="1644768247">
              <w:marLeft w:val="0"/>
              <w:marRight w:val="0"/>
              <w:marTop w:val="0"/>
              <w:marBottom w:val="0"/>
              <w:divBdr>
                <w:top w:val="none" w:sz="0" w:space="0" w:color="auto"/>
                <w:left w:val="none" w:sz="0" w:space="0" w:color="auto"/>
                <w:bottom w:val="none" w:sz="0" w:space="0" w:color="auto"/>
                <w:right w:val="none" w:sz="0" w:space="0" w:color="auto"/>
              </w:divBdr>
              <w:divsChild>
                <w:div w:id="1951625356">
                  <w:marLeft w:val="0"/>
                  <w:marRight w:val="1"/>
                  <w:marTop w:val="0"/>
                  <w:marBottom w:val="0"/>
                  <w:divBdr>
                    <w:top w:val="none" w:sz="0" w:space="0" w:color="auto"/>
                    <w:left w:val="none" w:sz="0" w:space="0" w:color="auto"/>
                    <w:bottom w:val="none" w:sz="0" w:space="0" w:color="auto"/>
                    <w:right w:val="none" w:sz="0" w:space="0" w:color="auto"/>
                  </w:divBdr>
                  <w:divsChild>
                    <w:div w:id="850219187">
                      <w:marLeft w:val="0"/>
                      <w:marRight w:val="0"/>
                      <w:marTop w:val="0"/>
                      <w:marBottom w:val="0"/>
                      <w:divBdr>
                        <w:top w:val="none" w:sz="0" w:space="0" w:color="auto"/>
                        <w:left w:val="none" w:sz="0" w:space="0" w:color="auto"/>
                        <w:bottom w:val="none" w:sz="0" w:space="0" w:color="auto"/>
                        <w:right w:val="none" w:sz="0" w:space="0" w:color="auto"/>
                      </w:divBdr>
                      <w:divsChild>
                        <w:div w:id="1894268483">
                          <w:marLeft w:val="0"/>
                          <w:marRight w:val="0"/>
                          <w:marTop w:val="0"/>
                          <w:marBottom w:val="0"/>
                          <w:divBdr>
                            <w:top w:val="none" w:sz="0" w:space="0" w:color="auto"/>
                            <w:left w:val="none" w:sz="0" w:space="0" w:color="auto"/>
                            <w:bottom w:val="none" w:sz="0" w:space="0" w:color="auto"/>
                            <w:right w:val="none" w:sz="0" w:space="0" w:color="auto"/>
                          </w:divBdr>
                          <w:divsChild>
                            <w:div w:id="780876347">
                              <w:marLeft w:val="0"/>
                              <w:marRight w:val="0"/>
                              <w:marTop w:val="120"/>
                              <w:marBottom w:val="360"/>
                              <w:divBdr>
                                <w:top w:val="none" w:sz="0" w:space="0" w:color="auto"/>
                                <w:left w:val="none" w:sz="0" w:space="0" w:color="auto"/>
                                <w:bottom w:val="none" w:sz="0" w:space="0" w:color="auto"/>
                                <w:right w:val="none" w:sz="0" w:space="0" w:color="auto"/>
                              </w:divBdr>
                              <w:divsChild>
                                <w:div w:id="1804999803">
                                  <w:marLeft w:val="420"/>
                                  <w:marRight w:val="0"/>
                                  <w:marTop w:val="0"/>
                                  <w:marBottom w:val="0"/>
                                  <w:divBdr>
                                    <w:top w:val="none" w:sz="0" w:space="0" w:color="auto"/>
                                    <w:left w:val="none" w:sz="0" w:space="0" w:color="auto"/>
                                    <w:bottom w:val="none" w:sz="0" w:space="0" w:color="auto"/>
                                    <w:right w:val="none" w:sz="0" w:space="0" w:color="auto"/>
                                  </w:divBdr>
                                  <w:divsChild>
                                    <w:div w:id="99942401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017193">
      <w:bodyDiv w:val="1"/>
      <w:marLeft w:val="0"/>
      <w:marRight w:val="0"/>
      <w:marTop w:val="0"/>
      <w:marBottom w:val="0"/>
      <w:divBdr>
        <w:top w:val="none" w:sz="0" w:space="0" w:color="auto"/>
        <w:left w:val="none" w:sz="0" w:space="0" w:color="auto"/>
        <w:bottom w:val="none" w:sz="0" w:space="0" w:color="auto"/>
        <w:right w:val="none" w:sz="0" w:space="0" w:color="auto"/>
      </w:divBdr>
      <w:divsChild>
        <w:div w:id="170074213">
          <w:marLeft w:val="0"/>
          <w:marRight w:val="1"/>
          <w:marTop w:val="0"/>
          <w:marBottom w:val="0"/>
          <w:divBdr>
            <w:top w:val="none" w:sz="0" w:space="0" w:color="auto"/>
            <w:left w:val="none" w:sz="0" w:space="0" w:color="auto"/>
            <w:bottom w:val="none" w:sz="0" w:space="0" w:color="auto"/>
            <w:right w:val="none" w:sz="0" w:space="0" w:color="auto"/>
          </w:divBdr>
          <w:divsChild>
            <w:div w:id="148985455">
              <w:marLeft w:val="0"/>
              <w:marRight w:val="0"/>
              <w:marTop w:val="0"/>
              <w:marBottom w:val="0"/>
              <w:divBdr>
                <w:top w:val="none" w:sz="0" w:space="0" w:color="auto"/>
                <w:left w:val="none" w:sz="0" w:space="0" w:color="auto"/>
                <w:bottom w:val="none" w:sz="0" w:space="0" w:color="auto"/>
                <w:right w:val="none" w:sz="0" w:space="0" w:color="auto"/>
              </w:divBdr>
              <w:divsChild>
                <w:div w:id="1661613890">
                  <w:marLeft w:val="0"/>
                  <w:marRight w:val="1"/>
                  <w:marTop w:val="0"/>
                  <w:marBottom w:val="0"/>
                  <w:divBdr>
                    <w:top w:val="none" w:sz="0" w:space="0" w:color="auto"/>
                    <w:left w:val="none" w:sz="0" w:space="0" w:color="auto"/>
                    <w:bottom w:val="none" w:sz="0" w:space="0" w:color="auto"/>
                    <w:right w:val="none" w:sz="0" w:space="0" w:color="auto"/>
                  </w:divBdr>
                  <w:divsChild>
                    <w:div w:id="1926379173">
                      <w:marLeft w:val="0"/>
                      <w:marRight w:val="0"/>
                      <w:marTop w:val="0"/>
                      <w:marBottom w:val="0"/>
                      <w:divBdr>
                        <w:top w:val="none" w:sz="0" w:space="0" w:color="auto"/>
                        <w:left w:val="none" w:sz="0" w:space="0" w:color="auto"/>
                        <w:bottom w:val="none" w:sz="0" w:space="0" w:color="auto"/>
                        <w:right w:val="none" w:sz="0" w:space="0" w:color="auto"/>
                      </w:divBdr>
                      <w:divsChild>
                        <w:div w:id="265580595">
                          <w:marLeft w:val="0"/>
                          <w:marRight w:val="0"/>
                          <w:marTop w:val="0"/>
                          <w:marBottom w:val="0"/>
                          <w:divBdr>
                            <w:top w:val="none" w:sz="0" w:space="0" w:color="auto"/>
                            <w:left w:val="none" w:sz="0" w:space="0" w:color="auto"/>
                            <w:bottom w:val="none" w:sz="0" w:space="0" w:color="auto"/>
                            <w:right w:val="none" w:sz="0" w:space="0" w:color="auto"/>
                          </w:divBdr>
                          <w:divsChild>
                            <w:div w:id="204635832">
                              <w:marLeft w:val="0"/>
                              <w:marRight w:val="0"/>
                              <w:marTop w:val="120"/>
                              <w:marBottom w:val="360"/>
                              <w:divBdr>
                                <w:top w:val="none" w:sz="0" w:space="0" w:color="auto"/>
                                <w:left w:val="none" w:sz="0" w:space="0" w:color="auto"/>
                                <w:bottom w:val="none" w:sz="0" w:space="0" w:color="auto"/>
                                <w:right w:val="none" w:sz="0" w:space="0" w:color="auto"/>
                              </w:divBdr>
                              <w:divsChild>
                                <w:div w:id="743991934">
                                  <w:marLeft w:val="0"/>
                                  <w:marRight w:val="0"/>
                                  <w:marTop w:val="0"/>
                                  <w:marBottom w:val="0"/>
                                  <w:divBdr>
                                    <w:top w:val="none" w:sz="0" w:space="0" w:color="auto"/>
                                    <w:left w:val="none" w:sz="0" w:space="0" w:color="auto"/>
                                    <w:bottom w:val="none" w:sz="0" w:space="0" w:color="auto"/>
                                    <w:right w:val="none" w:sz="0" w:space="0" w:color="auto"/>
                                  </w:divBdr>
                                </w:div>
                                <w:div w:id="161647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593584">
      <w:bodyDiv w:val="1"/>
      <w:marLeft w:val="0"/>
      <w:marRight w:val="0"/>
      <w:marTop w:val="0"/>
      <w:marBottom w:val="0"/>
      <w:divBdr>
        <w:top w:val="none" w:sz="0" w:space="0" w:color="auto"/>
        <w:left w:val="none" w:sz="0" w:space="0" w:color="auto"/>
        <w:bottom w:val="none" w:sz="0" w:space="0" w:color="auto"/>
        <w:right w:val="none" w:sz="0" w:space="0" w:color="auto"/>
      </w:divBdr>
      <w:divsChild>
        <w:div w:id="1231110791">
          <w:marLeft w:val="0"/>
          <w:marRight w:val="1"/>
          <w:marTop w:val="0"/>
          <w:marBottom w:val="0"/>
          <w:divBdr>
            <w:top w:val="none" w:sz="0" w:space="0" w:color="auto"/>
            <w:left w:val="none" w:sz="0" w:space="0" w:color="auto"/>
            <w:bottom w:val="none" w:sz="0" w:space="0" w:color="auto"/>
            <w:right w:val="none" w:sz="0" w:space="0" w:color="auto"/>
          </w:divBdr>
          <w:divsChild>
            <w:div w:id="583151708">
              <w:marLeft w:val="0"/>
              <w:marRight w:val="0"/>
              <w:marTop w:val="0"/>
              <w:marBottom w:val="0"/>
              <w:divBdr>
                <w:top w:val="none" w:sz="0" w:space="0" w:color="auto"/>
                <w:left w:val="none" w:sz="0" w:space="0" w:color="auto"/>
                <w:bottom w:val="none" w:sz="0" w:space="0" w:color="auto"/>
                <w:right w:val="none" w:sz="0" w:space="0" w:color="auto"/>
              </w:divBdr>
              <w:divsChild>
                <w:div w:id="364067101">
                  <w:marLeft w:val="0"/>
                  <w:marRight w:val="1"/>
                  <w:marTop w:val="0"/>
                  <w:marBottom w:val="0"/>
                  <w:divBdr>
                    <w:top w:val="none" w:sz="0" w:space="0" w:color="auto"/>
                    <w:left w:val="none" w:sz="0" w:space="0" w:color="auto"/>
                    <w:bottom w:val="none" w:sz="0" w:space="0" w:color="auto"/>
                    <w:right w:val="none" w:sz="0" w:space="0" w:color="auto"/>
                  </w:divBdr>
                  <w:divsChild>
                    <w:div w:id="2104758470">
                      <w:marLeft w:val="0"/>
                      <w:marRight w:val="0"/>
                      <w:marTop w:val="0"/>
                      <w:marBottom w:val="0"/>
                      <w:divBdr>
                        <w:top w:val="none" w:sz="0" w:space="0" w:color="auto"/>
                        <w:left w:val="none" w:sz="0" w:space="0" w:color="auto"/>
                        <w:bottom w:val="none" w:sz="0" w:space="0" w:color="auto"/>
                        <w:right w:val="none" w:sz="0" w:space="0" w:color="auto"/>
                      </w:divBdr>
                      <w:divsChild>
                        <w:div w:id="632099814">
                          <w:marLeft w:val="0"/>
                          <w:marRight w:val="0"/>
                          <w:marTop w:val="0"/>
                          <w:marBottom w:val="0"/>
                          <w:divBdr>
                            <w:top w:val="none" w:sz="0" w:space="0" w:color="auto"/>
                            <w:left w:val="none" w:sz="0" w:space="0" w:color="auto"/>
                            <w:bottom w:val="none" w:sz="0" w:space="0" w:color="auto"/>
                            <w:right w:val="none" w:sz="0" w:space="0" w:color="auto"/>
                          </w:divBdr>
                          <w:divsChild>
                            <w:div w:id="338585451">
                              <w:marLeft w:val="0"/>
                              <w:marRight w:val="0"/>
                              <w:marTop w:val="120"/>
                              <w:marBottom w:val="360"/>
                              <w:divBdr>
                                <w:top w:val="none" w:sz="0" w:space="0" w:color="auto"/>
                                <w:left w:val="none" w:sz="0" w:space="0" w:color="auto"/>
                                <w:bottom w:val="none" w:sz="0" w:space="0" w:color="auto"/>
                                <w:right w:val="none" w:sz="0" w:space="0" w:color="auto"/>
                              </w:divBdr>
                              <w:divsChild>
                                <w:div w:id="797146255">
                                  <w:marLeft w:val="420"/>
                                  <w:marRight w:val="0"/>
                                  <w:marTop w:val="0"/>
                                  <w:marBottom w:val="0"/>
                                  <w:divBdr>
                                    <w:top w:val="none" w:sz="0" w:space="0" w:color="auto"/>
                                    <w:left w:val="none" w:sz="0" w:space="0" w:color="auto"/>
                                    <w:bottom w:val="none" w:sz="0" w:space="0" w:color="auto"/>
                                    <w:right w:val="none" w:sz="0" w:space="0" w:color="auto"/>
                                  </w:divBdr>
                                  <w:divsChild>
                                    <w:div w:id="134875565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75069">
      <w:bodyDiv w:val="1"/>
      <w:marLeft w:val="0"/>
      <w:marRight w:val="0"/>
      <w:marTop w:val="0"/>
      <w:marBottom w:val="0"/>
      <w:divBdr>
        <w:top w:val="none" w:sz="0" w:space="0" w:color="auto"/>
        <w:left w:val="none" w:sz="0" w:space="0" w:color="auto"/>
        <w:bottom w:val="none" w:sz="0" w:space="0" w:color="auto"/>
        <w:right w:val="none" w:sz="0" w:space="0" w:color="auto"/>
      </w:divBdr>
    </w:div>
    <w:div w:id="1265573545">
      <w:bodyDiv w:val="1"/>
      <w:marLeft w:val="0"/>
      <w:marRight w:val="0"/>
      <w:marTop w:val="0"/>
      <w:marBottom w:val="0"/>
      <w:divBdr>
        <w:top w:val="none" w:sz="0" w:space="0" w:color="auto"/>
        <w:left w:val="none" w:sz="0" w:space="0" w:color="auto"/>
        <w:bottom w:val="none" w:sz="0" w:space="0" w:color="auto"/>
        <w:right w:val="none" w:sz="0" w:space="0" w:color="auto"/>
      </w:divBdr>
      <w:divsChild>
        <w:div w:id="1598561110">
          <w:marLeft w:val="0"/>
          <w:marRight w:val="1"/>
          <w:marTop w:val="0"/>
          <w:marBottom w:val="0"/>
          <w:divBdr>
            <w:top w:val="none" w:sz="0" w:space="0" w:color="auto"/>
            <w:left w:val="none" w:sz="0" w:space="0" w:color="auto"/>
            <w:bottom w:val="none" w:sz="0" w:space="0" w:color="auto"/>
            <w:right w:val="none" w:sz="0" w:space="0" w:color="auto"/>
          </w:divBdr>
          <w:divsChild>
            <w:div w:id="1130248065">
              <w:marLeft w:val="0"/>
              <w:marRight w:val="0"/>
              <w:marTop w:val="0"/>
              <w:marBottom w:val="0"/>
              <w:divBdr>
                <w:top w:val="none" w:sz="0" w:space="0" w:color="auto"/>
                <w:left w:val="none" w:sz="0" w:space="0" w:color="auto"/>
                <w:bottom w:val="none" w:sz="0" w:space="0" w:color="auto"/>
                <w:right w:val="none" w:sz="0" w:space="0" w:color="auto"/>
              </w:divBdr>
              <w:divsChild>
                <w:div w:id="377054774">
                  <w:marLeft w:val="0"/>
                  <w:marRight w:val="1"/>
                  <w:marTop w:val="0"/>
                  <w:marBottom w:val="0"/>
                  <w:divBdr>
                    <w:top w:val="none" w:sz="0" w:space="0" w:color="auto"/>
                    <w:left w:val="none" w:sz="0" w:space="0" w:color="auto"/>
                    <w:bottom w:val="none" w:sz="0" w:space="0" w:color="auto"/>
                    <w:right w:val="none" w:sz="0" w:space="0" w:color="auto"/>
                  </w:divBdr>
                  <w:divsChild>
                    <w:div w:id="1147549467">
                      <w:marLeft w:val="0"/>
                      <w:marRight w:val="0"/>
                      <w:marTop w:val="0"/>
                      <w:marBottom w:val="0"/>
                      <w:divBdr>
                        <w:top w:val="none" w:sz="0" w:space="0" w:color="auto"/>
                        <w:left w:val="none" w:sz="0" w:space="0" w:color="auto"/>
                        <w:bottom w:val="none" w:sz="0" w:space="0" w:color="auto"/>
                        <w:right w:val="none" w:sz="0" w:space="0" w:color="auto"/>
                      </w:divBdr>
                      <w:divsChild>
                        <w:div w:id="328872892">
                          <w:marLeft w:val="0"/>
                          <w:marRight w:val="0"/>
                          <w:marTop w:val="0"/>
                          <w:marBottom w:val="0"/>
                          <w:divBdr>
                            <w:top w:val="none" w:sz="0" w:space="0" w:color="auto"/>
                            <w:left w:val="none" w:sz="0" w:space="0" w:color="auto"/>
                            <w:bottom w:val="none" w:sz="0" w:space="0" w:color="auto"/>
                            <w:right w:val="none" w:sz="0" w:space="0" w:color="auto"/>
                          </w:divBdr>
                          <w:divsChild>
                            <w:div w:id="1046444254">
                              <w:marLeft w:val="0"/>
                              <w:marRight w:val="0"/>
                              <w:marTop w:val="120"/>
                              <w:marBottom w:val="360"/>
                              <w:divBdr>
                                <w:top w:val="none" w:sz="0" w:space="0" w:color="auto"/>
                                <w:left w:val="none" w:sz="0" w:space="0" w:color="auto"/>
                                <w:bottom w:val="none" w:sz="0" w:space="0" w:color="auto"/>
                                <w:right w:val="none" w:sz="0" w:space="0" w:color="auto"/>
                              </w:divBdr>
                              <w:divsChild>
                                <w:div w:id="589583941">
                                  <w:marLeft w:val="0"/>
                                  <w:marRight w:val="0"/>
                                  <w:marTop w:val="0"/>
                                  <w:marBottom w:val="0"/>
                                  <w:divBdr>
                                    <w:top w:val="none" w:sz="0" w:space="0" w:color="auto"/>
                                    <w:left w:val="none" w:sz="0" w:space="0" w:color="auto"/>
                                    <w:bottom w:val="none" w:sz="0" w:space="0" w:color="auto"/>
                                    <w:right w:val="none" w:sz="0" w:space="0" w:color="auto"/>
                                  </w:divBdr>
                                </w:div>
                                <w:div w:id="17841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102916">
      <w:bodyDiv w:val="1"/>
      <w:marLeft w:val="0"/>
      <w:marRight w:val="0"/>
      <w:marTop w:val="0"/>
      <w:marBottom w:val="0"/>
      <w:divBdr>
        <w:top w:val="none" w:sz="0" w:space="0" w:color="auto"/>
        <w:left w:val="none" w:sz="0" w:space="0" w:color="auto"/>
        <w:bottom w:val="none" w:sz="0" w:space="0" w:color="auto"/>
        <w:right w:val="none" w:sz="0" w:space="0" w:color="auto"/>
      </w:divBdr>
      <w:divsChild>
        <w:div w:id="997147735">
          <w:marLeft w:val="0"/>
          <w:marRight w:val="0"/>
          <w:marTop w:val="0"/>
          <w:marBottom w:val="0"/>
          <w:divBdr>
            <w:top w:val="none" w:sz="0" w:space="0" w:color="auto"/>
            <w:left w:val="none" w:sz="0" w:space="0" w:color="auto"/>
            <w:bottom w:val="none" w:sz="0" w:space="0" w:color="auto"/>
            <w:right w:val="none" w:sz="0" w:space="0" w:color="auto"/>
          </w:divBdr>
          <w:divsChild>
            <w:div w:id="494344125">
              <w:marLeft w:val="0"/>
              <w:marRight w:val="0"/>
              <w:marTop w:val="0"/>
              <w:marBottom w:val="0"/>
              <w:divBdr>
                <w:top w:val="none" w:sz="0" w:space="0" w:color="auto"/>
                <w:left w:val="none" w:sz="0" w:space="0" w:color="auto"/>
                <w:bottom w:val="none" w:sz="0" w:space="0" w:color="auto"/>
                <w:right w:val="none" w:sz="0" w:space="0" w:color="auto"/>
              </w:divBdr>
              <w:divsChild>
                <w:div w:id="1314867473">
                  <w:marLeft w:val="0"/>
                  <w:marRight w:val="-6084"/>
                  <w:marTop w:val="0"/>
                  <w:marBottom w:val="0"/>
                  <w:divBdr>
                    <w:top w:val="none" w:sz="0" w:space="0" w:color="auto"/>
                    <w:left w:val="none" w:sz="0" w:space="0" w:color="auto"/>
                    <w:bottom w:val="none" w:sz="0" w:space="0" w:color="auto"/>
                    <w:right w:val="none" w:sz="0" w:space="0" w:color="auto"/>
                  </w:divBdr>
                  <w:divsChild>
                    <w:div w:id="102500364">
                      <w:marLeft w:val="0"/>
                      <w:marRight w:val="5604"/>
                      <w:marTop w:val="0"/>
                      <w:marBottom w:val="0"/>
                      <w:divBdr>
                        <w:top w:val="none" w:sz="0" w:space="0" w:color="auto"/>
                        <w:left w:val="none" w:sz="0" w:space="0" w:color="auto"/>
                        <w:bottom w:val="none" w:sz="0" w:space="0" w:color="auto"/>
                        <w:right w:val="none" w:sz="0" w:space="0" w:color="auto"/>
                      </w:divBdr>
                      <w:divsChild>
                        <w:div w:id="118426792">
                          <w:marLeft w:val="0"/>
                          <w:marRight w:val="0"/>
                          <w:marTop w:val="0"/>
                          <w:marBottom w:val="0"/>
                          <w:divBdr>
                            <w:top w:val="none" w:sz="0" w:space="0" w:color="auto"/>
                            <w:left w:val="none" w:sz="0" w:space="0" w:color="auto"/>
                            <w:bottom w:val="none" w:sz="0" w:space="0" w:color="auto"/>
                            <w:right w:val="none" w:sz="0" w:space="0" w:color="auto"/>
                          </w:divBdr>
                          <w:divsChild>
                            <w:div w:id="1241674543">
                              <w:marLeft w:val="0"/>
                              <w:marRight w:val="0"/>
                              <w:marTop w:val="120"/>
                              <w:marBottom w:val="360"/>
                              <w:divBdr>
                                <w:top w:val="none" w:sz="0" w:space="0" w:color="auto"/>
                                <w:left w:val="none" w:sz="0" w:space="0" w:color="auto"/>
                                <w:bottom w:val="none" w:sz="0" w:space="0" w:color="auto"/>
                                <w:right w:val="none" w:sz="0" w:space="0" w:color="auto"/>
                              </w:divBdr>
                              <w:divsChild>
                                <w:div w:id="1127356152">
                                  <w:marLeft w:val="336"/>
                                  <w:marRight w:val="0"/>
                                  <w:marTop w:val="0"/>
                                  <w:marBottom w:val="0"/>
                                  <w:divBdr>
                                    <w:top w:val="none" w:sz="0" w:space="0" w:color="auto"/>
                                    <w:left w:val="none" w:sz="0" w:space="0" w:color="auto"/>
                                    <w:bottom w:val="none" w:sz="0" w:space="0" w:color="auto"/>
                                    <w:right w:val="none" w:sz="0" w:space="0" w:color="auto"/>
                                  </w:divBdr>
                                  <w:divsChild>
                                    <w:div w:id="8461492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779418">
      <w:bodyDiv w:val="1"/>
      <w:marLeft w:val="0"/>
      <w:marRight w:val="0"/>
      <w:marTop w:val="0"/>
      <w:marBottom w:val="0"/>
      <w:divBdr>
        <w:top w:val="none" w:sz="0" w:space="0" w:color="auto"/>
        <w:left w:val="none" w:sz="0" w:space="0" w:color="auto"/>
        <w:bottom w:val="none" w:sz="0" w:space="0" w:color="auto"/>
        <w:right w:val="none" w:sz="0" w:space="0" w:color="auto"/>
      </w:divBdr>
      <w:divsChild>
        <w:div w:id="1941638824">
          <w:marLeft w:val="0"/>
          <w:marRight w:val="0"/>
          <w:marTop w:val="0"/>
          <w:marBottom w:val="0"/>
          <w:divBdr>
            <w:top w:val="none" w:sz="0" w:space="0" w:color="auto"/>
            <w:left w:val="none" w:sz="0" w:space="0" w:color="auto"/>
            <w:bottom w:val="none" w:sz="0" w:space="0" w:color="auto"/>
            <w:right w:val="none" w:sz="0" w:space="0" w:color="auto"/>
          </w:divBdr>
          <w:divsChild>
            <w:div w:id="2105223474">
              <w:marLeft w:val="0"/>
              <w:marRight w:val="0"/>
              <w:marTop w:val="0"/>
              <w:marBottom w:val="0"/>
              <w:divBdr>
                <w:top w:val="none" w:sz="0" w:space="0" w:color="auto"/>
                <w:left w:val="none" w:sz="0" w:space="0" w:color="auto"/>
                <w:bottom w:val="none" w:sz="0" w:space="0" w:color="auto"/>
                <w:right w:val="none" w:sz="0" w:space="0" w:color="auto"/>
              </w:divBdr>
              <w:divsChild>
                <w:div w:id="859466412">
                  <w:marLeft w:val="0"/>
                  <w:marRight w:val="0"/>
                  <w:marTop w:val="0"/>
                  <w:marBottom w:val="0"/>
                  <w:divBdr>
                    <w:top w:val="single" w:sz="6" w:space="0" w:color="DDDDDD"/>
                    <w:left w:val="none" w:sz="0" w:space="0" w:color="auto"/>
                    <w:bottom w:val="none" w:sz="0" w:space="0" w:color="auto"/>
                    <w:right w:val="none" w:sz="0" w:space="0" w:color="auto"/>
                  </w:divBdr>
                  <w:divsChild>
                    <w:div w:id="5835411">
                      <w:marLeft w:val="345"/>
                      <w:marRight w:val="360"/>
                      <w:marTop w:val="375"/>
                      <w:marBottom w:val="330"/>
                      <w:divBdr>
                        <w:top w:val="none" w:sz="0" w:space="0" w:color="auto"/>
                        <w:left w:val="none" w:sz="0" w:space="0" w:color="auto"/>
                        <w:bottom w:val="none" w:sz="0" w:space="0" w:color="auto"/>
                        <w:right w:val="none" w:sz="0" w:space="0" w:color="auto"/>
                      </w:divBdr>
                      <w:divsChild>
                        <w:div w:id="1711538436">
                          <w:marLeft w:val="0"/>
                          <w:marRight w:val="0"/>
                          <w:marTop w:val="0"/>
                          <w:marBottom w:val="0"/>
                          <w:divBdr>
                            <w:top w:val="none" w:sz="0" w:space="0" w:color="auto"/>
                            <w:left w:val="none" w:sz="0" w:space="0" w:color="auto"/>
                            <w:bottom w:val="none" w:sz="0" w:space="0" w:color="auto"/>
                            <w:right w:val="none" w:sz="0" w:space="0" w:color="auto"/>
                          </w:divBdr>
                          <w:divsChild>
                            <w:div w:id="2032998468">
                              <w:marLeft w:val="0"/>
                              <w:marRight w:val="0"/>
                              <w:marTop w:val="0"/>
                              <w:marBottom w:val="0"/>
                              <w:divBdr>
                                <w:top w:val="none" w:sz="0" w:space="0" w:color="auto"/>
                                <w:left w:val="none" w:sz="0" w:space="0" w:color="auto"/>
                                <w:bottom w:val="none" w:sz="0" w:space="0" w:color="auto"/>
                                <w:right w:val="none" w:sz="0" w:space="0" w:color="auto"/>
                              </w:divBdr>
                              <w:divsChild>
                                <w:div w:id="1378582170">
                                  <w:marLeft w:val="0"/>
                                  <w:marRight w:val="0"/>
                                  <w:marTop w:val="0"/>
                                  <w:marBottom w:val="0"/>
                                  <w:divBdr>
                                    <w:top w:val="none" w:sz="0" w:space="0" w:color="auto"/>
                                    <w:left w:val="none" w:sz="0" w:space="0" w:color="auto"/>
                                    <w:bottom w:val="none" w:sz="0" w:space="0" w:color="auto"/>
                                    <w:right w:val="none" w:sz="0" w:space="0" w:color="auto"/>
                                  </w:divBdr>
                                  <w:divsChild>
                                    <w:div w:id="12083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064316">
      <w:bodyDiv w:val="1"/>
      <w:marLeft w:val="0"/>
      <w:marRight w:val="0"/>
      <w:marTop w:val="0"/>
      <w:marBottom w:val="0"/>
      <w:divBdr>
        <w:top w:val="none" w:sz="0" w:space="0" w:color="auto"/>
        <w:left w:val="none" w:sz="0" w:space="0" w:color="auto"/>
        <w:bottom w:val="none" w:sz="0" w:space="0" w:color="auto"/>
        <w:right w:val="none" w:sz="0" w:space="0" w:color="auto"/>
      </w:divBdr>
      <w:divsChild>
        <w:div w:id="839000475">
          <w:marLeft w:val="0"/>
          <w:marRight w:val="0"/>
          <w:marTop w:val="0"/>
          <w:marBottom w:val="0"/>
          <w:divBdr>
            <w:top w:val="none" w:sz="0" w:space="0" w:color="auto"/>
            <w:left w:val="none" w:sz="0" w:space="0" w:color="auto"/>
            <w:bottom w:val="none" w:sz="0" w:space="0" w:color="auto"/>
            <w:right w:val="none" w:sz="0" w:space="0" w:color="auto"/>
          </w:divBdr>
          <w:divsChild>
            <w:div w:id="103036029">
              <w:marLeft w:val="0"/>
              <w:marRight w:val="0"/>
              <w:marTop w:val="0"/>
              <w:marBottom w:val="0"/>
              <w:divBdr>
                <w:top w:val="none" w:sz="0" w:space="0" w:color="auto"/>
                <w:left w:val="none" w:sz="0" w:space="0" w:color="auto"/>
                <w:bottom w:val="none" w:sz="0" w:space="0" w:color="auto"/>
                <w:right w:val="none" w:sz="0" w:space="0" w:color="auto"/>
              </w:divBdr>
              <w:divsChild>
                <w:div w:id="699204348">
                  <w:marLeft w:val="0"/>
                  <w:marRight w:val="-6084"/>
                  <w:marTop w:val="0"/>
                  <w:marBottom w:val="0"/>
                  <w:divBdr>
                    <w:top w:val="none" w:sz="0" w:space="0" w:color="auto"/>
                    <w:left w:val="none" w:sz="0" w:space="0" w:color="auto"/>
                    <w:bottom w:val="none" w:sz="0" w:space="0" w:color="auto"/>
                    <w:right w:val="none" w:sz="0" w:space="0" w:color="auto"/>
                  </w:divBdr>
                  <w:divsChild>
                    <w:div w:id="1211923095">
                      <w:marLeft w:val="0"/>
                      <w:marRight w:val="5604"/>
                      <w:marTop w:val="0"/>
                      <w:marBottom w:val="0"/>
                      <w:divBdr>
                        <w:top w:val="none" w:sz="0" w:space="0" w:color="auto"/>
                        <w:left w:val="none" w:sz="0" w:space="0" w:color="auto"/>
                        <w:bottom w:val="none" w:sz="0" w:space="0" w:color="auto"/>
                        <w:right w:val="none" w:sz="0" w:space="0" w:color="auto"/>
                      </w:divBdr>
                      <w:divsChild>
                        <w:div w:id="1633903605">
                          <w:marLeft w:val="0"/>
                          <w:marRight w:val="0"/>
                          <w:marTop w:val="0"/>
                          <w:marBottom w:val="0"/>
                          <w:divBdr>
                            <w:top w:val="none" w:sz="0" w:space="0" w:color="auto"/>
                            <w:left w:val="none" w:sz="0" w:space="0" w:color="auto"/>
                            <w:bottom w:val="none" w:sz="0" w:space="0" w:color="auto"/>
                            <w:right w:val="none" w:sz="0" w:space="0" w:color="auto"/>
                          </w:divBdr>
                          <w:divsChild>
                            <w:div w:id="1304505580">
                              <w:marLeft w:val="0"/>
                              <w:marRight w:val="0"/>
                              <w:marTop w:val="120"/>
                              <w:marBottom w:val="360"/>
                              <w:divBdr>
                                <w:top w:val="none" w:sz="0" w:space="0" w:color="auto"/>
                                <w:left w:val="none" w:sz="0" w:space="0" w:color="auto"/>
                                <w:bottom w:val="none" w:sz="0" w:space="0" w:color="auto"/>
                                <w:right w:val="none" w:sz="0" w:space="0" w:color="auto"/>
                              </w:divBdr>
                              <w:divsChild>
                                <w:div w:id="1311592015">
                                  <w:marLeft w:val="336"/>
                                  <w:marRight w:val="0"/>
                                  <w:marTop w:val="0"/>
                                  <w:marBottom w:val="0"/>
                                  <w:divBdr>
                                    <w:top w:val="none" w:sz="0" w:space="0" w:color="auto"/>
                                    <w:left w:val="none" w:sz="0" w:space="0" w:color="auto"/>
                                    <w:bottom w:val="none" w:sz="0" w:space="0" w:color="auto"/>
                                    <w:right w:val="none" w:sz="0" w:space="0" w:color="auto"/>
                                  </w:divBdr>
                                  <w:divsChild>
                                    <w:div w:id="124611447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704278">
      <w:bodyDiv w:val="1"/>
      <w:marLeft w:val="0"/>
      <w:marRight w:val="0"/>
      <w:marTop w:val="0"/>
      <w:marBottom w:val="0"/>
      <w:divBdr>
        <w:top w:val="none" w:sz="0" w:space="0" w:color="auto"/>
        <w:left w:val="none" w:sz="0" w:space="0" w:color="auto"/>
        <w:bottom w:val="none" w:sz="0" w:space="0" w:color="auto"/>
        <w:right w:val="none" w:sz="0" w:space="0" w:color="auto"/>
      </w:divBdr>
      <w:divsChild>
        <w:div w:id="736585757">
          <w:marLeft w:val="0"/>
          <w:marRight w:val="0"/>
          <w:marTop w:val="0"/>
          <w:marBottom w:val="0"/>
          <w:divBdr>
            <w:top w:val="none" w:sz="0" w:space="0" w:color="auto"/>
            <w:left w:val="none" w:sz="0" w:space="0" w:color="auto"/>
            <w:bottom w:val="none" w:sz="0" w:space="0" w:color="auto"/>
            <w:right w:val="none" w:sz="0" w:space="0" w:color="auto"/>
          </w:divBdr>
          <w:divsChild>
            <w:div w:id="1945306400">
              <w:marLeft w:val="0"/>
              <w:marRight w:val="0"/>
              <w:marTop w:val="0"/>
              <w:marBottom w:val="0"/>
              <w:divBdr>
                <w:top w:val="none" w:sz="0" w:space="0" w:color="auto"/>
                <w:left w:val="none" w:sz="0" w:space="0" w:color="auto"/>
                <w:bottom w:val="none" w:sz="0" w:space="0" w:color="auto"/>
                <w:right w:val="none" w:sz="0" w:space="0" w:color="auto"/>
              </w:divBdr>
              <w:divsChild>
                <w:div w:id="585656190">
                  <w:marLeft w:val="0"/>
                  <w:marRight w:val="0"/>
                  <w:marTop w:val="0"/>
                  <w:marBottom w:val="0"/>
                  <w:divBdr>
                    <w:top w:val="none" w:sz="0" w:space="0" w:color="auto"/>
                    <w:left w:val="none" w:sz="0" w:space="0" w:color="auto"/>
                    <w:bottom w:val="none" w:sz="0" w:space="0" w:color="auto"/>
                    <w:right w:val="none" w:sz="0" w:space="0" w:color="auto"/>
                  </w:divBdr>
                  <w:divsChild>
                    <w:div w:id="579026696">
                      <w:marLeft w:val="0"/>
                      <w:marRight w:val="0"/>
                      <w:marTop w:val="0"/>
                      <w:marBottom w:val="0"/>
                      <w:divBdr>
                        <w:top w:val="none" w:sz="0" w:space="0" w:color="auto"/>
                        <w:left w:val="none" w:sz="0" w:space="0" w:color="auto"/>
                        <w:bottom w:val="none" w:sz="0" w:space="0" w:color="auto"/>
                        <w:right w:val="none" w:sz="0" w:space="0" w:color="auto"/>
                      </w:divBdr>
                      <w:divsChild>
                        <w:div w:id="1031148006">
                          <w:marLeft w:val="0"/>
                          <w:marRight w:val="0"/>
                          <w:marTop w:val="0"/>
                          <w:marBottom w:val="0"/>
                          <w:divBdr>
                            <w:top w:val="none" w:sz="0" w:space="0" w:color="auto"/>
                            <w:left w:val="none" w:sz="0" w:space="0" w:color="auto"/>
                            <w:bottom w:val="none" w:sz="0" w:space="0" w:color="auto"/>
                            <w:right w:val="none" w:sz="0" w:space="0" w:color="auto"/>
                          </w:divBdr>
                          <w:divsChild>
                            <w:div w:id="1404453614">
                              <w:marLeft w:val="0"/>
                              <w:marRight w:val="0"/>
                              <w:marTop w:val="0"/>
                              <w:marBottom w:val="0"/>
                              <w:divBdr>
                                <w:top w:val="none" w:sz="0" w:space="0" w:color="auto"/>
                                <w:left w:val="none" w:sz="0" w:space="0" w:color="auto"/>
                                <w:bottom w:val="none" w:sz="0" w:space="0" w:color="auto"/>
                                <w:right w:val="none" w:sz="0" w:space="0" w:color="auto"/>
                              </w:divBdr>
                              <w:divsChild>
                                <w:div w:id="1273441412">
                                  <w:marLeft w:val="0"/>
                                  <w:marRight w:val="0"/>
                                  <w:marTop w:val="0"/>
                                  <w:marBottom w:val="0"/>
                                  <w:divBdr>
                                    <w:top w:val="none" w:sz="0" w:space="0" w:color="auto"/>
                                    <w:left w:val="none" w:sz="0" w:space="0" w:color="auto"/>
                                    <w:bottom w:val="none" w:sz="0" w:space="0" w:color="auto"/>
                                    <w:right w:val="none" w:sz="0" w:space="0" w:color="auto"/>
                                  </w:divBdr>
                                  <w:divsChild>
                                    <w:div w:id="1335257217">
                                      <w:marLeft w:val="0"/>
                                      <w:marRight w:val="0"/>
                                      <w:marTop w:val="0"/>
                                      <w:marBottom w:val="0"/>
                                      <w:divBdr>
                                        <w:top w:val="none" w:sz="0" w:space="0" w:color="auto"/>
                                        <w:left w:val="none" w:sz="0" w:space="0" w:color="auto"/>
                                        <w:bottom w:val="none" w:sz="0" w:space="0" w:color="auto"/>
                                        <w:right w:val="none" w:sz="0" w:space="0" w:color="auto"/>
                                      </w:divBdr>
                                      <w:divsChild>
                                        <w:div w:id="17607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244293">
      <w:bodyDiv w:val="1"/>
      <w:marLeft w:val="0"/>
      <w:marRight w:val="0"/>
      <w:marTop w:val="0"/>
      <w:marBottom w:val="0"/>
      <w:divBdr>
        <w:top w:val="none" w:sz="0" w:space="0" w:color="auto"/>
        <w:left w:val="none" w:sz="0" w:space="0" w:color="auto"/>
        <w:bottom w:val="none" w:sz="0" w:space="0" w:color="auto"/>
        <w:right w:val="none" w:sz="0" w:space="0" w:color="auto"/>
      </w:divBdr>
      <w:divsChild>
        <w:div w:id="674382388">
          <w:marLeft w:val="0"/>
          <w:marRight w:val="0"/>
          <w:marTop w:val="0"/>
          <w:marBottom w:val="0"/>
          <w:divBdr>
            <w:top w:val="none" w:sz="0" w:space="0" w:color="auto"/>
            <w:left w:val="none" w:sz="0" w:space="0" w:color="auto"/>
            <w:bottom w:val="none" w:sz="0" w:space="0" w:color="auto"/>
            <w:right w:val="none" w:sz="0" w:space="0" w:color="auto"/>
          </w:divBdr>
          <w:divsChild>
            <w:div w:id="625505890">
              <w:marLeft w:val="0"/>
              <w:marRight w:val="0"/>
              <w:marTop w:val="0"/>
              <w:marBottom w:val="0"/>
              <w:divBdr>
                <w:top w:val="none" w:sz="0" w:space="0" w:color="auto"/>
                <w:left w:val="none" w:sz="0" w:space="0" w:color="auto"/>
                <w:bottom w:val="none" w:sz="0" w:space="0" w:color="auto"/>
                <w:right w:val="none" w:sz="0" w:space="0" w:color="auto"/>
              </w:divBdr>
              <w:divsChild>
                <w:div w:id="1359509603">
                  <w:marLeft w:val="0"/>
                  <w:marRight w:val="0"/>
                  <w:marTop w:val="0"/>
                  <w:marBottom w:val="0"/>
                  <w:divBdr>
                    <w:top w:val="none" w:sz="0" w:space="0" w:color="auto"/>
                    <w:left w:val="none" w:sz="0" w:space="0" w:color="auto"/>
                    <w:bottom w:val="none" w:sz="0" w:space="0" w:color="auto"/>
                    <w:right w:val="none" w:sz="0" w:space="0" w:color="auto"/>
                  </w:divBdr>
                  <w:divsChild>
                    <w:div w:id="1301155826">
                      <w:marLeft w:val="0"/>
                      <w:marRight w:val="0"/>
                      <w:marTop w:val="0"/>
                      <w:marBottom w:val="0"/>
                      <w:divBdr>
                        <w:top w:val="none" w:sz="0" w:space="0" w:color="auto"/>
                        <w:left w:val="none" w:sz="0" w:space="0" w:color="auto"/>
                        <w:bottom w:val="none" w:sz="0" w:space="0" w:color="auto"/>
                        <w:right w:val="none" w:sz="0" w:space="0" w:color="auto"/>
                      </w:divBdr>
                      <w:divsChild>
                        <w:div w:id="727652532">
                          <w:marLeft w:val="0"/>
                          <w:marRight w:val="0"/>
                          <w:marTop w:val="0"/>
                          <w:marBottom w:val="0"/>
                          <w:divBdr>
                            <w:top w:val="none" w:sz="0" w:space="0" w:color="auto"/>
                            <w:left w:val="none" w:sz="0" w:space="0" w:color="auto"/>
                            <w:bottom w:val="none" w:sz="0" w:space="0" w:color="auto"/>
                            <w:right w:val="none" w:sz="0" w:space="0" w:color="auto"/>
                          </w:divBdr>
                          <w:divsChild>
                            <w:div w:id="1567110876">
                              <w:marLeft w:val="0"/>
                              <w:marRight w:val="0"/>
                              <w:marTop w:val="0"/>
                              <w:marBottom w:val="0"/>
                              <w:divBdr>
                                <w:top w:val="none" w:sz="0" w:space="0" w:color="auto"/>
                                <w:left w:val="none" w:sz="0" w:space="0" w:color="auto"/>
                                <w:bottom w:val="none" w:sz="0" w:space="0" w:color="auto"/>
                                <w:right w:val="none" w:sz="0" w:space="0" w:color="auto"/>
                              </w:divBdr>
                              <w:divsChild>
                                <w:div w:id="1958245940">
                                  <w:marLeft w:val="0"/>
                                  <w:marRight w:val="0"/>
                                  <w:marTop w:val="0"/>
                                  <w:marBottom w:val="0"/>
                                  <w:divBdr>
                                    <w:top w:val="none" w:sz="0" w:space="0" w:color="auto"/>
                                    <w:left w:val="none" w:sz="0" w:space="0" w:color="auto"/>
                                    <w:bottom w:val="none" w:sz="0" w:space="0" w:color="auto"/>
                                    <w:right w:val="none" w:sz="0" w:space="0" w:color="auto"/>
                                  </w:divBdr>
                                  <w:divsChild>
                                    <w:div w:id="572395751">
                                      <w:marLeft w:val="0"/>
                                      <w:marRight w:val="0"/>
                                      <w:marTop w:val="0"/>
                                      <w:marBottom w:val="0"/>
                                      <w:divBdr>
                                        <w:top w:val="none" w:sz="0" w:space="0" w:color="auto"/>
                                        <w:left w:val="none" w:sz="0" w:space="0" w:color="auto"/>
                                        <w:bottom w:val="none" w:sz="0" w:space="0" w:color="auto"/>
                                        <w:right w:val="none" w:sz="0" w:space="0" w:color="auto"/>
                                      </w:divBdr>
                                      <w:divsChild>
                                        <w:div w:id="10423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087806">
      <w:bodyDiv w:val="1"/>
      <w:marLeft w:val="0"/>
      <w:marRight w:val="0"/>
      <w:marTop w:val="0"/>
      <w:marBottom w:val="0"/>
      <w:divBdr>
        <w:top w:val="none" w:sz="0" w:space="0" w:color="auto"/>
        <w:left w:val="none" w:sz="0" w:space="0" w:color="auto"/>
        <w:bottom w:val="none" w:sz="0" w:space="0" w:color="auto"/>
        <w:right w:val="none" w:sz="0" w:space="0" w:color="auto"/>
      </w:divBdr>
    </w:div>
    <w:div w:id="1637056086">
      <w:bodyDiv w:val="1"/>
      <w:marLeft w:val="0"/>
      <w:marRight w:val="0"/>
      <w:marTop w:val="0"/>
      <w:marBottom w:val="0"/>
      <w:divBdr>
        <w:top w:val="none" w:sz="0" w:space="0" w:color="auto"/>
        <w:left w:val="none" w:sz="0" w:space="0" w:color="auto"/>
        <w:bottom w:val="none" w:sz="0" w:space="0" w:color="auto"/>
        <w:right w:val="none" w:sz="0" w:space="0" w:color="auto"/>
      </w:divBdr>
    </w:div>
    <w:div w:id="1677730386">
      <w:bodyDiv w:val="1"/>
      <w:marLeft w:val="0"/>
      <w:marRight w:val="0"/>
      <w:marTop w:val="0"/>
      <w:marBottom w:val="0"/>
      <w:divBdr>
        <w:top w:val="none" w:sz="0" w:space="0" w:color="auto"/>
        <w:left w:val="none" w:sz="0" w:space="0" w:color="auto"/>
        <w:bottom w:val="none" w:sz="0" w:space="0" w:color="auto"/>
        <w:right w:val="none" w:sz="0" w:space="0" w:color="auto"/>
      </w:divBdr>
    </w:div>
    <w:div w:id="1770731350">
      <w:bodyDiv w:val="1"/>
      <w:marLeft w:val="0"/>
      <w:marRight w:val="0"/>
      <w:marTop w:val="0"/>
      <w:marBottom w:val="0"/>
      <w:divBdr>
        <w:top w:val="none" w:sz="0" w:space="0" w:color="auto"/>
        <w:left w:val="none" w:sz="0" w:space="0" w:color="auto"/>
        <w:bottom w:val="none" w:sz="0" w:space="0" w:color="auto"/>
        <w:right w:val="none" w:sz="0" w:space="0" w:color="auto"/>
      </w:divBdr>
      <w:divsChild>
        <w:div w:id="426460668">
          <w:marLeft w:val="0"/>
          <w:marRight w:val="0"/>
          <w:marTop w:val="0"/>
          <w:marBottom w:val="0"/>
          <w:divBdr>
            <w:top w:val="none" w:sz="0" w:space="0" w:color="auto"/>
            <w:left w:val="none" w:sz="0" w:space="0" w:color="auto"/>
            <w:bottom w:val="none" w:sz="0" w:space="0" w:color="auto"/>
            <w:right w:val="none" w:sz="0" w:space="0" w:color="auto"/>
          </w:divBdr>
          <w:divsChild>
            <w:div w:id="883370975">
              <w:marLeft w:val="0"/>
              <w:marRight w:val="0"/>
              <w:marTop w:val="0"/>
              <w:marBottom w:val="0"/>
              <w:divBdr>
                <w:top w:val="none" w:sz="0" w:space="0" w:color="auto"/>
                <w:left w:val="none" w:sz="0" w:space="0" w:color="auto"/>
                <w:bottom w:val="none" w:sz="0" w:space="0" w:color="auto"/>
                <w:right w:val="none" w:sz="0" w:space="0" w:color="auto"/>
              </w:divBdr>
              <w:divsChild>
                <w:div w:id="100079195">
                  <w:marLeft w:val="0"/>
                  <w:marRight w:val="0"/>
                  <w:marTop w:val="0"/>
                  <w:marBottom w:val="0"/>
                  <w:divBdr>
                    <w:top w:val="none" w:sz="0" w:space="0" w:color="auto"/>
                    <w:left w:val="none" w:sz="0" w:space="0" w:color="auto"/>
                    <w:bottom w:val="none" w:sz="0" w:space="0" w:color="auto"/>
                    <w:right w:val="none" w:sz="0" w:space="0" w:color="auto"/>
                  </w:divBdr>
                  <w:divsChild>
                    <w:div w:id="1523784733">
                      <w:marLeft w:val="0"/>
                      <w:marRight w:val="0"/>
                      <w:marTop w:val="0"/>
                      <w:marBottom w:val="0"/>
                      <w:divBdr>
                        <w:top w:val="none" w:sz="0" w:space="0" w:color="auto"/>
                        <w:left w:val="none" w:sz="0" w:space="0" w:color="auto"/>
                        <w:bottom w:val="none" w:sz="0" w:space="0" w:color="auto"/>
                        <w:right w:val="none" w:sz="0" w:space="0" w:color="auto"/>
                      </w:divBdr>
                      <w:divsChild>
                        <w:div w:id="1223103351">
                          <w:marLeft w:val="0"/>
                          <w:marRight w:val="0"/>
                          <w:marTop w:val="0"/>
                          <w:marBottom w:val="0"/>
                          <w:divBdr>
                            <w:top w:val="none" w:sz="0" w:space="0" w:color="auto"/>
                            <w:left w:val="none" w:sz="0" w:space="0" w:color="auto"/>
                            <w:bottom w:val="none" w:sz="0" w:space="0" w:color="auto"/>
                            <w:right w:val="none" w:sz="0" w:space="0" w:color="auto"/>
                          </w:divBdr>
                          <w:divsChild>
                            <w:div w:id="2075620292">
                              <w:marLeft w:val="0"/>
                              <w:marRight w:val="0"/>
                              <w:marTop w:val="0"/>
                              <w:marBottom w:val="0"/>
                              <w:divBdr>
                                <w:top w:val="none" w:sz="0" w:space="0" w:color="auto"/>
                                <w:left w:val="none" w:sz="0" w:space="0" w:color="auto"/>
                                <w:bottom w:val="none" w:sz="0" w:space="0" w:color="auto"/>
                                <w:right w:val="none" w:sz="0" w:space="0" w:color="auto"/>
                              </w:divBdr>
                              <w:divsChild>
                                <w:div w:id="14961162">
                                  <w:marLeft w:val="0"/>
                                  <w:marRight w:val="0"/>
                                  <w:marTop w:val="0"/>
                                  <w:marBottom w:val="0"/>
                                  <w:divBdr>
                                    <w:top w:val="none" w:sz="0" w:space="0" w:color="auto"/>
                                    <w:left w:val="none" w:sz="0" w:space="0" w:color="auto"/>
                                    <w:bottom w:val="none" w:sz="0" w:space="0" w:color="auto"/>
                                    <w:right w:val="none" w:sz="0" w:space="0" w:color="auto"/>
                                  </w:divBdr>
                                  <w:divsChild>
                                    <w:div w:id="13834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877583">
      <w:bodyDiv w:val="1"/>
      <w:marLeft w:val="0"/>
      <w:marRight w:val="0"/>
      <w:marTop w:val="0"/>
      <w:marBottom w:val="0"/>
      <w:divBdr>
        <w:top w:val="none" w:sz="0" w:space="0" w:color="auto"/>
        <w:left w:val="none" w:sz="0" w:space="0" w:color="auto"/>
        <w:bottom w:val="none" w:sz="0" w:space="0" w:color="auto"/>
        <w:right w:val="none" w:sz="0" w:space="0" w:color="auto"/>
      </w:divBdr>
      <w:divsChild>
        <w:div w:id="1148207345">
          <w:marLeft w:val="0"/>
          <w:marRight w:val="0"/>
          <w:marTop w:val="0"/>
          <w:marBottom w:val="0"/>
          <w:divBdr>
            <w:top w:val="none" w:sz="0" w:space="0" w:color="auto"/>
            <w:left w:val="none" w:sz="0" w:space="0" w:color="auto"/>
            <w:bottom w:val="none" w:sz="0" w:space="0" w:color="auto"/>
            <w:right w:val="none" w:sz="0" w:space="0" w:color="auto"/>
          </w:divBdr>
          <w:divsChild>
            <w:div w:id="1235165291">
              <w:marLeft w:val="0"/>
              <w:marRight w:val="0"/>
              <w:marTop w:val="0"/>
              <w:marBottom w:val="0"/>
              <w:divBdr>
                <w:top w:val="none" w:sz="0" w:space="0" w:color="auto"/>
                <w:left w:val="none" w:sz="0" w:space="0" w:color="auto"/>
                <w:bottom w:val="none" w:sz="0" w:space="0" w:color="auto"/>
                <w:right w:val="none" w:sz="0" w:space="0" w:color="auto"/>
              </w:divBdr>
              <w:divsChild>
                <w:div w:id="450520587">
                  <w:marLeft w:val="0"/>
                  <w:marRight w:val="-6084"/>
                  <w:marTop w:val="0"/>
                  <w:marBottom w:val="0"/>
                  <w:divBdr>
                    <w:top w:val="none" w:sz="0" w:space="0" w:color="auto"/>
                    <w:left w:val="none" w:sz="0" w:space="0" w:color="auto"/>
                    <w:bottom w:val="none" w:sz="0" w:space="0" w:color="auto"/>
                    <w:right w:val="none" w:sz="0" w:space="0" w:color="auto"/>
                  </w:divBdr>
                  <w:divsChild>
                    <w:div w:id="1487362492">
                      <w:marLeft w:val="0"/>
                      <w:marRight w:val="5604"/>
                      <w:marTop w:val="0"/>
                      <w:marBottom w:val="0"/>
                      <w:divBdr>
                        <w:top w:val="none" w:sz="0" w:space="0" w:color="auto"/>
                        <w:left w:val="none" w:sz="0" w:space="0" w:color="auto"/>
                        <w:bottom w:val="none" w:sz="0" w:space="0" w:color="auto"/>
                        <w:right w:val="none" w:sz="0" w:space="0" w:color="auto"/>
                      </w:divBdr>
                      <w:divsChild>
                        <w:div w:id="59641789">
                          <w:marLeft w:val="0"/>
                          <w:marRight w:val="0"/>
                          <w:marTop w:val="0"/>
                          <w:marBottom w:val="0"/>
                          <w:divBdr>
                            <w:top w:val="none" w:sz="0" w:space="0" w:color="auto"/>
                            <w:left w:val="none" w:sz="0" w:space="0" w:color="auto"/>
                            <w:bottom w:val="none" w:sz="0" w:space="0" w:color="auto"/>
                            <w:right w:val="none" w:sz="0" w:space="0" w:color="auto"/>
                          </w:divBdr>
                          <w:divsChild>
                            <w:div w:id="182212838">
                              <w:marLeft w:val="0"/>
                              <w:marRight w:val="0"/>
                              <w:marTop w:val="120"/>
                              <w:marBottom w:val="360"/>
                              <w:divBdr>
                                <w:top w:val="none" w:sz="0" w:space="0" w:color="auto"/>
                                <w:left w:val="none" w:sz="0" w:space="0" w:color="auto"/>
                                <w:bottom w:val="none" w:sz="0" w:space="0" w:color="auto"/>
                                <w:right w:val="none" w:sz="0" w:space="0" w:color="auto"/>
                              </w:divBdr>
                              <w:divsChild>
                                <w:div w:id="1979720273">
                                  <w:marLeft w:val="336"/>
                                  <w:marRight w:val="0"/>
                                  <w:marTop w:val="0"/>
                                  <w:marBottom w:val="0"/>
                                  <w:divBdr>
                                    <w:top w:val="none" w:sz="0" w:space="0" w:color="auto"/>
                                    <w:left w:val="none" w:sz="0" w:space="0" w:color="auto"/>
                                    <w:bottom w:val="none" w:sz="0" w:space="0" w:color="auto"/>
                                    <w:right w:val="none" w:sz="0" w:space="0" w:color="auto"/>
                                  </w:divBdr>
                                  <w:divsChild>
                                    <w:div w:id="213354674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297022">
      <w:bodyDiv w:val="1"/>
      <w:marLeft w:val="0"/>
      <w:marRight w:val="0"/>
      <w:marTop w:val="0"/>
      <w:marBottom w:val="0"/>
      <w:divBdr>
        <w:top w:val="none" w:sz="0" w:space="0" w:color="auto"/>
        <w:left w:val="none" w:sz="0" w:space="0" w:color="auto"/>
        <w:bottom w:val="none" w:sz="0" w:space="0" w:color="auto"/>
        <w:right w:val="none" w:sz="0" w:space="0" w:color="auto"/>
      </w:divBdr>
    </w:div>
    <w:div w:id="1935629017">
      <w:bodyDiv w:val="1"/>
      <w:marLeft w:val="0"/>
      <w:marRight w:val="0"/>
      <w:marTop w:val="0"/>
      <w:marBottom w:val="0"/>
      <w:divBdr>
        <w:top w:val="none" w:sz="0" w:space="0" w:color="auto"/>
        <w:left w:val="none" w:sz="0" w:space="0" w:color="auto"/>
        <w:bottom w:val="none" w:sz="0" w:space="0" w:color="auto"/>
        <w:right w:val="none" w:sz="0" w:space="0" w:color="auto"/>
      </w:divBdr>
      <w:divsChild>
        <w:div w:id="1885868420">
          <w:marLeft w:val="0"/>
          <w:marRight w:val="1"/>
          <w:marTop w:val="0"/>
          <w:marBottom w:val="0"/>
          <w:divBdr>
            <w:top w:val="none" w:sz="0" w:space="0" w:color="auto"/>
            <w:left w:val="none" w:sz="0" w:space="0" w:color="auto"/>
            <w:bottom w:val="none" w:sz="0" w:space="0" w:color="auto"/>
            <w:right w:val="none" w:sz="0" w:space="0" w:color="auto"/>
          </w:divBdr>
          <w:divsChild>
            <w:div w:id="214436017">
              <w:marLeft w:val="0"/>
              <w:marRight w:val="0"/>
              <w:marTop w:val="0"/>
              <w:marBottom w:val="0"/>
              <w:divBdr>
                <w:top w:val="none" w:sz="0" w:space="0" w:color="auto"/>
                <w:left w:val="none" w:sz="0" w:space="0" w:color="auto"/>
                <w:bottom w:val="none" w:sz="0" w:space="0" w:color="auto"/>
                <w:right w:val="none" w:sz="0" w:space="0" w:color="auto"/>
              </w:divBdr>
              <w:divsChild>
                <w:div w:id="1433235938">
                  <w:marLeft w:val="0"/>
                  <w:marRight w:val="1"/>
                  <w:marTop w:val="0"/>
                  <w:marBottom w:val="0"/>
                  <w:divBdr>
                    <w:top w:val="none" w:sz="0" w:space="0" w:color="auto"/>
                    <w:left w:val="none" w:sz="0" w:space="0" w:color="auto"/>
                    <w:bottom w:val="none" w:sz="0" w:space="0" w:color="auto"/>
                    <w:right w:val="none" w:sz="0" w:space="0" w:color="auto"/>
                  </w:divBdr>
                  <w:divsChild>
                    <w:div w:id="1031415920">
                      <w:marLeft w:val="0"/>
                      <w:marRight w:val="0"/>
                      <w:marTop w:val="0"/>
                      <w:marBottom w:val="0"/>
                      <w:divBdr>
                        <w:top w:val="none" w:sz="0" w:space="0" w:color="auto"/>
                        <w:left w:val="none" w:sz="0" w:space="0" w:color="auto"/>
                        <w:bottom w:val="none" w:sz="0" w:space="0" w:color="auto"/>
                        <w:right w:val="none" w:sz="0" w:space="0" w:color="auto"/>
                      </w:divBdr>
                      <w:divsChild>
                        <w:div w:id="1413970891">
                          <w:marLeft w:val="0"/>
                          <w:marRight w:val="0"/>
                          <w:marTop w:val="0"/>
                          <w:marBottom w:val="0"/>
                          <w:divBdr>
                            <w:top w:val="none" w:sz="0" w:space="0" w:color="auto"/>
                            <w:left w:val="none" w:sz="0" w:space="0" w:color="auto"/>
                            <w:bottom w:val="none" w:sz="0" w:space="0" w:color="auto"/>
                            <w:right w:val="none" w:sz="0" w:space="0" w:color="auto"/>
                          </w:divBdr>
                          <w:divsChild>
                            <w:div w:id="88427010">
                              <w:marLeft w:val="0"/>
                              <w:marRight w:val="0"/>
                              <w:marTop w:val="120"/>
                              <w:marBottom w:val="360"/>
                              <w:divBdr>
                                <w:top w:val="none" w:sz="0" w:space="0" w:color="auto"/>
                                <w:left w:val="none" w:sz="0" w:space="0" w:color="auto"/>
                                <w:bottom w:val="none" w:sz="0" w:space="0" w:color="auto"/>
                                <w:right w:val="none" w:sz="0" w:space="0" w:color="auto"/>
                              </w:divBdr>
                              <w:divsChild>
                                <w:div w:id="61102910">
                                  <w:marLeft w:val="0"/>
                                  <w:marRight w:val="0"/>
                                  <w:marTop w:val="0"/>
                                  <w:marBottom w:val="0"/>
                                  <w:divBdr>
                                    <w:top w:val="none" w:sz="0" w:space="0" w:color="auto"/>
                                    <w:left w:val="none" w:sz="0" w:space="0" w:color="auto"/>
                                    <w:bottom w:val="none" w:sz="0" w:space="0" w:color="auto"/>
                                    <w:right w:val="none" w:sz="0" w:space="0" w:color="auto"/>
                                  </w:divBdr>
                                </w:div>
                                <w:div w:id="13182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820157">
      <w:bodyDiv w:val="1"/>
      <w:marLeft w:val="0"/>
      <w:marRight w:val="0"/>
      <w:marTop w:val="0"/>
      <w:marBottom w:val="0"/>
      <w:divBdr>
        <w:top w:val="none" w:sz="0" w:space="0" w:color="auto"/>
        <w:left w:val="none" w:sz="0" w:space="0" w:color="auto"/>
        <w:bottom w:val="none" w:sz="0" w:space="0" w:color="auto"/>
        <w:right w:val="none" w:sz="0" w:space="0" w:color="auto"/>
      </w:divBdr>
    </w:div>
    <w:div w:id="1961718639">
      <w:bodyDiv w:val="1"/>
      <w:marLeft w:val="0"/>
      <w:marRight w:val="0"/>
      <w:marTop w:val="0"/>
      <w:marBottom w:val="0"/>
      <w:divBdr>
        <w:top w:val="none" w:sz="0" w:space="0" w:color="auto"/>
        <w:left w:val="none" w:sz="0" w:space="0" w:color="auto"/>
        <w:bottom w:val="none" w:sz="0" w:space="0" w:color="auto"/>
        <w:right w:val="none" w:sz="0" w:space="0" w:color="auto"/>
      </w:divBdr>
      <w:divsChild>
        <w:div w:id="1993558785">
          <w:marLeft w:val="0"/>
          <w:marRight w:val="0"/>
          <w:marTop w:val="0"/>
          <w:marBottom w:val="0"/>
          <w:divBdr>
            <w:top w:val="none" w:sz="0" w:space="0" w:color="auto"/>
            <w:left w:val="none" w:sz="0" w:space="0" w:color="auto"/>
            <w:bottom w:val="none" w:sz="0" w:space="0" w:color="auto"/>
            <w:right w:val="none" w:sz="0" w:space="0" w:color="auto"/>
          </w:divBdr>
          <w:divsChild>
            <w:div w:id="783886869">
              <w:marLeft w:val="0"/>
              <w:marRight w:val="0"/>
              <w:marTop w:val="0"/>
              <w:marBottom w:val="0"/>
              <w:divBdr>
                <w:top w:val="none" w:sz="0" w:space="0" w:color="auto"/>
                <w:left w:val="none" w:sz="0" w:space="0" w:color="auto"/>
                <w:bottom w:val="none" w:sz="0" w:space="0" w:color="auto"/>
                <w:right w:val="none" w:sz="0" w:space="0" w:color="auto"/>
              </w:divBdr>
              <w:divsChild>
                <w:div w:id="1948460980">
                  <w:marLeft w:val="0"/>
                  <w:marRight w:val="-6084"/>
                  <w:marTop w:val="0"/>
                  <w:marBottom w:val="0"/>
                  <w:divBdr>
                    <w:top w:val="none" w:sz="0" w:space="0" w:color="auto"/>
                    <w:left w:val="none" w:sz="0" w:space="0" w:color="auto"/>
                    <w:bottom w:val="none" w:sz="0" w:space="0" w:color="auto"/>
                    <w:right w:val="none" w:sz="0" w:space="0" w:color="auto"/>
                  </w:divBdr>
                  <w:divsChild>
                    <w:div w:id="845440584">
                      <w:marLeft w:val="0"/>
                      <w:marRight w:val="5604"/>
                      <w:marTop w:val="0"/>
                      <w:marBottom w:val="0"/>
                      <w:divBdr>
                        <w:top w:val="none" w:sz="0" w:space="0" w:color="auto"/>
                        <w:left w:val="none" w:sz="0" w:space="0" w:color="auto"/>
                        <w:bottom w:val="none" w:sz="0" w:space="0" w:color="auto"/>
                        <w:right w:val="none" w:sz="0" w:space="0" w:color="auto"/>
                      </w:divBdr>
                      <w:divsChild>
                        <w:div w:id="396590227">
                          <w:marLeft w:val="0"/>
                          <w:marRight w:val="0"/>
                          <w:marTop w:val="0"/>
                          <w:marBottom w:val="0"/>
                          <w:divBdr>
                            <w:top w:val="none" w:sz="0" w:space="0" w:color="auto"/>
                            <w:left w:val="none" w:sz="0" w:space="0" w:color="auto"/>
                            <w:bottom w:val="none" w:sz="0" w:space="0" w:color="auto"/>
                            <w:right w:val="none" w:sz="0" w:space="0" w:color="auto"/>
                          </w:divBdr>
                          <w:divsChild>
                            <w:div w:id="405542701">
                              <w:marLeft w:val="0"/>
                              <w:marRight w:val="0"/>
                              <w:marTop w:val="120"/>
                              <w:marBottom w:val="360"/>
                              <w:divBdr>
                                <w:top w:val="none" w:sz="0" w:space="0" w:color="auto"/>
                                <w:left w:val="none" w:sz="0" w:space="0" w:color="auto"/>
                                <w:bottom w:val="none" w:sz="0" w:space="0" w:color="auto"/>
                                <w:right w:val="none" w:sz="0" w:space="0" w:color="auto"/>
                              </w:divBdr>
                              <w:divsChild>
                                <w:div w:id="1032221047">
                                  <w:marLeft w:val="336"/>
                                  <w:marRight w:val="0"/>
                                  <w:marTop w:val="0"/>
                                  <w:marBottom w:val="0"/>
                                  <w:divBdr>
                                    <w:top w:val="none" w:sz="0" w:space="0" w:color="auto"/>
                                    <w:left w:val="none" w:sz="0" w:space="0" w:color="auto"/>
                                    <w:bottom w:val="none" w:sz="0" w:space="0" w:color="auto"/>
                                    <w:right w:val="none" w:sz="0" w:space="0" w:color="auto"/>
                                  </w:divBdr>
                                  <w:divsChild>
                                    <w:div w:id="29537280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190048">
      <w:bodyDiv w:val="1"/>
      <w:marLeft w:val="0"/>
      <w:marRight w:val="0"/>
      <w:marTop w:val="0"/>
      <w:marBottom w:val="0"/>
      <w:divBdr>
        <w:top w:val="none" w:sz="0" w:space="0" w:color="auto"/>
        <w:left w:val="none" w:sz="0" w:space="0" w:color="auto"/>
        <w:bottom w:val="none" w:sz="0" w:space="0" w:color="auto"/>
        <w:right w:val="none" w:sz="0" w:space="0" w:color="auto"/>
      </w:divBdr>
      <w:divsChild>
        <w:div w:id="267322521">
          <w:marLeft w:val="0"/>
          <w:marRight w:val="0"/>
          <w:marTop w:val="0"/>
          <w:marBottom w:val="0"/>
          <w:divBdr>
            <w:top w:val="none" w:sz="0" w:space="0" w:color="auto"/>
            <w:left w:val="none" w:sz="0" w:space="0" w:color="auto"/>
            <w:bottom w:val="none" w:sz="0" w:space="0" w:color="auto"/>
            <w:right w:val="none" w:sz="0" w:space="0" w:color="auto"/>
          </w:divBdr>
          <w:divsChild>
            <w:div w:id="37704600">
              <w:marLeft w:val="0"/>
              <w:marRight w:val="0"/>
              <w:marTop w:val="0"/>
              <w:marBottom w:val="0"/>
              <w:divBdr>
                <w:top w:val="none" w:sz="0" w:space="0" w:color="auto"/>
                <w:left w:val="none" w:sz="0" w:space="0" w:color="auto"/>
                <w:bottom w:val="none" w:sz="0" w:space="0" w:color="auto"/>
                <w:right w:val="none" w:sz="0" w:space="0" w:color="auto"/>
              </w:divBdr>
              <w:divsChild>
                <w:div w:id="174075500">
                  <w:marLeft w:val="0"/>
                  <w:marRight w:val="-6084"/>
                  <w:marTop w:val="0"/>
                  <w:marBottom w:val="0"/>
                  <w:divBdr>
                    <w:top w:val="none" w:sz="0" w:space="0" w:color="auto"/>
                    <w:left w:val="none" w:sz="0" w:space="0" w:color="auto"/>
                    <w:bottom w:val="none" w:sz="0" w:space="0" w:color="auto"/>
                    <w:right w:val="none" w:sz="0" w:space="0" w:color="auto"/>
                  </w:divBdr>
                  <w:divsChild>
                    <w:div w:id="339434166">
                      <w:marLeft w:val="0"/>
                      <w:marRight w:val="5604"/>
                      <w:marTop w:val="0"/>
                      <w:marBottom w:val="0"/>
                      <w:divBdr>
                        <w:top w:val="none" w:sz="0" w:space="0" w:color="auto"/>
                        <w:left w:val="none" w:sz="0" w:space="0" w:color="auto"/>
                        <w:bottom w:val="none" w:sz="0" w:space="0" w:color="auto"/>
                        <w:right w:val="none" w:sz="0" w:space="0" w:color="auto"/>
                      </w:divBdr>
                      <w:divsChild>
                        <w:div w:id="721707415">
                          <w:marLeft w:val="0"/>
                          <w:marRight w:val="0"/>
                          <w:marTop w:val="0"/>
                          <w:marBottom w:val="0"/>
                          <w:divBdr>
                            <w:top w:val="none" w:sz="0" w:space="0" w:color="auto"/>
                            <w:left w:val="none" w:sz="0" w:space="0" w:color="auto"/>
                            <w:bottom w:val="none" w:sz="0" w:space="0" w:color="auto"/>
                            <w:right w:val="none" w:sz="0" w:space="0" w:color="auto"/>
                          </w:divBdr>
                          <w:divsChild>
                            <w:div w:id="1295481846">
                              <w:marLeft w:val="0"/>
                              <w:marRight w:val="0"/>
                              <w:marTop w:val="120"/>
                              <w:marBottom w:val="360"/>
                              <w:divBdr>
                                <w:top w:val="none" w:sz="0" w:space="0" w:color="auto"/>
                                <w:left w:val="none" w:sz="0" w:space="0" w:color="auto"/>
                                <w:bottom w:val="none" w:sz="0" w:space="0" w:color="auto"/>
                                <w:right w:val="none" w:sz="0" w:space="0" w:color="auto"/>
                              </w:divBdr>
                              <w:divsChild>
                                <w:div w:id="455103316">
                                  <w:marLeft w:val="336"/>
                                  <w:marRight w:val="0"/>
                                  <w:marTop w:val="0"/>
                                  <w:marBottom w:val="0"/>
                                  <w:divBdr>
                                    <w:top w:val="none" w:sz="0" w:space="0" w:color="auto"/>
                                    <w:left w:val="none" w:sz="0" w:space="0" w:color="auto"/>
                                    <w:bottom w:val="none" w:sz="0" w:space="0" w:color="auto"/>
                                    <w:right w:val="none" w:sz="0" w:space="0" w:color="auto"/>
                                  </w:divBdr>
                                  <w:divsChild>
                                    <w:div w:id="51211477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45106">
      <w:bodyDiv w:val="1"/>
      <w:marLeft w:val="0"/>
      <w:marRight w:val="0"/>
      <w:marTop w:val="0"/>
      <w:marBottom w:val="0"/>
      <w:divBdr>
        <w:top w:val="none" w:sz="0" w:space="0" w:color="auto"/>
        <w:left w:val="none" w:sz="0" w:space="0" w:color="auto"/>
        <w:bottom w:val="none" w:sz="0" w:space="0" w:color="auto"/>
        <w:right w:val="none" w:sz="0" w:space="0" w:color="auto"/>
      </w:divBdr>
    </w:div>
    <w:div w:id="2010208058">
      <w:bodyDiv w:val="1"/>
      <w:marLeft w:val="0"/>
      <w:marRight w:val="0"/>
      <w:marTop w:val="0"/>
      <w:marBottom w:val="0"/>
      <w:divBdr>
        <w:top w:val="none" w:sz="0" w:space="0" w:color="auto"/>
        <w:left w:val="none" w:sz="0" w:space="0" w:color="auto"/>
        <w:bottom w:val="none" w:sz="0" w:space="0" w:color="auto"/>
        <w:right w:val="none" w:sz="0" w:space="0" w:color="auto"/>
      </w:divBdr>
    </w:div>
    <w:div w:id="2015523772">
      <w:bodyDiv w:val="1"/>
      <w:marLeft w:val="0"/>
      <w:marRight w:val="0"/>
      <w:marTop w:val="0"/>
      <w:marBottom w:val="0"/>
      <w:divBdr>
        <w:top w:val="none" w:sz="0" w:space="0" w:color="auto"/>
        <w:left w:val="none" w:sz="0" w:space="0" w:color="auto"/>
        <w:bottom w:val="none" w:sz="0" w:space="0" w:color="auto"/>
        <w:right w:val="none" w:sz="0" w:space="0" w:color="auto"/>
      </w:divBdr>
      <w:divsChild>
        <w:div w:id="752161946">
          <w:marLeft w:val="0"/>
          <w:marRight w:val="1"/>
          <w:marTop w:val="0"/>
          <w:marBottom w:val="0"/>
          <w:divBdr>
            <w:top w:val="none" w:sz="0" w:space="0" w:color="auto"/>
            <w:left w:val="none" w:sz="0" w:space="0" w:color="auto"/>
            <w:bottom w:val="none" w:sz="0" w:space="0" w:color="auto"/>
            <w:right w:val="none" w:sz="0" w:space="0" w:color="auto"/>
          </w:divBdr>
          <w:divsChild>
            <w:div w:id="809132367">
              <w:marLeft w:val="0"/>
              <w:marRight w:val="0"/>
              <w:marTop w:val="0"/>
              <w:marBottom w:val="0"/>
              <w:divBdr>
                <w:top w:val="none" w:sz="0" w:space="0" w:color="auto"/>
                <w:left w:val="none" w:sz="0" w:space="0" w:color="auto"/>
                <w:bottom w:val="none" w:sz="0" w:space="0" w:color="auto"/>
                <w:right w:val="none" w:sz="0" w:space="0" w:color="auto"/>
              </w:divBdr>
              <w:divsChild>
                <w:div w:id="1705717397">
                  <w:marLeft w:val="0"/>
                  <w:marRight w:val="1"/>
                  <w:marTop w:val="0"/>
                  <w:marBottom w:val="0"/>
                  <w:divBdr>
                    <w:top w:val="none" w:sz="0" w:space="0" w:color="auto"/>
                    <w:left w:val="none" w:sz="0" w:space="0" w:color="auto"/>
                    <w:bottom w:val="none" w:sz="0" w:space="0" w:color="auto"/>
                    <w:right w:val="none" w:sz="0" w:space="0" w:color="auto"/>
                  </w:divBdr>
                  <w:divsChild>
                    <w:div w:id="1263300431">
                      <w:marLeft w:val="0"/>
                      <w:marRight w:val="0"/>
                      <w:marTop w:val="0"/>
                      <w:marBottom w:val="0"/>
                      <w:divBdr>
                        <w:top w:val="none" w:sz="0" w:space="0" w:color="auto"/>
                        <w:left w:val="none" w:sz="0" w:space="0" w:color="auto"/>
                        <w:bottom w:val="none" w:sz="0" w:space="0" w:color="auto"/>
                        <w:right w:val="none" w:sz="0" w:space="0" w:color="auto"/>
                      </w:divBdr>
                      <w:divsChild>
                        <w:div w:id="65691483">
                          <w:marLeft w:val="0"/>
                          <w:marRight w:val="0"/>
                          <w:marTop w:val="0"/>
                          <w:marBottom w:val="0"/>
                          <w:divBdr>
                            <w:top w:val="none" w:sz="0" w:space="0" w:color="auto"/>
                            <w:left w:val="none" w:sz="0" w:space="0" w:color="auto"/>
                            <w:bottom w:val="none" w:sz="0" w:space="0" w:color="auto"/>
                            <w:right w:val="none" w:sz="0" w:space="0" w:color="auto"/>
                          </w:divBdr>
                          <w:divsChild>
                            <w:div w:id="1786928765">
                              <w:marLeft w:val="0"/>
                              <w:marRight w:val="0"/>
                              <w:marTop w:val="120"/>
                              <w:marBottom w:val="360"/>
                              <w:divBdr>
                                <w:top w:val="none" w:sz="0" w:space="0" w:color="auto"/>
                                <w:left w:val="none" w:sz="0" w:space="0" w:color="auto"/>
                                <w:bottom w:val="none" w:sz="0" w:space="0" w:color="auto"/>
                                <w:right w:val="none" w:sz="0" w:space="0" w:color="auto"/>
                              </w:divBdr>
                              <w:divsChild>
                                <w:div w:id="1098015309">
                                  <w:marLeft w:val="0"/>
                                  <w:marRight w:val="0"/>
                                  <w:marTop w:val="0"/>
                                  <w:marBottom w:val="0"/>
                                  <w:divBdr>
                                    <w:top w:val="none" w:sz="0" w:space="0" w:color="auto"/>
                                    <w:left w:val="none" w:sz="0" w:space="0" w:color="auto"/>
                                    <w:bottom w:val="none" w:sz="0" w:space="0" w:color="auto"/>
                                    <w:right w:val="none" w:sz="0" w:space="0" w:color="auto"/>
                                  </w:divBdr>
                                </w:div>
                                <w:div w:id="15140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78707">
      <w:bodyDiv w:val="1"/>
      <w:marLeft w:val="0"/>
      <w:marRight w:val="0"/>
      <w:marTop w:val="0"/>
      <w:marBottom w:val="0"/>
      <w:divBdr>
        <w:top w:val="none" w:sz="0" w:space="0" w:color="auto"/>
        <w:left w:val="none" w:sz="0" w:space="0" w:color="auto"/>
        <w:bottom w:val="none" w:sz="0" w:space="0" w:color="auto"/>
        <w:right w:val="none" w:sz="0" w:space="0" w:color="auto"/>
      </w:divBdr>
      <w:divsChild>
        <w:div w:id="1800881433">
          <w:marLeft w:val="0"/>
          <w:marRight w:val="0"/>
          <w:marTop w:val="0"/>
          <w:marBottom w:val="0"/>
          <w:divBdr>
            <w:top w:val="none" w:sz="0" w:space="0" w:color="auto"/>
            <w:left w:val="none" w:sz="0" w:space="0" w:color="auto"/>
            <w:bottom w:val="none" w:sz="0" w:space="0" w:color="auto"/>
            <w:right w:val="none" w:sz="0" w:space="0" w:color="auto"/>
          </w:divBdr>
          <w:divsChild>
            <w:div w:id="1083604550">
              <w:marLeft w:val="0"/>
              <w:marRight w:val="0"/>
              <w:marTop w:val="0"/>
              <w:marBottom w:val="0"/>
              <w:divBdr>
                <w:top w:val="none" w:sz="0" w:space="0" w:color="auto"/>
                <w:left w:val="none" w:sz="0" w:space="0" w:color="auto"/>
                <w:bottom w:val="none" w:sz="0" w:space="0" w:color="auto"/>
                <w:right w:val="none" w:sz="0" w:space="0" w:color="auto"/>
              </w:divBdr>
              <w:divsChild>
                <w:div w:id="2080706316">
                  <w:marLeft w:val="0"/>
                  <w:marRight w:val="0"/>
                  <w:marTop w:val="0"/>
                  <w:marBottom w:val="0"/>
                  <w:divBdr>
                    <w:top w:val="none" w:sz="0" w:space="0" w:color="auto"/>
                    <w:left w:val="none" w:sz="0" w:space="0" w:color="auto"/>
                    <w:bottom w:val="none" w:sz="0" w:space="0" w:color="auto"/>
                    <w:right w:val="none" w:sz="0" w:space="0" w:color="auto"/>
                  </w:divBdr>
                  <w:divsChild>
                    <w:div w:id="833305597">
                      <w:marLeft w:val="0"/>
                      <w:marRight w:val="0"/>
                      <w:marTop w:val="0"/>
                      <w:marBottom w:val="0"/>
                      <w:divBdr>
                        <w:top w:val="none" w:sz="0" w:space="0" w:color="auto"/>
                        <w:left w:val="none" w:sz="0" w:space="0" w:color="auto"/>
                        <w:bottom w:val="none" w:sz="0" w:space="0" w:color="auto"/>
                        <w:right w:val="none" w:sz="0" w:space="0" w:color="auto"/>
                      </w:divBdr>
                      <w:divsChild>
                        <w:div w:id="2013340432">
                          <w:marLeft w:val="0"/>
                          <w:marRight w:val="0"/>
                          <w:marTop w:val="0"/>
                          <w:marBottom w:val="0"/>
                          <w:divBdr>
                            <w:top w:val="none" w:sz="0" w:space="0" w:color="auto"/>
                            <w:left w:val="none" w:sz="0" w:space="0" w:color="auto"/>
                            <w:bottom w:val="none" w:sz="0" w:space="0" w:color="auto"/>
                            <w:right w:val="none" w:sz="0" w:space="0" w:color="auto"/>
                          </w:divBdr>
                          <w:divsChild>
                            <w:div w:id="1079523615">
                              <w:marLeft w:val="0"/>
                              <w:marRight w:val="0"/>
                              <w:marTop w:val="0"/>
                              <w:marBottom w:val="0"/>
                              <w:divBdr>
                                <w:top w:val="none" w:sz="0" w:space="0" w:color="auto"/>
                                <w:left w:val="none" w:sz="0" w:space="0" w:color="auto"/>
                                <w:bottom w:val="none" w:sz="0" w:space="0" w:color="auto"/>
                                <w:right w:val="none" w:sz="0" w:space="0" w:color="auto"/>
                              </w:divBdr>
                              <w:divsChild>
                                <w:div w:id="1412971095">
                                  <w:marLeft w:val="0"/>
                                  <w:marRight w:val="0"/>
                                  <w:marTop w:val="0"/>
                                  <w:marBottom w:val="0"/>
                                  <w:divBdr>
                                    <w:top w:val="none" w:sz="0" w:space="0" w:color="auto"/>
                                    <w:left w:val="none" w:sz="0" w:space="0" w:color="auto"/>
                                    <w:bottom w:val="none" w:sz="0" w:space="0" w:color="auto"/>
                                    <w:right w:val="none" w:sz="0" w:space="0" w:color="auto"/>
                                  </w:divBdr>
                                  <w:divsChild>
                                    <w:div w:id="2100103925">
                                      <w:marLeft w:val="0"/>
                                      <w:marRight w:val="0"/>
                                      <w:marTop w:val="0"/>
                                      <w:marBottom w:val="0"/>
                                      <w:divBdr>
                                        <w:top w:val="none" w:sz="0" w:space="0" w:color="auto"/>
                                        <w:left w:val="none" w:sz="0" w:space="0" w:color="auto"/>
                                        <w:bottom w:val="none" w:sz="0" w:space="0" w:color="auto"/>
                                        <w:right w:val="none" w:sz="0" w:space="0" w:color="auto"/>
                                      </w:divBdr>
                                      <w:divsChild>
                                        <w:div w:id="10748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71A45-2ED5-491F-91B4-780EB1593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42502</Words>
  <Characters>242267</Characters>
  <Application>Microsoft Office Word</Application>
  <DocSecurity>0</DocSecurity>
  <Lines>2018</Lines>
  <Paragraphs>568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At the Focal Point</vt:lpstr>
      <vt:lpstr>At the Focal Point</vt:lpstr>
    </vt:vector>
  </TitlesOfParts>
  <Company>Hewlett-Packard</Company>
  <LinksUpToDate>false</LinksUpToDate>
  <CharactersWithSpaces>284201</CharactersWithSpaces>
  <SharedDoc>false</SharedDoc>
  <HLinks>
    <vt:vector size="6" baseType="variant">
      <vt:variant>
        <vt:i4>3932234</vt:i4>
      </vt:variant>
      <vt:variant>
        <vt:i4>0</vt:i4>
      </vt:variant>
      <vt:variant>
        <vt:i4>0</vt:i4>
      </vt:variant>
      <vt:variant>
        <vt:i4>5</vt:i4>
      </vt:variant>
      <vt:variant>
        <vt:lpwstr>https://us-mg5.mail.yahoo.com/neo/b/compose?to=Peter.Vilmann@regionh.dk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the Focal Point</dc:title>
  <dc:creator>utuser</dc:creator>
  <cp:lastModifiedBy>Windows 用户</cp:lastModifiedBy>
  <cp:revision>3</cp:revision>
  <cp:lastPrinted>2012-05-01T18:04:00Z</cp:lastPrinted>
  <dcterms:created xsi:type="dcterms:W3CDTF">2015-08-30T10:56:00Z</dcterms:created>
  <dcterms:modified xsi:type="dcterms:W3CDTF">2015-09-01T00:10:00Z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andreas.vilmann@gmail.com@www.mendeley.com</vt:lpwstr>
  </property>
  <property fmtid="{D5CDD505-2E9C-101B-9397-08002B2CF9AE}" pid="4" name="Mendeley Citation Style_1">
    <vt:lpwstr>http://www.zotero.org/styles/world-journal-of-gastroenterology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