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E2" w:rsidRPr="00765C6F" w:rsidRDefault="008358E2" w:rsidP="00765C6F">
      <w:pPr>
        <w:spacing w:line="360" w:lineRule="auto"/>
        <w:outlineLvl w:val="0"/>
        <w:rPr>
          <w:rFonts w:ascii="Book Antiqua" w:eastAsia="宋体" w:hAnsi="Book Antiqua"/>
          <w:color w:val="000000"/>
          <w:sz w:val="24"/>
          <w:szCs w:val="24"/>
          <w:lang w:eastAsia="zh-CN"/>
        </w:rPr>
      </w:pPr>
      <w:r w:rsidRPr="00765C6F">
        <w:rPr>
          <w:rFonts w:ascii="Book Antiqua" w:eastAsia="宋体" w:hAnsi="Book Antiqua"/>
          <w:b/>
          <w:color w:val="000000"/>
          <w:sz w:val="24"/>
          <w:szCs w:val="24"/>
          <w:lang w:eastAsia="zh-CN"/>
        </w:rPr>
        <w:t xml:space="preserve">Name of Journal: </w:t>
      </w:r>
      <w:r w:rsidRPr="008D6C59">
        <w:rPr>
          <w:rFonts w:ascii="Book Antiqua" w:eastAsia="宋体" w:hAnsi="Book Antiqua"/>
          <w:b/>
          <w:i/>
          <w:color w:val="000000"/>
          <w:sz w:val="24"/>
          <w:szCs w:val="24"/>
          <w:lang w:eastAsia="zh-CN"/>
        </w:rPr>
        <w:t xml:space="preserve">World Journal of </w:t>
      </w:r>
      <w:r w:rsidRPr="008D6C59">
        <w:rPr>
          <w:rFonts w:ascii="Book Antiqua" w:hAnsi="Book Antiqua"/>
          <w:b/>
          <w:i/>
          <w:color w:val="000000"/>
          <w:sz w:val="24"/>
          <w:szCs w:val="24"/>
        </w:rPr>
        <w:t>Clinical Cases</w:t>
      </w:r>
    </w:p>
    <w:p w:rsidR="008358E2" w:rsidRPr="00765C6F" w:rsidRDefault="008358E2" w:rsidP="00765C6F">
      <w:pPr>
        <w:spacing w:line="360" w:lineRule="auto"/>
        <w:outlineLvl w:val="0"/>
        <w:rPr>
          <w:rFonts w:ascii="Book Antiqua" w:eastAsia="宋体" w:hAnsi="Book Antiqua"/>
          <w:b/>
          <w:color w:val="000000"/>
          <w:sz w:val="24"/>
          <w:szCs w:val="24"/>
          <w:lang w:eastAsia="zh-CN"/>
        </w:rPr>
      </w:pPr>
      <w:r w:rsidRPr="00765C6F">
        <w:rPr>
          <w:rFonts w:ascii="Book Antiqua" w:eastAsia="宋体" w:hAnsi="Book Antiqua"/>
          <w:b/>
          <w:color w:val="000000"/>
          <w:sz w:val="24"/>
          <w:szCs w:val="24"/>
          <w:lang w:eastAsia="zh-CN"/>
        </w:rPr>
        <w:t>ESPS Manuscript NO: 19264</w:t>
      </w:r>
    </w:p>
    <w:p w:rsidR="008358E2" w:rsidRPr="00765C6F" w:rsidRDefault="008358E2" w:rsidP="00765C6F">
      <w:pPr>
        <w:spacing w:line="360" w:lineRule="auto"/>
        <w:outlineLvl w:val="0"/>
        <w:rPr>
          <w:rFonts w:ascii="Book Antiqua" w:eastAsia="宋体" w:hAnsi="Book Antiqua"/>
          <w:b/>
          <w:color w:val="000000"/>
          <w:sz w:val="24"/>
          <w:szCs w:val="24"/>
          <w:lang w:eastAsia="zh-CN"/>
        </w:rPr>
      </w:pPr>
      <w:r w:rsidRPr="00765C6F">
        <w:rPr>
          <w:rFonts w:ascii="Book Antiqua" w:eastAsia="宋体" w:hAnsi="Book Antiqua"/>
          <w:b/>
          <w:color w:val="000000"/>
          <w:sz w:val="24"/>
          <w:szCs w:val="24"/>
          <w:lang w:eastAsia="zh-CN"/>
        </w:rPr>
        <w:t>Manuscript Type:</w:t>
      </w:r>
      <w:r w:rsidRPr="00765C6F">
        <w:rPr>
          <w:rFonts w:ascii="Book Antiqua" w:hAnsi="Book Antiqua"/>
          <w:color w:val="000000"/>
          <w:sz w:val="24"/>
          <w:szCs w:val="24"/>
        </w:rPr>
        <w:t xml:space="preserve"> </w:t>
      </w:r>
      <w:r w:rsidRPr="00765C6F">
        <w:rPr>
          <w:rFonts w:ascii="Book Antiqua" w:hAnsi="Book Antiqua"/>
          <w:b/>
          <w:color w:val="000000"/>
          <w:sz w:val="24"/>
          <w:szCs w:val="24"/>
        </w:rPr>
        <w:t>CASE REPORT</w:t>
      </w:r>
    </w:p>
    <w:p w:rsidR="008358E2" w:rsidRPr="00765C6F" w:rsidRDefault="008358E2" w:rsidP="00765C6F">
      <w:pPr>
        <w:spacing w:line="360" w:lineRule="auto"/>
        <w:rPr>
          <w:rFonts w:ascii="Book Antiqua" w:eastAsia="宋体" w:hAnsi="Book Antiqua"/>
          <w:b/>
          <w:color w:val="000000"/>
          <w:sz w:val="24"/>
          <w:szCs w:val="24"/>
          <w:lang w:eastAsia="zh-CN"/>
        </w:rPr>
      </w:pPr>
    </w:p>
    <w:p w:rsidR="008358E2" w:rsidRPr="00765C6F" w:rsidRDefault="008358E2" w:rsidP="00765C6F">
      <w:pPr>
        <w:spacing w:line="360" w:lineRule="auto"/>
        <w:rPr>
          <w:rFonts w:ascii="Book Antiqua" w:eastAsia="宋体" w:hAnsi="Book Antiqua"/>
          <w:b/>
          <w:color w:val="000000"/>
          <w:sz w:val="24"/>
          <w:szCs w:val="24"/>
          <w:lang w:eastAsia="zh-CN"/>
        </w:rPr>
      </w:pPr>
      <w:r w:rsidRPr="00765C6F">
        <w:rPr>
          <w:rFonts w:ascii="Book Antiqua" w:hAnsi="Book Antiqua"/>
          <w:b/>
          <w:color w:val="000000"/>
          <w:sz w:val="24"/>
          <w:szCs w:val="24"/>
        </w:rPr>
        <w:t>Probable case of drug reaction with eosinophilia and systemic symptom syndrome due to combination therapy with daclatasvir and asunaprevir</w:t>
      </w:r>
    </w:p>
    <w:p w:rsidR="008358E2" w:rsidRPr="00765C6F" w:rsidRDefault="008358E2" w:rsidP="00765C6F">
      <w:pPr>
        <w:spacing w:line="360" w:lineRule="auto"/>
        <w:rPr>
          <w:rFonts w:ascii="Book Antiqua" w:hAnsi="Book Antiqua"/>
          <w:color w:val="000000"/>
          <w:sz w:val="24"/>
          <w:szCs w:val="24"/>
        </w:rPr>
      </w:pPr>
    </w:p>
    <w:p w:rsidR="008358E2" w:rsidRPr="00765C6F" w:rsidRDefault="008358E2" w:rsidP="00765C6F">
      <w:pPr>
        <w:spacing w:line="360" w:lineRule="auto"/>
        <w:outlineLvl w:val="0"/>
        <w:rPr>
          <w:rFonts w:ascii="Book Antiqua" w:eastAsia="宋体" w:hAnsi="Book Antiqua"/>
          <w:b/>
          <w:color w:val="000000"/>
          <w:sz w:val="24"/>
          <w:szCs w:val="24"/>
          <w:lang w:eastAsia="zh-CN"/>
        </w:rPr>
      </w:pPr>
      <w:r w:rsidRPr="00765C6F">
        <w:rPr>
          <w:rFonts w:ascii="Book Antiqua" w:hAnsi="Book Antiqua"/>
          <w:color w:val="000000"/>
          <w:sz w:val="24"/>
          <w:szCs w:val="24"/>
        </w:rPr>
        <w:t xml:space="preserve">Suga </w:t>
      </w:r>
      <w:r w:rsidRPr="00765C6F">
        <w:rPr>
          <w:rFonts w:ascii="Book Antiqua" w:eastAsia="宋体" w:hAnsi="Book Antiqua"/>
          <w:color w:val="000000"/>
          <w:sz w:val="24"/>
          <w:szCs w:val="24"/>
          <w:lang w:eastAsia="zh-CN"/>
        </w:rPr>
        <w:t xml:space="preserve">T </w:t>
      </w:r>
      <w:r w:rsidRPr="00765C6F">
        <w:rPr>
          <w:rFonts w:ascii="Book Antiqua" w:eastAsia="宋体" w:hAnsi="Book Antiqua"/>
          <w:i/>
          <w:color w:val="000000"/>
          <w:sz w:val="24"/>
          <w:szCs w:val="24"/>
          <w:lang w:eastAsia="zh-CN"/>
        </w:rPr>
        <w:t>et al</w:t>
      </w:r>
      <w:r w:rsidRPr="00765C6F">
        <w:rPr>
          <w:rFonts w:ascii="Book Antiqua" w:eastAsia="宋体" w:hAnsi="Book Antiqua"/>
          <w:color w:val="000000"/>
          <w:sz w:val="24"/>
          <w:szCs w:val="24"/>
          <w:lang w:eastAsia="zh-CN"/>
        </w:rPr>
        <w:t xml:space="preserve">. </w:t>
      </w:r>
      <w:r w:rsidRPr="00765C6F">
        <w:rPr>
          <w:rFonts w:ascii="Book Antiqua" w:hAnsi="Book Antiqua"/>
          <w:color w:val="000000"/>
          <w:sz w:val="24"/>
          <w:szCs w:val="24"/>
        </w:rPr>
        <w:t>Adverse events during interferon-free therapy</w:t>
      </w:r>
    </w:p>
    <w:p w:rsidR="008358E2" w:rsidRPr="00765C6F" w:rsidRDefault="008358E2" w:rsidP="00765C6F">
      <w:pPr>
        <w:pStyle w:val="PlainText"/>
        <w:widowControl/>
        <w:spacing w:line="360" w:lineRule="auto"/>
        <w:jc w:val="both"/>
        <w:rPr>
          <w:rFonts w:ascii="Book Antiqua" w:hAnsi="Book Antiqua"/>
          <w:color w:val="000000"/>
          <w:sz w:val="24"/>
          <w:szCs w:val="24"/>
        </w:rPr>
      </w:pPr>
    </w:p>
    <w:p w:rsidR="008358E2" w:rsidRPr="008D6C59" w:rsidRDefault="008358E2" w:rsidP="00765C6F">
      <w:pPr>
        <w:pStyle w:val="PlainText"/>
        <w:widowControl/>
        <w:spacing w:line="360" w:lineRule="auto"/>
        <w:jc w:val="both"/>
        <w:rPr>
          <w:rFonts w:ascii="Book Antiqua" w:hAnsi="Book Antiqua"/>
          <w:b/>
          <w:color w:val="000000"/>
          <w:sz w:val="24"/>
          <w:szCs w:val="24"/>
          <w:vertAlign w:val="superscript"/>
        </w:rPr>
      </w:pPr>
      <w:r w:rsidRPr="008D6C59">
        <w:rPr>
          <w:rFonts w:ascii="Book Antiqua" w:hAnsi="Book Antiqua"/>
          <w:b/>
          <w:color w:val="000000"/>
          <w:sz w:val="24"/>
          <w:szCs w:val="24"/>
        </w:rPr>
        <w:t xml:space="preserve">Takayoshi Suga, </w:t>
      </w:r>
      <w:r w:rsidRPr="008D6C59">
        <w:rPr>
          <w:rFonts w:ascii="Book Antiqua" w:eastAsia="MS Mincho" w:hAnsi="Book Antiqua"/>
          <w:b/>
          <w:color w:val="000000"/>
          <w:sz w:val="24"/>
          <w:szCs w:val="24"/>
          <w:lang w:eastAsia="ja-JP"/>
        </w:rPr>
        <w:t>Ken</w:t>
      </w:r>
      <w:r w:rsidRPr="008D6C59">
        <w:rPr>
          <w:rFonts w:ascii="Book Antiqua" w:hAnsi="Book Antiqua"/>
          <w:b/>
          <w:color w:val="000000"/>
          <w:sz w:val="24"/>
          <w:szCs w:val="24"/>
          <w:lang w:eastAsia="en-US"/>
        </w:rPr>
        <w:t xml:space="preserve"> </w:t>
      </w:r>
      <w:r w:rsidRPr="008D6C59">
        <w:rPr>
          <w:rFonts w:ascii="Book Antiqua" w:eastAsia="MS Mincho" w:hAnsi="Book Antiqua"/>
          <w:b/>
          <w:color w:val="000000"/>
          <w:sz w:val="24"/>
          <w:szCs w:val="24"/>
          <w:lang w:eastAsia="ja-JP"/>
        </w:rPr>
        <w:t>Sato</w:t>
      </w:r>
      <w:r w:rsidRPr="008D6C59">
        <w:rPr>
          <w:rFonts w:ascii="Book Antiqua" w:hAnsi="Book Antiqua"/>
          <w:b/>
          <w:color w:val="000000"/>
          <w:sz w:val="24"/>
          <w:szCs w:val="24"/>
          <w:lang w:eastAsia="en-US"/>
        </w:rPr>
        <w:t xml:space="preserve">, </w:t>
      </w:r>
      <w:r w:rsidRPr="008D6C59">
        <w:rPr>
          <w:rFonts w:ascii="Book Antiqua" w:eastAsia="MS Mincho" w:hAnsi="Book Antiqua"/>
          <w:b/>
          <w:color w:val="000000"/>
          <w:sz w:val="24"/>
          <w:szCs w:val="24"/>
          <w:lang w:eastAsia="ja-JP"/>
        </w:rPr>
        <w:t>Yuichi Yamazaki,</w:t>
      </w:r>
      <w:r w:rsidRPr="008D6C59">
        <w:rPr>
          <w:rFonts w:ascii="Book Antiqua" w:eastAsia="MS Mincho" w:hAnsi="Book Antiqua"/>
          <w:b/>
          <w:color w:val="000000"/>
          <w:sz w:val="24"/>
          <w:szCs w:val="24"/>
          <w:vertAlign w:val="superscript"/>
          <w:lang w:eastAsia="ja-JP"/>
        </w:rPr>
        <w:t xml:space="preserve"> </w:t>
      </w:r>
      <w:r w:rsidRPr="008D6C59">
        <w:rPr>
          <w:rFonts w:ascii="Book Antiqua" w:eastAsia="Times New Roman" w:hAnsi="Book Antiqua"/>
          <w:b/>
          <w:color w:val="000000"/>
          <w:sz w:val="24"/>
          <w:szCs w:val="24"/>
        </w:rPr>
        <w:t>Tatsuya Ohyama</w:t>
      </w:r>
      <w:r w:rsidRPr="008D6C59">
        <w:rPr>
          <w:rFonts w:ascii="Book Antiqua" w:eastAsia="MS Mincho" w:hAnsi="Book Antiqua"/>
          <w:b/>
          <w:color w:val="000000"/>
          <w:sz w:val="24"/>
          <w:szCs w:val="24"/>
          <w:lang w:eastAsia="ja-JP"/>
        </w:rPr>
        <w:t>,</w:t>
      </w:r>
      <w:r w:rsidRPr="008D6C59">
        <w:rPr>
          <w:rFonts w:ascii="Book Antiqua" w:eastAsia="Times New Roman" w:hAnsi="Book Antiqua"/>
          <w:b/>
          <w:color w:val="000000"/>
          <w:sz w:val="24"/>
          <w:szCs w:val="24"/>
        </w:rPr>
        <w:t xml:space="preserve"> </w:t>
      </w:r>
      <w:r w:rsidRPr="008D6C59">
        <w:rPr>
          <w:rFonts w:ascii="Book Antiqua" w:eastAsia="MS Mincho" w:hAnsi="Book Antiqua"/>
          <w:b/>
          <w:color w:val="000000"/>
          <w:sz w:val="24"/>
          <w:szCs w:val="24"/>
          <w:lang w:eastAsia="ja-JP"/>
        </w:rPr>
        <w:t>Norio Horiguchi, Satoru Kakizaki, Motoyasu Kusano, Masanobu Yamada</w:t>
      </w:r>
    </w:p>
    <w:p w:rsidR="008358E2" w:rsidRPr="00765C6F" w:rsidRDefault="008358E2" w:rsidP="00765C6F">
      <w:pPr>
        <w:pStyle w:val="PlainText"/>
        <w:widowControl/>
        <w:spacing w:line="360" w:lineRule="auto"/>
        <w:jc w:val="both"/>
        <w:rPr>
          <w:rFonts w:ascii="Book Antiqua" w:hAnsi="Book Antiqua"/>
          <w:color w:val="000000"/>
          <w:sz w:val="24"/>
          <w:szCs w:val="24"/>
        </w:rPr>
      </w:pPr>
    </w:p>
    <w:p w:rsidR="008358E2" w:rsidRPr="00765C6F" w:rsidRDefault="008358E2" w:rsidP="00765C6F">
      <w:pPr>
        <w:pStyle w:val="PlainText"/>
        <w:widowControl/>
        <w:spacing w:line="360" w:lineRule="auto"/>
        <w:jc w:val="both"/>
        <w:rPr>
          <w:rFonts w:ascii="Book Antiqua" w:hAnsi="Book Antiqua"/>
          <w:color w:val="000000"/>
          <w:sz w:val="24"/>
          <w:szCs w:val="24"/>
        </w:rPr>
      </w:pPr>
      <w:r w:rsidRPr="00765C6F">
        <w:rPr>
          <w:rFonts w:ascii="Book Antiqua" w:hAnsi="Book Antiqua"/>
          <w:b/>
          <w:color w:val="000000"/>
          <w:sz w:val="24"/>
          <w:szCs w:val="24"/>
        </w:rPr>
        <w:t xml:space="preserve">Takayoshi Suga, </w:t>
      </w:r>
      <w:r w:rsidRPr="00765C6F">
        <w:rPr>
          <w:rFonts w:ascii="Book Antiqua" w:eastAsia="MS Mincho" w:hAnsi="Book Antiqua"/>
          <w:b/>
          <w:color w:val="000000"/>
          <w:sz w:val="24"/>
          <w:szCs w:val="24"/>
          <w:lang w:eastAsia="ja-JP"/>
        </w:rPr>
        <w:t>Ken</w:t>
      </w:r>
      <w:r w:rsidRPr="00765C6F">
        <w:rPr>
          <w:rFonts w:ascii="Book Antiqua" w:hAnsi="Book Antiqua"/>
          <w:b/>
          <w:color w:val="000000"/>
          <w:sz w:val="24"/>
          <w:szCs w:val="24"/>
          <w:lang w:eastAsia="en-US"/>
        </w:rPr>
        <w:t xml:space="preserve"> </w:t>
      </w:r>
      <w:r w:rsidRPr="00765C6F">
        <w:rPr>
          <w:rFonts w:ascii="Book Antiqua" w:eastAsia="MS Mincho" w:hAnsi="Book Antiqua"/>
          <w:b/>
          <w:color w:val="000000"/>
          <w:sz w:val="24"/>
          <w:szCs w:val="24"/>
          <w:lang w:eastAsia="ja-JP"/>
        </w:rPr>
        <w:t>Sato</w:t>
      </w:r>
      <w:r w:rsidRPr="00765C6F">
        <w:rPr>
          <w:rFonts w:ascii="Book Antiqua" w:hAnsi="Book Antiqua"/>
          <w:b/>
          <w:color w:val="000000"/>
          <w:sz w:val="24"/>
          <w:szCs w:val="24"/>
          <w:lang w:eastAsia="en-US"/>
        </w:rPr>
        <w:t xml:space="preserve">, </w:t>
      </w:r>
      <w:r w:rsidRPr="00765C6F">
        <w:rPr>
          <w:rFonts w:ascii="Book Antiqua" w:eastAsia="MS Mincho" w:hAnsi="Book Antiqua"/>
          <w:b/>
          <w:color w:val="000000"/>
          <w:sz w:val="24"/>
          <w:szCs w:val="24"/>
          <w:lang w:eastAsia="ja-JP"/>
        </w:rPr>
        <w:t>Yuichi Yamazaki,</w:t>
      </w:r>
      <w:r w:rsidRPr="00765C6F">
        <w:rPr>
          <w:rFonts w:ascii="Book Antiqua" w:eastAsia="MS Mincho" w:hAnsi="Book Antiqua"/>
          <w:b/>
          <w:color w:val="000000"/>
          <w:sz w:val="24"/>
          <w:szCs w:val="24"/>
          <w:vertAlign w:val="superscript"/>
          <w:lang w:eastAsia="ja-JP"/>
        </w:rPr>
        <w:t xml:space="preserve"> </w:t>
      </w:r>
      <w:r w:rsidRPr="00765C6F">
        <w:rPr>
          <w:rFonts w:ascii="Book Antiqua" w:eastAsia="Times New Roman" w:hAnsi="Book Antiqua"/>
          <w:b/>
          <w:color w:val="000000"/>
          <w:sz w:val="24"/>
          <w:szCs w:val="24"/>
        </w:rPr>
        <w:t>Tatsuya Ohyama</w:t>
      </w:r>
      <w:r w:rsidRPr="00765C6F">
        <w:rPr>
          <w:rFonts w:ascii="Book Antiqua" w:eastAsia="MS Mincho" w:hAnsi="Book Antiqua"/>
          <w:b/>
          <w:color w:val="000000"/>
          <w:sz w:val="24"/>
          <w:szCs w:val="24"/>
          <w:lang w:eastAsia="ja-JP"/>
        </w:rPr>
        <w:t>,</w:t>
      </w:r>
      <w:r w:rsidRPr="00765C6F">
        <w:rPr>
          <w:rFonts w:ascii="Book Antiqua" w:eastAsia="Times New Roman" w:hAnsi="Book Antiqua"/>
          <w:b/>
          <w:color w:val="000000"/>
          <w:sz w:val="24"/>
          <w:szCs w:val="24"/>
        </w:rPr>
        <w:t xml:space="preserve"> </w:t>
      </w:r>
      <w:r w:rsidRPr="00765C6F">
        <w:rPr>
          <w:rFonts w:ascii="Book Antiqua" w:eastAsia="MS Mincho" w:hAnsi="Book Antiqua"/>
          <w:b/>
          <w:color w:val="000000"/>
          <w:sz w:val="24"/>
          <w:szCs w:val="24"/>
          <w:lang w:eastAsia="ja-JP"/>
        </w:rPr>
        <w:t>Norio Horiguchi, Satoru Kakizaki, Masanobu Yamada</w:t>
      </w:r>
      <w:r w:rsidRPr="00765C6F">
        <w:rPr>
          <w:rFonts w:ascii="Book Antiqua" w:hAnsi="Book Antiqua"/>
          <w:b/>
          <w:color w:val="000000"/>
          <w:sz w:val="24"/>
          <w:szCs w:val="24"/>
        </w:rPr>
        <w:t xml:space="preserve">, </w:t>
      </w:r>
      <w:r w:rsidRPr="00765C6F">
        <w:rPr>
          <w:rFonts w:ascii="Book Antiqua" w:hAnsi="Book Antiqua"/>
          <w:color w:val="000000"/>
          <w:sz w:val="24"/>
          <w:szCs w:val="24"/>
        </w:rPr>
        <w:t>Department of Medicine and Molecular Science, Gunma University Graduate School of Medicine, Maebashi, Gunma 371-8511, Japan</w:t>
      </w:r>
    </w:p>
    <w:p w:rsidR="008358E2" w:rsidRPr="00765C6F" w:rsidRDefault="008358E2" w:rsidP="00765C6F">
      <w:pPr>
        <w:pStyle w:val="PlainText"/>
        <w:widowControl/>
        <w:spacing w:line="360" w:lineRule="auto"/>
        <w:jc w:val="both"/>
        <w:rPr>
          <w:rFonts w:ascii="Book Antiqua" w:hAnsi="Book Antiqua"/>
          <w:color w:val="000000"/>
          <w:sz w:val="24"/>
          <w:szCs w:val="24"/>
          <w:vertAlign w:val="superscript"/>
        </w:rPr>
      </w:pPr>
    </w:p>
    <w:p w:rsidR="008358E2" w:rsidRPr="00765C6F" w:rsidRDefault="008358E2" w:rsidP="00765C6F">
      <w:pPr>
        <w:spacing w:line="360" w:lineRule="auto"/>
        <w:rPr>
          <w:rFonts w:ascii="Book Antiqua" w:eastAsia="宋体" w:hAnsi="Book Antiqua"/>
          <w:color w:val="000000"/>
          <w:sz w:val="24"/>
          <w:szCs w:val="24"/>
          <w:lang w:eastAsia="zh-CN"/>
        </w:rPr>
      </w:pPr>
      <w:r w:rsidRPr="00765C6F">
        <w:rPr>
          <w:rFonts w:ascii="Book Antiqua" w:hAnsi="Book Antiqua"/>
          <w:b/>
          <w:color w:val="000000"/>
          <w:sz w:val="24"/>
          <w:szCs w:val="24"/>
        </w:rPr>
        <w:t xml:space="preserve">Motoyasu Kusano, </w:t>
      </w:r>
      <w:r w:rsidRPr="00765C6F">
        <w:rPr>
          <w:rFonts w:ascii="Book Antiqua" w:hAnsi="Book Antiqua"/>
          <w:color w:val="000000"/>
          <w:sz w:val="24"/>
          <w:szCs w:val="24"/>
        </w:rPr>
        <w:t xml:space="preserve">Department of Endoscopy and Endoscopic Surgery, </w:t>
      </w:r>
      <w:smartTag w:uri="urn:schemas-microsoft-com:office:smarttags" w:element="PlaceName">
        <w:r w:rsidRPr="00765C6F">
          <w:rPr>
            <w:rFonts w:ascii="Book Antiqua" w:hAnsi="Book Antiqua"/>
            <w:color w:val="000000"/>
            <w:sz w:val="24"/>
            <w:szCs w:val="24"/>
          </w:rPr>
          <w:t>Gunma</w:t>
        </w:r>
      </w:smartTag>
      <w:r w:rsidRPr="00765C6F">
        <w:rPr>
          <w:rFonts w:ascii="Book Antiqua" w:hAnsi="Book Antiqua"/>
          <w:color w:val="000000"/>
          <w:sz w:val="24"/>
          <w:szCs w:val="24"/>
        </w:rPr>
        <w:t xml:space="preserve"> </w:t>
      </w:r>
      <w:smartTag w:uri="urn:schemas-microsoft-com:office:smarttags" w:element="PlaceType">
        <w:r w:rsidRPr="00765C6F">
          <w:rPr>
            <w:rFonts w:ascii="Book Antiqua" w:hAnsi="Book Antiqua"/>
            <w:color w:val="000000"/>
            <w:sz w:val="24"/>
            <w:szCs w:val="24"/>
          </w:rPr>
          <w:t>University</w:t>
        </w:r>
      </w:smartTag>
      <w:r w:rsidRPr="00765C6F">
        <w:rPr>
          <w:rFonts w:ascii="Book Antiqua" w:hAnsi="Book Antiqua"/>
          <w:color w:val="000000"/>
          <w:sz w:val="24"/>
          <w:szCs w:val="24"/>
        </w:rPr>
        <w:t xml:space="preserve"> </w:t>
      </w:r>
      <w:smartTag w:uri="urn:schemas-microsoft-com:office:smarttags" w:element="PlaceType">
        <w:r w:rsidRPr="00765C6F">
          <w:rPr>
            <w:rFonts w:ascii="Book Antiqua" w:hAnsi="Book Antiqua"/>
            <w:color w:val="000000"/>
            <w:sz w:val="24"/>
            <w:szCs w:val="24"/>
          </w:rPr>
          <w:t>Hospital</w:t>
        </w:r>
      </w:smartTag>
      <w:r w:rsidRPr="00765C6F">
        <w:rPr>
          <w:rFonts w:ascii="Book Antiqua" w:hAnsi="Book Antiqua"/>
          <w:color w:val="000000"/>
          <w:sz w:val="24"/>
          <w:szCs w:val="24"/>
        </w:rPr>
        <w:t xml:space="preserve">, </w:t>
      </w:r>
      <w:smartTag w:uri="urn:schemas-microsoft-com:office:smarttags" w:element="City">
        <w:r w:rsidRPr="00765C6F">
          <w:rPr>
            <w:rFonts w:ascii="Book Antiqua" w:hAnsi="Book Antiqua"/>
            <w:color w:val="000000"/>
            <w:sz w:val="24"/>
            <w:szCs w:val="24"/>
          </w:rPr>
          <w:t>Maebashi</w:t>
        </w:r>
      </w:smartTag>
      <w:r w:rsidRPr="00765C6F">
        <w:rPr>
          <w:rFonts w:ascii="Book Antiqua" w:hAnsi="Book Antiqua"/>
          <w:color w:val="000000"/>
          <w:sz w:val="24"/>
          <w:szCs w:val="24"/>
        </w:rPr>
        <w:t xml:space="preserve">, Gunma 371-8511, </w:t>
      </w:r>
      <w:smartTag w:uri="urn:schemas-microsoft-com:office:smarttags" w:element="place">
        <w:smartTag w:uri="urn:schemas-microsoft-com:office:smarttags" w:element="country-region">
          <w:r w:rsidRPr="00765C6F">
            <w:rPr>
              <w:rFonts w:ascii="Book Antiqua" w:hAnsi="Book Antiqua"/>
              <w:color w:val="000000"/>
              <w:sz w:val="24"/>
              <w:szCs w:val="24"/>
            </w:rPr>
            <w:t>Japan</w:t>
          </w:r>
        </w:smartTag>
      </w:smartTag>
    </w:p>
    <w:p w:rsidR="008358E2" w:rsidRPr="00765C6F" w:rsidRDefault="008358E2" w:rsidP="00765C6F">
      <w:pPr>
        <w:spacing w:line="360" w:lineRule="auto"/>
        <w:rPr>
          <w:rFonts w:ascii="Book Antiqua" w:hAnsi="Book Antiqua"/>
          <w:color w:val="000000"/>
          <w:sz w:val="24"/>
          <w:szCs w:val="24"/>
        </w:rPr>
      </w:pPr>
    </w:p>
    <w:p w:rsidR="008358E2" w:rsidRPr="00765C6F" w:rsidRDefault="008358E2" w:rsidP="00765C6F">
      <w:pPr>
        <w:spacing w:line="360" w:lineRule="auto"/>
        <w:rPr>
          <w:rFonts w:ascii="Book Antiqua" w:hAnsi="Book Antiqua"/>
          <w:color w:val="000000"/>
          <w:sz w:val="24"/>
          <w:szCs w:val="24"/>
        </w:rPr>
      </w:pPr>
      <w:r w:rsidRPr="00765C6F">
        <w:rPr>
          <w:rFonts w:ascii="Book Antiqua" w:hAnsi="Book Antiqua"/>
          <w:b/>
          <w:color w:val="000000"/>
          <w:sz w:val="24"/>
          <w:szCs w:val="24"/>
        </w:rPr>
        <w:t>Author contributions</w:t>
      </w:r>
      <w:r w:rsidRPr="00765C6F">
        <w:rPr>
          <w:rFonts w:ascii="Book Antiqua" w:hAnsi="Book Antiqua"/>
          <w:color w:val="000000"/>
          <w:sz w:val="24"/>
          <w:szCs w:val="24"/>
        </w:rPr>
        <w:t xml:space="preserve">: Suga T collected, analyzed and interpreted the data; Sato K drafted the article and analyzed and interpreted the data; Yamazaki Y, Ohyama T, Horiguchi N, Kakizaki S and Kusano M analyzed the data; Yamada M approved the final version of the manuscript. </w:t>
      </w:r>
    </w:p>
    <w:p w:rsidR="008358E2" w:rsidRPr="00765C6F" w:rsidRDefault="008358E2" w:rsidP="00765C6F">
      <w:pPr>
        <w:spacing w:line="360" w:lineRule="auto"/>
        <w:rPr>
          <w:rFonts w:ascii="Book Antiqua" w:eastAsia="宋体" w:hAnsi="Book Antiqua"/>
          <w:color w:val="000000"/>
          <w:sz w:val="24"/>
          <w:szCs w:val="24"/>
          <w:lang w:eastAsia="zh-CN"/>
        </w:rPr>
      </w:pPr>
    </w:p>
    <w:p w:rsidR="008358E2" w:rsidRPr="00765C6F" w:rsidRDefault="008358E2" w:rsidP="00765C6F">
      <w:pPr>
        <w:spacing w:line="360" w:lineRule="auto"/>
        <w:rPr>
          <w:rFonts w:ascii="Book Antiqua" w:eastAsia="宋体" w:hAnsi="Book Antiqua"/>
          <w:color w:val="000000"/>
          <w:sz w:val="24"/>
          <w:szCs w:val="24"/>
          <w:lang w:eastAsia="zh-CN"/>
        </w:rPr>
      </w:pPr>
      <w:r w:rsidRPr="00765C6F">
        <w:rPr>
          <w:rFonts w:ascii="Book Antiqua" w:hAnsi="Book Antiqua"/>
          <w:b/>
          <w:color w:val="000000"/>
          <w:sz w:val="24"/>
          <w:szCs w:val="24"/>
        </w:rPr>
        <w:t>Institutional review board statement</w:t>
      </w:r>
      <w:r w:rsidRPr="00765C6F">
        <w:rPr>
          <w:rFonts w:ascii="Book Antiqua" w:eastAsia="宋体" w:hAnsi="Book Antiqua"/>
          <w:b/>
          <w:color w:val="000000"/>
          <w:sz w:val="24"/>
          <w:szCs w:val="24"/>
          <w:lang w:eastAsia="zh-CN"/>
        </w:rPr>
        <w:t xml:space="preserve">: </w:t>
      </w:r>
      <w:r w:rsidRPr="00765C6F">
        <w:rPr>
          <w:rFonts w:ascii="Book Antiqua" w:hAnsi="Book Antiqua"/>
          <w:color w:val="000000"/>
          <w:sz w:val="24"/>
          <w:szCs w:val="24"/>
        </w:rPr>
        <w:t>Institutional review board</w:t>
      </w:r>
      <w:r w:rsidRPr="00765C6F">
        <w:rPr>
          <w:rFonts w:ascii="Book Antiqua" w:eastAsia="宋体" w:hAnsi="Book Antiqua"/>
          <w:color w:val="000000"/>
          <w:sz w:val="24"/>
          <w:szCs w:val="24"/>
          <w:lang w:eastAsia="zh-CN"/>
        </w:rPr>
        <w:t xml:space="preserve"> in our institute does not require more than obtaining written informed consent regarding “Case report”.</w:t>
      </w:r>
    </w:p>
    <w:p w:rsidR="008358E2" w:rsidRPr="00765C6F" w:rsidRDefault="008358E2" w:rsidP="00765C6F">
      <w:pPr>
        <w:spacing w:line="360" w:lineRule="auto"/>
        <w:rPr>
          <w:rFonts w:ascii="Book Antiqua" w:eastAsia="宋体" w:hAnsi="Book Antiqua"/>
          <w:b/>
          <w:color w:val="000000"/>
          <w:sz w:val="24"/>
          <w:szCs w:val="24"/>
          <w:lang w:eastAsia="zh-CN"/>
        </w:rPr>
      </w:pPr>
    </w:p>
    <w:p w:rsidR="008358E2" w:rsidRPr="00765C6F" w:rsidRDefault="008358E2" w:rsidP="00765C6F">
      <w:pPr>
        <w:spacing w:line="360" w:lineRule="auto"/>
        <w:rPr>
          <w:rFonts w:ascii="Book Antiqua" w:eastAsia="宋体" w:hAnsi="Book Antiqua"/>
          <w:color w:val="000000"/>
          <w:sz w:val="24"/>
          <w:szCs w:val="24"/>
          <w:lang w:eastAsia="zh-CN"/>
        </w:rPr>
      </w:pPr>
      <w:r w:rsidRPr="00765C6F">
        <w:rPr>
          <w:rFonts w:ascii="Book Antiqua" w:hAnsi="Book Antiqua"/>
          <w:b/>
          <w:color w:val="000000"/>
          <w:sz w:val="24"/>
          <w:szCs w:val="24"/>
        </w:rPr>
        <w:t>Informed consent statement</w:t>
      </w:r>
      <w:r w:rsidRPr="00765C6F">
        <w:rPr>
          <w:rFonts w:ascii="Book Antiqua" w:eastAsia="宋体" w:hAnsi="Book Antiqua"/>
          <w:b/>
          <w:color w:val="000000"/>
          <w:sz w:val="24"/>
          <w:szCs w:val="24"/>
          <w:lang w:eastAsia="zh-CN"/>
        </w:rPr>
        <w:t xml:space="preserve">: </w:t>
      </w:r>
      <w:r w:rsidRPr="00765C6F">
        <w:rPr>
          <w:rFonts w:ascii="Book Antiqua" w:eastAsia="宋体" w:hAnsi="Book Antiqua"/>
          <w:color w:val="000000"/>
          <w:sz w:val="24"/>
          <w:szCs w:val="24"/>
          <w:lang w:eastAsia="zh-CN"/>
        </w:rPr>
        <w:t xml:space="preserve">We obtained written informed consent. </w:t>
      </w:r>
    </w:p>
    <w:p w:rsidR="008358E2" w:rsidRPr="00765C6F" w:rsidRDefault="008358E2" w:rsidP="00765C6F">
      <w:pPr>
        <w:spacing w:line="360" w:lineRule="auto"/>
        <w:rPr>
          <w:rFonts w:ascii="Book Antiqua" w:eastAsia="宋体" w:hAnsi="Book Antiqua"/>
          <w:color w:val="000000"/>
          <w:sz w:val="24"/>
          <w:szCs w:val="24"/>
          <w:lang w:eastAsia="zh-CN"/>
        </w:rPr>
      </w:pPr>
    </w:p>
    <w:p w:rsidR="008358E2" w:rsidRPr="00765C6F" w:rsidRDefault="008358E2" w:rsidP="00765C6F">
      <w:pPr>
        <w:spacing w:line="360" w:lineRule="auto"/>
        <w:outlineLvl w:val="0"/>
        <w:rPr>
          <w:rFonts w:ascii="Book Antiqua" w:hAnsi="Book Antiqua"/>
          <w:color w:val="000000"/>
          <w:sz w:val="24"/>
          <w:szCs w:val="24"/>
        </w:rPr>
      </w:pPr>
      <w:r w:rsidRPr="00765C6F">
        <w:rPr>
          <w:rFonts w:ascii="Book Antiqua" w:hAnsi="Book Antiqua"/>
          <w:b/>
          <w:color w:val="000000"/>
          <w:sz w:val="24"/>
          <w:szCs w:val="24"/>
        </w:rPr>
        <w:t>Conflict</w:t>
      </w:r>
      <w:r w:rsidRPr="00765C6F">
        <w:rPr>
          <w:rFonts w:ascii="Book Antiqua" w:eastAsia="宋体" w:hAnsi="Book Antiqua"/>
          <w:b/>
          <w:color w:val="000000"/>
          <w:sz w:val="24"/>
          <w:szCs w:val="24"/>
          <w:lang w:eastAsia="zh-CN"/>
        </w:rPr>
        <w:t>-</w:t>
      </w:r>
      <w:r w:rsidRPr="00765C6F">
        <w:rPr>
          <w:rFonts w:ascii="Book Antiqua" w:hAnsi="Book Antiqua"/>
          <w:b/>
          <w:color w:val="000000"/>
          <w:sz w:val="24"/>
          <w:szCs w:val="24"/>
        </w:rPr>
        <w:t>of</w:t>
      </w:r>
      <w:r w:rsidRPr="00765C6F">
        <w:rPr>
          <w:rFonts w:ascii="Book Antiqua" w:eastAsia="宋体" w:hAnsi="Book Antiqua"/>
          <w:b/>
          <w:color w:val="000000"/>
          <w:sz w:val="24"/>
          <w:szCs w:val="24"/>
          <w:lang w:eastAsia="zh-CN"/>
        </w:rPr>
        <w:t>-</w:t>
      </w:r>
      <w:r w:rsidRPr="00765C6F">
        <w:rPr>
          <w:rFonts w:ascii="Book Antiqua" w:hAnsi="Book Antiqua"/>
          <w:b/>
          <w:color w:val="000000"/>
          <w:sz w:val="24"/>
          <w:szCs w:val="24"/>
        </w:rPr>
        <w:t>interest statement</w:t>
      </w:r>
      <w:r w:rsidRPr="00765C6F">
        <w:rPr>
          <w:rFonts w:ascii="Book Antiqua" w:hAnsi="Book Antiqua"/>
          <w:color w:val="000000"/>
          <w:sz w:val="24"/>
          <w:szCs w:val="24"/>
        </w:rPr>
        <w:t>:</w:t>
      </w:r>
      <w:r w:rsidRPr="00765C6F">
        <w:rPr>
          <w:rFonts w:ascii="Book Antiqua" w:hAnsi="Book Antiqua"/>
          <w:b/>
          <w:color w:val="000000"/>
          <w:sz w:val="24"/>
          <w:szCs w:val="24"/>
        </w:rPr>
        <w:t xml:space="preserve"> </w:t>
      </w:r>
      <w:r w:rsidRPr="00765C6F">
        <w:rPr>
          <w:rFonts w:ascii="Book Antiqua" w:hAnsi="Book Antiqua"/>
          <w:color w:val="000000"/>
          <w:sz w:val="24"/>
          <w:szCs w:val="24"/>
        </w:rPr>
        <w:t>The authors have declared no conflicts of interest.</w:t>
      </w:r>
    </w:p>
    <w:p w:rsidR="008358E2" w:rsidRPr="00765C6F" w:rsidRDefault="008358E2" w:rsidP="00765C6F">
      <w:pPr>
        <w:spacing w:line="360" w:lineRule="auto"/>
        <w:rPr>
          <w:rFonts w:ascii="Book Antiqua" w:eastAsia="宋体" w:hAnsi="Book Antiqua"/>
          <w:color w:val="000000"/>
          <w:sz w:val="24"/>
          <w:szCs w:val="24"/>
          <w:lang w:eastAsia="zh-CN"/>
        </w:rPr>
      </w:pPr>
    </w:p>
    <w:p w:rsidR="008358E2" w:rsidRPr="00765C6F" w:rsidRDefault="008358E2" w:rsidP="00765C6F">
      <w:pPr>
        <w:widowControl/>
        <w:spacing w:line="360" w:lineRule="auto"/>
        <w:rPr>
          <w:rFonts w:ascii="Book Antiqua" w:eastAsia="宋体" w:hAnsi="Book Antiqua" w:cs="宋体"/>
          <w:color w:val="000000"/>
          <w:kern w:val="0"/>
          <w:sz w:val="24"/>
          <w:szCs w:val="24"/>
          <w:lang w:eastAsia="zh-CN"/>
        </w:rPr>
      </w:pPr>
      <w:bookmarkStart w:id="0" w:name="OLE_LINK507"/>
      <w:bookmarkStart w:id="1" w:name="OLE_LINK506"/>
      <w:bookmarkStart w:id="2" w:name="OLE_LINK496"/>
      <w:bookmarkStart w:id="3" w:name="OLE_LINK479"/>
      <w:r w:rsidRPr="00765C6F">
        <w:rPr>
          <w:rFonts w:ascii="Book Antiqua" w:eastAsia="宋体" w:hAnsi="Book Antiqua" w:cs="宋体"/>
          <w:b/>
          <w:color w:val="000000"/>
          <w:kern w:val="0"/>
          <w:sz w:val="24"/>
          <w:szCs w:val="24"/>
          <w:lang w:eastAsia="zh-CN"/>
        </w:rPr>
        <w:t xml:space="preserve">Open-Access: </w:t>
      </w:r>
      <w:r w:rsidRPr="00765C6F">
        <w:rPr>
          <w:rFonts w:ascii="Book Antiqua" w:eastAsia="宋体" w:hAnsi="Book Antiqua" w:cs="宋体"/>
          <w:color w:val="000000"/>
          <w:kern w:val="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765C6F">
          <w:rPr>
            <w:rFonts w:ascii="Book Antiqua" w:eastAsia="宋体" w:hAnsi="Book Antiqua" w:cs="宋体"/>
            <w:color w:val="000000"/>
            <w:kern w:val="0"/>
            <w:sz w:val="24"/>
            <w:szCs w:val="24"/>
            <w:u w:val="single"/>
            <w:lang w:eastAsia="zh-CN"/>
          </w:rPr>
          <w:t>http://creativecommons.org/licenses/by-nc/4.0/</w:t>
        </w:r>
      </w:hyperlink>
      <w:bookmarkEnd w:id="0"/>
      <w:bookmarkEnd w:id="1"/>
      <w:bookmarkEnd w:id="2"/>
      <w:bookmarkEnd w:id="3"/>
    </w:p>
    <w:p w:rsidR="008358E2" w:rsidRPr="00765C6F" w:rsidRDefault="008358E2" w:rsidP="00765C6F">
      <w:pPr>
        <w:spacing w:line="360" w:lineRule="auto"/>
        <w:rPr>
          <w:rFonts w:ascii="Book Antiqua" w:hAnsi="Book Antiqua"/>
          <w:b/>
          <w:color w:val="000000"/>
          <w:sz w:val="24"/>
          <w:szCs w:val="24"/>
          <w:lang w:eastAsia="zh-CN"/>
        </w:rPr>
      </w:pPr>
    </w:p>
    <w:p w:rsidR="008358E2" w:rsidRPr="00765C6F" w:rsidRDefault="008358E2" w:rsidP="00765C6F">
      <w:pPr>
        <w:spacing w:line="360" w:lineRule="auto"/>
        <w:rPr>
          <w:rFonts w:ascii="Book Antiqua" w:hAnsi="Book Antiqua"/>
          <w:b/>
          <w:bCs/>
          <w:color w:val="000000"/>
          <w:sz w:val="24"/>
          <w:szCs w:val="24"/>
        </w:rPr>
      </w:pPr>
      <w:r w:rsidRPr="00765C6F">
        <w:rPr>
          <w:rFonts w:ascii="Book Antiqua" w:hAnsi="Book Antiqua"/>
          <w:b/>
          <w:bCs/>
          <w:color w:val="000000"/>
          <w:sz w:val="24"/>
          <w:szCs w:val="24"/>
        </w:rPr>
        <w:t>Correspond</w:t>
      </w:r>
      <w:r w:rsidRPr="00765C6F">
        <w:rPr>
          <w:rFonts w:ascii="Book Antiqua" w:eastAsia="宋体" w:hAnsi="Book Antiqua"/>
          <w:b/>
          <w:bCs/>
          <w:color w:val="000000"/>
          <w:sz w:val="24"/>
          <w:szCs w:val="24"/>
          <w:lang w:eastAsia="zh-CN"/>
        </w:rPr>
        <w:t>ence to</w:t>
      </w:r>
      <w:r w:rsidRPr="00765C6F">
        <w:rPr>
          <w:rFonts w:ascii="Book Antiqua" w:hAnsi="Book Antiqua"/>
          <w:b/>
          <w:bCs/>
          <w:color w:val="000000"/>
          <w:sz w:val="24"/>
          <w:szCs w:val="24"/>
        </w:rPr>
        <w:t xml:space="preserve">: </w:t>
      </w:r>
      <w:r w:rsidRPr="00765C6F">
        <w:rPr>
          <w:rFonts w:ascii="Book Antiqua" w:hAnsi="Book Antiqua"/>
          <w:b/>
          <w:color w:val="000000"/>
          <w:sz w:val="24"/>
          <w:szCs w:val="24"/>
        </w:rPr>
        <w:t>Ken Sato, MD, PhD</w:t>
      </w:r>
      <w:r w:rsidRPr="00765C6F">
        <w:rPr>
          <w:rFonts w:ascii="Book Antiqua" w:eastAsia="宋体" w:hAnsi="Book Antiqua"/>
          <w:b/>
          <w:color w:val="000000"/>
          <w:sz w:val="24"/>
          <w:szCs w:val="24"/>
          <w:lang w:eastAsia="zh-CN"/>
        </w:rPr>
        <w:t>,</w:t>
      </w:r>
      <w:r w:rsidRPr="00765C6F">
        <w:rPr>
          <w:rFonts w:ascii="Book Antiqua" w:hAnsi="Book Antiqua"/>
          <w:b/>
          <w:bCs/>
          <w:color w:val="000000"/>
          <w:sz w:val="24"/>
          <w:szCs w:val="24"/>
        </w:rPr>
        <w:t xml:space="preserve"> </w:t>
      </w:r>
      <w:r w:rsidRPr="00765C6F">
        <w:rPr>
          <w:rFonts w:ascii="Book Antiqua" w:hAnsi="Book Antiqua"/>
          <w:color w:val="000000"/>
          <w:sz w:val="24"/>
          <w:szCs w:val="24"/>
        </w:rPr>
        <w:t>Department of Medicine and Molecular Science,</w:t>
      </w:r>
      <w:r w:rsidRPr="00765C6F">
        <w:rPr>
          <w:rFonts w:ascii="Book Antiqua" w:hAnsi="Book Antiqua"/>
          <w:b/>
          <w:bCs/>
          <w:color w:val="000000"/>
          <w:sz w:val="24"/>
          <w:szCs w:val="24"/>
        </w:rPr>
        <w:t xml:space="preserve"> </w:t>
      </w:r>
      <w:r w:rsidRPr="00765C6F">
        <w:rPr>
          <w:rFonts w:ascii="Book Antiqua" w:hAnsi="Book Antiqua"/>
          <w:color w:val="000000"/>
          <w:sz w:val="24"/>
          <w:szCs w:val="24"/>
        </w:rPr>
        <w:t>Gunma University Graduate School of Medicine,</w:t>
      </w:r>
      <w:r w:rsidRPr="00765C6F">
        <w:rPr>
          <w:rFonts w:ascii="Book Antiqua" w:eastAsia="宋体" w:hAnsi="Book Antiqua"/>
          <w:color w:val="000000"/>
          <w:sz w:val="24"/>
          <w:szCs w:val="24"/>
          <w:lang w:eastAsia="zh-CN"/>
        </w:rPr>
        <w:t xml:space="preserve"> </w:t>
      </w:r>
      <w:r w:rsidRPr="00765C6F">
        <w:rPr>
          <w:rFonts w:ascii="Book Antiqua" w:hAnsi="Book Antiqua"/>
          <w:color w:val="000000"/>
          <w:sz w:val="24"/>
          <w:szCs w:val="24"/>
        </w:rPr>
        <w:t xml:space="preserve">3-39-22 Showa-machi, </w:t>
      </w:r>
      <w:smartTag w:uri="urn:schemas-microsoft-com:office:smarttags" w:element="City">
        <w:r w:rsidRPr="00765C6F">
          <w:rPr>
            <w:rFonts w:ascii="Book Antiqua" w:hAnsi="Book Antiqua"/>
            <w:color w:val="000000"/>
            <w:sz w:val="24"/>
            <w:szCs w:val="24"/>
          </w:rPr>
          <w:t>Maebashi</w:t>
        </w:r>
      </w:smartTag>
      <w:r w:rsidRPr="00765C6F">
        <w:rPr>
          <w:rFonts w:ascii="Book Antiqua" w:hAnsi="Book Antiqua"/>
          <w:color w:val="000000"/>
          <w:sz w:val="24"/>
          <w:szCs w:val="24"/>
        </w:rPr>
        <w:t xml:space="preserve">, Gunma 371-8511, </w:t>
      </w:r>
      <w:smartTag w:uri="urn:schemas-microsoft-com:office:smarttags" w:element="place">
        <w:smartTag w:uri="urn:schemas-microsoft-com:office:smarttags" w:element="country-region">
          <w:r w:rsidRPr="00765C6F">
            <w:rPr>
              <w:rFonts w:ascii="Book Antiqua" w:hAnsi="Book Antiqua"/>
              <w:color w:val="000000"/>
              <w:sz w:val="24"/>
              <w:szCs w:val="24"/>
            </w:rPr>
            <w:t>Japan</w:t>
          </w:r>
        </w:smartTag>
      </w:smartTag>
      <w:r w:rsidRPr="00765C6F">
        <w:rPr>
          <w:rFonts w:ascii="Book Antiqua" w:hAnsi="Book Antiqua"/>
          <w:color w:val="000000"/>
          <w:sz w:val="24"/>
          <w:szCs w:val="24"/>
        </w:rPr>
        <w:t>.</w:t>
      </w:r>
      <w:r w:rsidRPr="00765C6F">
        <w:rPr>
          <w:rFonts w:ascii="Book Antiqua" w:hAnsi="Book Antiqua"/>
          <w:sz w:val="24"/>
          <w:szCs w:val="24"/>
        </w:rPr>
        <w:t xml:space="preserve"> </w:t>
      </w:r>
      <w:hyperlink r:id="rId8" w:history="1">
        <w:r w:rsidRPr="00765C6F">
          <w:rPr>
            <w:rStyle w:val="Hyperlink"/>
            <w:rFonts w:ascii="Book Antiqua" w:hAnsi="Book Antiqua"/>
            <w:color w:val="000000"/>
            <w:sz w:val="24"/>
            <w:szCs w:val="24"/>
          </w:rPr>
          <w:t>satoken@gunma-u.ac.jp</w:t>
        </w:r>
      </w:hyperlink>
    </w:p>
    <w:p w:rsidR="008358E2" w:rsidRPr="00765C6F" w:rsidRDefault="008358E2" w:rsidP="00765C6F">
      <w:pPr>
        <w:spacing w:line="360" w:lineRule="auto"/>
        <w:rPr>
          <w:rFonts w:ascii="Book Antiqua" w:hAnsi="Book Antiqua"/>
          <w:color w:val="000000"/>
          <w:sz w:val="24"/>
          <w:szCs w:val="24"/>
        </w:rPr>
      </w:pPr>
      <w:r w:rsidRPr="00765C6F">
        <w:rPr>
          <w:rFonts w:ascii="Book Antiqua" w:hAnsi="Book Antiqua"/>
          <w:b/>
          <w:color w:val="000000"/>
          <w:sz w:val="24"/>
          <w:szCs w:val="24"/>
        </w:rPr>
        <w:t>Tel</w:t>
      </w:r>
      <w:r w:rsidRPr="00765C6F">
        <w:rPr>
          <w:rFonts w:ascii="Book Antiqua" w:eastAsia="宋体" w:hAnsi="Book Antiqua"/>
          <w:b/>
          <w:color w:val="000000"/>
          <w:sz w:val="24"/>
          <w:szCs w:val="24"/>
          <w:lang w:eastAsia="zh-CN"/>
        </w:rPr>
        <w:t>ephone</w:t>
      </w:r>
      <w:r w:rsidRPr="00765C6F">
        <w:rPr>
          <w:rFonts w:ascii="Book Antiqua" w:hAnsi="Book Antiqua"/>
          <w:b/>
          <w:color w:val="000000"/>
          <w:sz w:val="24"/>
          <w:szCs w:val="24"/>
        </w:rPr>
        <w:t xml:space="preserve">: </w:t>
      </w:r>
      <w:r w:rsidRPr="00765C6F">
        <w:rPr>
          <w:rFonts w:ascii="Book Antiqua" w:hAnsi="Book Antiqua"/>
          <w:color w:val="000000"/>
          <w:sz w:val="24"/>
          <w:szCs w:val="24"/>
        </w:rPr>
        <w:t>+81-272-208127</w:t>
      </w:r>
    </w:p>
    <w:p w:rsidR="008358E2" w:rsidRPr="00765C6F" w:rsidRDefault="008358E2" w:rsidP="00765C6F">
      <w:pPr>
        <w:spacing w:line="360" w:lineRule="auto"/>
        <w:rPr>
          <w:rFonts w:ascii="Book Antiqua" w:hAnsi="Book Antiqua"/>
          <w:color w:val="000000"/>
          <w:sz w:val="24"/>
          <w:szCs w:val="24"/>
        </w:rPr>
      </w:pPr>
      <w:r w:rsidRPr="00765C6F">
        <w:rPr>
          <w:rFonts w:ascii="Book Antiqua" w:hAnsi="Book Antiqua"/>
          <w:b/>
          <w:color w:val="000000"/>
          <w:sz w:val="24"/>
          <w:szCs w:val="24"/>
        </w:rPr>
        <w:t xml:space="preserve">Fax: </w:t>
      </w:r>
      <w:r w:rsidRPr="00765C6F">
        <w:rPr>
          <w:rFonts w:ascii="Book Antiqua" w:hAnsi="Book Antiqua"/>
          <w:color w:val="000000"/>
          <w:sz w:val="24"/>
          <w:szCs w:val="24"/>
        </w:rPr>
        <w:t>+81-272-208137</w:t>
      </w:r>
    </w:p>
    <w:p w:rsidR="008358E2" w:rsidRPr="00765C6F" w:rsidRDefault="008358E2" w:rsidP="00765C6F">
      <w:pPr>
        <w:spacing w:line="360" w:lineRule="auto"/>
        <w:rPr>
          <w:rFonts w:ascii="Book Antiqua" w:eastAsia="宋体" w:hAnsi="Book Antiqua"/>
          <w:color w:val="000000"/>
          <w:sz w:val="24"/>
          <w:szCs w:val="24"/>
          <w:lang w:eastAsia="zh-CN"/>
        </w:rPr>
      </w:pPr>
    </w:p>
    <w:p w:rsidR="008358E2" w:rsidRPr="00765C6F" w:rsidRDefault="008358E2" w:rsidP="00765C6F">
      <w:pPr>
        <w:spacing w:line="360" w:lineRule="auto"/>
        <w:rPr>
          <w:rFonts w:ascii="Book Antiqua" w:eastAsia="宋体" w:hAnsi="Book Antiqua"/>
          <w:sz w:val="24"/>
          <w:szCs w:val="24"/>
          <w:lang w:eastAsia="zh-CN"/>
        </w:rPr>
      </w:pPr>
      <w:bookmarkStart w:id="4" w:name="OLE_LINK5"/>
      <w:bookmarkStart w:id="5" w:name="OLE_LINK6"/>
      <w:r w:rsidRPr="00765C6F">
        <w:rPr>
          <w:rFonts w:ascii="Book Antiqua" w:hAnsi="Book Antiqua"/>
          <w:b/>
          <w:sz w:val="24"/>
          <w:szCs w:val="24"/>
        </w:rPr>
        <w:t>Received:</w:t>
      </w:r>
      <w:r w:rsidRPr="00765C6F">
        <w:rPr>
          <w:rFonts w:ascii="Book Antiqua" w:eastAsia="宋体" w:hAnsi="Book Antiqua"/>
          <w:b/>
          <w:sz w:val="24"/>
          <w:szCs w:val="24"/>
          <w:lang w:eastAsia="zh-CN"/>
        </w:rPr>
        <w:t xml:space="preserve"> </w:t>
      </w:r>
      <w:r w:rsidRPr="00765C6F">
        <w:rPr>
          <w:rFonts w:ascii="Book Antiqua" w:eastAsia="宋体" w:hAnsi="Book Antiqua"/>
          <w:sz w:val="24"/>
          <w:szCs w:val="24"/>
          <w:lang w:eastAsia="zh-CN"/>
        </w:rPr>
        <w:t>May 1, 2015</w:t>
      </w:r>
    </w:p>
    <w:p w:rsidR="008358E2" w:rsidRPr="00765C6F" w:rsidRDefault="008358E2" w:rsidP="00765C6F">
      <w:pPr>
        <w:spacing w:line="360" w:lineRule="auto"/>
        <w:rPr>
          <w:rFonts w:ascii="Book Antiqua" w:eastAsia="宋体" w:hAnsi="Book Antiqua"/>
          <w:sz w:val="24"/>
          <w:szCs w:val="24"/>
          <w:lang w:eastAsia="zh-CN"/>
        </w:rPr>
      </w:pPr>
      <w:r w:rsidRPr="00765C6F">
        <w:rPr>
          <w:rFonts w:ascii="Book Antiqua" w:hAnsi="Book Antiqua"/>
          <w:b/>
          <w:sz w:val="24"/>
          <w:szCs w:val="24"/>
        </w:rPr>
        <w:t>Peer-review started:</w:t>
      </w:r>
      <w:r w:rsidRPr="00765C6F">
        <w:rPr>
          <w:rFonts w:ascii="Book Antiqua" w:eastAsia="宋体" w:hAnsi="Book Antiqua"/>
          <w:sz w:val="24"/>
          <w:szCs w:val="24"/>
          <w:lang w:eastAsia="zh-CN"/>
        </w:rPr>
        <w:t xml:space="preserve"> May 8, 2015</w:t>
      </w:r>
    </w:p>
    <w:p w:rsidR="008358E2" w:rsidRPr="00765C6F" w:rsidRDefault="008358E2" w:rsidP="00765C6F">
      <w:pPr>
        <w:spacing w:line="360" w:lineRule="auto"/>
        <w:rPr>
          <w:rFonts w:ascii="Book Antiqua" w:eastAsia="宋体" w:hAnsi="Book Antiqua"/>
          <w:b/>
          <w:sz w:val="24"/>
          <w:szCs w:val="24"/>
          <w:lang w:eastAsia="zh-CN"/>
        </w:rPr>
      </w:pPr>
      <w:bookmarkStart w:id="6" w:name="OLE_LINK21"/>
      <w:bookmarkStart w:id="7" w:name="OLE_LINK22"/>
      <w:r w:rsidRPr="00765C6F">
        <w:rPr>
          <w:rFonts w:ascii="Book Antiqua" w:hAnsi="Book Antiqua"/>
          <w:b/>
          <w:sz w:val="24"/>
          <w:szCs w:val="24"/>
        </w:rPr>
        <w:t>First decision:</w:t>
      </w:r>
      <w:r w:rsidRPr="00765C6F">
        <w:rPr>
          <w:rFonts w:ascii="Book Antiqua" w:eastAsia="宋体" w:hAnsi="Book Antiqua"/>
          <w:b/>
          <w:sz w:val="24"/>
          <w:szCs w:val="24"/>
          <w:lang w:eastAsia="zh-CN"/>
        </w:rPr>
        <w:t xml:space="preserve"> </w:t>
      </w:r>
      <w:r w:rsidRPr="00765C6F">
        <w:rPr>
          <w:rFonts w:ascii="Book Antiqua" w:eastAsia="宋体" w:hAnsi="Book Antiqua"/>
          <w:sz w:val="24"/>
          <w:szCs w:val="24"/>
          <w:lang w:eastAsia="zh-CN"/>
        </w:rPr>
        <w:t>July 17, 2015</w:t>
      </w:r>
    </w:p>
    <w:bookmarkEnd w:id="6"/>
    <w:bookmarkEnd w:id="7"/>
    <w:p w:rsidR="008358E2" w:rsidRPr="00765C6F" w:rsidRDefault="008358E2" w:rsidP="00765C6F">
      <w:pPr>
        <w:spacing w:line="360" w:lineRule="auto"/>
        <w:rPr>
          <w:rFonts w:ascii="Book Antiqua" w:eastAsia="宋体" w:hAnsi="Book Antiqua"/>
          <w:sz w:val="24"/>
          <w:szCs w:val="24"/>
          <w:lang w:eastAsia="zh-CN"/>
        </w:rPr>
      </w:pPr>
      <w:r w:rsidRPr="00765C6F">
        <w:rPr>
          <w:rFonts w:ascii="Book Antiqua" w:hAnsi="Book Antiqua"/>
          <w:b/>
          <w:sz w:val="24"/>
          <w:szCs w:val="24"/>
        </w:rPr>
        <w:t>Revised:</w:t>
      </w:r>
      <w:r w:rsidRPr="00765C6F">
        <w:rPr>
          <w:rFonts w:ascii="Book Antiqua" w:eastAsia="宋体" w:hAnsi="Book Antiqua"/>
          <w:b/>
          <w:sz w:val="24"/>
          <w:szCs w:val="24"/>
          <w:lang w:eastAsia="zh-CN"/>
        </w:rPr>
        <w:t xml:space="preserve"> </w:t>
      </w:r>
      <w:r w:rsidRPr="00765C6F">
        <w:rPr>
          <w:rFonts w:ascii="Book Antiqua" w:eastAsia="宋体" w:hAnsi="Book Antiqua"/>
          <w:sz w:val="24"/>
          <w:szCs w:val="24"/>
          <w:lang w:eastAsia="zh-CN"/>
        </w:rPr>
        <w:t>September 2</w:t>
      </w:r>
      <w:r>
        <w:rPr>
          <w:rFonts w:ascii="Book Antiqua" w:eastAsia="宋体" w:hAnsi="Book Antiqua"/>
          <w:sz w:val="24"/>
          <w:szCs w:val="24"/>
          <w:lang w:eastAsia="zh-CN"/>
        </w:rPr>
        <w:t>5</w:t>
      </w:r>
      <w:r w:rsidRPr="00765C6F">
        <w:rPr>
          <w:rFonts w:ascii="Book Antiqua" w:eastAsia="宋体" w:hAnsi="Book Antiqua"/>
          <w:sz w:val="24"/>
          <w:szCs w:val="24"/>
          <w:lang w:eastAsia="zh-CN"/>
        </w:rPr>
        <w:t>, 2015</w:t>
      </w:r>
    </w:p>
    <w:p w:rsidR="008358E2" w:rsidRPr="00A66D15" w:rsidRDefault="008358E2" w:rsidP="00A66D15">
      <w:pPr>
        <w:rPr>
          <w:rFonts w:ascii="Book Antiqua" w:hAnsi="Book Antiqua"/>
          <w:iCs/>
          <w:sz w:val="24"/>
        </w:rPr>
      </w:pPr>
      <w:r w:rsidRPr="00765C6F">
        <w:rPr>
          <w:rFonts w:ascii="Book Antiqua" w:hAnsi="Book Antiqua"/>
          <w:b/>
          <w:sz w:val="24"/>
          <w:szCs w:val="24"/>
        </w:rPr>
        <w:t>Accepted:</w:t>
      </w:r>
      <w:r w:rsidRPr="00A66D15">
        <w:rPr>
          <w:rStyle w:val="Emphasis"/>
          <w:iCs/>
        </w:rPr>
        <w:t xml:space="preserve"> </w:t>
      </w:r>
      <w:r>
        <w:rPr>
          <w:rStyle w:val="Emphasis"/>
          <w:iCs/>
        </w:rPr>
        <w:t>October 20</w:t>
      </w:r>
      <w:r w:rsidRPr="00235CD4">
        <w:rPr>
          <w:rStyle w:val="Emphasis"/>
          <w:iCs/>
        </w:rPr>
        <w:t>, 2015</w:t>
      </w:r>
    </w:p>
    <w:p w:rsidR="008358E2" w:rsidRPr="00765C6F" w:rsidRDefault="008358E2" w:rsidP="00765C6F">
      <w:pPr>
        <w:spacing w:line="360" w:lineRule="auto"/>
        <w:rPr>
          <w:rFonts w:ascii="Book Antiqua" w:eastAsia="宋体" w:hAnsi="Book Antiqua"/>
          <w:b/>
          <w:sz w:val="24"/>
          <w:szCs w:val="24"/>
          <w:lang w:eastAsia="zh-CN"/>
        </w:rPr>
      </w:pPr>
      <w:r w:rsidRPr="00765C6F">
        <w:rPr>
          <w:rFonts w:ascii="Book Antiqua" w:hAnsi="Book Antiqua"/>
          <w:b/>
          <w:sz w:val="24"/>
          <w:szCs w:val="24"/>
        </w:rPr>
        <w:t>Article in press:</w:t>
      </w:r>
      <w:r w:rsidRPr="00765C6F">
        <w:rPr>
          <w:rFonts w:ascii="Book Antiqua" w:eastAsia="宋体" w:hAnsi="Book Antiqua"/>
          <w:b/>
          <w:sz w:val="24"/>
          <w:szCs w:val="24"/>
          <w:lang w:eastAsia="zh-CN"/>
        </w:rPr>
        <w:t xml:space="preserve"> </w:t>
      </w:r>
    </w:p>
    <w:p w:rsidR="008358E2" w:rsidRPr="00765C6F" w:rsidRDefault="008358E2" w:rsidP="00765C6F">
      <w:pPr>
        <w:spacing w:line="360" w:lineRule="auto"/>
        <w:rPr>
          <w:rFonts w:ascii="Book Antiqua" w:hAnsi="Book Antiqua"/>
          <w:b/>
          <w:sz w:val="24"/>
          <w:szCs w:val="24"/>
        </w:rPr>
      </w:pPr>
      <w:r w:rsidRPr="00765C6F">
        <w:rPr>
          <w:rFonts w:ascii="Book Antiqua" w:hAnsi="Book Antiqua"/>
          <w:b/>
          <w:sz w:val="24"/>
          <w:szCs w:val="24"/>
        </w:rPr>
        <w:t xml:space="preserve">Published online: </w:t>
      </w:r>
    </w:p>
    <w:bookmarkEnd w:id="4"/>
    <w:bookmarkEnd w:id="5"/>
    <w:p w:rsidR="008358E2" w:rsidRPr="00765C6F" w:rsidRDefault="008358E2" w:rsidP="00904BB1">
      <w:pPr>
        <w:widowControl/>
        <w:spacing w:line="360" w:lineRule="auto"/>
        <w:rPr>
          <w:rFonts w:ascii="Book Antiqua" w:hAnsi="Book Antiqua"/>
          <w:b/>
          <w:color w:val="000000"/>
          <w:sz w:val="24"/>
          <w:szCs w:val="24"/>
        </w:rPr>
      </w:pPr>
      <w:r w:rsidRPr="00765C6F">
        <w:rPr>
          <w:rFonts w:ascii="Book Antiqua" w:hAnsi="Book Antiqua"/>
          <w:color w:val="000000"/>
          <w:sz w:val="24"/>
          <w:szCs w:val="24"/>
        </w:rPr>
        <w:br w:type="page"/>
      </w:r>
      <w:r w:rsidRPr="00765C6F">
        <w:rPr>
          <w:rFonts w:ascii="Book Antiqua" w:hAnsi="Book Antiqua"/>
          <w:b/>
          <w:color w:val="000000"/>
          <w:sz w:val="24"/>
          <w:szCs w:val="24"/>
        </w:rPr>
        <w:t>Abstract</w:t>
      </w:r>
    </w:p>
    <w:p w:rsidR="008358E2" w:rsidRPr="00765C6F" w:rsidRDefault="008358E2" w:rsidP="00765C6F">
      <w:pPr>
        <w:spacing w:line="360" w:lineRule="auto"/>
        <w:rPr>
          <w:rFonts w:ascii="Book Antiqua" w:hAnsi="Book Antiqua"/>
          <w:color w:val="000000"/>
          <w:sz w:val="24"/>
          <w:szCs w:val="24"/>
        </w:rPr>
      </w:pPr>
      <w:r w:rsidRPr="00765C6F">
        <w:rPr>
          <w:rFonts w:ascii="Book Antiqua" w:hAnsi="Book Antiqua"/>
          <w:color w:val="000000"/>
          <w:sz w:val="24"/>
          <w:szCs w:val="24"/>
        </w:rPr>
        <w:t xml:space="preserve">A 66-year-old, interferon-ineligible, treatment-naive man who was diagnosed with chronic hepatitis C due to hepatitis C </w:t>
      </w:r>
      <w:r w:rsidRPr="00765C6F">
        <w:rPr>
          <w:rFonts w:ascii="Book Antiqua" w:eastAsia="宋体" w:hAnsi="Book Antiqua"/>
          <w:color w:val="000000"/>
          <w:sz w:val="24"/>
          <w:szCs w:val="24"/>
          <w:lang w:eastAsia="zh-CN"/>
        </w:rPr>
        <w:t xml:space="preserve">virus </w:t>
      </w:r>
      <w:r w:rsidRPr="00765C6F">
        <w:rPr>
          <w:rFonts w:ascii="Book Antiqua" w:hAnsi="Book Antiqua"/>
          <w:color w:val="000000"/>
          <w:sz w:val="24"/>
          <w:szCs w:val="24"/>
        </w:rPr>
        <w:t>genotype 1b began combination therapy with daclatasvir and asunaprevir. On day 14 of treatment, hepatic reserve and renal function deterioration was observed, while his transaminase levels were normal. Both daclatasvir and asunaprevir were discontinued on day 18 of treatment, because the patient complained of dark urine and a rash on his trunk and four limbs. After discontinuing antiviral therapy, the abnormal laboratory finding and clinical manifestations gradually improved, without recurrence. Our case fulfilled the diagnostic criteria of probable drug reaction with eosinophilia and systemic symptom (DRESS) syndrome. Despite the 18-day treatment, sustained virological response 12 was achieved. Based on the clinical course, we concluded that there was a clear cause-and-effect relationship between the treatment and adverse events. To our knowledge, this patient represents the first case of probable DRESS syndrome that includes concomitant deterioration of hepatic reserve and renal function due to combination therapy with daclatasvir and asunaprevir, regardless of normalization of transaminase levels. Our case suggests that we should pay attention not only to the transaminase levels but also to allergic symptoms associated with organ involvement during combination therapy with daclatasvir and asunaprevir.</w:t>
      </w:r>
    </w:p>
    <w:p w:rsidR="008358E2" w:rsidRPr="00765C6F" w:rsidRDefault="008358E2" w:rsidP="00765C6F">
      <w:pPr>
        <w:spacing w:line="360" w:lineRule="auto"/>
        <w:rPr>
          <w:rFonts w:ascii="Book Antiqua" w:hAnsi="Book Antiqua"/>
          <w:color w:val="000000"/>
          <w:sz w:val="24"/>
          <w:szCs w:val="24"/>
        </w:rPr>
      </w:pPr>
    </w:p>
    <w:p w:rsidR="008358E2" w:rsidRPr="00765C6F" w:rsidRDefault="008358E2" w:rsidP="00765C6F">
      <w:pPr>
        <w:spacing w:line="360" w:lineRule="auto"/>
        <w:rPr>
          <w:rFonts w:ascii="Book Antiqua" w:eastAsia="宋体" w:hAnsi="Book Antiqua"/>
          <w:color w:val="000000"/>
          <w:sz w:val="24"/>
          <w:szCs w:val="24"/>
          <w:lang w:eastAsia="zh-CN"/>
        </w:rPr>
      </w:pPr>
      <w:r w:rsidRPr="00765C6F">
        <w:rPr>
          <w:rFonts w:ascii="Book Antiqua" w:hAnsi="Book Antiqua"/>
          <w:b/>
          <w:color w:val="000000"/>
          <w:sz w:val="24"/>
          <w:szCs w:val="24"/>
        </w:rPr>
        <w:t>Key words</w:t>
      </w:r>
      <w:r w:rsidRPr="00765C6F">
        <w:rPr>
          <w:rFonts w:ascii="Book Antiqua" w:hAnsi="Book Antiqua"/>
          <w:color w:val="000000"/>
          <w:sz w:val="24"/>
          <w:szCs w:val="24"/>
        </w:rPr>
        <w:t>: Hepatitis C</w:t>
      </w:r>
      <w:r w:rsidRPr="00765C6F">
        <w:rPr>
          <w:rFonts w:ascii="Book Antiqua" w:eastAsia="宋体" w:hAnsi="Book Antiqua"/>
          <w:color w:val="000000"/>
          <w:sz w:val="24"/>
          <w:szCs w:val="24"/>
          <w:lang w:eastAsia="zh-CN"/>
        </w:rPr>
        <w:t>;</w:t>
      </w:r>
      <w:r w:rsidRPr="00765C6F">
        <w:rPr>
          <w:rFonts w:ascii="Book Antiqua" w:hAnsi="Book Antiqua"/>
          <w:color w:val="000000"/>
          <w:sz w:val="24"/>
          <w:szCs w:val="24"/>
        </w:rPr>
        <w:t xml:space="preserve"> Daclatasvir</w:t>
      </w:r>
      <w:r w:rsidRPr="00765C6F">
        <w:rPr>
          <w:rFonts w:ascii="Book Antiqua" w:eastAsia="宋体" w:hAnsi="Book Antiqua"/>
          <w:color w:val="000000"/>
          <w:sz w:val="24"/>
          <w:szCs w:val="24"/>
          <w:lang w:eastAsia="zh-CN"/>
        </w:rPr>
        <w:t>;</w:t>
      </w:r>
      <w:r w:rsidRPr="00765C6F">
        <w:rPr>
          <w:rFonts w:ascii="Book Antiqua" w:hAnsi="Book Antiqua"/>
          <w:color w:val="000000"/>
          <w:sz w:val="24"/>
          <w:szCs w:val="24"/>
        </w:rPr>
        <w:t xml:space="preserve"> Asunaprevir</w:t>
      </w:r>
      <w:r w:rsidRPr="00765C6F">
        <w:rPr>
          <w:rFonts w:ascii="Book Antiqua" w:eastAsia="宋体" w:hAnsi="Book Antiqua"/>
          <w:color w:val="000000"/>
          <w:sz w:val="24"/>
          <w:szCs w:val="24"/>
          <w:lang w:eastAsia="zh-CN"/>
        </w:rPr>
        <w:t>;</w:t>
      </w:r>
      <w:r w:rsidRPr="00765C6F">
        <w:rPr>
          <w:rFonts w:ascii="Book Antiqua" w:hAnsi="Book Antiqua"/>
          <w:color w:val="000000"/>
          <w:sz w:val="24"/>
          <w:szCs w:val="24"/>
        </w:rPr>
        <w:t xml:space="preserve"> Hepatic reserve deterioration</w:t>
      </w:r>
      <w:r w:rsidRPr="00765C6F">
        <w:rPr>
          <w:rFonts w:ascii="Book Antiqua" w:eastAsia="宋体" w:hAnsi="Book Antiqua"/>
          <w:color w:val="000000"/>
          <w:sz w:val="24"/>
          <w:szCs w:val="24"/>
          <w:lang w:eastAsia="zh-CN"/>
        </w:rPr>
        <w:t>;</w:t>
      </w:r>
      <w:r w:rsidRPr="00765C6F">
        <w:rPr>
          <w:rFonts w:ascii="Book Antiqua" w:hAnsi="Book Antiqua"/>
          <w:color w:val="000000"/>
          <w:sz w:val="24"/>
          <w:szCs w:val="24"/>
        </w:rPr>
        <w:t xml:space="preserve"> Renal dysfunction</w:t>
      </w:r>
    </w:p>
    <w:p w:rsidR="008358E2" w:rsidRPr="00765C6F" w:rsidRDefault="008358E2" w:rsidP="00765C6F">
      <w:pPr>
        <w:spacing w:line="360" w:lineRule="auto"/>
        <w:rPr>
          <w:rFonts w:ascii="Book Antiqua" w:eastAsia="宋体" w:hAnsi="Book Antiqua"/>
          <w:color w:val="000000"/>
          <w:sz w:val="24"/>
          <w:szCs w:val="24"/>
          <w:lang w:eastAsia="zh-CN"/>
        </w:rPr>
      </w:pPr>
    </w:p>
    <w:p w:rsidR="008358E2" w:rsidRPr="00765C6F" w:rsidRDefault="008358E2" w:rsidP="00765C6F">
      <w:pPr>
        <w:spacing w:line="360" w:lineRule="auto"/>
        <w:rPr>
          <w:rFonts w:ascii="Book Antiqua" w:hAnsi="Book Antiqua"/>
          <w:i/>
          <w:iCs/>
          <w:sz w:val="24"/>
          <w:szCs w:val="24"/>
        </w:rPr>
      </w:pPr>
      <w:r w:rsidRPr="00765C6F">
        <w:rPr>
          <w:rFonts w:ascii="Book Antiqua" w:hAnsi="Book Antiqua" w:cs="Tahoma"/>
          <w:b/>
          <w:color w:val="000000"/>
          <w:sz w:val="24"/>
          <w:szCs w:val="24"/>
          <w:lang w:val="en-GB"/>
        </w:rPr>
        <w:t xml:space="preserve">© </w:t>
      </w:r>
      <w:r w:rsidRPr="00765C6F">
        <w:rPr>
          <w:rFonts w:ascii="Book Antiqua" w:eastAsia="AdvTimes" w:hAnsi="Book Antiqua" w:cs="AdvTimes"/>
          <w:b/>
          <w:color w:val="000000"/>
          <w:sz w:val="24"/>
          <w:szCs w:val="24"/>
          <w:lang w:val="fr-FR"/>
        </w:rPr>
        <w:t>The Author(s) 2015.</w:t>
      </w:r>
      <w:r w:rsidRPr="00765C6F">
        <w:rPr>
          <w:rFonts w:ascii="Book Antiqua" w:eastAsia="AdvTimes" w:hAnsi="Book Antiqua" w:cs="AdvTimes"/>
          <w:color w:val="000000"/>
          <w:sz w:val="24"/>
          <w:szCs w:val="24"/>
          <w:lang w:val="fr-FR"/>
        </w:rPr>
        <w:t xml:space="preserve"> Published by </w:t>
      </w:r>
      <w:r w:rsidRPr="00765C6F">
        <w:rPr>
          <w:rFonts w:ascii="Book Antiqua" w:hAnsi="Book Antiqua" w:cs="Arial Unicode MS"/>
          <w:color w:val="000000"/>
          <w:sz w:val="24"/>
          <w:szCs w:val="24"/>
          <w:lang w:val="en-GB"/>
        </w:rPr>
        <w:t>Baishideng Publishing Group Inc.</w:t>
      </w:r>
      <w:r w:rsidRPr="00765C6F">
        <w:rPr>
          <w:rFonts w:ascii="Book Antiqua" w:hAnsi="Book Antiqua" w:cs="Arial Unicode MS"/>
          <w:sz w:val="24"/>
          <w:szCs w:val="24"/>
          <w:lang w:val="en-GB"/>
        </w:rPr>
        <w:t xml:space="preserve"> </w:t>
      </w:r>
      <w:r w:rsidRPr="00765C6F">
        <w:rPr>
          <w:rFonts w:ascii="Book Antiqua" w:hAnsi="Book Antiqua" w:cs="Arial Unicode MS"/>
          <w:sz w:val="24"/>
          <w:szCs w:val="24"/>
          <w:lang w:val="fr-FR"/>
        </w:rPr>
        <w:t>All rights reserved.</w:t>
      </w:r>
    </w:p>
    <w:p w:rsidR="008358E2" w:rsidRPr="00765C6F" w:rsidRDefault="008358E2" w:rsidP="00765C6F">
      <w:pPr>
        <w:spacing w:line="360" w:lineRule="auto"/>
        <w:rPr>
          <w:rFonts w:ascii="Book Antiqua" w:eastAsia="宋体" w:hAnsi="Book Antiqua"/>
          <w:color w:val="000000"/>
          <w:sz w:val="24"/>
          <w:szCs w:val="24"/>
          <w:lang w:eastAsia="zh-CN"/>
        </w:rPr>
      </w:pPr>
    </w:p>
    <w:p w:rsidR="008358E2" w:rsidRPr="00765C6F" w:rsidRDefault="008358E2" w:rsidP="00765C6F">
      <w:pPr>
        <w:spacing w:line="360" w:lineRule="auto"/>
        <w:rPr>
          <w:rFonts w:ascii="Book Antiqua" w:hAnsi="Book Antiqua"/>
          <w:color w:val="000000"/>
          <w:sz w:val="24"/>
          <w:szCs w:val="24"/>
        </w:rPr>
      </w:pPr>
      <w:r w:rsidRPr="00765C6F">
        <w:rPr>
          <w:rFonts w:ascii="Book Antiqua" w:hAnsi="Book Antiqua"/>
          <w:b/>
          <w:color w:val="000000"/>
          <w:sz w:val="24"/>
          <w:szCs w:val="24"/>
        </w:rPr>
        <w:t xml:space="preserve">Core tip: </w:t>
      </w:r>
      <w:r w:rsidRPr="00765C6F">
        <w:rPr>
          <w:rFonts w:ascii="Book Antiqua" w:hAnsi="Book Antiqua"/>
          <w:color w:val="000000"/>
          <w:sz w:val="24"/>
          <w:szCs w:val="24"/>
        </w:rPr>
        <w:t>Oral combination therapy with daclatasvir and asunaprevir for chronic hepatitis C demonstrates a relatively favorable safety profile. Although the incidence of hyperbilirubinemia, hypoalbuminemia, and a decreased prothrombin activity have been reported, as well as renal damage, concomitant deterioration of hepatic reserve and renal function without transaminase elevations have not been reported. We observed probable drug reaction with eosinophilia and systemic symptom syndrome, including concomitant deterioration of hepatic reserve and renal function due to the combination therapy, regardless of normalized transaminase levels. Thus, our case highlights the importance of paying attention not only to transaminase levels but also to the allergic symptoms associated with organ involvement during combination therapy.</w:t>
      </w:r>
    </w:p>
    <w:p w:rsidR="008358E2" w:rsidRPr="00765C6F" w:rsidRDefault="008358E2" w:rsidP="00765C6F">
      <w:pPr>
        <w:spacing w:line="360" w:lineRule="auto"/>
        <w:rPr>
          <w:rFonts w:ascii="Book Antiqua" w:hAnsi="Book Antiqua"/>
          <w:color w:val="000000"/>
          <w:sz w:val="24"/>
          <w:szCs w:val="24"/>
        </w:rPr>
      </w:pPr>
    </w:p>
    <w:p w:rsidR="008358E2" w:rsidRPr="00765C6F" w:rsidRDefault="008358E2" w:rsidP="00765C6F">
      <w:pPr>
        <w:spacing w:line="360" w:lineRule="auto"/>
        <w:rPr>
          <w:rFonts w:ascii="Book Antiqua" w:eastAsia="宋体" w:hAnsi="Book Antiqua"/>
          <w:color w:val="000000"/>
          <w:sz w:val="24"/>
          <w:szCs w:val="24"/>
          <w:lang w:eastAsia="zh-CN"/>
        </w:rPr>
      </w:pPr>
      <w:r w:rsidRPr="00765C6F">
        <w:rPr>
          <w:rFonts w:ascii="Book Antiqua" w:hAnsi="Book Antiqua"/>
          <w:color w:val="000000"/>
          <w:sz w:val="24"/>
          <w:szCs w:val="24"/>
        </w:rPr>
        <w:t xml:space="preserve">Suga </w:t>
      </w:r>
      <w:r w:rsidRPr="00765C6F">
        <w:rPr>
          <w:rFonts w:ascii="Book Antiqua" w:eastAsia="宋体" w:hAnsi="Book Antiqua"/>
          <w:color w:val="000000"/>
          <w:sz w:val="24"/>
          <w:szCs w:val="24"/>
          <w:lang w:eastAsia="zh-CN"/>
        </w:rPr>
        <w:t xml:space="preserve">T, </w:t>
      </w:r>
      <w:r w:rsidRPr="00765C6F">
        <w:rPr>
          <w:rFonts w:ascii="Book Antiqua" w:hAnsi="Book Antiqua"/>
          <w:color w:val="000000"/>
          <w:sz w:val="24"/>
          <w:szCs w:val="24"/>
        </w:rPr>
        <w:t>Sato</w:t>
      </w:r>
      <w:r w:rsidRPr="00765C6F">
        <w:rPr>
          <w:rFonts w:ascii="Book Antiqua" w:eastAsia="宋体" w:hAnsi="Book Antiqua"/>
          <w:color w:val="000000"/>
          <w:sz w:val="24"/>
          <w:szCs w:val="24"/>
          <w:lang w:eastAsia="zh-CN"/>
        </w:rPr>
        <w:t xml:space="preserve"> K, </w:t>
      </w:r>
      <w:r w:rsidRPr="00765C6F">
        <w:rPr>
          <w:rFonts w:ascii="Book Antiqua" w:hAnsi="Book Antiqua"/>
          <w:color w:val="000000"/>
          <w:sz w:val="24"/>
          <w:szCs w:val="24"/>
        </w:rPr>
        <w:t>Yamazaki</w:t>
      </w:r>
      <w:r w:rsidRPr="00765C6F">
        <w:rPr>
          <w:rFonts w:ascii="Book Antiqua" w:eastAsia="宋体" w:hAnsi="Book Antiqua"/>
          <w:color w:val="000000"/>
          <w:sz w:val="24"/>
          <w:szCs w:val="24"/>
          <w:lang w:eastAsia="zh-CN"/>
        </w:rPr>
        <w:t xml:space="preserve"> Y, </w:t>
      </w:r>
      <w:r w:rsidRPr="00765C6F">
        <w:rPr>
          <w:rFonts w:ascii="Book Antiqua" w:eastAsia="Times New Roman" w:hAnsi="Book Antiqua"/>
          <w:color w:val="000000"/>
          <w:sz w:val="24"/>
          <w:szCs w:val="24"/>
        </w:rPr>
        <w:t>Ohyama</w:t>
      </w:r>
      <w:r w:rsidRPr="00765C6F">
        <w:rPr>
          <w:rFonts w:ascii="Book Antiqua" w:eastAsia="Times New Roman" w:hAnsi="Book Antiqua"/>
          <w:color w:val="000000"/>
          <w:sz w:val="24"/>
          <w:szCs w:val="24"/>
          <w:lang w:eastAsia="zh-CN"/>
        </w:rPr>
        <w:t xml:space="preserve"> T, </w:t>
      </w:r>
      <w:r w:rsidRPr="00765C6F">
        <w:rPr>
          <w:rFonts w:ascii="Book Antiqua" w:hAnsi="Book Antiqua"/>
          <w:color w:val="000000"/>
          <w:sz w:val="24"/>
          <w:szCs w:val="24"/>
        </w:rPr>
        <w:t>Horiguchi</w:t>
      </w:r>
      <w:r w:rsidRPr="00765C6F">
        <w:rPr>
          <w:rFonts w:ascii="Book Antiqua" w:eastAsia="宋体" w:hAnsi="Book Antiqua"/>
          <w:color w:val="000000"/>
          <w:sz w:val="24"/>
          <w:szCs w:val="24"/>
          <w:lang w:eastAsia="zh-CN"/>
        </w:rPr>
        <w:t xml:space="preserve"> N, </w:t>
      </w:r>
      <w:r w:rsidRPr="00765C6F">
        <w:rPr>
          <w:rFonts w:ascii="Book Antiqua" w:hAnsi="Book Antiqua"/>
          <w:color w:val="000000"/>
          <w:sz w:val="24"/>
          <w:szCs w:val="24"/>
        </w:rPr>
        <w:t>Kakizaki</w:t>
      </w:r>
      <w:r w:rsidRPr="00765C6F">
        <w:rPr>
          <w:rFonts w:ascii="Book Antiqua" w:eastAsia="宋体" w:hAnsi="Book Antiqua"/>
          <w:color w:val="000000"/>
          <w:sz w:val="24"/>
          <w:szCs w:val="24"/>
          <w:lang w:eastAsia="zh-CN"/>
        </w:rPr>
        <w:t xml:space="preserve"> S, </w:t>
      </w:r>
      <w:r w:rsidRPr="00765C6F">
        <w:rPr>
          <w:rFonts w:ascii="Book Antiqua" w:hAnsi="Book Antiqua"/>
          <w:color w:val="000000"/>
          <w:sz w:val="24"/>
          <w:szCs w:val="24"/>
        </w:rPr>
        <w:t>Kusano</w:t>
      </w:r>
      <w:r w:rsidRPr="00765C6F">
        <w:rPr>
          <w:rFonts w:ascii="Book Antiqua" w:eastAsia="宋体" w:hAnsi="Book Antiqua"/>
          <w:color w:val="000000"/>
          <w:sz w:val="24"/>
          <w:szCs w:val="24"/>
          <w:lang w:eastAsia="zh-CN"/>
        </w:rPr>
        <w:t xml:space="preserve"> M, </w:t>
      </w:r>
      <w:r w:rsidRPr="00765C6F">
        <w:rPr>
          <w:rFonts w:ascii="Book Antiqua" w:hAnsi="Book Antiqua"/>
          <w:color w:val="000000"/>
          <w:sz w:val="24"/>
          <w:szCs w:val="24"/>
        </w:rPr>
        <w:t>Yamada</w:t>
      </w:r>
      <w:r w:rsidRPr="00765C6F">
        <w:rPr>
          <w:rFonts w:ascii="Book Antiqua" w:eastAsia="宋体" w:hAnsi="Book Antiqua"/>
          <w:color w:val="000000"/>
          <w:sz w:val="24"/>
          <w:szCs w:val="24"/>
          <w:lang w:eastAsia="zh-CN"/>
        </w:rPr>
        <w:t xml:space="preserve"> M.</w:t>
      </w:r>
      <w:r w:rsidRPr="00765C6F">
        <w:rPr>
          <w:rFonts w:ascii="Book Antiqua" w:hAnsi="Book Antiqua"/>
          <w:color w:val="000000"/>
          <w:sz w:val="24"/>
          <w:szCs w:val="24"/>
        </w:rPr>
        <w:t xml:space="preserve"> Probable case of drug reaction with eosinophilia and systemic symptom syndrome due to combination therapy with daclatasvir and asunaprevir</w:t>
      </w:r>
      <w:r w:rsidRPr="00765C6F">
        <w:rPr>
          <w:rFonts w:ascii="Book Antiqua" w:eastAsia="宋体" w:hAnsi="Book Antiqua"/>
          <w:color w:val="000000"/>
          <w:sz w:val="24"/>
          <w:szCs w:val="24"/>
          <w:lang w:eastAsia="zh-CN"/>
        </w:rPr>
        <w:t xml:space="preserve">. </w:t>
      </w:r>
      <w:r w:rsidRPr="00765C6F">
        <w:rPr>
          <w:rFonts w:ascii="Book Antiqua" w:hAnsi="Book Antiqua"/>
          <w:i/>
          <w:iCs/>
          <w:sz w:val="24"/>
          <w:szCs w:val="24"/>
        </w:rPr>
        <w:t>World J Clin Cases</w:t>
      </w:r>
      <w:r w:rsidRPr="00765C6F">
        <w:rPr>
          <w:rFonts w:ascii="Book Antiqua" w:eastAsia="宋体" w:hAnsi="Book Antiqua"/>
          <w:iCs/>
          <w:sz w:val="24"/>
          <w:szCs w:val="24"/>
          <w:lang w:eastAsia="zh-CN"/>
        </w:rPr>
        <w:t xml:space="preserve"> 2015; In press</w:t>
      </w:r>
    </w:p>
    <w:p w:rsidR="008358E2" w:rsidRPr="00765C6F" w:rsidRDefault="008358E2" w:rsidP="00765C6F">
      <w:pPr>
        <w:widowControl/>
        <w:spacing w:line="360" w:lineRule="auto"/>
        <w:jc w:val="left"/>
        <w:rPr>
          <w:rFonts w:ascii="Book Antiqua" w:hAnsi="Book Antiqua"/>
          <w:b/>
          <w:color w:val="000000"/>
          <w:sz w:val="24"/>
          <w:szCs w:val="24"/>
        </w:rPr>
      </w:pPr>
      <w:r w:rsidRPr="00765C6F">
        <w:rPr>
          <w:rFonts w:ascii="Book Antiqua" w:hAnsi="Book Antiqua"/>
          <w:b/>
          <w:color w:val="000000"/>
          <w:sz w:val="24"/>
          <w:szCs w:val="24"/>
        </w:rPr>
        <w:br w:type="page"/>
      </w:r>
    </w:p>
    <w:p w:rsidR="008358E2" w:rsidRPr="00765C6F" w:rsidRDefault="008358E2" w:rsidP="00765C6F">
      <w:pPr>
        <w:spacing w:line="360" w:lineRule="auto"/>
        <w:outlineLvl w:val="0"/>
        <w:rPr>
          <w:rFonts w:ascii="Book Antiqua" w:hAnsi="Book Antiqua"/>
          <w:b/>
          <w:color w:val="000000"/>
          <w:sz w:val="24"/>
          <w:szCs w:val="24"/>
        </w:rPr>
      </w:pPr>
      <w:r w:rsidRPr="00765C6F">
        <w:rPr>
          <w:rFonts w:ascii="Book Antiqua" w:hAnsi="Book Antiqua"/>
          <w:b/>
          <w:color w:val="000000"/>
          <w:sz w:val="24"/>
          <w:szCs w:val="24"/>
        </w:rPr>
        <w:t>INTRODUCTION</w:t>
      </w:r>
    </w:p>
    <w:p w:rsidR="008358E2" w:rsidRPr="00765C6F" w:rsidRDefault="008358E2" w:rsidP="00765C6F">
      <w:pPr>
        <w:spacing w:line="360" w:lineRule="auto"/>
        <w:rPr>
          <w:rFonts w:ascii="Book Antiqua" w:eastAsia="宋体" w:hAnsi="Book Antiqua"/>
          <w:color w:val="000000"/>
          <w:sz w:val="24"/>
          <w:szCs w:val="24"/>
          <w:lang w:eastAsia="zh-CN"/>
        </w:rPr>
      </w:pPr>
      <w:r w:rsidRPr="00765C6F">
        <w:rPr>
          <w:rFonts w:ascii="Book Antiqua" w:hAnsi="Book Antiqua"/>
          <w:color w:val="000000"/>
          <w:sz w:val="24"/>
          <w:szCs w:val="24"/>
        </w:rPr>
        <w:t xml:space="preserve">Combination therapy with daclatasvir and asunaprevir has been approved as oral antiviral therapy for chronic hepatitis C due to hepatitis C virus </w:t>
      </w:r>
      <w:r w:rsidRPr="00765C6F">
        <w:rPr>
          <w:rFonts w:ascii="Book Antiqua" w:eastAsia="宋体" w:hAnsi="Book Antiqua"/>
          <w:color w:val="000000"/>
          <w:sz w:val="24"/>
          <w:szCs w:val="24"/>
          <w:lang w:eastAsia="zh-CN"/>
        </w:rPr>
        <w:t>(</w:t>
      </w:r>
      <w:r w:rsidRPr="00765C6F">
        <w:rPr>
          <w:rFonts w:ascii="Book Antiqua" w:hAnsi="Book Antiqua"/>
          <w:color w:val="000000"/>
          <w:sz w:val="24"/>
          <w:szCs w:val="24"/>
        </w:rPr>
        <w:t>HCV</w:t>
      </w:r>
      <w:r w:rsidRPr="00765C6F">
        <w:rPr>
          <w:rFonts w:ascii="Book Antiqua" w:eastAsia="宋体" w:hAnsi="Book Antiqua"/>
          <w:color w:val="000000"/>
          <w:sz w:val="24"/>
          <w:szCs w:val="24"/>
          <w:lang w:eastAsia="zh-CN"/>
        </w:rPr>
        <w:t>)</w:t>
      </w:r>
      <w:r w:rsidRPr="00765C6F">
        <w:rPr>
          <w:rFonts w:ascii="Book Antiqua" w:hAnsi="Book Antiqua"/>
          <w:color w:val="000000"/>
          <w:sz w:val="24"/>
          <w:szCs w:val="24"/>
        </w:rPr>
        <w:t xml:space="preserve"> genotype 1b. This new type of therapy resulted in a sustained virological response (SVR) rate of over 80% after 24 </w:t>
      </w:r>
      <w:r w:rsidRPr="00765C6F">
        <w:rPr>
          <w:rFonts w:ascii="Book Antiqua" w:eastAsia="宋体" w:hAnsi="Book Antiqua"/>
          <w:color w:val="000000"/>
          <w:sz w:val="24"/>
          <w:szCs w:val="24"/>
          <w:lang w:eastAsia="zh-CN"/>
        </w:rPr>
        <w:t>wk</w:t>
      </w:r>
      <w:r w:rsidRPr="00765C6F">
        <w:rPr>
          <w:rFonts w:ascii="Book Antiqua" w:hAnsi="Book Antiqua"/>
          <w:color w:val="000000"/>
          <w:sz w:val="24"/>
          <w:szCs w:val="24"/>
        </w:rPr>
        <w:t xml:space="preserve"> of therapy</w:t>
      </w:r>
      <w:r w:rsidRPr="00765C6F">
        <w:rPr>
          <w:rFonts w:ascii="Book Antiqua" w:hAnsi="Book Antiqua"/>
          <w:color w:val="000000"/>
          <w:sz w:val="24"/>
          <w:szCs w:val="24"/>
          <w:vertAlign w:val="superscript"/>
        </w:rPr>
        <w:t xml:space="preserve"> </w:t>
      </w:r>
      <w:r w:rsidRPr="00765C6F">
        <w:rPr>
          <w:rFonts w:ascii="Book Antiqua" w:hAnsi="Book Antiqua"/>
          <w:color w:val="000000"/>
          <w:sz w:val="24"/>
          <w:szCs w:val="24"/>
        </w:rPr>
        <w:t>for chronic hepatitis C patients with genotype 1b</w:t>
      </w:r>
      <w:r w:rsidRPr="00765C6F">
        <w:rPr>
          <w:rFonts w:ascii="Book Antiqua" w:hAnsi="Book Antiqua"/>
          <w:color w:val="000000"/>
          <w:sz w:val="24"/>
          <w:szCs w:val="24"/>
          <w:vertAlign w:val="superscript"/>
        </w:rPr>
        <w:t>[1,2]</w:t>
      </w:r>
      <w:r w:rsidRPr="00765C6F">
        <w:rPr>
          <w:rFonts w:ascii="Book Antiqua" w:hAnsi="Book Antiqua"/>
          <w:color w:val="000000"/>
          <w:sz w:val="24"/>
          <w:szCs w:val="24"/>
        </w:rPr>
        <w:t xml:space="preserve">. In </w:t>
      </w:r>
      <w:smartTag w:uri="urn:schemas-microsoft-com:office:smarttags" w:element="State">
        <w:r w:rsidRPr="00765C6F">
          <w:rPr>
            <w:rFonts w:ascii="Book Antiqua" w:hAnsi="Book Antiqua"/>
            <w:color w:val="000000"/>
            <w:sz w:val="24"/>
            <w:szCs w:val="24"/>
          </w:rPr>
          <w:t>Japan</w:t>
        </w:r>
      </w:smartTag>
      <w:r w:rsidRPr="00765C6F">
        <w:rPr>
          <w:rFonts w:ascii="Book Antiqua" w:hAnsi="Book Antiqua"/>
          <w:color w:val="000000"/>
          <w:sz w:val="24"/>
          <w:szCs w:val="24"/>
        </w:rPr>
        <w:t xml:space="preserve">, combination therapy with daclatasvir and asunaprevir has been recommended for interferon-ineligible patients based on the Japan Society of Hepatology (JSH) guidelines for managing </w:t>
      </w:r>
      <w:r w:rsidRPr="00765C6F">
        <w:rPr>
          <w:rFonts w:ascii="Book Antiqua" w:eastAsia="宋体" w:hAnsi="Book Antiqua"/>
          <w:color w:val="000000"/>
          <w:sz w:val="24"/>
          <w:szCs w:val="24"/>
          <w:lang w:eastAsia="zh-CN"/>
        </w:rPr>
        <w:t>HCV</w:t>
      </w:r>
      <w:r w:rsidRPr="00765C6F">
        <w:rPr>
          <w:rFonts w:ascii="Book Antiqua" w:hAnsi="Book Antiqua"/>
          <w:color w:val="000000"/>
          <w:sz w:val="24"/>
          <w:szCs w:val="24"/>
        </w:rPr>
        <w:t xml:space="preserve"> infection</w:t>
      </w:r>
      <w:r w:rsidRPr="00765C6F">
        <w:rPr>
          <w:rFonts w:ascii="Book Antiqua" w:hAnsi="Book Antiqua"/>
          <w:color w:val="000000"/>
          <w:sz w:val="24"/>
          <w:szCs w:val="24"/>
          <w:vertAlign w:val="superscript"/>
        </w:rPr>
        <w:t>[3]</w:t>
      </w:r>
      <w:r w:rsidRPr="00765C6F">
        <w:rPr>
          <w:rFonts w:ascii="Book Antiqua" w:hAnsi="Book Antiqua"/>
          <w:color w:val="000000"/>
          <w:sz w:val="24"/>
          <w:szCs w:val="24"/>
        </w:rPr>
        <w:t xml:space="preserve">. </w:t>
      </w:r>
    </w:p>
    <w:p w:rsidR="008358E2" w:rsidRPr="00765C6F" w:rsidRDefault="008358E2" w:rsidP="00904BB1">
      <w:pPr>
        <w:spacing w:line="360" w:lineRule="auto"/>
        <w:ind w:firstLineChars="200" w:firstLine="31680"/>
        <w:rPr>
          <w:rFonts w:ascii="Book Antiqua" w:eastAsia="宋体" w:hAnsi="Book Antiqua"/>
          <w:color w:val="000000"/>
          <w:sz w:val="24"/>
          <w:szCs w:val="24"/>
          <w:lang w:eastAsia="zh-CN"/>
        </w:rPr>
      </w:pPr>
      <w:r w:rsidRPr="00765C6F">
        <w:rPr>
          <w:rFonts w:ascii="Book Antiqua" w:hAnsi="Book Antiqua"/>
          <w:color w:val="000000"/>
          <w:sz w:val="24"/>
          <w:szCs w:val="24"/>
        </w:rPr>
        <w:t xml:space="preserve">One of the most frequent adverse events during combination therapy with daclatasvir and asunaprevir is elevated alanine aminotransferase (ALT) levels. In an open-label trial of oral antiviral therapy conducted in </w:t>
      </w:r>
      <w:smartTag w:uri="urn:schemas-microsoft-com:office:smarttags" w:element="State">
        <w:r w:rsidRPr="00765C6F">
          <w:rPr>
            <w:rFonts w:ascii="Book Antiqua" w:hAnsi="Book Antiqua"/>
            <w:color w:val="000000"/>
            <w:sz w:val="24"/>
            <w:szCs w:val="24"/>
          </w:rPr>
          <w:t>Japan</w:t>
        </w:r>
      </w:smartTag>
      <w:r w:rsidRPr="00765C6F">
        <w:rPr>
          <w:rFonts w:ascii="Book Antiqua" w:hAnsi="Book Antiqua"/>
          <w:color w:val="000000"/>
          <w:sz w:val="24"/>
          <w:szCs w:val="24"/>
          <w:vertAlign w:val="superscript"/>
        </w:rPr>
        <w:t>[1,4,5]</w:t>
      </w:r>
      <w:r w:rsidRPr="00765C6F">
        <w:rPr>
          <w:rFonts w:ascii="Book Antiqua" w:hAnsi="Book Antiqua"/>
          <w:color w:val="000000"/>
          <w:sz w:val="24"/>
          <w:szCs w:val="24"/>
        </w:rPr>
        <w:t>, ALT elevations occurred in 17.6% of the patients treated with a combination of asunaprevir and daclatasvir. The incidence of hyperbilirubinemia, hypoalbuminemia or prothrombin activity decrease, which reflect deteriorated hepatic reserve</w:t>
      </w:r>
      <w:r w:rsidRPr="00765C6F">
        <w:rPr>
          <w:rFonts w:ascii="Book Antiqua" w:hAnsi="Book Antiqua"/>
          <w:color w:val="000000"/>
          <w:sz w:val="24"/>
          <w:szCs w:val="24"/>
          <w:vertAlign w:val="superscript"/>
        </w:rPr>
        <w:t>[6-8]</w:t>
      </w:r>
      <w:r w:rsidRPr="00765C6F">
        <w:rPr>
          <w:rFonts w:ascii="Book Antiqua" w:hAnsi="Book Antiqua"/>
          <w:color w:val="000000"/>
          <w:sz w:val="24"/>
          <w:szCs w:val="24"/>
        </w:rPr>
        <w:t>, were 3.9%, 1.2% or 0.8%, respectively</w:t>
      </w:r>
      <w:r w:rsidRPr="00765C6F">
        <w:rPr>
          <w:rFonts w:ascii="Book Antiqua" w:hAnsi="Book Antiqua"/>
          <w:color w:val="000000"/>
          <w:sz w:val="24"/>
          <w:szCs w:val="24"/>
          <w:vertAlign w:val="superscript"/>
        </w:rPr>
        <w:t>[1,4,5]</w:t>
      </w:r>
      <w:r w:rsidRPr="00765C6F">
        <w:rPr>
          <w:rFonts w:ascii="Book Antiqua" w:hAnsi="Book Antiqua"/>
          <w:color w:val="000000"/>
          <w:sz w:val="24"/>
          <w:szCs w:val="24"/>
        </w:rPr>
        <w:t>. The incidence of renal damage was 0.4%</w:t>
      </w:r>
      <w:r w:rsidRPr="00765C6F">
        <w:rPr>
          <w:rFonts w:ascii="Book Antiqua" w:hAnsi="Book Antiqua"/>
          <w:color w:val="000000"/>
          <w:sz w:val="24"/>
          <w:szCs w:val="24"/>
          <w:vertAlign w:val="superscript"/>
        </w:rPr>
        <w:t>[1,4,5]</w:t>
      </w:r>
      <w:r w:rsidRPr="00765C6F">
        <w:rPr>
          <w:rFonts w:ascii="Book Antiqua" w:hAnsi="Book Antiqua"/>
          <w:color w:val="000000"/>
          <w:sz w:val="24"/>
          <w:szCs w:val="24"/>
        </w:rPr>
        <w:t>. However, concomitant deterioration of hepatic reserve and renal function without transaminase elevations has not been reported. Here, we report a case of chronic hepatitis C with concomitant deterioration of hepatic reserve and renal function that fulfilled the diagnostic criteria of probable drug reaction with eosinophilia and systemic symptom (DRESS) syndrome</w:t>
      </w:r>
      <w:r w:rsidRPr="00765C6F">
        <w:rPr>
          <w:rFonts w:ascii="Book Antiqua" w:hAnsi="Book Antiqua"/>
          <w:color w:val="000000"/>
          <w:sz w:val="24"/>
          <w:szCs w:val="24"/>
          <w:vertAlign w:val="superscript"/>
        </w:rPr>
        <w:t>[9]</w:t>
      </w:r>
      <w:r w:rsidRPr="00765C6F">
        <w:rPr>
          <w:rFonts w:ascii="Book Antiqua" w:hAnsi="Book Antiqua"/>
          <w:color w:val="000000"/>
          <w:sz w:val="24"/>
          <w:szCs w:val="24"/>
        </w:rPr>
        <w:t xml:space="preserve"> due to combination therapy with daclatasvir and asunaprevir. We got written informed consent from the patient in advance.</w:t>
      </w:r>
    </w:p>
    <w:p w:rsidR="008358E2" w:rsidRPr="00765C6F" w:rsidRDefault="008358E2" w:rsidP="00765C6F">
      <w:pPr>
        <w:spacing w:line="360" w:lineRule="auto"/>
        <w:ind w:firstLine="840"/>
        <w:rPr>
          <w:rFonts w:ascii="Book Antiqua" w:hAnsi="Book Antiqua"/>
          <w:color w:val="000000"/>
          <w:sz w:val="24"/>
          <w:szCs w:val="24"/>
        </w:rPr>
      </w:pPr>
    </w:p>
    <w:p w:rsidR="008358E2" w:rsidRPr="00765C6F" w:rsidRDefault="008358E2" w:rsidP="00765C6F">
      <w:pPr>
        <w:spacing w:line="360" w:lineRule="auto"/>
        <w:outlineLvl w:val="0"/>
        <w:rPr>
          <w:rFonts w:ascii="Book Antiqua" w:hAnsi="Book Antiqua"/>
          <w:b/>
          <w:color w:val="000000"/>
          <w:sz w:val="24"/>
          <w:szCs w:val="24"/>
        </w:rPr>
      </w:pPr>
      <w:r w:rsidRPr="00765C6F">
        <w:rPr>
          <w:rFonts w:ascii="Book Antiqua" w:hAnsi="Book Antiqua"/>
          <w:b/>
          <w:color w:val="000000"/>
          <w:sz w:val="24"/>
          <w:szCs w:val="24"/>
        </w:rPr>
        <w:t>CASE REPORT</w:t>
      </w:r>
    </w:p>
    <w:p w:rsidR="008358E2" w:rsidRPr="00765C6F" w:rsidRDefault="008358E2" w:rsidP="00765C6F">
      <w:pPr>
        <w:spacing w:line="360" w:lineRule="auto"/>
        <w:rPr>
          <w:rFonts w:ascii="Book Antiqua" w:eastAsia="宋体" w:hAnsi="Book Antiqua"/>
          <w:color w:val="000000"/>
          <w:sz w:val="24"/>
          <w:szCs w:val="24"/>
          <w:lang w:eastAsia="zh-CN"/>
        </w:rPr>
      </w:pPr>
      <w:r w:rsidRPr="00765C6F">
        <w:rPr>
          <w:rFonts w:ascii="Book Antiqua" w:hAnsi="Book Antiqua"/>
          <w:color w:val="000000"/>
          <w:sz w:val="24"/>
          <w:szCs w:val="24"/>
        </w:rPr>
        <w:t>A 66-year-old man, diagnosed with chronic hepatitis C (genotype 1b) at the age of 50, was started on a scheduled 24-week course of daclatasvir and asunaprevir for elevated transaminase levels. The patient suffered from a duodenal ulcer, bronchial asthma, hypertension and cerebral hemorrhage. He had undergone antihypertensive therapy with nifedipine and olmesartan for 5 years. These drugs were maintained throughout the antiviral treatment. No relevant family history was noted. The patient did not have a past history or predisposing factors for liver disease, except for chronic hepatitis C. He had no history of drug allergies, although he did have bronchial asthma. Combination therapy with daclatasvir (60 mg once daily) and asunaprevir (100 mg twice daily) was selected because the patient was both interferon-ineligible and interferon-naïve due to his past history of hypertension and cerebral hemorrhage. A V170I mutation in the NS3 lesion was detected by direct sequencing prior to the therapy. Before beginning therapy, the following measurements were noted: serum alanine aminotransferase (ALT), 57 IU/L; total bilirubin, 0.5 mg/dL; albumin, 4.1 g/dL; creatinine, 0.7 mg/dL; prothrombin activity, 102%; total white cell count, 5000/μL (eosinophils 150/μL); platelet count, 11.1 ×10</w:t>
      </w:r>
      <w:r w:rsidRPr="00765C6F">
        <w:rPr>
          <w:rFonts w:ascii="Book Antiqua" w:hAnsi="Book Antiqua"/>
          <w:color w:val="000000"/>
          <w:sz w:val="24"/>
          <w:szCs w:val="24"/>
          <w:vertAlign w:val="superscript"/>
        </w:rPr>
        <w:t>4</w:t>
      </w:r>
      <w:r w:rsidRPr="00765C6F">
        <w:rPr>
          <w:rFonts w:ascii="Book Antiqua" w:hAnsi="Book Antiqua"/>
          <w:color w:val="000000"/>
          <w:sz w:val="24"/>
          <w:szCs w:val="24"/>
        </w:rPr>
        <w:t>/μL; C-reactive protein, &lt;</w:t>
      </w:r>
      <w:r w:rsidRPr="00765C6F">
        <w:rPr>
          <w:rFonts w:ascii="Book Antiqua" w:eastAsia="宋体" w:hAnsi="Book Antiqua"/>
          <w:color w:val="000000"/>
          <w:sz w:val="24"/>
          <w:szCs w:val="24"/>
          <w:lang w:eastAsia="zh-CN"/>
        </w:rPr>
        <w:t xml:space="preserve"> </w:t>
      </w:r>
      <w:r w:rsidRPr="00765C6F">
        <w:rPr>
          <w:rFonts w:ascii="Book Antiqua" w:hAnsi="Book Antiqua"/>
          <w:color w:val="000000"/>
          <w:sz w:val="24"/>
          <w:szCs w:val="24"/>
        </w:rPr>
        <w:t xml:space="preserve">0.1 mg/dL, and HCV RNA, 5.9 Log IU/mL. </w:t>
      </w:r>
    </w:p>
    <w:p w:rsidR="008358E2" w:rsidRPr="00765C6F" w:rsidRDefault="008358E2" w:rsidP="00904BB1">
      <w:pPr>
        <w:spacing w:line="360" w:lineRule="auto"/>
        <w:ind w:firstLineChars="200" w:firstLine="31680"/>
        <w:rPr>
          <w:rFonts w:ascii="Book Antiqua" w:hAnsi="Book Antiqua"/>
          <w:color w:val="000000"/>
          <w:sz w:val="24"/>
          <w:szCs w:val="24"/>
        </w:rPr>
      </w:pPr>
      <w:r w:rsidRPr="00765C6F">
        <w:rPr>
          <w:rFonts w:ascii="Book Antiqua" w:hAnsi="Book Antiqua"/>
          <w:color w:val="000000"/>
          <w:sz w:val="24"/>
          <w:szCs w:val="24"/>
        </w:rPr>
        <w:t>On day 14 of treatment, the patient’s laboratory findings showed concomitant deterioration of hepatic reserve and renal function, without any subjective symptoms. Although the ALT level had decreased to 22 IU/mL, serum total bilirubin had worsened to 1.9 mg/dL, albumin to 3.3 g/dL, creatinine to 1.4 mg/dL, prothrombin activity to 66.4 %, total white cell count to 12130/μL (eosinophils 121 /μL), platelet count to 7.9 ×</w:t>
      </w:r>
      <w:r w:rsidRPr="00765C6F">
        <w:rPr>
          <w:rFonts w:ascii="Book Antiqua" w:eastAsia="宋体" w:hAnsi="Book Antiqua"/>
          <w:color w:val="000000"/>
          <w:sz w:val="24"/>
          <w:szCs w:val="24"/>
          <w:lang w:eastAsia="zh-CN"/>
        </w:rPr>
        <w:t xml:space="preserve"> </w:t>
      </w:r>
      <w:r w:rsidRPr="00765C6F">
        <w:rPr>
          <w:rFonts w:ascii="Book Antiqua" w:hAnsi="Book Antiqua"/>
          <w:color w:val="000000"/>
          <w:sz w:val="24"/>
          <w:szCs w:val="24"/>
        </w:rPr>
        <w:t>10</w:t>
      </w:r>
      <w:r w:rsidRPr="00765C6F">
        <w:rPr>
          <w:rFonts w:ascii="Book Antiqua" w:hAnsi="Book Antiqua"/>
          <w:color w:val="000000"/>
          <w:sz w:val="24"/>
          <w:szCs w:val="24"/>
          <w:vertAlign w:val="superscript"/>
        </w:rPr>
        <w:t>4</w:t>
      </w:r>
      <w:r w:rsidRPr="00765C6F">
        <w:rPr>
          <w:rFonts w:ascii="Book Antiqua" w:hAnsi="Book Antiqua"/>
          <w:color w:val="000000"/>
          <w:sz w:val="24"/>
          <w:szCs w:val="24"/>
        </w:rPr>
        <w:t>/μL and C-reactive protein to 3.5 mg/dL (Table 1). Abdominal ultrasonography revealed splenomegaly, which was not present before the therapy. There was no evidence of biliary obstruction. Asunaprevir and daclatasvir were continued. The patient complained of headache, dark urine and a partly fused erythematous rash on his trunk and four limbs on day 18 of treatment. In view of the skin lesions, a dermatologist diagnosed the skin rash as a drug eruption or untypical urticarial lesion (Fig</w:t>
      </w:r>
      <w:r w:rsidRPr="00765C6F">
        <w:rPr>
          <w:rFonts w:ascii="Book Antiqua" w:eastAsia="宋体" w:hAnsi="Book Antiqua"/>
          <w:color w:val="000000"/>
          <w:sz w:val="24"/>
          <w:szCs w:val="24"/>
          <w:lang w:eastAsia="zh-CN"/>
        </w:rPr>
        <w:t>ure</w:t>
      </w:r>
      <w:r w:rsidRPr="00765C6F">
        <w:rPr>
          <w:rFonts w:ascii="Book Antiqua" w:hAnsi="Book Antiqua"/>
          <w:color w:val="000000"/>
          <w:sz w:val="24"/>
          <w:szCs w:val="24"/>
        </w:rPr>
        <w:t xml:space="preserve"> 1), although the patient’s vital signs were normal: temperature 36.5 </w:t>
      </w:r>
      <w:r w:rsidRPr="00765C6F">
        <w:rPr>
          <w:rFonts w:ascii="宋体" w:eastAsia="宋体" w:hAnsi="宋体" w:cs="宋体" w:hint="eastAsia"/>
          <w:color w:val="000000"/>
          <w:sz w:val="24"/>
          <w:szCs w:val="24"/>
        </w:rPr>
        <w:t>℃</w:t>
      </w:r>
      <w:r w:rsidRPr="00765C6F">
        <w:rPr>
          <w:rFonts w:ascii="Book Antiqua" w:hAnsi="Book Antiqua"/>
          <w:color w:val="000000"/>
          <w:sz w:val="24"/>
          <w:szCs w:val="24"/>
        </w:rPr>
        <w:t xml:space="preserve">, blood pressure 121/58 mmHg and heart rate 72/min. Both daclatasvir and asunaprevir were discontinued based on the dermatologist’s advice and the patient’s request, and an antihistamine was administered for 2 </w:t>
      </w:r>
      <w:r w:rsidRPr="00765C6F">
        <w:rPr>
          <w:rFonts w:ascii="Book Antiqua" w:eastAsia="宋体" w:hAnsi="Book Antiqua"/>
          <w:color w:val="000000"/>
          <w:sz w:val="24"/>
          <w:szCs w:val="24"/>
          <w:lang w:eastAsia="zh-CN"/>
        </w:rPr>
        <w:t>wk</w:t>
      </w:r>
      <w:r w:rsidRPr="00765C6F">
        <w:rPr>
          <w:rFonts w:ascii="Book Antiqua" w:hAnsi="Book Antiqua"/>
          <w:color w:val="000000"/>
          <w:sz w:val="24"/>
          <w:szCs w:val="24"/>
        </w:rPr>
        <w:t xml:space="preserve">. When observed on day 21 of the initiation of treatment, the clinical manifestations had disappeared, and the laboratory findings had returned to normal ranges, except for the serum albumin (3.4 g/dL), prothrombin activity (74.5%) and eosinophilia (2673/μL) levels. These measurements also returned to normal ranges, until day 35 of the initiation of treatment. On day 42 of the initiation of treatment, molecular biological analysis detected Epstein-Barr virus (EBV) DNA but not human herpesvirus (HHV)-6 and HHV-7 DNA in the serum. Although daclatasvir and asunaprevir were discontinued on day 18 of treatment, SVR 12 was achieved (serum HCV RNA was negative at 12 </w:t>
      </w:r>
      <w:r w:rsidRPr="00765C6F">
        <w:rPr>
          <w:rFonts w:ascii="Book Antiqua" w:eastAsia="宋体" w:hAnsi="Book Antiqua"/>
          <w:color w:val="000000"/>
          <w:sz w:val="24"/>
          <w:szCs w:val="24"/>
          <w:lang w:eastAsia="zh-CN"/>
        </w:rPr>
        <w:t>wk</w:t>
      </w:r>
      <w:r w:rsidRPr="00765C6F">
        <w:rPr>
          <w:rFonts w:ascii="Book Antiqua" w:hAnsi="Book Antiqua"/>
          <w:color w:val="000000"/>
          <w:sz w:val="24"/>
          <w:szCs w:val="24"/>
        </w:rPr>
        <w:t xml:space="preserve"> of treatment). The clinical course of our case and the time course for the critical laboratory values are shown in Fig</w:t>
      </w:r>
      <w:r w:rsidRPr="00765C6F">
        <w:rPr>
          <w:rFonts w:ascii="Book Antiqua" w:eastAsia="宋体" w:hAnsi="Book Antiqua"/>
          <w:color w:val="000000"/>
          <w:sz w:val="24"/>
          <w:szCs w:val="24"/>
          <w:lang w:eastAsia="zh-CN"/>
        </w:rPr>
        <w:t>ure</w:t>
      </w:r>
      <w:r w:rsidRPr="00765C6F">
        <w:rPr>
          <w:rFonts w:ascii="Book Antiqua" w:hAnsi="Book Antiqua"/>
          <w:color w:val="000000"/>
          <w:sz w:val="24"/>
          <w:szCs w:val="24"/>
        </w:rPr>
        <w:t xml:space="preserve"> 2 and Table 2, respectively.</w:t>
      </w:r>
    </w:p>
    <w:p w:rsidR="008358E2" w:rsidRPr="00765C6F" w:rsidRDefault="008358E2" w:rsidP="00765C6F">
      <w:pPr>
        <w:spacing w:line="360" w:lineRule="auto"/>
        <w:ind w:firstLine="840"/>
        <w:rPr>
          <w:rFonts w:ascii="Book Antiqua" w:hAnsi="Book Antiqua"/>
          <w:color w:val="000000"/>
          <w:sz w:val="24"/>
          <w:szCs w:val="24"/>
        </w:rPr>
      </w:pPr>
    </w:p>
    <w:p w:rsidR="008358E2" w:rsidRPr="00765C6F" w:rsidRDefault="008358E2" w:rsidP="00765C6F">
      <w:pPr>
        <w:spacing w:line="360" w:lineRule="auto"/>
        <w:outlineLvl w:val="0"/>
        <w:rPr>
          <w:rFonts w:ascii="Book Antiqua" w:hAnsi="Book Antiqua"/>
          <w:b/>
          <w:color w:val="000000"/>
          <w:sz w:val="24"/>
          <w:szCs w:val="24"/>
        </w:rPr>
      </w:pPr>
      <w:r w:rsidRPr="00765C6F">
        <w:rPr>
          <w:rFonts w:ascii="Book Antiqua" w:hAnsi="Book Antiqua"/>
          <w:b/>
          <w:color w:val="000000"/>
          <w:sz w:val="24"/>
          <w:szCs w:val="24"/>
        </w:rPr>
        <w:t>DISCUSSION</w:t>
      </w:r>
    </w:p>
    <w:p w:rsidR="008358E2" w:rsidRPr="00765C6F" w:rsidRDefault="008358E2" w:rsidP="00765C6F">
      <w:pPr>
        <w:spacing w:line="360" w:lineRule="auto"/>
        <w:rPr>
          <w:rFonts w:ascii="Book Antiqua" w:eastAsia="宋体" w:hAnsi="Book Antiqua"/>
          <w:color w:val="000000"/>
          <w:sz w:val="24"/>
          <w:szCs w:val="24"/>
          <w:lang w:eastAsia="zh-CN"/>
        </w:rPr>
      </w:pPr>
      <w:r w:rsidRPr="00765C6F">
        <w:rPr>
          <w:rFonts w:ascii="Book Antiqua" w:hAnsi="Book Antiqua"/>
          <w:color w:val="000000"/>
          <w:sz w:val="24"/>
          <w:szCs w:val="24"/>
        </w:rPr>
        <w:t>Here, we described a case of deteriorated hepatic reserve and renal function during combination therapy with daclatasvir and asunaprevir, regardless of normalized transaminase levels at the development of the symptoms. The decreased cholinesterase and total cholesterol values were also consistent with deteriorated hepatic reserve</w:t>
      </w:r>
      <w:r w:rsidRPr="00765C6F">
        <w:rPr>
          <w:rFonts w:ascii="Book Antiqua" w:hAnsi="Book Antiqua"/>
          <w:color w:val="000000"/>
          <w:sz w:val="24"/>
          <w:szCs w:val="24"/>
          <w:vertAlign w:val="superscript"/>
        </w:rPr>
        <w:t>[10,11]</w:t>
      </w:r>
      <w:r w:rsidRPr="00765C6F">
        <w:rPr>
          <w:rFonts w:ascii="Book Antiqua" w:hAnsi="Book Antiqua"/>
          <w:color w:val="000000"/>
          <w:sz w:val="24"/>
          <w:szCs w:val="24"/>
        </w:rPr>
        <w:t>. Drug-induced liver injury generally results in abnormal biochemical liver tests, including transaminase or alkaline phosphatase</w:t>
      </w:r>
      <w:r w:rsidRPr="00765C6F">
        <w:rPr>
          <w:rFonts w:ascii="Book Antiqua" w:hAnsi="Book Antiqua"/>
          <w:color w:val="000000"/>
          <w:sz w:val="24"/>
          <w:szCs w:val="24"/>
          <w:vertAlign w:val="superscript"/>
        </w:rPr>
        <w:t>[12]</w:t>
      </w:r>
      <w:r w:rsidRPr="00765C6F">
        <w:rPr>
          <w:rFonts w:ascii="Book Antiqua" w:hAnsi="Book Antiqua"/>
          <w:color w:val="000000"/>
          <w:sz w:val="24"/>
          <w:szCs w:val="24"/>
        </w:rPr>
        <w:t>. In our case, the normal values of transaminase and alkaline phosphatase did not fulfill the diagnostic criteria of drug-induced liver injury. However, the clinical course was similar to that of drug-induced liver injury, key elements of which are drug exposure preceding the onset of liver injury, the exclusion of underlying liver disease, including obstructive jaundice, and improvement after discontinuing the drug</w:t>
      </w:r>
      <w:r w:rsidRPr="00765C6F">
        <w:rPr>
          <w:rFonts w:ascii="Book Antiqua" w:hAnsi="Book Antiqua"/>
          <w:color w:val="000000"/>
          <w:sz w:val="24"/>
          <w:szCs w:val="24"/>
          <w:vertAlign w:val="superscript"/>
        </w:rPr>
        <w:t>[12,13]</w:t>
      </w:r>
      <w:r w:rsidRPr="00765C6F">
        <w:rPr>
          <w:rFonts w:ascii="Book Antiqua" w:hAnsi="Book Antiqua"/>
          <w:color w:val="000000"/>
          <w:sz w:val="24"/>
          <w:szCs w:val="24"/>
        </w:rPr>
        <w:t>. Because there have been case reports showing severe liver injury or hepatic decompensation during the therapy of direct-acting antivirals, including telaprevir</w:t>
      </w:r>
      <w:r w:rsidRPr="00765C6F">
        <w:rPr>
          <w:rFonts w:ascii="Book Antiqua" w:hAnsi="Book Antiqua"/>
          <w:color w:val="000000"/>
          <w:sz w:val="24"/>
          <w:szCs w:val="24"/>
          <w:vertAlign w:val="superscript"/>
        </w:rPr>
        <w:t>[14]</w:t>
      </w:r>
      <w:r w:rsidRPr="00765C6F">
        <w:rPr>
          <w:rFonts w:ascii="Book Antiqua" w:hAnsi="Book Antiqua"/>
          <w:color w:val="000000"/>
          <w:sz w:val="24"/>
          <w:szCs w:val="24"/>
        </w:rPr>
        <w:t xml:space="preserve"> or simeprevir</w:t>
      </w:r>
      <w:r w:rsidRPr="00765C6F">
        <w:rPr>
          <w:rFonts w:ascii="Book Antiqua" w:hAnsi="Book Antiqua"/>
          <w:color w:val="000000"/>
          <w:sz w:val="24"/>
          <w:szCs w:val="24"/>
          <w:vertAlign w:val="superscript"/>
        </w:rPr>
        <w:t>[15]</w:t>
      </w:r>
      <w:r w:rsidRPr="00765C6F">
        <w:rPr>
          <w:rFonts w:ascii="Book Antiqua" w:hAnsi="Book Antiqua"/>
          <w:color w:val="000000"/>
          <w:sz w:val="24"/>
          <w:szCs w:val="24"/>
        </w:rPr>
        <w:t xml:space="preserve">, daclatasvir or asunaprevir may also induce liver injury, with deteriorated hepatic reserve. </w:t>
      </w:r>
    </w:p>
    <w:p w:rsidR="008358E2" w:rsidRPr="00765C6F" w:rsidRDefault="008358E2" w:rsidP="00904BB1">
      <w:pPr>
        <w:spacing w:line="360" w:lineRule="auto"/>
        <w:ind w:firstLineChars="200" w:firstLine="31680"/>
        <w:rPr>
          <w:rFonts w:ascii="Book Antiqua" w:eastAsia="宋体" w:hAnsi="Book Antiqua"/>
          <w:color w:val="000000"/>
          <w:sz w:val="24"/>
          <w:szCs w:val="24"/>
          <w:lang w:eastAsia="zh-CN"/>
        </w:rPr>
      </w:pPr>
      <w:r w:rsidRPr="00765C6F">
        <w:rPr>
          <w:rFonts w:ascii="Book Antiqua" w:hAnsi="Book Antiqua"/>
          <w:color w:val="000000"/>
          <w:sz w:val="24"/>
          <w:szCs w:val="24"/>
        </w:rPr>
        <w:t>The present case also demonstrated renal damage and rash on the trunk and four limbs, which were accompanied by inflammatory reaction and eosinophilia after starting therapy, thereby indicating the possibility of drug-induced hypersensitivity syndrome (DIHS). The patient’s atopic background, including bronchial asthma, was also a risk factor of drug allergy</w:t>
      </w:r>
      <w:r w:rsidRPr="00765C6F">
        <w:rPr>
          <w:rFonts w:ascii="Book Antiqua" w:hAnsi="Book Antiqua"/>
          <w:color w:val="000000"/>
          <w:sz w:val="24"/>
          <w:szCs w:val="24"/>
          <w:vertAlign w:val="superscript"/>
        </w:rPr>
        <w:t>[16]</w:t>
      </w:r>
      <w:r w:rsidRPr="00765C6F">
        <w:rPr>
          <w:rFonts w:ascii="Book Antiqua" w:hAnsi="Book Antiqua"/>
          <w:color w:val="000000"/>
          <w:sz w:val="24"/>
          <w:szCs w:val="24"/>
        </w:rPr>
        <w:t>. In fact, a case associated with DIHS during combination therapy with daclatasvir and asunaprevir has been reported</w:t>
      </w:r>
      <w:r w:rsidRPr="00765C6F">
        <w:rPr>
          <w:rFonts w:ascii="Book Antiqua" w:hAnsi="Book Antiqua"/>
          <w:color w:val="000000"/>
          <w:sz w:val="24"/>
          <w:szCs w:val="24"/>
          <w:vertAlign w:val="superscript"/>
        </w:rPr>
        <w:t>[17]</w:t>
      </w:r>
      <w:r w:rsidRPr="00765C6F">
        <w:rPr>
          <w:rFonts w:ascii="Book Antiqua" w:hAnsi="Book Antiqua"/>
          <w:color w:val="000000"/>
          <w:sz w:val="24"/>
          <w:szCs w:val="24"/>
        </w:rPr>
        <w:t>. The renal damage was not due to dehydration or urinary tract infection; thus, organ involvement associated with a series of symptoms was considered. Rapidly enlarging rash and deteriorating hepatic reserve, as well as eosinophilia and EBV reactivation</w:t>
      </w:r>
      <w:r w:rsidRPr="00765C6F">
        <w:rPr>
          <w:rFonts w:ascii="Book Antiqua" w:hAnsi="Book Antiqua"/>
          <w:color w:val="000000"/>
          <w:sz w:val="24"/>
          <w:szCs w:val="24"/>
          <w:vertAlign w:val="superscript"/>
        </w:rPr>
        <w:t>[18]</w:t>
      </w:r>
      <w:r w:rsidRPr="00765C6F">
        <w:rPr>
          <w:rFonts w:ascii="Book Antiqua" w:hAnsi="Book Antiqua"/>
          <w:color w:val="000000"/>
          <w:sz w:val="24"/>
          <w:szCs w:val="24"/>
        </w:rPr>
        <w:t>, are the typical hallmark features of DIHS, which might be responsible for the pathophysiology in our case. However, the lack of fever, lymphadenopathy, and human herpesvirus (HHV)-6</w:t>
      </w:r>
      <w:r w:rsidRPr="00765C6F">
        <w:rPr>
          <w:rFonts w:ascii="Book Antiqua" w:eastAsia="宋体" w:hAnsi="Book Antiqua"/>
          <w:color w:val="000000"/>
          <w:sz w:val="24"/>
          <w:szCs w:val="24"/>
          <w:lang w:eastAsia="zh-CN"/>
        </w:rPr>
        <w:t xml:space="preserve"> </w:t>
      </w:r>
      <w:r w:rsidRPr="00765C6F">
        <w:rPr>
          <w:rFonts w:ascii="Book Antiqua" w:hAnsi="Book Antiqua"/>
          <w:color w:val="000000"/>
          <w:sz w:val="24"/>
          <w:szCs w:val="24"/>
        </w:rPr>
        <w:t>reactivation were inconsistent with DIHS. Thus, our case did not fulfil the diagnostic criteria of even atypical DIHS, according to the diagnostic criteria of DIHS</w:t>
      </w:r>
      <w:r w:rsidRPr="00765C6F">
        <w:rPr>
          <w:rFonts w:ascii="Book Antiqua" w:hAnsi="Book Antiqua"/>
          <w:color w:val="000000"/>
          <w:sz w:val="24"/>
          <w:szCs w:val="24"/>
          <w:vertAlign w:val="superscript"/>
        </w:rPr>
        <w:t>[19]</w:t>
      </w:r>
      <w:r w:rsidRPr="00765C6F">
        <w:rPr>
          <w:rFonts w:ascii="Book Antiqua" w:hAnsi="Book Antiqua"/>
          <w:color w:val="000000"/>
          <w:sz w:val="24"/>
          <w:szCs w:val="24"/>
        </w:rPr>
        <w:t>. During this therapy, our case was fundamentally different from the case associated with DIHS</w:t>
      </w:r>
      <w:r w:rsidRPr="00765C6F">
        <w:rPr>
          <w:rFonts w:ascii="Book Antiqua" w:hAnsi="Book Antiqua"/>
          <w:color w:val="000000"/>
          <w:sz w:val="24"/>
          <w:szCs w:val="24"/>
          <w:vertAlign w:val="superscript"/>
        </w:rPr>
        <w:t>[17]</w:t>
      </w:r>
      <w:r w:rsidRPr="00765C6F">
        <w:rPr>
          <w:rFonts w:ascii="Book Antiqua" w:hAnsi="Book Antiqua"/>
          <w:color w:val="000000"/>
          <w:sz w:val="24"/>
          <w:szCs w:val="24"/>
        </w:rPr>
        <w:t xml:space="preserve"> because our patient did not have lymphadenopathy, fever, ALT elevation or other organ involvement, such as renal damage.</w:t>
      </w:r>
    </w:p>
    <w:p w:rsidR="008358E2" w:rsidRPr="00765C6F" w:rsidRDefault="008358E2" w:rsidP="00904BB1">
      <w:pPr>
        <w:spacing w:line="360" w:lineRule="auto"/>
        <w:ind w:firstLineChars="200" w:firstLine="31680"/>
        <w:rPr>
          <w:rFonts w:ascii="Book Antiqua" w:eastAsia="宋体" w:hAnsi="Book Antiqua"/>
          <w:color w:val="000000"/>
          <w:sz w:val="24"/>
          <w:szCs w:val="24"/>
          <w:lang w:eastAsia="zh-CN"/>
        </w:rPr>
      </w:pPr>
      <w:r w:rsidRPr="00765C6F">
        <w:rPr>
          <w:rFonts w:ascii="Book Antiqua" w:hAnsi="Book Antiqua"/>
          <w:color w:val="000000"/>
          <w:sz w:val="24"/>
          <w:szCs w:val="24"/>
        </w:rPr>
        <w:t xml:space="preserve">However, as a severe, adverse, drug-induced reaction, DRESS syndrome is similar to DIHS. DRESS syndrome is characterized by a delayed onset, usually 2-6 </w:t>
      </w:r>
      <w:r w:rsidRPr="00765C6F">
        <w:rPr>
          <w:rFonts w:ascii="Book Antiqua" w:eastAsia="宋体" w:hAnsi="Book Antiqua"/>
          <w:color w:val="000000"/>
          <w:sz w:val="24"/>
          <w:szCs w:val="24"/>
          <w:lang w:eastAsia="zh-CN"/>
        </w:rPr>
        <w:t>wk</w:t>
      </w:r>
      <w:r w:rsidRPr="00765C6F">
        <w:rPr>
          <w:rFonts w:ascii="Book Antiqua" w:hAnsi="Book Antiqua"/>
          <w:color w:val="000000"/>
          <w:sz w:val="24"/>
          <w:szCs w:val="24"/>
        </w:rPr>
        <w:t xml:space="preserve"> after the initiation of drug therapy, as well as the possible persistence or aggravation of symptoms, despite the discontinuation of the causative drug; severe skin eruption, fever, hematologic abnormalities (eosinophilia or atypical lymphocytes) and internal organ involvement are also associated with DRESS syndrome. In this case, the patient showed eosinophilia (more than 1500/μL, with a DRESS score of 2), and skin rash (more than 50%), which were indicative of DRESS; in addition, there was liver and kidney involvement and the absence of other potential causes (each with a DRESS score of 1). There were no enlarged lymph nodes or atypical lymphocytes, and the skin biopsy was not performed, thus each received a DRESS score of 0, and high fever was not observed (less than 38.5</w:t>
      </w:r>
      <w:r w:rsidRPr="00765C6F">
        <w:rPr>
          <w:rFonts w:ascii="Book Antiqua" w:eastAsia="宋体" w:hAnsi="Book Antiqua"/>
          <w:color w:val="000000"/>
          <w:sz w:val="24"/>
          <w:szCs w:val="24"/>
          <w:lang w:eastAsia="zh-CN"/>
        </w:rPr>
        <w:t xml:space="preserve"> </w:t>
      </w:r>
      <w:r w:rsidRPr="00765C6F">
        <w:rPr>
          <w:rFonts w:ascii="宋体" w:eastAsia="宋体" w:hAnsi="宋体" w:cs="宋体" w:hint="eastAsia"/>
          <w:color w:val="000000"/>
          <w:sz w:val="24"/>
          <w:szCs w:val="24"/>
        </w:rPr>
        <w:t>℃</w:t>
      </w:r>
      <w:r w:rsidRPr="00765C6F">
        <w:rPr>
          <w:rFonts w:ascii="Book Antiqua" w:hAnsi="Book Antiqua"/>
          <w:color w:val="000000"/>
          <w:sz w:val="24"/>
          <w:szCs w:val="24"/>
        </w:rPr>
        <w:t xml:space="preserve">, with a DRESS score of -1). However, the resolution within 15 </w:t>
      </w:r>
      <w:r w:rsidRPr="00765C6F">
        <w:rPr>
          <w:rFonts w:ascii="Book Antiqua" w:eastAsia="宋体" w:hAnsi="Book Antiqua"/>
          <w:color w:val="000000"/>
          <w:sz w:val="24"/>
          <w:szCs w:val="24"/>
          <w:lang w:eastAsia="zh-CN"/>
        </w:rPr>
        <w:t>d</w:t>
      </w:r>
      <w:r w:rsidRPr="00765C6F">
        <w:rPr>
          <w:rFonts w:ascii="Book Antiqua" w:hAnsi="Book Antiqua"/>
          <w:color w:val="000000"/>
          <w:sz w:val="24"/>
          <w:szCs w:val="24"/>
        </w:rPr>
        <w:t xml:space="preserve"> is uncertain. If we estimate this evaluation item at a score of -1, the score of our case was at least 5; therefore, our case was considered to be a probable case, according to the RegiSCAR scoring system</w:t>
      </w:r>
      <w:r w:rsidRPr="00765C6F">
        <w:rPr>
          <w:rFonts w:ascii="Book Antiqua" w:hAnsi="Book Antiqua"/>
          <w:color w:val="000000"/>
          <w:sz w:val="24"/>
          <w:szCs w:val="24"/>
          <w:vertAlign w:val="superscript"/>
        </w:rPr>
        <w:t>[9]</w:t>
      </w:r>
      <w:r w:rsidRPr="00765C6F">
        <w:rPr>
          <w:rFonts w:ascii="Book Antiqua" w:hAnsi="Book Antiqua"/>
          <w:color w:val="000000"/>
          <w:sz w:val="24"/>
          <w:szCs w:val="24"/>
        </w:rPr>
        <w:t>. The possible mechanisms of the DRESS syndrome are detoxification defects, which can lead to reactive metabolite formation and subsequent immunological reactions, slow acetylation, and reactivation of human herpesvirus, including EBV, HHV-6 and -7</w:t>
      </w:r>
      <w:r w:rsidRPr="00765C6F">
        <w:rPr>
          <w:rFonts w:ascii="Book Antiqua" w:hAnsi="Book Antiqua"/>
          <w:color w:val="000000"/>
          <w:sz w:val="24"/>
          <w:szCs w:val="24"/>
          <w:vertAlign w:val="superscript"/>
        </w:rPr>
        <w:t>[9]</w:t>
      </w:r>
      <w:r w:rsidRPr="00765C6F">
        <w:rPr>
          <w:rFonts w:ascii="Book Antiqua" w:hAnsi="Book Antiqua"/>
          <w:color w:val="000000"/>
          <w:sz w:val="24"/>
          <w:szCs w:val="24"/>
        </w:rPr>
        <w:t xml:space="preserve">.  </w:t>
      </w:r>
    </w:p>
    <w:p w:rsidR="008358E2" w:rsidRPr="00765C6F" w:rsidRDefault="008358E2" w:rsidP="00904BB1">
      <w:pPr>
        <w:spacing w:line="360" w:lineRule="auto"/>
        <w:ind w:firstLineChars="200" w:firstLine="31680"/>
        <w:rPr>
          <w:rFonts w:ascii="Book Antiqua" w:eastAsia="宋体" w:hAnsi="Book Antiqua"/>
          <w:color w:val="000000"/>
          <w:sz w:val="24"/>
          <w:szCs w:val="24"/>
          <w:lang w:eastAsia="zh-CN"/>
        </w:rPr>
      </w:pPr>
      <w:r w:rsidRPr="00765C6F">
        <w:rPr>
          <w:rFonts w:ascii="Book Antiqua" w:hAnsi="Book Antiqua"/>
          <w:color w:val="000000"/>
          <w:sz w:val="24"/>
          <w:szCs w:val="24"/>
        </w:rPr>
        <w:t>Both daclatasvir and asunaprevir are metabolized by CYP3A, and asunaprevir is a substrate of OATP1B1</w:t>
      </w:r>
      <w:r w:rsidRPr="00765C6F">
        <w:rPr>
          <w:rFonts w:ascii="Book Antiqua" w:hAnsi="Book Antiqua"/>
          <w:color w:val="000000"/>
          <w:sz w:val="24"/>
          <w:szCs w:val="24"/>
          <w:vertAlign w:val="superscript"/>
        </w:rPr>
        <w:t>[20]</w:t>
      </w:r>
      <w:r w:rsidRPr="00765C6F">
        <w:rPr>
          <w:rFonts w:ascii="Book Antiqua" w:hAnsi="Book Antiqua"/>
          <w:color w:val="000000"/>
          <w:sz w:val="24"/>
          <w:szCs w:val="24"/>
        </w:rPr>
        <w:t>. CYP3A activity and OATP1B1 activity are known to be decreased in advanced liver disease and cirrhosis</w:t>
      </w:r>
      <w:r w:rsidRPr="00765C6F">
        <w:rPr>
          <w:rFonts w:ascii="Book Antiqua" w:hAnsi="Book Antiqua"/>
          <w:color w:val="000000"/>
          <w:sz w:val="24"/>
          <w:szCs w:val="24"/>
          <w:vertAlign w:val="superscript"/>
        </w:rPr>
        <w:t>[21,22]</w:t>
      </w:r>
      <w:r w:rsidRPr="00765C6F">
        <w:rPr>
          <w:rFonts w:ascii="Book Antiqua" w:hAnsi="Book Antiqua"/>
          <w:color w:val="000000"/>
          <w:sz w:val="24"/>
          <w:szCs w:val="24"/>
        </w:rPr>
        <w:t>. Prior to antiviral therapy, the platelet count, hyaluronic acid and type IV collagen levels suggested hepatic fibrosis in our case</w:t>
      </w:r>
      <w:r w:rsidRPr="00765C6F">
        <w:rPr>
          <w:rFonts w:ascii="Book Antiqua" w:hAnsi="Book Antiqua"/>
          <w:color w:val="000000"/>
          <w:sz w:val="24"/>
          <w:szCs w:val="24"/>
          <w:vertAlign w:val="superscript"/>
        </w:rPr>
        <w:t>[23,24]</w:t>
      </w:r>
      <w:r w:rsidRPr="00765C6F">
        <w:rPr>
          <w:rFonts w:ascii="Book Antiqua" w:hAnsi="Book Antiqua"/>
          <w:color w:val="000000"/>
          <w:sz w:val="24"/>
          <w:szCs w:val="24"/>
        </w:rPr>
        <w:t>. Moreover, nifedipine (one of the concomitant drugs) is metabolized by CYP3A and, thus, may compete against daclatasvir and asunaprevir as the substrate. Another concomitant drug, olmesartan, is a substrate of OATP1B1 and, thus, may compete against daclatasvir and asunaprevir as the substrate. Drug interactions may also increase the blood concentration of daclatasvir and asunaprevir. Therefore, higher blood levels of daclatasvir or asunaprevir (based on low hepatic metabolic ability) might cause unexpected adverse events. Indeed, in our case, the achievement of SVR12 supported this hypothesis. As a combination therapy, daclatasvir and asunaprevir are also approved in compensated cirrhosis patients (Child-Pugh A), and careful observation is particularly needed for these patients.</w:t>
      </w:r>
    </w:p>
    <w:p w:rsidR="008358E2" w:rsidRPr="00765C6F" w:rsidRDefault="008358E2" w:rsidP="00904BB1">
      <w:pPr>
        <w:spacing w:line="360" w:lineRule="auto"/>
        <w:ind w:firstLineChars="200" w:firstLine="31680"/>
        <w:rPr>
          <w:rFonts w:ascii="Book Antiqua" w:eastAsia="宋体" w:hAnsi="Book Antiqua"/>
          <w:color w:val="000000"/>
          <w:sz w:val="24"/>
          <w:szCs w:val="24"/>
          <w:lang w:eastAsia="zh-CN"/>
        </w:rPr>
      </w:pPr>
      <w:r w:rsidRPr="00765C6F">
        <w:rPr>
          <w:rFonts w:ascii="Book Antiqua" w:hAnsi="Book Antiqua"/>
          <w:color w:val="000000"/>
          <w:sz w:val="24"/>
          <w:szCs w:val="24"/>
        </w:rPr>
        <w:t xml:space="preserve">Based on the decreased prothrombin activity and platelet count, disseminated intravascular coagulopathy (DIC) was a differential diagnosis in our case. Unfortunately, we did not measure the fibrin degradation products (FDP), D-dimer, and fibrinogen levels at the onset of the deteriorated laboratory data. According to the ISTH Diagnostic Scoring System for DIC, the score in our case was considered to be 5, at most. Thus, we think that overt DIC was a possible but not the probable diagnosis. </w:t>
      </w:r>
    </w:p>
    <w:p w:rsidR="008358E2" w:rsidRPr="00765C6F" w:rsidRDefault="008358E2" w:rsidP="00904BB1">
      <w:pPr>
        <w:spacing w:line="360" w:lineRule="auto"/>
        <w:ind w:firstLineChars="200" w:firstLine="31680"/>
        <w:rPr>
          <w:rFonts w:ascii="Book Antiqua" w:hAnsi="Book Antiqua"/>
          <w:color w:val="000000"/>
          <w:sz w:val="24"/>
          <w:szCs w:val="24"/>
        </w:rPr>
      </w:pPr>
      <w:r w:rsidRPr="00765C6F">
        <w:rPr>
          <w:rFonts w:ascii="Book Antiqua" w:hAnsi="Book Antiqua"/>
          <w:color w:val="000000"/>
          <w:sz w:val="24"/>
          <w:szCs w:val="24"/>
        </w:rPr>
        <w:t>In summary, we experienced an unusual case of probable DRESS syndrome due to combination therapy with daclatasvir and asunaprevir. We should pay attention not only to the transaminase levels but also to the allergic symptoms associated with organ involvement during combination therapy with daclatasvir and asunaprevir.</w:t>
      </w:r>
    </w:p>
    <w:p w:rsidR="008358E2" w:rsidRPr="00765C6F" w:rsidRDefault="008358E2" w:rsidP="00765C6F">
      <w:pPr>
        <w:spacing w:line="360" w:lineRule="auto"/>
        <w:rPr>
          <w:rFonts w:ascii="Book Antiqua" w:hAnsi="Book Antiqua"/>
          <w:color w:val="000000"/>
          <w:sz w:val="24"/>
          <w:szCs w:val="24"/>
        </w:rPr>
      </w:pPr>
    </w:p>
    <w:p w:rsidR="008358E2" w:rsidRPr="00765C6F" w:rsidRDefault="008358E2" w:rsidP="00765C6F">
      <w:pPr>
        <w:spacing w:line="360" w:lineRule="auto"/>
        <w:rPr>
          <w:rFonts w:ascii="Book Antiqua" w:hAnsi="Book Antiqua"/>
          <w:b/>
          <w:color w:val="000000"/>
          <w:sz w:val="24"/>
          <w:szCs w:val="24"/>
        </w:rPr>
      </w:pPr>
      <w:r w:rsidRPr="00765C6F">
        <w:rPr>
          <w:rFonts w:ascii="Book Antiqua" w:hAnsi="Book Antiqua"/>
          <w:b/>
          <w:color w:val="000000"/>
          <w:sz w:val="24"/>
          <w:szCs w:val="24"/>
        </w:rPr>
        <w:t>COMMENTS</w:t>
      </w:r>
    </w:p>
    <w:p w:rsidR="008358E2" w:rsidRPr="00765C6F" w:rsidRDefault="008358E2" w:rsidP="00765C6F">
      <w:pPr>
        <w:spacing w:line="360" w:lineRule="auto"/>
        <w:rPr>
          <w:rFonts w:ascii="Book Antiqua" w:hAnsi="Book Antiqua"/>
          <w:b/>
          <w:i/>
          <w:color w:val="000000"/>
          <w:sz w:val="24"/>
          <w:szCs w:val="24"/>
        </w:rPr>
      </w:pPr>
      <w:r w:rsidRPr="00765C6F">
        <w:rPr>
          <w:rFonts w:ascii="Book Antiqua" w:hAnsi="Book Antiqua"/>
          <w:b/>
          <w:i/>
          <w:color w:val="000000"/>
          <w:sz w:val="24"/>
          <w:szCs w:val="24"/>
        </w:rPr>
        <w:t>Case characteristics</w:t>
      </w:r>
    </w:p>
    <w:p w:rsidR="008358E2" w:rsidRPr="00765C6F" w:rsidRDefault="008358E2" w:rsidP="00765C6F">
      <w:pPr>
        <w:spacing w:line="360" w:lineRule="auto"/>
        <w:rPr>
          <w:rFonts w:ascii="Book Antiqua" w:hAnsi="Book Antiqua"/>
          <w:color w:val="000000"/>
          <w:sz w:val="24"/>
          <w:szCs w:val="24"/>
        </w:rPr>
      </w:pPr>
      <w:r w:rsidRPr="00765C6F">
        <w:rPr>
          <w:rFonts w:ascii="Book Antiqua" w:hAnsi="Book Antiqua"/>
          <w:color w:val="000000"/>
          <w:sz w:val="24"/>
          <w:szCs w:val="24"/>
        </w:rPr>
        <w:t>Dark urine and a rash on his trunk and four limbs.</w:t>
      </w:r>
    </w:p>
    <w:p w:rsidR="008358E2" w:rsidRPr="00765C6F" w:rsidRDefault="008358E2" w:rsidP="00765C6F">
      <w:pPr>
        <w:spacing w:line="360" w:lineRule="auto"/>
        <w:rPr>
          <w:rFonts w:ascii="Book Antiqua" w:hAnsi="Book Antiqua"/>
          <w:color w:val="000000"/>
          <w:sz w:val="24"/>
          <w:szCs w:val="24"/>
        </w:rPr>
      </w:pPr>
    </w:p>
    <w:p w:rsidR="008358E2" w:rsidRPr="00765C6F" w:rsidRDefault="008358E2" w:rsidP="00765C6F">
      <w:pPr>
        <w:spacing w:line="360" w:lineRule="auto"/>
        <w:rPr>
          <w:rFonts w:ascii="Book Antiqua" w:hAnsi="Book Antiqua" w:cs="宋体"/>
          <w:b/>
          <w:i/>
          <w:color w:val="000000"/>
          <w:sz w:val="24"/>
          <w:szCs w:val="24"/>
        </w:rPr>
      </w:pPr>
      <w:r w:rsidRPr="00765C6F">
        <w:rPr>
          <w:rFonts w:ascii="Book Antiqua" w:hAnsi="Book Antiqua" w:cs="Arial"/>
          <w:b/>
          <w:i/>
          <w:color w:val="000000"/>
          <w:sz w:val="24"/>
          <w:szCs w:val="24"/>
        </w:rPr>
        <w:t>Clinical diagnosis</w:t>
      </w:r>
    </w:p>
    <w:p w:rsidR="008358E2" w:rsidRPr="00765C6F" w:rsidRDefault="008358E2" w:rsidP="00765C6F">
      <w:pPr>
        <w:spacing w:line="360" w:lineRule="auto"/>
        <w:rPr>
          <w:rFonts w:ascii="Book Antiqua" w:hAnsi="Book Antiqua"/>
          <w:color w:val="000000"/>
          <w:sz w:val="24"/>
          <w:szCs w:val="24"/>
        </w:rPr>
      </w:pPr>
      <w:r w:rsidRPr="00765C6F">
        <w:rPr>
          <w:rFonts w:ascii="Book Antiqua" w:hAnsi="Book Antiqua"/>
          <w:color w:val="000000"/>
          <w:sz w:val="24"/>
          <w:szCs w:val="24"/>
        </w:rPr>
        <w:t>DRESS syndrome due to combination therapy with daclatasvir and asunaprevir.</w:t>
      </w:r>
    </w:p>
    <w:p w:rsidR="008358E2" w:rsidRPr="00765C6F" w:rsidRDefault="008358E2" w:rsidP="00765C6F">
      <w:pPr>
        <w:spacing w:line="360" w:lineRule="auto"/>
        <w:rPr>
          <w:rFonts w:ascii="Book Antiqua" w:hAnsi="Book Antiqua"/>
          <w:color w:val="000000"/>
          <w:sz w:val="24"/>
          <w:szCs w:val="24"/>
        </w:rPr>
      </w:pPr>
    </w:p>
    <w:p w:rsidR="008358E2" w:rsidRPr="00765C6F" w:rsidRDefault="008358E2" w:rsidP="00765C6F">
      <w:pPr>
        <w:spacing w:line="360" w:lineRule="auto"/>
        <w:rPr>
          <w:rFonts w:ascii="Book Antiqua" w:hAnsi="Book Antiqua" w:cs="Arial"/>
          <w:b/>
          <w:i/>
          <w:color w:val="000000"/>
          <w:sz w:val="24"/>
          <w:szCs w:val="24"/>
        </w:rPr>
      </w:pPr>
      <w:r w:rsidRPr="00765C6F">
        <w:rPr>
          <w:rFonts w:ascii="Book Antiqua" w:hAnsi="Book Antiqua" w:cs="Arial"/>
          <w:b/>
          <w:i/>
          <w:color w:val="000000"/>
          <w:sz w:val="24"/>
          <w:szCs w:val="24"/>
        </w:rPr>
        <w:t>Differential diagnosis</w:t>
      </w:r>
    </w:p>
    <w:p w:rsidR="008358E2" w:rsidRPr="00765C6F" w:rsidRDefault="008358E2" w:rsidP="00765C6F">
      <w:pPr>
        <w:spacing w:line="360" w:lineRule="auto"/>
        <w:rPr>
          <w:rFonts w:ascii="Book Antiqua" w:hAnsi="Book Antiqua"/>
          <w:color w:val="000000"/>
          <w:sz w:val="24"/>
          <w:szCs w:val="24"/>
        </w:rPr>
      </w:pPr>
      <w:r w:rsidRPr="00765C6F">
        <w:rPr>
          <w:rFonts w:ascii="Book Antiqua" w:hAnsi="Book Antiqua" w:cs="Arial"/>
          <w:color w:val="000000"/>
          <w:sz w:val="24"/>
          <w:szCs w:val="24"/>
        </w:rPr>
        <w:t xml:space="preserve">The ISTH Diagnostic Scoring System for DIC and </w:t>
      </w:r>
      <w:r w:rsidRPr="00765C6F">
        <w:rPr>
          <w:rFonts w:ascii="Book Antiqua" w:hAnsi="Book Antiqua"/>
          <w:color w:val="000000"/>
          <w:sz w:val="24"/>
          <w:szCs w:val="24"/>
        </w:rPr>
        <w:t>diagnostic criteria of DIHS.</w:t>
      </w:r>
    </w:p>
    <w:p w:rsidR="008358E2" w:rsidRPr="00765C6F" w:rsidRDefault="008358E2" w:rsidP="00765C6F">
      <w:pPr>
        <w:spacing w:line="360" w:lineRule="auto"/>
        <w:rPr>
          <w:rFonts w:ascii="Book Antiqua" w:hAnsi="Book Antiqua" w:cs="Arial"/>
          <w:b/>
          <w:color w:val="000000"/>
          <w:sz w:val="24"/>
          <w:szCs w:val="24"/>
        </w:rPr>
      </w:pPr>
    </w:p>
    <w:p w:rsidR="008358E2" w:rsidRPr="00765C6F" w:rsidRDefault="008358E2" w:rsidP="00765C6F">
      <w:pPr>
        <w:spacing w:line="360" w:lineRule="auto"/>
        <w:rPr>
          <w:rFonts w:ascii="Book Antiqua" w:hAnsi="Book Antiqua" w:cs="Arial"/>
          <w:b/>
          <w:i/>
          <w:color w:val="000000"/>
          <w:sz w:val="24"/>
          <w:szCs w:val="24"/>
        </w:rPr>
      </w:pPr>
      <w:r w:rsidRPr="00765C6F">
        <w:rPr>
          <w:rFonts w:ascii="Book Antiqua" w:hAnsi="Book Antiqua" w:cs="Arial"/>
          <w:b/>
          <w:i/>
          <w:color w:val="000000"/>
          <w:sz w:val="24"/>
          <w:szCs w:val="24"/>
        </w:rPr>
        <w:t>Laboratory diagnosis</w:t>
      </w:r>
    </w:p>
    <w:p w:rsidR="008358E2" w:rsidRPr="00765C6F" w:rsidRDefault="008358E2" w:rsidP="00765C6F">
      <w:pPr>
        <w:spacing w:line="360" w:lineRule="auto"/>
        <w:rPr>
          <w:rFonts w:ascii="Book Antiqua" w:hAnsi="Book Antiqua" w:cs="Arial"/>
          <w:color w:val="000000"/>
          <w:sz w:val="24"/>
          <w:szCs w:val="24"/>
        </w:rPr>
      </w:pPr>
      <w:r w:rsidRPr="00765C6F">
        <w:rPr>
          <w:rFonts w:ascii="Book Antiqua" w:hAnsi="Book Antiqua" w:cs="Arial"/>
          <w:color w:val="000000"/>
          <w:sz w:val="24"/>
          <w:szCs w:val="24"/>
        </w:rPr>
        <w:t xml:space="preserve">Blood drawing and urine collection showed that </w:t>
      </w:r>
      <w:r w:rsidRPr="00765C6F">
        <w:rPr>
          <w:rFonts w:ascii="Book Antiqua" w:hAnsi="Book Antiqua"/>
          <w:color w:val="000000"/>
          <w:sz w:val="24"/>
          <w:szCs w:val="24"/>
        </w:rPr>
        <w:t>hepatic reserve and renal function deterioration, eosinophilia and dark urine, respectively.</w:t>
      </w:r>
    </w:p>
    <w:p w:rsidR="008358E2" w:rsidRPr="00765C6F" w:rsidRDefault="008358E2" w:rsidP="00765C6F">
      <w:pPr>
        <w:spacing w:line="360" w:lineRule="auto"/>
        <w:rPr>
          <w:rFonts w:ascii="Book Antiqua" w:hAnsi="Book Antiqua" w:cs="Arial"/>
          <w:color w:val="000000"/>
          <w:sz w:val="24"/>
          <w:szCs w:val="24"/>
        </w:rPr>
      </w:pPr>
    </w:p>
    <w:p w:rsidR="008358E2" w:rsidRPr="00765C6F" w:rsidRDefault="008358E2" w:rsidP="00765C6F">
      <w:pPr>
        <w:spacing w:line="360" w:lineRule="auto"/>
        <w:rPr>
          <w:rFonts w:ascii="Book Antiqua" w:hAnsi="Book Antiqua" w:cs="Arial"/>
          <w:b/>
          <w:i/>
          <w:color w:val="000000"/>
          <w:sz w:val="24"/>
          <w:szCs w:val="24"/>
        </w:rPr>
      </w:pPr>
      <w:r w:rsidRPr="00765C6F">
        <w:rPr>
          <w:rFonts w:ascii="Book Antiqua" w:hAnsi="Book Antiqua" w:cs="Arial"/>
          <w:b/>
          <w:i/>
          <w:color w:val="000000"/>
          <w:sz w:val="24"/>
          <w:szCs w:val="24"/>
        </w:rPr>
        <w:t>Imaging diagnosis</w:t>
      </w:r>
    </w:p>
    <w:p w:rsidR="008358E2" w:rsidRPr="00765C6F" w:rsidRDefault="008358E2" w:rsidP="00765C6F">
      <w:pPr>
        <w:spacing w:line="360" w:lineRule="auto"/>
        <w:rPr>
          <w:rFonts w:ascii="Book Antiqua" w:hAnsi="Book Antiqua" w:cs="Arial"/>
          <w:color w:val="000000"/>
          <w:sz w:val="24"/>
          <w:szCs w:val="24"/>
        </w:rPr>
      </w:pPr>
      <w:r w:rsidRPr="00765C6F">
        <w:rPr>
          <w:rFonts w:ascii="Book Antiqua" w:hAnsi="Book Antiqua" w:cs="Arial"/>
          <w:color w:val="000000"/>
          <w:sz w:val="24"/>
          <w:szCs w:val="24"/>
        </w:rPr>
        <w:t xml:space="preserve">Inspection of skin and photographic evidence of </w:t>
      </w:r>
      <w:r w:rsidRPr="00765C6F">
        <w:rPr>
          <w:rFonts w:ascii="Book Antiqua" w:hAnsi="Book Antiqua"/>
          <w:color w:val="000000"/>
          <w:sz w:val="24"/>
          <w:szCs w:val="24"/>
        </w:rPr>
        <w:t>a skin rash.</w:t>
      </w:r>
    </w:p>
    <w:p w:rsidR="008358E2" w:rsidRPr="00765C6F" w:rsidRDefault="008358E2" w:rsidP="00765C6F">
      <w:pPr>
        <w:spacing w:line="360" w:lineRule="auto"/>
        <w:rPr>
          <w:rFonts w:ascii="Book Antiqua" w:hAnsi="Book Antiqua" w:cs="Arial"/>
          <w:color w:val="000000"/>
          <w:sz w:val="24"/>
          <w:szCs w:val="24"/>
        </w:rPr>
      </w:pPr>
    </w:p>
    <w:p w:rsidR="008358E2" w:rsidRPr="00765C6F" w:rsidRDefault="008358E2" w:rsidP="00765C6F">
      <w:pPr>
        <w:spacing w:line="360" w:lineRule="auto"/>
        <w:rPr>
          <w:rFonts w:ascii="Book Antiqua" w:hAnsi="Book Antiqua" w:cs="Arial"/>
          <w:b/>
          <w:i/>
          <w:color w:val="000000"/>
          <w:sz w:val="24"/>
          <w:szCs w:val="24"/>
        </w:rPr>
      </w:pPr>
      <w:r w:rsidRPr="00765C6F">
        <w:rPr>
          <w:rFonts w:ascii="Book Antiqua" w:hAnsi="Book Antiqua" w:cs="Arial"/>
          <w:b/>
          <w:i/>
          <w:color w:val="000000"/>
          <w:sz w:val="24"/>
          <w:szCs w:val="24"/>
        </w:rPr>
        <w:t>Pathological diagnosis</w:t>
      </w:r>
    </w:p>
    <w:p w:rsidR="008358E2" w:rsidRPr="00765C6F" w:rsidRDefault="008358E2" w:rsidP="00765C6F">
      <w:pPr>
        <w:spacing w:line="360" w:lineRule="auto"/>
        <w:rPr>
          <w:rFonts w:ascii="Book Antiqua" w:hAnsi="Book Antiqua"/>
          <w:color w:val="000000"/>
          <w:sz w:val="24"/>
          <w:szCs w:val="24"/>
        </w:rPr>
      </w:pPr>
      <w:r w:rsidRPr="00765C6F">
        <w:rPr>
          <w:rFonts w:ascii="Book Antiqua" w:hAnsi="Book Antiqua"/>
          <w:color w:val="000000"/>
          <w:sz w:val="24"/>
          <w:szCs w:val="24"/>
        </w:rPr>
        <w:t>Not applicable.</w:t>
      </w:r>
    </w:p>
    <w:p w:rsidR="008358E2" w:rsidRPr="00765C6F" w:rsidRDefault="008358E2" w:rsidP="00765C6F">
      <w:pPr>
        <w:spacing w:line="360" w:lineRule="auto"/>
        <w:rPr>
          <w:rFonts w:ascii="Book Antiqua" w:hAnsi="Book Antiqua"/>
          <w:b/>
          <w:color w:val="000000"/>
          <w:sz w:val="24"/>
          <w:szCs w:val="24"/>
        </w:rPr>
      </w:pPr>
    </w:p>
    <w:p w:rsidR="008358E2" w:rsidRPr="00765C6F" w:rsidRDefault="008358E2" w:rsidP="00765C6F">
      <w:pPr>
        <w:spacing w:line="360" w:lineRule="auto"/>
        <w:rPr>
          <w:rFonts w:ascii="Book Antiqua" w:hAnsi="Book Antiqua" w:cs="Arial"/>
          <w:b/>
          <w:i/>
          <w:color w:val="000000"/>
          <w:sz w:val="24"/>
          <w:szCs w:val="24"/>
        </w:rPr>
      </w:pPr>
      <w:r w:rsidRPr="00765C6F">
        <w:rPr>
          <w:rFonts w:ascii="Book Antiqua" w:hAnsi="Book Antiqua" w:cs="Arial"/>
          <w:b/>
          <w:i/>
          <w:color w:val="000000"/>
          <w:sz w:val="24"/>
          <w:szCs w:val="24"/>
        </w:rPr>
        <w:t>Treatment</w:t>
      </w:r>
    </w:p>
    <w:p w:rsidR="008358E2" w:rsidRPr="00765C6F" w:rsidRDefault="008358E2" w:rsidP="00765C6F">
      <w:pPr>
        <w:spacing w:line="360" w:lineRule="auto"/>
        <w:rPr>
          <w:rFonts w:ascii="Book Antiqua" w:hAnsi="Book Antiqua" w:cs="Arial"/>
          <w:color w:val="000000"/>
          <w:sz w:val="24"/>
          <w:szCs w:val="24"/>
        </w:rPr>
      </w:pPr>
      <w:r w:rsidRPr="00765C6F">
        <w:rPr>
          <w:rFonts w:ascii="Book Antiqua" w:hAnsi="Book Antiqua" w:cs="Arial"/>
          <w:color w:val="000000"/>
          <w:sz w:val="24"/>
          <w:szCs w:val="24"/>
        </w:rPr>
        <w:t xml:space="preserve">Both daclatasvir and asunaprevir were discontinued and an antihistamine was administered for 2 </w:t>
      </w:r>
      <w:r w:rsidRPr="00765C6F">
        <w:rPr>
          <w:rFonts w:ascii="Book Antiqua" w:eastAsia="宋体" w:hAnsi="Book Antiqua" w:cs="Arial"/>
          <w:color w:val="000000"/>
          <w:sz w:val="24"/>
          <w:szCs w:val="24"/>
          <w:lang w:eastAsia="zh-CN"/>
        </w:rPr>
        <w:t>wk</w:t>
      </w:r>
      <w:r w:rsidRPr="00765C6F">
        <w:rPr>
          <w:rFonts w:ascii="Book Antiqua" w:hAnsi="Book Antiqua" w:cs="Arial"/>
          <w:color w:val="000000"/>
          <w:sz w:val="24"/>
          <w:szCs w:val="24"/>
        </w:rPr>
        <w:t>.</w:t>
      </w:r>
    </w:p>
    <w:p w:rsidR="008358E2" w:rsidRPr="00765C6F" w:rsidRDefault="008358E2" w:rsidP="00765C6F">
      <w:pPr>
        <w:spacing w:line="360" w:lineRule="auto"/>
        <w:rPr>
          <w:rFonts w:ascii="Book Antiqua" w:hAnsi="Book Antiqua" w:cs="Arial"/>
          <w:color w:val="000000"/>
          <w:sz w:val="24"/>
          <w:szCs w:val="24"/>
        </w:rPr>
      </w:pPr>
    </w:p>
    <w:p w:rsidR="008358E2" w:rsidRPr="00765C6F" w:rsidRDefault="008358E2" w:rsidP="00765C6F">
      <w:pPr>
        <w:spacing w:line="360" w:lineRule="auto"/>
        <w:rPr>
          <w:rFonts w:ascii="Book Antiqua" w:hAnsi="Book Antiqua" w:cs="Arial"/>
          <w:b/>
          <w:i/>
          <w:color w:val="000000"/>
          <w:sz w:val="24"/>
          <w:szCs w:val="24"/>
        </w:rPr>
      </w:pPr>
      <w:r w:rsidRPr="00765C6F">
        <w:rPr>
          <w:rFonts w:ascii="Book Antiqua" w:hAnsi="Book Antiqua"/>
          <w:b/>
          <w:i/>
          <w:color w:val="000000"/>
          <w:sz w:val="24"/>
          <w:szCs w:val="24"/>
        </w:rPr>
        <w:t>Related reports</w:t>
      </w:r>
    </w:p>
    <w:p w:rsidR="008358E2" w:rsidRPr="00765C6F" w:rsidRDefault="008358E2" w:rsidP="00765C6F">
      <w:pPr>
        <w:spacing w:line="360" w:lineRule="auto"/>
        <w:rPr>
          <w:rFonts w:ascii="Book Antiqua" w:hAnsi="Book Antiqua"/>
          <w:color w:val="000000"/>
          <w:sz w:val="24"/>
          <w:szCs w:val="24"/>
        </w:rPr>
      </w:pPr>
      <w:r w:rsidRPr="00765C6F">
        <w:rPr>
          <w:rFonts w:ascii="Book Antiqua" w:hAnsi="Book Antiqua"/>
          <w:color w:val="000000"/>
          <w:sz w:val="24"/>
          <w:szCs w:val="24"/>
        </w:rPr>
        <w:t>The reference #1 for the understanding of combination therapy with daclatasvir and asunaprevir, and #9 for the understanding of The DRESS syndrome.</w:t>
      </w:r>
    </w:p>
    <w:p w:rsidR="008358E2" w:rsidRPr="00765C6F" w:rsidRDefault="008358E2" w:rsidP="00765C6F">
      <w:pPr>
        <w:spacing w:line="360" w:lineRule="auto"/>
        <w:rPr>
          <w:rFonts w:ascii="Book Antiqua" w:hAnsi="Book Antiqua"/>
          <w:b/>
          <w:color w:val="000000"/>
          <w:sz w:val="24"/>
          <w:szCs w:val="24"/>
        </w:rPr>
      </w:pPr>
    </w:p>
    <w:p w:rsidR="008358E2" w:rsidRPr="00765C6F" w:rsidRDefault="008358E2" w:rsidP="00765C6F">
      <w:pPr>
        <w:spacing w:line="360" w:lineRule="auto"/>
        <w:rPr>
          <w:rFonts w:ascii="Book Antiqua" w:hAnsi="Book Antiqua"/>
          <w:b/>
          <w:i/>
          <w:color w:val="000000"/>
          <w:sz w:val="24"/>
          <w:szCs w:val="24"/>
        </w:rPr>
      </w:pPr>
      <w:r w:rsidRPr="00765C6F">
        <w:rPr>
          <w:rFonts w:ascii="Book Antiqua" w:hAnsi="Book Antiqua"/>
          <w:b/>
          <w:i/>
          <w:color w:val="000000"/>
          <w:sz w:val="24"/>
          <w:szCs w:val="24"/>
        </w:rPr>
        <w:t xml:space="preserve">Term explanation </w:t>
      </w:r>
    </w:p>
    <w:p w:rsidR="008358E2" w:rsidRPr="00765C6F" w:rsidRDefault="008358E2" w:rsidP="00765C6F">
      <w:pPr>
        <w:spacing w:line="360" w:lineRule="auto"/>
        <w:rPr>
          <w:rFonts w:ascii="Book Antiqua" w:hAnsi="Book Antiqua"/>
          <w:color w:val="000000"/>
          <w:sz w:val="24"/>
          <w:szCs w:val="24"/>
        </w:rPr>
      </w:pPr>
      <w:r w:rsidRPr="00765C6F">
        <w:rPr>
          <w:rFonts w:ascii="Book Antiqua" w:hAnsi="Book Antiqua"/>
          <w:color w:val="000000"/>
          <w:sz w:val="24"/>
          <w:szCs w:val="24"/>
        </w:rPr>
        <w:t xml:space="preserve">DRESS syndrome: DRESS syndrome is characterized by a delayed onset, usually 2-6 </w:t>
      </w:r>
      <w:r w:rsidRPr="00765C6F">
        <w:rPr>
          <w:rFonts w:ascii="Book Antiqua" w:eastAsia="宋体" w:hAnsi="Book Antiqua"/>
          <w:color w:val="000000"/>
          <w:sz w:val="24"/>
          <w:szCs w:val="24"/>
          <w:lang w:eastAsia="zh-CN"/>
        </w:rPr>
        <w:t>w</w:t>
      </w:r>
      <w:r w:rsidRPr="00765C6F">
        <w:rPr>
          <w:rFonts w:ascii="Book Antiqua" w:hAnsi="Book Antiqua"/>
          <w:color w:val="000000"/>
          <w:sz w:val="24"/>
          <w:szCs w:val="24"/>
        </w:rPr>
        <w:t xml:space="preserve"> after the initiation of drug therapy, as well as the possible persistence or aggravation of symptoms, despite the discontinuation of the causative drug; severe skin eruption, fever, hematologic abnormalities (eosinophilia or atypical lymphocytes) and internal organ involvement are also associated with DRESS syndrome.</w:t>
      </w:r>
    </w:p>
    <w:p w:rsidR="008358E2" w:rsidRPr="00765C6F" w:rsidRDefault="008358E2" w:rsidP="00765C6F">
      <w:pPr>
        <w:spacing w:line="360" w:lineRule="auto"/>
        <w:rPr>
          <w:rFonts w:ascii="Book Antiqua" w:hAnsi="Book Antiqua"/>
          <w:b/>
          <w:color w:val="000000"/>
          <w:sz w:val="24"/>
          <w:szCs w:val="24"/>
        </w:rPr>
      </w:pPr>
    </w:p>
    <w:p w:rsidR="008358E2" w:rsidRPr="00765C6F" w:rsidRDefault="008358E2" w:rsidP="00765C6F">
      <w:pPr>
        <w:spacing w:line="360" w:lineRule="auto"/>
        <w:rPr>
          <w:rFonts w:ascii="Book Antiqua" w:hAnsi="Book Antiqua" w:cs="Arial"/>
          <w:b/>
          <w:i/>
          <w:color w:val="000000"/>
          <w:sz w:val="24"/>
          <w:szCs w:val="24"/>
        </w:rPr>
      </w:pPr>
      <w:r w:rsidRPr="00765C6F">
        <w:rPr>
          <w:rFonts w:ascii="Book Antiqua" w:hAnsi="Book Antiqua" w:cs="Arial"/>
          <w:b/>
          <w:i/>
          <w:color w:val="000000"/>
          <w:sz w:val="24"/>
          <w:szCs w:val="24"/>
        </w:rPr>
        <w:t>Experiences and lessons</w:t>
      </w:r>
    </w:p>
    <w:p w:rsidR="008358E2" w:rsidRPr="00765C6F" w:rsidRDefault="008358E2" w:rsidP="00765C6F">
      <w:pPr>
        <w:spacing w:line="360" w:lineRule="auto"/>
        <w:rPr>
          <w:rFonts w:ascii="Book Antiqua" w:hAnsi="Book Antiqua"/>
          <w:color w:val="000000"/>
          <w:sz w:val="24"/>
          <w:szCs w:val="24"/>
        </w:rPr>
      </w:pPr>
      <w:r w:rsidRPr="00765C6F">
        <w:rPr>
          <w:rFonts w:ascii="Book Antiqua" w:hAnsi="Book Antiqua"/>
          <w:color w:val="000000"/>
          <w:sz w:val="24"/>
          <w:szCs w:val="24"/>
        </w:rPr>
        <w:t>We should pay attention not only to the transaminase levels but also to the allergic symptoms associated with organ involvement during combination therapy with daclatasvir and asunaprevir.</w:t>
      </w:r>
    </w:p>
    <w:p w:rsidR="008358E2" w:rsidRPr="00765C6F" w:rsidRDefault="008358E2" w:rsidP="00765C6F">
      <w:pPr>
        <w:spacing w:line="360" w:lineRule="auto"/>
        <w:rPr>
          <w:rFonts w:ascii="Book Antiqua" w:hAnsi="Book Antiqua"/>
          <w:b/>
          <w:color w:val="000000"/>
          <w:sz w:val="24"/>
          <w:szCs w:val="24"/>
        </w:rPr>
      </w:pPr>
    </w:p>
    <w:p w:rsidR="008358E2" w:rsidRPr="00765C6F" w:rsidRDefault="008358E2" w:rsidP="00765C6F">
      <w:pPr>
        <w:spacing w:line="360" w:lineRule="auto"/>
        <w:rPr>
          <w:rFonts w:ascii="Book Antiqua" w:hAnsi="Book Antiqua"/>
          <w:b/>
          <w:i/>
          <w:color w:val="000000"/>
          <w:sz w:val="24"/>
          <w:szCs w:val="24"/>
        </w:rPr>
      </w:pPr>
      <w:r w:rsidRPr="00765C6F">
        <w:rPr>
          <w:rFonts w:ascii="Book Antiqua" w:hAnsi="Book Antiqua"/>
          <w:b/>
          <w:i/>
          <w:color w:val="000000"/>
          <w:sz w:val="24"/>
          <w:szCs w:val="24"/>
        </w:rPr>
        <w:t>Peer-review</w:t>
      </w:r>
    </w:p>
    <w:p w:rsidR="008358E2" w:rsidRPr="00765C6F" w:rsidRDefault="008358E2" w:rsidP="00765C6F">
      <w:pPr>
        <w:spacing w:line="360" w:lineRule="auto"/>
        <w:outlineLvl w:val="0"/>
        <w:rPr>
          <w:rFonts w:ascii="Book Antiqua" w:eastAsia="宋体" w:hAnsi="Book Antiqua"/>
          <w:b/>
          <w:color w:val="000000"/>
          <w:sz w:val="24"/>
          <w:szCs w:val="24"/>
          <w:lang w:eastAsia="zh-CN"/>
        </w:rPr>
      </w:pPr>
      <w:r w:rsidRPr="008D6C59">
        <w:rPr>
          <w:rFonts w:ascii="Book Antiqua" w:hAnsi="Book Antiqua" w:cs="Arial"/>
          <w:color w:val="000000"/>
          <w:sz w:val="24"/>
          <w:szCs w:val="24"/>
        </w:rPr>
        <w:t>It is a very interesting and well explained case worth sharing with the scientific community.</w:t>
      </w:r>
    </w:p>
    <w:p w:rsidR="008358E2" w:rsidRPr="00765C6F" w:rsidRDefault="008358E2" w:rsidP="00765C6F">
      <w:pPr>
        <w:widowControl/>
        <w:spacing w:line="360" w:lineRule="auto"/>
        <w:jc w:val="left"/>
        <w:rPr>
          <w:rFonts w:ascii="Book Antiqua" w:hAnsi="Book Antiqua"/>
          <w:b/>
          <w:color w:val="000000"/>
          <w:sz w:val="24"/>
          <w:szCs w:val="24"/>
        </w:rPr>
      </w:pPr>
      <w:r w:rsidRPr="00765C6F">
        <w:rPr>
          <w:rFonts w:ascii="Book Antiqua" w:hAnsi="Book Antiqua"/>
          <w:b/>
          <w:color w:val="000000"/>
          <w:sz w:val="24"/>
          <w:szCs w:val="24"/>
        </w:rPr>
        <w:br w:type="page"/>
      </w:r>
    </w:p>
    <w:p w:rsidR="008358E2" w:rsidRPr="00765C6F" w:rsidRDefault="008358E2" w:rsidP="00765C6F">
      <w:pPr>
        <w:spacing w:line="360" w:lineRule="auto"/>
        <w:outlineLvl w:val="0"/>
        <w:rPr>
          <w:rFonts w:ascii="Book Antiqua" w:hAnsi="Book Antiqua"/>
          <w:b/>
          <w:color w:val="000000"/>
          <w:sz w:val="24"/>
          <w:szCs w:val="24"/>
        </w:rPr>
      </w:pPr>
      <w:r w:rsidRPr="00765C6F">
        <w:rPr>
          <w:rFonts w:ascii="Book Antiqua" w:hAnsi="Book Antiqua"/>
          <w:b/>
          <w:color w:val="000000"/>
          <w:sz w:val="24"/>
          <w:szCs w:val="24"/>
        </w:rPr>
        <w:t>REFERENCES</w:t>
      </w:r>
    </w:p>
    <w:p w:rsidR="008358E2" w:rsidRPr="00765C6F" w:rsidRDefault="008358E2" w:rsidP="00765C6F">
      <w:pPr>
        <w:widowControl/>
        <w:spacing w:line="360" w:lineRule="auto"/>
        <w:rPr>
          <w:rFonts w:ascii="Book Antiqua" w:eastAsia="宋体" w:hAnsi="Book Antiqua" w:cs="宋体"/>
          <w:kern w:val="0"/>
          <w:sz w:val="24"/>
          <w:szCs w:val="24"/>
        </w:rPr>
      </w:pPr>
      <w:r w:rsidRPr="00765C6F">
        <w:rPr>
          <w:rFonts w:ascii="Book Antiqua" w:eastAsia="宋体" w:hAnsi="Book Antiqua" w:cs="宋体"/>
          <w:kern w:val="0"/>
          <w:sz w:val="24"/>
          <w:szCs w:val="24"/>
        </w:rPr>
        <w:t xml:space="preserve">1 </w:t>
      </w:r>
      <w:r w:rsidRPr="00765C6F">
        <w:rPr>
          <w:rFonts w:ascii="Book Antiqua" w:eastAsia="宋体" w:hAnsi="Book Antiqua" w:cs="宋体"/>
          <w:b/>
          <w:bCs/>
          <w:kern w:val="0"/>
          <w:sz w:val="24"/>
          <w:szCs w:val="24"/>
        </w:rPr>
        <w:t>Kumada H</w:t>
      </w:r>
      <w:r w:rsidRPr="00765C6F">
        <w:rPr>
          <w:rFonts w:ascii="Book Antiqua" w:eastAsia="宋体" w:hAnsi="Book Antiqua" w:cs="宋体"/>
          <w:kern w:val="0"/>
          <w:sz w:val="24"/>
          <w:szCs w:val="24"/>
        </w:rPr>
        <w:t xml:space="preserve">, Suzuki Y, Ikeda K, Toyota J, Karino Y, Chayama K, Kawakami Y, Ido A, Yamamoto K, Takaguchi K, Izumi N, Koike K, Takehara T, Kawada N, Sata M, Miyagoshi H, Eley T, McPhee F, Damokosh A, Ishikawa H, Hughes E. Daclatasvir plus asunaprevir for chronic HCV genotype 1b infection. </w:t>
      </w:r>
      <w:r w:rsidRPr="00765C6F">
        <w:rPr>
          <w:rFonts w:ascii="Book Antiqua" w:eastAsia="宋体" w:hAnsi="Book Antiqua" w:cs="宋体"/>
          <w:i/>
          <w:iCs/>
          <w:kern w:val="0"/>
          <w:sz w:val="24"/>
          <w:szCs w:val="24"/>
        </w:rPr>
        <w:t>Hepatology</w:t>
      </w:r>
      <w:r w:rsidRPr="00765C6F">
        <w:rPr>
          <w:rFonts w:ascii="Book Antiqua" w:eastAsia="宋体" w:hAnsi="Book Antiqua" w:cs="宋体"/>
          <w:kern w:val="0"/>
          <w:sz w:val="24"/>
          <w:szCs w:val="24"/>
        </w:rPr>
        <w:t xml:space="preserve"> 2014; </w:t>
      </w:r>
      <w:r w:rsidRPr="00765C6F">
        <w:rPr>
          <w:rFonts w:ascii="Book Antiqua" w:eastAsia="宋体" w:hAnsi="Book Antiqua" w:cs="宋体"/>
          <w:b/>
          <w:bCs/>
          <w:kern w:val="0"/>
          <w:sz w:val="24"/>
          <w:szCs w:val="24"/>
        </w:rPr>
        <w:t>59</w:t>
      </w:r>
      <w:r w:rsidRPr="00765C6F">
        <w:rPr>
          <w:rFonts w:ascii="Book Antiqua" w:eastAsia="宋体" w:hAnsi="Book Antiqua" w:cs="宋体"/>
          <w:kern w:val="0"/>
          <w:sz w:val="24"/>
          <w:szCs w:val="24"/>
        </w:rPr>
        <w:t>: 2083-2091 [PMID: 24604476 DOI: 10.1002/hep.27113]</w:t>
      </w:r>
    </w:p>
    <w:p w:rsidR="008358E2" w:rsidRPr="00765C6F" w:rsidRDefault="008358E2" w:rsidP="00765C6F">
      <w:pPr>
        <w:widowControl/>
        <w:spacing w:line="360" w:lineRule="auto"/>
        <w:rPr>
          <w:rFonts w:ascii="Book Antiqua" w:eastAsia="宋体" w:hAnsi="Book Antiqua" w:cs="宋体"/>
          <w:kern w:val="0"/>
          <w:sz w:val="24"/>
          <w:szCs w:val="24"/>
        </w:rPr>
      </w:pPr>
      <w:r w:rsidRPr="00765C6F">
        <w:rPr>
          <w:rFonts w:ascii="Book Antiqua" w:eastAsia="宋体" w:hAnsi="Book Antiqua" w:cs="宋体"/>
          <w:kern w:val="0"/>
          <w:sz w:val="24"/>
          <w:szCs w:val="24"/>
        </w:rPr>
        <w:t xml:space="preserve">2 </w:t>
      </w:r>
      <w:r w:rsidRPr="00765C6F">
        <w:rPr>
          <w:rFonts w:ascii="Book Antiqua" w:eastAsia="宋体" w:hAnsi="Book Antiqua" w:cs="宋体"/>
          <w:b/>
          <w:bCs/>
          <w:kern w:val="0"/>
          <w:sz w:val="24"/>
          <w:szCs w:val="24"/>
        </w:rPr>
        <w:t>Manns M</w:t>
      </w:r>
      <w:r w:rsidRPr="00765C6F">
        <w:rPr>
          <w:rFonts w:ascii="Book Antiqua" w:eastAsia="宋体" w:hAnsi="Book Antiqua" w:cs="宋体"/>
          <w:kern w:val="0"/>
          <w:sz w:val="24"/>
          <w:szCs w:val="24"/>
        </w:rPr>
        <w:t xml:space="preserve">, Pol S, Jacobson IM, Marcellin P, Gordon SC, Peng CY, Chang TT, Everson GT, Heo J, Gerken G, Yoffe B, Towner WJ, Bourliere M, Metivier S, Chu CJ, Sievert W, Bronowicki JP, Thabut D, Lee YJ, Kao JH, McPhee F, Kopit J, Mendez P, Linaberry M, Hughes E, Noviello S. All-oral daclatasvir plus asunaprevir for hepatitis C virus genotype 1b: a multinational, phase 3, multicohort study. </w:t>
      </w:r>
      <w:r w:rsidRPr="00765C6F">
        <w:rPr>
          <w:rFonts w:ascii="Book Antiqua" w:eastAsia="宋体" w:hAnsi="Book Antiqua" w:cs="宋体"/>
          <w:i/>
          <w:iCs/>
          <w:kern w:val="0"/>
          <w:sz w:val="24"/>
          <w:szCs w:val="24"/>
        </w:rPr>
        <w:t>Lancet</w:t>
      </w:r>
      <w:r w:rsidRPr="00765C6F">
        <w:rPr>
          <w:rFonts w:ascii="Book Antiqua" w:eastAsia="宋体" w:hAnsi="Book Antiqua" w:cs="宋体"/>
          <w:kern w:val="0"/>
          <w:sz w:val="24"/>
          <w:szCs w:val="24"/>
        </w:rPr>
        <w:t xml:space="preserve"> 2014; </w:t>
      </w:r>
      <w:r w:rsidRPr="00765C6F">
        <w:rPr>
          <w:rFonts w:ascii="Book Antiqua" w:eastAsia="宋体" w:hAnsi="Book Antiqua" w:cs="宋体"/>
          <w:b/>
          <w:bCs/>
          <w:kern w:val="0"/>
          <w:sz w:val="24"/>
          <w:szCs w:val="24"/>
        </w:rPr>
        <w:t>384</w:t>
      </w:r>
      <w:r w:rsidRPr="00765C6F">
        <w:rPr>
          <w:rFonts w:ascii="Book Antiqua" w:eastAsia="宋体" w:hAnsi="Book Antiqua" w:cs="宋体"/>
          <w:kern w:val="0"/>
          <w:sz w:val="24"/>
          <w:szCs w:val="24"/>
        </w:rPr>
        <w:t>: 1597-1605 [PMID: 25078304 DOI: 10.1016/s0140-6736(14)61059-x]</w:t>
      </w:r>
    </w:p>
    <w:p w:rsidR="008358E2" w:rsidRPr="00765C6F" w:rsidRDefault="008358E2" w:rsidP="00765C6F">
      <w:pPr>
        <w:widowControl/>
        <w:spacing w:line="360" w:lineRule="auto"/>
        <w:rPr>
          <w:rFonts w:ascii="Book Antiqua" w:eastAsia="宋体" w:hAnsi="Book Antiqua" w:cs="宋体"/>
          <w:kern w:val="0"/>
          <w:sz w:val="24"/>
          <w:szCs w:val="24"/>
        </w:rPr>
      </w:pPr>
      <w:r w:rsidRPr="00765C6F">
        <w:rPr>
          <w:rFonts w:ascii="Book Antiqua" w:eastAsia="宋体" w:hAnsi="Book Antiqua" w:cs="宋体"/>
          <w:kern w:val="0"/>
          <w:sz w:val="24"/>
          <w:szCs w:val="24"/>
        </w:rPr>
        <w:t xml:space="preserve">3 </w:t>
      </w:r>
      <w:r w:rsidRPr="00765C6F">
        <w:rPr>
          <w:rFonts w:ascii="Book Antiqua" w:eastAsia="宋体" w:hAnsi="Book Antiqua" w:cs="宋体"/>
          <w:b/>
          <w:kern w:val="0"/>
          <w:sz w:val="24"/>
          <w:szCs w:val="24"/>
        </w:rPr>
        <w:t>Drafting Committee for Hepatitis Management Guidelines,</w:t>
      </w:r>
      <w:r w:rsidRPr="00765C6F">
        <w:rPr>
          <w:rFonts w:ascii="Book Antiqua" w:eastAsia="宋体" w:hAnsi="Book Antiqua" w:cs="宋体"/>
          <w:kern w:val="0"/>
          <w:sz w:val="24"/>
          <w:szCs w:val="24"/>
        </w:rPr>
        <w:t xml:space="preserve"> the Japan Society of Hepatology. JSH Guidelines for the Management of Hepatitis C Virus Infection: A 2014 Update for Genotype 1. </w:t>
      </w:r>
      <w:r w:rsidRPr="00765C6F">
        <w:rPr>
          <w:rFonts w:ascii="Book Antiqua" w:eastAsia="宋体" w:hAnsi="Book Antiqua" w:cs="宋体"/>
          <w:i/>
          <w:iCs/>
          <w:kern w:val="0"/>
          <w:sz w:val="24"/>
          <w:szCs w:val="24"/>
        </w:rPr>
        <w:t>Hepatol Res</w:t>
      </w:r>
      <w:r w:rsidRPr="00765C6F">
        <w:rPr>
          <w:rFonts w:ascii="Book Antiqua" w:eastAsia="宋体" w:hAnsi="Book Antiqua" w:cs="宋体"/>
          <w:kern w:val="0"/>
          <w:sz w:val="24"/>
          <w:szCs w:val="24"/>
        </w:rPr>
        <w:t xml:space="preserve"> 2014; </w:t>
      </w:r>
      <w:r w:rsidRPr="00765C6F">
        <w:rPr>
          <w:rFonts w:ascii="Book Antiqua" w:eastAsia="宋体" w:hAnsi="Book Antiqua" w:cs="宋体"/>
          <w:b/>
          <w:bCs/>
          <w:kern w:val="0"/>
          <w:sz w:val="24"/>
          <w:szCs w:val="24"/>
        </w:rPr>
        <w:t xml:space="preserve">44 </w:t>
      </w:r>
      <w:r w:rsidRPr="00765C6F">
        <w:rPr>
          <w:rFonts w:ascii="Book Antiqua" w:eastAsia="宋体" w:hAnsi="Book Antiqua" w:cs="宋体"/>
          <w:bCs/>
          <w:kern w:val="0"/>
          <w:sz w:val="24"/>
          <w:szCs w:val="24"/>
        </w:rPr>
        <w:t>Suppl S1</w:t>
      </w:r>
      <w:r w:rsidRPr="00765C6F">
        <w:rPr>
          <w:rFonts w:ascii="Book Antiqua" w:eastAsia="宋体" w:hAnsi="Book Antiqua" w:cs="宋体"/>
          <w:kern w:val="0"/>
          <w:sz w:val="24"/>
          <w:szCs w:val="24"/>
        </w:rPr>
        <w:t>: 59-70 [PMID: 24397840 DOI: 10.1111/hepr.12272]</w:t>
      </w:r>
    </w:p>
    <w:p w:rsidR="008358E2" w:rsidRPr="00765C6F" w:rsidRDefault="008358E2" w:rsidP="00765C6F">
      <w:pPr>
        <w:widowControl/>
        <w:spacing w:line="360" w:lineRule="auto"/>
        <w:rPr>
          <w:rFonts w:ascii="Book Antiqua" w:eastAsia="宋体" w:hAnsi="Book Antiqua" w:cs="宋体"/>
          <w:kern w:val="0"/>
          <w:sz w:val="24"/>
          <w:szCs w:val="24"/>
        </w:rPr>
      </w:pPr>
      <w:r w:rsidRPr="00765C6F">
        <w:rPr>
          <w:rFonts w:ascii="Book Antiqua" w:eastAsia="宋体" w:hAnsi="Book Antiqua" w:cs="宋体"/>
          <w:kern w:val="0"/>
          <w:sz w:val="24"/>
          <w:szCs w:val="24"/>
        </w:rPr>
        <w:t xml:space="preserve">4 </w:t>
      </w:r>
      <w:r w:rsidRPr="00765C6F">
        <w:rPr>
          <w:rFonts w:ascii="Book Antiqua" w:eastAsia="宋体" w:hAnsi="Book Antiqua" w:cs="宋体"/>
          <w:b/>
          <w:bCs/>
          <w:kern w:val="0"/>
          <w:sz w:val="24"/>
          <w:szCs w:val="24"/>
        </w:rPr>
        <w:t>Suzuki Y</w:t>
      </w:r>
      <w:r w:rsidRPr="00765C6F">
        <w:rPr>
          <w:rFonts w:ascii="Book Antiqua" w:eastAsia="宋体" w:hAnsi="Book Antiqua" w:cs="宋体"/>
          <w:kern w:val="0"/>
          <w:sz w:val="24"/>
          <w:szCs w:val="24"/>
        </w:rPr>
        <w:t xml:space="preserve">, Ikeda K, Suzuki F, Toyota J, Karino Y, Chayama K, Kawakami Y, Ishikawa H, Watanabe H, Hu W, Eley T, McPhee F, Hughes E, Kumada H. Dual oral therapy with daclatasvir and asunaprevir for patients with HCV genotype 1b infection and limited treatment options. </w:t>
      </w:r>
      <w:r w:rsidRPr="00765C6F">
        <w:rPr>
          <w:rFonts w:ascii="Book Antiqua" w:eastAsia="宋体" w:hAnsi="Book Antiqua" w:cs="宋体"/>
          <w:i/>
          <w:iCs/>
          <w:kern w:val="0"/>
          <w:sz w:val="24"/>
          <w:szCs w:val="24"/>
        </w:rPr>
        <w:t>J Hepatol</w:t>
      </w:r>
      <w:r w:rsidRPr="00765C6F">
        <w:rPr>
          <w:rFonts w:ascii="Book Antiqua" w:eastAsia="宋体" w:hAnsi="Book Antiqua" w:cs="宋体"/>
          <w:kern w:val="0"/>
          <w:sz w:val="24"/>
          <w:szCs w:val="24"/>
        </w:rPr>
        <w:t xml:space="preserve"> 2013; </w:t>
      </w:r>
      <w:r w:rsidRPr="00765C6F">
        <w:rPr>
          <w:rFonts w:ascii="Book Antiqua" w:eastAsia="宋体" w:hAnsi="Book Antiqua" w:cs="宋体"/>
          <w:b/>
          <w:bCs/>
          <w:kern w:val="0"/>
          <w:sz w:val="24"/>
          <w:szCs w:val="24"/>
        </w:rPr>
        <w:t>58</w:t>
      </w:r>
      <w:r w:rsidRPr="00765C6F">
        <w:rPr>
          <w:rFonts w:ascii="Book Antiqua" w:eastAsia="宋体" w:hAnsi="Book Antiqua" w:cs="宋体"/>
          <w:kern w:val="0"/>
          <w:sz w:val="24"/>
          <w:szCs w:val="24"/>
        </w:rPr>
        <w:t>: 655-662 [PMID: 23183526 DOI: 10.1016/j.jhep.2012.09.037]</w:t>
      </w:r>
    </w:p>
    <w:p w:rsidR="008358E2" w:rsidRPr="00765C6F" w:rsidRDefault="008358E2" w:rsidP="00765C6F">
      <w:pPr>
        <w:widowControl/>
        <w:spacing w:line="360" w:lineRule="auto"/>
        <w:rPr>
          <w:rFonts w:ascii="Book Antiqua" w:eastAsia="宋体" w:hAnsi="Book Antiqua" w:cs="宋体"/>
          <w:kern w:val="0"/>
          <w:sz w:val="24"/>
          <w:szCs w:val="24"/>
        </w:rPr>
      </w:pPr>
      <w:r w:rsidRPr="00765C6F">
        <w:rPr>
          <w:rFonts w:ascii="Book Antiqua" w:eastAsia="宋体" w:hAnsi="Book Antiqua" w:cs="宋体"/>
          <w:kern w:val="0"/>
          <w:sz w:val="24"/>
          <w:szCs w:val="24"/>
        </w:rPr>
        <w:t xml:space="preserve">5 </w:t>
      </w:r>
      <w:r w:rsidRPr="00765C6F">
        <w:rPr>
          <w:rFonts w:ascii="Book Antiqua" w:eastAsia="宋体" w:hAnsi="Book Antiqua" w:cs="宋体"/>
          <w:b/>
          <w:bCs/>
          <w:kern w:val="0"/>
          <w:sz w:val="24"/>
          <w:szCs w:val="24"/>
        </w:rPr>
        <w:t>Chayama K</w:t>
      </w:r>
      <w:r w:rsidRPr="00765C6F">
        <w:rPr>
          <w:rFonts w:ascii="Book Antiqua" w:eastAsia="宋体" w:hAnsi="Book Antiqua" w:cs="宋体"/>
          <w:kern w:val="0"/>
          <w:sz w:val="24"/>
          <w:szCs w:val="24"/>
        </w:rPr>
        <w:t xml:space="preserve">, Takahashi S, Toyota J, Karino Y, Ikeda K, Ishikawa H, Watanabe H, McPhee F, Hughes E, Kumada H. Dual therapy with the nonstructural protein 5A inhibitor, daclatasvir, and the nonstructural protein 3 protease inhibitor, asunaprevir, in hepatitis C virus genotype 1b-infected null responders. </w:t>
      </w:r>
      <w:r w:rsidRPr="00765C6F">
        <w:rPr>
          <w:rFonts w:ascii="Book Antiqua" w:eastAsia="宋体" w:hAnsi="Book Antiqua" w:cs="宋体"/>
          <w:i/>
          <w:iCs/>
          <w:kern w:val="0"/>
          <w:sz w:val="24"/>
          <w:szCs w:val="24"/>
        </w:rPr>
        <w:t>Hepatology</w:t>
      </w:r>
      <w:r w:rsidRPr="00765C6F">
        <w:rPr>
          <w:rFonts w:ascii="Book Antiqua" w:eastAsia="宋体" w:hAnsi="Book Antiqua" w:cs="宋体"/>
          <w:kern w:val="0"/>
          <w:sz w:val="24"/>
          <w:szCs w:val="24"/>
        </w:rPr>
        <w:t xml:space="preserve"> 2012; </w:t>
      </w:r>
      <w:r w:rsidRPr="00765C6F">
        <w:rPr>
          <w:rFonts w:ascii="Book Antiqua" w:eastAsia="宋体" w:hAnsi="Book Antiqua" w:cs="宋体"/>
          <w:b/>
          <w:bCs/>
          <w:kern w:val="0"/>
          <w:sz w:val="24"/>
          <w:szCs w:val="24"/>
        </w:rPr>
        <w:t>55</w:t>
      </w:r>
      <w:r w:rsidRPr="00765C6F">
        <w:rPr>
          <w:rFonts w:ascii="Book Antiqua" w:eastAsia="宋体" w:hAnsi="Book Antiqua" w:cs="宋体"/>
          <w:kern w:val="0"/>
          <w:sz w:val="24"/>
          <w:szCs w:val="24"/>
        </w:rPr>
        <w:t>: 742-748 [PMID: 21987462 DOI: 10.1002/hep.24724]</w:t>
      </w:r>
    </w:p>
    <w:p w:rsidR="008358E2" w:rsidRPr="00765C6F" w:rsidRDefault="008358E2" w:rsidP="00765C6F">
      <w:pPr>
        <w:widowControl/>
        <w:spacing w:line="360" w:lineRule="auto"/>
        <w:rPr>
          <w:rFonts w:ascii="Book Antiqua" w:eastAsia="宋体" w:hAnsi="Book Antiqua" w:cs="宋体"/>
          <w:kern w:val="0"/>
          <w:sz w:val="24"/>
          <w:szCs w:val="24"/>
        </w:rPr>
      </w:pPr>
      <w:r w:rsidRPr="00765C6F">
        <w:rPr>
          <w:rFonts w:ascii="Book Antiqua" w:eastAsia="宋体" w:hAnsi="Book Antiqua" w:cs="宋体"/>
          <w:kern w:val="0"/>
          <w:sz w:val="24"/>
          <w:szCs w:val="24"/>
        </w:rPr>
        <w:t xml:space="preserve">6 </w:t>
      </w:r>
      <w:r w:rsidRPr="00765C6F">
        <w:rPr>
          <w:rFonts w:ascii="Book Antiqua" w:eastAsia="宋体" w:hAnsi="Book Antiqua" w:cs="宋体"/>
          <w:b/>
          <w:bCs/>
          <w:kern w:val="0"/>
          <w:sz w:val="24"/>
          <w:szCs w:val="24"/>
        </w:rPr>
        <w:t>Sherlock SP</w:t>
      </w:r>
      <w:r w:rsidRPr="00765C6F">
        <w:rPr>
          <w:rFonts w:ascii="Book Antiqua" w:eastAsia="宋体" w:hAnsi="Book Antiqua" w:cs="宋体"/>
          <w:kern w:val="0"/>
          <w:sz w:val="24"/>
          <w:szCs w:val="24"/>
        </w:rPr>
        <w:t xml:space="preserve">. Biochemical investigations in liver disease; some correlations with hepatic histology. </w:t>
      </w:r>
      <w:r w:rsidRPr="00765C6F">
        <w:rPr>
          <w:rFonts w:ascii="Book Antiqua" w:eastAsia="宋体" w:hAnsi="Book Antiqua" w:cs="宋体"/>
          <w:i/>
          <w:iCs/>
          <w:kern w:val="0"/>
          <w:sz w:val="24"/>
          <w:szCs w:val="24"/>
        </w:rPr>
        <w:t>J Pathol Bacteriol</w:t>
      </w:r>
      <w:r w:rsidRPr="00765C6F">
        <w:rPr>
          <w:rFonts w:ascii="Book Antiqua" w:eastAsia="宋体" w:hAnsi="Book Antiqua" w:cs="宋体"/>
          <w:kern w:val="0"/>
          <w:sz w:val="24"/>
          <w:szCs w:val="24"/>
        </w:rPr>
        <w:t xml:space="preserve"> 1946; </w:t>
      </w:r>
      <w:r w:rsidRPr="00765C6F">
        <w:rPr>
          <w:rFonts w:ascii="Book Antiqua" w:eastAsia="宋体" w:hAnsi="Book Antiqua" w:cs="宋体"/>
          <w:b/>
          <w:bCs/>
          <w:kern w:val="0"/>
          <w:sz w:val="24"/>
          <w:szCs w:val="24"/>
        </w:rPr>
        <w:t>58</w:t>
      </w:r>
      <w:r w:rsidRPr="00765C6F">
        <w:rPr>
          <w:rFonts w:ascii="Book Antiqua" w:eastAsia="宋体" w:hAnsi="Book Antiqua" w:cs="宋体"/>
          <w:kern w:val="0"/>
          <w:sz w:val="24"/>
          <w:szCs w:val="24"/>
        </w:rPr>
        <w:t>: 523-544 [PMID: 20283090]</w:t>
      </w:r>
    </w:p>
    <w:p w:rsidR="008358E2" w:rsidRPr="00765C6F" w:rsidRDefault="008358E2" w:rsidP="00765C6F">
      <w:pPr>
        <w:widowControl/>
        <w:spacing w:line="360" w:lineRule="auto"/>
        <w:rPr>
          <w:rFonts w:ascii="Book Antiqua" w:eastAsia="宋体" w:hAnsi="Book Antiqua" w:cs="宋体"/>
          <w:kern w:val="0"/>
          <w:sz w:val="24"/>
          <w:szCs w:val="24"/>
        </w:rPr>
      </w:pPr>
      <w:r w:rsidRPr="00765C6F">
        <w:rPr>
          <w:rFonts w:ascii="Book Antiqua" w:eastAsia="宋体" w:hAnsi="Book Antiqua" w:cs="宋体"/>
          <w:kern w:val="0"/>
          <w:sz w:val="24"/>
          <w:szCs w:val="24"/>
        </w:rPr>
        <w:t xml:space="preserve">7 </w:t>
      </w:r>
      <w:r w:rsidRPr="00765C6F">
        <w:rPr>
          <w:rFonts w:ascii="Book Antiqua" w:eastAsia="宋体" w:hAnsi="Book Antiqua" w:cs="宋体"/>
          <w:b/>
          <w:bCs/>
          <w:kern w:val="0"/>
          <w:sz w:val="24"/>
          <w:szCs w:val="24"/>
        </w:rPr>
        <w:t>Rothschild MA</w:t>
      </w:r>
      <w:r w:rsidRPr="00765C6F">
        <w:rPr>
          <w:rFonts w:ascii="Book Antiqua" w:eastAsia="宋体" w:hAnsi="Book Antiqua" w:cs="宋体"/>
          <w:kern w:val="0"/>
          <w:sz w:val="24"/>
          <w:szCs w:val="24"/>
        </w:rPr>
        <w:t xml:space="preserve">, Oratz M, Zimmon D, Schreiber SS, Weiner I, Van Caneghem A. Albumin synthesis in cirrhotic subjects with ascites studied with carbonate-14C. </w:t>
      </w:r>
      <w:r w:rsidRPr="00765C6F">
        <w:rPr>
          <w:rFonts w:ascii="Book Antiqua" w:eastAsia="宋体" w:hAnsi="Book Antiqua" w:cs="宋体"/>
          <w:i/>
          <w:iCs/>
          <w:kern w:val="0"/>
          <w:sz w:val="24"/>
          <w:szCs w:val="24"/>
        </w:rPr>
        <w:t>J Clin Invest</w:t>
      </w:r>
      <w:r w:rsidRPr="00765C6F">
        <w:rPr>
          <w:rFonts w:ascii="Book Antiqua" w:eastAsia="宋体" w:hAnsi="Book Antiqua" w:cs="宋体"/>
          <w:kern w:val="0"/>
          <w:sz w:val="24"/>
          <w:szCs w:val="24"/>
        </w:rPr>
        <w:t xml:space="preserve"> 1969; </w:t>
      </w:r>
      <w:r w:rsidRPr="00765C6F">
        <w:rPr>
          <w:rFonts w:ascii="Book Antiqua" w:eastAsia="宋体" w:hAnsi="Book Antiqua" w:cs="宋体"/>
          <w:b/>
          <w:bCs/>
          <w:kern w:val="0"/>
          <w:sz w:val="24"/>
          <w:szCs w:val="24"/>
        </w:rPr>
        <w:t>48</w:t>
      </w:r>
      <w:r w:rsidRPr="00765C6F">
        <w:rPr>
          <w:rFonts w:ascii="Book Antiqua" w:eastAsia="宋体" w:hAnsi="Book Antiqua" w:cs="宋体"/>
          <w:kern w:val="0"/>
          <w:sz w:val="24"/>
          <w:szCs w:val="24"/>
        </w:rPr>
        <w:t>: 344-350 [PMID: 5765785 DOI: 10.1172/jci105990]</w:t>
      </w:r>
    </w:p>
    <w:p w:rsidR="008358E2" w:rsidRPr="00765C6F" w:rsidRDefault="008358E2" w:rsidP="00765C6F">
      <w:pPr>
        <w:widowControl/>
        <w:spacing w:line="360" w:lineRule="auto"/>
        <w:rPr>
          <w:rFonts w:ascii="Book Antiqua" w:eastAsia="宋体" w:hAnsi="Book Antiqua" w:cs="宋体"/>
          <w:kern w:val="0"/>
          <w:sz w:val="24"/>
          <w:szCs w:val="24"/>
        </w:rPr>
      </w:pPr>
      <w:r w:rsidRPr="00765C6F">
        <w:rPr>
          <w:rFonts w:ascii="Book Antiqua" w:eastAsia="宋体" w:hAnsi="Book Antiqua" w:cs="宋体"/>
          <w:kern w:val="0"/>
          <w:sz w:val="24"/>
          <w:szCs w:val="24"/>
        </w:rPr>
        <w:t xml:space="preserve">8 </w:t>
      </w:r>
      <w:r w:rsidRPr="00765C6F">
        <w:rPr>
          <w:rFonts w:ascii="Book Antiqua" w:eastAsia="宋体" w:hAnsi="Book Antiqua" w:cs="宋体"/>
          <w:b/>
          <w:bCs/>
          <w:kern w:val="0"/>
          <w:sz w:val="24"/>
          <w:szCs w:val="24"/>
        </w:rPr>
        <w:t>Robert A</w:t>
      </w:r>
      <w:r w:rsidRPr="00765C6F">
        <w:rPr>
          <w:rFonts w:ascii="Book Antiqua" w:eastAsia="宋体" w:hAnsi="Book Antiqua" w:cs="宋体"/>
          <w:kern w:val="0"/>
          <w:sz w:val="24"/>
          <w:szCs w:val="24"/>
        </w:rPr>
        <w:t xml:space="preserve">, Chazouillères O. Prothrombin time in liver failure: time, ratio, activity percentage, or international normalized ratio? </w:t>
      </w:r>
      <w:r w:rsidRPr="00765C6F">
        <w:rPr>
          <w:rFonts w:ascii="Book Antiqua" w:eastAsia="宋体" w:hAnsi="Book Antiqua" w:cs="宋体"/>
          <w:i/>
          <w:iCs/>
          <w:kern w:val="0"/>
          <w:sz w:val="24"/>
          <w:szCs w:val="24"/>
        </w:rPr>
        <w:t>Hepatology</w:t>
      </w:r>
      <w:r w:rsidRPr="00765C6F">
        <w:rPr>
          <w:rFonts w:ascii="Book Antiqua" w:eastAsia="宋体" w:hAnsi="Book Antiqua" w:cs="宋体"/>
          <w:kern w:val="0"/>
          <w:sz w:val="24"/>
          <w:szCs w:val="24"/>
        </w:rPr>
        <w:t xml:space="preserve"> 1996; </w:t>
      </w:r>
      <w:r w:rsidRPr="00765C6F">
        <w:rPr>
          <w:rFonts w:ascii="Book Antiqua" w:eastAsia="宋体" w:hAnsi="Book Antiqua" w:cs="宋体"/>
          <w:b/>
          <w:bCs/>
          <w:kern w:val="0"/>
          <w:sz w:val="24"/>
          <w:szCs w:val="24"/>
        </w:rPr>
        <w:t>24</w:t>
      </w:r>
      <w:r w:rsidRPr="00765C6F">
        <w:rPr>
          <w:rFonts w:ascii="Book Antiqua" w:eastAsia="宋体" w:hAnsi="Book Antiqua" w:cs="宋体"/>
          <w:kern w:val="0"/>
          <w:sz w:val="24"/>
          <w:szCs w:val="24"/>
        </w:rPr>
        <w:t>: 1392-1394 [PMID: 8938167 DOI: 10.1053/jhep.1996.v24.pm0008938167]</w:t>
      </w:r>
    </w:p>
    <w:p w:rsidR="008358E2" w:rsidRPr="00765C6F" w:rsidRDefault="008358E2" w:rsidP="00765C6F">
      <w:pPr>
        <w:widowControl/>
        <w:spacing w:line="360" w:lineRule="auto"/>
        <w:rPr>
          <w:rFonts w:ascii="Book Antiqua" w:eastAsia="宋体" w:hAnsi="Book Antiqua" w:cs="宋体"/>
          <w:kern w:val="0"/>
          <w:sz w:val="24"/>
          <w:szCs w:val="24"/>
        </w:rPr>
      </w:pPr>
      <w:r w:rsidRPr="00765C6F">
        <w:rPr>
          <w:rFonts w:ascii="Book Antiqua" w:eastAsia="宋体" w:hAnsi="Book Antiqua" w:cs="宋体"/>
          <w:kern w:val="0"/>
          <w:sz w:val="24"/>
          <w:szCs w:val="24"/>
        </w:rPr>
        <w:t xml:space="preserve">9 </w:t>
      </w:r>
      <w:r w:rsidRPr="00765C6F">
        <w:rPr>
          <w:rFonts w:ascii="Book Antiqua" w:eastAsia="宋体" w:hAnsi="Book Antiqua" w:cs="宋体"/>
          <w:b/>
          <w:bCs/>
          <w:kern w:val="0"/>
          <w:sz w:val="24"/>
          <w:szCs w:val="24"/>
        </w:rPr>
        <w:t>Cacoub P</w:t>
      </w:r>
      <w:r w:rsidRPr="00765C6F">
        <w:rPr>
          <w:rFonts w:ascii="Book Antiqua" w:eastAsia="宋体" w:hAnsi="Book Antiqua" w:cs="宋体"/>
          <w:kern w:val="0"/>
          <w:sz w:val="24"/>
          <w:szCs w:val="24"/>
        </w:rPr>
        <w:t xml:space="preserve">, Musette P, Descamps V, Meyer O, Speirs C, Finzi L, Roujeau JC. The DRESS syndrome: a literature review. </w:t>
      </w:r>
      <w:r w:rsidRPr="00765C6F">
        <w:rPr>
          <w:rFonts w:ascii="Book Antiqua" w:eastAsia="宋体" w:hAnsi="Book Antiqua" w:cs="宋体"/>
          <w:i/>
          <w:iCs/>
          <w:kern w:val="0"/>
          <w:sz w:val="24"/>
          <w:szCs w:val="24"/>
        </w:rPr>
        <w:t>Am J Med</w:t>
      </w:r>
      <w:r w:rsidRPr="00765C6F">
        <w:rPr>
          <w:rFonts w:ascii="Book Antiqua" w:eastAsia="宋体" w:hAnsi="Book Antiqua" w:cs="宋体"/>
          <w:kern w:val="0"/>
          <w:sz w:val="24"/>
          <w:szCs w:val="24"/>
        </w:rPr>
        <w:t xml:space="preserve"> 2011; </w:t>
      </w:r>
      <w:r w:rsidRPr="00765C6F">
        <w:rPr>
          <w:rFonts w:ascii="Book Antiqua" w:eastAsia="宋体" w:hAnsi="Book Antiqua" w:cs="宋体"/>
          <w:b/>
          <w:bCs/>
          <w:kern w:val="0"/>
          <w:sz w:val="24"/>
          <w:szCs w:val="24"/>
        </w:rPr>
        <w:t>124</w:t>
      </w:r>
      <w:r w:rsidRPr="00765C6F">
        <w:rPr>
          <w:rFonts w:ascii="Book Antiqua" w:eastAsia="宋体" w:hAnsi="Book Antiqua" w:cs="宋体"/>
          <w:kern w:val="0"/>
          <w:sz w:val="24"/>
          <w:szCs w:val="24"/>
        </w:rPr>
        <w:t>: 588-597 [PMID: 21592453 DOI: 10.1016/j.amjmed.2011.01.017.]</w:t>
      </w:r>
    </w:p>
    <w:p w:rsidR="008358E2" w:rsidRPr="00765C6F" w:rsidRDefault="008358E2" w:rsidP="00765C6F">
      <w:pPr>
        <w:widowControl/>
        <w:spacing w:line="360" w:lineRule="auto"/>
        <w:rPr>
          <w:rFonts w:ascii="Book Antiqua" w:eastAsia="宋体" w:hAnsi="Book Antiqua" w:cs="宋体"/>
          <w:kern w:val="0"/>
          <w:sz w:val="24"/>
          <w:szCs w:val="24"/>
        </w:rPr>
      </w:pPr>
      <w:r w:rsidRPr="00765C6F">
        <w:rPr>
          <w:rFonts w:ascii="Book Antiqua" w:eastAsia="宋体" w:hAnsi="Book Antiqua" w:cs="宋体"/>
          <w:kern w:val="0"/>
          <w:sz w:val="24"/>
          <w:szCs w:val="24"/>
        </w:rPr>
        <w:t xml:space="preserve">10 </w:t>
      </w:r>
      <w:r w:rsidRPr="00765C6F">
        <w:rPr>
          <w:rFonts w:ascii="Book Antiqua" w:eastAsia="宋体" w:hAnsi="Book Antiqua" w:cs="宋体"/>
          <w:b/>
          <w:bCs/>
          <w:kern w:val="0"/>
          <w:sz w:val="24"/>
          <w:szCs w:val="24"/>
        </w:rPr>
        <w:t>Burnett W</w:t>
      </w:r>
      <w:r w:rsidRPr="00765C6F">
        <w:rPr>
          <w:rFonts w:ascii="Book Antiqua" w:eastAsia="宋体" w:hAnsi="Book Antiqua" w:cs="宋体"/>
          <w:kern w:val="0"/>
          <w:sz w:val="24"/>
          <w:szCs w:val="24"/>
        </w:rPr>
        <w:t xml:space="preserve">. An assessment of the value of serum cholinesterase as a liver function test and in the diagnosis of jaundice. </w:t>
      </w:r>
      <w:r w:rsidRPr="00765C6F">
        <w:rPr>
          <w:rFonts w:ascii="Book Antiqua" w:eastAsia="宋体" w:hAnsi="Book Antiqua" w:cs="宋体"/>
          <w:i/>
          <w:iCs/>
          <w:kern w:val="0"/>
          <w:sz w:val="24"/>
          <w:szCs w:val="24"/>
        </w:rPr>
        <w:t>Gut</w:t>
      </w:r>
      <w:r w:rsidRPr="00765C6F">
        <w:rPr>
          <w:rFonts w:ascii="Book Antiqua" w:eastAsia="宋体" w:hAnsi="Book Antiqua" w:cs="宋体"/>
          <w:kern w:val="0"/>
          <w:sz w:val="24"/>
          <w:szCs w:val="24"/>
        </w:rPr>
        <w:t xml:space="preserve"> 1960; </w:t>
      </w:r>
      <w:r w:rsidRPr="00765C6F">
        <w:rPr>
          <w:rFonts w:ascii="Book Antiqua" w:eastAsia="宋体" w:hAnsi="Book Antiqua" w:cs="宋体"/>
          <w:b/>
          <w:bCs/>
          <w:kern w:val="0"/>
          <w:sz w:val="24"/>
          <w:szCs w:val="24"/>
        </w:rPr>
        <w:t>1</w:t>
      </w:r>
      <w:r w:rsidRPr="00765C6F">
        <w:rPr>
          <w:rFonts w:ascii="Book Antiqua" w:eastAsia="宋体" w:hAnsi="Book Antiqua" w:cs="宋体"/>
          <w:kern w:val="0"/>
          <w:sz w:val="24"/>
          <w:szCs w:val="24"/>
        </w:rPr>
        <w:t>: 294-302 [PMID: 13689170]</w:t>
      </w:r>
    </w:p>
    <w:p w:rsidR="008358E2" w:rsidRPr="00765C6F" w:rsidRDefault="008358E2" w:rsidP="00765C6F">
      <w:pPr>
        <w:widowControl/>
        <w:spacing w:line="360" w:lineRule="auto"/>
        <w:rPr>
          <w:rFonts w:ascii="Book Antiqua" w:eastAsia="宋体" w:hAnsi="Book Antiqua" w:cs="宋体"/>
          <w:kern w:val="0"/>
          <w:sz w:val="24"/>
          <w:szCs w:val="24"/>
        </w:rPr>
      </w:pPr>
      <w:r w:rsidRPr="00765C6F">
        <w:rPr>
          <w:rFonts w:ascii="Book Antiqua" w:eastAsia="宋体" w:hAnsi="Book Antiqua" w:cs="宋体"/>
          <w:kern w:val="0"/>
          <w:sz w:val="24"/>
          <w:szCs w:val="24"/>
        </w:rPr>
        <w:t xml:space="preserve">11 </w:t>
      </w:r>
      <w:r w:rsidRPr="00765C6F">
        <w:rPr>
          <w:rFonts w:ascii="Book Antiqua" w:eastAsia="宋体" w:hAnsi="Book Antiqua" w:cs="宋体"/>
          <w:b/>
          <w:bCs/>
          <w:kern w:val="0"/>
          <w:sz w:val="24"/>
          <w:szCs w:val="24"/>
        </w:rPr>
        <w:t>Habib A</w:t>
      </w:r>
      <w:r w:rsidRPr="00765C6F">
        <w:rPr>
          <w:rFonts w:ascii="Book Antiqua" w:eastAsia="宋体" w:hAnsi="Book Antiqua" w:cs="宋体"/>
          <w:kern w:val="0"/>
          <w:sz w:val="24"/>
          <w:szCs w:val="24"/>
        </w:rPr>
        <w:t xml:space="preserve">, Mihas AA, Abou-Assi SG, Williams LM, Gavis E, Pandak WM, Heuman DM. High-density lipoprotein cholesterol as an indicator of liver function and prognosis in noncholestatic cirrhotics. </w:t>
      </w:r>
      <w:r w:rsidRPr="00765C6F">
        <w:rPr>
          <w:rFonts w:ascii="Book Antiqua" w:eastAsia="宋体" w:hAnsi="Book Antiqua" w:cs="宋体"/>
          <w:i/>
          <w:iCs/>
          <w:kern w:val="0"/>
          <w:sz w:val="24"/>
          <w:szCs w:val="24"/>
        </w:rPr>
        <w:t>Clin Gastroenterol Hepatol</w:t>
      </w:r>
      <w:r w:rsidRPr="00765C6F">
        <w:rPr>
          <w:rFonts w:ascii="Book Antiqua" w:eastAsia="宋体" w:hAnsi="Book Antiqua" w:cs="宋体"/>
          <w:kern w:val="0"/>
          <w:sz w:val="24"/>
          <w:szCs w:val="24"/>
        </w:rPr>
        <w:t xml:space="preserve"> 2005; </w:t>
      </w:r>
      <w:r w:rsidRPr="00765C6F">
        <w:rPr>
          <w:rFonts w:ascii="Book Antiqua" w:eastAsia="宋体" w:hAnsi="Book Antiqua" w:cs="宋体"/>
          <w:b/>
          <w:bCs/>
          <w:kern w:val="0"/>
          <w:sz w:val="24"/>
          <w:szCs w:val="24"/>
        </w:rPr>
        <w:t>3</w:t>
      </w:r>
      <w:r w:rsidRPr="00765C6F">
        <w:rPr>
          <w:rFonts w:ascii="Book Antiqua" w:eastAsia="宋体" w:hAnsi="Book Antiqua" w:cs="宋体"/>
          <w:kern w:val="0"/>
          <w:sz w:val="24"/>
          <w:szCs w:val="24"/>
        </w:rPr>
        <w:t>: 286-291 [PMID: 15765449]</w:t>
      </w:r>
    </w:p>
    <w:p w:rsidR="008358E2" w:rsidRPr="00765C6F" w:rsidRDefault="008358E2" w:rsidP="00765C6F">
      <w:pPr>
        <w:widowControl/>
        <w:spacing w:line="360" w:lineRule="auto"/>
        <w:rPr>
          <w:rFonts w:ascii="Book Antiqua" w:eastAsia="宋体" w:hAnsi="Book Antiqua" w:cs="宋体"/>
          <w:kern w:val="0"/>
          <w:sz w:val="24"/>
          <w:szCs w:val="24"/>
        </w:rPr>
      </w:pPr>
      <w:r w:rsidRPr="00765C6F">
        <w:rPr>
          <w:rFonts w:ascii="Book Antiqua" w:eastAsia="宋体" w:hAnsi="Book Antiqua" w:cs="宋体"/>
          <w:kern w:val="0"/>
          <w:sz w:val="24"/>
          <w:szCs w:val="24"/>
        </w:rPr>
        <w:t xml:space="preserve">12 </w:t>
      </w:r>
      <w:r w:rsidRPr="00765C6F">
        <w:rPr>
          <w:rFonts w:ascii="Book Antiqua" w:eastAsia="宋体" w:hAnsi="Book Antiqua" w:cs="宋体"/>
          <w:b/>
          <w:bCs/>
          <w:kern w:val="0"/>
          <w:sz w:val="24"/>
          <w:szCs w:val="24"/>
        </w:rPr>
        <w:t>Fontana RJ</w:t>
      </w:r>
      <w:r w:rsidRPr="00765C6F">
        <w:rPr>
          <w:rFonts w:ascii="Book Antiqua" w:eastAsia="宋体" w:hAnsi="Book Antiqua" w:cs="宋体"/>
          <w:kern w:val="0"/>
          <w:sz w:val="24"/>
          <w:szCs w:val="24"/>
        </w:rPr>
        <w:t xml:space="preserve">, Seeff LB, Andrade RJ, Björnsson E, Day CP, Serrano J, Hoofnagle JH. Standardization of nomenclature and causality assessment in drug-induced liver injury: summary of a clinical research workshop. </w:t>
      </w:r>
      <w:r w:rsidRPr="00765C6F">
        <w:rPr>
          <w:rFonts w:ascii="Book Antiqua" w:eastAsia="宋体" w:hAnsi="Book Antiqua" w:cs="宋体"/>
          <w:i/>
          <w:iCs/>
          <w:kern w:val="0"/>
          <w:sz w:val="24"/>
          <w:szCs w:val="24"/>
        </w:rPr>
        <w:t>Hepatology</w:t>
      </w:r>
      <w:r w:rsidRPr="00765C6F">
        <w:rPr>
          <w:rFonts w:ascii="Book Antiqua" w:eastAsia="宋体" w:hAnsi="Book Antiqua" w:cs="宋体"/>
          <w:kern w:val="0"/>
          <w:sz w:val="24"/>
          <w:szCs w:val="24"/>
        </w:rPr>
        <w:t xml:space="preserve"> 2010; </w:t>
      </w:r>
      <w:r w:rsidRPr="00765C6F">
        <w:rPr>
          <w:rFonts w:ascii="Book Antiqua" w:eastAsia="宋体" w:hAnsi="Book Antiqua" w:cs="宋体"/>
          <w:b/>
          <w:bCs/>
          <w:kern w:val="0"/>
          <w:sz w:val="24"/>
          <w:szCs w:val="24"/>
        </w:rPr>
        <w:t>52</w:t>
      </w:r>
      <w:r w:rsidRPr="00765C6F">
        <w:rPr>
          <w:rFonts w:ascii="Book Antiqua" w:eastAsia="宋体" w:hAnsi="Book Antiqua" w:cs="宋体"/>
          <w:kern w:val="0"/>
          <w:sz w:val="24"/>
          <w:szCs w:val="24"/>
        </w:rPr>
        <w:t>: 730-742 [PMID: 20564754 DOI: 10.1002/hep.23696]</w:t>
      </w:r>
    </w:p>
    <w:p w:rsidR="008358E2" w:rsidRPr="00765C6F" w:rsidRDefault="008358E2" w:rsidP="00765C6F">
      <w:pPr>
        <w:widowControl/>
        <w:spacing w:line="360" w:lineRule="auto"/>
        <w:rPr>
          <w:rFonts w:ascii="Book Antiqua" w:eastAsia="宋体" w:hAnsi="Book Antiqua" w:cs="宋体"/>
          <w:kern w:val="0"/>
          <w:sz w:val="24"/>
          <w:szCs w:val="24"/>
        </w:rPr>
      </w:pPr>
      <w:r w:rsidRPr="00765C6F">
        <w:rPr>
          <w:rFonts w:ascii="Book Antiqua" w:eastAsia="宋体" w:hAnsi="Book Antiqua" w:cs="宋体"/>
          <w:kern w:val="0"/>
          <w:sz w:val="24"/>
          <w:szCs w:val="24"/>
        </w:rPr>
        <w:t xml:space="preserve">13 </w:t>
      </w:r>
      <w:r w:rsidRPr="00765C6F">
        <w:rPr>
          <w:rFonts w:ascii="Book Antiqua" w:eastAsia="宋体" w:hAnsi="Book Antiqua" w:cs="宋体"/>
          <w:b/>
          <w:bCs/>
          <w:kern w:val="0"/>
          <w:sz w:val="24"/>
          <w:szCs w:val="24"/>
        </w:rPr>
        <w:t>Navarro VJ</w:t>
      </w:r>
      <w:r w:rsidRPr="00765C6F">
        <w:rPr>
          <w:rFonts w:ascii="Book Antiqua" w:eastAsia="宋体" w:hAnsi="Book Antiqua" w:cs="宋体"/>
          <w:kern w:val="0"/>
          <w:sz w:val="24"/>
          <w:szCs w:val="24"/>
        </w:rPr>
        <w:t xml:space="preserve">, Senior JR. Drug-related hepatotoxicity. </w:t>
      </w:r>
      <w:r w:rsidRPr="00765C6F">
        <w:rPr>
          <w:rFonts w:ascii="Book Antiqua" w:eastAsia="宋体" w:hAnsi="Book Antiqua" w:cs="宋体"/>
          <w:i/>
          <w:iCs/>
          <w:kern w:val="0"/>
          <w:sz w:val="24"/>
          <w:szCs w:val="24"/>
        </w:rPr>
        <w:t>N Engl J Med</w:t>
      </w:r>
      <w:r w:rsidRPr="00765C6F">
        <w:rPr>
          <w:rFonts w:ascii="Book Antiqua" w:eastAsia="宋体" w:hAnsi="Book Antiqua" w:cs="宋体"/>
          <w:kern w:val="0"/>
          <w:sz w:val="24"/>
          <w:szCs w:val="24"/>
        </w:rPr>
        <w:t xml:space="preserve"> 2006; </w:t>
      </w:r>
      <w:r w:rsidRPr="00765C6F">
        <w:rPr>
          <w:rFonts w:ascii="Book Antiqua" w:eastAsia="宋体" w:hAnsi="Book Antiqua" w:cs="宋体"/>
          <w:b/>
          <w:bCs/>
          <w:kern w:val="0"/>
          <w:sz w:val="24"/>
          <w:szCs w:val="24"/>
        </w:rPr>
        <w:t>354</w:t>
      </w:r>
      <w:r w:rsidRPr="00765C6F">
        <w:rPr>
          <w:rFonts w:ascii="Book Antiqua" w:eastAsia="宋体" w:hAnsi="Book Antiqua" w:cs="宋体"/>
          <w:kern w:val="0"/>
          <w:sz w:val="24"/>
          <w:szCs w:val="24"/>
        </w:rPr>
        <w:t>: 731-739 [PMID: 16481640 DOI: 10.1056/NEJMra052270]</w:t>
      </w:r>
    </w:p>
    <w:p w:rsidR="008358E2" w:rsidRPr="00765C6F" w:rsidRDefault="008358E2" w:rsidP="00765C6F">
      <w:pPr>
        <w:widowControl/>
        <w:spacing w:line="360" w:lineRule="auto"/>
        <w:rPr>
          <w:rFonts w:ascii="Book Antiqua" w:eastAsia="宋体" w:hAnsi="Book Antiqua" w:cs="宋体"/>
          <w:kern w:val="0"/>
          <w:sz w:val="24"/>
          <w:szCs w:val="24"/>
        </w:rPr>
      </w:pPr>
      <w:r w:rsidRPr="00765C6F">
        <w:rPr>
          <w:rFonts w:ascii="Book Antiqua" w:eastAsia="宋体" w:hAnsi="Book Antiqua" w:cs="宋体"/>
          <w:kern w:val="0"/>
          <w:sz w:val="24"/>
          <w:szCs w:val="24"/>
        </w:rPr>
        <w:t xml:space="preserve">14 </w:t>
      </w:r>
      <w:r w:rsidRPr="00765C6F">
        <w:rPr>
          <w:rFonts w:ascii="Book Antiqua" w:eastAsia="宋体" w:hAnsi="Book Antiqua" w:cs="宋体"/>
          <w:b/>
          <w:bCs/>
          <w:kern w:val="0"/>
          <w:sz w:val="24"/>
          <w:szCs w:val="24"/>
        </w:rPr>
        <w:t>Gordon SC</w:t>
      </w:r>
      <w:r w:rsidRPr="00765C6F">
        <w:rPr>
          <w:rFonts w:ascii="Book Antiqua" w:eastAsia="宋体" w:hAnsi="Book Antiqua" w:cs="宋体"/>
          <w:kern w:val="0"/>
          <w:sz w:val="24"/>
          <w:szCs w:val="24"/>
        </w:rPr>
        <w:t xml:space="preserve">, Muir AJ, Lim JK, Pearlman B, Argo CK, Ramani A, Maliakkal B, Alam I, Stewart TG, Vainorius M, Peter J, Nelson DR, Fried MW, Reddy KR. Safety profile of boceprevir and telaprevir in chronic hepatitis C: real world experience from HCV-TARGET. </w:t>
      </w:r>
      <w:r w:rsidRPr="00765C6F">
        <w:rPr>
          <w:rFonts w:ascii="Book Antiqua" w:eastAsia="宋体" w:hAnsi="Book Antiqua" w:cs="宋体"/>
          <w:i/>
          <w:iCs/>
          <w:kern w:val="0"/>
          <w:sz w:val="24"/>
          <w:szCs w:val="24"/>
        </w:rPr>
        <w:t>J Hepatol</w:t>
      </w:r>
      <w:r w:rsidRPr="00765C6F">
        <w:rPr>
          <w:rFonts w:ascii="Book Antiqua" w:eastAsia="宋体" w:hAnsi="Book Antiqua" w:cs="宋体"/>
          <w:kern w:val="0"/>
          <w:sz w:val="24"/>
          <w:szCs w:val="24"/>
        </w:rPr>
        <w:t xml:space="preserve"> 2015; </w:t>
      </w:r>
      <w:r w:rsidRPr="00765C6F">
        <w:rPr>
          <w:rFonts w:ascii="Book Antiqua" w:eastAsia="宋体" w:hAnsi="Book Antiqua" w:cs="宋体"/>
          <w:b/>
          <w:bCs/>
          <w:kern w:val="0"/>
          <w:sz w:val="24"/>
          <w:szCs w:val="24"/>
        </w:rPr>
        <w:t>62</w:t>
      </w:r>
      <w:r w:rsidRPr="00765C6F">
        <w:rPr>
          <w:rFonts w:ascii="Book Antiqua" w:eastAsia="宋体" w:hAnsi="Book Antiqua" w:cs="宋体"/>
          <w:kern w:val="0"/>
          <w:sz w:val="24"/>
          <w:szCs w:val="24"/>
        </w:rPr>
        <w:t>: 286-293 [PMID: 25218788 DOI: 10.1016/j.jhep.2014.08.052]</w:t>
      </w:r>
    </w:p>
    <w:p w:rsidR="008358E2" w:rsidRPr="00765C6F" w:rsidRDefault="008358E2" w:rsidP="00765C6F">
      <w:pPr>
        <w:widowControl/>
        <w:spacing w:line="360" w:lineRule="auto"/>
        <w:rPr>
          <w:rFonts w:ascii="Book Antiqua" w:eastAsia="宋体" w:hAnsi="Book Antiqua" w:cs="宋体"/>
          <w:kern w:val="0"/>
          <w:sz w:val="24"/>
          <w:szCs w:val="24"/>
        </w:rPr>
      </w:pPr>
      <w:r w:rsidRPr="00765C6F">
        <w:rPr>
          <w:rFonts w:ascii="Book Antiqua" w:eastAsia="宋体" w:hAnsi="Book Antiqua" w:cs="宋体"/>
          <w:kern w:val="0"/>
          <w:sz w:val="24"/>
          <w:szCs w:val="24"/>
        </w:rPr>
        <w:t xml:space="preserve">15 </w:t>
      </w:r>
      <w:r w:rsidRPr="00765C6F">
        <w:rPr>
          <w:rFonts w:ascii="Book Antiqua" w:eastAsia="宋体" w:hAnsi="Book Antiqua" w:cs="宋体"/>
          <w:b/>
          <w:bCs/>
          <w:kern w:val="0"/>
          <w:sz w:val="24"/>
          <w:szCs w:val="24"/>
        </w:rPr>
        <w:t>Stine JG</w:t>
      </w:r>
      <w:r w:rsidRPr="00765C6F">
        <w:rPr>
          <w:rFonts w:ascii="Book Antiqua" w:eastAsia="宋体" w:hAnsi="Book Antiqua" w:cs="宋体"/>
          <w:kern w:val="0"/>
          <w:sz w:val="24"/>
          <w:szCs w:val="24"/>
        </w:rPr>
        <w:t xml:space="preserve">, Intagliata N, Shah NL, Argo CK, Caldwell SH, Lewis JH, Northup PG. Hepatic decompensation likely attributable to simeprevir in patients with advanced cirrhosis. </w:t>
      </w:r>
      <w:r w:rsidRPr="00765C6F">
        <w:rPr>
          <w:rFonts w:ascii="Book Antiqua" w:eastAsia="宋体" w:hAnsi="Book Antiqua" w:cs="宋体"/>
          <w:i/>
          <w:iCs/>
          <w:kern w:val="0"/>
          <w:sz w:val="24"/>
          <w:szCs w:val="24"/>
        </w:rPr>
        <w:t>Dig Dis Sci</w:t>
      </w:r>
      <w:r w:rsidRPr="00765C6F">
        <w:rPr>
          <w:rFonts w:ascii="Book Antiqua" w:eastAsia="宋体" w:hAnsi="Book Antiqua" w:cs="宋体"/>
          <w:kern w:val="0"/>
          <w:sz w:val="24"/>
          <w:szCs w:val="24"/>
        </w:rPr>
        <w:t xml:space="preserve"> 2015; </w:t>
      </w:r>
      <w:r w:rsidRPr="00765C6F">
        <w:rPr>
          <w:rFonts w:ascii="Book Antiqua" w:eastAsia="宋体" w:hAnsi="Book Antiqua" w:cs="宋体"/>
          <w:b/>
          <w:bCs/>
          <w:kern w:val="0"/>
          <w:sz w:val="24"/>
          <w:szCs w:val="24"/>
        </w:rPr>
        <w:t>60</w:t>
      </w:r>
      <w:r w:rsidRPr="00765C6F">
        <w:rPr>
          <w:rFonts w:ascii="Book Antiqua" w:eastAsia="宋体" w:hAnsi="Book Antiqua" w:cs="宋体"/>
          <w:kern w:val="0"/>
          <w:sz w:val="24"/>
          <w:szCs w:val="24"/>
        </w:rPr>
        <w:t>: 1031-1035 [PMID: 25373453 DOI: 10.1007/s10620-014-3422-x]</w:t>
      </w:r>
    </w:p>
    <w:p w:rsidR="008358E2" w:rsidRPr="00765C6F" w:rsidRDefault="008358E2" w:rsidP="00765C6F">
      <w:pPr>
        <w:widowControl/>
        <w:spacing w:line="360" w:lineRule="auto"/>
        <w:rPr>
          <w:rFonts w:ascii="Book Antiqua" w:eastAsia="宋体" w:hAnsi="Book Antiqua" w:cs="宋体"/>
          <w:kern w:val="0"/>
          <w:sz w:val="24"/>
          <w:szCs w:val="24"/>
        </w:rPr>
      </w:pPr>
      <w:r w:rsidRPr="00765C6F">
        <w:rPr>
          <w:rFonts w:ascii="Book Antiqua" w:eastAsia="宋体" w:hAnsi="Book Antiqua" w:cs="宋体"/>
          <w:kern w:val="0"/>
          <w:sz w:val="24"/>
          <w:szCs w:val="24"/>
        </w:rPr>
        <w:t xml:space="preserve">16 </w:t>
      </w:r>
      <w:r w:rsidRPr="00765C6F">
        <w:rPr>
          <w:rFonts w:ascii="Book Antiqua" w:eastAsia="宋体" w:hAnsi="Book Antiqua" w:cs="宋体"/>
          <w:b/>
          <w:bCs/>
          <w:kern w:val="0"/>
          <w:sz w:val="24"/>
          <w:szCs w:val="24"/>
        </w:rPr>
        <w:t>Idsoe O</w:t>
      </w:r>
      <w:r w:rsidRPr="00765C6F">
        <w:rPr>
          <w:rFonts w:ascii="Book Antiqua" w:eastAsia="宋体" w:hAnsi="Book Antiqua" w:cs="宋体"/>
          <w:kern w:val="0"/>
          <w:sz w:val="24"/>
          <w:szCs w:val="24"/>
        </w:rPr>
        <w:t xml:space="preserve">, Guthe T, Willcox RR, de Weck AL. Nature and extent of penicillin side-reactions, with particular reference to fatalities from anaphylactic shock. </w:t>
      </w:r>
      <w:r w:rsidRPr="00765C6F">
        <w:rPr>
          <w:rFonts w:ascii="Book Antiqua" w:eastAsia="宋体" w:hAnsi="Book Antiqua" w:cs="宋体"/>
          <w:i/>
          <w:iCs/>
          <w:kern w:val="0"/>
          <w:sz w:val="24"/>
          <w:szCs w:val="24"/>
        </w:rPr>
        <w:t>Bull World Health Organ</w:t>
      </w:r>
      <w:r w:rsidRPr="00765C6F">
        <w:rPr>
          <w:rFonts w:ascii="Book Antiqua" w:eastAsia="宋体" w:hAnsi="Book Antiqua" w:cs="宋体"/>
          <w:kern w:val="0"/>
          <w:sz w:val="24"/>
          <w:szCs w:val="24"/>
        </w:rPr>
        <w:t xml:space="preserve"> 1968; </w:t>
      </w:r>
      <w:r w:rsidRPr="00765C6F">
        <w:rPr>
          <w:rFonts w:ascii="Book Antiqua" w:eastAsia="宋体" w:hAnsi="Book Antiqua" w:cs="宋体"/>
          <w:b/>
          <w:bCs/>
          <w:kern w:val="0"/>
          <w:sz w:val="24"/>
          <w:szCs w:val="24"/>
        </w:rPr>
        <w:t>38</w:t>
      </w:r>
      <w:r w:rsidRPr="00765C6F">
        <w:rPr>
          <w:rFonts w:ascii="Book Antiqua" w:eastAsia="宋体" w:hAnsi="Book Antiqua" w:cs="宋体"/>
          <w:kern w:val="0"/>
          <w:sz w:val="24"/>
          <w:szCs w:val="24"/>
        </w:rPr>
        <w:t>: 159-188 [PMID: 5302296]</w:t>
      </w:r>
    </w:p>
    <w:p w:rsidR="008358E2" w:rsidRPr="00765C6F" w:rsidRDefault="008358E2" w:rsidP="00765C6F">
      <w:pPr>
        <w:widowControl/>
        <w:spacing w:line="360" w:lineRule="auto"/>
        <w:rPr>
          <w:rFonts w:ascii="Book Antiqua" w:eastAsia="宋体" w:hAnsi="Book Antiqua" w:cs="宋体"/>
          <w:kern w:val="0"/>
          <w:sz w:val="24"/>
          <w:szCs w:val="24"/>
        </w:rPr>
      </w:pPr>
      <w:r w:rsidRPr="00765C6F">
        <w:rPr>
          <w:rFonts w:ascii="Book Antiqua" w:eastAsia="宋体" w:hAnsi="Book Antiqua" w:cs="宋体"/>
          <w:kern w:val="0"/>
          <w:sz w:val="24"/>
          <w:szCs w:val="24"/>
        </w:rPr>
        <w:t xml:space="preserve">17 </w:t>
      </w:r>
      <w:r w:rsidRPr="00765C6F">
        <w:rPr>
          <w:rFonts w:ascii="Book Antiqua" w:eastAsia="宋体" w:hAnsi="Book Antiqua" w:cs="宋体"/>
          <w:b/>
          <w:bCs/>
          <w:kern w:val="0"/>
          <w:sz w:val="24"/>
          <w:szCs w:val="24"/>
        </w:rPr>
        <w:t>Fujii Y</w:t>
      </w:r>
      <w:r w:rsidRPr="00765C6F">
        <w:rPr>
          <w:rFonts w:ascii="Book Antiqua" w:eastAsia="宋体" w:hAnsi="Book Antiqua" w:cs="宋体"/>
          <w:kern w:val="0"/>
          <w:sz w:val="24"/>
          <w:szCs w:val="24"/>
        </w:rPr>
        <w:t xml:space="preserve">, Uchida Y, Mochida S. Drug-induced immunoallergic hepatitis during combination therapy with daclatasvir and asunaprevir. </w:t>
      </w:r>
      <w:r w:rsidRPr="00765C6F">
        <w:rPr>
          <w:rFonts w:ascii="Book Antiqua" w:eastAsia="宋体" w:hAnsi="Book Antiqua" w:cs="宋体"/>
          <w:i/>
          <w:iCs/>
          <w:kern w:val="0"/>
          <w:sz w:val="24"/>
          <w:szCs w:val="24"/>
        </w:rPr>
        <w:t>Hepatology</w:t>
      </w:r>
      <w:r w:rsidRPr="00765C6F">
        <w:rPr>
          <w:rFonts w:ascii="Book Antiqua" w:eastAsia="宋体" w:hAnsi="Book Antiqua" w:cs="宋体"/>
          <w:kern w:val="0"/>
          <w:sz w:val="24"/>
          <w:szCs w:val="24"/>
        </w:rPr>
        <w:t xml:space="preserve"> 2015; </w:t>
      </w:r>
      <w:r w:rsidRPr="00765C6F">
        <w:rPr>
          <w:rFonts w:ascii="Book Antiqua" w:eastAsia="宋体" w:hAnsi="Book Antiqua" w:cs="宋体"/>
          <w:b/>
          <w:bCs/>
          <w:kern w:val="0"/>
          <w:sz w:val="24"/>
          <w:szCs w:val="24"/>
        </w:rPr>
        <w:t>61</w:t>
      </w:r>
      <w:r w:rsidRPr="00765C6F">
        <w:rPr>
          <w:rFonts w:ascii="Book Antiqua" w:eastAsia="宋体" w:hAnsi="Book Antiqua" w:cs="宋体"/>
          <w:kern w:val="0"/>
          <w:sz w:val="24"/>
          <w:szCs w:val="24"/>
        </w:rPr>
        <w:t>: 400-401 [PMID: 25308083 DOI: 10.1002/hep.27559]</w:t>
      </w:r>
    </w:p>
    <w:p w:rsidR="008358E2" w:rsidRPr="00765C6F" w:rsidRDefault="008358E2" w:rsidP="00765C6F">
      <w:pPr>
        <w:widowControl/>
        <w:spacing w:line="360" w:lineRule="auto"/>
        <w:rPr>
          <w:rFonts w:ascii="Book Antiqua" w:eastAsia="宋体" w:hAnsi="Book Antiqua" w:cs="宋体"/>
          <w:kern w:val="0"/>
          <w:sz w:val="24"/>
          <w:szCs w:val="24"/>
        </w:rPr>
      </w:pPr>
      <w:r w:rsidRPr="00765C6F">
        <w:rPr>
          <w:rFonts w:ascii="Book Antiqua" w:eastAsia="宋体" w:hAnsi="Book Antiqua" w:cs="宋体"/>
          <w:kern w:val="0"/>
          <w:sz w:val="24"/>
          <w:szCs w:val="24"/>
        </w:rPr>
        <w:t xml:space="preserve">18 </w:t>
      </w:r>
      <w:r w:rsidRPr="00765C6F">
        <w:rPr>
          <w:rFonts w:ascii="Book Antiqua" w:eastAsia="宋体" w:hAnsi="Book Antiqua" w:cs="宋体"/>
          <w:b/>
          <w:bCs/>
          <w:kern w:val="0"/>
          <w:sz w:val="24"/>
          <w:szCs w:val="24"/>
        </w:rPr>
        <w:t>Seishima M</w:t>
      </w:r>
      <w:r w:rsidRPr="00765C6F">
        <w:rPr>
          <w:rFonts w:ascii="Book Antiqua" w:eastAsia="宋体" w:hAnsi="Book Antiqua" w:cs="宋体"/>
          <w:kern w:val="0"/>
          <w:sz w:val="24"/>
          <w:szCs w:val="24"/>
        </w:rPr>
        <w:t xml:space="preserve">, Yamanaka S, Fujisawa T, Tohyama M, Hashimoto K. Reactivation of human herpesvirus (HHV) family members other than HHV-6 in drug-induced hypersensitivity syndrome. </w:t>
      </w:r>
      <w:r w:rsidRPr="00765C6F">
        <w:rPr>
          <w:rFonts w:ascii="Book Antiqua" w:eastAsia="宋体" w:hAnsi="Book Antiqua" w:cs="宋体"/>
          <w:i/>
          <w:iCs/>
          <w:kern w:val="0"/>
          <w:sz w:val="24"/>
          <w:szCs w:val="24"/>
        </w:rPr>
        <w:t>Br J Dermatol</w:t>
      </w:r>
      <w:r w:rsidRPr="00765C6F">
        <w:rPr>
          <w:rFonts w:ascii="Book Antiqua" w:eastAsia="宋体" w:hAnsi="Book Antiqua" w:cs="宋体"/>
          <w:kern w:val="0"/>
          <w:sz w:val="24"/>
          <w:szCs w:val="24"/>
        </w:rPr>
        <w:t xml:space="preserve"> 2006; </w:t>
      </w:r>
      <w:r w:rsidRPr="00765C6F">
        <w:rPr>
          <w:rFonts w:ascii="Book Antiqua" w:eastAsia="宋体" w:hAnsi="Book Antiqua" w:cs="宋体"/>
          <w:b/>
          <w:bCs/>
          <w:kern w:val="0"/>
          <w:sz w:val="24"/>
          <w:szCs w:val="24"/>
        </w:rPr>
        <w:t>155</w:t>
      </w:r>
      <w:r w:rsidRPr="00765C6F">
        <w:rPr>
          <w:rFonts w:ascii="Book Antiqua" w:eastAsia="宋体" w:hAnsi="Book Antiqua" w:cs="宋体"/>
          <w:kern w:val="0"/>
          <w:sz w:val="24"/>
          <w:szCs w:val="24"/>
        </w:rPr>
        <w:t>: 344-349 [PMID: 16882173 DOI: 10.1111/j.1365-2133.2006.07332.x]</w:t>
      </w:r>
    </w:p>
    <w:p w:rsidR="008358E2" w:rsidRPr="00765C6F" w:rsidRDefault="008358E2" w:rsidP="00765C6F">
      <w:pPr>
        <w:widowControl/>
        <w:spacing w:line="360" w:lineRule="auto"/>
        <w:rPr>
          <w:rFonts w:ascii="Book Antiqua" w:eastAsia="宋体" w:hAnsi="Book Antiqua" w:cs="宋体"/>
          <w:kern w:val="0"/>
          <w:sz w:val="24"/>
          <w:szCs w:val="24"/>
        </w:rPr>
      </w:pPr>
      <w:r w:rsidRPr="00765C6F">
        <w:rPr>
          <w:rFonts w:ascii="Book Antiqua" w:eastAsia="宋体" w:hAnsi="Book Antiqua" w:cs="宋体"/>
          <w:kern w:val="0"/>
          <w:sz w:val="24"/>
          <w:szCs w:val="24"/>
        </w:rPr>
        <w:t xml:space="preserve">19 </w:t>
      </w:r>
      <w:r w:rsidRPr="00765C6F">
        <w:rPr>
          <w:rFonts w:ascii="Book Antiqua" w:eastAsia="宋体" w:hAnsi="Book Antiqua" w:cs="宋体"/>
          <w:b/>
          <w:bCs/>
          <w:kern w:val="0"/>
          <w:sz w:val="24"/>
          <w:szCs w:val="24"/>
        </w:rPr>
        <w:t>Shiohara T</w:t>
      </w:r>
      <w:r w:rsidRPr="00765C6F">
        <w:rPr>
          <w:rFonts w:ascii="Book Antiqua" w:eastAsia="宋体" w:hAnsi="Book Antiqua" w:cs="宋体"/>
          <w:kern w:val="0"/>
          <w:sz w:val="24"/>
          <w:szCs w:val="24"/>
        </w:rPr>
        <w:t xml:space="preserve">, Iijima M, Ikezawa Z, Hashimoto K. The diagnosis of a DRESS syndrome has been sufficiently established on the basis of typical clinical features and viral reactivations. </w:t>
      </w:r>
      <w:r w:rsidRPr="00765C6F">
        <w:rPr>
          <w:rFonts w:ascii="Book Antiqua" w:eastAsia="宋体" w:hAnsi="Book Antiqua" w:cs="宋体"/>
          <w:i/>
          <w:iCs/>
          <w:kern w:val="0"/>
          <w:sz w:val="24"/>
          <w:szCs w:val="24"/>
        </w:rPr>
        <w:t>Br J Dermatol</w:t>
      </w:r>
      <w:r w:rsidRPr="00765C6F">
        <w:rPr>
          <w:rFonts w:ascii="Book Antiqua" w:eastAsia="宋体" w:hAnsi="Book Antiqua" w:cs="宋体"/>
          <w:kern w:val="0"/>
          <w:sz w:val="24"/>
          <w:szCs w:val="24"/>
        </w:rPr>
        <w:t xml:space="preserve"> 2007; </w:t>
      </w:r>
      <w:r w:rsidRPr="00765C6F">
        <w:rPr>
          <w:rFonts w:ascii="Book Antiqua" w:eastAsia="宋体" w:hAnsi="Book Antiqua" w:cs="宋体"/>
          <w:b/>
          <w:bCs/>
          <w:kern w:val="0"/>
          <w:sz w:val="24"/>
          <w:szCs w:val="24"/>
        </w:rPr>
        <w:t>156</w:t>
      </w:r>
      <w:r w:rsidRPr="00765C6F">
        <w:rPr>
          <w:rFonts w:ascii="Book Antiqua" w:eastAsia="宋体" w:hAnsi="Book Antiqua" w:cs="宋体"/>
          <w:kern w:val="0"/>
          <w:sz w:val="24"/>
          <w:szCs w:val="24"/>
        </w:rPr>
        <w:t>: 1083-1084 [PMID: 17381452]</w:t>
      </w:r>
    </w:p>
    <w:p w:rsidR="008358E2" w:rsidRPr="00765C6F" w:rsidRDefault="008358E2" w:rsidP="00765C6F">
      <w:pPr>
        <w:widowControl/>
        <w:spacing w:line="360" w:lineRule="auto"/>
        <w:rPr>
          <w:rFonts w:ascii="Book Antiqua" w:eastAsia="宋体" w:hAnsi="Book Antiqua" w:cs="宋体"/>
          <w:kern w:val="0"/>
          <w:sz w:val="24"/>
          <w:szCs w:val="24"/>
        </w:rPr>
      </w:pPr>
      <w:r w:rsidRPr="00765C6F">
        <w:rPr>
          <w:rFonts w:ascii="Book Antiqua" w:eastAsia="宋体" w:hAnsi="Book Antiqua" w:cs="宋体"/>
          <w:kern w:val="0"/>
          <w:sz w:val="24"/>
          <w:szCs w:val="24"/>
        </w:rPr>
        <w:t xml:space="preserve">20 </w:t>
      </w:r>
      <w:r w:rsidRPr="00765C6F">
        <w:rPr>
          <w:rFonts w:ascii="Book Antiqua" w:eastAsia="宋体" w:hAnsi="Book Antiqua" w:cs="宋体"/>
          <w:b/>
          <w:bCs/>
          <w:kern w:val="0"/>
          <w:sz w:val="24"/>
          <w:szCs w:val="24"/>
        </w:rPr>
        <w:t>Kiser JJ</w:t>
      </w:r>
      <w:r w:rsidRPr="00765C6F">
        <w:rPr>
          <w:rFonts w:ascii="Book Antiqua" w:eastAsia="宋体" w:hAnsi="Book Antiqua" w:cs="宋体"/>
          <w:kern w:val="0"/>
          <w:sz w:val="24"/>
          <w:szCs w:val="24"/>
        </w:rPr>
        <w:t xml:space="preserve">, Burton JR, Everson GT. Drug-drug interactions during antiviral therapy for chronic hepatitis C. </w:t>
      </w:r>
      <w:r w:rsidRPr="00765C6F">
        <w:rPr>
          <w:rFonts w:ascii="Book Antiqua" w:eastAsia="宋体" w:hAnsi="Book Antiqua" w:cs="宋体"/>
          <w:i/>
          <w:iCs/>
          <w:kern w:val="0"/>
          <w:sz w:val="24"/>
          <w:szCs w:val="24"/>
        </w:rPr>
        <w:t>Nat Rev Gastroenterol Hepatol</w:t>
      </w:r>
      <w:r w:rsidRPr="00765C6F">
        <w:rPr>
          <w:rFonts w:ascii="Book Antiqua" w:eastAsia="宋体" w:hAnsi="Book Antiqua" w:cs="宋体"/>
          <w:kern w:val="0"/>
          <w:sz w:val="24"/>
          <w:szCs w:val="24"/>
        </w:rPr>
        <w:t xml:space="preserve"> 2013; </w:t>
      </w:r>
      <w:r w:rsidRPr="00765C6F">
        <w:rPr>
          <w:rFonts w:ascii="Book Antiqua" w:eastAsia="宋体" w:hAnsi="Book Antiqua" w:cs="宋体"/>
          <w:b/>
          <w:bCs/>
          <w:kern w:val="0"/>
          <w:sz w:val="24"/>
          <w:szCs w:val="24"/>
        </w:rPr>
        <w:t>10</w:t>
      </w:r>
      <w:r w:rsidRPr="00765C6F">
        <w:rPr>
          <w:rFonts w:ascii="Book Antiqua" w:eastAsia="宋体" w:hAnsi="Book Antiqua" w:cs="宋体"/>
          <w:kern w:val="0"/>
          <w:sz w:val="24"/>
          <w:szCs w:val="24"/>
        </w:rPr>
        <w:t>: 596-606 [PMID: 23817323 DOI: 10.1038/nrgastro.2013.106]</w:t>
      </w:r>
    </w:p>
    <w:p w:rsidR="008358E2" w:rsidRPr="00765C6F" w:rsidRDefault="008358E2" w:rsidP="00765C6F">
      <w:pPr>
        <w:widowControl/>
        <w:spacing w:line="360" w:lineRule="auto"/>
        <w:rPr>
          <w:rFonts w:ascii="Book Antiqua" w:eastAsia="宋体" w:hAnsi="Book Antiqua" w:cs="宋体"/>
          <w:kern w:val="0"/>
          <w:sz w:val="24"/>
          <w:szCs w:val="24"/>
        </w:rPr>
      </w:pPr>
      <w:r w:rsidRPr="00765C6F">
        <w:rPr>
          <w:rFonts w:ascii="Book Antiqua" w:eastAsia="宋体" w:hAnsi="Book Antiqua" w:cs="宋体"/>
          <w:kern w:val="0"/>
          <w:sz w:val="24"/>
          <w:szCs w:val="24"/>
        </w:rPr>
        <w:t xml:space="preserve">21 </w:t>
      </w:r>
      <w:r w:rsidRPr="00765C6F">
        <w:rPr>
          <w:rFonts w:ascii="Book Antiqua" w:eastAsia="宋体" w:hAnsi="Book Antiqua" w:cs="宋体"/>
          <w:b/>
          <w:bCs/>
          <w:kern w:val="0"/>
          <w:sz w:val="24"/>
          <w:szCs w:val="24"/>
        </w:rPr>
        <w:t>Chalasani N</w:t>
      </w:r>
      <w:r w:rsidRPr="00765C6F">
        <w:rPr>
          <w:rFonts w:ascii="Book Antiqua" w:eastAsia="宋体" w:hAnsi="Book Antiqua" w:cs="宋体"/>
          <w:kern w:val="0"/>
          <w:sz w:val="24"/>
          <w:szCs w:val="24"/>
        </w:rPr>
        <w:t xml:space="preserve">, Gorski JC, Patel NH, Hall SD, Galinsky RE. Hepatic and intestinal cytochrome P450 3A activity in cirrhosis: effects of transjugular intrahepatic portosystemic shunts. </w:t>
      </w:r>
      <w:r w:rsidRPr="00765C6F">
        <w:rPr>
          <w:rFonts w:ascii="Book Antiqua" w:eastAsia="宋体" w:hAnsi="Book Antiqua" w:cs="宋体"/>
          <w:i/>
          <w:iCs/>
          <w:kern w:val="0"/>
          <w:sz w:val="24"/>
          <w:szCs w:val="24"/>
        </w:rPr>
        <w:t>Hepatology</w:t>
      </w:r>
      <w:r w:rsidRPr="00765C6F">
        <w:rPr>
          <w:rFonts w:ascii="Book Antiqua" w:eastAsia="宋体" w:hAnsi="Book Antiqua" w:cs="宋体"/>
          <w:kern w:val="0"/>
          <w:sz w:val="24"/>
          <w:szCs w:val="24"/>
        </w:rPr>
        <w:t xml:space="preserve"> 2001; </w:t>
      </w:r>
      <w:r w:rsidRPr="00765C6F">
        <w:rPr>
          <w:rFonts w:ascii="Book Antiqua" w:eastAsia="宋体" w:hAnsi="Book Antiqua" w:cs="宋体"/>
          <w:b/>
          <w:bCs/>
          <w:kern w:val="0"/>
          <w:sz w:val="24"/>
          <w:szCs w:val="24"/>
        </w:rPr>
        <w:t>34</w:t>
      </w:r>
      <w:r w:rsidRPr="00765C6F">
        <w:rPr>
          <w:rFonts w:ascii="Book Antiqua" w:eastAsia="宋体" w:hAnsi="Book Antiqua" w:cs="宋体"/>
          <w:kern w:val="0"/>
          <w:sz w:val="24"/>
          <w:szCs w:val="24"/>
        </w:rPr>
        <w:t>: 1103-1108 [PMID: 11731998 DOI: 10.1053/jhep.2001.29306]</w:t>
      </w:r>
    </w:p>
    <w:p w:rsidR="008358E2" w:rsidRPr="00765C6F" w:rsidRDefault="008358E2" w:rsidP="00765C6F">
      <w:pPr>
        <w:widowControl/>
        <w:spacing w:line="360" w:lineRule="auto"/>
        <w:rPr>
          <w:rFonts w:ascii="Book Antiqua" w:eastAsia="宋体" w:hAnsi="Book Antiqua" w:cs="宋体"/>
          <w:kern w:val="0"/>
          <w:sz w:val="24"/>
          <w:szCs w:val="24"/>
        </w:rPr>
      </w:pPr>
      <w:r w:rsidRPr="00765C6F">
        <w:rPr>
          <w:rFonts w:ascii="Book Antiqua" w:eastAsia="宋体" w:hAnsi="Book Antiqua" w:cs="宋体"/>
          <w:kern w:val="0"/>
          <w:sz w:val="24"/>
          <w:szCs w:val="24"/>
        </w:rPr>
        <w:t xml:space="preserve">22 </w:t>
      </w:r>
      <w:r w:rsidRPr="00765C6F">
        <w:rPr>
          <w:rFonts w:ascii="Book Antiqua" w:eastAsia="宋体" w:hAnsi="Book Antiqua" w:cs="宋体"/>
          <w:b/>
          <w:bCs/>
          <w:kern w:val="0"/>
          <w:sz w:val="24"/>
          <w:szCs w:val="24"/>
        </w:rPr>
        <w:t>Kojima H</w:t>
      </w:r>
      <w:r w:rsidRPr="00765C6F">
        <w:rPr>
          <w:rFonts w:ascii="Book Antiqua" w:eastAsia="宋体" w:hAnsi="Book Antiqua" w:cs="宋体"/>
          <w:kern w:val="0"/>
          <w:sz w:val="24"/>
          <w:szCs w:val="24"/>
        </w:rPr>
        <w:t xml:space="preserve">, Nies AT, König J, Hagmann W, Spring H, Uemura M, Fukui H, Keppler D. Changes in the expression and localization of hepatocellular transporters and radixin in primary biliary cirrhosis. </w:t>
      </w:r>
      <w:r w:rsidRPr="00765C6F">
        <w:rPr>
          <w:rFonts w:ascii="Book Antiqua" w:eastAsia="宋体" w:hAnsi="Book Antiqua" w:cs="宋体"/>
          <w:i/>
          <w:iCs/>
          <w:kern w:val="0"/>
          <w:sz w:val="24"/>
          <w:szCs w:val="24"/>
        </w:rPr>
        <w:t>J Hepatol</w:t>
      </w:r>
      <w:r w:rsidRPr="00765C6F">
        <w:rPr>
          <w:rFonts w:ascii="Book Antiqua" w:eastAsia="宋体" w:hAnsi="Book Antiqua" w:cs="宋体"/>
          <w:kern w:val="0"/>
          <w:sz w:val="24"/>
          <w:szCs w:val="24"/>
        </w:rPr>
        <w:t xml:space="preserve"> 2003; </w:t>
      </w:r>
      <w:r w:rsidRPr="00765C6F">
        <w:rPr>
          <w:rFonts w:ascii="Book Antiqua" w:eastAsia="宋体" w:hAnsi="Book Antiqua" w:cs="宋体"/>
          <w:b/>
          <w:bCs/>
          <w:kern w:val="0"/>
          <w:sz w:val="24"/>
          <w:szCs w:val="24"/>
        </w:rPr>
        <w:t>39</w:t>
      </w:r>
      <w:r w:rsidRPr="00765C6F">
        <w:rPr>
          <w:rFonts w:ascii="Book Antiqua" w:eastAsia="宋体" w:hAnsi="Book Antiqua" w:cs="宋体"/>
          <w:kern w:val="0"/>
          <w:sz w:val="24"/>
          <w:szCs w:val="24"/>
        </w:rPr>
        <w:t>: 693-702 [PMID: 14568249]</w:t>
      </w:r>
    </w:p>
    <w:p w:rsidR="008358E2" w:rsidRPr="00765C6F" w:rsidRDefault="008358E2" w:rsidP="00765C6F">
      <w:pPr>
        <w:widowControl/>
        <w:spacing w:line="360" w:lineRule="auto"/>
        <w:rPr>
          <w:rFonts w:ascii="Book Antiqua" w:eastAsia="宋体" w:hAnsi="Book Antiqua" w:cs="宋体"/>
          <w:kern w:val="0"/>
          <w:sz w:val="24"/>
          <w:szCs w:val="24"/>
        </w:rPr>
      </w:pPr>
      <w:r w:rsidRPr="00765C6F">
        <w:rPr>
          <w:rFonts w:ascii="Book Antiqua" w:eastAsia="宋体" w:hAnsi="Book Antiqua" w:cs="宋体"/>
          <w:kern w:val="0"/>
          <w:sz w:val="24"/>
          <w:szCs w:val="24"/>
        </w:rPr>
        <w:t xml:space="preserve">23 </w:t>
      </w:r>
      <w:r w:rsidRPr="00765C6F">
        <w:rPr>
          <w:rFonts w:ascii="Book Antiqua" w:eastAsia="宋体" w:hAnsi="Book Antiqua" w:cs="宋体"/>
          <w:b/>
          <w:bCs/>
          <w:kern w:val="0"/>
          <w:sz w:val="24"/>
          <w:szCs w:val="24"/>
        </w:rPr>
        <w:t>Fontana RJ</w:t>
      </w:r>
      <w:r w:rsidRPr="00765C6F">
        <w:rPr>
          <w:rFonts w:ascii="Book Antiqua" w:eastAsia="宋体" w:hAnsi="Book Antiqua" w:cs="宋体"/>
          <w:kern w:val="0"/>
          <w:sz w:val="24"/>
          <w:szCs w:val="24"/>
        </w:rPr>
        <w:t xml:space="preserve">, Goodman ZD, Dienstag JL, Bonkovsky HL, Naishadham D, Sterling RK, Su GL, Ghosh M, Wright EC. Relationship of serum fibrosis markers with liver fibrosis stage and collagen content in patients with advanced chronic hepatitis C. </w:t>
      </w:r>
      <w:r w:rsidRPr="00765C6F">
        <w:rPr>
          <w:rFonts w:ascii="Book Antiqua" w:eastAsia="宋体" w:hAnsi="Book Antiqua" w:cs="宋体"/>
          <w:i/>
          <w:iCs/>
          <w:kern w:val="0"/>
          <w:sz w:val="24"/>
          <w:szCs w:val="24"/>
        </w:rPr>
        <w:t>Hepatology</w:t>
      </w:r>
      <w:r w:rsidRPr="00765C6F">
        <w:rPr>
          <w:rFonts w:ascii="Book Antiqua" w:eastAsia="宋体" w:hAnsi="Book Antiqua" w:cs="宋体"/>
          <w:kern w:val="0"/>
          <w:sz w:val="24"/>
          <w:szCs w:val="24"/>
        </w:rPr>
        <w:t xml:space="preserve"> 2008; </w:t>
      </w:r>
      <w:r w:rsidRPr="00765C6F">
        <w:rPr>
          <w:rFonts w:ascii="Book Antiqua" w:eastAsia="宋体" w:hAnsi="Book Antiqua" w:cs="宋体"/>
          <w:b/>
          <w:bCs/>
          <w:kern w:val="0"/>
          <w:sz w:val="24"/>
          <w:szCs w:val="24"/>
        </w:rPr>
        <w:t>47</w:t>
      </w:r>
      <w:r w:rsidRPr="00765C6F">
        <w:rPr>
          <w:rFonts w:ascii="Book Antiqua" w:eastAsia="宋体" w:hAnsi="Book Antiqua" w:cs="宋体"/>
          <w:kern w:val="0"/>
          <w:sz w:val="24"/>
          <w:szCs w:val="24"/>
        </w:rPr>
        <w:t>: 789-798 [PMID: 18175357 DOI: 10.1002/hep.22099]</w:t>
      </w:r>
    </w:p>
    <w:p w:rsidR="008358E2" w:rsidRPr="00765C6F" w:rsidRDefault="008358E2" w:rsidP="00765C6F">
      <w:pPr>
        <w:widowControl/>
        <w:spacing w:line="360" w:lineRule="auto"/>
        <w:rPr>
          <w:rFonts w:ascii="Book Antiqua" w:eastAsia="宋体" w:hAnsi="Book Antiqua" w:cs="宋体"/>
          <w:kern w:val="0"/>
          <w:sz w:val="24"/>
          <w:szCs w:val="24"/>
          <w:lang w:eastAsia="zh-CN"/>
        </w:rPr>
      </w:pPr>
      <w:r w:rsidRPr="00765C6F">
        <w:rPr>
          <w:rFonts w:ascii="Book Antiqua" w:eastAsia="宋体" w:hAnsi="Book Antiqua" w:cs="宋体"/>
          <w:kern w:val="0"/>
          <w:sz w:val="24"/>
          <w:szCs w:val="24"/>
        </w:rPr>
        <w:t xml:space="preserve">24 </w:t>
      </w:r>
      <w:r w:rsidRPr="00765C6F">
        <w:rPr>
          <w:rFonts w:ascii="Book Antiqua" w:eastAsia="宋体" w:hAnsi="Book Antiqua" w:cs="宋体"/>
          <w:b/>
          <w:bCs/>
          <w:kern w:val="0"/>
          <w:sz w:val="24"/>
          <w:szCs w:val="24"/>
        </w:rPr>
        <w:t>George DK</w:t>
      </w:r>
      <w:r w:rsidRPr="00765C6F">
        <w:rPr>
          <w:rFonts w:ascii="Book Antiqua" w:eastAsia="宋体" w:hAnsi="Book Antiqua" w:cs="宋体"/>
          <w:kern w:val="0"/>
          <w:sz w:val="24"/>
          <w:szCs w:val="24"/>
        </w:rPr>
        <w:t xml:space="preserve">, Ramm GA, Walker NI, Powell LW, Crawford DH. Elevated serum type IV collagen: a sensitive indicator of the presence of cirrhosis in haemochromatosis. </w:t>
      </w:r>
      <w:r w:rsidRPr="00765C6F">
        <w:rPr>
          <w:rFonts w:ascii="Book Antiqua" w:eastAsia="宋体" w:hAnsi="Book Antiqua" w:cs="宋体"/>
          <w:i/>
          <w:iCs/>
          <w:kern w:val="0"/>
          <w:sz w:val="24"/>
          <w:szCs w:val="24"/>
        </w:rPr>
        <w:t>J Hepatol</w:t>
      </w:r>
      <w:r w:rsidRPr="00765C6F">
        <w:rPr>
          <w:rFonts w:ascii="Book Antiqua" w:eastAsia="宋体" w:hAnsi="Book Antiqua" w:cs="宋体"/>
          <w:kern w:val="0"/>
          <w:sz w:val="24"/>
          <w:szCs w:val="24"/>
        </w:rPr>
        <w:t xml:space="preserve"> 1999; </w:t>
      </w:r>
      <w:r w:rsidRPr="00765C6F">
        <w:rPr>
          <w:rFonts w:ascii="Book Antiqua" w:eastAsia="宋体" w:hAnsi="Book Antiqua" w:cs="宋体"/>
          <w:b/>
          <w:bCs/>
          <w:kern w:val="0"/>
          <w:sz w:val="24"/>
          <w:szCs w:val="24"/>
        </w:rPr>
        <w:t>31</w:t>
      </w:r>
      <w:r w:rsidRPr="00765C6F">
        <w:rPr>
          <w:rFonts w:ascii="Book Antiqua" w:eastAsia="宋体" w:hAnsi="Book Antiqua" w:cs="宋体"/>
          <w:kern w:val="0"/>
          <w:sz w:val="24"/>
          <w:szCs w:val="24"/>
        </w:rPr>
        <w:t>: 47-52 [PMID: 10424282]</w:t>
      </w:r>
    </w:p>
    <w:p w:rsidR="008358E2" w:rsidRDefault="008358E2" w:rsidP="00765C6F">
      <w:pPr>
        <w:adjustRightInd w:val="0"/>
        <w:snapToGrid w:val="0"/>
        <w:spacing w:line="360" w:lineRule="auto"/>
        <w:ind w:right="239"/>
        <w:jc w:val="right"/>
        <w:rPr>
          <w:rStyle w:val="Strong"/>
          <w:rFonts w:ascii="Book Antiqua" w:eastAsia="宋体" w:hAnsi="Book Antiqua" w:cs="Arial"/>
          <w:noProof/>
          <w:sz w:val="24"/>
          <w:szCs w:val="24"/>
          <w:lang w:val="en-GB" w:eastAsia="zh-CN"/>
        </w:rPr>
      </w:pPr>
    </w:p>
    <w:p w:rsidR="008358E2" w:rsidRPr="00765C6F" w:rsidRDefault="008358E2" w:rsidP="00765C6F">
      <w:pPr>
        <w:adjustRightInd w:val="0"/>
        <w:snapToGrid w:val="0"/>
        <w:spacing w:line="360" w:lineRule="auto"/>
        <w:ind w:right="239"/>
        <w:jc w:val="right"/>
        <w:rPr>
          <w:rFonts w:ascii="Book Antiqua" w:hAnsi="Book Antiqua"/>
          <w:b/>
          <w:bCs/>
          <w:sz w:val="24"/>
          <w:szCs w:val="24"/>
          <w:lang w:val="en-GB"/>
        </w:rPr>
      </w:pPr>
      <w:r w:rsidRPr="00765C6F">
        <w:rPr>
          <w:rStyle w:val="Strong"/>
          <w:rFonts w:ascii="Book Antiqua" w:hAnsi="Book Antiqua" w:cs="Arial"/>
          <w:noProof/>
          <w:sz w:val="24"/>
          <w:szCs w:val="24"/>
          <w:lang w:val="en-GB"/>
        </w:rPr>
        <w:t>P-Reviewer:</w:t>
      </w:r>
      <w:r w:rsidRPr="00765C6F">
        <w:rPr>
          <w:rFonts w:ascii="Book Antiqua" w:hAnsi="Book Antiqua"/>
          <w:color w:val="000000"/>
          <w:sz w:val="24"/>
          <w:szCs w:val="24"/>
          <w:lang w:val="en-GB"/>
        </w:rPr>
        <w:t xml:space="preserve"> Palmero</w:t>
      </w:r>
      <w:r w:rsidRPr="00765C6F">
        <w:rPr>
          <w:rFonts w:ascii="Book Antiqua" w:eastAsia="宋体" w:hAnsi="Book Antiqua"/>
          <w:color w:val="000000"/>
          <w:sz w:val="24"/>
          <w:szCs w:val="24"/>
          <w:lang w:val="en-GB" w:eastAsia="zh-CN"/>
        </w:rPr>
        <w:t xml:space="preserve"> </w:t>
      </w:r>
      <w:r w:rsidRPr="00765C6F">
        <w:rPr>
          <w:rFonts w:ascii="Book Antiqua" w:hAnsi="Book Antiqua"/>
          <w:color w:val="000000"/>
          <w:sz w:val="24"/>
          <w:szCs w:val="24"/>
          <w:lang w:val="en-GB"/>
        </w:rPr>
        <w:t>D, Reviriego</w:t>
      </w:r>
      <w:r w:rsidRPr="00765C6F">
        <w:rPr>
          <w:rFonts w:ascii="Book Antiqua" w:eastAsia="宋体" w:hAnsi="Book Antiqua"/>
          <w:color w:val="000000"/>
          <w:sz w:val="24"/>
          <w:szCs w:val="24"/>
          <w:lang w:val="en-GB" w:eastAsia="zh-CN"/>
        </w:rPr>
        <w:t xml:space="preserve"> </w:t>
      </w:r>
      <w:r w:rsidRPr="00765C6F">
        <w:rPr>
          <w:rFonts w:ascii="Book Antiqua" w:hAnsi="Book Antiqua"/>
          <w:color w:val="000000"/>
          <w:sz w:val="24"/>
          <w:szCs w:val="24"/>
          <w:lang w:val="en-GB"/>
        </w:rPr>
        <w:t>C</w:t>
      </w:r>
      <w:r w:rsidRPr="00765C6F">
        <w:rPr>
          <w:rFonts w:ascii="Book Antiqua" w:eastAsia="宋体" w:hAnsi="Book Antiqua"/>
          <w:color w:val="000000"/>
          <w:sz w:val="24"/>
          <w:szCs w:val="24"/>
          <w:lang w:val="en-GB" w:eastAsia="zh-CN"/>
        </w:rPr>
        <w:t xml:space="preserve"> </w:t>
      </w:r>
      <w:r w:rsidRPr="00765C6F">
        <w:rPr>
          <w:rFonts w:ascii="Book Antiqua" w:hAnsi="Book Antiqua"/>
          <w:b/>
          <w:bCs/>
          <w:sz w:val="24"/>
          <w:szCs w:val="24"/>
          <w:lang w:val="en-GB"/>
        </w:rPr>
        <w:t>S-Editor:</w:t>
      </w:r>
      <w:r w:rsidRPr="00765C6F">
        <w:rPr>
          <w:rFonts w:ascii="Book Antiqua" w:hAnsi="Book Antiqua"/>
          <w:bCs/>
          <w:sz w:val="24"/>
          <w:szCs w:val="24"/>
          <w:lang w:val="en-GB"/>
        </w:rPr>
        <w:t xml:space="preserve"> Tian YL</w:t>
      </w:r>
    </w:p>
    <w:p w:rsidR="008358E2" w:rsidRDefault="008358E2" w:rsidP="00765C6F">
      <w:pPr>
        <w:adjustRightInd w:val="0"/>
        <w:snapToGrid w:val="0"/>
        <w:spacing w:line="360" w:lineRule="auto"/>
        <w:ind w:right="239"/>
        <w:jc w:val="right"/>
        <w:rPr>
          <w:rFonts w:ascii="Book Antiqua" w:hAnsi="Book Antiqua"/>
          <w:b/>
          <w:bCs/>
          <w:sz w:val="24"/>
          <w:szCs w:val="24"/>
        </w:rPr>
      </w:pPr>
      <w:r w:rsidRPr="00765C6F">
        <w:rPr>
          <w:rFonts w:ascii="Book Antiqua" w:hAnsi="Book Antiqua"/>
          <w:b/>
          <w:bCs/>
          <w:sz w:val="24"/>
          <w:szCs w:val="24"/>
        </w:rPr>
        <w:t>L-Editor:   E-Editor:</w:t>
      </w:r>
    </w:p>
    <w:p w:rsidR="008358E2" w:rsidRDefault="008358E2">
      <w:pPr>
        <w:widowControl/>
        <w:jc w:val="left"/>
        <w:rPr>
          <w:rFonts w:ascii="Book Antiqua" w:hAnsi="Book Antiqua"/>
          <w:b/>
          <w:bCs/>
          <w:sz w:val="24"/>
          <w:szCs w:val="24"/>
        </w:rPr>
      </w:pPr>
      <w:r>
        <w:rPr>
          <w:rFonts w:ascii="Book Antiqua" w:hAnsi="Book Antiqua"/>
          <w:b/>
          <w:bCs/>
          <w:sz w:val="24"/>
          <w:szCs w:val="24"/>
        </w:rPr>
        <w:br w:type="page"/>
      </w:r>
    </w:p>
    <w:p w:rsidR="008358E2" w:rsidRPr="00765C6F" w:rsidRDefault="008358E2" w:rsidP="00765C6F">
      <w:pPr>
        <w:adjustRightInd w:val="0"/>
        <w:snapToGrid w:val="0"/>
        <w:spacing w:line="360" w:lineRule="auto"/>
        <w:ind w:right="239"/>
        <w:jc w:val="right"/>
        <w:rPr>
          <w:rFonts w:ascii="Book Antiqua" w:eastAsia="宋体" w:hAnsi="Book Antiqua"/>
          <w:bCs/>
          <w:sz w:val="24"/>
          <w:szCs w:val="24"/>
          <w:lang w:eastAsia="zh-CN"/>
        </w:rPr>
      </w:pPr>
    </w:p>
    <w:p w:rsidR="008358E2" w:rsidRPr="00765C6F" w:rsidRDefault="008358E2" w:rsidP="00765C6F">
      <w:pPr>
        <w:spacing w:line="360" w:lineRule="auto"/>
        <w:rPr>
          <w:rFonts w:ascii="Book Antiqua" w:eastAsia="宋体" w:hAnsi="Book Antiqua"/>
          <w:b/>
          <w:color w:val="000000"/>
          <w:sz w:val="24"/>
          <w:szCs w:val="24"/>
          <w:lang w:eastAsia="zh-CN"/>
        </w:rPr>
      </w:pPr>
      <w:r w:rsidRPr="00FA3B8B">
        <w:rPr>
          <w:rFonts w:ascii="Book Antiqua" w:eastAsia="宋体" w:hAnsi="Book Antiqua"/>
          <w:b/>
          <w:noProof/>
          <w:color w:val="000000"/>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21.5pt;height:166.5pt;visibility:visible">
            <v:imagedata r:id="rId9" o:title=""/>
          </v:shape>
        </w:pict>
      </w:r>
    </w:p>
    <w:p w:rsidR="008358E2" w:rsidRPr="00765C6F" w:rsidRDefault="008358E2" w:rsidP="00765C6F">
      <w:pPr>
        <w:spacing w:line="360" w:lineRule="auto"/>
        <w:rPr>
          <w:rFonts w:ascii="Book Antiqua" w:eastAsia="宋体" w:hAnsi="Book Antiqua"/>
          <w:b/>
          <w:color w:val="000000"/>
          <w:sz w:val="24"/>
          <w:szCs w:val="24"/>
          <w:lang w:eastAsia="zh-CN"/>
        </w:rPr>
      </w:pPr>
      <w:r w:rsidRPr="00765C6F">
        <w:rPr>
          <w:rFonts w:ascii="Book Antiqua" w:hAnsi="Book Antiqua"/>
          <w:b/>
          <w:color w:val="000000"/>
          <w:sz w:val="24"/>
          <w:szCs w:val="24"/>
        </w:rPr>
        <w:t>Figure 1</w:t>
      </w:r>
      <w:r w:rsidRPr="00765C6F">
        <w:rPr>
          <w:rFonts w:ascii="Book Antiqua" w:hAnsi="Book Antiqua"/>
          <w:color w:val="000000"/>
          <w:sz w:val="24"/>
          <w:szCs w:val="24"/>
        </w:rPr>
        <w:t xml:space="preserve"> </w:t>
      </w:r>
      <w:r w:rsidRPr="00765C6F">
        <w:rPr>
          <w:rFonts w:ascii="Book Antiqua" w:hAnsi="Book Antiqua"/>
          <w:b/>
          <w:color w:val="000000"/>
          <w:sz w:val="24"/>
          <w:szCs w:val="24"/>
        </w:rPr>
        <w:t>Skin rash on the patient’s trunk on day 14 of the treatment with daclatasvir and asunaprevir.</w:t>
      </w:r>
    </w:p>
    <w:p w:rsidR="008358E2" w:rsidRPr="00765C6F" w:rsidRDefault="008358E2" w:rsidP="00765C6F">
      <w:pPr>
        <w:spacing w:line="360" w:lineRule="auto"/>
        <w:rPr>
          <w:rFonts w:ascii="Book Antiqua" w:eastAsia="宋体" w:hAnsi="Book Antiqua"/>
          <w:b/>
          <w:color w:val="000000"/>
          <w:sz w:val="24"/>
          <w:szCs w:val="24"/>
          <w:lang w:eastAsia="zh-CN"/>
        </w:rPr>
      </w:pPr>
    </w:p>
    <w:p w:rsidR="008358E2" w:rsidRPr="00765C6F" w:rsidRDefault="008358E2" w:rsidP="00765C6F">
      <w:pPr>
        <w:widowControl/>
        <w:spacing w:line="360" w:lineRule="auto"/>
        <w:jc w:val="left"/>
        <w:rPr>
          <w:rFonts w:ascii="Book Antiqua" w:hAnsi="Book Antiqua"/>
          <w:b/>
          <w:color w:val="000000"/>
          <w:sz w:val="24"/>
          <w:szCs w:val="24"/>
        </w:rPr>
      </w:pPr>
      <w:r w:rsidRPr="00765C6F">
        <w:rPr>
          <w:rFonts w:ascii="Book Antiqua" w:hAnsi="Book Antiqua"/>
          <w:b/>
          <w:color w:val="000000"/>
          <w:sz w:val="24"/>
          <w:szCs w:val="24"/>
        </w:rPr>
        <w:br w:type="page"/>
      </w:r>
    </w:p>
    <w:p w:rsidR="008358E2" w:rsidRPr="00765C6F" w:rsidRDefault="008358E2" w:rsidP="00765C6F">
      <w:pPr>
        <w:spacing w:line="360" w:lineRule="auto"/>
        <w:rPr>
          <w:rFonts w:ascii="Book Antiqua" w:eastAsia="宋体" w:hAnsi="Book Antiqua"/>
          <w:b/>
          <w:color w:val="000000"/>
          <w:sz w:val="24"/>
          <w:szCs w:val="24"/>
          <w:lang w:eastAsia="zh-CN"/>
        </w:rPr>
      </w:pPr>
      <w:r w:rsidRPr="00FA3B8B">
        <w:rPr>
          <w:rFonts w:ascii="Book Antiqua" w:hAnsi="Book Antiqua"/>
          <w:noProof/>
          <w:sz w:val="24"/>
          <w:szCs w:val="24"/>
          <w:lang w:eastAsia="zh-CN"/>
        </w:rPr>
        <w:pict>
          <v:shape id="图片 2" o:spid="_x0000_i1026" type="#_x0000_t75" style="width:421.5pt;height:312.75pt;visibility:visible">
            <v:imagedata r:id="rId10" o:title=""/>
          </v:shape>
        </w:pict>
      </w:r>
    </w:p>
    <w:p w:rsidR="008358E2" w:rsidRPr="00765C6F" w:rsidRDefault="008358E2" w:rsidP="00765C6F">
      <w:pPr>
        <w:spacing w:line="360" w:lineRule="auto"/>
        <w:rPr>
          <w:rFonts w:ascii="Book Antiqua" w:hAnsi="Book Antiqua"/>
          <w:b/>
          <w:color w:val="000000"/>
          <w:sz w:val="24"/>
          <w:szCs w:val="24"/>
        </w:rPr>
      </w:pPr>
      <w:r w:rsidRPr="00765C6F">
        <w:rPr>
          <w:rFonts w:ascii="Book Antiqua" w:hAnsi="Book Antiqua"/>
          <w:b/>
          <w:color w:val="000000"/>
          <w:sz w:val="24"/>
          <w:szCs w:val="24"/>
        </w:rPr>
        <w:t>Figure 2</w:t>
      </w:r>
      <w:r w:rsidRPr="00765C6F">
        <w:rPr>
          <w:rFonts w:ascii="Book Antiqua" w:hAnsi="Book Antiqua"/>
          <w:color w:val="000000"/>
          <w:sz w:val="24"/>
          <w:szCs w:val="24"/>
        </w:rPr>
        <w:t xml:space="preserve"> </w:t>
      </w:r>
      <w:r w:rsidRPr="00765C6F">
        <w:rPr>
          <w:rFonts w:ascii="Book Antiqua" w:hAnsi="Book Antiqua"/>
          <w:b/>
          <w:color w:val="000000"/>
          <w:sz w:val="24"/>
          <w:szCs w:val="24"/>
        </w:rPr>
        <w:t>Clinical course of a patient with concomitant deterioration of hepatic reserve and renal function due to combination treatment with daclatasvir and asunaprevir.</w:t>
      </w:r>
    </w:p>
    <w:p w:rsidR="008358E2" w:rsidRPr="00765C6F" w:rsidRDefault="008358E2" w:rsidP="00765C6F">
      <w:pPr>
        <w:widowControl/>
        <w:spacing w:line="360" w:lineRule="auto"/>
        <w:jc w:val="left"/>
        <w:rPr>
          <w:rFonts w:ascii="Book Antiqua" w:hAnsi="Book Antiqua"/>
          <w:b/>
          <w:color w:val="000000"/>
          <w:sz w:val="24"/>
          <w:szCs w:val="24"/>
        </w:rPr>
      </w:pPr>
      <w:r w:rsidRPr="00765C6F">
        <w:rPr>
          <w:rFonts w:ascii="Book Antiqua" w:hAnsi="Book Antiqua"/>
          <w:b/>
          <w:color w:val="000000"/>
          <w:sz w:val="24"/>
          <w:szCs w:val="24"/>
        </w:rPr>
        <w:br w:type="page"/>
      </w:r>
    </w:p>
    <w:p w:rsidR="008358E2" w:rsidRPr="00765C6F" w:rsidRDefault="008358E2" w:rsidP="00765C6F">
      <w:pPr>
        <w:spacing w:line="360" w:lineRule="auto"/>
        <w:rPr>
          <w:rFonts w:ascii="Book Antiqua" w:eastAsia="宋体" w:hAnsi="Book Antiqua"/>
          <w:b/>
          <w:color w:val="000000"/>
          <w:sz w:val="24"/>
          <w:szCs w:val="24"/>
          <w:lang w:eastAsia="zh-CN"/>
        </w:rPr>
      </w:pPr>
      <w:r w:rsidRPr="00765C6F">
        <w:rPr>
          <w:rFonts w:ascii="Book Antiqua" w:hAnsi="Book Antiqua"/>
          <w:b/>
          <w:color w:val="000000"/>
          <w:sz w:val="24"/>
          <w:szCs w:val="24"/>
        </w:rPr>
        <w:t>Table 1 Laboratory findings before antiviral therapy and at the onset of adverse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6"/>
        <w:gridCol w:w="731"/>
        <w:gridCol w:w="1738"/>
        <w:gridCol w:w="734"/>
        <w:gridCol w:w="1985"/>
        <w:gridCol w:w="1566"/>
      </w:tblGrid>
      <w:tr w:rsidR="008358E2" w:rsidRPr="00765C6F" w:rsidTr="00FA3B8B">
        <w:trPr>
          <w:trHeight w:val="379"/>
        </w:trPr>
        <w:tc>
          <w:tcPr>
            <w:tcW w:w="0" w:type="auto"/>
            <w:gridSpan w:val="4"/>
            <w:noWrap/>
          </w:tcPr>
          <w:p w:rsidR="008358E2" w:rsidRPr="00FA3B8B" w:rsidRDefault="008358E2" w:rsidP="00FA3B8B">
            <w:pPr>
              <w:widowControl/>
              <w:spacing w:line="360" w:lineRule="auto"/>
              <w:jc w:val="left"/>
              <w:rPr>
                <w:rFonts w:ascii="Book Antiqua" w:eastAsia="Times New Roman" w:hAnsi="Book Antiqua" w:cs="Arial Unicode MS"/>
                <w:b/>
                <w:bCs/>
                <w:kern w:val="0"/>
                <w:sz w:val="24"/>
                <w:szCs w:val="24"/>
                <w:lang w:eastAsia="zh-CN"/>
              </w:rPr>
            </w:pPr>
            <w:r w:rsidRPr="00FA3B8B">
              <w:rPr>
                <w:rFonts w:ascii="Book Antiqua" w:eastAsia="Times New Roman" w:hAnsi="Book Antiqua" w:cs="Arial Unicode MS"/>
                <w:b/>
                <w:bCs/>
                <w:kern w:val="0"/>
                <w:sz w:val="24"/>
                <w:szCs w:val="24"/>
                <w:lang w:eastAsia="zh-CN"/>
              </w:rPr>
              <w:t xml:space="preserve">On day 14 of antiviral therapy </w:t>
            </w:r>
          </w:p>
        </w:tc>
        <w:tc>
          <w:tcPr>
            <w:tcW w:w="0" w:type="auto"/>
            <w:gridSpan w:val="2"/>
            <w:noWrap/>
          </w:tcPr>
          <w:p w:rsidR="008358E2" w:rsidRPr="00FA3B8B" w:rsidRDefault="008358E2" w:rsidP="00FA3B8B">
            <w:pPr>
              <w:widowControl/>
              <w:spacing w:line="360" w:lineRule="auto"/>
              <w:jc w:val="left"/>
              <w:rPr>
                <w:rFonts w:ascii="Book Antiqua" w:eastAsia="Times New Roman" w:hAnsi="Book Antiqua" w:cs="Arial Unicode MS"/>
                <w:b/>
                <w:bCs/>
                <w:kern w:val="0"/>
                <w:sz w:val="24"/>
                <w:szCs w:val="24"/>
                <w:lang w:eastAsia="zh-CN"/>
              </w:rPr>
            </w:pPr>
            <w:r w:rsidRPr="00FA3B8B">
              <w:rPr>
                <w:rFonts w:ascii="Book Antiqua" w:eastAsia="Times New Roman" w:hAnsi="Book Antiqua" w:cs="Arial Unicode MS"/>
                <w:b/>
                <w:bCs/>
                <w:kern w:val="0"/>
                <w:sz w:val="24"/>
                <w:szCs w:val="24"/>
                <w:lang w:eastAsia="zh-CN"/>
              </w:rPr>
              <w:t>Virological analysis before antiviral therapy</w:t>
            </w: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Hematology</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Virus markers</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Virus marker</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WBC (ìL)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12130 </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IgM-HAV Ab</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HCV RNA ( Log IU/mL)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5.9</w:t>
            </w: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Neutrophils (%)</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82</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HBs Ag</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Lymphocytes (%)</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10</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IgM-HBc Ab</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Drug resistant variants</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Monocytes (%)</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6</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HBV DNA</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NS3/V36A</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Eosinophils (%)</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IgA-HEV Ab</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NS3/T54A</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RBC  (ìL)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4000000 </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IgM-HSV Ab</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NS3/T54S</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Hb (g/dL)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13.2</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IgG-HSV Ab</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w:t>
            </w:r>
            <w:r w:rsidRPr="00FA3B8B">
              <w:rPr>
                <w:rFonts w:ascii="宋体" w:eastAsia="宋体" w:hAnsi="宋体" w:cs="宋体" w:hint="eastAsia"/>
                <w:kern w:val="0"/>
                <w:sz w:val="24"/>
                <w:szCs w:val="24"/>
                <w:lang w:eastAsia="zh-CN"/>
              </w:rPr>
              <w:t>＋</w:t>
            </w:r>
            <w:r w:rsidRPr="00FA3B8B">
              <w:rPr>
                <w:rFonts w:ascii="Book Antiqua" w:eastAsia="Times New Roman" w:hAnsi="Book Antiqua" w:cs="Arial Unicode MS"/>
                <w:kern w:val="0"/>
                <w:sz w:val="24"/>
                <w:szCs w:val="24"/>
                <w:lang w:eastAsia="zh-CN"/>
              </w:rPr>
              <w:t>)</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NS3/Q80L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Plt  (ìL)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79000</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IgM-HHV6 Ab</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NS3/Q80R</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IgG-HHV6 Ab</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w:t>
            </w:r>
            <w:r w:rsidRPr="00FA3B8B">
              <w:rPr>
                <w:rFonts w:ascii="宋体" w:eastAsia="宋体" w:hAnsi="宋体" w:cs="宋体" w:hint="eastAsia"/>
                <w:kern w:val="0"/>
                <w:sz w:val="24"/>
                <w:szCs w:val="24"/>
                <w:lang w:eastAsia="zh-CN"/>
              </w:rPr>
              <w:t>＋</w:t>
            </w:r>
            <w:r w:rsidRPr="00FA3B8B">
              <w:rPr>
                <w:rFonts w:ascii="Book Antiqua" w:eastAsia="Times New Roman" w:hAnsi="Book Antiqua" w:cs="Arial Unicode MS"/>
                <w:kern w:val="0"/>
                <w:sz w:val="24"/>
                <w:szCs w:val="24"/>
                <w:lang w:eastAsia="zh-CN"/>
              </w:rPr>
              <w:t>)</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NS3/R155K</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Blood Chemistry</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IgM-CMV Ab</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NS3/R155Q</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TP (g/dL)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7.4</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IgG-CMV Ab</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w:t>
            </w:r>
            <w:r w:rsidRPr="00FA3B8B">
              <w:rPr>
                <w:rFonts w:ascii="宋体" w:eastAsia="宋体" w:hAnsi="宋体" w:cs="宋体" w:hint="eastAsia"/>
                <w:kern w:val="0"/>
                <w:sz w:val="24"/>
                <w:szCs w:val="24"/>
                <w:lang w:eastAsia="zh-CN"/>
              </w:rPr>
              <w:t>＋</w:t>
            </w:r>
            <w:r w:rsidRPr="00FA3B8B">
              <w:rPr>
                <w:rFonts w:ascii="Book Antiqua" w:eastAsia="Times New Roman" w:hAnsi="Book Antiqua" w:cs="Arial Unicode MS"/>
                <w:kern w:val="0"/>
                <w:sz w:val="24"/>
                <w:szCs w:val="24"/>
                <w:lang w:eastAsia="zh-CN"/>
              </w:rPr>
              <w:t>)</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NS3/R155T</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Albumin (g/dL)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3.3</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IgM-EBV VCA Ab</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NS3/A156S</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T-Bil (mg/dL)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1.9</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IgG-EBV VCA Ab</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w:t>
            </w:r>
            <w:r w:rsidRPr="00FA3B8B">
              <w:rPr>
                <w:rFonts w:ascii="宋体" w:eastAsia="宋体" w:hAnsi="宋体" w:cs="宋体" w:hint="eastAsia"/>
                <w:kern w:val="0"/>
                <w:sz w:val="24"/>
                <w:szCs w:val="24"/>
                <w:lang w:eastAsia="zh-CN"/>
              </w:rPr>
              <w:t>＋</w:t>
            </w:r>
            <w:r w:rsidRPr="00FA3B8B">
              <w:rPr>
                <w:rFonts w:ascii="Book Antiqua" w:eastAsia="Times New Roman" w:hAnsi="Book Antiqua" w:cs="Arial Unicode MS"/>
                <w:kern w:val="0"/>
                <w:sz w:val="24"/>
                <w:szCs w:val="24"/>
                <w:lang w:eastAsia="zh-CN"/>
              </w:rPr>
              <w:t>)</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NS3/A156T</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D-Bil (mg/dL)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0.7</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EBNA Ab</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w:t>
            </w:r>
            <w:r w:rsidRPr="00FA3B8B">
              <w:rPr>
                <w:rFonts w:ascii="宋体" w:eastAsia="宋体" w:hAnsi="宋体" w:cs="宋体" w:hint="eastAsia"/>
                <w:kern w:val="0"/>
                <w:sz w:val="24"/>
                <w:szCs w:val="24"/>
                <w:lang w:eastAsia="zh-CN"/>
              </w:rPr>
              <w:t>＋</w:t>
            </w:r>
            <w:r w:rsidRPr="00FA3B8B">
              <w:rPr>
                <w:rFonts w:ascii="Book Antiqua" w:eastAsia="Times New Roman" w:hAnsi="Book Antiqua" w:cs="Arial Unicode MS"/>
                <w:kern w:val="0"/>
                <w:sz w:val="24"/>
                <w:szCs w:val="24"/>
                <w:lang w:eastAsia="zh-CN"/>
              </w:rPr>
              <w:t>)</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NS3/A156V</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AST (IU/L)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15</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NS3/D168A</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ALT (IU/L)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22</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Endocrine</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NS3/D168E</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r w:rsidRPr="00FA3B8B">
              <w:rPr>
                <w:rFonts w:ascii="Book Antiqua" w:eastAsia="Times New Roman" w:hAnsi="Book Antiqua" w:cs="Arial Unicode MS"/>
                <w:kern w:val="0"/>
                <w:sz w:val="24"/>
                <w:szCs w:val="24"/>
                <w:vertAlign w:val="superscript"/>
                <w:lang w:eastAsia="zh-CN"/>
              </w:rPr>
              <w:t>2</w:t>
            </w: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ALP (IU/L)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284</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TSH (ìIU/mL)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1.7</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NS3/D168H</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ã-GTP (IU/L)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33</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fT3 (pg/mL)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2.81</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NS3/D168T</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LDH  (IU/L)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147</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fT4 (ng/dL)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1.1</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NS3/D168V</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ChE  (IU/L)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257</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NS3/V170I</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w:t>
            </w:r>
            <w:r w:rsidRPr="00FA3B8B">
              <w:rPr>
                <w:rFonts w:ascii="Book Antiqua" w:eastAsia="Times New Roman" w:hAnsi="Book Antiqua" w:cs="Arial Unicode MS"/>
                <w:kern w:val="0"/>
                <w:sz w:val="24"/>
                <w:szCs w:val="24"/>
                <w:vertAlign w:val="superscript"/>
                <w:lang w:eastAsia="zh-CN"/>
              </w:rPr>
              <w:t>2</w:t>
            </w: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T. Chol (mg/dL)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126</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Serology</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NS5A/L31F</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BUN (mg/dL)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28</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IgA (mg/dL)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130</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NS5A/L31M</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Cr (mg/dL)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1.4</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IgE (mg/dL)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526</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NS5A/L31V</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UA (mg/dL)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5.4</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IgG (mg/dL)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2225</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NS5A/Y93H</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r w:rsidRPr="00FA3B8B">
              <w:rPr>
                <w:rFonts w:ascii="Book Antiqua" w:eastAsia="Times New Roman" w:hAnsi="Book Antiqua" w:cs="Arial Unicode MS"/>
                <w:kern w:val="0"/>
                <w:sz w:val="24"/>
                <w:szCs w:val="24"/>
                <w:vertAlign w:val="superscript"/>
                <w:lang w:eastAsia="zh-CN"/>
              </w:rPr>
              <w:t xml:space="preserve"> 2</w:t>
            </w: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CPK (IU/L)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60</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IgM  (mg/dL)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104</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CRP (mg/dL)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3.5</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RF</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BNP (pg/mL)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20.1</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ANA</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×40 (</w:t>
            </w:r>
            <w:r w:rsidRPr="00FA3B8B">
              <w:rPr>
                <w:rFonts w:ascii="宋体" w:eastAsia="宋体" w:hAnsi="宋体" w:cs="宋体" w:hint="eastAsia"/>
                <w:kern w:val="0"/>
                <w:sz w:val="24"/>
                <w:szCs w:val="24"/>
                <w:lang w:eastAsia="zh-CN"/>
              </w:rPr>
              <w:t>＋</w:t>
            </w:r>
            <w:r w:rsidRPr="00FA3B8B">
              <w:rPr>
                <w:rFonts w:ascii="Book Antiqua" w:eastAsia="Times New Roman" w:hAnsi="Book Antiqua" w:cs="Arial Unicode MS"/>
                <w:kern w:val="0"/>
                <w:sz w:val="24"/>
                <w:szCs w:val="24"/>
                <w:lang w:eastAsia="zh-CN"/>
              </w:rPr>
              <w:t>)</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Fe (ìg/dL)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123</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AMA</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Ferritin (ng/mL)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115</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ASMA</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Hyaluronic Acid</w:t>
            </w:r>
            <w:r w:rsidRPr="00FA3B8B">
              <w:rPr>
                <w:rFonts w:ascii="Book Antiqua" w:eastAsia="Times New Roman" w:hAnsi="Book Antiqua" w:cs="Arial Unicode MS"/>
                <w:kern w:val="0"/>
                <w:sz w:val="24"/>
                <w:szCs w:val="24"/>
                <w:vertAlign w:val="superscript"/>
                <w:lang w:eastAsia="zh-CN"/>
              </w:rPr>
              <w:t>1</w:t>
            </w:r>
            <w:r w:rsidRPr="00FA3B8B">
              <w:rPr>
                <w:rFonts w:ascii="Book Antiqua" w:eastAsia="Times New Roman" w:hAnsi="Book Antiqua" w:cs="Arial Unicode MS"/>
                <w:kern w:val="0"/>
                <w:sz w:val="24"/>
                <w:szCs w:val="24"/>
                <w:lang w:eastAsia="zh-CN"/>
              </w:rPr>
              <w:t xml:space="preserve"> (ng/mL)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179</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Collagen-4</w:t>
            </w:r>
            <w:r w:rsidRPr="00FA3B8B">
              <w:rPr>
                <w:rFonts w:ascii="Book Antiqua" w:eastAsia="Times New Roman" w:hAnsi="Book Antiqua" w:cs="Arial Unicode MS"/>
                <w:kern w:val="0"/>
                <w:sz w:val="24"/>
                <w:szCs w:val="24"/>
                <w:vertAlign w:val="superscript"/>
                <w:lang w:eastAsia="zh-CN"/>
              </w:rPr>
              <w:t>1</w:t>
            </w:r>
            <w:r w:rsidRPr="00FA3B8B">
              <w:rPr>
                <w:rFonts w:ascii="Book Antiqua" w:eastAsia="Times New Roman" w:hAnsi="Book Antiqua" w:cs="Arial Unicode MS"/>
                <w:kern w:val="0"/>
                <w:sz w:val="24"/>
                <w:szCs w:val="24"/>
                <w:lang w:eastAsia="zh-CN"/>
              </w:rPr>
              <w:t xml:space="preserve"> (ng/mL)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298</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Tumor markers</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PIVKA-2 (mAU/mL)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19</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Blood coagulation</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AFP (ng/mL)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6.6</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PT (%)</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66.4</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PT-INR</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1.22</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DLST</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Daclatasvir</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r>
      <w:tr w:rsidR="008358E2" w:rsidRPr="00765C6F" w:rsidTr="00FA3B8B">
        <w:trPr>
          <w:trHeight w:val="37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Asunaprevir</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 )</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r>
    </w:tbl>
    <w:p w:rsidR="008358E2" w:rsidRDefault="008358E2" w:rsidP="00765C6F">
      <w:pPr>
        <w:spacing w:line="360" w:lineRule="auto"/>
        <w:rPr>
          <w:rFonts w:ascii="Book Antiqua" w:eastAsia="Times New Roman" w:hAnsi="Book Antiqua" w:cs="Arial Unicode MS"/>
          <w:kern w:val="0"/>
          <w:sz w:val="24"/>
          <w:szCs w:val="24"/>
          <w:lang w:eastAsia="zh-CN"/>
        </w:rPr>
      </w:pPr>
      <w:r w:rsidRPr="00765C6F">
        <w:rPr>
          <w:rFonts w:ascii="Book Antiqua" w:eastAsia="Times New Roman" w:hAnsi="Book Antiqua" w:cs="Arial Unicode MS"/>
          <w:kern w:val="0"/>
          <w:sz w:val="24"/>
          <w:szCs w:val="24"/>
          <w:vertAlign w:val="superscript"/>
          <w:lang w:eastAsia="zh-CN"/>
        </w:rPr>
        <w:t>1</w:t>
      </w:r>
      <w:r w:rsidRPr="00D67AD8">
        <w:rPr>
          <w:rFonts w:ascii="Book Antiqua" w:eastAsia="Times New Roman" w:hAnsi="Book Antiqua" w:cs="Arial Unicode MS"/>
          <w:kern w:val="0"/>
          <w:sz w:val="24"/>
          <w:szCs w:val="24"/>
          <w:lang w:eastAsia="zh-CN"/>
        </w:rPr>
        <w:t xml:space="preserve">Hyaluronic </w:t>
      </w:r>
      <w:r w:rsidRPr="00765C6F">
        <w:rPr>
          <w:rFonts w:ascii="Book Antiqua" w:eastAsia="Times New Roman" w:hAnsi="Book Antiqua" w:cs="Arial Unicode MS"/>
          <w:kern w:val="0"/>
          <w:sz w:val="24"/>
          <w:szCs w:val="24"/>
          <w:lang w:eastAsia="zh-CN"/>
        </w:rPr>
        <w:t>acid and c</w:t>
      </w:r>
      <w:r w:rsidRPr="00D67AD8">
        <w:rPr>
          <w:rFonts w:ascii="Book Antiqua" w:eastAsia="Times New Roman" w:hAnsi="Book Antiqua" w:cs="Arial Unicode MS"/>
          <w:kern w:val="0"/>
          <w:sz w:val="24"/>
          <w:szCs w:val="24"/>
          <w:lang w:eastAsia="zh-CN"/>
        </w:rPr>
        <w:t xml:space="preserve">ollagen-4 were measured before antiviral therapy. Drug resistant variants in the NS3 and NS5A regions were measured by </w:t>
      </w:r>
      <w:r w:rsidRPr="00765C6F">
        <w:rPr>
          <w:rFonts w:ascii="Book Antiqua" w:eastAsia="Times New Roman" w:hAnsi="Book Antiqua" w:cs="Arial Unicode MS"/>
          <w:kern w:val="0"/>
          <w:sz w:val="24"/>
          <w:szCs w:val="24"/>
          <w:lang w:eastAsia="zh-CN"/>
        </w:rPr>
        <w:t>invader method;</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vertAlign w:val="superscript"/>
          <w:lang w:eastAsia="zh-CN"/>
        </w:rPr>
        <w:t>2</w:t>
      </w:r>
      <w:r w:rsidRPr="00D67AD8">
        <w:rPr>
          <w:rFonts w:ascii="Book Antiqua" w:eastAsia="Times New Roman" w:hAnsi="Book Antiqua" w:cs="Arial Unicode MS"/>
          <w:kern w:val="0"/>
          <w:sz w:val="24"/>
          <w:szCs w:val="24"/>
          <w:lang w:eastAsia="zh-CN"/>
        </w:rPr>
        <w:t>D168E and Y93H mutaions were not ditected by direct sequencing. Only V170I was detected by direct sequencing. ã-GTP</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ã-glutamyl transpeptidase; Ab</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Antibody; AFP</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á-fetoprotein; Ag</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Antigen</w:t>
      </w:r>
      <w:r w:rsidRPr="00D67AD8">
        <w:rPr>
          <w:rFonts w:ascii="Book Antiqua" w:eastAsia="Times New Roman" w:hAnsi="Book Antiqua" w:cs="Arial Unicode MS"/>
          <w:kern w:val="0"/>
          <w:sz w:val="24"/>
          <w:szCs w:val="24"/>
          <w:lang w:eastAsia="zh-CN"/>
        </w:rPr>
        <w:t>; ALP</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Alkaline </w:t>
      </w:r>
      <w:r w:rsidRPr="00D67AD8">
        <w:rPr>
          <w:rFonts w:ascii="Book Antiqua" w:eastAsia="Times New Roman" w:hAnsi="Book Antiqua" w:cs="Arial Unicode MS"/>
          <w:kern w:val="0"/>
          <w:sz w:val="24"/>
          <w:szCs w:val="24"/>
          <w:lang w:eastAsia="zh-CN"/>
        </w:rPr>
        <w:t>phosphatase; ALT</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Alanine </w:t>
      </w:r>
      <w:r w:rsidRPr="00D67AD8">
        <w:rPr>
          <w:rFonts w:ascii="Book Antiqua" w:eastAsia="Times New Roman" w:hAnsi="Book Antiqua" w:cs="Arial Unicode MS"/>
          <w:kern w:val="0"/>
          <w:sz w:val="24"/>
          <w:szCs w:val="24"/>
          <w:lang w:eastAsia="zh-CN"/>
        </w:rPr>
        <w:t>aminotransferase; AMA</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Antimitochondrial </w:t>
      </w:r>
      <w:r w:rsidRPr="00D67AD8">
        <w:rPr>
          <w:rFonts w:ascii="Book Antiqua" w:eastAsia="Times New Roman" w:hAnsi="Book Antiqua" w:cs="Arial Unicode MS"/>
          <w:kern w:val="0"/>
          <w:sz w:val="24"/>
          <w:szCs w:val="24"/>
          <w:lang w:eastAsia="zh-CN"/>
        </w:rPr>
        <w:t>antibody; ANA</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Antinuclear </w:t>
      </w:r>
      <w:r w:rsidRPr="00D67AD8">
        <w:rPr>
          <w:rFonts w:ascii="Book Antiqua" w:eastAsia="Times New Roman" w:hAnsi="Book Antiqua" w:cs="Arial Unicode MS"/>
          <w:kern w:val="0"/>
          <w:sz w:val="24"/>
          <w:szCs w:val="24"/>
          <w:lang w:eastAsia="zh-CN"/>
        </w:rPr>
        <w:t>antibody; ASMA</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Antismooth </w:t>
      </w:r>
      <w:r w:rsidRPr="00D67AD8">
        <w:rPr>
          <w:rFonts w:ascii="Book Antiqua" w:eastAsia="Times New Roman" w:hAnsi="Book Antiqua" w:cs="Arial Unicode MS"/>
          <w:kern w:val="0"/>
          <w:sz w:val="24"/>
          <w:szCs w:val="24"/>
          <w:lang w:eastAsia="zh-CN"/>
        </w:rPr>
        <w:t>muscle antibody; AST</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Aspartate </w:t>
      </w:r>
      <w:r w:rsidRPr="00D67AD8">
        <w:rPr>
          <w:rFonts w:ascii="Book Antiqua" w:eastAsia="Times New Roman" w:hAnsi="Book Antiqua" w:cs="Arial Unicode MS"/>
          <w:kern w:val="0"/>
          <w:sz w:val="24"/>
          <w:szCs w:val="24"/>
          <w:lang w:eastAsia="zh-CN"/>
        </w:rPr>
        <w:t>aminotransferase; BNP</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Brain </w:t>
      </w:r>
      <w:r w:rsidRPr="00D67AD8">
        <w:rPr>
          <w:rFonts w:ascii="Book Antiqua" w:eastAsia="Times New Roman" w:hAnsi="Book Antiqua" w:cs="Arial Unicode MS"/>
          <w:kern w:val="0"/>
          <w:sz w:val="24"/>
          <w:szCs w:val="24"/>
          <w:lang w:eastAsia="zh-CN"/>
        </w:rPr>
        <w:t>natriuretic polypeptide; BUN</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Blood </w:t>
      </w:r>
      <w:r w:rsidRPr="00D67AD8">
        <w:rPr>
          <w:rFonts w:ascii="Book Antiqua" w:eastAsia="Times New Roman" w:hAnsi="Book Antiqua" w:cs="Arial Unicode MS"/>
          <w:kern w:val="0"/>
          <w:sz w:val="24"/>
          <w:szCs w:val="24"/>
          <w:lang w:eastAsia="zh-CN"/>
        </w:rPr>
        <w:t>urea nitrogen; ChE</w:t>
      </w:r>
      <w:r w:rsidRPr="00765C6F">
        <w:rPr>
          <w:rFonts w:ascii="Book Antiqua" w:eastAsia="Times New Roman" w:hAnsi="Book Antiqua" w:cs="Arial Unicode MS"/>
          <w:kern w:val="0"/>
          <w:sz w:val="24"/>
          <w:szCs w:val="24"/>
          <w:lang w:eastAsia="zh-CN"/>
        </w:rPr>
        <w:t>: Cholinesterase</w:t>
      </w:r>
      <w:r w:rsidRPr="00D67AD8">
        <w:rPr>
          <w:rFonts w:ascii="Book Antiqua" w:eastAsia="Times New Roman" w:hAnsi="Book Antiqua" w:cs="Arial Unicode MS"/>
          <w:kern w:val="0"/>
          <w:sz w:val="24"/>
          <w:szCs w:val="24"/>
          <w:lang w:eastAsia="zh-CN"/>
        </w:rPr>
        <w:t>; CMV</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Cytomegalovirus</w:t>
      </w:r>
      <w:r w:rsidRPr="00D67AD8">
        <w:rPr>
          <w:rFonts w:ascii="Book Antiqua" w:eastAsia="Times New Roman" w:hAnsi="Book Antiqua" w:cs="Arial Unicode MS"/>
          <w:kern w:val="0"/>
          <w:sz w:val="24"/>
          <w:szCs w:val="24"/>
          <w:lang w:eastAsia="zh-CN"/>
        </w:rPr>
        <w:t>; CPK</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Creatine </w:t>
      </w:r>
      <w:r w:rsidRPr="00D67AD8">
        <w:rPr>
          <w:rFonts w:ascii="Book Antiqua" w:eastAsia="Times New Roman" w:hAnsi="Book Antiqua" w:cs="Arial Unicode MS"/>
          <w:kern w:val="0"/>
          <w:sz w:val="24"/>
          <w:szCs w:val="24"/>
          <w:lang w:eastAsia="zh-CN"/>
        </w:rPr>
        <w:t>phospho kinase; CRP</w:t>
      </w:r>
      <w:r w:rsidRPr="00765C6F">
        <w:rPr>
          <w:rFonts w:ascii="Book Antiqua" w:eastAsia="Times New Roman" w:hAnsi="Book Antiqua" w:cs="Arial Unicode MS"/>
          <w:kern w:val="0"/>
          <w:sz w:val="24"/>
          <w:szCs w:val="24"/>
          <w:lang w:eastAsia="zh-CN"/>
        </w:rPr>
        <w:t>: C-reactive protein; D-Bil:</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Direct </w:t>
      </w:r>
      <w:r w:rsidRPr="00D67AD8">
        <w:rPr>
          <w:rFonts w:ascii="Book Antiqua" w:eastAsia="Times New Roman" w:hAnsi="Book Antiqua" w:cs="Arial Unicode MS"/>
          <w:kern w:val="0"/>
          <w:sz w:val="24"/>
          <w:szCs w:val="24"/>
          <w:lang w:eastAsia="zh-CN"/>
        </w:rPr>
        <w:t>bilirubin; DLST</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Drug</w:t>
      </w:r>
      <w:r w:rsidRPr="00D67AD8">
        <w:rPr>
          <w:rFonts w:ascii="Book Antiqua" w:eastAsia="Times New Roman" w:hAnsi="Book Antiqua" w:cs="Arial Unicode MS"/>
          <w:kern w:val="0"/>
          <w:sz w:val="24"/>
          <w:szCs w:val="24"/>
          <w:lang w:eastAsia="zh-CN"/>
        </w:rPr>
        <w:t>-induced lymphocyte stimulation test; EBNA</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Epstein–Barr virus nuclear antigen; EBV</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Epstein-Barr virus; fT3</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Free </w:t>
      </w:r>
      <w:r w:rsidRPr="00D67AD8">
        <w:rPr>
          <w:rFonts w:ascii="Book Antiqua" w:eastAsia="Times New Roman" w:hAnsi="Book Antiqua" w:cs="Arial Unicode MS"/>
          <w:kern w:val="0"/>
          <w:sz w:val="24"/>
          <w:szCs w:val="24"/>
          <w:lang w:eastAsia="zh-CN"/>
        </w:rPr>
        <w:t>triiodothyronine; fT4</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Free </w:t>
      </w:r>
      <w:r w:rsidRPr="00D67AD8">
        <w:rPr>
          <w:rFonts w:ascii="Book Antiqua" w:eastAsia="Times New Roman" w:hAnsi="Book Antiqua" w:cs="Arial Unicode MS"/>
          <w:kern w:val="0"/>
          <w:sz w:val="24"/>
          <w:szCs w:val="24"/>
          <w:lang w:eastAsia="zh-CN"/>
        </w:rPr>
        <w:t>thyroxine; HAV</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Hepatitis </w:t>
      </w:r>
      <w:r w:rsidRPr="00D67AD8">
        <w:rPr>
          <w:rFonts w:ascii="Book Antiqua" w:eastAsia="Times New Roman" w:hAnsi="Book Antiqua" w:cs="Arial Unicode MS"/>
          <w:kern w:val="0"/>
          <w:sz w:val="24"/>
          <w:szCs w:val="24"/>
          <w:lang w:eastAsia="zh-CN"/>
        </w:rPr>
        <w:t>A virus; Hb</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Hemoglobin</w:t>
      </w:r>
      <w:r w:rsidRPr="00D67AD8">
        <w:rPr>
          <w:rFonts w:ascii="Book Antiqua" w:eastAsia="Times New Roman" w:hAnsi="Book Antiqua" w:cs="Arial Unicode MS"/>
          <w:kern w:val="0"/>
          <w:sz w:val="24"/>
          <w:szCs w:val="24"/>
          <w:lang w:eastAsia="zh-CN"/>
        </w:rPr>
        <w:t>; HBc</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Hepatitis B virus core; HBs:</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Hepatitis </w:t>
      </w:r>
      <w:r w:rsidRPr="00D67AD8">
        <w:rPr>
          <w:rFonts w:ascii="Book Antiqua" w:eastAsia="Times New Roman" w:hAnsi="Book Antiqua" w:cs="Arial Unicode MS"/>
          <w:kern w:val="0"/>
          <w:sz w:val="24"/>
          <w:szCs w:val="24"/>
          <w:lang w:eastAsia="zh-CN"/>
        </w:rPr>
        <w:t>B virus surface; HBV</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Hepatitis </w:t>
      </w:r>
      <w:r w:rsidRPr="00D67AD8">
        <w:rPr>
          <w:rFonts w:ascii="Book Antiqua" w:eastAsia="Times New Roman" w:hAnsi="Book Antiqua" w:cs="Arial Unicode MS"/>
          <w:kern w:val="0"/>
          <w:sz w:val="24"/>
          <w:szCs w:val="24"/>
          <w:lang w:eastAsia="zh-CN"/>
        </w:rPr>
        <w:t>B virus; HCV</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Hepatitis </w:t>
      </w:r>
      <w:r w:rsidRPr="00D67AD8">
        <w:rPr>
          <w:rFonts w:ascii="Book Antiqua" w:eastAsia="Times New Roman" w:hAnsi="Book Antiqua" w:cs="Arial Unicode MS"/>
          <w:kern w:val="0"/>
          <w:sz w:val="24"/>
          <w:szCs w:val="24"/>
          <w:lang w:eastAsia="zh-CN"/>
        </w:rPr>
        <w:t>C virus; HEV</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Hepatitis </w:t>
      </w:r>
      <w:r w:rsidRPr="00D67AD8">
        <w:rPr>
          <w:rFonts w:ascii="Book Antiqua" w:eastAsia="Times New Roman" w:hAnsi="Book Antiqua" w:cs="Arial Unicode MS"/>
          <w:kern w:val="0"/>
          <w:sz w:val="24"/>
          <w:szCs w:val="24"/>
          <w:lang w:eastAsia="zh-CN"/>
        </w:rPr>
        <w:t>E virus; HHV</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Human </w:t>
      </w:r>
      <w:r w:rsidRPr="00D67AD8">
        <w:rPr>
          <w:rFonts w:ascii="Book Antiqua" w:eastAsia="Times New Roman" w:hAnsi="Book Antiqua" w:cs="Arial Unicode MS"/>
          <w:kern w:val="0"/>
          <w:sz w:val="24"/>
          <w:szCs w:val="24"/>
          <w:lang w:eastAsia="zh-CN"/>
        </w:rPr>
        <w:t>herpes virus; HSV</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Herpes </w:t>
      </w:r>
      <w:r w:rsidRPr="00D67AD8">
        <w:rPr>
          <w:rFonts w:ascii="Book Antiqua" w:eastAsia="Times New Roman" w:hAnsi="Book Antiqua" w:cs="Arial Unicode MS"/>
          <w:kern w:val="0"/>
          <w:sz w:val="24"/>
          <w:szCs w:val="24"/>
          <w:lang w:eastAsia="zh-CN"/>
        </w:rPr>
        <w:t>simplex virus; Ig</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Immunoglobulin</w:t>
      </w:r>
      <w:r w:rsidRPr="00D67AD8">
        <w:rPr>
          <w:rFonts w:ascii="Book Antiqua" w:eastAsia="Times New Roman" w:hAnsi="Book Antiqua" w:cs="Arial Unicode MS"/>
          <w:kern w:val="0"/>
          <w:sz w:val="24"/>
          <w:szCs w:val="24"/>
          <w:lang w:eastAsia="zh-CN"/>
        </w:rPr>
        <w:t>; INR</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International </w:t>
      </w:r>
      <w:r w:rsidRPr="00D67AD8">
        <w:rPr>
          <w:rFonts w:ascii="Book Antiqua" w:eastAsia="Times New Roman" w:hAnsi="Book Antiqua" w:cs="Arial Unicode MS"/>
          <w:kern w:val="0"/>
          <w:sz w:val="24"/>
          <w:szCs w:val="24"/>
          <w:lang w:eastAsia="zh-CN"/>
        </w:rPr>
        <w:t>normalized ratio; LDH</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Lactic </w:t>
      </w:r>
      <w:r w:rsidRPr="00D67AD8">
        <w:rPr>
          <w:rFonts w:ascii="Book Antiqua" w:eastAsia="Times New Roman" w:hAnsi="Book Antiqua" w:cs="Arial Unicode MS"/>
          <w:kern w:val="0"/>
          <w:sz w:val="24"/>
          <w:szCs w:val="24"/>
          <w:lang w:eastAsia="zh-CN"/>
        </w:rPr>
        <w:t>dehydrogenase; PIVKA</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Protein </w:t>
      </w:r>
      <w:r w:rsidRPr="00D67AD8">
        <w:rPr>
          <w:rFonts w:ascii="Book Antiqua" w:eastAsia="Times New Roman" w:hAnsi="Book Antiqua" w:cs="Arial Unicode MS"/>
          <w:kern w:val="0"/>
          <w:sz w:val="24"/>
          <w:szCs w:val="24"/>
          <w:lang w:eastAsia="zh-CN"/>
        </w:rPr>
        <w:t>induced by vitamin K absence or antagonist; Plt</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Platelets</w:t>
      </w:r>
      <w:r w:rsidRPr="00D67AD8">
        <w:rPr>
          <w:rFonts w:ascii="Book Antiqua" w:eastAsia="Times New Roman" w:hAnsi="Book Antiqua" w:cs="Arial Unicode MS"/>
          <w:kern w:val="0"/>
          <w:sz w:val="24"/>
          <w:szCs w:val="24"/>
          <w:lang w:eastAsia="zh-CN"/>
        </w:rPr>
        <w:t>; PT</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Prothrombin </w:t>
      </w:r>
      <w:r w:rsidRPr="00D67AD8">
        <w:rPr>
          <w:rFonts w:ascii="Book Antiqua" w:eastAsia="Times New Roman" w:hAnsi="Book Antiqua" w:cs="Arial Unicode MS"/>
          <w:kern w:val="0"/>
          <w:sz w:val="24"/>
          <w:szCs w:val="24"/>
          <w:lang w:eastAsia="zh-CN"/>
        </w:rPr>
        <w:t>time; RBC</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Red blood cells; RF:</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Rheumatoid factor; T-Bil:</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Total </w:t>
      </w:r>
      <w:r w:rsidRPr="00D67AD8">
        <w:rPr>
          <w:rFonts w:ascii="Book Antiqua" w:eastAsia="Times New Roman" w:hAnsi="Book Antiqua" w:cs="Arial Unicode MS"/>
          <w:kern w:val="0"/>
          <w:sz w:val="24"/>
          <w:szCs w:val="24"/>
          <w:lang w:eastAsia="zh-CN"/>
        </w:rPr>
        <w:t>bilirubin; T.Chol</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Total </w:t>
      </w:r>
      <w:r w:rsidRPr="00D67AD8">
        <w:rPr>
          <w:rFonts w:ascii="Book Antiqua" w:eastAsia="Times New Roman" w:hAnsi="Book Antiqua" w:cs="Arial Unicode MS"/>
          <w:kern w:val="0"/>
          <w:sz w:val="24"/>
          <w:szCs w:val="24"/>
          <w:lang w:eastAsia="zh-CN"/>
        </w:rPr>
        <w:t>cholesterol; TP</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Total </w:t>
      </w:r>
      <w:r w:rsidRPr="00D67AD8">
        <w:rPr>
          <w:rFonts w:ascii="Book Antiqua" w:eastAsia="Times New Roman" w:hAnsi="Book Antiqua" w:cs="Arial Unicode MS"/>
          <w:kern w:val="0"/>
          <w:sz w:val="24"/>
          <w:szCs w:val="24"/>
          <w:lang w:eastAsia="zh-CN"/>
        </w:rPr>
        <w:t>protein; TSH</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Thyroid </w:t>
      </w:r>
      <w:r w:rsidRPr="00D67AD8">
        <w:rPr>
          <w:rFonts w:ascii="Book Antiqua" w:eastAsia="Times New Roman" w:hAnsi="Book Antiqua" w:cs="Arial Unicode MS"/>
          <w:kern w:val="0"/>
          <w:sz w:val="24"/>
          <w:szCs w:val="24"/>
          <w:lang w:eastAsia="zh-CN"/>
        </w:rPr>
        <w:t>stimulating hormone; UA</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Uric </w:t>
      </w:r>
      <w:r w:rsidRPr="00D67AD8">
        <w:rPr>
          <w:rFonts w:ascii="Book Antiqua" w:eastAsia="Times New Roman" w:hAnsi="Book Antiqua" w:cs="Arial Unicode MS"/>
          <w:kern w:val="0"/>
          <w:sz w:val="24"/>
          <w:szCs w:val="24"/>
          <w:lang w:eastAsia="zh-CN"/>
        </w:rPr>
        <w:t>acid; WBC</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White </w:t>
      </w:r>
      <w:r w:rsidRPr="00D67AD8">
        <w:rPr>
          <w:rFonts w:ascii="Book Antiqua" w:eastAsia="Times New Roman" w:hAnsi="Book Antiqua" w:cs="Arial Unicode MS"/>
          <w:kern w:val="0"/>
          <w:sz w:val="24"/>
          <w:szCs w:val="24"/>
          <w:lang w:eastAsia="zh-CN"/>
        </w:rPr>
        <w:t>blood cells.</w:t>
      </w:r>
    </w:p>
    <w:p w:rsidR="008358E2" w:rsidRDefault="008358E2">
      <w:pPr>
        <w:widowControl/>
        <w:jc w:val="left"/>
        <w:rPr>
          <w:rFonts w:ascii="Book Antiqua" w:eastAsia="Times New Roman" w:hAnsi="Book Antiqua" w:cs="Arial Unicode MS"/>
          <w:kern w:val="0"/>
          <w:sz w:val="24"/>
          <w:szCs w:val="24"/>
          <w:lang w:eastAsia="zh-CN"/>
        </w:rPr>
      </w:pPr>
      <w:r>
        <w:rPr>
          <w:rFonts w:ascii="Book Antiqua" w:eastAsia="Times New Roman" w:hAnsi="Book Antiqua" w:cs="Arial Unicode MS"/>
          <w:kern w:val="0"/>
          <w:sz w:val="24"/>
          <w:szCs w:val="24"/>
          <w:lang w:eastAsia="zh-CN"/>
        </w:rPr>
        <w:br w:type="page"/>
      </w:r>
    </w:p>
    <w:p w:rsidR="008358E2" w:rsidRPr="00E65C3C" w:rsidRDefault="008358E2" w:rsidP="00765C6F">
      <w:pPr>
        <w:spacing w:line="360" w:lineRule="auto"/>
        <w:rPr>
          <w:rFonts w:ascii="Book Antiqua" w:eastAsia="宋体" w:hAnsi="Book Antiqua"/>
          <w:color w:val="000000"/>
          <w:sz w:val="24"/>
          <w:szCs w:val="24"/>
          <w:lang w:eastAsia="zh-CN"/>
        </w:rPr>
      </w:pPr>
    </w:p>
    <w:p w:rsidR="008358E2" w:rsidRPr="00765C6F" w:rsidRDefault="008358E2" w:rsidP="00765C6F">
      <w:pPr>
        <w:spacing w:line="360" w:lineRule="auto"/>
        <w:rPr>
          <w:rFonts w:ascii="Book Antiqua" w:eastAsia="宋体" w:hAnsi="Book Antiqua"/>
          <w:b/>
          <w:color w:val="000000"/>
          <w:sz w:val="24"/>
          <w:szCs w:val="24"/>
          <w:lang w:eastAsia="zh-CN"/>
        </w:rPr>
      </w:pPr>
      <w:r w:rsidRPr="00765C6F">
        <w:rPr>
          <w:rFonts w:ascii="Book Antiqua" w:eastAsia="宋体" w:hAnsi="Book Antiqua"/>
          <w:b/>
          <w:color w:val="000000"/>
          <w:sz w:val="24"/>
          <w:szCs w:val="24"/>
          <w:lang w:eastAsia="zh-CN"/>
        </w:rPr>
        <w:t>Table 2 Time course of critical laboratory values</w:t>
      </w:r>
    </w:p>
    <w:tbl>
      <w:tblPr>
        <w:tblW w:w="11658" w:type="dxa"/>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7"/>
        <w:gridCol w:w="2830"/>
        <w:gridCol w:w="2370"/>
        <w:gridCol w:w="1975"/>
        <w:gridCol w:w="1976"/>
      </w:tblGrid>
      <w:tr w:rsidR="008358E2" w:rsidRPr="00765C6F" w:rsidTr="00FA3B8B">
        <w:trPr>
          <w:trHeight w:val="3929"/>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宋体" w:eastAsia="宋体" w:hAnsi="宋体" w:cs="宋体" w:hint="eastAsia"/>
                <w:kern w:val="0"/>
                <w:sz w:val="24"/>
                <w:szCs w:val="24"/>
                <w:lang w:eastAsia="zh-CN"/>
              </w:rPr>
              <w:t xml:space="preserve">　</w:t>
            </w:r>
          </w:p>
          <w:p w:rsidR="008358E2" w:rsidRPr="00FA3B8B" w:rsidRDefault="008358E2" w:rsidP="00FA3B8B">
            <w:pPr>
              <w:spacing w:line="360" w:lineRule="auto"/>
              <w:jc w:val="left"/>
              <w:rPr>
                <w:rFonts w:ascii="Book Antiqua" w:eastAsia="Times New Roman" w:hAnsi="Book Antiqua" w:cs="Arial Unicode MS"/>
                <w:kern w:val="0"/>
                <w:sz w:val="24"/>
                <w:szCs w:val="24"/>
                <w:lang w:eastAsia="zh-CN"/>
              </w:rPr>
            </w:pPr>
            <w:r w:rsidRPr="00FA3B8B">
              <w:rPr>
                <w:rFonts w:ascii="宋体" w:eastAsia="宋体" w:hAnsi="宋体" w:cs="宋体" w:hint="eastAsia"/>
                <w:kern w:val="0"/>
                <w:sz w:val="24"/>
                <w:szCs w:val="24"/>
                <w:lang w:eastAsia="zh-CN"/>
              </w:rPr>
              <w:t xml:space="preserve">　</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b/>
                <w:bCs/>
                <w:kern w:val="0"/>
                <w:sz w:val="24"/>
                <w:szCs w:val="24"/>
                <w:lang w:eastAsia="zh-CN"/>
              </w:rPr>
            </w:pPr>
            <w:r w:rsidRPr="00FA3B8B">
              <w:rPr>
                <w:rFonts w:ascii="Book Antiqua" w:eastAsia="Times New Roman" w:hAnsi="Book Antiqua" w:cs="Arial Unicode MS"/>
                <w:b/>
                <w:bCs/>
                <w:kern w:val="0"/>
                <w:sz w:val="24"/>
                <w:szCs w:val="24"/>
                <w:lang w:eastAsia="zh-CN"/>
              </w:rPr>
              <w:t>Before antiviral therapy</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b/>
                <w:bCs/>
                <w:kern w:val="0"/>
                <w:sz w:val="24"/>
                <w:szCs w:val="24"/>
                <w:lang w:eastAsia="zh-CN"/>
              </w:rPr>
            </w:pPr>
            <w:r w:rsidRPr="00FA3B8B">
              <w:rPr>
                <w:rFonts w:ascii="Book Antiqua" w:eastAsia="Times New Roman" w:hAnsi="Book Antiqua" w:cs="Arial Unicode MS"/>
                <w:b/>
                <w:bCs/>
                <w:kern w:val="0"/>
                <w:sz w:val="24"/>
                <w:szCs w:val="24"/>
                <w:lang w:eastAsia="zh-CN"/>
              </w:rPr>
              <w:t xml:space="preserve">Day 14 of treatment </w:t>
            </w:r>
          </w:p>
        </w:tc>
        <w:tc>
          <w:tcPr>
            <w:tcW w:w="0" w:type="auto"/>
          </w:tcPr>
          <w:p w:rsidR="008358E2" w:rsidRPr="00FA3B8B" w:rsidRDefault="008358E2" w:rsidP="00FA3B8B">
            <w:pPr>
              <w:widowControl/>
              <w:spacing w:line="360" w:lineRule="auto"/>
              <w:jc w:val="center"/>
              <w:rPr>
                <w:rFonts w:ascii="Book Antiqua" w:eastAsia="Times New Roman" w:hAnsi="Book Antiqua" w:cs="Arial Unicode MS"/>
                <w:b/>
                <w:bCs/>
                <w:kern w:val="0"/>
                <w:sz w:val="24"/>
                <w:szCs w:val="24"/>
                <w:lang w:eastAsia="zh-CN"/>
              </w:rPr>
            </w:pPr>
            <w:r w:rsidRPr="00FA3B8B">
              <w:rPr>
                <w:rFonts w:ascii="Book Antiqua" w:eastAsia="Times New Roman" w:hAnsi="Book Antiqua" w:cs="Arial Unicode MS"/>
                <w:b/>
                <w:bCs/>
                <w:kern w:val="0"/>
                <w:sz w:val="24"/>
                <w:szCs w:val="24"/>
                <w:lang w:eastAsia="zh-CN"/>
              </w:rPr>
              <w:t>Day 21 of the initiation of treatment (Day 3 after discontinuation of the treatment)</w:t>
            </w:r>
          </w:p>
        </w:tc>
        <w:tc>
          <w:tcPr>
            <w:tcW w:w="0" w:type="auto"/>
          </w:tcPr>
          <w:p w:rsidR="008358E2" w:rsidRPr="00FA3B8B" w:rsidRDefault="008358E2" w:rsidP="00FA3B8B">
            <w:pPr>
              <w:widowControl/>
              <w:spacing w:line="360" w:lineRule="auto"/>
              <w:jc w:val="center"/>
              <w:rPr>
                <w:rFonts w:ascii="Book Antiqua" w:eastAsia="Times New Roman" w:hAnsi="Book Antiqua" w:cs="Arial Unicode MS"/>
                <w:b/>
                <w:bCs/>
                <w:kern w:val="0"/>
                <w:sz w:val="24"/>
                <w:szCs w:val="24"/>
                <w:lang w:eastAsia="zh-CN"/>
              </w:rPr>
            </w:pPr>
            <w:r w:rsidRPr="00FA3B8B">
              <w:rPr>
                <w:rFonts w:ascii="Book Antiqua" w:eastAsia="Times New Roman" w:hAnsi="Book Antiqua" w:cs="Arial Unicode MS"/>
                <w:b/>
                <w:bCs/>
                <w:kern w:val="0"/>
                <w:sz w:val="24"/>
                <w:szCs w:val="24"/>
                <w:lang w:eastAsia="zh-CN"/>
              </w:rPr>
              <w:t>Day 35 of the initiation of treatment (Day 17 after</w:t>
            </w:r>
            <w:bookmarkStart w:id="8" w:name="_GoBack"/>
            <w:bookmarkEnd w:id="8"/>
            <w:r w:rsidRPr="00FA3B8B">
              <w:rPr>
                <w:rFonts w:ascii="Book Antiqua" w:eastAsia="Times New Roman" w:hAnsi="Book Antiqua" w:cs="Arial Unicode MS"/>
                <w:b/>
                <w:bCs/>
                <w:kern w:val="0"/>
                <w:sz w:val="24"/>
                <w:szCs w:val="24"/>
                <w:lang w:eastAsia="zh-CN"/>
              </w:rPr>
              <w:t xml:space="preserve"> discontinuation of the treatment)</w:t>
            </w:r>
          </w:p>
        </w:tc>
      </w:tr>
      <w:tr w:rsidR="008358E2" w:rsidRPr="00765C6F" w:rsidTr="00FA3B8B">
        <w:trPr>
          <w:trHeight w:val="432"/>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Hematology</w:t>
            </w: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r>
      <w:tr w:rsidR="008358E2" w:rsidRPr="00765C6F" w:rsidTr="00FA3B8B">
        <w:trPr>
          <w:trHeight w:val="432"/>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WBC (ìL)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5000</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12130 </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7800 </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5950 </w:t>
            </w:r>
          </w:p>
        </w:tc>
      </w:tr>
      <w:tr w:rsidR="008358E2" w:rsidRPr="00765C6F" w:rsidTr="00FA3B8B">
        <w:trPr>
          <w:trHeight w:val="432"/>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Neutrophils (%)</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82 </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35 </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47 </w:t>
            </w:r>
          </w:p>
        </w:tc>
      </w:tr>
      <w:tr w:rsidR="008358E2" w:rsidRPr="00765C6F" w:rsidTr="00FA3B8B">
        <w:trPr>
          <w:trHeight w:val="432"/>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Lymphocytes (%)</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10 </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26 </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43 </w:t>
            </w:r>
          </w:p>
        </w:tc>
      </w:tr>
      <w:tr w:rsidR="008358E2" w:rsidRPr="00765C6F" w:rsidTr="00FA3B8B">
        <w:trPr>
          <w:trHeight w:val="432"/>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Monocytes (%)</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6 </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6 </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7 </w:t>
            </w:r>
          </w:p>
        </w:tc>
      </w:tr>
      <w:tr w:rsidR="008358E2" w:rsidRPr="00765C6F" w:rsidTr="00FA3B8B">
        <w:trPr>
          <w:trHeight w:val="432"/>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Eosinophils (%)</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1 </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32 </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3 </w:t>
            </w:r>
          </w:p>
        </w:tc>
      </w:tr>
      <w:tr w:rsidR="008358E2" w:rsidRPr="00765C6F" w:rsidTr="00FA3B8B">
        <w:trPr>
          <w:trHeight w:val="432"/>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Plt  (ìL)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111000</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79000</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130000</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115000</w:t>
            </w:r>
          </w:p>
        </w:tc>
      </w:tr>
      <w:tr w:rsidR="008358E2" w:rsidRPr="00765C6F" w:rsidTr="00FA3B8B">
        <w:trPr>
          <w:trHeight w:val="432"/>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p>
        </w:tc>
      </w:tr>
      <w:tr w:rsidR="008358E2" w:rsidRPr="00765C6F" w:rsidTr="00FA3B8B">
        <w:trPr>
          <w:trHeight w:val="432"/>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Blood Chemistry</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p>
        </w:tc>
      </w:tr>
      <w:tr w:rsidR="008358E2" w:rsidRPr="00765C6F" w:rsidTr="00FA3B8B">
        <w:trPr>
          <w:trHeight w:val="432"/>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Albumin  (g/dL)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4.1</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3.3</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3.4</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4.2</w:t>
            </w:r>
          </w:p>
        </w:tc>
      </w:tr>
      <w:tr w:rsidR="008358E2" w:rsidRPr="00765C6F" w:rsidTr="00FA3B8B">
        <w:trPr>
          <w:trHeight w:val="432"/>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T-Bil (mg/dL)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0.5</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1.9</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0.4</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0.5</w:t>
            </w:r>
          </w:p>
        </w:tc>
      </w:tr>
      <w:tr w:rsidR="008358E2" w:rsidRPr="00765C6F" w:rsidTr="00FA3B8B">
        <w:trPr>
          <w:trHeight w:val="432"/>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D-Bil (mg/dL)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0</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0.7</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0.1</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0.1</w:t>
            </w:r>
          </w:p>
        </w:tc>
      </w:tr>
      <w:tr w:rsidR="008358E2" w:rsidRPr="00765C6F" w:rsidTr="00FA3B8B">
        <w:trPr>
          <w:trHeight w:val="432"/>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AST (IU/L)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57</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15</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17</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28</w:t>
            </w:r>
          </w:p>
        </w:tc>
      </w:tr>
      <w:tr w:rsidR="008358E2" w:rsidRPr="00765C6F" w:rsidTr="00FA3B8B">
        <w:trPr>
          <w:trHeight w:val="432"/>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ALT (IU/L)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57</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22</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18</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23</w:t>
            </w:r>
          </w:p>
        </w:tc>
      </w:tr>
      <w:tr w:rsidR="008358E2" w:rsidRPr="00765C6F" w:rsidTr="00FA3B8B">
        <w:trPr>
          <w:trHeight w:val="432"/>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 xml:space="preserve">  ChE (IU/L)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311</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257</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204</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kern w:val="0"/>
                <w:sz w:val="24"/>
                <w:szCs w:val="24"/>
                <w:lang w:eastAsia="zh-CN"/>
              </w:rPr>
            </w:pPr>
            <w:r w:rsidRPr="00FA3B8B">
              <w:rPr>
                <w:rFonts w:ascii="Book Antiqua" w:eastAsia="Times New Roman" w:hAnsi="Book Antiqua" w:cs="Arial Unicode MS"/>
                <w:kern w:val="0"/>
                <w:sz w:val="24"/>
                <w:szCs w:val="24"/>
                <w:lang w:eastAsia="zh-CN"/>
              </w:rPr>
              <w:t>276</w:t>
            </w:r>
          </w:p>
        </w:tc>
      </w:tr>
      <w:tr w:rsidR="008358E2" w:rsidRPr="00765C6F" w:rsidTr="00FA3B8B">
        <w:trPr>
          <w:trHeight w:val="432"/>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 xml:space="preserve">  T. Chol  (mg/dL)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170</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126</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140</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179</w:t>
            </w:r>
          </w:p>
        </w:tc>
      </w:tr>
      <w:tr w:rsidR="008358E2" w:rsidRPr="00765C6F" w:rsidTr="00FA3B8B">
        <w:trPr>
          <w:trHeight w:val="432"/>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 xml:space="preserve">  BUN (mg/dL)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13</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28</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6</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16</w:t>
            </w:r>
          </w:p>
        </w:tc>
      </w:tr>
      <w:tr w:rsidR="008358E2" w:rsidRPr="00765C6F" w:rsidTr="00FA3B8B">
        <w:trPr>
          <w:trHeight w:val="432"/>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 xml:space="preserve">  Cre (mg/dL)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0.7</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1.4</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0.6</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0.8</w:t>
            </w:r>
          </w:p>
        </w:tc>
      </w:tr>
      <w:tr w:rsidR="008358E2" w:rsidRPr="00765C6F" w:rsidTr="00FA3B8B">
        <w:trPr>
          <w:trHeight w:val="432"/>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 xml:space="preserve">  CRP (mg/dL)</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0.1</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3.5</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0.6</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0</w:t>
            </w:r>
          </w:p>
        </w:tc>
      </w:tr>
      <w:tr w:rsidR="008358E2" w:rsidRPr="00765C6F" w:rsidTr="00FA3B8B">
        <w:trPr>
          <w:trHeight w:val="432"/>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color w:val="000000"/>
                <w:kern w:val="0"/>
                <w:sz w:val="24"/>
                <w:szCs w:val="24"/>
                <w:lang w:eastAsia="zh-CN"/>
              </w:rPr>
            </w:pP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p>
        </w:tc>
      </w:tr>
      <w:tr w:rsidR="008358E2" w:rsidRPr="00765C6F" w:rsidTr="00FA3B8B">
        <w:trPr>
          <w:trHeight w:val="432"/>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Blood coagulation</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p>
        </w:tc>
      </w:tr>
      <w:tr w:rsidR="008358E2" w:rsidRPr="00765C6F" w:rsidTr="00FA3B8B">
        <w:trPr>
          <w:trHeight w:val="432"/>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 xml:space="preserve">  PT (%)</w:t>
            </w:r>
          </w:p>
        </w:tc>
        <w:tc>
          <w:tcPr>
            <w:tcW w:w="0" w:type="auto"/>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102</w:t>
            </w:r>
          </w:p>
        </w:tc>
        <w:tc>
          <w:tcPr>
            <w:tcW w:w="0" w:type="auto"/>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66.4</w:t>
            </w:r>
          </w:p>
        </w:tc>
        <w:tc>
          <w:tcPr>
            <w:tcW w:w="0" w:type="auto"/>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74.5</w:t>
            </w:r>
          </w:p>
        </w:tc>
        <w:tc>
          <w:tcPr>
            <w:tcW w:w="0" w:type="auto"/>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95.5</w:t>
            </w:r>
          </w:p>
        </w:tc>
      </w:tr>
      <w:tr w:rsidR="008358E2" w:rsidRPr="00765C6F" w:rsidTr="00FA3B8B">
        <w:trPr>
          <w:trHeight w:val="432"/>
        </w:trPr>
        <w:tc>
          <w:tcPr>
            <w:tcW w:w="0" w:type="auto"/>
            <w:noWrap/>
          </w:tcPr>
          <w:p w:rsidR="008358E2" w:rsidRPr="00FA3B8B" w:rsidRDefault="008358E2" w:rsidP="00FA3B8B">
            <w:pPr>
              <w:widowControl/>
              <w:spacing w:line="360" w:lineRule="auto"/>
              <w:jc w:val="left"/>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 xml:space="preserve">  PT-INR</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1.01</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1.22</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1.16</w:t>
            </w:r>
          </w:p>
        </w:tc>
        <w:tc>
          <w:tcPr>
            <w:tcW w:w="0" w:type="auto"/>
            <w:noWrap/>
          </w:tcPr>
          <w:p w:rsidR="008358E2" w:rsidRPr="00FA3B8B" w:rsidRDefault="008358E2" w:rsidP="00FA3B8B">
            <w:pPr>
              <w:widowControl/>
              <w:spacing w:line="360" w:lineRule="auto"/>
              <w:jc w:val="center"/>
              <w:rPr>
                <w:rFonts w:ascii="Book Antiqua" w:eastAsia="Times New Roman" w:hAnsi="Book Antiqua" w:cs="Arial Unicode MS"/>
                <w:color w:val="000000"/>
                <w:kern w:val="0"/>
                <w:sz w:val="24"/>
                <w:szCs w:val="24"/>
                <w:lang w:eastAsia="zh-CN"/>
              </w:rPr>
            </w:pPr>
            <w:r w:rsidRPr="00FA3B8B">
              <w:rPr>
                <w:rFonts w:ascii="Book Antiqua" w:eastAsia="Times New Roman" w:hAnsi="Book Antiqua" w:cs="Arial Unicode MS"/>
                <w:color w:val="000000"/>
                <w:kern w:val="0"/>
                <w:sz w:val="24"/>
                <w:szCs w:val="24"/>
                <w:lang w:eastAsia="zh-CN"/>
              </w:rPr>
              <w:t>1.04</w:t>
            </w:r>
          </w:p>
        </w:tc>
      </w:tr>
    </w:tbl>
    <w:p w:rsidR="008358E2" w:rsidRPr="00765C6F" w:rsidRDefault="008358E2" w:rsidP="00765C6F">
      <w:pPr>
        <w:spacing w:line="360" w:lineRule="auto"/>
        <w:rPr>
          <w:rFonts w:ascii="Book Antiqua" w:eastAsia="宋体" w:hAnsi="Book Antiqua"/>
          <w:color w:val="000000"/>
          <w:sz w:val="24"/>
          <w:szCs w:val="24"/>
          <w:lang w:eastAsia="zh-CN"/>
        </w:rPr>
      </w:pPr>
      <w:r w:rsidRPr="00D67AD8">
        <w:rPr>
          <w:rFonts w:ascii="Book Antiqua" w:eastAsia="Times New Roman" w:hAnsi="Book Antiqua" w:cs="Arial Unicode MS"/>
          <w:kern w:val="0"/>
          <w:sz w:val="24"/>
          <w:szCs w:val="24"/>
          <w:lang w:eastAsia="zh-CN"/>
        </w:rPr>
        <w:t>WBC</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White blood cells; </w:t>
      </w:r>
      <w:r w:rsidRPr="00D67AD8">
        <w:rPr>
          <w:rFonts w:ascii="Book Antiqua" w:eastAsia="Times New Roman" w:hAnsi="Book Antiqua" w:cs="Arial Unicode MS"/>
          <w:kern w:val="0"/>
          <w:sz w:val="24"/>
          <w:szCs w:val="24"/>
          <w:lang w:eastAsia="zh-CN"/>
        </w:rPr>
        <w:t>Plt</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Platelets</w:t>
      </w:r>
      <w:r w:rsidRPr="00D67AD8">
        <w:rPr>
          <w:rFonts w:ascii="Book Antiqua" w:eastAsia="Times New Roman" w:hAnsi="Book Antiqua" w:cs="Arial Unicode MS"/>
          <w:kern w:val="0"/>
          <w:sz w:val="24"/>
          <w:szCs w:val="24"/>
          <w:lang w:eastAsia="zh-CN"/>
        </w:rPr>
        <w:t>; PT</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Prothrombin </w:t>
      </w:r>
      <w:r w:rsidRPr="00D67AD8">
        <w:rPr>
          <w:rFonts w:ascii="Book Antiqua" w:eastAsia="Times New Roman" w:hAnsi="Book Antiqua" w:cs="Arial Unicode MS"/>
          <w:kern w:val="0"/>
          <w:sz w:val="24"/>
          <w:szCs w:val="24"/>
          <w:lang w:eastAsia="zh-CN"/>
        </w:rPr>
        <w:t>time;</w:t>
      </w:r>
      <w:r w:rsidRPr="00765C6F">
        <w:rPr>
          <w:rFonts w:ascii="Book Antiqua" w:eastAsia="Times New Roman" w:hAnsi="Book Antiqua" w:cs="Arial Unicode MS"/>
          <w:kern w:val="0"/>
          <w:sz w:val="24"/>
          <w:szCs w:val="24"/>
          <w:lang w:eastAsia="zh-CN"/>
        </w:rPr>
        <w:t xml:space="preserve"> T-Bil:</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Total </w:t>
      </w:r>
      <w:r w:rsidRPr="00D67AD8">
        <w:rPr>
          <w:rFonts w:ascii="Book Antiqua" w:eastAsia="Times New Roman" w:hAnsi="Book Antiqua" w:cs="Arial Unicode MS"/>
          <w:kern w:val="0"/>
          <w:sz w:val="24"/>
          <w:szCs w:val="24"/>
          <w:lang w:eastAsia="zh-CN"/>
        </w:rPr>
        <w:t>bilirubin; T.</w:t>
      </w:r>
      <w:r w:rsidRPr="00765C6F">
        <w:rPr>
          <w:rFonts w:ascii="Book Antiqua" w:eastAsia="Times New Roman" w:hAnsi="Book Antiqua" w:cs="Arial Unicode MS"/>
          <w:kern w:val="0"/>
          <w:sz w:val="24"/>
          <w:szCs w:val="24"/>
          <w:lang w:eastAsia="zh-CN"/>
        </w:rPr>
        <w:t xml:space="preserve"> </w:t>
      </w:r>
      <w:r w:rsidRPr="00D67AD8">
        <w:rPr>
          <w:rFonts w:ascii="Book Antiqua" w:eastAsia="Times New Roman" w:hAnsi="Book Antiqua" w:cs="Arial Unicode MS"/>
          <w:kern w:val="0"/>
          <w:sz w:val="24"/>
          <w:szCs w:val="24"/>
          <w:lang w:eastAsia="zh-CN"/>
        </w:rPr>
        <w:t>Chol</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Total </w:t>
      </w:r>
      <w:r w:rsidRPr="00D67AD8">
        <w:rPr>
          <w:rFonts w:ascii="Book Antiqua" w:eastAsia="Times New Roman" w:hAnsi="Book Antiqua" w:cs="Arial Unicode MS"/>
          <w:kern w:val="0"/>
          <w:sz w:val="24"/>
          <w:szCs w:val="24"/>
          <w:lang w:eastAsia="zh-CN"/>
        </w:rPr>
        <w:t>cholesterol; TP</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Total </w:t>
      </w:r>
      <w:r w:rsidRPr="00D67AD8">
        <w:rPr>
          <w:rFonts w:ascii="Book Antiqua" w:eastAsia="Times New Roman" w:hAnsi="Book Antiqua" w:cs="Arial Unicode MS"/>
          <w:kern w:val="0"/>
          <w:sz w:val="24"/>
          <w:szCs w:val="24"/>
          <w:lang w:eastAsia="zh-CN"/>
        </w:rPr>
        <w:t>protein</w:t>
      </w:r>
      <w:r w:rsidRPr="00765C6F">
        <w:rPr>
          <w:rFonts w:ascii="Book Antiqua" w:eastAsia="Times New Roman" w:hAnsi="Book Antiqua" w:cs="Arial Unicode MS"/>
          <w:kern w:val="0"/>
          <w:sz w:val="24"/>
          <w:szCs w:val="24"/>
          <w:lang w:eastAsia="zh-CN"/>
        </w:rPr>
        <w:t xml:space="preserve">; </w:t>
      </w:r>
      <w:r w:rsidRPr="00D67AD8">
        <w:rPr>
          <w:rFonts w:ascii="Book Antiqua" w:eastAsia="Times New Roman" w:hAnsi="Book Antiqua" w:cs="Arial Unicode MS"/>
          <w:kern w:val="0"/>
          <w:sz w:val="24"/>
          <w:szCs w:val="24"/>
          <w:lang w:eastAsia="zh-CN"/>
        </w:rPr>
        <w:t>CRP</w:t>
      </w:r>
      <w:r w:rsidRPr="00765C6F">
        <w:rPr>
          <w:rFonts w:ascii="Book Antiqua" w:eastAsia="Times New Roman" w:hAnsi="Book Antiqua" w:cs="Arial Unicode MS"/>
          <w:kern w:val="0"/>
          <w:sz w:val="24"/>
          <w:szCs w:val="24"/>
          <w:lang w:eastAsia="zh-CN"/>
        </w:rPr>
        <w:t xml:space="preserve">: C-reactive protein; </w:t>
      </w:r>
      <w:r w:rsidRPr="00D67AD8">
        <w:rPr>
          <w:rFonts w:ascii="Book Antiqua" w:eastAsia="Times New Roman" w:hAnsi="Book Antiqua" w:cs="Arial Unicode MS"/>
          <w:kern w:val="0"/>
          <w:sz w:val="24"/>
          <w:szCs w:val="24"/>
          <w:lang w:eastAsia="zh-CN"/>
        </w:rPr>
        <w:t>AST</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Aspartate </w:t>
      </w:r>
      <w:r w:rsidRPr="00D67AD8">
        <w:rPr>
          <w:rFonts w:ascii="Book Antiqua" w:eastAsia="Times New Roman" w:hAnsi="Book Antiqua" w:cs="Arial Unicode MS"/>
          <w:kern w:val="0"/>
          <w:sz w:val="24"/>
          <w:szCs w:val="24"/>
          <w:lang w:eastAsia="zh-CN"/>
        </w:rPr>
        <w:t>aminotransferase;</w:t>
      </w:r>
      <w:r w:rsidRPr="00765C6F">
        <w:rPr>
          <w:rFonts w:ascii="Book Antiqua" w:eastAsia="Times New Roman" w:hAnsi="Book Antiqua" w:cs="Arial Unicode MS"/>
          <w:kern w:val="0"/>
          <w:sz w:val="24"/>
          <w:szCs w:val="24"/>
          <w:lang w:eastAsia="zh-CN"/>
        </w:rPr>
        <w:t xml:space="preserve"> </w:t>
      </w:r>
      <w:r w:rsidRPr="00D67AD8">
        <w:rPr>
          <w:rFonts w:ascii="Book Antiqua" w:eastAsia="Times New Roman" w:hAnsi="Book Antiqua" w:cs="Arial Unicode MS"/>
          <w:kern w:val="0"/>
          <w:sz w:val="24"/>
          <w:szCs w:val="24"/>
          <w:lang w:eastAsia="zh-CN"/>
        </w:rPr>
        <w:t>ALT</w:t>
      </w:r>
      <w:r w:rsidRPr="00765C6F">
        <w:rPr>
          <w:rFonts w:ascii="Book Antiqua" w:eastAsia="Times New Roman" w:hAnsi="Book Antiqua" w:cs="Arial Unicode MS"/>
          <w:kern w:val="0"/>
          <w:sz w:val="24"/>
          <w:szCs w:val="24"/>
          <w:lang w:eastAsia="zh-CN"/>
        </w:rPr>
        <w:t>:</w:t>
      </w:r>
      <w:r w:rsidRPr="00D67AD8">
        <w:rPr>
          <w:rFonts w:ascii="Book Antiqua" w:eastAsia="Times New Roman" w:hAnsi="Book Antiqua" w:cs="Arial Unicode MS"/>
          <w:kern w:val="0"/>
          <w:sz w:val="24"/>
          <w:szCs w:val="24"/>
          <w:lang w:eastAsia="zh-CN"/>
        </w:rPr>
        <w:t xml:space="preserve"> </w:t>
      </w:r>
      <w:r w:rsidRPr="00765C6F">
        <w:rPr>
          <w:rFonts w:ascii="Book Antiqua" w:eastAsia="Times New Roman" w:hAnsi="Book Antiqua" w:cs="Arial Unicode MS"/>
          <w:kern w:val="0"/>
          <w:sz w:val="24"/>
          <w:szCs w:val="24"/>
          <w:lang w:eastAsia="zh-CN"/>
        </w:rPr>
        <w:t xml:space="preserve">Alanine </w:t>
      </w:r>
      <w:r w:rsidRPr="00D67AD8">
        <w:rPr>
          <w:rFonts w:ascii="Book Antiqua" w:eastAsia="Times New Roman" w:hAnsi="Book Antiqua" w:cs="Arial Unicode MS"/>
          <w:kern w:val="0"/>
          <w:sz w:val="24"/>
          <w:szCs w:val="24"/>
          <w:lang w:eastAsia="zh-CN"/>
        </w:rPr>
        <w:t>aminotra</w:t>
      </w:r>
      <w:r w:rsidRPr="00765C6F">
        <w:rPr>
          <w:rFonts w:ascii="Book Antiqua" w:eastAsia="Times New Roman" w:hAnsi="Book Antiqua" w:cs="Arial Unicode MS"/>
          <w:kern w:val="0"/>
          <w:sz w:val="24"/>
          <w:szCs w:val="24"/>
          <w:lang w:eastAsia="zh-CN"/>
        </w:rPr>
        <w:t xml:space="preserve">nsferase; </w:t>
      </w:r>
      <w:r w:rsidRPr="00D67AD8">
        <w:rPr>
          <w:rFonts w:ascii="Book Antiqua" w:eastAsia="Times New Roman" w:hAnsi="Book Antiqua" w:cs="Arial Unicode MS"/>
          <w:kern w:val="0"/>
          <w:sz w:val="24"/>
          <w:szCs w:val="24"/>
          <w:lang w:eastAsia="zh-CN"/>
        </w:rPr>
        <w:t>ChE</w:t>
      </w:r>
      <w:r w:rsidRPr="00765C6F">
        <w:rPr>
          <w:rFonts w:ascii="Book Antiqua" w:eastAsia="Times New Roman" w:hAnsi="Book Antiqua" w:cs="Arial Unicode MS"/>
          <w:kern w:val="0"/>
          <w:sz w:val="24"/>
          <w:szCs w:val="24"/>
          <w:lang w:eastAsia="zh-CN"/>
        </w:rPr>
        <w:t>: Cholinesterase.</w:t>
      </w:r>
    </w:p>
    <w:sectPr w:rsidR="008358E2" w:rsidRPr="00765C6F" w:rsidSect="002851A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8E2" w:rsidRDefault="008358E2" w:rsidP="003D0D51">
      <w:r>
        <w:separator/>
      </w:r>
    </w:p>
  </w:endnote>
  <w:endnote w:type="continuationSeparator" w:id="0">
    <w:p w:rsidR="008358E2" w:rsidRDefault="008358E2" w:rsidP="003D0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altName w:val="Times New Roman"/>
    <w:panose1 w:val="02040603050705020303"/>
    <w:charset w:val="00"/>
    <w:family w:val="roman"/>
    <w:notTrueType/>
    <w:pitch w:val="variable"/>
    <w:sig w:usb0="00000003" w:usb1="00000000" w:usb2="00000000" w:usb3="00000000" w:csb0="00000001" w:csb1="00000000"/>
  </w:font>
  <w:font w:name="｣ﾍ｣ﾓ ﾃｯ">
    <w:altName w:val="?? ??"/>
    <w:panose1 w:val="00000000000000000000"/>
    <w:charset w:val="80"/>
    <w:family w:val="auto"/>
    <w:notTrueType/>
    <w:pitch w:val="variable"/>
    <w:sig w:usb0="00000001" w:usb1="08070000" w:usb2="00000010" w:usb3="00000000" w:csb0="00020000" w:csb1="00000000"/>
  </w:font>
  <w:font w:name="MS Mincho">
    <w:altName w:val="MS Gothic"/>
    <w:panose1 w:val="02020609040205080304"/>
    <w:charset w:val="80"/>
    <w:family w:val="roman"/>
    <w:notTrueType/>
    <w:pitch w:val="fixed"/>
    <w:sig w:usb0="00000001" w:usb1="08070000" w:usb2="00000010" w:usb3="00000000" w:csb0="00020000" w:csb1="00000000"/>
  </w:font>
  <w:font w:name="宋体">
    <w:altName w:val="ang"/>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ﾍ｣ﾓ ･ｴ･ｷ･ﾃ･ｯ">
    <w:panose1 w:val="00000000000000000000"/>
    <w:charset w:val="80"/>
    <w:family w:val="auto"/>
    <w:notTrueType/>
    <w:pitch w:val="variable"/>
    <w:sig w:usb0="00000001" w:usb1="08070000" w:usb2="00000010" w:usb3="00000000" w:csb0="00020000" w:csb1="00000000"/>
  </w:font>
  <w:font w:name="Book Antiqua">
    <w:altName w:val="Palatino Linotype"/>
    <w:panose1 w:val="02040602050305030304"/>
    <w:charset w:val="00"/>
    <w:family w:val="roman"/>
    <w:pitch w:val="variable"/>
    <w:sig w:usb0="00000287" w:usb1="00000000" w:usb2="00000000" w:usb3="00000000" w:csb0="0000009F" w:csb1="00000000"/>
  </w:font>
  <w:font w:name="AdvTimes">
    <w:altName w:val="黑体"/>
    <w:panose1 w:val="00000000000000000000"/>
    <w:charset w:val="86"/>
    <w:family w:val="auto"/>
    <w:notTrueType/>
    <w:pitch w:val="default"/>
    <w:sig w:usb0="00000001"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8E2" w:rsidRDefault="008358E2" w:rsidP="003D0D51">
      <w:r>
        <w:separator/>
      </w:r>
    </w:p>
  </w:footnote>
  <w:footnote w:type="continuationSeparator" w:id="0">
    <w:p w:rsidR="008358E2" w:rsidRDefault="008358E2" w:rsidP="003D0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B31FC"/>
    <w:multiLevelType w:val="hybridMultilevel"/>
    <w:tmpl w:val="9160BD24"/>
    <w:lvl w:ilvl="0" w:tplc="0ED2F47C">
      <w:start w:val="1"/>
      <w:numFmt w:val="decimal"/>
      <w:lvlText w:val="%1)"/>
      <w:lvlJc w:val="left"/>
      <w:pPr>
        <w:ind w:left="420" w:hanging="420"/>
      </w:pPr>
      <w:rPr>
        <w:rFonts w:cs="Times New Roman" w:hint="eastAsia"/>
      </w:rPr>
    </w:lvl>
    <w:lvl w:ilvl="1" w:tplc="F886F618" w:tentative="1">
      <w:start w:val="1"/>
      <w:numFmt w:val="aiueoFullWidth"/>
      <w:lvlText w:val="(%2)"/>
      <w:lvlJc w:val="left"/>
      <w:pPr>
        <w:ind w:left="840" w:hanging="420"/>
      </w:pPr>
      <w:rPr>
        <w:rFonts w:cs="Times New Roman"/>
      </w:rPr>
    </w:lvl>
    <w:lvl w:ilvl="2" w:tplc="84DA4986" w:tentative="1">
      <w:start w:val="1"/>
      <w:numFmt w:val="decimalEnclosedCircle"/>
      <w:lvlText w:val="%3"/>
      <w:lvlJc w:val="left"/>
      <w:pPr>
        <w:ind w:left="1260" w:hanging="420"/>
      </w:pPr>
      <w:rPr>
        <w:rFonts w:cs="Times New Roman"/>
      </w:rPr>
    </w:lvl>
    <w:lvl w:ilvl="3" w:tplc="2E643CFC" w:tentative="1">
      <w:start w:val="1"/>
      <w:numFmt w:val="decimal"/>
      <w:lvlText w:val="%4."/>
      <w:lvlJc w:val="left"/>
      <w:pPr>
        <w:ind w:left="1680" w:hanging="420"/>
      </w:pPr>
      <w:rPr>
        <w:rFonts w:cs="Times New Roman"/>
      </w:rPr>
    </w:lvl>
    <w:lvl w:ilvl="4" w:tplc="01AC9820" w:tentative="1">
      <w:start w:val="1"/>
      <w:numFmt w:val="aiueoFullWidth"/>
      <w:lvlText w:val="(%5)"/>
      <w:lvlJc w:val="left"/>
      <w:pPr>
        <w:ind w:left="2100" w:hanging="420"/>
      </w:pPr>
      <w:rPr>
        <w:rFonts w:cs="Times New Roman"/>
      </w:rPr>
    </w:lvl>
    <w:lvl w:ilvl="5" w:tplc="87205BAE" w:tentative="1">
      <w:start w:val="1"/>
      <w:numFmt w:val="decimalEnclosedCircle"/>
      <w:lvlText w:val="%6"/>
      <w:lvlJc w:val="left"/>
      <w:pPr>
        <w:ind w:left="2520" w:hanging="420"/>
      </w:pPr>
      <w:rPr>
        <w:rFonts w:cs="Times New Roman"/>
      </w:rPr>
    </w:lvl>
    <w:lvl w:ilvl="6" w:tplc="974A5ACE" w:tentative="1">
      <w:start w:val="1"/>
      <w:numFmt w:val="decimal"/>
      <w:lvlText w:val="%7."/>
      <w:lvlJc w:val="left"/>
      <w:pPr>
        <w:ind w:left="2940" w:hanging="420"/>
      </w:pPr>
      <w:rPr>
        <w:rFonts w:cs="Times New Roman"/>
      </w:rPr>
    </w:lvl>
    <w:lvl w:ilvl="7" w:tplc="FE443E12" w:tentative="1">
      <w:start w:val="1"/>
      <w:numFmt w:val="aiueoFullWidth"/>
      <w:lvlText w:val="(%8)"/>
      <w:lvlJc w:val="left"/>
      <w:pPr>
        <w:ind w:left="3360" w:hanging="420"/>
      </w:pPr>
      <w:rPr>
        <w:rFonts w:cs="Times New Roman"/>
      </w:rPr>
    </w:lvl>
    <w:lvl w:ilvl="8" w:tplc="C2BAFE16" w:tentative="1">
      <w:start w:val="1"/>
      <w:numFmt w:val="decimalEnclosedCircle"/>
      <w:lvlText w:val="%9"/>
      <w:lvlJc w:val="left"/>
      <w:pPr>
        <w:ind w:left="3780" w:hanging="420"/>
      </w:pPr>
      <w:rPr>
        <w:rFonts w:cs="Times New Roman"/>
      </w:rPr>
    </w:lvl>
  </w:abstractNum>
  <w:abstractNum w:abstractNumId="1">
    <w:nsid w:val="505E74BB"/>
    <w:multiLevelType w:val="hybridMultilevel"/>
    <w:tmpl w:val="0CBAB232"/>
    <w:lvl w:ilvl="0" w:tplc="73309A68">
      <w:start w:val="1"/>
      <w:numFmt w:val="decimal"/>
      <w:lvlText w:val="%1"/>
      <w:lvlJc w:val="left"/>
      <w:pPr>
        <w:ind w:left="420" w:hanging="420"/>
      </w:pPr>
      <w:rPr>
        <w:rFonts w:cs="Times New Roman" w:hint="eastAsia"/>
      </w:rPr>
    </w:lvl>
    <w:lvl w:ilvl="1" w:tplc="278EC8C6" w:tentative="1">
      <w:start w:val="1"/>
      <w:numFmt w:val="aiueoFullWidth"/>
      <w:lvlText w:val="(%2)"/>
      <w:lvlJc w:val="left"/>
      <w:pPr>
        <w:ind w:left="840" w:hanging="420"/>
      </w:pPr>
      <w:rPr>
        <w:rFonts w:cs="Times New Roman"/>
      </w:rPr>
    </w:lvl>
    <w:lvl w:ilvl="2" w:tplc="0CB4C5D4" w:tentative="1">
      <w:start w:val="1"/>
      <w:numFmt w:val="decimalEnclosedCircle"/>
      <w:lvlText w:val="%3"/>
      <w:lvlJc w:val="left"/>
      <w:pPr>
        <w:ind w:left="1260" w:hanging="420"/>
      </w:pPr>
      <w:rPr>
        <w:rFonts w:cs="Times New Roman"/>
      </w:rPr>
    </w:lvl>
    <w:lvl w:ilvl="3" w:tplc="0CD6B3F8" w:tentative="1">
      <w:start w:val="1"/>
      <w:numFmt w:val="decimal"/>
      <w:lvlText w:val="%4."/>
      <w:lvlJc w:val="left"/>
      <w:pPr>
        <w:ind w:left="1680" w:hanging="420"/>
      </w:pPr>
      <w:rPr>
        <w:rFonts w:cs="Times New Roman"/>
      </w:rPr>
    </w:lvl>
    <w:lvl w:ilvl="4" w:tplc="AA6A1F60" w:tentative="1">
      <w:start w:val="1"/>
      <w:numFmt w:val="aiueoFullWidth"/>
      <w:lvlText w:val="(%5)"/>
      <w:lvlJc w:val="left"/>
      <w:pPr>
        <w:ind w:left="2100" w:hanging="420"/>
      </w:pPr>
      <w:rPr>
        <w:rFonts w:cs="Times New Roman"/>
      </w:rPr>
    </w:lvl>
    <w:lvl w:ilvl="5" w:tplc="0096DCF8" w:tentative="1">
      <w:start w:val="1"/>
      <w:numFmt w:val="decimalEnclosedCircle"/>
      <w:lvlText w:val="%6"/>
      <w:lvlJc w:val="left"/>
      <w:pPr>
        <w:ind w:left="2520" w:hanging="420"/>
      </w:pPr>
      <w:rPr>
        <w:rFonts w:cs="Times New Roman"/>
      </w:rPr>
    </w:lvl>
    <w:lvl w:ilvl="6" w:tplc="AA343D54" w:tentative="1">
      <w:start w:val="1"/>
      <w:numFmt w:val="decimal"/>
      <w:lvlText w:val="%7."/>
      <w:lvlJc w:val="left"/>
      <w:pPr>
        <w:ind w:left="2940" w:hanging="420"/>
      </w:pPr>
      <w:rPr>
        <w:rFonts w:cs="Times New Roman"/>
      </w:rPr>
    </w:lvl>
    <w:lvl w:ilvl="7" w:tplc="13920428" w:tentative="1">
      <w:start w:val="1"/>
      <w:numFmt w:val="aiueoFullWidth"/>
      <w:lvlText w:val="(%8)"/>
      <w:lvlJc w:val="left"/>
      <w:pPr>
        <w:ind w:left="3360" w:hanging="420"/>
      </w:pPr>
      <w:rPr>
        <w:rFonts w:cs="Times New Roman"/>
      </w:rPr>
    </w:lvl>
    <w:lvl w:ilvl="8" w:tplc="B318516A" w:tentative="1">
      <w:start w:val="1"/>
      <w:numFmt w:val="decimalEnclosedCircle"/>
      <w:lvlText w:val="%9"/>
      <w:lvlJc w:val="left"/>
      <w:pPr>
        <w:ind w:left="3780" w:hanging="420"/>
      </w:pPr>
      <w:rPr>
        <w:rFonts w:cs="Times New Roman"/>
      </w:rPr>
    </w:lvl>
  </w:abstractNum>
  <w:abstractNum w:abstractNumId="2">
    <w:nsid w:val="55F14F09"/>
    <w:multiLevelType w:val="hybridMultilevel"/>
    <w:tmpl w:val="C812D318"/>
    <w:lvl w:ilvl="0" w:tplc="009C9E98">
      <w:start w:val="1"/>
      <w:numFmt w:val="decimal"/>
      <w:lvlText w:val="%1."/>
      <w:lvlJc w:val="left"/>
      <w:pPr>
        <w:ind w:left="420" w:hanging="420"/>
      </w:pPr>
      <w:rPr>
        <w:rFonts w:cs="Times New Roman" w:hint="eastAsia"/>
      </w:rPr>
    </w:lvl>
    <w:lvl w:ilvl="1" w:tplc="D974AF24" w:tentative="1">
      <w:start w:val="1"/>
      <w:numFmt w:val="aiueoFullWidth"/>
      <w:lvlText w:val="(%2)"/>
      <w:lvlJc w:val="left"/>
      <w:pPr>
        <w:ind w:left="840" w:hanging="420"/>
      </w:pPr>
      <w:rPr>
        <w:rFonts w:cs="Times New Roman"/>
      </w:rPr>
    </w:lvl>
    <w:lvl w:ilvl="2" w:tplc="87461B98" w:tentative="1">
      <w:start w:val="1"/>
      <w:numFmt w:val="decimalEnclosedCircle"/>
      <w:lvlText w:val="%3"/>
      <w:lvlJc w:val="left"/>
      <w:pPr>
        <w:ind w:left="1260" w:hanging="420"/>
      </w:pPr>
      <w:rPr>
        <w:rFonts w:cs="Times New Roman"/>
      </w:rPr>
    </w:lvl>
    <w:lvl w:ilvl="3" w:tplc="074C3FF0" w:tentative="1">
      <w:start w:val="1"/>
      <w:numFmt w:val="decimal"/>
      <w:lvlText w:val="%4."/>
      <w:lvlJc w:val="left"/>
      <w:pPr>
        <w:ind w:left="1680" w:hanging="420"/>
      </w:pPr>
      <w:rPr>
        <w:rFonts w:cs="Times New Roman"/>
      </w:rPr>
    </w:lvl>
    <w:lvl w:ilvl="4" w:tplc="46E2DBA6" w:tentative="1">
      <w:start w:val="1"/>
      <w:numFmt w:val="aiueoFullWidth"/>
      <w:lvlText w:val="(%5)"/>
      <w:lvlJc w:val="left"/>
      <w:pPr>
        <w:ind w:left="2100" w:hanging="420"/>
      </w:pPr>
      <w:rPr>
        <w:rFonts w:cs="Times New Roman"/>
      </w:rPr>
    </w:lvl>
    <w:lvl w:ilvl="5" w:tplc="0C9E8BE0" w:tentative="1">
      <w:start w:val="1"/>
      <w:numFmt w:val="decimalEnclosedCircle"/>
      <w:lvlText w:val="%6"/>
      <w:lvlJc w:val="left"/>
      <w:pPr>
        <w:ind w:left="2520" w:hanging="420"/>
      </w:pPr>
      <w:rPr>
        <w:rFonts w:cs="Times New Roman"/>
      </w:rPr>
    </w:lvl>
    <w:lvl w:ilvl="6" w:tplc="BB261C90" w:tentative="1">
      <w:start w:val="1"/>
      <w:numFmt w:val="decimal"/>
      <w:lvlText w:val="%7."/>
      <w:lvlJc w:val="left"/>
      <w:pPr>
        <w:ind w:left="2940" w:hanging="420"/>
      </w:pPr>
      <w:rPr>
        <w:rFonts w:cs="Times New Roman"/>
      </w:rPr>
    </w:lvl>
    <w:lvl w:ilvl="7" w:tplc="3BFA6E4A" w:tentative="1">
      <w:start w:val="1"/>
      <w:numFmt w:val="aiueoFullWidth"/>
      <w:lvlText w:val="(%8)"/>
      <w:lvlJc w:val="left"/>
      <w:pPr>
        <w:ind w:left="3360" w:hanging="420"/>
      </w:pPr>
      <w:rPr>
        <w:rFonts w:cs="Times New Roman"/>
      </w:rPr>
    </w:lvl>
    <w:lvl w:ilvl="8" w:tplc="991A10FA"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84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909"/>
    <w:rsid w:val="00005D23"/>
    <w:rsid w:val="000177C6"/>
    <w:rsid w:val="00024127"/>
    <w:rsid w:val="00063247"/>
    <w:rsid w:val="000818D0"/>
    <w:rsid w:val="00084FEE"/>
    <w:rsid w:val="00086FC9"/>
    <w:rsid w:val="000939CD"/>
    <w:rsid w:val="0009612A"/>
    <w:rsid w:val="000B20CB"/>
    <w:rsid w:val="000C59D5"/>
    <w:rsid w:val="000D21F0"/>
    <w:rsid w:val="000D422C"/>
    <w:rsid w:val="000E046C"/>
    <w:rsid w:val="000F0290"/>
    <w:rsid w:val="000F1F70"/>
    <w:rsid w:val="000F5C36"/>
    <w:rsid w:val="00102916"/>
    <w:rsid w:val="00115909"/>
    <w:rsid w:val="0012732B"/>
    <w:rsid w:val="001342E5"/>
    <w:rsid w:val="0015653D"/>
    <w:rsid w:val="00157702"/>
    <w:rsid w:val="001654F9"/>
    <w:rsid w:val="0017197B"/>
    <w:rsid w:val="00182142"/>
    <w:rsid w:val="0018579C"/>
    <w:rsid w:val="0019022E"/>
    <w:rsid w:val="00193C84"/>
    <w:rsid w:val="0019527E"/>
    <w:rsid w:val="001A4A0F"/>
    <w:rsid w:val="001A4E3D"/>
    <w:rsid w:val="001F43BE"/>
    <w:rsid w:val="00225449"/>
    <w:rsid w:val="00235CD4"/>
    <w:rsid w:val="002564DD"/>
    <w:rsid w:val="00263D19"/>
    <w:rsid w:val="00273826"/>
    <w:rsid w:val="002851A8"/>
    <w:rsid w:val="00293680"/>
    <w:rsid w:val="002B499A"/>
    <w:rsid w:val="002C216E"/>
    <w:rsid w:val="002C7B39"/>
    <w:rsid w:val="002D101E"/>
    <w:rsid w:val="002F33B3"/>
    <w:rsid w:val="00343CCB"/>
    <w:rsid w:val="00345282"/>
    <w:rsid w:val="00357BC1"/>
    <w:rsid w:val="00382511"/>
    <w:rsid w:val="003A253B"/>
    <w:rsid w:val="003A6852"/>
    <w:rsid w:val="003B0F3D"/>
    <w:rsid w:val="003B6AAE"/>
    <w:rsid w:val="003D0D51"/>
    <w:rsid w:val="003E3731"/>
    <w:rsid w:val="003F28FE"/>
    <w:rsid w:val="0040658E"/>
    <w:rsid w:val="00413F98"/>
    <w:rsid w:val="00417982"/>
    <w:rsid w:val="00421BFF"/>
    <w:rsid w:val="00436FD3"/>
    <w:rsid w:val="00437ABE"/>
    <w:rsid w:val="00444DAC"/>
    <w:rsid w:val="0045596C"/>
    <w:rsid w:val="00461365"/>
    <w:rsid w:val="00464A41"/>
    <w:rsid w:val="00464DD1"/>
    <w:rsid w:val="00467D87"/>
    <w:rsid w:val="004752DA"/>
    <w:rsid w:val="00483EE4"/>
    <w:rsid w:val="004940D7"/>
    <w:rsid w:val="004940F8"/>
    <w:rsid w:val="0049791B"/>
    <w:rsid w:val="004B1485"/>
    <w:rsid w:val="004C1916"/>
    <w:rsid w:val="004C4D88"/>
    <w:rsid w:val="004D4C0D"/>
    <w:rsid w:val="004F4DA7"/>
    <w:rsid w:val="0050060D"/>
    <w:rsid w:val="00510456"/>
    <w:rsid w:val="00523153"/>
    <w:rsid w:val="00523E6F"/>
    <w:rsid w:val="0053129D"/>
    <w:rsid w:val="00545323"/>
    <w:rsid w:val="00554DFB"/>
    <w:rsid w:val="005771AA"/>
    <w:rsid w:val="00584C99"/>
    <w:rsid w:val="0059311F"/>
    <w:rsid w:val="005948AE"/>
    <w:rsid w:val="005A712D"/>
    <w:rsid w:val="005B5CE4"/>
    <w:rsid w:val="00600DD0"/>
    <w:rsid w:val="006050C2"/>
    <w:rsid w:val="00614D94"/>
    <w:rsid w:val="006463D0"/>
    <w:rsid w:val="00662FC5"/>
    <w:rsid w:val="00674855"/>
    <w:rsid w:val="00684830"/>
    <w:rsid w:val="006B61A4"/>
    <w:rsid w:val="006E3AFB"/>
    <w:rsid w:val="006F7725"/>
    <w:rsid w:val="007148B5"/>
    <w:rsid w:val="00742A39"/>
    <w:rsid w:val="00765C6F"/>
    <w:rsid w:val="0077680B"/>
    <w:rsid w:val="00781AFB"/>
    <w:rsid w:val="007C188E"/>
    <w:rsid w:val="007D3598"/>
    <w:rsid w:val="007E3CDB"/>
    <w:rsid w:val="00816E80"/>
    <w:rsid w:val="008358E2"/>
    <w:rsid w:val="0084082F"/>
    <w:rsid w:val="00857568"/>
    <w:rsid w:val="00861CDE"/>
    <w:rsid w:val="008869A9"/>
    <w:rsid w:val="008904CD"/>
    <w:rsid w:val="008A7354"/>
    <w:rsid w:val="008B49E5"/>
    <w:rsid w:val="008B6449"/>
    <w:rsid w:val="008C1BDA"/>
    <w:rsid w:val="008C5EC5"/>
    <w:rsid w:val="008C73F9"/>
    <w:rsid w:val="008D6C59"/>
    <w:rsid w:val="008E448E"/>
    <w:rsid w:val="008E56E2"/>
    <w:rsid w:val="008F1E8C"/>
    <w:rsid w:val="00904BB1"/>
    <w:rsid w:val="00904C83"/>
    <w:rsid w:val="00934406"/>
    <w:rsid w:val="00967A3A"/>
    <w:rsid w:val="0097463B"/>
    <w:rsid w:val="00984571"/>
    <w:rsid w:val="009B0E75"/>
    <w:rsid w:val="009B1C8A"/>
    <w:rsid w:val="009B3EA3"/>
    <w:rsid w:val="009D314E"/>
    <w:rsid w:val="00A15B61"/>
    <w:rsid w:val="00A16A87"/>
    <w:rsid w:val="00A23668"/>
    <w:rsid w:val="00A41C62"/>
    <w:rsid w:val="00A66947"/>
    <w:rsid w:val="00A66D15"/>
    <w:rsid w:val="00A727C4"/>
    <w:rsid w:val="00A85E45"/>
    <w:rsid w:val="00AC0715"/>
    <w:rsid w:val="00AC08CD"/>
    <w:rsid w:val="00AC4CE7"/>
    <w:rsid w:val="00AC78C9"/>
    <w:rsid w:val="00AE023C"/>
    <w:rsid w:val="00AE676A"/>
    <w:rsid w:val="00B07AEA"/>
    <w:rsid w:val="00B1014F"/>
    <w:rsid w:val="00B1080F"/>
    <w:rsid w:val="00B15A34"/>
    <w:rsid w:val="00B20946"/>
    <w:rsid w:val="00B26AFA"/>
    <w:rsid w:val="00B3546B"/>
    <w:rsid w:val="00B46E20"/>
    <w:rsid w:val="00B742C7"/>
    <w:rsid w:val="00B920B3"/>
    <w:rsid w:val="00B969A9"/>
    <w:rsid w:val="00B96C83"/>
    <w:rsid w:val="00BC3A31"/>
    <w:rsid w:val="00BC46BD"/>
    <w:rsid w:val="00BD51D0"/>
    <w:rsid w:val="00BE0477"/>
    <w:rsid w:val="00BF693A"/>
    <w:rsid w:val="00C26868"/>
    <w:rsid w:val="00C51FC3"/>
    <w:rsid w:val="00C53D7B"/>
    <w:rsid w:val="00C62F16"/>
    <w:rsid w:val="00C64EB7"/>
    <w:rsid w:val="00C702A1"/>
    <w:rsid w:val="00C84B75"/>
    <w:rsid w:val="00C96E6D"/>
    <w:rsid w:val="00CC4F81"/>
    <w:rsid w:val="00CF2E37"/>
    <w:rsid w:val="00D01165"/>
    <w:rsid w:val="00D074C9"/>
    <w:rsid w:val="00D310CA"/>
    <w:rsid w:val="00D31D8E"/>
    <w:rsid w:val="00D34C4B"/>
    <w:rsid w:val="00D52D76"/>
    <w:rsid w:val="00D5548F"/>
    <w:rsid w:val="00D55BA3"/>
    <w:rsid w:val="00D67AD8"/>
    <w:rsid w:val="00D70F6A"/>
    <w:rsid w:val="00D8743F"/>
    <w:rsid w:val="00DA1763"/>
    <w:rsid w:val="00DA6CD9"/>
    <w:rsid w:val="00DB53D2"/>
    <w:rsid w:val="00DE6320"/>
    <w:rsid w:val="00E31A8A"/>
    <w:rsid w:val="00E3536D"/>
    <w:rsid w:val="00E447C2"/>
    <w:rsid w:val="00E46447"/>
    <w:rsid w:val="00E62426"/>
    <w:rsid w:val="00E65C3C"/>
    <w:rsid w:val="00E74087"/>
    <w:rsid w:val="00E835D6"/>
    <w:rsid w:val="00E9654C"/>
    <w:rsid w:val="00EB58AA"/>
    <w:rsid w:val="00EC21EC"/>
    <w:rsid w:val="00ED3F31"/>
    <w:rsid w:val="00EE0096"/>
    <w:rsid w:val="00EE232A"/>
    <w:rsid w:val="00EE3EED"/>
    <w:rsid w:val="00EE662B"/>
    <w:rsid w:val="00EF452D"/>
    <w:rsid w:val="00F13BA8"/>
    <w:rsid w:val="00F1577B"/>
    <w:rsid w:val="00F34E93"/>
    <w:rsid w:val="00F44384"/>
    <w:rsid w:val="00F47121"/>
    <w:rsid w:val="00F52087"/>
    <w:rsid w:val="00F55256"/>
    <w:rsid w:val="00F759A0"/>
    <w:rsid w:val="00FA2EA0"/>
    <w:rsid w:val="00FA2ED3"/>
    <w:rsid w:val="00FA3B8B"/>
    <w:rsid w:val="00FA6694"/>
    <w:rsid w:val="00FC2F79"/>
    <w:rsid w:val="00FD2A10"/>
    <w:rsid w:val="00FE3243"/>
    <w:rsid w:val="00FE562D"/>
    <w:rsid w:val="00FF5622"/>
    <w:rsid w:val="00FF79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ﾍ｣ﾓ ﾃｯ"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eastAsia="MS Mincho"/>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pPr>
      <w:spacing w:line="480" w:lineRule="auto"/>
      <w:jc w:val="left"/>
    </w:pPr>
    <w:rPr>
      <w:rFonts w:ascii="Times New Roman" w:eastAsia="宋体" w:hAnsi="Times New Roman"/>
      <w:kern w:val="0"/>
      <w:sz w:val="26"/>
      <w:szCs w:val="20"/>
      <w:lang w:eastAsia="zh-CN"/>
    </w:rPr>
  </w:style>
  <w:style w:type="character" w:customStyle="1" w:styleId="PlainTextChar">
    <w:name w:val="Plain Text Char"/>
    <w:basedOn w:val="DefaultParagraphFont"/>
    <w:link w:val="PlainText"/>
    <w:uiPriority w:val="99"/>
    <w:semiHidden/>
    <w:locked/>
    <w:rPr>
      <w:rFonts w:ascii="Times New Roman" w:eastAsia="宋体" w:hAnsi="Times New Roman" w:cs="Times New Roman"/>
      <w:kern w:val="0"/>
      <w:sz w:val="20"/>
      <w:szCs w:val="20"/>
      <w:lang w:eastAsia="zh-CN"/>
    </w:rPr>
  </w:style>
  <w:style w:type="character" w:styleId="Hyperlink">
    <w:name w:val="Hyperlink"/>
    <w:basedOn w:val="DefaultParagraphFont"/>
    <w:uiPriority w:val="99"/>
    <w:semiHidden/>
    <w:rPr>
      <w:rFonts w:cs="Times New Roman"/>
      <w:color w:val="0000FF"/>
      <w:u w:val="single"/>
    </w:rPr>
  </w:style>
  <w:style w:type="paragraph" w:styleId="ListParagraph">
    <w:name w:val="List Paragraph"/>
    <w:basedOn w:val="Normal"/>
    <w:uiPriority w:val="99"/>
    <w:qFormat/>
    <w:pPr>
      <w:ind w:leftChars="400" w:left="840"/>
    </w:pPr>
    <w:rPr>
      <w:rFonts w:eastAsia="｣ﾍ｣ﾓ ﾃｯ"/>
    </w:rPr>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locked/>
    <w:rPr>
      <w:rFonts w:ascii="Century" w:eastAsia="MS Mincho" w:hAnsi="Century" w:cs="Times New Roman"/>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locked/>
    <w:rPr>
      <w:rFonts w:ascii="Century" w:eastAsia="MS Mincho" w:hAnsi="Century" w:cs="Times New Roman"/>
    </w:rPr>
  </w:style>
  <w:style w:type="paragraph" w:styleId="BalloonText">
    <w:name w:val="Balloon Text"/>
    <w:basedOn w:val="Normal"/>
    <w:link w:val="BalloonTextChar"/>
    <w:uiPriority w:val="99"/>
    <w:semiHidden/>
    <w:rsid w:val="008B49E5"/>
    <w:pPr>
      <w:jc w:val="left"/>
    </w:pPr>
    <w:rPr>
      <w:rFonts w:ascii="Tahoma" w:eastAsia="｣ﾍ｣ﾓ ･ｴ･ｷ･ﾃ･ｯ" w:hAnsi="Tahoma" w:cs="Tahoma"/>
      <w:sz w:val="16"/>
      <w:szCs w:val="18"/>
    </w:rPr>
  </w:style>
  <w:style w:type="character" w:customStyle="1" w:styleId="BalloonTextChar">
    <w:name w:val="Balloon Text Char"/>
    <w:basedOn w:val="DefaultParagraphFont"/>
    <w:link w:val="BalloonText"/>
    <w:uiPriority w:val="99"/>
    <w:semiHidden/>
    <w:locked/>
    <w:rsid w:val="008B49E5"/>
    <w:rPr>
      <w:rFonts w:ascii="Tahoma" w:eastAsia="｣ﾍ｣ﾓ ･ｴ･ｷ･ﾃ･ｯ" w:hAnsi="Tahoma" w:cs="Tahoma"/>
      <w:sz w:val="18"/>
      <w:szCs w:val="18"/>
    </w:rPr>
  </w:style>
  <w:style w:type="character" w:styleId="Strong">
    <w:name w:val="Strong"/>
    <w:basedOn w:val="DefaultParagraphFont"/>
    <w:uiPriority w:val="99"/>
    <w:qFormat/>
    <w:rPr>
      <w:rFonts w:cs="Times New Roman"/>
      <w:b/>
      <w:bCs/>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sid w:val="008B49E5"/>
    <w:rPr>
      <w:sz w:val="24"/>
      <w:szCs w:val="24"/>
    </w:rPr>
  </w:style>
  <w:style w:type="character" w:customStyle="1" w:styleId="CommentTextChar">
    <w:name w:val="Comment Text Char"/>
    <w:basedOn w:val="DefaultParagraphFont"/>
    <w:link w:val="CommentText"/>
    <w:uiPriority w:val="99"/>
    <w:locked/>
    <w:rsid w:val="008B49E5"/>
    <w:rPr>
      <w:rFonts w:ascii="Century" w:eastAsia="MS Mincho" w:hAnsi="Century" w:cs="Times New Roman"/>
      <w:sz w:val="24"/>
      <w:szCs w:val="24"/>
    </w:rPr>
  </w:style>
  <w:style w:type="paragraph" w:styleId="CommentSubject">
    <w:name w:val="annotation subject"/>
    <w:basedOn w:val="CommentText"/>
    <w:next w:val="CommentText"/>
    <w:link w:val="CommentSubjectChar"/>
    <w:uiPriority w:val="99"/>
    <w:semiHidden/>
    <w:rsid w:val="00BE0477"/>
    <w:rPr>
      <w:b/>
      <w:bCs/>
      <w:sz w:val="20"/>
      <w:szCs w:val="20"/>
    </w:rPr>
  </w:style>
  <w:style w:type="character" w:customStyle="1" w:styleId="CommentSubjectChar">
    <w:name w:val="Comment Subject Char"/>
    <w:basedOn w:val="CommentTextChar"/>
    <w:link w:val="CommentSubject"/>
    <w:uiPriority w:val="99"/>
    <w:semiHidden/>
    <w:locked/>
    <w:rsid w:val="00BE0477"/>
    <w:rPr>
      <w:b/>
      <w:bCs/>
      <w:sz w:val="20"/>
      <w:szCs w:val="20"/>
    </w:rPr>
  </w:style>
  <w:style w:type="paragraph" w:styleId="Revision">
    <w:name w:val="Revision"/>
    <w:hidden/>
    <w:uiPriority w:val="99"/>
    <w:semiHidden/>
    <w:rsid w:val="00BE0477"/>
    <w:rPr>
      <w:rFonts w:eastAsia="MS Mincho"/>
      <w:lang w:eastAsia="ja-JP"/>
    </w:rPr>
  </w:style>
  <w:style w:type="table" w:styleId="TableGrid">
    <w:name w:val="Table Grid"/>
    <w:basedOn w:val="TableNormal"/>
    <w:uiPriority w:val="99"/>
    <w:rsid w:val="00D67AD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A66D15"/>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divs>
    <w:div w:id="1531801449">
      <w:marLeft w:val="0"/>
      <w:marRight w:val="0"/>
      <w:marTop w:val="0"/>
      <w:marBottom w:val="0"/>
      <w:divBdr>
        <w:top w:val="none" w:sz="0" w:space="0" w:color="auto"/>
        <w:left w:val="none" w:sz="0" w:space="0" w:color="auto"/>
        <w:bottom w:val="none" w:sz="0" w:space="0" w:color="auto"/>
        <w:right w:val="none" w:sz="0" w:space="0" w:color="auto"/>
      </w:divBdr>
    </w:div>
    <w:div w:id="1531801450">
      <w:marLeft w:val="0"/>
      <w:marRight w:val="0"/>
      <w:marTop w:val="0"/>
      <w:marBottom w:val="0"/>
      <w:divBdr>
        <w:top w:val="none" w:sz="0" w:space="0" w:color="auto"/>
        <w:left w:val="none" w:sz="0" w:space="0" w:color="auto"/>
        <w:bottom w:val="none" w:sz="0" w:space="0" w:color="auto"/>
        <w:right w:val="none" w:sz="0" w:space="0" w:color="auto"/>
      </w:divBdr>
    </w:div>
    <w:div w:id="1531801452">
      <w:marLeft w:val="0"/>
      <w:marRight w:val="0"/>
      <w:marTop w:val="0"/>
      <w:marBottom w:val="0"/>
      <w:divBdr>
        <w:top w:val="none" w:sz="0" w:space="0" w:color="auto"/>
        <w:left w:val="none" w:sz="0" w:space="0" w:color="auto"/>
        <w:bottom w:val="none" w:sz="0" w:space="0" w:color="auto"/>
        <w:right w:val="none" w:sz="0" w:space="0" w:color="auto"/>
      </w:divBdr>
      <w:divsChild>
        <w:div w:id="153180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atoken@gunma-u.ac.jp"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27</Pages>
  <Words>4341</Words>
  <Characters>24402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須賀孝慶</dc:creator>
  <cp:keywords/>
  <dc:description/>
  <cp:lastModifiedBy>Xue-Mei Gong</cp:lastModifiedBy>
  <cp:revision>3</cp:revision>
  <cp:lastPrinted>2015-03-30T08:48:00Z</cp:lastPrinted>
  <dcterms:created xsi:type="dcterms:W3CDTF">2015-10-23T00:04:00Z</dcterms:created>
  <dcterms:modified xsi:type="dcterms:W3CDTF">2015-10-27T03:20:00Z</dcterms:modified>
</cp:coreProperties>
</file>