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E6" w:rsidRPr="00DA5410" w:rsidRDefault="006413E6" w:rsidP="006413E6">
      <w:pPr>
        <w:pStyle w:val="1"/>
        <w:spacing w:line="360" w:lineRule="auto"/>
        <w:jc w:val="both"/>
        <w:rPr>
          <w:rFonts w:ascii="Book Antiqua" w:hAnsi="Book Antiqua" w:cs="Times New Roman"/>
          <w:b/>
          <w:color w:val="auto"/>
          <w:sz w:val="24"/>
          <w:szCs w:val="24"/>
          <w:highlight w:val="white"/>
          <w:lang w:val="en-US" w:eastAsia="zh-CN"/>
        </w:rPr>
      </w:pPr>
      <w:bookmarkStart w:id="0" w:name="OLE_LINK205"/>
      <w:bookmarkStart w:id="1" w:name="OLE_LINK258"/>
      <w:bookmarkStart w:id="2" w:name="OLE_LINK386"/>
      <w:bookmarkStart w:id="3" w:name="OLE_LINK419"/>
      <w:bookmarkStart w:id="4" w:name="OLE_LINK447"/>
      <w:r w:rsidRPr="00DA5410">
        <w:rPr>
          <w:rFonts w:ascii="Book Antiqua" w:hAnsi="Book Antiqua" w:cs="Times New Roman"/>
          <w:b/>
          <w:color w:val="auto"/>
          <w:sz w:val="24"/>
          <w:szCs w:val="24"/>
          <w:highlight w:val="white"/>
          <w:lang w:val="en-US" w:eastAsia="zh-CN"/>
        </w:rPr>
        <w:t xml:space="preserve">Name of </w:t>
      </w:r>
      <w:r w:rsidRPr="00DA5410">
        <w:rPr>
          <w:rFonts w:ascii="Book Antiqua" w:hAnsi="Book Antiqua" w:cs="Times New Roman"/>
          <w:b/>
          <w:caps/>
          <w:color w:val="auto"/>
          <w:sz w:val="24"/>
          <w:szCs w:val="24"/>
          <w:highlight w:val="white"/>
          <w:lang w:val="en-US" w:eastAsia="zh-CN"/>
        </w:rPr>
        <w:t>j</w:t>
      </w:r>
      <w:r w:rsidRPr="00DA5410">
        <w:rPr>
          <w:rFonts w:ascii="Book Antiqua" w:hAnsi="Book Antiqua" w:cs="Times New Roman"/>
          <w:b/>
          <w:color w:val="auto"/>
          <w:sz w:val="24"/>
          <w:szCs w:val="24"/>
          <w:highlight w:val="white"/>
          <w:lang w:val="en-US" w:eastAsia="zh-CN"/>
        </w:rPr>
        <w:t xml:space="preserve">ournal: </w:t>
      </w:r>
      <w:bookmarkStart w:id="5" w:name="OLE_LINK718"/>
      <w:bookmarkStart w:id="6" w:name="OLE_LINK719"/>
      <w:r w:rsidRPr="00DA5410">
        <w:rPr>
          <w:rFonts w:ascii="Book Antiqua" w:hAnsi="Book Antiqua" w:cs="Times New Roman"/>
          <w:b/>
          <w:i/>
          <w:color w:val="auto"/>
          <w:sz w:val="24"/>
          <w:szCs w:val="24"/>
          <w:highlight w:val="white"/>
          <w:lang w:val="en-US" w:eastAsia="zh-CN"/>
        </w:rPr>
        <w:t>World Journal of Gastroenterology</w:t>
      </w:r>
      <w:bookmarkEnd w:id="5"/>
      <w:bookmarkEnd w:id="6"/>
    </w:p>
    <w:p w:rsidR="006413E6" w:rsidRPr="00DA5410" w:rsidRDefault="006413E6" w:rsidP="006413E6">
      <w:pPr>
        <w:pStyle w:val="1"/>
        <w:spacing w:line="360" w:lineRule="auto"/>
        <w:jc w:val="both"/>
        <w:rPr>
          <w:rFonts w:ascii="Book Antiqua" w:hAnsi="Book Antiqua" w:cs="Times New Roman"/>
          <w:b/>
          <w:i/>
          <w:color w:val="auto"/>
          <w:sz w:val="24"/>
          <w:szCs w:val="24"/>
          <w:highlight w:val="white"/>
          <w:lang w:val="en-US" w:eastAsia="zh-CN"/>
        </w:rPr>
      </w:pPr>
      <w:bookmarkStart w:id="7" w:name="OLE_LINK485"/>
      <w:bookmarkStart w:id="8" w:name="OLE_LINK486"/>
      <w:r w:rsidRPr="00DA5410">
        <w:rPr>
          <w:rFonts w:ascii="Book Antiqua" w:hAnsi="Book Antiqua" w:cs="Times New Roman"/>
          <w:b/>
          <w:color w:val="auto"/>
          <w:sz w:val="24"/>
          <w:szCs w:val="24"/>
          <w:highlight w:val="white"/>
          <w:lang w:eastAsia="zh-CN"/>
        </w:rPr>
        <w:t>ESPS Manuscript NO:</w:t>
      </w:r>
      <w:bookmarkEnd w:id="7"/>
      <w:bookmarkEnd w:id="8"/>
      <w:r w:rsidRPr="00DA5410">
        <w:rPr>
          <w:rFonts w:ascii="Book Antiqua" w:hAnsi="Book Antiqua" w:cs="Times New Roman"/>
          <w:b/>
          <w:color w:val="auto"/>
          <w:sz w:val="24"/>
          <w:szCs w:val="24"/>
          <w:highlight w:val="white"/>
          <w:lang w:eastAsia="zh-CN"/>
        </w:rPr>
        <w:t xml:space="preserve"> </w:t>
      </w:r>
      <w:r w:rsidRPr="00DA5410">
        <w:rPr>
          <w:rFonts w:ascii="Book Antiqua" w:hAnsi="Book Antiqua" w:cs="Times New Roman" w:hint="eastAsia"/>
          <w:b/>
          <w:color w:val="auto"/>
          <w:sz w:val="24"/>
          <w:szCs w:val="24"/>
          <w:highlight w:val="white"/>
          <w:lang w:eastAsia="zh-CN"/>
        </w:rPr>
        <w:t>19298</w:t>
      </w:r>
    </w:p>
    <w:p w:rsidR="006413E6" w:rsidRPr="00DA5410" w:rsidRDefault="006413E6" w:rsidP="006413E6">
      <w:pPr>
        <w:spacing w:after="0" w:line="360" w:lineRule="auto"/>
        <w:jc w:val="both"/>
        <w:rPr>
          <w:rFonts w:ascii="Book Antiqua" w:eastAsia="SimSun" w:hAnsi="Book Antiqua"/>
          <w:b/>
          <w:sz w:val="24"/>
          <w:szCs w:val="24"/>
          <w:lang w:val="it-IT" w:eastAsia="zh-CN"/>
        </w:rPr>
      </w:pPr>
      <w:r w:rsidRPr="00DA5410">
        <w:rPr>
          <w:rFonts w:ascii="Book Antiqua" w:eastAsia="SimSun" w:hAnsi="Book Antiqua"/>
          <w:b/>
          <w:sz w:val="24"/>
          <w:szCs w:val="24"/>
          <w:highlight w:val="white"/>
          <w:lang w:val="it-IT"/>
        </w:rPr>
        <w:t xml:space="preserve">Manuscript </w:t>
      </w:r>
      <w:r w:rsidRPr="00DA5410">
        <w:rPr>
          <w:rFonts w:ascii="Book Antiqua" w:eastAsia="SimSun" w:hAnsi="Book Antiqua"/>
          <w:b/>
          <w:caps/>
          <w:sz w:val="24"/>
          <w:szCs w:val="24"/>
          <w:highlight w:val="white"/>
        </w:rPr>
        <w:t>t</w:t>
      </w:r>
      <w:r w:rsidRPr="00DA5410">
        <w:rPr>
          <w:rFonts w:ascii="Book Antiqua" w:eastAsia="SimSun" w:hAnsi="Book Antiqua"/>
          <w:b/>
          <w:sz w:val="24"/>
          <w:szCs w:val="24"/>
          <w:highlight w:val="white"/>
          <w:lang w:val="it-IT"/>
        </w:rPr>
        <w:t>ype</w:t>
      </w:r>
      <w:r w:rsidRPr="00DA5410">
        <w:rPr>
          <w:rFonts w:ascii="Book Antiqua" w:eastAsia="SimSun" w:hAnsi="Book Antiqua"/>
          <w:b/>
          <w:sz w:val="24"/>
          <w:szCs w:val="24"/>
          <w:lang w:val="it-IT"/>
        </w:rPr>
        <w:t xml:space="preserve">: </w:t>
      </w:r>
      <w:bookmarkEnd w:id="0"/>
      <w:bookmarkEnd w:id="1"/>
      <w:bookmarkEnd w:id="2"/>
      <w:bookmarkEnd w:id="3"/>
      <w:bookmarkEnd w:id="4"/>
      <w:r w:rsidRPr="00DA5410">
        <w:rPr>
          <w:rFonts w:ascii="Book Antiqua" w:hAnsi="Book Antiqua" w:cs="Times New Roman"/>
          <w:b/>
          <w:bCs/>
          <w:sz w:val="24"/>
          <w:szCs w:val="24"/>
        </w:rPr>
        <w:t>TOPIC HIGHLIGHT</w:t>
      </w:r>
    </w:p>
    <w:p w:rsidR="007B7F1A" w:rsidRDefault="007B7F1A" w:rsidP="006413E6">
      <w:pPr>
        <w:spacing w:after="0" w:line="360" w:lineRule="auto"/>
        <w:jc w:val="both"/>
        <w:rPr>
          <w:rFonts w:ascii="Book Antiqua" w:eastAsiaTheme="minorEastAsia" w:hAnsi="Book Antiqua" w:cs="Times New Roman"/>
          <w:b/>
          <w:bCs/>
          <w:sz w:val="24"/>
          <w:szCs w:val="24"/>
          <w:lang w:eastAsia="zh-CN"/>
        </w:rPr>
      </w:pPr>
    </w:p>
    <w:p w:rsidR="006413E6" w:rsidRPr="00DA5410" w:rsidRDefault="007B7F1A" w:rsidP="006413E6">
      <w:pPr>
        <w:spacing w:after="0" w:line="360" w:lineRule="auto"/>
        <w:jc w:val="both"/>
        <w:rPr>
          <w:rFonts w:ascii="Book Antiqua" w:eastAsiaTheme="minorEastAsia" w:hAnsi="Book Antiqua" w:cs="Times New Roman"/>
          <w:bCs/>
          <w:sz w:val="24"/>
          <w:szCs w:val="24"/>
          <w:lang w:val="en-GB" w:eastAsia="zh-CN"/>
        </w:rPr>
      </w:pPr>
      <w:r w:rsidRPr="007B7F1A">
        <w:rPr>
          <w:rFonts w:ascii="Book Antiqua" w:hAnsi="Book Antiqua" w:cs="Times New Roman"/>
          <w:b/>
          <w:bCs/>
          <w:sz w:val="24"/>
          <w:szCs w:val="24"/>
        </w:rPr>
        <w:t>2016 Colorectal Cancer: Global view</w:t>
      </w:r>
    </w:p>
    <w:p w:rsidR="007B7F1A" w:rsidRDefault="007B7F1A" w:rsidP="006413E6">
      <w:pPr>
        <w:spacing w:after="0" w:line="360" w:lineRule="auto"/>
        <w:jc w:val="both"/>
        <w:rPr>
          <w:rFonts w:ascii="Book Antiqua" w:eastAsiaTheme="minorEastAsia" w:hAnsi="Book Antiqua" w:cs="Times New Roman"/>
          <w:b/>
          <w:bCs/>
          <w:sz w:val="24"/>
          <w:szCs w:val="24"/>
          <w:lang w:val="en-GB" w:eastAsia="zh-CN"/>
        </w:rPr>
      </w:pPr>
    </w:p>
    <w:p w:rsidR="00F37F91" w:rsidRPr="00DA5410" w:rsidRDefault="00F37F91" w:rsidP="006413E6">
      <w:pPr>
        <w:spacing w:after="0" w:line="360" w:lineRule="auto"/>
        <w:jc w:val="both"/>
        <w:rPr>
          <w:rFonts w:ascii="Book Antiqua" w:hAnsi="Book Antiqua" w:cs="Times New Roman"/>
          <w:b/>
          <w:bCs/>
          <w:sz w:val="24"/>
          <w:szCs w:val="24"/>
          <w:lang w:val="en-GB"/>
        </w:rPr>
      </w:pPr>
      <w:r w:rsidRPr="00DA5410">
        <w:rPr>
          <w:rFonts w:ascii="Book Antiqua" w:hAnsi="Book Antiqua" w:cs="Times New Roman"/>
          <w:b/>
          <w:bCs/>
          <w:sz w:val="24"/>
          <w:szCs w:val="24"/>
          <w:lang w:val="en-GB"/>
        </w:rPr>
        <w:t xml:space="preserve">Colorectal cancer tumour markers and </w:t>
      </w:r>
      <w:r w:rsidR="00C06655">
        <w:rPr>
          <w:rFonts w:ascii="Book Antiqua" w:hAnsi="Book Antiqua" w:cs="Times New Roman"/>
          <w:b/>
          <w:bCs/>
          <w:sz w:val="24"/>
          <w:szCs w:val="24"/>
          <w:lang w:val="en-GB"/>
        </w:rPr>
        <w:t>biomarkers</w:t>
      </w:r>
      <w:r w:rsidR="00C06655">
        <w:rPr>
          <w:rFonts w:ascii="Book Antiqua" w:eastAsiaTheme="minorEastAsia" w:hAnsi="Book Antiqua" w:cs="Times New Roman" w:hint="eastAsia"/>
          <w:b/>
          <w:bCs/>
          <w:sz w:val="24"/>
          <w:szCs w:val="24"/>
          <w:lang w:val="en-GB" w:eastAsia="zh-CN"/>
        </w:rPr>
        <w:t xml:space="preserve">: </w:t>
      </w:r>
      <w:r w:rsidR="00C06655" w:rsidRPr="00DA5410">
        <w:rPr>
          <w:rFonts w:ascii="Book Antiqua" w:hAnsi="Book Antiqua" w:cs="Times New Roman"/>
          <w:b/>
          <w:bCs/>
          <w:sz w:val="24"/>
          <w:szCs w:val="24"/>
          <w:lang w:val="en-GB"/>
        </w:rPr>
        <w:t xml:space="preserve">Recent </w:t>
      </w:r>
      <w:r w:rsidRPr="00DA5410">
        <w:rPr>
          <w:rFonts w:ascii="Book Antiqua" w:hAnsi="Book Antiqua" w:cs="Times New Roman"/>
          <w:b/>
          <w:bCs/>
          <w:sz w:val="24"/>
          <w:szCs w:val="24"/>
          <w:lang w:val="en-GB"/>
        </w:rPr>
        <w:t>therapeutic advances</w:t>
      </w:r>
    </w:p>
    <w:p w:rsidR="00F37F91" w:rsidRPr="00C06655" w:rsidRDefault="00F37F91" w:rsidP="006413E6">
      <w:pPr>
        <w:autoSpaceDE w:val="0"/>
        <w:autoSpaceDN w:val="0"/>
        <w:adjustRightInd w:val="0"/>
        <w:spacing w:after="0" w:line="360" w:lineRule="auto"/>
        <w:jc w:val="both"/>
        <w:rPr>
          <w:rFonts w:ascii="Book Antiqua" w:eastAsiaTheme="minorEastAsia" w:hAnsi="Book Antiqua" w:cs="Times New Roman"/>
          <w:bCs/>
          <w:sz w:val="24"/>
          <w:szCs w:val="24"/>
          <w:lang w:val="en-GB" w:eastAsia="zh-CN"/>
        </w:rPr>
      </w:pPr>
    </w:p>
    <w:p w:rsidR="006413E6" w:rsidRPr="00DA5410" w:rsidRDefault="006413E6" w:rsidP="006413E6">
      <w:pPr>
        <w:autoSpaceDE w:val="0"/>
        <w:autoSpaceDN w:val="0"/>
        <w:adjustRightInd w:val="0"/>
        <w:spacing w:after="0" w:line="360" w:lineRule="auto"/>
        <w:jc w:val="both"/>
        <w:rPr>
          <w:rFonts w:ascii="Book Antiqua" w:hAnsi="Book Antiqua" w:cs="Times New Roman"/>
          <w:b/>
          <w:bCs/>
          <w:sz w:val="24"/>
          <w:szCs w:val="24"/>
          <w:lang w:val="en-US"/>
        </w:rPr>
      </w:pPr>
      <w:r w:rsidRPr="00DA5410">
        <w:rPr>
          <w:rFonts w:ascii="Book Antiqua" w:hAnsi="Book Antiqua" w:cs="Times New Roman"/>
          <w:bCs/>
          <w:sz w:val="24"/>
          <w:szCs w:val="24"/>
          <w:lang w:val="en-US"/>
        </w:rPr>
        <w:t>Lech G</w:t>
      </w:r>
      <w:r w:rsidRPr="00DA5410" w:rsidDel="00E251B9">
        <w:rPr>
          <w:rFonts w:ascii="Book Antiqua" w:hAnsi="Book Antiqua" w:cs="Times New Roman"/>
          <w:b/>
          <w:bCs/>
          <w:sz w:val="24"/>
          <w:szCs w:val="24"/>
          <w:lang w:val="en-US"/>
        </w:rPr>
        <w:t xml:space="preserve"> </w:t>
      </w:r>
      <w:r w:rsidRPr="00DA5410">
        <w:rPr>
          <w:rFonts w:ascii="Book Antiqua" w:eastAsiaTheme="minorEastAsia" w:hAnsi="Book Antiqua" w:cs="Times New Roman"/>
          <w:bCs/>
          <w:i/>
          <w:sz w:val="24"/>
          <w:szCs w:val="24"/>
          <w:lang w:val="en-US" w:eastAsia="zh-CN"/>
        </w:rPr>
        <w:t>et al</w:t>
      </w:r>
      <w:r w:rsidRPr="00DA5410">
        <w:rPr>
          <w:rFonts w:ascii="Book Antiqua" w:eastAsiaTheme="minorEastAsia" w:hAnsi="Book Antiqua" w:cs="Times New Roman"/>
          <w:bCs/>
          <w:sz w:val="24"/>
          <w:szCs w:val="24"/>
          <w:lang w:val="en-US" w:eastAsia="zh-CN"/>
        </w:rPr>
        <w:t xml:space="preserve">. </w:t>
      </w:r>
      <w:r w:rsidRPr="00DA5410">
        <w:rPr>
          <w:rFonts w:ascii="Book Antiqua" w:hAnsi="Book Antiqua" w:cs="Times New Roman"/>
          <w:bCs/>
          <w:sz w:val="24"/>
          <w:szCs w:val="24"/>
          <w:lang w:val="en-GB"/>
        </w:rPr>
        <w:t>Colorectal cancer biomarkers</w:t>
      </w:r>
    </w:p>
    <w:p w:rsidR="006413E6" w:rsidRPr="00DA5410" w:rsidRDefault="006413E6" w:rsidP="006413E6">
      <w:pPr>
        <w:autoSpaceDE w:val="0"/>
        <w:autoSpaceDN w:val="0"/>
        <w:adjustRightInd w:val="0"/>
        <w:spacing w:after="0" w:line="360" w:lineRule="auto"/>
        <w:jc w:val="both"/>
        <w:rPr>
          <w:rFonts w:ascii="Book Antiqua" w:eastAsiaTheme="minorEastAsia" w:hAnsi="Book Antiqua" w:cs="Times New Roman"/>
          <w:bCs/>
          <w:sz w:val="24"/>
          <w:szCs w:val="24"/>
          <w:lang w:val="en-US" w:eastAsia="zh-CN"/>
        </w:rPr>
      </w:pPr>
    </w:p>
    <w:p w:rsidR="00F37F91" w:rsidRPr="00DA5410" w:rsidRDefault="00F37F91" w:rsidP="006413E6">
      <w:pPr>
        <w:autoSpaceDE w:val="0"/>
        <w:autoSpaceDN w:val="0"/>
        <w:adjustRightInd w:val="0"/>
        <w:spacing w:after="0" w:line="360" w:lineRule="auto"/>
        <w:jc w:val="both"/>
        <w:rPr>
          <w:rFonts w:ascii="Book Antiqua" w:hAnsi="Book Antiqua" w:cs="Times New Roman"/>
          <w:b/>
          <w:bCs/>
          <w:sz w:val="24"/>
          <w:szCs w:val="24"/>
        </w:rPr>
      </w:pPr>
      <w:r w:rsidRPr="00DA5410">
        <w:rPr>
          <w:rFonts w:ascii="Book Antiqua" w:hAnsi="Book Antiqua" w:cs="Times New Roman"/>
          <w:sz w:val="24"/>
          <w:szCs w:val="24"/>
        </w:rPr>
        <w:t>Gustaw Lech, Robert Słotwiński, Maciej Słodkowski, Ireneusz Wojciech Krasnodębski</w:t>
      </w:r>
    </w:p>
    <w:p w:rsidR="00F37F91" w:rsidRPr="00DA5410" w:rsidRDefault="00F37F91" w:rsidP="006413E6">
      <w:pPr>
        <w:autoSpaceDE w:val="0"/>
        <w:autoSpaceDN w:val="0"/>
        <w:adjustRightInd w:val="0"/>
        <w:spacing w:after="0" w:line="360" w:lineRule="auto"/>
        <w:jc w:val="both"/>
        <w:rPr>
          <w:rFonts w:ascii="Book Antiqua" w:eastAsiaTheme="minorEastAsia" w:hAnsi="Book Antiqua" w:cs="Times New Roman"/>
          <w:b/>
          <w:bCs/>
          <w:sz w:val="24"/>
          <w:szCs w:val="24"/>
          <w:lang w:val="en-GB" w:eastAsia="zh-CN"/>
        </w:rPr>
      </w:pPr>
    </w:p>
    <w:p w:rsidR="00F37F91" w:rsidRPr="00DA5410" w:rsidRDefault="00F37F91" w:rsidP="006413E6">
      <w:pPr>
        <w:autoSpaceDE w:val="0"/>
        <w:autoSpaceDN w:val="0"/>
        <w:adjustRightInd w:val="0"/>
        <w:spacing w:after="0" w:line="360" w:lineRule="auto"/>
        <w:jc w:val="both"/>
        <w:rPr>
          <w:rFonts w:ascii="Book Antiqua" w:hAnsi="Book Antiqua" w:cs="Times New Roman"/>
          <w:bCs/>
          <w:sz w:val="24"/>
          <w:szCs w:val="24"/>
          <w:lang w:val="en-US"/>
        </w:rPr>
      </w:pPr>
      <w:r w:rsidRPr="00DA5410">
        <w:rPr>
          <w:rFonts w:ascii="Book Antiqua" w:hAnsi="Book Antiqua" w:cs="Times New Roman"/>
          <w:b/>
          <w:bCs/>
          <w:sz w:val="24"/>
          <w:szCs w:val="24"/>
          <w:lang w:val="en-US"/>
        </w:rPr>
        <w:t xml:space="preserve">Gustaw Lech, </w:t>
      </w:r>
      <w:r w:rsidRPr="00DA5410">
        <w:rPr>
          <w:rFonts w:ascii="Book Antiqua" w:hAnsi="Book Antiqua" w:cs="Times New Roman"/>
          <w:b/>
          <w:sz w:val="24"/>
          <w:szCs w:val="24"/>
          <w:lang w:val="en-US"/>
        </w:rPr>
        <w:t>Maciej Słodkowski, Ireneusz Wojciech Krasnodębski</w:t>
      </w:r>
      <w:r w:rsidRPr="00DA5410">
        <w:rPr>
          <w:rFonts w:ascii="Book Antiqua" w:hAnsi="Book Antiqua" w:cs="Times New Roman"/>
          <w:sz w:val="24"/>
          <w:szCs w:val="24"/>
          <w:lang w:val="en-US"/>
        </w:rPr>
        <w:t>,</w:t>
      </w:r>
      <w:r w:rsidRPr="00DA5410">
        <w:rPr>
          <w:rFonts w:ascii="Book Antiqua" w:hAnsi="Book Antiqua" w:cs="Times New Roman"/>
          <w:bCs/>
          <w:sz w:val="24"/>
          <w:szCs w:val="24"/>
          <w:lang w:val="en-US"/>
        </w:rPr>
        <w:t xml:space="preserve"> Department of General, Gastroenterological and Oncological Surgery, Medical University of Warsaw, 02097 Warsaw, Poland</w:t>
      </w:r>
    </w:p>
    <w:p w:rsidR="006413E6" w:rsidRPr="00DA5410" w:rsidRDefault="006413E6" w:rsidP="006413E6">
      <w:pPr>
        <w:autoSpaceDE w:val="0"/>
        <w:autoSpaceDN w:val="0"/>
        <w:adjustRightInd w:val="0"/>
        <w:spacing w:after="0" w:line="360" w:lineRule="auto"/>
        <w:jc w:val="both"/>
        <w:rPr>
          <w:rFonts w:ascii="Book Antiqua" w:eastAsiaTheme="minorEastAsia" w:hAnsi="Book Antiqua" w:cs="Times New Roman"/>
          <w:b/>
          <w:sz w:val="24"/>
          <w:szCs w:val="24"/>
          <w:lang w:val="en-US" w:eastAsia="zh-CN"/>
        </w:rPr>
      </w:pPr>
    </w:p>
    <w:p w:rsidR="00F37F91" w:rsidRPr="00DA5410" w:rsidRDefault="00F37F91" w:rsidP="006413E6">
      <w:pPr>
        <w:autoSpaceDE w:val="0"/>
        <w:autoSpaceDN w:val="0"/>
        <w:adjustRightInd w:val="0"/>
        <w:spacing w:after="0" w:line="360" w:lineRule="auto"/>
        <w:jc w:val="both"/>
        <w:rPr>
          <w:rFonts w:ascii="Book Antiqua" w:hAnsi="Book Antiqua" w:cs="Times New Roman"/>
          <w:bCs/>
          <w:sz w:val="24"/>
          <w:szCs w:val="24"/>
          <w:lang w:val="en-US"/>
        </w:rPr>
      </w:pPr>
      <w:r w:rsidRPr="00DA5410">
        <w:rPr>
          <w:rFonts w:ascii="Book Antiqua" w:hAnsi="Book Antiqua" w:cs="Times New Roman"/>
          <w:b/>
          <w:sz w:val="24"/>
          <w:szCs w:val="24"/>
          <w:lang w:val="en-US"/>
        </w:rPr>
        <w:t>Robert Słotwiński</w:t>
      </w:r>
      <w:r w:rsidRPr="00DA5410">
        <w:rPr>
          <w:rFonts w:ascii="Book Antiqua" w:hAnsi="Book Antiqua" w:cs="Times New Roman"/>
          <w:sz w:val="24"/>
          <w:szCs w:val="24"/>
          <w:lang w:val="en-US"/>
        </w:rPr>
        <w:t xml:space="preserve">, Department of Surgical Research and Transplantology, Mossakowski Medical Research Centre, Polish Academy of Sciences, 02106 Warsaw, Poland, and Department of Immunology, Biochemistry and Nutrition, </w:t>
      </w:r>
      <w:r w:rsidRPr="00DA5410">
        <w:rPr>
          <w:rFonts w:ascii="Book Antiqua" w:hAnsi="Book Antiqua" w:cs="Times New Roman"/>
          <w:bCs/>
          <w:sz w:val="24"/>
          <w:szCs w:val="24"/>
          <w:lang w:val="en-US"/>
        </w:rPr>
        <w:t>Medical University of Warsaw, 02007 Warsaw, Poland</w:t>
      </w:r>
    </w:p>
    <w:p w:rsidR="00F37F91" w:rsidRPr="00DA5410" w:rsidRDefault="00F37F91" w:rsidP="006413E6">
      <w:pPr>
        <w:autoSpaceDE w:val="0"/>
        <w:autoSpaceDN w:val="0"/>
        <w:adjustRightInd w:val="0"/>
        <w:spacing w:after="0" w:line="360" w:lineRule="auto"/>
        <w:jc w:val="both"/>
        <w:rPr>
          <w:rFonts w:ascii="Book Antiqua" w:hAnsi="Book Antiqua" w:cs="Times New Roman"/>
          <w:bCs/>
          <w:sz w:val="24"/>
          <w:szCs w:val="24"/>
          <w:lang w:val="en-US"/>
        </w:rPr>
      </w:pPr>
    </w:p>
    <w:p w:rsidR="00F37F91" w:rsidRPr="00DA5410" w:rsidRDefault="00F37F91" w:rsidP="006413E6">
      <w:pPr>
        <w:autoSpaceDE w:val="0"/>
        <w:autoSpaceDN w:val="0"/>
        <w:adjustRightInd w:val="0"/>
        <w:spacing w:after="0" w:line="360" w:lineRule="auto"/>
        <w:jc w:val="both"/>
        <w:rPr>
          <w:rFonts w:ascii="Book Antiqua" w:hAnsi="Book Antiqua" w:cs="Times New Roman"/>
          <w:b/>
          <w:bCs/>
          <w:sz w:val="24"/>
          <w:szCs w:val="24"/>
          <w:lang w:val="en-US"/>
        </w:rPr>
      </w:pPr>
      <w:r w:rsidRPr="00DA5410">
        <w:rPr>
          <w:rFonts w:ascii="Book Antiqua" w:hAnsi="Book Antiqua" w:cs="Times New Roman"/>
          <w:b/>
          <w:bCs/>
          <w:sz w:val="24"/>
          <w:szCs w:val="24"/>
          <w:lang w:val="en-US"/>
        </w:rPr>
        <w:t>Author contributions:</w:t>
      </w:r>
      <w:r w:rsidR="006413E6" w:rsidRPr="00DA5410">
        <w:rPr>
          <w:rFonts w:ascii="Book Antiqua" w:eastAsiaTheme="minorEastAsia" w:hAnsi="Book Antiqua" w:cs="Times New Roman" w:hint="eastAsia"/>
          <w:b/>
          <w:bCs/>
          <w:sz w:val="24"/>
          <w:szCs w:val="24"/>
          <w:lang w:val="en-US" w:eastAsia="zh-CN"/>
        </w:rPr>
        <w:t xml:space="preserve"> </w:t>
      </w:r>
      <w:r w:rsidRPr="00DA5410">
        <w:rPr>
          <w:rFonts w:ascii="Book Antiqua" w:hAnsi="Book Antiqua" w:cs="Times New Roman"/>
          <w:bCs/>
          <w:sz w:val="24"/>
          <w:szCs w:val="24"/>
          <w:lang w:val="en-US"/>
        </w:rPr>
        <w:t>Lech G wrote the manuscript</w:t>
      </w:r>
      <w:r w:rsidR="006413E6" w:rsidRPr="00DA5410">
        <w:rPr>
          <w:rFonts w:ascii="Book Antiqua" w:eastAsiaTheme="minorEastAsia" w:hAnsi="Book Antiqua" w:cs="Times New Roman" w:hint="eastAsia"/>
          <w:bCs/>
          <w:sz w:val="24"/>
          <w:szCs w:val="24"/>
          <w:lang w:val="en-US" w:eastAsia="zh-CN"/>
        </w:rPr>
        <w:t>;</w:t>
      </w:r>
      <w:r w:rsidRPr="00DA5410">
        <w:rPr>
          <w:rFonts w:ascii="Book Antiqua" w:hAnsi="Book Antiqua" w:cs="Times New Roman"/>
          <w:bCs/>
          <w:sz w:val="24"/>
          <w:szCs w:val="24"/>
          <w:lang w:val="en-US"/>
        </w:rPr>
        <w:t xml:space="preserve"> Słotwiński R, Słodkowski M and Krasnodębski IW reviewed the entire manuscript.</w:t>
      </w:r>
    </w:p>
    <w:p w:rsidR="00F37F91" w:rsidRPr="00DA5410" w:rsidRDefault="00F37F91" w:rsidP="006413E6">
      <w:pPr>
        <w:autoSpaceDE w:val="0"/>
        <w:autoSpaceDN w:val="0"/>
        <w:adjustRightInd w:val="0"/>
        <w:spacing w:after="0" w:line="360" w:lineRule="auto"/>
        <w:jc w:val="both"/>
        <w:rPr>
          <w:rFonts w:ascii="Book Antiqua" w:hAnsi="Book Antiqua" w:cs="Times New Roman"/>
          <w:bCs/>
          <w:sz w:val="24"/>
          <w:szCs w:val="24"/>
          <w:lang w:val="en-US"/>
        </w:rPr>
      </w:pPr>
    </w:p>
    <w:p w:rsidR="00F37F91" w:rsidRPr="00DA5410" w:rsidRDefault="00F37F91" w:rsidP="006413E6">
      <w:pPr>
        <w:autoSpaceDE w:val="0"/>
        <w:autoSpaceDN w:val="0"/>
        <w:adjustRightInd w:val="0"/>
        <w:spacing w:after="0" w:line="360" w:lineRule="auto"/>
        <w:jc w:val="both"/>
        <w:rPr>
          <w:rFonts w:ascii="Book Antiqua" w:eastAsiaTheme="minorEastAsia" w:hAnsi="Book Antiqua" w:cs="Times New Roman"/>
          <w:bCs/>
          <w:sz w:val="24"/>
          <w:szCs w:val="24"/>
          <w:lang w:val="en-US"/>
        </w:rPr>
      </w:pPr>
      <w:bookmarkStart w:id="9" w:name="OLE_LINK43"/>
      <w:bookmarkStart w:id="10" w:name="OLE_LINK44"/>
      <w:bookmarkStart w:id="11" w:name="OLE_LINK130"/>
      <w:r w:rsidRPr="00DA5410">
        <w:rPr>
          <w:rFonts w:ascii="Book Antiqua" w:hAnsi="Book Antiqua" w:cs="Times New Roman"/>
          <w:b/>
          <w:bCs/>
          <w:iCs/>
          <w:sz w:val="24"/>
          <w:szCs w:val="24"/>
          <w:highlight w:val="white"/>
          <w:lang w:val="en-US" w:eastAsia="zh-CN"/>
        </w:rPr>
        <w:t>Conflict-of-interest statement:</w:t>
      </w:r>
      <w:bookmarkEnd w:id="9"/>
      <w:bookmarkEnd w:id="10"/>
      <w:bookmarkEnd w:id="11"/>
      <w:r w:rsidRPr="00DA5410">
        <w:rPr>
          <w:rFonts w:ascii="Book Antiqua" w:hAnsi="Book Antiqua" w:cs="Times New Roman"/>
          <w:b/>
          <w:bCs/>
          <w:iCs/>
          <w:sz w:val="24"/>
          <w:szCs w:val="24"/>
          <w:lang w:val="en-US" w:eastAsia="zh-CN"/>
        </w:rPr>
        <w:t xml:space="preserve"> </w:t>
      </w:r>
      <w:r w:rsidRPr="00DA5410">
        <w:rPr>
          <w:rFonts w:ascii="Book Antiqua" w:hAnsi="Book Antiqua" w:cs="Times New Roman"/>
          <w:bCs/>
          <w:iCs/>
          <w:sz w:val="24"/>
          <w:szCs w:val="24"/>
          <w:lang w:val="en-US" w:eastAsia="zh-CN"/>
        </w:rPr>
        <w:t>The authors declare no conflicts of interest</w:t>
      </w:r>
      <w:r w:rsidR="006413E6" w:rsidRPr="00DA5410">
        <w:rPr>
          <w:rFonts w:ascii="Book Antiqua" w:eastAsiaTheme="minorEastAsia" w:hAnsi="Book Antiqua" w:cs="Times New Roman" w:hint="eastAsia"/>
          <w:bCs/>
          <w:iCs/>
          <w:sz w:val="24"/>
          <w:szCs w:val="24"/>
          <w:lang w:val="en-US" w:eastAsia="zh-CN"/>
        </w:rPr>
        <w:t>.</w:t>
      </w:r>
    </w:p>
    <w:p w:rsidR="00F37F91" w:rsidRPr="00DA5410" w:rsidRDefault="00F37F91" w:rsidP="006413E6">
      <w:pPr>
        <w:autoSpaceDE w:val="0"/>
        <w:autoSpaceDN w:val="0"/>
        <w:adjustRightInd w:val="0"/>
        <w:spacing w:after="0" w:line="360" w:lineRule="auto"/>
        <w:jc w:val="both"/>
        <w:rPr>
          <w:rFonts w:ascii="Book Antiqua" w:eastAsiaTheme="minorEastAsia" w:hAnsi="Book Antiqua" w:cs="Times New Roman"/>
          <w:b/>
          <w:bCs/>
          <w:sz w:val="24"/>
          <w:szCs w:val="24"/>
          <w:lang w:val="en-US" w:eastAsia="zh-CN"/>
        </w:rPr>
      </w:pPr>
    </w:p>
    <w:p w:rsidR="006413E6" w:rsidRPr="00DA5410" w:rsidRDefault="006413E6" w:rsidP="006413E6">
      <w:pPr>
        <w:pStyle w:val="1"/>
        <w:spacing w:line="360" w:lineRule="auto"/>
        <w:jc w:val="both"/>
        <w:rPr>
          <w:rFonts w:ascii="Book Antiqua" w:hAnsi="Book Antiqua" w:cs="Times New Roman"/>
          <w:bCs/>
          <w:color w:val="auto"/>
          <w:sz w:val="24"/>
          <w:highlight w:val="white"/>
          <w:lang w:val="en-US"/>
        </w:rPr>
      </w:pPr>
      <w:bookmarkStart w:id="12" w:name="OLE_LINK441"/>
      <w:bookmarkStart w:id="13" w:name="OLE_LINK442"/>
      <w:bookmarkStart w:id="14" w:name="OLE_LINK1032"/>
      <w:bookmarkStart w:id="15" w:name="OLE_LINK1232"/>
      <w:r w:rsidRPr="00DA5410">
        <w:rPr>
          <w:rFonts w:ascii="Book Antiqua" w:hAnsi="Book Antiqua" w:cs="Times New Roman"/>
          <w:b/>
          <w:bCs/>
          <w:color w:val="auto"/>
          <w:sz w:val="24"/>
          <w:highlight w:val="white"/>
          <w:lang w:val="en-US"/>
        </w:rPr>
        <w:t>Open-Access:</w:t>
      </w:r>
      <w:r w:rsidRPr="00DA5410">
        <w:rPr>
          <w:rFonts w:ascii="Book Antiqua" w:hAnsi="Book Antiqua" w:cs="Times New Roman"/>
          <w:bCs/>
          <w:color w:val="auto"/>
          <w:sz w:val="24"/>
          <w:highlight w:val="white"/>
          <w:lang w:val="en-US"/>
        </w:rPr>
        <w:t xml:space="preserve"> </w:t>
      </w:r>
      <w:bookmarkStart w:id="16" w:name="OLE_LINK479"/>
      <w:bookmarkStart w:id="17" w:name="OLE_LINK496"/>
      <w:bookmarkStart w:id="18" w:name="OLE_LINK506"/>
      <w:bookmarkStart w:id="19" w:name="OLE_LINK507"/>
      <w:r w:rsidRPr="00DA5410">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DA5410">
        <w:rPr>
          <w:rFonts w:ascii="Book Antiqua" w:hAnsi="Book Antiqua" w:cs="Times New Roman"/>
          <w:bCs/>
          <w:color w:val="auto"/>
          <w:sz w:val="24"/>
          <w:highlight w:val="white"/>
          <w:lang w:val="en-US"/>
        </w:rPr>
        <w:lastRenderedPageBreak/>
        <w:t xml:space="preserve">this work non-commercially, and license their derivative works on different terms, provided the original work is properly cited and the use is non-commercial. See: </w:t>
      </w:r>
      <w:hyperlink r:id="rId7" w:history="1">
        <w:r w:rsidRPr="00DA5410">
          <w:rPr>
            <w:rStyle w:val="Hyperlink"/>
            <w:rFonts w:ascii="Book Antiqua" w:hAnsi="Book Antiqua" w:cs="Times New Roman"/>
            <w:bCs/>
            <w:color w:val="auto"/>
            <w:sz w:val="24"/>
            <w:highlight w:val="white"/>
            <w:lang w:val="en-US"/>
          </w:rPr>
          <w:t>http://creativecommons.org/licenses/by-nc/4.0/</w:t>
        </w:r>
      </w:hyperlink>
      <w:bookmarkEnd w:id="16"/>
      <w:bookmarkEnd w:id="17"/>
      <w:bookmarkEnd w:id="18"/>
      <w:bookmarkEnd w:id="19"/>
    </w:p>
    <w:bookmarkEnd w:id="12"/>
    <w:bookmarkEnd w:id="13"/>
    <w:bookmarkEnd w:id="14"/>
    <w:bookmarkEnd w:id="15"/>
    <w:p w:rsidR="006413E6" w:rsidRPr="00DA5410" w:rsidRDefault="006413E6" w:rsidP="006413E6">
      <w:pPr>
        <w:autoSpaceDE w:val="0"/>
        <w:autoSpaceDN w:val="0"/>
        <w:adjustRightInd w:val="0"/>
        <w:spacing w:after="0" w:line="360" w:lineRule="auto"/>
        <w:jc w:val="both"/>
        <w:rPr>
          <w:rFonts w:ascii="Book Antiqua" w:eastAsiaTheme="minorEastAsia" w:hAnsi="Book Antiqua" w:cs="Times New Roman"/>
          <w:b/>
          <w:bCs/>
          <w:sz w:val="24"/>
          <w:szCs w:val="24"/>
          <w:lang w:val="en-US" w:eastAsia="zh-CN"/>
        </w:rPr>
      </w:pPr>
    </w:p>
    <w:p w:rsidR="00F37F91" w:rsidRPr="00DA5410" w:rsidRDefault="00F37F91" w:rsidP="006413E6">
      <w:pPr>
        <w:autoSpaceDE w:val="0"/>
        <w:autoSpaceDN w:val="0"/>
        <w:adjustRightInd w:val="0"/>
        <w:spacing w:after="0" w:line="360" w:lineRule="auto"/>
        <w:jc w:val="both"/>
        <w:rPr>
          <w:rFonts w:ascii="Book Antiqua" w:hAnsi="Book Antiqua" w:cs="Times New Roman"/>
          <w:b/>
          <w:bCs/>
          <w:sz w:val="24"/>
          <w:szCs w:val="24"/>
          <w:lang w:val="en-US"/>
        </w:rPr>
      </w:pPr>
      <w:r w:rsidRPr="00DA5410">
        <w:rPr>
          <w:rFonts w:ascii="Book Antiqua" w:hAnsi="Book Antiqua" w:cs="Times New Roman"/>
          <w:b/>
          <w:bCs/>
          <w:sz w:val="24"/>
          <w:szCs w:val="24"/>
          <w:lang w:val="en-US"/>
        </w:rPr>
        <w:t>Correspondence to:</w:t>
      </w:r>
      <w:r w:rsidR="006413E6" w:rsidRPr="00DA5410">
        <w:rPr>
          <w:rFonts w:ascii="Book Antiqua" w:eastAsiaTheme="minorEastAsia" w:hAnsi="Book Antiqua" w:cs="Times New Roman" w:hint="eastAsia"/>
          <w:b/>
          <w:bCs/>
          <w:sz w:val="24"/>
          <w:szCs w:val="24"/>
          <w:lang w:val="en-US" w:eastAsia="zh-CN"/>
        </w:rPr>
        <w:t xml:space="preserve"> </w:t>
      </w:r>
      <w:r w:rsidRPr="00DA5410">
        <w:rPr>
          <w:rFonts w:ascii="Book Antiqua" w:hAnsi="Book Antiqua" w:cs="Times New Roman"/>
          <w:b/>
          <w:bCs/>
          <w:sz w:val="24"/>
          <w:szCs w:val="24"/>
          <w:lang w:val="en-US"/>
        </w:rPr>
        <w:t>Gustaw Lech, MD, PhD,</w:t>
      </w:r>
      <w:r w:rsidRPr="00DA5410">
        <w:rPr>
          <w:rFonts w:ascii="Book Antiqua" w:hAnsi="Book Antiqua" w:cs="Times New Roman"/>
          <w:bCs/>
          <w:sz w:val="24"/>
          <w:szCs w:val="24"/>
          <w:lang w:val="en-US"/>
        </w:rPr>
        <w:t xml:space="preserve"> Department of General, Gastroenterological and Oncological Surgery, Medical University of Warsaw, 1a Banacha </w:t>
      </w:r>
      <w:r w:rsidR="006413E6" w:rsidRPr="00DA5410">
        <w:rPr>
          <w:rFonts w:ascii="Book Antiqua" w:hAnsi="Book Antiqua" w:cs="Times New Roman"/>
          <w:bCs/>
          <w:sz w:val="24"/>
          <w:szCs w:val="24"/>
        </w:rPr>
        <w:t>Street</w:t>
      </w:r>
      <w:r w:rsidRPr="00DA5410">
        <w:rPr>
          <w:rFonts w:ascii="Book Antiqua" w:hAnsi="Book Antiqua" w:cs="Times New Roman"/>
          <w:bCs/>
          <w:sz w:val="24"/>
          <w:szCs w:val="24"/>
          <w:lang w:val="en-US"/>
        </w:rPr>
        <w:t>, 02097 Warsaw, Poland.</w:t>
      </w:r>
      <w:r w:rsidR="00403D7A">
        <w:rPr>
          <w:rFonts w:ascii="Book Antiqua" w:eastAsiaTheme="minorEastAsia" w:hAnsi="Book Antiqua" w:cs="Times New Roman" w:hint="eastAsia"/>
          <w:bCs/>
          <w:sz w:val="24"/>
          <w:szCs w:val="24"/>
          <w:lang w:val="en-US" w:eastAsia="zh-CN"/>
        </w:rPr>
        <w:t xml:space="preserve"> </w:t>
      </w:r>
      <w:hyperlink r:id="rId8" w:history="1">
        <w:r w:rsidRPr="00DA5410">
          <w:rPr>
            <w:rStyle w:val="Hyperlink"/>
            <w:rFonts w:ascii="Book Antiqua" w:hAnsi="Book Antiqua"/>
            <w:color w:val="auto"/>
            <w:sz w:val="24"/>
            <w:szCs w:val="24"/>
            <w:u w:val="none"/>
            <w:lang w:val="en-US"/>
          </w:rPr>
          <w:t>gustaw.lech@wum.edu.pl</w:t>
        </w:r>
      </w:hyperlink>
    </w:p>
    <w:p w:rsidR="006413E6" w:rsidRPr="00701E9A" w:rsidRDefault="00F37F91" w:rsidP="006413E6">
      <w:pPr>
        <w:autoSpaceDE w:val="0"/>
        <w:autoSpaceDN w:val="0"/>
        <w:adjustRightInd w:val="0"/>
        <w:spacing w:after="0" w:line="360" w:lineRule="auto"/>
        <w:jc w:val="both"/>
        <w:rPr>
          <w:rFonts w:ascii="Book Antiqua" w:eastAsiaTheme="minorEastAsia" w:hAnsi="Book Antiqua" w:cs="Times New Roman"/>
          <w:bCs/>
          <w:sz w:val="24"/>
          <w:szCs w:val="24"/>
          <w:lang w:val="en-US" w:eastAsia="zh-CN"/>
        </w:rPr>
      </w:pPr>
      <w:r w:rsidRPr="00DA5410">
        <w:rPr>
          <w:rFonts w:ascii="Book Antiqua" w:hAnsi="Book Antiqua" w:cs="Times New Roman"/>
          <w:b/>
          <w:bCs/>
          <w:sz w:val="24"/>
          <w:szCs w:val="24"/>
          <w:lang w:val="en-US"/>
        </w:rPr>
        <w:t>Telephone:</w:t>
      </w:r>
      <w:r w:rsidR="00701E9A">
        <w:rPr>
          <w:rFonts w:ascii="Book Antiqua" w:hAnsi="Book Antiqua" w:cs="Times New Roman"/>
          <w:bCs/>
          <w:sz w:val="24"/>
          <w:szCs w:val="24"/>
          <w:lang w:val="en-US"/>
        </w:rPr>
        <w:t xml:space="preserve"> +48-22-5992482 </w:t>
      </w:r>
    </w:p>
    <w:p w:rsidR="00D53F0B" w:rsidRPr="00DA5410" w:rsidRDefault="00F37F91" w:rsidP="006413E6">
      <w:pPr>
        <w:autoSpaceDE w:val="0"/>
        <w:autoSpaceDN w:val="0"/>
        <w:adjustRightInd w:val="0"/>
        <w:spacing w:after="0" w:line="360" w:lineRule="auto"/>
        <w:jc w:val="both"/>
        <w:rPr>
          <w:rFonts w:ascii="Book Antiqua" w:eastAsiaTheme="minorEastAsia" w:hAnsi="Book Antiqua" w:cs="Times New Roman"/>
          <w:bCs/>
          <w:sz w:val="24"/>
          <w:szCs w:val="24"/>
          <w:lang w:val="en-US" w:eastAsia="zh-CN"/>
        </w:rPr>
      </w:pPr>
      <w:r w:rsidRPr="00DA5410">
        <w:rPr>
          <w:rFonts w:ascii="Book Antiqua" w:hAnsi="Book Antiqua" w:cs="Times New Roman"/>
          <w:b/>
          <w:bCs/>
          <w:sz w:val="24"/>
          <w:szCs w:val="24"/>
          <w:lang w:val="en-US"/>
        </w:rPr>
        <w:t xml:space="preserve">Fax: </w:t>
      </w:r>
      <w:r w:rsidRPr="00DA5410">
        <w:rPr>
          <w:rFonts w:ascii="Book Antiqua" w:hAnsi="Book Antiqua" w:cs="Times New Roman"/>
          <w:bCs/>
          <w:sz w:val="24"/>
          <w:szCs w:val="24"/>
          <w:lang w:val="en-US"/>
        </w:rPr>
        <w:t>+48-22-5992057</w:t>
      </w:r>
    </w:p>
    <w:p w:rsidR="006413E6" w:rsidRPr="00DA5410" w:rsidRDefault="006413E6" w:rsidP="006413E6">
      <w:pPr>
        <w:autoSpaceDE w:val="0"/>
        <w:autoSpaceDN w:val="0"/>
        <w:adjustRightInd w:val="0"/>
        <w:spacing w:after="0" w:line="360" w:lineRule="auto"/>
        <w:jc w:val="both"/>
        <w:rPr>
          <w:rFonts w:ascii="Book Antiqua" w:eastAsiaTheme="minorEastAsia" w:hAnsi="Book Antiqua" w:cs="Times New Roman"/>
          <w:bCs/>
          <w:sz w:val="24"/>
          <w:szCs w:val="24"/>
          <w:lang w:val="en-US" w:eastAsia="zh-CN"/>
        </w:rPr>
      </w:pPr>
    </w:p>
    <w:p w:rsidR="006413E6" w:rsidRPr="00DA5410" w:rsidRDefault="006413E6" w:rsidP="006413E6">
      <w:pPr>
        <w:spacing w:after="0" w:line="360" w:lineRule="auto"/>
        <w:contextualSpacing/>
        <w:rPr>
          <w:rFonts w:ascii="Book Antiqua" w:eastAsiaTheme="minorEastAsia" w:hAnsi="Book Antiqua"/>
          <w:b/>
          <w:sz w:val="24"/>
          <w:szCs w:val="24"/>
          <w:lang w:eastAsia="zh-CN"/>
        </w:rPr>
      </w:pPr>
      <w:bookmarkStart w:id="20" w:name="OLE_LINK237"/>
      <w:bookmarkStart w:id="21" w:name="OLE_LINK238"/>
      <w:r w:rsidRPr="00DA5410">
        <w:rPr>
          <w:rFonts w:ascii="Book Antiqua" w:hAnsi="Book Antiqua"/>
          <w:b/>
          <w:sz w:val="24"/>
          <w:szCs w:val="24"/>
        </w:rPr>
        <w:t>Received:</w:t>
      </w:r>
      <w:r w:rsidRPr="00DA5410">
        <w:rPr>
          <w:rFonts w:ascii="Book Antiqua" w:hAnsi="Book Antiqua" w:hint="eastAsia"/>
          <w:b/>
          <w:sz w:val="24"/>
          <w:szCs w:val="24"/>
        </w:rPr>
        <w:t xml:space="preserve"> </w:t>
      </w:r>
      <w:r w:rsidRPr="00DA5410">
        <w:rPr>
          <w:rFonts w:ascii="Book Antiqua" w:eastAsiaTheme="minorEastAsia" w:hAnsi="Book Antiqua" w:hint="eastAsia"/>
          <w:sz w:val="24"/>
          <w:szCs w:val="24"/>
          <w:lang w:eastAsia="zh-CN"/>
        </w:rPr>
        <w:t>May 3, 2015</w:t>
      </w:r>
    </w:p>
    <w:p w:rsidR="006413E6" w:rsidRPr="00DA5410" w:rsidRDefault="006413E6" w:rsidP="006413E6">
      <w:pPr>
        <w:spacing w:after="0" w:line="360" w:lineRule="auto"/>
        <w:contextualSpacing/>
        <w:rPr>
          <w:rFonts w:ascii="Book Antiqua" w:eastAsiaTheme="minorEastAsia" w:hAnsi="Book Antiqua"/>
          <w:b/>
          <w:sz w:val="24"/>
          <w:szCs w:val="24"/>
          <w:lang w:eastAsia="zh-CN"/>
        </w:rPr>
      </w:pPr>
      <w:r w:rsidRPr="00DA5410">
        <w:rPr>
          <w:rFonts w:ascii="Book Antiqua" w:hAnsi="Book Antiqua"/>
          <w:b/>
          <w:sz w:val="24"/>
          <w:szCs w:val="24"/>
        </w:rPr>
        <w:t>Peer-review started:</w:t>
      </w:r>
      <w:r w:rsidRPr="00DA5410">
        <w:rPr>
          <w:rFonts w:ascii="Book Antiqua" w:eastAsiaTheme="minorEastAsia" w:hAnsi="Book Antiqua" w:hint="eastAsia"/>
          <w:b/>
          <w:sz w:val="24"/>
          <w:szCs w:val="24"/>
          <w:lang w:eastAsia="zh-CN"/>
        </w:rPr>
        <w:t xml:space="preserve"> </w:t>
      </w:r>
      <w:r w:rsidRPr="00DA5410">
        <w:rPr>
          <w:rFonts w:ascii="Book Antiqua" w:eastAsiaTheme="minorEastAsia" w:hAnsi="Book Antiqua" w:hint="eastAsia"/>
          <w:sz w:val="24"/>
          <w:szCs w:val="24"/>
          <w:lang w:eastAsia="zh-CN"/>
        </w:rPr>
        <w:t>May 8, 2015</w:t>
      </w:r>
    </w:p>
    <w:p w:rsidR="006413E6" w:rsidRPr="00DA5410" w:rsidRDefault="006413E6" w:rsidP="006413E6">
      <w:pPr>
        <w:spacing w:after="0" w:line="360" w:lineRule="auto"/>
        <w:contextualSpacing/>
        <w:rPr>
          <w:rFonts w:ascii="Book Antiqua" w:eastAsiaTheme="minorEastAsia" w:hAnsi="Book Antiqua"/>
          <w:b/>
          <w:sz w:val="24"/>
          <w:szCs w:val="24"/>
          <w:lang w:eastAsia="zh-CN"/>
        </w:rPr>
      </w:pPr>
      <w:r w:rsidRPr="00DA5410">
        <w:rPr>
          <w:rFonts w:ascii="Book Antiqua" w:hAnsi="Book Antiqua"/>
          <w:b/>
          <w:sz w:val="24"/>
          <w:szCs w:val="24"/>
        </w:rPr>
        <w:t>First decision:</w:t>
      </w:r>
      <w:r w:rsidRPr="00DA5410">
        <w:rPr>
          <w:rFonts w:ascii="Book Antiqua" w:eastAsiaTheme="minorEastAsia" w:hAnsi="Book Antiqua" w:hint="eastAsia"/>
          <w:b/>
          <w:sz w:val="24"/>
          <w:szCs w:val="24"/>
          <w:lang w:eastAsia="zh-CN"/>
        </w:rPr>
        <w:t xml:space="preserve"> </w:t>
      </w:r>
      <w:r w:rsidRPr="00DA5410">
        <w:rPr>
          <w:rFonts w:ascii="Book Antiqua" w:eastAsiaTheme="minorEastAsia" w:hAnsi="Book Antiqua" w:hint="eastAsia"/>
          <w:sz w:val="24"/>
          <w:szCs w:val="24"/>
          <w:lang w:eastAsia="zh-CN"/>
        </w:rPr>
        <w:t>September 9, 2015</w:t>
      </w:r>
    </w:p>
    <w:p w:rsidR="006413E6" w:rsidRPr="00DA5410" w:rsidRDefault="006413E6" w:rsidP="006413E6">
      <w:pPr>
        <w:spacing w:after="0" w:line="360" w:lineRule="auto"/>
        <w:contextualSpacing/>
        <w:rPr>
          <w:rFonts w:ascii="Book Antiqua" w:eastAsiaTheme="minorEastAsia" w:hAnsi="Book Antiqua"/>
          <w:b/>
          <w:sz w:val="24"/>
          <w:szCs w:val="24"/>
          <w:lang w:eastAsia="zh-CN"/>
        </w:rPr>
      </w:pPr>
      <w:r w:rsidRPr="00DA5410">
        <w:rPr>
          <w:rFonts w:ascii="Book Antiqua" w:hAnsi="Book Antiqua"/>
          <w:b/>
          <w:sz w:val="24"/>
          <w:szCs w:val="24"/>
        </w:rPr>
        <w:t>Revised:</w:t>
      </w:r>
      <w:r w:rsidRPr="00DA5410">
        <w:rPr>
          <w:rFonts w:ascii="Book Antiqua" w:hAnsi="Book Antiqua" w:hint="eastAsia"/>
          <w:b/>
          <w:sz w:val="24"/>
          <w:szCs w:val="24"/>
        </w:rPr>
        <w:t xml:space="preserve"> </w:t>
      </w:r>
      <w:r w:rsidRPr="00DA5410">
        <w:rPr>
          <w:rFonts w:ascii="Book Antiqua" w:eastAsiaTheme="minorEastAsia" w:hAnsi="Book Antiqua" w:hint="eastAsia"/>
          <w:sz w:val="24"/>
          <w:szCs w:val="24"/>
          <w:lang w:eastAsia="zh-CN"/>
        </w:rPr>
        <w:t>October 5, 2015</w:t>
      </w:r>
    </w:p>
    <w:p w:rsidR="006413E6" w:rsidRPr="00F8208B" w:rsidRDefault="006413E6" w:rsidP="00F8208B">
      <w:pPr>
        <w:spacing w:line="360" w:lineRule="auto"/>
        <w:rPr>
          <w:rFonts w:ascii="Book Antiqua" w:hAnsi="Book Antiqua"/>
          <w:color w:val="000000"/>
          <w:sz w:val="24"/>
        </w:rPr>
      </w:pPr>
      <w:r w:rsidRPr="00DA5410">
        <w:rPr>
          <w:rFonts w:ascii="Book Antiqua" w:hAnsi="Book Antiqua"/>
          <w:b/>
          <w:sz w:val="24"/>
          <w:szCs w:val="24"/>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6"/>
      <w:bookmarkStart w:id="29" w:name="OLE_LINK117"/>
      <w:bookmarkStart w:id="30" w:name="OLE_LINK119"/>
      <w:bookmarkStart w:id="31" w:name="OLE_LINK121"/>
      <w:bookmarkStart w:id="32" w:name="OLE_LINK122"/>
      <w:bookmarkStart w:id="33" w:name="OLE_LINK125"/>
      <w:bookmarkStart w:id="34" w:name="OLE_LINK126"/>
      <w:bookmarkStart w:id="35" w:name="OLE_LINK127"/>
      <w:bookmarkStart w:id="36" w:name="OLE_LINK129"/>
      <w:bookmarkStart w:id="37" w:name="OLE_LINK132"/>
      <w:bookmarkStart w:id="38" w:name="OLE_LINK134"/>
      <w:bookmarkStart w:id="39" w:name="OLE_LINK135"/>
      <w:bookmarkStart w:id="40" w:name="OLE_LINK136"/>
      <w:bookmarkStart w:id="41" w:name="OLE_LINK137"/>
      <w:bookmarkStart w:id="42" w:name="OLE_LINK138"/>
      <w:bookmarkStart w:id="43" w:name="OLE_LINK139"/>
      <w:bookmarkStart w:id="44" w:name="OLE_LINK141"/>
      <w:bookmarkStart w:id="45" w:name="OLE_LINK142"/>
      <w:bookmarkStart w:id="46" w:name="OLE_LINK143"/>
      <w:bookmarkStart w:id="47" w:name="OLE_LINK144"/>
      <w:bookmarkStart w:id="48" w:name="OLE_LINK146"/>
      <w:bookmarkStart w:id="49" w:name="OLE_LINK147"/>
      <w:r w:rsidR="00F8208B" w:rsidRPr="00F8208B">
        <w:rPr>
          <w:rFonts w:ascii="Book Antiqua" w:hAnsi="Book Antiqua"/>
          <w:color w:val="000000"/>
          <w:sz w:val="24"/>
        </w:rPr>
        <w:t xml:space="preserve"> </w:t>
      </w:r>
      <w:r w:rsidR="00F8208B">
        <w:rPr>
          <w:rFonts w:ascii="Book Antiqua" w:hAnsi="Book Antiqua"/>
          <w:color w:val="000000"/>
          <w:sz w:val="24"/>
        </w:rPr>
        <w:t>December 19</w:t>
      </w:r>
      <w:r w:rsidR="00F8208B" w:rsidRPr="002A2EC8">
        <w:rPr>
          <w:rFonts w:ascii="Book Antiqua" w:hAnsi="Book Antiqua"/>
          <w:color w:val="000000"/>
          <w:sz w:val="24"/>
        </w:rPr>
        <w:t>, 2015</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413E6" w:rsidRPr="00DA5410" w:rsidRDefault="006413E6" w:rsidP="006413E6">
      <w:pPr>
        <w:spacing w:after="0" w:line="360" w:lineRule="auto"/>
        <w:contextualSpacing/>
        <w:rPr>
          <w:rFonts w:ascii="Book Antiqua" w:hAnsi="Book Antiqua"/>
          <w:b/>
          <w:sz w:val="24"/>
          <w:szCs w:val="24"/>
        </w:rPr>
      </w:pPr>
      <w:r w:rsidRPr="00DA5410">
        <w:rPr>
          <w:rFonts w:ascii="Book Antiqua" w:hAnsi="Book Antiqua"/>
          <w:b/>
          <w:sz w:val="24"/>
          <w:szCs w:val="24"/>
        </w:rPr>
        <w:t>Article in press:</w:t>
      </w:r>
    </w:p>
    <w:p w:rsidR="006413E6" w:rsidRPr="00DA5410" w:rsidRDefault="006413E6" w:rsidP="006413E6">
      <w:pPr>
        <w:pStyle w:val="1"/>
        <w:rPr>
          <w:rFonts w:ascii="Book Antiqua" w:hAnsi="Book Antiqua" w:cs="Times New Roman"/>
          <w:b/>
          <w:color w:val="auto"/>
          <w:sz w:val="24"/>
          <w:highlight w:val="white"/>
          <w:lang w:val="en-US" w:eastAsia="zh-CN"/>
        </w:rPr>
      </w:pPr>
      <w:r w:rsidRPr="00DA5410">
        <w:rPr>
          <w:rFonts w:ascii="Book Antiqua" w:hAnsi="Book Antiqua"/>
          <w:b/>
          <w:color w:val="auto"/>
          <w:sz w:val="24"/>
          <w:szCs w:val="24"/>
        </w:rPr>
        <w:t>Published online</w:t>
      </w:r>
      <w:r w:rsidRPr="00DA5410">
        <w:rPr>
          <w:rFonts w:ascii="Book Antiqua" w:hAnsi="Book Antiqua" w:hint="eastAsia"/>
          <w:b/>
          <w:color w:val="auto"/>
          <w:sz w:val="24"/>
          <w:szCs w:val="24"/>
        </w:rPr>
        <w:t>:</w:t>
      </w:r>
    </w:p>
    <w:bookmarkEnd w:id="20"/>
    <w:bookmarkEnd w:id="21"/>
    <w:p w:rsidR="006413E6" w:rsidRPr="00DA5410" w:rsidRDefault="006413E6" w:rsidP="006413E6">
      <w:pPr>
        <w:autoSpaceDE w:val="0"/>
        <w:autoSpaceDN w:val="0"/>
        <w:adjustRightInd w:val="0"/>
        <w:spacing w:after="0" w:line="360" w:lineRule="auto"/>
        <w:jc w:val="both"/>
        <w:rPr>
          <w:rFonts w:ascii="Book Antiqua" w:eastAsiaTheme="minorEastAsia" w:hAnsi="Book Antiqua" w:cs="Times New Roman"/>
          <w:bCs/>
          <w:sz w:val="24"/>
          <w:szCs w:val="24"/>
          <w:lang w:val="en-US" w:eastAsia="zh-CN"/>
        </w:rPr>
      </w:pPr>
    </w:p>
    <w:p w:rsidR="006413E6" w:rsidRPr="00DA5410" w:rsidRDefault="006413E6">
      <w:pPr>
        <w:spacing w:after="160" w:line="259" w:lineRule="auto"/>
        <w:rPr>
          <w:rFonts w:ascii="Book Antiqua" w:hAnsi="Book Antiqua" w:cs="Tahoma"/>
          <w:b/>
          <w:sz w:val="24"/>
          <w:szCs w:val="24"/>
          <w:lang w:val="en-US"/>
        </w:rPr>
      </w:pPr>
      <w:r w:rsidRPr="00DA5410">
        <w:rPr>
          <w:rFonts w:ascii="Book Antiqua" w:hAnsi="Book Antiqua" w:cs="Tahoma"/>
          <w:b/>
          <w:sz w:val="24"/>
          <w:szCs w:val="24"/>
          <w:lang w:val="en-US"/>
        </w:rPr>
        <w:br w:type="page"/>
      </w:r>
    </w:p>
    <w:p w:rsidR="00F37F91" w:rsidRPr="00DA5410" w:rsidRDefault="00F37F91" w:rsidP="006413E6">
      <w:pPr>
        <w:spacing w:after="0" w:line="360" w:lineRule="auto"/>
        <w:jc w:val="both"/>
        <w:rPr>
          <w:rFonts w:ascii="Book Antiqua" w:hAnsi="Book Antiqua" w:cs="Tahoma"/>
          <w:b/>
          <w:sz w:val="24"/>
          <w:szCs w:val="24"/>
          <w:lang w:val="en-US"/>
        </w:rPr>
      </w:pPr>
      <w:r w:rsidRPr="00DA5410">
        <w:rPr>
          <w:rFonts w:ascii="Book Antiqua" w:hAnsi="Book Antiqua" w:cs="Tahoma"/>
          <w:b/>
          <w:sz w:val="24"/>
          <w:szCs w:val="24"/>
          <w:lang w:val="en-US"/>
        </w:rPr>
        <w:lastRenderedPageBreak/>
        <w:t>Abstract</w:t>
      </w:r>
    </w:p>
    <w:p w:rsidR="00F37F91" w:rsidRPr="00DA5410" w:rsidRDefault="00F37F91" w:rsidP="006413E6">
      <w:pPr>
        <w:spacing w:after="0" w:line="360" w:lineRule="auto"/>
        <w:jc w:val="both"/>
        <w:rPr>
          <w:rFonts w:ascii="Book Antiqua" w:hAnsi="Book Antiqua" w:cs="Tahoma"/>
          <w:sz w:val="24"/>
          <w:szCs w:val="24"/>
          <w:lang w:val="en-GB"/>
        </w:rPr>
      </w:pPr>
      <w:r w:rsidRPr="00DA5410">
        <w:rPr>
          <w:rFonts w:ascii="Book Antiqua" w:hAnsi="Book Antiqua" w:cs="Tahoma"/>
          <w:sz w:val="24"/>
          <w:szCs w:val="24"/>
          <w:lang w:val="en-GB"/>
        </w:rPr>
        <w:t>Colorectal cancer (CRC) is the second most commonly diagnosed cancer among females and third among males worldwide. It also contributes significantly to cancer-related deaths, despite the continuous progress in diagnostic and therapeutic methods. Biomarkers currently play an important role in the detection and treatment of patients with colorectal cancer. Risk stratification for screening might be augmented by finding new biomarkers which alone or as a complement of existing tests might recognize either the predisposition or early stage of the disease. Biomarkers have also the potential to change diagnostic and treatment algorithms by selecting the proper chemotherapeutic drugs across a broad spectrum of patients. There are attempts to personalise chemotherapy based on presence or absence of specific biomarkers. In this review, we update review published last year and</w:t>
      </w:r>
      <w:r w:rsidR="00701E9A">
        <w:rPr>
          <w:rFonts w:ascii="Book Antiqua" w:hAnsi="Book Antiqua" w:cs="Tahoma"/>
          <w:sz w:val="24"/>
          <w:szCs w:val="24"/>
          <w:lang w:val="en-GB"/>
        </w:rPr>
        <w:t xml:space="preserve"> describe our understanding of </w:t>
      </w:r>
      <w:r w:rsidRPr="00DA5410">
        <w:rPr>
          <w:rFonts w:ascii="Book Antiqua" w:hAnsi="Book Antiqua" w:cs="Tahoma"/>
          <w:sz w:val="24"/>
          <w:szCs w:val="24"/>
          <w:lang w:val="en-GB"/>
        </w:rPr>
        <w:t xml:space="preserve">tumour markers and biomarkers role in CRC screening, diagnosis, treatment and follow-up. Goal of future research is to identify those biomarkers that could allow a non-invasive and cost-effective diagnosis, as well as to recognise the best prognostic panel and define the predictive biomarkers for available treatments. </w:t>
      </w:r>
    </w:p>
    <w:p w:rsidR="00F37F91" w:rsidRPr="00DA5410" w:rsidRDefault="00F37F91" w:rsidP="006413E6">
      <w:pPr>
        <w:spacing w:after="0" w:line="360" w:lineRule="auto"/>
        <w:jc w:val="both"/>
        <w:rPr>
          <w:rFonts w:ascii="Book Antiqua" w:hAnsi="Book Antiqua" w:cs="Tahoma"/>
          <w:sz w:val="24"/>
          <w:szCs w:val="24"/>
          <w:lang w:val="en-GB"/>
        </w:rPr>
      </w:pPr>
    </w:p>
    <w:p w:rsidR="00F37F91" w:rsidRPr="00DA5410" w:rsidRDefault="00F37F91" w:rsidP="006413E6">
      <w:pPr>
        <w:spacing w:after="0" w:line="360" w:lineRule="auto"/>
        <w:jc w:val="both"/>
        <w:rPr>
          <w:rFonts w:ascii="Book Antiqua" w:eastAsiaTheme="minorEastAsia" w:hAnsi="Book Antiqua" w:cs="Tahoma"/>
          <w:b/>
          <w:sz w:val="24"/>
          <w:szCs w:val="24"/>
          <w:lang w:val="en-GB" w:eastAsia="zh-CN"/>
        </w:rPr>
      </w:pPr>
      <w:r w:rsidRPr="00DA5410">
        <w:rPr>
          <w:rFonts w:ascii="Book Antiqua" w:hAnsi="Book Antiqua" w:cs="Tahoma"/>
          <w:b/>
          <w:sz w:val="24"/>
          <w:szCs w:val="24"/>
          <w:lang w:val="en-GB"/>
        </w:rPr>
        <w:t>Key words</w:t>
      </w:r>
      <w:r w:rsidR="006413E6" w:rsidRPr="00DA5410">
        <w:rPr>
          <w:rFonts w:ascii="Book Antiqua" w:eastAsiaTheme="minorEastAsia" w:hAnsi="Book Antiqua" w:cs="Tahoma" w:hint="eastAsia"/>
          <w:b/>
          <w:sz w:val="24"/>
          <w:szCs w:val="24"/>
          <w:lang w:val="en-GB" w:eastAsia="zh-CN"/>
        </w:rPr>
        <w:t xml:space="preserve">: </w:t>
      </w:r>
      <w:r w:rsidRPr="00DA5410">
        <w:rPr>
          <w:rFonts w:ascii="Book Antiqua" w:hAnsi="Book Antiqua" w:cs="Tahoma"/>
          <w:caps/>
          <w:sz w:val="24"/>
          <w:szCs w:val="24"/>
          <w:lang w:val="en-GB"/>
        </w:rPr>
        <w:t>c</w:t>
      </w:r>
      <w:r w:rsidRPr="00DA5410">
        <w:rPr>
          <w:rFonts w:ascii="Book Antiqua" w:hAnsi="Book Antiqua" w:cs="Tahoma"/>
          <w:sz w:val="24"/>
          <w:szCs w:val="24"/>
          <w:lang w:val="en-GB"/>
        </w:rPr>
        <w:t>olorectal cancer</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caps/>
          <w:sz w:val="24"/>
          <w:szCs w:val="24"/>
          <w:lang w:val="en-GB"/>
        </w:rPr>
        <w:t>b</w:t>
      </w:r>
      <w:r w:rsidRPr="00DA5410">
        <w:rPr>
          <w:rFonts w:ascii="Book Antiqua" w:hAnsi="Book Antiqua" w:cs="Tahoma"/>
          <w:sz w:val="24"/>
          <w:szCs w:val="24"/>
          <w:lang w:val="en-GB"/>
        </w:rPr>
        <w:t>iomarker</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caps/>
          <w:sz w:val="24"/>
          <w:szCs w:val="24"/>
          <w:lang w:val="en-GB"/>
        </w:rPr>
        <w:t>m</w:t>
      </w:r>
      <w:r w:rsidRPr="00DA5410">
        <w:rPr>
          <w:rFonts w:ascii="Book Antiqua" w:hAnsi="Book Antiqua" w:cs="Tahoma"/>
          <w:sz w:val="24"/>
          <w:szCs w:val="24"/>
          <w:lang w:val="en-GB"/>
        </w:rPr>
        <w:t>icrosatellite instability</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i/>
          <w:sz w:val="24"/>
          <w:szCs w:val="24"/>
          <w:lang w:val="en-GB"/>
        </w:rPr>
        <w:t>KRAS</w:t>
      </w:r>
      <w:r w:rsidRPr="00DA5410">
        <w:rPr>
          <w:rFonts w:ascii="Book Antiqua" w:hAnsi="Book Antiqua" w:cs="Tahoma"/>
          <w:sz w:val="24"/>
          <w:szCs w:val="24"/>
          <w:lang w:val="en-GB"/>
        </w:rPr>
        <w:t xml:space="preserve"> mutation</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i/>
          <w:sz w:val="24"/>
          <w:szCs w:val="24"/>
          <w:lang w:val="en-GB"/>
        </w:rPr>
        <w:t>BRAF</w:t>
      </w:r>
      <w:r w:rsidRPr="00DA5410">
        <w:rPr>
          <w:rFonts w:ascii="Book Antiqua" w:hAnsi="Book Antiqua" w:cs="Tahoma"/>
          <w:sz w:val="24"/>
          <w:szCs w:val="24"/>
          <w:lang w:val="en-GB"/>
        </w:rPr>
        <w:t xml:space="preserve"> mutation</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i/>
          <w:sz w:val="24"/>
          <w:szCs w:val="24"/>
          <w:lang w:val="en-GB"/>
        </w:rPr>
        <w:t>PIK3CA</w:t>
      </w:r>
      <w:r w:rsidRPr="00DA5410">
        <w:rPr>
          <w:rFonts w:ascii="Book Antiqua" w:hAnsi="Book Antiqua" w:cs="Tahoma"/>
          <w:sz w:val="24"/>
          <w:szCs w:val="24"/>
          <w:lang w:val="en-GB"/>
        </w:rPr>
        <w:t xml:space="preserve"> mutation</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caps/>
          <w:sz w:val="24"/>
          <w:szCs w:val="24"/>
          <w:lang w:val="en-GB"/>
        </w:rPr>
        <w:t>c</w:t>
      </w:r>
      <w:r w:rsidRPr="00DA5410">
        <w:rPr>
          <w:rFonts w:ascii="Book Antiqua" w:hAnsi="Book Antiqua" w:cs="Tahoma"/>
          <w:sz w:val="24"/>
          <w:szCs w:val="24"/>
          <w:lang w:val="en-GB"/>
        </w:rPr>
        <w:t>hromosome 18q loss of heterozygosity</w:t>
      </w:r>
      <w:r w:rsidR="006413E6" w:rsidRPr="00DA5410">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Pr="00DA5410">
        <w:rPr>
          <w:rFonts w:ascii="Book Antiqua" w:hAnsi="Book Antiqua" w:cs="Tahoma"/>
          <w:caps/>
          <w:sz w:val="24"/>
          <w:szCs w:val="24"/>
          <w:lang w:val="en-GB"/>
        </w:rPr>
        <w:t>a</w:t>
      </w:r>
      <w:r w:rsidRPr="00DA5410">
        <w:rPr>
          <w:rFonts w:ascii="Book Antiqua" w:hAnsi="Book Antiqua" w:cs="Tahoma"/>
          <w:sz w:val="24"/>
          <w:szCs w:val="24"/>
          <w:lang w:val="en-GB"/>
        </w:rPr>
        <w:t>nti-</w:t>
      </w:r>
      <w:r w:rsidR="006413E6" w:rsidRPr="00DA5410">
        <w:rPr>
          <w:rFonts w:ascii="Book Antiqua" w:hAnsi="Book Antiqua" w:cs="Book Antiqua"/>
          <w:sz w:val="24"/>
          <w:szCs w:val="24"/>
          <w:lang w:val="en-GB"/>
        </w:rPr>
        <w:t xml:space="preserve"> </w:t>
      </w:r>
      <w:r w:rsidR="006413E6" w:rsidRPr="00DA5410">
        <w:rPr>
          <w:rFonts w:ascii="Book Antiqua" w:hAnsi="Book Antiqua" w:cs="Tahoma"/>
          <w:sz w:val="24"/>
          <w:szCs w:val="24"/>
          <w:lang w:val="en-GB"/>
        </w:rPr>
        <w:t>epidermal growth factor receptor</w:t>
      </w:r>
      <w:r w:rsidRPr="00DA5410">
        <w:rPr>
          <w:rFonts w:ascii="Book Antiqua" w:hAnsi="Book Antiqua" w:cs="Tahoma"/>
          <w:sz w:val="24"/>
          <w:szCs w:val="24"/>
          <w:lang w:val="en-GB"/>
        </w:rPr>
        <w:t xml:space="preserve"> therapy</w:t>
      </w:r>
      <w:r w:rsidR="000613A1">
        <w:rPr>
          <w:rFonts w:ascii="Book Antiqua" w:eastAsiaTheme="minorEastAsia" w:hAnsi="Book Antiqua" w:cs="Tahoma" w:hint="eastAsia"/>
          <w:sz w:val="24"/>
          <w:szCs w:val="24"/>
          <w:lang w:val="en-GB" w:eastAsia="zh-CN"/>
        </w:rPr>
        <w:t>;</w:t>
      </w:r>
      <w:r w:rsidRPr="00DA5410">
        <w:rPr>
          <w:rFonts w:ascii="Book Antiqua" w:hAnsi="Book Antiqua" w:cs="Tahoma"/>
          <w:sz w:val="24"/>
          <w:szCs w:val="24"/>
          <w:lang w:val="en-GB"/>
        </w:rPr>
        <w:t xml:space="preserve"> </w:t>
      </w:r>
      <w:r w:rsidR="006413E6" w:rsidRPr="00DA5410">
        <w:rPr>
          <w:rFonts w:ascii="Book Antiqua" w:hAnsi="Book Antiqua" w:cs="Book Antiqua"/>
          <w:sz w:val="24"/>
          <w:szCs w:val="24"/>
          <w:lang w:val="en-GB"/>
        </w:rPr>
        <w:t>Carcinoembryonic antigen</w:t>
      </w:r>
      <w:r w:rsidR="000613A1">
        <w:rPr>
          <w:rFonts w:ascii="Book Antiqua" w:eastAsiaTheme="minorEastAsia" w:hAnsi="Book Antiqua" w:cs="Tahoma" w:hint="eastAsia"/>
          <w:sz w:val="24"/>
          <w:szCs w:val="24"/>
          <w:lang w:val="en-GB" w:eastAsia="zh-CN"/>
        </w:rPr>
        <w:t>;</w:t>
      </w:r>
      <w:r w:rsidRPr="00DA5410">
        <w:rPr>
          <w:rFonts w:ascii="Book Antiqua" w:hAnsi="Book Antiqua" w:cs="Tahoma"/>
          <w:caps/>
          <w:sz w:val="24"/>
          <w:szCs w:val="24"/>
          <w:lang w:val="en-GB"/>
        </w:rPr>
        <w:t xml:space="preserve"> c</w:t>
      </w:r>
      <w:r w:rsidRPr="00DA5410">
        <w:rPr>
          <w:rFonts w:ascii="Book Antiqua" w:hAnsi="Book Antiqua" w:cs="Tahoma"/>
          <w:sz w:val="24"/>
          <w:szCs w:val="24"/>
          <w:lang w:val="en-GB"/>
        </w:rPr>
        <w:t>olorectal cancer biomarkers</w:t>
      </w:r>
    </w:p>
    <w:p w:rsidR="00F37F91" w:rsidRPr="000613A1" w:rsidRDefault="00F37F91" w:rsidP="006413E6">
      <w:pPr>
        <w:adjustRightInd w:val="0"/>
        <w:snapToGrid w:val="0"/>
        <w:spacing w:after="0" w:line="360" w:lineRule="auto"/>
        <w:jc w:val="both"/>
        <w:rPr>
          <w:rFonts w:ascii="Book Antiqua" w:eastAsiaTheme="minorEastAsia" w:hAnsi="Book Antiqua"/>
          <w:b/>
          <w:sz w:val="24"/>
          <w:szCs w:val="24"/>
          <w:lang w:val="en-GB" w:eastAsia="zh-CN"/>
        </w:rPr>
      </w:pPr>
    </w:p>
    <w:p w:rsidR="00F37F91" w:rsidRPr="00DA5410" w:rsidRDefault="00F37F91" w:rsidP="006413E6">
      <w:pPr>
        <w:adjustRightInd w:val="0"/>
        <w:snapToGrid w:val="0"/>
        <w:spacing w:after="0" w:line="360" w:lineRule="auto"/>
        <w:jc w:val="both"/>
        <w:rPr>
          <w:rFonts w:ascii="Book Antiqua" w:hAnsi="Book Antiqua"/>
          <w:sz w:val="24"/>
          <w:szCs w:val="24"/>
          <w:lang w:val="en-US"/>
        </w:rPr>
      </w:pPr>
      <w:r w:rsidRPr="00DA5410">
        <w:rPr>
          <w:rFonts w:ascii="Book Antiqua" w:hAnsi="Book Antiqua"/>
          <w:b/>
          <w:sz w:val="24"/>
          <w:szCs w:val="24"/>
          <w:lang w:val="en-US"/>
        </w:rPr>
        <w:t>© The Author(s) 2015.</w:t>
      </w:r>
      <w:r w:rsidRPr="00DA5410">
        <w:rPr>
          <w:rFonts w:ascii="Book Antiqua" w:hAnsi="Book Antiqua"/>
          <w:sz w:val="24"/>
          <w:szCs w:val="24"/>
          <w:lang w:val="en-US"/>
        </w:rPr>
        <w:t xml:space="preserve"> Published by Baishideng Publishing Group Inc. All rights reserved.</w:t>
      </w:r>
    </w:p>
    <w:p w:rsidR="00F37F91" w:rsidRPr="00DA5410" w:rsidRDefault="00F37F91" w:rsidP="006413E6">
      <w:pPr>
        <w:adjustRightInd w:val="0"/>
        <w:snapToGrid w:val="0"/>
        <w:spacing w:after="0" w:line="360" w:lineRule="auto"/>
        <w:jc w:val="both"/>
        <w:rPr>
          <w:rFonts w:ascii="Book Antiqua" w:hAnsi="Book Antiqua"/>
          <w:sz w:val="24"/>
          <w:szCs w:val="24"/>
          <w:lang w:val="en-US"/>
        </w:rPr>
      </w:pPr>
    </w:p>
    <w:p w:rsidR="00F37F91" w:rsidRPr="00DA5410" w:rsidRDefault="00F37F91" w:rsidP="006413E6">
      <w:pPr>
        <w:spacing w:after="0" w:line="360" w:lineRule="auto"/>
        <w:jc w:val="both"/>
        <w:rPr>
          <w:rFonts w:ascii="Book Antiqua" w:hAnsi="Book Antiqua"/>
          <w:sz w:val="24"/>
          <w:szCs w:val="24"/>
          <w:lang w:val="en-GB"/>
        </w:rPr>
      </w:pPr>
      <w:r w:rsidRPr="00DA5410">
        <w:rPr>
          <w:rFonts w:ascii="Book Antiqua" w:hAnsi="Book Antiqua"/>
          <w:b/>
          <w:sz w:val="24"/>
          <w:szCs w:val="24"/>
          <w:lang w:val="en-US"/>
        </w:rPr>
        <w:t xml:space="preserve">Core tip: </w:t>
      </w:r>
      <w:r w:rsidRPr="00DA5410">
        <w:rPr>
          <w:rFonts w:ascii="Book Antiqua" w:hAnsi="Book Antiqua"/>
          <w:sz w:val="24"/>
          <w:szCs w:val="24"/>
          <w:lang w:val="en-GB"/>
        </w:rPr>
        <w:t>This review summarizes data concerning clinical utility of biomarkers in colorectal cancer patients. Authors focus primarily on currently available diagnostic, prognostic and predictive biomarkers of the disease. Great attention is also paid to the advances achieved in personalized therapy of colorectal cancer.</w:t>
      </w:r>
    </w:p>
    <w:p w:rsidR="00F37F91" w:rsidRPr="00DA5410" w:rsidRDefault="00F37F91" w:rsidP="006413E6">
      <w:pPr>
        <w:spacing w:after="0" w:line="360" w:lineRule="auto"/>
        <w:jc w:val="both"/>
        <w:rPr>
          <w:rFonts w:ascii="Book Antiqua" w:hAnsi="Book Antiqua" w:cs="Times New Roman"/>
          <w:sz w:val="24"/>
          <w:szCs w:val="24"/>
          <w:lang w:val="en-US"/>
        </w:rPr>
      </w:pPr>
      <w:bookmarkStart w:id="50" w:name="OLE_LINK47"/>
      <w:bookmarkStart w:id="51" w:name="OLE_LINK48"/>
      <w:bookmarkStart w:id="52" w:name="OLE_LINK3"/>
      <w:bookmarkStart w:id="53" w:name="OLE_LINK4"/>
      <w:bookmarkStart w:id="54" w:name="OLE_LINK70"/>
      <w:bookmarkStart w:id="55" w:name="OLE_LINK118"/>
      <w:bookmarkStart w:id="56" w:name="OLE_LINK145"/>
      <w:bookmarkStart w:id="57" w:name="OLE_LINK218"/>
    </w:p>
    <w:p w:rsidR="00F37F91" w:rsidRPr="00DA5410" w:rsidRDefault="00F37F91" w:rsidP="006413E6">
      <w:pPr>
        <w:spacing w:after="0" w:line="360" w:lineRule="auto"/>
        <w:jc w:val="both"/>
        <w:rPr>
          <w:rFonts w:ascii="Book Antiqua" w:hAnsi="Book Antiqua" w:cs="Times New Roman"/>
          <w:sz w:val="24"/>
          <w:szCs w:val="24"/>
          <w:lang w:val="en-US"/>
        </w:rPr>
      </w:pPr>
      <w:r w:rsidRPr="00DA5410">
        <w:rPr>
          <w:rFonts w:ascii="Book Antiqua" w:hAnsi="Book Antiqua" w:cs="Times New Roman"/>
          <w:sz w:val="24"/>
          <w:szCs w:val="24"/>
        </w:rPr>
        <w:lastRenderedPageBreak/>
        <w:t xml:space="preserve">Lech G, Słotwiński R, Słodkowski M, Krasnodębski IW. </w:t>
      </w:r>
      <w:r w:rsidRPr="00DA5410">
        <w:rPr>
          <w:rFonts w:ascii="Book Antiqua" w:hAnsi="Book Antiqua" w:cs="Times New Roman"/>
          <w:bCs/>
          <w:sz w:val="24"/>
          <w:szCs w:val="24"/>
          <w:lang w:val="en-GB"/>
        </w:rPr>
        <w:t>Colorectal cancer tumour markers and biomarkers</w:t>
      </w:r>
      <w:r w:rsidR="003A5A82">
        <w:rPr>
          <w:rFonts w:ascii="Book Antiqua" w:eastAsiaTheme="minorEastAsia" w:hAnsi="Book Antiqua" w:cs="Times New Roman" w:hint="eastAsia"/>
          <w:bCs/>
          <w:sz w:val="24"/>
          <w:szCs w:val="24"/>
          <w:lang w:val="en-GB" w:eastAsia="zh-CN"/>
        </w:rPr>
        <w:t>:</w:t>
      </w:r>
      <w:r w:rsidRPr="00DA5410">
        <w:rPr>
          <w:rFonts w:ascii="Book Antiqua" w:hAnsi="Book Antiqua" w:cs="Times New Roman"/>
          <w:bCs/>
          <w:sz w:val="24"/>
          <w:szCs w:val="24"/>
          <w:lang w:val="en-GB"/>
        </w:rPr>
        <w:t xml:space="preserve"> </w:t>
      </w:r>
      <w:r w:rsidR="003A5A82" w:rsidRPr="00DA5410">
        <w:rPr>
          <w:rFonts w:ascii="Book Antiqua" w:hAnsi="Book Antiqua" w:cs="Times New Roman"/>
          <w:bCs/>
          <w:sz w:val="24"/>
          <w:szCs w:val="24"/>
          <w:lang w:val="en-GB"/>
        </w:rPr>
        <w:t xml:space="preserve">Recent </w:t>
      </w:r>
      <w:r w:rsidRPr="00DA5410">
        <w:rPr>
          <w:rFonts w:ascii="Book Antiqua" w:hAnsi="Book Antiqua" w:cs="Times New Roman"/>
          <w:bCs/>
          <w:sz w:val="24"/>
          <w:szCs w:val="24"/>
          <w:lang w:val="en-GB"/>
        </w:rPr>
        <w:t>therapeutic advances</w:t>
      </w:r>
      <w:r w:rsidRPr="00DA5410">
        <w:rPr>
          <w:rFonts w:ascii="Book Antiqua" w:hAnsi="Book Antiqua" w:cs="Times New Roman"/>
          <w:sz w:val="24"/>
          <w:szCs w:val="24"/>
          <w:lang w:val="en-US"/>
        </w:rPr>
        <w:t>.</w:t>
      </w:r>
      <w:bookmarkStart w:id="58" w:name="OLE_LINK200"/>
      <w:bookmarkStart w:id="59" w:name="OLE_LINK196"/>
      <w:bookmarkStart w:id="60" w:name="OLE_LINK341"/>
      <w:bookmarkStart w:id="61" w:name="OLE_LINK377"/>
      <w:bookmarkStart w:id="62" w:name="OLE_LINK366"/>
      <w:bookmarkStart w:id="63" w:name="OLE_LINK1038"/>
      <w:bookmarkStart w:id="64" w:name="OLE_LINK1166"/>
      <w:r w:rsidRPr="00DA5410">
        <w:rPr>
          <w:rFonts w:ascii="Book Antiqua" w:hAnsi="Book Antiqua"/>
          <w:i/>
          <w:sz w:val="24"/>
          <w:szCs w:val="24"/>
          <w:lang w:val="en-US"/>
        </w:rPr>
        <w:t xml:space="preserve"> </w:t>
      </w:r>
      <w:r w:rsidRPr="00DA5410">
        <w:rPr>
          <w:rFonts w:ascii="Book Antiqua" w:hAnsi="Book Antiqua" w:cs="Times New Roman"/>
          <w:i/>
          <w:sz w:val="24"/>
          <w:szCs w:val="24"/>
          <w:lang w:val="en-US"/>
        </w:rPr>
        <w:t xml:space="preserve">World J Gastroenterol </w:t>
      </w:r>
      <w:r w:rsidRPr="00DA5410">
        <w:rPr>
          <w:rFonts w:ascii="Book Antiqua" w:hAnsi="Book Antiqua" w:cs="Times New Roman"/>
          <w:sz w:val="24"/>
          <w:szCs w:val="24"/>
          <w:lang w:val="en-US"/>
        </w:rPr>
        <w:t>2015; In press</w:t>
      </w:r>
      <w:bookmarkEnd w:id="50"/>
      <w:bookmarkEnd w:id="51"/>
    </w:p>
    <w:bookmarkEnd w:id="52"/>
    <w:bookmarkEnd w:id="53"/>
    <w:bookmarkEnd w:id="54"/>
    <w:bookmarkEnd w:id="55"/>
    <w:bookmarkEnd w:id="56"/>
    <w:bookmarkEnd w:id="57"/>
    <w:bookmarkEnd w:id="58"/>
    <w:bookmarkEnd w:id="59"/>
    <w:bookmarkEnd w:id="60"/>
    <w:bookmarkEnd w:id="61"/>
    <w:bookmarkEnd w:id="62"/>
    <w:bookmarkEnd w:id="63"/>
    <w:bookmarkEnd w:id="64"/>
    <w:p w:rsidR="00F37F91" w:rsidRPr="00DA5410" w:rsidRDefault="00F37F91" w:rsidP="006413E6">
      <w:pPr>
        <w:spacing w:after="0" w:line="360" w:lineRule="auto"/>
        <w:jc w:val="both"/>
        <w:rPr>
          <w:rFonts w:ascii="Book Antiqua" w:hAnsi="Book Antiqua" w:cs="Book Antiqua"/>
          <w:b/>
          <w:bCs/>
          <w:sz w:val="24"/>
          <w:szCs w:val="24"/>
          <w:lang w:val="en-GB"/>
        </w:rPr>
      </w:pPr>
    </w:p>
    <w:p w:rsidR="003B15F7" w:rsidRPr="00DA5410" w:rsidRDefault="003B15F7">
      <w:pPr>
        <w:spacing w:after="160" w:line="259" w:lineRule="auto"/>
        <w:rPr>
          <w:rFonts w:ascii="Book Antiqua" w:hAnsi="Book Antiqua" w:cs="Book Antiqua"/>
          <w:b/>
          <w:bCs/>
          <w:sz w:val="24"/>
          <w:szCs w:val="24"/>
          <w:lang w:val="en-GB"/>
        </w:rPr>
      </w:pPr>
      <w:r w:rsidRPr="00DA5410">
        <w:rPr>
          <w:rFonts w:ascii="Book Antiqua" w:hAnsi="Book Antiqua" w:cs="Book Antiqua"/>
          <w:b/>
          <w:bCs/>
          <w:sz w:val="24"/>
          <w:szCs w:val="24"/>
          <w:lang w:val="en-GB"/>
        </w:rPr>
        <w:br w:type="page"/>
      </w:r>
    </w:p>
    <w:p w:rsidR="00F37F91" w:rsidRPr="00DA5410" w:rsidRDefault="00F37F91" w:rsidP="006413E6">
      <w:pPr>
        <w:spacing w:after="0" w:line="360" w:lineRule="auto"/>
        <w:jc w:val="both"/>
        <w:rPr>
          <w:rFonts w:ascii="Book Antiqua" w:hAnsi="Book Antiqua" w:cs="Book Antiqua"/>
          <w:b/>
          <w:bCs/>
          <w:sz w:val="24"/>
          <w:szCs w:val="24"/>
          <w:lang w:val="en-GB"/>
        </w:rPr>
      </w:pPr>
      <w:r w:rsidRPr="00DA5410">
        <w:rPr>
          <w:rFonts w:ascii="Book Antiqua" w:hAnsi="Book Antiqua" w:cs="Book Antiqua"/>
          <w:b/>
          <w:bCs/>
          <w:sz w:val="24"/>
          <w:szCs w:val="24"/>
          <w:lang w:val="en-GB"/>
        </w:rPr>
        <w:lastRenderedPageBreak/>
        <w:t>INTRODUCTION</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Worldwide, colorectal cancer (CRC) annually affects more than one million men and women and causes more than half a million deaths</w:t>
      </w:r>
      <w:r w:rsidRPr="00DA5410">
        <w:rPr>
          <w:rFonts w:ascii="Book Antiqua" w:hAnsi="Book Antiqua" w:cs="Book Antiqua"/>
          <w:sz w:val="24"/>
          <w:szCs w:val="24"/>
          <w:vertAlign w:val="superscript"/>
          <w:lang w:val="en-GB"/>
        </w:rPr>
        <w:t>[1]</w:t>
      </w:r>
      <w:r w:rsidRPr="00DA5410">
        <w:rPr>
          <w:rFonts w:ascii="Book Antiqua" w:hAnsi="Book Antiqua" w:cs="Book Antiqua"/>
          <w:sz w:val="24"/>
          <w:szCs w:val="24"/>
          <w:lang w:val="en-GB"/>
        </w:rPr>
        <w:t>. In Europe in 2010, CRC was the third most common malignant cancer in both men and women</w:t>
      </w:r>
      <w:r w:rsidRPr="00DA5410">
        <w:rPr>
          <w:rFonts w:ascii="Book Antiqua" w:hAnsi="Book Antiqua" w:cs="Book Antiqua"/>
          <w:sz w:val="24"/>
          <w:szCs w:val="24"/>
          <w:vertAlign w:val="superscript"/>
          <w:lang w:val="en-GB"/>
        </w:rPr>
        <w:t>[2]</w:t>
      </w:r>
      <w:r w:rsidR="005606BE">
        <w:rPr>
          <w:rFonts w:ascii="Book Antiqua" w:hAnsi="Book Antiqua" w:cs="Book Antiqua"/>
          <w:sz w:val="24"/>
          <w:szCs w:val="24"/>
          <w:lang w:val="en-GB"/>
        </w:rPr>
        <w:t>. There are 250</w:t>
      </w:r>
      <w:r w:rsidRPr="00DA5410">
        <w:rPr>
          <w:rFonts w:ascii="Book Antiqua" w:hAnsi="Book Antiqua" w:cs="Book Antiqua"/>
          <w:sz w:val="24"/>
          <w:szCs w:val="24"/>
          <w:lang w:val="en-GB"/>
        </w:rPr>
        <w:t>000 cases of colorectal cancer diagnosed on an annual basis in Europe only. Five-year survival was 54 percent among adult Europeans diagnosed with colorectal cancer between 1995 and 1999</w:t>
      </w:r>
      <w:r w:rsidRPr="00DA5410">
        <w:rPr>
          <w:rFonts w:ascii="Book Antiqua" w:hAnsi="Book Antiqua" w:cs="Book Antiqua"/>
          <w:sz w:val="24"/>
          <w:szCs w:val="24"/>
          <w:vertAlign w:val="superscript"/>
          <w:lang w:val="en-GB"/>
        </w:rPr>
        <w:t>[3]</w:t>
      </w:r>
      <w:r w:rsidRPr="00DA5410">
        <w:rPr>
          <w:rFonts w:ascii="Book Antiqua" w:hAnsi="Book Antiqua" w:cs="Book Antiqua"/>
          <w:sz w:val="24"/>
          <w:szCs w:val="24"/>
          <w:lang w:val="en-GB"/>
        </w:rPr>
        <w:t>. More recent available data report that the overall five-year relative survival can achieve 65 percent, but varies depending on stage of cancer disease</w:t>
      </w:r>
      <w:r w:rsidRPr="00DA5410">
        <w:rPr>
          <w:rFonts w:ascii="Book Antiqua" w:hAnsi="Book Antiqua" w:cs="Book Antiqua"/>
          <w:sz w:val="24"/>
          <w:szCs w:val="24"/>
          <w:vertAlign w:val="superscript"/>
          <w:lang w:val="en-GB"/>
        </w:rPr>
        <w:t>[4]</w:t>
      </w:r>
      <w:r w:rsidRPr="00DA5410">
        <w:rPr>
          <w:rFonts w:ascii="Book Antiqua" w:hAnsi="Book Antiqua" w:cs="Book Antiqua"/>
          <w:sz w:val="24"/>
          <w:szCs w:val="24"/>
          <w:lang w:val="en-GB"/>
        </w:rPr>
        <w:t xml:space="preserve">. </w:t>
      </w:r>
    </w:p>
    <w:p w:rsidR="00F37F91" w:rsidRPr="00DA5410" w:rsidRDefault="00F37F91" w:rsidP="003B15F7">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The number of biomarkers used for tests continues to grow. The National Institute of Health defines a biomarker as a biological molecule found in blood, other body fluids, or tissues that is a sign of normal or abnormal process, or of a condition or disease</w:t>
      </w:r>
      <w:r w:rsidRPr="00DA5410">
        <w:rPr>
          <w:rFonts w:ascii="Book Antiqua" w:hAnsi="Book Antiqua" w:cs="Book Antiqua"/>
          <w:sz w:val="24"/>
          <w:szCs w:val="24"/>
          <w:vertAlign w:val="superscript"/>
          <w:lang w:val="en-GB"/>
        </w:rPr>
        <w:t>[5]</w:t>
      </w:r>
      <w:r w:rsidRPr="00DA5410">
        <w:rPr>
          <w:rFonts w:ascii="Book Antiqua" w:hAnsi="Book Antiqua" w:cs="Book Antiqua"/>
          <w:sz w:val="24"/>
          <w:szCs w:val="24"/>
          <w:lang w:val="en-GB"/>
        </w:rPr>
        <w:t>. A definition of biomarker m</w:t>
      </w:r>
      <w:r w:rsidR="003B15F7" w:rsidRPr="00DA5410">
        <w:rPr>
          <w:rFonts w:ascii="Book Antiqua" w:hAnsi="Book Antiqua" w:cs="Book Antiqua"/>
          <w:sz w:val="24"/>
          <w:szCs w:val="24"/>
          <w:lang w:val="en-GB"/>
        </w:rPr>
        <w:t>ostly refers to DNA, RNA, micro</w:t>
      </w:r>
      <w:r w:rsidRPr="00DA5410">
        <w:rPr>
          <w:rFonts w:ascii="Book Antiqua" w:hAnsi="Book Antiqua" w:cs="Book Antiqua"/>
          <w:sz w:val="24"/>
          <w:szCs w:val="24"/>
          <w:lang w:val="en-GB"/>
        </w:rPr>
        <w:t>RNA</w:t>
      </w:r>
      <w:r w:rsidR="003B15F7" w:rsidRPr="00DA5410">
        <w:rPr>
          <w:rFonts w:ascii="Book Antiqua" w:eastAsiaTheme="minorEastAsia" w:hAnsi="Book Antiqua" w:cs="Book Antiqua" w:hint="eastAsia"/>
          <w:sz w:val="24"/>
          <w:szCs w:val="24"/>
          <w:lang w:val="en-GB" w:eastAsia="zh-CN"/>
        </w:rPr>
        <w:t xml:space="preserve"> (mi</w:t>
      </w:r>
      <w:r w:rsidR="003B15F7" w:rsidRPr="00DA5410">
        <w:rPr>
          <w:rFonts w:ascii="Book Antiqua" w:hAnsi="Book Antiqua" w:cs="Book Antiqua"/>
          <w:sz w:val="24"/>
          <w:szCs w:val="24"/>
          <w:lang w:val="en-GB"/>
        </w:rPr>
        <w:t>RNA</w:t>
      </w:r>
      <w:r w:rsidR="003B15F7" w:rsidRPr="00DA5410">
        <w:rPr>
          <w:rFonts w:ascii="Book Antiqua" w:eastAsiaTheme="minorEastAsia" w:hAnsi="Book Antiqua" w:cs="Book Antiqua" w:hint="eastAsia"/>
          <w:sz w:val="24"/>
          <w:szCs w:val="24"/>
          <w:lang w:val="en-GB" w:eastAsia="zh-CN"/>
        </w:rPr>
        <w:t>)</w:t>
      </w:r>
      <w:r w:rsidRPr="00DA5410">
        <w:rPr>
          <w:rFonts w:ascii="Book Antiqua" w:hAnsi="Book Antiqua" w:cs="Book Antiqua"/>
          <w:sz w:val="24"/>
          <w:szCs w:val="24"/>
          <w:lang w:val="en-GB"/>
        </w:rPr>
        <w:t xml:space="preserve">, epigenetic changes or antibodies. A term tumour marker, by some researchers considered as a synonym of biomarker, refers to substances (most typically proteins, glycolipids) representing biological structures, which can be attributed to the development of normal cells or carcinogenesis at different cell development stages </w:t>
      </w:r>
      <w:r w:rsidRPr="00DA5410">
        <w:rPr>
          <w:rFonts w:ascii="Book Antiqua" w:hAnsi="Book Antiqua" w:cs="Book Antiqua"/>
          <w:i/>
          <w:sz w:val="24"/>
          <w:szCs w:val="24"/>
          <w:lang w:val="en-GB"/>
        </w:rPr>
        <w:t>e.g.</w:t>
      </w:r>
      <w:r w:rsidRPr="00DA5410">
        <w:rPr>
          <w:rFonts w:ascii="Book Antiqua" w:hAnsi="Book Antiqua" w:cs="Book Antiqua"/>
          <w:sz w:val="24"/>
          <w:szCs w:val="24"/>
          <w:lang w:val="en-GB"/>
        </w:rPr>
        <w:t xml:space="preserve"> tumour-associated antigens (TAAs) which are the largest group of clinically significant markers. As a result, the concentration of TAAs typically correlates with the number (or mass) of specific neoplastic cells. </w:t>
      </w:r>
    </w:p>
    <w:p w:rsidR="00F37F91" w:rsidRPr="00DA5410" w:rsidRDefault="00F37F91" w:rsidP="003B15F7">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In daily clinical practice, in the process of diagnosis and therapy, there are several parameters in use of long-established high sensitivity, specificity and positive predictive value. These parameters have been selected from among tens of molecules produced by cells in long-term laboratory tests, observational studies and clinical trials. The concentrations of tumour markers tested at the diagnostic stage are believed to assist in early cancer diagnosis and to be used in screening tests. Some of them are currently found to be more important during treatment and long-term follow-up. On the other hand, for some types of tumours, markers are also considered important in monitoring the progress of treatment, efficacy of neo-adjuvant therapy, surgery, adjuvant chemotherapy and radiation therapy and foll</w:t>
      </w:r>
      <w:r w:rsidR="00701E9A">
        <w:rPr>
          <w:rFonts w:ascii="Book Antiqua" w:hAnsi="Book Antiqua" w:cs="Book Antiqua"/>
          <w:sz w:val="24"/>
          <w:szCs w:val="24"/>
          <w:lang w:val="en-GB"/>
        </w:rPr>
        <w:t xml:space="preserve">ow-up for possible recurrence. </w:t>
      </w:r>
      <w:r w:rsidRPr="00DA5410">
        <w:rPr>
          <w:rFonts w:ascii="Book Antiqua" w:hAnsi="Book Antiqua" w:cs="Book Antiqua"/>
          <w:sz w:val="24"/>
          <w:szCs w:val="24"/>
          <w:lang w:val="en-GB"/>
        </w:rPr>
        <w:t xml:space="preserve">Long-term observational studies also point to the </w:t>
      </w:r>
      <w:r w:rsidRPr="00DA5410">
        <w:rPr>
          <w:rFonts w:ascii="Book Antiqua" w:hAnsi="Book Antiqua" w:cs="Book Antiqua"/>
          <w:sz w:val="24"/>
          <w:szCs w:val="24"/>
          <w:lang w:val="en-GB"/>
        </w:rPr>
        <w:lastRenderedPageBreak/>
        <w:t>fact that, apart from determining antigen concentration, it can be also important to trace its progress and dynamics. In this review, we have updated a review published in 2014</w:t>
      </w:r>
      <w:r w:rsidRPr="00DA5410">
        <w:rPr>
          <w:rFonts w:ascii="Book Antiqua" w:hAnsi="Book Antiqua" w:cs="Book Antiqua"/>
          <w:sz w:val="24"/>
          <w:szCs w:val="24"/>
          <w:vertAlign w:val="superscript"/>
          <w:lang w:val="en-GB"/>
        </w:rPr>
        <w:t>[6]</w:t>
      </w:r>
      <w:r w:rsidRPr="00DA5410">
        <w:rPr>
          <w:rFonts w:ascii="Book Antiqua" w:hAnsi="Book Antiqua" w:cs="Book Antiqua"/>
          <w:sz w:val="24"/>
          <w:szCs w:val="24"/>
          <w:lang w:val="en-GB"/>
        </w:rPr>
        <w:t xml:space="preserve">. We examine molecular (genetic, epigenetic, protein) biomarkers associated with CRC and discuss their role in cancer screening, early detecting of disease recurrence and as prognostic and predictive factors. </w:t>
      </w:r>
    </w:p>
    <w:p w:rsidR="003B15F7" w:rsidRPr="00DA5410" w:rsidRDefault="003B15F7" w:rsidP="006413E6">
      <w:pPr>
        <w:spacing w:after="0" w:line="360" w:lineRule="auto"/>
        <w:jc w:val="both"/>
        <w:rPr>
          <w:rFonts w:ascii="Book Antiqua" w:eastAsiaTheme="minorEastAsia" w:hAnsi="Book Antiqua" w:cs="Book Antiqua"/>
          <w:b/>
          <w:bCs/>
          <w:sz w:val="24"/>
          <w:szCs w:val="24"/>
          <w:lang w:val="en-GB" w:eastAsia="zh-CN"/>
        </w:rPr>
      </w:pPr>
    </w:p>
    <w:p w:rsidR="00F37F91" w:rsidRPr="00DA5410" w:rsidRDefault="00F37F91" w:rsidP="006413E6">
      <w:pPr>
        <w:spacing w:after="0" w:line="360" w:lineRule="auto"/>
        <w:jc w:val="both"/>
        <w:rPr>
          <w:rFonts w:ascii="Book Antiqua" w:hAnsi="Book Antiqua" w:cs="Book Antiqua"/>
          <w:b/>
          <w:bCs/>
          <w:sz w:val="24"/>
          <w:szCs w:val="24"/>
          <w:lang w:val="en-GB"/>
        </w:rPr>
      </w:pPr>
      <w:r w:rsidRPr="00DA5410">
        <w:rPr>
          <w:rFonts w:ascii="Book Antiqua" w:hAnsi="Book Antiqua" w:cs="Book Antiqua"/>
          <w:b/>
          <w:bCs/>
          <w:sz w:val="24"/>
          <w:szCs w:val="24"/>
          <w:lang w:val="en-GB"/>
        </w:rPr>
        <w:t>BLOOD AND STOOL MARKERS FOR COLORECTAL CANCER SCREENING AND FOLLOW UP</w:t>
      </w:r>
    </w:p>
    <w:p w:rsidR="00F37F91" w:rsidRPr="00DA5410" w:rsidRDefault="00F37F91" w:rsidP="006413E6">
      <w:pPr>
        <w:spacing w:after="0" w:line="360" w:lineRule="auto"/>
        <w:jc w:val="both"/>
        <w:rPr>
          <w:rFonts w:ascii="Book Antiqua" w:hAnsi="Book Antiqua" w:cs="Book Antiqua"/>
          <w:b/>
          <w:bCs/>
          <w:i/>
          <w:sz w:val="24"/>
          <w:szCs w:val="24"/>
          <w:lang w:val="en-GB"/>
        </w:rPr>
      </w:pPr>
      <w:r w:rsidRPr="00DA5410">
        <w:rPr>
          <w:rFonts w:ascii="Book Antiqua" w:hAnsi="Book Antiqua" w:cs="Book Antiqua"/>
          <w:b/>
          <w:bCs/>
          <w:i/>
          <w:sz w:val="24"/>
          <w:szCs w:val="24"/>
          <w:lang w:val="en-GB"/>
        </w:rPr>
        <w:t>Blood and stool genetic and epigenetic markers</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 xml:space="preserve">Several authors have investigated molecular non-invasive screening tests for early detection of CRC. DNA, RNA and other molecules derived by tumour in stool, as well as their concentrations in blood have been studied extensively. Colorectal process of carcinogenesis is characterized by genetic and epigenetic alteration transforming normal cells into cancer cells. Most studies concerning molecular markers in stool have focused on the detection of tumour DNA. These investigations have concentrated on the detection of mutated </w:t>
      </w:r>
      <w:r w:rsidRPr="00DA5410">
        <w:rPr>
          <w:rFonts w:ascii="Book Antiqua" w:hAnsi="Book Antiqua" w:cs="Book Antiqua"/>
          <w:i/>
          <w:sz w:val="24"/>
          <w:szCs w:val="24"/>
          <w:lang w:val="en-GB"/>
        </w:rPr>
        <w:t>KRAS</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TP53</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APC</w:t>
      </w:r>
      <w:r w:rsidRPr="00DA5410">
        <w:rPr>
          <w:rFonts w:ascii="Book Antiqua" w:hAnsi="Book Antiqua" w:cs="Book Antiqua"/>
          <w:sz w:val="24"/>
          <w:szCs w:val="24"/>
          <w:lang w:val="en-GB"/>
        </w:rPr>
        <w:t xml:space="preserve"> and markers for microsatellite instability (MSI)</w:t>
      </w:r>
      <w:r w:rsidRPr="00DA5410">
        <w:rPr>
          <w:rFonts w:ascii="Book Antiqua" w:hAnsi="Book Antiqua" w:cs="Book Antiqua"/>
          <w:sz w:val="24"/>
          <w:szCs w:val="24"/>
          <w:vertAlign w:val="superscript"/>
          <w:lang w:val="en-GB"/>
        </w:rPr>
        <w:t>[7</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9]</w:t>
      </w:r>
      <w:r w:rsidRPr="00DA5410">
        <w:rPr>
          <w:rFonts w:ascii="Book Antiqua" w:hAnsi="Book Antiqua" w:cs="Book Antiqua"/>
          <w:sz w:val="24"/>
          <w:szCs w:val="24"/>
          <w:lang w:val="en-GB"/>
        </w:rPr>
        <w:t>. A faecal DNA test targeted at molecular biomarkers has been commercially available for twelve years, with reported sensitivity for cancer ranging from 25% up to 92% for the latest tests based on BEAMing technology, and 94</w:t>
      </w:r>
      <w:r w:rsidR="003B15F7" w:rsidRPr="00DA5410">
        <w:rPr>
          <w:rFonts w:ascii="Book Antiqua" w:hAnsi="Book Antiqua" w:cs="Book Antiqua"/>
          <w:sz w:val="24"/>
          <w:szCs w:val="24"/>
          <w:lang w:val="en-GB"/>
        </w:rPr>
        <w:t>%</w:t>
      </w:r>
      <w:r w:rsidRPr="00DA5410">
        <w:rPr>
          <w:rFonts w:ascii="Book Antiqua" w:hAnsi="Book Antiqua" w:cs="Book Antiqua"/>
          <w:sz w:val="24"/>
          <w:szCs w:val="24"/>
          <w:lang w:val="en-GB"/>
        </w:rPr>
        <w:t>-98% specificity</w:t>
      </w:r>
      <w:r w:rsidRPr="00DA5410">
        <w:rPr>
          <w:rFonts w:ascii="Book Antiqua" w:hAnsi="Book Antiqua" w:cs="Book Antiqua"/>
          <w:sz w:val="24"/>
          <w:szCs w:val="24"/>
          <w:vertAlign w:val="superscript"/>
          <w:lang w:val="en-GB"/>
        </w:rPr>
        <w:t>[10</w:t>
      </w:r>
      <w:r w:rsidR="003B15F7" w:rsidRPr="00DA5410">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12]</w:t>
      </w:r>
      <w:r w:rsidRPr="00DA5410">
        <w:rPr>
          <w:rFonts w:ascii="Book Antiqua" w:hAnsi="Book Antiqua" w:cs="Book Antiqua"/>
          <w:sz w:val="24"/>
          <w:szCs w:val="24"/>
          <w:lang w:val="en-GB"/>
        </w:rPr>
        <w:t>. Apart from genetic alterations, the DNA promoter hypermethylation silencing the tumour suppressor genes has been widely investigated. Epigenetic changes, depending on the markers or their combinations evaluated, have been detected in CRC patients with 70%-96% sensitivity and 72%-96% specificity</w:t>
      </w:r>
      <w:r w:rsidRPr="00DA5410">
        <w:rPr>
          <w:rFonts w:ascii="Book Antiqua" w:hAnsi="Book Antiqua" w:cs="Book Antiqua"/>
          <w:sz w:val="24"/>
          <w:szCs w:val="24"/>
          <w:vertAlign w:val="superscript"/>
          <w:lang w:val="en-GB"/>
        </w:rPr>
        <w:t>[9,13,14]</w:t>
      </w:r>
      <w:r w:rsidRPr="00DA5410">
        <w:rPr>
          <w:rFonts w:ascii="Book Antiqua" w:hAnsi="Book Antiqua" w:cs="Book Antiqua"/>
          <w:sz w:val="24"/>
          <w:szCs w:val="24"/>
          <w:lang w:val="en-GB"/>
        </w:rPr>
        <w:t xml:space="preserve">. Many combinations of genetic and epigenetic markers have been studied, but until now, the results have not endorsed their use in clinical practice. Using blood instead of stool as a screening material could offer some obvious advantages. Several studies have evaluated potential plasma DNA genetic and epigenetic biomarkers in CRC detection. The overall sensitivity ranges from 30% to 87%, with specificity of up to 96%. The use of RNA biomarkers in stool has not been investigated as extensively as was the case for DNA biomarkers, mainly because stool environment is responsible for mRNA </w:t>
      </w:r>
      <w:r w:rsidRPr="00DA5410">
        <w:rPr>
          <w:rFonts w:ascii="Book Antiqua" w:hAnsi="Book Antiqua" w:cs="Book Antiqua"/>
          <w:sz w:val="24"/>
          <w:szCs w:val="24"/>
          <w:lang w:val="en-GB"/>
        </w:rPr>
        <w:lastRenderedPageBreak/>
        <w:t xml:space="preserve">degradation, although improving laboratory retrieval methods seems to solve this problem. Koga </w:t>
      </w:r>
      <w:r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[15]</w:t>
      </w:r>
      <w:r w:rsidRPr="00DA5410">
        <w:rPr>
          <w:rFonts w:ascii="Book Antiqua" w:hAnsi="Book Antiqua" w:cs="Book Antiqua"/>
          <w:sz w:val="24"/>
          <w:szCs w:val="24"/>
          <w:lang w:val="en-GB"/>
        </w:rPr>
        <w:t xml:space="preserve"> analysed mRNA expression of </w:t>
      </w:r>
      <w:r w:rsidRPr="00DA5410">
        <w:rPr>
          <w:rFonts w:ascii="Book Antiqua" w:hAnsi="Book Antiqua" w:cs="Book Antiqua"/>
          <w:i/>
          <w:sz w:val="24"/>
          <w:szCs w:val="24"/>
          <w:lang w:val="en-GB"/>
        </w:rPr>
        <w:t>MMP7</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PTGS2</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TP53</w:t>
      </w:r>
      <w:r w:rsidR="003B15F7" w:rsidRPr="00DA5410">
        <w:rPr>
          <w:rFonts w:ascii="Book Antiqua" w:eastAsiaTheme="minorEastAsia" w:hAnsi="Book Antiqua" w:cs="Book Antiqua" w:hint="eastAsia"/>
          <w:sz w:val="24"/>
          <w:szCs w:val="24"/>
          <w:lang w:val="en-GB" w:eastAsia="zh-CN"/>
        </w:rPr>
        <w:t xml:space="preserve"> and</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MYBL2</w:t>
      </w:r>
      <w:r w:rsidRPr="00DA5410">
        <w:rPr>
          <w:rFonts w:ascii="Book Antiqua" w:hAnsi="Book Antiqua" w:cs="Book Antiqua"/>
          <w:sz w:val="24"/>
          <w:szCs w:val="24"/>
          <w:lang w:val="en-GB"/>
        </w:rPr>
        <w:t xml:space="preserve"> in colonocytes isolated from stool by quantitative real-time RT-PCR, to find out that these markers can identify CRC patients with 58% sensitivity and 88% specificity. Sensitivity was found to depend on tumour size and tumour location, but not cancer stage</w:t>
      </w:r>
      <w:r w:rsidRPr="00DA5410">
        <w:rPr>
          <w:rFonts w:ascii="Book Antiqua" w:hAnsi="Book Antiqua" w:cs="Book Antiqua"/>
          <w:sz w:val="24"/>
          <w:szCs w:val="24"/>
          <w:vertAlign w:val="superscript"/>
          <w:lang w:val="en-GB"/>
        </w:rPr>
        <w:t>[15]</w:t>
      </w:r>
      <w:r w:rsidRPr="00DA5410">
        <w:rPr>
          <w:rFonts w:ascii="Book Antiqua" w:hAnsi="Book Antiqua" w:cs="Book Antiqua"/>
          <w:sz w:val="24"/>
          <w:szCs w:val="24"/>
          <w:lang w:val="en-GB"/>
        </w:rPr>
        <w:t xml:space="preserve">. Most recently, the so called transcriptomic studies have investigated the expression of </w:t>
      </w:r>
      <w:r w:rsidR="003B15F7" w:rsidRPr="00DA5410">
        <w:rPr>
          <w:rFonts w:ascii="Book Antiqua" w:eastAsiaTheme="minorEastAsia" w:hAnsi="Book Antiqua" w:cs="Book Antiqua" w:hint="eastAsia"/>
          <w:sz w:val="24"/>
          <w:szCs w:val="24"/>
          <w:lang w:val="en-GB" w:eastAsia="zh-CN"/>
        </w:rPr>
        <w:t>mi</w:t>
      </w:r>
      <w:r w:rsidR="003B15F7" w:rsidRPr="00DA5410">
        <w:rPr>
          <w:rFonts w:ascii="Book Antiqua" w:hAnsi="Book Antiqua" w:cs="Book Antiqua"/>
          <w:sz w:val="24"/>
          <w:szCs w:val="24"/>
          <w:lang w:val="en-GB"/>
        </w:rPr>
        <w:t>RNA</w:t>
      </w:r>
      <w:r w:rsidRPr="00DA5410">
        <w:rPr>
          <w:rFonts w:ascii="Book Antiqua" w:hAnsi="Book Antiqua" w:cs="Book Antiqua"/>
          <w:sz w:val="24"/>
          <w:szCs w:val="24"/>
          <w:lang w:val="en-GB"/>
        </w:rPr>
        <w:t>s – short, non-coding 18-22 nucleotide RNA molecules in stools of CRC patients. The most extensively studied miR21, miR106a, miR135, miR17-92 were found to be overexpressed in CRC patients compared with healthy individuals</w:t>
      </w:r>
      <w:r w:rsidRPr="00DA5410">
        <w:rPr>
          <w:rFonts w:ascii="Book Antiqua" w:hAnsi="Book Antiqua" w:cs="Book Antiqua"/>
          <w:sz w:val="24"/>
          <w:szCs w:val="24"/>
          <w:vertAlign w:val="superscript"/>
          <w:lang w:val="en-GB"/>
        </w:rPr>
        <w:t>[16,17]</w:t>
      </w:r>
      <w:r w:rsidRPr="00DA5410">
        <w:rPr>
          <w:rFonts w:ascii="Book Antiqua" w:hAnsi="Book Antiqua" w:cs="Book Antiqua"/>
          <w:sz w:val="24"/>
          <w:szCs w:val="24"/>
          <w:lang w:val="en-GB"/>
        </w:rPr>
        <w:t xml:space="preserve">. As was the case with RNA markers in stool, many studies have been evaluating mRNA of different tumour genes in whole blood, plasma or circulating tumour cells to identify new CRC screening markers. Most of them investigated mRNA molecules of CK19, CK20, or </w:t>
      </w:r>
      <w:r w:rsidR="003B15F7" w:rsidRPr="00DA5410">
        <w:rPr>
          <w:rFonts w:ascii="Book Antiqua" w:hAnsi="Book Antiqua" w:cs="Book Antiqua"/>
          <w:sz w:val="24"/>
          <w:szCs w:val="24"/>
          <w:lang w:val="en-GB"/>
        </w:rPr>
        <w:t xml:space="preserve">Carcinoembryonic antigen </w:t>
      </w:r>
      <w:r w:rsidR="003B15F7" w:rsidRPr="00DA5410">
        <w:rPr>
          <w:rFonts w:ascii="Book Antiqua" w:eastAsiaTheme="minorEastAsia" w:hAnsi="Book Antiqua" w:cs="Book Antiqua" w:hint="eastAsia"/>
          <w:sz w:val="24"/>
          <w:szCs w:val="24"/>
          <w:lang w:val="en-GB" w:eastAsia="zh-CN"/>
        </w:rPr>
        <w:t>(</w:t>
      </w:r>
      <w:r w:rsidRPr="00DA5410">
        <w:rPr>
          <w:rFonts w:ascii="Book Antiqua" w:hAnsi="Book Antiqua" w:cs="Book Antiqua"/>
          <w:sz w:val="24"/>
          <w:szCs w:val="24"/>
          <w:lang w:val="en-GB"/>
        </w:rPr>
        <w:t>CEA</w:t>
      </w:r>
      <w:r w:rsidR="003B15F7" w:rsidRPr="00DA5410">
        <w:rPr>
          <w:rFonts w:ascii="Book Antiqua" w:eastAsiaTheme="minorEastAsia" w:hAnsi="Book Antiqua" w:cs="Book Antiqua" w:hint="eastAsia"/>
          <w:sz w:val="24"/>
          <w:szCs w:val="24"/>
          <w:lang w:val="en-GB" w:eastAsia="zh-CN"/>
        </w:rPr>
        <w:t>)</w:t>
      </w:r>
      <w:r w:rsidRPr="00DA5410">
        <w:rPr>
          <w:rFonts w:ascii="Book Antiqua" w:hAnsi="Book Antiqua" w:cs="Book Antiqua"/>
          <w:sz w:val="24"/>
          <w:szCs w:val="24"/>
          <w:lang w:val="en-GB"/>
        </w:rPr>
        <w:t>. The overall sensitivity of these markers was up to 72%, specifically when combinations of these markers were used</w:t>
      </w:r>
      <w:r w:rsidRPr="00DA5410">
        <w:rPr>
          <w:rFonts w:ascii="Book Antiqua" w:hAnsi="Book Antiqua" w:cs="Book Antiqua"/>
          <w:sz w:val="24"/>
          <w:szCs w:val="24"/>
          <w:vertAlign w:val="superscript"/>
          <w:lang w:val="en-GB"/>
        </w:rPr>
        <w:t>[18,19]</w:t>
      </w:r>
      <w:r w:rsidRPr="00DA5410">
        <w:rPr>
          <w:rFonts w:ascii="Book Antiqua" w:hAnsi="Book Antiqua" w:cs="Book Antiqua"/>
          <w:sz w:val="24"/>
          <w:szCs w:val="24"/>
          <w:lang w:val="en-GB"/>
        </w:rPr>
        <w:t>. The specificity was very high with healthy control samples or much lower when compared to other cancer or inflammatory bowel diseases samples</w:t>
      </w:r>
      <w:r w:rsidRPr="00DA5410">
        <w:rPr>
          <w:rFonts w:ascii="Book Antiqua" w:hAnsi="Book Antiqua" w:cs="Book Antiqua"/>
          <w:sz w:val="24"/>
          <w:szCs w:val="24"/>
          <w:vertAlign w:val="superscript"/>
          <w:lang w:val="en-GB"/>
        </w:rPr>
        <w:t>[20]</w:t>
      </w:r>
      <w:r w:rsidRPr="00DA5410">
        <w:rPr>
          <w:rFonts w:ascii="Book Antiqua" w:hAnsi="Book Antiqua" w:cs="Book Antiqua"/>
          <w:sz w:val="24"/>
          <w:szCs w:val="24"/>
          <w:lang w:val="en-GB"/>
        </w:rPr>
        <w:t xml:space="preserve">. Recent studies have indicated that circulating </w:t>
      </w:r>
      <w:r w:rsidR="003B15F7" w:rsidRPr="00DA5410">
        <w:rPr>
          <w:rFonts w:ascii="Book Antiqua" w:eastAsiaTheme="minorEastAsia" w:hAnsi="Book Antiqua" w:cs="Book Antiqua" w:hint="eastAsia"/>
          <w:sz w:val="24"/>
          <w:szCs w:val="24"/>
          <w:lang w:val="en-GB" w:eastAsia="zh-CN"/>
        </w:rPr>
        <w:t>mi</w:t>
      </w:r>
      <w:r w:rsidR="003B15F7" w:rsidRPr="00DA5410">
        <w:rPr>
          <w:rFonts w:ascii="Book Antiqua" w:hAnsi="Book Antiqua" w:cs="Book Antiqua"/>
          <w:sz w:val="24"/>
          <w:szCs w:val="24"/>
          <w:lang w:val="en-GB"/>
        </w:rPr>
        <w:t>RNA</w:t>
      </w:r>
      <w:r w:rsidRPr="00DA5410">
        <w:rPr>
          <w:rFonts w:ascii="Book Antiqua" w:hAnsi="Book Antiqua" w:cs="Book Antiqua"/>
          <w:sz w:val="24"/>
          <w:szCs w:val="24"/>
          <w:lang w:val="en-GB"/>
        </w:rPr>
        <w:t>s may be involved in the process of oncogenesis. The use of miRNA as a biomarker is now being evaluated. A large number of miRNA molecules have been assessed, with a focus on miR145, miR143, miR135, miR17-92.</w:t>
      </w:r>
      <w:r w:rsidR="00A65ED7">
        <w:rPr>
          <w:rFonts w:ascii="Book Antiqua" w:hAnsi="Book Antiqua" w:cs="Book Antiqua"/>
          <w:sz w:val="24"/>
          <w:szCs w:val="24"/>
          <w:lang w:val="en-GB"/>
        </w:rPr>
        <w:t xml:space="preserve"> More specifically, Huang </w:t>
      </w:r>
      <w:r w:rsidR="00A65ED7"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[21]</w:t>
      </w:r>
      <w:r w:rsidRPr="00DA5410">
        <w:rPr>
          <w:rFonts w:ascii="Book Antiqua" w:hAnsi="Book Antiqua" w:cs="Book Antiqua"/>
          <w:sz w:val="24"/>
          <w:szCs w:val="24"/>
          <w:lang w:val="en-GB"/>
        </w:rPr>
        <w:t xml:space="preserve"> has found that plasma miR29a and miR92a demonstrated a significant diagnostic value for advanced neoplasia with 83% and 84% sensitivity and specificity, respectively, in discriminating CRC patients. These studies need to be validated in randomised trials to define their value in CRC screening.</w:t>
      </w:r>
    </w:p>
    <w:p w:rsidR="003B15F7" w:rsidRPr="00DA5410" w:rsidRDefault="003B15F7"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b/>
          <w:bCs/>
          <w:i/>
          <w:sz w:val="24"/>
          <w:szCs w:val="24"/>
          <w:lang w:val="en-GB"/>
        </w:rPr>
      </w:pPr>
      <w:r w:rsidRPr="00DA5410">
        <w:rPr>
          <w:rFonts w:ascii="Book Antiqua" w:hAnsi="Book Antiqua" w:cs="Book Antiqua"/>
          <w:b/>
          <w:bCs/>
          <w:i/>
          <w:sz w:val="24"/>
          <w:szCs w:val="24"/>
          <w:lang w:val="en-GB"/>
        </w:rPr>
        <w:t>Blood and stool protein markers</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 xml:space="preserve">Protein markers for screening and early detection of CRC can be divided into tumour </w:t>
      </w:r>
      <w:r w:rsidR="003B15F7" w:rsidRPr="00DA5410">
        <w:rPr>
          <w:rFonts w:ascii="Book Antiqua" w:hAnsi="Book Antiqua" w:cs="Book Antiqua"/>
          <w:sz w:val="24"/>
          <w:szCs w:val="24"/>
          <w:lang w:val="en-GB"/>
        </w:rPr>
        <w:t>TAAs</w:t>
      </w:r>
      <w:r w:rsidRPr="00DA5410">
        <w:rPr>
          <w:rFonts w:ascii="Book Antiqua" w:hAnsi="Book Antiqua" w:cs="Book Antiqua"/>
          <w:sz w:val="24"/>
          <w:szCs w:val="24"/>
          <w:lang w:val="en-GB"/>
        </w:rPr>
        <w:t xml:space="preserve">, antibodies against TAAs, and other CRC-relevant proteins. </w:t>
      </w:r>
      <w:r w:rsidR="003B15F7" w:rsidRPr="00DA5410">
        <w:rPr>
          <w:rFonts w:ascii="Book Antiqua" w:hAnsi="Book Antiqua" w:cs="Book Antiqua"/>
          <w:sz w:val="24"/>
          <w:szCs w:val="24"/>
          <w:lang w:val="en-GB"/>
        </w:rPr>
        <w:t>CEA</w:t>
      </w:r>
      <w:r w:rsidR="003B15F7"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was discovered almost 50 years ago, in 1965, and it still remains the only tumour marker of recognised efficacy in monitoring CRC patients’ therapy</w:t>
      </w:r>
      <w:r w:rsidRPr="00DA5410">
        <w:rPr>
          <w:rFonts w:ascii="Book Antiqua" w:hAnsi="Book Antiqua" w:cs="Book Antiqua"/>
          <w:sz w:val="24"/>
          <w:szCs w:val="24"/>
          <w:vertAlign w:val="superscript"/>
          <w:lang w:val="en-GB"/>
        </w:rPr>
        <w:t>[22]</w:t>
      </w:r>
      <w:r w:rsidRPr="00DA5410">
        <w:rPr>
          <w:rFonts w:ascii="Book Antiqua" w:hAnsi="Book Antiqua" w:cs="Book Antiqua"/>
          <w:sz w:val="24"/>
          <w:szCs w:val="24"/>
          <w:lang w:val="en-GB"/>
        </w:rPr>
        <w:t xml:space="preserve">. CEA was first considered specific for CRC, but elevated CEA levels were later detected in other </w:t>
      </w:r>
      <w:r w:rsidRPr="00DA5410">
        <w:rPr>
          <w:rFonts w:ascii="Book Antiqua" w:hAnsi="Book Antiqua" w:cs="Book Antiqua"/>
          <w:sz w:val="24"/>
          <w:szCs w:val="24"/>
          <w:lang w:val="en-GB"/>
        </w:rPr>
        <w:lastRenderedPageBreak/>
        <w:t xml:space="preserve">neoplasms too, </w:t>
      </w:r>
      <w:r w:rsidRPr="00DA5410">
        <w:rPr>
          <w:rFonts w:ascii="Book Antiqua" w:hAnsi="Book Antiqua" w:cs="Book Antiqua"/>
          <w:i/>
          <w:sz w:val="24"/>
          <w:szCs w:val="24"/>
          <w:lang w:val="en-GB"/>
        </w:rPr>
        <w:t>e.g.</w:t>
      </w:r>
      <w:r w:rsidRPr="00DA5410">
        <w:rPr>
          <w:rFonts w:ascii="Book Antiqua" w:hAnsi="Book Antiqua" w:cs="Book Antiqua"/>
          <w:sz w:val="24"/>
          <w:szCs w:val="24"/>
          <w:lang w:val="en-GB"/>
        </w:rPr>
        <w:t xml:space="preserve"> gastric and pancreatic cancers, and in inflammatory conditions. Elevated CEA concentrations are only rarely identified in CRC stage I. Moreover, CEA does not differentiate benign versus malignant polyps. According to </w:t>
      </w:r>
      <w:r w:rsidR="00E35160" w:rsidRPr="00DA5410">
        <w:rPr>
          <w:rFonts w:ascii="Book Antiqua" w:hAnsi="Book Antiqua" w:cs="Book Antiqua"/>
          <w:sz w:val="24"/>
          <w:szCs w:val="24"/>
        </w:rPr>
        <w:t>The European Group on Tumor Markers</w:t>
      </w:r>
      <w:r w:rsidR="00701E9A">
        <w:rPr>
          <w:rFonts w:ascii="Book Antiqua" w:hAnsi="Book Antiqua" w:cs="Book Antiqua"/>
          <w:sz w:val="24"/>
          <w:szCs w:val="24"/>
          <w:lang w:val="en-GB"/>
        </w:rPr>
        <w:t>,</w:t>
      </w:r>
      <w:r w:rsidR="00E35160" w:rsidRPr="00DA5410">
        <w:rPr>
          <w:rFonts w:ascii="Book Antiqua" w:hAnsi="Book Antiqua" w:cs="Book Antiqua"/>
          <w:bCs/>
          <w:sz w:val="24"/>
          <w:szCs w:val="24"/>
        </w:rPr>
        <w:t> European Society of Medical Oncology</w:t>
      </w:r>
      <w:r w:rsidRPr="00DA5410">
        <w:rPr>
          <w:rFonts w:ascii="Book Antiqua" w:hAnsi="Book Antiqua" w:cs="Book Antiqua"/>
          <w:sz w:val="24"/>
          <w:szCs w:val="24"/>
          <w:lang w:val="en-GB"/>
        </w:rPr>
        <w:t xml:space="preserve"> and </w:t>
      </w:r>
      <w:r w:rsidR="00E35160" w:rsidRPr="00DA5410">
        <w:rPr>
          <w:rFonts w:ascii="Book Antiqua" w:hAnsi="Book Antiqua" w:cs="Book Antiqua"/>
          <w:sz w:val="24"/>
          <w:szCs w:val="24"/>
        </w:rPr>
        <w:t>American Society of Clinical Oncology</w:t>
      </w:r>
      <w:r w:rsidRPr="00DA5410">
        <w:rPr>
          <w:rFonts w:ascii="Book Antiqua" w:hAnsi="Book Antiqua" w:cs="Book Antiqua"/>
          <w:sz w:val="24"/>
          <w:szCs w:val="24"/>
          <w:lang w:val="en-GB"/>
        </w:rPr>
        <w:t xml:space="preserve"> guidelines</w:t>
      </w:r>
      <w:r w:rsidRPr="00DA5410">
        <w:rPr>
          <w:rFonts w:ascii="Book Antiqua" w:hAnsi="Book Antiqua" w:cs="Book Antiqua"/>
          <w:sz w:val="24"/>
          <w:szCs w:val="24"/>
          <w:vertAlign w:val="superscript"/>
          <w:lang w:val="en-GB"/>
        </w:rPr>
        <w:t>[2,23,24]</w:t>
      </w:r>
      <w:r w:rsidRPr="00DA5410">
        <w:rPr>
          <w:rFonts w:ascii="Book Antiqua" w:hAnsi="Book Antiqua" w:cs="Book Antiqua"/>
          <w:sz w:val="24"/>
          <w:szCs w:val="24"/>
          <w:lang w:val="en-GB"/>
        </w:rPr>
        <w:t>, CEA is not recommended for use in screening tests. Recently, some studies have investigated the advantages of mRNA molecules encoding CEA for the detection of CRC, but the results were not superior to those of CEA</w:t>
      </w:r>
      <w:r w:rsidRPr="00DA5410">
        <w:rPr>
          <w:rFonts w:ascii="Book Antiqua" w:hAnsi="Book Antiqua" w:cs="Book Antiqua"/>
          <w:sz w:val="24"/>
          <w:szCs w:val="24"/>
          <w:vertAlign w:val="superscript"/>
          <w:lang w:val="en-GB"/>
        </w:rPr>
        <w:t>[19]</w:t>
      </w:r>
      <w:r w:rsidRPr="00DA5410">
        <w:rPr>
          <w:rFonts w:ascii="Book Antiqua" w:hAnsi="Book Antiqua" w:cs="Book Antiqua"/>
          <w:sz w:val="24"/>
          <w:szCs w:val="24"/>
          <w:lang w:val="en-GB"/>
        </w:rPr>
        <w:t>.</w:t>
      </w:r>
    </w:p>
    <w:p w:rsidR="00F37F91" w:rsidRPr="00DA5410" w:rsidRDefault="00F37F91" w:rsidP="00E35160">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In some studies, high CEA concentrations in patients with CRC stage II and III were found to be potentially indicative of more aggressive types of cancer</w:t>
      </w:r>
      <w:r w:rsidRPr="00DA5410">
        <w:rPr>
          <w:rFonts w:ascii="Book Antiqua" w:hAnsi="Book Antiqua" w:cs="Book Antiqua"/>
          <w:sz w:val="24"/>
          <w:szCs w:val="24"/>
          <w:vertAlign w:val="superscript"/>
          <w:lang w:val="en-GB"/>
        </w:rPr>
        <w:t>[25,26]</w:t>
      </w:r>
      <w:r w:rsidRPr="00DA5410">
        <w:rPr>
          <w:rFonts w:ascii="Book Antiqua" w:hAnsi="Book Antiqua" w:cs="Book Antiqua"/>
          <w:sz w:val="24"/>
          <w:szCs w:val="24"/>
          <w:lang w:val="en-GB"/>
        </w:rPr>
        <w:t>. Earlier, the Colorectal Working Group of American Joint Committee on Cancer proposed to include CEA baseline concentration to the traditional TNM classification as the so-called C-stage. C-stage was proposed to be divided into Cx, C0 (CEA &lt;</w:t>
      </w:r>
      <w:r w:rsidR="00E35160"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5</w:t>
      </w:r>
      <w:r w:rsidR="00E35160"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ng/mL) and C1 (CEA</w:t>
      </w:r>
      <w:r w:rsidR="00E35160"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&gt;</w:t>
      </w:r>
      <w:r w:rsidR="00E35160"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5</w:t>
      </w:r>
      <w:r w:rsidR="00E35160"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ng/mL) substages</w:t>
      </w:r>
      <w:r w:rsidRPr="00DA5410">
        <w:rPr>
          <w:rFonts w:ascii="Book Antiqua" w:hAnsi="Book Antiqua" w:cs="Book Antiqua"/>
          <w:sz w:val="24"/>
          <w:szCs w:val="24"/>
          <w:vertAlign w:val="superscript"/>
          <w:lang w:val="en-GB"/>
        </w:rPr>
        <w:t>[27]</w:t>
      </w:r>
      <w:r w:rsidRPr="00DA5410">
        <w:rPr>
          <w:rFonts w:ascii="Book Antiqua" w:hAnsi="Book Antiqua" w:cs="Book Antiqua"/>
          <w:sz w:val="24"/>
          <w:szCs w:val="24"/>
          <w:lang w:val="en-GB"/>
        </w:rPr>
        <w:t>. The meaning of CEA as an independent prognostic factor was also confirmed in a recent retrospective analysis of 17910 patients with CRC, with a mean 27-mo follow-up, with longer survival periods for pati</w:t>
      </w:r>
      <w:r w:rsidR="00E35160" w:rsidRPr="00DA5410">
        <w:rPr>
          <w:rFonts w:ascii="Book Antiqua" w:hAnsi="Book Antiqua" w:cs="Book Antiqua"/>
          <w:sz w:val="24"/>
          <w:szCs w:val="24"/>
          <w:lang w:val="en-GB"/>
        </w:rPr>
        <w:t xml:space="preserve">ents with IIA C0 and IIIA C0 </w:t>
      </w:r>
      <w:r w:rsidR="00E35160" w:rsidRPr="00DA5410">
        <w:rPr>
          <w:rFonts w:ascii="Book Antiqua" w:hAnsi="Book Antiqua" w:cs="Book Antiqua"/>
          <w:i/>
          <w:sz w:val="24"/>
          <w:szCs w:val="24"/>
          <w:lang w:val="en-GB"/>
        </w:rPr>
        <w:t>vs</w:t>
      </w:r>
      <w:r w:rsidR="00E35160" w:rsidRPr="00DA5410">
        <w:rPr>
          <w:rFonts w:ascii="Book Antiqua" w:hAnsi="Book Antiqua" w:cs="Book Antiqua"/>
          <w:sz w:val="24"/>
          <w:szCs w:val="24"/>
          <w:lang w:val="en-GB"/>
        </w:rPr>
        <w:t xml:space="preserve"> I C1, IIIA C0 </w:t>
      </w:r>
      <w:r w:rsidR="00E35160" w:rsidRPr="00DA5410">
        <w:rPr>
          <w:rFonts w:ascii="Book Antiqua" w:hAnsi="Book Antiqua" w:cs="Book Antiqua"/>
          <w:i/>
          <w:sz w:val="24"/>
          <w:szCs w:val="24"/>
          <w:lang w:val="en-GB"/>
        </w:rPr>
        <w:t>vs</w:t>
      </w:r>
      <w:r w:rsidR="00E35160" w:rsidRPr="00DA5410">
        <w:rPr>
          <w:rFonts w:ascii="Book Antiqua" w:hAnsi="Book Antiqua" w:cs="Book Antiqua"/>
          <w:sz w:val="24"/>
          <w:szCs w:val="24"/>
          <w:lang w:val="en-GB"/>
        </w:rPr>
        <w:t xml:space="preserve"> IIA C1, and IIIB C0 </w:t>
      </w:r>
      <w:r w:rsidR="00E35160" w:rsidRPr="00DA5410">
        <w:rPr>
          <w:rFonts w:ascii="Book Antiqua" w:hAnsi="Book Antiqua" w:cs="Book Antiqua"/>
          <w:i/>
          <w:sz w:val="24"/>
          <w:szCs w:val="24"/>
          <w:lang w:val="en-GB"/>
        </w:rPr>
        <w:t>vs</w:t>
      </w:r>
      <w:r w:rsidRPr="00DA5410">
        <w:rPr>
          <w:rFonts w:ascii="Book Antiqua" w:hAnsi="Book Antiqua" w:cs="Book Antiqua"/>
          <w:sz w:val="24"/>
          <w:szCs w:val="24"/>
          <w:lang w:val="en-GB"/>
        </w:rPr>
        <w:t xml:space="preserve"> IIB-C C1, respectively</w:t>
      </w:r>
      <w:r w:rsidRPr="00DA5410">
        <w:rPr>
          <w:rFonts w:ascii="Book Antiqua" w:hAnsi="Book Antiqua" w:cs="Book Antiqua"/>
          <w:sz w:val="24"/>
          <w:szCs w:val="24"/>
          <w:vertAlign w:val="superscript"/>
          <w:lang w:val="en-GB"/>
        </w:rPr>
        <w:t>[28]</w:t>
      </w:r>
      <w:r w:rsidRPr="00DA5410">
        <w:rPr>
          <w:rFonts w:ascii="Book Antiqua" w:hAnsi="Book Antiqua" w:cs="Book Antiqua"/>
          <w:sz w:val="24"/>
          <w:szCs w:val="24"/>
          <w:lang w:val="en-GB"/>
        </w:rPr>
        <w:t>. No study, however, has shown that CEA concentration level can be used to select those patients with stage II CRC who would benefit from adjuvant chemotherapy. From a prognostic point of view, it appears reasonable to determine CEA levels before surgery in patients with disseminated CRC. The roles of CEA in determining life expectancy was confirmed in several studies on patients with liver metastases</w:t>
      </w:r>
      <w:r w:rsidRPr="00DA5410">
        <w:rPr>
          <w:rFonts w:ascii="Book Antiqua" w:hAnsi="Book Antiqua" w:cs="Book Antiqua"/>
          <w:sz w:val="24"/>
          <w:szCs w:val="24"/>
          <w:vertAlign w:val="superscript"/>
          <w:lang w:val="en-GB"/>
        </w:rPr>
        <w:t>[29,30]</w:t>
      </w:r>
      <w:r w:rsidRPr="00DA5410">
        <w:rPr>
          <w:rFonts w:ascii="Book Antiqua" w:hAnsi="Book Antiqua" w:cs="Book Antiqua"/>
          <w:sz w:val="24"/>
          <w:szCs w:val="24"/>
          <w:lang w:val="en-GB"/>
        </w:rPr>
        <w:t>. Recent study proved that combined use of CEA and serum amyloid A (SAA) is able to identify patients with favourable and poor prognosis. In addition to tumour baseline parameters, routine analysis of CEA together with SAA provides improved prognosis value on cancer specific survival and disease-free survival in resected rectal cancers</w:t>
      </w:r>
      <w:r w:rsidRPr="00DA5410">
        <w:rPr>
          <w:rFonts w:ascii="Book Antiqua" w:hAnsi="Book Antiqua" w:cs="Book Antiqua"/>
          <w:sz w:val="24"/>
          <w:szCs w:val="24"/>
          <w:vertAlign w:val="superscript"/>
          <w:lang w:val="en-GB"/>
        </w:rPr>
        <w:t>[31]</w:t>
      </w:r>
      <w:r w:rsidRPr="00DA5410">
        <w:rPr>
          <w:rFonts w:ascii="Book Antiqua" w:hAnsi="Book Antiqua" w:cs="Book Antiqua"/>
          <w:sz w:val="24"/>
          <w:szCs w:val="24"/>
          <w:lang w:val="en-GB"/>
        </w:rPr>
        <w:t>. CEA half-life is kn</w:t>
      </w:r>
      <w:r w:rsidR="00E35160" w:rsidRPr="00DA5410">
        <w:rPr>
          <w:rFonts w:ascii="Book Antiqua" w:hAnsi="Book Antiqua" w:cs="Book Antiqua"/>
          <w:sz w:val="24"/>
          <w:szCs w:val="24"/>
          <w:lang w:val="en-GB"/>
        </w:rPr>
        <w:t>own to last approximately 7 d</w:t>
      </w:r>
      <w:r w:rsidRPr="00DA5410">
        <w:rPr>
          <w:rFonts w:ascii="Book Antiqua" w:hAnsi="Book Antiqua" w:cs="Book Antiqua"/>
          <w:sz w:val="24"/>
          <w:szCs w:val="24"/>
          <w:lang w:val="en-GB"/>
        </w:rPr>
        <w:t>. After R0 resection surgery, CEA levels should re</w:t>
      </w:r>
      <w:r w:rsidR="00E35160" w:rsidRPr="00DA5410">
        <w:rPr>
          <w:rFonts w:ascii="Book Antiqua" w:hAnsi="Book Antiqua" w:cs="Book Antiqua"/>
          <w:sz w:val="24"/>
          <w:szCs w:val="24"/>
          <w:lang w:val="en-GB"/>
        </w:rPr>
        <w:t>turn to normal within 4 to 6 wk</w:t>
      </w:r>
      <w:r w:rsidRPr="00DA5410">
        <w:rPr>
          <w:rFonts w:ascii="Book Antiqua" w:hAnsi="Book Antiqua" w:cs="Book Antiqua"/>
          <w:sz w:val="24"/>
          <w:szCs w:val="24"/>
          <w:lang w:val="en-GB"/>
        </w:rPr>
        <w:t xml:space="preserve">. Sustained elevated CEA levels can be indicative of infiltration or metastases. Slow increase in CEA concentrations after surgery is a typical sign of local recurrence, whereas dynamically increasing levels can be symptomatic of metastases, most </w:t>
      </w:r>
      <w:r w:rsidRPr="00DA5410">
        <w:rPr>
          <w:rFonts w:ascii="Book Antiqua" w:hAnsi="Book Antiqua" w:cs="Book Antiqua"/>
          <w:sz w:val="24"/>
          <w:szCs w:val="24"/>
          <w:lang w:val="en-GB"/>
        </w:rPr>
        <w:lastRenderedPageBreak/>
        <w:t>probably in the liver</w:t>
      </w:r>
      <w:r w:rsidRPr="00DA5410">
        <w:rPr>
          <w:rFonts w:ascii="Book Antiqua" w:hAnsi="Book Antiqua" w:cs="Book Antiqua"/>
          <w:sz w:val="24"/>
          <w:szCs w:val="24"/>
          <w:vertAlign w:val="superscript"/>
          <w:lang w:val="en-GB"/>
        </w:rPr>
        <w:t>[24,32]</w:t>
      </w:r>
      <w:r w:rsidRPr="00DA5410">
        <w:rPr>
          <w:rFonts w:ascii="Book Antiqua" w:hAnsi="Book Antiqua" w:cs="Book Antiqua"/>
          <w:sz w:val="24"/>
          <w:szCs w:val="24"/>
          <w:lang w:val="en-GB"/>
        </w:rPr>
        <w:t>. Testing CEA levels is considered most cost-effective in detecting post-surgery recurrences</w:t>
      </w:r>
      <w:r w:rsidRPr="00DA5410">
        <w:rPr>
          <w:rFonts w:ascii="Book Antiqua" w:hAnsi="Book Antiqua" w:cs="Book Antiqua"/>
          <w:sz w:val="24"/>
          <w:szCs w:val="24"/>
          <w:vertAlign w:val="superscript"/>
          <w:lang w:val="en-GB"/>
        </w:rPr>
        <w:t>[24]</w:t>
      </w:r>
      <w:r w:rsidRPr="00DA5410">
        <w:rPr>
          <w:rFonts w:ascii="Book Antiqua" w:hAnsi="Book Antiqua" w:cs="Book Antiqua"/>
          <w:sz w:val="24"/>
          <w:szCs w:val="24"/>
          <w:lang w:val="en-GB"/>
        </w:rPr>
        <w:t>. Please note that CEA levels tested every 3 mo for the first 3 years and thereafter every 6 months for subsequent 2-3 years is a golden follow-up standard after CRC therapy recommended by a number of scientific associations</w:t>
      </w:r>
      <w:r w:rsidRPr="00DA5410">
        <w:rPr>
          <w:rFonts w:ascii="Book Antiqua" w:hAnsi="Book Antiqua" w:cs="Book Antiqua"/>
          <w:sz w:val="24"/>
          <w:szCs w:val="24"/>
          <w:vertAlign w:val="superscript"/>
          <w:lang w:val="en-GB"/>
        </w:rPr>
        <w:t>[2,23,33]</w:t>
      </w:r>
      <w:r w:rsidRPr="00DA5410">
        <w:rPr>
          <w:rFonts w:ascii="Book Antiqua" w:hAnsi="Book Antiqua" w:cs="Book Antiqua"/>
          <w:sz w:val="24"/>
          <w:szCs w:val="24"/>
          <w:lang w:val="en-GB"/>
        </w:rPr>
        <w:t>. It appears particularly important in asymptomatic patients, in whom chemotherapy can be used, with a much longer life expectancy as compared to treatment administered after the onset of symptoms of recurrence. CEA is a marker of choice in monitoring disseminated disease during systemic therapy. Constant increase in CEA levels is typically associated with a progression of the disease, even though radiological tests may prove otherwise</w:t>
      </w:r>
      <w:r w:rsidRPr="00DA5410">
        <w:rPr>
          <w:rFonts w:ascii="Book Antiqua" w:hAnsi="Book Antiqua" w:cs="Book Antiqua"/>
          <w:sz w:val="24"/>
          <w:szCs w:val="24"/>
          <w:vertAlign w:val="superscript"/>
          <w:lang w:val="en-GB"/>
        </w:rPr>
        <w:t>[23,24]</w:t>
      </w:r>
      <w:r w:rsidRPr="00DA5410">
        <w:rPr>
          <w:rFonts w:ascii="Book Antiqua" w:hAnsi="Book Antiqua" w:cs="Book Antiqua"/>
          <w:sz w:val="24"/>
          <w:szCs w:val="24"/>
          <w:lang w:val="en-GB"/>
        </w:rPr>
        <w:t>. However, chemotherapy can also result in temporary increase in CEA concentration, which must be also taken into account. Therefore, it is not recommended</w:t>
      </w:r>
      <w:r w:rsidR="00E35160" w:rsidRPr="00DA5410">
        <w:rPr>
          <w:rFonts w:ascii="Book Antiqua" w:hAnsi="Book Antiqua" w:cs="Book Antiqua"/>
          <w:sz w:val="24"/>
          <w:szCs w:val="24"/>
          <w:lang w:val="en-GB"/>
        </w:rPr>
        <w:t xml:space="preserve"> to test CEA levels within 2 wk</w:t>
      </w:r>
      <w:r w:rsidRPr="00DA5410">
        <w:rPr>
          <w:rFonts w:ascii="Book Antiqua" w:hAnsi="Book Antiqua" w:cs="Book Antiqua"/>
          <w:sz w:val="24"/>
          <w:szCs w:val="24"/>
          <w:lang w:val="en-GB"/>
        </w:rPr>
        <w:t xml:space="preserve"> of chemotherapy, whereas in patients on oxaliplatin, tests can</w:t>
      </w:r>
      <w:r w:rsidR="00E35160" w:rsidRPr="00DA5410">
        <w:rPr>
          <w:rFonts w:ascii="Book Antiqua" w:hAnsi="Book Antiqua" w:cs="Book Antiqua"/>
          <w:sz w:val="24"/>
          <w:szCs w:val="24"/>
          <w:lang w:val="en-GB"/>
        </w:rPr>
        <w:t xml:space="preserve"> be carried out after 4 to 6 wk</w:t>
      </w:r>
      <w:r w:rsidRPr="00DA5410">
        <w:rPr>
          <w:rFonts w:ascii="Book Antiqua" w:hAnsi="Book Antiqua" w:cs="Book Antiqua"/>
          <w:sz w:val="24"/>
          <w:szCs w:val="24"/>
          <w:lang w:val="en-GB"/>
        </w:rPr>
        <w:t xml:space="preserve">. </w:t>
      </w:r>
    </w:p>
    <w:p w:rsidR="00F37F91" w:rsidRPr="00DA5410" w:rsidRDefault="00F37F91" w:rsidP="00E35160">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Cancer antigen 19-9 (CA 19-9) is a glycoprotein whose relevance in CRC diagnosis still remains an issue. The majority of researchers arrived at the conclusion that CA</w:t>
      </w:r>
      <w:r w:rsidR="00435973">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19-9 sensitivity is much inferior to that of CEA, and that elevated CA 19-9 lev</w:t>
      </w:r>
      <w:r w:rsidR="00E35160" w:rsidRPr="00DA5410">
        <w:rPr>
          <w:rFonts w:ascii="Book Antiqua" w:hAnsi="Book Antiqua" w:cs="Book Antiqua"/>
          <w:sz w:val="24"/>
          <w:szCs w:val="24"/>
          <w:lang w:val="en-GB"/>
        </w:rPr>
        <w:t>els is a poor prognostic factor</w:t>
      </w:r>
      <w:r w:rsidRPr="00DA5410">
        <w:rPr>
          <w:rFonts w:ascii="Book Antiqua" w:hAnsi="Book Antiqua" w:cs="Book Antiqua"/>
          <w:sz w:val="24"/>
          <w:szCs w:val="24"/>
          <w:vertAlign w:val="superscript"/>
          <w:lang w:val="en-GB"/>
        </w:rPr>
        <w:t>[2,23,34</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36]</w:t>
      </w:r>
      <w:r w:rsidRPr="00DA5410">
        <w:rPr>
          <w:rFonts w:ascii="Book Antiqua" w:hAnsi="Book Antiqua" w:cs="Book Antiqua"/>
          <w:sz w:val="24"/>
          <w:szCs w:val="24"/>
          <w:lang w:val="en-GB"/>
        </w:rPr>
        <w:t xml:space="preserve">. Other carbohydrate antigens: CA 195, CA 50 have been also investigated, but with comparatively disappointing results. </w:t>
      </w:r>
      <w:r w:rsidR="00EC030C" w:rsidRPr="00DA5410">
        <w:rPr>
          <w:rFonts w:ascii="Book Antiqua" w:hAnsi="Book Antiqua" w:cs="Book Antiqua"/>
          <w:sz w:val="24"/>
          <w:szCs w:val="24"/>
          <w:lang w:val="en-GB"/>
        </w:rPr>
        <w:t>CA 72-4</w:t>
      </w:r>
      <w:r w:rsidR="00EC030C"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is a biomarker with poor sensitivity ranging from 9% to 31% and better specificity ranging from 89% to 95% in patients screened for CRC. The diagnostic information in recurrent CRC provided by CA 72-4 has borderline significance, by far worse than CEA. All authors conclude that CA 72-4 sensitivity is rather low and specificity incomplete in screening and following up in patients with CRC. On the other hand, an algorithm based on combination of CEA, CA 19-9, CA 72-4, CA 242, CYFRA21-1 improves the diagnostic accuracy compared with these biomarkers alone</w:t>
      </w:r>
      <w:r w:rsidRPr="00DA5410">
        <w:rPr>
          <w:rFonts w:ascii="Book Antiqua" w:hAnsi="Book Antiqua" w:cs="Book Antiqua"/>
          <w:sz w:val="24"/>
          <w:szCs w:val="24"/>
          <w:vertAlign w:val="superscript"/>
          <w:lang w:val="en-GB"/>
        </w:rPr>
        <w:t>[34</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39]</w:t>
      </w:r>
      <w:r w:rsidRPr="00DA5410">
        <w:rPr>
          <w:rFonts w:ascii="Book Antiqua" w:hAnsi="Book Antiqua" w:cs="Book Antiqua"/>
          <w:sz w:val="24"/>
          <w:szCs w:val="24"/>
          <w:lang w:val="en-GB"/>
        </w:rPr>
        <w:t>. Among other protein markers examined for screening purposes, two have been extensively investigated: the tumour specific M2 isoform of pyruvate kinase (M2-PK) in stool and tissue inhibitor of matrix metalloproteinase 1 (TIMP1). M2-PK measured in stool showed relatively high sensitivity for CRC up to 91%, and much lower for adenomas</w:t>
      </w:r>
      <w:r w:rsidRPr="00DA5410">
        <w:rPr>
          <w:rFonts w:ascii="Book Antiqua" w:hAnsi="Book Antiqua" w:cs="Book Antiqua"/>
          <w:sz w:val="24"/>
          <w:szCs w:val="24"/>
          <w:vertAlign w:val="superscript"/>
          <w:lang w:val="en-GB"/>
        </w:rPr>
        <w:t>[40,41]</w:t>
      </w:r>
      <w:r w:rsidRPr="00DA5410">
        <w:rPr>
          <w:rFonts w:ascii="Book Antiqua" w:hAnsi="Book Antiqua" w:cs="Book Antiqua"/>
          <w:sz w:val="24"/>
          <w:szCs w:val="24"/>
          <w:lang w:val="en-GB"/>
        </w:rPr>
        <w:t xml:space="preserve">. Plasma level of TIMP1 is reported to be elevated in CRC patients and </w:t>
      </w:r>
      <w:r w:rsidRPr="00DA5410">
        <w:rPr>
          <w:rFonts w:ascii="Book Antiqua" w:hAnsi="Book Antiqua" w:cs="Book Antiqua"/>
          <w:sz w:val="24"/>
          <w:szCs w:val="24"/>
          <w:lang w:val="en-GB"/>
        </w:rPr>
        <w:lastRenderedPageBreak/>
        <w:t>prospective studies have been carried to assess its utility as biomarker. The results of the study included more than 4500 patients screened by endoscopy for CRC demonstrated that TIMP1 is not significantly superior to CEA marker in cancer screening and is not suitable for the detection of premalignant lesions</w:t>
      </w:r>
      <w:r w:rsidRPr="00DA5410">
        <w:rPr>
          <w:rFonts w:ascii="Book Antiqua" w:hAnsi="Book Antiqua" w:cs="Book Antiqua"/>
          <w:sz w:val="24"/>
          <w:szCs w:val="24"/>
          <w:vertAlign w:val="superscript"/>
          <w:lang w:val="en-GB"/>
        </w:rPr>
        <w:t>[42]</w:t>
      </w:r>
      <w:r w:rsidRPr="00DA5410">
        <w:rPr>
          <w:rFonts w:ascii="Book Antiqua" w:hAnsi="Book Antiqua" w:cs="Book Antiqua"/>
          <w:sz w:val="24"/>
          <w:szCs w:val="24"/>
          <w:lang w:val="en-GB"/>
        </w:rPr>
        <w:t>.</w:t>
      </w:r>
      <w:r w:rsidRPr="00DA5410">
        <w:rPr>
          <w:rFonts w:ascii="Book Antiqua" w:hAnsi="Book Antiqua" w:cs="Book Antiqua"/>
          <w:sz w:val="24"/>
          <w:szCs w:val="24"/>
          <w:lang w:val="en-US"/>
        </w:rPr>
        <w:t xml:space="preserve"> </w:t>
      </w:r>
      <w:r w:rsidRPr="00DA5410">
        <w:rPr>
          <w:rFonts w:ascii="Book Antiqua" w:hAnsi="Book Antiqua" w:cs="Book Antiqua"/>
          <w:sz w:val="24"/>
          <w:szCs w:val="24"/>
          <w:lang w:val="en-GB"/>
        </w:rPr>
        <w:t>Tissue polypeptide-specific antigen (TPS) and tissue polypeptide antigen (TPA) which detects the fragments of cytokeratines 8, 18 and 19 due to lack of sensitivity and specificity can not to be recommended in CRC screening. The majority of investigators have found that increased levels of TPA and TPS are observed in metastatic stage of CRC. A further studies has suggested that combination of TPA and CEA rises the sensitivity of these biomarkers in identifying the patients with CRC recurrence</w:t>
      </w:r>
      <w:r w:rsidRPr="00DA5410">
        <w:rPr>
          <w:rFonts w:ascii="Book Antiqua" w:hAnsi="Book Antiqua" w:cs="Book Antiqua"/>
          <w:sz w:val="24"/>
          <w:szCs w:val="24"/>
          <w:vertAlign w:val="superscript"/>
          <w:lang w:val="en-GB"/>
        </w:rPr>
        <w:t>[34,37,43,44]</w:t>
      </w:r>
      <w:r w:rsidRPr="00DA5410">
        <w:rPr>
          <w:rFonts w:ascii="Book Antiqua" w:hAnsi="Book Antiqua" w:cs="Book Antiqua"/>
          <w:sz w:val="24"/>
          <w:szCs w:val="24"/>
          <w:lang w:val="en-GB"/>
        </w:rPr>
        <w:t>. Other biomarkers, such as: thymidine phosphorylase (TP), DNA ploidy were determined to be insignificant in detecting, staging and following-up of patients with CRC</w:t>
      </w:r>
      <w:r w:rsidRPr="00DA5410">
        <w:rPr>
          <w:rFonts w:ascii="Book Antiqua" w:hAnsi="Book Antiqua" w:cs="Book Antiqua"/>
          <w:sz w:val="24"/>
          <w:szCs w:val="24"/>
          <w:vertAlign w:val="superscript"/>
          <w:lang w:val="en-GB"/>
        </w:rPr>
        <w:t>[23]</w:t>
      </w:r>
      <w:r w:rsidRPr="00DA5410">
        <w:rPr>
          <w:rFonts w:ascii="Book Antiqua" w:hAnsi="Book Antiqua" w:cs="Book Antiqua"/>
          <w:sz w:val="24"/>
          <w:szCs w:val="24"/>
          <w:lang w:val="en-GB"/>
        </w:rPr>
        <w:t xml:space="preserve">. </w:t>
      </w:r>
    </w:p>
    <w:p w:rsidR="00E35160" w:rsidRPr="00DA5410" w:rsidRDefault="00E35160" w:rsidP="006413E6">
      <w:pPr>
        <w:spacing w:after="0" w:line="360" w:lineRule="auto"/>
        <w:jc w:val="both"/>
        <w:rPr>
          <w:rFonts w:ascii="Book Antiqua" w:eastAsiaTheme="minorEastAsia" w:hAnsi="Book Antiqua" w:cs="Book Antiqua"/>
          <w:b/>
          <w:bCs/>
          <w:sz w:val="24"/>
          <w:szCs w:val="24"/>
          <w:lang w:val="en-GB" w:eastAsia="zh-CN"/>
        </w:rPr>
      </w:pPr>
    </w:p>
    <w:p w:rsidR="00F37F91" w:rsidRPr="00DA5410" w:rsidRDefault="00F37F91" w:rsidP="006413E6">
      <w:pPr>
        <w:spacing w:after="0" w:line="360" w:lineRule="auto"/>
        <w:jc w:val="both"/>
        <w:rPr>
          <w:rFonts w:ascii="Book Antiqua" w:hAnsi="Book Antiqua" w:cs="Book Antiqua"/>
          <w:b/>
          <w:bCs/>
          <w:sz w:val="24"/>
          <w:szCs w:val="24"/>
          <w:lang w:val="en-GB"/>
        </w:rPr>
      </w:pPr>
      <w:r w:rsidRPr="00DA5410">
        <w:rPr>
          <w:rFonts w:ascii="Book Antiqua" w:hAnsi="Book Antiqua" w:cs="Book Antiqua"/>
          <w:b/>
          <w:bCs/>
          <w:sz w:val="24"/>
          <w:szCs w:val="24"/>
          <w:lang w:val="en-GB"/>
        </w:rPr>
        <w:t>MOLECULAR PROGNOSTIC AND PREDICTIVE BIOMARKERS</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With the recent progress in understanding the molecular mechanisms of cancer development, dissemination, resistance to chemotherapy, and radiation therapy, it is now easier to select the most proper strategy for managing CRC. Clinical prospective and retrospective studies open the door for biomarkers use in clinical practice to assist in selecting the best drugs, both standard, such as 5-fluorouracil, oxaliplatin or irinotecan, and new generation targeted drugs: cetuximab, panitumumab, or bevacizumab. Biomarker identification is particularly important for patients with CRC stage II. In this group of patients, the risk of recurrence is only 20 percent. It is also desirable to use adjuvant therapy in this type of patients. There are attempts to select this group of patients based on genetic tests, or to personalise chemotherapy based on specific biomarkers. The following markers discovered throughout the recent years c</w:t>
      </w:r>
      <w:r w:rsidR="00E35160" w:rsidRPr="00DA5410">
        <w:rPr>
          <w:rFonts w:ascii="Book Antiqua" w:hAnsi="Book Antiqua" w:cs="Book Antiqua"/>
          <w:sz w:val="24"/>
          <w:szCs w:val="24"/>
          <w:lang w:val="en-GB"/>
        </w:rPr>
        <w:t>ontinue to be closely examined:</w:t>
      </w:r>
      <w:r w:rsidR="00E35160" w:rsidRPr="00DA5410">
        <w:rPr>
          <w:rFonts w:ascii="Book Antiqua" w:eastAsiaTheme="minorEastAsia" w:hAnsi="Book Antiqua" w:cs="Book Antiqua" w:hint="eastAsia"/>
          <w:sz w:val="24"/>
          <w:szCs w:val="24"/>
          <w:lang w:val="en-GB" w:eastAsia="zh-CN"/>
        </w:rPr>
        <w:t xml:space="preserve"> </w:t>
      </w:r>
      <w:r w:rsidR="00E35160" w:rsidRPr="00DA5410">
        <w:rPr>
          <w:rFonts w:ascii="Book Antiqua" w:hAnsi="Book Antiqua" w:cs="Book Antiqua"/>
          <w:sz w:val="24"/>
          <w:szCs w:val="24"/>
          <w:lang w:val="en-GB"/>
        </w:rPr>
        <w:t>MSI</w:t>
      </w:r>
      <w:r w:rsidRPr="00DA5410">
        <w:rPr>
          <w:rFonts w:ascii="Book Antiqua" w:hAnsi="Book Antiqua" w:cs="Book Antiqua"/>
          <w:sz w:val="24"/>
          <w:szCs w:val="24"/>
          <w:lang w:val="en-GB"/>
        </w:rPr>
        <w:t xml:space="preserve">, chromosome 18q loss of heterozygosity (18qLOH), </w:t>
      </w:r>
      <w:r w:rsidRPr="00DA5410">
        <w:rPr>
          <w:rFonts w:ascii="Book Antiqua" w:hAnsi="Book Antiqua" w:cs="Book Antiqua"/>
          <w:i/>
          <w:sz w:val="24"/>
          <w:szCs w:val="24"/>
          <w:lang w:val="en-GB"/>
        </w:rPr>
        <w:t>p53</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KRAS</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BRAF</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NRAS</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 xml:space="preserve">PIK3CA </w:t>
      </w:r>
      <w:r w:rsidRPr="00DA5410">
        <w:rPr>
          <w:rFonts w:ascii="Book Antiqua" w:hAnsi="Book Antiqua" w:cs="Book Antiqua"/>
          <w:sz w:val="24"/>
          <w:szCs w:val="24"/>
          <w:lang w:val="en-GB"/>
        </w:rPr>
        <w:t xml:space="preserve">mutations, </w:t>
      </w:r>
      <w:r w:rsidRPr="00DA5410">
        <w:rPr>
          <w:rFonts w:ascii="Book Antiqua" w:hAnsi="Book Antiqua" w:cs="Book Antiqua"/>
          <w:i/>
          <w:sz w:val="24"/>
          <w:szCs w:val="24"/>
          <w:lang w:val="en-GB"/>
        </w:rPr>
        <w:t>PTEN</w:t>
      </w:r>
      <w:r w:rsidRPr="00DA5410">
        <w:rPr>
          <w:rFonts w:ascii="Book Antiqua" w:hAnsi="Book Antiqua" w:cs="Book Antiqua"/>
          <w:sz w:val="24"/>
          <w:szCs w:val="24"/>
          <w:lang w:val="en-GB"/>
        </w:rPr>
        <w:t xml:space="preserve"> expression, </w:t>
      </w:r>
      <w:r w:rsidRPr="00DA5410">
        <w:rPr>
          <w:rFonts w:ascii="Book Antiqua" w:hAnsi="Book Antiqua" w:cs="Book Antiqua"/>
          <w:i/>
          <w:sz w:val="24"/>
          <w:szCs w:val="24"/>
          <w:lang w:val="en-GB"/>
        </w:rPr>
        <w:t>UGT1A1</w:t>
      </w:r>
      <w:r w:rsidRPr="00DA5410">
        <w:rPr>
          <w:rFonts w:ascii="Book Antiqua" w:hAnsi="Book Antiqua" w:cs="Book Antiqua"/>
          <w:sz w:val="24"/>
          <w:szCs w:val="24"/>
          <w:lang w:val="en-GB"/>
        </w:rPr>
        <w:t xml:space="preserve"> gene polymorphism, and ezrin protein (Table 1). </w:t>
      </w:r>
    </w:p>
    <w:p w:rsidR="00E35160" w:rsidRPr="00DA5410" w:rsidRDefault="00E35160" w:rsidP="006413E6">
      <w:pPr>
        <w:spacing w:after="0" w:line="360" w:lineRule="auto"/>
        <w:jc w:val="both"/>
        <w:rPr>
          <w:rFonts w:ascii="Book Antiqua" w:eastAsiaTheme="minorEastAsia" w:hAnsi="Book Antiqua" w:cs="Book Antiqua"/>
          <w:b/>
          <w:bCs/>
          <w:i/>
          <w:sz w:val="24"/>
          <w:szCs w:val="24"/>
          <w:lang w:val="en-GB" w:eastAsia="zh-CN"/>
        </w:rPr>
      </w:pPr>
    </w:p>
    <w:p w:rsidR="00E35160" w:rsidRPr="00DA5410" w:rsidRDefault="00E35160" w:rsidP="006413E6">
      <w:pPr>
        <w:spacing w:after="0" w:line="360" w:lineRule="auto"/>
        <w:jc w:val="both"/>
        <w:rPr>
          <w:rFonts w:ascii="Book Antiqua" w:eastAsiaTheme="minorEastAsia" w:hAnsi="Book Antiqua" w:cs="Book Antiqua"/>
          <w:b/>
          <w:i/>
          <w:sz w:val="24"/>
          <w:szCs w:val="24"/>
          <w:lang w:val="en-GB" w:eastAsia="zh-CN"/>
        </w:rPr>
      </w:pPr>
      <w:r w:rsidRPr="00DA5410">
        <w:rPr>
          <w:rFonts w:ascii="Book Antiqua" w:hAnsi="Book Antiqua" w:cs="Book Antiqua"/>
          <w:b/>
          <w:i/>
          <w:sz w:val="24"/>
          <w:szCs w:val="24"/>
          <w:lang w:val="en-GB"/>
        </w:rPr>
        <w:t xml:space="preserve">MSI </w:t>
      </w:r>
    </w:p>
    <w:p w:rsidR="00F37F91" w:rsidRPr="00DA5410" w:rsidRDefault="00E35160"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lastRenderedPageBreak/>
        <w:t>MSI</w:t>
      </w:r>
      <w:r w:rsidRPr="00DA5410">
        <w:rPr>
          <w:rFonts w:ascii="Book Antiqua" w:eastAsiaTheme="minorEastAsia" w:hAnsi="Book Antiqua" w:cs="Book Antiqua" w:hint="eastAsia"/>
          <w:sz w:val="24"/>
          <w:szCs w:val="24"/>
          <w:lang w:val="en-GB" w:eastAsia="zh-CN"/>
        </w:rPr>
        <w:t xml:space="preserve"> </w:t>
      </w:r>
      <w:r w:rsidR="00F37F91" w:rsidRPr="00DA5410">
        <w:rPr>
          <w:rFonts w:ascii="Book Antiqua" w:hAnsi="Book Antiqua" w:cs="Book Antiqua"/>
          <w:sz w:val="24"/>
          <w:szCs w:val="24"/>
          <w:lang w:val="en-GB"/>
        </w:rPr>
        <w:t xml:space="preserve">denotes changes in coding and non-coding sequences of microsatellite chromosomes, </w:t>
      </w:r>
      <w:r w:rsidR="00F37F91" w:rsidRPr="00701E9A">
        <w:rPr>
          <w:rFonts w:ascii="Book Antiqua" w:hAnsi="Book Antiqua" w:cs="Book Antiqua"/>
          <w:i/>
          <w:sz w:val="24"/>
          <w:szCs w:val="24"/>
          <w:lang w:val="en-GB"/>
        </w:rPr>
        <w:t>i.e.</w:t>
      </w:r>
      <w:r w:rsidR="00F37F91" w:rsidRPr="00DA5410">
        <w:rPr>
          <w:rFonts w:ascii="Book Antiqua" w:hAnsi="Book Antiqua" w:cs="Book Antiqua"/>
          <w:sz w:val="24"/>
          <w:szCs w:val="24"/>
          <w:lang w:val="en-GB"/>
        </w:rPr>
        <w:t xml:space="preserve"> repeated DNA sequences. These sequences are particularly exposed to errors in the mutation repair system that consist in the loss or multiplication of nucleotide sequence repetitions, which results in shortening or extension of microsatellite regions in neoplastic cells. Mutations arising out of these processes are eliminated by mismatch repair genes (</w:t>
      </w:r>
      <w:r w:rsidR="00F37F91" w:rsidRPr="00DA5410">
        <w:rPr>
          <w:rFonts w:ascii="Book Antiqua" w:hAnsi="Book Antiqua" w:cs="Book Antiqua"/>
          <w:i/>
          <w:sz w:val="24"/>
          <w:szCs w:val="24"/>
          <w:lang w:val="en-GB"/>
        </w:rPr>
        <w:t>MMR</w:t>
      </w:r>
      <w:r w:rsidR="00F37F91" w:rsidRPr="00DA5410">
        <w:rPr>
          <w:rFonts w:ascii="Book Antiqua" w:hAnsi="Book Antiqua" w:cs="Book Antiqua"/>
          <w:sz w:val="24"/>
          <w:szCs w:val="24"/>
          <w:lang w:val="en-GB"/>
        </w:rPr>
        <w:t xml:space="preserve">) such as </w:t>
      </w:r>
      <w:r w:rsidR="00F37F91" w:rsidRPr="00DA5410">
        <w:rPr>
          <w:rFonts w:ascii="Book Antiqua" w:hAnsi="Book Antiqua" w:cs="Book Antiqua"/>
          <w:i/>
          <w:sz w:val="24"/>
          <w:szCs w:val="24"/>
          <w:lang w:val="en-GB"/>
        </w:rPr>
        <w:t>MSH2</w:t>
      </w:r>
      <w:r w:rsidR="00F37F91" w:rsidRPr="00DA5410">
        <w:rPr>
          <w:rFonts w:ascii="Book Antiqua" w:hAnsi="Book Antiqua" w:cs="Book Antiqua"/>
          <w:sz w:val="24"/>
          <w:szCs w:val="24"/>
          <w:lang w:val="en-GB"/>
        </w:rPr>
        <w:t xml:space="preserve">, </w:t>
      </w:r>
      <w:r w:rsidR="00F37F91" w:rsidRPr="00DA5410">
        <w:rPr>
          <w:rFonts w:ascii="Book Antiqua" w:hAnsi="Book Antiqua" w:cs="Book Antiqua"/>
          <w:i/>
          <w:sz w:val="24"/>
          <w:szCs w:val="24"/>
          <w:lang w:val="en-GB"/>
        </w:rPr>
        <w:t>MSH6</w:t>
      </w:r>
      <w:r w:rsidR="00F37F91" w:rsidRPr="00DA5410">
        <w:rPr>
          <w:rFonts w:ascii="Book Antiqua" w:hAnsi="Book Antiqua" w:cs="Book Antiqua"/>
          <w:sz w:val="24"/>
          <w:szCs w:val="24"/>
          <w:lang w:val="en-GB"/>
        </w:rPr>
        <w:t xml:space="preserve">, </w:t>
      </w:r>
      <w:r w:rsidR="00F37F91" w:rsidRPr="00DA5410">
        <w:rPr>
          <w:rFonts w:ascii="Book Antiqua" w:hAnsi="Book Antiqua" w:cs="Book Antiqua"/>
          <w:i/>
          <w:sz w:val="24"/>
          <w:szCs w:val="24"/>
          <w:lang w:val="en-GB"/>
        </w:rPr>
        <w:t>PMS2</w:t>
      </w:r>
      <w:r w:rsidR="00F37F91" w:rsidRPr="00DA5410">
        <w:rPr>
          <w:rFonts w:ascii="Book Antiqua" w:hAnsi="Book Antiqua" w:cs="Book Antiqua"/>
          <w:sz w:val="24"/>
          <w:szCs w:val="24"/>
          <w:lang w:val="en-GB"/>
        </w:rPr>
        <w:t xml:space="preserve"> and </w:t>
      </w:r>
      <w:r w:rsidR="00F37F91" w:rsidRPr="00DA5410">
        <w:rPr>
          <w:rFonts w:ascii="Book Antiqua" w:hAnsi="Book Antiqua" w:cs="Book Antiqua"/>
          <w:i/>
          <w:sz w:val="24"/>
          <w:szCs w:val="24"/>
          <w:lang w:val="en-GB"/>
        </w:rPr>
        <w:t>MLH1</w:t>
      </w:r>
      <w:r w:rsidR="00F37F91" w:rsidRPr="00DA5410">
        <w:rPr>
          <w:rFonts w:ascii="Book Antiqua" w:hAnsi="Book Antiqua" w:cs="Book Antiqua"/>
          <w:sz w:val="24"/>
          <w:szCs w:val="24"/>
          <w:lang w:val="en-GB"/>
        </w:rPr>
        <w:t>, which makes some researchers believe that MSI can be caused by mutations in these genes</w:t>
      </w:r>
      <w:r w:rsidR="00F37F91" w:rsidRPr="00DA5410">
        <w:rPr>
          <w:rFonts w:ascii="Book Antiqua" w:hAnsi="Book Antiqua" w:cs="Book Antiqua"/>
          <w:sz w:val="24"/>
          <w:szCs w:val="24"/>
          <w:vertAlign w:val="superscript"/>
          <w:lang w:val="en-GB"/>
        </w:rPr>
        <w:t>[45]</w:t>
      </w:r>
      <w:r w:rsidR="00F37F91" w:rsidRPr="00DA5410">
        <w:rPr>
          <w:rFonts w:ascii="Book Antiqua" w:hAnsi="Book Antiqua" w:cs="Book Antiqua"/>
          <w:sz w:val="24"/>
          <w:szCs w:val="24"/>
          <w:lang w:val="en-GB"/>
        </w:rPr>
        <w:t xml:space="preserve">. Microsatellite instability can be classified into microsatellite instability-high (MSI-H), and microsatellite instability-low (MSI-L), depending on the percentage of loci that correlate to MSI characteristics. Tumour cells that lack MSI features are designated as MSS. </w:t>
      </w:r>
    </w:p>
    <w:p w:rsidR="00F37F91" w:rsidRPr="00DA5410" w:rsidRDefault="00F37F91" w:rsidP="00E35160">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In retrospective studies and meta-analyses in patients with CRC stage II and III, MSI-H was shown to be a predictive factor that improved overall survival (OS), irrespective of the progression (stage) of cancer. A lower incidence of lymph node metastases and distant metastases as compared to MSI-L or MSS cancer cells was also observed</w:t>
      </w:r>
      <w:r w:rsidRPr="00DA5410">
        <w:rPr>
          <w:rFonts w:ascii="Book Antiqua" w:hAnsi="Book Antiqua" w:cs="Book Antiqua"/>
          <w:sz w:val="24"/>
          <w:szCs w:val="24"/>
          <w:vertAlign w:val="superscript"/>
          <w:lang w:val="en-GB"/>
        </w:rPr>
        <w:t>[46</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49]</w:t>
      </w:r>
      <w:r w:rsidRPr="00DA5410">
        <w:rPr>
          <w:rFonts w:ascii="Book Antiqua" w:hAnsi="Book Antiqua" w:cs="Book Antiqua"/>
          <w:sz w:val="24"/>
          <w:szCs w:val="24"/>
          <w:lang w:val="en-GB"/>
        </w:rPr>
        <w:t xml:space="preserve">. MSI status is currently recommended in the WHO classification of mucinous-type CRC – MSI-H indicates good prognosis, MSI-L or MSS – poor outcome. However, MSI should be considered more of a prognostic rather than predictive factor. This conclusion is based on equivocal results of studies evaluating the efficacy of 5-FU-based chemotherapy in groups of patients with MSI-H and MSI-L or MSS. Ribic </w:t>
      </w:r>
      <w:r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[48]</w:t>
      </w:r>
      <w:r w:rsidR="00A65ED7">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examined tumour specimens collected from 570 patients with CRC stage II and III and correlated the test results with chemotherapy outcomes in these patients to reveal a tendency for shorter overall survival in patients with MSI-H on adjuvant therapy. Significant improvement was observed in patients with MSS tumours. A recent pooled analysis of randomized clinical studies revealed significant decrease in the overall five-year survival rate for patients with CRC stage II and MSI-H on 5–FU-based chemotherapy. 5-FU-based chemotherapy was found to improve therapeutic outcomes only in patients with CRC stage III and MSI-L or MSS</w:t>
      </w:r>
      <w:r w:rsidRPr="00DA5410">
        <w:rPr>
          <w:rFonts w:ascii="Book Antiqua" w:hAnsi="Book Antiqua" w:cs="Book Antiqua"/>
          <w:sz w:val="24"/>
          <w:szCs w:val="24"/>
          <w:vertAlign w:val="superscript"/>
          <w:lang w:val="en-GB"/>
        </w:rPr>
        <w:t>[50]</w:t>
      </w:r>
      <w:r w:rsidRPr="00DA5410">
        <w:rPr>
          <w:rFonts w:ascii="Book Antiqua" w:hAnsi="Book Antiqua" w:cs="Book Antiqua"/>
          <w:sz w:val="24"/>
          <w:szCs w:val="24"/>
          <w:lang w:val="en-GB"/>
        </w:rPr>
        <w:t xml:space="preserve">. Some studies indicated potentially negative effects of 5-FU-based chemotherapy in patients with MSI-H. A longer survival rate as compared to patients on 5-FU-based adjuvant chemotherapy was observed in a reference group of patients undergoing surgical </w:t>
      </w:r>
      <w:r w:rsidRPr="00DA5410">
        <w:rPr>
          <w:rFonts w:ascii="Book Antiqua" w:hAnsi="Book Antiqua" w:cs="Book Antiqua"/>
          <w:sz w:val="24"/>
          <w:szCs w:val="24"/>
          <w:lang w:val="en-GB"/>
        </w:rPr>
        <w:lastRenderedPageBreak/>
        <w:t>treatment. Resistance of MSI-H tumours to 5-FU was also confirmed in in vitro studies</w:t>
      </w:r>
      <w:r w:rsidRPr="00DA5410">
        <w:rPr>
          <w:rFonts w:ascii="Book Antiqua" w:hAnsi="Book Antiqua" w:cs="Book Antiqua"/>
          <w:sz w:val="24"/>
          <w:szCs w:val="24"/>
          <w:vertAlign w:val="superscript"/>
          <w:lang w:val="en-GB"/>
        </w:rPr>
        <w:t>[51]</w:t>
      </w:r>
      <w:r w:rsidRPr="00DA5410">
        <w:rPr>
          <w:rFonts w:ascii="Book Antiqua" w:hAnsi="Book Antiqua" w:cs="Book Antiqua"/>
          <w:sz w:val="24"/>
          <w:szCs w:val="24"/>
          <w:lang w:val="en-GB"/>
        </w:rPr>
        <w:t xml:space="preserve">. A completely different conclusion can be drawn from earlier studies of </w:t>
      </w:r>
      <w:r w:rsidR="00D53F0B" w:rsidRPr="00DA5410">
        <w:rPr>
          <w:rFonts w:ascii="Book Antiqua" w:hAnsi="Book Antiqua" w:cs="Book Antiqua"/>
          <w:sz w:val="24"/>
          <w:szCs w:val="24"/>
          <w:lang w:val="en-GB"/>
        </w:rPr>
        <w:t xml:space="preserve">Elsaleh </w:t>
      </w:r>
      <w:r w:rsidR="00D53F0B"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[52,53]</w:t>
      </w:r>
      <w:r w:rsidRPr="00DA5410">
        <w:rPr>
          <w:rFonts w:ascii="Book Antiqua" w:hAnsi="Book Antiqua" w:cs="Book Antiqua"/>
          <w:sz w:val="24"/>
          <w:szCs w:val="24"/>
          <w:lang w:val="en-GB"/>
        </w:rPr>
        <w:t>, which confirmed the efficacy of 5-FU in patients with CRC stage III and MSI-H. Recent study also proved that prognostic value of MMR mutation was similar in the presence or absence of fluorouracil and folinic acid chemotherapy</w:t>
      </w:r>
      <w:r w:rsidRPr="00DA5410">
        <w:rPr>
          <w:rFonts w:ascii="Book Antiqua" w:hAnsi="Book Antiqua" w:cs="Book Antiqua"/>
          <w:sz w:val="24"/>
          <w:szCs w:val="24"/>
          <w:vertAlign w:val="superscript"/>
          <w:lang w:val="en-GB"/>
        </w:rPr>
        <w:t>[54]</w:t>
      </w:r>
      <w:r w:rsidR="00D53F0B" w:rsidRPr="00DA5410">
        <w:rPr>
          <w:rFonts w:ascii="Book Antiqua" w:hAnsi="Book Antiqua" w:cs="Book Antiqua"/>
          <w:sz w:val="24"/>
          <w:szCs w:val="24"/>
          <w:lang w:val="en-GB"/>
        </w:rPr>
        <w:t xml:space="preserve">. Beragnolli </w:t>
      </w:r>
      <w:r w:rsidR="00D53F0B"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[55]</w:t>
      </w:r>
      <w:r w:rsidRPr="00DA5410">
        <w:rPr>
          <w:rFonts w:ascii="Book Antiqua" w:hAnsi="Book Antiqua" w:cs="Book Antiqua"/>
          <w:sz w:val="24"/>
          <w:szCs w:val="24"/>
          <w:lang w:val="en-GB"/>
        </w:rPr>
        <w:t xml:space="preserve"> revealed that a higher rate of overall 5-year progression-free survival was observed in patients with CRC stage III and </w:t>
      </w:r>
      <w:r w:rsidR="00A65ED7">
        <w:rPr>
          <w:rFonts w:ascii="Book Antiqua" w:hAnsi="Book Antiqua" w:cs="Book Antiqua"/>
          <w:sz w:val="24"/>
          <w:szCs w:val="24"/>
          <w:lang w:val="en-GB"/>
        </w:rPr>
        <w:t xml:space="preserve">MSI-H on 5-FU and irinotecan </w:t>
      </w:r>
      <w:r w:rsidR="00A65ED7" w:rsidRPr="00A65ED7">
        <w:rPr>
          <w:rFonts w:ascii="Book Antiqua" w:hAnsi="Book Antiqua" w:cs="Book Antiqua"/>
          <w:i/>
          <w:sz w:val="24"/>
          <w:szCs w:val="24"/>
          <w:lang w:val="en-GB"/>
        </w:rPr>
        <w:t>vs</w:t>
      </w:r>
      <w:r w:rsidRPr="00DA5410">
        <w:rPr>
          <w:rFonts w:ascii="Book Antiqua" w:hAnsi="Book Antiqua" w:cs="Book Antiqua"/>
          <w:sz w:val="24"/>
          <w:szCs w:val="24"/>
          <w:lang w:val="en-GB"/>
        </w:rPr>
        <w:t xml:space="preserve"> 5-FU-based chemotherapy</w:t>
      </w:r>
      <w:r w:rsidR="00701E9A">
        <w:rPr>
          <w:rFonts w:ascii="Book Antiqua" w:hAnsi="Book Antiqua" w:cs="Book Antiqua"/>
          <w:sz w:val="24"/>
          <w:szCs w:val="24"/>
          <w:lang w:val="en-GB"/>
        </w:rPr>
        <w:t xml:space="preserve">. </w:t>
      </w:r>
      <w:r w:rsidRPr="00DA5410">
        <w:rPr>
          <w:rFonts w:ascii="Book Antiqua" w:hAnsi="Book Antiqua" w:cs="Book Antiqua"/>
          <w:sz w:val="24"/>
          <w:szCs w:val="24"/>
          <w:lang w:val="en-GB"/>
        </w:rPr>
        <w:t>To recap, the results of MSI studies and clinical experience in patients with CRC stage II indicate that the degree of microsatellite instability may be of signif</w:t>
      </w:r>
      <w:r w:rsidR="00701E9A">
        <w:rPr>
          <w:rFonts w:ascii="Book Antiqua" w:hAnsi="Book Antiqua" w:cs="Book Antiqua"/>
          <w:sz w:val="24"/>
          <w:szCs w:val="24"/>
          <w:lang w:val="en-GB"/>
        </w:rPr>
        <w:t xml:space="preserve">icance as a prognostic factor. </w:t>
      </w:r>
      <w:r w:rsidRPr="00DA5410">
        <w:rPr>
          <w:rFonts w:ascii="Book Antiqua" w:hAnsi="Book Antiqua" w:cs="Book Antiqua"/>
          <w:sz w:val="24"/>
          <w:szCs w:val="24"/>
          <w:lang w:val="en-GB"/>
        </w:rPr>
        <w:t xml:space="preserve">Also, adjuvant 5-FU-based chemotherapy was proved to provide no benefits (or potentially cause adverse reactions) in patients with MSI-H. Further research is needed to investigate whether the MSI status can predict benefit (in high-risk patients) from irinotecan-based treatment or oxaliplatinum-based therapy. </w:t>
      </w:r>
    </w:p>
    <w:p w:rsidR="00317361" w:rsidRPr="00DA5410" w:rsidRDefault="00317361"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i/>
          <w:sz w:val="24"/>
          <w:szCs w:val="24"/>
          <w:lang w:val="en-GB"/>
        </w:rPr>
      </w:pPr>
      <w:r w:rsidRPr="00DA5410">
        <w:rPr>
          <w:rFonts w:ascii="Book Antiqua" w:hAnsi="Book Antiqua" w:cs="Book Antiqua"/>
          <w:b/>
          <w:bCs/>
          <w:i/>
          <w:sz w:val="24"/>
          <w:szCs w:val="24"/>
          <w:lang w:val="en-GB"/>
        </w:rPr>
        <w:t>Chromosome 18q loss of heterozygosity</w:t>
      </w:r>
      <w:r w:rsidRPr="00DA5410">
        <w:rPr>
          <w:rFonts w:ascii="Book Antiqua" w:hAnsi="Book Antiqua" w:cs="Book Antiqua"/>
          <w:i/>
          <w:sz w:val="24"/>
          <w:szCs w:val="24"/>
          <w:lang w:val="en-GB"/>
        </w:rPr>
        <w:t xml:space="preserve"> </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A number of studies were dedicated to another prognostic factor in patients with CRC stage II and III – chromosome 18q loss of heterozygosity in the coding place of, inter alia, SMAD 4 proteins specific to CRC. In these studies, the overall 5-year survival was poorer for patients with CRC stage III and 18qLOH as compared to non-18qLOH patients</w:t>
      </w:r>
      <w:r w:rsidRPr="00DA5410">
        <w:rPr>
          <w:rFonts w:ascii="Book Antiqua" w:hAnsi="Book Antiqua" w:cs="Book Antiqua"/>
          <w:sz w:val="24"/>
          <w:szCs w:val="24"/>
          <w:vertAlign w:val="superscript"/>
          <w:lang w:val="en-GB"/>
        </w:rPr>
        <w:t>[56]</w:t>
      </w:r>
      <w:r w:rsidRPr="00DA5410">
        <w:rPr>
          <w:rFonts w:ascii="Book Antiqua" w:hAnsi="Book Antiqua" w:cs="Book Antiqua"/>
          <w:sz w:val="24"/>
          <w:szCs w:val="24"/>
          <w:lang w:val="en-GB"/>
        </w:rPr>
        <w:t>. A meta-analysis of data from 27 studies a</w:t>
      </w:r>
      <w:r w:rsidR="00D53F0B" w:rsidRPr="00DA5410">
        <w:rPr>
          <w:rFonts w:ascii="Book Antiqua" w:hAnsi="Book Antiqua" w:cs="Book Antiqua"/>
          <w:sz w:val="24"/>
          <w:szCs w:val="24"/>
          <w:lang w:val="en-GB"/>
        </w:rPr>
        <w:t xml:space="preserve">nd 2189 patients by Popat </w:t>
      </w:r>
      <w:r w:rsidR="00D53F0B"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[57]</w:t>
      </w:r>
      <w:r w:rsidRPr="00DA5410">
        <w:rPr>
          <w:rFonts w:ascii="Book Antiqua" w:hAnsi="Book Antiqua" w:cs="Book Antiqua"/>
          <w:sz w:val="24"/>
          <w:szCs w:val="24"/>
          <w:lang w:val="en-GB"/>
        </w:rPr>
        <w:t xml:space="preserve"> confirmed that poorer survival was correlated with 18q chromosome deletion. Two years later, the same research team questioned these findings after re-examining the same data</w:t>
      </w:r>
      <w:r w:rsidRPr="00DA5410">
        <w:rPr>
          <w:rFonts w:ascii="Book Antiqua" w:hAnsi="Book Antiqua" w:cs="Book Antiqua"/>
          <w:sz w:val="24"/>
          <w:szCs w:val="24"/>
          <w:vertAlign w:val="superscript"/>
          <w:lang w:val="en-GB"/>
        </w:rPr>
        <w:t>[58]</w:t>
      </w:r>
      <w:r w:rsidRPr="00DA5410">
        <w:rPr>
          <w:rFonts w:ascii="Book Antiqua" w:hAnsi="Book Antiqua" w:cs="Book Antiqua"/>
          <w:sz w:val="24"/>
          <w:szCs w:val="24"/>
          <w:lang w:val="en-GB"/>
        </w:rPr>
        <w:t>. Likewise, no correlation was identified between the presence of 18qLOH and 5-year survival in patients with non-MSI-H phenotype</w:t>
      </w:r>
      <w:r w:rsidRPr="00DA5410">
        <w:rPr>
          <w:rFonts w:ascii="Book Antiqua" w:hAnsi="Book Antiqua" w:cs="Book Antiqua"/>
          <w:sz w:val="24"/>
          <w:szCs w:val="24"/>
          <w:vertAlign w:val="superscript"/>
          <w:lang w:val="en-GB"/>
        </w:rPr>
        <w:t>[59]</w:t>
      </w:r>
      <w:r w:rsidRPr="00DA5410">
        <w:rPr>
          <w:rFonts w:ascii="Book Antiqua" w:hAnsi="Book Antiqua" w:cs="Book Antiqua"/>
          <w:sz w:val="24"/>
          <w:szCs w:val="24"/>
          <w:lang w:val="en-GB"/>
        </w:rPr>
        <w:t xml:space="preserve">. The role of 18qLOH in predicting response to standard chemotherapy has not been yet </w:t>
      </w:r>
      <w:r w:rsidR="00D53F0B" w:rsidRPr="00DA5410">
        <w:rPr>
          <w:rFonts w:ascii="Book Antiqua" w:hAnsi="Book Antiqua" w:cs="Book Antiqua"/>
          <w:sz w:val="24"/>
          <w:szCs w:val="24"/>
          <w:lang w:val="en-GB"/>
        </w:rPr>
        <w:t xml:space="preserve">fully confirmed. Watanabe </w:t>
      </w:r>
      <w:r w:rsidR="00D53F0B"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[60]</w:t>
      </w:r>
      <w:r w:rsidRPr="00DA5410">
        <w:rPr>
          <w:rFonts w:ascii="Book Antiqua" w:hAnsi="Book Antiqua" w:cs="Book Antiqua"/>
          <w:sz w:val="24"/>
          <w:szCs w:val="24"/>
          <w:lang w:val="en-GB"/>
        </w:rPr>
        <w:t xml:space="preserve"> demonstrated better response to 5-FU-based chemotherapy in patients with CRC stage III and MSS and with the absence of 18q chromosome deletion vs. patients in whom 18q chromosome deletion was present. The recently published results of the same research team can be a proof that in patients with CRC stage II and III and MSS-H (&gt;</w:t>
      </w:r>
      <w:r w:rsidR="00317361" w:rsidRPr="00DA5410">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 xml:space="preserve">33%), the level of LOH of four </w:t>
      </w:r>
      <w:r w:rsidRPr="00DA5410">
        <w:rPr>
          <w:rFonts w:ascii="Book Antiqua" w:hAnsi="Book Antiqua" w:cs="Book Antiqua"/>
          <w:sz w:val="24"/>
          <w:szCs w:val="24"/>
          <w:lang w:val="en-GB"/>
        </w:rPr>
        <w:lastRenderedPageBreak/>
        <w:t>chromosomes, including 18, is correlated with significantly poorer survival rate as compared to patients with MSS and LOH-L or MSI-H phenotype</w:t>
      </w:r>
      <w:r w:rsidRPr="00DA5410">
        <w:rPr>
          <w:rFonts w:ascii="Book Antiqua" w:hAnsi="Book Antiqua" w:cs="Book Antiqua"/>
          <w:sz w:val="24"/>
          <w:szCs w:val="24"/>
          <w:vertAlign w:val="superscript"/>
          <w:lang w:val="en-GB"/>
        </w:rPr>
        <w:t>[61]</w:t>
      </w:r>
      <w:r w:rsidRPr="00DA5410">
        <w:rPr>
          <w:rFonts w:ascii="Book Antiqua" w:hAnsi="Book Antiqua" w:cs="Book Antiqua"/>
          <w:sz w:val="24"/>
          <w:szCs w:val="24"/>
          <w:lang w:val="en-GB"/>
        </w:rPr>
        <w:t xml:space="preserve">. </w:t>
      </w:r>
    </w:p>
    <w:p w:rsidR="00F37F91" w:rsidRPr="00DA5410" w:rsidRDefault="00F37F91" w:rsidP="00EC030C">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Based on the available data, 18q chromosome deletion cannot be the sole basis for any therapeutic decisions, however, it is being more closely examined under ECOG 5202 study, featuring molecular markers identified so far in selecting the most proper adjuvant post-surgery treatment, by prospectively analysing the role of MSI and 18qLOH in prognosis and therapeutic decisions in patients with CRC stage II. Patients with good prognosis (with MSI-H and w/o 18qLOH) were followed-up, and patients with poor prognosis (with MSI-L or MSS and 18qLOH) were randomized to one of two groups on chemotherapy (FOLFOX alone or FOLFOX and bevacizumab). The results of E5202 are expected in the next few years. No conclusion can be drawn from this study about the possible inefficacy of chemotherapy in patients with MSI-H, however, the study will include a multifactor analysis of biomarkers that can assist in taking therapeutic decisions in other groups of patients</w:t>
      </w:r>
      <w:r w:rsidRPr="00DA5410">
        <w:rPr>
          <w:rFonts w:ascii="Book Antiqua" w:hAnsi="Book Antiqua" w:cs="Book Antiqua"/>
          <w:sz w:val="24"/>
          <w:szCs w:val="24"/>
          <w:vertAlign w:val="superscript"/>
          <w:lang w:val="en-GB"/>
        </w:rPr>
        <w:t>[62]</w:t>
      </w:r>
      <w:r w:rsidRPr="00DA5410">
        <w:rPr>
          <w:rFonts w:ascii="Book Antiqua" w:hAnsi="Book Antiqua" w:cs="Book Antiqua"/>
          <w:sz w:val="24"/>
          <w:szCs w:val="24"/>
          <w:lang w:val="en-GB"/>
        </w:rPr>
        <w:t xml:space="preserve">. </w:t>
      </w:r>
    </w:p>
    <w:p w:rsidR="00317361" w:rsidRPr="00DA5410" w:rsidRDefault="00317361"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b/>
          <w:bCs/>
          <w:i/>
          <w:sz w:val="24"/>
          <w:szCs w:val="24"/>
          <w:lang w:val="en-GB"/>
        </w:rPr>
      </w:pPr>
      <w:r w:rsidRPr="00DA5410">
        <w:rPr>
          <w:rFonts w:ascii="Book Antiqua" w:hAnsi="Book Antiqua" w:cs="Book Antiqua"/>
          <w:b/>
          <w:bCs/>
          <w:i/>
          <w:sz w:val="24"/>
          <w:szCs w:val="24"/>
          <w:lang w:val="en-GB"/>
        </w:rPr>
        <w:t>P53 mutation</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 xml:space="preserve">Mutation in the tumour suppressor gene </w:t>
      </w:r>
      <w:r w:rsidRPr="00DA5410">
        <w:rPr>
          <w:rFonts w:ascii="Book Antiqua" w:hAnsi="Book Antiqua" w:cs="Book Antiqua"/>
          <w:i/>
          <w:sz w:val="24"/>
          <w:szCs w:val="24"/>
          <w:lang w:val="en-GB"/>
        </w:rPr>
        <w:t>p53</w:t>
      </w:r>
      <w:r w:rsidRPr="00DA5410">
        <w:rPr>
          <w:rFonts w:ascii="Book Antiqua" w:hAnsi="Book Antiqua" w:cs="Book Antiqua"/>
          <w:sz w:val="24"/>
          <w:szCs w:val="24"/>
          <w:lang w:val="en-GB"/>
        </w:rPr>
        <w:t xml:space="preserve"> (chromosome region 17p13) occur in 50%-70% of all CRC and is associated with worse outcomes, including disease free survival and overall survival</w:t>
      </w:r>
      <w:r w:rsidRPr="00DA5410">
        <w:rPr>
          <w:rFonts w:ascii="Book Antiqua" w:hAnsi="Book Antiqua" w:cs="Book Antiqua"/>
          <w:sz w:val="24"/>
          <w:szCs w:val="24"/>
          <w:vertAlign w:val="superscript"/>
          <w:lang w:val="en-GB"/>
        </w:rPr>
        <w:t>[63]</w:t>
      </w:r>
      <w:r w:rsidRPr="00DA5410">
        <w:rPr>
          <w:rFonts w:ascii="Book Antiqua" w:hAnsi="Book Antiqua" w:cs="Book Antiqua"/>
          <w:sz w:val="24"/>
          <w:szCs w:val="24"/>
          <w:lang w:val="en-GB"/>
        </w:rPr>
        <w:t xml:space="preserve">. Results obtained from a study that included more than 3500 CRC patients confirm the prognostic value of </w:t>
      </w:r>
      <w:r w:rsidRPr="00DA5410">
        <w:rPr>
          <w:rFonts w:ascii="Book Antiqua" w:hAnsi="Book Antiqua" w:cs="Book Antiqua"/>
          <w:i/>
          <w:sz w:val="24"/>
          <w:szCs w:val="24"/>
          <w:lang w:val="en-GB"/>
        </w:rPr>
        <w:t>p53</w:t>
      </w:r>
      <w:r w:rsidRPr="00DA5410">
        <w:rPr>
          <w:rFonts w:ascii="Book Antiqua" w:hAnsi="Book Antiqua" w:cs="Book Antiqua"/>
          <w:sz w:val="24"/>
          <w:szCs w:val="24"/>
          <w:lang w:val="en-GB"/>
        </w:rPr>
        <w:t xml:space="preserve"> mutation, which seems to be determined by the primary tumour site. Patients with </w:t>
      </w:r>
      <w:r w:rsidRPr="00DA5410">
        <w:rPr>
          <w:rFonts w:ascii="Book Antiqua" w:hAnsi="Book Antiqua" w:cs="Book Antiqua"/>
          <w:i/>
          <w:sz w:val="24"/>
          <w:szCs w:val="24"/>
          <w:lang w:val="en-GB"/>
        </w:rPr>
        <w:t>p53</w:t>
      </w:r>
      <w:r w:rsidRPr="00DA5410">
        <w:rPr>
          <w:rFonts w:ascii="Book Antiqua" w:hAnsi="Book Antiqua" w:cs="Book Antiqua"/>
          <w:sz w:val="24"/>
          <w:szCs w:val="24"/>
          <w:lang w:val="en-GB"/>
        </w:rPr>
        <w:t xml:space="preserve"> mutation and tumour of proximal colon had better OS when treated with adjuvant chemotherapy compared to those treated by surgery alone</w:t>
      </w:r>
      <w:r w:rsidRPr="00DA5410">
        <w:rPr>
          <w:rFonts w:ascii="Book Antiqua" w:hAnsi="Book Antiqua" w:cs="Book Antiqua"/>
          <w:sz w:val="24"/>
          <w:szCs w:val="24"/>
          <w:vertAlign w:val="superscript"/>
          <w:lang w:val="en-GB"/>
        </w:rPr>
        <w:t>[64]</w:t>
      </w:r>
      <w:r w:rsidRPr="00DA5410">
        <w:rPr>
          <w:rFonts w:ascii="Book Antiqua" w:hAnsi="Book Antiqua" w:cs="Book Antiqua"/>
          <w:sz w:val="24"/>
          <w:szCs w:val="24"/>
          <w:lang w:val="en-GB"/>
        </w:rPr>
        <w:t>.</w:t>
      </w:r>
    </w:p>
    <w:p w:rsidR="00317361" w:rsidRPr="00DA5410" w:rsidRDefault="00317361"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b/>
          <w:bCs/>
          <w:i/>
          <w:sz w:val="24"/>
          <w:szCs w:val="24"/>
          <w:lang w:val="en-GB"/>
        </w:rPr>
      </w:pPr>
      <w:r w:rsidRPr="00DA5410">
        <w:rPr>
          <w:rFonts w:ascii="Book Antiqua" w:hAnsi="Book Antiqua" w:cs="Book Antiqua"/>
          <w:b/>
          <w:bCs/>
          <w:i/>
          <w:sz w:val="24"/>
          <w:szCs w:val="24"/>
          <w:lang w:val="en-GB"/>
        </w:rPr>
        <w:t>Biomarkers suitable in anti-</w:t>
      </w:r>
      <w:r w:rsidR="00EC030C" w:rsidRPr="00DA5410">
        <w:rPr>
          <w:rFonts w:ascii="Book Antiqua" w:hAnsi="Book Antiqua" w:cs="Book Antiqua"/>
          <w:b/>
          <w:bCs/>
          <w:i/>
          <w:sz w:val="24"/>
          <w:szCs w:val="24"/>
          <w:lang w:val="en-GB"/>
        </w:rPr>
        <w:t>epidermal growth factor receptor</w:t>
      </w:r>
      <w:r w:rsidRPr="00DA5410">
        <w:rPr>
          <w:rFonts w:ascii="Book Antiqua" w:hAnsi="Book Antiqua" w:cs="Book Antiqua"/>
          <w:b/>
          <w:bCs/>
          <w:i/>
          <w:sz w:val="24"/>
          <w:szCs w:val="24"/>
          <w:lang w:val="en-GB"/>
        </w:rPr>
        <w:t xml:space="preserve"> therapy </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 xml:space="preserve">A number of currently tested markers have been discovered in the course of studies on epidermal growth factor receptor (EGFR) signalling pathways. </w:t>
      </w:r>
      <w:r w:rsidRPr="00DA5410">
        <w:rPr>
          <w:rFonts w:ascii="Book Antiqua" w:hAnsi="Book Antiqua" w:cs="Book Antiqua"/>
          <w:i/>
          <w:sz w:val="24"/>
          <w:szCs w:val="24"/>
          <w:lang w:val="en-GB"/>
        </w:rPr>
        <w:t>KRAS</w:t>
      </w:r>
      <w:r w:rsidRPr="00DA5410">
        <w:rPr>
          <w:rFonts w:ascii="Book Antiqua" w:hAnsi="Book Antiqua" w:cs="Book Antiqua"/>
          <w:sz w:val="24"/>
          <w:szCs w:val="24"/>
          <w:lang w:val="en-GB"/>
        </w:rPr>
        <w:t xml:space="preserve"> gene mutation on short arm of chromosome 12 at codon 12 (80% of patients) or, to a lesser extent, codon 13 is believed to be of use as a biomarker in patients on cetuximab or panitumumab</w:t>
      </w:r>
      <w:r w:rsidRPr="00DA5410">
        <w:rPr>
          <w:rFonts w:ascii="Book Antiqua" w:hAnsi="Book Antiqua" w:cs="Book Antiqua"/>
          <w:sz w:val="24"/>
          <w:szCs w:val="24"/>
          <w:vertAlign w:val="superscript"/>
          <w:lang w:val="en-GB"/>
        </w:rPr>
        <w:t>[65]</w:t>
      </w:r>
      <w:r w:rsidRPr="00DA5410">
        <w:rPr>
          <w:rFonts w:ascii="Book Antiqua" w:hAnsi="Book Antiqua" w:cs="Book Antiqua"/>
          <w:sz w:val="24"/>
          <w:szCs w:val="24"/>
          <w:lang w:val="en-GB"/>
        </w:rPr>
        <w:t xml:space="preserve">. These mutations are one of the most common in proliferative diseases (37% and 13%, respectively), and their significance in CRC carcinogenesis </w:t>
      </w:r>
      <w:r w:rsidRPr="00DA5410">
        <w:rPr>
          <w:rFonts w:ascii="Book Antiqua" w:hAnsi="Book Antiqua" w:cs="Book Antiqua"/>
          <w:sz w:val="24"/>
          <w:szCs w:val="24"/>
          <w:lang w:val="en-GB"/>
        </w:rPr>
        <w:lastRenderedPageBreak/>
        <w:t>has been examined in much detail</w:t>
      </w:r>
      <w:r w:rsidRPr="00DA5410">
        <w:rPr>
          <w:rFonts w:ascii="Book Antiqua" w:hAnsi="Book Antiqua" w:cs="Book Antiqua"/>
          <w:sz w:val="24"/>
          <w:szCs w:val="24"/>
          <w:vertAlign w:val="superscript"/>
          <w:lang w:val="en-GB"/>
        </w:rPr>
        <w:t>[66]</w:t>
      </w:r>
      <w:r w:rsidRPr="00DA5410">
        <w:rPr>
          <w:rFonts w:ascii="Book Antiqua" w:hAnsi="Book Antiqua" w:cs="Book Antiqua"/>
          <w:sz w:val="24"/>
          <w:szCs w:val="24"/>
          <w:lang w:val="en-GB"/>
        </w:rPr>
        <w:t xml:space="preserve">. As these mutations are present in EGFR signalling pathway, they can be a predictive factor for therapy with anti-EGFR antibodies. In studies performed so far, </w:t>
      </w:r>
      <w:r w:rsidRPr="00DA5410">
        <w:rPr>
          <w:rFonts w:ascii="Book Antiqua" w:hAnsi="Book Antiqua" w:cs="Book Antiqua"/>
          <w:i/>
          <w:sz w:val="24"/>
          <w:szCs w:val="24"/>
          <w:lang w:val="en-GB"/>
        </w:rPr>
        <w:t>KRAS</w:t>
      </w:r>
      <w:r w:rsidRPr="00DA5410">
        <w:rPr>
          <w:rFonts w:ascii="Book Antiqua" w:hAnsi="Book Antiqua" w:cs="Book Antiqua"/>
          <w:sz w:val="24"/>
          <w:szCs w:val="24"/>
          <w:lang w:val="en-GB"/>
        </w:rPr>
        <w:t xml:space="preserve"> mutation was found to be correlated with non-responsiveness to cetuximab and panitumumab</w:t>
      </w:r>
      <w:r w:rsidRPr="00DA5410">
        <w:rPr>
          <w:rFonts w:ascii="Book Antiqua" w:hAnsi="Book Antiqua" w:cs="Book Antiqua"/>
          <w:sz w:val="24"/>
          <w:szCs w:val="24"/>
          <w:vertAlign w:val="superscript"/>
          <w:lang w:val="en-GB"/>
        </w:rPr>
        <w:t>[67,68]</w:t>
      </w:r>
      <w:r w:rsidRPr="00DA5410">
        <w:rPr>
          <w:rFonts w:ascii="Book Antiqua" w:hAnsi="Book Antiqua" w:cs="Book Antiqua"/>
          <w:sz w:val="24"/>
          <w:szCs w:val="24"/>
          <w:lang w:val="en-GB"/>
        </w:rPr>
        <w:t>. CRYSTAL and OPUS data indicate that the effectiveness of FOLFOX or FOLFIRI alone is no inferior to that of cetuximab in patients with KRAS in combination with chemotherapy according to FOLFIRI and FOLFOX regimen, respectively. However, in non-KRAS patients, cetuximab improves the therapeutic outcome</w:t>
      </w:r>
      <w:r w:rsidRPr="00DA5410">
        <w:rPr>
          <w:rFonts w:ascii="Book Antiqua" w:hAnsi="Book Antiqua" w:cs="Book Antiqua"/>
          <w:sz w:val="24"/>
          <w:szCs w:val="24"/>
          <w:vertAlign w:val="superscript"/>
          <w:lang w:val="en-GB"/>
        </w:rPr>
        <w:t>[69,70]</w:t>
      </w:r>
      <w:r w:rsidRPr="00DA5410">
        <w:rPr>
          <w:rFonts w:ascii="Book Antiqua" w:hAnsi="Book Antiqua" w:cs="Book Antiqua"/>
          <w:sz w:val="24"/>
          <w:szCs w:val="24"/>
          <w:lang w:val="en-GB"/>
        </w:rPr>
        <w:t>. The same conclusions can be drawn from the results of other large clinical studies: COIN, NORDIC VII or PRIME</w:t>
      </w:r>
      <w:r w:rsidRPr="00DA5410">
        <w:rPr>
          <w:rFonts w:ascii="Book Antiqua" w:hAnsi="Book Antiqua" w:cs="Book Antiqua"/>
          <w:sz w:val="24"/>
          <w:szCs w:val="24"/>
          <w:vertAlign w:val="superscript"/>
          <w:lang w:val="en-GB"/>
        </w:rPr>
        <w:t>[71</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73]</w:t>
      </w:r>
      <w:r w:rsidR="00701E9A">
        <w:rPr>
          <w:rFonts w:ascii="Book Antiqua" w:hAnsi="Book Antiqua" w:cs="Book Antiqua"/>
          <w:sz w:val="24"/>
          <w:szCs w:val="24"/>
          <w:lang w:val="en-GB"/>
        </w:rPr>
        <w:t xml:space="preserve">. </w:t>
      </w:r>
      <w:r w:rsidRPr="00DA5410">
        <w:rPr>
          <w:rFonts w:ascii="Book Antiqua" w:hAnsi="Book Antiqua" w:cs="Book Antiqua"/>
          <w:sz w:val="24"/>
          <w:szCs w:val="24"/>
          <w:lang w:val="en-GB"/>
        </w:rPr>
        <w:t xml:space="preserve">Yet, the effects of </w:t>
      </w:r>
      <w:r w:rsidRPr="00DA5410">
        <w:rPr>
          <w:rFonts w:ascii="Book Antiqua" w:hAnsi="Book Antiqua" w:cs="Book Antiqua"/>
          <w:i/>
          <w:sz w:val="24"/>
          <w:szCs w:val="24"/>
          <w:lang w:val="en-GB"/>
        </w:rPr>
        <w:t>KRAS</w:t>
      </w:r>
      <w:r w:rsidRPr="00DA5410">
        <w:rPr>
          <w:rFonts w:ascii="Book Antiqua" w:hAnsi="Book Antiqua" w:cs="Book Antiqua"/>
          <w:sz w:val="24"/>
          <w:szCs w:val="24"/>
          <w:lang w:val="en-GB"/>
        </w:rPr>
        <w:t xml:space="preserve"> mutation at codon 12 or 13 on tumour biology were found to differ. In two studies, the survival rate was higher in patients with an uncommon G13D mutation at codon 13 on cetuximab </w:t>
      </w:r>
      <w:r w:rsidRPr="00DA5410">
        <w:rPr>
          <w:rFonts w:ascii="Book Antiqua" w:hAnsi="Book Antiqua" w:cs="Book Antiqua"/>
          <w:i/>
          <w:sz w:val="24"/>
          <w:szCs w:val="24"/>
          <w:lang w:val="en-GB"/>
        </w:rPr>
        <w:t>vs</w:t>
      </w:r>
      <w:r w:rsidRPr="00DA5410">
        <w:rPr>
          <w:rFonts w:ascii="Book Antiqua" w:hAnsi="Book Antiqua" w:cs="Book Antiqua"/>
          <w:sz w:val="24"/>
          <w:szCs w:val="24"/>
          <w:lang w:val="en-GB"/>
        </w:rPr>
        <w:t xml:space="preserve"> patients with other mutations, and similar to patients with no KRAS mutations identified</w:t>
      </w:r>
      <w:r w:rsidRPr="00DA5410">
        <w:rPr>
          <w:rFonts w:ascii="Book Antiqua" w:hAnsi="Book Antiqua" w:cs="Book Antiqua"/>
          <w:sz w:val="24"/>
          <w:szCs w:val="24"/>
          <w:vertAlign w:val="superscript"/>
          <w:lang w:val="en-GB"/>
        </w:rPr>
        <w:t>[65,74]</w:t>
      </w:r>
      <w:r w:rsidRPr="00DA5410">
        <w:rPr>
          <w:rFonts w:ascii="Book Antiqua" w:hAnsi="Book Antiqua" w:cs="Book Antiqua"/>
          <w:sz w:val="24"/>
          <w:szCs w:val="24"/>
          <w:lang w:val="en-GB"/>
        </w:rPr>
        <w:t>. It is presently believed that anti-EGFR antigens should not be used in patients with tumours indicative of G12V mutation of KRAS at codon 12. For bevacizumab, KRAS mutation was found to be of no use as a predictive factor</w:t>
      </w:r>
      <w:r w:rsidRPr="00DA5410">
        <w:rPr>
          <w:rFonts w:ascii="Book Antiqua" w:hAnsi="Book Antiqua" w:cs="Book Antiqua"/>
          <w:sz w:val="24"/>
          <w:szCs w:val="24"/>
          <w:vertAlign w:val="superscript"/>
          <w:lang w:val="en-GB"/>
        </w:rPr>
        <w:t>[75]</w:t>
      </w:r>
      <w:r w:rsidRPr="00DA5410">
        <w:rPr>
          <w:rFonts w:ascii="Book Antiqua" w:hAnsi="Book Antiqua" w:cs="Book Antiqua"/>
          <w:sz w:val="24"/>
          <w:szCs w:val="24"/>
          <w:lang w:val="en-GB"/>
        </w:rPr>
        <w:t xml:space="preserve">. </w:t>
      </w:r>
    </w:p>
    <w:p w:rsidR="00F37F91" w:rsidRPr="00DA5410" w:rsidRDefault="00F37F91" w:rsidP="00EC030C">
      <w:pPr>
        <w:spacing w:after="0" w:line="360" w:lineRule="auto"/>
        <w:ind w:firstLineChars="100" w:firstLine="240"/>
        <w:jc w:val="both"/>
        <w:rPr>
          <w:rFonts w:ascii="Book Antiqua" w:hAnsi="Book Antiqua" w:cs="Book Antiqua"/>
          <w:sz w:val="24"/>
          <w:szCs w:val="24"/>
          <w:lang w:val="en-GB"/>
        </w:rPr>
      </w:pPr>
      <w:r w:rsidRPr="00DA5410">
        <w:rPr>
          <w:rFonts w:ascii="Book Antiqua" w:hAnsi="Book Antiqua" w:cs="Book Antiqua"/>
          <w:sz w:val="24"/>
          <w:szCs w:val="24"/>
          <w:lang w:val="en-GB"/>
        </w:rPr>
        <w:t>The same applies to BRAF mutations found in 8%-13% of patients with CRC, which are mutually exclusive with KRAS mutations. The most frequently observed BRAF mutation is V600E mutation. BRAF mutations make the tumour to a large extent resistant to anti-EGFR monoclonal antibodies, and significantly worsen prognosis, especially in patients with MSI-L and MSS</w:t>
      </w:r>
      <w:r w:rsidRPr="00DA5410">
        <w:rPr>
          <w:rFonts w:ascii="Book Antiqua" w:hAnsi="Book Antiqua" w:cs="Book Antiqua"/>
          <w:sz w:val="24"/>
          <w:szCs w:val="24"/>
          <w:vertAlign w:val="superscript"/>
          <w:lang w:val="en-GB"/>
        </w:rPr>
        <w:t>[66,70,76</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78]</w:t>
      </w:r>
      <w:r w:rsidRPr="00DA5410">
        <w:rPr>
          <w:rFonts w:ascii="Book Antiqua" w:hAnsi="Book Antiqua" w:cs="Book Antiqua"/>
          <w:sz w:val="24"/>
          <w:szCs w:val="24"/>
          <w:lang w:val="en-GB"/>
        </w:rPr>
        <w:t xml:space="preserve">. Based on the available data, </w:t>
      </w:r>
      <w:r w:rsidR="00EC030C" w:rsidRPr="00DA5410">
        <w:rPr>
          <w:rFonts w:ascii="Book Antiqua" w:hAnsi="Book Antiqua" w:cs="Book Antiqua"/>
          <w:sz w:val="24"/>
          <w:szCs w:val="24"/>
        </w:rPr>
        <w:t>National Comprehensive Cancer Network</w:t>
      </w:r>
      <w:r w:rsidR="00EC030C" w:rsidRPr="00DA5410">
        <w:rPr>
          <w:rFonts w:ascii="Book Antiqua" w:eastAsiaTheme="minorEastAsia" w:hAnsi="Book Antiqua" w:cs="Book Antiqua" w:hint="eastAsia"/>
          <w:sz w:val="24"/>
          <w:szCs w:val="24"/>
          <w:lang w:eastAsia="zh-CN"/>
        </w:rPr>
        <w:t xml:space="preserve"> (</w:t>
      </w:r>
      <w:r w:rsidRPr="00DA5410">
        <w:rPr>
          <w:rFonts w:ascii="Book Antiqua" w:hAnsi="Book Antiqua" w:cs="Book Antiqua"/>
          <w:sz w:val="24"/>
          <w:szCs w:val="24"/>
          <w:lang w:val="en-GB"/>
        </w:rPr>
        <w:t>NCCN</w:t>
      </w:r>
      <w:r w:rsidR="00EC030C" w:rsidRPr="00DA5410">
        <w:rPr>
          <w:rFonts w:ascii="Book Antiqua" w:eastAsiaTheme="minorEastAsia" w:hAnsi="Book Antiqua" w:cs="Book Antiqua" w:hint="eastAsia"/>
          <w:sz w:val="24"/>
          <w:szCs w:val="24"/>
          <w:lang w:val="en-GB" w:eastAsia="zh-CN"/>
        </w:rPr>
        <w:t>)</w:t>
      </w:r>
      <w:r w:rsidRPr="00DA5410">
        <w:rPr>
          <w:rFonts w:ascii="Book Antiqua" w:hAnsi="Book Antiqua" w:cs="Book Antiqua"/>
          <w:sz w:val="24"/>
          <w:szCs w:val="24"/>
          <w:lang w:val="en-GB"/>
        </w:rPr>
        <w:t xml:space="preserve"> suggests considering BRAF mutation testing when KRAS is mutation negative. Interestingly, good prognosis was reported even in those MSI-H CRC patients who had coincident BRAF mutations</w:t>
      </w:r>
      <w:r w:rsidRPr="00DA5410">
        <w:rPr>
          <w:rFonts w:ascii="Book Antiqua" w:hAnsi="Book Antiqua" w:cs="Book Antiqua"/>
          <w:sz w:val="24"/>
          <w:szCs w:val="24"/>
          <w:vertAlign w:val="superscript"/>
          <w:lang w:val="en-GB"/>
        </w:rPr>
        <w:t>[78]</w:t>
      </w:r>
      <w:r w:rsidRPr="00DA5410">
        <w:rPr>
          <w:rFonts w:ascii="Book Antiqua" w:hAnsi="Book Antiqua" w:cs="Book Antiqua"/>
          <w:sz w:val="24"/>
          <w:szCs w:val="24"/>
          <w:lang w:val="en-GB"/>
        </w:rPr>
        <w:t>. In one of studies, the OS period was shown to be slightly longer in patients on cetuximab even if the BRAF mutation was present</w:t>
      </w:r>
      <w:r w:rsidRPr="00DA5410">
        <w:rPr>
          <w:rFonts w:ascii="Book Antiqua" w:hAnsi="Book Antiqua" w:cs="Book Antiqua"/>
          <w:sz w:val="24"/>
          <w:szCs w:val="24"/>
          <w:vertAlign w:val="superscript"/>
          <w:lang w:val="en-GB"/>
        </w:rPr>
        <w:t>[69]</w:t>
      </w:r>
      <w:r w:rsidRPr="00DA5410">
        <w:rPr>
          <w:rFonts w:ascii="Book Antiqua" w:hAnsi="Book Antiqua" w:cs="Book Antiqua"/>
          <w:sz w:val="24"/>
          <w:szCs w:val="24"/>
          <w:lang w:val="en-GB"/>
        </w:rPr>
        <w:t>. Very limited response to vemurafenib, recently approved for metastatic melanoma patients harboring BRAF (V660E) mutation, was demonstrated in CRC patients. Researchers reported that by adding cetuximab strongly synergistic reaction with BRAF inhibitors was observed</w:t>
      </w:r>
      <w:r w:rsidRPr="00DA5410">
        <w:rPr>
          <w:rFonts w:ascii="Book Antiqua" w:hAnsi="Book Antiqua" w:cs="Book Antiqua"/>
          <w:sz w:val="24"/>
          <w:szCs w:val="24"/>
          <w:vertAlign w:val="superscript"/>
          <w:lang w:val="en-GB"/>
        </w:rPr>
        <w:t>[79]</w:t>
      </w:r>
      <w:r w:rsidRPr="00DA5410">
        <w:rPr>
          <w:rFonts w:ascii="Book Antiqua" w:hAnsi="Book Antiqua" w:cs="Book Antiqua"/>
          <w:sz w:val="24"/>
          <w:szCs w:val="24"/>
          <w:lang w:val="en-GB"/>
        </w:rPr>
        <w:t xml:space="preserve">. NRAS is another member of RAS proto-oncogenes which was found to be rarely mutated, while BRAF is mutually exclusive with KRAS mutations. Since </w:t>
      </w:r>
      <w:r w:rsidRPr="00DA5410">
        <w:rPr>
          <w:rFonts w:ascii="Book Antiqua" w:hAnsi="Book Antiqua" w:cs="Book Antiqua"/>
          <w:sz w:val="24"/>
          <w:szCs w:val="24"/>
          <w:lang w:val="en-GB"/>
        </w:rPr>
        <w:lastRenderedPageBreak/>
        <w:t>NRAS mutation can predict resistance to EGFR therapy, NCCN suggests considering NRAS mutation testing when KRAS is mutation negative. To date, NRAS mutation does not appear to be associated with the prognosis</w:t>
      </w:r>
      <w:r w:rsidRPr="00DA5410">
        <w:rPr>
          <w:rFonts w:ascii="Book Antiqua" w:hAnsi="Book Antiqua" w:cs="Book Antiqua"/>
          <w:sz w:val="24"/>
          <w:szCs w:val="24"/>
          <w:vertAlign w:val="superscript"/>
          <w:lang w:val="en-GB"/>
        </w:rPr>
        <w:t>[80]</w:t>
      </w:r>
      <w:r w:rsidRPr="00DA5410">
        <w:rPr>
          <w:rFonts w:ascii="Book Antiqua" w:hAnsi="Book Antiqua" w:cs="Book Antiqua"/>
          <w:sz w:val="24"/>
          <w:szCs w:val="24"/>
          <w:lang w:val="en-GB"/>
        </w:rPr>
        <w:t xml:space="preserve">. </w:t>
      </w:r>
    </w:p>
    <w:p w:rsidR="00F37F91" w:rsidRPr="00DA5410" w:rsidRDefault="00F37F91" w:rsidP="00EC030C">
      <w:pPr>
        <w:spacing w:after="0" w:line="360" w:lineRule="auto"/>
        <w:ind w:firstLineChars="100" w:firstLine="240"/>
        <w:jc w:val="both"/>
        <w:rPr>
          <w:rFonts w:ascii="Book Antiqua" w:hAnsi="Book Antiqua" w:cs="Book Antiqua"/>
          <w:sz w:val="24"/>
          <w:szCs w:val="24"/>
          <w:lang w:val="en-US"/>
        </w:rPr>
      </w:pPr>
      <w:r w:rsidRPr="00DA5410">
        <w:rPr>
          <w:rFonts w:ascii="Book Antiqua" w:hAnsi="Book Antiqua" w:cs="Book Antiqua"/>
          <w:sz w:val="24"/>
          <w:szCs w:val="24"/>
          <w:lang w:val="en-GB"/>
        </w:rPr>
        <w:t xml:space="preserve">Phosphatidylinositide-3-kinases (PI3K) are kinases that promote cellular proliferation. Mutations in </w:t>
      </w:r>
      <w:r w:rsidRPr="00DA5410">
        <w:rPr>
          <w:rFonts w:ascii="Book Antiqua" w:hAnsi="Book Antiqua" w:cs="Book Antiqua"/>
          <w:i/>
          <w:sz w:val="24"/>
          <w:szCs w:val="24"/>
          <w:lang w:val="en-GB"/>
        </w:rPr>
        <w:t>PIK3CA</w:t>
      </w:r>
      <w:r w:rsidRPr="00DA5410">
        <w:rPr>
          <w:rFonts w:ascii="Book Antiqua" w:hAnsi="Book Antiqua" w:cs="Book Antiqua"/>
          <w:sz w:val="24"/>
          <w:szCs w:val="24"/>
          <w:lang w:val="en-GB"/>
        </w:rPr>
        <w:t xml:space="preserve"> gene encoding p110α catalytic subunit of PI3K have been identified in different human solid tumours, including CRC. </w:t>
      </w:r>
      <w:r w:rsidRPr="00DA5410">
        <w:rPr>
          <w:rFonts w:ascii="Book Antiqua" w:hAnsi="Book Antiqua" w:cs="Book Antiqua"/>
          <w:i/>
          <w:sz w:val="24"/>
          <w:szCs w:val="24"/>
          <w:lang w:val="en-GB"/>
        </w:rPr>
        <w:t>PIK3CA</w:t>
      </w:r>
      <w:r w:rsidRPr="00DA5410">
        <w:rPr>
          <w:rFonts w:ascii="Book Antiqua" w:hAnsi="Book Antiqua" w:cs="Book Antiqua"/>
          <w:sz w:val="24"/>
          <w:szCs w:val="24"/>
          <w:lang w:val="en-GB"/>
        </w:rPr>
        <w:t xml:space="preserve"> gene is mutated in 10</w:t>
      </w:r>
      <w:r w:rsidR="00EC030C" w:rsidRPr="00DA5410">
        <w:rPr>
          <w:rFonts w:ascii="Book Antiqua" w:hAnsi="Book Antiqua" w:cs="Book Antiqua"/>
          <w:sz w:val="24"/>
          <w:szCs w:val="24"/>
          <w:lang w:val="en-GB"/>
        </w:rPr>
        <w:t>%</w:t>
      </w:r>
      <w:r w:rsidRPr="00DA5410">
        <w:rPr>
          <w:rFonts w:ascii="Book Antiqua" w:hAnsi="Book Antiqua" w:cs="Book Antiqua"/>
          <w:sz w:val="24"/>
          <w:szCs w:val="24"/>
          <w:lang w:val="en-GB"/>
        </w:rPr>
        <w:t xml:space="preserve">-20% of CRC tumours. </w:t>
      </w:r>
      <w:r w:rsidRPr="00DA5410">
        <w:rPr>
          <w:rFonts w:ascii="Book Antiqua" w:hAnsi="Book Antiqua" w:cs="Book Antiqua"/>
          <w:i/>
          <w:sz w:val="24"/>
          <w:szCs w:val="24"/>
          <w:lang w:val="en-GB"/>
        </w:rPr>
        <w:t>PIK3CA</w:t>
      </w:r>
      <w:r w:rsidRPr="00DA5410">
        <w:rPr>
          <w:rFonts w:ascii="Book Antiqua" w:hAnsi="Book Antiqua" w:cs="Book Antiqua"/>
          <w:sz w:val="24"/>
          <w:szCs w:val="24"/>
          <w:lang w:val="en-GB"/>
        </w:rPr>
        <w:t xml:space="preserve"> gene encodes the kinase that regulates, alongside with KRAS, downstream signalling pathways of EGFR. Moreover, PI3K-initiated signalling is inhibited by phosphatase and tensin homologue deleted on chromosome 10 (</w:t>
      </w:r>
      <w:r w:rsidRPr="00DA5410">
        <w:rPr>
          <w:rFonts w:ascii="Book Antiqua" w:hAnsi="Book Antiqua" w:cs="Book Antiqua"/>
          <w:i/>
          <w:sz w:val="24"/>
          <w:szCs w:val="24"/>
          <w:lang w:val="en-GB"/>
        </w:rPr>
        <w:t>PTEN</w:t>
      </w:r>
      <w:r w:rsidRPr="00DA5410">
        <w:rPr>
          <w:rFonts w:ascii="Book Antiqua" w:hAnsi="Book Antiqua" w:cs="Book Antiqua"/>
          <w:sz w:val="24"/>
          <w:szCs w:val="24"/>
          <w:lang w:val="en-GB"/>
        </w:rPr>
        <w:t>). Recent studies have revealed an increase in colon cancer-specific mortality in patients with PIK3CA-mutated tumours, as compared with patients with PIK3CA wild-type tumours</w:t>
      </w:r>
      <w:r w:rsidRPr="00DA5410">
        <w:rPr>
          <w:rFonts w:ascii="Book Antiqua" w:hAnsi="Book Antiqua" w:cs="Book Antiqua"/>
          <w:sz w:val="24"/>
          <w:szCs w:val="24"/>
          <w:vertAlign w:val="superscript"/>
          <w:lang w:val="en-GB"/>
        </w:rPr>
        <w:t>[81,82]</w:t>
      </w:r>
      <w:r w:rsidRPr="00DA5410">
        <w:rPr>
          <w:rFonts w:ascii="Book Antiqua" w:hAnsi="Book Antiqua" w:cs="Book Antiqua"/>
          <w:sz w:val="24"/>
          <w:szCs w:val="24"/>
          <w:lang w:val="en-GB"/>
        </w:rPr>
        <w:t xml:space="preserve">. However only the coexistence of </w:t>
      </w:r>
      <w:r w:rsidRPr="00DA5410">
        <w:rPr>
          <w:rFonts w:ascii="Book Antiqua" w:hAnsi="Book Antiqua" w:cs="Book Antiqua"/>
          <w:i/>
          <w:sz w:val="24"/>
          <w:szCs w:val="24"/>
          <w:lang w:val="en-GB"/>
        </w:rPr>
        <w:t>PIK3CA</w:t>
      </w:r>
      <w:r w:rsidRPr="00DA5410">
        <w:rPr>
          <w:rFonts w:ascii="Book Antiqua" w:hAnsi="Book Antiqua" w:cs="Book Antiqua"/>
          <w:sz w:val="24"/>
          <w:szCs w:val="24"/>
          <w:lang w:val="en-GB"/>
        </w:rPr>
        <w:t xml:space="preserve"> exon 9 and 20 mutations but not </w:t>
      </w:r>
      <w:r w:rsidRPr="00DA5410">
        <w:rPr>
          <w:rFonts w:ascii="Book Antiqua" w:hAnsi="Book Antiqua" w:cs="Book Antiqua"/>
          <w:i/>
          <w:sz w:val="24"/>
          <w:szCs w:val="24"/>
          <w:lang w:val="en-GB"/>
        </w:rPr>
        <w:t>PIK3CA</w:t>
      </w:r>
      <w:r w:rsidRPr="00DA5410">
        <w:rPr>
          <w:rFonts w:ascii="Book Antiqua" w:hAnsi="Book Antiqua" w:cs="Book Antiqua"/>
          <w:sz w:val="24"/>
          <w:szCs w:val="24"/>
          <w:lang w:val="en-GB"/>
        </w:rPr>
        <w:t xml:space="preserve"> mutation in either exon 9 or 20 alone has been reported to be associated with the worse prognosis</w:t>
      </w:r>
      <w:r w:rsidRPr="00DA5410">
        <w:rPr>
          <w:rFonts w:ascii="Book Antiqua" w:hAnsi="Book Antiqua" w:cs="Book Antiqua"/>
          <w:sz w:val="24"/>
          <w:szCs w:val="24"/>
          <w:vertAlign w:val="superscript"/>
          <w:lang w:val="en-GB"/>
        </w:rPr>
        <w:t>[82]</w:t>
      </w:r>
      <w:r w:rsidRPr="00DA5410">
        <w:rPr>
          <w:rFonts w:ascii="Book Antiqua" w:hAnsi="Book Antiqua" w:cs="Book Antiqua"/>
          <w:sz w:val="24"/>
          <w:szCs w:val="24"/>
          <w:lang w:val="en-GB"/>
        </w:rPr>
        <w:t>. Among patients with KRAS wild-type tumours, the presence of PIK3CA mutation correlated with a significant increase in CRC specific mortality. In contrast, PIK3CA mutation did not significantly affect mortality among patients with KRAS-mutated tumours. Thus, the effect of PIK3CA mutation may be potentially limited to patients with KRAS wild-type tumours</w:t>
      </w:r>
      <w:r w:rsidRPr="00DA5410">
        <w:rPr>
          <w:rFonts w:ascii="Book Antiqua" w:hAnsi="Book Antiqua" w:cs="Book Antiqua"/>
          <w:sz w:val="24"/>
          <w:szCs w:val="24"/>
          <w:vertAlign w:val="superscript"/>
          <w:lang w:val="en-GB"/>
        </w:rPr>
        <w:t>[81]</w:t>
      </w:r>
      <w:r w:rsidRPr="00DA5410">
        <w:rPr>
          <w:rFonts w:ascii="Book Antiqua" w:hAnsi="Book Antiqua" w:cs="Book Antiqua"/>
          <w:sz w:val="24"/>
          <w:szCs w:val="24"/>
          <w:lang w:val="en-GB"/>
        </w:rPr>
        <w:t>. Following the fact that only patients with KRAS-wild type CRC may respond to anti-EGFR antibodies, several studies have investigated the role of PIK3CA mutations on CRC cells response to cetuximab or panitumumab. The data collected so far indicate that CRC with PIK3CA mutations are significantly resistant to anti-EGFR antibodies. When only KRAS wild-type tumours are analyzed, the correlation is even stronger</w:t>
      </w:r>
      <w:r w:rsidRPr="00DA5410">
        <w:rPr>
          <w:rFonts w:ascii="Book Antiqua" w:hAnsi="Book Antiqua" w:cs="Book Antiqua"/>
          <w:sz w:val="24"/>
          <w:szCs w:val="24"/>
          <w:vertAlign w:val="superscript"/>
          <w:lang w:val="en-GB"/>
        </w:rPr>
        <w:t>[83</w:t>
      </w:r>
      <w:r w:rsidR="00B8191B">
        <w:rPr>
          <w:rFonts w:ascii="Book Antiqua" w:eastAsiaTheme="minorEastAsia" w:hAnsi="Book Antiqua" w:cs="Book Antiqua" w:hint="eastAsia"/>
          <w:sz w:val="24"/>
          <w:szCs w:val="24"/>
          <w:vertAlign w:val="superscript"/>
          <w:lang w:val="en-GB" w:eastAsia="zh-CN"/>
        </w:rPr>
        <w:t>-</w:t>
      </w:r>
      <w:r w:rsidRPr="00DA5410">
        <w:rPr>
          <w:rFonts w:ascii="Book Antiqua" w:hAnsi="Book Antiqua" w:cs="Book Antiqua"/>
          <w:sz w:val="24"/>
          <w:szCs w:val="24"/>
          <w:vertAlign w:val="superscript"/>
          <w:lang w:val="en-GB"/>
        </w:rPr>
        <w:t>85]</w:t>
      </w:r>
      <w:r w:rsidRPr="00DA5410">
        <w:rPr>
          <w:rFonts w:ascii="Book Antiqua" w:hAnsi="Book Antiqua" w:cs="Book Antiqua"/>
          <w:sz w:val="24"/>
          <w:szCs w:val="24"/>
          <w:lang w:val="en-GB"/>
        </w:rPr>
        <w:t xml:space="preserve">. Changes in PIK3 signalling and loss of </w:t>
      </w:r>
      <w:r w:rsidRPr="00DA5410">
        <w:rPr>
          <w:rFonts w:ascii="Book Antiqua" w:hAnsi="Book Antiqua" w:cs="Book Antiqua"/>
          <w:i/>
          <w:sz w:val="24"/>
          <w:szCs w:val="24"/>
          <w:lang w:val="en-GB"/>
        </w:rPr>
        <w:t>PTEN</w:t>
      </w:r>
      <w:r w:rsidRPr="00DA5410">
        <w:rPr>
          <w:rFonts w:ascii="Book Antiqua" w:hAnsi="Book Antiqua" w:cs="Book Antiqua"/>
          <w:sz w:val="24"/>
          <w:szCs w:val="24"/>
          <w:lang w:val="en-GB"/>
        </w:rPr>
        <w:t xml:space="preserve"> expression have been generally linked with the lack of response to EGFR-targeted therapy</w:t>
      </w:r>
      <w:r w:rsidRPr="00DA5410">
        <w:rPr>
          <w:rFonts w:ascii="Book Antiqua" w:hAnsi="Book Antiqua" w:cs="Book Antiqua"/>
          <w:sz w:val="24"/>
          <w:szCs w:val="24"/>
          <w:vertAlign w:val="superscript"/>
          <w:lang w:val="en-GB"/>
        </w:rPr>
        <w:t>[86,87]</w:t>
      </w:r>
      <w:r w:rsidRPr="00DA5410">
        <w:rPr>
          <w:rFonts w:ascii="Book Antiqua" w:hAnsi="Book Antiqua" w:cs="Book Antiqua"/>
          <w:sz w:val="24"/>
          <w:szCs w:val="24"/>
          <w:lang w:val="en-GB"/>
        </w:rPr>
        <w:t>. Recent studies have found that inhibition of cyclooxygenase-2 by regular use of aspirin after CRC diagnosis was associated with longer cancer specific survival time among patients with mutated as opposed to wild-type PIK3CA. The authors conclude that PIK3CA mutations may serve as a predictive biomarker for adjuvant aspirin therapy</w:t>
      </w:r>
      <w:r w:rsidRPr="00DA5410">
        <w:rPr>
          <w:rFonts w:ascii="Book Antiqua" w:hAnsi="Book Antiqua" w:cs="Book Antiqua"/>
          <w:sz w:val="24"/>
          <w:szCs w:val="24"/>
          <w:vertAlign w:val="superscript"/>
          <w:lang w:val="en-GB"/>
        </w:rPr>
        <w:t>[88]</w:t>
      </w:r>
      <w:r w:rsidRPr="00DA5410">
        <w:rPr>
          <w:rFonts w:ascii="Book Antiqua" w:hAnsi="Book Antiqua" w:cs="Book Antiqua"/>
          <w:sz w:val="24"/>
          <w:szCs w:val="24"/>
          <w:lang w:val="en-GB"/>
        </w:rPr>
        <w:t xml:space="preserve">. Further studies </w:t>
      </w:r>
      <w:r w:rsidRPr="00DA5410">
        <w:rPr>
          <w:rFonts w:ascii="Book Antiqua" w:hAnsi="Book Antiqua" w:cs="Book Antiqua"/>
          <w:sz w:val="24"/>
          <w:szCs w:val="24"/>
          <w:lang w:val="en-GB"/>
        </w:rPr>
        <w:lastRenderedPageBreak/>
        <w:t>involving KRAS mutated CRC patients are necessary to establish the role of aspirin in PI3K pathway.</w:t>
      </w:r>
    </w:p>
    <w:p w:rsidR="00317361" w:rsidRPr="00DA5410" w:rsidRDefault="00317361"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i/>
          <w:sz w:val="24"/>
          <w:szCs w:val="24"/>
          <w:lang w:val="en-GB"/>
        </w:rPr>
      </w:pPr>
      <w:r w:rsidRPr="00DA5410">
        <w:rPr>
          <w:rFonts w:ascii="Book Antiqua" w:hAnsi="Book Antiqua" w:cs="Book Antiqua"/>
          <w:b/>
          <w:bCs/>
          <w:i/>
          <w:sz w:val="24"/>
          <w:szCs w:val="24"/>
          <w:lang w:val="en-GB"/>
        </w:rPr>
        <w:t>Biomarker of the potential toxicity of irinotecan</w:t>
      </w:r>
      <w:r w:rsidRPr="00DA5410">
        <w:rPr>
          <w:rFonts w:ascii="Book Antiqua" w:hAnsi="Book Antiqua" w:cs="Book Antiqua"/>
          <w:i/>
          <w:sz w:val="24"/>
          <w:szCs w:val="24"/>
          <w:lang w:val="en-GB"/>
        </w:rPr>
        <w:t xml:space="preserve"> </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 xml:space="preserve">Irinotecan is a chemotherapeutic agent that inhibits topoisomerase I, thereby inhibiting replication and stimulating cell apoptosis. Advanced neutropenia and intensive diarrhoea caused by damaged intestinal epithelium are the most common adverse effects of irinotecan, which significantly limit its use. </w:t>
      </w:r>
      <w:r w:rsidRPr="00DA5410">
        <w:rPr>
          <w:rFonts w:ascii="Book Antiqua" w:hAnsi="Book Antiqua" w:cs="Book Antiqua"/>
          <w:i/>
          <w:sz w:val="24"/>
          <w:szCs w:val="24"/>
          <w:lang w:val="en-GB"/>
        </w:rPr>
        <w:t>UGT1A1</w:t>
      </w:r>
      <w:r w:rsidRPr="00DA5410">
        <w:rPr>
          <w:rFonts w:ascii="Book Antiqua" w:hAnsi="Book Antiqua" w:cs="Book Antiqua"/>
          <w:sz w:val="24"/>
          <w:szCs w:val="24"/>
          <w:lang w:val="en-GB"/>
        </w:rPr>
        <w:t xml:space="preserve"> gene polymorphism is a very useful biomarker of the potential toxicity of irinotecan. It appears that the use of genetic tests is reasonable before treatment initiation with irinotecan to avoid severe adverse effects – mainly neutropenia in women. Genotyping for </w:t>
      </w:r>
      <w:r w:rsidRPr="00DA5410">
        <w:rPr>
          <w:rFonts w:ascii="Book Antiqua" w:hAnsi="Book Antiqua" w:cs="Book Antiqua"/>
          <w:i/>
          <w:sz w:val="24"/>
          <w:szCs w:val="24"/>
          <w:lang w:val="en-GB"/>
        </w:rPr>
        <w:t>UGT1A1</w:t>
      </w:r>
      <w:r w:rsidRPr="00DA5410">
        <w:rPr>
          <w:rFonts w:ascii="Book Antiqua" w:hAnsi="Book Antiqua" w:cs="Book Antiqua"/>
          <w:sz w:val="24"/>
          <w:szCs w:val="24"/>
          <w:lang w:val="en-GB"/>
        </w:rPr>
        <w:t xml:space="preserve"> can be carried out to select a group of sensitive patients with UGT1A1*28 allele, of whom lower initial doses would be recommended. Hopefully, it will also allow to administer a higher accumulated dose of the drug, divided into smaller portions, to limit its toxicity</w:t>
      </w:r>
      <w:r w:rsidRPr="00DA5410">
        <w:rPr>
          <w:rFonts w:ascii="Book Antiqua" w:hAnsi="Book Antiqua" w:cs="Book Antiqua"/>
          <w:sz w:val="24"/>
          <w:szCs w:val="24"/>
          <w:vertAlign w:val="superscript"/>
          <w:lang w:val="en-GB"/>
        </w:rPr>
        <w:t>[89,90]</w:t>
      </w:r>
      <w:r w:rsidRPr="00DA5410">
        <w:rPr>
          <w:rFonts w:ascii="Book Antiqua" w:hAnsi="Book Antiqua" w:cs="Book Antiqua"/>
          <w:sz w:val="24"/>
          <w:szCs w:val="24"/>
          <w:lang w:val="en-GB"/>
        </w:rPr>
        <w:t xml:space="preserve">. However, according to a recent meta-analysis, genotyping for </w:t>
      </w:r>
      <w:r w:rsidRPr="00DA5410">
        <w:rPr>
          <w:rFonts w:ascii="Book Antiqua" w:hAnsi="Book Antiqua" w:cs="Book Antiqua"/>
          <w:i/>
          <w:sz w:val="24"/>
          <w:szCs w:val="24"/>
          <w:lang w:val="en-GB"/>
        </w:rPr>
        <w:t>UGT1A1</w:t>
      </w:r>
      <w:r w:rsidRPr="00DA5410">
        <w:rPr>
          <w:rFonts w:ascii="Book Antiqua" w:hAnsi="Book Antiqua" w:cs="Book Antiqua"/>
          <w:sz w:val="24"/>
          <w:szCs w:val="24"/>
          <w:lang w:val="en-GB"/>
        </w:rPr>
        <w:t xml:space="preserve"> has no predictive value in terms of responsiveness to various doses of irinotecan among patients with CRC</w:t>
      </w:r>
      <w:r w:rsidRPr="00DA5410">
        <w:rPr>
          <w:rFonts w:ascii="Book Antiqua" w:hAnsi="Book Antiqua" w:cs="Book Antiqua"/>
          <w:sz w:val="24"/>
          <w:szCs w:val="24"/>
          <w:vertAlign w:val="superscript"/>
          <w:lang w:val="en-GB"/>
        </w:rPr>
        <w:t>[91]</w:t>
      </w:r>
      <w:r w:rsidRPr="00DA5410">
        <w:rPr>
          <w:rFonts w:ascii="Book Antiqua" w:hAnsi="Book Antiqua" w:cs="Book Antiqua"/>
          <w:sz w:val="24"/>
          <w:szCs w:val="24"/>
          <w:lang w:val="en-GB"/>
        </w:rPr>
        <w:t>. On the other is recommended by ESMO for patients with several toxicity reaction in whom irinotecan in high doses should be used</w:t>
      </w:r>
      <w:r w:rsidRPr="00DA5410">
        <w:rPr>
          <w:rFonts w:ascii="Book Antiqua" w:hAnsi="Book Antiqua" w:cs="Book Antiqua"/>
          <w:sz w:val="24"/>
          <w:szCs w:val="24"/>
          <w:vertAlign w:val="superscript"/>
          <w:lang w:val="en-GB"/>
        </w:rPr>
        <w:t>[33]</w:t>
      </w:r>
      <w:r w:rsidRPr="00DA5410">
        <w:rPr>
          <w:rFonts w:ascii="Book Antiqua" w:hAnsi="Book Antiqua" w:cs="Book Antiqua"/>
          <w:sz w:val="24"/>
          <w:szCs w:val="24"/>
          <w:lang w:val="en-GB"/>
        </w:rPr>
        <w:t>. Furthermore, homozygosity for the UGT1A1*28 has been linked with improved efficacy of FOLFIRI</w:t>
      </w:r>
      <w:r w:rsidRPr="00DA5410">
        <w:rPr>
          <w:rFonts w:ascii="Book Antiqua" w:hAnsi="Book Antiqua" w:cs="Book Antiqua"/>
          <w:sz w:val="24"/>
          <w:szCs w:val="24"/>
          <w:vertAlign w:val="superscript"/>
          <w:lang w:val="en-GB"/>
        </w:rPr>
        <w:t>[92]</w:t>
      </w:r>
      <w:r w:rsidRPr="00DA5410">
        <w:rPr>
          <w:rFonts w:ascii="Book Antiqua" w:hAnsi="Book Antiqua" w:cs="Book Antiqua"/>
          <w:sz w:val="24"/>
          <w:szCs w:val="24"/>
          <w:lang w:val="en-GB"/>
        </w:rPr>
        <w:t>.</w:t>
      </w:r>
    </w:p>
    <w:p w:rsidR="00317361" w:rsidRPr="00DA5410" w:rsidRDefault="00317361"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b/>
          <w:bCs/>
          <w:i/>
          <w:sz w:val="24"/>
          <w:szCs w:val="24"/>
          <w:lang w:val="en-GB"/>
        </w:rPr>
      </w:pPr>
      <w:r w:rsidRPr="00DA5410">
        <w:rPr>
          <w:rFonts w:ascii="Book Antiqua" w:hAnsi="Book Antiqua" w:cs="Book Antiqua"/>
          <w:b/>
          <w:bCs/>
          <w:i/>
          <w:sz w:val="24"/>
          <w:szCs w:val="24"/>
          <w:lang w:val="en-GB"/>
        </w:rPr>
        <w:t xml:space="preserve">Potential biomarkers of </w:t>
      </w:r>
      <w:r w:rsidR="00A33EE0" w:rsidRPr="00DA5410">
        <w:rPr>
          <w:rFonts w:ascii="Book Antiqua" w:hAnsi="Book Antiqua" w:cs="Book Antiqua"/>
          <w:b/>
          <w:bCs/>
          <w:i/>
          <w:sz w:val="24"/>
          <w:szCs w:val="24"/>
          <w:lang w:val="en-GB"/>
        </w:rPr>
        <w:t>vascular endothelial growth factor</w:t>
      </w:r>
      <w:r w:rsidR="00A33EE0" w:rsidRPr="00DA5410">
        <w:rPr>
          <w:rFonts w:ascii="Book Antiqua" w:eastAsiaTheme="minorEastAsia" w:hAnsi="Book Antiqua" w:cs="Book Antiqua" w:hint="eastAsia"/>
          <w:b/>
          <w:bCs/>
          <w:i/>
          <w:sz w:val="24"/>
          <w:szCs w:val="24"/>
          <w:lang w:val="en-GB" w:eastAsia="zh-CN"/>
        </w:rPr>
        <w:t xml:space="preserve"> </w:t>
      </w:r>
      <w:r w:rsidRPr="00DA5410">
        <w:rPr>
          <w:rFonts w:ascii="Book Antiqua" w:hAnsi="Book Antiqua" w:cs="Book Antiqua"/>
          <w:b/>
          <w:bCs/>
          <w:i/>
          <w:sz w:val="24"/>
          <w:szCs w:val="24"/>
          <w:lang w:val="en-GB"/>
        </w:rPr>
        <w:t>-</w:t>
      </w:r>
      <w:r w:rsidR="00A33EE0" w:rsidRPr="00DA5410">
        <w:rPr>
          <w:rFonts w:ascii="Book Antiqua" w:eastAsiaTheme="minorEastAsia" w:hAnsi="Book Antiqua" w:cs="Book Antiqua" w:hint="eastAsia"/>
          <w:b/>
          <w:bCs/>
          <w:i/>
          <w:sz w:val="24"/>
          <w:szCs w:val="24"/>
          <w:lang w:val="en-GB" w:eastAsia="zh-CN"/>
        </w:rPr>
        <w:t xml:space="preserve"> </w:t>
      </w:r>
      <w:r w:rsidRPr="00DA5410">
        <w:rPr>
          <w:rFonts w:ascii="Book Antiqua" w:hAnsi="Book Antiqua" w:cs="Book Antiqua"/>
          <w:b/>
          <w:bCs/>
          <w:i/>
          <w:sz w:val="24"/>
          <w:szCs w:val="24"/>
          <w:lang w:val="en-GB"/>
        </w:rPr>
        <w:t>targeted therapy</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Since the vascular endothelial growth factor (VEGF) - targeted therapy has been integrated into CRC treatment protocols, some anti-angiogenic drugs have been introduced (bevacizumab, regorafenib, aflibercept). However, a patient selection strategy to identify those patients who benefit most from this therapy has yet to be developed. To date, a predictive biomarker for bevacizumab – the most commonly administered anti-angiogenic drug in CRC therapy – has not yet been identified. Several studies on the identification of predictive biomarkers of bevacizumab have be</w:t>
      </w:r>
      <w:r w:rsidR="00D53F0B" w:rsidRPr="00DA5410">
        <w:rPr>
          <w:rFonts w:ascii="Book Antiqua" w:hAnsi="Book Antiqua" w:cs="Book Antiqua"/>
          <w:sz w:val="24"/>
          <w:szCs w:val="24"/>
          <w:lang w:val="en-GB"/>
        </w:rPr>
        <w:t xml:space="preserve">en performed. </w:t>
      </w:r>
      <w:r w:rsidR="00A65ED7" w:rsidRPr="00A65ED7">
        <w:rPr>
          <w:rFonts w:ascii="Book Antiqua" w:hAnsi="Book Antiqua" w:cs="Book Antiqua"/>
          <w:bCs/>
          <w:sz w:val="24"/>
          <w:szCs w:val="24"/>
          <w:lang w:val="en-US"/>
        </w:rPr>
        <w:t>Jürgensmeier</w:t>
      </w:r>
      <w:r w:rsidR="00D53F0B" w:rsidRPr="00A65ED7">
        <w:rPr>
          <w:rFonts w:ascii="Book Antiqua" w:hAnsi="Book Antiqua" w:cs="Book Antiqua"/>
          <w:sz w:val="24"/>
          <w:szCs w:val="24"/>
          <w:lang w:val="en-GB"/>
        </w:rPr>
        <w:t xml:space="preserve"> </w:t>
      </w:r>
      <w:r w:rsidR="00D53F0B" w:rsidRPr="00A65ED7">
        <w:rPr>
          <w:rFonts w:ascii="Book Antiqua" w:hAnsi="Book Antiqua" w:cs="Book Antiqua"/>
          <w:i/>
          <w:sz w:val="24"/>
          <w:szCs w:val="24"/>
          <w:lang w:val="en-GB"/>
        </w:rPr>
        <w:t>et al</w:t>
      </w:r>
      <w:r w:rsidR="00A65ED7" w:rsidRPr="00DA5410">
        <w:rPr>
          <w:rFonts w:ascii="Book Antiqua" w:hAnsi="Book Antiqua" w:cs="Book Antiqua"/>
          <w:sz w:val="24"/>
          <w:szCs w:val="24"/>
          <w:vertAlign w:val="superscript"/>
          <w:lang w:val="en-GB"/>
        </w:rPr>
        <w:t>[93]</w:t>
      </w:r>
      <w:r w:rsidRPr="00DA5410">
        <w:rPr>
          <w:rFonts w:ascii="Book Antiqua" w:hAnsi="Book Antiqua" w:cs="Book Antiqua"/>
          <w:sz w:val="24"/>
          <w:szCs w:val="24"/>
          <w:lang w:val="en-GB"/>
        </w:rPr>
        <w:t xml:space="preserve"> evaluated retro</w:t>
      </w:r>
      <w:r w:rsidR="00701E9A">
        <w:rPr>
          <w:rFonts w:ascii="Book Antiqua" w:hAnsi="Book Antiqua" w:cs="Book Antiqua"/>
          <w:sz w:val="24"/>
          <w:szCs w:val="24"/>
          <w:lang w:val="en-GB"/>
        </w:rPr>
        <w:t xml:space="preserve">spectively, using samples from </w:t>
      </w:r>
      <w:r w:rsidRPr="00DA5410">
        <w:rPr>
          <w:rFonts w:ascii="Book Antiqua" w:hAnsi="Book Antiqua" w:cs="Book Antiqua"/>
          <w:sz w:val="24"/>
          <w:szCs w:val="24"/>
          <w:lang w:val="en-GB"/>
        </w:rPr>
        <w:t xml:space="preserve">randomised trial HORIZON III, the prognostic/predictive value of VEGF and </w:t>
      </w:r>
      <w:r w:rsidRPr="00DA5410">
        <w:rPr>
          <w:rFonts w:ascii="Book Antiqua" w:hAnsi="Book Antiqua" w:cs="Book Antiqua"/>
          <w:sz w:val="24"/>
          <w:szCs w:val="24"/>
          <w:lang w:val="en-GB"/>
        </w:rPr>
        <w:lastRenderedPageBreak/>
        <w:t>soluble VEGF receptor-2. High baseline values of VEGF were associated with worse progression free survival (PFS) and overall survival. These data have revealed that baseline VEGF levels were not predictive of PFS or OS outcome in bevacizumab-treated patients</w:t>
      </w:r>
      <w:r w:rsidRPr="00DA5410">
        <w:rPr>
          <w:rFonts w:ascii="Book Antiqua" w:hAnsi="Book Antiqua" w:cs="Book Antiqua"/>
          <w:sz w:val="24"/>
          <w:szCs w:val="24"/>
          <w:vertAlign w:val="superscript"/>
          <w:lang w:val="en-GB"/>
        </w:rPr>
        <w:t>[93]</w:t>
      </w:r>
      <w:r w:rsidRPr="00DA5410">
        <w:rPr>
          <w:rFonts w:ascii="Book Antiqua" w:hAnsi="Book Antiqua" w:cs="Book Antiqua"/>
          <w:sz w:val="24"/>
          <w:szCs w:val="24"/>
          <w:lang w:val="en-GB"/>
        </w:rPr>
        <w:t>. Other studies have demonstrated that plasma VEGF-A may serve as a prognostic marker, but is unable to predict response to VEGF-targeted therapy in advanced CRC</w:t>
      </w:r>
      <w:r w:rsidRPr="00DA5410">
        <w:rPr>
          <w:rFonts w:ascii="Book Antiqua" w:hAnsi="Book Antiqua" w:cs="Book Antiqua"/>
          <w:sz w:val="24"/>
          <w:szCs w:val="24"/>
          <w:vertAlign w:val="superscript"/>
          <w:lang w:val="en-GB"/>
        </w:rPr>
        <w:t>[94,95]</w:t>
      </w:r>
      <w:r w:rsidRPr="00DA5410">
        <w:rPr>
          <w:rFonts w:ascii="Book Antiqua" w:hAnsi="Book Antiqua" w:cs="Book Antiqua"/>
          <w:sz w:val="24"/>
          <w:szCs w:val="24"/>
          <w:lang w:val="en-GB"/>
        </w:rPr>
        <w:t>. At the same time, KRAS mutation was found to be of no use as a predictive factor for bevacizumab</w:t>
      </w:r>
      <w:r w:rsidRPr="00DA5410">
        <w:rPr>
          <w:rFonts w:ascii="Book Antiqua" w:hAnsi="Book Antiqua" w:cs="Book Antiqua"/>
          <w:sz w:val="24"/>
          <w:szCs w:val="24"/>
          <w:vertAlign w:val="superscript"/>
          <w:lang w:val="en-GB"/>
        </w:rPr>
        <w:t>[75]</w:t>
      </w:r>
      <w:r w:rsidRPr="00DA5410">
        <w:rPr>
          <w:rFonts w:ascii="Book Antiqua" w:hAnsi="Book Antiqua" w:cs="Book Antiqua"/>
          <w:sz w:val="24"/>
          <w:szCs w:val="24"/>
          <w:lang w:val="en-GB"/>
        </w:rPr>
        <w:t xml:space="preserve">. </w:t>
      </w:r>
    </w:p>
    <w:p w:rsidR="00317361" w:rsidRPr="00DA5410" w:rsidRDefault="00317361" w:rsidP="006413E6">
      <w:pPr>
        <w:spacing w:after="0" w:line="360" w:lineRule="auto"/>
        <w:jc w:val="both"/>
        <w:rPr>
          <w:rFonts w:ascii="Book Antiqua" w:eastAsiaTheme="minorEastAsia" w:hAnsi="Book Antiqua" w:cs="Book Antiqua"/>
          <w:b/>
          <w:bCs/>
          <w:i/>
          <w:sz w:val="24"/>
          <w:szCs w:val="24"/>
          <w:lang w:val="en-GB" w:eastAsia="zh-CN"/>
        </w:rPr>
      </w:pP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b/>
          <w:bCs/>
          <w:i/>
          <w:sz w:val="24"/>
          <w:szCs w:val="24"/>
          <w:lang w:val="en-GB"/>
        </w:rPr>
        <w:t>Ezrin</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Ezrin protein,</w:t>
      </w:r>
      <w:r w:rsidR="00A33EE0" w:rsidRPr="00DA5410">
        <w:rPr>
          <w:rFonts w:ascii="Book Antiqua" w:hAnsi="Book Antiqua" w:cs="Book Antiqua"/>
          <w:sz w:val="24"/>
          <w:szCs w:val="24"/>
          <w:lang w:val="en-GB"/>
        </w:rPr>
        <w:t xml:space="preserve"> a part of ezrin/radixin/moesin</w:t>
      </w:r>
      <w:r w:rsidRPr="00DA5410">
        <w:rPr>
          <w:rFonts w:ascii="Book Antiqua" w:hAnsi="Book Antiqua" w:cs="Book Antiqua"/>
          <w:sz w:val="24"/>
          <w:szCs w:val="24"/>
          <w:lang w:val="en-GB"/>
        </w:rPr>
        <w:t xml:space="preserve"> family may play an important role in tumour invasion process. Recent studies has found that overexpression of ezrin protein correlates with CRC aggressiveness, its metastatic potential and worse prognosis. High ezrin expression was also identified as marker of early local recurrence of rectal cancer</w:t>
      </w:r>
      <w:r w:rsidRPr="00DA5410">
        <w:rPr>
          <w:rFonts w:ascii="Book Antiqua" w:hAnsi="Book Antiqua" w:cs="Book Antiqua"/>
          <w:sz w:val="24"/>
          <w:szCs w:val="24"/>
          <w:vertAlign w:val="superscript"/>
          <w:lang w:val="en-GB"/>
        </w:rPr>
        <w:t>[96,97]</w:t>
      </w:r>
      <w:r w:rsidRPr="00DA5410">
        <w:rPr>
          <w:rFonts w:ascii="Book Antiqua" w:hAnsi="Book Antiqua" w:cs="Book Antiqua"/>
          <w:sz w:val="24"/>
          <w:szCs w:val="24"/>
          <w:lang w:val="en-GB"/>
        </w:rPr>
        <w:t xml:space="preserve">. Although further investigation is needed, ezrin may represent a relevant biomarker and target for personalized anti-metastatic therapies. </w:t>
      </w:r>
    </w:p>
    <w:p w:rsidR="00317361" w:rsidRPr="00DA5410" w:rsidRDefault="00317361" w:rsidP="006413E6">
      <w:pPr>
        <w:spacing w:after="0" w:line="360" w:lineRule="auto"/>
        <w:jc w:val="both"/>
        <w:rPr>
          <w:rFonts w:ascii="Book Antiqua" w:eastAsiaTheme="minorEastAsia" w:hAnsi="Book Antiqua" w:cs="Book Antiqua"/>
          <w:b/>
          <w:bCs/>
          <w:sz w:val="24"/>
          <w:szCs w:val="24"/>
          <w:lang w:val="en-GB" w:eastAsia="zh-CN"/>
        </w:rPr>
      </w:pPr>
    </w:p>
    <w:p w:rsidR="00F37F91" w:rsidRPr="00DA5410" w:rsidRDefault="00A33EE0" w:rsidP="006413E6">
      <w:pPr>
        <w:spacing w:after="0" w:line="360" w:lineRule="auto"/>
        <w:jc w:val="both"/>
        <w:rPr>
          <w:rFonts w:ascii="Book Antiqua" w:eastAsiaTheme="minorEastAsia" w:hAnsi="Book Antiqua" w:cs="Book Antiqua"/>
          <w:b/>
          <w:bCs/>
          <w:sz w:val="24"/>
          <w:szCs w:val="24"/>
          <w:lang w:val="en-GB" w:eastAsia="zh-CN"/>
        </w:rPr>
      </w:pPr>
      <w:r w:rsidRPr="00DA5410">
        <w:rPr>
          <w:rFonts w:ascii="Book Antiqua" w:hAnsi="Book Antiqua" w:cs="Book Antiqua"/>
          <w:b/>
          <w:bCs/>
          <w:sz w:val="24"/>
          <w:szCs w:val="24"/>
          <w:lang w:val="en-GB"/>
        </w:rPr>
        <w:t>CONCLUSION</w:t>
      </w:r>
    </w:p>
    <w:p w:rsidR="00F37F91" w:rsidRPr="00DA5410" w:rsidRDefault="00F37F91" w:rsidP="006413E6">
      <w:pPr>
        <w:spacing w:after="0" w:line="360" w:lineRule="auto"/>
        <w:jc w:val="both"/>
        <w:rPr>
          <w:rFonts w:ascii="Book Antiqua" w:hAnsi="Book Antiqua" w:cs="Book Antiqua"/>
          <w:sz w:val="24"/>
          <w:szCs w:val="24"/>
          <w:lang w:val="en-GB"/>
        </w:rPr>
      </w:pPr>
      <w:r w:rsidRPr="00DA5410">
        <w:rPr>
          <w:rFonts w:ascii="Book Antiqua" w:hAnsi="Book Antiqua" w:cs="Book Antiqua"/>
          <w:sz w:val="24"/>
          <w:szCs w:val="24"/>
          <w:lang w:val="en-GB"/>
        </w:rPr>
        <w:t xml:space="preserve">The recent studies result in a better understanding of colorectal cancer and assist in the development of new treatment regimens, especially in advanced CRC stages. The new predictive factors, molecular imaging, or even commercial genome tests increasingly facilitate tumour genome testing and assist in selecting targeted therapies. Adjuvant targeted therapy with anti-EGFR antibodies is required in advanced CRC patients and absence of </w:t>
      </w:r>
      <w:r w:rsidRPr="00DA5410">
        <w:rPr>
          <w:rFonts w:ascii="Book Antiqua" w:hAnsi="Book Antiqua" w:cs="Book Antiqua"/>
          <w:i/>
          <w:sz w:val="24"/>
          <w:szCs w:val="24"/>
          <w:lang w:val="en-GB"/>
        </w:rPr>
        <w:t>KRAS</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BRAF</w:t>
      </w:r>
      <w:r w:rsidRPr="00DA5410">
        <w:rPr>
          <w:rFonts w:ascii="Book Antiqua" w:hAnsi="Book Antiqua" w:cs="Book Antiqua"/>
          <w:sz w:val="24"/>
          <w:szCs w:val="24"/>
          <w:lang w:val="en-GB"/>
        </w:rPr>
        <w:t xml:space="preserve">, </w:t>
      </w:r>
      <w:r w:rsidRPr="00DA5410">
        <w:rPr>
          <w:rFonts w:ascii="Book Antiqua" w:hAnsi="Book Antiqua" w:cs="Book Antiqua"/>
          <w:i/>
          <w:sz w:val="24"/>
          <w:szCs w:val="24"/>
          <w:lang w:val="en-GB"/>
        </w:rPr>
        <w:t>NRAS</w:t>
      </w:r>
      <w:r w:rsidRPr="00DA5410">
        <w:rPr>
          <w:rFonts w:ascii="Book Antiqua" w:hAnsi="Book Antiqua" w:cs="Book Antiqua"/>
          <w:sz w:val="24"/>
          <w:szCs w:val="24"/>
          <w:lang w:val="en-GB"/>
        </w:rPr>
        <w:t xml:space="preserve"> and </w:t>
      </w:r>
      <w:r w:rsidRPr="00DA5410">
        <w:rPr>
          <w:rFonts w:ascii="Book Antiqua" w:hAnsi="Book Antiqua" w:cs="Book Antiqua"/>
          <w:i/>
          <w:sz w:val="24"/>
          <w:szCs w:val="24"/>
          <w:lang w:val="en-GB"/>
        </w:rPr>
        <w:t>PIK3CA</w:t>
      </w:r>
      <w:r w:rsidRPr="00DA5410">
        <w:rPr>
          <w:rFonts w:ascii="Book Antiqua" w:hAnsi="Book Antiqua" w:cs="Book Antiqua"/>
          <w:sz w:val="24"/>
          <w:szCs w:val="24"/>
          <w:lang w:val="en-GB"/>
        </w:rPr>
        <w:t xml:space="preserve"> genes mutation. Tests for MSI or MSS tumour phenotype and the presence or absence of 18q chromosome deletion is very much desirable in standard therapy based on 5</w:t>
      </w:r>
      <w:r w:rsidR="00A33EE0" w:rsidRPr="00DA5410">
        <w:rPr>
          <w:rFonts w:ascii="Book Antiqua" w:eastAsiaTheme="minorEastAsia" w:hAnsi="Book Antiqua" w:cs="Book Antiqua" w:hint="eastAsia"/>
          <w:sz w:val="24"/>
          <w:szCs w:val="24"/>
          <w:lang w:val="en-GB" w:eastAsia="zh-CN"/>
        </w:rPr>
        <w:t>-</w:t>
      </w:r>
      <w:r w:rsidRPr="00DA5410">
        <w:rPr>
          <w:rFonts w:ascii="Book Antiqua" w:hAnsi="Book Antiqua" w:cs="Book Antiqua"/>
          <w:sz w:val="24"/>
          <w:szCs w:val="24"/>
          <w:lang w:val="en-GB"/>
        </w:rPr>
        <w:t xml:space="preserve">FU. Genotyping of UGT1A1 alleles is reasonable before treatment initiation with irinotecan to avoid severe adverse effects. Further studies are necessary to identify predictive biomarker of bevacizumab. Targeted therapy against membrane receptors appears to be the future of CRC therapy. Some promising studies are now carried out in this area, dedicated to, inter alia, other EGFR ligands, insulin-like growth factor receptor 1, platelet-derived growth factor receptors and c-MET inhibitors. The aim of </w:t>
      </w:r>
      <w:r w:rsidRPr="00DA5410">
        <w:rPr>
          <w:rFonts w:ascii="Book Antiqua" w:hAnsi="Book Antiqua" w:cs="Book Antiqua"/>
          <w:sz w:val="24"/>
          <w:szCs w:val="24"/>
          <w:lang w:val="en-GB"/>
        </w:rPr>
        <w:lastRenderedPageBreak/>
        <w:t xml:space="preserve">future research is to identify those biomarkers that can provide a non-invasive and cost-effective diagnosis, as well as to recognise the best prognostic panel of biomarkers and define the predictive biomarkers for available treatments. </w:t>
      </w:r>
    </w:p>
    <w:p w:rsidR="00F37F91" w:rsidRPr="00DA5410" w:rsidRDefault="00F37F91" w:rsidP="006413E6">
      <w:pPr>
        <w:spacing w:after="0" w:line="360" w:lineRule="auto"/>
        <w:jc w:val="both"/>
        <w:rPr>
          <w:rFonts w:ascii="Book Antiqua" w:hAnsi="Book Antiqua" w:cs="Tahoma"/>
          <w:b/>
          <w:sz w:val="24"/>
          <w:szCs w:val="24"/>
          <w:lang w:val="en-GB"/>
        </w:rPr>
      </w:pPr>
    </w:p>
    <w:p w:rsidR="00A33EE0" w:rsidRPr="00DA5410" w:rsidRDefault="00A33EE0">
      <w:pPr>
        <w:spacing w:after="160" w:line="259" w:lineRule="auto"/>
        <w:rPr>
          <w:rFonts w:ascii="Book Antiqua" w:hAnsi="Book Antiqua" w:cs="Tahoma"/>
          <w:b/>
          <w:sz w:val="24"/>
          <w:szCs w:val="24"/>
          <w:lang w:val="en-US"/>
        </w:rPr>
      </w:pPr>
      <w:r w:rsidRPr="00DA5410">
        <w:rPr>
          <w:rFonts w:ascii="Book Antiqua" w:hAnsi="Book Antiqua" w:cs="Tahoma"/>
          <w:b/>
          <w:sz w:val="24"/>
          <w:szCs w:val="24"/>
          <w:lang w:val="en-US"/>
        </w:rPr>
        <w:br w:type="page"/>
      </w:r>
    </w:p>
    <w:p w:rsidR="00F37F91" w:rsidRPr="00DA5410" w:rsidRDefault="00F37F91" w:rsidP="006413E6">
      <w:pPr>
        <w:spacing w:after="0" w:line="360" w:lineRule="auto"/>
        <w:jc w:val="both"/>
        <w:rPr>
          <w:rFonts w:ascii="Book Antiqua" w:hAnsi="Book Antiqua" w:cs="Tahoma"/>
          <w:b/>
          <w:sz w:val="24"/>
          <w:szCs w:val="24"/>
        </w:rPr>
      </w:pPr>
      <w:r w:rsidRPr="00DA5410">
        <w:rPr>
          <w:rFonts w:ascii="Book Antiqua" w:hAnsi="Book Antiqua" w:cs="Tahoma"/>
          <w:b/>
          <w:sz w:val="24"/>
          <w:szCs w:val="24"/>
        </w:rPr>
        <w:lastRenderedPageBreak/>
        <w:t>REFERENCES</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1 </w:t>
      </w:r>
      <w:r w:rsidRPr="00CF6B14">
        <w:rPr>
          <w:rFonts w:ascii="Book Antiqua" w:eastAsia="SimSun" w:hAnsi="Book Antiqua" w:cs="SimSun"/>
          <w:b/>
          <w:bCs/>
          <w:snapToGrid/>
          <w:sz w:val="24"/>
          <w:szCs w:val="24"/>
          <w:lang w:val="en-US" w:eastAsia="zh-CN"/>
        </w:rPr>
        <w:t>Siegel R</w:t>
      </w:r>
      <w:r w:rsidRPr="00CF6B14">
        <w:rPr>
          <w:rFonts w:ascii="Book Antiqua" w:eastAsia="SimSun" w:hAnsi="Book Antiqua" w:cs="SimSun"/>
          <w:snapToGrid/>
          <w:sz w:val="24"/>
          <w:szCs w:val="24"/>
          <w:lang w:val="en-US" w:eastAsia="zh-CN"/>
        </w:rPr>
        <w:t>, Naishadham D, Jemal A. Cancer statistics, 2013. </w:t>
      </w:r>
      <w:r w:rsidRPr="00CF6B14">
        <w:rPr>
          <w:rFonts w:ascii="Book Antiqua" w:eastAsia="SimSun" w:hAnsi="Book Antiqua" w:cs="SimSun"/>
          <w:i/>
          <w:iCs/>
          <w:snapToGrid/>
          <w:sz w:val="24"/>
          <w:szCs w:val="24"/>
          <w:lang w:val="en-US" w:eastAsia="zh-CN"/>
        </w:rPr>
        <w:t>CA Cancer J Clin</w:t>
      </w:r>
      <w:r w:rsidRPr="00CF6B14">
        <w:rPr>
          <w:rFonts w:ascii="Book Antiqua" w:eastAsia="SimSun" w:hAnsi="Book Antiqua" w:cs="SimSun"/>
          <w:snapToGrid/>
          <w:sz w:val="24"/>
          <w:szCs w:val="24"/>
          <w:lang w:val="en-US" w:eastAsia="zh-CN"/>
        </w:rPr>
        <w:t> 2013; </w:t>
      </w:r>
      <w:r w:rsidRPr="00CF6B14">
        <w:rPr>
          <w:rFonts w:ascii="Book Antiqua" w:eastAsia="SimSun" w:hAnsi="Book Antiqua" w:cs="SimSun"/>
          <w:b/>
          <w:bCs/>
          <w:snapToGrid/>
          <w:sz w:val="24"/>
          <w:szCs w:val="24"/>
          <w:lang w:val="en-US" w:eastAsia="zh-CN"/>
        </w:rPr>
        <w:t>63</w:t>
      </w:r>
      <w:r w:rsidRPr="00CF6B14">
        <w:rPr>
          <w:rFonts w:ascii="Book Antiqua" w:eastAsia="SimSun" w:hAnsi="Book Antiqua" w:cs="SimSun"/>
          <w:snapToGrid/>
          <w:sz w:val="24"/>
          <w:szCs w:val="24"/>
          <w:lang w:val="en-US" w:eastAsia="zh-CN"/>
        </w:rPr>
        <w:t>: 11-30 [PMID: 23335087 DOI: 10.3322/caac.21166]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2 </w:t>
      </w:r>
      <w:r w:rsidRPr="00CF6B14">
        <w:rPr>
          <w:rFonts w:ascii="Book Antiqua" w:eastAsia="SimSun" w:hAnsi="Book Antiqua" w:cs="SimSun"/>
          <w:b/>
          <w:bCs/>
          <w:snapToGrid/>
          <w:sz w:val="24"/>
          <w:szCs w:val="24"/>
          <w:lang w:val="en-US" w:eastAsia="zh-CN"/>
        </w:rPr>
        <w:t>Labianca R</w:t>
      </w:r>
      <w:r w:rsidRPr="00CF6B14">
        <w:rPr>
          <w:rFonts w:ascii="Book Antiqua" w:eastAsia="SimSun" w:hAnsi="Book Antiqua" w:cs="SimSun"/>
          <w:snapToGrid/>
          <w:sz w:val="24"/>
          <w:szCs w:val="24"/>
          <w:lang w:val="en-US" w:eastAsia="zh-CN"/>
        </w:rPr>
        <w:t>, Nordlinger B, Beretta GD, Brouquet A, Cervantes A. Primary colon cancer: ESMO Clinical Practice Guidelines for diagnosis, adjuvant treatment and follow-up.</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Ann Oncol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2010; </w:t>
      </w:r>
      <w:r w:rsidRPr="00CF6B14">
        <w:rPr>
          <w:rFonts w:ascii="Book Antiqua" w:eastAsia="SimSun" w:hAnsi="Book Antiqua" w:cs="SimSun"/>
          <w:b/>
          <w:bCs/>
          <w:snapToGrid/>
          <w:sz w:val="24"/>
          <w:szCs w:val="24"/>
          <w:lang w:val="en-US" w:eastAsia="zh-CN"/>
        </w:rPr>
        <w:t>21 Suppl 5</w:t>
      </w:r>
      <w:r w:rsidRPr="00CF6B14">
        <w:rPr>
          <w:rFonts w:ascii="Book Antiqua" w:eastAsia="SimSun" w:hAnsi="Book Antiqua" w:cs="SimSun"/>
          <w:snapToGrid/>
          <w:sz w:val="24"/>
          <w:szCs w:val="24"/>
          <w:lang w:val="en-US" w:eastAsia="zh-CN"/>
        </w:rPr>
        <w:t>: v70-v77 [PMID: 20555107 DOI: 10.1093/annonc/mdq168]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3 </w:t>
      </w:r>
      <w:r w:rsidRPr="00CF6B14">
        <w:rPr>
          <w:rFonts w:ascii="Book Antiqua" w:eastAsia="SimSun" w:hAnsi="Book Antiqua" w:cs="SimSun"/>
          <w:b/>
          <w:bCs/>
          <w:snapToGrid/>
          <w:sz w:val="24"/>
          <w:szCs w:val="24"/>
          <w:lang w:val="en-US" w:eastAsia="zh-CN"/>
        </w:rPr>
        <w:t>Berrino F</w:t>
      </w:r>
      <w:r w:rsidRPr="00CF6B14">
        <w:rPr>
          <w:rFonts w:ascii="Book Antiqua" w:eastAsia="SimSun" w:hAnsi="Book Antiqua" w:cs="SimSun"/>
          <w:snapToGrid/>
          <w:sz w:val="24"/>
          <w:szCs w:val="24"/>
          <w:lang w:val="en-US" w:eastAsia="zh-CN"/>
        </w:rPr>
        <w:t>, De Angelis R, Sant M, Rosso S, Bielska-Lasota M, Coebergh JW, Santaquilani M. Survival for eight major cancers and all cancers combined for European adults diagnosed in 1995-99: results of the EUROCARE-4 study.</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Lancet Oncol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2007;</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8</w:t>
      </w:r>
      <w:r w:rsidRPr="00CF6B14">
        <w:rPr>
          <w:rFonts w:ascii="Book Antiqua" w:eastAsia="SimSun" w:hAnsi="Book Antiqua" w:cs="SimSun"/>
          <w:snapToGrid/>
          <w:sz w:val="24"/>
          <w:szCs w:val="24"/>
          <w:lang w:val="en-US" w:eastAsia="zh-CN"/>
        </w:rPr>
        <w:t>:</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773-783 [PMID: 17714991 DOI: 10.1016/S1470-2045(07)70245-0]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 National Cancer Institute SEER Stat Fact Sheets: Colon and rectum. 2011. Available from: URL: http: //seer.cancer.gov/statfacts/html/colorect.html</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5 </w:t>
      </w:r>
      <w:r w:rsidRPr="00CF6B14">
        <w:rPr>
          <w:rFonts w:ascii="Book Antiqua" w:eastAsia="SimSun" w:hAnsi="Book Antiqua" w:cs="SimSun"/>
          <w:b/>
          <w:bCs/>
          <w:snapToGrid/>
          <w:sz w:val="24"/>
          <w:szCs w:val="24"/>
          <w:lang w:val="en-US" w:eastAsia="zh-CN"/>
        </w:rPr>
        <w:t>Langan RC</w:t>
      </w:r>
      <w:r w:rsidRPr="00CF6B14">
        <w:rPr>
          <w:rFonts w:ascii="Book Antiqua" w:eastAsia="SimSun" w:hAnsi="Book Antiqua" w:cs="SimSun"/>
          <w:snapToGrid/>
          <w:sz w:val="24"/>
          <w:szCs w:val="24"/>
          <w:lang w:val="en-US" w:eastAsia="zh-CN"/>
        </w:rPr>
        <w:t>, Mullinax JE, Raiji MT, Upham T, Summers T, Stojadinovic A, Avital I. Colorectal cancer biomarkers and the potential role of cancer stem cells.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J Cancer</w:t>
      </w:r>
      <w:r w:rsidRPr="00CF6B14">
        <w:rPr>
          <w:rFonts w:ascii="Book Antiqua" w:eastAsia="SimSun" w:hAnsi="Book Antiqua" w:cs="SimSun"/>
          <w:snapToGrid/>
          <w:sz w:val="24"/>
          <w:szCs w:val="24"/>
          <w:lang w:val="en-US" w:eastAsia="zh-CN"/>
        </w:rPr>
        <w:t> 2013; </w:t>
      </w:r>
      <w:r w:rsidRPr="00CF6B14">
        <w:rPr>
          <w:rFonts w:ascii="Book Antiqua" w:eastAsia="SimSun" w:hAnsi="Book Antiqua" w:cs="SimSun"/>
          <w:b/>
          <w:bCs/>
          <w:snapToGrid/>
          <w:sz w:val="24"/>
          <w:szCs w:val="24"/>
          <w:lang w:val="en-US" w:eastAsia="zh-CN"/>
        </w:rPr>
        <w:t>4</w:t>
      </w:r>
      <w:r w:rsidRPr="00CF6B14">
        <w:rPr>
          <w:rFonts w:ascii="Book Antiqua" w:eastAsia="SimSun" w:hAnsi="Book Antiqua" w:cs="SimSun"/>
          <w:snapToGrid/>
          <w:sz w:val="24"/>
          <w:szCs w:val="24"/>
          <w:lang w:val="en-US" w:eastAsia="zh-CN"/>
        </w:rPr>
        <w:t>: 241-250 [PMID: 23459666 DOI: 10.7150/jca.5832]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6 </w:t>
      </w:r>
      <w:r w:rsidRPr="00CF6B14">
        <w:rPr>
          <w:rFonts w:ascii="Book Antiqua" w:eastAsia="SimSun" w:hAnsi="Book Antiqua" w:cs="SimSun"/>
          <w:b/>
          <w:bCs/>
          <w:snapToGrid/>
          <w:sz w:val="24"/>
          <w:szCs w:val="24"/>
          <w:lang w:val="en-US" w:eastAsia="zh-CN"/>
        </w:rPr>
        <w:t>Lech G</w:t>
      </w:r>
      <w:r w:rsidRPr="00CF6B14">
        <w:rPr>
          <w:rFonts w:ascii="Book Antiqua" w:eastAsia="SimSun" w:hAnsi="Book Antiqua" w:cs="SimSun"/>
          <w:snapToGrid/>
          <w:sz w:val="24"/>
          <w:szCs w:val="24"/>
          <w:lang w:val="en-US" w:eastAsia="zh-CN"/>
        </w:rPr>
        <w:t>, Slotwinski R, Krasnodebski IW. The role of tumor markers and biomarkers in colorectal cancer. </w:t>
      </w:r>
      <w:r w:rsidRPr="00CF6B14">
        <w:rPr>
          <w:rFonts w:ascii="Book Antiqua" w:eastAsia="SimSun" w:hAnsi="Book Antiqua" w:cs="SimSun"/>
          <w:i/>
          <w:iCs/>
          <w:snapToGrid/>
          <w:sz w:val="24"/>
          <w:szCs w:val="24"/>
          <w:lang w:val="en-US" w:eastAsia="zh-CN"/>
        </w:rPr>
        <w:t>Neoplasma</w:t>
      </w:r>
      <w:r w:rsidRPr="00CF6B14">
        <w:rPr>
          <w:rFonts w:ascii="Book Antiqua" w:eastAsia="SimSun" w:hAnsi="Book Antiqua" w:cs="SimSun"/>
          <w:snapToGrid/>
          <w:sz w:val="24"/>
          <w:szCs w:val="24"/>
          <w:lang w:val="en-US" w:eastAsia="zh-CN"/>
        </w:rPr>
        <w:t> 2014; </w:t>
      </w:r>
      <w:r w:rsidRPr="00CF6B14">
        <w:rPr>
          <w:rFonts w:ascii="Book Antiqua" w:eastAsia="SimSun" w:hAnsi="Book Antiqua" w:cs="SimSun"/>
          <w:b/>
          <w:bCs/>
          <w:snapToGrid/>
          <w:sz w:val="24"/>
          <w:szCs w:val="24"/>
          <w:lang w:val="en-US" w:eastAsia="zh-CN"/>
        </w:rPr>
        <w:t>61</w:t>
      </w:r>
      <w:r w:rsidRPr="00CF6B14">
        <w:rPr>
          <w:rFonts w:ascii="Book Antiqua" w:eastAsia="SimSun" w:hAnsi="Book Antiqua" w:cs="SimSun"/>
          <w:snapToGrid/>
          <w:sz w:val="24"/>
          <w:szCs w:val="24"/>
          <w:lang w:val="en-US" w:eastAsia="zh-CN"/>
        </w:rPr>
        <w:t>: 1-8 [PMID: 24195503 DOI: 10.4149/neo_2014_003]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7 </w:t>
      </w:r>
      <w:r w:rsidRPr="00CF6B14">
        <w:rPr>
          <w:rFonts w:ascii="Book Antiqua" w:eastAsia="SimSun" w:hAnsi="Book Antiqua" w:cs="SimSun"/>
          <w:b/>
          <w:bCs/>
          <w:snapToGrid/>
          <w:sz w:val="24"/>
          <w:szCs w:val="24"/>
          <w:lang w:val="en-US" w:eastAsia="zh-CN"/>
        </w:rPr>
        <w:t>Osborn NK</w:t>
      </w:r>
      <w:r w:rsidRPr="00CF6B14">
        <w:rPr>
          <w:rFonts w:ascii="Book Antiqua" w:eastAsia="SimSun" w:hAnsi="Book Antiqua" w:cs="SimSun"/>
          <w:snapToGrid/>
          <w:sz w:val="24"/>
          <w:szCs w:val="24"/>
          <w:lang w:val="en-US" w:eastAsia="zh-CN"/>
        </w:rPr>
        <w:t>, Ahlquist DA. Stool screening for colorectal cancer: molecular approaches. </w:t>
      </w:r>
      <w:r w:rsidRPr="00CF6B14">
        <w:rPr>
          <w:rFonts w:ascii="Book Antiqua" w:eastAsia="SimSun" w:hAnsi="Book Antiqua" w:cs="SimSun"/>
          <w:i/>
          <w:iCs/>
          <w:snapToGrid/>
          <w:sz w:val="24"/>
          <w:szCs w:val="24"/>
          <w:lang w:val="en-US" w:eastAsia="zh-CN"/>
        </w:rPr>
        <w:t>Gastroenterology</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2005;</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128</w:t>
      </w:r>
      <w:r w:rsidRPr="00CF6B14">
        <w:rPr>
          <w:rFonts w:ascii="Book Antiqua" w:eastAsia="SimSun" w:hAnsi="Book Antiqua" w:cs="SimSun"/>
          <w:snapToGrid/>
          <w:sz w:val="24"/>
          <w:szCs w:val="24"/>
          <w:lang w:val="en-US" w:eastAsia="zh-CN"/>
        </w:rPr>
        <w:t>: 192-206 [PMID: 15633136 DOI: 10.1053/j.gastro.2004.10.041]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8 </w:t>
      </w:r>
      <w:r w:rsidRPr="00CF6B14">
        <w:rPr>
          <w:rFonts w:ascii="Book Antiqua" w:eastAsia="SimSun" w:hAnsi="Book Antiqua" w:cs="SimSun"/>
          <w:b/>
          <w:bCs/>
          <w:snapToGrid/>
          <w:sz w:val="24"/>
          <w:szCs w:val="24"/>
          <w:lang w:val="en-US" w:eastAsia="zh-CN"/>
        </w:rPr>
        <w:t>Traverso G</w:t>
      </w:r>
      <w:r w:rsidRPr="00CF6B14">
        <w:rPr>
          <w:rFonts w:ascii="Book Antiqua" w:eastAsia="SimSun" w:hAnsi="Book Antiqua" w:cs="SimSun"/>
          <w:snapToGrid/>
          <w:sz w:val="24"/>
          <w:szCs w:val="24"/>
          <w:lang w:val="en-US" w:eastAsia="zh-CN"/>
        </w:rPr>
        <w:t>, Shuber A, Levin B, Johnson C, Olsson L, Schoetz DJ, Hamilton SR, Boynton K, Kinzler KW, Vogelstein B. Detection of APC mutations in fecal DNA from patients with colorectal tumors. </w:t>
      </w:r>
      <w:r w:rsidRPr="00CF6B14">
        <w:rPr>
          <w:rFonts w:ascii="Book Antiqua" w:eastAsia="SimSun" w:hAnsi="Book Antiqua" w:cs="SimSun"/>
          <w:i/>
          <w:iCs/>
          <w:snapToGrid/>
          <w:sz w:val="24"/>
          <w:szCs w:val="24"/>
          <w:lang w:val="en-US" w:eastAsia="zh-CN"/>
        </w:rPr>
        <w:t>N Engl J Med</w:t>
      </w:r>
      <w:r w:rsidRPr="00CF6B14">
        <w:rPr>
          <w:rFonts w:ascii="Book Antiqua" w:eastAsia="SimSun" w:hAnsi="Book Antiqua" w:cs="SimSun"/>
          <w:snapToGrid/>
          <w:sz w:val="24"/>
          <w:szCs w:val="24"/>
          <w:lang w:val="en-US" w:eastAsia="zh-CN"/>
        </w:rPr>
        <w:t> 2002; </w:t>
      </w:r>
      <w:r w:rsidRPr="00CF6B14">
        <w:rPr>
          <w:rFonts w:ascii="Book Antiqua" w:eastAsia="SimSun" w:hAnsi="Book Antiqua" w:cs="SimSun"/>
          <w:b/>
          <w:bCs/>
          <w:snapToGrid/>
          <w:sz w:val="24"/>
          <w:szCs w:val="24"/>
          <w:lang w:val="en-US" w:eastAsia="zh-CN"/>
        </w:rPr>
        <w:t>346</w:t>
      </w:r>
      <w:r w:rsidRPr="00CF6B14">
        <w:rPr>
          <w:rFonts w:ascii="Book Antiqua" w:eastAsia="SimSun" w:hAnsi="Book Antiqua" w:cs="SimSun"/>
          <w:snapToGrid/>
          <w:sz w:val="24"/>
          <w:szCs w:val="24"/>
          <w:lang w:val="en-US" w:eastAsia="zh-CN"/>
        </w:rPr>
        <w:t>: 311-320 [PMID: 11821507 DOI: 10.1056/Nejmoa012294]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9 </w:t>
      </w:r>
      <w:r w:rsidRPr="00CF6B14">
        <w:rPr>
          <w:rFonts w:ascii="Book Antiqua" w:eastAsia="SimSun" w:hAnsi="Book Antiqua" w:cs="SimSun"/>
          <w:b/>
          <w:bCs/>
          <w:snapToGrid/>
          <w:sz w:val="24"/>
          <w:szCs w:val="24"/>
          <w:lang w:val="en-US" w:eastAsia="zh-CN"/>
        </w:rPr>
        <w:t>Bosch LJ</w:t>
      </w:r>
      <w:r w:rsidRPr="00CF6B14">
        <w:rPr>
          <w:rFonts w:ascii="Book Antiqua" w:eastAsia="SimSun" w:hAnsi="Book Antiqua" w:cs="SimSun"/>
          <w:snapToGrid/>
          <w:sz w:val="24"/>
          <w:szCs w:val="24"/>
          <w:lang w:val="en-US" w:eastAsia="zh-CN"/>
        </w:rPr>
        <w:t>, Carvalho B, Fijneman RJ, Jimenez CR, Pinedo HM, van Engeland M, Meijer GA. Molecular tests for colorectal cancer screening. </w:t>
      </w:r>
      <w:r w:rsidRPr="00CF6B14">
        <w:rPr>
          <w:rFonts w:ascii="Book Antiqua" w:eastAsia="SimSun" w:hAnsi="Book Antiqua" w:cs="SimSun"/>
          <w:i/>
          <w:iCs/>
          <w:snapToGrid/>
          <w:sz w:val="24"/>
          <w:szCs w:val="24"/>
          <w:lang w:val="en-US" w:eastAsia="zh-CN"/>
        </w:rPr>
        <w:t>Clin Colorectal Cancer</w:t>
      </w:r>
      <w:r w:rsidRPr="00CF6B14">
        <w:rPr>
          <w:rFonts w:ascii="Book Antiqua" w:eastAsia="SimSun" w:hAnsi="Book Antiqua" w:cs="SimSun"/>
          <w:snapToGrid/>
          <w:sz w:val="24"/>
          <w:szCs w:val="24"/>
          <w:lang w:val="en-US" w:eastAsia="zh-CN"/>
        </w:rPr>
        <w:t> 2011; </w:t>
      </w:r>
      <w:r w:rsidRPr="00CF6B14">
        <w:rPr>
          <w:rFonts w:ascii="Book Antiqua" w:eastAsia="SimSun" w:hAnsi="Book Antiqua" w:cs="SimSun"/>
          <w:b/>
          <w:bCs/>
          <w:snapToGrid/>
          <w:sz w:val="24"/>
          <w:szCs w:val="24"/>
          <w:lang w:val="en-US" w:eastAsia="zh-CN"/>
        </w:rPr>
        <w:t>10</w:t>
      </w:r>
      <w:r w:rsidRPr="00CF6B14">
        <w:rPr>
          <w:rFonts w:ascii="Book Antiqua" w:eastAsia="SimSun" w:hAnsi="Book Antiqua" w:cs="SimSun"/>
          <w:snapToGrid/>
          <w:sz w:val="24"/>
          <w:szCs w:val="24"/>
          <w:lang w:val="en-US" w:eastAsia="zh-CN"/>
        </w:rPr>
        <w:t>: 8-23 [PMID: 21609931 DOI: 10.3816/Ccc.2011.N.002]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10 </w:t>
      </w:r>
      <w:r w:rsidRPr="00CF6B14">
        <w:rPr>
          <w:rFonts w:ascii="Book Antiqua" w:eastAsia="SimSun" w:hAnsi="Book Antiqua" w:cs="SimSun"/>
          <w:b/>
          <w:bCs/>
          <w:snapToGrid/>
          <w:sz w:val="24"/>
          <w:szCs w:val="24"/>
          <w:lang w:val="en-US" w:eastAsia="zh-CN"/>
        </w:rPr>
        <w:t>Ahlquist DA</w:t>
      </w:r>
      <w:r w:rsidRPr="00CF6B14">
        <w:rPr>
          <w:rFonts w:ascii="Book Antiqua" w:eastAsia="SimSun" w:hAnsi="Book Antiqua" w:cs="SimSun"/>
          <w:snapToGrid/>
          <w:sz w:val="24"/>
          <w:szCs w:val="24"/>
          <w:lang w:val="en-US" w:eastAsia="zh-CN"/>
        </w:rPr>
        <w:t xml:space="preserve">, Sargent DJ, Loprinzi CL, Levin TR, Rex DK, Ahnen DJ, Knigge K, Lance MP, Burgart LJ, Hamilton SR, Allison JE, Lawson MJ, Devens ME, Harrington </w:t>
      </w:r>
      <w:r w:rsidRPr="00CF6B14">
        <w:rPr>
          <w:rFonts w:ascii="Book Antiqua" w:eastAsia="SimSun" w:hAnsi="Book Antiqua" w:cs="SimSun"/>
          <w:snapToGrid/>
          <w:sz w:val="24"/>
          <w:szCs w:val="24"/>
          <w:lang w:val="en-US" w:eastAsia="zh-CN"/>
        </w:rPr>
        <w:lastRenderedPageBreak/>
        <w:t>JJ, Hillman SL. Stool DNA and occult blood testing for screen detection of colorectal neoplasia. </w:t>
      </w:r>
      <w:r w:rsidRPr="00CF6B14">
        <w:rPr>
          <w:rFonts w:ascii="Book Antiqua" w:eastAsia="SimSun" w:hAnsi="Book Antiqua" w:cs="SimSun"/>
          <w:i/>
          <w:iCs/>
          <w:snapToGrid/>
          <w:sz w:val="24"/>
          <w:szCs w:val="24"/>
          <w:lang w:val="en-US" w:eastAsia="zh-CN"/>
        </w:rPr>
        <w:t>Ann Intern Med</w:t>
      </w:r>
      <w:r w:rsidRPr="00CF6B14">
        <w:rPr>
          <w:rFonts w:ascii="Book Antiqua" w:eastAsia="SimSun" w:hAnsi="Book Antiqua" w:cs="SimSun"/>
          <w:snapToGrid/>
          <w:sz w:val="24"/>
          <w:szCs w:val="24"/>
          <w:lang w:val="en-US" w:eastAsia="zh-CN"/>
        </w:rPr>
        <w:t> 2008; </w:t>
      </w:r>
      <w:r w:rsidRPr="00CF6B14">
        <w:rPr>
          <w:rFonts w:ascii="Book Antiqua" w:eastAsia="SimSun" w:hAnsi="Book Antiqua" w:cs="SimSun"/>
          <w:b/>
          <w:bCs/>
          <w:snapToGrid/>
          <w:sz w:val="24"/>
          <w:szCs w:val="24"/>
          <w:lang w:val="en-US" w:eastAsia="zh-CN"/>
        </w:rPr>
        <w:t>149</w:t>
      </w:r>
      <w:r w:rsidRPr="00CF6B14">
        <w:rPr>
          <w:rFonts w:ascii="Book Antiqua" w:eastAsia="SimSun" w:hAnsi="Book Antiqua" w:cs="SimSun"/>
          <w:snapToGrid/>
          <w:sz w:val="24"/>
          <w:szCs w:val="24"/>
          <w:lang w:val="en-US" w:eastAsia="zh-CN"/>
        </w:rPr>
        <w:t>: 441-50, W81 [PMID: 18838724]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11 </w:t>
      </w:r>
      <w:r w:rsidRPr="00CF6B14">
        <w:rPr>
          <w:rFonts w:ascii="Book Antiqua" w:eastAsia="SimSun" w:hAnsi="Book Antiqua" w:cs="SimSun"/>
          <w:b/>
          <w:bCs/>
          <w:snapToGrid/>
          <w:sz w:val="24"/>
          <w:szCs w:val="24"/>
          <w:lang w:val="en-US" w:eastAsia="zh-CN"/>
        </w:rPr>
        <w:t>Calistri D</w:t>
      </w:r>
      <w:r w:rsidRPr="00CF6B14">
        <w:rPr>
          <w:rFonts w:ascii="Book Antiqua" w:eastAsia="SimSun" w:hAnsi="Book Antiqua" w:cs="SimSun"/>
          <w:snapToGrid/>
          <w:sz w:val="24"/>
          <w:szCs w:val="24"/>
          <w:lang w:val="en-US" w:eastAsia="zh-CN"/>
        </w:rPr>
        <w:t>, Rengucci C, Molinari C, Ricci E, Cavargini E, Scarpi E, Milandri GL, Fabbri C, Ravaioli A, Russo A, Amadori D, Silvestrini R. Quantitative fluorescence determination of long-fragment DNA in stool as a marker for the early detection of colorectal 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Cell Oncol</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31</w:t>
      </w:r>
      <w:r w:rsidRPr="00CF6B14">
        <w:rPr>
          <w:rFonts w:ascii="Book Antiqua" w:eastAsia="SimSun" w:hAnsi="Book Antiqua" w:cs="SimSun"/>
          <w:snapToGrid/>
          <w:sz w:val="24"/>
          <w:szCs w:val="24"/>
          <w:lang w:val="en-US" w:eastAsia="zh-CN"/>
        </w:rPr>
        <w:t>: 11-17 [PMID: 19096146 DOI: 10.3233/Clo-2009-0443]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12 </w:t>
      </w:r>
      <w:r w:rsidRPr="00CF6B14">
        <w:rPr>
          <w:rFonts w:ascii="Book Antiqua" w:eastAsia="SimSun" w:hAnsi="Book Antiqua" w:cs="SimSun"/>
          <w:b/>
          <w:bCs/>
          <w:snapToGrid/>
          <w:sz w:val="24"/>
          <w:szCs w:val="24"/>
          <w:lang w:val="en-US" w:eastAsia="zh-CN"/>
        </w:rPr>
        <w:t>Diehl F</w:t>
      </w:r>
      <w:r w:rsidRPr="00CF6B14">
        <w:rPr>
          <w:rFonts w:ascii="Book Antiqua" w:eastAsia="SimSun" w:hAnsi="Book Antiqua" w:cs="SimSun"/>
          <w:snapToGrid/>
          <w:sz w:val="24"/>
          <w:szCs w:val="24"/>
          <w:lang w:val="en-US" w:eastAsia="zh-CN"/>
        </w:rPr>
        <w:t>, Schmidt K, Durkee KH, Moore KJ, Goodman SN, Shuber AP, Kinzler KW, Vogelstein B. Analysis of mutations in DNA isolated from plasma and stool of colorectal cancer patients. </w:t>
      </w:r>
      <w:r w:rsidRPr="00CF6B14">
        <w:rPr>
          <w:rFonts w:ascii="Book Antiqua" w:eastAsia="SimSun" w:hAnsi="Book Antiqua" w:cs="SimSun"/>
          <w:i/>
          <w:iCs/>
          <w:snapToGrid/>
          <w:sz w:val="24"/>
          <w:szCs w:val="24"/>
          <w:lang w:val="en-US" w:eastAsia="zh-CN"/>
        </w:rPr>
        <w:t>Gastroenterology</w:t>
      </w:r>
      <w:r w:rsidRPr="00CF6B14">
        <w:rPr>
          <w:rFonts w:ascii="Book Antiqua" w:eastAsia="SimSun" w:hAnsi="Book Antiqua" w:cs="SimSun"/>
          <w:snapToGrid/>
          <w:sz w:val="24"/>
          <w:szCs w:val="24"/>
          <w:lang w:val="en-US" w:eastAsia="zh-CN"/>
        </w:rPr>
        <w:t> 2008; </w:t>
      </w:r>
      <w:r w:rsidRPr="00CF6B14">
        <w:rPr>
          <w:rFonts w:ascii="Book Antiqua" w:eastAsia="SimSun" w:hAnsi="Book Antiqua" w:cs="SimSun"/>
          <w:b/>
          <w:bCs/>
          <w:snapToGrid/>
          <w:sz w:val="24"/>
          <w:szCs w:val="24"/>
          <w:lang w:val="en-US" w:eastAsia="zh-CN"/>
        </w:rPr>
        <w:t>135</w:t>
      </w:r>
      <w:r w:rsidRPr="00CF6B14">
        <w:rPr>
          <w:rFonts w:ascii="Book Antiqua" w:eastAsia="SimSun" w:hAnsi="Book Antiqua" w:cs="SimSun"/>
          <w:snapToGrid/>
          <w:sz w:val="24"/>
          <w:szCs w:val="24"/>
          <w:lang w:val="en-US" w:eastAsia="zh-CN"/>
        </w:rPr>
        <w:t>: 489-498 [PMID: 18602395 DOI: 10.1053/j.gastro.2008.05.039]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13 </w:t>
      </w:r>
      <w:r w:rsidRPr="00CF6B14">
        <w:rPr>
          <w:rFonts w:ascii="Book Antiqua" w:eastAsia="SimSun" w:hAnsi="Book Antiqua" w:cs="SimSun"/>
          <w:b/>
          <w:bCs/>
          <w:snapToGrid/>
          <w:sz w:val="24"/>
          <w:szCs w:val="24"/>
          <w:lang w:val="en-US" w:eastAsia="zh-CN"/>
        </w:rPr>
        <w:t>Leung WK</w:t>
      </w:r>
      <w:r w:rsidRPr="00CF6B14">
        <w:rPr>
          <w:rFonts w:ascii="Book Antiqua" w:eastAsia="SimSun" w:hAnsi="Book Antiqua" w:cs="SimSun"/>
          <w:snapToGrid/>
          <w:sz w:val="24"/>
          <w:szCs w:val="24"/>
          <w:lang w:val="en-US" w:eastAsia="zh-CN"/>
        </w:rPr>
        <w:t>, To KF, Man EP, Chan MW, Hui AJ, Ng SS, Lau JY, Sung JJ. Detection of hypermethylated DNA or cyclooxygenase-2 messenger RNA in fecal samples of patients with colorectal cancer or polyps. </w:t>
      </w:r>
      <w:r w:rsidRPr="00CF6B14">
        <w:rPr>
          <w:rFonts w:ascii="Book Antiqua" w:eastAsia="SimSun" w:hAnsi="Book Antiqua" w:cs="SimSun"/>
          <w:i/>
          <w:iCs/>
          <w:snapToGrid/>
          <w:sz w:val="24"/>
          <w:szCs w:val="24"/>
          <w:lang w:val="en-US" w:eastAsia="zh-CN"/>
        </w:rPr>
        <w:t>Am J Gastroenterol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2007;</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102</w:t>
      </w:r>
      <w:r w:rsidRPr="00CF6B14">
        <w:rPr>
          <w:rFonts w:ascii="Book Antiqua" w:eastAsia="SimSun" w:hAnsi="Book Antiqua" w:cs="SimSun"/>
          <w:snapToGrid/>
          <w:sz w:val="24"/>
          <w:szCs w:val="24"/>
          <w:lang w:val="en-US" w:eastAsia="zh-CN"/>
        </w:rPr>
        <w:t>: 1070-1076 [PMID: 17378912 DOI: 10.1111/j.1572-0241.2007.01108.x]</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14 </w:t>
      </w:r>
      <w:r w:rsidRPr="00CF6B14">
        <w:rPr>
          <w:rFonts w:ascii="Book Antiqua" w:eastAsia="SimSun" w:hAnsi="Book Antiqua" w:cs="SimSun"/>
          <w:b/>
          <w:bCs/>
          <w:snapToGrid/>
          <w:sz w:val="24"/>
          <w:szCs w:val="24"/>
          <w:lang w:val="en-US" w:eastAsia="zh-CN"/>
        </w:rPr>
        <w:t>Nagasaka T</w:t>
      </w:r>
      <w:r w:rsidRPr="00CF6B14">
        <w:rPr>
          <w:rFonts w:ascii="Book Antiqua" w:eastAsia="SimSun" w:hAnsi="Book Antiqua" w:cs="SimSun"/>
          <w:snapToGrid/>
          <w:sz w:val="24"/>
          <w:szCs w:val="24"/>
          <w:lang w:val="en-US" w:eastAsia="zh-CN"/>
        </w:rPr>
        <w:t>, Tanaka N, Cullings HM, Sun DS, Sasamoto H, Uchida T, Koi M, Nishida N, Naomoto Y, Boland CR, Matsubara N, Goel A. Analysis of fecal DNA methylation to detect gastrointestinal neoplasia. </w:t>
      </w:r>
      <w:r w:rsidRPr="00CF6B14">
        <w:rPr>
          <w:rFonts w:ascii="Book Antiqua" w:eastAsia="SimSun" w:hAnsi="Book Antiqua" w:cs="SimSun"/>
          <w:i/>
          <w:iCs/>
          <w:snapToGrid/>
          <w:sz w:val="24"/>
          <w:szCs w:val="24"/>
          <w:lang w:val="en-US" w:eastAsia="zh-CN"/>
        </w:rPr>
        <w:t>J Natl Cancer Inst</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101</w:t>
      </w:r>
      <w:r w:rsidRPr="00CF6B14">
        <w:rPr>
          <w:rFonts w:ascii="Book Antiqua" w:eastAsia="SimSun" w:hAnsi="Book Antiqua" w:cs="SimSun"/>
          <w:snapToGrid/>
          <w:sz w:val="24"/>
          <w:szCs w:val="24"/>
          <w:lang w:val="en-US" w:eastAsia="zh-CN"/>
        </w:rPr>
        <w:t>: 1244-1258 [PMID: 19700653 DOI: 10.1093/Jnci/Djp265]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15 </w:t>
      </w:r>
      <w:r w:rsidRPr="00CF6B14">
        <w:rPr>
          <w:rFonts w:ascii="Book Antiqua" w:eastAsia="SimSun" w:hAnsi="Book Antiqua" w:cs="SimSun"/>
          <w:b/>
          <w:bCs/>
          <w:snapToGrid/>
          <w:sz w:val="24"/>
          <w:szCs w:val="24"/>
          <w:lang w:val="en-US" w:eastAsia="zh-CN"/>
        </w:rPr>
        <w:t>Koga Y</w:t>
      </w:r>
      <w:r w:rsidRPr="00CF6B14">
        <w:rPr>
          <w:rFonts w:ascii="Book Antiqua" w:eastAsia="SimSun" w:hAnsi="Book Antiqua" w:cs="SimSun"/>
          <w:snapToGrid/>
          <w:sz w:val="24"/>
          <w:szCs w:val="24"/>
          <w:lang w:val="en-US" w:eastAsia="zh-CN"/>
        </w:rPr>
        <w:t>, Yasunaga M, Moriya Y, Akasu T, Fujita S, Yamamoto S, Kozu T, Baba H, Matsumura Y. Detection of colorectal cancer cells from feces using quantitative real-time RT-PCR for colorectal cancer diagnosis. </w:t>
      </w:r>
      <w:r w:rsidRPr="00CF6B14">
        <w:rPr>
          <w:rFonts w:ascii="Book Antiqua" w:eastAsia="SimSun" w:hAnsi="Book Antiqua" w:cs="SimSun"/>
          <w:i/>
          <w:iCs/>
          <w:snapToGrid/>
          <w:sz w:val="24"/>
          <w:szCs w:val="24"/>
          <w:lang w:val="en-US" w:eastAsia="zh-CN"/>
        </w:rPr>
        <w:t>Cancer Sci</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2008;</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99</w:t>
      </w:r>
      <w:r w:rsidRPr="00CF6B14">
        <w:rPr>
          <w:rFonts w:ascii="Book Antiqua" w:eastAsia="SimSun" w:hAnsi="Book Antiqua" w:cs="SimSun"/>
          <w:snapToGrid/>
          <w:sz w:val="24"/>
          <w:szCs w:val="24"/>
          <w:lang w:val="en-US" w:eastAsia="zh-CN"/>
        </w:rPr>
        <w:t>:</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1977-1983 [PMID: 19016757 DOI: 10.1111/j.1349-7006.2008.00954.x]</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16 </w:t>
      </w:r>
      <w:r w:rsidRPr="00CF6B14">
        <w:rPr>
          <w:rFonts w:ascii="Book Antiqua" w:eastAsia="SimSun" w:hAnsi="Book Antiqua" w:cs="SimSun"/>
          <w:b/>
          <w:bCs/>
          <w:snapToGrid/>
          <w:sz w:val="24"/>
          <w:szCs w:val="24"/>
          <w:lang w:val="en-US" w:eastAsia="zh-CN"/>
        </w:rPr>
        <w:t>Koga Y</w:t>
      </w:r>
      <w:r w:rsidRPr="00CF6B14">
        <w:rPr>
          <w:rFonts w:ascii="Book Antiqua" w:eastAsia="SimSun" w:hAnsi="Book Antiqua" w:cs="SimSun"/>
          <w:snapToGrid/>
          <w:sz w:val="24"/>
          <w:szCs w:val="24"/>
          <w:lang w:val="en-US" w:eastAsia="zh-CN"/>
        </w:rPr>
        <w:t>, Yasunaga M, Takahashi A, Kuroda J, Moriya Y, Akasu T, Fujita S, Yamamoto S, Baba H, Matsumura Y. MicroRNA expression profiling of exfoliated colonocytes isolated from feces for colorectal cancer screening. </w:t>
      </w:r>
      <w:r w:rsidRPr="00CF6B14">
        <w:rPr>
          <w:rFonts w:ascii="Book Antiqua" w:eastAsia="SimSun" w:hAnsi="Book Antiqua" w:cs="SimSun"/>
          <w:i/>
          <w:iCs/>
          <w:snapToGrid/>
          <w:sz w:val="24"/>
          <w:szCs w:val="24"/>
          <w:lang w:val="en-US" w:eastAsia="zh-CN"/>
        </w:rPr>
        <w:t>Cancer Prev Res (Phila)</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3</w:t>
      </w:r>
      <w:r w:rsidRPr="00CF6B14">
        <w:rPr>
          <w:rFonts w:ascii="Book Antiqua" w:eastAsia="SimSun" w:hAnsi="Book Antiqua" w:cs="SimSun"/>
          <w:snapToGrid/>
          <w:sz w:val="24"/>
          <w:szCs w:val="24"/>
          <w:lang w:val="en-US" w:eastAsia="zh-CN"/>
        </w:rPr>
        <w:t>: 1435-1442 [PMID: 20959518 DOI: 10.1158/1940-6207.Capr-10-0036]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17 </w:t>
      </w:r>
      <w:r w:rsidRPr="00CF6B14">
        <w:rPr>
          <w:rFonts w:ascii="Book Antiqua" w:eastAsia="SimSun" w:hAnsi="Book Antiqua" w:cs="SimSun"/>
          <w:b/>
          <w:bCs/>
          <w:snapToGrid/>
          <w:sz w:val="24"/>
          <w:szCs w:val="24"/>
          <w:lang w:val="en-US" w:eastAsia="zh-CN"/>
        </w:rPr>
        <w:t>Link A</w:t>
      </w:r>
      <w:r w:rsidRPr="00CF6B14">
        <w:rPr>
          <w:rFonts w:ascii="Book Antiqua" w:eastAsia="SimSun" w:hAnsi="Book Antiqua" w:cs="SimSun"/>
          <w:snapToGrid/>
          <w:sz w:val="24"/>
          <w:szCs w:val="24"/>
          <w:lang w:val="en-US" w:eastAsia="zh-CN"/>
        </w:rPr>
        <w:t>, Balaguer F, Shen Y, Nagasaka T, Lozano JJ, Boland CR, Goel A. Fecal MicroRNAs as novel biomarkers for colon cancer screening. </w:t>
      </w:r>
      <w:r w:rsidRPr="00CF6B14">
        <w:rPr>
          <w:rFonts w:ascii="Book Antiqua" w:eastAsia="SimSun" w:hAnsi="Book Antiqua" w:cs="SimSun"/>
          <w:i/>
          <w:iCs/>
          <w:snapToGrid/>
          <w:sz w:val="24"/>
          <w:szCs w:val="24"/>
          <w:lang w:val="en-US" w:eastAsia="zh-CN"/>
        </w:rPr>
        <w:t>Cancer Epidemiol Biomarkers Prev</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2010;</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19</w:t>
      </w:r>
      <w:r w:rsidRPr="00CF6B14">
        <w:rPr>
          <w:rFonts w:ascii="Book Antiqua" w:eastAsia="SimSun" w:hAnsi="Book Antiqua" w:cs="SimSun"/>
          <w:snapToGrid/>
          <w:sz w:val="24"/>
          <w:szCs w:val="24"/>
          <w:lang w:val="en-US" w:eastAsia="zh-CN"/>
        </w:rPr>
        <w:t>: 1766-1774 [PMID: 20551304 DOI: 10.1158/1055-9965.Epi-10-0027]</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18 </w:t>
      </w:r>
      <w:r w:rsidRPr="00CF6B14">
        <w:rPr>
          <w:rFonts w:ascii="Book Antiqua" w:eastAsia="SimSun" w:hAnsi="Book Antiqua" w:cs="SimSun"/>
          <w:b/>
          <w:bCs/>
          <w:snapToGrid/>
          <w:sz w:val="24"/>
          <w:szCs w:val="24"/>
          <w:lang w:val="en-US" w:eastAsia="zh-CN"/>
        </w:rPr>
        <w:t>Wang JY</w:t>
      </w:r>
      <w:r w:rsidRPr="00CF6B14">
        <w:rPr>
          <w:rFonts w:ascii="Book Antiqua" w:eastAsia="SimSun" w:hAnsi="Book Antiqua" w:cs="SimSun"/>
          <w:snapToGrid/>
          <w:sz w:val="24"/>
          <w:szCs w:val="24"/>
          <w:lang w:val="en-US" w:eastAsia="zh-CN"/>
        </w:rPr>
        <w:t>, Wu CH, Lu CY, Hsieh JS, Wu DC, Huang SY, Lin SR. Molecular detection of circulating tumor cells in the peripheral blood of patients with colorectal cancer using RT-PCR: significance of the prediction of postoperative metastasis.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World J Surg</w:t>
      </w:r>
      <w:r w:rsidRPr="00CF6B14">
        <w:rPr>
          <w:rFonts w:ascii="Book Antiqua" w:eastAsia="SimSun" w:hAnsi="Book Antiqua" w:cs="SimSun"/>
          <w:snapToGrid/>
          <w:sz w:val="24"/>
          <w:szCs w:val="24"/>
          <w:lang w:val="en-US" w:eastAsia="zh-CN"/>
        </w:rPr>
        <w:t> 2006; </w:t>
      </w:r>
      <w:r w:rsidRPr="00CF6B14">
        <w:rPr>
          <w:rFonts w:ascii="Book Antiqua" w:eastAsia="SimSun" w:hAnsi="Book Antiqua" w:cs="SimSun"/>
          <w:b/>
          <w:bCs/>
          <w:snapToGrid/>
          <w:sz w:val="24"/>
          <w:szCs w:val="24"/>
          <w:lang w:val="en-US" w:eastAsia="zh-CN"/>
        </w:rPr>
        <w:t>30</w:t>
      </w:r>
      <w:r w:rsidRPr="00CF6B14">
        <w:rPr>
          <w:rFonts w:ascii="Book Antiqua" w:eastAsia="SimSun" w:hAnsi="Book Antiqua" w:cs="SimSun"/>
          <w:snapToGrid/>
          <w:sz w:val="24"/>
          <w:szCs w:val="24"/>
          <w:lang w:val="en-US" w:eastAsia="zh-CN"/>
        </w:rPr>
        <w:t>: 1007-1013 [PMID: 16736329 DOI: 10.1007/s00268-005-0485-z]</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19 </w:t>
      </w:r>
      <w:r w:rsidRPr="00CF6B14">
        <w:rPr>
          <w:rFonts w:ascii="Book Antiqua" w:eastAsia="SimSun" w:hAnsi="Book Antiqua" w:cs="SimSun"/>
          <w:b/>
          <w:bCs/>
          <w:snapToGrid/>
          <w:sz w:val="24"/>
          <w:szCs w:val="24"/>
          <w:lang w:val="en-US" w:eastAsia="zh-CN"/>
        </w:rPr>
        <w:t>Shen C</w:t>
      </w:r>
      <w:r w:rsidRPr="00CF6B14">
        <w:rPr>
          <w:rFonts w:ascii="Book Antiqua" w:eastAsia="SimSun" w:hAnsi="Book Antiqua" w:cs="SimSun"/>
          <w:snapToGrid/>
          <w:sz w:val="24"/>
          <w:szCs w:val="24"/>
          <w:lang w:val="en-US" w:eastAsia="zh-CN"/>
        </w:rPr>
        <w:t>, Hu L, Xia L, Li Y. Quantitative real-time RT-PCR detection for survivin, CK20 and CEA in peripheral blood of colorectal cancer patients. </w:t>
      </w:r>
      <w:r w:rsidRPr="00CF6B14">
        <w:rPr>
          <w:rFonts w:ascii="Book Antiqua" w:eastAsia="SimSun" w:hAnsi="Book Antiqua" w:cs="SimSun"/>
          <w:i/>
          <w:iCs/>
          <w:snapToGrid/>
          <w:sz w:val="24"/>
          <w:szCs w:val="24"/>
          <w:lang w:val="en-US" w:eastAsia="zh-CN"/>
        </w:rPr>
        <w:t>Jpn J Clin Oncol</w:t>
      </w:r>
      <w:r w:rsidRPr="00CF6B14">
        <w:rPr>
          <w:rFonts w:ascii="Book Antiqua" w:eastAsia="SimSun" w:hAnsi="Book Antiqua" w:cs="SimSun"/>
          <w:snapToGrid/>
          <w:sz w:val="24"/>
          <w:szCs w:val="24"/>
          <w:lang w:val="en-US" w:eastAsia="zh-CN"/>
        </w:rPr>
        <w:t> 2008; </w:t>
      </w:r>
      <w:r w:rsidRPr="00CF6B14">
        <w:rPr>
          <w:rFonts w:ascii="Book Antiqua" w:eastAsia="SimSun" w:hAnsi="Book Antiqua" w:cs="SimSun"/>
          <w:b/>
          <w:bCs/>
          <w:snapToGrid/>
          <w:sz w:val="24"/>
          <w:szCs w:val="24"/>
          <w:lang w:val="en-US" w:eastAsia="zh-CN"/>
        </w:rPr>
        <w:t>38</w:t>
      </w:r>
      <w:r w:rsidRPr="00CF6B14">
        <w:rPr>
          <w:rFonts w:ascii="Book Antiqua" w:eastAsia="SimSun" w:hAnsi="Book Antiqua" w:cs="SimSun"/>
          <w:snapToGrid/>
          <w:sz w:val="24"/>
          <w:szCs w:val="24"/>
          <w:lang w:val="en-US" w:eastAsia="zh-CN"/>
        </w:rPr>
        <w:t>: 770-776 [PMID: 18845519 DOI: 10.1093/Jjco/Hyn105]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20 </w:t>
      </w:r>
      <w:r w:rsidRPr="00CF6B14">
        <w:rPr>
          <w:rFonts w:ascii="Book Antiqua" w:eastAsia="SimSun" w:hAnsi="Book Antiqua" w:cs="SimSun"/>
          <w:b/>
          <w:bCs/>
          <w:snapToGrid/>
          <w:sz w:val="24"/>
          <w:szCs w:val="24"/>
          <w:lang w:val="en-US" w:eastAsia="zh-CN"/>
        </w:rPr>
        <w:t>Dandachi N</w:t>
      </w:r>
      <w:r w:rsidRPr="00CF6B14">
        <w:rPr>
          <w:rFonts w:ascii="Book Antiqua" w:eastAsia="SimSun" w:hAnsi="Book Antiqua" w:cs="SimSun"/>
          <w:snapToGrid/>
          <w:sz w:val="24"/>
          <w:szCs w:val="24"/>
          <w:lang w:val="en-US" w:eastAsia="zh-CN"/>
        </w:rPr>
        <w:t>, Balic M, Stanzer S, Halm M, Resel M, Hinterleitner TA, Samonigg H, Bauernhofer T. Critical evaluation of real-time reverse transcriptase-polymerase chain reaction for the quantitative detection of cytokeratin 20 mRNA in colorectal cancer patients. </w:t>
      </w:r>
      <w:r w:rsidRPr="00CF6B14">
        <w:rPr>
          <w:rFonts w:ascii="Book Antiqua" w:eastAsia="SimSun" w:hAnsi="Book Antiqua" w:cs="SimSun"/>
          <w:i/>
          <w:iCs/>
          <w:snapToGrid/>
          <w:sz w:val="24"/>
          <w:szCs w:val="24"/>
          <w:lang w:val="en-US" w:eastAsia="zh-CN"/>
        </w:rPr>
        <w:t>J Mol Diagn</w:t>
      </w:r>
      <w:r w:rsidRPr="00CF6B14">
        <w:rPr>
          <w:rFonts w:ascii="Book Antiqua" w:eastAsia="SimSun" w:hAnsi="Book Antiqua" w:cs="SimSun"/>
          <w:snapToGrid/>
          <w:sz w:val="24"/>
          <w:szCs w:val="24"/>
          <w:lang w:val="en-US" w:eastAsia="zh-CN"/>
        </w:rPr>
        <w:t> 2005; </w:t>
      </w:r>
      <w:r w:rsidRPr="00CF6B14">
        <w:rPr>
          <w:rFonts w:ascii="Book Antiqua" w:eastAsia="SimSun" w:hAnsi="Book Antiqua" w:cs="SimSun"/>
          <w:b/>
          <w:bCs/>
          <w:snapToGrid/>
          <w:sz w:val="24"/>
          <w:szCs w:val="24"/>
          <w:lang w:val="en-US" w:eastAsia="zh-CN"/>
        </w:rPr>
        <w:t>7</w:t>
      </w:r>
      <w:r w:rsidRPr="00CF6B14">
        <w:rPr>
          <w:rFonts w:ascii="Book Antiqua" w:eastAsia="SimSun" w:hAnsi="Book Antiqua" w:cs="SimSun"/>
          <w:snapToGrid/>
          <w:sz w:val="24"/>
          <w:szCs w:val="24"/>
          <w:lang w:val="en-US" w:eastAsia="zh-CN"/>
        </w:rPr>
        <w:t>: 631-637 [PMID: 16258162 DOI: 10.1016/S1525-1578(10)60597-1]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21 </w:t>
      </w:r>
      <w:r w:rsidRPr="00CF6B14">
        <w:rPr>
          <w:rFonts w:ascii="Book Antiqua" w:eastAsia="SimSun" w:hAnsi="Book Antiqua" w:cs="SimSun"/>
          <w:b/>
          <w:bCs/>
          <w:snapToGrid/>
          <w:sz w:val="24"/>
          <w:szCs w:val="24"/>
          <w:lang w:val="en-US" w:eastAsia="zh-CN"/>
        </w:rPr>
        <w:t>Huang Z</w:t>
      </w:r>
      <w:r w:rsidRPr="00CF6B14">
        <w:rPr>
          <w:rFonts w:ascii="Book Antiqua" w:eastAsia="SimSun" w:hAnsi="Book Antiqua" w:cs="SimSun"/>
          <w:snapToGrid/>
          <w:sz w:val="24"/>
          <w:szCs w:val="24"/>
          <w:lang w:val="en-US" w:eastAsia="zh-CN"/>
        </w:rPr>
        <w:t>, Huang D, Ni S, Peng Z, Sheng W, Du X. Plasma microRNAs are promising novel biomarkers for early detection of colorectal cancer. </w:t>
      </w:r>
      <w:r w:rsidRPr="00CF6B14">
        <w:rPr>
          <w:rFonts w:ascii="Book Antiqua" w:eastAsia="SimSun" w:hAnsi="Book Antiqua" w:cs="SimSun"/>
          <w:i/>
          <w:iCs/>
          <w:snapToGrid/>
          <w:sz w:val="24"/>
          <w:szCs w:val="24"/>
          <w:lang w:val="en-US" w:eastAsia="zh-CN"/>
        </w:rPr>
        <w:t>Int J Cancer</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127</w:t>
      </w:r>
      <w:r w:rsidRPr="00CF6B14">
        <w:rPr>
          <w:rFonts w:ascii="Book Antiqua" w:eastAsia="SimSun" w:hAnsi="Book Antiqua" w:cs="SimSun"/>
          <w:snapToGrid/>
          <w:sz w:val="24"/>
          <w:szCs w:val="24"/>
          <w:lang w:val="en-US" w:eastAsia="zh-CN"/>
        </w:rPr>
        <w:t>: 118-126 [PMID: 19876917]</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22 </w:t>
      </w:r>
      <w:r w:rsidRPr="00CF6B14">
        <w:rPr>
          <w:rFonts w:ascii="Book Antiqua" w:eastAsia="SimSun" w:hAnsi="Book Antiqua" w:cs="SimSun"/>
          <w:b/>
          <w:bCs/>
          <w:snapToGrid/>
          <w:sz w:val="24"/>
          <w:szCs w:val="24"/>
          <w:lang w:val="en-US" w:eastAsia="zh-CN"/>
        </w:rPr>
        <w:t>Gold P</w:t>
      </w:r>
      <w:r w:rsidRPr="00CF6B14">
        <w:rPr>
          <w:rFonts w:ascii="Book Antiqua" w:eastAsia="SimSun" w:hAnsi="Book Antiqua" w:cs="SimSun"/>
          <w:snapToGrid/>
          <w:sz w:val="24"/>
          <w:szCs w:val="24"/>
          <w:lang w:val="en-US" w:eastAsia="zh-CN"/>
        </w:rPr>
        <w:t>, Freedman SO.</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Demonstration of tumor-specific antigens in human colonic carcinomata by immunological tolerance and absorption techniques. </w:t>
      </w:r>
      <w:r w:rsidRPr="00CF6B14">
        <w:rPr>
          <w:rFonts w:ascii="Book Antiqua" w:eastAsia="SimSun" w:hAnsi="Book Antiqua" w:cs="SimSun"/>
          <w:i/>
          <w:iCs/>
          <w:snapToGrid/>
          <w:sz w:val="24"/>
          <w:szCs w:val="24"/>
          <w:lang w:val="en-US" w:eastAsia="zh-CN"/>
        </w:rPr>
        <w:t>J Exp Med</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1965; </w:t>
      </w:r>
      <w:r w:rsidRPr="00CF6B14">
        <w:rPr>
          <w:rFonts w:ascii="Book Antiqua" w:eastAsia="SimSun" w:hAnsi="Book Antiqua" w:cs="SimSun"/>
          <w:b/>
          <w:bCs/>
          <w:snapToGrid/>
          <w:sz w:val="24"/>
          <w:szCs w:val="24"/>
          <w:lang w:val="en-US" w:eastAsia="zh-CN"/>
        </w:rPr>
        <w:t>121</w:t>
      </w:r>
      <w:r w:rsidRPr="00CF6B14">
        <w:rPr>
          <w:rFonts w:ascii="Book Antiqua" w:eastAsia="SimSun" w:hAnsi="Book Antiqua" w:cs="SimSun"/>
          <w:snapToGrid/>
          <w:sz w:val="24"/>
          <w:szCs w:val="24"/>
          <w:lang w:val="en-US" w:eastAsia="zh-CN"/>
        </w:rPr>
        <w:t>: 439-462 [PMID: 14270243 DOI: 10.1084/jem.121.3.439]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23 </w:t>
      </w:r>
      <w:r w:rsidRPr="00CF6B14">
        <w:rPr>
          <w:rFonts w:ascii="Book Antiqua" w:eastAsia="SimSun" w:hAnsi="Book Antiqua" w:cs="SimSun"/>
          <w:b/>
          <w:bCs/>
          <w:snapToGrid/>
          <w:sz w:val="24"/>
          <w:szCs w:val="24"/>
          <w:lang w:val="en-US" w:eastAsia="zh-CN"/>
        </w:rPr>
        <w:t>Locker GY</w:t>
      </w:r>
      <w:r w:rsidRPr="00CF6B14">
        <w:rPr>
          <w:rFonts w:ascii="Book Antiqua" w:eastAsia="SimSun" w:hAnsi="Book Antiqua" w:cs="SimSun"/>
          <w:snapToGrid/>
          <w:sz w:val="24"/>
          <w:szCs w:val="24"/>
          <w:lang w:val="en-US" w:eastAsia="zh-CN"/>
        </w:rPr>
        <w:t>, Hamilton S, Harris J, Jessup JM, Kemeny N, Macdonald JS, Somerfield MR, Hayes DF, Bast RC. ASCO 2006 update of recommendations for the use of tumor markers in gastrointestinal cancer.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2006; </w:t>
      </w:r>
      <w:r w:rsidRPr="00CF6B14">
        <w:rPr>
          <w:rFonts w:ascii="Book Antiqua" w:eastAsia="SimSun" w:hAnsi="Book Antiqua" w:cs="SimSun"/>
          <w:b/>
          <w:bCs/>
          <w:snapToGrid/>
          <w:sz w:val="24"/>
          <w:szCs w:val="24"/>
          <w:lang w:val="en-US" w:eastAsia="zh-CN"/>
        </w:rPr>
        <w:t>24</w:t>
      </w:r>
      <w:r w:rsidRPr="00CF6B14">
        <w:rPr>
          <w:rFonts w:ascii="Book Antiqua" w:eastAsia="SimSun" w:hAnsi="Book Antiqua" w:cs="SimSun"/>
          <w:snapToGrid/>
          <w:sz w:val="24"/>
          <w:szCs w:val="24"/>
          <w:lang w:val="en-US" w:eastAsia="zh-CN"/>
        </w:rPr>
        <w:t>: 5313-5327 [PMID: 17060676 DOI: 10.1200/JCO.2006.08.2644]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24 </w:t>
      </w:r>
      <w:r w:rsidRPr="00CF6B14">
        <w:rPr>
          <w:rFonts w:ascii="Book Antiqua" w:eastAsia="SimSun" w:hAnsi="Book Antiqua" w:cs="SimSun"/>
          <w:b/>
          <w:bCs/>
          <w:snapToGrid/>
          <w:sz w:val="24"/>
          <w:szCs w:val="24"/>
          <w:lang w:val="en-US" w:eastAsia="zh-CN"/>
        </w:rPr>
        <w:t>Duffy MJ</w:t>
      </w:r>
      <w:r w:rsidRPr="00CF6B14">
        <w:rPr>
          <w:rFonts w:ascii="Book Antiqua" w:eastAsia="SimSun" w:hAnsi="Book Antiqua" w:cs="SimSun"/>
          <w:snapToGrid/>
          <w:sz w:val="24"/>
          <w:szCs w:val="24"/>
          <w:lang w:val="en-US" w:eastAsia="zh-CN"/>
        </w:rPr>
        <w:t>, Lamerz R, Haglund C, Nicolini A, Kalousová M, Holubec L, Sturgeon C. Tumor markers in colorectal cancer, gastric cancer and gastrointestinal stromal cancers: European group on tumor markers 2014 guidelines update.</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Int J Cancer</w:t>
      </w:r>
      <w:r w:rsidRPr="00CF6B14">
        <w:rPr>
          <w:rFonts w:ascii="Book Antiqua" w:eastAsia="SimSun" w:hAnsi="Book Antiqua" w:cs="SimSun"/>
          <w:snapToGrid/>
          <w:sz w:val="24"/>
          <w:szCs w:val="24"/>
          <w:lang w:val="en-US" w:eastAsia="zh-CN"/>
        </w:rPr>
        <w:t> 2014;</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134</w:t>
      </w:r>
      <w:r w:rsidRPr="00CF6B14">
        <w:rPr>
          <w:rFonts w:ascii="Book Antiqua" w:eastAsia="SimSun" w:hAnsi="Book Antiqua" w:cs="SimSun"/>
          <w:snapToGrid/>
          <w:sz w:val="24"/>
          <w:szCs w:val="24"/>
          <w:lang w:val="en-US" w:eastAsia="zh-CN"/>
        </w:rPr>
        <w:t>: 2513-2522 [PMID: 23852704 DOI: 10.1002/ijc.28384]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25 </w:t>
      </w:r>
      <w:r w:rsidRPr="00CF6B14">
        <w:rPr>
          <w:rFonts w:ascii="Book Antiqua" w:eastAsia="SimSun" w:hAnsi="Book Antiqua" w:cs="SimSun"/>
          <w:b/>
          <w:bCs/>
          <w:snapToGrid/>
          <w:sz w:val="24"/>
          <w:szCs w:val="24"/>
          <w:lang w:val="en-US" w:eastAsia="zh-CN"/>
        </w:rPr>
        <w:t>Chen CC</w:t>
      </w:r>
      <w:r w:rsidRPr="00CF6B14">
        <w:rPr>
          <w:rFonts w:ascii="Book Antiqua" w:eastAsia="SimSun" w:hAnsi="Book Antiqua" w:cs="SimSun"/>
          <w:snapToGrid/>
          <w:sz w:val="24"/>
          <w:szCs w:val="24"/>
          <w:lang w:val="en-US" w:eastAsia="zh-CN"/>
        </w:rPr>
        <w:t>, Yang SH, Lin JK, Lin TC, Chen WS, Jiang JK, Wang HS, Chang SC. Is it reasonable to add preoperative serum level of CEA and CA19-9 to staging for colorectal cancer? </w:t>
      </w:r>
      <w:r w:rsidRPr="00CF6B14">
        <w:rPr>
          <w:rFonts w:ascii="Book Antiqua" w:eastAsia="SimSun" w:hAnsi="Book Antiqua" w:cs="SimSun"/>
          <w:i/>
          <w:iCs/>
          <w:snapToGrid/>
          <w:sz w:val="24"/>
          <w:szCs w:val="24"/>
          <w:lang w:val="en-US" w:eastAsia="zh-CN"/>
        </w:rPr>
        <w:t>J Surg Res</w:t>
      </w:r>
      <w:r w:rsidRPr="00CF6B14">
        <w:rPr>
          <w:rFonts w:ascii="Book Antiqua" w:eastAsia="SimSun" w:hAnsi="Book Antiqua" w:cs="SimSun"/>
          <w:snapToGrid/>
          <w:sz w:val="24"/>
          <w:szCs w:val="24"/>
          <w:lang w:val="en-US" w:eastAsia="zh-CN"/>
        </w:rPr>
        <w:t> 2005; </w:t>
      </w:r>
      <w:r w:rsidRPr="00CF6B14">
        <w:rPr>
          <w:rFonts w:ascii="Book Antiqua" w:eastAsia="SimSun" w:hAnsi="Book Antiqua" w:cs="SimSun"/>
          <w:b/>
          <w:bCs/>
          <w:snapToGrid/>
          <w:sz w:val="24"/>
          <w:szCs w:val="24"/>
          <w:lang w:val="en-US" w:eastAsia="zh-CN"/>
        </w:rPr>
        <w:t>124</w:t>
      </w:r>
      <w:r w:rsidRPr="00CF6B14">
        <w:rPr>
          <w:rFonts w:ascii="Book Antiqua" w:eastAsia="SimSun" w:hAnsi="Book Antiqua" w:cs="SimSun"/>
          <w:snapToGrid/>
          <w:sz w:val="24"/>
          <w:szCs w:val="24"/>
          <w:lang w:val="en-US" w:eastAsia="zh-CN"/>
        </w:rPr>
        <w:t>: 169-174 [PMID: 15820244 DOI: 10.1016/j.jss.2004.08.013]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26 </w:t>
      </w:r>
      <w:r w:rsidRPr="00CF6B14">
        <w:rPr>
          <w:rFonts w:ascii="Book Antiqua" w:eastAsia="SimSun" w:hAnsi="Book Antiqua" w:cs="SimSun"/>
          <w:b/>
          <w:bCs/>
          <w:snapToGrid/>
          <w:sz w:val="24"/>
          <w:szCs w:val="24"/>
          <w:lang w:val="en-US" w:eastAsia="zh-CN"/>
        </w:rPr>
        <w:t>Weissenberger C</w:t>
      </w:r>
      <w:r w:rsidRPr="00CF6B14">
        <w:rPr>
          <w:rFonts w:ascii="Book Antiqua" w:eastAsia="SimSun" w:hAnsi="Book Antiqua" w:cs="SimSun"/>
          <w:snapToGrid/>
          <w:sz w:val="24"/>
          <w:szCs w:val="24"/>
          <w:lang w:val="en-US" w:eastAsia="zh-CN"/>
        </w:rPr>
        <w:t>, Von Plehn G, Otto F, Barke A, Momm F, Geissler M. Adjuvant radiochemotherapy of stage II and III rectal adenocarcinoma: role of CEA and CA 19-9. </w:t>
      </w:r>
      <w:r w:rsidRPr="00CF6B14">
        <w:rPr>
          <w:rFonts w:ascii="Book Antiqua" w:eastAsia="SimSun" w:hAnsi="Book Antiqua" w:cs="SimSun"/>
          <w:i/>
          <w:iCs/>
          <w:snapToGrid/>
          <w:sz w:val="24"/>
          <w:szCs w:val="24"/>
          <w:lang w:val="en-US" w:eastAsia="zh-CN"/>
        </w:rPr>
        <w:t>Anticancer Res</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hint="eastAsia"/>
          <w:snapToGrid/>
          <w:sz w:val="24"/>
          <w:szCs w:val="24"/>
          <w:lang w:val="en-US" w:eastAsia="zh-CN"/>
        </w:rPr>
        <w:t>2005</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25</w:t>
      </w:r>
      <w:r w:rsidRPr="00CF6B14">
        <w:rPr>
          <w:rFonts w:ascii="Book Antiqua" w:eastAsia="SimSun" w:hAnsi="Book Antiqua" w:cs="SimSun"/>
          <w:snapToGrid/>
          <w:sz w:val="24"/>
          <w:szCs w:val="24"/>
          <w:lang w:val="en-US" w:eastAsia="zh-CN"/>
        </w:rPr>
        <w:t>: 1787-1793 [PMID: 16033101]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27 </w:t>
      </w:r>
      <w:r w:rsidRPr="00CF6B14">
        <w:rPr>
          <w:rFonts w:ascii="Book Antiqua" w:eastAsia="SimSun" w:hAnsi="Book Antiqua" w:cs="SimSun"/>
          <w:b/>
          <w:bCs/>
          <w:snapToGrid/>
          <w:sz w:val="24"/>
          <w:szCs w:val="24"/>
          <w:lang w:val="en-US" w:eastAsia="zh-CN"/>
        </w:rPr>
        <w:t>Compton C</w:t>
      </w:r>
      <w:r w:rsidRPr="00CF6B14">
        <w:rPr>
          <w:rFonts w:ascii="Book Antiqua" w:eastAsia="SimSun" w:hAnsi="Book Antiqua" w:cs="SimSun"/>
          <w:snapToGrid/>
          <w:sz w:val="24"/>
          <w:szCs w:val="24"/>
          <w:lang w:val="en-US" w:eastAsia="zh-CN"/>
        </w:rPr>
        <w:t>, Fenoglio-Preiser CM, Pettigrew N, Fielding LP. American Joint Committee on Cancer Prognostic Factors Consensus Conference: Colorectal Working Group. </w:t>
      </w:r>
      <w:r w:rsidRPr="00CF6B14">
        <w:rPr>
          <w:rFonts w:ascii="Book Antiqua" w:eastAsia="SimSun" w:hAnsi="Book Antiqua" w:cs="SimSun"/>
          <w:i/>
          <w:iCs/>
          <w:snapToGrid/>
          <w:sz w:val="24"/>
          <w:szCs w:val="24"/>
          <w:lang w:val="en-US" w:eastAsia="zh-CN"/>
        </w:rPr>
        <w:t>Cancer</w:t>
      </w:r>
      <w:r w:rsidRPr="00CF6B14">
        <w:rPr>
          <w:rFonts w:ascii="Book Antiqua" w:eastAsia="SimSun" w:hAnsi="Book Antiqua" w:cs="SimSun"/>
          <w:snapToGrid/>
          <w:sz w:val="24"/>
          <w:szCs w:val="24"/>
          <w:lang w:val="en-US" w:eastAsia="zh-CN"/>
        </w:rPr>
        <w:t> 2000; </w:t>
      </w:r>
      <w:r w:rsidRPr="00CF6B14">
        <w:rPr>
          <w:rFonts w:ascii="Book Antiqua" w:eastAsia="SimSun" w:hAnsi="Book Antiqua" w:cs="SimSun"/>
          <w:b/>
          <w:bCs/>
          <w:snapToGrid/>
          <w:sz w:val="24"/>
          <w:szCs w:val="24"/>
          <w:lang w:val="en-US" w:eastAsia="zh-CN"/>
        </w:rPr>
        <w:t>88</w:t>
      </w:r>
      <w:r w:rsidRPr="00CF6B14">
        <w:rPr>
          <w:rFonts w:ascii="Book Antiqua" w:eastAsia="SimSun" w:hAnsi="Book Antiqua" w:cs="SimSun"/>
          <w:snapToGrid/>
          <w:sz w:val="24"/>
          <w:szCs w:val="24"/>
          <w:lang w:val="en-US" w:eastAsia="zh-CN"/>
        </w:rPr>
        <w:t>: 1739-1757 [PMID: 10738234 DOI: 10.1002/(SICI)1097-0142(20000401)88: 7&lt;1739: : AID-CNCR30&gt;3.0.CO; 2-T]</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28 </w:t>
      </w:r>
      <w:r w:rsidRPr="00CF6B14">
        <w:rPr>
          <w:rFonts w:ascii="Book Antiqua" w:eastAsia="SimSun" w:hAnsi="Book Antiqua" w:cs="SimSun"/>
          <w:b/>
          <w:bCs/>
          <w:snapToGrid/>
          <w:sz w:val="24"/>
          <w:szCs w:val="24"/>
          <w:lang w:val="en-US" w:eastAsia="zh-CN"/>
        </w:rPr>
        <w:t>Thirunavukarasu P</w:t>
      </w:r>
      <w:r w:rsidRPr="00CF6B14">
        <w:rPr>
          <w:rFonts w:ascii="Book Antiqua" w:eastAsia="SimSun" w:hAnsi="Book Antiqua" w:cs="SimSun"/>
          <w:snapToGrid/>
          <w:sz w:val="24"/>
          <w:szCs w:val="24"/>
          <w:lang w:val="en-US" w:eastAsia="zh-CN"/>
        </w:rPr>
        <w:t>, Sukumar S, Sathaiah M, Mahan M, Pragatheeshwar KD, Pingpank JF, Zeh H, Bartels CJ, Lee KK, Bartlett DL. C-stage in colon cancer: implications of carcinoembryonic antigen biomarker in staging, prognosis, and management. </w:t>
      </w:r>
      <w:r w:rsidRPr="00CF6B14">
        <w:rPr>
          <w:rFonts w:ascii="Book Antiqua" w:eastAsia="SimSun" w:hAnsi="Book Antiqua" w:cs="SimSun"/>
          <w:i/>
          <w:iCs/>
          <w:snapToGrid/>
          <w:sz w:val="24"/>
          <w:szCs w:val="24"/>
          <w:lang w:val="en-US" w:eastAsia="zh-CN"/>
        </w:rPr>
        <w:t>J Natl Cancer Inst</w:t>
      </w:r>
      <w:r w:rsidRPr="00CF6B14">
        <w:rPr>
          <w:rFonts w:ascii="Book Antiqua" w:eastAsia="SimSun" w:hAnsi="Book Antiqua" w:cs="SimSun"/>
          <w:snapToGrid/>
          <w:sz w:val="24"/>
          <w:szCs w:val="24"/>
          <w:lang w:val="en-US" w:eastAsia="zh-CN"/>
        </w:rPr>
        <w:t> 2011; </w:t>
      </w:r>
      <w:r w:rsidRPr="00CF6B14">
        <w:rPr>
          <w:rFonts w:ascii="Book Antiqua" w:eastAsia="SimSun" w:hAnsi="Book Antiqua" w:cs="SimSun"/>
          <w:b/>
          <w:bCs/>
          <w:snapToGrid/>
          <w:sz w:val="24"/>
          <w:szCs w:val="24"/>
          <w:lang w:val="en-US" w:eastAsia="zh-CN"/>
        </w:rPr>
        <w:t>103</w:t>
      </w:r>
      <w:r w:rsidRPr="00CF6B14">
        <w:rPr>
          <w:rFonts w:ascii="Book Antiqua" w:eastAsia="SimSun" w:hAnsi="Book Antiqua" w:cs="SimSun"/>
          <w:snapToGrid/>
          <w:sz w:val="24"/>
          <w:szCs w:val="24"/>
          <w:lang w:val="en-US" w:eastAsia="zh-CN"/>
        </w:rPr>
        <w:t>: 689-697 [PMID: 21421861 DOI: 10.1093/jnci/djr078]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29 </w:t>
      </w:r>
      <w:r w:rsidRPr="00CF6B14">
        <w:rPr>
          <w:rFonts w:ascii="Book Antiqua" w:eastAsia="SimSun" w:hAnsi="Book Antiqua" w:cs="SimSun"/>
          <w:b/>
          <w:bCs/>
          <w:snapToGrid/>
          <w:sz w:val="24"/>
          <w:szCs w:val="24"/>
          <w:lang w:val="en-US" w:eastAsia="zh-CN"/>
        </w:rPr>
        <w:t>Ueno H</w:t>
      </w:r>
      <w:r w:rsidRPr="00CF6B14">
        <w:rPr>
          <w:rFonts w:ascii="Book Antiqua" w:eastAsia="SimSun" w:hAnsi="Book Antiqua" w:cs="SimSun"/>
          <w:snapToGrid/>
          <w:sz w:val="24"/>
          <w:szCs w:val="24"/>
          <w:lang w:val="en-US" w:eastAsia="zh-CN"/>
        </w:rPr>
        <w:t>, Mochizuki H, Hatsuse K, Hase K, Yamamoto T. Indicators for treatment strategies of colorectal liver metastases. </w:t>
      </w:r>
      <w:r w:rsidRPr="00CF6B14">
        <w:rPr>
          <w:rFonts w:ascii="Book Antiqua" w:eastAsia="SimSun" w:hAnsi="Book Antiqua" w:cs="SimSun"/>
          <w:i/>
          <w:iCs/>
          <w:snapToGrid/>
          <w:sz w:val="24"/>
          <w:szCs w:val="24"/>
          <w:lang w:val="en-US" w:eastAsia="zh-CN"/>
        </w:rPr>
        <w:t>Ann Surg</w:t>
      </w:r>
      <w:r w:rsidRPr="00CF6B14">
        <w:rPr>
          <w:rFonts w:ascii="Book Antiqua" w:eastAsia="SimSun" w:hAnsi="Book Antiqua" w:cs="SimSun"/>
          <w:snapToGrid/>
          <w:sz w:val="24"/>
          <w:szCs w:val="24"/>
          <w:lang w:val="en-US" w:eastAsia="zh-CN"/>
        </w:rPr>
        <w:t> 2000; </w:t>
      </w:r>
      <w:r w:rsidRPr="00CF6B14">
        <w:rPr>
          <w:rFonts w:ascii="Book Antiqua" w:eastAsia="SimSun" w:hAnsi="Book Antiqua" w:cs="SimSun"/>
          <w:b/>
          <w:bCs/>
          <w:snapToGrid/>
          <w:sz w:val="24"/>
          <w:szCs w:val="24"/>
          <w:lang w:val="en-US" w:eastAsia="zh-CN"/>
        </w:rPr>
        <w:t>231</w:t>
      </w:r>
      <w:r w:rsidRPr="00CF6B14">
        <w:rPr>
          <w:rFonts w:ascii="Book Antiqua" w:eastAsia="SimSun" w:hAnsi="Book Antiqua" w:cs="SimSun"/>
          <w:snapToGrid/>
          <w:sz w:val="24"/>
          <w:szCs w:val="24"/>
          <w:lang w:val="en-US" w:eastAsia="zh-CN"/>
        </w:rPr>
        <w:t>: 59-66 [PMID: 10636103 DOI: 10.1097/00000658-200001000-00009]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30 </w:t>
      </w:r>
      <w:r w:rsidRPr="00CF6B14">
        <w:rPr>
          <w:rFonts w:ascii="Book Antiqua" w:eastAsia="SimSun" w:hAnsi="Book Antiqua" w:cs="SimSun"/>
          <w:b/>
          <w:bCs/>
          <w:snapToGrid/>
          <w:sz w:val="24"/>
          <w:szCs w:val="24"/>
          <w:lang w:val="en-US" w:eastAsia="zh-CN"/>
        </w:rPr>
        <w:t>Mala T</w:t>
      </w:r>
      <w:r w:rsidRPr="00CF6B14">
        <w:rPr>
          <w:rFonts w:ascii="Book Antiqua" w:eastAsia="SimSun" w:hAnsi="Book Antiqua" w:cs="SimSun"/>
          <w:snapToGrid/>
          <w:sz w:val="24"/>
          <w:szCs w:val="24"/>
          <w:lang w:val="en-US" w:eastAsia="zh-CN"/>
        </w:rPr>
        <w:t>, Bøhler G, Mathisen Ø, Bergan A, Søreide O. Hepatic resection for colorectal metastases: can preoperative scoring predict patient outcome? </w:t>
      </w:r>
      <w:r w:rsidRPr="00CF6B14">
        <w:rPr>
          <w:rFonts w:ascii="Book Antiqua" w:eastAsia="SimSun" w:hAnsi="Book Antiqua" w:cs="SimSun"/>
          <w:i/>
          <w:iCs/>
          <w:snapToGrid/>
          <w:sz w:val="24"/>
          <w:szCs w:val="24"/>
          <w:lang w:val="en-US" w:eastAsia="zh-CN"/>
        </w:rPr>
        <w:t>World J Surg</w:t>
      </w:r>
      <w:r w:rsidRPr="00CF6B14">
        <w:rPr>
          <w:rFonts w:ascii="Book Antiqua" w:eastAsia="SimSun" w:hAnsi="Book Antiqua" w:cs="SimSun"/>
          <w:snapToGrid/>
          <w:sz w:val="24"/>
          <w:szCs w:val="24"/>
          <w:lang w:val="en-US" w:eastAsia="zh-CN"/>
        </w:rPr>
        <w:t> 2002; </w:t>
      </w:r>
      <w:r w:rsidRPr="00CF6B14">
        <w:rPr>
          <w:rFonts w:ascii="Book Antiqua" w:eastAsia="SimSun" w:hAnsi="Book Antiqua" w:cs="SimSun"/>
          <w:b/>
          <w:bCs/>
          <w:snapToGrid/>
          <w:sz w:val="24"/>
          <w:szCs w:val="24"/>
          <w:lang w:val="en-US" w:eastAsia="zh-CN"/>
        </w:rPr>
        <w:t>26</w:t>
      </w:r>
      <w:r w:rsidRPr="00CF6B14">
        <w:rPr>
          <w:rFonts w:ascii="Book Antiqua" w:eastAsia="SimSun" w:hAnsi="Book Antiqua" w:cs="SimSun"/>
          <w:snapToGrid/>
          <w:sz w:val="24"/>
          <w:szCs w:val="24"/>
          <w:lang w:val="en-US" w:eastAsia="zh-CN"/>
        </w:rPr>
        <w:t>: 1348-1353 [PMID: 12297926 DOI: 10.1007/s00268-002-6231-x]</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31 </w:t>
      </w:r>
      <w:r w:rsidRPr="00CF6B14">
        <w:rPr>
          <w:rFonts w:ascii="Book Antiqua" w:eastAsia="SimSun" w:hAnsi="Book Antiqua" w:cs="SimSun"/>
          <w:b/>
          <w:bCs/>
          <w:snapToGrid/>
          <w:sz w:val="24"/>
          <w:szCs w:val="24"/>
          <w:lang w:val="en-US" w:eastAsia="zh-CN"/>
        </w:rPr>
        <w:t>Giessen C</w:t>
      </w:r>
      <w:r w:rsidRPr="00CF6B14">
        <w:rPr>
          <w:rFonts w:ascii="Book Antiqua" w:eastAsia="SimSun" w:hAnsi="Book Antiqua" w:cs="SimSun"/>
          <w:snapToGrid/>
          <w:sz w:val="24"/>
          <w:szCs w:val="24"/>
          <w:lang w:val="en-US" w:eastAsia="zh-CN"/>
        </w:rPr>
        <w:t>, Nagel D, Glas M, Spelsberg F, Lau-Werner U, Modest DP, Michl M, Heinemann V, Stieber P, Schulz C. Evaluation of preoperative serum markers for individual patient prognosis in stage I-III rectal cancer. </w:t>
      </w:r>
      <w:r w:rsidRPr="00CF6B14">
        <w:rPr>
          <w:rFonts w:ascii="Book Antiqua" w:eastAsia="SimSun" w:hAnsi="Book Antiqua" w:cs="SimSun"/>
          <w:i/>
          <w:iCs/>
          <w:snapToGrid/>
          <w:sz w:val="24"/>
          <w:szCs w:val="24"/>
          <w:lang w:val="en-US" w:eastAsia="zh-CN"/>
        </w:rPr>
        <w:t>Tumour Biol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2014;</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35</w:t>
      </w:r>
      <w:r w:rsidRPr="00CF6B14">
        <w:rPr>
          <w:rFonts w:ascii="Book Antiqua" w:eastAsia="SimSun" w:hAnsi="Book Antiqua" w:cs="SimSun"/>
          <w:snapToGrid/>
          <w:sz w:val="24"/>
          <w:szCs w:val="24"/>
          <w:lang w:val="en-US" w:eastAsia="zh-CN"/>
        </w:rPr>
        <w:t>: 10237-10248 [PMID: 25027407 DOI: 10.1007/s13277-014-2338-6]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32 </w:t>
      </w:r>
      <w:r w:rsidRPr="00CF6B14">
        <w:rPr>
          <w:rFonts w:ascii="Book Antiqua" w:eastAsia="SimSun" w:hAnsi="Book Antiqua" w:cs="SimSun"/>
          <w:b/>
          <w:bCs/>
          <w:snapToGrid/>
          <w:sz w:val="24"/>
          <w:szCs w:val="24"/>
          <w:lang w:val="en-US" w:eastAsia="zh-CN"/>
        </w:rPr>
        <w:t>Goldstein MJ</w:t>
      </w:r>
      <w:r w:rsidRPr="00CF6B14">
        <w:rPr>
          <w:rFonts w:ascii="Book Antiqua" w:eastAsia="SimSun" w:hAnsi="Book Antiqua" w:cs="SimSun"/>
          <w:snapToGrid/>
          <w:sz w:val="24"/>
          <w:szCs w:val="24"/>
          <w:lang w:val="en-US" w:eastAsia="zh-CN"/>
        </w:rPr>
        <w:t>, Mitchell EP. Carcinoembryonic antigen in the staging and follow-up of patients with colorectal cancer. </w:t>
      </w:r>
      <w:r w:rsidRPr="00CF6B14">
        <w:rPr>
          <w:rFonts w:ascii="Book Antiqua" w:eastAsia="SimSun" w:hAnsi="Book Antiqua" w:cs="SimSun"/>
          <w:i/>
          <w:iCs/>
          <w:snapToGrid/>
          <w:sz w:val="24"/>
          <w:szCs w:val="24"/>
          <w:lang w:val="en-US" w:eastAsia="zh-CN"/>
        </w:rPr>
        <w:t>Cancer Invest</w:t>
      </w:r>
      <w:r w:rsidRPr="00CF6B14">
        <w:rPr>
          <w:rFonts w:ascii="Book Antiqua" w:eastAsia="SimSun" w:hAnsi="Book Antiqua" w:cs="SimSun"/>
          <w:snapToGrid/>
          <w:sz w:val="24"/>
          <w:szCs w:val="24"/>
          <w:lang w:val="en-US" w:eastAsia="zh-CN"/>
        </w:rPr>
        <w:t> 2005; </w:t>
      </w:r>
      <w:r w:rsidRPr="00CF6B14">
        <w:rPr>
          <w:rFonts w:ascii="Book Antiqua" w:eastAsia="SimSun" w:hAnsi="Book Antiqua" w:cs="SimSun"/>
          <w:b/>
          <w:bCs/>
          <w:snapToGrid/>
          <w:sz w:val="24"/>
          <w:szCs w:val="24"/>
          <w:lang w:val="en-US" w:eastAsia="zh-CN"/>
        </w:rPr>
        <w:t>23</w:t>
      </w:r>
      <w:r w:rsidRPr="00CF6B14">
        <w:rPr>
          <w:rFonts w:ascii="Book Antiqua" w:eastAsia="SimSun" w:hAnsi="Book Antiqua" w:cs="SimSun"/>
          <w:snapToGrid/>
          <w:sz w:val="24"/>
          <w:szCs w:val="24"/>
          <w:lang w:val="en-US" w:eastAsia="zh-CN"/>
        </w:rPr>
        <w:t>: 338-351 [PMID: 16100946 DOI: 10.1081/CNV-58878]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33 </w:t>
      </w:r>
      <w:r w:rsidRPr="00CF6B14">
        <w:rPr>
          <w:rFonts w:ascii="Book Antiqua" w:eastAsia="SimSun" w:hAnsi="Book Antiqua" w:cs="SimSun"/>
          <w:b/>
          <w:bCs/>
          <w:snapToGrid/>
          <w:sz w:val="24"/>
          <w:szCs w:val="24"/>
          <w:lang w:val="en-US" w:eastAsia="zh-CN"/>
        </w:rPr>
        <w:t>Schmoll HJ</w:t>
      </w:r>
      <w:r w:rsidRPr="00CF6B14">
        <w:rPr>
          <w:rFonts w:ascii="Book Antiqua" w:eastAsia="SimSun" w:hAnsi="Book Antiqua" w:cs="SimSun"/>
          <w:snapToGrid/>
          <w:sz w:val="24"/>
          <w:szCs w:val="24"/>
          <w:lang w:val="en-US" w:eastAsia="zh-CN"/>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w:t>
      </w:r>
      <w:r w:rsidRPr="00CF6B14">
        <w:rPr>
          <w:rFonts w:ascii="Book Antiqua" w:eastAsia="SimSun" w:hAnsi="Book Antiqua" w:cs="SimSun"/>
          <w:snapToGrid/>
          <w:sz w:val="24"/>
          <w:szCs w:val="24"/>
          <w:lang w:val="en-US" w:eastAsia="zh-CN"/>
        </w:rPr>
        <w:lastRenderedPageBreak/>
        <w:t>management of patients with colon and rectal cancer. a personalized approach to clinical decision making. </w:t>
      </w:r>
      <w:r w:rsidRPr="00CF6B14">
        <w:rPr>
          <w:rFonts w:ascii="Book Antiqua" w:eastAsia="SimSun" w:hAnsi="Book Antiqua" w:cs="SimSun"/>
          <w:i/>
          <w:iCs/>
          <w:snapToGrid/>
          <w:sz w:val="24"/>
          <w:szCs w:val="24"/>
          <w:lang w:val="en-US" w:eastAsia="zh-CN"/>
        </w:rPr>
        <w:t>Ann Oncol</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23</w:t>
      </w:r>
      <w:r w:rsidRPr="00CF6B14">
        <w:rPr>
          <w:rFonts w:ascii="Book Antiqua" w:eastAsia="SimSun" w:hAnsi="Book Antiqua" w:cs="SimSun"/>
          <w:snapToGrid/>
          <w:sz w:val="24"/>
          <w:szCs w:val="24"/>
          <w:lang w:val="en-US" w:eastAsia="zh-CN"/>
        </w:rPr>
        <w:t>: 2479-2516 [PMID: 23012255 DOI: 10.1093/annonc/mds236]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34 </w:t>
      </w:r>
      <w:r w:rsidRPr="00CF6B14">
        <w:rPr>
          <w:rFonts w:ascii="Book Antiqua" w:eastAsia="SimSun" w:hAnsi="Book Antiqua" w:cs="SimSun"/>
          <w:b/>
          <w:bCs/>
          <w:snapToGrid/>
          <w:sz w:val="24"/>
          <w:szCs w:val="24"/>
          <w:lang w:val="en-US" w:eastAsia="zh-CN"/>
        </w:rPr>
        <w:t>Nicolini A</w:t>
      </w:r>
      <w:r w:rsidRPr="00CF6B14">
        <w:rPr>
          <w:rFonts w:ascii="Book Antiqua" w:eastAsia="SimSun" w:hAnsi="Book Antiqua" w:cs="SimSun"/>
          <w:snapToGrid/>
          <w:sz w:val="24"/>
          <w:szCs w:val="24"/>
          <w:lang w:val="en-US" w:eastAsia="zh-CN"/>
        </w:rPr>
        <w:t>, Ferrari P, Duffy MJ, Antonelli A, Rossi G, Metelli MR, Fulceri F, Anselmi L, Conte M, Berti P, Miccoli P. Intensive risk-adjusted follow-up with the CEA, TPA, CA19.9, and CA72.4 tumor marker panel and abdominal ultrasonography to diagnose operable colorectal cancer recurrences: effect on survival. </w:t>
      </w:r>
      <w:r w:rsidRPr="00CF6B14">
        <w:rPr>
          <w:rFonts w:ascii="Book Antiqua" w:eastAsia="SimSun" w:hAnsi="Book Antiqua" w:cs="SimSun"/>
          <w:i/>
          <w:iCs/>
          <w:snapToGrid/>
          <w:sz w:val="24"/>
          <w:szCs w:val="24"/>
          <w:lang w:val="en-US" w:eastAsia="zh-CN"/>
        </w:rPr>
        <w:t>Arch Surg</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2010;</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145</w:t>
      </w:r>
      <w:r w:rsidRPr="00CF6B14">
        <w:rPr>
          <w:rFonts w:ascii="Book Antiqua" w:eastAsia="SimSun" w:hAnsi="Book Antiqua" w:cs="SimSun"/>
          <w:snapToGrid/>
          <w:sz w:val="24"/>
          <w:szCs w:val="24"/>
          <w:lang w:val="en-US" w:eastAsia="zh-CN"/>
        </w:rPr>
        <w:t>: 1177-1183 [PMID: 21173292 DOI: 10.1001/archsurg.2010.251]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35 </w:t>
      </w:r>
      <w:r w:rsidRPr="00CF6B14">
        <w:rPr>
          <w:rFonts w:ascii="Book Antiqua" w:eastAsia="SimSun" w:hAnsi="Book Antiqua" w:cs="SimSun"/>
          <w:b/>
          <w:bCs/>
          <w:snapToGrid/>
          <w:sz w:val="24"/>
          <w:szCs w:val="24"/>
          <w:lang w:val="en-US" w:eastAsia="zh-CN"/>
        </w:rPr>
        <w:t>Carpelan-Holmström M</w:t>
      </w:r>
      <w:r w:rsidRPr="00CF6B14">
        <w:rPr>
          <w:rFonts w:ascii="Book Antiqua" w:eastAsia="SimSun" w:hAnsi="Book Antiqua" w:cs="SimSun"/>
          <w:snapToGrid/>
          <w:sz w:val="24"/>
          <w:szCs w:val="24"/>
          <w:lang w:val="en-US" w:eastAsia="zh-CN"/>
        </w:rPr>
        <w:t>, Louhimo J, Stenman UH, Alfthan H, Järvinen H, Haglund C. CEA, CA 242, CA 19-9, CA 72-4 and hCGbeta in the diagnosis of recurrent colorectal cancer. </w:t>
      </w:r>
      <w:r w:rsidRPr="00CF6B14">
        <w:rPr>
          <w:rFonts w:ascii="Book Antiqua" w:eastAsia="SimSun" w:hAnsi="Book Antiqua" w:cs="SimSun"/>
          <w:i/>
          <w:iCs/>
          <w:snapToGrid/>
          <w:sz w:val="24"/>
          <w:szCs w:val="24"/>
          <w:lang w:val="en-US" w:eastAsia="zh-CN"/>
        </w:rPr>
        <w:t>Tumour Biol</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hint="eastAsia"/>
          <w:snapToGrid/>
          <w:sz w:val="24"/>
          <w:szCs w:val="24"/>
          <w:lang w:val="en-US" w:eastAsia="zh-CN"/>
        </w:rPr>
        <w:t>2004</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25</w:t>
      </w:r>
      <w:r w:rsidRPr="00CF6B14">
        <w:rPr>
          <w:rFonts w:ascii="Book Antiqua" w:eastAsia="SimSun" w:hAnsi="Book Antiqua" w:cs="SimSun"/>
          <w:snapToGrid/>
          <w:sz w:val="24"/>
          <w:szCs w:val="24"/>
          <w:lang w:val="en-US" w:eastAsia="zh-CN"/>
        </w:rPr>
        <w:t>: 228-234 [PMID: 15627885 DOI: 10.1159/000081385]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36 </w:t>
      </w:r>
      <w:r w:rsidRPr="00CF6B14">
        <w:rPr>
          <w:rFonts w:ascii="Book Antiqua" w:eastAsia="SimSun" w:hAnsi="Book Antiqua" w:cs="SimSun"/>
          <w:b/>
          <w:bCs/>
          <w:snapToGrid/>
          <w:sz w:val="24"/>
          <w:szCs w:val="24"/>
          <w:lang w:val="en-US" w:eastAsia="zh-CN"/>
        </w:rPr>
        <w:t>Lumachi F</w:t>
      </w:r>
      <w:r w:rsidRPr="00CF6B14">
        <w:rPr>
          <w:rFonts w:ascii="Book Antiqua" w:eastAsia="SimSun" w:hAnsi="Book Antiqua" w:cs="SimSun"/>
          <w:snapToGrid/>
          <w:sz w:val="24"/>
          <w:szCs w:val="24"/>
          <w:lang w:val="en-US" w:eastAsia="zh-CN"/>
        </w:rPr>
        <w:t>, Marino F, Orlando R, Chiara GB, Basso SM. Simultaneous multianalyte immunoassay measurement of five serum tumor markers in the detection of colorectal cancer. </w:t>
      </w:r>
      <w:r w:rsidRPr="00CF6B14">
        <w:rPr>
          <w:rFonts w:ascii="Book Antiqua" w:eastAsia="SimSun" w:hAnsi="Book Antiqua" w:cs="SimSun"/>
          <w:i/>
          <w:iCs/>
          <w:snapToGrid/>
          <w:sz w:val="24"/>
          <w:szCs w:val="24"/>
          <w:lang w:val="en-US" w:eastAsia="zh-CN"/>
        </w:rPr>
        <w:t>Anticancer Res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2012;</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32</w:t>
      </w:r>
      <w:r w:rsidRPr="00CF6B14">
        <w:rPr>
          <w:rFonts w:ascii="Book Antiqua" w:eastAsia="SimSun" w:hAnsi="Book Antiqua" w:cs="SimSun"/>
          <w:snapToGrid/>
          <w:sz w:val="24"/>
          <w:szCs w:val="24"/>
          <w:lang w:val="en-US" w:eastAsia="zh-CN"/>
        </w:rPr>
        <w:t>: 985-988 [PMID: 22399621]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37 </w:t>
      </w:r>
      <w:r w:rsidRPr="00CF6B14">
        <w:rPr>
          <w:rFonts w:ascii="Book Antiqua" w:eastAsia="SimSun" w:hAnsi="Book Antiqua" w:cs="SimSun"/>
          <w:b/>
          <w:bCs/>
          <w:snapToGrid/>
          <w:sz w:val="24"/>
          <w:szCs w:val="24"/>
          <w:lang w:val="en-US" w:eastAsia="zh-CN"/>
        </w:rPr>
        <w:t>Levy M</w:t>
      </w:r>
      <w:r w:rsidRPr="00CF6B14">
        <w:rPr>
          <w:rFonts w:ascii="Book Antiqua" w:eastAsia="SimSun" w:hAnsi="Book Antiqua" w:cs="SimSun"/>
          <w:snapToGrid/>
          <w:sz w:val="24"/>
          <w:szCs w:val="24"/>
          <w:lang w:val="en-US" w:eastAsia="zh-CN"/>
        </w:rPr>
        <w:t>, Visokai V, Lipska L, Topolcan O. Tumor markers in staging and prognosis of colorectal carcinoma. </w:t>
      </w:r>
      <w:r w:rsidRPr="00CF6B14">
        <w:rPr>
          <w:rFonts w:ascii="Book Antiqua" w:eastAsia="SimSun" w:hAnsi="Book Antiqua" w:cs="SimSun"/>
          <w:i/>
          <w:iCs/>
          <w:snapToGrid/>
          <w:sz w:val="24"/>
          <w:szCs w:val="24"/>
          <w:lang w:val="en-US" w:eastAsia="zh-CN"/>
        </w:rPr>
        <w:t>Neoplasma</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2008;</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55</w:t>
      </w:r>
      <w:r w:rsidRPr="00CF6B14">
        <w:rPr>
          <w:rFonts w:ascii="Book Antiqua" w:eastAsia="SimSun" w:hAnsi="Book Antiqua" w:cs="SimSun"/>
          <w:snapToGrid/>
          <w:sz w:val="24"/>
          <w:szCs w:val="24"/>
          <w:lang w:val="en-US" w:eastAsia="zh-CN"/>
        </w:rPr>
        <w:t>: 138-142 [PMID: 18237252]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38 </w:t>
      </w:r>
      <w:r w:rsidRPr="00CF6B14">
        <w:rPr>
          <w:rFonts w:ascii="Book Antiqua" w:eastAsia="SimSun" w:hAnsi="Book Antiqua" w:cs="SimSun"/>
          <w:b/>
          <w:bCs/>
          <w:snapToGrid/>
          <w:sz w:val="24"/>
          <w:szCs w:val="24"/>
          <w:lang w:val="en-US" w:eastAsia="zh-CN"/>
        </w:rPr>
        <w:t>Marrelli D</w:t>
      </w:r>
      <w:r w:rsidRPr="00CF6B14">
        <w:rPr>
          <w:rFonts w:ascii="Book Antiqua" w:eastAsia="SimSun" w:hAnsi="Book Antiqua" w:cs="SimSun"/>
          <w:snapToGrid/>
          <w:sz w:val="24"/>
          <w:szCs w:val="24"/>
          <w:lang w:val="en-US" w:eastAsia="zh-CN"/>
        </w:rPr>
        <w:t>, Caruso S, Neri A, Pedrazzani C, Capuano L, Mazzei MA, Roviello F. Clinical utility of serum tumor markers in the diagnosis of malignant intestinal occlusion. A prospective observational study. </w:t>
      </w:r>
      <w:r w:rsidRPr="00CF6B14">
        <w:rPr>
          <w:rFonts w:ascii="Book Antiqua" w:eastAsia="SimSun" w:hAnsi="Book Antiqua" w:cs="SimSun"/>
          <w:i/>
          <w:iCs/>
          <w:snapToGrid/>
          <w:sz w:val="24"/>
          <w:szCs w:val="24"/>
          <w:lang w:val="en-US" w:eastAsia="zh-CN"/>
        </w:rPr>
        <w:t>Int J Biol Markers</w:t>
      </w:r>
      <w:r w:rsidRPr="00CF6B14">
        <w:rPr>
          <w:rFonts w:ascii="Book Antiqua" w:eastAsia="SimSun" w:hAnsi="Book Antiqua" w:cs="SimSun"/>
          <w:snapToGrid/>
          <w:sz w:val="24"/>
          <w:szCs w:val="24"/>
          <w:lang w:val="en-US" w:eastAsia="zh-CN"/>
        </w:rPr>
        <w:t> </w:t>
      </w:r>
      <w:r w:rsidR="00D8730C">
        <w:rPr>
          <w:rFonts w:ascii="Book Antiqua" w:eastAsia="SimSun" w:hAnsi="Book Antiqua" w:cs="SimSun" w:hint="eastAsia"/>
          <w:snapToGrid/>
          <w:sz w:val="24"/>
          <w:szCs w:val="24"/>
          <w:lang w:val="en-US" w:eastAsia="zh-CN"/>
        </w:rPr>
        <w:t>2011</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26</w:t>
      </w:r>
      <w:r w:rsidRPr="00CF6B14">
        <w:rPr>
          <w:rFonts w:ascii="Book Antiqua" w:eastAsia="SimSun" w:hAnsi="Book Antiqua" w:cs="SimSun"/>
          <w:snapToGrid/>
          <w:sz w:val="24"/>
          <w:szCs w:val="24"/>
          <w:lang w:val="en-US" w:eastAsia="zh-CN"/>
        </w:rPr>
        <w:t>: 58-64 [PMID: 21279957 DOI: 10.5301/JBM.2011.6284]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39 </w:t>
      </w:r>
      <w:r w:rsidRPr="00CF6B14">
        <w:rPr>
          <w:rFonts w:ascii="Book Antiqua" w:eastAsia="SimSun" w:hAnsi="Book Antiqua" w:cs="SimSun"/>
          <w:b/>
          <w:bCs/>
          <w:snapToGrid/>
          <w:sz w:val="24"/>
          <w:szCs w:val="24"/>
          <w:lang w:val="en-US" w:eastAsia="zh-CN"/>
        </w:rPr>
        <w:t>Zhong W</w:t>
      </w:r>
      <w:r w:rsidRPr="00CF6B14">
        <w:rPr>
          <w:rFonts w:ascii="Book Antiqua" w:eastAsia="SimSun" w:hAnsi="Book Antiqua" w:cs="SimSun"/>
          <w:snapToGrid/>
          <w:sz w:val="24"/>
          <w:szCs w:val="24"/>
          <w:lang w:val="en-US" w:eastAsia="zh-CN"/>
        </w:rPr>
        <w:t>, Yu Z, Zhan J, Yu T, Lin Y, Xia ZS, Yuan YH, Chen QK. Association of serum levels of CEA, CA199, CA125, CYFRA21-1 and CA72-4 and disease characteristics in colorectal cancer. </w:t>
      </w:r>
      <w:r w:rsidRPr="00CF6B14">
        <w:rPr>
          <w:rFonts w:ascii="Book Antiqua" w:eastAsia="SimSun" w:hAnsi="Book Antiqua" w:cs="SimSun"/>
          <w:i/>
          <w:iCs/>
          <w:snapToGrid/>
          <w:sz w:val="24"/>
          <w:szCs w:val="24"/>
          <w:lang w:val="en-US" w:eastAsia="zh-CN"/>
        </w:rPr>
        <w:t>Pathol Oncol Res</w:t>
      </w:r>
      <w:r w:rsidRPr="00CF6B14">
        <w:rPr>
          <w:rFonts w:ascii="Book Antiqua" w:eastAsia="SimSun" w:hAnsi="Book Antiqua" w:cs="SimSun"/>
          <w:snapToGrid/>
          <w:sz w:val="24"/>
          <w:szCs w:val="24"/>
          <w:lang w:val="en-US" w:eastAsia="zh-CN"/>
        </w:rPr>
        <w:t> 2015; </w:t>
      </w:r>
      <w:r w:rsidRPr="00CF6B14">
        <w:rPr>
          <w:rFonts w:ascii="Book Antiqua" w:eastAsia="SimSun" w:hAnsi="Book Antiqua" w:cs="SimSun"/>
          <w:b/>
          <w:bCs/>
          <w:snapToGrid/>
          <w:sz w:val="24"/>
          <w:szCs w:val="24"/>
          <w:lang w:val="en-US" w:eastAsia="zh-CN"/>
        </w:rPr>
        <w:t>21</w:t>
      </w:r>
      <w:r w:rsidRPr="00CF6B14">
        <w:rPr>
          <w:rFonts w:ascii="Book Antiqua" w:eastAsia="SimSun" w:hAnsi="Book Antiqua" w:cs="SimSun"/>
          <w:snapToGrid/>
          <w:sz w:val="24"/>
          <w:szCs w:val="24"/>
          <w:lang w:val="en-US" w:eastAsia="zh-CN"/>
        </w:rPr>
        <w:t>: 83-95 [PMID: 24875250 DOI: 10.1007/s12253-014-9791-9]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40 </w:t>
      </w:r>
      <w:r w:rsidRPr="00CF6B14">
        <w:rPr>
          <w:rFonts w:ascii="Book Antiqua" w:eastAsia="SimSun" w:hAnsi="Book Antiqua" w:cs="SimSun"/>
          <w:b/>
          <w:bCs/>
          <w:snapToGrid/>
          <w:sz w:val="24"/>
          <w:szCs w:val="24"/>
          <w:lang w:val="en-US" w:eastAsia="zh-CN"/>
        </w:rPr>
        <w:t>Koss K</w:t>
      </w:r>
      <w:r w:rsidRPr="00CF6B14">
        <w:rPr>
          <w:rFonts w:ascii="Book Antiqua" w:eastAsia="SimSun" w:hAnsi="Book Antiqua" w:cs="SimSun"/>
          <w:snapToGrid/>
          <w:sz w:val="24"/>
          <w:szCs w:val="24"/>
          <w:lang w:val="en-US" w:eastAsia="zh-CN"/>
        </w:rPr>
        <w:t>, Maxton D, Jankowski JA. Faecal dimeric M2 pyruvate kinase in colorectal cancer and polyps correlates with tumour staging and surgical intervention.</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Colorectal Dis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2008;</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10</w:t>
      </w:r>
      <w:r w:rsidRPr="00CF6B14">
        <w:rPr>
          <w:rFonts w:ascii="Book Antiqua" w:eastAsia="SimSun" w:hAnsi="Book Antiqua" w:cs="SimSun"/>
          <w:snapToGrid/>
          <w:sz w:val="24"/>
          <w:szCs w:val="24"/>
          <w:lang w:val="en-US" w:eastAsia="zh-CN"/>
        </w:rPr>
        <w:t>: 244-248 [PMID: 17784868 DOI: 10.1111/j.1463-1318.2007.01334.x]</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41 </w:t>
      </w:r>
      <w:r w:rsidRPr="00CF6B14">
        <w:rPr>
          <w:rFonts w:ascii="Book Antiqua" w:eastAsia="SimSun" w:hAnsi="Book Antiqua" w:cs="SimSun"/>
          <w:b/>
          <w:bCs/>
          <w:snapToGrid/>
          <w:sz w:val="24"/>
          <w:szCs w:val="24"/>
          <w:lang w:val="en-US" w:eastAsia="zh-CN"/>
        </w:rPr>
        <w:t>Mulder SA</w:t>
      </w:r>
      <w:r w:rsidRPr="00CF6B14">
        <w:rPr>
          <w:rFonts w:ascii="Book Antiqua" w:eastAsia="SimSun" w:hAnsi="Book Antiqua" w:cs="SimSun"/>
          <w:snapToGrid/>
          <w:sz w:val="24"/>
          <w:szCs w:val="24"/>
          <w:lang w:val="en-US" w:eastAsia="zh-CN"/>
        </w:rPr>
        <w:t xml:space="preserve">, van Leerdam ME, van Vuuren AJ, Francke J, van Toorenenbergen AW, Kuipers EJ, Ouwendijk RJ. Tumor pyruvate kinase isoenzyme type M2 and </w:t>
      </w:r>
      <w:r w:rsidRPr="00CF6B14">
        <w:rPr>
          <w:rFonts w:ascii="Book Antiqua" w:eastAsia="SimSun" w:hAnsi="Book Antiqua" w:cs="SimSun"/>
          <w:snapToGrid/>
          <w:sz w:val="24"/>
          <w:szCs w:val="24"/>
          <w:lang w:val="en-US" w:eastAsia="zh-CN"/>
        </w:rPr>
        <w:lastRenderedPageBreak/>
        <w:t>immunochemical fecal occult blood test: performance in screening for colorectal cancer. </w:t>
      </w:r>
      <w:r w:rsidRPr="00CF6B14">
        <w:rPr>
          <w:rFonts w:ascii="Book Antiqua" w:eastAsia="SimSun" w:hAnsi="Book Antiqua" w:cs="SimSun"/>
          <w:i/>
          <w:iCs/>
          <w:snapToGrid/>
          <w:sz w:val="24"/>
          <w:szCs w:val="24"/>
          <w:lang w:val="en-US" w:eastAsia="zh-CN"/>
        </w:rPr>
        <w:t>Eur J Gastroenterol Hepatol</w:t>
      </w:r>
      <w:r w:rsidRPr="00CF6B14">
        <w:rPr>
          <w:rFonts w:ascii="Book Antiqua" w:eastAsia="SimSun" w:hAnsi="Book Antiqua" w:cs="SimSun"/>
          <w:snapToGrid/>
          <w:sz w:val="24"/>
          <w:szCs w:val="24"/>
          <w:lang w:val="en-US" w:eastAsia="zh-CN"/>
        </w:rPr>
        <w:t> 2007; </w:t>
      </w:r>
      <w:r w:rsidRPr="00CF6B14">
        <w:rPr>
          <w:rFonts w:ascii="Book Antiqua" w:eastAsia="SimSun" w:hAnsi="Book Antiqua" w:cs="SimSun"/>
          <w:b/>
          <w:bCs/>
          <w:snapToGrid/>
          <w:sz w:val="24"/>
          <w:szCs w:val="24"/>
          <w:lang w:val="en-US" w:eastAsia="zh-CN"/>
        </w:rPr>
        <w:t>19</w:t>
      </w:r>
      <w:r w:rsidRPr="00CF6B14">
        <w:rPr>
          <w:rFonts w:ascii="Book Antiqua" w:eastAsia="SimSun" w:hAnsi="Book Antiqua" w:cs="SimSun"/>
          <w:snapToGrid/>
          <w:sz w:val="24"/>
          <w:szCs w:val="24"/>
          <w:lang w:val="en-US" w:eastAsia="zh-CN"/>
        </w:rPr>
        <w:t>: 878-882 [PMID: 17873612]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42 </w:t>
      </w:r>
      <w:r w:rsidRPr="00CF6B14">
        <w:rPr>
          <w:rFonts w:ascii="Book Antiqua" w:eastAsia="SimSun" w:hAnsi="Book Antiqua" w:cs="SimSun"/>
          <w:b/>
          <w:bCs/>
          <w:snapToGrid/>
          <w:sz w:val="24"/>
          <w:szCs w:val="24"/>
          <w:lang w:val="en-US" w:eastAsia="zh-CN"/>
        </w:rPr>
        <w:t>Nielsen HJ</w:t>
      </w:r>
      <w:r w:rsidRPr="00CF6B14">
        <w:rPr>
          <w:rFonts w:ascii="Book Antiqua" w:eastAsia="SimSun" w:hAnsi="Book Antiqua" w:cs="SimSun"/>
          <w:snapToGrid/>
          <w:sz w:val="24"/>
          <w:szCs w:val="24"/>
          <w:lang w:val="en-US" w:eastAsia="zh-CN"/>
        </w:rPr>
        <w:t>, Brünner N, Jorgensen LN, Olsen J, Rahr HB, Thygesen K, Hoyer U, Laurberg S, Stieber P, Blankenstein MA, Davis G, Dowell BL, Christensen IJ. Plasma TIMP-1 and CEA in detection of primary colorectal cancer: a prospective, population based study of 4509 high-risk individuals.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Scand J Gastroenterol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2011;</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46</w:t>
      </w:r>
      <w:r w:rsidRPr="00CF6B14">
        <w:rPr>
          <w:rFonts w:ascii="Book Antiqua" w:eastAsia="SimSun" w:hAnsi="Book Antiqua" w:cs="SimSun"/>
          <w:snapToGrid/>
          <w:sz w:val="24"/>
          <w:szCs w:val="24"/>
          <w:lang w:val="en-US" w:eastAsia="zh-CN"/>
        </w:rPr>
        <w:t>: 60-69 [PMID: 20799911 DOI: 10.3109/00365521.2010.513060]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43 </w:t>
      </w:r>
      <w:r w:rsidRPr="00CF6B14">
        <w:rPr>
          <w:rFonts w:ascii="Book Antiqua" w:eastAsia="SimSun" w:hAnsi="Book Antiqua" w:cs="SimSun"/>
          <w:b/>
          <w:bCs/>
          <w:snapToGrid/>
          <w:sz w:val="24"/>
          <w:szCs w:val="24"/>
          <w:lang w:val="en-US" w:eastAsia="zh-CN"/>
        </w:rPr>
        <w:t>Byström P</w:t>
      </w:r>
      <w:r w:rsidRPr="00CF6B14">
        <w:rPr>
          <w:rFonts w:ascii="Book Antiqua" w:eastAsia="SimSun" w:hAnsi="Book Antiqua" w:cs="SimSun"/>
          <w:snapToGrid/>
          <w:sz w:val="24"/>
          <w:szCs w:val="24"/>
          <w:lang w:val="en-US" w:eastAsia="zh-CN"/>
        </w:rPr>
        <w:t>, Berglund Å, Nygren P, Wernroth L, Johansson B, Larsson A, Glimelius B. Evaluation of predictive markers for patients with advanced colorectal 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Acta Oncol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2012;</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51</w:t>
      </w:r>
      <w:r w:rsidRPr="00CF6B14">
        <w:rPr>
          <w:rFonts w:ascii="Book Antiqua" w:eastAsia="SimSun" w:hAnsi="Book Antiqua" w:cs="SimSun"/>
          <w:snapToGrid/>
          <w:sz w:val="24"/>
          <w:szCs w:val="24"/>
          <w:lang w:val="en-US" w:eastAsia="zh-CN"/>
        </w:rPr>
        <w:t>: 849-859 [PMID: 22974092 DOI: 10.3109/0284186X.2012.705020]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44 </w:t>
      </w:r>
      <w:r w:rsidRPr="00CF6B14">
        <w:rPr>
          <w:rFonts w:ascii="Book Antiqua" w:eastAsia="SimSun" w:hAnsi="Book Antiqua" w:cs="SimSun"/>
          <w:b/>
          <w:bCs/>
          <w:snapToGrid/>
          <w:sz w:val="24"/>
          <w:szCs w:val="24"/>
          <w:lang w:val="en-US" w:eastAsia="zh-CN"/>
        </w:rPr>
        <w:t>Holdenrieder S</w:t>
      </w:r>
      <w:r w:rsidRPr="00CF6B14">
        <w:rPr>
          <w:rFonts w:ascii="Book Antiqua" w:eastAsia="SimSun" w:hAnsi="Book Antiqua" w:cs="SimSun"/>
          <w:snapToGrid/>
          <w:sz w:val="24"/>
          <w:szCs w:val="24"/>
          <w:lang w:val="en-US" w:eastAsia="zh-CN"/>
        </w:rPr>
        <w:t>, Stieber P, Liska V, Treska V, Topolcan O, Dreslerova J, Matejka VM, Finek J, Holubec L. Cytokeratin serum biomarkers in patients with colorectal cancer. </w:t>
      </w:r>
      <w:r w:rsidRPr="00CF6B14">
        <w:rPr>
          <w:rFonts w:ascii="Book Antiqua" w:eastAsia="SimSun" w:hAnsi="Book Antiqua" w:cs="SimSun"/>
          <w:i/>
          <w:iCs/>
          <w:snapToGrid/>
          <w:sz w:val="24"/>
          <w:szCs w:val="24"/>
          <w:lang w:val="en-US" w:eastAsia="zh-CN"/>
        </w:rPr>
        <w:t>Anticancer Res</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32</w:t>
      </w:r>
      <w:r w:rsidRPr="00CF6B14">
        <w:rPr>
          <w:rFonts w:ascii="Book Antiqua" w:eastAsia="SimSun" w:hAnsi="Book Antiqua" w:cs="SimSun"/>
          <w:snapToGrid/>
          <w:sz w:val="24"/>
          <w:szCs w:val="24"/>
          <w:lang w:val="en-US" w:eastAsia="zh-CN"/>
        </w:rPr>
        <w:t>: 1971-1976 [PMID: 22593474]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45 </w:t>
      </w:r>
      <w:r w:rsidRPr="00CF6B14">
        <w:rPr>
          <w:rFonts w:ascii="Book Antiqua" w:eastAsia="SimSun" w:hAnsi="Book Antiqua" w:cs="SimSun"/>
          <w:b/>
          <w:bCs/>
          <w:snapToGrid/>
          <w:sz w:val="24"/>
          <w:szCs w:val="24"/>
          <w:lang w:val="en-US" w:eastAsia="zh-CN"/>
        </w:rPr>
        <w:t>Baba Y</w:t>
      </w:r>
      <w:r w:rsidRPr="00CF6B14">
        <w:rPr>
          <w:rFonts w:ascii="Book Antiqua" w:eastAsia="SimSun" w:hAnsi="Book Antiqua" w:cs="SimSun"/>
          <w:snapToGrid/>
          <w:sz w:val="24"/>
          <w:szCs w:val="24"/>
          <w:lang w:val="en-US" w:eastAsia="zh-CN"/>
        </w:rPr>
        <w:t>, Nosho K, Shima K, Irahara N, Kure S, Toyoda S, Kirkner GJ, Goel A, Fuchs CS, Ogino S. Aurora-A expression is independently associated with chromosomal instability in colorectal cancer. </w:t>
      </w:r>
      <w:r w:rsidRPr="00CF6B14">
        <w:rPr>
          <w:rFonts w:ascii="Book Antiqua" w:eastAsia="SimSun" w:hAnsi="Book Antiqua" w:cs="SimSun"/>
          <w:i/>
          <w:iCs/>
          <w:snapToGrid/>
          <w:sz w:val="24"/>
          <w:szCs w:val="24"/>
          <w:lang w:val="en-US" w:eastAsia="zh-CN"/>
        </w:rPr>
        <w:t>Neoplasia</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2009;</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11</w:t>
      </w:r>
      <w:r w:rsidRPr="00CF6B14">
        <w:rPr>
          <w:rFonts w:ascii="Book Antiqua" w:eastAsia="SimSun" w:hAnsi="Book Antiqua" w:cs="SimSun"/>
          <w:snapToGrid/>
          <w:sz w:val="24"/>
          <w:szCs w:val="24"/>
          <w:lang w:val="en-US" w:eastAsia="zh-CN"/>
        </w:rPr>
        <w:t>: 418-425 [PMID: 19412426]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46 </w:t>
      </w:r>
      <w:r w:rsidRPr="00CF6B14">
        <w:rPr>
          <w:rFonts w:ascii="Book Antiqua" w:eastAsia="SimSun" w:hAnsi="Book Antiqua" w:cs="SimSun"/>
          <w:b/>
          <w:bCs/>
          <w:snapToGrid/>
          <w:sz w:val="24"/>
          <w:szCs w:val="24"/>
          <w:lang w:val="en-US" w:eastAsia="zh-CN"/>
        </w:rPr>
        <w:t>Popat S</w:t>
      </w:r>
      <w:r w:rsidRPr="00CF6B14">
        <w:rPr>
          <w:rFonts w:ascii="Book Antiqua" w:eastAsia="SimSun" w:hAnsi="Book Antiqua" w:cs="SimSun"/>
          <w:snapToGrid/>
          <w:sz w:val="24"/>
          <w:szCs w:val="24"/>
          <w:lang w:val="en-US" w:eastAsia="zh-CN"/>
        </w:rPr>
        <w:t>, Hubner R, Houlston RS. Systematic review of microsatellite instability and colorectal cancer prognosis.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2005; </w:t>
      </w:r>
      <w:r w:rsidRPr="00CF6B14">
        <w:rPr>
          <w:rFonts w:ascii="Book Antiqua" w:eastAsia="SimSun" w:hAnsi="Book Antiqua" w:cs="SimSun"/>
          <w:b/>
          <w:bCs/>
          <w:snapToGrid/>
          <w:sz w:val="24"/>
          <w:szCs w:val="24"/>
          <w:lang w:val="en-US" w:eastAsia="zh-CN"/>
        </w:rPr>
        <w:t>23</w:t>
      </w:r>
      <w:r w:rsidRPr="00CF6B14">
        <w:rPr>
          <w:rFonts w:ascii="Book Antiqua" w:eastAsia="SimSun" w:hAnsi="Book Antiqua" w:cs="SimSun"/>
          <w:snapToGrid/>
          <w:sz w:val="24"/>
          <w:szCs w:val="24"/>
          <w:lang w:val="en-US" w:eastAsia="zh-CN"/>
        </w:rPr>
        <w:t>: 609-618 [PMID: 15659508 DOI: 10.1200/JCO.2005.01.086]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47 </w:t>
      </w:r>
      <w:r w:rsidRPr="00CF6B14">
        <w:rPr>
          <w:rFonts w:ascii="Book Antiqua" w:eastAsia="SimSun" w:hAnsi="Book Antiqua" w:cs="SimSun"/>
          <w:b/>
          <w:bCs/>
          <w:snapToGrid/>
          <w:sz w:val="24"/>
          <w:szCs w:val="24"/>
          <w:lang w:val="en-US" w:eastAsia="zh-CN"/>
        </w:rPr>
        <w:t>Samowitz WS</w:t>
      </w:r>
      <w:r w:rsidRPr="00CF6B14">
        <w:rPr>
          <w:rFonts w:ascii="Book Antiqua" w:eastAsia="SimSun" w:hAnsi="Book Antiqua" w:cs="SimSun"/>
          <w:snapToGrid/>
          <w:sz w:val="24"/>
          <w:szCs w:val="24"/>
          <w:lang w:val="en-US" w:eastAsia="zh-CN"/>
        </w:rPr>
        <w:t>, Curtin K, Ma KN, Schaffer D, Coleman LW, Leppert M, Slattery ML. Microsatellite instability in sporadic colon cancer is associated with an improved prognosis at the population level.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Cancer Epidemiol Biomarkers Prev</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2001; </w:t>
      </w:r>
      <w:r w:rsidRPr="00CF6B14">
        <w:rPr>
          <w:rFonts w:ascii="Book Antiqua" w:eastAsia="SimSun" w:hAnsi="Book Antiqua" w:cs="SimSun"/>
          <w:b/>
          <w:bCs/>
          <w:snapToGrid/>
          <w:sz w:val="24"/>
          <w:szCs w:val="24"/>
          <w:lang w:val="en-US" w:eastAsia="zh-CN"/>
        </w:rPr>
        <w:t>10</w:t>
      </w:r>
      <w:r w:rsidRPr="00CF6B14">
        <w:rPr>
          <w:rFonts w:ascii="Book Antiqua" w:eastAsia="SimSun" w:hAnsi="Book Antiqua" w:cs="SimSun"/>
          <w:snapToGrid/>
          <w:sz w:val="24"/>
          <w:szCs w:val="24"/>
          <w:lang w:val="en-US" w:eastAsia="zh-CN"/>
        </w:rPr>
        <w:t>: 917-923 [PMID: 11535541]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48 </w:t>
      </w:r>
      <w:r w:rsidRPr="00CF6B14">
        <w:rPr>
          <w:rFonts w:ascii="Book Antiqua" w:eastAsia="SimSun" w:hAnsi="Book Antiqua" w:cs="SimSun"/>
          <w:b/>
          <w:bCs/>
          <w:snapToGrid/>
          <w:sz w:val="24"/>
          <w:szCs w:val="24"/>
          <w:lang w:val="en-US" w:eastAsia="zh-CN"/>
        </w:rPr>
        <w:t>Ribic CM</w:t>
      </w:r>
      <w:r w:rsidRPr="00CF6B14">
        <w:rPr>
          <w:rFonts w:ascii="Book Antiqua" w:eastAsia="SimSun" w:hAnsi="Book Antiqua" w:cs="SimSun"/>
          <w:snapToGrid/>
          <w:sz w:val="24"/>
          <w:szCs w:val="24"/>
          <w:lang w:val="en-US" w:eastAsia="zh-CN"/>
        </w:rPr>
        <w:t>, Sargent DJ, Moore MJ, Thibodeau SN, French AJ, Goldberg RM, Hamilton SR, Laurent-Puig P, Gryfe R, Shepherd LE, Tu D, Redston M, Gallinger S. Tumor microsatellite-instability status as a predictor of benefit from fluorouracil-based adjuvant chemotherapy for colon cancer. </w:t>
      </w:r>
      <w:r w:rsidRPr="00CF6B14">
        <w:rPr>
          <w:rFonts w:ascii="Book Antiqua" w:eastAsia="SimSun" w:hAnsi="Book Antiqua" w:cs="SimSun"/>
          <w:i/>
          <w:iCs/>
          <w:snapToGrid/>
          <w:sz w:val="24"/>
          <w:szCs w:val="24"/>
          <w:lang w:val="en-US" w:eastAsia="zh-CN"/>
        </w:rPr>
        <w:t>N Engl J Med</w:t>
      </w:r>
      <w:r w:rsidRPr="00CF6B14">
        <w:rPr>
          <w:rFonts w:ascii="Book Antiqua" w:eastAsia="SimSun" w:hAnsi="Book Antiqua" w:cs="SimSun"/>
          <w:snapToGrid/>
          <w:sz w:val="24"/>
          <w:szCs w:val="24"/>
          <w:lang w:val="en-US" w:eastAsia="zh-CN"/>
        </w:rPr>
        <w:t> 2003; </w:t>
      </w:r>
      <w:r w:rsidRPr="00CF6B14">
        <w:rPr>
          <w:rFonts w:ascii="Book Antiqua" w:eastAsia="SimSun" w:hAnsi="Book Antiqua" w:cs="SimSun"/>
          <w:b/>
          <w:bCs/>
          <w:snapToGrid/>
          <w:sz w:val="24"/>
          <w:szCs w:val="24"/>
          <w:lang w:val="en-US" w:eastAsia="zh-CN"/>
        </w:rPr>
        <w:t>349</w:t>
      </w:r>
      <w:r w:rsidRPr="00CF6B14">
        <w:rPr>
          <w:rFonts w:ascii="Book Antiqua" w:eastAsia="SimSun" w:hAnsi="Book Antiqua" w:cs="SimSun"/>
          <w:snapToGrid/>
          <w:sz w:val="24"/>
          <w:szCs w:val="24"/>
          <w:lang w:val="en-US" w:eastAsia="zh-CN"/>
        </w:rPr>
        <w:t>: 247-257 [PMID: 12867608 DOI: 10.1056/NEJMoa022289]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49 </w:t>
      </w:r>
      <w:r w:rsidRPr="00CF6B14">
        <w:rPr>
          <w:rFonts w:ascii="Book Antiqua" w:eastAsia="SimSun" w:hAnsi="Book Antiqua" w:cs="SimSun"/>
          <w:b/>
          <w:bCs/>
          <w:snapToGrid/>
          <w:sz w:val="24"/>
          <w:szCs w:val="24"/>
          <w:lang w:val="en-US" w:eastAsia="zh-CN"/>
        </w:rPr>
        <w:t>Kim GP</w:t>
      </w:r>
      <w:r w:rsidRPr="00CF6B14">
        <w:rPr>
          <w:rFonts w:ascii="Book Antiqua" w:eastAsia="SimSun" w:hAnsi="Book Antiqua" w:cs="SimSun"/>
          <w:snapToGrid/>
          <w:sz w:val="24"/>
          <w:szCs w:val="24"/>
          <w:lang w:val="en-US" w:eastAsia="zh-CN"/>
        </w:rPr>
        <w:t xml:space="preserve">, Colangelo LH, Wieand HS, Paik S, Kirsch IR, Wolmark N, Allegra CJ. Prognostic and predictive roles of high-degree microsatellite instability in colon </w:t>
      </w:r>
      <w:r w:rsidRPr="00CF6B14">
        <w:rPr>
          <w:rFonts w:ascii="Book Antiqua" w:eastAsia="SimSun" w:hAnsi="Book Antiqua" w:cs="SimSun"/>
          <w:snapToGrid/>
          <w:sz w:val="24"/>
          <w:szCs w:val="24"/>
          <w:lang w:val="en-US" w:eastAsia="zh-CN"/>
        </w:rPr>
        <w:lastRenderedPageBreak/>
        <w:t>cancer: a National Cancer Institute-National Surgical Adjuvant Breast and Bowel Project Collaborative Study.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2007; </w:t>
      </w:r>
      <w:r w:rsidRPr="00CF6B14">
        <w:rPr>
          <w:rFonts w:ascii="Book Antiqua" w:eastAsia="SimSun" w:hAnsi="Book Antiqua" w:cs="SimSun"/>
          <w:b/>
          <w:bCs/>
          <w:snapToGrid/>
          <w:sz w:val="24"/>
          <w:szCs w:val="24"/>
          <w:lang w:val="en-US" w:eastAsia="zh-CN"/>
        </w:rPr>
        <w:t>25</w:t>
      </w:r>
      <w:r w:rsidRPr="00CF6B14">
        <w:rPr>
          <w:rFonts w:ascii="Book Antiqua" w:eastAsia="SimSun" w:hAnsi="Book Antiqua" w:cs="SimSun"/>
          <w:snapToGrid/>
          <w:sz w:val="24"/>
          <w:szCs w:val="24"/>
          <w:lang w:val="en-US" w:eastAsia="zh-CN"/>
        </w:rPr>
        <w:t>: 767-772 [PMID: 17228023 DOI: 10.1200/JCO.2006.05.8172]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50 </w:t>
      </w:r>
      <w:r w:rsidRPr="00CF6B14">
        <w:rPr>
          <w:rFonts w:ascii="Book Antiqua" w:eastAsia="SimSun" w:hAnsi="Book Antiqua" w:cs="SimSun"/>
          <w:b/>
          <w:bCs/>
          <w:snapToGrid/>
          <w:sz w:val="24"/>
          <w:szCs w:val="24"/>
          <w:lang w:val="en-US" w:eastAsia="zh-CN"/>
        </w:rPr>
        <w:t>Sinicrope FA</w:t>
      </w:r>
      <w:r w:rsidRPr="00CF6B14">
        <w:rPr>
          <w:rFonts w:ascii="Book Antiqua" w:eastAsia="SimSun" w:hAnsi="Book Antiqua" w:cs="SimSun"/>
          <w:snapToGrid/>
          <w:sz w:val="24"/>
          <w:szCs w:val="24"/>
          <w:lang w:val="en-US" w:eastAsia="zh-CN"/>
        </w:rPr>
        <w:t>, Sargent DJ. Clinical implications of microsatellite instability in sporadic colon cancers. </w:t>
      </w:r>
      <w:r w:rsidRPr="00CF6B14">
        <w:rPr>
          <w:rFonts w:ascii="Book Antiqua" w:eastAsia="SimSun" w:hAnsi="Book Antiqua" w:cs="SimSun"/>
          <w:i/>
          <w:iCs/>
          <w:snapToGrid/>
          <w:sz w:val="24"/>
          <w:szCs w:val="24"/>
          <w:lang w:val="en-US" w:eastAsia="zh-CN"/>
        </w:rPr>
        <w:t>Curr Opin Oncol</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21</w:t>
      </w:r>
      <w:r w:rsidRPr="00CF6B14">
        <w:rPr>
          <w:rFonts w:ascii="Book Antiqua" w:eastAsia="SimSun" w:hAnsi="Book Antiqua" w:cs="SimSun"/>
          <w:snapToGrid/>
          <w:sz w:val="24"/>
          <w:szCs w:val="24"/>
          <w:lang w:val="en-US" w:eastAsia="zh-CN"/>
        </w:rPr>
        <w:t>: 369-373 [PMID: 19444104 DOI: 10.1097/CCO.0b013e32832c94bd]</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51 </w:t>
      </w:r>
      <w:r w:rsidRPr="00CF6B14">
        <w:rPr>
          <w:rFonts w:ascii="Book Antiqua" w:eastAsia="SimSun" w:hAnsi="Book Antiqua" w:cs="SimSun"/>
          <w:b/>
          <w:bCs/>
          <w:snapToGrid/>
          <w:sz w:val="24"/>
          <w:szCs w:val="24"/>
          <w:lang w:val="en-US" w:eastAsia="zh-CN"/>
        </w:rPr>
        <w:t>Meyers M</w:t>
      </w:r>
      <w:r w:rsidRPr="00CF6B14">
        <w:rPr>
          <w:rFonts w:ascii="Book Antiqua" w:eastAsia="SimSun" w:hAnsi="Book Antiqua" w:cs="SimSun"/>
          <w:snapToGrid/>
          <w:sz w:val="24"/>
          <w:szCs w:val="24"/>
          <w:lang w:val="en-US" w:eastAsia="zh-CN"/>
        </w:rPr>
        <w:t>, Wagner MW, Hwang HS, Kinsella TJ, Boothman DA. Role of the hMLH1 DNA mismatch repair protein in fluoropyrimidine-mediated cell death and cell cycle responses. </w:t>
      </w:r>
      <w:r w:rsidRPr="00CF6B14">
        <w:rPr>
          <w:rFonts w:ascii="Book Antiqua" w:eastAsia="SimSun" w:hAnsi="Book Antiqua" w:cs="SimSun"/>
          <w:i/>
          <w:iCs/>
          <w:snapToGrid/>
          <w:sz w:val="24"/>
          <w:szCs w:val="24"/>
          <w:lang w:val="en-US" w:eastAsia="zh-CN"/>
        </w:rPr>
        <w:t>Cancer Res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2001;</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61</w:t>
      </w:r>
      <w:r w:rsidRPr="00CF6B14">
        <w:rPr>
          <w:rFonts w:ascii="Book Antiqua" w:eastAsia="SimSun" w:hAnsi="Book Antiqua" w:cs="SimSun"/>
          <w:snapToGrid/>
          <w:sz w:val="24"/>
          <w:szCs w:val="24"/>
          <w:lang w:val="en-US" w:eastAsia="zh-CN"/>
        </w:rPr>
        <w:t>: 5193-5201 [PMID: 11431359]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52 </w:t>
      </w:r>
      <w:r w:rsidRPr="00CF6B14">
        <w:rPr>
          <w:rFonts w:ascii="Book Antiqua" w:eastAsia="SimSun" w:hAnsi="Book Antiqua" w:cs="SimSun"/>
          <w:b/>
          <w:bCs/>
          <w:snapToGrid/>
          <w:sz w:val="24"/>
          <w:szCs w:val="24"/>
          <w:lang w:val="en-US" w:eastAsia="zh-CN"/>
        </w:rPr>
        <w:t>Elsaleh H</w:t>
      </w:r>
      <w:r w:rsidRPr="00CF6B14">
        <w:rPr>
          <w:rFonts w:ascii="Book Antiqua" w:eastAsia="SimSun" w:hAnsi="Book Antiqua" w:cs="SimSun"/>
          <w:snapToGrid/>
          <w:sz w:val="24"/>
          <w:szCs w:val="24"/>
          <w:lang w:val="en-US" w:eastAsia="zh-CN"/>
        </w:rPr>
        <w:t>, Iacopetta B. Microsatellite instability is a predictive marker for survival benefit from adjuvant chemotherapy in a population-based series of stage III colorectal carcinoma. </w:t>
      </w:r>
      <w:r w:rsidRPr="00CF6B14">
        <w:rPr>
          <w:rFonts w:ascii="Book Antiqua" w:eastAsia="SimSun" w:hAnsi="Book Antiqua" w:cs="SimSun"/>
          <w:i/>
          <w:iCs/>
          <w:snapToGrid/>
          <w:sz w:val="24"/>
          <w:szCs w:val="24"/>
          <w:lang w:val="en-US" w:eastAsia="zh-CN"/>
        </w:rPr>
        <w:t>Clin Colorectal Cancer</w:t>
      </w:r>
      <w:r w:rsidRPr="00CF6B14">
        <w:rPr>
          <w:rFonts w:ascii="Book Antiqua" w:eastAsia="SimSun" w:hAnsi="Book Antiqua" w:cs="SimSun"/>
          <w:snapToGrid/>
          <w:sz w:val="24"/>
          <w:szCs w:val="24"/>
          <w:lang w:val="en-US" w:eastAsia="zh-CN"/>
        </w:rPr>
        <w:t> 2001; </w:t>
      </w:r>
      <w:r w:rsidRPr="00CF6B14">
        <w:rPr>
          <w:rFonts w:ascii="Book Antiqua" w:eastAsia="SimSun" w:hAnsi="Book Antiqua" w:cs="SimSun"/>
          <w:b/>
          <w:bCs/>
          <w:snapToGrid/>
          <w:sz w:val="24"/>
          <w:szCs w:val="24"/>
          <w:lang w:val="en-US" w:eastAsia="zh-CN"/>
        </w:rPr>
        <w:t>1</w:t>
      </w:r>
      <w:r w:rsidRPr="00CF6B14">
        <w:rPr>
          <w:rFonts w:ascii="Book Antiqua" w:eastAsia="SimSun" w:hAnsi="Book Antiqua" w:cs="SimSun"/>
          <w:snapToGrid/>
          <w:sz w:val="24"/>
          <w:szCs w:val="24"/>
          <w:lang w:val="en-US" w:eastAsia="zh-CN"/>
        </w:rPr>
        <w:t>: 104-109 [PMID: 12445368 DOI: 10.3816/CCC.2001.n.010]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53 </w:t>
      </w:r>
      <w:r w:rsidRPr="00CF6B14">
        <w:rPr>
          <w:rFonts w:ascii="Book Antiqua" w:eastAsia="SimSun" w:hAnsi="Book Antiqua" w:cs="SimSun"/>
          <w:b/>
          <w:bCs/>
          <w:snapToGrid/>
          <w:sz w:val="24"/>
          <w:szCs w:val="24"/>
          <w:lang w:val="en-US" w:eastAsia="zh-CN"/>
        </w:rPr>
        <w:t>Elsaleh H</w:t>
      </w:r>
      <w:r w:rsidRPr="00CF6B14">
        <w:rPr>
          <w:rFonts w:ascii="Book Antiqua" w:eastAsia="SimSun" w:hAnsi="Book Antiqua" w:cs="SimSun"/>
          <w:snapToGrid/>
          <w:sz w:val="24"/>
          <w:szCs w:val="24"/>
          <w:lang w:val="en-US" w:eastAsia="zh-CN"/>
        </w:rPr>
        <w:t>, Joseph D, Grieu F, Zeps N, Spry N, Iacopetta B. Association of tumour site and sex with survival benefit from adjuvant chemotherapy in colorectal 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Lancet</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2000;</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355</w:t>
      </w:r>
      <w:r w:rsidRPr="00CF6B14">
        <w:rPr>
          <w:rFonts w:ascii="Book Antiqua" w:eastAsia="SimSun" w:hAnsi="Book Antiqua" w:cs="SimSun"/>
          <w:snapToGrid/>
          <w:sz w:val="24"/>
          <w:szCs w:val="24"/>
          <w:lang w:val="en-US" w:eastAsia="zh-CN"/>
        </w:rPr>
        <w:t>: 1745-1750 [PMID: 10832824 DOI: 10.1016/S0140-6736(00)02261-3]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54 </w:t>
      </w:r>
      <w:r w:rsidRPr="00CF6B14">
        <w:rPr>
          <w:rFonts w:ascii="Book Antiqua" w:eastAsia="SimSun" w:hAnsi="Book Antiqua" w:cs="SimSun"/>
          <w:b/>
          <w:bCs/>
          <w:snapToGrid/>
          <w:sz w:val="24"/>
          <w:szCs w:val="24"/>
          <w:lang w:val="en-US" w:eastAsia="zh-CN"/>
        </w:rPr>
        <w:t>Hutchins G</w:t>
      </w:r>
      <w:r w:rsidRPr="00CF6B14">
        <w:rPr>
          <w:rFonts w:ascii="Book Antiqua" w:eastAsia="SimSun" w:hAnsi="Book Antiqua" w:cs="SimSun"/>
          <w:snapToGrid/>
          <w:sz w:val="24"/>
          <w:szCs w:val="24"/>
          <w:lang w:val="en-US" w:eastAsia="zh-CN"/>
        </w:rPr>
        <w:t>, Southward K, Handley K, Magill L, Beaumont C, Stahlschmidt J, Richman S, Chambers P, Seymour M, Kerr D, Gray R, Quirke P. Value of mismatch repair, KRAS, and BRAF mutations in predicting recurrence and benefits from chemotherapy in colorectal cancer.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2011; </w:t>
      </w:r>
      <w:r w:rsidRPr="00CF6B14">
        <w:rPr>
          <w:rFonts w:ascii="Book Antiqua" w:eastAsia="SimSun" w:hAnsi="Book Antiqua" w:cs="SimSun"/>
          <w:b/>
          <w:bCs/>
          <w:snapToGrid/>
          <w:sz w:val="24"/>
          <w:szCs w:val="24"/>
          <w:lang w:val="en-US" w:eastAsia="zh-CN"/>
        </w:rPr>
        <w:t>29</w:t>
      </w:r>
      <w:r w:rsidRPr="00CF6B14">
        <w:rPr>
          <w:rFonts w:ascii="Book Antiqua" w:eastAsia="SimSun" w:hAnsi="Book Antiqua" w:cs="SimSun"/>
          <w:snapToGrid/>
          <w:sz w:val="24"/>
          <w:szCs w:val="24"/>
          <w:lang w:val="en-US" w:eastAsia="zh-CN"/>
        </w:rPr>
        <w:t>: 1261-1270 [PMID: 21383284 DOI: 10.1200/JCO.2010.30.1366]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55 </w:t>
      </w:r>
      <w:r w:rsidRPr="00CF6B14">
        <w:rPr>
          <w:rFonts w:ascii="Book Antiqua" w:eastAsia="SimSun" w:hAnsi="Book Antiqua" w:cs="SimSun"/>
          <w:b/>
          <w:bCs/>
          <w:snapToGrid/>
          <w:sz w:val="24"/>
          <w:szCs w:val="24"/>
          <w:lang w:val="en-US" w:eastAsia="zh-CN"/>
        </w:rPr>
        <w:t>Bertagnolli MM</w:t>
      </w:r>
      <w:r w:rsidRPr="00CF6B14">
        <w:rPr>
          <w:rFonts w:ascii="Book Antiqua" w:eastAsia="SimSun" w:hAnsi="Book Antiqua" w:cs="SimSun"/>
          <w:snapToGrid/>
          <w:sz w:val="24"/>
          <w:szCs w:val="24"/>
          <w:lang w:val="en-US" w:eastAsia="zh-CN"/>
        </w:rPr>
        <w:t>, Niedzwiecki D, Compton CC, Hahn HP, Hall M, Damas B, Jewell SD, Mayer RJ, Goldberg RM, Saltz LB, Warren RS, Redston M. Microsatellite instability predicts improved response to adjuvant therapy with irinotecan, fluorouracil, and leucovorin in stage III colon cancer: Cancer and Leukemia Group B Protocol 89803.</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2009; </w:t>
      </w:r>
      <w:r w:rsidRPr="00CF6B14">
        <w:rPr>
          <w:rFonts w:ascii="Book Antiqua" w:eastAsia="SimSun" w:hAnsi="Book Antiqua" w:cs="SimSun"/>
          <w:b/>
          <w:bCs/>
          <w:snapToGrid/>
          <w:sz w:val="24"/>
          <w:szCs w:val="24"/>
          <w:lang w:val="en-US" w:eastAsia="zh-CN"/>
        </w:rPr>
        <w:t>27</w:t>
      </w:r>
      <w:r w:rsidRPr="00CF6B14">
        <w:rPr>
          <w:rFonts w:ascii="Book Antiqua" w:eastAsia="SimSun" w:hAnsi="Book Antiqua" w:cs="SimSun"/>
          <w:snapToGrid/>
          <w:sz w:val="24"/>
          <w:szCs w:val="24"/>
          <w:lang w:val="en-US" w:eastAsia="zh-CN"/>
        </w:rPr>
        <w:t>: 1814-1821 [PMID: 19273709 DOI: 10.1200/JCO.2008.18.2071]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56 </w:t>
      </w:r>
      <w:r w:rsidRPr="00CF6B14">
        <w:rPr>
          <w:rFonts w:ascii="Book Antiqua" w:eastAsia="SimSun" w:hAnsi="Book Antiqua" w:cs="SimSun"/>
          <w:b/>
          <w:bCs/>
          <w:snapToGrid/>
          <w:sz w:val="24"/>
          <w:szCs w:val="24"/>
          <w:lang w:val="en-US" w:eastAsia="zh-CN"/>
        </w:rPr>
        <w:t>Sarli L</w:t>
      </w:r>
      <w:r w:rsidRPr="00CF6B14">
        <w:rPr>
          <w:rFonts w:ascii="Book Antiqua" w:eastAsia="SimSun" w:hAnsi="Book Antiqua" w:cs="SimSun"/>
          <w:snapToGrid/>
          <w:sz w:val="24"/>
          <w:szCs w:val="24"/>
          <w:lang w:val="en-US" w:eastAsia="zh-CN"/>
        </w:rPr>
        <w:t xml:space="preserve">, Bottarelli L, Bader G, Iusco D, Pizzi S, Costi R, D'Adda T, Bertolani M, Roncoroni L, Bordi C. Association between recurrence of sporadic colorectal cancer, high level of microsatellite instability, and loss of heterozygosity at chromosome </w:t>
      </w:r>
      <w:r w:rsidRPr="00CF6B14">
        <w:rPr>
          <w:rFonts w:ascii="Book Antiqua" w:eastAsia="SimSun" w:hAnsi="Book Antiqua" w:cs="SimSun"/>
          <w:snapToGrid/>
          <w:sz w:val="24"/>
          <w:szCs w:val="24"/>
          <w:lang w:val="en-US" w:eastAsia="zh-CN"/>
        </w:rPr>
        <w:lastRenderedPageBreak/>
        <w:t>18q. </w:t>
      </w:r>
      <w:r w:rsidRPr="00CF6B14">
        <w:rPr>
          <w:rFonts w:ascii="Book Antiqua" w:eastAsia="SimSun" w:hAnsi="Book Antiqua" w:cs="SimSun"/>
          <w:i/>
          <w:iCs/>
          <w:snapToGrid/>
          <w:sz w:val="24"/>
          <w:szCs w:val="24"/>
          <w:lang w:val="en-US" w:eastAsia="zh-CN"/>
        </w:rPr>
        <w:t>Dis Colon Rectum</w:t>
      </w:r>
      <w:r w:rsidRPr="00CF6B14">
        <w:rPr>
          <w:rFonts w:ascii="Book Antiqua" w:eastAsia="SimSun" w:hAnsi="Book Antiqua" w:cs="SimSun"/>
          <w:snapToGrid/>
          <w:sz w:val="24"/>
          <w:szCs w:val="24"/>
          <w:lang w:val="en-US" w:eastAsia="zh-CN"/>
        </w:rPr>
        <w:t> 2004; </w:t>
      </w:r>
      <w:r w:rsidRPr="00CF6B14">
        <w:rPr>
          <w:rFonts w:ascii="Book Antiqua" w:eastAsia="SimSun" w:hAnsi="Book Antiqua" w:cs="SimSun"/>
          <w:b/>
          <w:bCs/>
          <w:snapToGrid/>
          <w:sz w:val="24"/>
          <w:szCs w:val="24"/>
          <w:lang w:val="en-US" w:eastAsia="zh-CN"/>
        </w:rPr>
        <w:t>47</w:t>
      </w:r>
      <w:r w:rsidRPr="00CF6B14">
        <w:rPr>
          <w:rFonts w:ascii="Book Antiqua" w:eastAsia="SimSun" w:hAnsi="Book Antiqua" w:cs="SimSun"/>
          <w:snapToGrid/>
          <w:sz w:val="24"/>
          <w:szCs w:val="24"/>
          <w:lang w:val="en-US" w:eastAsia="zh-CN"/>
        </w:rPr>
        <w:t>: 1467-1482 [PMID: 15486743 DOI: 10.1007/s10350-004-0628-6]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57 </w:t>
      </w:r>
      <w:r w:rsidRPr="00CF6B14">
        <w:rPr>
          <w:rFonts w:ascii="Book Antiqua" w:eastAsia="SimSun" w:hAnsi="Book Antiqua" w:cs="SimSun"/>
          <w:b/>
          <w:bCs/>
          <w:snapToGrid/>
          <w:sz w:val="24"/>
          <w:szCs w:val="24"/>
          <w:lang w:val="en-US" w:eastAsia="zh-CN"/>
        </w:rPr>
        <w:t>Popat S</w:t>
      </w:r>
      <w:r w:rsidRPr="00CF6B14">
        <w:rPr>
          <w:rFonts w:ascii="Book Antiqua" w:eastAsia="SimSun" w:hAnsi="Book Antiqua" w:cs="SimSun"/>
          <w:snapToGrid/>
          <w:sz w:val="24"/>
          <w:szCs w:val="24"/>
          <w:lang w:val="en-US" w:eastAsia="zh-CN"/>
        </w:rPr>
        <w:t>, Houlston RS. A systematic review and meta-analysis of the relationship between chromosome 18q genotype, DCC status and colorectal cancer prognosis.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Eur J 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2005;</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41</w:t>
      </w:r>
      <w:r w:rsidRPr="00CF6B14">
        <w:rPr>
          <w:rFonts w:ascii="Book Antiqua" w:eastAsia="SimSun" w:hAnsi="Book Antiqua" w:cs="SimSun"/>
          <w:snapToGrid/>
          <w:sz w:val="24"/>
          <w:szCs w:val="24"/>
          <w:lang w:val="en-US" w:eastAsia="zh-CN"/>
        </w:rPr>
        <w:t>: 2060-2070 [PMID: 16125380 DOI: 10.1016/j.ejca.2005.04.039]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58 </w:t>
      </w:r>
      <w:r w:rsidRPr="00CF6B14">
        <w:rPr>
          <w:rFonts w:ascii="Book Antiqua" w:eastAsia="SimSun" w:hAnsi="Book Antiqua" w:cs="SimSun"/>
          <w:b/>
          <w:bCs/>
          <w:snapToGrid/>
          <w:sz w:val="24"/>
          <w:szCs w:val="24"/>
          <w:lang w:val="en-US" w:eastAsia="zh-CN"/>
        </w:rPr>
        <w:t>Popat S</w:t>
      </w:r>
      <w:r w:rsidRPr="00CF6B14">
        <w:rPr>
          <w:rFonts w:ascii="Book Antiqua" w:eastAsia="SimSun" w:hAnsi="Book Antiqua" w:cs="SimSun"/>
          <w:snapToGrid/>
          <w:sz w:val="24"/>
          <w:szCs w:val="24"/>
          <w:lang w:val="en-US" w:eastAsia="zh-CN"/>
        </w:rPr>
        <w:t>, Zhao D, Chen Z, Pan H, Shao Y, Chandler I, Houlston RS. Relationship between chromosome 18q status and colorectal cancer prognosis: a prospective, blinded analysis of 280 patients. </w:t>
      </w:r>
      <w:r w:rsidRPr="00CF6B14">
        <w:rPr>
          <w:rFonts w:ascii="Book Antiqua" w:eastAsia="SimSun" w:hAnsi="Book Antiqua" w:cs="SimSun"/>
          <w:i/>
          <w:iCs/>
          <w:snapToGrid/>
          <w:sz w:val="24"/>
          <w:szCs w:val="24"/>
          <w:lang w:val="en-US" w:eastAsia="zh-CN"/>
        </w:rPr>
        <w:t>Anticancer Res</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hint="eastAsia"/>
          <w:snapToGrid/>
          <w:sz w:val="24"/>
          <w:szCs w:val="24"/>
          <w:lang w:val="en-US" w:eastAsia="zh-CN"/>
        </w:rPr>
        <w:t>2007</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27</w:t>
      </w:r>
      <w:r w:rsidRPr="00CF6B14">
        <w:rPr>
          <w:rFonts w:ascii="Book Antiqua" w:eastAsia="SimSun" w:hAnsi="Book Antiqua" w:cs="SimSun"/>
          <w:snapToGrid/>
          <w:sz w:val="24"/>
          <w:szCs w:val="24"/>
          <w:lang w:val="en-US" w:eastAsia="zh-CN"/>
        </w:rPr>
        <w:t>: 627-633 [PMID: 17348452]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59 </w:t>
      </w:r>
      <w:r w:rsidRPr="00CF6B14">
        <w:rPr>
          <w:rFonts w:ascii="Book Antiqua" w:eastAsia="SimSun" w:hAnsi="Book Antiqua" w:cs="SimSun"/>
          <w:b/>
          <w:bCs/>
          <w:snapToGrid/>
          <w:sz w:val="24"/>
          <w:szCs w:val="24"/>
          <w:lang w:val="en-US" w:eastAsia="zh-CN"/>
        </w:rPr>
        <w:t>Ogino S</w:t>
      </w:r>
      <w:r w:rsidRPr="00CF6B14">
        <w:rPr>
          <w:rFonts w:ascii="Book Antiqua" w:eastAsia="SimSun" w:hAnsi="Book Antiqua" w:cs="SimSun"/>
          <w:snapToGrid/>
          <w:sz w:val="24"/>
          <w:szCs w:val="24"/>
          <w:lang w:val="en-US" w:eastAsia="zh-CN"/>
        </w:rPr>
        <w:t>, Nosho K, Irahara N, Shima K, Baba Y, Kirkner GJ, Meyerhardt JA, Fuchs CS. Prognostic significance and molecular associations of 18q loss of heterozygosity: a cohort study of microsatellite stable colorectal cancers.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27</w:t>
      </w:r>
      <w:r w:rsidRPr="00CF6B14">
        <w:rPr>
          <w:rFonts w:ascii="Book Antiqua" w:eastAsia="SimSun" w:hAnsi="Book Antiqua" w:cs="SimSun"/>
          <w:snapToGrid/>
          <w:sz w:val="24"/>
          <w:szCs w:val="24"/>
          <w:lang w:val="en-US" w:eastAsia="zh-CN"/>
        </w:rPr>
        <w:t>: 4591-4598 [PMID: 19704056 DOI: 10.1200/jco.2009.22.8858]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60 </w:t>
      </w:r>
      <w:r w:rsidRPr="00CF6B14">
        <w:rPr>
          <w:rFonts w:ascii="Book Antiqua" w:eastAsia="SimSun" w:hAnsi="Book Antiqua" w:cs="SimSun"/>
          <w:b/>
          <w:bCs/>
          <w:snapToGrid/>
          <w:sz w:val="24"/>
          <w:szCs w:val="24"/>
          <w:lang w:val="en-US" w:eastAsia="zh-CN"/>
        </w:rPr>
        <w:t>Watanabe T</w:t>
      </w:r>
      <w:r w:rsidRPr="00CF6B14">
        <w:rPr>
          <w:rFonts w:ascii="Book Antiqua" w:eastAsia="SimSun" w:hAnsi="Book Antiqua" w:cs="SimSun"/>
          <w:snapToGrid/>
          <w:sz w:val="24"/>
          <w:szCs w:val="24"/>
          <w:lang w:val="en-US" w:eastAsia="zh-CN"/>
        </w:rPr>
        <w:t>, Wu TT, Catalano PJ, Ueki T, Satriano R, Haller DG, Benson AB, Hamilton SR. Molecular predictors of survival after adjuvant chemotherapy for colon cancer. </w:t>
      </w:r>
      <w:r w:rsidRPr="00CF6B14">
        <w:rPr>
          <w:rFonts w:ascii="Book Antiqua" w:eastAsia="SimSun" w:hAnsi="Book Antiqua" w:cs="SimSun"/>
          <w:i/>
          <w:iCs/>
          <w:snapToGrid/>
          <w:sz w:val="24"/>
          <w:szCs w:val="24"/>
          <w:lang w:val="en-US" w:eastAsia="zh-CN"/>
        </w:rPr>
        <w:t>N Engl J Med</w:t>
      </w:r>
      <w:r w:rsidRPr="00CF6B14">
        <w:rPr>
          <w:rFonts w:ascii="Book Antiqua" w:eastAsia="SimSun" w:hAnsi="Book Antiqua" w:cs="SimSun"/>
          <w:snapToGrid/>
          <w:sz w:val="24"/>
          <w:szCs w:val="24"/>
          <w:lang w:val="en-US" w:eastAsia="zh-CN"/>
        </w:rPr>
        <w:t> 2001; </w:t>
      </w:r>
      <w:r w:rsidRPr="00CF6B14">
        <w:rPr>
          <w:rFonts w:ascii="Book Antiqua" w:eastAsia="SimSun" w:hAnsi="Book Antiqua" w:cs="SimSun"/>
          <w:b/>
          <w:bCs/>
          <w:snapToGrid/>
          <w:sz w:val="24"/>
          <w:szCs w:val="24"/>
          <w:lang w:val="en-US" w:eastAsia="zh-CN"/>
        </w:rPr>
        <w:t>344</w:t>
      </w:r>
      <w:r w:rsidRPr="00CF6B14">
        <w:rPr>
          <w:rFonts w:ascii="Book Antiqua" w:eastAsia="SimSun" w:hAnsi="Book Antiqua" w:cs="SimSun"/>
          <w:snapToGrid/>
          <w:sz w:val="24"/>
          <w:szCs w:val="24"/>
          <w:lang w:val="en-US" w:eastAsia="zh-CN"/>
        </w:rPr>
        <w:t>: 1196-1206 [PMID: 11309634 DOI: 10.1056/NEJM200104193441603]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61 </w:t>
      </w:r>
      <w:r w:rsidRPr="00CF6B14">
        <w:rPr>
          <w:rFonts w:ascii="Book Antiqua" w:eastAsia="SimSun" w:hAnsi="Book Antiqua" w:cs="SimSun"/>
          <w:b/>
          <w:bCs/>
          <w:snapToGrid/>
          <w:sz w:val="24"/>
          <w:szCs w:val="24"/>
          <w:lang w:val="en-US" w:eastAsia="zh-CN"/>
        </w:rPr>
        <w:t>Watanabe T</w:t>
      </w:r>
      <w:r w:rsidRPr="00CF6B14">
        <w:rPr>
          <w:rFonts w:ascii="Book Antiqua" w:eastAsia="SimSun" w:hAnsi="Book Antiqua" w:cs="SimSun"/>
          <w:snapToGrid/>
          <w:sz w:val="24"/>
          <w:szCs w:val="24"/>
          <w:lang w:val="en-US" w:eastAsia="zh-CN"/>
        </w:rPr>
        <w:t>, Kobunai T, Yamamoto Y, Matsuda K, Ishihara S, Nozawa K, Yamada H, Hayama T, Inoue E, Tamura J, Iinuma H, Akiyoshi T, Muto T. Chromosomal instability (CIN) phenotype, CIN high or CIN low, predicts survival for colorectal cancer.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30</w:t>
      </w:r>
      <w:r w:rsidRPr="00CF6B14">
        <w:rPr>
          <w:rFonts w:ascii="Book Antiqua" w:eastAsia="SimSun" w:hAnsi="Book Antiqua" w:cs="SimSun"/>
          <w:snapToGrid/>
          <w:sz w:val="24"/>
          <w:szCs w:val="24"/>
          <w:lang w:val="en-US" w:eastAsia="zh-CN"/>
        </w:rPr>
        <w:t>: 2256-2264 [PMID: 22547595 DOI: 10.1200/jco.2011.38.6490]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62</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Http: //clinicaltrials.gov/ct2/show/study/NCT00217737?Term=ecog 5202&amp;rank=1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63 </w:t>
      </w:r>
      <w:r w:rsidRPr="00CF6B14">
        <w:rPr>
          <w:rFonts w:ascii="Book Antiqua" w:eastAsia="SimSun" w:hAnsi="Book Antiqua" w:cs="SimSun"/>
          <w:b/>
          <w:bCs/>
          <w:snapToGrid/>
          <w:sz w:val="24"/>
          <w:szCs w:val="24"/>
          <w:lang w:val="en-US" w:eastAsia="zh-CN"/>
        </w:rPr>
        <w:t>Tejpar S</w:t>
      </w:r>
      <w:r w:rsidRPr="00CF6B14">
        <w:rPr>
          <w:rFonts w:ascii="Book Antiqua" w:eastAsia="SimSun" w:hAnsi="Book Antiqua" w:cs="SimSun"/>
          <w:snapToGrid/>
          <w:sz w:val="24"/>
          <w:szCs w:val="24"/>
          <w:lang w:val="en-US" w:eastAsia="zh-CN"/>
        </w:rPr>
        <w:t>, Bertagnolli M, Bosman F, Lenz HJ, Garraway L, Waldman F, Warren R, Bild A, Collins-Brennan D, Hahn H, Harkin DP, Kennedy R, Ilyas M, Morreau H, Proutski V, Swanton C, Tomlinson I, Delorenzi M, Fiocca R, Van Cutsem E, Roth A. Prognostic and predictive biomarkers in resected colon cancer: current status and future perspectives for integrating genomics into biomarker discovery. </w:t>
      </w:r>
      <w:r w:rsidRPr="00CF6B14">
        <w:rPr>
          <w:rFonts w:ascii="Book Antiqua" w:eastAsia="SimSun" w:hAnsi="Book Antiqua" w:cs="SimSun"/>
          <w:i/>
          <w:iCs/>
          <w:snapToGrid/>
          <w:sz w:val="24"/>
          <w:szCs w:val="24"/>
          <w:lang w:val="en-US" w:eastAsia="zh-CN"/>
        </w:rPr>
        <w:t>Oncologist</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15</w:t>
      </w:r>
      <w:r w:rsidRPr="00CF6B14">
        <w:rPr>
          <w:rFonts w:ascii="Book Antiqua" w:eastAsia="SimSun" w:hAnsi="Book Antiqua" w:cs="SimSun"/>
          <w:snapToGrid/>
          <w:sz w:val="24"/>
          <w:szCs w:val="24"/>
          <w:lang w:val="en-US" w:eastAsia="zh-CN"/>
        </w:rPr>
        <w:t>: 390-404 [PMID: 20350999 DOI: 10.1634/theoncologist.2009-0233]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64 </w:t>
      </w:r>
      <w:r w:rsidRPr="00CF6B14">
        <w:rPr>
          <w:rFonts w:ascii="Book Antiqua" w:eastAsia="SimSun" w:hAnsi="Book Antiqua" w:cs="SimSun"/>
          <w:b/>
          <w:bCs/>
          <w:snapToGrid/>
          <w:sz w:val="24"/>
          <w:szCs w:val="24"/>
          <w:lang w:val="en-US" w:eastAsia="zh-CN"/>
        </w:rPr>
        <w:t>Russo A</w:t>
      </w:r>
      <w:r w:rsidRPr="00CF6B14">
        <w:rPr>
          <w:rFonts w:ascii="Book Antiqua" w:eastAsia="SimSun" w:hAnsi="Book Antiqua" w:cs="SimSun"/>
          <w:snapToGrid/>
          <w:sz w:val="24"/>
          <w:szCs w:val="24"/>
          <w:lang w:val="en-US" w:eastAsia="zh-CN"/>
        </w:rPr>
        <w:t>, Bazan V, Iacopetta B, Kerr D, Soussi T, Gebbia N</w:t>
      </w:r>
      <w:r w:rsidRPr="00CF6B14">
        <w:rPr>
          <w:rFonts w:ascii="Book Antiqua" w:eastAsia="Calibri" w:hAnsi="Book Antiqua" w:cs="Segoe UI"/>
          <w:snapToGrid/>
          <w:kern w:val="2"/>
          <w:sz w:val="24"/>
          <w:szCs w:val="24"/>
          <w:lang w:val="en-US" w:eastAsia="en-US"/>
        </w:rPr>
        <w:t>; </w:t>
      </w:r>
      <w:hyperlink r:id="rId9" w:history="1">
        <w:r w:rsidRPr="00DA5410">
          <w:rPr>
            <w:rFonts w:ascii="Book Antiqua" w:eastAsia="Calibri" w:hAnsi="Book Antiqua" w:cs="Segoe UI"/>
            <w:snapToGrid/>
            <w:kern w:val="2"/>
            <w:sz w:val="24"/>
            <w:szCs w:val="24"/>
            <w:lang w:val="en-US" w:eastAsia="en-US"/>
          </w:rPr>
          <w:t>TP53-CRC Collaborative Study Group</w:t>
        </w:r>
      </w:hyperlink>
      <w:r w:rsidRPr="00CF6B14">
        <w:rPr>
          <w:rFonts w:ascii="Book Antiqua" w:eastAsia="Calibri" w:hAnsi="Book Antiqua" w:cs="Segoe UI"/>
          <w:snapToGrid/>
          <w:kern w:val="2"/>
          <w:sz w:val="24"/>
          <w:szCs w:val="24"/>
          <w:lang w:val="en-US" w:eastAsia="en-US"/>
        </w:rPr>
        <w:t>.</w:t>
      </w:r>
      <w:r w:rsidRPr="00CF6B14">
        <w:rPr>
          <w:rFonts w:ascii="Book Antiqua" w:eastAsia="SimSun" w:hAnsi="Book Antiqua" w:cs="SimSun"/>
          <w:snapToGrid/>
          <w:sz w:val="24"/>
          <w:szCs w:val="24"/>
          <w:lang w:val="en-US" w:eastAsia="zh-CN"/>
        </w:rPr>
        <w:t xml:space="preserve"> The TP53 colorectal cancer international collaborative study on the prognostic and predictive significance of p53 mutation: influence of tumor site, type of mutation, and adjuvant treatment.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2005; </w:t>
      </w:r>
      <w:r w:rsidRPr="00CF6B14">
        <w:rPr>
          <w:rFonts w:ascii="Book Antiqua" w:eastAsia="SimSun" w:hAnsi="Book Antiqua" w:cs="SimSun"/>
          <w:b/>
          <w:bCs/>
          <w:snapToGrid/>
          <w:sz w:val="24"/>
          <w:szCs w:val="24"/>
          <w:lang w:val="en-US" w:eastAsia="zh-CN"/>
        </w:rPr>
        <w:t>23</w:t>
      </w:r>
      <w:r w:rsidRPr="00CF6B14">
        <w:rPr>
          <w:rFonts w:ascii="Book Antiqua" w:eastAsia="SimSun" w:hAnsi="Book Antiqua" w:cs="SimSun"/>
          <w:snapToGrid/>
          <w:sz w:val="24"/>
          <w:szCs w:val="24"/>
          <w:lang w:val="en-US" w:eastAsia="zh-CN"/>
        </w:rPr>
        <w:t>: 7518-7528 [PMID: 16172461 DOI: 10.1200/JCO.2005.00.471]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65 </w:t>
      </w:r>
      <w:r w:rsidRPr="00CF6B14">
        <w:rPr>
          <w:rFonts w:ascii="Book Antiqua" w:eastAsia="SimSun" w:hAnsi="Book Antiqua" w:cs="SimSun"/>
          <w:b/>
          <w:bCs/>
          <w:snapToGrid/>
          <w:sz w:val="24"/>
          <w:szCs w:val="24"/>
          <w:lang w:val="en-US" w:eastAsia="zh-CN"/>
        </w:rPr>
        <w:t>De Roock W</w:t>
      </w:r>
      <w:r w:rsidRPr="00CF6B14">
        <w:rPr>
          <w:rFonts w:ascii="Book Antiqua" w:eastAsia="SimSun" w:hAnsi="Book Antiqua" w:cs="SimSun"/>
          <w:snapToGrid/>
          <w:sz w:val="24"/>
          <w:szCs w:val="24"/>
          <w:lang w:val="en-US" w:eastAsia="zh-CN"/>
        </w:rPr>
        <w:t>, Jonker DJ, Di Nicolantonio F, Sartore-Bianchi A, Tu D, Siena S, Lamba S, Arena S, Frattini M, Piessevaux H, Van Cutsem E, O'Callaghan CJ, Khambata-Ford S, Zalcberg JR, Simes J, Karapetis CS, Bardelli A, Tejpar S. Association of KRAS p.G13D mutation with outcome in patients with chemotherapy-refractory metastatic colorectal cancer treated with cetuximab.</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JAMA</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2010; </w:t>
      </w:r>
      <w:r w:rsidRPr="00CF6B14">
        <w:rPr>
          <w:rFonts w:ascii="Book Antiqua" w:eastAsia="SimSun" w:hAnsi="Book Antiqua" w:cs="SimSun"/>
          <w:b/>
          <w:bCs/>
          <w:snapToGrid/>
          <w:sz w:val="24"/>
          <w:szCs w:val="24"/>
          <w:lang w:val="en-US" w:eastAsia="zh-CN"/>
        </w:rPr>
        <w:t>304</w:t>
      </w:r>
      <w:r w:rsidRPr="00CF6B14">
        <w:rPr>
          <w:rFonts w:ascii="Book Antiqua" w:eastAsia="SimSun" w:hAnsi="Book Antiqua" w:cs="SimSun"/>
          <w:snapToGrid/>
          <w:sz w:val="24"/>
          <w:szCs w:val="24"/>
          <w:lang w:val="en-US" w:eastAsia="zh-CN"/>
        </w:rPr>
        <w:t>: 1812-1820 [PMID: 20978259 DOI: 10.1001/jama.2010.1535]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66 </w:t>
      </w:r>
      <w:r w:rsidRPr="00CF6B14">
        <w:rPr>
          <w:rFonts w:ascii="Book Antiqua" w:eastAsia="SimSun" w:hAnsi="Book Antiqua" w:cs="SimSun"/>
          <w:b/>
          <w:bCs/>
          <w:snapToGrid/>
          <w:sz w:val="24"/>
          <w:szCs w:val="24"/>
          <w:lang w:val="en-US" w:eastAsia="zh-CN"/>
        </w:rPr>
        <w:t>Markowitz SD</w:t>
      </w:r>
      <w:r w:rsidRPr="00CF6B14">
        <w:rPr>
          <w:rFonts w:ascii="Book Antiqua" w:eastAsia="SimSun" w:hAnsi="Book Antiqua" w:cs="SimSun"/>
          <w:snapToGrid/>
          <w:sz w:val="24"/>
          <w:szCs w:val="24"/>
          <w:lang w:val="en-US" w:eastAsia="zh-CN"/>
        </w:rPr>
        <w:t>, Bertagnolli MM. Molecular origins of cancer: Molecular basis of colorectal cancer. </w:t>
      </w:r>
      <w:r w:rsidRPr="00CF6B14">
        <w:rPr>
          <w:rFonts w:ascii="Book Antiqua" w:eastAsia="SimSun" w:hAnsi="Book Antiqua" w:cs="SimSun"/>
          <w:i/>
          <w:iCs/>
          <w:snapToGrid/>
          <w:sz w:val="24"/>
          <w:szCs w:val="24"/>
          <w:lang w:val="en-US" w:eastAsia="zh-CN"/>
        </w:rPr>
        <w:t>N Engl J Med</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361</w:t>
      </w:r>
      <w:r w:rsidRPr="00CF6B14">
        <w:rPr>
          <w:rFonts w:ascii="Book Antiqua" w:eastAsia="SimSun" w:hAnsi="Book Antiqua" w:cs="SimSun"/>
          <w:snapToGrid/>
          <w:sz w:val="24"/>
          <w:szCs w:val="24"/>
          <w:lang w:val="en-US" w:eastAsia="zh-CN"/>
        </w:rPr>
        <w:t>: 2449-2460 [PMID: 20018966 DOI: 10.1056/NEJMra0804588]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67 </w:t>
      </w:r>
      <w:r w:rsidRPr="00CF6B14">
        <w:rPr>
          <w:rFonts w:ascii="Book Antiqua" w:eastAsia="SimSun" w:hAnsi="Book Antiqua" w:cs="SimSun"/>
          <w:b/>
          <w:bCs/>
          <w:snapToGrid/>
          <w:sz w:val="24"/>
          <w:szCs w:val="24"/>
          <w:lang w:val="en-US" w:eastAsia="zh-CN"/>
        </w:rPr>
        <w:t>Di Fiore F</w:t>
      </w:r>
      <w:r w:rsidRPr="00CF6B14">
        <w:rPr>
          <w:rFonts w:ascii="Book Antiqua" w:eastAsia="SimSun" w:hAnsi="Book Antiqua" w:cs="SimSun"/>
          <w:snapToGrid/>
          <w:sz w:val="24"/>
          <w:szCs w:val="24"/>
          <w:lang w:val="en-US" w:eastAsia="zh-CN"/>
        </w:rPr>
        <w:t>, Blanchard F, Charbonnier F, Le Pessot F, Lamy A, Galais MP, Bastit L, Killian A, Sesboüé R, Tuech JJ, Queuniet AM, Paillot B, Sabourin JC, Michot F, Michel P, Frebourg T. Clinical relevance of KRAS mutation detection in metastatic colorectal cancer treated by Cetuximab plus chemotherapy. </w:t>
      </w:r>
      <w:r w:rsidRPr="00CF6B14">
        <w:rPr>
          <w:rFonts w:ascii="Book Antiqua" w:eastAsia="SimSun" w:hAnsi="Book Antiqua" w:cs="SimSun"/>
          <w:i/>
          <w:iCs/>
          <w:snapToGrid/>
          <w:sz w:val="24"/>
          <w:szCs w:val="24"/>
          <w:lang w:val="en-US" w:eastAsia="zh-CN"/>
        </w:rPr>
        <w:t>Br J 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2007;</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96</w:t>
      </w:r>
      <w:r w:rsidRPr="00CF6B14">
        <w:rPr>
          <w:rFonts w:ascii="Book Antiqua" w:eastAsia="SimSun" w:hAnsi="Book Antiqua" w:cs="SimSun"/>
          <w:snapToGrid/>
          <w:sz w:val="24"/>
          <w:szCs w:val="24"/>
          <w:lang w:val="en-US" w:eastAsia="zh-CN"/>
        </w:rPr>
        <w:t>: 1166-1169 [PMID: 17375050 DOI: 10.1038/sj.bjc.6603685]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68 </w:t>
      </w:r>
      <w:r w:rsidRPr="00CF6B14">
        <w:rPr>
          <w:rFonts w:ascii="Book Antiqua" w:eastAsia="SimSun" w:hAnsi="Book Antiqua" w:cs="SimSun"/>
          <w:b/>
          <w:bCs/>
          <w:snapToGrid/>
          <w:sz w:val="24"/>
          <w:szCs w:val="24"/>
          <w:lang w:val="en-US" w:eastAsia="zh-CN"/>
        </w:rPr>
        <w:t>Lièvre A</w:t>
      </w:r>
      <w:r w:rsidRPr="00CF6B14">
        <w:rPr>
          <w:rFonts w:ascii="Book Antiqua" w:eastAsia="SimSun" w:hAnsi="Book Antiqua" w:cs="SimSun"/>
          <w:snapToGrid/>
          <w:sz w:val="24"/>
          <w:szCs w:val="24"/>
          <w:lang w:val="en-US" w:eastAsia="zh-CN"/>
        </w:rPr>
        <w:t>, Bachet JB, Boige V, Cayre A, Le Corre D, Buc E, Ychou M, Bouché O, Landi B, Louvet C, André T, Bibeau F, Diebold MD, Rougier P, Ducreux M, Tomasic G, Emile JF, Penault-Llorca F, Laurent-Puig P. KRAS mutations as an independent prognostic factor in patients with advanced colorectal cancer treated with cetuximab.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2008; </w:t>
      </w:r>
      <w:r w:rsidRPr="00CF6B14">
        <w:rPr>
          <w:rFonts w:ascii="Book Antiqua" w:eastAsia="SimSun" w:hAnsi="Book Antiqua" w:cs="SimSun"/>
          <w:b/>
          <w:bCs/>
          <w:snapToGrid/>
          <w:sz w:val="24"/>
          <w:szCs w:val="24"/>
          <w:lang w:val="en-US" w:eastAsia="zh-CN"/>
        </w:rPr>
        <w:t>26</w:t>
      </w:r>
      <w:r w:rsidRPr="00CF6B14">
        <w:rPr>
          <w:rFonts w:ascii="Book Antiqua" w:eastAsia="SimSun" w:hAnsi="Book Antiqua" w:cs="SimSun"/>
          <w:snapToGrid/>
          <w:sz w:val="24"/>
          <w:szCs w:val="24"/>
          <w:lang w:val="en-US" w:eastAsia="zh-CN"/>
        </w:rPr>
        <w:t>: 374-379 [PMID: 18202412 DOI: 10.1200/JCO.2007.12.5906]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69 </w:t>
      </w:r>
      <w:r w:rsidRPr="00CF6B14">
        <w:rPr>
          <w:rFonts w:ascii="Book Antiqua" w:eastAsia="SimSun" w:hAnsi="Book Antiqua" w:cs="SimSun"/>
          <w:b/>
          <w:bCs/>
          <w:snapToGrid/>
          <w:sz w:val="24"/>
          <w:szCs w:val="24"/>
          <w:lang w:val="en-US" w:eastAsia="zh-CN"/>
        </w:rPr>
        <w:t>Van Cutsem E</w:t>
      </w:r>
      <w:r w:rsidRPr="00CF6B14">
        <w:rPr>
          <w:rFonts w:ascii="Book Antiqua" w:eastAsia="SimSun" w:hAnsi="Book Antiqua" w:cs="SimSun"/>
          <w:snapToGrid/>
          <w:sz w:val="24"/>
          <w:szCs w:val="24"/>
          <w:lang w:val="en-US" w:eastAsia="zh-CN"/>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2011;</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29</w:t>
      </w:r>
      <w:r w:rsidRPr="00CF6B14">
        <w:rPr>
          <w:rFonts w:ascii="Book Antiqua" w:eastAsia="SimSun" w:hAnsi="Book Antiqua" w:cs="SimSun"/>
          <w:snapToGrid/>
          <w:sz w:val="24"/>
          <w:szCs w:val="24"/>
          <w:lang w:val="en-US" w:eastAsia="zh-CN"/>
        </w:rPr>
        <w:t>: 2011-2019 [PMID: 21502544 DOI: 10.1200/JCO.2010.33.5091]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70 </w:t>
      </w:r>
      <w:r w:rsidRPr="00CF6B14">
        <w:rPr>
          <w:rFonts w:ascii="Book Antiqua" w:eastAsia="SimSun" w:hAnsi="Book Antiqua" w:cs="SimSun"/>
          <w:b/>
          <w:bCs/>
          <w:snapToGrid/>
          <w:sz w:val="24"/>
          <w:szCs w:val="24"/>
          <w:lang w:val="en-US" w:eastAsia="zh-CN"/>
        </w:rPr>
        <w:t>Bokemeyer C</w:t>
      </w:r>
      <w:r w:rsidRPr="00CF6B14">
        <w:rPr>
          <w:rFonts w:ascii="Book Antiqua" w:eastAsia="SimSun" w:hAnsi="Book Antiqua" w:cs="SimSun"/>
          <w:snapToGrid/>
          <w:sz w:val="24"/>
          <w:szCs w:val="24"/>
          <w:lang w:val="en-US" w:eastAsia="zh-CN"/>
        </w:rPr>
        <w:t>, Van Cutsem E, Rougier P, Ciardiello F, Heeger S, Schlichting M, Celik I, Köhne CH. Addition of cetuximab to chemotherapy as first-line treatment for KRAS wild-type metastatic colorectal cancer: pooled analysis of the CRYSTAL and OPUS randomised clinical trials. </w:t>
      </w:r>
      <w:r w:rsidRPr="00CF6B14">
        <w:rPr>
          <w:rFonts w:ascii="Book Antiqua" w:eastAsia="SimSun" w:hAnsi="Book Antiqua" w:cs="SimSun"/>
          <w:i/>
          <w:iCs/>
          <w:snapToGrid/>
          <w:sz w:val="24"/>
          <w:szCs w:val="24"/>
          <w:lang w:val="en-US" w:eastAsia="zh-CN"/>
        </w:rPr>
        <w:t>Eur J Cancer</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48</w:t>
      </w:r>
      <w:r w:rsidRPr="00CF6B14">
        <w:rPr>
          <w:rFonts w:ascii="Book Antiqua" w:eastAsia="SimSun" w:hAnsi="Book Antiqua" w:cs="SimSun"/>
          <w:snapToGrid/>
          <w:sz w:val="24"/>
          <w:szCs w:val="24"/>
          <w:lang w:val="en-US" w:eastAsia="zh-CN"/>
        </w:rPr>
        <w:t>: 1466-1475 [PMID: 22446022 DOI: 10.1016/j.ejca.2012.02.057]</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71 </w:t>
      </w:r>
      <w:r w:rsidRPr="00CF6B14">
        <w:rPr>
          <w:rFonts w:ascii="Book Antiqua" w:eastAsia="SimSun" w:hAnsi="Book Antiqua" w:cs="SimSun"/>
          <w:b/>
          <w:bCs/>
          <w:snapToGrid/>
          <w:sz w:val="24"/>
          <w:szCs w:val="24"/>
          <w:lang w:val="en-US" w:eastAsia="zh-CN"/>
        </w:rPr>
        <w:t>Douillard JY</w:t>
      </w:r>
      <w:r w:rsidRPr="00CF6B14">
        <w:rPr>
          <w:rFonts w:ascii="Book Antiqua" w:eastAsia="SimSun" w:hAnsi="Book Antiqua" w:cs="SimSun"/>
          <w:snapToGrid/>
          <w:sz w:val="24"/>
          <w:szCs w:val="24"/>
          <w:lang w:val="en-US" w:eastAsia="zh-CN"/>
        </w:rPr>
        <w:t>, Siena S, Cassidy J, Tabernero J, Burkes R, Barugel M, Humblet Y, Bodoky G, Cunningham D, Jassem J, Rivera F, Kocákova I, Ruff P, B</w:t>
      </w:r>
      <w:r w:rsidRPr="00CF6B14">
        <w:rPr>
          <w:rFonts w:ascii="Book Antiqua" w:eastAsia="MS Mincho" w:hAnsi="Book Antiqua" w:cs="MS Mincho"/>
          <w:snapToGrid/>
          <w:sz w:val="24"/>
          <w:szCs w:val="24"/>
          <w:lang w:val="en-US" w:eastAsia="zh-CN"/>
        </w:rPr>
        <w:t>ł</w:t>
      </w:r>
      <w:r w:rsidRPr="00CF6B14">
        <w:rPr>
          <w:rFonts w:ascii="Book Antiqua" w:eastAsia="SimSun" w:hAnsi="Book Antiqua" w:cs="SimSun"/>
          <w:snapToGrid/>
          <w:sz w:val="24"/>
          <w:szCs w:val="24"/>
          <w:lang w:val="en-US" w:eastAsia="zh-CN"/>
        </w:rPr>
        <w:t>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28</w:t>
      </w:r>
      <w:r w:rsidRPr="00CF6B14">
        <w:rPr>
          <w:rFonts w:ascii="Book Antiqua" w:eastAsia="SimSun" w:hAnsi="Book Antiqua" w:cs="SimSun"/>
          <w:snapToGrid/>
          <w:sz w:val="24"/>
          <w:szCs w:val="24"/>
          <w:lang w:val="en-US" w:eastAsia="zh-CN"/>
        </w:rPr>
        <w:t>: 4697-4705 [PMID: 20921465 DOI: 10.1200/JCO.2009.27.4860]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72 </w:t>
      </w:r>
      <w:r w:rsidRPr="00CF6B14">
        <w:rPr>
          <w:rFonts w:ascii="Book Antiqua" w:eastAsia="SimSun" w:hAnsi="Book Antiqua" w:cs="SimSun"/>
          <w:b/>
          <w:bCs/>
          <w:snapToGrid/>
          <w:sz w:val="24"/>
          <w:szCs w:val="24"/>
          <w:lang w:val="en-US" w:eastAsia="zh-CN"/>
        </w:rPr>
        <w:t>Maughan TS</w:t>
      </w:r>
      <w:r w:rsidRPr="00CF6B14">
        <w:rPr>
          <w:rFonts w:ascii="Book Antiqua" w:eastAsia="SimSun" w:hAnsi="Book Antiqua" w:cs="SimSun"/>
          <w:snapToGrid/>
          <w:sz w:val="24"/>
          <w:szCs w:val="24"/>
          <w:lang w:val="en-US" w:eastAsia="zh-CN"/>
        </w:rPr>
        <w:t>, Adams RA, Smith CG, Meade AM, Seymour MT, Wilson RH, Idziaszczyk S, Harris R, Fisher D, Kenny SL, Kay E, Mitchell JK, Madi A, Jasani B, James MD, Bridgewater J, Kennedy MJ, Claes B, Lambrechts D, Kaplan R, Cheadle JP</w:t>
      </w:r>
      <w:r w:rsidRPr="00CF6B14">
        <w:rPr>
          <w:rFonts w:ascii="Book Antiqua" w:hAnsi="Book Antiqua"/>
          <w:sz w:val="24"/>
          <w:szCs w:val="24"/>
          <w:lang w:val="en-US"/>
        </w:rPr>
        <w:t xml:space="preserve">; </w:t>
      </w:r>
      <w:hyperlink r:id="rId10" w:history="1">
        <w:r w:rsidRPr="00CF6B14">
          <w:rPr>
            <w:rFonts w:ascii="Book Antiqua" w:hAnsi="Book Antiqua"/>
            <w:sz w:val="24"/>
            <w:szCs w:val="24"/>
            <w:lang w:val="en-US"/>
          </w:rPr>
          <w:t>MRC COIN Trial Investigators</w:t>
        </w:r>
      </w:hyperlink>
      <w:r w:rsidRPr="00CF6B14">
        <w:rPr>
          <w:rFonts w:ascii="Book Antiqua" w:hAnsi="Book Antiqua"/>
          <w:sz w:val="24"/>
          <w:szCs w:val="24"/>
          <w:lang w:val="en-US"/>
        </w:rPr>
        <w:t>.</w:t>
      </w:r>
      <w:r w:rsidRPr="00CF6B14">
        <w:rPr>
          <w:rFonts w:ascii="Book Antiqua" w:eastAsia="SimSun" w:hAnsi="Book Antiqua" w:cs="SimSun"/>
          <w:snapToGrid/>
          <w:sz w:val="24"/>
          <w:szCs w:val="24"/>
          <w:lang w:val="en-US" w:eastAsia="zh-CN"/>
        </w:rPr>
        <w:t xml:space="preserve"> Addition of cetuximab to oxaliplatin-based first-line combination chemotherapy for treatment of advanced colorectal cancer: results of the randomised phase 3 MRC COIN trial. </w:t>
      </w:r>
      <w:r w:rsidRPr="00CF6B14">
        <w:rPr>
          <w:rFonts w:ascii="Book Antiqua" w:eastAsia="SimSun" w:hAnsi="Book Antiqua" w:cs="SimSun"/>
          <w:i/>
          <w:iCs/>
          <w:snapToGrid/>
          <w:sz w:val="24"/>
          <w:szCs w:val="24"/>
          <w:lang w:val="en-US" w:eastAsia="zh-CN"/>
        </w:rPr>
        <w:t>Lancet</w:t>
      </w:r>
      <w:r w:rsidRPr="00CF6B14">
        <w:rPr>
          <w:rFonts w:ascii="Book Antiqua" w:eastAsia="SimSun" w:hAnsi="Book Antiqua" w:cs="SimSun"/>
          <w:snapToGrid/>
          <w:sz w:val="24"/>
          <w:szCs w:val="24"/>
          <w:lang w:val="en-US" w:eastAsia="zh-CN"/>
        </w:rPr>
        <w:t> 2011; </w:t>
      </w:r>
      <w:r w:rsidRPr="00CF6B14">
        <w:rPr>
          <w:rFonts w:ascii="Book Antiqua" w:eastAsia="SimSun" w:hAnsi="Book Antiqua" w:cs="SimSun"/>
          <w:b/>
          <w:bCs/>
          <w:snapToGrid/>
          <w:sz w:val="24"/>
          <w:szCs w:val="24"/>
          <w:lang w:val="en-US" w:eastAsia="zh-CN"/>
        </w:rPr>
        <w:t>377</w:t>
      </w:r>
      <w:r w:rsidRPr="00CF6B14">
        <w:rPr>
          <w:rFonts w:ascii="Book Antiqua" w:eastAsia="SimSun" w:hAnsi="Book Antiqua" w:cs="SimSun"/>
          <w:snapToGrid/>
          <w:sz w:val="24"/>
          <w:szCs w:val="24"/>
          <w:lang w:val="en-US" w:eastAsia="zh-CN"/>
        </w:rPr>
        <w:t>: 2103-2114 [PMID: 21641636 DOI: 10.1016/S0140-6736(11)60613-2]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73 </w:t>
      </w:r>
      <w:r w:rsidRPr="00CF6B14">
        <w:rPr>
          <w:rFonts w:ascii="Book Antiqua" w:eastAsia="SimSun" w:hAnsi="Book Antiqua" w:cs="SimSun"/>
          <w:b/>
          <w:bCs/>
          <w:snapToGrid/>
          <w:sz w:val="24"/>
          <w:szCs w:val="24"/>
          <w:lang w:val="en-US" w:eastAsia="zh-CN"/>
        </w:rPr>
        <w:t>Tveit KM</w:t>
      </w:r>
      <w:r w:rsidRPr="00CF6B14">
        <w:rPr>
          <w:rFonts w:ascii="Book Antiqua" w:eastAsia="SimSun" w:hAnsi="Book Antiqua" w:cs="SimSun"/>
          <w:snapToGrid/>
          <w:sz w:val="24"/>
          <w:szCs w:val="24"/>
          <w:lang w:val="en-US" w:eastAsia="zh-CN"/>
        </w:rPr>
        <w:t>,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30</w:t>
      </w:r>
      <w:r w:rsidRPr="00CF6B14">
        <w:rPr>
          <w:rFonts w:ascii="Book Antiqua" w:eastAsia="SimSun" w:hAnsi="Book Antiqua" w:cs="SimSun"/>
          <w:snapToGrid/>
          <w:sz w:val="24"/>
          <w:szCs w:val="24"/>
          <w:lang w:val="en-US" w:eastAsia="zh-CN"/>
        </w:rPr>
        <w:t>: 1755-1762 [PMID: 22473155 DOI: 10.1200/JCO.2011.38.0915]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74 </w:t>
      </w:r>
      <w:r w:rsidRPr="00CF6B14">
        <w:rPr>
          <w:rFonts w:ascii="Book Antiqua" w:eastAsia="SimSun" w:hAnsi="Book Antiqua" w:cs="SimSun"/>
          <w:b/>
          <w:bCs/>
          <w:snapToGrid/>
          <w:sz w:val="24"/>
          <w:szCs w:val="24"/>
          <w:lang w:val="en-US" w:eastAsia="zh-CN"/>
        </w:rPr>
        <w:t>Tejpar S</w:t>
      </w:r>
      <w:r w:rsidRPr="00CF6B14">
        <w:rPr>
          <w:rFonts w:ascii="Book Antiqua" w:eastAsia="SimSun" w:hAnsi="Book Antiqua" w:cs="SimSun"/>
          <w:snapToGrid/>
          <w:sz w:val="24"/>
          <w:szCs w:val="24"/>
          <w:lang w:val="en-US" w:eastAsia="zh-CN"/>
        </w:rPr>
        <w:t>, Celik I, Schlichting M, Sartorius U, Bokemeyer C, Van Cutsem E. Association of KRAS G13D tumor mutations with outcome in patients with metastatic colorectal cancer treated with first-line chemotherapy with or without cetuximab.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30</w:t>
      </w:r>
      <w:r w:rsidRPr="00CF6B14">
        <w:rPr>
          <w:rFonts w:ascii="Book Antiqua" w:eastAsia="SimSun" w:hAnsi="Book Antiqua" w:cs="SimSun"/>
          <w:snapToGrid/>
          <w:sz w:val="24"/>
          <w:szCs w:val="24"/>
          <w:lang w:val="en-US" w:eastAsia="zh-CN"/>
        </w:rPr>
        <w:t>: 3570-3577 [PMID: 22734028 DOI: 10.1200/JCO.2012.42.2592]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75 </w:t>
      </w:r>
      <w:r w:rsidRPr="00CF6B14">
        <w:rPr>
          <w:rFonts w:ascii="Book Antiqua" w:eastAsia="SimSun" w:hAnsi="Book Antiqua" w:cs="SimSun"/>
          <w:b/>
          <w:bCs/>
          <w:snapToGrid/>
          <w:sz w:val="24"/>
          <w:szCs w:val="24"/>
          <w:lang w:val="en-US" w:eastAsia="zh-CN"/>
        </w:rPr>
        <w:t>Price TJ</w:t>
      </w:r>
      <w:r w:rsidRPr="00CF6B14">
        <w:rPr>
          <w:rFonts w:ascii="Book Antiqua" w:eastAsia="SimSun" w:hAnsi="Book Antiqua" w:cs="SimSun"/>
          <w:snapToGrid/>
          <w:sz w:val="24"/>
          <w:szCs w:val="24"/>
          <w:lang w:val="en-US" w:eastAsia="zh-CN"/>
        </w:rPr>
        <w:t>, Hardingham JE, Lee CK, Weickhardt A, Townsend AR, Wrin JW, Chua A, Shivasami A, Cummins MM, Murone C, Tebbutt NC. Impact of KRAS and BRAF Gene Mutation Status on Outcomes From the Phase III AGITG MAX Trial of Capecitabine Alone or in Combination With Bevacizumab and Mitomycin in Advanced Colorectal Cancer.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2011; </w:t>
      </w:r>
      <w:r w:rsidRPr="00CF6B14">
        <w:rPr>
          <w:rFonts w:ascii="Book Antiqua" w:eastAsia="SimSun" w:hAnsi="Book Antiqua" w:cs="SimSun"/>
          <w:b/>
          <w:bCs/>
          <w:snapToGrid/>
          <w:sz w:val="24"/>
          <w:szCs w:val="24"/>
          <w:lang w:val="en-US" w:eastAsia="zh-CN"/>
        </w:rPr>
        <w:t>29</w:t>
      </w:r>
      <w:r w:rsidRPr="00CF6B14">
        <w:rPr>
          <w:rFonts w:ascii="Book Antiqua" w:eastAsia="SimSun" w:hAnsi="Book Antiqua" w:cs="SimSun"/>
          <w:snapToGrid/>
          <w:sz w:val="24"/>
          <w:szCs w:val="24"/>
          <w:lang w:val="en-US" w:eastAsia="zh-CN"/>
        </w:rPr>
        <w:t>: 2675-2682 [PMID: 21646616 DOI: 10.1200/JCO.2010.34.5520]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76 </w:t>
      </w:r>
      <w:r w:rsidRPr="00CF6B14">
        <w:rPr>
          <w:rFonts w:ascii="Book Antiqua" w:eastAsia="SimSun" w:hAnsi="Book Antiqua" w:cs="SimSun"/>
          <w:b/>
          <w:bCs/>
          <w:snapToGrid/>
          <w:sz w:val="24"/>
          <w:szCs w:val="24"/>
          <w:lang w:val="en-US" w:eastAsia="zh-CN"/>
        </w:rPr>
        <w:t>Di Nicolantonio F</w:t>
      </w:r>
      <w:r w:rsidRPr="00CF6B14">
        <w:rPr>
          <w:rFonts w:ascii="Book Antiqua" w:eastAsia="SimSun" w:hAnsi="Book Antiqua" w:cs="SimSun"/>
          <w:snapToGrid/>
          <w:sz w:val="24"/>
          <w:szCs w:val="24"/>
          <w:lang w:val="en-US" w:eastAsia="zh-CN"/>
        </w:rPr>
        <w:t>, Martini M, Molinari F, Sartore-Bianchi A, Arena S, Saletti P, De Dosso S, Mazzucchelli L, Frattini M, Siena S, Bardelli A. Wild-type BRAF is required for response to panitumumab or cetuximab in metastatic colorectal cancer.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2008; </w:t>
      </w:r>
      <w:r w:rsidRPr="00CF6B14">
        <w:rPr>
          <w:rFonts w:ascii="Book Antiqua" w:eastAsia="SimSun" w:hAnsi="Book Antiqua" w:cs="SimSun"/>
          <w:b/>
          <w:bCs/>
          <w:snapToGrid/>
          <w:sz w:val="24"/>
          <w:szCs w:val="24"/>
          <w:lang w:val="en-US" w:eastAsia="zh-CN"/>
        </w:rPr>
        <w:t>26</w:t>
      </w:r>
      <w:r w:rsidRPr="00CF6B14">
        <w:rPr>
          <w:rFonts w:ascii="Book Antiqua" w:eastAsia="SimSun" w:hAnsi="Book Antiqua" w:cs="SimSun"/>
          <w:snapToGrid/>
          <w:sz w:val="24"/>
          <w:szCs w:val="24"/>
          <w:lang w:val="en-US" w:eastAsia="zh-CN"/>
        </w:rPr>
        <w:t>: 5705-5712 [PMID: 19001320 DOI: 10.1200/JCO.2008.18.0786]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77 </w:t>
      </w:r>
      <w:r w:rsidRPr="00CF6B14">
        <w:rPr>
          <w:rFonts w:ascii="Book Antiqua" w:eastAsia="SimSun" w:hAnsi="Book Antiqua" w:cs="SimSun"/>
          <w:b/>
          <w:bCs/>
          <w:snapToGrid/>
          <w:sz w:val="24"/>
          <w:szCs w:val="24"/>
          <w:lang w:val="en-US" w:eastAsia="zh-CN"/>
        </w:rPr>
        <w:t>Roth AD</w:t>
      </w:r>
      <w:r w:rsidRPr="00CF6B14">
        <w:rPr>
          <w:rFonts w:ascii="Book Antiqua" w:eastAsia="SimSun" w:hAnsi="Book Antiqua" w:cs="SimSun"/>
          <w:snapToGrid/>
          <w:sz w:val="24"/>
          <w:szCs w:val="24"/>
          <w:lang w:val="en-US" w:eastAsia="zh-CN"/>
        </w:rPr>
        <w:t>,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28</w:t>
      </w:r>
      <w:r w:rsidRPr="00CF6B14">
        <w:rPr>
          <w:rFonts w:ascii="Book Antiqua" w:eastAsia="SimSun" w:hAnsi="Book Antiqua" w:cs="SimSun"/>
          <w:snapToGrid/>
          <w:sz w:val="24"/>
          <w:szCs w:val="24"/>
          <w:lang w:val="en-US" w:eastAsia="zh-CN"/>
        </w:rPr>
        <w:t>: 466-474 [PMID: 20008640 DOI: 10.1200/JCO.2009.23.3452]</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78 </w:t>
      </w:r>
      <w:r w:rsidRPr="00CF6B14">
        <w:rPr>
          <w:rFonts w:ascii="Book Antiqua" w:eastAsia="SimSun" w:hAnsi="Book Antiqua" w:cs="SimSun"/>
          <w:b/>
          <w:bCs/>
          <w:snapToGrid/>
          <w:sz w:val="24"/>
          <w:szCs w:val="24"/>
          <w:lang w:val="en-US" w:eastAsia="zh-CN"/>
        </w:rPr>
        <w:t>Siena S</w:t>
      </w:r>
      <w:r w:rsidRPr="00CF6B14">
        <w:rPr>
          <w:rFonts w:ascii="Book Antiqua" w:eastAsia="SimSun" w:hAnsi="Book Antiqua" w:cs="SimSun"/>
          <w:snapToGrid/>
          <w:sz w:val="24"/>
          <w:szCs w:val="24"/>
          <w:lang w:val="en-US" w:eastAsia="zh-CN"/>
        </w:rPr>
        <w:t>, Sartore-Bianchi A, Di Nicolantonio F, Balfour J, Bardelli A. Biomarkers predicting clinical outcome of epidermal growth factor receptor-targeted therapy in metastatic colorectal cancer. </w:t>
      </w:r>
      <w:r w:rsidRPr="00CF6B14">
        <w:rPr>
          <w:rFonts w:ascii="Book Antiqua" w:eastAsia="SimSun" w:hAnsi="Book Antiqua" w:cs="SimSun"/>
          <w:i/>
          <w:iCs/>
          <w:snapToGrid/>
          <w:sz w:val="24"/>
          <w:szCs w:val="24"/>
          <w:lang w:val="en-US" w:eastAsia="zh-CN"/>
        </w:rPr>
        <w:t>J Natl Cancer Inst</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101</w:t>
      </w:r>
      <w:r w:rsidRPr="00CF6B14">
        <w:rPr>
          <w:rFonts w:ascii="Book Antiqua" w:eastAsia="SimSun" w:hAnsi="Book Antiqua" w:cs="SimSun"/>
          <w:snapToGrid/>
          <w:sz w:val="24"/>
          <w:szCs w:val="24"/>
          <w:lang w:val="en-US" w:eastAsia="zh-CN"/>
        </w:rPr>
        <w:t>: 1308-1324 [PMID: 19738166 DOI: 10.1093/jnci/djp280]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79 </w:t>
      </w:r>
      <w:r w:rsidRPr="00CF6B14">
        <w:rPr>
          <w:rFonts w:ascii="Book Antiqua" w:eastAsia="SimSun" w:hAnsi="Book Antiqua" w:cs="SimSun"/>
          <w:b/>
          <w:bCs/>
          <w:snapToGrid/>
          <w:sz w:val="24"/>
          <w:szCs w:val="24"/>
          <w:lang w:val="en-US" w:eastAsia="zh-CN"/>
        </w:rPr>
        <w:t>Prahallad A</w:t>
      </w:r>
      <w:r w:rsidRPr="00CF6B14">
        <w:rPr>
          <w:rFonts w:ascii="Book Antiqua" w:eastAsia="SimSun" w:hAnsi="Book Antiqua" w:cs="SimSun"/>
          <w:snapToGrid/>
          <w:sz w:val="24"/>
          <w:szCs w:val="24"/>
          <w:lang w:val="en-US" w:eastAsia="zh-CN"/>
        </w:rPr>
        <w:t>, Sun C, Huang S, Di Nicolantonio F, Salazar R, Zecchin D, Beijersbergen RL, Bardelli A, Bernards R. Unresponsiveness of colon cancer to BRAF(V600E) inhibition through feedback activation of EGFR. </w:t>
      </w:r>
      <w:r w:rsidRPr="00CF6B14">
        <w:rPr>
          <w:rFonts w:ascii="Book Antiqua" w:eastAsia="SimSun" w:hAnsi="Book Antiqua" w:cs="SimSun"/>
          <w:i/>
          <w:iCs/>
          <w:snapToGrid/>
          <w:sz w:val="24"/>
          <w:szCs w:val="24"/>
          <w:lang w:val="en-US" w:eastAsia="zh-CN"/>
        </w:rPr>
        <w:t>Nature</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483</w:t>
      </w:r>
      <w:r w:rsidRPr="00CF6B14">
        <w:rPr>
          <w:rFonts w:ascii="Book Antiqua" w:eastAsia="SimSun" w:hAnsi="Book Antiqua" w:cs="SimSun"/>
          <w:snapToGrid/>
          <w:sz w:val="24"/>
          <w:szCs w:val="24"/>
          <w:lang w:val="en-US" w:eastAsia="zh-CN"/>
        </w:rPr>
        <w:t>: 100-103 [PMID: 22281684 DOI: 10.1038/nature10868]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80 </w:t>
      </w:r>
      <w:r w:rsidRPr="00CF6B14">
        <w:rPr>
          <w:rFonts w:ascii="Book Antiqua" w:eastAsia="SimSun" w:hAnsi="Book Antiqua" w:cs="SimSun"/>
          <w:b/>
          <w:bCs/>
          <w:snapToGrid/>
          <w:sz w:val="24"/>
          <w:szCs w:val="24"/>
          <w:lang w:val="en-US" w:eastAsia="zh-CN"/>
        </w:rPr>
        <w:t>Irahara N</w:t>
      </w:r>
      <w:r w:rsidRPr="00CF6B14">
        <w:rPr>
          <w:rFonts w:ascii="Book Antiqua" w:eastAsia="SimSun" w:hAnsi="Book Antiqua" w:cs="SimSun"/>
          <w:snapToGrid/>
          <w:sz w:val="24"/>
          <w:szCs w:val="24"/>
          <w:lang w:val="en-US" w:eastAsia="zh-CN"/>
        </w:rPr>
        <w:t>, Baba Y, Nosho K, Shima K, Yan L, Dias-Santagata D, Iafrate AJ, Fuchs CS, Haigis KM, Ogino S. NRAS mutations are rare in colorectal 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Diagn Mol Pathol</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2010;</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19</w:t>
      </w:r>
      <w:r w:rsidRPr="00CF6B14">
        <w:rPr>
          <w:rFonts w:ascii="Book Antiqua" w:eastAsia="SimSun" w:hAnsi="Book Antiqua" w:cs="SimSun"/>
          <w:snapToGrid/>
          <w:sz w:val="24"/>
          <w:szCs w:val="24"/>
          <w:lang w:val="en-US" w:eastAsia="zh-CN"/>
        </w:rPr>
        <w:t>: 157-163 [PMID: 20736745 DOI: 10.1097/PDM.0b013e3181c93fd1]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81 </w:t>
      </w:r>
      <w:r w:rsidRPr="00CF6B14">
        <w:rPr>
          <w:rFonts w:ascii="Book Antiqua" w:eastAsia="SimSun" w:hAnsi="Book Antiqua" w:cs="SimSun"/>
          <w:b/>
          <w:bCs/>
          <w:snapToGrid/>
          <w:sz w:val="24"/>
          <w:szCs w:val="24"/>
          <w:lang w:val="en-US" w:eastAsia="zh-CN"/>
        </w:rPr>
        <w:t>Ogino S</w:t>
      </w:r>
      <w:r w:rsidRPr="00CF6B14">
        <w:rPr>
          <w:rFonts w:ascii="Book Antiqua" w:eastAsia="SimSun" w:hAnsi="Book Antiqua" w:cs="SimSun"/>
          <w:snapToGrid/>
          <w:sz w:val="24"/>
          <w:szCs w:val="24"/>
          <w:lang w:val="en-US" w:eastAsia="zh-CN"/>
        </w:rPr>
        <w:t>, Nosho K, Kirkner GJ, Shima K, Irahara N, Kure S, Chan AT, Engelman JA, Kraft P, Cantley LC, Giovannucci EL, Fuchs CS. PIK3CA mutation is associated with poor prognosis among patients with curatively resected colon cancer.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27</w:t>
      </w:r>
      <w:r w:rsidRPr="00CF6B14">
        <w:rPr>
          <w:rFonts w:ascii="Book Antiqua" w:eastAsia="SimSun" w:hAnsi="Book Antiqua" w:cs="SimSun"/>
          <w:snapToGrid/>
          <w:sz w:val="24"/>
          <w:szCs w:val="24"/>
          <w:lang w:val="en-US" w:eastAsia="zh-CN"/>
        </w:rPr>
        <w:t>: 1477-1484 [PMID: 19237633 DOI: 10.1200/JCO.2008.18.6544]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82 </w:t>
      </w:r>
      <w:r w:rsidRPr="00CF6B14">
        <w:rPr>
          <w:rFonts w:ascii="Book Antiqua" w:eastAsia="SimSun" w:hAnsi="Book Antiqua" w:cs="SimSun"/>
          <w:b/>
          <w:bCs/>
          <w:snapToGrid/>
          <w:sz w:val="24"/>
          <w:szCs w:val="24"/>
          <w:lang w:val="en-US" w:eastAsia="zh-CN"/>
        </w:rPr>
        <w:t>Liao X</w:t>
      </w:r>
      <w:r w:rsidRPr="00CF6B14">
        <w:rPr>
          <w:rFonts w:ascii="Book Antiqua" w:eastAsia="SimSun" w:hAnsi="Book Antiqua" w:cs="SimSun"/>
          <w:snapToGrid/>
          <w:sz w:val="24"/>
          <w:szCs w:val="24"/>
          <w:lang w:val="en-US" w:eastAsia="zh-CN"/>
        </w:rPr>
        <w:t>, Morikawa T, Lochhead P, Imamura Y, Kuchiba A, Yamauchi M, Nosho K, Qian ZR, Nishihara R, Meyerhardt JA, Fuchs CS, Ogino S. Prognostic role of PIK3CA mutation in colorectal cancer: cohort study and literature review. </w:t>
      </w:r>
      <w:r w:rsidRPr="00CF6B14">
        <w:rPr>
          <w:rFonts w:ascii="Book Antiqua" w:eastAsia="SimSun" w:hAnsi="Book Antiqua" w:cs="SimSun"/>
          <w:i/>
          <w:iCs/>
          <w:snapToGrid/>
          <w:sz w:val="24"/>
          <w:szCs w:val="24"/>
          <w:lang w:val="en-US" w:eastAsia="zh-CN"/>
        </w:rPr>
        <w:t>Clin Cancer Res</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18</w:t>
      </w:r>
      <w:r w:rsidRPr="00CF6B14">
        <w:rPr>
          <w:rFonts w:ascii="Book Antiqua" w:eastAsia="SimSun" w:hAnsi="Book Antiqua" w:cs="SimSun"/>
          <w:snapToGrid/>
          <w:sz w:val="24"/>
          <w:szCs w:val="24"/>
          <w:lang w:val="en-US" w:eastAsia="zh-CN"/>
        </w:rPr>
        <w:t>: 2257-2268 [PMID: 22357840 DOI: 10.1158/1078-0432.CCR-11-2410]</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83 </w:t>
      </w:r>
      <w:r w:rsidRPr="00CF6B14">
        <w:rPr>
          <w:rFonts w:ascii="Book Antiqua" w:eastAsia="SimSun" w:hAnsi="Book Antiqua" w:cs="SimSun"/>
          <w:b/>
          <w:bCs/>
          <w:snapToGrid/>
          <w:sz w:val="24"/>
          <w:szCs w:val="24"/>
          <w:lang w:val="en-US" w:eastAsia="zh-CN"/>
        </w:rPr>
        <w:t>Jhawer M</w:t>
      </w:r>
      <w:r w:rsidRPr="00CF6B14">
        <w:rPr>
          <w:rFonts w:ascii="Book Antiqua" w:eastAsia="SimSun" w:hAnsi="Book Antiqua" w:cs="SimSun"/>
          <w:snapToGrid/>
          <w:sz w:val="24"/>
          <w:szCs w:val="24"/>
          <w:lang w:val="en-US" w:eastAsia="zh-CN"/>
        </w:rPr>
        <w:t>, Goel S, Wilson AJ, Montagna C, Ling YH, Byun DS, Nasser S, Arango D, Shin J, Klampfer L, Augenlicht LH, Perez-Soler R, Mariadason JM. PIK3CA mutation/PTEN expression status predicts response of colon cancer cells to the epidermal growth factor receptor inhibitor cetuximab. </w:t>
      </w:r>
      <w:r w:rsidRPr="00CF6B14">
        <w:rPr>
          <w:rFonts w:ascii="Book Antiqua" w:eastAsia="SimSun" w:hAnsi="Book Antiqua" w:cs="SimSun"/>
          <w:i/>
          <w:iCs/>
          <w:snapToGrid/>
          <w:sz w:val="24"/>
          <w:szCs w:val="24"/>
          <w:lang w:val="en-US" w:eastAsia="zh-CN"/>
        </w:rPr>
        <w:t>Cancer Res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2008;</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68</w:t>
      </w:r>
      <w:r w:rsidRPr="00CF6B14">
        <w:rPr>
          <w:rFonts w:ascii="Book Antiqua" w:eastAsia="SimSun" w:hAnsi="Book Antiqua" w:cs="SimSun"/>
          <w:snapToGrid/>
          <w:sz w:val="24"/>
          <w:szCs w:val="24"/>
          <w:lang w:val="en-US" w:eastAsia="zh-CN"/>
        </w:rPr>
        <w:t>: 1953-1961 [PMID: 18339877 DOI: 10.1158/0008-5472.CAN-07-5659]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84 </w:t>
      </w:r>
      <w:r w:rsidRPr="00CF6B14">
        <w:rPr>
          <w:rFonts w:ascii="Book Antiqua" w:eastAsia="SimSun" w:hAnsi="Book Antiqua" w:cs="SimSun"/>
          <w:b/>
          <w:bCs/>
          <w:snapToGrid/>
          <w:sz w:val="24"/>
          <w:szCs w:val="24"/>
          <w:lang w:val="en-US" w:eastAsia="zh-CN"/>
        </w:rPr>
        <w:t>Sartore-Bianchi A</w:t>
      </w:r>
      <w:r w:rsidRPr="00CF6B14">
        <w:rPr>
          <w:rFonts w:ascii="Book Antiqua" w:eastAsia="SimSun" w:hAnsi="Book Antiqua" w:cs="SimSun"/>
          <w:snapToGrid/>
          <w:sz w:val="24"/>
          <w:szCs w:val="24"/>
          <w:lang w:val="en-US" w:eastAsia="zh-CN"/>
        </w:rPr>
        <w:t>, Martini M, Molinari F, Veronese S, Nichelatti M, Artale S, Di Nicolantonio F, Saletti P, De Dosso S, Mazzucchelli L, Frattini M, Siena S, Bardelli A. PIK3CA mutations in colorectal cancer are associated with clinical resistance to EGFR-targeted monoclonal antibodies. </w:t>
      </w:r>
      <w:r w:rsidRPr="00CF6B14">
        <w:rPr>
          <w:rFonts w:ascii="Book Antiqua" w:eastAsia="SimSun" w:hAnsi="Book Antiqua" w:cs="SimSun"/>
          <w:i/>
          <w:iCs/>
          <w:snapToGrid/>
          <w:sz w:val="24"/>
          <w:szCs w:val="24"/>
          <w:lang w:val="en-US" w:eastAsia="zh-CN"/>
        </w:rPr>
        <w:t>Cancer Res</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69</w:t>
      </w:r>
      <w:r w:rsidRPr="00CF6B14">
        <w:rPr>
          <w:rFonts w:ascii="Book Antiqua" w:eastAsia="SimSun" w:hAnsi="Book Antiqua" w:cs="SimSun"/>
          <w:snapToGrid/>
          <w:sz w:val="24"/>
          <w:szCs w:val="24"/>
          <w:lang w:val="en-US" w:eastAsia="zh-CN"/>
        </w:rPr>
        <w:t>: 1851-1857 [PMID: 19223544 DOI: 10.1158/0008-5472.CAN-08-2466]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85 </w:t>
      </w:r>
      <w:r w:rsidRPr="00CF6B14">
        <w:rPr>
          <w:rFonts w:ascii="Book Antiqua" w:eastAsia="SimSun" w:hAnsi="Book Antiqua" w:cs="SimSun"/>
          <w:b/>
          <w:bCs/>
          <w:snapToGrid/>
          <w:sz w:val="24"/>
          <w:szCs w:val="24"/>
          <w:lang w:val="en-US" w:eastAsia="zh-CN"/>
        </w:rPr>
        <w:t>De Roock W</w:t>
      </w:r>
      <w:r w:rsidRPr="00CF6B14">
        <w:rPr>
          <w:rFonts w:ascii="Book Antiqua" w:eastAsia="SimSun" w:hAnsi="Book Antiqua" w:cs="SimSun"/>
          <w:snapToGrid/>
          <w:sz w:val="24"/>
          <w:szCs w:val="24"/>
          <w:lang w:val="en-US" w:eastAsia="zh-CN"/>
        </w:rPr>
        <w:t>,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CF6B14">
        <w:rPr>
          <w:rFonts w:ascii="Book Antiqua" w:eastAsia="SimSun" w:hAnsi="Book Antiqua" w:cs="SimSun"/>
          <w:i/>
          <w:iCs/>
          <w:snapToGrid/>
          <w:sz w:val="24"/>
          <w:szCs w:val="24"/>
          <w:lang w:val="en-US" w:eastAsia="zh-CN"/>
        </w:rPr>
        <w:t>Lancet Oncol</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11</w:t>
      </w:r>
      <w:r w:rsidRPr="00CF6B14">
        <w:rPr>
          <w:rFonts w:ascii="Book Antiqua" w:eastAsia="SimSun" w:hAnsi="Book Antiqua" w:cs="SimSun"/>
          <w:snapToGrid/>
          <w:sz w:val="24"/>
          <w:szCs w:val="24"/>
          <w:lang w:val="en-US" w:eastAsia="zh-CN"/>
        </w:rPr>
        <w:t>: 753-762 [PMID: 20619739 DOI: 10.1016/S1470-2045(10)70130-3]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86 </w:t>
      </w:r>
      <w:r w:rsidRPr="00CF6B14">
        <w:rPr>
          <w:rFonts w:ascii="Book Antiqua" w:eastAsia="SimSun" w:hAnsi="Book Antiqua" w:cs="SimSun"/>
          <w:b/>
          <w:bCs/>
          <w:snapToGrid/>
          <w:sz w:val="24"/>
          <w:szCs w:val="24"/>
          <w:lang w:val="en-US" w:eastAsia="zh-CN"/>
        </w:rPr>
        <w:t>Sood A</w:t>
      </w:r>
      <w:r w:rsidRPr="00CF6B14">
        <w:rPr>
          <w:rFonts w:ascii="Book Antiqua" w:eastAsia="SimSun" w:hAnsi="Book Antiqua" w:cs="SimSun"/>
          <w:snapToGrid/>
          <w:sz w:val="24"/>
          <w:szCs w:val="24"/>
          <w:lang w:val="en-US" w:eastAsia="zh-CN"/>
        </w:rPr>
        <w:t>, McClain D, Maitra R, Basu-Mallick A, Seetharam R, Kaubisch A, Rajdev L, Mariadason JM, Tanaka K, Goel S. PTEN gene expression and mutations in the PIK3CA gene as predictors of clinical benefit to anti-epidermal growth factor receptor antibody therapy in patients with KRAS wild-type metastatic colorectal cancer. </w:t>
      </w:r>
      <w:r w:rsidRPr="00CF6B14">
        <w:rPr>
          <w:rFonts w:ascii="Book Antiqua" w:eastAsia="SimSun" w:hAnsi="Book Antiqua" w:cs="SimSun"/>
          <w:i/>
          <w:iCs/>
          <w:snapToGrid/>
          <w:sz w:val="24"/>
          <w:szCs w:val="24"/>
          <w:lang w:val="en-US" w:eastAsia="zh-CN"/>
        </w:rPr>
        <w:t>Clin Colorectal Cancer</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11</w:t>
      </w:r>
      <w:r w:rsidRPr="00CF6B14">
        <w:rPr>
          <w:rFonts w:ascii="Book Antiqua" w:eastAsia="SimSun" w:hAnsi="Book Antiqua" w:cs="SimSun"/>
          <w:snapToGrid/>
          <w:sz w:val="24"/>
          <w:szCs w:val="24"/>
          <w:lang w:val="en-US" w:eastAsia="zh-CN"/>
        </w:rPr>
        <w:t>: 143-150 [PMID: 22285706 DOI: 10.1016/j.clcc.2011.12.001]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87 </w:t>
      </w:r>
      <w:r w:rsidRPr="00CF6B14">
        <w:rPr>
          <w:rFonts w:ascii="Book Antiqua" w:eastAsia="SimSun" w:hAnsi="Book Antiqua" w:cs="SimSun"/>
          <w:b/>
          <w:bCs/>
          <w:snapToGrid/>
          <w:sz w:val="24"/>
          <w:szCs w:val="24"/>
          <w:lang w:val="en-US" w:eastAsia="zh-CN"/>
        </w:rPr>
        <w:t>Grady WM</w:t>
      </w:r>
      <w:r w:rsidRPr="00CF6B14">
        <w:rPr>
          <w:rFonts w:ascii="Book Antiqua" w:eastAsia="SimSun" w:hAnsi="Book Antiqua" w:cs="SimSun"/>
          <w:snapToGrid/>
          <w:sz w:val="24"/>
          <w:szCs w:val="24"/>
          <w:lang w:val="en-US" w:eastAsia="zh-CN"/>
        </w:rPr>
        <w:t>, Pritchard CC. Molecular alterations and biomarkers in colorectal cancer. </w:t>
      </w:r>
      <w:r w:rsidRPr="00CF6B14">
        <w:rPr>
          <w:rFonts w:ascii="Book Antiqua" w:eastAsia="SimSun" w:hAnsi="Book Antiqua" w:cs="SimSun"/>
          <w:i/>
          <w:iCs/>
          <w:snapToGrid/>
          <w:sz w:val="24"/>
          <w:szCs w:val="24"/>
          <w:lang w:val="en-US" w:eastAsia="zh-CN"/>
        </w:rPr>
        <w:t>Toxicol Pathol</w:t>
      </w:r>
      <w:r w:rsidRPr="00CF6B14">
        <w:rPr>
          <w:rFonts w:ascii="Book Antiqua" w:eastAsia="SimSun" w:hAnsi="Book Antiqua" w:cs="SimSun"/>
          <w:snapToGrid/>
          <w:sz w:val="24"/>
          <w:szCs w:val="24"/>
          <w:lang w:val="en-US" w:eastAsia="zh-CN"/>
        </w:rPr>
        <w:t> 2014; </w:t>
      </w:r>
      <w:r w:rsidRPr="00CF6B14">
        <w:rPr>
          <w:rFonts w:ascii="Book Antiqua" w:eastAsia="SimSun" w:hAnsi="Book Antiqua" w:cs="SimSun"/>
          <w:b/>
          <w:bCs/>
          <w:snapToGrid/>
          <w:sz w:val="24"/>
          <w:szCs w:val="24"/>
          <w:lang w:val="en-US" w:eastAsia="zh-CN"/>
        </w:rPr>
        <w:t>42</w:t>
      </w:r>
      <w:r w:rsidRPr="00CF6B14">
        <w:rPr>
          <w:rFonts w:ascii="Book Antiqua" w:eastAsia="SimSun" w:hAnsi="Book Antiqua" w:cs="SimSun"/>
          <w:snapToGrid/>
          <w:sz w:val="24"/>
          <w:szCs w:val="24"/>
          <w:lang w:val="en-US" w:eastAsia="zh-CN"/>
        </w:rPr>
        <w:t>: 124-139 [PMID: 24178577 DOI: 10.1177/0192623313505155]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88 </w:t>
      </w:r>
      <w:r w:rsidRPr="00CF6B14">
        <w:rPr>
          <w:rFonts w:ascii="Book Antiqua" w:eastAsia="SimSun" w:hAnsi="Book Antiqua" w:cs="SimSun"/>
          <w:b/>
          <w:bCs/>
          <w:snapToGrid/>
          <w:sz w:val="24"/>
          <w:szCs w:val="24"/>
          <w:lang w:val="en-US" w:eastAsia="zh-CN"/>
        </w:rPr>
        <w:t>Liao X</w:t>
      </w:r>
      <w:r w:rsidRPr="00CF6B14">
        <w:rPr>
          <w:rFonts w:ascii="Book Antiqua" w:eastAsia="SimSun" w:hAnsi="Book Antiqua" w:cs="SimSun"/>
          <w:snapToGrid/>
          <w:sz w:val="24"/>
          <w:szCs w:val="24"/>
          <w:lang w:val="en-US" w:eastAsia="zh-CN"/>
        </w:rPr>
        <w:t>, Lochhead P, Nishihara R, Morikawa T, Kuchiba A, Yamauchi M, Imamura Y, Qian ZR, Baba Y, Shima K, Sun R, Nosho K, Meyerhardt JA, Giovannucci E, Fuchs CS, Chan AT, Ogino S. Aspirin use, tumor PIK3CA mutation, and colorectal-cancer survival. </w:t>
      </w:r>
      <w:r w:rsidRPr="00CF6B14">
        <w:rPr>
          <w:rFonts w:ascii="Book Antiqua" w:eastAsia="SimSun" w:hAnsi="Book Antiqua" w:cs="SimSun"/>
          <w:i/>
          <w:iCs/>
          <w:snapToGrid/>
          <w:sz w:val="24"/>
          <w:szCs w:val="24"/>
          <w:lang w:val="en-US" w:eastAsia="zh-CN"/>
        </w:rPr>
        <w:t>N Engl J Med</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367</w:t>
      </w:r>
      <w:r w:rsidRPr="00CF6B14">
        <w:rPr>
          <w:rFonts w:ascii="Book Antiqua" w:eastAsia="SimSun" w:hAnsi="Book Antiqua" w:cs="SimSun"/>
          <w:snapToGrid/>
          <w:sz w:val="24"/>
          <w:szCs w:val="24"/>
          <w:lang w:val="en-US" w:eastAsia="zh-CN"/>
        </w:rPr>
        <w:t>: 1596-1606 [PMID: 23094721 DOI: 10.1056/NEJMoa120775]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hint="eastAsia"/>
          <w:snapToGrid/>
          <w:sz w:val="24"/>
          <w:szCs w:val="24"/>
          <w:lang w:val="en-US" w:eastAsia="zh-CN"/>
        </w:rPr>
        <w:t>89</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Shulman K</w:t>
      </w:r>
      <w:r w:rsidRPr="00CF6B14">
        <w:rPr>
          <w:rFonts w:ascii="Book Antiqua" w:eastAsia="SimSun" w:hAnsi="Book Antiqua" w:cs="SimSun"/>
          <w:snapToGrid/>
          <w:sz w:val="24"/>
          <w:szCs w:val="24"/>
          <w:lang w:val="en-US" w:eastAsia="zh-CN"/>
        </w:rPr>
        <w:t>, Cohen I, Barnett-Griness O, Kuten A, Gruber SB, Lejbkowicz F, Rennert G. Clinical implications of UGT1A1*28 genotype testing in colorectal cancer patients.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Cancer</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2011;</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117</w:t>
      </w:r>
      <w:r w:rsidRPr="00CF6B14">
        <w:rPr>
          <w:rFonts w:ascii="Book Antiqua" w:eastAsia="SimSun" w:hAnsi="Book Antiqua" w:cs="SimSun"/>
          <w:snapToGrid/>
          <w:sz w:val="24"/>
          <w:szCs w:val="24"/>
          <w:lang w:val="en-US" w:eastAsia="zh-CN"/>
        </w:rPr>
        <w:t>: 3156-3162 [PMID: 21287524 DOI: 10.1002/cncr.25735]</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0</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Rouits E</w:t>
      </w:r>
      <w:r w:rsidRPr="00CF6B14">
        <w:rPr>
          <w:rFonts w:ascii="Book Antiqua" w:eastAsia="SimSun" w:hAnsi="Book Antiqua" w:cs="SimSun"/>
          <w:snapToGrid/>
          <w:sz w:val="24"/>
          <w:szCs w:val="24"/>
          <w:lang w:val="en-US" w:eastAsia="zh-CN"/>
        </w:rPr>
        <w:t>, Charasson V, Pétain A, Boisdron-Celle M, Delord JP, Fonck M, Laurand A, Poirier AL, Morel A, Chatelut E, Robert J, Gamelin E. Pharmacokinetic and pharmacogenetic determinants of the activity and toxicity of irinotecan in metastatic colorectal cancer patients. </w:t>
      </w:r>
      <w:r w:rsidRPr="00CF6B14">
        <w:rPr>
          <w:rFonts w:ascii="Book Antiqua" w:eastAsia="SimSun" w:hAnsi="Book Antiqua" w:cs="SimSun"/>
          <w:i/>
          <w:iCs/>
          <w:snapToGrid/>
          <w:sz w:val="24"/>
          <w:szCs w:val="24"/>
          <w:lang w:val="en-US" w:eastAsia="zh-CN"/>
        </w:rPr>
        <w:t>Br J Cancer</w:t>
      </w:r>
      <w:r w:rsidRPr="00CF6B14">
        <w:rPr>
          <w:rFonts w:ascii="Book Antiqua" w:eastAsia="SimSun" w:hAnsi="Book Antiqua" w:cs="SimSun"/>
          <w:snapToGrid/>
          <w:sz w:val="24"/>
          <w:szCs w:val="24"/>
          <w:lang w:val="en-US" w:eastAsia="zh-CN"/>
        </w:rPr>
        <w:t> 2008; </w:t>
      </w:r>
      <w:r w:rsidRPr="00CF6B14">
        <w:rPr>
          <w:rFonts w:ascii="Book Antiqua" w:eastAsia="SimSun" w:hAnsi="Book Antiqua" w:cs="SimSun"/>
          <w:b/>
          <w:bCs/>
          <w:snapToGrid/>
          <w:sz w:val="24"/>
          <w:szCs w:val="24"/>
          <w:lang w:val="en-US" w:eastAsia="zh-CN"/>
        </w:rPr>
        <w:t>99</w:t>
      </w:r>
      <w:r w:rsidRPr="00CF6B14">
        <w:rPr>
          <w:rFonts w:ascii="Book Antiqua" w:eastAsia="SimSun" w:hAnsi="Book Antiqua" w:cs="SimSun"/>
          <w:snapToGrid/>
          <w:sz w:val="24"/>
          <w:szCs w:val="24"/>
          <w:lang w:val="en-US" w:eastAsia="zh-CN"/>
        </w:rPr>
        <w:t>: 1239-1245 [PMID: 18797458 DOI: 10.1038/sj.bjc.6604673]</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1</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Dias MM</w:t>
      </w:r>
      <w:r w:rsidRPr="00CF6B14">
        <w:rPr>
          <w:rFonts w:ascii="Book Antiqua" w:eastAsia="SimSun" w:hAnsi="Book Antiqua" w:cs="SimSun"/>
          <w:snapToGrid/>
          <w:sz w:val="24"/>
          <w:szCs w:val="24"/>
          <w:lang w:val="en-US" w:eastAsia="zh-CN"/>
        </w:rPr>
        <w:t>, McKinnon RA, Sorich MJ. Impact of the UGT1A1*28 allele on response to irinotecan: a systematic review and meta-analysis.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i/>
          <w:iCs/>
          <w:snapToGrid/>
          <w:sz w:val="24"/>
          <w:szCs w:val="24"/>
          <w:lang w:val="en-US" w:eastAsia="zh-CN"/>
        </w:rPr>
        <w:t>Pharmacogenomics</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2012; </w:t>
      </w:r>
      <w:r w:rsidRPr="00CF6B14">
        <w:rPr>
          <w:rFonts w:ascii="Book Antiqua" w:eastAsia="SimSun" w:hAnsi="Book Antiqua" w:cs="SimSun"/>
          <w:b/>
          <w:bCs/>
          <w:snapToGrid/>
          <w:sz w:val="24"/>
          <w:szCs w:val="24"/>
          <w:lang w:val="en-US" w:eastAsia="zh-CN"/>
        </w:rPr>
        <w:t>13</w:t>
      </w:r>
      <w:r w:rsidRPr="00CF6B14">
        <w:rPr>
          <w:rFonts w:ascii="Book Antiqua" w:eastAsia="SimSun" w:hAnsi="Book Antiqua" w:cs="SimSun"/>
          <w:snapToGrid/>
          <w:sz w:val="24"/>
          <w:szCs w:val="24"/>
          <w:lang w:val="en-US" w:eastAsia="zh-CN"/>
        </w:rPr>
        <w:t>: 889-899 [PMID: 22676194 DOI: 10.2217/pgs.12.68]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2</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Cecchin E</w:t>
      </w:r>
      <w:r w:rsidRPr="00CF6B14">
        <w:rPr>
          <w:rFonts w:ascii="Book Antiqua" w:eastAsia="SimSun" w:hAnsi="Book Antiqua" w:cs="SimSun"/>
          <w:snapToGrid/>
          <w:sz w:val="24"/>
          <w:szCs w:val="24"/>
          <w:lang w:val="en-US" w:eastAsia="zh-CN"/>
        </w:rPr>
        <w:t>, Innocenti F, D'Andrea M, Corona G, De Mattia E, Biason P, Buonadonna A, Toffoli G. Predictive role of the UGT1A1, UGT1A7, and UGT1A9 genetic variants and their haplotypes on the outcome of metastatic colorectal cancer patients treated with fluorouracil, leucovorin, and irinotecan. </w:t>
      </w:r>
      <w:r w:rsidRPr="00CF6B14">
        <w:rPr>
          <w:rFonts w:ascii="Book Antiqua" w:eastAsia="SimSun" w:hAnsi="Book Antiqua" w:cs="SimSun"/>
          <w:i/>
          <w:iCs/>
          <w:snapToGrid/>
          <w:sz w:val="24"/>
          <w:szCs w:val="24"/>
          <w:lang w:val="en-US" w:eastAsia="zh-CN"/>
        </w:rPr>
        <w:t>J Clin Oncol</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27</w:t>
      </w:r>
      <w:r w:rsidRPr="00CF6B14">
        <w:rPr>
          <w:rFonts w:ascii="Book Antiqua" w:eastAsia="SimSun" w:hAnsi="Book Antiqua" w:cs="SimSun"/>
          <w:snapToGrid/>
          <w:sz w:val="24"/>
          <w:szCs w:val="24"/>
          <w:lang w:val="en-US" w:eastAsia="zh-CN"/>
        </w:rPr>
        <w:t>: 2457-2465 [PMID: 19364970 DOI: 10.1200/JCO.2008.19.0314]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3</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Jürgensmeier JM</w:t>
      </w:r>
      <w:r w:rsidRPr="00CF6B14">
        <w:rPr>
          <w:rFonts w:ascii="Book Antiqua" w:eastAsia="SimSun" w:hAnsi="Book Antiqua" w:cs="SimSun"/>
          <w:snapToGrid/>
          <w:sz w:val="24"/>
          <w:szCs w:val="24"/>
          <w:lang w:val="en-US" w:eastAsia="zh-CN"/>
        </w:rPr>
        <w:t>, Schmoll HJ, Robertson JD, Brooks L, Taboada M, Morgan SR, Wilson D, Hoff PM. Prognostic and predictive value of VEGF, sVEGFR-2 and CEA in mCRC studies comparing cediranib, bevacizumab and chemotherapy. </w:t>
      </w:r>
      <w:r w:rsidRPr="00CF6B14">
        <w:rPr>
          <w:rFonts w:ascii="Book Antiqua" w:eastAsia="SimSun" w:hAnsi="Book Antiqua" w:cs="SimSun"/>
          <w:i/>
          <w:iCs/>
          <w:snapToGrid/>
          <w:sz w:val="24"/>
          <w:szCs w:val="24"/>
          <w:lang w:val="en-US" w:eastAsia="zh-CN"/>
        </w:rPr>
        <w:t>Br J Cancer</w:t>
      </w:r>
      <w:r w:rsidRPr="00CF6B14">
        <w:rPr>
          <w:rFonts w:ascii="Book Antiqua" w:eastAsia="SimSun" w:hAnsi="Book Antiqua" w:cs="SimSun"/>
          <w:snapToGrid/>
          <w:sz w:val="24"/>
          <w:szCs w:val="24"/>
          <w:lang w:val="en-US" w:eastAsia="zh-CN"/>
        </w:rPr>
        <w:t> 2013; </w:t>
      </w:r>
      <w:r w:rsidRPr="00CF6B14">
        <w:rPr>
          <w:rFonts w:ascii="Book Antiqua" w:eastAsia="SimSun" w:hAnsi="Book Antiqua" w:cs="SimSun"/>
          <w:b/>
          <w:bCs/>
          <w:snapToGrid/>
          <w:sz w:val="24"/>
          <w:szCs w:val="24"/>
          <w:lang w:val="en-US" w:eastAsia="zh-CN"/>
        </w:rPr>
        <w:t>108</w:t>
      </w:r>
      <w:r w:rsidRPr="00CF6B14">
        <w:rPr>
          <w:rFonts w:ascii="Book Antiqua" w:eastAsia="SimSun" w:hAnsi="Book Antiqua" w:cs="SimSun"/>
          <w:snapToGrid/>
          <w:sz w:val="24"/>
          <w:szCs w:val="24"/>
          <w:lang w:val="en-US" w:eastAsia="zh-CN"/>
        </w:rPr>
        <w:t>: 1316-1323 [PMID: 23449351 DOI: 10.1038/bjc.2013.79]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4</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Jubb AM</w:t>
      </w:r>
      <w:r w:rsidRPr="00CF6B14">
        <w:rPr>
          <w:rFonts w:ascii="Book Antiqua" w:eastAsia="SimSun" w:hAnsi="Book Antiqua" w:cs="SimSun"/>
          <w:snapToGrid/>
          <w:sz w:val="24"/>
          <w:szCs w:val="24"/>
          <w:lang w:val="en-US" w:eastAsia="zh-CN"/>
        </w:rPr>
        <w:t>, Harris AL. Biomarkers to predict the clinical efficacy of bevacizumab in cancer. </w:t>
      </w:r>
      <w:r w:rsidRPr="00CF6B14">
        <w:rPr>
          <w:rFonts w:ascii="Book Antiqua" w:eastAsia="SimSun" w:hAnsi="Book Antiqua" w:cs="SimSun"/>
          <w:i/>
          <w:iCs/>
          <w:snapToGrid/>
          <w:sz w:val="24"/>
          <w:szCs w:val="24"/>
          <w:lang w:val="en-US" w:eastAsia="zh-CN"/>
        </w:rPr>
        <w:t>Lancet Oncol</w:t>
      </w:r>
      <w:r w:rsidRPr="00CF6B14">
        <w:rPr>
          <w:rFonts w:ascii="Book Antiqua" w:eastAsia="SimSun" w:hAnsi="Book Antiqua" w:cs="SimSun"/>
          <w:snapToGrid/>
          <w:sz w:val="24"/>
          <w:szCs w:val="24"/>
          <w:lang w:val="en-US" w:eastAsia="zh-CN"/>
        </w:rPr>
        <w:t> 2010; </w:t>
      </w:r>
      <w:r w:rsidRPr="00CF6B14">
        <w:rPr>
          <w:rFonts w:ascii="Book Antiqua" w:eastAsia="SimSun" w:hAnsi="Book Antiqua" w:cs="SimSun"/>
          <w:b/>
          <w:bCs/>
          <w:snapToGrid/>
          <w:sz w:val="24"/>
          <w:szCs w:val="24"/>
          <w:lang w:val="en-US" w:eastAsia="zh-CN"/>
        </w:rPr>
        <w:t>11</w:t>
      </w:r>
      <w:r w:rsidRPr="00CF6B14">
        <w:rPr>
          <w:rFonts w:ascii="Book Antiqua" w:eastAsia="SimSun" w:hAnsi="Book Antiqua" w:cs="SimSun"/>
          <w:snapToGrid/>
          <w:sz w:val="24"/>
          <w:szCs w:val="24"/>
          <w:lang w:val="en-US" w:eastAsia="zh-CN"/>
        </w:rPr>
        <w:t>: 1172-1183 [PMID: 21126687 DOI: 10.1016/S1470-2045(10)70232-1]</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lastRenderedPageBreak/>
        <w:t>9</w:t>
      </w:r>
      <w:r w:rsidRPr="00CF6B14">
        <w:rPr>
          <w:rFonts w:ascii="Book Antiqua" w:eastAsia="SimSun" w:hAnsi="Book Antiqua" w:cs="SimSun" w:hint="eastAsia"/>
          <w:snapToGrid/>
          <w:sz w:val="24"/>
          <w:szCs w:val="24"/>
          <w:lang w:val="en-US" w:eastAsia="zh-CN"/>
        </w:rPr>
        <w:t>5</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Luo HY</w:t>
      </w:r>
      <w:r w:rsidRPr="00CF6B14">
        <w:rPr>
          <w:rFonts w:ascii="Book Antiqua" w:eastAsia="SimSun" w:hAnsi="Book Antiqua" w:cs="SimSun"/>
          <w:snapToGrid/>
          <w:sz w:val="24"/>
          <w:szCs w:val="24"/>
          <w:lang w:val="en-US" w:eastAsia="zh-CN"/>
        </w:rPr>
        <w:t>, Xu RH. Predictive and prognostic biomarkers with therapeutic targets in advanced colorectal cancer. </w:t>
      </w:r>
      <w:bookmarkStart w:id="65" w:name="_GoBack"/>
      <w:r w:rsidRPr="00CF6B14">
        <w:rPr>
          <w:rFonts w:ascii="Book Antiqua" w:eastAsia="SimSun" w:hAnsi="Book Antiqua" w:cs="SimSun"/>
          <w:i/>
          <w:iCs/>
          <w:snapToGrid/>
          <w:sz w:val="24"/>
          <w:szCs w:val="24"/>
          <w:lang w:val="en-US" w:eastAsia="zh-CN"/>
        </w:rPr>
        <w:t>World J Gastroenterol</w:t>
      </w:r>
      <w:r w:rsidRPr="00CF6B14">
        <w:rPr>
          <w:rFonts w:ascii="Book Antiqua" w:eastAsia="SimSun" w:hAnsi="Book Antiqua" w:cs="SimSun"/>
          <w:snapToGrid/>
          <w:sz w:val="24"/>
          <w:szCs w:val="24"/>
          <w:lang w:val="en-US" w:eastAsia="zh-CN"/>
        </w:rPr>
        <w:t> </w:t>
      </w:r>
      <w:bookmarkEnd w:id="65"/>
      <w:r w:rsidRPr="00CF6B14">
        <w:rPr>
          <w:rFonts w:ascii="Book Antiqua" w:eastAsia="SimSun" w:hAnsi="Book Antiqua" w:cs="SimSun"/>
          <w:snapToGrid/>
          <w:sz w:val="24"/>
          <w:szCs w:val="24"/>
          <w:lang w:val="en-US" w:eastAsia="zh-CN"/>
        </w:rPr>
        <w:t>2014; </w:t>
      </w:r>
      <w:r w:rsidRPr="00CF6B14">
        <w:rPr>
          <w:rFonts w:ascii="Book Antiqua" w:eastAsia="SimSun" w:hAnsi="Book Antiqua" w:cs="SimSun"/>
          <w:b/>
          <w:bCs/>
          <w:snapToGrid/>
          <w:sz w:val="24"/>
          <w:szCs w:val="24"/>
          <w:lang w:val="en-US" w:eastAsia="zh-CN"/>
        </w:rPr>
        <w:t>20</w:t>
      </w:r>
      <w:r w:rsidRPr="00CF6B14">
        <w:rPr>
          <w:rFonts w:ascii="Book Antiqua" w:eastAsia="SimSun" w:hAnsi="Book Antiqua" w:cs="SimSun"/>
          <w:snapToGrid/>
          <w:sz w:val="24"/>
          <w:szCs w:val="24"/>
          <w:lang w:val="en-US" w:eastAsia="zh-CN"/>
        </w:rPr>
        <w:t>: 3858-3874 [PMID: 24744578 DOI: 10.3748/wjg.v20.i14.3858]</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6</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Patara M</w:t>
      </w:r>
      <w:r w:rsidRPr="00CF6B14">
        <w:rPr>
          <w:rFonts w:ascii="Book Antiqua" w:eastAsia="SimSun" w:hAnsi="Book Antiqua" w:cs="SimSun"/>
          <w:snapToGrid/>
          <w:sz w:val="24"/>
          <w:szCs w:val="24"/>
          <w:lang w:val="en-US" w:eastAsia="zh-CN"/>
        </w:rPr>
        <w:t>, Santos EM, Coudry Rde A, Soares FA, Ferreira FO, Rossi BM. Ezrin expression as a prognostic marker in colorectal adenocarcinoma. </w:t>
      </w:r>
      <w:r w:rsidRPr="00CF6B14">
        <w:rPr>
          <w:rFonts w:ascii="Book Antiqua" w:eastAsia="SimSun" w:hAnsi="Book Antiqua" w:cs="SimSun"/>
          <w:i/>
          <w:iCs/>
          <w:snapToGrid/>
          <w:sz w:val="24"/>
          <w:szCs w:val="24"/>
          <w:lang w:val="en-US" w:eastAsia="zh-CN"/>
        </w:rPr>
        <w:t>Pathol Oncol Res</w:t>
      </w:r>
      <w:r w:rsidRPr="00CF6B14">
        <w:rPr>
          <w:rFonts w:ascii="Book Antiqua" w:eastAsia="SimSun" w:hAnsi="Book Antiqua" w:cs="SimSun"/>
          <w:snapToGrid/>
          <w:sz w:val="24"/>
          <w:szCs w:val="24"/>
          <w:lang w:val="en-US" w:eastAsia="zh-CN"/>
        </w:rPr>
        <w:t> 2011; </w:t>
      </w:r>
      <w:r w:rsidRPr="00CF6B14">
        <w:rPr>
          <w:rFonts w:ascii="Book Antiqua" w:eastAsia="SimSun" w:hAnsi="Book Antiqua" w:cs="SimSun"/>
          <w:b/>
          <w:bCs/>
          <w:snapToGrid/>
          <w:sz w:val="24"/>
          <w:szCs w:val="24"/>
          <w:lang w:val="en-US" w:eastAsia="zh-CN"/>
        </w:rPr>
        <w:t>17</w:t>
      </w:r>
      <w:r w:rsidRPr="00CF6B14">
        <w:rPr>
          <w:rFonts w:ascii="Book Antiqua" w:eastAsia="SimSun" w:hAnsi="Book Antiqua" w:cs="SimSun"/>
          <w:snapToGrid/>
          <w:sz w:val="24"/>
          <w:szCs w:val="24"/>
          <w:lang w:val="en-US" w:eastAsia="zh-CN"/>
        </w:rPr>
        <w:t>: 827-833 [PMID: 21465252 DOI: 10.1007/s12253-011-9389-4]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9</w:t>
      </w:r>
      <w:r w:rsidRPr="00CF6B14">
        <w:rPr>
          <w:rFonts w:ascii="Book Antiqua" w:eastAsia="SimSun" w:hAnsi="Book Antiqua" w:cs="SimSun" w:hint="eastAsia"/>
          <w:snapToGrid/>
          <w:sz w:val="24"/>
          <w:szCs w:val="24"/>
          <w:lang w:val="en-US" w:eastAsia="zh-CN"/>
        </w:rPr>
        <w:t>7</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Jörgren F</w:t>
      </w:r>
      <w:r w:rsidRPr="00CF6B14">
        <w:rPr>
          <w:rFonts w:ascii="Book Antiqua" w:eastAsia="SimSun" w:hAnsi="Book Antiqua" w:cs="SimSun"/>
          <w:snapToGrid/>
          <w:sz w:val="24"/>
          <w:szCs w:val="24"/>
          <w:lang w:val="en-US" w:eastAsia="zh-CN"/>
        </w:rPr>
        <w:t>, Nilbert M, Rambech E, Bendahl PO, Lindmark G. Ezrin expression in rectal cancer predicts time to development of local recurrence. </w:t>
      </w:r>
      <w:r w:rsidRPr="00CF6B14">
        <w:rPr>
          <w:rFonts w:ascii="Book Antiqua" w:eastAsia="SimSun" w:hAnsi="Book Antiqua" w:cs="SimSun"/>
          <w:i/>
          <w:iCs/>
          <w:snapToGrid/>
          <w:sz w:val="24"/>
          <w:szCs w:val="24"/>
          <w:lang w:val="en-US" w:eastAsia="zh-CN"/>
        </w:rPr>
        <w:t>Int J Colorectal Dis</w:t>
      </w:r>
      <w:r w:rsidRPr="00CF6B14">
        <w:rPr>
          <w:rFonts w:ascii="Book Antiqua" w:eastAsia="SimSun" w:hAnsi="Book Antiqua" w:cs="SimSun"/>
          <w:snapToGrid/>
          <w:sz w:val="24"/>
          <w:szCs w:val="24"/>
          <w:lang w:val="en-US" w:eastAsia="zh-CN"/>
        </w:rPr>
        <w:t> 2012; </w:t>
      </w:r>
      <w:r w:rsidRPr="00CF6B14">
        <w:rPr>
          <w:rFonts w:ascii="Book Antiqua" w:eastAsia="SimSun" w:hAnsi="Book Antiqua" w:cs="SimSun"/>
          <w:b/>
          <w:bCs/>
          <w:snapToGrid/>
          <w:sz w:val="24"/>
          <w:szCs w:val="24"/>
          <w:lang w:val="en-US" w:eastAsia="zh-CN"/>
        </w:rPr>
        <w:t>27</w:t>
      </w:r>
      <w:r w:rsidRPr="00CF6B14">
        <w:rPr>
          <w:rFonts w:ascii="Book Antiqua" w:eastAsia="SimSun" w:hAnsi="Book Antiqua" w:cs="SimSun"/>
          <w:snapToGrid/>
          <w:sz w:val="24"/>
          <w:szCs w:val="24"/>
          <w:lang w:val="en-US" w:eastAsia="zh-CN"/>
        </w:rPr>
        <w:t>: 893-899 [PMID: 22234584 DOI: 10.1007/s00384-011-1397-z]</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hint="eastAsia"/>
          <w:snapToGrid/>
          <w:sz w:val="24"/>
          <w:szCs w:val="24"/>
          <w:lang w:val="en-US" w:eastAsia="zh-CN"/>
        </w:rPr>
        <w:t>98</w:t>
      </w:r>
      <w:r w:rsidRPr="00CF6B14">
        <w:rPr>
          <w:rFonts w:ascii="Book Antiqua" w:eastAsia="SimSun" w:hAnsi="Book Antiqua" w:cs="SimSun"/>
          <w:snapToGrid/>
          <w:sz w:val="24"/>
          <w:szCs w:val="24"/>
          <w:lang w:val="en-US" w:eastAsia="zh-CN"/>
        </w:rPr>
        <w:t xml:space="preserve"> </w:t>
      </w:r>
      <w:r w:rsidRPr="00CF6B14">
        <w:rPr>
          <w:rFonts w:ascii="Book Antiqua" w:eastAsia="SimSun" w:hAnsi="Book Antiqua" w:cs="SimSun"/>
          <w:b/>
          <w:snapToGrid/>
          <w:sz w:val="24"/>
          <w:szCs w:val="24"/>
          <w:lang w:val="en-US" w:eastAsia="zh-CN"/>
        </w:rPr>
        <w:t>Lenz HJ</w:t>
      </w:r>
      <w:r w:rsidRPr="00CF6B14">
        <w:rPr>
          <w:rFonts w:ascii="Book Antiqua" w:eastAsia="SimSun" w:hAnsi="Book Antiqua" w:cs="SimSun"/>
          <w:snapToGrid/>
          <w:sz w:val="24"/>
          <w:szCs w:val="24"/>
          <w:lang w:val="en-US" w:eastAsia="zh-CN"/>
        </w:rPr>
        <w:t>. Established biomarkers for colon cancer. In: American Society of Clinical Oncology 2009 Educational Book. ASCO, 2009: 215-219</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hint="eastAsia"/>
          <w:snapToGrid/>
          <w:sz w:val="24"/>
          <w:szCs w:val="24"/>
          <w:lang w:val="en-US" w:eastAsia="zh-CN"/>
        </w:rPr>
        <w:t>99</w:t>
      </w:r>
      <w:r w:rsidRPr="00CF6B14">
        <w:rPr>
          <w:rFonts w:ascii="Book Antiqua" w:eastAsia="SimSun" w:hAnsi="Book Antiqua" w:cs="SimSun"/>
          <w:snapToGrid/>
          <w:sz w:val="24"/>
          <w:szCs w:val="24"/>
          <w:lang w:val="en-US" w:eastAsia="zh-CN"/>
        </w:rPr>
        <w:t xml:space="preserve"> </w:t>
      </w:r>
      <w:r w:rsidRPr="00CF6B14">
        <w:rPr>
          <w:rFonts w:ascii="Book Antiqua" w:eastAsia="SimSun" w:hAnsi="Book Antiqua" w:cs="SimSun"/>
          <w:b/>
          <w:snapToGrid/>
          <w:sz w:val="24"/>
          <w:szCs w:val="24"/>
          <w:lang w:val="en-US" w:eastAsia="zh-CN"/>
        </w:rPr>
        <w:t>Ellis LM</w:t>
      </w:r>
      <w:r w:rsidRPr="00CF6B14">
        <w:rPr>
          <w:rFonts w:ascii="Book Antiqua" w:eastAsia="SimSun" w:hAnsi="Book Antiqua" w:cs="SimSun"/>
          <w:snapToGrid/>
          <w:sz w:val="24"/>
          <w:szCs w:val="24"/>
          <w:lang w:val="en-US" w:eastAsia="zh-CN"/>
        </w:rPr>
        <w:t>. Promising future biomarkers for colorectal cancer. In: American Society of Clinical Oncology 2009 Educational Book. ASCO, 2009:</w:t>
      </w:r>
      <w:r w:rsidR="009A0187">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snapToGrid/>
          <w:sz w:val="24"/>
          <w:szCs w:val="24"/>
          <w:lang w:val="en-US" w:eastAsia="zh-CN"/>
        </w:rPr>
        <w:t>212-214</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hint="eastAsia"/>
          <w:snapToGrid/>
          <w:sz w:val="24"/>
          <w:szCs w:val="24"/>
          <w:lang w:val="en-US" w:eastAsia="zh-CN"/>
        </w:rPr>
        <w:t>100</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Engstrom PF</w:t>
      </w:r>
      <w:r w:rsidRPr="00CF6B14">
        <w:rPr>
          <w:rFonts w:ascii="Book Antiqua" w:eastAsia="SimSun" w:hAnsi="Book Antiqua" w:cs="SimSun"/>
          <w:snapToGrid/>
          <w:sz w:val="24"/>
          <w:szCs w:val="24"/>
          <w:lang w:val="en-US" w:eastAsia="zh-CN"/>
        </w:rPr>
        <w:t>, Arnoletti JP, Benson AB, Chen YJ, Choti MA, Cooper HS, Covey A, Dilawari RA, Early DS, Enzinger PC, Fakih MG, Fleshman J, Fuchs C, Grem JL, Kiel K, Knol JA, Leong LA, Lin E, Mulcahy MF, Rao S, Ryan DP, Saltz L, Shibata D, Skibber JM, Sofocleous C, Thomas J, Venook AP, Willett C. NCCN Clinical Practice Guidelines in Oncology: colon cancer. </w:t>
      </w:r>
      <w:r w:rsidRPr="00CF6B14">
        <w:rPr>
          <w:rFonts w:ascii="Book Antiqua" w:eastAsia="SimSun" w:hAnsi="Book Antiqua" w:cs="SimSun"/>
          <w:i/>
          <w:iCs/>
          <w:snapToGrid/>
          <w:sz w:val="24"/>
          <w:szCs w:val="24"/>
          <w:lang w:val="en-US" w:eastAsia="zh-CN"/>
        </w:rPr>
        <w:t>J Natl Compr Canc Netw</w:t>
      </w:r>
      <w:r w:rsidRPr="00CF6B14">
        <w:rPr>
          <w:rFonts w:ascii="Book Antiqua" w:eastAsia="SimSun" w:hAnsi="Book Antiqua" w:cs="SimSun"/>
          <w:snapToGrid/>
          <w:sz w:val="24"/>
          <w:szCs w:val="24"/>
          <w:lang w:val="en-US" w:eastAsia="zh-CN"/>
        </w:rPr>
        <w:t> 2009; </w:t>
      </w:r>
      <w:r w:rsidRPr="00CF6B14">
        <w:rPr>
          <w:rFonts w:ascii="Book Antiqua" w:eastAsia="SimSun" w:hAnsi="Book Antiqua" w:cs="SimSun"/>
          <w:b/>
          <w:bCs/>
          <w:snapToGrid/>
          <w:sz w:val="24"/>
          <w:szCs w:val="24"/>
          <w:lang w:val="en-US" w:eastAsia="zh-CN"/>
        </w:rPr>
        <w:t>7</w:t>
      </w:r>
      <w:r w:rsidRPr="00CF6B14">
        <w:rPr>
          <w:rFonts w:ascii="Book Antiqua" w:eastAsia="SimSun" w:hAnsi="Book Antiqua" w:cs="SimSun"/>
          <w:snapToGrid/>
          <w:sz w:val="24"/>
          <w:szCs w:val="24"/>
          <w:lang w:val="en-US" w:eastAsia="zh-CN"/>
        </w:rPr>
        <w:t>: 778-831 [PMID: 19755046]</w:t>
      </w:r>
    </w:p>
    <w:p w:rsidR="00CF6B14" w:rsidRPr="00CF6B14" w:rsidRDefault="00CF6B14" w:rsidP="00CF6B14">
      <w:pPr>
        <w:spacing w:after="0" w:line="360" w:lineRule="auto"/>
        <w:jc w:val="both"/>
        <w:rPr>
          <w:rFonts w:ascii="Book Antiqua" w:eastAsia="SimSun" w:hAnsi="Book Antiqua" w:cs="SimSun"/>
          <w:snapToGrid/>
          <w:sz w:val="24"/>
          <w:szCs w:val="24"/>
          <w:lang w:val="en-US" w:eastAsia="zh-CN"/>
        </w:rPr>
      </w:pPr>
      <w:r w:rsidRPr="00CF6B14">
        <w:rPr>
          <w:rFonts w:ascii="Book Antiqua" w:eastAsia="SimSun" w:hAnsi="Book Antiqua" w:cs="SimSun"/>
          <w:snapToGrid/>
          <w:sz w:val="24"/>
          <w:szCs w:val="24"/>
          <w:lang w:val="en-US" w:eastAsia="zh-CN"/>
        </w:rPr>
        <w:t>10</w:t>
      </w:r>
      <w:r w:rsidRPr="00CF6B14">
        <w:rPr>
          <w:rFonts w:ascii="Book Antiqua" w:eastAsia="SimSun" w:hAnsi="Book Antiqua" w:cs="SimSun" w:hint="eastAsia"/>
          <w:snapToGrid/>
          <w:sz w:val="24"/>
          <w:szCs w:val="24"/>
          <w:lang w:val="en-US" w:eastAsia="zh-CN"/>
        </w:rPr>
        <w:t>1</w:t>
      </w:r>
      <w:r w:rsidRPr="00CF6B14">
        <w:rPr>
          <w:rFonts w:ascii="Book Antiqua" w:eastAsia="SimSun" w:hAnsi="Book Antiqua" w:cs="SimSun"/>
          <w:snapToGrid/>
          <w:sz w:val="24"/>
          <w:szCs w:val="24"/>
          <w:lang w:val="en-US" w:eastAsia="zh-CN"/>
        </w:rPr>
        <w:t> </w:t>
      </w:r>
      <w:r w:rsidRPr="00CF6B14">
        <w:rPr>
          <w:rFonts w:ascii="Book Antiqua" w:eastAsia="SimSun" w:hAnsi="Book Antiqua" w:cs="SimSun"/>
          <w:b/>
          <w:bCs/>
          <w:snapToGrid/>
          <w:sz w:val="24"/>
          <w:szCs w:val="24"/>
          <w:lang w:val="en-US" w:eastAsia="zh-CN"/>
        </w:rPr>
        <w:t>Rose J</w:t>
      </w:r>
      <w:r w:rsidRPr="00CF6B14">
        <w:rPr>
          <w:rFonts w:ascii="Book Antiqua" w:eastAsia="SimSun" w:hAnsi="Book Antiqua" w:cs="SimSun"/>
          <w:snapToGrid/>
          <w:sz w:val="24"/>
          <w:szCs w:val="24"/>
          <w:lang w:val="en-US" w:eastAsia="zh-CN"/>
        </w:rPr>
        <w:t>, Augestad KM, Cooper GS. Colorectal cancer surveillance: what's new and what's next. </w:t>
      </w:r>
      <w:r w:rsidRPr="00CF6B14">
        <w:rPr>
          <w:rFonts w:ascii="Book Antiqua" w:eastAsia="SimSun" w:hAnsi="Book Antiqua" w:cs="SimSun"/>
          <w:i/>
          <w:iCs/>
          <w:snapToGrid/>
          <w:sz w:val="24"/>
          <w:szCs w:val="24"/>
          <w:lang w:val="en-US" w:eastAsia="zh-CN"/>
        </w:rPr>
        <w:t>World J Gastroenterol</w:t>
      </w:r>
      <w:r w:rsidRPr="00CF6B14">
        <w:rPr>
          <w:rFonts w:ascii="Book Antiqua" w:eastAsia="SimSun" w:hAnsi="Book Antiqua" w:cs="SimSun"/>
          <w:snapToGrid/>
          <w:sz w:val="24"/>
          <w:szCs w:val="24"/>
          <w:lang w:val="en-US" w:eastAsia="zh-CN"/>
        </w:rPr>
        <w:t> 2014;</w:t>
      </w:r>
      <w:r w:rsidRPr="00CF6B14">
        <w:rPr>
          <w:rFonts w:ascii="Book Antiqua" w:eastAsia="SimSun" w:hAnsi="Book Antiqua" w:cs="SimSun" w:hint="eastAsia"/>
          <w:snapToGrid/>
          <w:sz w:val="24"/>
          <w:szCs w:val="24"/>
          <w:lang w:val="en-US" w:eastAsia="zh-CN"/>
        </w:rPr>
        <w:t xml:space="preserve"> </w:t>
      </w:r>
      <w:r w:rsidRPr="00CF6B14">
        <w:rPr>
          <w:rFonts w:ascii="Book Antiqua" w:eastAsia="SimSun" w:hAnsi="Book Antiqua" w:cs="SimSun"/>
          <w:b/>
          <w:bCs/>
          <w:snapToGrid/>
          <w:sz w:val="24"/>
          <w:szCs w:val="24"/>
          <w:lang w:val="en-US" w:eastAsia="zh-CN"/>
        </w:rPr>
        <w:t>20</w:t>
      </w:r>
      <w:r w:rsidRPr="00CF6B14">
        <w:rPr>
          <w:rFonts w:ascii="Book Antiqua" w:eastAsia="SimSun" w:hAnsi="Book Antiqua" w:cs="SimSun"/>
          <w:snapToGrid/>
          <w:sz w:val="24"/>
          <w:szCs w:val="24"/>
          <w:lang w:val="en-US" w:eastAsia="zh-CN"/>
        </w:rPr>
        <w:t>: 1887-1897 [PMID: 24587668 DOI: 10.3748/wjg.v20.i8.1887]</w:t>
      </w:r>
    </w:p>
    <w:p w:rsidR="00CF6B14" w:rsidRPr="00CF6B14" w:rsidRDefault="00CF6B14" w:rsidP="00CF6B14">
      <w:pPr>
        <w:widowControl w:val="0"/>
        <w:wordWrap w:val="0"/>
        <w:spacing w:after="0" w:line="360" w:lineRule="auto"/>
        <w:jc w:val="right"/>
        <w:rPr>
          <w:rFonts w:ascii="Book Antiqua" w:eastAsia="SimSun" w:hAnsi="Book Antiqua" w:cs="Times New Roman"/>
          <w:snapToGrid/>
          <w:kern w:val="2"/>
          <w:sz w:val="24"/>
          <w:szCs w:val="24"/>
          <w:lang w:val="en-US" w:eastAsia="zh-CN"/>
        </w:rPr>
      </w:pPr>
      <w:bookmarkStart w:id="66" w:name="OLE_LINK51"/>
      <w:bookmarkStart w:id="67" w:name="OLE_LINK52"/>
      <w:bookmarkStart w:id="68" w:name="OLE_LINK120"/>
      <w:bookmarkStart w:id="69" w:name="OLE_LINK148"/>
      <w:bookmarkStart w:id="70" w:name="OLE_LINK72"/>
      <w:bookmarkStart w:id="71" w:name="OLE_LINK112"/>
      <w:bookmarkStart w:id="72" w:name="OLE_LINK320"/>
      <w:bookmarkStart w:id="73" w:name="OLE_LINK387"/>
      <w:bookmarkStart w:id="74" w:name="OLE_LINK183"/>
      <w:bookmarkStart w:id="75" w:name="OLE_LINK254"/>
      <w:bookmarkStart w:id="76" w:name="OLE_LINK149"/>
      <w:bookmarkStart w:id="77" w:name="OLE_LINK225"/>
      <w:bookmarkStart w:id="78" w:name="OLE_LINK207"/>
      <w:bookmarkStart w:id="79" w:name="OLE_LINK226"/>
      <w:bookmarkStart w:id="80" w:name="OLE_LINK212"/>
      <w:bookmarkStart w:id="81" w:name="OLE_LINK250"/>
      <w:bookmarkStart w:id="82" w:name="OLE_LINK281"/>
      <w:bookmarkStart w:id="83" w:name="OLE_LINK282"/>
      <w:bookmarkStart w:id="84" w:name="OLE_LINK313"/>
      <w:bookmarkStart w:id="85" w:name="OLE_LINK304"/>
      <w:bookmarkStart w:id="86" w:name="OLE_LINK321"/>
      <w:bookmarkStart w:id="87" w:name="OLE_LINK385"/>
      <w:bookmarkStart w:id="88" w:name="OLE_LINK400"/>
      <w:bookmarkStart w:id="89" w:name="OLE_LINK346"/>
      <w:bookmarkStart w:id="90" w:name="OLE_LINK371"/>
      <w:bookmarkStart w:id="91" w:name="OLE_LINK334"/>
      <w:bookmarkStart w:id="92" w:name="OLE_LINK1830"/>
      <w:bookmarkStart w:id="93" w:name="OLE_LINK457"/>
      <w:bookmarkStart w:id="94" w:name="OLE_LINK288"/>
      <w:bookmarkStart w:id="95" w:name="OLE_LINK384"/>
      <w:bookmarkStart w:id="96" w:name="OLE_LINK379"/>
      <w:bookmarkStart w:id="97" w:name="OLE_LINK303"/>
      <w:bookmarkStart w:id="98" w:name="OLE_LINK450"/>
      <w:bookmarkStart w:id="99" w:name="OLE_LINK489"/>
      <w:bookmarkStart w:id="100" w:name="OLE_LINK535"/>
      <w:bookmarkStart w:id="101" w:name="OLE_LINK648"/>
      <w:bookmarkStart w:id="102" w:name="OLE_LINK686"/>
      <w:bookmarkStart w:id="103" w:name="OLE_LINK471"/>
      <w:bookmarkStart w:id="104" w:name="OLE_LINK462"/>
      <w:bookmarkStart w:id="105" w:name="OLE_LINK519"/>
      <w:bookmarkStart w:id="106" w:name="OLE_LINK575"/>
      <w:bookmarkStart w:id="107" w:name="OLE_LINK491"/>
      <w:bookmarkStart w:id="108" w:name="OLE_LINK532"/>
      <w:bookmarkStart w:id="109" w:name="OLE_LINK572"/>
      <w:bookmarkStart w:id="110" w:name="OLE_LINK574"/>
      <w:bookmarkStart w:id="111" w:name="OLE_LINK480"/>
      <w:bookmarkStart w:id="112" w:name="OLE_LINK567"/>
      <w:bookmarkStart w:id="113" w:name="OLE_LINK2700"/>
      <w:bookmarkStart w:id="114" w:name="OLE_LINK581"/>
      <w:bookmarkStart w:id="115" w:name="OLE_LINK639"/>
      <w:bookmarkStart w:id="116" w:name="OLE_LINK688"/>
      <w:bookmarkStart w:id="117" w:name="OLE_LINK722"/>
      <w:bookmarkStart w:id="118" w:name="OLE_LINK542"/>
      <w:bookmarkStart w:id="119" w:name="OLE_LINK589"/>
      <w:bookmarkStart w:id="120" w:name="OLE_LINK582"/>
      <w:bookmarkStart w:id="121" w:name="OLE_LINK640"/>
      <w:bookmarkStart w:id="122" w:name="OLE_LINK714"/>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r w:rsidRPr="00CF6B14">
        <w:rPr>
          <w:rFonts w:ascii="Book Antiqua" w:eastAsia="SimSun" w:hAnsi="Book Antiqua" w:cs="Times New Roman"/>
          <w:b/>
          <w:bCs/>
          <w:snapToGrid/>
          <w:kern w:val="2"/>
          <w:sz w:val="24"/>
          <w:szCs w:val="24"/>
          <w:lang w:val="en-US" w:eastAsia="zh-CN"/>
        </w:rPr>
        <w:t>P-Reviewer:</w:t>
      </w:r>
      <w:r w:rsidRPr="00CF6B14">
        <w:rPr>
          <w:rFonts w:ascii="Book Antiqua" w:eastAsia="SimSun" w:hAnsi="Book Antiqua" w:cs="Times New Roman" w:hint="eastAsia"/>
          <w:b/>
          <w:bCs/>
          <w:snapToGrid/>
          <w:kern w:val="2"/>
          <w:sz w:val="24"/>
          <w:szCs w:val="24"/>
          <w:lang w:val="en-US" w:eastAsia="zh-CN"/>
        </w:rPr>
        <w:t xml:space="preserve"> </w:t>
      </w:r>
      <w:r w:rsidRPr="00CF6B14">
        <w:rPr>
          <w:rFonts w:ascii="Book Antiqua" w:eastAsia="SimSun" w:hAnsi="Book Antiqua" w:cs="Times New Roman"/>
          <w:bCs/>
          <w:snapToGrid/>
          <w:kern w:val="2"/>
          <w:sz w:val="24"/>
          <w:szCs w:val="24"/>
          <w:lang w:val="en-US" w:eastAsia="zh-CN"/>
        </w:rPr>
        <w:t>Bajenova</w:t>
      </w:r>
      <w:r w:rsidRPr="00CF6B14">
        <w:rPr>
          <w:rFonts w:ascii="Book Antiqua" w:eastAsia="SimSun" w:hAnsi="Book Antiqua" w:cs="Times New Roman" w:hint="eastAsia"/>
          <w:bCs/>
          <w:snapToGrid/>
          <w:kern w:val="2"/>
          <w:sz w:val="24"/>
          <w:szCs w:val="24"/>
          <w:lang w:val="en-US" w:eastAsia="zh-CN"/>
        </w:rPr>
        <w:t xml:space="preserve"> </w:t>
      </w:r>
      <w:r w:rsidRPr="00CF6B14">
        <w:rPr>
          <w:rFonts w:ascii="Book Antiqua" w:eastAsia="SimSun" w:hAnsi="Book Antiqua" w:cs="Times New Roman"/>
          <w:bCs/>
          <w:snapToGrid/>
          <w:kern w:val="2"/>
          <w:sz w:val="24"/>
          <w:szCs w:val="24"/>
          <w:lang w:val="en-US" w:eastAsia="zh-CN"/>
        </w:rPr>
        <w:t>O</w:t>
      </w:r>
      <w:r w:rsidR="00E67FD1">
        <w:rPr>
          <w:rFonts w:ascii="Book Antiqua" w:eastAsia="SimSun" w:hAnsi="Book Antiqua" w:cs="Times New Roman" w:hint="eastAsia"/>
          <w:b/>
          <w:bCs/>
          <w:snapToGrid/>
          <w:kern w:val="2"/>
          <w:sz w:val="24"/>
          <w:szCs w:val="24"/>
          <w:lang w:val="en-US" w:eastAsia="zh-CN"/>
        </w:rPr>
        <w:t xml:space="preserve"> </w:t>
      </w:r>
      <w:r w:rsidRPr="00CF6B14">
        <w:rPr>
          <w:rFonts w:ascii="Book Antiqua" w:eastAsia="SimSun" w:hAnsi="Book Antiqua" w:cs="Times New Roman"/>
          <w:b/>
          <w:bCs/>
          <w:snapToGrid/>
          <w:kern w:val="2"/>
          <w:sz w:val="24"/>
          <w:szCs w:val="24"/>
          <w:lang w:val="en-US" w:eastAsia="zh-CN"/>
        </w:rPr>
        <w:t>S-Editor:</w:t>
      </w:r>
      <w:r w:rsidRPr="00CF6B14">
        <w:rPr>
          <w:rFonts w:ascii="Book Antiqua" w:eastAsia="SimSun" w:hAnsi="Book Antiqua" w:cs="Times New Roman" w:hint="eastAsia"/>
          <w:snapToGrid/>
          <w:kern w:val="2"/>
          <w:sz w:val="24"/>
          <w:szCs w:val="24"/>
          <w:lang w:val="en-US" w:eastAsia="zh-CN"/>
        </w:rPr>
        <w:t xml:space="preserve"> Gong ZM</w:t>
      </w:r>
    </w:p>
    <w:p w:rsidR="005169EF" w:rsidRDefault="00CF6B14" w:rsidP="00CF6B14">
      <w:pPr>
        <w:widowControl w:val="0"/>
        <w:spacing w:after="0" w:line="360" w:lineRule="auto"/>
        <w:jc w:val="right"/>
        <w:rPr>
          <w:rFonts w:ascii="Book Antiqua" w:eastAsia="SimSun" w:hAnsi="Book Antiqua" w:cs="Times New Roman"/>
          <w:b/>
          <w:bCs/>
          <w:snapToGrid/>
          <w:kern w:val="2"/>
          <w:sz w:val="24"/>
          <w:szCs w:val="24"/>
          <w:lang w:val="en-US" w:eastAsia="zh-CN"/>
        </w:rPr>
      </w:pPr>
      <w:r w:rsidRPr="00CF6B14">
        <w:rPr>
          <w:rFonts w:ascii="Book Antiqua" w:eastAsia="SimSun" w:hAnsi="Book Antiqua" w:cs="Times New Roman"/>
          <w:b/>
          <w:bCs/>
          <w:snapToGrid/>
          <w:kern w:val="2"/>
          <w:sz w:val="24"/>
          <w:szCs w:val="24"/>
          <w:lang w:val="en-US" w:eastAsia="zh-CN"/>
        </w:rPr>
        <w:t>L-Editor:</w:t>
      </w:r>
      <w:r w:rsidRPr="00CF6B14">
        <w:rPr>
          <w:rFonts w:ascii="Book Antiqua" w:eastAsia="SimSun" w:hAnsi="Book Antiqua" w:cs="Times New Roman" w:hint="eastAsia"/>
          <w:snapToGrid/>
          <w:kern w:val="2"/>
          <w:sz w:val="24"/>
          <w:szCs w:val="24"/>
          <w:lang w:val="en-US" w:eastAsia="zh-CN"/>
        </w:rPr>
        <w:t xml:space="preserve"> </w:t>
      </w:r>
      <w:r w:rsidRPr="00CF6B14">
        <w:rPr>
          <w:rFonts w:ascii="Book Antiqua" w:eastAsia="SimSun" w:hAnsi="Book Antiqua" w:cs="Times New Roman"/>
          <w:b/>
          <w:bCs/>
          <w:snapToGrid/>
          <w:kern w:val="2"/>
          <w:sz w:val="24"/>
          <w:szCs w:val="24"/>
          <w:lang w:val="en-US" w:eastAsia="zh-CN"/>
        </w:rPr>
        <w:t>E-Editor: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169EF" w:rsidRDefault="005169EF">
      <w:pPr>
        <w:spacing w:after="160" w:line="259" w:lineRule="auto"/>
        <w:rPr>
          <w:rFonts w:ascii="Book Antiqua" w:eastAsia="SimSun" w:hAnsi="Book Antiqua" w:cs="Times New Roman"/>
          <w:b/>
          <w:bCs/>
          <w:snapToGrid/>
          <w:kern w:val="2"/>
          <w:sz w:val="24"/>
          <w:szCs w:val="24"/>
          <w:lang w:val="en-US" w:eastAsia="zh-CN"/>
        </w:rPr>
      </w:pPr>
      <w:r>
        <w:rPr>
          <w:rFonts w:ascii="Book Antiqua" w:eastAsia="SimSun" w:hAnsi="Book Antiqua" w:cs="Times New Roman"/>
          <w:b/>
          <w:bCs/>
          <w:snapToGrid/>
          <w:kern w:val="2"/>
          <w:sz w:val="24"/>
          <w:szCs w:val="24"/>
          <w:lang w:val="en-US" w:eastAsia="zh-CN"/>
        </w:rPr>
        <w:br w:type="page"/>
      </w:r>
    </w:p>
    <w:p w:rsidR="005169EF" w:rsidRDefault="005169EF" w:rsidP="005169EF">
      <w:pPr>
        <w:widowControl w:val="0"/>
        <w:spacing w:after="0" w:line="360" w:lineRule="auto"/>
        <w:jc w:val="both"/>
        <w:rPr>
          <w:rFonts w:ascii="Book Antiqua" w:eastAsia="SimSun" w:hAnsi="Book Antiqua" w:cs="Times New Roman"/>
          <w:b/>
          <w:snapToGrid/>
          <w:kern w:val="2"/>
          <w:sz w:val="24"/>
          <w:szCs w:val="24"/>
          <w:lang w:val="en-US" w:eastAsia="zh-CN"/>
        </w:rPr>
        <w:sectPr w:rsidR="005169EF" w:rsidSect="006413E6">
          <w:pgSz w:w="11906" w:h="16838"/>
          <w:pgMar w:top="1417" w:right="1417" w:bottom="1417" w:left="1417" w:header="708" w:footer="708" w:gutter="0"/>
          <w:cols w:space="708"/>
          <w:docGrid w:linePitch="360"/>
        </w:sectPr>
      </w:pPr>
    </w:p>
    <w:p w:rsidR="001B7D77" w:rsidRDefault="005169EF" w:rsidP="005169EF">
      <w:pPr>
        <w:widowControl w:val="0"/>
        <w:spacing w:after="0" w:line="360" w:lineRule="auto"/>
        <w:jc w:val="both"/>
        <w:rPr>
          <w:rFonts w:ascii="Book Antiqua" w:eastAsia="SimSun" w:hAnsi="Book Antiqua" w:cs="Times New Roman"/>
          <w:b/>
          <w:snapToGrid/>
          <w:kern w:val="2"/>
          <w:sz w:val="24"/>
          <w:szCs w:val="24"/>
          <w:lang w:val="en-US" w:eastAsia="zh-CN"/>
        </w:rPr>
      </w:pPr>
      <w:r>
        <w:rPr>
          <w:rFonts w:ascii="Book Antiqua" w:eastAsia="SimSun" w:hAnsi="Book Antiqua" w:cs="Times New Roman"/>
          <w:b/>
          <w:snapToGrid/>
          <w:kern w:val="2"/>
          <w:sz w:val="24"/>
          <w:szCs w:val="24"/>
          <w:lang w:val="en-US" w:eastAsia="zh-CN"/>
        </w:rPr>
        <w:lastRenderedPageBreak/>
        <w:t>Table 1</w:t>
      </w:r>
      <w:r>
        <w:rPr>
          <w:rFonts w:ascii="Book Antiqua" w:eastAsia="SimSun" w:hAnsi="Book Antiqua" w:cs="Times New Roman" w:hint="eastAsia"/>
          <w:b/>
          <w:snapToGrid/>
          <w:kern w:val="2"/>
          <w:sz w:val="24"/>
          <w:szCs w:val="24"/>
          <w:lang w:val="en-US" w:eastAsia="zh-CN"/>
        </w:rPr>
        <w:t xml:space="preserve"> </w:t>
      </w:r>
      <w:r w:rsidRPr="005169EF">
        <w:rPr>
          <w:rFonts w:ascii="Book Antiqua" w:eastAsia="SimSun" w:hAnsi="Book Antiqua" w:cs="Times New Roman"/>
          <w:b/>
          <w:snapToGrid/>
          <w:kern w:val="2"/>
          <w:sz w:val="24"/>
          <w:szCs w:val="24"/>
          <w:lang w:val="en-US" w:eastAsia="zh-CN"/>
        </w:rPr>
        <w:t>Recommendations for use of tumour markers and biomarkers in colorectal cancer by groups of experts</w:t>
      </w:r>
    </w:p>
    <w:tbl>
      <w:tblPr>
        <w:tblStyle w:val="TableGrid"/>
        <w:tblW w:w="1286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20" w:firstRow="1" w:lastRow="0" w:firstColumn="0" w:lastColumn="0" w:noHBand="0" w:noVBand="1"/>
      </w:tblPr>
      <w:tblGrid>
        <w:gridCol w:w="1647"/>
        <w:gridCol w:w="2244"/>
        <w:gridCol w:w="2973"/>
        <w:gridCol w:w="2909"/>
        <w:gridCol w:w="3093"/>
      </w:tblGrid>
      <w:tr w:rsidR="00C30CB6" w:rsidRPr="005169EF" w:rsidTr="001601DF">
        <w:trPr>
          <w:trHeight w:val="177"/>
        </w:trPr>
        <w:tc>
          <w:tcPr>
            <w:tcW w:w="1647" w:type="dxa"/>
            <w:tcBorders>
              <w:top w:val="single" w:sz="12" w:space="0" w:color="auto"/>
              <w:bottom w:val="single" w:sz="12" w:space="0" w:color="auto"/>
            </w:tcBorders>
            <w:shd w:val="clear" w:color="auto" w:fill="D9D9D9" w:themeFill="background1" w:themeFillShade="D9"/>
          </w:tcPr>
          <w:p w:rsidR="005169EF" w:rsidRPr="005169EF" w:rsidRDefault="005169EF" w:rsidP="00C30CB6">
            <w:pPr>
              <w:widowControl w:val="0"/>
              <w:spacing w:after="0" w:line="360" w:lineRule="auto"/>
              <w:rPr>
                <w:rFonts w:ascii="Book Antiqua" w:eastAsia="SimSun" w:hAnsi="Book Antiqua" w:cs="Times New Roman"/>
                <w:b/>
                <w:kern w:val="2"/>
                <w:sz w:val="24"/>
                <w:szCs w:val="24"/>
                <w:lang w:val="en-US" w:eastAsia="zh-CN"/>
              </w:rPr>
            </w:pPr>
            <w:r w:rsidRPr="005169EF">
              <w:rPr>
                <w:rFonts w:ascii="Book Antiqua" w:eastAsia="SimSun" w:hAnsi="Book Antiqua" w:cs="Times New Roman"/>
                <w:b/>
                <w:kern w:val="2"/>
                <w:sz w:val="24"/>
                <w:szCs w:val="24"/>
                <w:lang w:val="en-US" w:eastAsia="zh-CN"/>
              </w:rPr>
              <w:t>Biomarker</w:t>
            </w:r>
          </w:p>
        </w:tc>
        <w:tc>
          <w:tcPr>
            <w:tcW w:w="2244" w:type="dxa"/>
            <w:tcBorders>
              <w:top w:val="single" w:sz="12" w:space="0" w:color="auto"/>
              <w:bottom w:val="single" w:sz="12" w:space="0" w:color="auto"/>
            </w:tcBorders>
            <w:shd w:val="clear" w:color="auto" w:fill="D9D9D9" w:themeFill="background1" w:themeFillShade="D9"/>
          </w:tcPr>
          <w:p w:rsidR="005169EF" w:rsidRPr="005169EF" w:rsidRDefault="005169EF" w:rsidP="00C30CB6">
            <w:pPr>
              <w:widowControl w:val="0"/>
              <w:spacing w:after="0" w:line="360" w:lineRule="auto"/>
              <w:ind w:left="122"/>
              <w:jc w:val="center"/>
              <w:rPr>
                <w:rFonts w:ascii="Book Antiqua" w:eastAsia="SimSun" w:hAnsi="Book Antiqua" w:cs="Times New Roman"/>
                <w:b/>
                <w:kern w:val="2"/>
                <w:sz w:val="24"/>
                <w:szCs w:val="24"/>
                <w:lang w:val="en-US" w:eastAsia="zh-CN"/>
              </w:rPr>
            </w:pPr>
            <w:r w:rsidRPr="005169EF">
              <w:rPr>
                <w:rFonts w:ascii="Book Antiqua" w:eastAsia="SimSun" w:hAnsi="Book Antiqua" w:cs="Times New Roman"/>
                <w:b/>
                <w:kern w:val="2"/>
                <w:sz w:val="24"/>
                <w:szCs w:val="24"/>
                <w:lang w:val="en-US" w:eastAsia="zh-CN"/>
              </w:rPr>
              <w:t>Applications</w:t>
            </w:r>
          </w:p>
        </w:tc>
        <w:tc>
          <w:tcPr>
            <w:tcW w:w="2973" w:type="dxa"/>
            <w:tcBorders>
              <w:top w:val="single" w:sz="12" w:space="0" w:color="auto"/>
              <w:bottom w:val="single" w:sz="12" w:space="0" w:color="auto"/>
            </w:tcBorders>
            <w:shd w:val="clear" w:color="auto" w:fill="D9D9D9" w:themeFill="background1" w:themeFillShade="D9"/>
          </w:tcPr>
          <w:p w:rsidR="005169EF" w:rsidRPr="005169EF" w:rsidRDefault="00C30CB6" w:rsidP="00C30CB6">
            <w:pPr>
              <w:widowControl w:val="0"/>
              <w:spacing w:after="0" w:line="360" w:lineRule="auto"/>
              <w:ind w:left="41"/>
              <w:jc w:val="center"/>
              <w:rPr>
                <w:rFonts w:ascii="Book Antiqua" w:eastAsia="SimSun" w:hAnsi="Book Antiqua" w:cs="Times New Roman"/>
                <w:b/>
                <w:kern w:val="2"/>
                <w:sz w:val="24"/>
                <w:szCs w:val="24"/>
                <w:lang w:val="en-US" w:eastAsia="zh-CN"/>
              </w:rPr>
            </w:pPr>
            <w:r>
              <w:rPr>
                <w:rFonts w:ascii="Book Antiqua" w:eastAsia="SimSun" w:hAnsi="Book Antiqua" w:cs="Times New Roman"/>
                <w:b/>
                <w:kern w:val="2"/>
                <w:sz w:val="24"/>
                <w:szCs w:val="24"/>
                <w:lang w:val="en-US" w:eastAsia="zh-CN"/>
              </w:rPr>
              <w:t>ASCO</w:t>
            </w:r>
            <w:r w:rsidR="005169EF" w:rsidRPr="00C30CB6">
              <w:rPr>
                <w:rFonts w:ascii="Book Antiqua" w:eastAsia="SimSun" w:hAnsi="Book Antiqua" w:cs="Times New Roman"/>
                <w:b/>
                <w:kern w:val="2"/>
                <w:sz w:val="24"/>
                <w:szCs w:val="24"/>
                <w:vertAlign w:val="superscript"/>
                <w:lang w:val="en-US" w:eastAsia="zh-CN"/>
              </w:rPr>
              <w:t>[23,98,99]</w:t>
            </w:r>
          </w:p>
        </w:tc>
        <w:tc>
          <w:tcPr>
            <w:tcW w:w="2909" w:type="dxa"/>
            <w:tcBorders>
              <w:top w:val="single" w:sz="12" w:space="0" w:color="auto"/>
              <w:bottom w:val="single" w:sz="12" w:space="0" w:color="auto"/>
            </w:tcBorders>
            <w:shd w:val="clear" w:color="auto" w:fill="D9D9D9" w:themeFill="background1" w:themeFillShade="D9"/>
          </w:tcPr>
          <w:p w:rsidR="005169EF" w:rsidRPr="005169EF" w:rsidRDefault="00C30CB6" w:rsidP="00C30CB6">
            <w:pPr>
              <w:widowControl w:val="0"/>
              <w:spacing w:after="0" w:line="360" w:lineRule="auto"/>
              <w:ind w:left="408"/>
              <w:jc w:val="center"/>
              <w:rPr>
                <w:rFonts w:ascii="Book Antiqua" w:eastAsia="SimSun" w:hAnsi="Book Antiqua" w:cs="Times New Roman"/>
                <w:b/>
                <w:kern w:val="2"/>
                <w:sz w:val="24"/>
                <w:szCs w:val="24"/>
                <w:lang w:val="en-US" w:eastAsia="zh-CN"/>
              </w:rPr>
            </w:pPr>
            <w:r>
              <w:rPr>
                <w:rFonts w:ascii="Book Antiqua" w:eastAsia="SimSun" w:hAnsi="Book Antiqua" w:cs="Times New Roman"/>
                <w:b/>
                <w:kern w:val="2"/>
                <w:sz w:val="24"/>
                <w:szCs w:val="24"/>
                <w:lang w:val="en-US" w:eastAsia="zh-CN"/>
              </w:rPr>
              <w:t>ESMO</w:t>
            </w:r>
            <w:r w:rsidR="005169EF" w:rsidRPr="00C30CB6">
              <w:rPr>
                <w:rFonts w:ascii="Book Antiqua" w:eastAsia="SimSun" w:hAnsi="Book Antiqua" w:cs="Times New Roman"/>
                <w:b/>
                <w:kern w:val="2"/>
                <w:sz w:val="24"/>
                <w:szCs w:val="24"/>
                <w:vertAlign w:val="superscript"/>
                <w:lang w:val="en-US" w:eastAsia="zh-CN"/>
              </w:rPr>
              <w:t>[2,33]</w:t>
            </w:r>
          </w:p>
        </w:tc>
        <w:tc>
          <w:tcPr>
            <w:tcW w:w="3093" w:type="dxa"/>
            <w:tcBorders>
              <w:top w:val="single" w:sz="12" w:space="0" w:color="auto"/>
              <w:bottom w:val="single" w:sz="12" w:space="0" w:color="auto"/>
            </w:tcBorders>
            <w:shd w:val="clear" w:color="auto" w:fill="D9D9D9" w:themeFill="background1" w:themeFillShade="D9"/>
          </w:tcPr>
          <w:p w:rsidR="005169EF" w:rsidRPr="005169EF" w:rsidRDefault="00C30CB6" w:rsidP="00C30CB6">
            <w:pPr>
              <w:widowControl w:val="0"/>
              <w:spacing w:after="0" w:line="360" w:lineRule="auto"/>
              <w:jc w:val="center"/>
              <w:rPr>
                <w:rFonts w:ascii="Book Antiqua" w:eastAsia="SimSun" w:hAnsi="Book Antiqua" w:cs="Times New Roman"/>
                <w:b/>
                <w:kern w:val="2"/>
                <w:sz w:val="24"/>
                <w:szCs w:val="24"/>
                <w:lang w:val="en-US" w:eastAsia="zh-CN"/>
              </w:rPr>
            </w:pPr>
            <w:r>
              <w:rPr>
                <w:rFonts w:ascii="Book Antiqua" w:eastAsia="SimSun" w:hAnsi="Book Antiqua" w:cs="Times New Roman"/>
                <w:b/>
                <w:kern w:val="2"/>
                <w:sz w:val="24"/>
                <w:szCs w:val="24"/>
                <w:lang w:val="en-US" w:eastAsia="zh-CN"/>
              </w:rPr>
              <w:t>NCCN</w:t>
            </w:r>
            <w:r w:rsidR="005169EF" w:rsidRPr="00C30CB6">
              <w:rPr>
                <w:rFonts w:ascii="Book Antiqua" w:eastAsia="SimSun" w:hAnsi="Book Antiqua" w:cs="Times New Roman"/>
                <w:b/>
                <w:kern w:val="2"/>
                <w:sz w:val="24"/>
                <w:szCs w:val="24"/>
                <w:vertAlign w:val="superscript"/>
                <w:lang w:val="en-US" w:eastAsia="zh-CN"/>
              </w:rPr>
              <w:t>[100,101]</w:t>
            </w:r>
          </w:p>
        </w:tc>
      </w:tr>
      <w:tr w:rsidR="00C30CB6" w:rsidRPr="005169EF" w:rsidTr="001601DF">
        <w:trPr>
          <w:trHeight w:val="177"/>
        </w:trPr>
        <w:tc>
          <w:tcPr>
            <w:tcW w:w="1647" w:type="dxa"/>
            <w:vMerge w:val="restart"/>
            <w:tcBorders>
              <w:top w:val="single" w:sz="12" w:space="0" w:color="auto"/>
            </w:tcBorders>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CEA</w:t>
            </w:r>
          </w:p>
        </w:tc>
        <w:tc>
          <w:tcPr>
            <w:tcW w:w="2244" w:type="dxa"/>
            <w:tcBorders>
              <w:top w:val="single" w:sz="12" w:space="0" w:color="auto"/>
            </w:tcBorders>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Screening</w:t>
            </w:r>
          </w:p>
        </w:tc>
        <w:tc>
          <w:tcPr>
            <w:tcW w:w="2973" w:type="dxa"/>
            <w:tcBorders>
              <w:top w:val="single" w:sz="12" w:space="0" w:color="auto"/>
            </w:tcBorders>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tcBorders>
              <w:top w:val="single" w:sz="12" w:space="0" w:color="auto"/>
            </w:tcBorders>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tcBorders>
              <w:top w:val="single" w:sz="12" w:space="0" w:color="auto"/>
            </w:tcBorders>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vMerge/>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p>
        </w:tc>
        <w:tc>
          <w:tcPr>
            <w:tcW w:w="2244"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Prognostic factor</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r>
      <w:tr w:rsidR="00C30CB6" w:rsidRPr="005169EF" w:rsidTr="001601DF">
        <w:trPr>
          <w:trHeight w:val="177"/>
        </w:trPr>
        <w:tc>
          <w:tcPr>
            <w:tcW w:w="1647" w:type="dxa"/>
            <w:vMerge/>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p>
        </w:tc>
        <w:tc>
          <w:tcPr>
            <w:tcW w:w="2244"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Follow up</w:t>
            </w:r>
          </w:p>
        </w:tc>
        <w:tc>
          <w:tcPr>
            <w:tcW w:w="297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2909"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309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r>
      <w:tr w:rsidR="00C30CB6" w:rsidRPr="005169EF" w:rsidTr="001601DF">
        <w:trPr>
          <w:trHeight w:val="177"/>
        </w:trPr>
        <w:tc>
          <w:tcPr>
            <w:tcW w:w="1647" w:type="dxa"/>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CA 19-9</w:t>
            </w:r>
          </w:p>
        </w:tc>
        <w:tc>
          <w:tcPr>
            <w:tcW w:w="2244"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All</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CA 72-4</w:t>
            </w:r>
          </w:p>
        </w:tc>
        <w:tc>
          <w:tcPr>
            <w:tcW w:w="2244"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All</w:t>
            </w:r>
          </w:p>
        </w:tc>
        <w:tc>
          <w:tcPr>
            <w:tcW w:w="297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CA 242</w:t>
            </w:r>
          </w:p>
        </w:tc>
        <w:tc>
          <w:tcPr>
            <w:tcW w:w="2244"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All</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CA 195</w:t>
            </w:r>
          </w:p>
        </w:tc>
        <w:tc>
          <w:tcPr>
            <w:tcW w:w="2244"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All</w:t>
            </w:r>
          </w:p>
        </w:tc>
        <w:tc>
          <w:tcPr>
            <w:tcW w:w="297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CYFRA 21-1</w:t>
            </w:r>
          </w:p>
        </w:tc>
        <w:tc>
          <w:tcPr>
            <w:tcW w:w="2244"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All</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MSI</w:t>
            </w:r>
          </w:p>
        </w:tc>
        <w:tc>
          <w:tcPr>
            <w:tcW w:w="2244" w:type="dxa"/>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Prognostic factor</w:t>
            </w:r>
          </w:p>
        </w:tc>
        <w:tc>
          <w:tcPr>
            <w:tcW w:w="297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309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r>
      <w:tr w:rsidR="00C30CB6" w:rsidRPr="005169EF" w:rsidTr="001601DF">
        <w:trPr>
          <w:trHeight w:val="177"/>
        </w:trPr>
        <w:tc>
          <w:tcPr>
            <w:tcW w:w="1647" w:type="dxa"/>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18qLOH</w:t>
            </w:r>
          </w:p>
        </w:tc>
        <w:tc>
          <w:tcPr>
            <w:tcW w:w="2244" w:type="dxa"/>
            <w:shd w:val="clear" w:color="auto" w:fill="D9D9D9" w:themeFill="background1" w:themeFillShade="D9"/>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Prognostic factor</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shd w:val="clear" w:color="auto" w:fill="FFFFFF" w:themeFill="background1"/>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1601DF">
              <w:rPr>
                <w:rFonts w:ascii="Book Antiqua" w:eastAsia="SimSun" w:hAnsi="Book Antiqua" w:cs="Times New Roman"/>
                <w:i/>
                <w:kern w:val="2"/>
                <w:sz w:val="24"/>
                <w:szCs w:val="24"/>
                <w:lang w:val="en-US" w:eastAsia="zh-CN"/>
              </w:rPr>
              <w:t>p53</w:t>
            </w:r>
            <w:r w:rsidRPr="005169EF">
              <w:rPr>
                <w:rFonts w:ascii="Book Antiqua" w:eastAsia="SimSun" w:hAnsi="Book Antiqua" w:cs="Times New Roman"/>
                <w:kern w:val="2"/>
                <w:sz w:val="24"/>
                <w:szCs w:val="24"/>
                <w:lang w:val="en-US" w:eastAsia="zh-CN"/>
              </w:rPr>
              <w:t xml:space="preserve"> gene</w:t>
            </w:r>
          </w:p>
        </w:tc>
        <w:tc>
          <w:tcPr>
            <w:tcW w:w="2244" w:type="dxa"/>
            <w:shd w:val="clear" w:color="auto" w:fill="FFFFFF" w:themeFill="background1"/>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Prognostic factor</w:t>
            </w:r>
          </w:p>
        </w:tc>
        <w:tc>
          <w:tcPr>
            <w:tcW w:w="2973"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vMerge w:val="restart"/>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KRAS</w:t>
            </w:r>
          </w:p>
        </w:tc>
        <w:tc>
          <w:tcPr>
            <w:tcW w:w="2244" w:type="dxa"/>
            <w:shd w:val="clear" w:color="auto" w:fill="D9D9D9" w:themeFill="background1" w:themeFillShade="D9"/>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Prognostic factor</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177"/>
        </w:trPr>
        <w:tc>
          <w:tcPr>
            <w:tcW w:w="1647" w:type="dxa"/>
            <w:vMerge/>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p>
        </w:tc>
        <w:tc>
          <w:tcPr>
            <w:tcW w:w="2244" w:type="dxa"/>
            <w:shd w:val="clear" w:color="auto" w:fill="D9D9D9" w:themeFill="background1" w:themeFillShade="D9"/>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Predictive factor</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r>
      <w:tr w:rsidR="00C30CB6" w:rsidRPr="005169EF" w:rsidTr="001601DF">
        <w:trPr>
          <w:trHeight w:val="177"/>
        </w:trPr>
        <w:tc>
          <w:tcPr>
            <w:tcW w:w="1647" w:type="dxa"/>
            <w:vMerge w:val="restart"/>
            <w:shd w:val="clear" w:color="auto" w:fill="FFFFFF" w:themeFill="background1"/>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BRAF</w:t>
            </w:r>
          </w:p>
        </w:tc>
        <w:tc>
          <w:tcPr>
            <w:tcW w:w="2244" w:type="dxa"/>
            <w:shd w:val="clear" w:color="auto" w:fill="FFFFFF" w:themeFill="background1"/>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Prognostic factor</w:t>
            </w:r>
          </w:p>
        </w:tc>
        <w:tc>
          <w:tcPr>
            <w:tcW w:w="2973"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3093"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r>
      <w:tr w:rsidR="00C30CB6" w:rsidRPr="005169EF" w:rsidTr="001601DF">
        <w:trPr>
          <w:trHeight w:val="177"/>
        </w:trPr>
        <w:tc>
          <w:tcPr>
            <w:tcW w:w="1647" w:type="dxa"/>
            <w:vMerge/>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p>
        </w:tc>
        <w:tc>
          <w:tcPr>
            <w:tcW w:w="2244" w:type="dxa"/>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Predictive factor</w:t>
            </w:r>
          </w:p>
        </w:tc>
        <w:tc>
          <w:tcPr>
            <w:tcW w:w="297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2909"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r>
      <w:tr w:rsidR="00C30CB6" w:rsidRPr="005169EF" w:rsidTr="001601DF">
        <w:trPr>
          <w:trHeight w:val="546"/>
        </w:trPr>
        <w:tc>
          <w:tcPr>
            <w:tcW w:w="1647" w:type="dxa"/>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PIK3CA</w:t>
            </w:r>
          </w:p>
        </w:tc>
        <w:tc>
          <w:tcPr>
            <w:tcW w:w="2244" w:type="dxa"/>
            <w:shd w:val="clear" w:color="auto" w:fill="D9D9D9" w:themeFill="background1" w:themeFillShade="D9"/>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Predictive factor</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554"/>
        </w:trPr>
        <w:tc>
          <w:tcPr>
            <w:tcW w:w="1647" w:type="dxa"/>
            <w:shd w:val="clear" w:color="auto" w:fill="FFFFFF" w:themeFill="background1"/>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PTEN</w:t>
            </w:r>
          </w:p>
        </w:tc>
        <w:tc>
          <w:tcPr>
            <w:tcW w:w="2244" w:type="dxa"/>
            <w:shd w:val="clear" w:color="auto" w:fill="FFFFFF" w:themeFill="background1"/>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Predictive factor</w:t>
            </w:r>
          </w:p>
        </w:tc>
        <w:tc>
          <w:tcPr>
            <w:tcW w:w="2973"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2909"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FFFFFF" w:themeFill="background1"/>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C30CB6" w:rsidRPr="005169EF" w:rsidTr="001601DF">
        <w:trPr>
          <w:trHeight w:val="818"/>
        </w:trPr>
        <w:tc>
          <w:tcPr>
            <w:tcW w:w="1647" w:type="dxa"/>
            <w:shd w:val="clear" w:color="auto" w:fill="D9D9D9" w:themeFill="background1" w:themeFillShade="D9"/>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UGT1A1</w:t>
            </w:r>
          </w:p>
        </w:tc>
        <w:tc>
          <w:tcPr>
            <w:tcW w:w="2244" w:type="dxa"/>
            <w:shd w:val="clear" w:color="auto" w:fill="D9D9D9" w:themeFill="background1" w:themeFillShade="D9"/>
          </w:tcPr>
          <w:p w:rsidR="00C30CB6" w:rsidRPr="005169EF" w:rsidRDefault="00C30CB6" w:rsidP="00C30CB6">
            <w:pPr>
              <w:widowControl w:val="0"/>
              <w:spacing w:after="0" w:line="360" w:lineRule="auto"/>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Predictive factor</w:t>
            </w:r>
          </w:p>
        </w:tc>
        <w:tc>
          <w:tcPr>
            <w:tcW w:w="297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w:t>
            </w:r>
          </w:p>
        </w:tc>
        <w:tc>
          <w:tcPr>
            <w:tcW w:w="2909"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(only in case of severe toxicity of irinotecan)</w:t>
            </w:r>
          </w:p>
        </w:tc>
        <w:tc>
          <w:tcPr>
            <w:tcW w:w="3093" w:type="dxa"/>
            <w:shd w:val="clear" w:color="auto" w:fill="D9D9D9" w:themeFill="background1" w:themeFillShade="D9"/>
          </w:tcPr>
          <w:p w:rsidR="00C30CB6" w:rsidRPr="005169EF" w:rsidRDefault="00C30CB6" w:rsidP="00C30CB6">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r>
      <w:tr w:rsidR="00C30CB6" w:rsidRPr="005169EF" w:rsidTr="001601DF">
        <w:trPr>
          <w:trHeight w:val="558"/>
        </w:trPr>
        <w:tc>
          <w:tcPr>
            <w:tcW w:w="1647" w:type="dxa"/>
          </w:tcPr>
          <w:p w:rsidR="00C30CB6" w:rsidRPr="005169EF" w:rsidRDefault="00C30CB6"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VEGF</w:t>
            </w:r>
          </w:p>
        </w:tc>
        <w:tc>
          <w:tcPr>
            <w:tcW w:w="2244" w:type="dxa"/>
          </w:tcPr>
          <w:p w:rsidR="00C30CB6" w:rsidRPr="005169EF" w:rsidRDefault="00C30CB6"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All</w:t>
            </w:r>
          </w:p>
        </w:tc>
        <w:tc>
          <w:tcPr>
            <w:tcW w:w="2973" w:type="dxa"/>
          </w:tcPr>
          <w:p w:rsidR="00C30CB6" w:rsidRPr="005169EF" w:rsidRDefault="00C30CB6"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tcPr>
          <w:p w:rsidR="00C30CB6" w:rsidRPr="005169EF" w:rsidRDefault="00C30CB6"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tcPr>
          <w:p w:rsidR="00C30CB6" w:rsidRPr="005169EF" w:rsidRDefault="00C30CB6"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1601DF" w:rsidRPr="005169EF" w:rsidTr="001601DF">
        <w:trPr>
          <w:trHeight w:val="585"/>
        </w:trPr>
        <w:tc>
          <w:tcPr>
            <w:tcW w:w="1647" w:type="dxa"/>
            <w:shd w:val="clear" w:color="auto" w:fill="D9D9D9" w:themeFill="background1" w:themeFillShade="D9"/>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TPA, TPS</w:t>
            </w:r>
          </w:p>
        </w:tc>
        <w:tc>
          <w:tcPr>
            <w:tcW w:w="2244" w:type="dxa"/>
            <w:shd w:val="clear" w:color="auto" w:fill="D9D9D9" w:themeFill="background1" w:themeFillShade="D9"/>
          </w:tcPr>
          <w:p w:rsidR="001601DF" w:rsidRPr="00701E27" w:rsidRDefault="001601DF" w:rsidP="001601DF">
            <w:pPr>
              <w:spacing w:line="240" w:lineRule="auto"/>
              <w:jc w:val="center"/>
              <w:rPr>
                <w:rFonts w:ascii="Book Antiqua" w:hAnsi="Book Antiqua"/>
                <w:sz w:val="24"/>
                <w:szCs w:val="24"/>
                <w:lang w:val="en-US"/>
              </w:rPr>
            </w:pPr>
            <w:r w:rsidRPr="00701E27">
              <w:rPr>
                <w:rFonts w:ascii="Book Antiqua" w:hAnsi="Book Antiqua"/>
                <w:sz w:val="24"/>
                <w:szCs w:val="24"/>
                <w:lang w:val="en-US"/>
              </w:rPr>
              <w:t>All</w:t>
            </w:r>
          </w:p>
        </w:tc>
        <w:tc>
          <w:tcPr>
            <w:tcW w:w="2973" w:type="dxa"/>
            <w:shd w:val="clear" w:color="auto" w:fill="D9D9D9" w:themeFill="background1" w:themeFillShade="D9"/>
          </w:tcPr>
          <w:p w:rsidR="001601DF" w:rsidRPr="00701E27" w:rsidRDefault="001601DF" w:rsidP="001601DF">
            <w:pPr>
              <w:spacing w:line="240" w:lineRule="auto"/>
              <w:jc w:val="center"/>
              <w:rPr>
                <w:rFonts w:ascii="Book Antiqua" w:hAnsi="Book Antiqua"/>
                <w:sz w:val="24"/>
                <w:szCs w:val="24"/>
                <w:lang w:val="en-US"/>
              </w:rPr>
            </w:pPr>
            <w:r w:rsidRPr="00701E27">
              <w:rPr>
                <w:rFonts w:ascii="Book Antiqua" w:hAnsi="Book Antiqua"/>
                <w:sz w:val="24"/>
                <w:szCs w:val="24"/>
                <w:lang w:val="en-US"/>
              </w:rPr>
              <w:t>None published</w:t>
            </w:r>
          </w:p>
        </w:tc>
        <w:tc>
          <w:tcPr>
            <w:tcW w:w="2909" w:type="dxa"/>
            <w:shd w:val="clear" w:color="auto" w:fill="D9D9D9" w:themeFill="background1" w:themeFillShade="D9"/>
          </w:tcPr>
          <w:p w:rsidR="001601DF" w:rsidRPr="00701E27" w:rsidRDefault="001601DF" w:rsidP="001601DF">
            <w:pPr>
              <w:spacing w:line="240" w:lineRule="auto"/>
              <w:jc w:val="center"/>
              <w:rPr>
                <w:rFonts w:ascii="Book Antiqua" w:hAnsi="Book Antiqua"/>
                <w:sz w:val="24"/>
                <w:szCs w:val="24"/>
                <w:lang w:val="en-US"/>
              </w:rPr>
            </w:pPr>
            <w:r w:rsidRPr="00701E27">
              <w:rPr>
                <w:rFonts w:ascii="Book Antiqua" w:hAnsi="Book Antiqua"/>
                <w:sz w:val="24"/>
                <w:szCs w:val="24"/>
                <w:lang w:val="en-US"/>
              </w:rPr>
              <w:t>None published</w:t>
            </w:r>
          </w:p>
        </w:tc>
        <w:tc>
          <w:tcPr>
            <w:tcW w:w="3093" w:type="dxa"/>
            <w:shd w:val="clear" w:color="auto" w:fill="D9D9D9" w:themeFill="background1" w:themeFillShade="D9"/>
          </w:tcPr>
          <w:p w:rsidR="001601DF" w:rsidRPr="00701E27" w:rsidRDefault="001601DF" w:rsidP="001601DF">
            <w:pPr>
              <w:spacing w:line="240" w:lineRule="auto"/>
              <w:jc w:val="center"/>
              <w:rPr>
                <w:rFonts w:ascii="Book Antiqua" w:hAnsi="Book Antiqua"/>
                <w:sz w:val="24"/>
                <w:szCs w:val="24"/>
                <w:lang w:val="en-US"/>
              </w:rPr>
            </w:pPr>
            <w:r w:rsidRPr="00701E27">
              <w:rPr>
                <w:rFonts w:ascii="Book Antiqua" w:hAnsi="Book Antiqua"/>
                <w:sz w:val="24"/>
                <w:szCs w:val="24"/>
                <w:lang w:val="en-US"/>
              </w:rPr>
              <w:t>None published</w:t>
            </w:r>
          </w:p>
        </w:tc>
      </w:tr>
      <w:tr w:rsidR="001601DF" w:rsidRPr="005169EF" w:rsidTr="001601DF">
        <w:trPr>
          <w:trHeight w:val="664"/>
        </w:trPr>
        <w:tc>
          <w:tcPr>
            <w:tcW w:w="1647" w:type="dxa"/>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Ezrin</w:t>
            </w:r>
          </w:p>
        </w:tc>
        <w:tc>
          <w:tcPr>
            <w:tcW w:w="2244" w:type="dxa"/>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All</w:t>
            </w:r>
          </w:p>
        </w:tc>
        <w:tc>
          <w:tcPr>
            <w:tcW w:w="2973" w:type="dxa"/>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2909" w:type="dxa"/>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1601DF" w:rsidRPr="005169EF" w:rsidTr="001601DF">
        <w:trPr>
          <w:trHeight w:val="546"/>
        </w:trPr>
        <w:tc>
          <w:tcPr>
            <w:tcW w:w="1647" w:type="dxa"/>
            <w:shd w:val="clear" w:color="auto" w:fill="D9D9D9" w:themeFill="background1" w:themeFillShade="D9"/>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DNA ploidy</w:t>
            </w:r>
          </w:p>
        </w:tc>
        <w:tc>
          <w:tcPr>
            <w:tcW w:w="2244"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All</w:t>
            </w:r>
          </w:p>
        </w:tc>
        <w:tc>
          <w:tcPr>
            <w:tcW w:w="2973"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1601DF" w:rsidRPr="005169EF" w:rsidTr="001601DF">
        <w:trPr>
          <w:trHeight w:val="540"/>
        </w:trPr>
        <w:tc>
          <w:tcPr>
            <w:tcW w:w="1647" w:type="dxa"/>
            <w:vMerge w:val="restart"/>
            <w:shd w:val="clear" w:color="auto" w:fill="FFFFFF" w:themeFill="background1"/>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TS</w:t>
            </w:r>
          </w:p>
        </w:tc>
        <w:tc>
          <w:tcPr>
            <w:tcW w:w="2244"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Prognostic factor</w:t>
            </w:r>
          </w:p>
        </w:tc>
        <w:tc>
          <w:tcPr>
            <w:tcW w:w="2973"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1601DF" w:rsidRPr="005169EF" w:rsidTr="001601DF">
        <w:trPr>
          <w:trHeight w:val="177"/>
        </w:trPr>
        <w:tc>
          <w:tcPr>
            <w:tcW w:w="1647" w:type="dxa"/>
            <w:vMerge/>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GB" w:eastAsia="zh-CN"/>
              </w:rPr>
            </w:pPr>
          </w:p>
        </w:tc>
        <w:tc>
          <w:tcPr>
            <w:tcW w:w="2244"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Prognostic factor</w:t>
            </w:r>
          </w:p>
        </w:tc>
        <w:tc>
          <w:tcPr>
            <w:tcW w:w="2973"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2909"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(potentially)</w:t>
            </w:r>
          </w:p>
        </w:tc>
        <w:tc>
          <w:tcPr>
            <w:tcW w:w="3093"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1601DF" w:rsidRPr="005169EF" w:rsidTr="001601DF">
        <w:trPr>
          <w:trHeight w:val="550"/>
        </w:trPr>
        <w:tc>
          <w:tcPr>
            <w:tcW w:w="1647" w:type="dxa"/>
            <w:shd w:val="clear" w:color="auto" w:fill="D9D9D9" w:themeFill="background1" w:themeFillShade="D9"/>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GB" w:eastAsia="zh-CN"/>
              </w:rPr>
            </w:pPr>
            <w:r w:rsidRPr="005169EF">
              <w:rPr>
                <w:rFonts w:ascii="Book Antiqua" w:eastAsia="SimSun" w:hAnsi="Book Antiqua" w:cs="Times New Roman"/>
                <w:kern w:val="2"/>
                <w:sz w:val="24"/>
                <w:szCs w:val="24"/>
                <w:lang w:val="en-US" w:eastAsia="zh-CN"/>
              </w:rPr>
              <w:t>TP</w:t>
            </w:r>
          </w:p>
        </w:tc>
        <w:tc>
          <w:tcPr>
            <w:tcW w:w="2244"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All</w:t>
            </w:r>
          </w:p>
        </w:tc>
        <w:tc>
          <w:tcPr>
            <w:tcW w:w="2973"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w:t>
            </w:r>
          </w:p>
        </w:tc>
        <w:tc>
          <w:tcPr>
            <w:tcW w:w="2909"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c>
          <w:tcPr>
            <w:tcW w:w="3093" w:type="dxa"/>
            <w:shd w:val="clear" w:color="auto" w:fill="D9D9D9" w:themeFill="background1" w:themeFillShade="D9"/>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r w:rsidR="001601DF" w:rsidRPr="005169EF" w:rsidTr="001601DF">
        <w:trPr>
          <w:trHeight w:val="762"/>
        </w:trPr>
        <w:tc>
          <w:tcPr>
            <w:tcW w:w="1647" w:type="dxa"/>
            <w:shd w:val="clear" w:color="auto" w:fill="FFFFFF" w:themeFill="background1"/>
          </w:tcPr>
          <w:p w:rsidR="001601DF" w:rsidRPr="005169EF" w:rsidRDefault="001601DF" w:rsidP="005169EF">
            <w:pPr>
              <w:widowControl w:val="0"/>
              <w:spacing w:after="0" w:line="360" w:lineRule="auto"/>
              <w:jc w:val="both"/>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lastRenderedPageBreak/>
              <w:t>DPD</w:t>
            </w:r>
          </w:p>
        </w:tc>
        <w:tc>
          <w:tcPr>
            <w:tcW w:w="2244"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Prognostic factor</w:t>
            </w:r>
          </w:p>
        </w:tc>
        <w:tc>
          <w:tcPr>
            <w:tcW w:w="2973"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701E27">
              <w:rPr>
                <w:rFonts w:ascii="Book Antiqua" w:hAnsi="Book Antiqua"/>
                <w:sz w:val="24"/>
                <w:szCs w:val="24"/>
                <w:lang w:val="en-US"/>
              </w:rPr>
              <w:t>No</w:t>
            </w:r>
          </w:p>
        </w:tc>
        <w:tc>
          <w:tcPr>
            <w:tcW w:w="2909"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Yes (only in case of severe toxicity of 5-FU)</w:t>
            </w:r>
          </w:p>
        </w:tc>
        <w:tc>
          <w:tcPr>
            <w:tcW w:w="3093" w:type="dxa"/>
            <w:shd w:val="clear" w:color="auto" w:fill="FFFFFF" w:themeFill="background1"/>
          </w:tcPr>
          <w:p w:rsidR="001601DF" w:rsidRPr="005169EF" w:rsidRDefault="001601DF" w:rsidP="001601DF">
            <w:pPr>
              <w:widowControl w:val="0"/>
              <w:spacing w:after="0" w:line="360" w:lineRule="auto"/>
              <w:jc w:val="center"/>
              <w:rPr>
                <w:rFonts w:ascii="Book Antiqua" w:eastAsia="SimSun" w:hAnsi="Book Antiqua" w:cs="Times New Roman"/>
                <w:kern w:val="2"/>
                <w:sz w:val="24"/>
                <w:szCs w:val="24"/>
                <w:lang w:val="en-US" w:eastAsia="zh-CN"/>
              </w:rPr>
            </w:pPr>
            <w:r w:rsidRPr="005169EF">
              <w:rPr>
                <w:rFonts w:ascii="Book Antiqua" w:eastAsia="SimSun" w:hAnsi="Book Antiqua" w:cs="Times New Roman"/>
                <w:kern w:val="2"/>
                <w:sz w:val="24"/>
                <w:szCs w:val="24"/>
                <w:lang w:val="en-US" w:eastAsia="zh-CN"/>
              </w:rPr>
              <w:t>None published</w:t>
            </w:r>
          </w:p>
        </w:tc>
      </w:tr>
    </w:tbl>
    <w:p w:rsidR="005169EF" w:rsidRPr="00983D51" w:rsidRDefault="00983D51" w:rsidP="005169EF">
      <w:pPr>
        <w:widowControl w:val="0"/>
        <w:spacing w:after="0" w:line="360" w:lineRule="auto"/>
        <w:jc w:val="both"/>
        <w:rPr>
          <w:rFonts w:ascii="Book Antiqua" w:eastAsiaTheme="minorEastAsia" w:hAnsi="Book Antiqua" w:cs="Times New Roman"/>
          <w:snapToGrid/>
          <w:kern w:val="2"/>
          <w:sz w:val="24"/>
          <w:szCs w:val="24"/>
          <w:lang w:val="en-US" w:eastAsia="zh-CN"/>
        </w:rPr>
      </w:pPr>
      <w:r w:rsidRPr="005169EF">
        <w:rPr>
          <w:rFonts w:ascii="Book Antiqua" w:eastAsia="SimSun" w:hAnsi="Book Antiqua" w:cs="Times New Roman"/>
          <w:kern w:val="2"/>
          <w:sz w:val="24"/>
          <w:szCs w:val="24"/>
          <w:lang w:val="en-US" w:eastAsia="zh-CN"/>
        </w:rPr>
        <w:t>CEA</w:t>
      </w:r>
      <w:r>
        <w:rPr>
          <w:rFonts w:ascii="Book Antiqua" w:eastAsia="SimSun" w:hAnsi="Book Antiqua" w:cs="Times New Roman" w:hint="eastAsia"/>
          <w:kern w:val="2"/>
          <w:sz w:val="24"/>
          <w:szCs w:val="24"/>
          <w:lang w:val="en-US" w:eastAsia="zh-CN"/>
        </w:rPr>
        <w:t xml:space="preserve">: </w:t>
      </w:r>
      <w:r w:rsidRPr="00DA5410">
        <w:rPr>
          <w:rFonts w:ascii="Book Antiqua" w:hAnsi="Book Antiqua" w:cs="Book Antiqua"/>
          <w:sz w:val="24"/>
          <w:szCs w:val="24"/>
          <w:lang w:val="en-GB"/>
        </w:rPr>
        <w:t>Carcinoembryonic antigen</w:t>
      </w:r>
      <w:r>
        <w:rPr>
          <w:rFonts w:ascii="Book Antiqua" w:eastAsiaTheme="minorEastAsia" w:hAnsi="Book Antiqua" w:cs="Book Antiqua" w:hint="eastAsia"/>
          <w:sz w:val="24"/>
          <w:szCs w:val="24"/>
          <w:lang w:val="en-GB" w:eastAsia="zh-CN"/>
        </w:rPr>
        <w:t>;</w:t>
      </w:r>
      <w:r>
        <w:rPr>
          <w:rFonts w:ascii="Book Antiqua" w:eastAsia="SimSun" w:hAnsi="Book Antiqua" w:cs="Times New Roman" w:hint="eastAsia"/>
          <w:kern w:val="2"/>
          <w:sz w:val="24"/>
          <w:szCs w:val="24"/>
          <w:lang w:val="en-US" w:eastAsia="zh-CN"/>
        </w:rPr>
        <w:t xml:space="preserve"> </w:t>
      </w:r>
      <w:r w:rsidR="001601DF" w:rsidRPr="005169EF">
        <w:rPr>
          <w:rFonts w:ascii="Book Antiqua" w:eastAsia="SimSun" w:hAnsi="Book Antiqua" w:cs="Times New Roman"/>
          <w:kern w:val="2"/>
          <w:sz w:val="24"/>
          <w:szCs w:val="24"/>
          <w:lang w:val="en-US" w:eastAsia="zh-CN"/>
        </w:rPr>
        <w:t>MSI</w:t>
      </w:r>
      <w:r w:rsidR="001601DF">
        <w:rPr>
          <w:rFonts w:ascii="Book Antiqua" w:eastAsia="SimSun" w:hAnsi="Book Antiqua" w:cs="Times New Roman" w:hint="eastAsia"/>
          <w:kern w:val="2"/>
          <w:sz w:val="24"/>
          <w:szCs w:val="24"/>
          <w:lang w:val="en-US" w:eastAsia="zh-CN"/>
        </w:rPr>
        <w:t xml:space="preserve">: </w:t>
      </w:r>
      <w:r w:rsidR="001601DF" w:rsidRPr="001601DF">
        <w:rPr>
          <w:rFonts w:ascii="Book Antiqua" w:eastAsia="SimSun" w:hAnsi="Book Antiqua" w:cs="Times New Roman"/>
          <w:caps/>
          <w:kern w:val="2"/>
          <w:sz w:val="24"/>
          <w:szCs w:val="24"/>
          <w:lang w:val="en-GB" w:eastAsia="zh-CN"/>
        </w:rPr>
        <w:t>m</w:t>
      </w:r>
      <w:r w:rsidR="001601DF" w:rsidRPr="001601DF">
        <w:rPr>
          <w:rFonts w:ascii="Book Antiqua" w:eastAsia="SimSun" w:hAnsi="Book Antiqua" w:cs="Times New Roman"/>
          <w:kern w:val="2"/>
          <w:sz w:val="24"/>
          <w:szCs w:val="24"/>
          <w:lang w:val="en-GB" w:eastAsia="zh-CN"/>
        </w:rPr>
        <w:t>icrosatellite instability</w:t>
      </w:r>
      <w:r w:rsidR="001601DF">
        <w:rPr>
          <w:rFonts w:ascii="Book Antiqua" w:eastAsia="SimSun" w:hAnsi="Book Antiqua" w:cs="Times New Roman" w:hint="eastAsia"/>
          <w:kern w:val="2"/>
          <w:sz w:val="24"/>
          <w:szCs w:val="24"/>
          <w:lang w:val="en-GB" w:eastAsia="zh-CN"/>
        </w:rPr>
        <w:t xml:space="preserve">; </w:t>
      </w:r>
      <w:r w:rsidR="001601DF" w:rsidRPr="00DA5410">
        <w:rPr>
          <w:rFonts w:ascii="Book Antiqua" w:hAnsi="Book Antiqua" w:cs="Book Antiqua"/>
          <w:sz w:val="24"/>
          <w:szCs w:val="24"/>
          <w:lang w:val="en-GB"/>
        </w:rPr>
        <w:t>18qLOH</w:t>
      </w:r>
      <w:r w:rsidR="001601DF">
        <w:rPr>
          <w:rFonts w:ascii="Book Antiqua" w:eastAsiaTheme="minorEastAsia" w:hAnsi="Book Antiqua" w:cs="Book Antiqua" w:hint="eastAsia"/>
          <w:sz w:val="24"/>
          <w:szCs w:val="24"/>
          <w:lang w:val="en-GB" w:eastAsia="zh-CN"/>
        </w:rPr>
        <w:t>:</w:t>
      </w:r>
      <w:r w:rsidR="001601DF" w:rsidRPr="00DA5410">
        <w:rPr>
          <w:rFonts w:ascii="Book Antiqua" w:hAnsi="Book Antiqua" w:cs="Book Antiqua"/>
          <w:sz w:val="24"/>
          <w:szCs w:val="24"/>
          <w:lang w:val="en-GB"/>
        </w:rPr>
        <w:t xml:space="preserve"> </w:t>
      </w:r>
      <w:r w:rsidR="001601DF" w:rsidRPr="001601DF">
        <w:rPr>
          <w:rFonts w:ascii="Book Antiqua" w:hAnsi="Book Antiqua" w:cs="Book Antiqua"/>
          <w:caps/>
          <w:sz w:val="24"/>
          <w:szCs w:val="24"/>
          <w:lang w:val="en-GB"/>
        </w:rPr>
        <w:t>c</w:t>
      </w:r>
      <w:r w:rsidR="001601DF" w:rsidRPr="00DA5410">
        <w:rPr>
          <w:rFonts w:ascii="Book Antiqua" w:hAnsi="Book Antiqua" w:cs="Book Antiqua"/>
          <w:sz w:val="24"/>
          <w:szCs w:val="24"/>
          <w:lang w:val="en-GB"/>
        </w:rPr>
        <w:t>hromosome 18q loss of heterozygosity</w:t>
      </w:r>
      <w:r w:rsidR="001601DF">
        <w:rPr>
          <w:rFonts w:ascii="Book Antiqua" w:eastAsiaTheme="minorEastAsia" w:hAnsi="Book Antiqua" w:cs="Book Antiqua" w:hint="eastAsia"/>
          <w:sz w:val="24"/>
          <w:szCs w:val="24"/>
          <w:lang w:val="en-GB" w:eastAsia="zh-CN"/>
        </w:rPr>
        <w:t xml:space="preserve">; </w:t>
      </w:r>
      <w:r w:rsidR="001601DF" w:rsidRPr="005169EF">
        <w:rPr>
          <w:rFonts w:ascii="Book Antiqua" w:eastAsia="SimSun" w:hAnsi="Book Antiqua" w:cs="Times New Roman"/>
          <w:kern w:val="2"/>
          <w:sz w:val="24"/>
          <w:szCs w:val="24"/>
          <w:lang w:val="en-US" w:eastAsia="zh-CN"/>
        </w:rPr>
        <w:t>VEGF</w:t>
      </w:r>
      <w:r w:rsidR="001601DF">
        <w:rPr>
          <w:rFonts w:ascii="Book Antiqua" w:eastAsia="SimSun" w:hAnsi="Book Antiqua" w:cs="Times New Roman" w:hint="eastAsia"/>
          <w:kern w:val="2"/>
          <w:sz w:val="24"/>
          <w:szCs w:val="24"/>
          <w:lang w:val="en-US" w:eastAsia="zh-CN"/>
        </w:rPr>
        <w:t xml:space="preserve">: </w:t>
      </w:r>
      <w:r w:rsidR="001601DF" w:rsidRPr="001601DF">
        <w:rPr>
          <w:rFonts w:ascii="Book Antiqua" w:hAnsi="Book Antiqua" w:cs="Book Antiqua"/>
          <w:caps/>
          <w:sz w:val="24"/>
          <w:szCs w:val="24"/>
          <w:lang w:val="en-GB"/>
        </w:rPr>
        <w:t>v</w:t>
      </w:r>
      <w:r w:rsidR="001601DF" w:rsidRPr="00DA5410">
        <w:rPr>
          <w:rFonts w:ascii="Book Antiqua" w:hAnsi="Book Antiqua" w:cs="Book Antiqua"/>
          <w:sz w:val="24"/>
          <w:szCs w:val="24"/>
          <w:lang w:val="en-GB"/>
        </w:rPr>
        <w:t>ascular endothelial growth factor</w:t>
      </w:r>
      <w:r w:rsidR="001601DF">
        <w:rPr>
          <w:rFonts w:ascii="Book Antiqua" w:eastAsiaTheme="minorEastAsia" w:hAnsi="Book Antiqua" w:cs="Book Antiqua" w:hint="eastAsia"/>
          <w:sz w:val="24"/>
          <w:szCs w:val="24"/>
          <w:lang w:val="en-GB" w:eastAsia="zh-CN"/>
        </w:rPr>
        <w:t xml:space="preserve">; </w:t>
      </w:r>
      <w:r w:rsidRPr="00DA5410">
        <w:rPr>
          <w:rFonts w:ascii="Book Antiqua" w:hAnsi="Book Antiqua" w:cs="Book Antiqua"/>
          <w:sz w:val="24"/>
          <w:szCs w:val="24"/>
          <w:lang w:val="en-GB"/>
        </w:rPr>
        <w:t>TPS</w:t>
      </w:r>
      <w:r>
        <w:rPr>
          <w:rFonts w:ascii="Book Antiqua" w:eastAsiaTheme="minorEastAsia" w:hAnsi="Book Antiqua" w:cs="Book Antiqua" w:hint="eastAsia"/>
          <w:sz w:val="24"/>
          <w:szCs w:val="24"/>
          <w:lang w:val="en-GB" w:eastAsia="zh-CN"/>
        </w:rPr>
        <w:t>:</w:t>
      </w:r>
      <w:r w:rsidRPr="00DA5410">
        <w:rPr>
          <w:rFonts w:ascii="Book Antiqua" w:hAnsi="Book Antiqua" w:cs="Book Antiqua"/>
          <w:sz w:val="24"/>
          <w:szCs w:val="24"/>
          <w:lang w:val="en-GB"/>
        </w:rPr>
        <w:t xml:space="preserve"> </w:t>
      </w:r>
      <w:r w:rsidR="001601DF" w:rsidRPr="00DA5410">
        <w:rPr>
          <w:rFonts w:ascii="Book Antiqua" w:hAnsi="Book Antiqua" w:cs="Book Antiqua"/>
          <w:sz w:val="24"/>
          <w:szCs w:val="24"/>
          <w:lang w:val="en-GB"/>
        </w:rPr>
        <w:t>Tissue polypeptide-specific antigen</w:t>
      </w:r>
      <w:r>
        <w:rPr>
          <w:rFonts w:ascii="Book Antiqua" w:eastAsiaTheme="minorEastAsia" w:hAnsi="Book Antiqua" w:cs="Book Antiqua" w:hint="eastAsia"/>
          <w:sz w:val="24"/>
          <w:szCs w:val="24"/>
          <w:lang w:val="en-GB" w:eastAsia="zh-CN"/>
        </w:rPr>
        <w:t>;</w:t>
      </w:r>
      <w:r w:rsidRPr="00983D51">
        <w:rPr>
          <w:rFonts w:ascii="Book Antiqua" w:hAnsi="Book Antiqua" w:cs="Book Antiqua"/>
          <w:sz w:val="24"/>
          <w:szCs w:val="24"/>
          <w:lang w:val="en-GB"/>
        </w:rPr>
        <w:t xml:space="preserve"> </w:t>
      </w:r>
      <w:r w:rsidRPr="00DA5410">
        <w:rPr>
          <w:rFonts w:ascii="Book Antiqua" w:hAnsi="Book Antiqua" w:cs="Book Antiqua"/>
          <w:sz w:val="24"/>
          <w:szCs w:val="24"/>
          <w:lang w:val="en-GB"/>
        </w:rPr>
        <w:t>TPA</w:t>
      </w:r>
      <w:r>
        <w:rPr>
          <w:rFonts w:ascii="Book Antiqua" w:eastAsiaTheme="minorEastAsia" w:hAnsi="Book Antiqua" w:cs="Book Antiqua" w:hint="eastAsia"/>
          <w:sz w:val="24"/>
          <w:szCs w:val="24"/>
          <w:lang w:val="en-GB" w:eastAsia="zh-CN"/>
        </w:rPr>
        <w:t>:</w:t>
      </w:r>
      <w:r w:rsidR="001601DF" w:rsidRPr="00DA5410">
        <w:rPr>
          <w:rFonts w:ascii="Book Antiqua" w:hAnsi="Book Antiqua" w:cs="Book Antiqua"/>
          <w:sz w:val="24"/>
          <w:szCs w:val="24"/>
          <w:lang w:val="en-GB"/>
        </w:rPr>
        <w:t xml:space="preserve"> </w:t>
      </w:r>
      <w:r w:rsidR="001601DF" w:rsidRPr="00983D51">
        <w:rPr>
          <w:rFonts w:ascii="Book Antiqua" w:hAnsi="Book Antiqua" w:cs="Book Antiqua"/>
          <w:caps/>
          <w:sz w:val="24"/>
          <w:szCs w:val="24"/>
          <w:lang w:val="en-GB"/>
        </w:rPr>
        <w:t>t</w:t>
      </w:r>
      <w:r>
        <w:rPr>
          <w:rFonts w:ascii="Book Antiqua" w:hAnsi="Book Antiqua" w:cs="Book Antiqua"/>
          <w:sz w:val="24"/>
          <w:szCs w:val="24"/>
          <w:lang w:val="en-GB"/>
        </w:rPr>
        <w:t>issue polypeptide antigen</w:t>
      </w:r>
      <w:r>
        <w:rPr>
          <w:rFonts w:ascii="Book Antiqua" w:eastAsiaTheme="minorEastAsia" w:hAnsi="Book Antiqua" w:cs="Book Antiqua" w:hint="eastAsia"/>
          <w:sz w:val="24"/>
          <w:szCs w:val="24"/>
          <w:lang w:val="en-GB" w:eastAsia="zh-CN"/>
        </w:rPr>
        <w:t>.</w:t>
      </w:r>
    </w:p>
    <w:sectPr w:rsidR="005169EF" w:rsidRPr="00983D51" w:rsidSect="005169EF">
      <w:pgSz w:w="15309"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89" w:rsidRDefault="00074E89" w:rsidP="00A65ED7">
      <w:pPr>
        <w:spacing w:after="0" w:line="240" w:lineRule="auto"/>
      </w:pPr>
      <w:r>
        <w:separator/>
      </w:r>
    </w:p>
  </w:endnote>
  <w:endnote w:type="continuationSeparator" w:id="0">
    <w:p w:rsidR="00074E89" w:rsidRDefault="00074E89" w:rsidP="00A6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89" w:rsidRDefault="00074E89" w:rsidP="00A65ED7">
      <w:pPr>
        <w:spacing w:after="0" w:line="240" w:lineRule="auto"/>
      </w:pPr>
      <w:r>
        <w:separator/>
      </w:r>
    </w:p>
  </w:footnote>
  <w:footnote w:type="continuationSeparator" w:id="0">
    <w:p w:rsidR="00074E89" w:rsidRDefault="00074E89" w:rsidP="00A65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047C5"/>
    <w:multiLevelType w:val="hybridMultilevel"/>
    <w:tmpl w:val="A7666784"/>
    <w:lvl w:ilvl="0" w:tplc="A0D8EF4C">
      <w:start w:val="1"/>
      <w:numFmt w:val="decimal"/>
      <w:lvlText w:val="%1."/>
      <w:lvlJc w:val="left"/>
      <w:pPr>
        <w:ind w:left="1080" w:hanging="360"/>
      </w:pPr>
      <w:rPr>
        <w:lang w:val="pl-P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91"/>
    <w:rsid w:val="000613A1"/>
    <w:rsid w:val="00074E89"/>
    <w:rsid w:val="001601DF"/>
    <w:rsid w:val="001B7D77"/>
    <w:rsid w:val="002062E2"/>
    <w:rsid w:val="00317361"/>
    <w:rsid w:val="003A5A82"/>
    <w:rsid w:val="003B15F7"/>
    <w:rsid w:val="00403D7A"/>
    <w:rsid w:val="00435973"/>
    <w:rsid w:val="004557FC"/>
    <w:rsid w:val="005169EF"/>
    <w:rsid w:val="00521C56"/>
    <w:rsid w:val="005407D4"/>
    <w:rsid w:val="005606BE"/>
    <w:rsid w:val="005F342B"/>
    <w:rsid w:val="006413E6"/>
    <w:rsid w:val="00701E9A"/>
    <w:rsid w:val="007B7F1A"/>
    <w:rsid w:val="00983D51"/>
    <w:rsid w:val="009A0187"/>
    <w:rsid w:val="009F6026"/>
    <w:rsid w:val="00A33EE0"/>
    <w:rsid w:val="00A65ED7"/>
    <w:rsid w:val="00B8191B"/>
    <w:rsid w:val="00C06655"/>
    <w:rsid w:val="00C30CB6"/>
    <w:rsid w:val="00CF6B14"/>
    <w:rsid w:val="00D53F0B"/>
    <w:rsid w:val="00D8730C"/>
    <w:rsid w:val="00DA5410"/>
    <w:rsid w:val="00E35160"/>
    <w:rsid w:val="00E67FD1"/>
    <w:rsid w:val="00E8136A"/>
    <w:rsid w:val="00EC030C"/>
    <w:rsid w:val="00ED278B"/>
    <w:rsid w:val="00F27A77"/>
    <w:rsid w:val="00F37F91"/>
    <w:rsid w:val="00F8208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F02BA-6E53-4C01-A271-F94AE607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91"/>
    <w:pPr>
      <w:spacing w:after="200" w:line="276" w:lineRule="auto"/>
    </w:pPr>
    <w:rPr>
      <w:rFonts w:ascii="Calibri" w:eastAsia="Times New Roman" w:hAnsi="Calibri" w:cs="Calibri"/>
      <w:snapToGrid w:val="0"/>
      <w:lang w:eastAsia="pl-PL"/>
    </w:rPr>
  </w:style>
  <w:style w:type="paragraph" w:styleId="Heading1">
    <w:name w:val="heading 1"/>
    <w:basedOn w:val="Normal"/>
    <w:link w:val="Heading1Char"/>
    <w:uiPriority w:val="9"/>
    <w:qFormat/>
    <w:rsid w:val="00F37F91"/>
    <w:pPr>
      <w:spacing w:before="100" w:beforeAutospacing="1" w:after="100" w:afterAutospacing="1" w:line="240" w:lineRule="auto"/>
      <w:outlineLvl w:val="0"/>
    </w:pPr>
    <w:rPr>
      <w:rFonts w:ascii="Times New Roman" w:hAnsi="Times New Roman" w:cs="Times New Roman"/>
      <w:b/>
      <w:bCs/>
      <w:snapToGri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91"/>
    <w:rPr>
      <w:rFonts w:ascii="Times New Roman" w:eastAsia="Times New Roman" w:hAnsi="Times New Roman" w:cs="Times New Roman"/>
      <w:b/>
      <w:bCs/>
      <w:kern w:val="36"/>
      <w:sz w:val="48"/>
      <w:szCs w:val="48"/>
      <w:lang w:eastAsia="pl-PL"/>
    </w:rPr>
  </w:style>
  <w:style w:type="character" w:customStyle="1" w:styleId="slug-vol">
    <w:name w:val="slug-vol"/>
    <w:basedOn w:val="DefaultParagraphFont"/>
    <w:rsid w:val="00F37F91"/>
  </w:style>
  <w:style w:type="character" w:customStyle="1" w:styleId="slug-issue">
    <w:name w:val="slug-issue"/>
    <w:basedOn w:val="DefaultParagraphFont"/>
    <w:rsid w:val="00F37F91"/>
  </w:style>
  <w:style w:type="paragraph" w:styleId="ListParagraph">
    <w:name w:val="List Paragraph"/>
    <w:basedOn w:val="Normal"/>
    <w:uiPriority w:val="34"/>
    <w:qFormat/>
    <w:rsid w:val="00F37F91"/>
    <w:pPr>
      <w:ind w:left="720"/>
      <w:contextualSpacing/>
    </w:pPr>
  </w:style>
  <w:style w:type="character" w:styleId="Hyperlink">
    <w:name w:val="Hyperlink"/>
    <w:basedOn w:val="DefaultParagraphFont"/>
    <w:uiPriority w:val="99"/>
    <w:unhideWhenUsed/>
    <w:rsid w:val="00F37F91"/>
    <w:rPr>
      <w:color w:val="0000FF"/>
      <w:u w:val="single"/>
    </w:rPr>
  </w:style>
  <w:style w:type="character" w:customStyle="1" w:styleId="highlight">
    <w:name w:val="highlight"/>
    <w:basedOn w:val="DefaultParagraphFont"/>
    <w:rsid w:val="00F37F91"/>
  </w:style>
  <w:style w:type="paragraph" w:styleId="BalloonText">
    <w:name w:val="Balloon Text"/>
    <w:basedOn w:val="Normal"/>
    <w:link w:val="BalloonTextChar"/>
    <w:uiPriority w:val="99"/>
    <w:semiHidden/>
    <w:unhideWhenUsed/>
    <w:rsid w:val="00F3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91"/>
    <w:rPr>
      <w:rFonts w:ascii="Segoe UI" w:eastAsia="Times New Roman" w:hAnsi="Segoe UI" w:cs="Segoe UI"/>
      <w:snapToGrid w:val="0"/>
      <w:sz w:val="18"/>
      <w:szCs w:val="18"/>
      <w:lang w:eastAsia="pl-PL"/>
    </w:rPr>
  </w:style>
  <w:style w:type="character" w:styleId="CommentReference">
    <w:name w:val="annotation reference"/>
    <w:uiPriority w:val="99"/>
    <w:semiHidden/>
    <w:unhideWhenUsed/>
    <w:rsid w:val="00F37F91"/>
    <w:rPr>
      <w:sz w:val="16"/>
      <w:szCs w:val="16"/>
    </w:rPr>
  </w:style>
  <w:style w:type="paragraph" w:styleId="CommentText">
    <w:name w:val="annotation text"/>
    <w:basedOn w:val="Normal"/>
    <w:link w:val="CommentTextChar"/>
    <w:uiPriority w:val="99"/>
    <w:semiHidden/>
    <w:unhideWhenUsed/>
    <w:rsid w:val="00F37F91"/>
    <w:rPr>
      <w:snapToGrid/>
      <w:sz w:val="20"/>
      <w:szCs w:val="20"/>
    </w:rPr>
  </w:style>
  <w:style w:type="character" w:customStyle="1" w:styleId="CommentTextChar">
    <w:name w:val="Comment Text Char"/>
    <w:basedOn w:val="DefaultParagraphFont"/>
    <w:link w:val="CommentText"/>
    <w:uiPriority w:val="99"/>
    <w:semiHidden/>
    <w:rsid w:val="00F37F91"/>
    <w:rPr>
      <w:rFonts w:ascii="Calibri" w:eastAsia="Times New Roman" w:hAnsi="Calibri" w:cs="Calibri"/>
      <w:sz w:val="20"/>
      <w:szCs w:val="20"/>
      <w:lang w:eastAsia="pl-PL"/>
    </w:rPr>
  </w:style>
  <w:style w:type="paragraph" w:customStyle="1" w:styleId="1">
    <w:name w:val="正文1"/>
    <w:uiPriority w:val="99"/>
    <w:rsid w:val="006413E6"/>
    <w:pPr>
      <w:spacing w:after="0" w:line="276" w:lineRule="auto"/>
    </w:pPr>
    <w:rPr>
      <w:rFonts w:ascii="Arial" w:eastAsia="SimSun" w:hAnsi="Arial" w:cs="Arial"/>
      <w:color w:val="000000"/>
      <w:szCs w:val="20"/>
      <w:lang w:eastAsia="pl-PL"/>
    </w:rPr>
  </w:style>
  <w:style w:type="paragraph" w:styleId="Header">
    <w:name w:val="header"/>
    <w:basedOn w:val="Normal"/>
    <w:link w:val="HeaderChar"/>
    <w:uiPriority w:val="99"/>
    <w:unhideWhenUsed/>
    <w:rsid w:val="00A65E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5ED7"/>
    <w:rPr>
      <w:rFonts w:ascii="Calibri" w:eastAsia="Times New Roman" w:hAnsi="Calibri" w:cs="Calibri"/>
      <w:snapToGrid w:val="0"/>
      <w:sz w:val="18"/>
      <w:szCs w:val="18"/>
      <w:lang w:eastAsia="pl-PL"/>
    </w:rPr>
  </w:style>
  <w:style w:type="paragraph" w:styleId="Footer">
    <w:name w:val="footer"/>
    <w:basedOn w:val="Normal"/>
    <w:link w:val="FooterChar"/>
    <w:uiPriority w:val="99"/>
    <w:unhideWhenUsed/>
    <w:rsid w:val="00A65E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5ED7"/>
    <w:rPr>
      <w:rFonts w:ascii="Calibri" w:eastAsia="Times New Roman" w:hAnsi="Calibri" w:cs="Calibri"/>
      <w:snapToGrid w:val="0"/>
      <w:sz w:val="18"/>
      <w:szCs w:val="18"/>
      <w:lang w:eastAsia="pl-PL"/>
    </w:rPr>
  </w:style>
  <w:style w:type="table" w:styleId="TableGrid">
    <w:name w:val="Table Grid"/>
    <w:basedOn w:val="TableNormal"/>
    <w:uiPriority w:val="39"/>
    <w:rsid w:val="0051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w.lech@wum.edu.pl"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bi.nlm.nih.gov/pubmed/?term=MRC%20COIN%20Trial%20Investigators%5BCorporate%20Author%5D" TargetMode="External"/><Relationship Id="rId4" Type="http://schemas.openxmlformats.org/officeDocument/2006/relationships/webSettings" Target="webSettings.xml"/><Relationship Id="rId9" Type="http://schemas.openxmlformats.org/officeDocument/2006/relationships/hyperlink" Target="http://www.ncbi.nlm.nih.gov/pubmed/?term=TP53-CRC%20Collaborative%20Study%20Group%5BCorporate%20Author%5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9960</Words>
  <Characters>56775</Characters>
  <Application>Microsoft Office Word</Application>
  <DocSecurity>0</DocSecurity>
  <Lines>473</Lines>
  <Paragraphs>133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Lech</dc:creator>
  <cp:keywords/>
  <dc:description/>
  <cp:lastModifiedBy>LS Ma</cp:lastModifiedBy>
  <cp:revision>2</cp:revision>
  <dcterms:created xsi:type="dcterms:W3CDTF">2015-12-19T04:41:00Z</dcterms:created>
  <dcterms:modified xsi:type="dcterms:W3CDTF">2015-12-19T04:41:00Z</dcterms:modified>
</cp:coreProperties>
</file>